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123E68" w14:textId="77777777" w:rsidR="00CB68E6" w:rsidRPr="00F45D90" w:rsidRDefault="00CB68E6" w:rsidP="00CB68E6">
      <w:pPr>
        <w:spacing w:after="0" w:line="240" w:lineRule="auto"/>
        <w:rPr>
          <w:rFonts w:ascii="Times New Roman" w:hAnsi="Times New Roman"/>
        </w:rPr>
      </w:pPr>
    </w:p>
    <w:p w14:paraId="14F0F7B9" w14:textId="77777777" w:rsidR="00CB68E6" w:rsidRPr="00F45D90" w:rsidRDefault="00CB68E6" w:rsidP="00CB68E6">
      <w:pPr>
        <w:spacing w:after="0" w:line="240" w:lineRule="auto"/>
        <w:rPr>
          <w:rFonts w:ascii="Times New Roman" w:hAnsi="Times New Roman"/>
        </w:rPr>
      </w:pPr>
    </w:p>
    <w:p w14:paraId="7B5C22CF" w14:textId="77777777" w:rsidR="00CB68E6" w:rsidRPr="00F45D90" w:rsidRDefault="00CB68E6" w:rsidP="00CB68E6">
      <w:pPr>
        <w:spacing w:after="0" w:line="240" w:lineRule="auto"/>
        <w:rPr>
          <w:rFonts w:ascii="Times New Roman" w:hAnsi="Times New Roman"/>
        </w:rPr>
      </w:pPr>
    </w:p>
    <w:p w14:paraId="18B05EA8" w14:textId="77777777" w:rsidR="00CB68E6" w:rsidRPr="00F45D90" w:rsidRDefault="00CB68E6" w:rsidP="00CB68E6">
      <w:pPr>
        <w:spacing w:after="0" w:line="240" w:lineRule="auto"/>
        <w:rPr>
          <w:rFonts w:ascii="Times New Roman" w:hAnsi="Times New Roman"/>
        </w:rPr>
      </w:pPr>
    </w:p>
    <w:p w14:paraId="412C0575" w14:textId="77777777" w:rsidR="00CB68E6" w:rsidRPr="00F45D90" w:rsidRDefault="00CB68E6" w:rsidP="00CB68E6">
      <w:pPr>
        <w:spacing w:after="0" w:line="240" w:lineRule="auto"/>
        <w:rPr>
          <w:rFonts w:ascii="Times New Roman" w:hAnsi="Times New Roman"/>
        </w:rPr>
      </w:pPr>
    </w:p>
    <w:p w14:paraId="50DA3CB5" w14:textId="77777777" w:rsidR="00CB68E6" w:rsidRPr="00F45D90" w:rsidRDefault="00CB68E6" w:rsidP="00CB68E6">
      <w:pPr>
        <w:spacing w:after="0" w:line="240" w:lineRule="auto"/>
        <w:rPr>
          <w:rFonts w:ascii="Times New Roman" w:hAnsi="Times New Roman"/>
        </w:rPr>
      </w:pPr>
    </w:p>
    <w:p w14:paraId="5F57D879" w14:textId="77777777" w:rsidR="00CB68E6" w:rsidRPr="00F45D90" w:rsidRDefault="00CB68E6" w:rsidP="00CB68E6">
      <w:pPr>
        <w:spacing w:after="0" w:line="240" w:lineRule="auto"/>
        <w:rPr>
          <w:rFonts w:ascii="Times New Roman" w:hAnsi="Times New Roman"/>
        </w:rPr>
      </w:pPr>
    </w:p>
    <w:p w14:paraId="4818894D" w14:textId="77777777" w:rsidR="00CB68E6" w:rsidRPr="00F45D90" w:rsidRDefault="00CB68E6" w:rsidP="00CB68E6">
      <w:pPr>
        <w:spacing w:after="0" w:line="240" w:lineRule="auto"/>
        <w:rPr>
          <w:rFonts w:ascii="Times New Roman" w:hAnsi="Times New Roman"/>
        </w:rPr>
      </w:pPr>
    </w:p>
    <w:p w14:paraId="705825A9" w14:textId="77777777" w:rsidR="00CB68E6" w:rsidRPr="00F45D90" w:rsidRDefault="00CB68E6" w:rsidP="00CB68E6">
      <w:pPr>
        <w:spacing w:after="0" w:line="240" w:lineRule="auto"/>
        <w:rPr>
          <w:rFonts w:ascii="Times New Roman" w:hAnsi="Times New Roman"/>
        </w:rPr>
      </w:pPr>
    </w:p>
    <w:p w14:paraId="00A9CAAC" w14:textId="77777777" w:rsidR="00CB68E6" w:rsidRPr="00F45D90" w:rsidRDefault="00CB68E6" w:rsidP="00CB68E6">
      <w:pPr>
        <w:spacing w:after="0" w:line="240" w:lineRule="auto"/>
        <w:rPr>
          <w:rFonts w:ascii="Times New Roman" w:hAnsi="Times New Roman"/>
        </w:rPr>
      </w:pPr>
    </w:p>
    <w:p w14:paraId="0CD0C8C8" w14:textId="77777777" w:rsidR="00CB68E6" w:rsidRPr="00F45D90" w:rsidRDefault="00CB68E6" w:rsidP="00CB68E6">
      <w:pPr>
        <w:spacing w:after="0" w:line="240" w:lineRule="auto"/>
        <w:rPr>
          <w:rFonts w:ascii="Times New Roman" w:hAnsi="Times New Roman"/>
        </w:rPr>
      </w:pPr>
    </w:p>
    <w:p w14:paraId="40B35F26" w14:textId="77777777" w:rsidR="00CB68E6" w:rsidRPr="00F45D90" w:rsidRDefault="00CB68E6" w:rsidP="00CB68E6">
      <w:pPr>
        <w:spacing w:after="0" w:line="240" w:lineRule="auto"/>
        <w:rPr>
          <w:rFonts w:ascii="Times New Roman" w:hAnsi="Times New Roman"/>
        </w:rPr>
      </w:pPr>
    </w:p>
    <w:p w14:paraId="3C560684" w14:textId="77777777" w:rsidR="00CB68E6" w:rsidRPr="00F45D90" w:rsidRDefault="00CB68E6" w:rsidP="00CB68E6">
      <w:pPr>
        <w:spacing w:after="0" w:line="240" w:lineRule="auto"/>
        <w:rPr>
          <w:rFonts w:ascii="Times New Roman" w:hAnsi="Times New Roman"/>
        </w:rPr>
      </w:pPr>
    </w:p>
    <w:p w14:paraId="4B44BFAF" w14:textId="77777777" w:rsidR="00CB68E6" w:rsidRPr="00F45D90" w:rsidRDefault="00CB68E6" w:rsidP="00CB68E6">
      <w:pPr>
        <w:spacing w:after="0" w:line="240" w:lineRule="auto"/>
        <w:rPr>
          <w:rFonts w:ascii="Times New Roman" w:hAnsi="Times New Roman"/>
        </w:rPr>
      </w:pPr>
    </w:p>
    <w:p w14:paraId="277A6C3A" w14:textId="77777777" w:rsidR="00CB68E6" w:rsidRPr="00F45D90" w:rsidRDefault="00CB68E6" w:rsidP="00CB68E6">
      <w:pPr>
        <w:spacing w:after="0" w:line="240" w:lineRule="auto"/>
        <w:rPr>
          <w:rFonts w:ascii="Times New Roman" w:hAnsi="Times New Roman"/>
        </w:rPr>
      </w:pPr>
    </w:p>
    <w:p w14:paraId="1E96A3C5" w14:textId="77777777" w:rsidR="00CB68E6" w:rsidRPr="00F45D90" w:rsidRDefault="00CB68E6" w:rsidP="00CB68E6">
      <w:pPr>
        <w:spacing w:after="0" w:line="240" w:lineRule="auto"/>
        <w:rPr>
          <w:rFonts w:ascii="Times New Roman" w:hAnsi="Times New Roman"/>
        </w:rPr>
      </w:pPr>
    </w:p>
    <w:p w14:paraId="141586F9" w14:textId="77777777" w:rsidR="00CB68E6" w:rsidRPr="00F45D90" w:rsidRDefault="00CB68E6" w:rsidP="00CB68E6">
      <w:pPr>
        <w:spacing w:after="0" w:line="240" w:lineRule="auto"/>
        <w:rPr>
          <w:rFonts w:ascii="Times New Roman" w:hAnsi="Times New Roman"/>
        </w:rPr>
      </w:pPr>
    </w:p>
    <w:p w14:paraId="18E7C019" w14:textId="77777777" w:rsidR="00CB68E6" w:rsidRPr="00F45D90" w:rsidRDefault="00CB68E6" w:rsidP="00CB68E6">
      <w:pPr>
        <w:spacing w:after="0" w:line="240" w:lineRule="auto"/>
        <w:rPr>
          <w:rFonts w:ascii="Times New Roman" w:hAnsi="Times New Roman"/>
        </w:rPr>
      </w:pPr>
    </w:p>
    <w:p w14:paraId="0DC1370F" w14:textId="77777777" w:rsidR="00CB68E6" w:rsidRPr="00F45D90" w:rsidRDefault="00CB68E6" w:rsidP="00CB68E6">
      <w:pPr>
        <w:spacing w:after="0" w:line="240" w:lineRule="auto"/>
        <w:rPr>
          <w:rFonts w:ascii="Times New Roman" w:hAnsi="Times New Roman"/>
        </w:rPr>
      </w:pPr>
    </w:p>
    <w:p w14:paraId="4869E1DC" w14:textId="77777777" w:rsidR="00CB68E6" w:rsidRPr="00F45D90" w:rsidRDefault="00CB68E6" w:rsidP="00CB68E6">
      <w:pPr>
        <w:spacing w:after="0" w:line="240" w:lineRule="auto"/>
        <w:rPr>
          <w:rFonts w:ascii="Times New Roman" w:hAnsi="Times New Roman"/>
        </w:rPr>
      </w:pPr>
    </w:p>
    <w:p w14:paraId="210AA398" w14:textId="77777777" w:rsidR="00CB68E6" w:rsidRPr="00F45D90" w:rsidRDefault="00CB68E6" w:rsidP="00CB68E6">
      <w:pPr>
        <w:spacing w:after="0" w:line="240" w:lineRule="auto"/>
        <w:rPr>
          <w:rFonts w:ascii="Times New Roman" w:hAnsi="Times New Roman"/>
        </w:rPr>
      </w:pPr>
    </w:p>
    <w:p w14:paraId="3032BC8F" w14:textId="77777777" w:rsidR="00CB68E6" w:rsidRPr="00F45D90" w:rsidRDefault="00CB68E6" w:rsidP="00CB68E6">
      <w:pPr>
        <w:spacing w:after="0" w:line="240" w:lineRule="auto"/>
        <w:rPr>
          <w:rFonts w:ascii="Times New Roman" w:hAnsi="Times New Roman"/>
        </w:rPr>
      </w:pPr>
    </w:p>
    <w:p w14:paraId="25789896" w14:textId="77777777" w:rsidR="00CB68E6" w:rsidRPr="00F45D90" w:rsidRDefault="00CB68E6" w:rsidP="00CB68E6">
      <w:pPr>
        <w:spacing w:after="0" w:line="240" w:lineRule="auto"/>
        <w:rPr>
          <w:rFonts w:ascii="Times New Roman" w:hAnsi="Times New Roman"/>
        </w:rPr>
      </w:pPr>
    </w:p>
    <w:p w14:paraId="1E8275C8"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bookmarkStart w:id="0" w:name="_Toc129243096"/>
      <w:bookmarkStart w:id="1" w:name="_Toc129243221"/>
      <w:r w:rsidRPr="00F45D90">
        <w:rPr>
          <w:rFonts w:ascii="Times New Roman" w:eastAsia="Times New Roman" w:hAnsi="Times New Roman"/>
          <w:b/>
          <w:lang w:eastAsia="lt-LT" w:bidi="ar-BH"/>
        </w:rPr>
        <w:t>I PRIEDAS</w:t>
      </w:r>
      <w:bookmarkEnd w:id="0"/>
      <w:bookmarkEnd w:id="1"/>
    </w:p>
    <w:p w14:paraId="0DED317B" w14:textId="77777777" w:rsidR="00CB68E6" w:rsidRPr="00F45D90" w:rsidRDefault="00CB68E6" w:rsidP="00CB68E6">
      <w:pPr>
        <w:spacing w:after="0" w:line="240" w:lineRule="auto"/>
        <w:rPr>
          <w:rFonts w:ascii="Times New Roman" w:hAnsi="Times New Roman"/>
        </w:rPr>
      </w:pPr>
    </w:p>
    <w:p w14:paraId="5F8FFB85"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bookmarkStart w:id="2" w:name="_Toc129243097"/>
      <w:bookmarkStart w:id="3" w:name="_Toc129243222"/>
      <w:r w:rsidRPr="00F45D90">
        <w:rPr>
          <w:rFonts w:ascii="Times New Roman" w:eastAsia="Times New Roman" w:hAnsi="Times New Roman"/>
          <w:b/>
          <w:lang w:eastAsia="lt-LT" w:bidi="ar-BH"/>
        </w:rPr>
        <w:t>PREPARATO CHARAKTERISTIKŲ SANTRAUKA</w:t>
      </w:r>
      <w:bookmarkEnd w:id="2"/>
      <w:bookmarkEnd w:id="3"/>
    </w:p>
    <w:p w14:paraId="31B1143B"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r w:rsidRPr="00F45D90">
        <w:rPr>
          <w:rFonts w:ascii="Times New Roman" w:eastAsia="Times New Roman" w:hAnsi="Times New Roman"/>
          <w:b/>
          <w:bCs/>
          <w:iCs/>
          <w:lang w:eastAsia="lt-LT" w:bidi="ar-BH"/>
        </w:rPr>
        <w:br w:type="page"/>
      </w:r>
      <w:bookmarkStart w:id="4" w:name="_Toc129243098"/>
      <w:bookmarkStart w:id="5" w:name="_Toc129243223"/>
      <w:r w:rsidRPr="00F45D90">
        <w:rPr>
          <w:rFonts w:ascii="Times New Roman" w:eastAsia="Times New Roman" w:hAnsi="Times New Roman"/>
          <w:b/>
          <w:iCs/>
          <w:lang w:eastAsia="lt-LT" w:bidi="ar-BH"/>
        </w:rPr>
        <w:lastRenderedPageBreak/>
        <w:t>1.</w:t>
      </w:r>
      <w:r w:rsidRPr="00F45D90">
        <w:rPr>
          <w:rFonts w:ascii="Times New Roman" w:eastAsia="Times New Roman" w:hAnsi="Times New Roman"/>
          <w:b/>
          <w:iCs/>
          <w:lang w:eastAsia="lt-LT" w:bidi="ar-BH"/>
        </w:rPr>
        <w:tab/>
        <w:t>VAISTINIO PREPARATO PAVADINIMAS</w:t>
      </w:r>
      <w:bookmarkEnd w:id="4"/>
      <w:bookmarkEnd w:id="5"/>
    </w:p>
    <w:p w14:paraId="7161D906" w14:textId="77777777" w:rsidR="00CB68E6" w:rsidRPr="00F45D90" w:rsidRDefault="00CB68E6" w:rsidP="00CB68E6">
      <w:pPr>
        <w:spacing w:after="0" w:line="240" w:lineRule="auto"/>
        <w:rPr>
          <w:rFonts w:ascii="Times New Roman" w:hAnsi="Times New Roman"/>
        </w:rPr>
      </w:pPr>
    </w:p>
    <w:p w14:paraId="51CFA0DB" w14:textId="77777777" w:rsidR="00CB68E6" w:rsidRPr="00F45D90" w:rsidRDefault="00CB68E6" w:rsidP="00CB68E6">
      <w:pPr>
        <w:spacing w:after="0" w:line="240" w:lineRule="auto"/>
        <w:rPr>
          <w:rFonts w:ascii="Times New Roman" w:hAnsi="Times New Roman"/>
        </w:rPr>
      </w:pPr>
      <w:bookmarkStart w:id="6" w:name="_GoBack"/>
      <w:r w:rsidRPr="00F45D90">
        <w:rPr>
          <w:rFonts w:ascii="Times New Roman" w:hAnsi="Times New Roman"/>
        </w:rPr>
        <w:t xml:space="preserve">Hedonin </w:t>
      </w:r>
      <w:bookmarkEnd w:id="6"/>
      <w:r w:rsidRPr="00F45D90">
        <w:rPr>
          <w:rFonts w:ascii="Times New Roman" w:hAnsi="Times New Roman"/>
        </w:rPr>
        <w:t>25 mg plėvele dengtos tabletės</w:t>
      </w:r>
    </w:p>
    <w:p w14:paraId="255ADE2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100 mg plėvele dengtos tabletės</w:t>
      </w:r>
    </w:p>
    <w:p w14:paraId="2A08796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200 mg plėvele dengtos tabletės</w:t>
      </w:r>
    </w:p>
    <w:p w14:paraId="2225F6A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300 mg plėvele dengtos tabletės</w:t>
      </w:r>
    </w:p>
    <w:p w14:paraId="2573374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+ 100 mg plėvele dengtos tabletės</w:t>
      </w:r>
    </w:p>
    <w:p w14:paraId="501CB938" w14:textId="77777777" w:rsidR="00CB68E6" w:rsidRPr="00F45D90" w:rsidRDefault="00CB68E6" w:rsidP="00CB68E6">
      <w:pPr>
        <w:spacing w:after="0" w:line="240" w:lineRule="auto"/>
        <w:rPr>
          <w:rFonts w:ascii="Times New Roman" w:hAnsi="Times New Roman"/>
        </w:rPr>
      </w:pPr>
    </w:p>
    <w:p w14:paraId="78FA810B" w14:textId="77777777" w:rsidR="00CB68E6" w:rsidRPr="00F45D90" w:rsidRDefault="00CB68E6" w:rsidP="00CB68E6">
      <w:pPr>
        <w:spacing w:after="0" w:line="240" w:lineRule="auto"/>
        <w:rPr>
          <w:rFonts w:ascii="Times New Roman" w:hAnsi="Times New Roman"/>
        </w:rPr>
      </w:pPr>
    </w:p>
    <w:p w14:paraId="3D356BD2"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7" w:name="_Toc129243099"/>
      <w:bookmarkStart w:id="8" w:name="_Toc129243224"/>
      <w:r w:rsidRPr="00F45D90">
        <w:rPr>
          <w:rFonts w:ascii="Times New Roman" w:eastAsia="Times New Roman" w:hAnsi="Times New Roman"/>
          <w:b/>
          <w:iCs/>
          <w:lang w:eastAsia="lt-LT" w:bidi="ar-BH"/>
        </w:rPr>
        <w:t>2.</w:t>
      </w:r>
      <w:r w:rsidRPr="00F45D90">
        <w:rPr>
          <w:rFonts w:ascii="Times New Roman" w:eastAsia="Times New Roman" w:hAnsi="Times New Roman"/>
          <w:b/>
          <w:iCs/>
          <w:lang w:eastAsia="lt-LT" w:bidi="ar-BH"/>
        </w:rPr>
        <w:tab/>
        <w:t>KOKYBINĖ IR KIEKYBINĖ SUDĖTIS</w:t>
      </w:r>
      <w:bookmarkEnd w:id="7"/>
      <w:bookmarkEnd w:id="8"/>
    </w:p>
    <w:p w14:paraId="457635A0" w14:textId="77777777" w:rsidR="00CB68E6" w:rsidRPr="00F45D90" w:rsidRDefault="00CB68E6" w:rsidP="00CB68E6">
      <w:pPr>
        <w:spacing w:after="0" w:line="240" w:lineRule="auto"/>
        <w:rPr>
          <w:rFonts w:ascii="Times New Roman" w:hAnsi="Times New Roman"/>
        </w:rPr>
      </w:pPr>
    </w:p>
    <w:p w14:paraId="62F408E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plėvele dengtos tabletės</w:t>
      </w:r>
    </w:p>
    <w:p w14:paraId="47064E3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Vienoje plėvele dengtoje tabletėje yra kvetiapino fumarato, atitinkančio 25 mg kvetiapino.</w:t>
      </w:r>
    </w:p>
    <w:p w14:paraId="57F3C56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Pagalbinė medžiaga, kurios poveikis žinomas: vienoje tabletėje yra 1 mg laktozės monohidrato ir 0,07 mg lecitino (sojos) (žr. skyrių 4.4).</w:t>
      </w:r>
    </w:p>
    <w:p w14:paraId="3DE92BC8" w14:textId="77777777" w:rsidR="00CB68E6" w:rsidRPr="00F45D90" w:rsidRDefault="00CB68E6" w:rsidP="00CB68E6">
      <w:pPr>
        <w:spacing w:after="0" w:line="240" w:lineRule="auto"/>
        <w:rPr>
          <w:rFonts w:ascii="Times New Roman" w:hAnsi="Times New Roman"/>
        </w:rPr>
      </w:pPr>
    </w:p>
    <w:p w14:paraId="35415AF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100 mg plėvele dengtos tabletės</w:t>
      </w:r>
    </w:p>
    <w:p w14:paraId="274AADB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Vienoje plėvele dengtoje tabletėje yra kvetiapino fumarato, atitinkančio 100 mg kvetiapino.</w:t>
      </w:r>
    </w:p>
    <w:p w14:paraId="76F7EB7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Pagalbinė medžiaga, kurios poveikis žinomas: vienoje tabletėje yra 4 mg laktozės monohidrato ir 0,21 mg lecitino (sojos) (žr. skyrių 4.4).</w:t>
      </w:r>
    </w:p>
    <w:p w14:paraId="20125E0D" w14:textId="77777777" w:rsidR="00CB68E6" w:rsidRPr="00F45D90" w:rsidRDefault="00CB68E6" w:rsidP="00CB68E6">
      <w:pPr>
        <w:spacing w:after="0" w:line="240" w:lineRule="auto"/>
        <w:rPr>
          <w:rFonts w:ascii="Times New Roman" w:hAnsi="Times New Roman"/>
        </w:rPr>
      </w:pPr>
    </w:p>
    <w:p w14:paraId="7BAED663" w14:textId="2D169C89" w:rsidR="00CB68E6" w:rsidRPr="00F45D90" w:rsidRDefault="00CB68E6" w:rsidP="00CB68E6">
      <w:pPr>
        <w:spacing w:after="0" w:line="240" w:lineRule="auto"/>
        <w:rPr>
          <w:rFonts w:ascii="Times New Roman" w:hAnsi="Times New Roman"/>
        </w:rPr>
      </w:pPr>
      <w:r w:rsidRPr="00F45D90">
        <w:rPr>
          <w:rFonts w:ascii="Times New Roman" w:hAnsi="Times New Roman"/>
        </w:rPr>
        <w:t>Hedonin 200</w:t>
      </w:r>
      <w:r w:rsidR="00E425AE">
        <w:rPr>
          <w:rFonts w:ascii="Times New Roman" w:hAnsi="Times New Roman"/>
        </w:rPr>
        <w:t> </w:t>
      </w:r>
      <w:r w:rsidRPr="00F45D90">
        <w:rPr>
          <w:rFonts w:ascii="Times New Roman" w:hAnsi="Times New Roman"/>
        </w:rPr>
        <w:t>mg plėvele dengtos tabletės</w:t>
      </w:r>
    </w:p>
    <w:p w14:paraId="7D63809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Vienoje plėvele dengtoje tabletėje yra kvetiapino fumarato, atitinkančio 200 mg kvetiapino.</w:t>
      </w:r>
    </w:p>
    <w:p w14:paraId="6D49C93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Pagalbinė medžiaga, kurios poveikis žinomas: vienoje tabletėje yra 8 mg laktozės monohidrato ir 0,42 mg lecitino (sojos) (žr. skyrių 4.4).</w:t>
      </w:r>
    </w:p>
    <w:p w14:paraId="42B86BFD" w14:textId="77777777" w:rsidR="00CB68E6" w:rsidRPr="00F45D90" w:rsidRDefault="00CB68E6" w:rsidP="00CB68E6">
      <w:pPr>
        <w:spacing w:after="0" w:line="240" w:lineRule="auto"/>
        <w:rPr>
          <w:rFonts w:ascii="Times New Roman" w:hAnsi="Times New Roman"/>
        </w:rPr>
      </w:pPr>
    </w:p>
    <w:p w14:paraId="3813A73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300 mg plėvele dengtos tabletės</w:t>
      </w:r>
    </w:p>
    <w:p w14:paraId="6503E9A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Vienoje plėvele dengtoje tabletėje yra kvetiapino fumarato, atitinkančio 300 mg kvetiapino.</w:t>
      </w:r>
    </w:p>
    <w:p w14:paraId="6227E71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Pagalbinė medžiaga, kurios poveikis žinomas: vienoje tabletėje yra 12 mg laktozės monohidrato ir 0,63 mg lecitino (sojos) (žr. skyrių 4.4).</w:t>
      </w:r>
    </w:p>
    <w:p w14:paraId="2FD83584" w14:textId="77777777" w:rsidR="00CB68E6" w:rsidRPr="00F45D90" w:rsidRDefault="00CB68E6" w:rsidP="00CB68E6">
      <w:pPr>
        <w:spacing w:after="0" w:line="240" w:lineRule="auto"/>
        <w:rPr>
          <w:rFonts w:ascii="Times New Roman" w:hAnsi="Times New Roman"/>
        </w:rPr>
      </w:pPr>
    </w:p>
    <w:p w14:paraId="1489E79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Visos pagalbinės medžiagos išvardytos 6.1 skyriuje.</w:t>
      </w:r>
    </w:p>
    <w:p w14:paraId="09864F25" w14:textId="77777777" w:rsidR="00CB68E6" w:rsidRPr="00F45D90" w:rsidRDefault="00CB68E6" w:rsidP="00CB68E6">
      <w:pPr>
        <w:spacing w:after="0" w:line="240" w:lineRule="auto"/>
        <w:rPr>
          <w:rFonts w:ascii="Times New Roman" w:hAnsi="Times New Roman"/>
        </w:rPr>
      </w:pPr>
    </w:p>
    <w:p w14:paraId="0096F644" w14:textId="77777777" w:rsidR="00CB68E6" w:rsidRPr="00F45D90" w:rsidRDefault="00CB68E6" w:rsidP="00CB68E6">
      <w:pPr>
        <w:spacing w:after="0" w:line="240" w:lineRule="auto"/>
        <w:rPr>
          <w:rFonts w:ascii="Times New Roman" w:hAnsi="Times New Roman"/>
        </w:rPr>
      </w:pPr>
    </w:p>
    <w:p w14:paraId="3A724E8B"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9" w:name="_Toc129243100"/>
      <w:bookmarkStart w:id="10" w:name="_Toc129243225"/>
      <w:r w:rsidRPr="00F45D90">
        <w:rPr>
          <w:rFonts w:ascii="Times New Roman" w:eastAsia="Times New Roman" w:hAnsi="Times New Roman"/>
          <w:b/>
          <w:iCs/>
          <w:lang w:eastAsia="lt-LT" w:bidi="ar-BH"/>
        </w:rPr>
        <w:t>3.</w:t>
      </w:r>
      <w:r w:rsidRPr="00F45D90">
        <w:rPr>
          <w:rFonts w:ascii="Times New Roman" w:eastAsia="Times New Roman" w:hAnsi="Times New Roman"/>
          <w:b/>
          <w:iCs/>
          <w:lang w:eastAsia="lt-LT" w:bidi="ar-BH"/>
        </w:rPr>
        <w:tab/>
        <w:t>FARMACINĖ FORMA</w:t>
      </w:r>
      <w:bookmarkEnd w:id="9"/>
      <w:bookmarkEnd w:id="10"/>
    </w:p>
    <w:p w14:paraId="4E3BFB0B" w14:textId="77777777" w:rsidR="00CB68E6" w:rsidRPr="00F45D90" w:rsidRDefault="00CB68E6" w:rsidP="00CB68E6">
      <w:pPr>
        <w:spacing w:after="0" w:line="240" w:lineRule="auto"/>
        <w:rPr>
          <w:rFonts w:ascii="Times New Roman" w:hAnsi="Times New Roman"/>
        </w:rPr>
      </w:pPr>
    </w:p>
    <w:p w14:paraId="6E1AC46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Plėvele dengta tabletė (tabletė)</w:t>
      </w:r>
    </w:p>
    <w:p w14:paraId="13EDF42C" w14:textId="77777777" w:rsidR="00CB68E6" w:rsidRPr="00F45D90" w:rsidRDefault="00CB68E6" w:rsidP="00CB68E6">
      <w:pPr>
        <w:spacing w:after="0" w:line="240" w:lineRule="auto"/>
        <w:rPr>
          <w:rFonts w:ascii="Times New Roman" w:hAnsi="Times New Roman"/>
        </w:rPr>
      </w:pPr>
    </w:p>
    <w:p w14:paraId="2ABCF18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plėvele dengtos tabletės</w:t>
      </w:r>
    </w:p>
    <w:p w14:paraId="2D8BCFE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Apskritos, persikų spalvos, abipus išgaubtos plėvele dengtos tabletės.</w:t>
      </w:r>
    </w:p>
    <w:p w14:paraId="67B44375" w14:textId="77777777" w:rsidR="00CB68E6" w:rsidRPr="00F45D90" w:rsidRDefault="00CB68E6" w:rsidP="00CB68E6">
      <w:pPr>
        <w:spacing w:after="0" w:line="240" w:lineRule="auto"/>
        <w:rPr>
          <w:rFonts w:ascii="Times New Roman" w:hAnsi="Times New Roman"/>
        </w:rPr>
      </w:pPr>
    </w:p>
    <w:p w14:paraId="098CDE9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100 mg plėvele dengtos tabletės</w:t>
      </w:r>
    </w:p>
    <w:p w14:paraId="7C43D65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Apskritos, geltonos, abipus išgaubtos plėvele dengtos tabletės, su vagele vienoje pusėje*.</w:t>
      </w:r>
    </w:p>
    <w:p w14:paraId="51839EA0" w14:textId="77777777" w:rsidR="00CB68E6" w:rsidRPr="00F45D90" w:rsidRDefault="00CB68E6" w:rsidP="00CB68E6">
      <w:pPr>
        <w:spacing w:after="0" w:line="240" w:lineRule="auto"/>
        <w:rPr>
          <w:rFonts w:ascii="Times New Roman" w:hAnsi="Times New Roman"/>
        </w:rPr>
      </w:pPr>
    </w:p>
    <w:p w14:paraId="41694F3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200 mg plėvele dengtos tabletės</w:t>
      </w:r>
    </w:p>
    <w:p w14:paraId="0011E5A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Apskritos, baltos, abipus išgaubtos plėvele dengtos tabletės.</w:t>
      </w:r>
    </w:p>
    <w:p w14:paraId="49A4E3C1" w14:textId="77777777" w:rsidR="00CB68E6" w:rsidRPr="00F45D90" w:rsidRDefault="00CB68E6" w:rsidP="00CB68E6">
      <w:pPr>
        <w:spacing w:after="0" w:line="240" w:lineRule="auto"/>
        <w:rPr>
          <w:rFonts w:ascii="Times New Roman" w:hAnsi="Times New Roman"/>
        </w:rPr>
      </w:pPr>
    </w:p>
    <w:p w14:paraId="55C24F0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300 mg plėvele dengtos tabletės</w:t>
      </w:r>
    </w:p>
    <w:p w14:paraId="1A5DFCC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Pailgos, baltos plėvele dengtos tabletės, su vagele vienoje pusėje*.</w:t>
      </w:r>
    </w:p>
    <w:p w14:paraId="22B76491" w14:textId="77777777" w:rsidR="00CB68E6" w:rsidRPr="00F45D90" w:rsidRDefault="00CB68E6" w:rsidP="00CB68E6">
      <w:pPr>
        <w:spacing w:after="0" w:line="240" w:lineRule="auto"/>
        <w:rPr>
          <w:rFonts w:ascii="Times New Roman" w:hAnsi="Times New Roman"/>
        </w:rPr>
      </w:pPr>
    </w:p>
    <w:p w14:paraId="7099D55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*Tabletę galima padalyti į lygias dozes.</w:t>
      </w:r>
    </w:p>
    <w:p w14:paraId="589A02BB" w14:textId="77777777" w:rsidR="00CB68E6" w:rsidRPr="00F45D90" w:rsidRDefault="00CB68E6" w:rsidP="00CB68E6">
      <w:pPr>
        <w:spacing w:after="0" w:line="240" w:lineRule="auto"/>
        <w:rPr>
          <w:rFonts w:ascii="Times New Roman" w:hAnsi="Times New Roman"/>
        </w:rPr>
      </w:pPr>
    </w:p>
    <w:p w14:paraId="2767ACA8"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11" w:name="_Toc129243101"/>
      <w:bookmarkStart w:id="12" w:name="_Toc129243226"/>
    </w:p>
    <w:p w14:paraId="4F577203"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r w:rsidRPr="00F45D90">
        <w:rPr>
          <w:rFonts w:ascii="Times New Roman" w:eastAsia="Times New Roman" w:hAnsi="Times New Roman"/>
          <w:b/>
          <w:iCs/>
          <w:lang w:eastAsia="lt-LT" w:bidi="ar-BH"/>
        </w:rPr>
        <w:t>4.</w:t>
      </w:r>
      <w:r w:rsidRPr="00F45D90">
        <w:rPr>
          <w:rFonts w:ascii="Times New Roman" w:eastAsia="Times New Roman" w:hAnsi="Times New Roman"/>
          <w:b/>
          <w:iCs/>
          <w:lang w:eastAsia="lt-LT" w:bidi="ar-BH"/>
        </w:rPr>
        <w:tab/>
        <w:t>KLINIKINĖ INFORMACIJA</w:t>
      </w:r>
      <w:bookmarkEnd w:id="11"/>
      <w:bookmarkEnd w:id="12"/>
    </w:p>
    <w:p w14:paraId="68BDB3C8" w14:textId="77777777" w:rsidR="00CB68E6" w:rsidRPr="00F45D90" w:rsidRDefault="00CB68E6" w:rsidP="00CB68E6">
      <w:pPr>
        <w:spacing w:after="0" w:line="240" w:lineRule="auto"/>
        <w:rPr>
          <w:rFonts w:ascii="Times New Roman" w:hAnsi="Times New Roman"/>
        </w:rPr>
      </w:pPr>
    </w:p>
    <w:p w14:paraId="50A6DF90"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13" w:name="_Toc129243102"/>
      <w:bookmarkStart w:id="14" w:name="_Toc129243227"/>
      <w:r w:rsidRPr="00F45D90">
        <w:rPr>
          <w:rFonts w:ascii="Times New Roman" w:eastAsia="Times New Roman" w:hAnsi="Times New Roman"/>
          <w:b/>
          <w:kern w:val="28"/>
          <w:lang w:eastAsia="lt-LT"/>
        </w:rPr>
        <w:lastRenderedPageBreak/>
        <w:t>4.1</w:t>
      </w:r>
      <w:r w:rsidRPr="00F45D90">
        <w:rPr>
          <w:rFonts w:ascii="Times New Roman" w:eastAsia="Times New Roman" w:hAnsi="Times New Roman"/>
          <w:b/>
          <w:kern w:val="28"/>
          <w:lang w:eastAsia="lt-LT"/>
        </w:rPr>
        <w:tab/>
        <w:t>Terapinės indikacijos</w:t>
      </w:r>
      <w:bookmarkEnd w:id="13"/>
      <w:bookmarkEnd w:id="14"/>
    </w:p>
    <w:p w14:paraId="2CDB8456" w14:textId="77777777" w:rsidR="00CB68E6" w:rsidRPr="00F45D90" w:rsidRDefault="00CB68E6" w:rsidP="00CB68E6">
      <w:pPr>
        <w:spacing w:after="0" w:line="240" w:lineRule="auto"/>
        <w:rPr>
          <w:rFonts w:ascii="Times New Roman" w:hAnsi="Times New Roman"/>
        </w:rPr>
      </w:pPr>
    </w:p>
    <w:p w14:paraId="7C7095B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Šizofrenijos gydymas.</w:t>
      </w:r>
    </w:p>
    <w:p w14:paraId="062D1382"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rPr>
        <w:t>Bipolinio sutrikimo gydymas apimant:</w:t>
      </w:r>
    </w:p>
    <w:p w14:paraId="0A521D59" w14:textId="77777777" w:rsidR="00CB68E6" w:rsidRPr="00F45D90" w:rsidRDefault="00CB68E6" w:rsidP="00CB68E6">
      <w:pPr>
        <w:numPr>
          <w:ilvl w:val="0"/>
          <w:numId w:val="1"/>
        </w:numPr>
        <w:tabs>
          <w:tab w:val="clear" w:pos="360"/>
          <w:tab w:val="num" w:pos="567"/>
          <w:tab w:val="num" w:pos="720"/>
        </w:tabs>
        <w:spacing w:after="0" w:line="240" w:lineRule="auto"/>
        <w:ind w:left="567" w:hanging="567"/>
        <w:rPr>
          <w:rFonts w:ascii="Times New Roman" w:hAnsi="Times New Roman"/>
          <w:bCs/>
        </w:rPr>
      </w:pPr>
      <w:r w:rsidRPr="00F45D90">
        <w:rPr>
          <w:rFonts w:ascii="Times New Roman" w:hAnsi="Times New Roman"/>
          <w:bCs/>
        </w:rPr>
        <w:t>vidutinio sunkumo ir sunkius manijos epizodus, susijusius su bipoliniu sutrikimu;</w:t>
      </w:r>
    </w:p>
    <w:p w14:paraId="0B3C9EE0" w14:textId="77777777" w:rsidR="00CB68E6" w:rsidRPr="00F45D90" w:rsidRDefault="00CB68E6" w:rsidP="00CB68E6">
      <w:pPr>
        <w:numPr>
          <w:ilvl w:val="0"/>
          <w:numId w:val="1"/>
        </w:numPr>
        <w:tabs>
          <w:tab w:val="clear" w:pos="360"/>
          <w:tab w:val="num" w:pos="0"/>
          <w:tab w:val="num" w:pos="426"/>
        </w:tabs>
        <w:spacing w:after="0" w:line="240" w:lineRule="auto"/>
        <w:ind w:left="567" w:hanging="567"/>
        <w:rPr>
          <w:rFonts w:ascii="Times New Roman" w:hAnsi="Times New Roman"/>
          <w:bCs/>
        </w:rPr>
      </w:pPr>
      <w:r w:rsidRPr="00F45D90">
        <w:rPr>
          <w:rFonts w:ascii="Times New Roman" w:hAnsi="Times New Roman"/>
          <w:bCs/>
        </w:rPr>
        <w:t xml:space="preserve">   </w:t>
      </w:r>
      <w:r w:rsidRPr="00F45D90">
        <w:rPr>
          <w:rFonts w:ascii="Times New Roman" w:hAnsi="Times New Roman"/>
        </w:rPr>
        <w:t>bipolinio sutrikimo</w:t>
      </w:r>
      <w:r w:rsidRPr="00F45D90">
        <w:rPr>
          <w:rFonts w:ascii="Times New Roman" w:hAnsi="Times New Roman"/>
          <w:bCs/>
        </w:rPr>
        <w:t xml:space="preserve"> didžiosios depresijos epizodus</w:t>
      </w:r>
      <w:r w:rsidRPr="00F45D90">
        <w:rPr>
          <w:rFonts w:ascii="Times New Roman" w:hAnsi="Times New Roman"/>
        </w:rPr>
        <w:t>;</w:t>
      </w:r>
    </w:p>
    <w:p w14:paraId="2FA7AC0D" w14:textId="77777777" w:rsidR="00CB68E6" w:rsidRPr="00F45D90" w:rsidRDefault="00CB68E6" w:rsidP="00CB68E6">
      <w:pPr>
        <w:tabs>
          <w:tab w:val="left" w:pos="720"/>
        </w:tabs>
        <w:spacing w:after="0" w:line="240" w:lineRule="auto"/>
        <w:ind w:left="567" w:hanging="567"/>
        <w:rPr>
          <w:rFonts w:ascii="Times New Roman" w:hAnsi="Times New Roman"/>
          <w:bCs/>
        </w:rPr>
      </w:pPr>
      <w:r w:rsidRPr="00F45D90">
        <w:rPr>
          <w:rFonts w:ascii="Times New Roman" w:hAnsi="Times New Roman"/>
        </w:rPr>
        <w:t>-</w:t>
      </w:r>
      <w:r w:rsidRPr="00F45D90">
        <w:rPr>
          <w:rFonts w:ascii="Times New Roman" w:hAnsi="Times New Roman"/>
        </w:rPr>
        <w:tab/>
        <w:t>atkryčio profilaktiką bipoliniu sutrikimu sergantiems pacientams, kurių manijos, mišriam ar depresijos epizodui gydyti buvo veiksmingas kvetiapinas.</w:t>
      </w:r>
    </w:p>
    <w:p w14:paraId="4E803CCC" w14:textId="77777777" w:rsidR="00CB68E6" w:rsidRPr="00F45D90" w:rsidRDefault="00CB68E6" w:rsidP="00CB68E6">
      <w:pPr>
        <w:spacing w:after="0" w:line="240" w:lineRule="auto"/>
        <w:rPr>
          <w:rFonts w:ascii="Times New Roman" w:hAnsi="Times New Roman"/>
        </w:rPr>
      </w:pPr>
    </w:p>
    <w:p w14:paraId="28A9424A"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15" w:name="_Toc129243103"/>
      <w:bookmarkStart w:id="16" w:name="_Toc129243228"/>
      <w:r w:rsidRPr="00F45D90">
        <w:rPr>
          <w:rFonts w:ascii="Times New Roman" w:eastAsia="Times New Roman" w:hAnsi="Times New Roman"/>
          <w:b/>
          <w:kern w:val="28"/>
          <w:lang w:eastAsia="lt-LT"/>
        </w:rPr>
        <w:t>4.2</w:t>
      </w:r>
      <w:r w:rsidRPr="00F45D90">
        <w:rPr>
          <w:rFonts w:ascii="Times New Roman" w:eastAsia="Times New Roman" w:hAnsi="Times New Roman"/>
          <w:b/>
          <w:kern w:val="28"/>
          <w:lang w:eastAsia="lt-LT"/>
        </w:rPr>
        <w:tab/>
        <w:t>Dozavimas ir vartojimo metodas</w:t>
      </w:r>
      <w:bookmarkEnd w:id="15"/>
      <w:bookmarkEnd w:id="16"/>
    </w:p>
    <w:p w14:paraId="0060E51B" w14:textId="77777777" w:rsidR="00CB68E6" w:rsidRPr="00F45D90" w:rsidRDefault="00CB68E6" w:rsidP="00CB68E6">
      <w:pPr>
        <w:spacing w:after="0" w:line="240" w:lineRule="auto"/>
        <w:rPr>
          <w:rFonts w:ascii="Times New Roman" w:hAnsi="Times New Roman"/>
        </w:rPr>
      </w:pPr>
    </w:p>
    <w:p w14:paraId="2041F69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Dozavimas</w:t>
      </w:r>
    </w:p>
    <w:p w14:paraId="1D9D675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Kiekvienai indikacijai nustatyta skirtinga vaisto dozė. Reikia užtikrinti, kad pacientas būtų aiškiai informuotas apie jam tinkamos vaisto dozės vartojimą.</w:t>
      </w:r>
    </w:p>
    <w:p w14:paraId="3A91E865" w14:textId="77777777" w:rsidR="00CB68E6" w:rsidRPr="00F45D90" w:rsidRDefault="00CB68E6" w:rsidP="00CB68E6">
      <w:pPr>
        <w:spacing w:after="0" w:line="240" w:lineRule="auto"/>
        <w:rPr>
          <w:rFonts w:ascii="Times New Roman" w:hAnsi="Times New Roman"/>
        </w:rPr>
      </w:pPr>
    </w:p>
    <w:p w14:paraId="0A8D2D3B"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Suaugusiesiems</w:t>
      </w:r>
    </w:p>
    <w:p w14:paraId="650CEF4C"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Šizofrenijos gydymas</w:t>
      </w:r>
    </w:p>
    <w:p w14:paraId="3C451FA9" w14:textId="2C6FF6AB"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Šizofrenijai gydyti Hedonin reikia gerti du kartus per parą. Pirmas keturias paras: pirmą parą reikia vartoti 50 mg, antrą – 100 mg, trečią – 200 mg, ketvirtą – 300 mg per parą. </w:t>
      </w:r>
    </w:p>
    <w:p w14:paraId="42DC633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Vėliau, po keturių dienų vartojimo, vaisto dozė iš lėto didinama iki įprastinės veiksmingos 300 – 450 mg per parą.</w:t>
      </w:r>
    </w:p>
    <w:p w14:paraId="1BD655F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Priklausomai nuo individualaus klinikinio poveikio ir toleravimo, galima parinkti 150</w:t>
      </w:r>
      <w:r w:rsidRPr="00F45D90">
        <w:rPr>
          <w:rFonts w:ascii="Times New Roman" w:hAnsi="Times New Roman"/>
        </w:rPr>
        <w:noBreakHyphen/>
        <w:t>750 mg kvetiapino paros dozę.</w:t>
      </w:r>
    </w:p>
    <w:p w14:paraId="08ACFF03" w14:textId="77777777" w:rsidR="00CB68E6" w:rsidRPr="00F45D90" w:rsidRDefault="00CB68E6" w:rsidP="00CB68E6">
      <w:pPr>
        <w:spacing w:after="0" w:line="240" w:lineRule="auto"/>
        <w:rPr>
          <w:rFonts w:ascii="Times New Roman" w:hAnsi="Times New Roman"/>
        </w:rPr>
      </w:pPr>
    </w:p>
    <w:p w14:paraId="6FBFC97D" w14:textId="77777777" w:rsidR="00CB68E6" w:rsidRPr="00F45D90" w:rsidRDefault="00CB68E6" w:rsidP="00CB68E6">
      <w:pPr>
        <w:spacing w:after="0" w:line="240" w:lineRule="auto"/>
        <w:rPr>
          <w:rFonts w:ascii="Times New Roman" w:hAnsi="Times New Roman"/>
          <w:bCs/>
          <w:i/>
        </w:rPr>
      </w:pPr>
      <w:r w:rsidRPr="00F45D90">
        <w:rPr>
          <w:rFonts w:ascii="Times New Roman" w:hAnsi="Times New Roman"/>
          <w:bCs/>
          <w:i/>
        </w:rPr>
        <w:t>Vidutinio sunkumo ir sunkių manijos epizodų, susijusius su bipoliniu sutrikimu, gydymas</w:t>
      </w:r>
    </w:p>
    <w:p w14:paraId="2BA1B17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Manijos epizodams, susijusiems su bipoliniu sutrikimu, gydyti vaistą reikia gerti du kartus per parą: pirmą parą vartojama 100 mg, antrą – 200 mg, trečią – 300 mg, ketvirtą – 400 mg. Toliau dozė didinama neviršijant 800 mg kvetiapino šeštą gydymo parą. Paros dozė negali viršyti ankstesnės paros dozės daugiau kaip 200 mg.</w:t>
      </w:r>
    </w:p>
    <w:p w14:paraId="752272E7" w14:textId="57800032" w:rsidR="00CB68E6" w:rsidRPr="00F45D90" w:rsidRDefault="00CB68E6" w:rsidP="00CB68E6">
      <w:pPr>
        <w:spacing w:after="0" w:line="240" w:lineRule="auto"/>
        <w:rPr>
          <w:rFonts w:ascii="Times New Roman" w:hAnsi="Times New Roman"/>
        </w:rPr>
      </w:pPr>
      <w:r w:rsidRPr="00F45D90">
        <w:rPr>
          <w:rFonts w:ascii="Times New Roman" w:hAnsi="Times New Roman"/>
        </w:rPr>
        <w:t>Paros dozę galima koreguoti atsižvelgiant į klinikinį atsaką ir tai, kaip pacientas toleruoja šį vaistinį prepa</w:t>
      </w:r>
      <w:r w:rsidRPr="00F45D90">
        <w:rPr>
          <w:rFonts w:ascii="Times New Roman" w:hAnsi="Times New Roman"/>
        </w:rPr>
        <w:softHyphen/>
        <w:t>ratą, tačiau ji turi būti 200 – 800 mg. Dažniausiai veiksminga paros dozė būna 400 – 800</w:t>
      </w:r>
      <w:r w:rsidR="00E425AE">
        <w:rPr>
          <w:rFonts w:ascii="Times New Roman" w:hAnsi="Times New Roman"/>
        </w:rPr>
        <w:t> </w:t>
      </w:r>
      <w:r w:rsidRPr="00F45D90">
        <w:rPr>
          <w:rFonts w:ascii="Times New Roman" w:hAnsi="Times New Roman"/>
        </w:rPr>
        <w:t>mg per parą.</w:t>
      </w:r>
    </w:p>
    <w:p w14:paraId="459F031A" w14:textId="77777777" w:rsidR="00CB68E6" w:rsidRPr="00F45D90" w:rsidRDefault="00CB68E6" w:rsidP="00CB68E6">
      <w:pPr>
        <w:spacing w:after="0" w:line="240" w:lineRule="auto"/>
        <w:rPr>
          <w:rFonts w:ascii="Times New Roman" w:hAnsi="Times New Roman"/>
        </w:rPr>
      </w:pPr>
    </w:p>
    <w:p w14:paraId="0046C79A"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Didžiosios depresijos epizodams gydyti pacientams, sergantiems bipoliniu sutrikimu</w:t>
      </w:r>
    </w:p>
    <w:p w14:paraId="3664198A" w14:textId="77777777" w:rsidR="00CB68E6" w:rsidRPr="00D27530" w:rsidRDefault="00CB68E6" w:rsidP="00CB68E6">
      <w:pPr>
        <w:pStyle w:val="BTEMEASMCA"/>
        <w:rPr>
          <w:lang w:val="it-IT"/>
        </w:rPr>
      </w:pPr>
      <w:r w:rsidRPr="00D27530">
        <w:rPr>
          <w:lang w:val="it-IT"/>
        </w:rPr>
        <w:t>Hedonin reikia gerti kartą per parą prieš miegą. Pirmas keturias gydymo dienas vartojamos tokios paros dozės: pirmą parą –50 mg, antrą –100 mg, trečią –200 mg, ketvirtą –300 mg. Rekomenduojama paros dozė yra 300 mg. Klinikinių tyrimų metu 600 mg paros dozę vartojusiems pacientams nenustatyta geresnio poveikio negu vartojusiems 300 mg dozę (žr. 5.1 skyrių). Atskiriems pacientams 600 mg dozė gali sukelti palankesnį poveikį. Gydymą didesne kaip 300 mg doze gali pradėti tik gydytojai, turintys bipolinio sutrikimo gydymo patirties. Klinikiniai tyrimai taip pat parodė, kad esant toleravimo problemų atskiriems pacientams galima svarstyti dozės sumažinimo iki minimalios 200 mg galimybę.</w:t>
      </w:r>
    </w:p>
    <w:p w14:paraId="39349E9F" w14:textId="77777777" w:rsidR="00CB68E6" w:rsidRPr="00F45D90" w:rsidRDefault="00CB68E6" w:rsidP="00CB68E6">
      <w:pPr>
        <w:spacing w:after="0" w:line="240" w:lineRule="auto"/>
        <w:rPr>
          <w:rFonts w:ascii="Times New Roman" w:hAnsi="Times New Roman"/>
        </w:rPr>
      </w:pPr>
    </w:p>
    <w:p w14:paraId="32B619AC"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 xml:space="preserve">Ligos atkryčio prevencija pacientams, sergantiems bipoliniu sutrikimu </w:t>
      </w:r>
    </w:p>
    <w:p w14:paraId="0F03A22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Pacientams, kuriems ūmaus bipolinio sutrikimo gydymas kvetiapinu buvo veiksmingas, manijos, mišraus ar depresijos epizodų, susijusių su bipoliniu sutrikimu, pasikartojimo profilaktikai reikia toliau vartoti tokią pačią dozę. Atsižvelgiant į klinikinį atsaką bei vaistinio preparato toleravimą, paros dozę galima individualiai didinti iki 300 – 800 mg, suvartojant ją per du kartus. Palaikomajam gydymui svarbu skirti mažiausią veiksmingą dozę.</w:t>
      </w:r>
    </w:p>
    <w:p w14:paraId="197023EF" w14:textId="77777777" w:rsidR="00CB68E6" w:rsidRPr="00F45D90" w:rsidRDefault="00CB68E6" w:rsidP="00CB68E6">
      <w:pPr>
        <w:spacing w:after="0" w:line="240" w:lineRule="auto"/>
        <w:rPr>
          <w:rFonts w:ascii="Times New Roman" w:hAnsi="Times New Roman"/>
        </w:rPr>
      </w:pPr>
    </w:p>
    <w:p w14:paraId="7E1F4E07"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Senyviems pacientams</w:t>
      </w:r>
    </w:p>
    <w:p w14:paraId="12016A51" w14:textId="6494627E"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Senyviems pacientams gydyti, kaip ir kitus vaistus nuo psichozės, Hedonin vartojama atsargiai, ypač gydymo pradžioje. Atsižvelgiant į konkrečiam pacientui sukeliamą klinikinę reakciją ir vaistinio preparato toleravimą, senyviems pacientams gali reikėti lėčiau koreguoti </w:t>
      </w:r>
      <w:r w:rsidRPr="00F45D90">
        <w:rPr>
          <w:rFonts w:ascii="Times New Roman" w:eastAsia="Times New Roman" w:hAnsi="Times New Roman"/>
          <w:bCs/>
          <w:color w:val="222222"/>
          <w:lang w:eastAsia="lt-LT"/>
        </w:rPr>
        <w:t>Hedonin</w:t>
      </w:r>
      <w:r w:rsidRPr="00F45D90">
        <w:rPr>
          <w:rFonts w:ascii="Times New Roman" w:hAnsi="Times New Roman"/>
        </w:rPr>
        <w:t xml:space="preserve"> dozę ir parinkti mažesnę gydomąją paros dozę, negu jaunesniems pacientams. Senyviems pacientams kvetiapino vidutinis plazmos klirensas buvo 30-50</w:t>
      </w:r>
      <w:r w:rsidR="00E425AE">
        <w:rPr>
          <w:rFonts w:ascii="Times New Roman" w:hAnsi="Times New Roman"/>
        </w:rPr>
        <w:t> </w:t>
      </w:r>
      <w:r w:rsidRPr="00F45D90">
        <w:rPr>
          <w:rFonts w:ascii="Times New Roman" w:hAnsi="Times New Roman"/>
        </w:rPr>
        <w:t>% mažesnis negu jaunesniems pacientams.</w:t>
      </w:r>
    </w:p>
    <w:p w14:paraId="5B585DFF" w14:textId="77777777" w:rsidR="00CB68E6" w:rsidRPr="00F45D90" w:rsidRDefault="00CB68E6" w:rsidP="00CB68E6">
      <w:pPr>
        <w:spacing w:after="0" w:line="240" w:lineRule="auto"/>
        <w:rPr>
          <w:rFonts w:ascii="Times New Roman" w:hAnsi="Times New Roman"/>
        </w:rPr>
      </w:pPr>
    </w:p>
    <w:p w14:paraId="681ADEC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lastRenderedPageBreak/>
        <w:t>Depresijos epizodų, susijusių su bipoliniu sutrikimu, gydymo veiksmingumas bei saugumas vyresniems kaip 65 metų pacientams netirtas.</w:t>
      </w:r>
    </w:p>
    <w:p w14:paraId="69E205CF" w14:textId="77777777" w:rsidR="00CB68E6" w:rsidRPr="00F45D90" w:rsidRDefault="00CB68E6" w:rsidP="00CB68E6">
      <w:pPr>
        <w:spacing w:after="0" w:line="240" w:lineRule="auto"/>
        <w:rPr>
          <w:rFonts w:ascii="Times New Roman" w:hAnsi="Times New Roman"/>
        </w:rPr>
      </w:pPr>
    </w:p>
    <w:p w14:paraId="1F05BDE7"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Vaikų populiacija</w:t>
      </w:r>
    </w:p>
    <w:p w14:paraId="3A530961" w14:textId="77777777" w:rsidR="00CB68E6" w:rsidRPr="00F45D90" w:rsidRDefault="00CB68E6" w:rsidP="00CB68E6">
      <w:pPr>
        <w:spacing w:after="0" w:line="240" w:lineRule="auto"/>
        <w:rPr>
          <w:rFonts w:ascii="Times New Roman" w:hAnsi="Times New Roman"/>
          <w:noProof/>
          <w:lang w:eastAsia="lt-LT"/>
        </w:rPr>
      </w:pPr>
      <w:r w:rsidRPr="00F45D90">
        <w:rPr>
          <w:rFonts w:ascii="Times New Roman" w:hAnsi="Times New Roman"/>
          <w:noProof/>
          <w:lang w:eastAsia="lt-LT"/>
        </w:rPr>
        <w:t>Hedonin nerekomenduojama gydyti jaunesnius kaip 18 metų vaikus ir paauglius, nes duomenų apie vartojimą šios amžiaus grupės pacientams nėra. Placebo kontroliuojamų klinikinių tyrimų duomenys pateikiami 4.4, 4.8, 5.1 ir 5.2 skyriuose.</w:t>
      </w:r>
    </w:p>
    <w:p w14:paraId="1E9BAC80" w14:textId="77777777" w:rsidR="00CB68E6" w:rsidRPr="00F45D90" w:rsidRDefault="00CB68E6" w:rsidP="00CB68E6">
      <w:pPr>
        <w:spacing w:after="0" w:line="240" w:lineRule="auto"/>
        <w:rPr>
          <w:rFonts w:ascii="Times New Roman" w:hAnsi="Times New Roman"/>
        </w:rPr>
      </w:pPr>
    </w:p>
    <w:p w14:paraId="5535714E"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Pacientams, kurių inkstų funkcija yra sutrikusi</w:t>
      </w:r>
    </w:p>
    <w:p w14:paraId="7E48B01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Pacientams, kurių inkstų funkcija sutrikusi, dozės keisti nereikia.</w:t>
      </w:r>
    </w:p>
    <w:p w14:paraId="45999FF4" w14:textId="77777777" w:rsidR="00CB68E6" w:rsidRPr="00F45D90" w:rsidRDefault="00CB68E6" w:rsidP="00CB68E6">
      <w:pPr>
        <w:spacing w:after="0" w:line="240" w:lineRule="auto"/>
        <w:rPr>
          <w:rFonts w:ascii="Times New Roman" w:hAnsi="Times New Roman"/>
        </w:rPr>
      </w:pPr>
    </w:p>
    <w:p w14:paraId="319A35DF"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Pacientams, kurių kepenų funkcija sutrikusi</w:t>
      </w:r>
    </w:p>
    <w:p w14:paraId="04118AE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Kvetiapinas ekstensyviai metabolizuojamas kepenyse, todėl pacientus, kurių kepenų funkcija sutrikusi, </w:t>
      </w:r>
      <w:r w:rsidRPr="00F45D90">
        <w:rPr>
          <w:rFonts w:ascii="Times New Roman" w:hAnsi="Times New Roman"/>
          <w:noProof/>
          <w:lang w:eastAsia="lt-LT"/>
        </w:rPr>
        <w:t xml:space="preserve">Hedonin </w:t>
      </w:r>
      <w:r w:rsidRPr="00F45D90">
        <w:rPr>
          <w:rFonts w:ascii="Times New Roman" w:hAnsi="Times New Roman"/>
        </w:rPr>
        <w:t xml:space="preserve">reikia gydyti atsargiai, ypač pradiniu dozės nustatymo laikotarpiu. </w:t>
      </w:r>
    </w:p>
    <w:p w14:paraId="3009653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Pacientus, kurių kepenų funkcija sutrikusi, reikia pradėti gydyti 25 mg paros doze. Priklausomai nuo klinikinio atsako ir vaistinio preparato toleravimo, pradinę paros dozę reikia kasdien 25-50 mg didinti iki veiksmingos paros dozės. </w:t>
      </w:r>
    </w:p>
    <w:p w14:paraId="737C4DB6" w14:textId="77777777" w:rsidR="00CB68E6" w:rsidRPr="00F45D90" w:rsidRDefault="00CB68E6" w:rsidP="00CB68E6">
      <w:pPr>
        <w:spacing w:after="0" w:line="240" w:lineRule="auto"/>
        <w:rPr>
          <w:rFonts w:ascii="Times New Roman" w:hAnsi="Times New Roman"/>
          <w:color w:val="000000"/>
        </w:rPr>
      </w:pPr>
    </w:p>
    <w:p w14:paraId="02BE2673" w14:textId="77777777" w:rsidR="00CB68E6" w:rsidRPr="00F45D90" w:rsidRDefault="00CB68E6" w:rsidP="00CB68E6">
      <w:pPr>
        <w:spacing w:after="0" w:line="240" w:lineRule="auto"/>
        <w:rPr>
          <w:rFonts w:ascii="Times New Roman" w:hAnsi="Times New Roman"/>
          <w:color w:val="000000"/>
        </w:rPr>
      </w:pPr>
      <w:r w:rsidRPr="00F45D90">
        <w:rPr>
          <w:rFonts w:ascii="Times New Roman" w:hAnsi="Times New Roman"/>
          <w:color w:val="000000"/>
        </w:rPr>
        <w:t>Vartojimo metodas</w:t>
      </w:r>
    </w:p>
    <w:p w14:paraId="53D5A979" w14:textId="77777777" w:rsidR="00CB68E6" w:rsidRPr="00F45D90" w:rsidRDefault="00CB68E6" w:rsidP="00CB68E6">
      <w:pPr>
        <w:spacing w:after="0" w:line="240" w:lineRule="auto"/>
        <w:rPr>
          <w:rFonts w:ascii="Times New Roman" w:hAnsi="Times New Roman"/>
          <w:color w:val="000000"/>
        </w:rPr>
      </w:pPr>
      <w:r w:rsidRPr="00F45D90">
        <w:rPr>
          <w:rFonts w:ascii="Times New Roman" w:hAnsi="Times New Roman"/>
          <w:color w:val="000000"/>
        </w:rPr>
        <w:t>Vartoti per burną.</w:t>
      </w:r>
    </w:p>
    <w:p w14:paraId="46D35A6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reikia gerti valgant arba kitu laiku.</w:t>
      </w:r>
    </w:p>
    <w:p w14:paraId="354105C7" w14:textId="77777777" w:rsidR="00CB68E6" w:rsidRPr="00F45D90" w:rsidRDefault="00CB68E6" w:rsidP="00CB68E6">
      <w:pPr>
        <w:spacing w:after="0" w:line="240" w:lineRule="auto"/>
        <w:rPr>
          <w:rFonts w:ascii="Times New Roman" w:hAnsi="Times New Roman"/>
          <w:color w:val="000000"/>
        </w:rPr>
      </w:pPr>
    </w:p>
    <w:p w14:paraId="1A8778A4"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17" w:name="_Toc129243104"/>
      <w:bookmarkStart w:id="18" w:name="_Toc129243229"/>
      <w:r w:rsidRPr="00F45D90">
        <w:rPr>
          <w:rFonts w:ascii="Times New Roman" w:eastAsia="Times New Roman" w:hAnsi="Times New Roman"/>
          <w:b/>
          <w:kern w:val="28"/>
          <w:lang w:eastAsia="lt-LT"/>
        </w:rPr>
        <w:t>4.3</w:t>
      </w:r>
      <w:r w:rsidRPr="00F45D90">
        <w:rPr>
          <w:rFonts w:ascii="Times New Roman" w:eastAsia="Times New Roman" w:hAnsi="Times New Roman"/>
          <w:b/>
          <w:kern w:val="28"/>
          <w:lang w:eastAsia="lt-LT"/>
        </w:rPr>
        <w:tab/>
        <w:t>Kontraindikacijos</w:t>
      </w:r>
      <w:bookmarkEnd w:id="17"/>
      <w:bookmarkEnd w:id="18"/>
    </w:p>
    <w:p w14:paraId="5A2BDAC8" w14:textId="77777777" w:rsidR="00CB68E6" w:rsidRPr="00F45D90" w:rsidRDefault="00CB68E6" w:rsidP="00CB68E6">
      <w:pPr>
        <w:spacing w:after="0" w:line="240" w:lineRule="auto"/>
        <w:rPr>
          <w:rFonts w:ascii="Times New Roman" w:hAnsi="Times New Roman"/>
        </w:rPr>
      </w:pPr>
    </w:p>
    <w:p w14:paraId="5F751521" w14:textId="77777777" w:rsidR="00CB68E6" w:rsidRDefault="00CB68E6" w:rsidP="00BE281A">
      <w:pPr>
        <w:pStyle w:val="Sraopastraipa"/>
        <w:numPr>
          <w:ilvl w:val="0"/>
          <w:numId w:val="22"/>
        </w:numPr>
        <w:spacing w:after="0" w:line="240" w:lineRule="auto"/>
        <w:ind w:left="567" w:hanging="567"/>
        <w:rPr>
          <w:rFonts w:ascii="Times New Roman" w:hAnsi="Times New Roman"/>
        </w:rPr>
      </w:pPr>
      <w:r w:rsidRPr="00812204">
        <w:rPr>
          <w:rFonts w:ascii="Times New Roman" w:hAnsi="Times New Roman"/>
        </w:rPr>
        <w:t>Padidėjęs jautrumas veikliajai arba bet kuriai 6.1 skyriuje nurodytai pagalbinei medžiagai.</w:t>
      </w:r>
    </w:p>
    <w:p w14:paraId="29B8711A" w14:textId="77777777" w:rsidR="00812204" w:rsidRPr="00812204" w:rsidRDefault="00812204" w:rsidP="00812204">
      <w:pPr>
        <w:pStyle w:val="Sraopastraipa"/>
        <w:numPr>
          <w:ilvl w:val="0"/>
          <w:numId w:val="22"/>
        </w:numPr>
        <w:spacing w:after="0" w:line="240" w:lineRule="auto"/>
        <w:ind w:left="567" w:hanging="567"/>
        <w:rPr>
          <w:rFonts w:ascii="Times New Roman" w:hAnsi="Times New Roman"/>
        </w:rPr>
      </w:pPr>
      <w:r>
        <w:rPr>
          <w:rFonts w:ascii="Times New Roman" w:hAnsi="Times New Roman"/>
        </w:rPr>
        <w:t>Padidėjęs jautrumas žemė</w:t>
      </w:r>
      <w:r w:rsidR="007939FC">
        <w:rPr>
          <w:rFonts w:ascii="Times New Roman" w:hAnsi="Times New Roman"/>
        </w:rPr>
        <w:t>s riešutams arba sojai (žr. 4.4</w:t>
      </w:r>
      <w:r>
        <w:rPr>
          <w:rFonts w:ascii="Times New Roman" w:hAnsi="Times New Roman"/>
        </w:rPr>
        <w:t xml:space="preserve"> skyrių).</w:t>
      </w:r>
    </w:p>
    <w:p w14:paraId="23D7AB51" w14:textId="77777777" w:rsidR="00CB68E6" w:rsidRPr="00812204" w:rsidRDefault="00CB68E6" w:rsidP="00BE281A">
      <w:pPr>
        <w:pStyle w:val="Sraopastraipa"/>
        <w:numPr>
          <w:ilvl w:val="0"/>
          <w:numId w:val="22"/>
        </w:numPr>
        <w:spacing w:after="0" w:line="240" w:lineRule="auto"/>
        <w:ind w:left="567" w:hanging="567"/>
        <w:rPr>
          <w:rFonts w:ascii="Times New Roman" w:hAnsi="Times New Roman"/>
        </w:rPr>
      </w:pPr>
      <w:r w:rsidRPr="00812204">
        <w:rPr>
          <w:rFonts w:ascii="Times New Roman" w:hAnsi="Times New Roman"/>
        </w:rPr>
        <w:t>Negalima kartu vartoti tokių citochromo P450-3A4 inhibitorių, kaip ŽIV proteazės inhibitorių, azolo preparatų grybeliui gydyti, eritromicino, klaritromicino ir nefazodono (žr. 4.5 skyrių).</w:t>
      </w:r>
    </w:p>
    <w:p w14:paraId="23D41719" w14:textId="77777777" w:rsidR="00CB68E6" w:rsidRPr="00F45D90" w:rsidRDefault="00CB68E6" w:rsidP="00CB68E6">
      <w:pPr>
        <w:spacing w:after="0" w:line="240" w:lineRule="auto"/>
        <w:rPr>
          <w:rFonts w:ascii="Times New Roman" w:hAnsi="Times New Roman"/>
        </w:rPr>
      </w:pPr>
    </w:p>
    <w:p w14:paraId="1A86D74D"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19" w:name="_Toc129243105"/>
      <w:bookmarkStart w:id="20" w:name="_Toc129243230"/>
      <w:r w:rsidRPr="00F45D90">
        <w:rPr>
          <w:rFonts w:ascii="Times New Roman" w:eastAsia="Times New Roman" w:hAnsi="Times New Roman"/>
          <w:b/>
          <w:kern w:val="28"/>
          <w:lang w:eastAsia="lt-LT"/>
        </w:rPr>
        <w:t>4.4</w:t>
      </w:r>
      <w:r w:rsidRPr="00F45D90">
        <w:rPr>
          <w:rFonts w:ascii="Times New Roman" w:eastAsia="Times New Roman" w:hAnsi="Times New Roman"/>
          <w:b/>
          <w:kern w:val="28"/>
          <w:lang w:eastAsia="lt-LT"/>
        </w:rPr>
        <w:tab/>
        <w:t>Specialūs įspėjimai ir atsargumo priemonės</w:t>
      </w:r>
      <w:bookmarkEnd w:id="19"/>
      <w:bookmarkEnd w:id="20"/>
    </w:p>
    <w:p w14:paraId="41FE67CF" w14:textId="77777777" w:rsidR="00CB68E6" w:rsidRPr="00F45D90" w:rsidRDefault="00CB68E6" w:rsidP="00CB68E6">
      <w:pPr>
        <w:spacing w:after="0" w:line="240" w:lineRule="auto"/>
        <w:rPr>
          <w:rFonts w:ascii="Times New Roman" w:eastAsia="Times New Roman" w:hAnsi="Times New Roman"/>
          <w:i/>
          <w:lang w:eastAsia="lt-LT"/>
        </w:rPr>
      </w:pPr>
    </w:p>
    <w:p w14:paraId="57E14AF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Kadangi kvetiapinas vartojamas esant skirtingos indikacijoms, jo vartojimo saugumą reikia įvertinti atsižvelgiant į paciento diagnozę ir gydymui skirtą dozę.</w:t>
      </w:r>
    </w:p>
    <w:p w14:paraId="7904B1C0" w14:textId="77777777" w:rsidR="00CB68E6" w:rsidRPr="00F45D90" w:rsidRDefault="00CB68E6" w:rsidP="00CB68E6">
      <w:pPr>
        <w:spacing w:after="0" w:line="240" w:lineRule="auto"/>
        <w:rPr>
          <w:rFonts w:ascii="Times New Roman" w:hAnsi="Times New Roman"/>
          <w:iCs/>
        </w:rPr>
      </w:pPr>
    </w:p>
    <w:p w14:paraId="4424076A" w14:textId="77777777" w:rsidR="00CB68E6" w:rsidRPr="00F45D90" w:rsidRDefault="00CB68E6" w:rsidP="00CB68E6">
      <w:pPr>
        <w:spacing w:after="0" w:line="240" w:lineRule="auto"/>
        <w:rPr>
          <w:rFonts w:ascii="Times New Roman" w:hAnsi="Times New Roman"/>
          <w:i/>
          <w:iCs/>
        </w:rPr>
      </w:pPr>
      <w:r w:rsidRPr="00F45D90">
        <w:rPr>
          <w:rFonts w:ascii="Times New Roman" w:hAnsi="Times New Roman"/>
          <w:i/>
          <w:iCs/>
        </w:rPr>
        <w:t>Vaikų populiacija</w:t>
      </w:r>
    </w:p>
    <w:p w14:paraId="353D404E" w14:textId="77777777" w:rsidR="00CB68E6" w:rsidRPr="00F45D90" w:rsidRDefault="00CB68E6" w:rsidP="00CB68E6">
      <w:pPr>
        <w:autoSpaceDE w:val="0"/>
        <w:autoSpaceDN w:val="0"/>
        <w:adjustRightInd w:val="0"/>
        <w:spacing w:after="0" w:line="240" w:lineRule="auto"/>
        <w:rPr>
          <w:rFonts w:ascii="Times New Roman" w:hAnsi="Times New Roman"/>
          <w:iCs/>
        </w:rPr>
      </w:pPr>
      <w:r w:rsidRPr="00F45D90">
        <w:rPr>
          <w:rFonts w:ascii="Times New Roman" w:hAnsi="Times New Roman"/>
          <w:noProof/>
          <w:lang w:eastAsia="lt-LT"/>
        </w:rPr>
        <w:t>Hedonin nerekomenduojama vartoti jaunesniems kaip 18 metų vaikams ir paaugliams gydyti d</w:t>
      </w:r>
      <w:r w:rsidRPr="00F45D90">
        <w:rPr>
          <w:rFonts w:ascii="Times New Roman" w:hAnsi="Times New Roman"/>
          <w:iCs/>
        </w:rPr>
        <w:t>ėl duomenų, palaikančių vaisto vartojimą šioje amžiaus grupėje, stokos. Klinikiniais kvetiapino tyrimais nustatyta, kad papildomai jau žinomiems saugumo duomenims, nustatytiems suaugusiems pacientams (žr. 4.8 skyrių), kai kurie nepageidaujamo poveikio reiškiniai (padidėjęs apetitas, prolaktino kiekio padidėjimas kraujyje, vėmimas, rinitas ir sinkopė) vaikams ir paaugliams pasireiškė dažniau palyginti su suaugusiaisiais arba vaikams ir paaugliams</w:t>
      </w:r>
      <w:r w:rsidRPr="00F45D90">
        <w:rPr>
          <w:rFonts w:ascii="Times New Roman" w:eastAsia="Times New Roman" w:hAnsi="Times New Roman"/>
        </w:rPr>
        <w:t xml:space="preserve"> gali turėti kitokią klinikinę reikšmę (ekstrapiramidiniai simptomai ir dirglumas)</w:t>
      </w:r>
      <w:r w:rsidRPr="00F45D90">
        <w:rPr>
          <w:rFonts w:ascii="Times New Roman" w:eastAsia="MS Mincho" w:hAnsi="Times New Roman"/>
        </w:rPr>
        <w:t xml:space="preserve">; </w:t>
      </w:r>
      <w:r w:rsidRPr="00F45D90">
        <w:rPr>
          <w:rFonts w:ascii="Times New Roman" w:hAnsi="Times New Roman"/>
          <w:iCs/>
        </w:rPr>
        <w:t xml:space="preserve">nustatytas vienas požymis (kraujospūdžio padidėjimas), kuris nepasireiškė ankstesniuose suaugusiųjų pacientų tyrimuose. Vaikams ir paaugliams taip pat nustatyti skydliaukės funkcijos tyrimų pakitimai. </w:t>
      </w:r>
    </w:p>
    <w:p w14:paraId="09D8BF2A" w14:textId="77777777" w:rsidR="00CB68E6" w:rsidRPr="00F45D90" w:rsidRDefault="00CB68E6" w:rsidP="00CB68E6">
      <w:pPr>
        <w:spacing w:after="0" w:line="240" w:lineRule="auto"/>
        <w:rPr>
          <w:rFonts w:ascii="Times New Roman" w:hAnsi="Times New Roman"/>
          <w:iCs/>
        </w:rPr>
      </w:pPr>
    </w:p>
    <w:p w14:paraId="5B2A6507" w14:textId="77777777" w:rsidR="00CB68E6" w:rsidRPr="00F45D90" w:rsidRDefault="00CB68E6" w:rsidP="00CB68E6">
      <w:pPr>
        <w:spacing w:after="0" w:line="240" w:lineRule="auto"/>
        <w:rPr>
          <w:rFonts w:ascii="Times New Roman" w:hAnsi="Times New Roman"/>
          <w:iCs/>
        </w:rPr>
      </w:pPr>
      <w:r w:rsidRPr="00F45D90">
        <w:rPr>
          <w:rFonts w:ascii="Times New Roman" w:hAnsi="Times New Roman"/>
          <w:iCs/>
        </w:rPr>
        <w:t>Be to, ilgiau kaip 26 savaites netirta ilgalaikio gydymo kvetiapinu trukmė tolesniam saugumui ir gydymo reikšmė augimui ir brendimui. Ilgalaikis poveikis pažinimui ir elgesiui nežinomas.</w:t>
      </w:r>
    </w:p>
    <w:p w14:paraId="0472B548" w14:textId="77777777" w:rsidR="00CB68E6" w:rsidRPr="00F45D90" w:rsidRDefault="00CB68E6" w:rsidP="00CB68E6">
      <w:pPr>
        <w:spacing w:after="0" w:line="240" w:lineRule="auto"/>
        <w:rPr>
          <w:rFonts w:ascii="Times New Roman" w:hAnsi="Times New Roman"/>
          <w:iCs/>
        </w:rPr>
      </w:pPr>
      <w:r w:rsidRPr="00F45D90">
        <w:rPr>
          <w:rFonts w:ascii="Times New Roman" w:hAnsi="Times New Roman"/>
          <w:iCs/>
        </w:rPr>
        <w:t xml:space="preserve">Atliekant šizofrenija, bipolinio sutrikimo manijos faze ir bipolinio sutrikimo depresijos faze sergančių pacientų placebu kontroliuojamus klinikinius tyrimus su vaikais ir paaugliais nustatyta, kad kvetiapinas padidino ekstrapiramidinių simptomų dažnumą palyginti su placebo (žr. 4.8 skyrių). </w:t>
      </w:r>
    </w:p>
    <w:p w14:paraId="3FA148AC" w14:textId="77777777" w:rsidR="00CB68E6" w:rsidRPr="00F45D90" w:rsidRDefault="00CB68E6" w:rsidP="00CB68E6">
      <w:pPr>
        <w:spacing w:after="0" w:line="240" w:lineRule="auto"/>
        <w:rPr>
          <w:rFonts w:ascii="Times New Roman" w:hAnsi="Times New Roman"/>
          <w:iCs/>
        </w:rPr>
      </w:pPr>
    </w:p>
    <w:p w14:paraId="296DCD32"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iCs/>
        </w:rPr>
        <w:t xml:space="preserve">Savižudybė ir (arba) mintys apie savižudybę ar klinikinės būklės pablogėjimas </w:t>
      </w:r>
    </w:p>
    <w:p w14:paraId="7465C16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Bipolinio sutrikimo metu pasireiškusi 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14:paraId="7EB9FFEE" w14:textId="77777777" w:rsidR="00CB68E6" w:rsidRPr="00F45D90" w:rsidRDefault="00CB68E6" w:rsidP="00CB68E6">
      <w:pPr>
        <w:spacing w:after="0" w:line="240" w:lineRule="auto"/>
        <w:jc w:val="both"/>
        <w:rPr>
          <w:rFonts w:ascii="Times New Roman" w:hAnsi="Times New Roman"/>
        </w:rPr>
      </w:pPr>
    </w:p>
    <w:p w14:paraId="409C5A8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Be to, gydytojai turėtų apsvarstyti galimą su savižudybe susijusių reiškinių riziką, atsirandančią staiga nutraukus gydymą kvetiapinu ir lemiamą žinomų gydomai ligai būdingų rizikos veiksnių.</w:t>
      </w:r>
    </w:p>
    <w:p w14:paraId="0C06AFD0" w14:textId="77777777" w:rsidR="00DC0DA4" w:rsidRDefault="00DC0DA4" w:rsidP="00CB68E6">
      <w:pPr>
        <w:autoSpaceDE w:val="0"/>
        <w:autoSpaceDN w:val="0"/>
        <w:adjustRightInd w:val="0"/>
        <w:spacing w:after="0" w:line="240" w:lineRule="auto"/>
        <w:rPr>
          <w:rFonts w:ascii="Times New Roman" w:hAnsi="Times New Roman"/>
        </w:rPr>
      </w:pPr>
    </w:p>
    <w:p w14:paraId="494AAE43" w14:textId="6708769B" w:rsidR="00CB68E6" w:rsidRPr="00F45D90" w:rsidRDefault="00CB68E6" w:rsidP="00CB68E6">
      <w:pPr>
        <w:autoSpaceDE w:val="0"/>
        <w:autoSpaceDN w:val="0"/>
        <w:adjustRightInd w:val="0"/>
        <w:spacing w:after="0" w:line="240" w:lineRule="auto"/>
        <w:rPr>
          <w:rFonts w:ascii="Times New Roman" w:hAnsi="Times New Roman"/>
        </w:rPr>
      </w:pPr>
      <w:r w:rsidRPr="00F45D90">
        <w:rPr>
          <w:rFonts w:ascii="Times New Roman" w:hAnsi="Times New Roman"/>
        </w:rPr>
        <w:t>Kitos psichikos būklės, dėl kurių kvetiapinas skiriamas vartoti, taip pat gali sietis su padidėjusia su savižudybe susijusių reiškinių rizika. Be to, šios būklės gali būti sergant didžiosios depresijos epizodo metu. Todėl gydant pacientus</w:t>
      </w:r>
      <w:r w:rsidR="00DC0DA4">
        <w:rPr>
          <w:rFonts w:ascii="Times New Roman" w:hAnsi="Times New Roman"/>
        </w:rPr>
        <w:t xml:space="preserve">, sergančius </w:t>
      </w:r>
      <w:r w:rsidRPr="00F45D90">
        <w:rPr>
          <w:rFonts w:ascii="Times New Roman" w:hAnsi="Times New Roman"/>
        </w:rPr>
        <w:t>kitomis psichikos ligomis</w:t>
      </w:r>
      <w:r w:rsidR="00DC0DA4">
        <w:rPr>
          <w:rFonts w:ascii="Times New Roman" w:hAnsi="Times New Roman"/>
        </w:rPr>
        <w:t>,</w:t>
      </w:r>
      <w:r w:rsidRPr="00F45D90">
        <w:rPr>
          <w:rFonts w:ascii="Times New Roman" w:hAnsi="Times New Roman"/>
        </w:rPr>
        <w:t xml:space="preserve"> reikia laikytis tų pačių atsargumo priemonių kaip ir gydant sergančiu</w:t>
      </w:r>
      <w:r w:rsidR="00DC0DA4">
        <w:rPr>
          <w:rFonts w:ascii="Times New Roman" w:hAnsi="Times New Roman"/>
        </w:rPr>
        <w:t>osiu</w:t>
      </w:r>
      <w:r w:rsidRPr="00F45D90">
        <w:rPr>
          <w:rFonts w:ascii="Times New Roman" w:hAnsi="Times New Roman"/>
        </w:rPr>
        <w:t>s didžiosios depresijos epizod</w:t>
      </w:r>
      <w:r w:rsidR="00DC0DA4">
        <w:rPr>
          <w:rFonts w:ascii="Times New Roman" w:hAnsi="Times New Roman"/>
        </w:rPr>
        <w:t>ais</w:t>
      </w:r>
      <w:r w:rsidRPr="00F45D90">
        <w:rPr>
          <w:rFonts w:ascii="Times New Roman" w:hAnsi="Times New Roman"/>
        </w:rPr>
        <w:t>.</w:t>
      </w:r>
    </w:p>
    <w:p w14:paraId="510C0E6A" w14:textId="77777777" w:rsidR="00CB68E6" w:rsidRPr="00F45D90" w:rsidRDefault="00CB68E6" w:rsidP="00CB68E6">
      <w:pPr>
        <w:spacing w:after="0" w:line="240" w:lineRule="auto"/>
        <w:rPr>
          <w:rFonts w:ascii="Times New Roman" w:hAnsi="Times New Roman"/>
        </w:rPr>
      </w:pPr>
    </w:p>
    <w:p w14:paraId="5691DCB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Pacientams, kuriems praeityje buvo su savižudybe susijusių poelgių, arba tiems pacientams, kurie parodė išreikštas savižudybės idėjas prieš gydymą, minčių apie savižudybę ar savižudybės ketinimų rizika didesnė ir gydymo metu juos reikia įdėmiai stebėti. Placebu kontroliuojamų antidepresinių vaistų suaugusiųjų klinikinių tyrimų metaanalizė parodė, kad jaunesniems kaip 25 metai pacientams gydytiems antidepresantais su savižudybe susijusių poelgių rizika didesnė palyginti su vartojusiais placebą.</w:t>
      </w:r>
    </w:p>
    <w:p w14:paraId="34CC2028" w14:textId="77777777" w:rsidR="00CB68E6" w:rsidRPr="00F45D90" w:rsidRDefault="00CB68E6" w:rsidP="00CB68E6">
      <w:pPr>
        <w:spacing w:after="0" w:line="240" w:lineRule="auto"/>
        <w:rPr>
          <w:rFonts w:ascii="Times New Roman" w:hAnsi="Times New Roman"/>
        </w:rPr>
      </w:pPr>
    </w:p>
    <w:p w14:paraId="15FA7EA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Pacientus, ypač tuos, kuriems būdinga didelė rizika, reikia įdėmiai stebėti gydymo pradžioje ir keičiant vaisto dozę. Pacientus (ir jų globėjus) reikia įspėti, kad būtina sekti bet kokius būklės pablogėjimo požymius, sus savižudybe susijusius poelgius arba mintis apie savižudybę, taip pat kitus neįprastus elgesio pokyčius ir, jeigu jų atsiranda, nedelsiant kreiptis į gydytoją.</w:t>
      </w:r>
    </w:p>
    <w:p w14:paraId="45DA1B52" w14:textId="77777777" w:rsidR="00CB68E6" w:rsidRPr="00F45D90" w:rsidRDefault="00CB68E6" w:rsidP="00CB68E6">
      <w:pPr>
        <w:spacing w:after="0" w:line="240" w:lineRule="auto"/>
        <w:rPr>
          <w:rFonts w:ascii="Times New Roman" w:hAnsi="Times New Roman"/>
        </w:rPr>
      </w:pPr>
    </w:p>
    <w:p w14:paraId="5B56F147" w14:textId="6DC8D9A3" w:rsidR="00CB68E6" w:rsidRPr="00F45D90" w:rsidRDefault="00CB68E6" w:rsidP="00CB68E6">
      <w:pPr>
        <w:spacing w:after="0" w:line="240" w:lineRule="auto"/>
        <w:rPr>
          <w:rFonts w:ascii="Times New Roman" w:hAnsi="Times New Roman"/>
        </w:rPr>
      </w:pPr>
      <w:r w:rsidRPr="00F45D90">
        <w:rPr>
          <w:rFonts w:ascii="Times New Roman" w:hAnsi="Times New Roman"/>
        </w:rPr>
        <w:t>Suaugusių jaunų pacientų (jaunesnių kaip 25 metų), gydytų kvetiapinu, kuriems bipolinio sutrikimo metu pasireiškė didžiosios depresijos epizodai, trumpalaikio placebu kontroliuojamo klinikinio tyrimo metu pastebėta didesnė, palyginti su pacientais, vartojusiais placebą, su savižudybe siejamų reiškinių rizika (atitinkamai 3,0</w:t>
      </w:r>
      <w:r w:rsidR="00E573E9">
        <w:t> </w:t>
      </w:r>
      <w:r w:rsidRPr="00F45D90">
        <w:rPr>
          <w:rFonts w:ascii="Times New Roman" w:hAnsi="Times New Roman"/>
        </w:rPr>
        <w:t>%, palyginti su 0</w:t>
      </w:r>
      <w:r w:rsidR="00E573E9">
        <w:rPr>
          <w:rFonts w:ascii="Times New Roman" w:hAnsi="Times New Roman"/>
        </w:rPr>
        <w:t> </w:t>
      </w:r>
      <w:r w:rsidRPr="00F45D90">
        <w:rPr>
          <w:rFonts w:ascii="Times New Roman" w:hAnsi="Times New Roman"/>
        </w:rPr>
        <w:t xml:space="preserve">%). </w:t>
      </w:r>
    </w:p>
    <w:p w14:paraId="31731E7D" w14:textId="77777777" w:rsidR="00CB68E6" w:rsidRPr="00F45D90" w:rsidRDefault="00CB68E6" w:rsidP="00CB68E6">
      <w:pPr>
        <w:spacing w:after="0" w:line="240" w:lineRule="auto"/>
        <w:rPr>
          <w:rFonts w:ascii="Times New Roman" w:eastAsia="Times New Roman" w:hAnsi="Times New Roman"/>
          <w:i/>
          <w:color w:val="000000"/>
        </w:rPr>
      </w:pPr>
    </w:p>
    <w:p w14:paraId="28657841" w14:textId="77777777" w:rsidR="00CB68E6" w:rsidRPr="00F45D90" w:rsidRDefault="00CB68E6" w:rsidP="00CB68E6">
      <w:pPr>
        <w:spacing w:after="0" w:line="240" w:lineRule="auto"/>
        <w:rPr>
          <w:rFonts w:ascii="Times New Roman" w:eastAsia="Times New Roman" w:hAnsi="Times New Roman"/>
        </w:rPr>
      </w:pPr>
      <w:r w:rsidRPr="00F45D90">
        <w:rPr>
          <w:rFonts w:ascii="Times New Roman" w:eastAsia="Times New Roman" w:hAnsi="Times New Roman"/>
          <w:i/>
          <w:color w:val="000000"/>
        </w:rPr>
        <w:t>Metabolizmo sutrikimų rizika</w:t>
      </w:r>
    </w:p>
    <w:p w14:paraId="57C31D18" w14:textId="77777777" w:rsidR="00CB68E6" w:rsidRPr="00F45D90" w:rsidRDefault="00CB68E6" w:rsidP="00CB68E6">
      <w:pPr>
        <w:spacing w:after="0" w:line="240" w:lineRule="auto"/>
        <w:rPr>
          <w:rFonts w:ascii="Times New Roman" w:eastAsia="Times New Roman" w:hAnsi="Times New Roman"/>
          <w:color w:val="000000"/>
        </w:rPr>
      </w:pPr>
    </w:p>
    <w:p w14:paraId="7340067F" w14:textId="77777777" w:rsidR="00CB68E6" w:rsidRPr="00F45D90" w:rsidRDefault="00CB68E6" w:rsidP="00CB68E6">
      <w:pPr>
        <w:spacing w:after="0" w:line="240" w:lineRule="auto"/>
        <w:rPr>
          <w:rFonts w:ascii="Times New Roman" w:eastAsia="Times New Roman" w:hAnsi="Times New Roman"/>
          <w:color w:val="000000"/>
        </w:rPr>
      </w:pPr>
      <w:r w:rsidRPr="00F45D90">
        <w:rPr>
          <w:rFonts w:ascii="Times New Roman" w:eastAsia="Times New Roman" w:hAnsi="Times New Roman"/>
          <w:color w:val="000000"/>
        </w:rPr>
        <w:t xml:space="preserve">Atsižvelgiant į klinikinių tyrimų metu nustatytus kūno svorio, gliukozės koncentracijos kraujyje (žr. „Hiperglikemija“) ir lipidų koncentracijos pokyčius manoma, </w:t>
      </w:r>
      <w:r w:rsidRPr="00F45D90">
        <w:rPr>
          <w:rFonts w:ascii="Times New Roman" w:eastAsia="Times New Roman" w:hAnsi="Times New Roman"/>
        </w:rPr>
        <w:t>kad šiuo vaistiniu preparatu gydomiems pacientams (taip pat ir tiems, kurių rodmenys iki gydymo buvo normalūs) gali padidėti metabolizmo sutrikimų rizika, kurią būtina koreguoti atsižvelgiant į klinikinį poreikį (taip pat žr. 4.8 skyrių).</w:t>
      </w:r>
    </w:p>
    <w:p w14:paraId="7A461BBC" w14:textId="77777777" w:rsidR="00CB68E6" w:rsidRPr="00F45D90" w:rsidRDefault="00CB68E6" w:rsidP="00CB68E6">
      <w:pPr>
        <w:spacing w:after="0" w:line="240" w:lineRule="auto"/>
        <w:rPr>
          <w:rFonts w:ascii="Times New Roman" w:hAnsi="Times New Roman"/>
          <w:b/>
          <w:i/>
        </w:rPr>
      </w:pPr>
    </w:p>
    <w:p w14:paraId="6EA3072F"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Ekstrapiramidiniai simptomai</w:t>
      </w:r>
    </w:p>
    <w:p w14:paraId="7F579B12" w14:textId="77777777" w:rsidR="00CB68E6" w:rsidRPr="00F45D90" w:rsidRDefault="00CB68E6" w:rsidP="00CB68E6">
      <w:pPr>
        <w:autoSpaceDE w:val="0"/>
        <w:autoSpaceDN w:val="0"/>
        <w:adjustRightInd w:val="0"/>
        <w:spacing w:after="0" w:line="240" w:lineRule="auto"/>
        <w:rPr>
          <w:rFonts w:ascii="Times New Roman" w:hAnsi="Times New Roman"/>
        </w:rPr>
      </w:pPr>
    </w:p>
    <w:p w14:paraId="5EE4EB43" w14:textId="77777777" w:rsidR="00CB68E6" w:rsidRPr="00F45D90" w:rsidRDefault="00CB68E6" w:rsidP="00CB68E6">
      <w:pPr>
        <w:autoSpaceDE w:val="0"/>
        <w:autoSpaceDN w:val="0"/>
        <w:adjustRightInd w:val="0"/>
        <w:spacing w:after="0" w:line="240" w:lineRule="auto"/>
        <w:rPr>
          <w:rFonts w:ascii="Times New Roman" w:hAnsi="Times New Roman"/>
        </w:rPr>
      </w:pPr>
      <w:r w:rsidRPr="00F45D90">
        <w:rPr>
          <w:rFonts w:ascii="Times New Roman" w:hAnsi="Times New Roman"/>
        </w:rPr>
        <w:t xml:space="preserve">Placebu kontroliuojamų klinikinių tyrimų metu suaugusiems pacientams, vartojusiems kvetiapiną nuo bipolinio sutrikimo didžiosios depresijos epizodų ir didžiosios depresijos epizodo, ekstrapiramidinių simptomų pasireiškė dažniau negu vartojusiems placebą (žr. 4.8 ir 5.1 skyrius). </w:t>
      </w:r>
    </w:p>
    <w:p w14:paraId="0F224E92" w14:textId="77777777" w:rsidR="00CB68E6" w:rsidRPr="00F45D90" w:rsidRDefault="00CB68E6" w:rsidP="00CB68E6">
      <w:pPr>
        <w:spacing w:after="0" w:line="240" w:lineRule="auto"/>
        <w:rPr>
          <w:rFonts w:ascii="Times New Roman" w:eastAsia="Times New Roman" w:hAnsi="Times New Roman"/>
        </w:rPr>
      </w:pPr>
    </w:p>
    <w:p w14:paraId="322CF9BA" w14:textId="77777777" w:rsidR="00CB68E6" w:rsidRPr="00F45D90" w:rsidRDefault="00CB68E6" w:rsidP="00CB68E6">
      <w:pPr>
        <w:spacing w:after="0" w:line="240" w:lineRule="auto"/>
        <w:rPr>
          <w:rFonts w:ascii="Times New Roman" w:eastAsia="Times New Roman" w:hAnsi="Times New Roman"/>
        </w:rPr>
      </w:pPr>
      <w:r w:rsidRPr="00F45D90">
        <w:rPr>
          <w:rFonts w:ascii="Times New Roman" w:eastAsia="Times New Roman" w:hAnsi="Times New Roman"/>
        </w:rPr>
        <w:t>Vartojant kvetiapiną gali pasireikšti akatizija, kuriai būdingas nemalonus ar varginantis nenustygimas vietoje ir poreikis judėti, dažnai taip pat išnyksta gebėjimas ramiai sėdėti ar stovėti. Šių sutrikimų pasireiškimo tikimybė būna didžiausia pirmąsias kelias gydymo savaites. Pasireiškus tokių simptomų, dozės didinimas gali būti kenksmingas.</w:t>
      </w:r>
    </w:p>
    <w:p w14:paraId="02752160" w14:textId="77777777" w:rsidR="00CB68E6" w:rsidRPr="00F45D90" w:rsidRDefault="00CB68E6" w:rsidP="00CB68E6">
      <w:pPr>
        <w:autoSpaceDE w:val="0"/>
        <w:autoSpaceDN w:val="0"/>
        <w:adjustRightInd w:val="0"/>
        <w:spacing w:after="0" w:line="240" w:lineRule="auto"/>
        <w:rPr>
          <w:rFonts w:ascii="Times New Roman" w:hAnsi="Times New Roman"/>
        </w:rPr>
      </w:pPr>
    </w:p>
    <w:p w14:paraId="628E1A51" w14:textId="77777777" w:rsidR="00CB68E6" w:rsidRPr="00F45D90" w:rsidRDefault="00CB68E6" w:rsidP="00CB68E6">
      <w:pPr>
        <w:autoSpaceDE w:val="0"/>
        <w:autoSpaceDN w:val="0"/>
        <w:adjustRightInd w:val="0"/>
        <w:spacing w:after="0" w:line="240" w:lineRule="auto"/>
        <w:rPr>
          <w:rFonts w:ascii="Times New Roman" w:hAnsi="Times New Roman"/>
          <w:i/>
        </w:rPr>
      </w:pPr>
      <w:r w:rsidRPr="00F45D90">
        <w:rPr>
          <w:rFonts w:ascii="Times New Roman" w:hAnsi="Times New Roman"/>
          <w:i/>
        </w:rPr>
        <w:t>Vėlyvoji diskinezija</w:t>
      </w:r>
    </w:p>
    <w:p w14:paraId="00948959" w14:textId="77777777" w:rsidR="00CB68E6" w:rsidRPr="00F45D90" w:rsidRDefault="00CB68E6" w:rsidP="00CB68E6">
      <w:pPr>
        <w:spacing w:after="0" w:line="240" w:lineRule="auto"/>
        <w:rPr>
          <w:rFonts w:ascii="Times New Roman" w:hAnsi="Times New Roman"/>
        </w:rPr>
      </w:pPr>
    </w:p>
    <w:p w14:paraId="5D65BF5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Jeigu atsiranda vėlyvosios diskinezijos požymių ar simptomų, reikia apsvarstyti, ar nesumažinti dozės ir ar nenutraukti kvetiapino vartojimo. Pažymėtina, kad nutraukus gydymą vėlyvoji diskinezija gali pasunkėti ar net prasidėti (žr. 4.8 skyrių).</w:t>
      </w:r>
    </w:p>
    <w:p w14:paraId="1CD78187" w14:textId="77777777" w:rsidR="002264D2" w:rsidRDefault="002264D2" w:rsidP="00CB68E6">
      <w:pPr>
        <w:spacing w:after="120" w:line="240" w:lineRule="auto"/>
        <w:rPr>
          <w:rFonts w:ascii="Times New Roman" w:eastAsia="Times New Roman" w:hAnsi="Times New Roman"/>
          <w:i/>
          <w:lang w:eastAsia="lt-LT"/>
        </w:rPr>
      </w:pPr>
    </w:p>
    <w:p w14:paraId="236B8784" w14:textId="270F9BC4" w:rsidR="00CB68E6" w:rsidRPr="00F45D90" w:rsidRDefault="00CB68E6" w:rsidP="00CB68E6">
      <w:pPr>
        <w:spacing w:after="120" w:line="240" w:lineRule="auto"/>
        <w:rPr>
          <w:rFonts w:ascii="Times New Roman" w:eastAsia="Times New Roman" w:hAnsi="Times New Roman"/>
          <w:i/>
          <w:lang w:eastAsia="lt-LT"/>
        </w:rPr>
      </w:pPr>
      <w:r w:rsidRPr="00F45D90">
        <w:rPr>
          <w:rFonts w:ascii="Times New Roman" w:eastAsia="Times New Roman" w:hAnsi="Times New Roman"/>
          <w:i/>
          <w:lang w:eastAsia="lt-LT"/>
        </w:rPr>
        <w:t>Mieguistumas ir svaigulys</w:t>
      </w:r>
    </w:p>
    <w:p w14:paraId="6F3A966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Gydymas kvetiapinu yra susijęs su mieguistumu ir su juo susijusiais simptomais, tokiais kaip raminamasis poveikis (žr. 4.8 skyrių). Pacientų, kuriems bipolinio sutrikimo metu pasireiškė depresija, gydymo klinikinių tyrimų metu mieguistumas paprastai prasidėdavo per pirmąsias tris gydymo paras ir daugiausia būdavo lengvas ar vidutinio stiprumo. Pacientams pasireiškus stipriam mieguistumui, gali </w:t>
      </w:r>
      <w:r w:rsidRPr="00F45D90">
        <w:rPr>
          <w:rFonts w:ascii="Times New Roman" w:hAnsi="Times New Roman"/>
        </w:rPr>
        <w:lastRenderedPageBreak/>
        <w:t>būti reikalingas dažnesnis kontaktas su gydytoju mažiausiai dvi savaites nuo mieguistumo pradžios ar kol pagerės simptomai ir gali prireikti apsvarstyti gydymo nutraukimą.</w:t>
      </w:r>
    </w:p>
    <w:p w14:paraId="35A84016" w14:textId="77777777" w:rsidR="00CB68E6" w:rsidRPr="00F45D90" w:rsidRDefault="00CB68E6" w:rsidP="00CB68E6">
      <w:pPr>
        <w:autoSpaceDE w:val="0"/>
        <w:autoSpaceDN w:val="0"/>
        <w:adjustRightInd w:val="0"/>
        <w:spacing w:after="0" w:line="240" w:lineRule="auto"/>
        <w:rPr>
          <w:rFonts w:ascii="Times New Roman" w:hAnsi="Times New Roman"/>
        </w:rPr>
      </w:pPr>
    </w:p>
    <w:p w14:paraId="12AF6A08" w14:textId="77777777" w:rsidR="00CB68E6" w:rsidRPr="00F45D90" w:rsidRDefault="00CB68E6" w:rsidP="00CB68E6">
      <w:pPr>
        <w:autoSpaceDE w:val="0"/>
        <w:autoSpaceDN w:val="0"/>
        <w:adjustRightInd w:val="0"/>
        <w:spacing w:after="0" w:line="240" w:lineRule="auto"/>
        <w:rPr>
          <w:rFonts w:ascii="Times New Roman" w:hAnsi="Times New Roman"/>
          <w:i/>
        </w:rPr>
      </w:pPr>
      <w:r w:rsidRPr="00F45D90">
        <w:rPr>
          <w:rFonts w:ascii="Times New Roman" w:hAnsi="Times New Roman"/>
          <w:i/>
        </w:rPr>
        <w:t>Ortostatinė hipotenzija</w:t>
      </w:r>
    </w:p>
    <w:p w14:paraId="6E8366CE" w14:textId="77777777" w:rsidR="00CB68E6" w:rsidRPr="00F45D90" w:rsidRDefault="00CB68E6" w:rsidP="00CB68E6">
      <w:pPr>
        <w:autoSpaceDE w:val="0"/>
        <w:autoSpaceDN w:val="0"/>
        <w:adjustRightInd w:val="0"/>
        <w:spacing w:after="0" w:line="240" w:lineRule="auto"/>
        <w:rPr>
          <w:rFonts w:ascii="Times New Roman" w:hAnsi="Times New Roman"/>
        </w:rPr>
      </w:pPr>
      <w:r w:rsidRPr="00F45D90">
        <w:rPr>
          <w:rFonts w:ascii="Times New Roman" w:hAnsi="Times New Roman"/>
        </w:rPr>
        <w:t xml:space="preserve">Gydymas kvetiapinu susijęs su ortostatine hipotenzija ir svaiguliu (žr. 4.8 skyrių), kurie, kaip ir mieguistumas pasitaiko dažniausiai pradiniu laikotarpiu nustatant vaisto dozę. Dėl to gali dažniau pacientai, ypač senyvi, nugriūti ir susižeisti. Todėl pacientus reikia įspėti, kad jie būtų atsargūs, kol pripras prie vaisto galimo poveikio. </w:t>
      </w:r>
    </w:p>
    <w:p w14:paraId="420BEBFD" w14:textId="77777777" w:rsidR="00CB68E6" w:rsidRPr="00F45D90" w:rsidRDefault="00CB68E6" w:rsidP="00CB68E6">
      <w:pPr>
        <w:spacing w:after="0" w:line="240" w:lineRule="auto"/>
        <w:rPr>
          <w:rFonts w:ascii="Times New Roman" w:hAnsi="Times New Roman"/>
        </w:rPr>
      </w:pPr>
    </w:p>
    <w:p w14:paraId="5E692C3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Pacientams, kurie serga širdies ir kraujagyslių ar smegenų kraujagyslių ligomis, arba yra kitokių būklių, dėl kurių gali pasireikšti hipotenzija, Hedonin vartoti reikia atsargiai. Jeigu pasireiškia  ortostatinė hipotenzija, būtina apsvarstyti, ar nereikia sumažinti dozės arba ją lėčiau didintipacientams, kuriems nustatyta širdies ir kraujagyslių sistemos liga.</w:t>
      </w:r>
    </w:p>
    <w:p w14:paraId="03D12121" w14:textId="77777777" w:rsidR="00CB68E6" w:rsidRPr="00F45D90" w:rsidRDefault="00CB68E6" w:rsidP="00CB68E6">
      <w:pPr>
        <w:spacing w:after="0" w:line="240" w:lineRule="auto"/>
        <w:rPr>
          <w:rFonts w:ascii="Times New Roman" w:hAnsi="Times New Roman"/>
          <w:i/>
        </w:rPr>
      </w:pPr>
    </w:p>
    <w:p w14:paraId="08F0B3DA"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Miego apnėjos sindromas</w:t>
      </w:r>
    </w:p>
    <w:p w14:paraId="153062E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Pranešama apie miego apnėjos sindromo atvejus kvetiapiną vartojantiems pacientams. Kvetiapino reikia atsargiai skirti pacientams, kartu vartojantiems centrinę nervų sistemą slopinančius vaistus, asmenims, kuriems praeityje pasitaikė miego apnėja arba yra jos pavojus, pvz., nutukusiems ir antsvorį turintiems arba vyrams. </w:t>
      </w:r>
    </w:p>
    <w:p w14:paraId="7C4EEDF0" w14:textId="77777777" w:rsidR="00CB68E6" w:rsidRPr="00F45D90" w:rsidRDefault="00CB68E6" w:rsidP="00CB68E6">
      <w:pPr>
        <w:spacing w:after="0" w:line="240" w:lineRule="auto"/>
        <w:rPr>
          <w:rFonts w:ascii="Times New Roman" w:hAnsi="Times New Roman"/>
          <w:i/>
        </w:rPr>
      </w:pPr>
    </w:p>
    <w:p w14:paraId="7B0B0EF6"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Traukuliai</w:t>
      </w:r>
    </w:p>
    <w:p w14:paraId="724A007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Kontroliuojamų klinikinių tyrimų metu traukulių dažnis kvetiapiną ir placebą vartojusiems pacientams nesiskyrė. Apie pacientų, sirgusių traukuliais pasireiškiančiomis ligomis, tokių traukulių dažnį duomenų nėra. Vis dėlto pacientams, kuriems buvo traukulių, kaip ir kitus vaistinius preparatus nuo psichozės, vartoti rekomenduojama atsargiai (žr. 4.8 skyrių).</w:t>
      </w:r>
    </w:p>
    <w:p w14:paraId="1C00638B" w14:textId="77777777" w:rsidR="00CB68E6" w:rsidRPr="00F45D90" w:rsidRDefault="00CB68E6" w:rsidP="00CB68E6">
      <w:pPr>
        <w:spacing w:after="0" w:line="240" w:lineRule="auto"/>
        <w:rPr>
          <w:rFonts w:ascii="Times New Roman" w:hAnsi="Times New Roman"/>
        </w:rPr>
      </w:pPr>
    </w:p>
    <w:p w14:paraId="55F799A5"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Piktybinis neurolepsinis sindromas</w:t>
      </w:r>
    </w:p>
    <w:p w14:paraId="16CE3A1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Su gydymu antipsichoziniais vaistiniais preparatais, įskaitant kvetiapiną, buvo susijęs piktybinis neurolepsinis sindromas (žr. 4.8 skyrių). Klinikiniai jo simptomai yra hipertermija, psichikos pokytis, raumenų rigidiškumas, autonominės nervų sistemos nestabilumas ir kreatinfosfokinazės kiekio padidėjimas. Jeigu šis sindromas pasireiškia, kvetiapino vartojimą reikia nutraukti ir skirti tinkamą šio sindromo gydymą. </w:t>
      </w:r>
    </w:p>
    <w:p w14:paraId="00975475" w14:textId="75E8035D" w:rsidR="00CB68E6" w:rsidRDefault="00CB68E6" w:rsidP="00CB68E6">
      <w:pPr>
        <w:spacing w:after="0" w:line="240" w:lineRule="auto"/>
        <w:rPr>
          <w:rFonts w:ascii="Times New Roman" w:hAnsi="Times New Roman"/>
        </w:rPr>
      </w:pPr>
    </w:p>
    <w:p w14:paraId="60D5FE38" w14:textId="5BD5D811" w:rsidR="00775B7D" w:rsidRDefault="00775B7D" w:rsidP="00CB68E6">
      <w:pPr>
        <w:spacing w:after="0" w:line="240" w:lineRule="auto"/>
        <w:rPr>
          <w:rFonts w:ascii="Times New Roman" w:hAnsi="Times New Roman"/>
          <w:i/>
        </w:rPr>
      </w:pPr>
      <w:r>
        <w:rPr>
          <w:rFonts w:ascii="Times New Roman" w:hAnsi="Times New Roman"/>
          <w:i/>
        </w:rPr>
        <w:t>Serotonino sindromas</w:t>
      </w:r>
    </w:p>
    <w:p w14:paraId="5635FAF1" w14:textId="3F268F3A" w:rsidR="00FB17ED" w:rsidRDefault="00FB17ED" w:rsidP="00CB68E6">
      <w:pPr>
        <w:spacing w:after="0" w:line="240" w:lineRule="auto"/>
        <w:rPr>
          <w:rFonts w:ascii="Times New Roman" w:hAnsi="Times New Roman"/>
        </w:rPr>
      </w:pPr>
      <w:r>
        <w:rPr>
          <w:rFonts w:ascii="Times New Roman" w:hAnsi="Times New Roman"/>
        </w:rPr>
        <w:t xml:space="preserve">Kartu vartojant </w:t>
      </w:r>
      <w:r w:rsidR="007C412E" w:rsidRPr="00FB17ED">
        <w:rPr>
          <w:rFonts w:ascii="Times New Roman" w:hAnsi="Times New Roman"/>
        </w:rPr>
        <w:t xml:space="preserve">Hedonin ir </w:t>
      </w:r>
      <w:r w:rsidR="007C412E">
        <w:rPr>
          <w:rFonts w:ascii="Times New Roman" w:hAnsi="Times New Roman"/>
        </w:rPr>
        <w:t xml:space="preserve">kitų serotoninerginių </w:t>
      </w:r>
      <w:r>
        <w:rPr>
          <w:rFonts w:ascii="Times New Roman" w:hAnsi="Times New Roman"/>
        </w:rPr>
        <w:t>medžiagų</w:t>
      </w:r>
      <w:r w:rsidR="007C412E">
        <w:rPr>
          <w:rFonts w:ascii="Times New Roman" w:hAnsi="Times New Roman"/>
        </w:rPr>
        <w:t>, tokių kaip MAO inhibitoriai, sel</w:t>
      </w:r>
      <w:r>
        <w:rPr>
          <w:rFonts w:ascii="Times New Roman" w:hAnsi="Times New Roman"/>
        </w:rPr>
        <w:t>ektyvūs sero</w:t>
      </w:r>
      <w:r w:rsidR="007C412E">
        <w:rPr>
          <w:rFonts w:ascii="Times New Roman" w:hAnsi="Times New Roman"/>
        </w:rPr>
        <w:t>tonino reabsorbcijos inhibitoriai (SSRI), serotonino-noradrenalino reabsorbcijos inhibitoriai (SNRI) arba tricikliai antidepresantai</w:t>
      </w:r>
      <w:r>
        <w:rPr>
          <w:rFonts w:ascii="Times New Roman" w:hAnsi="Times New Roman"/>
        </w:rPr>
        <w:t>,</w:t>
      </w:r>
      <w:r w:rsidR="007C412E">
        <w:rPr>
          <w:rFonts w:ascii="Times New Roman" w:hAnsi="Times New Roman"/>
        </w:rPr>
        <w:t xml:space="preserve"> vartojimas kartu gali sukelti gyvybei pavojingą būklę - serotonino sindromą (žr. 4.5 skyrių).</w:t>
      </w:r>
    </w:p>
    <w:p w14:paraId="357E496B" w14:textId="5DF49B6E" w:rsidR="00FB17ED" w:rsidRPr="00FB17ED" w:rsidRDefault="00FB17ED" w:rsidP="00FB17ED">
      <w:pPr>
        <w:spacing w:after="0" w:line="240" w:lineRule="auto"/>
        <w:rPr>
          <w:rFonts w:ascii="Times New Roman" w:hAnsi="Times New Roman"/>
        </w:rPr>
      </w:pPr>
      <w:r>
        <w:rPr>
          <w:rFonts w:ascii="Times New Roman" w:hAnsi="Times New Roman"/>
        </w:rPr>
        <w:t>Jei vartojmas kartu su kitais serotoninerginiais vaistiniais preparatais klinikiniu požiūriu pagrįstas, rekomenduojama labai atidžiai sekti paciento būklę, ypač pradėjus gydymą ir didinant dozę. Serotonino sindromo simptomai gali būti psichinės būklės pokyčiai, autonominis nestabilumas, nervų-raumenų sutrikimai ir (arba) virškinimo trakto simptomai.</w:t>
      </w:r>
      <w:r w:rsidRPr="00FB17ED" w:rsidDel="00FB17ED">
        <w:rPr>
          <w:rFonts w:ascii="Times New Roman" w:hAnsi="Times New Roman"/>
        </w:rPr>
        <w:t xml:space="preserve"> </w:t>
      </w:r>
      <w:r>
        <w:rPr>
          <w:rFonts w:ascii="Times New Roman" w:hAnsi="Times New Roman"/>
        </w:rPr>
        <w:t>Įtarus serotonino sindromą, atsižvelgiant į simptomų sunkumą, reikia spręsti dėl dozės sumažinimo arba gydymo šiuo vaistiniu preparatu nutraukimo.</w:t>
      </w:r>
    </w:p>
    <w:p w14:paraId="4BBAB5E5" w14:textId="77777777" w:rsidR="00FB17ED" w:rsidRDefault="00FB17ED" w:rsidP="00CB68E6">
      <w:pPr>
        <w:spacing w:after="0" w:line="240" w:lineRule="auto"/>
        <w:rPr>
          <w:rFonts w:ascii="Times New Roman" w:eastAsia="Times New Roman" w:hAnsi="Times New Roman"/>
          <w:i/>
          <w:lang w:eastAsia="lt-LT"/>
        </w:rPr>
      </w:pPr>
    </w:p>
    <w:p w14:paraId="488FC6A6" w14:textId="3E6584AE" w:rsidR="00CB68E6" w:rsidRPr="00F45D90" w:rsidRDefault="00CB68E6" w:rsidP="00CB68E6">
      <w:pPr>
        <w:spacing w:after="0" w:line="240" w:lineRule="auto"/>
        <w:rPr>
          <w:rFonts w:ascii="Times New Roman" w:hAnsi="Times New Roman"/>
          <w:i/>
        </w:rPr>
      </w:pPr>
      <w:r w:rsidRPr="00F45D90">
        <w:rPr>
          <w:rFonts w:ascii="Times New Roman" w:eastAsia="Times New Roman" w:hAnsi="Times New Roman"/>
          <w:i/>
          <w:lang w:eastAsia="lt-LT"/>
        </w:rPr>
        <w:t>Sunki neutropenija</w:t>
      </w:r>
      <w:r w:rsidRPr="00F45D90">
        <w:rPr>
          <w:rFonts w:ascii="Times New Roman" w:hAnsi="Times New Roman"/>
          <w:i/>
        </w:rPr>
        <w:t xml:space="preserve"> ir agranulocitozė</w:t>
      </w:r>
    </w:p>
    <w:p w14:paraId="4EC4A659" w14:textId="01A33B85" w:rsidR="00CB68E6" w:rsidRPr="00F45D90" w:rsidRDefault="00CB68E6" w:rsidP="00CB68E6">
      <w:pPr>
        <w:spacing w:after="120" w:line="240" w:lineRule="auto"/>
        <w:rPr>
          <w:rFonts w:ascii="Times New Roman" w:eastAsia="Times New Roman" w:hAnsi="Times New Roman"/>
          <w:lang w:eastAsia="lt-LT"/>
        </w:rPr>
      </w:pPr>
      <w:r w:rsidRPr="00F45D90">
        <w:rPr>
          <w:rFonts w:ascii="Times New Roman" w:eastAsia="Times New Roman" w:hAnsi="Times New Roman"/>
          <w:noProof/>
          <w:lang w:eastAsia="lt-LT"/>
        </w:rPr>
        <w:t>Kvetiapino klinikinių tyrimų metu pasireiškė sunki neutropenija (neutrofilų skaičius &lt;</w:t>
      </w:r>
      <w:r w:rsidR="00E573E9">
        <w:rPr>
          <w:rFonts w:ascii="Times New Roman" w:eastAsia="Times New Roman" w:hAnsi="Times New Roman"/>
          <w:noProof/>
          <w:lang w:eastAsia="lt-LT"/>
        </w:rPr>
        <w:t> </w:t>
      </w:r>
      <w:r w:rsidRPr="00F45D90">
        <w:rPr>
          <w:rFonts w:ascii="Times New Roman" w:eastAsia="Times New Roman" w:hAnsi="Times New Roman"/>
          <w:noProof/>
          <w:lang w:eastAsia="lt-LT"/>
        </w:rPr>
        <w:t>0,5 x</w:t>
      </w:r>
      <w:r w:rsidR="00E573E9">
        <w:rPr>
          <w:rFonts w:ascii="Times New Roman" w:eastAsia="Times New Roman" w:hAnsi="Times New Roman"/>
          <w:noProof/>
          <w:lang w:eastAsia="lt-LT"/>
        </w:rPr>
        <w:t> </w:t>
      </w:r>
      <w:r w:rsidRPr="00F45D90">
        <w:rPr>
          <w:rFonts w:ascii="Times New Roman" w:eastAsia="Times New Roman" w:hAnsi="Times New Roman"/>
          <w:noProof/>
          <w:lang w:eastAsia="lt-LT"/>
        </w:rPr>
        <w:t>10</w:t>
      </w:r>
      <w:r w:rsidRPr="00F45D90">
        <w:rPr>
          <w:rFonts w:ascii="Times New Roman" w:eastAsia="Times New Roman" w:hAnsi="Times New Roman"/>
          <w:noProof/>
          <w:vertAlign w:val="superscript"/>
          <w:lang w:eastAsia="lt-LT"/>
        </w:rPr>
        <w:t>9</w:t>
      </w:r>
      <w:r w:rsidRPr="00F45D90">
        <w:rPr>
          <w:rFonts w:ascii="Times New Roman" w:eastAsia="Times New Roman" w:hAnsi="Times New Roman"/>
          <w:noProof/>
          <w:lang w:eastAsia="lt-LT"/>
        </w:rPr>
        <w:t>/l). Dauguma sunkios neutropenijos atvejų nustatyti per pirmuosius kelis gydymo kvetiapinu mėnesius. Aiškaus sąryšio su doze nebuvo. Patirtis, sukaupta vaistui patekus į rinką, rodo, kad</w:t>
      </w:r>
      <w:r w:rsidRPr="00F45D90">
        <w:rPr>
          <w:rFonts w:ascii="Times New Roman" w:hAnsi="Times New Roman"/>
        </w:rPr>
        <w:t xml:space="preserve"> kai kuriais atvejais ištiko mirtis</w:t>
      </w:r>
      <w:r w:rsidRPr="00F45D90">
        <w:rPr>
          <w:rFonts w:ascii="Times New Roman" w:eastAsia="Times New Roman" w:hAnsi="Times New Roman"/>
          <w:noProof/>
          <w:lang w:eastAsia="lt-LT"/>
        </w:rPr>
        <w:t>. Galimi neutropenijos rizikos veiksniai yra iš anksčiau esantis sumažėjęs leukocitų kiekis ir buvusi vaistų sukelta neutropenija.</w:t>
      </w:r>
      <w:r w:rsidRPr="00F45D90">
        <w:rPr>
          <w:rFonts w:ascii="Times New Roman" w:eastAsia="Times New Roman" w:hAnsi="Times New Roman"/>
          <w:lang w:eastAsia="lt-LT"/>
        </w:rPr>
        <w:t xml:space="preserve"> Neutropenijos atvejų pasitaikė pacientams, kuriems tokių pokyčių anksčiau nebuvo. Pacientams, kuriems neutrofilų yra mažiau negu 1</w:t>
      </w:r>
      <w:r w:rsidR="00E573E9">
        <w:rPr>
          <w:rFonts w:ascii="Times New Roman" w:eastAsia="Times New Roman" w:hAnsi="Times New Roman"/>
          <w:lang w:eastAsia="lt-LT"/>
        </w:rPr>
        <w:t> </w:t>
      </w:r>
      <w:r w:rsidRPr="00F45D90">
        <w:rPr>
          <w:rFonts w:ascii="Times New Roman" w:eastAsia="Times New Roman" w:hAnsi="Times New Roman"/>
          <w:lang w:eastAsia="lt-LT"/>
        </w:rPr>
        <w:t>x</w:t>
      </w:r>
      <w:r w:rsidR="00E573E9">
        <w:rPr>
          <w:rFonts w:ascii="Times New Roman" w:eastAsia="Times New Roman" w:hAnsi="Times New Roman"/>
          <w:lang w:eastAsia="lt-LT"/>
        </w:rPr>
        <w:t> </w:t>
      </w:r>
      <w:r w:rsidRPr="00F45D90">
        <w:rPr>
          <w:rFonts w:ascii="Times New Roman" w:eastAsia="Times New Roman" w:hAnsi="Times New Roman"/>
          <w:lang w:eastAsia="lt-LT"/>
        </w:rPr>
        <w:t>10</w:t>
      </w:r>
      <w:r w:rsidRPr="00F45D90">
        <w:rPr>
          <w:rFonts w:ascii="Times New Roman" w:eastAsia="Times New Roman" w:hAnsi="Times New Roman"/>
          <w:vertAlign w:val="superscript"/>
          <w:lang w:eastAsia="lt-LT"/>
        </w:rPr>
        <w:t>9</w:t>
      </w:r>
      <w:r w:rsidRPr="00F45D90">
        <w:rPr>
          <w:rFonts w:ascii="Times New Roman" w:eastAsia="Times New Roman" w:hAnsi="Times New Roman"/>
          <w:lang w:eastAsia="lt-LT"/>
        </w:rPr>
        <w:t>/l, gydymą kvetiapinu reikia nutraukti. Reikia stebėti, ar šiems ligoniams neatsiranda infekcijos požymių ir simptomų, bei sekti jų neutrofilų skaičių (kol jis taps didesnis negu 1,5</w:t>
      </w:r>
      <w:r w:rsidR="00E573E9">
        <w:rPr>
          <w:rFonts w:ascii="Times New Roman" w:eastAsia="Times New Roman" w:hAnsi="Times New Roman"/>
          <w:lang w:eastAsia="lt-LT"/>
        </w:rPr>
        <w:t> </w:t>
      </w:r>
      <w:r w:rsidRPr="00F45D90">
        <w:rPr>
          <w:rFonts w:ascii="Times New Roman" w:eastAsia="Times New Roman" w:hAnsi="Times New Roman"/>
          <w:lang w:eastAsia="lt-LT"/>
        </w:rPr>
        <w:t>x</w:t>
      </w:r>
      <w:r w:rsidR="00E573E9">
        <w:rPr>
          <w:rFonts w:ascii="Times New Roman" w:eastAsia="Times New Roman" w:hAnsi="Times New Roman"/>
          <w:lang w:eastAsia="lt-LT"/>
        </w:rPr>
        <w:t> </w:t>
      </w:r>
      <w:r w:rsidRPr="00F45D90">
        <w:rPr>
          <w:rFonts w:ascii="Times New Roman" w:eastAsia="Times New Roman" w:hAnsi="Times New Roman"/>
          <w:lang w:eastAsia="lt-LT"/>
        </w:rPr>
        <w:t>10</w:t>
      </w:r>
      <w:r w:rsidRPr="00F45D90">
        <w:rPr>
          <w:rFonts w:ascii="Times New Roman" w:eastAsia="Times New Roman" w:hAnsi="Times New Roman"/>
          <w:vertAlign w:val="superscript"/>
          <w:lang w:eastAsia="lt-LT"/>
        </w:rPr>
        <w:t>9</w:t>
      </w:r>
      <w:r w:rsidRPr="00F45D90">
        <w:rPr>
          <w:rFonts w:ascii="Times New Roman" w:eastAsia="Times New Roman" w:hAnsi="Times New Roman"/>
          <w:lang w:eastAsia="lt-LT"/>
        </w:rPr>
        <w:t>/l) (žr. 5.1 skyrių).</w:t>
      </w:r>
    </w:p>
    <w:p w14:paraId="692E73AE" w14:textId="77777777" w:rsidR="00CB68E6" w:rsidRPr="00F45D90" w:rsidRDefault="00CB68E6" w:rsidP="00CB68E6">
      <w:pPr>
        <w:spacing w:after="0" w:line="240" w:lineRule="auto"/>
        <w:rPr>
          <w:rFonts w:ascii="Times New Roman" w:eastAsia="Times New Roman" w:hAnsi="Times New Roman"/>
        </w:rPr>
      </w:pPr>
      <w:r w:rsidRPr="00F45D90">
        <w:rPr>
          <w:rFonts w:ascii="Times New Roman" w:eastAsia="Times New Roman" w:hAnsi="Times New Roman"/>
        </w:rPr>
        <w:t>Į neutropenijos galimybę reikia atsižvelgti, jeigu pacientui pasireiškia infekcija, ypač kai nėra aiškių jos rizikos veiksnių, arba kai be aiškios priežasties prasideda karščiavimas. Neutropeniją reikia gydyti pagal klinikinį poreikį.</w:t>
      </w:r>
    </w:p>
    <w:p w14:paraId="3618C1C3" w14:textId="77777777" w:rsidR="00CB68E6" w:rsidRPr="00F45D90" w:rsidRDefault="00CB68E6" w:rsidP="00CB68E6">
      <w:pPr>
        <w:spacing w:after="0" w:line="240" w:lineRule="auto"/>
        <w:rPr>
          <w:rFonts w:ascii="Times New Roman" w:hAnsi="Times New Roman"/>
          <w:b/>
          <w:i/>
        </w:rPr>
      </w:pPr>
    </w:p>
    <w:p w14:paraId="6ECE30B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Pacientams reikia nurodyti, kad atsiradus su agranulocitoze arba infekcija galimai susijusių požymių (pvz.: karščiavimui, silpnumui, letargijai arba gerklės skausmui) vartojant Hedonin</w:t>
      </w:r>
      <w:r w:rsidRPr="00F45D90">
        <w:rPr>
          <w:rFonts w:ascii="Times New Roman" w:eastAsia="Times New Roman" w:hAnsi="Times New Roman"/>
          <w:bCs/>
          <w:color w:val="222222"/>
          <w:lang w:eastAsia="lt-LT"/>
        </w:rPr>
        <w:t xml:space="preserve">, reikia nedelsiant apie tai informuoti gydytoją. Tokiems pacientams reikia skubiai atlikti leukocitų ir bendro neutrofilų skaičiaus tyrimus, ypač jeigu aiškios infekcijos priežasties nėra. </w:t>
      </w:r>
    </w:p>
    <w:p w14:paraId="77303612" w14:textId="77777777" w:rsidR="00CB68E6" w:rsidRPr="00F45D90" w:rsidRDefault="00CB68E6" w:rsidP="00CB68E6">
      <w:pPr>
        <w:spacing w:after="0" w:line="240" w:lineRule="auto"/>
        <w:rPr>
          <w:rFonts w:ascii="Times New Roman" w:hAnsi="Times New Roman"/>
        </w:rPr>
      </w:pPr>
    </w:p>
    <w:p w14:paraId="0F973CF7" w14:textId="77777777" w:rsidR="00CB68E6" w:rsidRPr="00F45D90" w:rsidRDefault="00CB68E6" w:rsidP="00CB68E6">
      <w:pPr>
        <w:spacing w:after="0" w:line="240" w:lineRule="auto"/>
        <w:rPr>
          <w:rFonts w:ascii="Times New Roman" w:hAnsi="Times New Roman"/>
          <w:bCs/>
          <w:u w:val="single"/>
        </w:rPr>
      </w:pPr>
      <w:r w:rsidRPr="00F45D90">
        <w:rPr>
          <w:rFonts w:ascii="Times New Roman" w:hAnsi="Times New Roman"/>
          <w:bCs/>
          <w:u w:val="single"/>
        </w:rPr>
        <w:t>Anticholinerginis (antimuskarininis) poveikis</w:t>
      </w:r>
    </w:p>
    <w:p w14:paraId="380A7CE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Kvetiapino aktyvus metabolitas norkvetiapinas turi vidutinį ar stiprų afinitetą kelių porūšių muskarino receptoriams. Tai įtakoja NRV, susijusių su anticholinerginiu poveikiu, pasireiškimą vartojant kvetiapiną rekomenduojamomis dozėmis, kartu su kitais anticholinerginiais vaistiniais preparatais arba jo perdozavus. Kvetiapino atsargiai skiriama kartu su anticholinerginiais (antimuskarininiais) vaistiniais preparatais. Kvetiapino taip pat reikia atsargiai skirti pacientams, kuriems šiuo metu diagnozuotas arba anksčiau buvo šlapimo susilaikymas, kliniškai reikšminga prostatos hipertrofija, žarnų obstrukcija arba panašios būklės, padidėjęs akispūdis arba uždaro kampo glaukoma (žr. 4.5, 4.8, 4.9 ir 5.1 skyrius).</w:t>
      </w:r>
    </w:p>
    <w:p w14:paraId="0566E4CB" w14:textId="77777777" w:rsidR="00CB68E6" w:rsidRPr="00F45D90" w:rsidRDefault="00CB68E6" w:rsidP="00CB68E6">
      <w:pPr>
        <w:spacing w:after="0" w:line="240" w:lineRule="auto"/>
        <w:rPr>
          <w:rFonts w:ascii="Times New Roman" w:hAnsi="Times New Roman"/>
        </w:rPr>
      </w:pPr>
    </w:p>
    <w:p w14:paraId="5763F3AC"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Sąveika su kitais vaistiniais preparatais</w:t>
      </w:r>
    </w:p>
    <w:p w14:paraId="3087E29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Taip pat žr. 4.5 skyrių.</w:t>
      </w:r>
    </w:p>
    <w:p w14:paraId="680D14F8" w14:textId="77777777" w:rsidR="00CB68E6" w:rsidRPr="00F45D90" w:rsidRDefault="00CB68E6" w:rsidP="00CB68E6">
      <w:pPr>
        <w:spacing w:after="0" w:line="240" w:lineRule="auto"/>
        <w:rPr>
          <w:rFonts w:ascii="Times New Roman" w:hAnsi="Times New Roman"/>
        </w:rPr>
      </w:pPr>
    </w:p>
    <w:p w14:paraId="58EA64E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Kvetiapiną vartojant kartu su stipriais kepenų fermentų aktyvumą didinančiais vaistiniais preparatais, pvz., karbamazepinu ar fenitoinu, gerokai sumažėja kvetiapino plazmos koncentracija. Tai gali turėti įtakos gydymo kvetiapinu</w:t>
      </w:r>
      <w:r w:rsidRPr="00F45D90">
        <w:rPr>
          <w:rFonts w:ascii="Times New Roman" w:hAnsi="Times New Roman"/>
          <w:noProof/>
          <w:lang w:eastAsia="lt-LT"/>
        </w:rPr>
        <w:t xml:space="preserve"> </w:t>
      </w:r>
      <w:r w:rsidRPr="00F45D90">
        <w:rPr>
          <w:rFonts w:ascii="Times New Roman" w:hAnsi="Times New Roman"/>
          <w:noProof/>
        </w:rPr>
        <w:t>veiksmingumui</w:t>
      </w:r>
      <w:r w:rsidRPr="00F45D90">
        <w:rPr>
          <w:rFonts w:ascii="Times New Roman" w:hAnsi="Times New Roman"/>
        </w:rPr>
        <w:t xml:space="preserve">. </w:t>
      </w:r>
    </w:p>
    <w:p w14:paraId="332EDB73" w14:textId="77777777" w:rsidR="00CB68E6" w:rsidRPr="00F45D90" w:rsidRDefault="00CB68E6" w:rsidP="00CB68E6">
      <w:pPr>
        <w:spacing w:after="0" w:line="240" w:lineRule="auto"/>
        <w:rPr>
          <w:rFonts w:ascii="Times New Roman" w:hAnsi="Times New Roman"/>
          <w:noProof/>
        </w:rPr>
      </w:pPr>
      <w:r w:rsidRPr="00F45D90">
        <w:rPr>
          <w:rFonts w:ascii="Times New Roman" w:hAnsi="Times New Roman"/>
          <w:noProof/>
        </w:rPr>
        <w:t xml:space="preserve">Pacientams, kurie vartoja </w:t>
      </w:r>
      <w:r w:rsidRPr="00F45D90">
        <w:rPr>
          <w:rFonts w:ascii="Times New Roman" w:hAnsi="Times New Roman"/>
        </w:rPr>
        <w:t>kepenų fermentų aktyvumą didinančių  vaistinių preparatų, kvetiapino</w:t>
      </w:r>
      <w:r w:rsidRPr="00F45D90">
        <w:rPr>
          <w:rFonts w:ascii="Times New Roman" w:hAnsi="Times New Roman"/>
          <w:noProof/>
          <w:lang w:eastAsia="lt-LT"/>
        </w:rPr>
        <w:t xml:space="preserve"> </w:t>
      </w:r>
      <w:r w:rsidRPr="00F45D90">
        <w:rPr>
          <w:rFonts w:ascii="Times New Roman" w:hAnsi="Times New Roman"/>
          <w:noProof/>
        </w:rPr>
        <w:t xml:space="preserve">galima skirti tik tuomet, jei gydytojas nusprendžia, jog gydymo kvetiapinu nauda bus didesnė nei gydymo kepenų fermentų </w:t>
      </w:r>
      <w:r w:rsidRPr="00F45D90">
        <w:rPr>
          <w:rFonts w:ascii="Times New Roman" w:hAnsi="Times New Roman"/>
        </w:rPr>
        <w:t xml:space="preserve">aktyvumą didinančiais </w:t>
      </w:r>
      <w:r w:rsidRPr="00F45D90">
        <w:rPr>
          <w:rFonts w:ascii="Times New Roman" w:hAnsi="Times New Roman"/>
          <w:noProof/>
        </w:rPr>
        <w:t>vaistiniais preparatais nutraukimo rizika. Svarbu gydymą fermentų aktyvumą didinančiais vaistiniais preparatais keisti palaipsniui. Jei reikia, šie preparatai gali būti pakeisti kepenų fermentų nesužadinančiais preparatais (pvz., natrio valproatu).</w:t>
      </w:r>
    </w:p>
    <w:p w14:paraId="27A58E37" w14:textId="77777777" w:rsidR="00CB68E6" w:rsidRPr="00F45D90" w:rsidRDefault="00CB68E6" w:rsidP="00CB68E6">
      <w:pPr>
        <w:spacing w:after="0" w:line="240" w:lineRule="auto"/>
        <w:rPr>
          <w:rFonts w:ascii="Times New Roman" w:hAnsi="Times New Roman"/>
        </w:rPr>
      </w:pPr>
    </w:p>
    <w:p w14:paraId="154D99BE"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Svoris</w:t>
      </w:r>
    </w:p>
    <w:p w14:paraId="5D0FC59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Pranešama apie svorio padidėjimą kvetiapinu gydomiems pacientams, todėl reikia stebėti dėl šių pokyčių bei imtis priemonių atsižvelgiant į paciento ligą bei laikantis antipsichozinių vaistų vartojimo nurodymų (žr. 4. 8 ir 5.1 skyrius). </w:t>
      </w:r>
    </w:p>
    <w:p w14:paraId="411D360F" w14:textId="77777777" w:rsidR="00CB68E6" w:rsidRPr="00F45D90" w:rsidRDefault="00CB68E6" w:rsidP="00CB68E6">
      <w:pPr>
        <w:spacing w:after="0" w:line="240" w:lineRule="auto"/>
        <w:rPr>
          <w:rFonts w:ascii="Times New Roman" w:hAnsi="Times New Roman"/>
        </w:rPr>
      </w:pPr>
    </w:p>
    <w:p w14:paraId="18AFBA5D"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Hiperglikemija</w:t>
      </w:r>
    </w:p>
    <w:p w14:paraId="288D3E4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Gydant kvetiapinu, retais atvejais nustatyta hiperglikemija ir (arba) cukrinis diabetas, arba iki gydymo buvusio cukrinio diabeto eigos pasunkėjimas, retkarčiais ketoacidozė arba koma, įskaitant keletą mirties atvejų (žr. 4.8 skyrių). Kartais pranešama apie prieš tai prasidėjusį svorio padidėjimą, kuris gali būti predisponuojančiu faktoriumi. Reikalingas atitinkamas paciento stebėjimas laikantis antipsichozinių vaistų vartojimo nuorodų. Pacientai, gydomi antipsichoziniais vaistiniais preparatais, įskaitant kvetiapiną, turi būti stebimi dėl galimos hiperglikemijos požymių (polidipsijos, poliurijos, polifagijos ir silpnumo), cukriniu diabetu sergantys pacientai arba pacientai, kuriems išaiškinti cukrinio diabeto rizikos faktoriai, turi būti reguliariai stebimi dėl galimo cukraus kiekio kontrolės pablogėjimo. Reguliariai reikia stebėti svorio pokyčius.</w:t>
      </w:r>
    </w:p>
    <w:p w14:paraId="4D9A0D7E" w14:textId="77777777" w:rsidR="00CB68E6" w:rsidRPr="00F45D90" w:rsidRDefault="00CB68E6" w:rsidP="00CB68E6">
      <w:pPr>
        <w:spacing w:after="0" w:line="240" w:lineRule="auto"/>
        <w:rPr>
          <w:rFonts w:ascii="Times New Roman" w:eastAsia="Times New Roman" w:hAnsi="Times New Roman"/>
          <w:iCs/>
          <w:u w:val="single"/>
          <w:lang w:eastAsia="lt-LT"/>
        </w:rPr>
      </w:pPr>
    </w:p>
    <w:p w14:paraId="2A04785C" w14:textId="77777777" w:rsidR="00CB68E6" w:rsidRPr="00F45D90" w:rsidRDefault="00CB68E6" w:rsidP="00CB68E6">
      <w:pPr>
        <w:spacing w:after="0" w:line="240" w:lineRule="auto"/>
        <w:rPr>
          <w:rFonts w:ascii="Times New Roman" w:eastAsia="Times New Roman" w:hAnsi="Times New Roman"/>
          <w:i/>
          <w:iCs/>
          <w:lang w:eastAsia="lt-LT"/>
        </w:rPr>
      </w:pPr>
      <w:r w:rsidRPr="00F45D90">
        <w:rPr>
          <w:rFonts w:ascii="Times New Roman" w:eastAsia="Times New Roman" w:hAnsi="Times New Roman"/>
          <w:i/>
          <w:iCs/>
          <w:lang w:eastAsia="lt-LT"/>
        </w:rPr>
        <w:t>Lipidai</w:t>
      </w:r>
    </w:p>
    <w:p w14:paraId="088A363F"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lang w:eastAsia="lt-LT"/>
        </w:rPr>
        <w:t>Kvetiapino klinikinių tyrimų metu pastebėta trigliceridų, mažo tankio lipoproteinų (MTL) ir bendro cholesterolio koncentracijos padidėjimo ir didelio tankio lipoproteinų (DTL) sumažėjimo atvejų (žr. 4.8 skyrių). Lipidų pokyčiai turi būti pašalinti, jei kliniškai tikslinga.</w:t>
      </w:r>
    </w:p>
    <w:p w14:paraId="394FB3AD" w14:textId="77777777" w:rsidR="00CB68E6" w:rsidRPr="00F45D90" w:rsidRDefault="00CB68E6" w:rsidP="00CB68E6">
      <w:pPr>
        <w:spacing w:after="0" w:line="240" w:lineRule="auto"/>
        <w:rPr>
          <w:rFonts w:ascii="Times New Roman" w:eastAsia="Times New Roman" w:hAnsi="Times New Roman"/>
          <w:lang w:eastAsia="lt-LT"/>
        </w:rPr>
      </w:pPr>
    </w:p>
    <w:p w14:paraId="41ACD4CE" w14:textId="77777777" w:rsidR="00CB68E6" w:rsidRPr="00F45D90" w:rsidRDefault="00CB68E6" w:rsidP="00CB68E6">
      <w:pPr>
        <w:spacing w:after="0" w:line="240" w:lineRule="auto"/>
        <w:rPr>
          <w:rFonts w:ascii="Times New Roman" w:eastAsia="Times New Roman" w:hAnsi="Times New Roman"/>
          <w:i/>
          <w:lang w:eastAsia="lt-LT"/>
        </w:rPr>
      </w:pPr>
      <w:r w:rsidRPr="00F45D90">
        <w:rPr>
          <w:rFonts w:ascii="Times New Roman" w:eastAsia="Times New Roman" w:hAnsi="Times New Roman"/>
          <w:i/>
          <w:lang w:eastAsia="lt-LT"/>
        </w:rPr>
        <w:t>QT intervalo pailgėjimas</w:t>
      </w:r>
    </w:p>
    <w:p w14:paraId="1E6CBE53" w14:textId="548C9F28" w:rsidR="00CB68E6" w:rsidRPr="00F45D90" w:rsidRDefault="00CB68E6" w:rsidP="00CB68E6">
      <w:pPr>
        <w:spacing w:after="0" w:line="240" w:lineRule="auto"/>
        <w:rPr>
          <w:rFonts w:ascii="Times New Roman" w:hAnsi="Times New Roman"/>
          <w:bCs/>
        </w:rPr>
      </w:pPr>
      <w:r w:rsidRPr="00F45D90">
        <w:rPr>
          <w:rFonts w:ascii="Times New Roman" w:hAnsi="Times New Roman"/>
        </w:rPr>
        <w:t xml:space="preserve">Klinikinių tyrimų duomenimis ir kvetiapino vartojant taip, kaip rekomenduojama preparato charakteristikų santraukoje, jo vartojimas nebuvo susijęs su nuolatiniu absoliutaus QT intervalo pailgėjimu. Patekus vaistui į rinką, QT intervalo pailgėjimas pasitaikė vartojant kvetiapino gydomosiomis dozėmis (žr. 4.8 skyrių) ir vaisto perdozavus (žr. 4.9 skyrių).  Kvetiapino, kaip ir kitų antipsichozinių preparatų, reikia vartoti atsargiai pacientams, kurie serga širdies ir kraujagyslių liga ar kurių kraujo giminaičiams yra buvęs QT pailgėjimas. Be to, atsargumas reikalingas kvetiapino skiriant </w:t>
      </w:r>
      <w:r w:rsidRPr="00F45D90">
        <w:rPr>
          <w:rFonts w:ascii="Times New Roman" w:hAnsi="Times New Roman"/>
          <w:bCs/>
        </w:rPr>
        <w:t xml:space="preserve">kartu su QT intervalą ilginančiais vaistais arba neuroleptikais, ypač senyviems pacientams, esant </w:t>
      </w:r>
      <w:r w:rsidRPr="00F45D90">
        <w:rPr>
          <w:rFonts w:ascii="Times New Roman" w:hAnsi="Times New Roman"/>
          <w:bCs/>
        </w:rPr>
        <w:lastRenderedPageBreak/>
        <w:t>įgimto ilgo QT sindromui, staziniam širdies nepakankamumui, širdies hipertrofijai, hipokalemijai ar hipomagnezemijai (žr. 4.5 skyrių).</w:t>
      </w:r>
    </w:p>
    <w:p w14:paraId="4CCE47AD" w14:textId="77777777" w:rsidR="00CB68E6" w:rsidRPr="00F45D90" w:rsidRDefault="00CB68E6" w:rsidP="00CB68E6">
      <w:pPr>
        <w:spacing w:after="0" w:line="240" w:lineRule="auto"/>
        <w:rPr>
          <w:rFonts w:ascii="Times New Roman" w:hAnsi="Times New Roman"/>
          <w:i/>
        </w:rPr>
      </w:pPr>
    </w:p>
    <w:p w14:paraId="20A0834D"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Kardiomiopatija ir miokarditas</w:t>
      </w:r>
    </w:p>
    <w:p w14:paraId="48D9F771" w14:textId="175645BA" w:rsidR="00CB68E6" w:rsidRDefault="00CB68E6" w:rsidP="00CB68E6">
      <w:pPr>
        <w:spacing w:after="0" w:line="240" w:lineRule="auto"/>
        <w:rPr>
          <w:rFonts w:ascii="Times New Roman" w:hAnsi="Times New Roman"/>
        </w:rPr>
      </w:pPr>
      <w:r w:rsidRPr="00F45D90">
        <w:rPr>
          <w:rFonts w:ascii="Times New Roman" w:hAnsi="Times New Roman"/>
        </w:rPr>
        <w:t>Apie kardiomiopatiją ir miokarditą gauta pranešimų klinikinių tyrimų metu ir patekus vaistui į rinkodarą</w:t>
      </w:r>
      <w:r w:rsidR="00DC0DA4">
        <w:rPr>
          <w:rFonts w:ascii="Times New Roman" w:hAnsi="Times New Roman"/>
        </w:rPr>
        <w:t xml:space="preserve"> (žr. 4.8 skyrių).</w:t>
      </w:r>
      <w:r w:rsidR="00066556">
        <w:rPr>
          <w:rFonts w:ascii="Times New Roman" w:hAnsi="Times New Roman"/>
        </w:rPr>
        <w:t>P</w:t>
      </w:r>
      <w:r w:rsidRPr="00F45D90">
        <w:rPr>
          <w:rFonts w:ascii="Times New Roman" w:hAnsi="Times New Roman"/>
        </w:rPr>
        <w:t>acientui įtari</w:t>
      </w:r>
      <w:r w:rsidR="00066556">
        <w:rPr>
          <w:rFonts w:ascii="Times New Roman" w:hAnsi="Times New Roman"/>
        </w:rPr>
        <w:t>ant</w:t>
      </w:r>
      <w:r w:rsidRPr="00F45D90">
        <w:rPr>
          <w:rFonts w:ascii="Times New Roman" w:hAnsi="Times New Roman"/>
        </w:rPr>
        <w:t xml:space="preserve"> miokardiopatij</w:t>
      </w:r>
      <w:r w:rsidR="00066556">
        <w:rPr>
          <w:rFonts w:ascii="Times New Roman" w:hAnsi="Times New Roman"/>
        </w:rPr>
        <w:t>ą</w:t>
      </w:r>
      <w:r w:rsidRPr="00F45D90">
        <w:rPr>
          <w:rFonts w:ascii="Times New Roman" w:hAnsi="Times New Roman"/>
        </w:rPr>
        <w:t xml:space="preserve"> arba miokardit</w:t>
      </w:r>
      <w:r w:rsidR="00066556">
        <w:rPr>
          <w:rFonts w:ascii="Times New Roman" w:hAnsi="Times New Roman"/>
        </w:rPr>
        <w:t>ą</w:t>
      </w:r>
      <w:r w:rsidRPr="00F45D90">
        <w:rPr>
          <w:rFonts w:ascii="Times New Roman" w:hAnsi="Times New Roman"/>
        </w:rPr>
        <w:t>, reikia įvertinti gydymo kvetiapinu tikslingumą.</w:t>
      </w:r>
    </w:p>
    <w:p w14:paraId="64F908D9" w14:textId="05796679" w:rsidR="00066556" w:rsidRDefault="00066556" w:rsidP="00CB68E6">
      <w:pPr>
        <w:spacing w:after="0" w:line="240" w:lineRule="auto"/>
        <w:rPr>
          <w:rFonts w:ascii="Times New Roman" w:hAnsi="Times New Roman"/>
        </w:rPr>
      </w:pPr>
    </w:p>
    <w:p w14:paraId="10E60E1B" w14:textId="77777777" w:rsidR="00066556" w:rsidRPr="0071727F" w:rsidRDefault="00066556" w:rsidP="00066556">
      <w:pPr>
        <w:pStyle w:val="BTbEMEASMCA"/>
        <w:rPr>
          <w:sz w:val="22"/>
          <w:szCs w:val="22"/>
        </w:rPr>
      </w:pPr>
      <w:r w:rsidRPr="0071727F">
        <w:rPr>
          <w:sz w:val="22"/>
          <w:szCs w:val="22"/>
        </w:rPr>
        <w:t>Stipriai išreikštos odos nepageidaujamos reakcijos</w:t>
      </w:r>
    </w:p>
    <w:p w14:paraId="64B7CB18" w14:textId="277D3A6F" w:rsidR="00066556" w:rsidRPr="0071727F" w:rsidRDefault="00066556" w:rsidP="00066556">
      <w:pPr>
        <w:keepNext/>
        <w:shd w:val="clear" w:color="auto" w:fill="FFFFFF"/>
        <w:spacing w:after="0" w:line="240" w:lineRule="auto"/>
        <w:rPr>
          <w:rFonts w:ascii="Times New Roman" w:hAnsi="Times New Roman"/>
          <w:color w:val="000000"/>
        </w:rPr>
      </w:pPr>
      <w:r w:rsidRPr="0071727F">
        <w:rPr>
          <w:rFonts w:ascii="Times New Roman" w:eastAsia="Times New Roman" w:hAnsi="Times New Roman"/>
        </w:rPr>
        <w:t xml:space="preserve">Vartojant kvetiapiną labai retais atvejais užfiksuota stipriai išreikštų odos nepageidaujamų reakcijų (angl. </w:t>
      </w:r>
      <w:r w:rsidRPr="0071727F">
        <w:rPr>
          <w:rFonts w:ascii="Times New Roman" w:eastAsia="Times New Roman" w:hAnsi="Times New Roman"/>
          <w:i/>
        </w:rPr>
        <w:t>Severe cutaneous adverse reactions, SCARs</w:t>
      </w:r>
      <w:r w:rsidRPr="0071727F">
        <w:rPr>
          <w:rFonts w:ascii="Times New Roman" w:eastAsia="Times New Roman" w:hAnsi="Times New Roman"/>
        </w:rPr>
        <w:t>), įskaitant Stivenso-Džonsono (</w:t>
      </w:r>
      <w:r w:rsidRPr="0071727F">
        <w:rPr>
          <w:rFonts w:ascii="Times New Roman" w:eastAsia="Times New Roman" w:hAnsi="Times New Roman"/>
          <w:i/>
          <w:iCs/>
        </w:rPr>
        <w:t>Stevens-Johnson</w:t>
      </w:r>
      <w:r w:rsidRPr="0071727F">
        <w:rPr>
          <w:rFonts w:ascii="Times New Roman" w:eastAsia="Times New Roman" w:hAnsi="Times New Roman"/>
        </w:rPr>
        <w:t xml:space="preserve">) sindromą (SJS), </w:t>
      </w:r>
      <w:r w:rsidRPr="00F902E7">
        <w:rPr>
          <w:rFonts w:ascii="Times New Roman" w:eastAsia="Times New Roman" w:hAnsi="Times New Roman"/>
        </w:rPr>
        <w:t xml:space="preserve">toksinę epidermio nekrolizę (TEN) ir reakciją į vaistinį preparatą su eozinofilija ir sisteminiais sindromais (angl. </w:t>
      </w:r>
      <w:r w:rsidRPr="00093C15">
        <w:rPr>
          <w:rFonts w:ascii="Times New Roman" w:eastAsia="Times New Roman" w:hAnsi="Times New Roman"/>
          <w:i/>
        </w:rPr>
        <w:t>drug reaction with eosinophilia and systemic symptoms</w:t>
      </w:r>
      <w:r w:rsidRPr="00E425AE">
        <w:rPr>
          <w:rFonts w:ascii="Times New Roman" w:eastAsia="Times New Roman" w:hAnsi="Times New Roman"/>
          <w:i/>
        </w:rPr>
        <w:t>, DRESS</w:t>
      </w:r>
      <w:r w:rsidRPr="00E425AE">
        <w:rPr>
          <w:rFonts w:ascii="Times New Roman" w:eastAsia="Times New Roman" w:hAnsi="Times New Roman"/>
        </w:rPr>
        <w:t>)</w:t>
      </w:r>
      <w:r w:rsidRPr="00B95C9E">
        <w:rPr>
          <w:rFonts w:ascii="Times New Roman" w:eastAsia="Times New Roman" w:hAnsi="Times New Roman"/>
        </w:rPr>
        <w:t>, kurios gali būti pavojingos gyvybei arba mirtinos</w:t>
      </w:r>
      <w:r w:rsidRPr="0071727F">
        <w:rPr>
          <w:rFonts w:ascii="Times New Roman" w:eastAsia="Times New Roman" w:hAnsi="Times New Roman"/>
        </w:rPr>
        <w:t>. Stipriai išreikštos odos nepageidaujamos reakcijos dažniausiai pasireiškia vien</w:t>
      </w:r>
      <w:r w:rsidR="00B95C9E">
        <w:rPr>
          <w:rFonts w:ascii="Times New Roman" w:eastAsia="Times New Roman" w:hAnsi="Times New Roman"/>
        </w:rPr>
        <w:t>u</w:t>
      </w:r>
      <w:r w:rsidRPr="00B95C9E">
        <w:rPr>
          <w:rFonts w:ascii="Times New Roman" w:eastAsia="Times New Roman" w:hAnsi="Times New Roman"/>
        </w:rPr>
        <w:t xml:space="preserve"> ar keli</w:t>
      </w:r>
      <w:r w:rsidR="00B95C9E">
        <w:rPr>
          <w:rFonts w:ascii="Times New Roman" w:eastAsia="Times New Roman" w:hAnsi="Times New Roman"/>
        </w:rPr>
        <w:t>ų</w:t>
      </w:r>
      <w:r w:rsidRPr="00B95C9E">
        <w:rPr>
          <w:rFonts w:ascii="Times New Roman" w:eastAsia="Times New Roman" w:hAnsi="Times New Roman"/>
        </w:rPr>
        <w:t xml:space="preserve"> šių simptomų derin</w:t>
      </w:r>
      <w:r w:rsidR="00B95C9E">
        <w:rPr>
          <w:rFonts w:ascii="Times New Roman" w:eastAsia="Times New Roman" w:hAnsi="Times New Roman"/>
        </w:rPr>
        <w:t>iu</w:t>
      </w:r>
      <w:r w:rsidRPr="00B95C9E">
        <w:rPr>
          <w:rFonts w:ascii="Times New Roman" w:eastAsia="Times New Roman" w:hAnsi="Times New Roman"/>
        </w:rPr>
        <w:t xml:space="preserve">: plačiai išplitęs išbėrimas </w:t>
      </w:r>
      <w:r w:rsidR="00FB62A0" w:rsidRPr="00B95C9E">
        <w:rPr>
          <w:rFonts w:ascii="Times New Roman" w:eastAsia="Times New Roman" w:hAnsi="Times New Roman"/>
        </w:rPr>
        <w:t xml:space="preserve">su niežuliu arba pustulėmis, </w:t>
      </w:r>
      <w:r w:rsidRPr="00B95C9E">
        <w:rPr>
          <w:rFonts w:ascii="Times New Roman" w:eastAsia="Times New Roman" w:hAnsi="Times New Roman"/>
        </w:rPr>
        <w:t xml:space="preserve">eksfoliacinis dermatitas, karščiavimas, limfadenopatija </w:t>
      </w:r>
      <w:r w:rsidR="00B95C9E">
        <w:rPr>
          <w:rFonts w:ascii="Times New Roman" w:eastAsia="Times New Roman" w:hAnsi="Times New Roman"/>
        </w:rPr>
        <w:t>bei</w:t>
      </w:r>
      <w:r w:rsidRPr="00B95C9E">
        <w:rPr>
          <w:rFonts w:ascii="Times New Roman" w:eastAsia="Times New Roman" w:hAnsi="Times New Roman"/>
        </w:rPr>
        <w:t xml:space="preserve"> galima eozinofilija</w:t>
      </w:r>
      <w:r w:rsidR="00FB62A0" w:rsidRPr="00B95C9E">
        <w:rPr>
          <w:rFonts w:ascii="Times New Roman" w:eastAsia="Times New Roman" w:hAnsi="Times New Roman"/>
        </w:rPr>
        <w:t xml:space="preserve"> arba neutrofilija</w:t>
      </w:r>
      <w:r w:rsidRPr="0071727F">
        <w:rPr>
          <w:rFonts w:ascii="Times New Roman" w:eastAsia="Times New Roman" w:hAnsi="Times New Roman"/>
        </w:rPr>
        <w:t xml:space="preserve">. </w:t>
      </w:r>
      <w:r w:rsidR="00FB62A0" w:rsidRPr="0071727F">
        <w:rPr>
          <w:rFonts w:ascii="Times New Roman" w:eastAsia="Times New Roman" w:hAnsi="Times New Roman"/>
        </w:rPr>
        <w:t xml:space="preserve">Dauguma šių reakcijų pasireiškia 4 savaičių laikotarpyje nuo gydymo kvetiapinu pradžios, kai kurios DRESS reakcijos pasireiškia 6 savaičių laikotarpyje nuo gydymo pradžios. </w:t>
      </w:r>
      <w:r w:rsidRPr="0071727F">
        <w:rPr>
          <w:rFonts w:ascii="Times New Roman" w:eastAsia="Times New Roman" w:hAnsi="Times New Roman"/>
          <w:noProof/>
          <w:lang w:val="lv-LV"/>
        </w:rPr>
        <w:t>Jei pasireiškia požymių ir simptomų, verčiančių galvoti apie šias sunkias odos reakcijas, turi būti nedelsiant nutrauktas kvetiapino vartojimas ir apgalvotas alternatyvus gydymas</w:t>
      </w:r>
      <w:r w:rsidRPr="0071727F">
        <w:rPr>
          <w:rFonts w:ascii="Times New Roman" w:hAnsi="Times New Roman"/>
          <w:color w:val="000000"/>
        </w:rPr>
        <w:t>.</w:t>
      </w:r>
    </w:p>
    <w:p w14:paraId="6CF6750D" w14:textId="77777777" w:rsidR="00CB68E6" w:rsidRPr="00F45D90" w:rsidRDefault="00CB68E6" w:rsidP="00CB68E6">
      <w:pPr>
        <w:spacing w:after="0" w:line="240" w:lineRule="auto"/>
        <w:rPr>
          <w:rFonts w:ascii="Times New Roman" w:eastAsia="Times New Roman" w:hAnsi="Times New Roman"/>
          <w:lang w:eastAsia="lt-LT"/>
        </w:rPr>
      </w:pPr>
    </w:p>
    <w:p w14:paraId="45F56D1B" w14:textId="77777777" w:rsidR="00CB68E6" w:rsidRPr="00F45D90" w:rsidRDefault="00CB68E6" w:rsidP="00CB68E6">
      <w:pPr>
        <w:spacing w:after="0" w:line="240" w:lineRule="auto"/>
        <w:rPr>
          <w:rFonts w:ascii="Times New Roman" w:eastAsia="Times New Roman" w:hAnsi="Times New Roman"/>
          <w:i/>
          <w:lang w:eastAsia="lt-LT"/>
        </w:rPr>
      </w:pPr>
      <w:r w:rsidRPr="00F45D90">
        <w:rPr>
          <w:rFonts w:ascii="Times New Roman" w:eastAsia="Times New Roman" w:hAnsi="Times New Roman"/>
          <w:i/>
          <w:lang w:eastAsia="lt-LT"/>
        </w:rPr>
        <w:t>Vartojimo nutraukimas</w:t>
      </w:r>
    </w:p>
    <w:p w14:paraId="73678889"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lang w:eastAsia="lt-LT"/>
        </w:rPr>
        <w:t>Yra aprašyta atvejų, kai staiga nutraukus kvetiapino vartojimą atsirado ūminių nutraukimo simptomų: nemiga, pykinimas, galvos skausmas, viduriavimas, vėmimas, svaigulys ir irzlumas. Patartina vaisto vartojimą nutraukti palaipsniui, mažiausiai per vieną ar dvi savaites (žr. 4.8 skyrių).</w:t>
      </w:r>
    </w:p>
    <w:p w14:paraId="65EDE6E7" w14:textId="77777777" w:rsidR="00CB68E6" w:rsidRPr="00F45D90" w:rsidRDefault="00CB68E6" w:rsidP="00CB68E6">
      <w:pPr>
        <w:spacing w:after="0" w:line="240" w:lineRule="auto"/>
        <w:rPr>
          <w:rFonts w:ascii="Times New Roman" w:eastAsia="Times New Roman" w:hAnsi="Times New Roman"/>
          <w:lang w:eastAsia="lt-LT"/>
        </w:rPr>
      </w:pPr>
    </w:p>
    <w:p w14:paraId="72C024ED" w14:textId="77777777" w:rsidR="00CB68E6" w:rsidRPr="00F45D90" w:rsidRDefault="00CB68E6" w:rsidP="00CB68E6">
      <w:pPr>
        <w:spacing w:after="0" w:line="240" w:lineRule="auto"/>
        <w:rPr>
          <w:rFonts w:ascii="Times New Roman" w:eastAsia="Times New Roman" w:hAnsi="Times New Roman"/>
          <w:i/>
          <w:lang w:eastAsia="lt-LT"/>
        </w:rPr>
      </w:pPr>
      <w:r w:rsidRPr="00F45D90">
        <w:rPr>
          <w:rFonts w:ascii="Times New Roman" w:eastAsia="Times New Roman" w:hAnsi="Times New Roman"/>
          <w:i/>
          <w:lang w:eastAsia="lt-LT"/>
        </w:rPr>
        <w:t xml:space="preserve">Senyvi pacientai, sergantys su demencija susijusia psichoze </w:t>
      </w:r>
    </w:p>
    <w:p w14:paraId="50557F59"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noProof/>
          <w:lang w:eastAsia="lt-LT"/>
        </w:rPr>
        <w:t xml:space="preserve">Hedonin </w:t>
      </w:r>
      <w:r w:rsidRPr="00F45D90">
        <w:rPr>
          <w:rFonts w:ascii="Times New Roman" w:eastAsia="Times New Roman" w:hAnsi="Times New Roman"/>
          <w:lang w:eastAsia="lt-LT"/>
        </w:rPr>
        <w:t>nepatvirtintas su demencija susijusios psichozės gydymui.</w:t>
      </w:r>
    </w:p>
    <w:p w14:paraId="7B035EDB" w14:textId="77777777" w:rsidR="00CB68E6" w:rsidRPr="00F45D90" w:rsidRDefault="00CB68E6" w:rsidP="00CB68E6">
      <w:pPr>
        <w:spacing w:after="0" w:line="240" w:lineRule="auto"/>
        <w:rPr>
          <w:rFonts w:ascii="Times New Roman" w:eastAsia="Times New Roman" w:hAnsi="Times New Roman"/>
          <w:lang w:eastAsia="lt-LT"/>
        </w:rPr>
      </w:pPr>
    </w:p>
    <w:p w14:paraId="4B5AFC7B" w14:textId="77777777" w:rsidR="00CB68E6" w:rsidRPr="00F45D90" w:rsidRDefault="00CB68E6" w:rsidP="00CB68E6">
      <w:pPr>
        <w:spacing w:after="120" w:line="240" w:lineRule="auto"/>
        <w:rPr>
          <w:rFonts w:ascii="Times New Roman" w:eastAsia="Times New Roman" w:hAnsi="Times New Roman"/>
          <w:lang w:eastAsia="lt-LT"/>
        </w:rPr>
      </w:pPr>
      <w:r w:rsidRPr="00F45D90">
        <w:rPr>
          <w:rFonts w:ascii="Times New Roman" w:eastAsia="Times New Roman" w:hAnsi="Times New Roman"/>
          <w:lang w:eastAsia="lt-LT"/>
        </w:rPr>
        <w:t>Atsitiktinių imčių placebu kontroliuojamų klinikinių tyrimų duomenimis, demencija sergantiems ir kai kurių atipinių antipsichozinių preparatų vartojantiems ligoniams nepageidaujamų smegenų kraujagyslių reiškinių rizika padidėja maždaug tris kartus. Tokio rizikos padidėjimo mechanizmas nežinomas. Negalima paneigti šios rizikos padidėjimo vartojant kitų antipsichozinių preparatų ar kitoms pacientų grupėms. Pacientus, kuriems yra insulto rizikos veiksnių, kvetiapinu reikia gydyti atsargiai.</w:t>
      </w:r>
    </w:p>
    <w:p w14:paraId="7C94DD83" w14:textId="1E2B52DA"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lang w:eastAsia="lt-LT"/>
        </w:rPr>
        <w:t>Atipinių antipsichozinių preparatų metaanalizės duomenimis, senyviems ligoniams, sergantiems su demencija susijusia psichoze, mirties rizika yra didesnė negu pacientams, kurie vartoja placebo. Vis dėlto, dviem 10 savaičių placebu kontroliuojamais kvetiapino tyrimais nustatyta, kad toje pačioje populiacijoje (n=710, amžiaus vidurkis – 83 metai, ribos 56-99 metai) kvetiapino vartojusių pacientų mirtingumas buvo 5,5</w:t>
      </w:r>
      <w:r w:rsidR="00E573E9">
        <w:t> </w:t>
      </w:r>
      <w:r w:rsidRPr="00F45D90">
        <w:rPr>
          <w:rFonts w:ascii="Times New Roman" w:eastAsia="Times New Roman" w:hAnsi="Times New Roman"/>
          <w:lang w:eastAsia="lt-LT"/>
        </w:rPr>
        <w:t>%, vartojusių placebo - 3,2</w:t>
      </w:r>
      <w:r w:rsidR="00E573E9">
        <w:rPr>
          <w:rFonts w:ascii="Times New Roman" w:eastAsia="Times New Roman" w:hAnsi="Times New Roman"/>
          <w:lang w:eastAsia="lt-LT"/>
        </w:rPr>
        <w:t> </w:t>
      </w:r>
      <w:r w:rsidRPr="00F45D90">
        <w:rPr>
          <w:rFonts w:ascii="Times New Roman" w:eastAsia="Times New Roman" w:hAnsi="Times New Roman"/>
          <w:lang w:eastAsia="lt-LT"/>
        </w:rPr>
        <w:t xml:space="preserve">%. Šių tyrimų metu pacientai mirė dėl įvairių priežasčių, būdingų šiai populiacijai. </w:t>
      </w:r>
    </w:p>
    <w:p w14:paraId="7602DAD4" w14:textId="342A3BF8" w:rsidR="00CB68E6" w:rsidRDefault="00CB68E6" w:rsidP="00CB68E6">
      <w:pPr>
        <w:spacing w:after="0" w:line="240" w:lineRule="auto"/>
        <w:rPr>
          <w:rFonts w:ascii="Times New Roman" w:eastAsia="Times New Roman" w:hAnsi="Times New Roman"/>
          <w:lang w:eastAsia="lt-LT"/>
        </w:rPr>
      </w:pPr>
    </w:p>
    <w:p w14:paraId="534B6D9D" w14:textId="5FE6B8BC" w:rsidR="002264D2" w:rsidRPr="002264D2" w:rsidRDefault="002264D2" w:rsidP="00CB68E6">
      <w:pPr>
        <w:spacing w:after="0" w:line="240" w:lineRule="auto"/>
        <w:rPr>
          <w:rFonts w:ascii="Times New Roman" w:eastAsia="Times New Roman" w:hAnsi="Times New Roman"/>
          <w:i/>
          <w:lang w:eastAsia="lt-LT"/>
        </w:rPr>
      </w:pPr>
      <w:r>
        <w:rPr>
          <w:rFonts w:ascii="Times New Roman" w:eastAsia="Times New Roman" w:hAnsi="Times New Roman"/>
          <w:i/>
          <w:lang w:eastAsia="lt-LT"/>
        </w:rPr>
        <w:t>Senyvi pacientai, sergantys Parkinsono liga</w:t>
      </w:r>
    </w:p>
    <w:p w14:paraId="3E3453E2" w14:textId="0D2EDEB6" w:rsidR="002264D2" w:rsidRPr="002264D2" w:rsidRDefault="002264D2" w:rsidP="002264D2">
      <w:pPr>
        <w:spacing w:after="0" w:line="240" w:lineRule="auto"/>
        <w:rPr>
          <w:rFonts w:ascii="Times New Roman" w:hAnsi="Times New Roman"/>
        </w:rPr>
      </w:pPr>
      <w:r>
        <w:rPr>
          <w:rFonts w:ascii="Times New Roman" w:hAnsi="Times New Roman"/>
        </w:rPr>
        <w:t>P</w:t>
      </w:r>
      <w:r w:rsidRPr="002264D2">
        <w:rPr>
          <w:rFonts w:ascii="Times New Roman" w:hAnsi="Times New Roman"/>
        </w:rPr>
        <w:t>opuliac</w:t>
      </w:r>
      <w:r>
        <w:rPr>
          <w:rFonts w:ascii="Times New Roman" w:hAnsi="Times New Roman"/>
        </w:rPr>
        <w:t>iniai retrospektyviniai tyrimai vartojant k</w:t>
      </w:r>
      <w:r w:rsidRPr="002264D2">
        <w:rPr>
          <w:rFonts w:ascii="Times New Roman" w:hAnsi="Times New Roman"/>
        </w:rPr>
        <w:t>vetiapino</w:t>
      </w:r>
      <w:r>
        <w:rPr>
          <w:rFonts w:ascii="Times New Roman" w:hAnsi="Times New Roman"/>
        </w:rPr>
        <w:t xml:space="preserve"> pacientų, sergančių didžiaja depresija</w:t>
      </w:r>
      <w:r w:rsidR="00F61D76">
        <w:rPr>
          <w:rFonts w:ascii="Times New Roman" w:hAnsi="Times New Roman"/>
        </w:rPr>
        <w:t xml:space="preserve"> parodė padidėjusią mirties riziką vartojant kvetiapino vyresniems negu 65 metų pacientams. Šio ryšio neliko, kai iš tiriamųjų duomenų buvo išbraukti sergantys Parkinsono liga. Paskyrus kvetiapino sergantiems Parkinsono liga  senyviems pacientams reikia laikytis atsargumo.</w:t>
      </w:r>
    </w:p>
    <w:p w14:paraId="391D3278" w14:textId="77777777" w:rsidR="002264D2" w:rsidRDefault="002264D2" w:rsidP="00CB68E6">
      <w:pPr>
        <w:spacing w:after="0" w:line="240" w:lineRule="auto"/>
        <w:rPr>
          <w:rFonts w:ascii="Times New Roman" w:hAnsi="Times New Roman"/>
          <w:i/>
        </w:rPr>
      </w:pPr>
    </w:p>
    <w:p w14:paraId="6691FB1D" w14:textId="075092D2" w:rsidR="00CB68E6" w:rsidRPr="00F45D90" w:rsidRDefault="00CB68E6" w:rsidP="00CB68E6">
      <w:pPr>
        <w:spacing w:after="0" w:line="240" w:lineRule="auto"/>
        <w:rPr>
          <w:rFonts w:ascii="Times New Roman" w:hAnsi="Times New Roman"/>
          <w:i/>
        </w:rPr>
      </w:pPr>
      <w:r w:rsidRPr="00F45D90">
        <w:rPr>
          <w:rFonts w:ascii="Times New Roman" w:hAnsi="Times New Roman"/>
          <w:i/>
        </w:rPr>
        <w:t>Disfagija</w:t>
      </w:r>
    </w:p>
    <w:p w14:paraId="095B6A5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Gauta pranešimų apie kvetiapino sukeltą disfagiją (žr. 4.8 skyrių). Pacientams, kuriems yra aspiracinės pneumonijos rizika, kvetiapiną reikia vartoti atsargiai.</w:t>
      </w:r>
    </w:p>
    <w:p w14:paraId="130C6208" w14:textId="77777777" w:rsidR="00CB68E6" w:rsidRPr="00F45D90" w:rsidRDefault="00CB68E6" w:rsidP="00CB68E6">
      <w:pPr>
        <w:spacing w:after="0" w:line="240" w:lineRule="auto"/>
        <w:rPr>
          <w:rFonts w:ascii="Times New Roman" w:hAnsi="Times New Roman"/>
          <w:bCs/>
          <w:i/>
        </w:rPr>
      </w:pPr>
    </w:p>
    <w:p w14:paraId="5D198421" w14:textId="77777777" w:rsidR="00CB68E6" w:rsidRPr="00F45D90" w:rsidRDefault="00CB68E6" w:rsidP="00CB68E6">
      <w:pPr>
        <w:spacing w:after="0" w:line="240" w:lineRule="auto"/>
        <w:rPr>
          <w:rFonts w:ascii="Times New Roman" w:hAnsi="Times New Roman"/>
          <w:bCs/>
          <w:i/>
        </w:rPr>
      </w:pPr>
      <w:r w:rsidRPr="00F45D90">
        <w:rPr>
          <w:rFonts w:ascii="Times New Roman" w:hAnsi="Times New Roman"/>
          <w:bCs/>
          <w:i/>
        </w:rPr>
        <w:t>Vidurių užkietėjimas ir žarnų obstrukcija</w:t>
      </w:r>
    </w:p>
    <w:p w14:paraId="36EEBACF" w14:textId="77777777" w:rsidR="00CB68E6" w:rsidRPr="00F45D90" w:rsidRDefault="00CB68E6" w:rsidP="00CB68E6">
      <w:pPr>
        <w:spacing w:after="0" w:line="240" w:lineRule="auto"/>
        <w:rPr>
          <w:rFonts w:ascii="Times New Roman" w:eastAsia="Times New Roman" w:hAnsi="Times New Roman"/>
          <w:b/>
          <w:bCs/>
        </w:rPr>
      </w:pPr>
      <w:r w:rsidRPr="00F45D90">
        <w:rPr>
          <w:rFonts w:ascii="Times New Roman" w:hAnsi="Times New Roman"/>
        </w:rPr>
        <w:t xml:space="preserve">Vidurių užkietėjimas yra žarnų obstrukcijos rizikos veiksnys. Gauta pranešimų apie vidurių užkietėjimą ir žarnų obstrukciją, pasireiškusius vartojant kvetiapiną (žr. 4.8 skyrių). Tarp šių pranešimų yra ir mirties atvejų, įvykusių buvus didesnei žarnų obstrukcijos rizikai, t.y. kartu daugelį žarnų peristaltiką lėtinančių vaistų vartojusiems ir (arba) galėjusiems nepranešti apie pasireiškusius </w:t>
      </w:r>
      <w:r w:rsidRPr="00F45D90">
        <w:rPr>
          <w:rFonts w:ascii="Times New Roman" w:hAnsi="Times New Roman"/>
        </w:rPr>
        <w:lastRenderedPageBreak/>
        <w:t>vidurių užkietėjimo simptomus pacientams. Pasireiškus žarnų obstrukcijai arba nepraeinamumui, pacientą reikia atidžiai stebėti ir skubiai gydyti.</w:t>
      </w:r>
    </w:p>
    <w:p w14:paraId="7F816259" w14:textId="77777777" w:rsidR="00CB68E6" w:rsidRPr="00F45D90" w:rsidRDefault="00CB68E6" w:rsidP="00CB68E6">
      <w:pPr>
        <w:spacing w:after="0" w:line="240" w:lineRule="auto"/>
        <w:rPr>
          <w:rFonts w:ascii="Times New Roman" w:hAnsi="Times New Roman"/>
        </w:rPr>
      </w:pPr>
    </w:p>
    <w:p w14:paraId="21A6F7A8"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Venų tromboembolija (VTE)</w:t>
      </w:r>
    </w:p>
    <w:p w14:paraId="1D779D4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Vartojusiems antipsichozinius vaistus buvo pastebėti VTE atvejai. Kadangi antipsichoziniais vaistiniais preparatais gydomi pacientai dažnai turi įgytų VTE rizikos veiksnių, todėl reikia nustatyti visus galimus rizikos veiksnius prieš pradedant gydymą ir gydymo Hedonin metu bei imtis profilaktikos priemonių.</w:t>
      </w:r>
    </w:p>
    <w:p w14:paraId="10DA98CC" w14:textId="77777777" w:rsidR="00CB68E6" w:rsidRPr="00F45D90" w:rsidRDefault="00CB68E6" w:rsidP="00CB68E6">
      <w:pPr>
        <w:spacing w:after="0" w:line="240" w:lineRule="auto"/>
        <w:rPr>
          <w:rFonts w:ascii="Times New Roman" w:hAnsi="Times New Roman"/>
        </w:rPr>
      </w:pPr>
    </w:p>
    <w:p w14:paraId="2D248D52"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Pankreatitas</w:t>
      </w:r>
    </w:p>
    <w:p w14:paraId="6E4E5A01" w14:textId="25D106FD"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Klinikinių tyrimų metu ir patekus vaistui į rinką gauta pranešimų apie pankreatito atvejus. Pranešimų, kurie gauti patekus vaistui į rinką, nors ir ne visiems, daugeliui pacientų </w:t>
      </w:r>
      <w:r w:rsidR="00CF7C5B">
        <w:rPr>
          <w:rFonts w:ascii="Times New Roman" w:hAnsi="Times New Roman"/>
        </w:rPr>
        <w:t xml:space="preserve">su </w:t>
      </w:r>
      <w:r w:rsidRPr="00F45D90">
        <w:rPr>
          <w:rFonts w:ascii="Times New Roman" w:hAnsi="Times New Roman"/>
        </w:rPr>
        <w:t>kasos uždegim</w:t>
      </w:r>
      <w:r w:rsidR="00CF7C5B">
        <w:rPr>
          <w:rFonts w:ascii="Times New Roman" w:hAnsi="Times New Roman"/>
        </w:rPr>
        <w:t>u</w:t>
      </w:r>
      <w:r w:rsidRPr="00F45D90">
        <w:rPr>
          <w:rFonts w:ascii="Times New Roman" w:hAnsi="Times New Roman"/>
        </w:rPr>
        <w:t xml:space="preserve"> siejosi toki</w:t>
      </w:r>
      <w:r w:rsidR="00CF7C5B">
        <w:rPr>
          <w:rFonts w:ascii="Times New Roman" w:hAnsi="Times New Roman"/>
        </w:rPr>
        <w:t>e</w:t>
      </w:r>
      <w:r w:rsidRPr="00F45D90">
        <w:rPr>
          <w:rFonts w:ascii="Times New Roman" w:hAnsi="Times New Roman"/>
        </w:rPr>
        <w:t xml:space="preserve"> rizikos veiksniai kaip padidėjęs trigliceridų kiekis kraujyje (žr. 4.4 skyrių), tulžies pūslės akmenys bei alkoholio vartojimas.</w:t>
      </w:r>
    </w:p>
    <w:p w14:paraId="4EDFC2B0" w14:textId="77777777" w:rsidR="00CB68E6" w:rsidRPr="00F45D90" w:rsidRDefault="00CB68E6" w:rsidP="00CB68E6">
      <w:pPr>
        <w:spacing w:after="0" w:line="240" w:lineRule="auto"/>
        <w:rPr>
          <w:rFonts w:ascii="Times New Roman" w:hAnsi="Times New Roman"/>
        </w:rPr>
      </w:pPr>
    </w:p>
    <w:p w14:paraId="793CAA2F"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 xml:space="preserve">Papildoma informacija </w:t>
      </w:r>
    </w:p>
    <w:p w14:paraId="2759BB85" w14:textId="4B5B0F18"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Tyrimų duomenų apie vidutinio sunkumo ar sunkių manijos epizodų gydymą kvetiapinu kartu su </w:t>
      </w:r>
      <w:r w:rsidR="009B26B0">
        <w:rPr>
          <w:rFonts w:ascii="Times New Roman" w:hAnsi="Times New Roman"/>
        </w:rPr>
        <w:t xml:space="preserve">divalproeksu </w:t>
      </w:r>
      <w:r w:rsidRPr="00F45D90">
        <w:rPr>
          <w:rFonts w:ascii="Times New Roman" w:hAnsi="Times New Roman"/>
        </w:rPr>
        <w:t xml:space="preserve">ar ličiu yra nedaug, tačiau toks kombinuotas gydymas toleruotas gerai (žr. 4.8 ir 5.1 skyrius). Turimi duomenys rodo, kad suminis poveikis pasireiškia trečią savaitę. </w:t>
      </w:r>
    </w:p>
    <w:p w14:paraId="387BAD44" w14:textId="77777777" w:rsidR="00CB68E6" w:rsidRPr="00F45D90" w:rsidRDefault="00CB68E6" w:rsidP="00CB68E6">
      <w:pPr>
        <w:spacing w:after="0" w:line="240" w:lineRule="auto"/>
        <w:rPr>
          <w:rFonts w:ascii="Times New Roman" w:hAnsi="Times New Roman"/>
        </w:rPr>
      </w:pPr>
    </w:p>
    <w:p w14:paraId="7BB2DC45"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Netinkamas vartojimas ir piktnaudžiavimas</w:t>
      </w:r>
    </w:p>
    <w:p w14:paraId="17B949B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Pasitaikė pavienių piktnaudžiavimo ir pripratimo atvejų</w:t>
      </w:r>
      <w:r>
        <w:rPr>
          <w:rFonts w:ascii="Times New Roman" w:hAnsi="Times New Roman"/>
        </w:rPr>
        <w:t>.</w:t>
      </w:r>
      <w:r w:rsidRPr="00F45D90">
        <w:rPr>
          <w:rFonts w:ascii="Times New Roman" w:hAnsi="Times New Roman"/>
        </w:rPr>
        <w:t xml:space="preserve"> Atsargumo reikia laikytis tais atvejais, kai kvetiapino skiriama vartoti pacientams, kurie nurodo </w:t>
      </w:r>
      <w:r w:rsidRPr="00250BF6">
        <w:rPr>
          <w:rFonts w:ascii="Times New Roman" w:hAnsi="Times New Roman"/>
        </w:rPr>
        <w:t xml:space="preserve">anamnezėje piktnaudžiavimą alkoholiu </w:t>
      </w:r>
      <w:r w:rsidRPr="00F45D90">
        <w:rPr>
          <w:rFonts w:ascii="Times New Roman" w:hAnsi="Times New Roman"/>
        </w:rPr>
        <w:t xml:space="preserve">arba vaistais. </w:t>
      </w:r>
    </w:p>
    <w:p w14:paraId="3A4DB4B1" w14:textId="77777777" w:rsidR="00CB68E6" w:rsidRPr="00F45D90" w:rsidRDefault="00CB68E6" w:rsidP="00CB68E6">
      <w:pPr>
        <w:spacing w:after="0" w:line="240" w:lineRule="auto"/>
        <w:rPr>
          <w:rFonts w:ascii="Times New Roman" w:hAnsi="Times New Roman"/>
        </w:rPr>
      </w:pPr>
    </w:p>
    <w:p w14:paraId="5219C184"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Laktozė</w:t>
      </w:r>
    </w:p>
    <w:p w14:paraId="4121CF47" w14:textId="5E56D76F" w:rsidR="00CB68E6" w:rsidRPr="00F45D90" w:rsidRDefault="00CB68E6" w:rsidP="00CB68E6">
      <w:pPr>
        <w:spacing w:after="0" w:line="240" w:lineRule="auto"/>
        <w:rPr>
          <w:rFonts w:ascii="Times New Roman" w:hAnsi="Times New Roman"/>
          <w:bCs/>
        </w:rPr>
      </w:pPr>
      <w:r w:rsidRPr="00F45D90">
        <w:rPr>
          <w:rFonts w:ascii="Times New Roman" w:hAnsi="Times New Roman"/>
        </w:rPr>
        <w:t>Hedonin sudėtyje yra laktozės.</w:t>
      </w:r>
      <w:r w:rsidRPr="00F45D90">
        <w:rPr>
          <w:rFonts w:ascii="Times New Roman" w:hAnsi="Times New Roman"/>
          <w:b/>
          <w:iCs/>
        </w:rPr>
        <w:t xml:space="preserve"> </w:t>
      </w:r>
      <w:r w:rsidRPr="00F45D90">
        <w:rPr>
          <w:rFonts w:ascii="Times New Roman" w:hAnsi="Times New Roman"/>
        </w:rPr>
        <w:t xml:space="preserve">Pacientams, kuriems yra retas paveldimas galaktozės netoleravimas,  </w:t>
      </w:r>
      <w:r w:rsidR="00812204">
        <w:rPr>
          <w:rFonts w:ascii="Times New Roman" w:hAnsi="Times New Roman"/>
        </w:rPr>
        <w:t>visiškas</w:t>
      </w:r>
      <w:r w:rsidRPr="00F45D90">
        <w:rPr>
          <w:rFonts w:ascii="Times New Roman" w:hAnsi="Times New Roman"/>
        </w:rPr>
        <w:t xml:space="preserve"> laktazės trūkumas ar gliukozės-galaktozės absorbcijos sutrikimas, šio vaistinio preparato </w:t>
      </w:r>
      <w:r w:rsidRPr="00F45D90">
        <w:rPr>
          <w:rFonts w:ascii="Times New Roman" w:hAnsi="Times New Roman"/>
          <w:bCs/>
        </w:rPr>
        <w:t>vartoti negalima.</w:t>
      </w:r>
    </w:p>
    <w:p w14:paraId="4919A6F7" w14:textId="77777777" w:rsidR="00CB68E6" w:rsidRPr="00F45D90" w:rsidRDefault="00CB68E6" w:rsidP="00CB68E6">
      <w:pPr>
        <w:spacing w:after="0" w:line="240" w:lineRule="auto"/>
        <w:rPr>
          <w:rFonts w:ascii="Times New Roman" w:hAnsi="Times New Roman"/>
        </w:rPr>
      </w:pPr>
    </w:p>
    <w:p w14:paraId="78273934" w14:textId="774371FB"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i/>
          <w:noProof/>
          <w:lang w:eastAsia="lt-LT"/>
        </w:rPr>
        <w:t>Lecitinas</w:t>
      </w:r>
      <w:r w:rsidRPr="00F45D90">
        <w:rPr>
          <w:rFonts w:ascii="Times New Roman" w:eastAsia="Times New Roman" w:hAnsi="Times New Roman"/>
          <w:noProof/>
          <w:lang w:eastAsia="lt-LT"/>
        </w:rPr>
        <w:br/>
      </w:r>
      <w:r w:rsidR="00812204">
        <w:rPr>
          <w:rFonts w:ascii="Times New Roman" w:eastAsia="Times New Roman" w:hAnsi="Times New Roman"/>
          <w:noProof/>
          <w:lang w:eastAsia="lt-LT"/>
        </w:rPr>
        <w:t>Hedonin sudėtyje yra l</w:t>
      </w:r>
      <w:r w:rsidRPr="00F45D90">
        <w:rPr>
          <w:rFonts w:ascii="Times New Roman" w:eastAsia="Times New Roman" w:hAnsi="Times New Roman"/>
          <w:noProof/>
          <w:lang w:eastAsia="lt-LT"/>
        </w:rPr>
        <w:t>ecitin</w:t>
      </w:r>
      <w:r w:rsidR="00812204">
        <w:rPr>
          <w:rFonts w:ascii="Times New Roman" w:eastAsia="Times New Roman" w:hAnsi="Times New Roman"/>
          <w:noProof/>
          <w:lang w:eastAsia="lt-LT"/>
        </w:rPr>
        <w:t>o</w:t>
      </w:r>
      <w:r w:rsidRPr="00F45D90">
        <w:rPr>
          <w:rFonts w:ascii="Times New Roman" w:eastAsia="Times New Roman" w:hAnsi="Times New Roman"/>
          <w:noProof/>
          <w:lang w:eastAsia="lt-LT"/>
        </w:rPr>
        <w:t>, gaut</w:t>
      </w:r>
      <w:r w:rsidR="00812204">
        <w:rPr>
          <w:rFonts w:ascii="Times New Roman" w:eastAsia="Times New Roman" w:hAnsi="Times New Roman"/>
          <w:noProof/>
          <w:lang w:eastAsia="lt-LT"/>
        </w:rPr>
        <w:t>o</w:t>
      </w:r>
      <w:r w:rsidRPr="00F45D90">
        <w:rPr>
          <w:rFonts w:ascii="Times New Roman" w:eastAsia="Times New Roman" w:hAnsi="Times New Roman"/>
          <w:noProof/>
          <w:lang w:eastAsia="lt-LT"/>
        </w:rPr>
        <w:t xml:space="preserve"> iš sojos</w:t>
      </w:r>
      <w:r w:rsidR="00812204">
        <w:rPr>
          <w:rFonts w:ascii="Times New Roman" w:eastAsia="Times New Roman" w:hAnsi="Times New Roman"/>
          <w:noProof/>
          <w:lang w:eastAsia="lt-LT"/>
        </w:rPr>
        <w:t xml:space="preserve"> ir</w:t>
      </w:r>
      <w:r w:rsidRPr="00F45D90">
        <w:rPr>
          <w:rFonts w:ascii="Times New Roman" w:eastAsia="Times New Roman" w:hAnsi="Times New Roman"/>
          <w:noProof/>
          <w:lang w:eastAsia="lt-LT"/>
        </w:rPr>
        <w:t xml:space="preserve"> gali </w:t>
      </w:r>
      <w:r w:rsidR="007939FC">
        <w:rPr>
          <w:rFonts w:ascii="Times New Roman" w:eastAsia="Times New Roman" w:hAnsi="Times New Roman"/>
          <w:noProof/>
          <w:lang w:eastAsia="lt-LT"/>
        </w:rPr>
        <w:t>būti</w:t>
      </w:r>
      <w:r w:rsidRPr="00F45D90">
        <w:rPr>
          <w:rFonts w:ascii="Times New Roman" w:eastAsia="Times New Roman" w:hAnsi="Times New Roman"/>
          <w:noProof/>
          <w:lang w:eastAsia="lt-LT"/>
        </w:rPr>
        <w:t xml:space="preserve"> sojos baltymų. Todėl lecitinas (sojos) gali sukelti alergiją pacientams, kurie ypatingai jautrūs sojai.</w:t>
      </w:r>
    </w:p>
    <w:p w14:paraId="13CA7A2D" w14:textId="77777777" w:rsidR="00CB68E6" w:rsidRPr="00F45D90" w:rsidRDefault="00CB68E6" w:rsidP="00CB68E6">
      <w:pPr>
        <w:spacing w:after="0" w:line="240" w:lineRule="auto"/>
        <w:rPr>
          <w:rFonts w:ascii="Times New Roman" w:hAnsi="Times New Roman"/>
        </w:rPr>
      </w:pPr>
    </w:p>
    <w:p w14:paraId="59BDD49B"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21" w:name="_Toc129243106"/>
      <w:bookmarkStart w:id="22" w:name="_Toc129243231"/>
      <w:r w:rsidRPr="00F45D90">
        <w:rPr>
          <w:rFonts w:ascii="Times New Roman" w:eastAsia="Times New Roman" w:hAnsi="Times New Roman"/>
          <w:b/>
          <w:kern w:val="28"/>
          <w:lang w:eastAsia="lt-LT"/>
        </w:rPr>
        <w:t>4.5</w:t>
      </w:r>
      <w:r w:rsidRPr="00F45D90">
        <w:rPr>
          <w:rFonts w:ascii="Times New Roman" w:eastAsia="Times New Roman" w:hAnsi="Times New Roman"/>
          <w:b/>
          <w:kern w:val="28"/>
          <w:lang w:eastAsia="lt-LT"/>
        </w:rPr>
        <w:tab/>
        <w:t>Sąveika su kitais vaistiniais preparatais ir kitokia sąveika</w:t>
      </w:r>
      <w:bookmarkEnd w:id="21"/>
      <w:bookmarkEnd w:id="22"/>
    </w:p>
    <w:p w14:paraId="62922A5A" w14:textId="77777777" w:rsidR="00CB68E6" w:rsidRPr="00F45D90" w:rsidRDefault="00CB68E6" w:rsidP="00CB68E6">
      <w:pPr>
        <w:spacing w:after="0" w:line="240" w:lineRule="auto"/>
        <w:rPr>
          <w:rFonts w:ascii="Times New Roman" w:hAnsi="Times New Roman"/>
        </w:rPr>
      </w:pPr>
    </w:p>
    <w:p w14:paraId="1C6FBC0E" w14:textId="77777777" w:rsidR="00CB68E6" w:rsidRPr="00F45D90" w:rsidRDefault="00CB68E6" w:rsidP="00CB68E6">
      <w:pPr>
        <w:spacing w:after="0" w:line="240" w:lineRule="auto"/>
        <w:rPr>
          <w:rFonts w:ascii="Times New Roman" w:hAnsi="Times New Roman"/>
        </w:rPr>
      </w:pPr>
      <w:bookmarkStart w:id="23" w:name="_Toc129243107"/>
      <w:bookmarkStart w:id="24" w:name="_Toc129243232"/>
      <w:r w:rsidRPr="00F45D90">
        <w:rPr>
          <w:rFonts w:ascii="Times New Roman" w:hAnsi="Times New Roman"/>
        </w:rPr>
        <w:t>Dėl pagrindinio kvetiapino poveikio centrinei nervų sistemai kvetiapino vartoti kartu su kitais centrinio poveikio vaistais ir alkoholiu reikia atsargiai.</w:t>
      </w:r>
    </w:p>
    <w:p w14:paraId="5FD24AB0" w14:textId="77777777" w:rsidR="00FB17ED" w:rsidRDefault="00FB17ED" w:rsidP="00FB17ED">
      <w:pPr>
        <w:spacing w:after="0" w:line="240" w:lineRule="auto"/>
        <w:rPr>
          <w:rFonts w:ascii="Times New Roman" w:hAnsi="Times New Roman"/>
        </w:rPr>
      </w:pPr>
    </w:p>
    <w:p w14:paraId="058E1425" w14:textId="4B65AA50" w:rsidR="00CB68E6" w:rsidRDefault="00FB17ED" w:rsidP="00FB17ED">
      <w:pPr>
        <w:spacing w:after="0" w:line="240" w:lineRule="auto"/>
        <w:rPr>
          <w:rFonts w:ascii="Times New Roman" w:hAnsi="Times New Roman"/>
        </w:rPr>
      </w:pPr>
      <w:r>
        <w:rPr>
          <w:rFonts w:ascii="Times New Roman" w:hAnsi="Times New Roman"/>
        </w:rPr>
        <w:t xml:space="preserve">Kvetiapino atsargiai reikia vartoti kartu su tokiais </w:t>
      </w:r>
      <w:r w:rsidR="000708C3">
        <w:rPr>
          <w:rFonts w:ascii="Times New Roman" w:hAnsi="Times New Roman"/>
        </w:rPr>
        <w:t xml:space="preserve">serotoninerginiais vaistiniais </w:t>
      </w:r>
      <w:r>
        <w:rPr>
          <w:rFonts w:ascii="Times New Roman" w:hAnsi="Times New Roman"/>
        </w:rPr>
        <w:t>preparatais kaip MAO inhibitoriai, selektyvi</w:t>
      </w:r>
      <w:r w:rsidR="000708C3">
        <w:rPr>
          <w:rFonts w:ascii="Times New Roman" w:hAnsi="Times New Roman"/>
        </w:rPr>
        <w:t>eji</w:t>
      </w:r>
      <w:r>
        <w:rPr>
          <w:rFonts w:ascii="Times New Roman" w:hAnsi="Times New Roman"/>
        </w:rPr>
        <w:t xml:space="preserve"> serotonino reabsorbcijos inhibitoriai (SSRI), serotonino-noradrenalino reabsorbcijos inhibitoriai</w:t>
      </w:r>
      <w:r w:rsidR="000708C3">
        <w:rPr>
          <w:rFonts w:ascii="Times New Roman" w:hAnsi="Times New Roman"/>
        </w:rPr>
        <w:t xml:space="preserve"> </w:t>
      </w:r>
      <w:r>
        <w:rPr>
          <w:rFonts w:ascii="Times New Roman" w:hAnsi="Times New Roman"/>
        </w:rPr>
        <w:t>(SNRI) arba tricikliai antidepresantai, nes padidėja serotonino sindromo</w:t>
      </w:r>
      <w:r w:rsidR="000708C3">
        <w:rPr>
          <w:rFonts w:ascii="Times New Roman" w:hAnsi="Times New Roman"/>
        </w:rPr>
        <w:t>, kuris pavojingas gyvybei, rizika (žr. 4.4 skyrių).</w:t>
      </w:r>
    </w:p>
    <w:p w14:paraId="05A72A72" w14:textId="77777777" w:rsidR="000708C3" w:rsidRPr="00F45D90" w:rsidRDefault="000708C3" w:rsidP="00FB17ED">
      <w:pPr>
        <w:spacing w:after="0" w:line="240" w:lineRule="auto"/>
        <w:rPr>
          <w:rFonts w:ascii="Times New Roman" w:hAnsi="Times New Roman"/>
        </w:rPr>
      </w:pPr>
    </w:p>
    <w:p w14:paraId="36A7859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Kartu su kitais anticholinerginiais (antimuskarininiais) vaistiniais preparatais kvetiapino skiriama atsargiai (žr. 4.4 skyrių).</w:t>
      </w:r>
    </w:p>
    <w:p w14:paraId="53BDBE63" w14:textId="77777777" w:rsidR="00CB68E6" w:rsidRPr="00F45D90" w:rsidRDefault="00CB68E6" w:rsidP="00CB68E6">
      <w:pPr>
        <w:spacing w:after="0" w:line="240" w:lineRule="auto"/>
        <w:rPr>
          <w:rFonts w:ascii="Times New Roman" w:hAnsi="Times New Roman"/>
        </w:rPr>
      </w:pPr>
    </w:p>
    <w:p w14:paraId="313DBA7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Citochromas P450 (CYP) 3A4 yra svarbiausias nuo citochromo P450 priklausomo kvetiapino metabolizmo fermentas. Sąveikos tyrimų su sveikais savanoriais metu kartu su ketokonazolu (stipriu CYP 3A4 inhibitoriumi) pavartoto kvetiapino (25 mg dozėmis) AUC padidėjo 5 - 8 kartus. Todėl, remiantis šiais duomenimis, kartu vartoti kvetiapino ir stiprių CYP 3A4 inhibitorių draudžiama. Be to, gydymo kvetiapino metu nerekomenduojama vartoti greipfrutų sulčių.</w:t>
      </w:r>
    </w:p>
    <w:p w14:paraId="2826A97E" w14:textId="77777777" w:rsidR="00CB68E6" w:rsidRPr="00F45D90" w:rsidRDefault="00CB68E6" w:rsidP="00CB68E6">
      <w:pPr>
        <w:spacing w:after="0" w:line="240" w:lineRule="auto"/>
        <w:rPr>
          <w:rFonts w:ascii="Times New Roman" w:hAnsi="Times New Roman"/>
        </w:rPr>
      </w:pPr>
    </w:p>
    <w:p w14:paraId="6E4106D6" w14:textId="7F5EDA17" w:rsidR="00CB68E6" w:rsidRPr="00F45D90" w:rsidRDefault="00CB68E6" w:rsidP="00CB68E6">
      <w:pPr>
        <w:spacing w:after="0" w:line="240" w:lineRule="auto"/>
        <w:rPr>
          <w:rFonts w:ascii="Times New Roman" w:hAnsi="Times New Roman"/>
          <w:noProof/>
          <w:lang w:eastAsia="lt-LT"/>
        </w:rPr>
      </w:pPr>
      <w:r w:rsidRPr="00F45D90">
        <w:rPr>
          <w:rFonts w:ascii="Times New Roman" w:hAnsi="Times New Roman"/>
          <w:noProof/>
          <w:lang w:eastAsia="lt-LT"/>
        </w:rPr>
        <w:t>Kartotinių dozių klinikinio tyrimo metu įvertinta kvetiapino, vartojamo prieš gydymą karbamazepinu (kepenų fermentų induktoriumi) ir jo metu, farmakokinetika. Nustatyta, kad kartu vartojamas karbamazepinas reikšmingai padidina kvetiapino klirensą. Toks klirenso padidėjimas sisteminę kvetiapino ekspoziciją (matuojamą pagal AUC) sumažino vidutiniškai 13</w:t>
      </w:r>
      <w:r w:rsidR="00E573E9">
        <w:rPr>
          <w:rFonts w:ascii="Times New Roman" w:hAnsi="Times New Roman"/>
          <w:noProof/>
          <w:lang w:eastAsia="lt-LT"/>
        </w:rPr>
        <w:t> </w:t>
      </w:r>
      <w:r w:rsidRPr="00F45D90">
        <w:rPr>
          <w:rFonts w:ascii="Times New Roman" w:hAnsi="Times New Roman"/>
          <w:noProof/>
          <w:lang w:eastAsia="lt-LT"/>
        </w:rPr>
        <w:t xml:space="preserve">%, palyginti su ekspozicija, </w:t>
      </w:r>
      <w:r w:rsidRPr="00F45D90">
        <w:rPr>
          <w:rFonts w:ascii="Times New Roman" w:hAnsi="Times New Roman"/>
          <w:noProof/>
          <w:lang w:eastAsia="lt-LT"/>
        </w:rPr>
        <w:lastRenderedPageBreak/>
        <w:t>nustatyta vartojant vien kvetiapino; kai kuriems pacientams pastebėtas didesnis poveikis. Dėl šios sąveikos gali būti mažesnė kvetiapino koncentracija kraujo plazmoje, todėl gali pakisti gydymo kvetiapinu veiksmingumas. Kvetiapino, vartojamo kartu su fenitoinu (kitu mikrosomų fermentų</w:t>
      </w:r>
      <w:r w:rsidRPr="00F45D90">
        <w:rPr>
          <w:rFonts w:ascii="Times New Roman" w:hAnsi="Times New Roman"/>
        </w:rPr>
        <w:t xml:space="preserve"> </w:t>
      </w:r>
      <w:r w:rsidRPr="00F45D90">
        <w:rPr>
          <w:rFonts w:ascii="Times New Roman" w:hAnsi="Times New Roman"/>
          <w:noProof/>
          <w:lang w:eastAsia="lt-LT"/>
        </w:rPr>
        <w:t>induktoriumi), klirensas padidėja smarkiai  ir  maždaug 450</w:t>
      </w:r>
      <w:r w:rsidR="00E573E9">
        <w:rPr>
          <w:rFonts w:ascii="Times New Roman" w:hAnsi="Times New Roman"/>
          <w:noProof/>
          <w:lang w:eastAsia="lt-LT"/>
        </w:rPr>
        <w:t> </w:t>
      </w:r>
      <w:r w:rsidRPr="00F45D90">
        <w:rPr>
          <w:rFonts w:ascii="Times New Roman" w:hAnsi="Times New Roman"/>
          <w:noProof/>
          <w:lang w:eastAsia="lt-LT"/>
        </w:rPr>
        <w:t>%. Kepenų fermentų induktorių vartojančius pacientus galima pradėti gydyti kvetiapinu tik tokiu atveju, jeigu gydytojas nusprendžia, kad gydymo šiuo vaistu nauda didesnė už gydymo kepenų fermentų induktoriais nutraukimo riziką. Svarbu bet kokius gydymo kepenų induktoriais pokyčius daryti palaipsniui, prireikus induktorius galima keisti neinduktoriais ( pvz., natrio valproatu) (žr. 4.4 skyrių).</w:t>
      </w:r>
    </w:p>
    <w:p w14:paraId="4FB02532" w14:textId="77777777" w:rsidR="00CB68E6" w:rsidRPr="00F45D90" w:rsidRDefault="00CB68E6" w:rsidP="00CB68E6">
      <w:pPr>
        <w:spacing w:after="0" w:line="240" w:lineRule="auto"/>
        <w:rPr>
          <w:rFonts w:ascii="Times New Roman" w:hAnsi="Times New Roman"/>
        </w:rPr>
      </w:pPr>
    </w:p>
    <w:p w14:paraId="338FC6E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Kartu su antidepresantais imipraminu (CYP2D6 inhibitoriumi) ar fluoksetinu (CYP3A4 ir CYP2D6 inhibitoriumi) vartoto kvetiapino farmakokinetika reikšmingai nepakito.</w:t>
      </w:r>
    </w:p>
    <w:p w14:paraId="2DCE80A8" w14:textId="77777777" w:rsidR="00CB68E6" w:rsidRPr="00F45D90" w:rsidRDefault="00CB68E6" w:rsidP="00CB68E6">
      <w:pPr>
        <w:spacing w:after="0" w:line="240" w:lineRule="auto"/>
        <w:rPr>
          <w:rFonts w:ascii="Times New Roman" w:hAnsi="Times New Roman"/>
        </w:rPr>
      </w:pPr>
    </w:p>
    <w:p w14:paraId="662A86B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Kvetiapino, vartoto kartu su antipsichoziniais preparatais risperidonu ir haloperidoliu, farmakokinetika reikšmingai nepakito. Tioridazinas kartu vartoto kvetiapino klirensą padidino maždaug 70 %.</w:t>
      </w:r>
    </w:p>
    <w:p w14:paraId="087F2AF2" w14:textId="77777777" w:rsidR="00CB68E6" w:rsidRPr="00F45D90" w:rsidRDefault="00CB68E6" w:rsidP="00CB68E6">
      <w:pPr>
        <w:spacing w:after="0" w:line="240" w:lineRule="auto"/>
        <w:rPr>
          <w:rFonts w:ascii="Times New Roman" w:hAnsi="Times New Roman"/>
        </w:rPr>
      </w:pPr>
    </w:p>
    <w:p w14:paraId="119F412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Cimetidinas kartu vartojamo kvetiapino farmakokinetikos neveikė.</w:t>
      </w:r>
    </w:p>
    <w:p w14:paraId="2594758D" w14:textId="77777777" w:rsidR="00CB68E6" w:rsidRPr="00F45D90" w:rsidRDefault="00CB68E6" w:rsidP="00CB68E6">
      <w:pPr>
        <w:spacing w:after="0" w:line="240" w:lineRule="auto"/>
        <w:rPr>
          <w:rFonts w:ascii="Times New Roman" w:hAnsi="Times New Roman"/>
        </w:rPr>
      </w:pPr>
    </w:p>
    <w:p w14:paraId="4B6E750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Ličio, vartojamo kartu su kvetiapinu, farmakokinetika nepakito.</w:t>
      </w:r>
    </w:p>
    <w:p w14:paraId="678C0FA4" w14:textId="77777777" w:rsidR="00CB68E6" w:rsidRPr="00F45D90" w:rsidRDefault="00CB68E6" w:rsidP="00CB68E6">
      <w:pPr>
        <w:spacing w:after="0" w:line="240" w:lineRule="auto"/>
        <w:rPr>
          <w:rFonts w:ascii="Times New Roman" w:hAnsi="Times New Roman"/>
        </w:rPr>
      </w:pPr>
    </w:p>
    <w:p w14:paraId="0340E3B8" w14:textId="77777777" w:rsidR="00CB68E6" w:rsidRPr="00F45D90" w:rsidRDefault="00CB68E6" w:rsidP="00CB68E6">
      <w:pPr>
        <w:tabs>
          <w:tab w:val="left" w:pos="540"/>
        </w:tabs>
        <w:spacing w:after="0" w:line="240" w:lineRule="auto"/>
        <w:rPr>
          <w:rFonts w:ascii="Times New Roman" w:eastAsia="Times New Roman" w:hAnsi="Times New Roman"/>
        </w:rPr>
      </w:pPr>
      <w:r w:rsidRPr="00F45D90">
        <w:rPr>
          <w:rFonts w:ascii="Times New Roman" w:eastAsia="Times New Roman" w:hAnsi="Times New Roman"/>
        </w:rPr>
        <w:t xml:space="preserve">6 savaičių trukmės atsitiktinės atrankos tyrimo metu palyginus ličio ir kvetiapino </w:t>
      </w:r>
      <w:r w:rsidRPr="00F45D90">
        <w:rPr>
          <w:rFonts w:ascii="Times New Roman" w:eastAsia="Times New Roman" w:hAnsi="Times New Roman"/>
          <w:bCs/>
          <w:color w:val="222222"/>
          <w:lang w:eastAsia="lt-LT"/>
        </w:rPr>
        <w:t>pailginto atpalaidavimo tablečių</w:t>
      </w:r>
      <w:r w:rsidRPr="00F45D90">
        <w:rPr>
          <w:rFonts w:ascii="Times New Roman" w:eastAsia="Times New Roman" w:hAnsi="Times New Roman"/>
        </w:rPr>
        <w:t xml:space="preserve"> derinio ir kvetiapino pailginto atpalaidavimo tablečių poveikį ūmine manija sergantiems suaugusiems pacientams su placebo ir kvetiapino derinio poveikiu, nustatyta, kad su ekstrapiramidine sistema susijusių nepageidaujamų poveikio reiškinių (ypač drebulys), mieguistumas ir svorio prieaugis papildomo gydymo ličiu grupės pacientams pasireiškė dažniau negu placebo grupėje (žr. 5.1 skyrių).</w:t>
      </w:r>
    </w:p>
    <w:p w14:paraId="6B6CB4DA" w14:textId="77777777" w:rsidR="00CB68E6" w:rsidRPr="00F45D90" w:rsidRDefault="00CB68E6" w:rsidP="00CB68E6">
      <w:pPr>
        <w:spacing w:after="0" w:line="240" w:lineRule="auto"/>
        <w:rPr>
          <w:rFonts w:ascii="Times New Roman" w:eastAsia="Times New Roman" w:hAnsi="Times New Roman"/>
          <w:lang w:eastAsia="lt-LT"/>
        </w:rPr>
      </w:pPr>
    </w:p>
    <w:p w14:paraId="4462F31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Kartu vartotų natrio valproato ir kvetiapino farmakokinetika klinikai reikšmingu laipsniu nepakito. Retrospektyvaus vaikų ir paauglių, gydytų valproatais, kvetiapinu arba abiem preparatais kartu, stebėjimo metu gydant deriniu dažniau nustatyta leukopenija ir neutropenija palyginti su pacientais, gydytais tik vienu preparatu.</w:t>
      </w:r>
    </w:p>
    <w:p w14:paraId="2314159E" w14:textId="77777777" w:rsidR="00CB68E6" w:rsidRPr="00F45D90" w:rsidRDefault="00CB68E6" w:rsidP="00CB68E6">
      <w:pPr>
        <w:spacing w:after="0" w:line="240" w:lineRule="auto"/>
        <w:rPr>
          <w:rFonts w:ascii="Times New Roman" w:hAnsi="Times New Roman"/>
        </w:rPr>
      </w:pPr>
    </w:p>
    <w:p w14:paraId="548E0F9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Formalių sąveikos tyrimų su dažnai vartojamais širdies ir kraujagyslių ligų gydymui vaistiniais preparatais neatlikta.</w:t>
      </w:r>
    </w:p>
    <w:p w14:paraId="68F8C861" w14:textId="77777777" w:rsidR="00CB68E6" w:rsidRPr="00F45D90" w:rsidRDefault="00CB68E6" w:rsidP="00CB68E6">
      <w:pPr>
        <w:spacing w:after="0" w:line="240" w:lineRule="auto"/>
        <w:rPr>
          <w:rFonts w:ascii="Times New Roman" w:hAnsi="Times New Roman"/>
        </w:rPr>
      </w:pPr>
    </w:p>
    <w:p w14:paraId="2B2C17BE" w14:textId="74E1A468" w:rsidR="00CB68E6" w:rsidRPr="00F45D90" w:rsidRDefault="00CB68E6" w:rsidP="00CB68E6">
      <w:pPr>
        <w:spacing w:after="0" w:line="240" w:lineRule="auto"/>
        <w:rPr>
          <w:rFonts w:ascii="Times New Roman" w:hAnsi="Times New Roman"/>
        </w:rPr>
      </w:pPr>
      <w:r w:rsidRPr="00F45D90">
        <w:rPr>
          <w:rFonts w:ascii="Times New Roman" w:hAnsi="Times New Roman"/>
        </w:rPr>
        <w:t>Kvetiapino vartoti kartu su kitais vaistiniais preparatais, kurie sutrikdo elektrolitų pusiausvyrą ar ilgina QT intervalą, reikia atsargiai.</w:t>
      </w:r>
    </w:p>
    <w:p w14:paraId="55979A15" w14:textId="77777777" w:rsidR="00CB68E6" w:rsidRPr="00F45D90" w:rsidRDefault="00CB68E6" w:rsidP="00CB68E6">
      <w:pPr>
        <w:spacing w:before="120" w:after="0" w:line="240" w:lineRule="auto"/>
        <w:rPr>
          <w:rFonts w:ascii="Times New Roman" w:hAnsi="Times New Roman"/>
        </w:rPr>
      </w:pPr>
      <w:r w:rsidRPr="00F45D90">
        <w:rPr>
          <w:rFonts w:ascii="Times New Roman" w:hAnsi="Times New Roman"/>
        </w:rPr>
        <w:t>Gauta pranešimų apie klaidingai teigiamus metadono ir triciklių antidepresantų imunofermentinių tyrimų duomenis kvetiapiną vartojantiems pacientams. Abejotinus imunofermentinių tyrimų duomenis rekomenduojama patvirtinti tinkamais chromatografiniais metodais</w:t>
      </w:r>
    </w:p>
    <w:p w14:paraId="33FEEB1A" w14:textId="77777777" w:rsidR="00CB68E6" w:rsidRPr="00F45D90" w:rsidRDefault="00CB68E6" w:rsidP="00CB68E6">
      <w:pPr>
        <w:spacing w:after="0" w:line="240" w:lineRule="auto"/>
        <w:rPr>
          <w:rFonts w:ascii="Times New Roman" w:hAnsi="Times New Roman"/>
        </w:rPr>
      </w:pPr>
    </w:p>
    <w:p w14:paraId="558E0542"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r w:rsidRPr="00F45D90">
        <w:rPr>
          <w:rFonts w:ascii="Times New Roman" w:eastAsia="Times New Roman" w:hAnsi="Times New Roman"/>
          <w:b/>
          <w:kern w:val="28"/>
          <w:lang w:eastAsia="lt-LT"/>
        </w:rPr>
        <w:t>4.6</w:t>
      </w:r>
      <w:r w:rsidRPr="00F45D90">
        <w:rPr>
          <w:rFonts w:ascii="Times New Roman" w:eastAsia="Times New Roman" w:hAnsi="Times New Roman"/>
          <w:b/>
          <w:kern w:val="28"/>
          <w:lang w:eastAsia="lt-LT"/>
        </w:rPr>
        <w:tab/>
        <w:t>Vaisingumas, nėštumo ir žindymo laikotarpis</w:t>
      </w:r>
      <w:bookmarkEnd w:id="23"/>
      <w:bookmarkEnd w:id="24"/>
    </w:p>
    <w:p w14:paraId="446C9363" w14:textId="77777777" w:rsidR="00CB68E6" w:rsidRPr="00F45D90" w:rsidRDefault="00CB68E6" w:rsidP="00CB68E6">
      <w:pPr>
        <w:spacing w:after="0" w:line="240" w:lineRule="auto"/>
        <w:rPr>
          <w:rFonts w:ascii="Times New Roman" w:hAnsi="Times New Roman"/>
        </w:rPr>
      </w:pPr>
    </w:p>
    <w:p w14:paraId="145F11B6"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Nėštumas</w:t>
      </w:r>
    </w:p>
    <w:p w14:paraId="1E37374E" w14:textId="77777777" w:rsidR="00CB68E6" w:rsidRPr="00F45D90" w:rsidRDefault="00CB68E6" w:rsidP="00CB68E6">
      <w:pPr>
        <w:spacing w:after="0" w:line="240" w:lineRule="auto"/>
        <w:rPr>
          <w:rFonts w:ascii="Times New Roman" w:hAnsi="Times New Roman"/>
          <w:i/>
        </w:rPr>
      </w:pPr>
    </w:p>
    <w:p w14:paraId="47516A0D"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Pirmas trimestras</w:t>
      </w:r>
    </w:p>
    <w:p w14:paraId="195E4FD7" w14:textId="5F05EC21" w:rsidR="00CB68E6" w:rsidRPr="00F45D90" w:rsidRDefault="00CB68E6" w:rsidP="00CB68E6">
      <w:pPr>
        <w:spacing w:after="0" w:line="240" w:lineRule="auto"/>
        <w:rPr>
          <w:rFonts w:ascii="Times New Roman" w:hAnsi="Times New Roman"/>
        </w:rPr>
      </w:pPr>
      <w:r w:rsidRPr="00F45D90">
        <w:rPr>
          <w:rFonts w:ascii="Times New Roman" w:hAnsi="Times New Roman"/>
        </w:rPr>
        <w:t>Nedidelis kiekis publikuotų duomenų apie vartojimą nėštumo metu (apie 300-1000 nėštumo baigčių), įskaitant pavienius atvejus ir kelis observacinius tyrimus neleidžia daryti užuominų apie padidėjusį raidos sutrikimų skaičių dėl gydymo</w:t>
      </w:r>
      <w:r w:rsidR="00D26928">
        <w:rPr>
          <w:rFonts w:ascii="Times New Roman" w:hAnsi="Times New Roman"/>
        </w:rPr>
        <w:t xml:space="preserve"> kvetiapinu</w:t>
      </w:r>
      <w:r w:rsidRPr="00F45D90">
        <w:rPr>
          <w:rFonts w:ascii="Times New Roman" w:hAnsi="Times New Roman"/>
        </w:rPr>
        <w:t xml:space="preserve">. Tačiau remiantis visais šiuo metu prieinamais duomenimis galutinės išvados padaryti negalima. Tyrimai su gyvūnais rodo toksinį </w:t>
      </w:r>
    </w:p>
    <w:p w14:paraId="522999C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poveikį reprodukcijai (žr. 5.3 skyrių). Taigi kvetiapinas nėštumo metu turi būti vartojamas tik tada, kai laukiamas gydomasis poveikis yra didesnis už galimą riziką</w:t>
      </w:r>
    </w:p>
    <w:p w14:paraId="20FD9414" w14:textId="77777777" w:rsidR="00CB68E6" w:rsidRPr="00F45D90" w:rsidRDefault="00CB68E6" w:rsidP="00CB68E6">
      <w:pPr>
        <w:spacing w:after="0" w:line="240" w:lineRule="auto"/>
        <w:rPr>
          <w:rFonts w:ascii="Times New Roman" w:hAnsi="Times New Roman"/>
        </w:rPr>
      </w:pPr>
    </w:p>
    <w:p w14:paraId="3B2697DC"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Trečias semestras</w:t>
      </w:r>
      <w:r w:rsidRPr="00F45D90">
        <w:rPr>
          <w:rFonts w:ascii="Times New Roman" w:hAnsi="Times New Roman"/>
        </w:rPr>
        <w:t xml:space="preserve"> </w:t>
      </w:r>
    </w:p>
    <w:p w14:paraId="529CAF88"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rPr>
        <w:t xml:space="preserve">Motinų, kurios nėštumo trečio semestro metu vartoja vaistus nuo psichozių (įskaitant kvetiapiną), naujagimiams po gimimo gresia nepageidaujamas poveikis, įskaitant ekstrapiramidinius ir (arba) vartojimo nutraukimo reiškinius, kurie gali būti įvairaus sunkumo ir trukmės. Pranešama apie </w:t>
      </w:r>
      <w:r w:rsidRPr="00F45D90">
        <w:rPr>
          <w:rFonts w:ascii="Times New Roman" w:hAnsi="Times New Roman"/>
        </w:rPr>
        <w:lastRenderedPageBreak/>
        <w:t>sujaudinimą, raumenų tonuso padidėjimą arba sumažėjimą, drebulį (tremorą), mieguistumą, kvėpavimo sutrikimų sindromą arba čiulpimo sutrikimus. Todėl naujagimius reikia atidžiai stebėti.</w:t>
      </w:r>
      <w:r w:rsidRPr="00F45D90">
        <w:rPr>
          <w:rFonts w:ascii="Times New Roman" w:hAnsi="Times New Roman"/>
          <w:i/>
        </w:rPr>
        <w:t xml:space="preserve"> </w:t>
      </w:r>
    </w:p>
    <w:p w14:paraId="6006E1BA" w14:textId="77777777" w:rsidR="00CB68E6" w:rsidRPr="00F45D90" w:rsidRDefault="00CB68E6" w:rsidP="00CB68E6">
      <w:pPr>
        <w:spacing w:after="0" w:line="240" w:lineRule="auto"/>
        <w:rPr>
          <w:rFonts w:ascii="Times New Roman" w:eastAsia="Times New Roman" w:hAnsi="Times New Roman"/>
          <w:lang w:eastAsia="lt-LT"/>
        </w:rPr>
      </w:pPr>
    </w:p>
    <w:p w14:paraId="030E76F0"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Žindymas</w:t>
      </w:r>
    </w:p>
    <w:p w14:paraId="5CF58AE9" w14:textId="200D7525"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lang w:eastAsia="lt-LT"/>
        </w:rPr>
        <w:t>Remiantis ribotais publikuotais pranešimais apie kvetiapino pate</w:t>
      </w:r>
      <w:r w:rsidR="006129D6">
        <w:rPr>
          <w:rFonts w:ascii="Times New Roman" w:eastAsia="Times New Roman" w:hAnsi="Times New Roman"/>
          <w:lang w:eastAsia="lt-LT"/>
        </w:rPr>
        <w:t>kimą</w:t>
      </w:r>
      <w:r w:rsidRPr="00F45D90">
        <w:rPr>
          <w:rFonts w:ascii="Times New Roman" w:eastAsia="Times New Roman" w:hAnsi="Times New Roman"/>
          <w:lang w:eastAsia="lt-LT"/>
        </w:rPr>
        <w:t xml:space="preserve"> į žindyvės pieną,  vartojant gydomosiomis dozėmis yra prieštaringa. Dėl įtikinančių duomenų stokos, reikia spręsti ar nutraukti žindymą, ar nutraukti kvetiapino vartojimą, įvertinant žindymo naudą naujagimiui ir teigiamą gydymo poveikį motinai.</w:t>
      </w:r>
    </w:p>
    <w:p w14:paraId="52DEEF8D" w14:textId="77777777" w:rsidR="00CB68E6" w:rsidRPr="00F45D90" w:rsidRDefault="00CB68E6" w:rsidP="00CB68E6">
      <w:pPr>
        <w:spacing w:after="0" w:line="240" w:lineRule="auto"/>
        <w:rPr>
          <w:rFonts w:ascii="Times New Roman" w:hAnsi="Times New Roman"/>
        </w:rPr>
      </w:pPr>
    </w:p>
    <w:p w14:paraId="4D98DC13"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Vaisingumas</w:t>
      </w:r>
    </w:p>
    <w:p w14:paraId="7C3F954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Kvetiapino poveikis žmogaus vaisingumui nenustatytas. Tyrimais su žiurkėmis stebėtas poveikis, susijęs su prolaktino kiekio padidėjimu, nors su žmogaus organizmu tiesiogiai tai nesiejama (žr. 5.3 skyrių).</w:t>
      </w:r>
    </w:p>
    <w:p w14:paraId="2E4F80FE" w14:textId="77777777" w:rsidR="00CB68E6" w:rsidRPr="00F45D90" w:rsidRDefault="00CB68E6" w:rsidP="00CB68E6">
      <w:pPr>
        <w:spacing w:after="0" w:line="240" w:lineRule="auto"/>
        <w:rPr>
          <w:rFonts w:ascii="Times New Roman" w:hAnsi="Times New Roman"/>
        </w:rPr>
      </w:pPr>
    </w:p>
    <w:p w14:paraId="3B1457D5"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25" w:name="_Toc129243108"/>
      <w:bookmarkStart w:id="26" w:name="_Toc129243233"/>
      <w:r w:rsidRPr="00F45D90">
        <w:rPr>
          <w:rFonts w:ascii="Times New Roman" w:eastAsia="Times New Roman" w:hAnsi="Times New Roman"/>
          <w:b/>
          <w:kern w:val="28"/>
          <w:lang w:eastAsia="lt-LT"/>
        </w:rPr>
        <w:t>4.7</w:t>
      </w:r>
      <w:r w:rsidRPr="00F45D90">
        <w:rPr>
          <w:rFonts w:ascii="Times New Roman" w:eastAsia="Times New Roman" w:hAnsi="Times New Roman"/>
          <w:b/>
          <w:kern w:val="28"/>
          <w:lang w:eastAsia="lt-LT"/>
        </w:rPr>
        <w:tab/>
        <w:t>Poveikis gebėjimui vairuoti ir valdyti mechanizmus</w:t>
      </w:r>
      <w:bookmarkEnd w:id="25"/>
      <w:bookmarkEnd w:id="26"/>
    </w:p>
    <w:p w14:paraId="167A4BC4" w14:textId="77777777" w:rsidR="00CB68E6" w:rsidRPr="00F45D90" w:rsidRDefault="00CB68E6" w:rsidP="00CB68E6">
      <w:pPr>
        <w:spacing w:after="0" w:line="240" w:lineRule="auto"/>
        <w:rPr>
          <w:rFonts w:ascii="Times New Roman" w:hAnsi="Times New Roman"/>
        </w:rPr>
      </w:pPr>
    </w:p>
    <w:p w14:paraId="6CB9595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Atsižvelgiant į pagrindinį kvetiapino poveikį CNS, gali sutrikti budrumo reikalaujantys gebėjimai. </w:t>
      </w:r>
    </w:p>
    <w:p w14:paraId="1DA484B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Todėl pacientus reikia įspėti, kad jie nevairuotų ir nevaldytų mechanizmų, kol nepaaiškės, kaip šis vaistinis preparatas juos veikia.</w:t>
      </w:r>
    </w:p>
    <w:p w14:paraId="4B835557" w14:textId="77777777" w:rsidR="00CB68E6" w:rsidRPr="00F45D90" w:rsidRDefault="00CB68E6" w:rsidP="00CB68E6">
      <w:pPr>
        <w:spacing w:after="0" w:line="240" w:lineRule="auto"/>
        <w:rPr>
          <w:rFonts w:ascii="Times New Roman" w:hAnsi="Times New Roman"/>
        </w:rPr>
      </w:pPr>
    </w:p>
    <w:p w14:paraId="086DB8AF"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27" w:name="_Toc129243109"/>
      <w:bookmarkStart w:id="28" w:name="_Toc129243234"/>
      <w:r w:rsidRPr="00F45D90">
        <w:rPr>
          <w:rFonts w:ascii="Times New Roman" w:eastAsia="Times New Roman" w:hAnsi="Times New Roman"/>
          <w:b/>
          <w:kern w:val="28"/>
          <w:lang w:eastAsia="lt-LT"/>
        </w:rPr>
        <w:t>4.8</w:t>
      </w:r>
      <w:r w:rsidRPr="00F45D90">
        <w:rPr>
          <w:rFonts w:ascii="Times New Roman" w:eastAsia="Times New Roman" w:hAnsi="Times New Roman"/>
          <w:b/>
          <w:kern w:val="28"/>
          <w:lang w:eastAsia="lt-LT"/>
        </w:rPr>
        <w:tab/>
        <w:t>Nepageidaujamas poveikis</w:t>
      </w:r>
      <w:bookmarkEnd w:id="27"/>
      <w:bookmarkEnd w:id="28"/>
    </w:p>
    <w:p w14:paraId="7452CF63" w14:textId="77777777" w:rsidR="00CB68E6" w:rsidRPr="00F45D90" w:rsidRDefault="00CB68E6" w:rsidP="00CB68E6">
      <w:pPr>
        <w:spacing w:after="0" w:line="240" w:lineRule="auto"/>
        <w:rPr>
          <w:rFonts w:ascii="Times New Roman" w:hAnsi="Times New Roman"/>
        </w:rPr>
      </w:pPr>
    </w:p>
    <w:p w14:paraId="27EB038D" w14:textId="6B5CB4C4" w:rsidR="00CB68E6" w:rsidRPr="00BE281A" w:rsidRDefault="00CB68E6" w:rsidP="00CB68E6">
      <w:pPr>
        <w:pStyle w:val="BTEMEASMCA"/>
        <w:rPr>
          <w:lang w:val="lt-LT"/>
        </w:rPr>
      </w:pPr>
      <w:r w:rsidRPr="00BE281A">
        <w:rPr>
          <w:lang w:val="lt-LT"/>
        </w:rPr>
        <w:t>Dažniausiai pasireiškusios su kvetiapino vartojimu susijusios nepageidaujamos reakcijos į vaistą (NRV) (≥</w:t>
      </w:r>
      <w:r w:rsidR="00E573E9">
        <w:rPr>
          <w:lang w:val="lt-LT"/>
        </w:rPr>
        <w:t> </w:t>
      </w:r>
      <w:r w:rsidRPr="00BE281A">
        <w:rPr>
          <w:lang w:val="lt-LT"/>
        </w:rPr>
        <w:t>10</w:t>
      </w:r>
      <w:r w:rsidR="00E573E9">
        <w:rPr>
          <w:lang w:val="lt-LT"/>
        </w:rPr>
        <w:t> </w:t>
      </w:r>
      <w:r w:rsidRPr="00BE281A">
        <w:rPr>
          <w:lang w:val="lt-LT"/>
        </w:rPr>
        <w:t xml:space="preserve">%) buvo mieguistumas, svaigulys, galvos skausmas, burnos džiūvimas, vartojimo nutraukimo simptomai, padidėjusi trigliceridų koncentracija serume, padidėjusi bendrojo (ypač MTL) cholesterolio koncentracija, sumažėjusi DTL cholesterolio koncentracija, svorio prieaugis, sumažėjusi hemoglobino koncentracija ir ekstrapiramidiniai simptomai. </w:t>
      </w:r>
    </w:p>
    <w:p w14:paraId="7DF3F1FD" w14:textId="78431777" w:rsidR="00812204" w:rsidRPr="00D27530" w:rsidRDefault="00812204" w:rsidP="00CB68E6">
      <w:pPr>
        <w:pStyle w:val="BTEMEASMCA"/>
        <w:rPr>
          <w:lang w:val="lt-LT"/>
        </w:rPr>
      </w:pPr>
      <w:r w:rsidRPr="00BE281A">
        <w:rPr>
          <w:lang w:val="lt-LT"/>
        </w:rPr>
        <w:t xml:space="preserve">Pranešama apie su kvetiapino vartojimu susijusias sunkias nepageidaujamas odos </w:t>
      </w:r>
      <w:r w:rsidR="007939FC" w:rsidRPr="00BE281A">
        <w:rPr>
          <w:lang w:val="lt-LT"/>
        </w:rPr>
        <w:t xml:space="preserve">reakcijas </w:t>
      </w:r>
      <w:r w:rsidRPr="00BE281A">
        <w:rPr>
          <w:lang w:val="lt-LT"/>
        </w:rPr>
        <w:t>(SNOR), įskaitant Stevens-Džonsono sindromą</w:t>
      </w:r>
      <w:r w:rsidR="0065151E" w:rsidRPr="00BE281A">
        <w:rPr>
          <w:lang w:val="lt-LT"/>
        </w:rPr>
        <w:t xml:space="preserve"> (</w:t>
      </w:r>
      <w:r w:rsidR="0065151E" w:rsidRPr="005A08EC">
        <w:rPr>
          <w:lang w:val="x-none"/>
        </w:rPr>
        <w:t>Stevens-Johnson syndrome</w:t>
      </w:r>
      <w:r w:rsidR="0065151E" w:rsidRPr="00BE281A">
        <w:rPr>
          <w:lang w:val="lt-LT"/>
        </w:rPr>
        <w:t>)</w:t>
      </w:r>
      <w:r w:rsidRPr="00BE281A">
        <w:rPr>
          <w:lang w:val="lt-LT"/>
        </w:rPr>
        <w:t xml:space="preserve">, toksinę epidermio nekrolizę ir reakciją į vaistą su eozinofilija ir sisteminiais simptomais (angl. sutr. </w:t>
      </w:r>
      <w:r w:rsidRPr="00D27530">
        <w:rPr>
          <w:i/>
          <w:lang w:val="lt-LT"/>
        </w:rPr>
        <w:t>DRESS</w:t>
      </w:r>
      <w:r w:rsidRPr="00D27530">
        <w:rPr>
          <w:lang w:val="lt-LT"/>
        </w:rPr>
        <w:t>).</w:t>
      </w:r>
    </w:p>
    <w:p w14:paraId="129778D7" w14:textId="77777777" w:rsidR="00BB2F9A" w:rsidRPr="00D27530" w:rsidRDefault="00BB2F9A" w:rsidP="00CB68E6">
      <w:pPr>
        <w:pStyle w:val="BTEMEASMCA"/>
        <w:rPr>
          <w:lang w:val="lt-LT"/>
        </w:rPr>
      </w:pPr>
    </w:p>
    <w:p w14:paraId="58038262" w14:textId="77777777" w:rsidR="00CB68E6" w:rsidRPr="00D27530" w:rsidRDefault="00CB68E6" w:rsidP="00CB68E6">
      <w:pPr>
        <w:pStyle w:val="BTEMEASMCA"/>
        <w:rPr>
          <w:lang w:val="lt-LT"/>
        </w:rPr>
      </w:pPr>
      <w:r w:rsidRPr="00D27530">
        <w:rPr>
          <w:lang w:val="lt-LT"/>
        </w:rPr>
        <w:t>Toliau pateiktas nepageidaujamų reiškinių, susijusių su kvetiapino vartojimu, dažnis išvardytas pagal Medicinos mokslų tarptautinių organizacijų tarybos (ang. the Council for International Organizations of Medical Sciences, CIOMS) (CIOMS III darbo grupė, 1995) rekomenduotą formą.</w:t>
      </w:r>
    </w:p>
    <w:p w14:paraId="19ADBEDF" w14:textId="77777777" w:rsidR="00CB68E6" w:rsidRPr="00D27530" w:rsidRDefault="00CB68E6" w:rsidP="00CB68E6">
      <w:pPr>
        <w:pStyle w:val="BTEMEASMCA"/>
        <w:rPr>
          <w:lang w:val="lt-LT"/>
        </w:rPr>
      </w:pPr>
    </w:p>
    <w:p w14:paraId="39803F9D" w14:textId="77777777" w:rsidR="00CB68E6" w:rsidRPr="00D27530" w:rsidRDefault="00CB68E6" w:rsidP="00CB68E6">
      <w:pPr>
        <w:pStyle w:val="BTEMEASMCA"/>
        <w:rPr>
          <w:lang w:val="lt-LT"/>
        </w:rPr>
      </w:pPr>
      <w:r w:rsidRPr="00D27530">
        <w:rPr>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14:paraId="08153245" w14:textId="77777777" w:rsidR="00CB68E6" w:rsidRPr="00F45D90" w:rsidRDefault="00CB68E6" w:rsidP="00CB68E6">
      <w:pPr>
        <w:spacing w:after="0" w:line="240" w:lineRule="auto"/>
        <w:rPr>
          <w:rFonts w:ascii="Times New Roman" w:hAnsi="Times New Roman"/>
          <w:u w:val="single"/>
        </w:rPr>
      </w:pPr>
    </w:p>
    <w:p w14:paraId="30363871"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Kraujo ir limfinės sistemos sutrikimai</w:t>
      </w:r>
    </w:p>
    <w:p w14:paraId="2B20037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Labai dažni: sumažėjęs hemoglobino kiekis</w:t>
      </w:r>
      <w:r w:rsidRPr="00F45D90">
        <w:rPr>
          <w:rFonts w:ascii="Times New Roman" w:hAnsi="Times New Roman"/>
          <w:vertAlign w:val="superscript"/>
        </w:rPr>
        <w:t>22</w:t>
      </w:r>
    </w:p>
    <w:p w14:paraId="0630EF5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Dažni: leukopenija</w:t>
      </w:r>
      <w:r w:rsidRPr="00F45D90">
        <w:rPr>
          <w:rFonts w:ascii="Times New Roman" w:hAnsi="Times New Roman"/>
          <w:vertAlign w:val="superscript"/>
        </w:rPr>
        <w:t>28</w:t>
      </w:r>
      <w:r w:rsidRPr="00F45D90">
        <w:rPr>
          <w:rFonts w:ascii="Times New Roman" w:hAnsi="Times New Roman"/>
        </w:rPr>
        <w:t>, sumažėjęs neutrofilų kiekis, eozinofilija</w:t>
      </w:r>
      <w:r w:rsidRPr="00F45D90">
        <w:rPr>
          <w:rFonts w:ascii="Times New Roman" w:hAnsi="Times New Roman"/>
          <w:vertAlign w:val="superscript"/>
        </w:rPr>
        <w:t>27</w:t>
      </w:r>
    </w:p>
    <w:p w14:paraId="1E5A24DC" w14:textId="701BD410" w:rsidR="00CB68E6" w:rsidRPr="00F61D76" w:rsidRDefault="00CB68E6" w:rsidP="00CB68E6">
      <w:pPr>
        <w:spacing w:after="0" w:line="240" w:lineRule="auto"/>
        <w:rPr>
          <w:rFonts w:ascii="Times New Roman" w:hAnsi="Times New Roman"/>
        </w:rPr>
      </w:pPr>
      <w:r w:rsidRPr="00F45D90">
        <w:rPr>
          <w:rFonts w:ascii="Times New Roman" w:hAnsi="Times New Roman"/>
        </w:rPr>
        <w:t>Nedažni: trombocitopenija, anemija</w:t>
      </w:r>
      <w:r w:rsidRPr="00F45D90">
        <w:rPr>
          <w:rFonts w:ascii="Times New Roman" w:hAnsi="Times New Roman"/>
          <w:vertAlign w:val="superscript"/>
        </w:rPr>
        <w:t>14</w:t>
      </w:r>
      <w:r w:rsidRPr="00F45D90">
        <w:rPr>
          <w:rFonts w:ascii="Times New Roman" w:hAnsi="Times New Roman"/>
        </w:rPr>
        <w:t>, sumažėjęs trombocitų kiekis</w:t>
      </w:r>
      <w:r w:rsidRPr="00F45D90">
        <w:rPr>
          <w:rFonts w:ascii="Times New Roman" w:hAnsi="Times New Roman"/>
          <w:vertAlign w:val="superscript"/>
        </w:rPr>
        <w:t>13</w:t>
      </w:r>
      <w:r w:rsidR="00F61D76">
        <w:rPr>
          <w:rFonts w:ascii="Times New Roman" w:hAnsi="Times New Roman"/>
        </w:rPr>
        <w:t xml:space="preserve">, </w:t>
      </w:r>
      <w:r w:rsidR="00F61D76" w:rsidRPr="00F45D90">
        <w:rPr>
          <w:rFonts w:ascii="Times New Roman" w:hAnsi="Times New Roman"/>
        </w:rPr>
        <w:t>neutropenija</w:t>
      </w:r>
      <w:r w:rsidR="00F61D76" w:rsidRPr="00F45D90">
        <w:rPr>
          <w:rFonts w:ascii="Times New Roman" w:hAnsi="Times New Roman"/>
          <w:vertAlign w:val="superscript"/>
        </w:rPr>
        <w:t>1</w:t>
      </w:r>
    </w:p>
    <w:p w14:paraId="0344E05F" w14:textId="66B86166" w:rsidR="00CB68E6" w:rsidRDefault="00CB68E6" w:rsidP="00CB68E6">
      <w:pPr>
        <w:spacing w:after="0" w:line="240" w:lineRule="auto"/>
        <w:rPr>
          <w:rFonts w:ascii="Times New Roman" w:hAnsi="Times New Roman"/>
          <w:vertAlign w:val="superscript"/>
        </w:rPr>
      </w:pPr>
      <w:r w:rsidRPr="00F45D90">
        <w:rPr>
          <w:rFonts w:ascii="Times New Roman" w:hAnsi="Times New Roman"/>
        </w:rPr>
        <w:t>Reti: agranulocitozė</w:t>
      </w:r>
      <w:r w:rsidRPr="00F45D90">
        <w:rPr>
          <w:rFonts w:ascii="Times New Roman" w:hAnsi="Times New Roman"/>
          <w:vertAlign w:val="superscript"/>
        </w:rPr>
        <w:t>26</w:t>
      </w:r>
    </w:p>
    <w:p w14:paraId="4A7D6776" w14:textId="77777777" w:rsidR="000B7CD3" w:rsidRPr="00F45D90" w:rsidRDefault="000B7CD3" w:rsidP="00CB68E6">
      <w:pPr>
        <w:spacing w:after="0" w:line="240" w:lineRule="auto"/>
        <w:rPr>
          <w:rFonts w:ascii="Times New Roman" w:hAnsi="Times New Roman"/>
        </w:rPr>
      </w:pPr>
    </w:p>
    <w:p w14:paraId="504898CD"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Imuninės sistemos sutrikimai</w:t>
      </w:r>
    </w:p>
    <w:p w14:paraId="0C1AE1B1" w14:textId="77777777" w:rsidR="00CB68E6" w:rsidRPr="00F45D90" w:rsidRDefault="00CB68E6" w:rsidP="00CB68E6">
      <w:pPr>
        <w:spacing w:after="0" w:line="240" w:lineRule="auto"/>
        <w:rPr>
          <w:rFonts w:ascii="Times New Roman" w:hAnsi="Times New Roman"/>
        </w:rPr>
      </w:pPr>
      <w:r w:rsidRPr="00F45D90">
        <w:rPr>
          <w:rFonts w:ascii="Times New Roman" w:hAnsi="Times New Roman"/>
          <w:iCs/>
        </w:rPr>
        <w:t>Nedažni:</w:t>
      </w:r>
      <w:r w:rsidRPr="00F45D90">
        <w:rPr>
          <w:rFonts w:ascii="Times New Roman" w:hAnsi="Times New Roman"/>
        </w:rPr>
        <w:t xml:space="preserve"> padidėjusio jautrumo reakcijos (įskaitant odos reakcijas)</w:t>
      </w:r>
    </w:p>
    <w:p w14:paraId="7E510862" w14:textId="77777777" w:rsidR="00CB68E6" w:rsidRPr="00F45D90" w:rsidRDefault="00CB68E6" w:rsidP="00CB68E6">
      <w:pPr>
        <w:spacing w:after="0" w:line="240" w:lineRule="auto"/>
        <w:rPr>
          <w:rFonts w:ascii="Times New Roman" w:hAnsi="Times New Roman"/>
          <w:vertAlign w:val="superscript"/>
        </w:rPr>
      </w:pPr>
      <w:r w:rsidRPr="00F45D90">
        <w:rPr>
          <w:rFonts w:ascii="Times New Roman" w:hAnsi="Times New Roman"/>
          <w:iCs/>
        </w:rPr>
        <w:t>Labai reti:</w:t>
      </w:r>
      <w:r w:rsidRPr="00F45D90">
        <w:rPr>
          <w:rFonts w:ascii="Times New Roman" w:hAnsi="Times New Roman"/>
        </w:rPr>
        <w:t xml:space="preserve"> anafilaksinė reakcija</w:t>
      </w:r>
      <w:r w:rsidRPr="00F45D90">
        <w:rPr>
          <w:rFonts w:ascii="Times New Roman" w:hAnsi="Times New Roman"/>
          <w:vertAlign w:val="superscript"/>
        </w:rPr>
        <w:t>5</w:t>
      </w:r>
    </w:p>
    <w:p w14:paraId="05BB8394" w14:textId="77777777" w:rsidR="00CB68E6" w:rsidRPr="00F45D90" w:rsidRDefault="00CB68E6" w:rsidP="00CB68E6">
      <w:pPr>
        <w:spacing w:after="0" w:line="240" w:lineRule="auto"/>
        <w:rPr>
          <w:rFonts w:ascii="Times New Roman" w:hAnsi="Times New Roman"/>
        </w:rPr>
      </w:pPr>
    </w:p>
    <w:p w14:paraId="05B36E81"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Endokrininiai sutrikimai</w:t>
      </w:r>
    </w:p>
    <w:p w14:paraId="4FA3050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Dažni: hiperprolaktinemija</w:t>
      </w:r>
      <w:r w:rsidRPr="00F45D90">
        <w:rPr>
          <w:rFonts w:ascii="Times New Roman" w:hAnsi="Times New Roman"/>
          <w:vertAlign w:val="superscript"/>
        </w:rPr>
        <w:t>15</w:t>
      </w:r>
      <w:r w:rsidRPr="00F45D90">
        <w:rPr>
          <w:rFonts w:ascii="Times New Roman" w:hAnsi="Times New Roman"/>
        </w:rPr>
        <w:t>, sumažėjęs bendro T</w:t>
      </w:r>
      <w:r w:rsidRPr="00F45D90">
        <w:rPr>
          <w:rFonts w:ascii="Times New Roman" w:hAnsi="Times New Roman"/>
          <w:vertAlign w:val="subscript"/>
        </w:rPr>
        <w:t>4</w:t>
      </w:r>
      <w:r w:rsidRPr="00F45D90">
        <w:rPr>
          <w:rFonts w:ascii="Times New Roman" w:hAnsi="Times New Roman"/>
          <w:vertAlign w:val="superscript"/>
        </w:rPr>
        <w:t>24</w:t>
      </w:r>
      <w:r w:rsidRPr="00F45D90">
        <w:rPr>
          <w:rFonts w:ascii="Times New Roman" w:hAnsi="Times New Roman"/>
        </w:rPr>
        <w:t>, laisvo T</w:t>
      </w:r>
      <w:r w:rsidRPr="00F45D90">
        <w:rPr>
          <w:rFonts w:ascii="Times New Roman" w:hAnsi="Times New Roman"/>
          <w:vertAlign w:val="subscript"/>
        </w:rPr>
        <w:t>4</w:t>
      </w:r>
      <w:r w:rsidRPr="00F45D90">
        <w:rPr>
          <w:rFonts w:ascii="Times New Roman" w:hAnsi="Times New Roman"/>
          <w:vertAlign w:val="superscript"/>
        </w:rPr>
        <w:t>24</w:t>
      </w:r>
      <w:r w:rsidRPr="00F45D90">
        <w:rPr>
          <w:rFonts w:ascii="Times New Roman" w:hAnsi="Times New Roman"/>
        </w:rPr>
        <w:t>, bendro T</w:t>
      </w:r>
      <w:r w:rsidRPr="00F45D90">
        <w:rPr>
          <w:rFonts w:ascii="Times New Roman" w:hAnsi="Times New Roman"/>
          <w:vertAlign w:val="subscript"/>
        </w:rPr>
        <w:t>3</w:t>
      </w:r>
      <w:r w:rsidRPr="00F45D90">
        <w:rPr>
          <w:rFonts w:ascii="Times New Roman" w:hAnsi="Times New Roman"/>
          <w:vertAlign w:val="superscript"/>
        </w:rPr>
        <w:t>24</w:t>
      </w:r>
      <w:r w:rsidRPr="00F45D90">
        <w:rPr>
          <w:rFonts w:ascii="Times New Roman" w:hAnsi="Times New Roman"/>
        </w:rPr>
        <w:t xml:space="preserve"> kiekis, padidėjęs TSH</w:t>
      </w:r>
      <w:r w:rsidRPr="00F45D90">
        <w:rPr>
          <w:rFonts w:ascii="Times New Roman" w:hAnsi="Times New Roman"/>
          <w:vertAlign w:val="superscript"/>
        </w:rPr>
        <w:t>24</w:t>
      </w:r>
      <w:r w:rsidRPr="00F45D90">
        <w:rPr>
          <w:rFonts w:ascii="Times New Roman" w:hAnsi="Times New Roman"/>
        </w:rPr>
        <w:t xml:space="preserve"> kiekis</w:t>
      </w:r>
    </w:p>
    <w:p w14:paraId="3C03F5C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Nedažni: sumažėjęs  laisvo T</w:t>
      </w:r>
      <w:r w:rsidRPr="00F45D90">
        <w:rPr>
          <w:rFonts w:ascii="Times New Roman" w:hAnsi="Times New Roman"/>
          <w:vertAlign w:val="subscript"/>
        </w:rPr>
        <w:t>3</w:t>
      </w:r>
      <w:r w:rsidRPr="00F45D90">
        <w:rPr>
          <w:rFonts w:ascii="Times New Roman" w:hAnsi="Times New Roman"/>
          <w:vertAlign w:val="superscript"/>
        </w:rPr>
        <w:t>24</w:t>
      </w:r>
      <w:r w:rsidRPr="00F45D90">
        <w:rPr>
          <w:rFonts w:ascii="Times New Roman" w:hAnsi="Times New Roman"/>
        </w:rPr>
        <w:t xml:space="preserve"> kiekis, hipotirozė</w:t>
      </w:r>
      <w:r w:rsidRPr="00F45D90">
        <w:rPr>
          <w:rFonts w:ascii="Times New Roman" w:hAnsi="Times New Roman"/>
          <w:vertAlign w:val="superscript"/>
        </w:rPr>
        <w:t>21</w:t>
      </w:r>
    </w:p>
    <w:p w14:paraId="7EF84A7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Labai reti: sutrikusi antidiurezinio hormono sekrecija</w:t>
      </w:r>
    </w:p>
    <w:p w14:paraId="164D0D59" w14:textId="77777777" w:rsidR="00CB68E6" w:rsidRPr="00F45D90" w:rsidRDefault="00CB68E6" w:rsidP="00CB68E6">
      <w:pPr>
        <w:spacing w:after="0" w:line="240" w:lineRule="auto"/>
        <w:rPr>
          <w:rFonts w:ascii="Times New Roman" w:hAnsi="Times New Roman"/>
        </w:rPr>
      </w:pPr>
    </w:p>
    <w:p w14:paraId="2505D4A5"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Metabolizmo ir mitybos sutrikimai</w:t>
      </w:r>
    </w:p>
    <w:p w14:paraId="6BBB721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lastRenderedPageBreak/>
        <w:t>Labai dažni: padidėjęs trigliceridų kiekis serume</w:t>
      </w:r>
      <w:r w:rsidRPr="00F45D90">
        <w:rPr>
          <w:rFonts w:ascii="Times New Roman" w:hAnsi="Times New Roman"/>
          <w:vertAlign w:val="superscript"/>
        </w:rPr>
        <w:t>10,30</w:t>
      </w:r>
      <w:r w:rsidRPr="00F45D90">
        <w:rPr>
          <w:rFonts w:ascii="Times New Roman" w:hAnsi="Times New Roman"/>
        </w:rPr>
        <w:t>, bendro cholesterolio (vyrauja MTL cholesterolis) kiekis</w:t>
      </w:r>
      <w:r w:rsidRPr="00F45D90">
        <w:rPr>
          <w:rFonts w:ascii="Times New Roman" w:hAnsi="Times New Roman"/>
          <w:vertAlign w:val="superscript"/>
        </w:rPr>
        <w:t>11,30</w:t>
      </w:r>
      <w:r w:rsidRPr="00F45D90">
        <w:rPr>
          <w:rFonts w:ascii="Times New Roman" w:hAnsi="Times New Roman"/>
        </w:rPr>
        <w:t>, sumažėjęs DTL cholesterolio kiekis</w:t>
      </w:r>
      <w:r w:rsidRPr="00F45D90">
        <w:rPr>
          <w:rFonts w:ascii="Times New Roman" w:hAnsi="Times New Roman"/>
          <w:vertAlign w:val="superscript"/>
        </w:rPr>
        <w:t>1ų,30</w:t>
      </w:r>
      <w:r w:rsidRPr="00F45D90">
        <w:rPr>
          <w:rFonts w:ascii="Times New Roman" w:hAnsi="Times New Roman"/>
        </w:rPr>
        <w:t>, svorio didėjimas</w:t>
      </w:r>
      <w:r w:rsidRPr="00F45D90">
        <w:rPr>
          <w:rFonts w:ascii="Times New Roman" w:hAnsi="Times New Roman"/>
          <w:vertAlign w:val="superscript"/>
        </w:rPr>
        <w:t>8,30</w:t>
      </w:r>
    </w:p>
    <w:p w14:paraId="1114C66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Dažni: padidėjęs apetitas, gliukozės kiekio kraujyje padidėjimas iki hiperglikemijos</w:t>
      </w:r>
      <w:r w:rsidRPr="00F45D90">
        <w:rPr>
          <w:rFonts w:ascii="Times New Roman" w:hAnsi="Times New Roman"/>
          <w:vertAlign w:val="superscript"/>
        </w:rPr>
        <w:t>6,30</w:t>
      </w:r>
    </w:p>
    <w:p w14:paraId="11F63D31" w14:textId="77777777" w:rsidR="00CE46B1" w:rsidRPr="00F45D90" w:rsidRDefault="00CB68E6" w:rsidP="00CE46B1">
      <w:pPr>
        <w:spacing w:after="0" w:line="240" w:lineRule="auto"/>
        <w:rPr>
          <w:rFonts w:ascii="Times New Roman" w:hAnsi="Times New Roman"/>
        </w:rPr>
      </w:pPr>
      <w:r w:rsidRPr="00F45D90">
        <w:rPr>
          <w:rFonts w:ascii="Times New Roman" w:hAnsi="Times New Roman"/>
        </w:rPr>
        <w:t>Nedažni: hiponatremija</w:t>
      </w:r>
      <w:r w:rsidRPr="00F45D90">
        <w:rPr>
          <w:rFonts w:ascii="Times New Roman" w:hAnsi="Times New Roman"/>
          <w:vertAlign w:val="superscript"/>
        </w:rPr>
        <w:t>19</w:t>
      </w:r>
      <w:r w:rsidRPr="00F45D90">
        <w:rPr>
          <w:rFonts w:ascii="Times New Roman" w:hAnsi="Times New Roman"/>
        </w:rPr>
        <w:t xml:space="preserve">, cukrinis diabetas </w:t>
      </w:r>
      <w:r w:rsidRPr="00F45D90">
        <w:rPr>
          <w:rFonts w:ascii="Times New Roman" w:hAnsi="Times New Roman"/>
          <w:vertAlign w:val="superscript"/>
        </w:rPr>
        <w:t>1, 5,6</w:t>
      </w:r>
      <w:r w:rsidR="00CE46B1">
        <w:rPr>
          <w:rFonts w:ascii="Times New Roman" w:hAnsi="Times New Roman"/>
        </w:rPr>
        <w:t xml:space="preserve">, </w:t>
      </w:r>
      <w:r w:rsidR="00CE46B1" w:rsidRPr="00F45D90">
        <w:rPr>
          <w:rFonts w:ascii="Times New Roman" w:hAnsi="Times New Roman"/>
        </w:rPr>
        <w:t>anksčiau buvusio cukrinio diabeto paūmėjimas</w:t>
      </w:r>
    </w:p>
    <w:p w14:paraId="7E54BC62"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iCs/>
        </w:rPr>
        <w:t>Reti:</w:t>
      </w:r>
      <w:r w:rsidRPr="00F45D90">
        <w:rPr>
          <w:rFonts w:ascii="Times New Roman" w:hAnsi="Times New Roman"/>
        </w:rPr>
        <w:t xml:space="preserve"> metabolinis sindromas</w:t>
      </w:r>
      <w:r w:rsidRPr="00F45D90">
        <w:rPr>
          <w:rFonts w:ascii="Times New Roman" w:hAnsi="Times New Roman"/>
          <w:vertAlign w:val="superscript"/>
        </w:rPr>
        <w:t>29</w:t>
      </w:r>
    </w:p>
    <w:p w14:paraId="11CD3381" w14:textId="77777777" w:rsidR="00CB68E6" w:rsidRPr="00F45D90" w:rsidRDefault="00CB68E6" w:rsidP="00CB68E6">
      <w:pPr>
        <w:spacing w:after="0" w:line="240" w:lineRule="auto"/>
        <w:rPr>
          <w:rFonts w:ascii="Times New Roman" w:hAnsi="Times New Roman"/>
        </w:rPr>
      </w:pPr>
    </w:p>
    <w:p w14:paraId="083D8454"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Psichikos sutrikimai</w:t>
      </w:r>
    </w:p>
    <w:p w14:paraId="3B0A414A"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iCs/>
        </w:rPr>
        <w:t>Dažni</w:t>
      </w:r>
      <w:r w:rsidRPr="00F45D90">
        <w:rPr>
          <w:rFonts w:ascii="Times New Roman" w:hAnsi="Times New Roman"/>
        </w:rPr>
        <w:t>: nenormalūs sapnai, košmarai, mintys apie savižudybę ir savižudiškas elgesys</w:t>
      </w:r>
      <w:r w:rsidRPr="00F45D90">
        <w:rPr>
          <w:rFonts w:ascii="Times New Roman" w:hAnsi="Times New Roman"/>
          <w:vertAlign w:val="superscript"/>
        </w:rPr>
        <w:t>20</w:t>
      </w:r>
    </w:p>
    <w:p w14:paraId="1377854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Reti:  somnabulizmas ir jam artimos reakcijos – kalbėjimas ir valgymas miego metu</w:t>
      </w:r>
    </w:p>
    <w:p w14:paraId="6B3FF27E" w14:textId="77777777" w:rsidR="00CB68E6" w:rsidRPr="00F45D90" w:rsidRDefault="00CB68E6" w:rsidP="00CB68E6">
      <w:pPr>
        <w:spacing w:after="0" w:line="240" w:lineRule="auto"/>
        <w:rPr>
          <w:rFonts w:ascii="Times New Roman" w:hAnsi="Times New Roman"/>
        </w:rPr>
      </w:pPr>
    </w:p>
    <w:p w14:paraId="0F46AA7C"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Nervų sistemos sutrikimai</w:t>
      </w:r>
    </w:p>
    <w:p w14:paraId="2507214E"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iCs/>
        </w:rPr>
        <w:t>Labai dažni:</w:t>
      </w:r>
      <w:r w:rsidRPr="00F45D90">
        <w:rPr>
          <w:rFonts w:ascii="Times New Roman" w:hAnsi="Times New Roman"/>
        </w:rPr>
        <w:t xml:space="preserve"> svaigulys </w:t>
      </w:r>
      <w:r w:rsidRPr="00F45D90">
        <w:rPr>
          <w:rFonts w:ascii="Times New Roman" w:hAnsi="Times New Roman"/>
          <w:vertAlign w:val="superscript"/>
        </w:rPr>
        <w:t>4,16</w:t>
      </w:r>
      <w:r w:rsidRPr="00F45D90">
        <w:rPr>
          <w:rFonts w:ascii="Times New Roman" w:hAnsi="Times New Roman"/>
        </w:rPr>
        <w:t xml:space="preserve">, somnolencija </w:t>
      </w:r>
      <w:r w:rsidRPr="00F45D90">
        <w:rPr>
          <w:rFonts w:ascii="Times New Roman" w:hAnsi="Times New Roman"/>
          <w:vertAlign w:val="superscript"/>
        </w:rPr>
        <w:t>2,16</w:t>
      </w:r>
      <w:r w:rsidRPr="00F45D90">
        <w:rPr>
          <w:rFonts w:ascii="Times New Roman" w:hAnsi="Times New Roman"/>
        </w:rPr>
        <w:t xml:space="preserve">, galvos skausmas, ekstrapiramidiniai simptomai </w:t>
      </w:r>
      <w:r w:rsidRPr="00F45D90">
        <w:rPr>
          <w:rFonts w:ascii="Times New Roman" w:hAnsi="Times New Roman"/>
          <w:vertAlign w:val="superscript"/>
        </w:rPr>
        <w:t>1,21</w:t>
      </w:r>
    </w:p>
    <w:p w14:paraId="1D95610A"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rPr>
        <w:t>Dažni: , dizartrija</w:t>
      </w:r>
    </w:p>
    <w:p w14:paraId="06B87CDA" w14:textId="4267E81B" w:rsidR="00CB68E6" w:rsidRPr="006129D6" w:rsidRDefault="00CB68E6" w:rsidP="00CB68E6">
      <w:pPr>
        <w:spacing w:after="0" w:line="240" w:lineRule="auto"/>
        <w:rPr>
          <w:rFonts w:ascii="Times New Roman" w:hAnsi="Times New Roman"/>
        </w:rPr>
      </w:pPr>
      <w:r w:rsidRPr="00F45D90">
        <w:rPr>
          <w:rFonts w:ascii="Times New Roman" w:hAnsi="Times New Roman"/>
          <w:iCs/>
        </w:rPr>
        <w:t>Nedažni: t</w:t>
      </w:r>
      <w:r w:rsidRPr="00F45D90">
        <w:rPr>
          <w:rFonts w:ascii="Times New Roman" w:hAnsi="Times New Roman"/>
        </w:rPr>
        <w:t>raukuliai</w:t>
      </w:r>
      <w:r w:rsidRPr="00F45D90">
        <w:rPr>
          <w:rFonts w:ascii="Times New Roman" w:hAnsi="Times New Roman"/>
          <w:vertAlign w:val="superscript"/>
        </w:rPr>
        <w:t>1</w:t>
      </w:r>
      <w:r w:rsidRPr="00F45D90">
        <w:rPr>
          <w:rFonts w:ascii="Times New Roman" w:hAnsi="Times New Roman"/>
        </w:rPr>
        <w:t>, neramių kojų sindromas, vėlyvoji diskinezija</w:t>
      </w:r>
      <w:r w:rsidRPr="00F45D90">
        <w:rPr>
          <w:rFonts w:ascii="Times New Roman" w:hAnsi="Times New Roman"/>
          <w:vertAlign w:val="superscript"/>
        </w:rPr>
        <w:t>1,5</w:t>
      </w:r>
      <w:r w:rsidRPr="00F45D90">
        <w:rPr>
          <w:rFonts w:ascii="Times New Roman" w:hAnsi="Times New Roman"/>
        </w:rPr>
        <w:t>, apalpimas</w:t>
      </w:r>
      <w:r w:rsidRPr="00F45D90">
        <w:rPr>
          <w:rFonts w:ascii="Times New Roman" w:hAnsi="Times New Roman"/>
          <w:vertAlign w:val="superscript"/>
        </w:rPr>
        <w:t>4, 16</w:t>
      </w:r>
      <w:r w:rsidR="006129D6">
        <w:rPr>
          <w:rFonts w:ascii="Times New Roman" w:hAnsi="Times New Roman"/>
        </w:rPr>
        <w:t>, konfūzinė būsena.</w:t>
      </w:r>
    </w:p>
    <w:p w14:paraId="6E9A5DDB" w14:textId="77777777" w:rsidR="00CB68E6" w:rsidRPr="00F45D90" w:rsidRDefault="00CB68E6" w:rsidP="00CB68E6">
      <w:pPr>
        <w:spacing w:after="0" w:line="240" w:lineRule="auto"/>
        <w:rPr>
          <w:rFonts w:ascii="Times New Roman" w:hAnsi="Times New Roman"/>
        </w:rPr>
      </w:pPr>
    </w:p>
    <w:p w14:paraId="330F9046"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Akių sutrikimai</w:t>
      </w:r>
    </w:p>
    <w:p w14:paraId="771E8EB0" w14:textId="77777777" w:rsidR="00CB68E6" w:rsidRPr="00F45D90" w:rsidRDefault="00CB68E6" w:rsidP="00CB68E6">
      <w:pPr>
        <w:spacing w:after="0" w:line="240" w:lineRule="auto"/>
        <w:rPr>
          <w:rFonts w:ascii="Times New Roman" w:hAnsi="Times New Roman"/>
        </w:rPr>
      </w:pPr>
      <w:r w:rsidRPr="00F45D90">
        <w:rPr>
          <w:rFonts w:ascii="Times New Roman" w:hAnsi="Times New Roman"/>
          <w:iCs/>
        </w:rPr>
        <w:t>Dažni:</w:t>
      </w:r>
      <w:r w:rsidRPr="00F45D90">
        <w:rPr>
          <w:rFonts w:ascii="Times New Roman" w:hAnsi="Times New Roman"/>
        </w:rPr>
        <w:t xml:space="preserve"> vaizdo ryškumo sumažėjimas</w:t>
      </w:r>
    </w:p>
    <w:p w14:paraId="6A54FE28" w14:textId="77777777" w:rsidR="00CB68E6" w:rsidRPr="00F45D90" w:rsidRDefault="00CB68E6" w:rsidP="00CB68E6">
      <w:pPr>
        <w:spacing w:after="0" w:line="240" w:lineRule="auto"/>
        <w:rPr>
          <w:rFonts w:ascii="Times New Roman" w:hAnsi="Times New Roman"/>
          <w:u w:val="single"/>
        </w:rPr>
      </w:pPr>
    </w:p>
    <w:p w14:paraId="59A72710"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Širdies sutrikimai</w:t>
      </w:r>
    </w:p>
    <w:p w14:paraId="7C92652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Dažni: tachikardija</w:t>
      </w:r>
      <w:r w:rsidRPr="00F45D90">
        <w:rPr>
          <w:rFonts w:ascii="Times New Roman" w:hAnsi="Times New Roman"/>
          <w:vertAlign w:val="superscript"/>
        </w:rPr>
        <w:t>4</w:t>
      </w:r>
      <w:r w:rsidRPr="00F45D90">
        <w:rPr>
          <w:rFonts w:ascii="Times New Roman" w:hAnsi="Times New Roman"/>
        </w:rPr>
        <w:t>, palpitacijos</w:t>
      </w:r>
      <w:r w:rsidRPr="00F45D90">
        <w:rPr>
          <w:rFonts w:ascii="Times New Roman" w:hAnsi="Times New Roman"/>
          <w:vertAlign w:val="superscript"/>
        </w:rPr>
        <w:t>23</w:t>
      </w:r>
    </w:p>
    <w:p w14:paraId="174083C9" w14:textId="3D5D8C1C" w:rsidR="00CB68E6" w:rsidRDefault="00CB68E6" w:rsidP="00CB68E6">
      <w:pPr>
        <w:spacing w:after="0" w:line="240" w:lineRule="auto"/>
        <w:rPr>
          <w:rFonts w:ascii="Times New Roman" w:hAnsi="Times New Roman"/>
        </w:rPr>
      </w:pPr>
      <w:r w:rsidRPr="00F45D90">
        <w:rPr>
          <w:rFonts w:ascii="Times New Roman" w:hAnsi="Times New Roman"/>
        </w:rPr>
        <w:t>Nedažni: bradikardija</w:t>
      </w:r>
      <w:r w:rsidRPr="00F45D90">
        <w:rPr>
          <w:rFonts w:ascii="Times New Roman" w:hAnsi="Times New Roman"/>
          <w:vertAlign w:val="superscript"/>
        </w:rPr>
        <w:t>32</w:t>
      </w:r>
      <w:r w:rsidRPr="00F45D90">
        <w:rPr>
          <w:rFonts w:ascii="Times New Roman" w:hAnsi="Times New Roman"/>
        </w:rPr>
        <w:t>, QT intervalo pailgėjimas</w:t>
      </w:r>
      <w:r w:rsidRPr="00F45D90">
        <w:rPr>
          <w:rFonts w:ascii="Times New Roman" w:hAnsi="Times New Roman"/>
          <w:vertAlign w:val="superscript"/>
        </w:rPr>
        <w:t>1,12,18</w:t>
      </w:r>
      <w:r w:rsidRPr="00F45D90">
        <w:rPr>
          <w:rFonts w:ascii="Times New Roman" w:hAnsi="Times New Roman"/>
        </w:rPr>
        <w:t xml:space="preserve"> </w:t>
      </w:r>
    </w:p>
    <w:p w14:paraId="48D4EBD5" w14:textId="02BD2796" w:rsidR="006129D6" w:rsidRPr="00F45D90" w:rsidRDefault="006129D6" w:rsidP="00CB68E6">
      <w:pPr>
        <w:spacing w:after="0" w:line="240" w:lineRule="auto"/>
        <w:rPr>
          <w:rFonts w:ascii="Times New Roman" w:hAnsi="Times New Roman"/>
        </w:rPr>
      </w:pPr>
      <w:r>
        <w:rPr>
          <w:rFonts w:ascii="Times New Roman" w:hAnsi="Times New Roman"/>
        </w:rPr>
        <w:t>Dažnis nežinomas: kardiomiopatija, miokarditas</w:t>
      </w:r>
    </w:p>
    <w:p w14:paraId="210C630E" w14:textId="77777777" w:rsidR="00CB68E6" w:rsidRPr="00F45D90" w:rsidRDefault="00CB68E6" w:rsidP="00CB68E6">
      <w:pPr>
        <w:spacing w:after="0" w:line="240" w:lineRule="auto"/>
        <w:rPr>
          <w:rFonts w:ascii="Times New Roman" w:hAnsi="Times New Roman"/>
          <w:u w:val="single"/>
        </w:rPr>
      </w:pPr>
    </w:p>
    <w:p w14:paraId="7340C9EE"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Kraujagyslių sutrikimai</w:t>
      </w:r>
    </w:p>
    <w:p w14:paraId="178F91FF" w14:textId="77777777" w:rsidR="00CB68E6" w:rsidRPr="00F45D90" w:rsidRDefault="00CB68E6" w:rsidP="00CB68E6">
      <w:pPr>
        <w:spacing w:after="0" w:line="240" w:lineRule="auto"/>
        <w:rPr>
          <w:rFonts w:ascii="Times New Roman" w:hAnsi="Times New Roman"/>
          <w:vertAlign w:val="superscript"/>
        </w:rPr>
      </w:pPr>
      <w:r w:rsidRPr="00F45D90">
        <w:rPr>
          <w:rFonts w:ascii="Times New Roman" w:hAnsi="Times New Roman"/>
        </w:rPr>
        <w:t>Dažni: ortostatinė hipotenzija</w:t>
      </w:r>
      <w:r w:rsidRPr="00F45D90">
        <w:rPr>
          <w:rFonts w:ascii="Times New Roman" w:hAnsi="Times New Roman"/>
          <w:vertAlign w:val="superscript"/>
        </w:rPr>
        <w:t>4,16</w:t>
      </w:r>
    </w:p>
    <w:p w14:paraId="79E091B7" w14:textId="77777777" w:rsidR="00CB68E6" w:rsidRPr="00CE46B1" w:rsidRDefault="00CB68E6" w:rsidP="00CB68E6">
      <w:pPr>
        <w:spacing w:after="0" w:line="240" w:lineRule="auto"/>
        <w:rPr>
          <w:rFonts w:ascii="Times New Roman" w:hAnsi="Times New Roman"/>
        </w:rPr>
      </w:pPr>
      <w:r w:rsidRPr="00F45D90">
        <w:rPr>
          <w:rFonts w:ascii="Times New Roman" w:hAnsi="Times New Roman"/>
          <w:iCs/>
        </w:rPr>
        <w:t>Reti:</w:t>
      </w:r>
      <w:r w:rsidRPr="00F45D90">
        <w:rPr>
          <w:rFonts w:ascii="Times New Roman" w:hAnsi="Times New Roman"/>
        </w:rPr>
        <w:t xml:space="preserve"> venų tromboembolija</w:t>
      </w:r>
      <w:r w:rsidRPr="00F45D90">
        <w:rPr>
          <w:rFonts w:ascii="Times New Roman" w:hAnsi="Times New Roman"/>
          <w:vertAlign w:val="superscript"/>
        </w:rPr>
        <w:t>1</w:t>
      </w:r>
    </w:p>
    <w:p w14:paraId="4DDA213B" w14:textId="77777777" w:rsidR="000B7CD3" w:rsidRDefault="00CE46B1" w:rsidP="00CB68E6">
      <w:pPr>
        <w:spacing w:after="0" w:line="240" w:lineRule="auto"/>
        <w:rPr>
          <w:rFonts w:ascii="Times New Roman" w:hAnsi="Times New Roman"/>
          <w:u w:val="single"/>
          <w:vertAlign w:val="superscript"/>
        </w:rPr>
      </w:pPr>
      <w:r>
        <w:rPr>
          <w:rFonts w:ascii="Times New Roman" w:hAnsi="Times New Roman"/>
        </w:rPr>
        <w:t>Dažnis nežinomas</w:t>
      </w:r>
      <w:r w:rsidRPr="001B64D9">
        <w:rPr>
          <w:rFonts w:ascii="Times New Roman" w:hAnsi="Times New Roman"/>
        </w:rPr>
        <w:t>: insultas</w:t>
      </w:r>
      <w:r w:rsidRPr="001B64D9">
        <w:rPr>
          <w:rFonts w:ascii="Times New Roman" w:hAnsi="Times New Roman"/>
          <w:vertAlign w:val="superscript"/>
        </w:rPr>
        <w:t>33</w:t>
      </w:r>
    </w:p>
    <w:p w14:paraId="6A7CF263" w14:textId="77777777" w:rsidR="000B7CD3" w:rsidRDefault="000B7CD3" w:rsidP="00CB68E6">
      <w:pPr>
        <w:spacing w:after="0" w:line="240" w:lineRule="auto"/>
        <w:rPr>
          <w:rFonts w:ascii="Times New Roman" w:hAnsi="Times New Roman"/>
          <w:u w:val="single"/>
          <w:vertAlign w:val="superscript"/>
        </w:rPr>
      </w:pPr>
    </w:p>
    <w:p w14:paraId="2290D3AB" w14:textId="10FA3982"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Kvėpavimo sistemos, krūtinės ląstos ir tarpuplaučio sutrikimai</w:t>
      </w:r>
    </w:p>
    <w:p w14:paraId="2915084F" w14:textId="77777777" w:rsidR="00CB68E6" w:rsidRPr="00F45D90" w:rsidRDefault="00CB68E6" w:rsidP="00CB68E6">
      <w:pPr>
        <w:spacing w:after="0" w:line="240" w:lineRule="auto"/>
        <w:rPr>
          <w:rFonts w:ascii="Times New Roman" w:hAnsi="Times New Roman"/>
        </w:rPr>
      </w:pPr>
      <w:r w:rsidRPr="00F45D90">
        <w:rPr>
          <w:rFonts w:ascii="Times New Roman" w:hAnsi="Times New Roman"/>
          <w:iCs/>
        </w:rPr>
        <w:t xml:space="preserve">Dažni: </w:t>
      </w:r>
      <w:r w:rsidRPr="00F45D90">
        <w:rPr>
          <w:rFonts w:ascii="Times New Roman" w:hAnsi="Times New Roman"/>
        </w:rPr>
        <w:t>dusulys</w:t>
      </w:r>
      <w:r w:rsidRPr="00F45D90">
        <w:rPr>
          <w:rFonts w:ascii="Times New Roman" w:hAnsi="Times New Roman"/>
          <w:vertAlign w:val="superscript"/>
        </w:rPr>
        <w:t>23</w:t>
      </w:r>
    </w:p>
    <w:p w14:paraId="26EC999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Nedažni: rinitas</w:t>
      </w:r>
    </w:p>
    <w:p w14:paraId="5DCCF5FE" w14:textId="77777777" w:rsidR="00CB68E6" w:rsidRPr="00F45D90" w:rsidRDefault="00CB68E6" w:rsidP="00CB68E6">
      <w:pPr>
        <w:spacing w:after="0" w:line="240" w:lineRule="auto"/>
        <w:rPr>
          <w:rFonts w:ascii="Times New Roman" w:hAnsi="Times New Roman"/>
        </w:rPr>
      </w:pPr>
    </w:p>
    <w:p w14:paraId="1B05FDB2" w14:textId="77777777" w:rsidR="00CB68E6" w:rsidRPr="00F45D90" w:rsidRDefault="00CB68E6" w:rsidP="00CB68E6">
      <w:pPr>
        <w:spacing w:after="0" w:line="240" w:lineRule="auto"/>
        <w:rPr>
          <w:rFonts w:ascii="Times New Roman" w:hAnsi="Times New Roman"/>
          <w:u w:val="single"/>
          <w:vertAlign w:val="superscript"/>
        </w:rPr>
      </w:pPr>
      <w:r w:rsidRPr="00F45D90">
        <w:rPr>
          <w:rFonts w:ascii="Times New Roman" w:hAnsi="Times New Roman"/>
          <w:u w:val="single"/>
        </w:rPr>
        <w:t>Virškinimo trakto sutrikimai</w:t>
      </w:r>
    </w:p>
    <w:p w14:paraId="4FE2692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Labai dažni: burnos džiūvimas</w:t>
      </w:r>
    </w:p>
    <w:p w14:paraId="3BE8248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Dažni: vidurių užkietėjimas, dispepsija, vėmimas</w:t>
      </w:r>
      <w:r w:rsidRPr="00F45D90">
        <w:rPr>
          <w:rFonts w:ascii="Times New Roman" w:hAnsi="Times New Roman"/>
          <w:vertAlign w:val="superscript"/>
        </w:rPr>
        <w:t>25</w:t>
      </w:r>
    </w:p>
    <w:p w14:paraId="53CE2D74" w14:textId="77777777" w:rsidR="00CB68E6" w:rsidRPr="00F45D90" w:rsidRDefault="00CB68E6" w:rsidP="00CB68E6">
      <w:pPr>
        <w:spacing w:after="0" w:line="240" w:lineRule="auto"/>
        <w:rPr>
          <w:rFonts w:ascii="Times New Roman" w:hAnsi="Times New Roman"/>
        </w:rPr>
      </w:pPr>
      <w:r w:rsidRPr="00F45D90">
        <w:rPr>
          <w:rFonts w:ascii="Times New Roman" w:hAnsi="Times New Roman"/>
          <w:iCs/>
        </w:rPr>
        <w:t>Nedažni:</w:t>
      </w:r>
      <w:r w:rsidRPr="00F45D90">
        <w:rPr>
          <w:rFonts w:ascii="Times New Roman" w:hAnsi="Times New Roman"/>
        </w:rPr>
        <w:t xml:space="preserve"> disfagija</w:t>
      </w:r>
      <w:r w:rsidRPr="00F45D90">
        <w:rPr>
          <w:rFonts w:ascii="Times New Roman" w:hAnsi="Times New Roman"/>
          <w:vertAlign w:val="superscript"/>
        </w:rPr>
        <w:t>7</w:t>
      </w:r>
    </w:p>
    <w:p w14:paraId="27B28FE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Reti: pankreatitas</w:t>
      </w:r>
      <w:r w:rsidRPr="00F45D90">
        <w:rPr>
          <w:rFonts w:ascii="Times New Roman" w:hAnsi="Times New Roman"/>
          <w:vertAlign w:val="superscript"/>
        </w:rPr>
        <w:t>1</w:t>
      </w:r>
      <w:r w:rsidRPr="00F45D90">
        <w:rPr>
          <w:rFonts w:ascii="Times New Roman" w:hAnsi="Times New Roman"/>
        </w:rPr>
        <w:t>, žarnų obstrukcija arba nepraeinamumas</w:t>
      </w:r>
    </w:p>
    <w:p w14:paraId="0846BBA7" w14:textId="77777777" w:rsidR="00CB68E6" w:rsidRPr="00F45D90" w:rsidRDefault="00CB68E6" w:rsidP="00CB68E6">
      <w:pPr>
        <w:spacing w:after="0" w:line="240" w:lineRule="auto"/>
        <w:rPr>
          <w:rFonts w:ascii="Times New Roman" w:hAnsi="Times New Roman"/>
        </w:rPr>
      </w:pPr>
    </w:p>
    <w:p w14:paraId="1C99B463"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Kepenų, tulžies pūslės ir latakų sutrikimai</w:t>
      </w:r>
    </w:p>
    <w:p w14:paraId="4FA9EEB7" w14:textId="36B8E454" w:rsidR="00CB68E6" w:rsidRPr="00F45D90" w:rsidRDefault="00CB68E6" w:rsidP="00CB68E6">
      <w:pPr>
        <w:spacing w:after="0" w:line="240" w:lineRule="auto"/>
        <w:rPr>
          <w:rFonts w:ascii="Times New Roman" w:eastAsia="Times New Roman" w:hAnsi="Times New Roman"/>
        </w:rPr>
      </w:pPr>
      <w:r w:rsidRPr="00F45D90">
        <w:rPr>
          <w:rFonts w:ascii="Times New Roman" w:hAnsi="Times New Roman"/>
          <w:iCs/>
        </w:rPr>
        <w:t xml:space="preserve">Dažni: </w:t>
      </w:r>
      <w:r w:rsidRPr="00F45D90">
        <w:rPr>
          <w:rFonts w:ascii="Times New Roman" w:eastAsia="Times New Roman" w:hAnsi="Times New Roman"/>
        </w:rPr>
        <w:t>padidėjusi alanino aminotransferazės (ALT) koncentracija serume</w:t>
      </w:r>
      <w:r w:rsidRPr="00F45D90">
        <w:rPr>
          <w:rFonts w:ascii="Times New Roman" w:eastAsia="Times New Roman" w:hAnsi="Times New Roman"/>
          <w:vertAlign w:val="superscript"/>
        </w:rPr>
        <w:t>3</w:t>
      </w:r>
      <w:r w:rsidRPr="00F45D90">
        <w:rPr>
          <w:rFonts w:ascii="Times New Roman" w:eastAsia="Times New Roman" w:hAnsi="Times New Roman"/>
        </w:rPr>
        <w:t>, padidėjusi gama-GT koncentracija</w:t>
      </w:r>
      <w:r w:rsidRPr="00F45D90">
        <w:rPr>
          <w:rFonts w:ascii="Times New Roman" w:eastAsia="Times New Roman" w:hAnsi="Times New Roman"/>
          <w:vertAlign w:val="superscript"/>
        </w:rPr>
        <w:t>3</w:t>
      </w:r>
    </w:p>
    <w:p w14:paraId="4537B786" w14:textId="77777777" w:rsidR="00CB68E6" w:rsidRPr="00F45D90" w:rsidRDefault="00CB68E6" w:rsidP="00CB68E6">
      <w:pPr>
        <w:spacing w:after="0" w:line="240" w:lineRule="auto"/>
        <w:rPr>
          <w:rFonts w:ascii="Times New Roman" w:hAnsi="Times New Roman"/>
          <w:iCs/>
        </w:rPr>
      </w:pPr>
      <w:r w:rsidRPr="00F45D90">
        <w:rPr>
          <w:rFonts w:ascii="Times New Roman" w:eastAsia="Times New Roman" w:hAnsi="Times New Roman"/>
        </w:rPr>
        <w:t>Nedažni: padidėjusi aspartato aminotransferazės (AST) koncentracija serume</w:t>
      </w:r>
      <w:r w:rsidRPr="00F45D90">
        <w:rPr>
          <w:rFonts w:ascii="Times New Roman" w:eastAsia="Times New Roman" w:hAnsi="Times New Roman"/>
          <w:vertAlign w:val="superscript"/>
        </w:rPr>
        <w:t>3</w:t>
      </w:r>
    </w:p>
    <w:p w14:paraId="05886FBE" w14:textId="77777777" w:rsidR="00CB68E6" w:rsidRPr="00F45D90" w:rsidRDefault="00CB68E6" w:rsidP="00CB68E6">
      <w:pPr>
        <w:spacing w:after="0" w:line="240" w:lineRule="auto"/>
        <w:rPr>
          <w:rFonts w:ascii="Times New Roman" w:hAnsi="Times New Roman"/>
          <w:vertAlign w:val="superscript"/>
        </w:rPr>
      </w:pPr>
      <w:r w:rsidRPr="00F45D90">
        <w:rPr>
          <w:rFonts w:ascii="Times New Roman" w:hAnsi="Times New Roman"/>
        </w:rPr>
        <w:t>Reti: gelta</w:t>
      </w:r>
      <w:r w:rsidRPr="00F45D90">
        <w:rPr>
          <w:rFonts w:ascii="Times New Roman" w:hAnsi="Times New Roman"/>
          <w:vertAlign w:val="superscript"/>
        </w:rPr>
        <w:t>5</w:t>
      </w:r>
      <w:r w:rsidRPr="00F45D90">
        <w:rPr>
          <w:rFonts w:ascii="Times New Roman" w:hAnsi="Times New Roman"/>
        </w:rPr>
        <w:t>, hepatitas</w:t>
      </w:r>
    </w:p>
    <w:p w14:paraId="5E337A41" w14:textId="77777777" w:rsidR="00CB68E6" w:rsidRPr="00F45D90" w:rsidRDefault="00CB68E6" w:rsidP="00CB68E6">
      <w:pPr>
        <w:spacing w:after="0" w:line="240" w:lineRule="auto"/>
        <w:rPr>
          <w:rFonts w:ascii="Times New Roman" w:hAnsi="Times New Roman"/>
        </w:rPr>
      </w:pPr>
    </w:p>
    <w:p w14:paraId="77E5EC39"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Odos ir poodinio audinio sutrikimai</w:t>
      </w:r>
    </w:p>
    <w:p w14:paraId="4AA43407" w14:textId="77777777" w:rsidR="00CB68E6" w:rsidRPr="00F45D90" w:rsidRDefault="00CB68E6" w:rsidP="00CB68E6">
      <w:pPr>
        <w:spacing w:after="0" w:line="240" w:lineRule="auto"/>
        <w:rPr>
          <w:rFonts w:ascii="Times New Roman" w:hAnsi="Times New Roman"/>
          <w:vertAlign w:val="superscript"/>
        </w:rPr>
      </w:pPr>
      <w:r w:rsidRPr="00F45D90">
        <w:rPr>
          <w:rFonts w:ascii="Times New Roman" w:hAnsi="Times New Roman"/>
          <w:iCs/>
        </w:rPr>
        <w:t xml:space="preserve">Labai reti: </w:t>
      </w:r>
      <w:r w:rsidRPr="00F45D90">
        <w:rPr>
          <w:rFonts w:ascii="Times New Roman" w:hAnsi="Times New Roman"/>
        </w:rPr>
        <w:t>angioneurozinė edema</w:t>
      </w:r>
      <w:r w:rsidRPr="00F45D90">
        <w:rPr>
          <w:rFonts w:ascii="Times New Roman" w:hAnsi="Times New Roman"/>
          <w:vertAlign w:val="superscript"/>
        </w:rPr>
        <w:t>65</w:t>
      </w:r>
      <w:r w:rsidRPr="00F45D90">
        <w:rPr>
          <w:rFonts w:ascii="Times New Roman" w:hAnsi="Times New Roman"/>
        </w:rPr>
        <w:t xml:space="preserve"> Sivenso-Džonsono (</w:t>
      </w:r>
      <w:r w:rsidRPr="00F45D90">
        <w:rPr>
          <w:rFonts w:ascii="Times New Roman" w:hAnsi="Times New Roman"/>
          <w:i/>
        </w:rPr>
        <w:t>Stevens-Johnson</w:t>
      </w:r>
      <w:r w:rsidRPr="00F45D90">
        <w:rPr>
          <w:rFonts w:ascii="Times New Roman" w:hAnsi="Times New Roman"/>
        </w:rPr>
        <w:t>) sindromas</w:t>
      </w:r>
      <w:r w:rsidRPr="00F45D90">
        <w:rPr>
          <w:rFonts w:ascii="Times New Roman" w:hAnsi="Times New Roman"/>
          <w:vertAlign w:val="superscript"/>
        </w:rPr>
        <w:t>5</w:t>
      </w:r>
    </w:p>
    <w:p w14:paraId="186CCAFC" w14:textId="4A8374BC" w:rsidR="00CB68E6" w:rsidRPr="006129D6" w:rsidRDefault="00CB68E6" w:rsidP="00CB68E6">
      <w:pPr>
        <w:spacing w:after="0" w:line="240" w:lineRule="auto"/>
        <w:rPr>
          <w:rFonts w:ascii="Times New Roman" w:hAnsi="Times New Roman"/>
        </w:rPr>
      </w:pPr>
      <w:r w:rsidRPr="00F45D90">
        <w:rPr>
          <w:rFonts w:ascii="Times New Roman" w:hAnsi="Times New Roman"/>
        </w:rPr>
        <w:t>Dažnis nežinomas: toksinė epidermio nekrolizė, daugiaformė eritema</w:t>
      </w:r>
      <w:r w:rsidR="00090D6B">
        <w:rPr>
          <w:rFonts w:ascii="Times New Roman" w:hAnsi="Times New Roman"/>
        </w:rPr>
        <w:t xml:space="preserve">, </w:t>
      </w:r>
      <w:r w:rsidR="006129D6">
        <w:rPr>
          <w:rFonts w:ascii="Times New Roman" w:hAnsi="Times New Roman"/>
        </w:rPr>
        <w:t xml:space="preserve">ūminė išplitusi ekzanteminė pustulozė (angl. </w:t>
      </w:r>
      <w:r w:rsidR="006129D6" w:rsidRPr="006129D6">
        <w:rPr>
          <w:rFonts w:ascii="Times New Roman" w:hAnsi="Times New Roman"/>
          <w:i/>
          <w:noProof/>
        </w:rPr>
        <w:t>acute generalized exanthematous pustulosis</w:t>
      </w:r>
      <w:r w:rsidR="006129D6">
        <w:rPr>
          <w:rFonts w:ascii="Times New Roman" w:hAnsi="Times New Roman"/>
          <w:noProof/>
        </w:rPr>
        <w:t xml:space="preserve"> [AGEP]), </w:t>
      </w:r>
      <w:r w:rsidR="00090D6B">
        <w:rPr>
          <w:rFonts w:ascii="Times New Roman" w:hAnsi="Times New Roman"/>
        </w:rPr>
        <w:t>reakcija į vaist</w:t>
      </w:r>
      <w:r w:rsidR="000B7CD3">
        <w:rPr>
          <w:rFonts w:ascii="Times New Roman" w:hAnsi="Times New Roman"/>
        </w:rPr>
        <w:t>inį preparat</w:t>
      </w:r>
      <w:r w:rsidR="00090D6B">
        <w:rPr>
          <w:rFonts w:ascii="Times New Roman" w:hAnsi="Times New Roman"/>
        </w:rPr>
        <w:t>ą su eozinofilija ir sisteminiais simptomais (</w:t>
      </w:r>
      <w:r w:rsidR="00090D6B">
        <w:rPr>
          <w:rFonts w:ascii="Times New Roman" w:hAnsi="Times New Roman"/>
          <w:i/>
        </w:rPr>
        <w:t>DRESS)</w:t>
      </w:r>
      <w:r w:rsidR="006129D6">
        <w:rPr>
          <w:rFonts w:ascii="Times New Roman" w:hAnsi="Times New Roman"/>
        </w:rPr>
        <w:t>, vaskulitas</w:t>
      </w:r>
    </w:p>
    <w:p w14:paraId="20B3E23E" w14:textId="77777777" w:rsidR="00CB68E6" w:rsidRPr="00F45D90" w:rsidRDefault="00CB68E6" w:rsidP="00CB68E6">
      <w:pPr>
        <w:spacing w:after="0" w:line="240" w:lineRule="auto"/>
        <w:rPr>
          <w:rFonts w:ascii="Times New Roman" w:hAnsi="Times New Roman"/>
          <w:u w:val="single"/>
        </w:rPr>
      </w:pPr>
    </w:p>
    <w:p w14:paraId="2FFB1CF2"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Skeleto, raumenų ir jungiamojo audinio sutrikimai</w:t>
      </w:r>
    </w:p>
    <w:p w14:paraId="4F92412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Labai reti: rabdomiolizė</w:t>
      </w:r>
    </w:p>
    <w:p w14:paraId="38D9B1A9" w14:textId="77777777" w:rsidR="00CB68E6" w:rsidRPr="00F45D90" w:rsidRDefault="00CB68E6" w:rsidP="00CB68E6">
      <w:pPr>
        <w:spacing w:after="0" w:line="240" w:lineRule="auto"/>
        <w:rPr>
          <w:rFonts w:ascii="Times New Roman" w:hAnsi="Times New Roman"/>
          <w:u w:val="single"/>
        </w:rPr>
      </w:pPr>
    </w:p>
    <w:p w14:paraId="128160FC" w14:textId="77777777" w:rsidR="00CB68E6" w:rsidRPr="00F45D90" w:rsidRDefault="00CB68E6" w:rsidP="00CB68E6">
      <w:pPr>
        <w:spacing w:after="0" w:line="240" w:lineRule="auto"/>
        <w:rPr>
          <w:rFonts w:ascii="Times New Roman" w:eastAsia="Times New Roman" w:hAnsi="Times New Roman"/>
          <w:u w:val="single"/>
        </w:rPr>
      </w:pPr>
      <w:r w:rsidRPr="00F45D90">
        <w:rPr>
          <w:rFonts w:ascii="Times New Roman" w:eastAsia="Times New Roman" w:hAnsi="Times New Roman"/>
          <w:u w:val="single"/>
        </w:rPr>
        <w:t>Inkstų ir šlapimo takų sutrikimai</w:t>
      </w:r>
    </w:p>
    <w:p w14:paraId="08726D0E" w14:textId="77777777" w:rsidR="00CB68E6" w:rsidRPr="00F45D90" w:rsidRDefault="00CB68E6" w:rsidP="00CB68E6">
      <w:pPr>
        <w:spacing w:after="0" w:line="240" w:lineRule="auto"/>
        <w:rPr>
          <w:rFonts w:ascii="Times New Roman" w:eastAsia="Times New Roman" w:hAnsi="Times New Roman"/>
          <w:u w:val="single"/>
        </w:rPr>
      </w:pPr>
      <w:r w:rsidRPr="00F45D90">
        <w:rPr>
          <w:rFonts w:ascii="Times New Roman" w:eastAsia="Times New Roman" w:hAnsi="Times New Roman"/>
        </w:rPr>
        <w:t>Nedažni: šlapimo susilaikymas</w:t>
      </w:r>
    </w:p>
    <w:p w14:paraId="28CE6CD5" w14:textId="77777777" w:rsidR="00CB68E6" w:rsidRPr="00F45D90" w:rsidRDefault="00CB68E6" w:rsidP="00CB68E6">
      <w:pPr>
        <w:spacing w:after="0" w:line="240" w:lineRule="auto"/>
        <w:rPr>
          <w:rFonts w:ascii="Times New Roman" w:hAnsi="Times New Roman"/>
          <w:u w:val="single"/>
        </w:rPr>
      </w:pPr>
    </w:p>
    <w:p w14:paraId="1231EA71"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Būklės nėštumo, pogimdyminiu ir perinataliniu laikotarpiu</w:t>
      </w:r>
    </w:p>
    <w:p w14:paraId="1FFBBA55" w14:textId="03D5CF7F" w:rsidR="00CB68E6" w:rsidRPr="00F45D90" w:rsidRDefault="00CB68E6" w:rsidP="00CB68E6">
      <w:pPr>
        <w:spacing w:after="0" w:line="240" w:lineRule="auto"/>
        <w:rPr>
          <w:rFonts w:ascii="Times New Roman" w:hAnsi="Times New Roman"/>
        </w:rPr>
      </w:pPr>
      <w:r w:rsidRPr="00F45D90">
        <w:rPr>
          <w:rFonts w:ascii="Times New Roman" w:hAnsi="Times New Roman"/>
        </w:rPr>
        <w:lastRenderedPageBreak/>
        <w:t>Dažnis nežinomas: vaist</w:t>
      </w:r>
      <w:r w:rsidR="000B7CD3">
        <w:rPr>
          <w:rFonts w:ascii="Times New Roman" w:hAnsi="Times New Roman"/>
        </w:rPr>
        <w:t>ini</w:t>
      </w:r>
      <w:r w:rsidRPr="00F45D90">
        <w:rPr>
          <w:rFonts w:ascii="Times New Roman" w:hAnsi="Times New Roman"/>
        </w:rPr>
        <w:t>o</w:t>
      </w:r>
      <w:r w:rsidR="000B7CD3">
        <w:rPr>
          <w:rFonts w:ascii="Times New Roman" w:hAnsi="Times New Roman"/>
        </w:rPr>
        <w:t xml:space="preserve"> preparato</w:t>
      </w:r>
      <w:r w:rsidRPr="00F45D90">
        <w:rPr>
          <w:rFonts w:ascii="Times New Roman" w:hAnsi="Times New Roman"/>
        </w:rPr>
        <w:t xml:space="preserve"> nutraukimo sindromas naujagimiams</w:t>
      </w:r>
      <w:r w:rsidRPr="00F45D90">
        <w:rPr>
          <w:rFonts w:ascii="Times New Roman" w:hAnsi="Times New Roman"/>
          <w:vertAlign w:val="superscript"/>
        </w:rPr>
        <w:t>31</w:t>
      </w:r>
    </w:p>
    <w:p w14:paraId="17281B15" w14:textId="77777777" w:rsidR="00CB68E6" w:rsidRPr="00F45D90" w:rsidRDefault="00CB68E6" w:rsidP="00CB68E6">
      <w:pPr>
        <w:spacing w:after="0" w:line="240" w:lineRule="auto"/>
        <w:rPr>
          <w:rFonts w:ascii="Times New Roman" w:hAnsi="Times New Roman"/>
        </w:rPr>
      </w:pPr>
    </w:p>
    <w:p w14:paraId="78A3C40D"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Lytinės sistemos ir krūties sutrikimai</w:t>
      </w:r>
    </w:p>
    <w:p w14:paraId="3DA5153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Nedažni: lytinės sistemos funkcijos sutrikimas</w:t>
      </w:r>
    </w:p>
    <w:p w14:paraId="012CC25F" w14:textId="77777777" w:rsidR="00CB68E6" w:rsidRPr="00F45D90" w:rsidRDefault="00CB68E6" w:rsidP="00CB68E6">
      <w:pPr>
        <w:spacing w:after="0" w:line="240" w:lineRule="auto"/>
        <w:rPr>
          <w:rFonts w:ascii="Times New Roman" w:hAnsi="Times New Roman"/>
        </w:rPr>
      </w:pPr>
      <w:r w:rsidRPr="00F45D90">
        <w:rPr>
          <w:rFonts w:ascii="Times New Roman" w:hAnsi="Times New Roman"/>
          <w:iCs/>
        </w:rPr>
        <w:t>Reti: p</w:t>
      </w:r>
      <w:r w:rsidRPr="00F45D90">
        <w:rPr>
          <w:rFonts w:ascii="Times New Roman" w:hAnsi="Times New Roman"/>
        </w:rPr>
        <w:t>riapizmas, galaktorėja, krūtų  pabrinkimas, sutrikusios mėnesinės</w:t>
      </w:r>
    </w:p>
    <w:p w14:paraId="2D2957A2" w14:textId="77777777" w:rsidR="00CB68E6" w:rsidRPr="00F45D90" w:rsidRDefault="00CB68E6" w:rsidP="00CB68E6">
      <w:pPr>
        <w:spacing w:after="0" w:line="240" w:lineRule="auto"/>
        <w:rPr>
          <w:rFonts w:ascii="Times New Roman" w:hAnsi="Times New Roman"/>
        </w:rPr>
      </w:pPr>
    </w:p>
    <w:p w14:paraId="2613A045"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Bendrieji sutrikimai ir vartojimo vietos pažeidimai</w:t>
      </w:r>
    </w:p>
    <w:p w14:paraId="59F841CE" w14:textId="77777777" w:rsidR="00CB68E6" w:rsidRPr="00F45D90" w:rsidRDefault="00CB68E6" w:rsidP="00CB68E6">
      <w:pPr>
        <w:spacing w:after="0" w:line="240" w:lineRule="auto"/>
        <w:rPr>
          <w:rFonts w:ascii="Times New Roman" w:hAnsi="Times New Roman"/>
          <w:vertAlign w:val="superscript"/>
        </w:rPr>
      </w:pPr>
      <w:r w:rsidRPr="00F45D90">
        <w:rPr>
          <w:rFonts w:ascii="Times New Roman" w:hAnsi="Times New Roman"/>
        </w:rPr>
        <w:t>Labai dažni: nutraukimo sindromas</w:t>
      </w:r>
      <w:r w:rsidRPr="00F45D90">
        <w:rPr>
          <w:rFonts w:ascii="Times New Roman" w:hAnsi="Times New Roman"/>
          <w:vertAlign w:val="superscript"/>
        </w:rPr>
        <w:t>1,9</w:t>
      </w:r>
    </w:p>
    <w:p w14:paraId="2401700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Dažni: lengva astenija, periferinė edema, irzlumas, karščiavimas</w:t>
      </w:r>
    </w:p>
    <w:p w14:paraId="6633021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Reti: piktybinis neurolepsinis sindromas</w:t>
      </w:r>
      <w:r w:rsidRPr="00F45D90">
        <w:rPr>
          <w:rFonts w:ascii="Times New Roman" w:hAnsi="Times New Roman"/>
          <w:vertAlign w:val="superscript"/>
        </w:rPr>
        <w:t>1</w:t>
      </w:r>
      <w:r w:rsidRPr="00F45D90">
        <w:rPr>
          <w:rFonts w:ascii="Times New Roman" w:hAnsi="Times New Roman"/>
        </w:rPr>
        <w:t>, hipotermija</w:t>
      </w:r>
    </w:p>
    <w:p w14:paraId="4DE45F35" w14:textId="77777777" w:rsidR="00CB68E6" w:rsidRPr="00F45D90" w:rsidRDefault="00CB68E6" w:rsidP="00CB68E6">
      <w:pPr>
        <w:spacing w:after="0" w:line="240" w:lineRule="auto"/>
        <w:rPr>
          <w:rFonts w:ascii="Times New Roman" w:hAnsi="Times New Roman"/>
        </w:rPr>
      </w:pPr>
    </w:p>
    <w:p w14:paraId="4D256432"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Tyrimai</w:t>
      </w:r>
    </w:p>
    <w:p w14:paraId="2E81BA3E" w14:textId="77777777" w:rsidR="00CB68E6" w:rsidRPr="00F45D90" w:rsidRDefault="00CB68E6" w:rsidP="00CB68E6">
      <w:pPr>
        <w:spacing w:after="0" w:line="240" w:lineRule="auto"/>
        <w:rPr>
          <w:rFonts w:ascii="Times New Roman" w:hAnsi="Times New Roman"/>
          <w:vertAlign w:val="superscript"/>
        </w:rPr>
      </w:pPr>
      <w:r w:rsidRPr="00F45D90">
        <w:rPr>
          <w:rFonts w:ascii="Times New Roman" w:hAnsi="Times New Roman"/>
          <w:iCs/>
        </w:rPr>
        <w:t>Reti:</w:t>
      </w:r>
      <w:r w:rsidRPr="00F45D90">
        <w:rPr>
          <w:rFonts w:ascii="Times New Roman" w:hAnsi="Times New Roman"/>
        </w:rPr>
        <w:t xml:space="preserve"> kreatinkinazės aktyvumo kraujyje padidėjimas </w:t>
      </w:r>
      <w:r w:rsidRPr="00F45D90">
        <w:rPr>
          <w:rFonts w:ascii="Times New Roman" w:hAnsi="Times New Roman"/>
          <w:vertAlign w:val="superscript"/>
        </w:rPr>
        <w:t>14</w:t>
      </w:r>
    </w:p>
    <w:p w14:paraId="41D29B77" w14:textId="77777777" w:rsidR="00CB68E6" w:rsidRPr="00F45D90" w:rsidRDefault="00CB68E6" w:rsidP="00CB68E6">
      <w:pPr>
        <w:spacing w:after="0" w:line="240" w:lineRule="auto"/>
        <w:rPr>
          <w:rFonts w:ascii="Times New Roman" w:hAnsi="Times New Roman"/>
        </w:rPr>
      </w:pPr>
    </w:p>
    <w:p w14:paraId="47A2EDE3"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noProof/>
          <w:vertAlign w:val="superscript"/>
          <w:lang w:eastAsia="lt-LT"/>
        </w:rPr>
        <w:t>1</w:t>
      </w:r>
      <w:r w:rsidRPr="00F45D90">
        <w:rPr>
          <w:rFonts w:ascii="Times New Roman" w:eastAsia="Times New Roman" w:hAnsi="Times New Roman"/>
          <w:noProof/>
          <w:lang w:eastAsia="lt-LT"/>
        </w:rPr>
        <w:t xml:space="preserve">  Žr. 4.4 skyrių</w:t>
      </w:r>
      <w:r w:rsidRPr="00F45D90">
        <w:rPr>
          <w:rFonts w:ascii="Times New Roman" w:eastAsia="Times New Roman" w:hAnsi="Times New Roman"/>
          <w:lang w:eastAsia="lt-LT"/>
        </w:rPr>
        <w:t xml:space="preserve">. </w:t>
      </w:r>
    </w:p>
    <w:p w14:paraId="508CE625" w14:textId="77777777" w:rsidR="00CB68E6" w:rsidRPr="00F45D90" w:rsidRDefault="00CB68E6" w:rsidP="00CB68E6">
      <w:pPr>
        <w:spacing w:after="0" w:line="240" w:lineRule="auto"/>
        <w:ind w:left="142" w:hanging="142"/>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2   </w:t>
      </w:r>
      <w:r w:rsidRPr="00F45D90">
        <w:rPr>
          <w:rFonts w:ascii="Times New Roman" w:eastAsia="Times New Roman" w:hAnsi="Times New Roman"/>
          <w:lang w:eastAsia="lt-LT"/>
        </w:rPr>
        <w:t xml:space="preserve">Gali pasireikšti mieguistumas, dažniausiai laikosi pirmas dvi vartojimo savaites, tęsiant gydymą   kvetiapinu praeina. </w:t>
      </w:r>
    </w:p>
    <w:p w14:paraId="4865FAA0" w14:textId="4B7A5F9F" w:rsidR="00CB68E6" w:rsidRPr="00F45D90" w:rsidRDefault="00CB68E6" w:rsidP="00CB68E6">
      <w:pPr>
        <w:spacing w:after="0" w:line="240" w:lineRule="auto"/>
        <w:ind w:left="142" w:hanging="142"/>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3  </w:t>
      </w:r>
      <w:r w:rsidRPr="00F45D90">
        <w:rPr>
          <w:rFonts w:ascii="Times New Roman" w:eastAsia="Times New Roman" w:hAnsi="Times New Roman"/>
          <w:lang w:eastAsia="lt-LT"/>
        </w:rPr>
        <w:t>Kai kuriems pacientams, gydomiems kvetiapinu buvo asimptominis (nuokrypis nuo viršutinis normos ribos bet kuriuo laiku</w:t>
      </w:r>
      <w:r w:rsidR="00E573E9">
        <w:rPr>
          <w:rFonts w:ascii="Times New Roman" w:eastAsia="Times New Roman" w:hAnsi="Times New Roman"/>
          <w:lang w:eastAsia="lt-LT"/>
        </w:rPr>
        <w:t> </w:t>
      </w:r>
      <w:r w:rsidRPr="00F45D90">
        <w:rPr>
          <w:rFonts w:ascii="Times New Roman" w:eastAsia="Times New Roman" w:hAnsi="Times New Roman"/>
          <w:lang w:eastAsia="lt-LT"/>
        </w:rPr>
        <w:t>x</w:t>
      </w:r>
      <w:r w:rsidR="00E573E9">
        <w:rPr>
          <w:rFonts w:ascii="Times New Roman" w:eastAsia="Times New Roman" w:hAnsi="Times New Roman"/>
          <w:lang w:eastAsia="lt-LT"/>
        </w:rPr>
        <w:t> </w:t>
      </w:r>
      <w:r w:rsidRPr="00F45D90">
        <w:rPr>
          <w:rFonts w:ascii="Times New Roman" w:eastAsia="Times New Roman" w:hAnsi="Times New Roman"/>
          <w:lang w:eastAsia="lt-LT"/>
        </w:rPr>
        <w:t>3) kraujo serumo transaminazių (ALT, AST) arba gama-GT aktyvumo padidėjimas (iki trijų kartų virš normos). Tęsiant gydymą kvetiapinu dažniausiai padidėjimas buvo laikinas.</w:t>
      </w:r>
    </w:p>
    <w:p w14:paraId="0B4C9628" w14:textId="77777777" w:rsidR="00CB68E6" w:rsidRPr="00F45D90" w:rsidRDefault="00CB68E6" w:rsidP="00CB68E6">
      <w:pPr>
        <w:spacing w:after="0" w:line="240" w:lineRule="auto"/>
        <w:ind w:left="142" w:hanging="142"/>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4  </w:t>
      </w:r>
      <w:r w:rsidRPr="00F45D90">
        <w:rPr>
          <w:rFonts w:ascii="Times New Roman" w:eastAsia="Times New Roman" w:hAnsi="Times New Roman"/>
          <w:noProof/>
          <w:lang w:eastAsia="lt-LT"/>
        </w:rPr>
        <w:t xml:space="preserve">Kvetiapino </w:t>
      </w:r>
      <w:r w:rsidRPr="00F45D90">
        <w:rPr>
          <w:rFonts w:ascii="Times New Roman" w:eastAsia="Times New Roman" w:hAnsi="Times New Roman"/>
          <w:lang w:eastAsia="lt-LT"/>
        </w:rPr>
        <w:t xml:space="preserve">(kaip ir kiti </w:t>
      </w:r>
      <w:r w:rsidRPr="00F45D90">
        <w:rPr>
          <w:rFonts w:ascii="Times New Roman" w:eastAsia="Times New Roman" w:hAnsi="Times New Roman"/>
          <w:lang w:eastAsia="lt-LT"/>
        </w:rPr>
        <w:sym w:font="Symbol" w:char="F061"/>
      </w:r>
      <w:r w:rsidRPr="00F45D90">
        <w:rPr>
          <w:rFonts w:ascii="Times New Roman" w:eastAsia="Times New Roman" w:hAnsi="Times New Roman"/>
          <w:vertAlign w:val="subscript"/>
          <w:lang w:eastAsia="lt-LT"/>
        </w:rPr>
        <w:t>1</w:t>
      </w:r>
      <w:r w:rsidRPr="00F45D90">
        <w:rPr>
          <w:rFonts w:ascii="Times New Roman" w:eastAsia="Times New Roman" w:hAnsi="Times New Roman"/>
          <w:lang w:eastAsia="lt-LT"/>
        </w:rPr>
        <w:t xml:space="preserve"> adrenoreceptorius blokuojantys vaistai nuo psichozės) gali dažnai sukelti ortostatinę hipotenziją, pasireiškiančią svaiguliu, tachikardija ir kai kuriems pacientams - apalpimu, ypač pradiniu dozės didinimo laikotarpiu (žr. 4.4 skyrių).</w:t>
      </w:r>
    </w:p>
    <w:p w14:paraId="142941B1" w14:textId="4515C70C" w:rsidR="00CB68E6" w:rsidRPr="00F45D90" w:rsidRDefault="00CB68E6" w:rsidP="00CB68E6">
      <w:pPr>
        <w:spacing w:after="0" w:line="240" w:lineRule="auto"/>
        <w:rPr>
          <w:rFonts w:ascii="Times New Roman" w:hAnsi="Times New Roman"/>
        </w:rPr>
      </w:pPr>
      <w:r w:rsidRPr="00F45D90">
        <w:rPr>
          <w:rFonts w:ascii="Times New Roman" w:hAnsi="Times New Roman"/>
          <w:vertAlign w:val="superscript"/>
        </w:rPr>
        <w:t>5</w:t>
      </w:r>
      <w:r w:rsidRPr="00F45D90">
        <w:rPr>
          <w:rFonts w:ascii="Times New Roman" w:hAnsi="Times New Roman"/>
        </w:rPr>
        <w:t xml:space="preserve"> Nepageidaujamo poveikio dažnis buvo apskaičiuotas</w:t>
      </w:r>
      <w:r w:rsidR="00CE46B1">
        <w:rPr>
          <w:rFonts w:ascii="Times New Roman" w:hAnsi="Times New Roman"/>
        </w:rPr>
        <w:t xml:space="preserve"> tik</w:t>
      </w:r>
      <w:r w:rsidRPr="00F45D90">
        <w:rPr>
          <w:rFonts w:ascii="Times New Roman" w:hAnsi="Times New Roman"/>
        </w:rPr>
        <w:t xml:space="preserve"> po to, kai vaistinis preparatas pateko į rinką.</w:t>
      </w:r>
    </w:p>
    <w:p w14:paraId="0DC9EFE2" w14:textId="6562155B"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6  </w:t>
      </w:r>
      <w:r w:rsidRPr="00F45D90">
        <w:rPr>
          <w:rFonts w:ascii="Times New Roman" w:eastAsia="Times New Roman" w:hAnsi="Times New Roman"/>
          <w:lang w:eastAsia="lt-LT"/>
        </w:rPr>
        <w:t xml:space="preserve">Bent vienu atveju gliukozės kiekis nevalgius buvo </w:t>
      </w:r>
      <w:r w:rsidRPr="00F45D90">
        <w:rPr>
          <w:rFonts w:ascii="Times New Roman" w:eastAsia="Times New Roman" w:hAnsi="Times New Roman"/>
          <w:lang w:eastAsia="lt-LT"/>
        </w:rPr>
        <w:sym w:font="Symbol" w:char="F0B3"/>
      </w:r>
      <w:r w:rsidR="00E573E9">
        <w:rPr>
          <w:rFonts w:ascii="Times New Roman" w:eastAsia="Times New Roman" w:hAnsi="Times New Roman"/>
          <w:lang w:eastAsia="lt-LT"/>
        </w:rPr>
        <w:t> </w:t>
      </w:r>
      <w:r w:rsidRPr="00F45D90">
        <w:rPr>
          <w:rFonts w:ascii="Times New Roman" w:eastAsia="Times New Roman" w:hAnsi="Times New Roman"/>
          <w:lang w:eastAsia="lt-LT"/>
        </w:rPr>
        <w:t>126</w:t>
      </w:r>
      <w:r w:rsidR="00E573E9">
        <w:rPr>
          <w:rFonts w:ascii="Times New Roman" w:eastAsia="Times New Roman" w:hAnsi="Times New Roman"/>
          <w:lang w:eastAsia="lt-LT"/>
        </w:rPr>
        <w:t> </w:t>
      </w:r>
      <w:r w:rsidRPr="00F45D90">
        <w:rPr>
          <w:rFonts w:ascii="Times New Roman" w:eastAsia="Times New Roman" w:hAnsi="Times New Roman"/>
          <w:lang w:eastAsia="lt-LT"/>
        </w:rPr>
        <w:t>mg/dl (≥</w:t>
      </w:r>
      <w:r w:rsidR="00E573E9">
        <w:rPr>
          <w:rFonts w:ascii="Times New Roman" w:eastAsia="Times New Roman" w:hAnsi="Times New Roman"/>
          <w:lang w:eastAsia="lt-LT"/>
        </w:rPr>
        <w:t> </w:t>
      </w:r>
      <w:r w:rsidRPr="00F45D90">
        <w:rPr>
          <w:rFonts w:ascii="Times New Roman" w:eastAsia="Times New Roman" w:hAnsi="Times New Roman"/>
          <w:lang w:eastAsia="lt-LT"/>
        </w:rPr>
        <w:t xml:space="preserve">7,0 mmol/l) arba pavalgius </w:t>
      </w:r>
      <w:r w:rsidRPr="00F45D90">
        <w:rPr>
          <w:rFonts w:ascii="Times New Roman" w:eastAsia="Times New Roman" w:hAnsi="Times New Roman"/>
          <w:lang w:eastAsia="lt-LT"/>
        </w:rPr>
        <w:sym w:font="Symbol" w:char="F02D"/>
      </w:r>
      <w:r w:rsidRPr="00F45D90">
        <w:rPr>
          <w:rFonts w:ascii="Times New Roman" w:eastAsia="Times New Roman" w:hAnsi="Times New Roman"/>
          <w:lang w:eastAsia="lt-LT"/>
        </w:rPr>
        <w:t xml:space="preserve"> </w:t>
      </w:r>
      <w:r w:rsidRPr="00F45D90">
        <w:rPr>
          <w:rFonts w:ascii="Times New Roman" w:eastAsia="Times New Roman" w:hAnsi="Times New Roman"/>
          <w:lang w:eastAsia="lt-LT"/>
        </w:rPr>
        <w:sym w:font="Symbol" w:char="F0B3"/>
      </w:r>
      <w:r w:rsidR="00E573E9">
        <w:rPr>
          <w:rFonts w:ascii="Times New Roman" w:eastAsia="Times New Roman" w:hAnsi="Times New Roman"/>
          <w:lang w:eastAsia="lt-LT"/>
        </w:rPr>
        <w:t> </w:t>
      </w:r>
      <w:r w:rsidRPr="00F45D90">
        <w:rPr>
          <w:rFonts w:ascii="Times New Roman" w:eastAsia="Times New Roman" w:hAnsi="Times New Roman"/>
          <w:lang w:eastAsia="lt-LT"/>
        </w:rPr>
        <w:t>200 mg/dl (≥</w:t>
      </w:r>
      <w:r w:rsidR="00E573E9">
        <w:rPr>
          <w:rFonts w:ascii="Times New Roman" w:eastAsia="Times New Roman" w:hAnsi="Times New Roman"/>
          <w:lang w:eastAsia="lt-LT"/>
        </w:rPr>
        <w:t> </w:t>
      </w:r>
      <w:r w:rsidRPr="00F45D90">
        <w:rPr>
          <w:rFonts w:ascii="Times New Roman" w:eastAsia="Times New Roman" w:hAnsi="Times New Roman"/>
          <w:lang w:eastAsia="lt-LT"/>
        </w:rPr>
        <w:t>11,1 mmol/l).</w:t>
      </w:r>
    </w:p>
    <w:p w14:paraId="170456A5" w14:textId="77777777"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7 </w:t>
      </w:r>
      <w:r w:rsidRPr="00F45D90">
        <w:rPr>
          <w:rFonts w:ascii="Times New Roman" w:eastAsia="Times New Roman" w:hAnsi="Times New Roman"/>
          <w:lang w:eastAsia="lt-LT"/>
        </w:rPr>
        <w:t>Disfagijos padažnėjimas vartojant kvetiapino, palyginti su placebu, buvo pastebėtas tik bipolinės depresijos klinikinių tyrimų metu.</w:t>
      </w:r>
    </w:p>
    <w:p w14:paraId="1C7CAB7F" w14:textId="3B953756"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8  </w:t>
      </w:r>
      <w:r w:rsidRPr="00F45D90">
        <w:rPr>
          <w:rFonts w:ascii="Times New Roman" w:eastAsia="Times New Roman" w:hAnsi="Times New Roman"/>
          <w:lang w:eastAsia="lt-LT"/>
        </w:rPr>
        <w:t>Pagrįstas &gt;</w:t>
      </w:r>
      <w:r w:rsidR="00E573E9">
        <w:rPr>
          <w:rFonts w:ascii="Times New Roman" w:eastAsia="Times New Roman" w:hAnsi="Times New Roman"/>
          <w:lang w:eastAsia="lt-LT"/>
        </w:rPr>
        <w:t> </w:t>
      </w:r>
      <w:r w:rsidRPr="00F45D90">
        <w:rPr>
          <w:rFonts w:ascii="Times New Roman" w:eastAsia="Times New Roman" w:hAnsi="Times New Roman"/>
          <w:lang w:eastAsia="lt-LT"/>
        </w:rPr>
        <w:t>7</w:t>
      </w:r>
      <w:r w:rsidRPr="00F45D90">
        <w:rPr>
          <w:rFonts w:ascii="Times New Roman" w:eastAsia="Times New Roman" w:hAnsi="Times New Roman"/>
          <w:lang w:eastAsia="lt-LT"/>
        </w:rPr>
        <w:sym w:font="Symbol" w:char="F025"/>
      </w:r>
      <w:r w:rsidRPr="00F45D90">
        <w:rPr>
          <w:rFonts w:ascii="Times New Roman" w:eastAsia="Times New Roman" w:hAnsi="Times New Roman"/>
          <w:lang w:eastAsia="lt-LT"/>
        </w:rPr>
        <w:t xml:space="preserve"> kūno svorio padidėjimu nuo pradinio kūno svorio. Daugiausia pasireiškė pirmosiomis gydymo savaitėmis suaugusiesiems.</w:t>
      </w:r>
    </w:p>
    <w:p w14:paraId="75CBD969" w14:textId="77777777"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9 </w:t>
      </w:r>
      <w:r w:rsidRPr="00F45D90">
        <w:rPr>
          <w:rFonts w:ascii="Times New Roman" w:eastAsia="Times New Roman" w:hAnsi="Times New Roman"/>
          <w:lang w:eastAsia="lt-LT"/>
        </w:rPr>
        <w:t>Ūmaus, placebu kontroliuojamo monoterapijos klinikinio tyrimo, kurio metu įvertinti nutraukimo simptomai, buvo pastebėti šie nutraukimo simptomai: nemiga, pykinimas, galvos skausmas, viduriavimas, vėmimas, svaigulys ir irzlumas. Po vaisto nutraukimo praėjus vienai savaitei šių reakcijų dažnis reikšmingai sumažėjo.</w:t>
      </w:r>
    </w:p>
    <w:p w14:paraId="28608CC7" w14:textId="58AEA150"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10</w:t>
      </w:r>
      <w:r w:rsidRPr="00F45D90">
        <w:rPr>
          <w:rFonts w:ascii="Times New Roman" w:eastAsia="Times New Roman" w:hAnsi="Times New Roman"/>
          <w:lang w:eastAsia="lt-LT"/>
        </w:rPr>
        <w:t xml:space="preserve">Mažiausiai vienu atveju gali pasireikšti trigliceridų </w:t>
      </w:r>
      <w:r w:rsidRPr="00F45D90">
        <w:rPr>
          <w:rFonts w:ascii="Times New Roman" w:eastAsia="Times New Roman" w:hAnsi="Times New Roman"/>
          <w:lang w:eastAsia="lt-LT"/>
        </w:rPr>
        <w:sym w:font="Symbol" w:char="F0B3"/>
      </w:r>
      <w:r w:rsidR="00E573E9">
        <w:rPr>
          <w:rFonts w:ascii="Times New Roman" w:eastAsia="Times New Roman" w:hAnsi="Times New Roman"/>
          <w:lang w:eastAsia="lt-LT"/>
        </w:rPr>
        <w:t> </w:t>
      </w:r>
      <w:r w:rsidRPr="00F45D90">
        <w:rPr>
          <w:rFonts w:ascii="Times New Roman" w:eastAsia="Times New Roman" w:hAnsi="Times New Roman"/>
          <w:lang w:eastAsia="lt-LT"/>
        </w:rPr>
        <w:t>200 mg/dl (≥</w:t>
      </w:r>
      <w:r w:rsidR="00E573E9">
        <w:rPr>
          <w:rFonts w:ascii="Times New Roman" w:eastAsia="Times New Roman" w:hAnsi="Times New Roman"/>
          <w:lang w:eastAsia="lt-LT"/>
        </w:rPr>
        <w:t> </w:t>
      </w:r>
      <w:r w:rsidRPr="00F45D90">
        <w:rPr>
          <w:rFonts w:ascii="Times New Roman" w:eastAsia="Times New Roman" w:hAnsi="Times New Roman"/>
          <w:lang w:eastAsia="lt-LT"/>
        </w:rPr>
        <w:t>2,258 mmol/l) (pacientų amžius ≥</w:t>
      </w:r>
      <w:r w:rsidR="00E573E9">
        <w:rPr>
          <w:rFonts w:ascii="Times New Roman" w:eastAsia="Times New Roman" w:hAnsi="Times New Roman"/>
          <w:lang w:eastAsia="lt-LT"/>
        </w:rPr>
        <w:t> </w:t>
      </w:r>
      <w:r w:rsidRPr="00F45D90">
        <w:rPr>
          <w:rFonts w:ascii="Times New Roman" w:eastAsia="Times New Roman" w:hAnsi="Times New Roman"/>
          <w:lang w:eastAsia="lt-LT"/>
        </w:rPr>
        <w:t>18 metų) arba ≥</w:t>
      </w:r>
      <w:r w:rsidR="00E573E9">
        <w:rPr>
          <w:rFonts w:ascii="Times New Roman" w:eastAsia="Times New Roman" w:hAnsi="Times New Roman"/>
          <w:lang w:eastAsia="lt-LT"/>
        </w:rPr>
        <w:t> </w:t>
      </w:r>
      <w:r w:rsidRPr="00F45D90">
        <w:rPr>
          <w:rFonts w:ascii="Times New Roman" w:eastAsia="Times New Roman" w:hAnsi="Times New Roman"/>
          <w:lang w:eastAsia="lt-LT"/>
        </w:rPr>
        <w:t>150 mg/dl (1,694  mmol/l) (pacientų amžius &lt;</w:t>
      </w:r>
      <w:r w:rsidR="00E573E9">
        <w:rPr>
          <w:rFonts w:ascii="Times New Roman" w:eastAsia="Times New Roman" w:hAnsi="Times New Roman"/>
          <w:lang w:eastAsia="lt-LT"/>
        </w:rPr>
        <w:t> </w:t>
      </w:r>
      <w:r w:rsidRPr="00F45D90">
        <w:rPr>
          <w:rFonts w:ascii="Times New Roman" w:eastAsia="Times New Roman" w:hAnsi="Times New Roman"/>
          <w:lang w:eastAsia="lt-LT"/>
        </w:rPr>
        <w:t>18metų).</w:t>
      </w:r>
    </w:p>
    <w:p w14:paraId="1B057D0C" w14:textId="385AAA4B" w:rsidR="00CB68E6" w:rsidRPr="00F45D90" w:rsidRDefault="00CB68E6" w:rsidP="00CB68E6">
      <w:pPr>
        <w:spacing w:after="120" w:line="240" w:lineRule="auto"/>
        <w:ind w:left="142" w:hanging="142"/>
        <w:rPr>
          <w:rFonts w:ascii="Times New Roman" w:eastAsia="Times New Roman" w:hAnsi="Times New Roman"/>
          <w:lang w:eastAsia="lt-LT"/>
        </w:rPr>
      </w:pPr>
      <w:r w:rsidRPr="00F45D90">
        <w:rPr>
          <w:rFonts w:ascii="Times New Roman" w:eastAsia="Times New Roman" w:hAnsi="Times New Roman"/>
          <w:vertAlign w:val="superscript"/>
          <w:lang w:eastAsia="lt-LT"/>
        </w:rPr>
        <w:t>11</w:t>
      </w:r>
      <w:r w:rsidRPr="00F45D90">
        <w:rPr>
          <w:rFonts w:ascii="Times New Roman" w:eastAsia="Times New Roman" w:hAnsi="Times New Roman"/>
          <w:lang w:eastAsia="lt-LT"/>
        </w:rPr>
        <w:t xml:space="preserve">Mažiausiai vienu atveju gali pasireikšti cholesterolio </w:t>
      </w:r>
      <w:r w:rsidRPr="00F45D90">
        <w:rPr>
          <w:rFonts w:ascii="Times New Roman" w:eastAsia="Times New Roman" w:hAnsi="Times New Roman"/>
          <w:lang w:eastAsia="lt-LT"/>
        </w:rPr>
        <w:sym w:font="Symbol" w:char="F0B3"/>
      </w:r>
      <w:r w:rsidR="00E573E9">
        <w:rPr>
          <w:rFonts w:ascii="Times New Roman" w:eastAsia="Times New Roman" w:hAnsi="Times New Roman"/>
          <w:lang w:eastAsia="lt-LT"/>
        </w:rPr>
        <w:t> </w:t>
      </w:r>
      <w:r w:rsidRPr="00F45D90">
        <w:rPr>
          <w:rFonts w:ascii="Times New Roman" w:eastAsia="Times New Roman" w:hAnsi="Times New Roman"/>
          <w:lang w:eastAsia="lt-LT"/>
        </w:rPr>
        <w:t>240 mg/dl (≥</w:t>
      </w:r>
      <w:r w:rsidR="00E573E9">
        <w:rPr>
          <w:rFonts w:ascii="Times New Roman" w:eastAsia="Times New Roman" w:hAnsi="Times New Roman"/>
          <w:lang w:eastAsia="lt-LT"/>
        </w:rPr>
        <w:t> </w:t>
      </w:r>
      <w:r w:rsidRPr="00F45D90">
        <w:rPr>
          <w:rFonts w:ascii="Times New Roman" w:eastAsia="Times New Roman" w:hAnsi="Times New Roman"/>
          <w:lang w:eastAsia="lt-LT"/>
        </w:rPr>
        <w:t>6,2064 mmol/l) ) (pacientų amžius ≥</w:t>
      </w:r>
      <w:r w:rsidR="00E573E9">
        <w:rPr>
          <w:rFonts w:ascii="Times New Roman" w:eastAsia="Times New Roman" w:hAnsi="Times New Roman"/>
          <w:lang w:eastAsia="lt-LT"/>
        </w:rPr>
        <w:t> </w:t>
      </w:r>
      <w:r w:rsidRPr="00F45D90">
        <w:rPr>
          <w:rFonts w:ascii="Times New Roman" w:eastAsia="Times New Roman" w:hAnsi="Times New Roman"/>
          <w:lang w:eastAsia="lt-LT"/>
        </w:rPr>
        <w:t>18 metų) arba ≥</w:t>
      </w:r>
      <w:r w:rsidR="00E573E9">
        <w:rPr>
          <w:rFonts w:ascii="Times New Roman" w:eastAsia="Times New Roman" w:hAnsi="Times New Roman"/>
          <w:lang w:eastAsia="lt-LT"/>
        </w:rPr>
        <w:t> </w:t>
      </w:r>
      <w:r w:rsidRPr="00F45D90">
        <w:rPr>
          <w:rFonts w:ascii="Times New Roman" w:eastAsia="Times New Roman" w:hAnsi="Times New Roman"/>
          <w:lang w:eastAsia="lt-LT"/>
        </w:rPr>
        <w:t>200 mg/dl (5,172 mmol/l) (pacientų amžius &lt;</w:t>
      </w:r>
      <w:r w:rsidR="00E573E9">
        <w:rPr>
          <w:rFonts w:ascii="Times New Roman" w:eastAsia="Times New Roman" w:hAnsi="Times New Roman"/>
          <w:lang w:eastAsia="lt-LT"/>
        </w:rPr>
        <w:t> </w:t>
      </w:r>
      <w:r w:rsidRPr="00F45D90">
        <w:rPr>
          <w:rFonts w:ascii="Times New Roman" w:eastAsia="Times New Roman" w:hAnsi="Times New Roman"/>
          <w:lang w:eastAsia="lt-LT"/>
        </w:rPr>
        <w:t>18 metų). Stebėtas labai dažnas MTL kiekio padidėjimas ≥</w:t>
      </w:r>
      <w:r w:rsidR="00E573E9">
        <w:rPr>
          <w:rFonts w:ascii="Times New Roman" w:eastAsia="Times New Roman" w:hAnsi="Times New Roman"/>
          <w:lang w:eastAsia="lt-LT"/>
        </w:rPr>
        <w:t> </w:t>
      </w:r>
      <w:r w:rsidRPr="00F45D90">
        <w:rPr>
          <w:rFonts w:ascii="Times New Roman" w:eastAsia="Times New Roman" w:hAnsi="Times New Roman"/>
          <w:lang w:eastAsia="lt-LT"/>
        </w:rPr>
        <w:t>30 mg/dl (≥</w:t>
      </w:r>
      <w:r w:rsidR="00E573E9">
        <w:rPr>
          <w:rFonts w:ascii="Times New Roman" w:eastAsia="Times New Roman" w:hAnsi="Times New Roman"/>
          <w:lang w:eastAsia="lt-LT"/>
        </w:rPr>
        <w:t> </w:t>
      </w:r>
      <w:r w:rsidRPr="00F45D90">
        <w:rPr>
          <w:rFonts w:ascii="Times New Roman" w:eastAsia="Times New Roman" w:hAnsi="Times New Roman"/>
          <w:lang w:eastAsia="lt-LT"/>
        </w:rPr>
        <w:t>0,769 mmol/l), kurio vidurkis šioje pacientų grupėje - 41,7 mg/dl (≥</w:t>
      </w:r>
      <w:r w:rsidR="00E573E9">
        <w:rPr>
          <w:rFonts w:ascii="Times New Roman" w:eastAsia="Times New Roman" w:hAnsi="Times New Roman"/>
          <w:lang w:eastAsia="lt-LT"/>
        </w:rPr>
        <w:t> </w:t>
      </w:r>
      <w:r w:rsidRPr="00F45D90">
        <w:rPr>
          <w:rFonts w:ascii="Times New Roman" w:eastAsia="Times New Roman" w:hAnsi="Times New Roman"/>
          <w:lang w:eastAsia="lt-LT"/>
        </w:rPr>
        <w:t>1,07 mmol/l).</w:t>
      </w:r>
    </w:p>
    <w:p w14:paraId="3C9AE52A" w14:textId="77777777" w:rsidR="00CB68E6" w:rsidRPr="00F45D90" w:rsidRDefault="00CB68E6" w:rsidP="00CB68E6">
      <w:pPr>
        <w:spacing w:after="12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12</w:t>
      </w:r>
      <w:r w:rsidRPr="00F45D90">
        <w:rPr>
          <w:rFonts w:ascii="Times New Roman" w:eastAsia="Times New Roman" w:hAnsi="Times New Roman"/>
          <w:lang w:eastAsia="lt-LT"/>
        </w:rPr>
        <w:t>Žr. toliau pateiktą tekstą.</w:t>
      </w:r>
    </w:p>
    <w:p w14:paraId="1D5651C1" w14:textId="071A9EA3"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13</w:t>
      </w:r>
      <w:r w:rsidRPr="00F45D90">
        <w:rPr>
          <w:rFonts w:ascii="Times New Roman" w:eastAsia="Times New Roman" w:hAnsi="Times New Roman"/>
          <w:lang w:eastAsia="lt-LT"/>
        </w:rPr>
        <w:t>Mažiausiai vienu atveju trombocitų skaičius būna ≤</w:t>
      </w:r>
      <w:r w:rsidR="00E573E9">
        <w:rPr>
          <w:rFonts w:ascii="Times New Roman" w:eastAsia="Times New Roman" w:hAnsi="Times New Roman"/>
          <w:lang w:eastAsia="lt-LT"/>
        </w:rPr>
        <w:t> </w:t>
      </w:r>
      <w:r w:rsidRPr="00F45D90">
        <w:rPr>
          <w:rFonts w:ascii="Times New Roman" w:eastAsia="Times New Roman" w:hAnsi="Times New Roman"/>
          <w:lang w:eastAsia="lt-LT"/>
        </w:rPr>
        <w:t>100</w:t>
      </w:r>
      <w:r w:rsidR="00E573E9">
        <w:rPr>
          <w:rFonts w:ascii="Times New Roman" w:eastAsia="Times New Roman" w:hAnsi="Times New Roman"/>
          <w:lang w:eastAsia="lt-LT"/>
        </w:rPr>
        <w:t> </w:t>
      </w:r>
      <w:r w:rsidRPr="00F45D90">
        <w:rPr>
          <w:rFonts w:ascii="Times New Roman" w:eastAsia="Times New Roman" w:hAnsi="Times New Roman"/>
          <w:lang w:eastAsia="lt-LT"/>
        </w:rPr>
        <w:t>x</w:t>
      </w:r>
      <w:r w:rsidR="00E573E9">
        <w:rPr>
          <w:rFonts w:ascii="Times New Roman" w:eastAsia="Times New Roman" w:hAnsi="Times New Roman"/>
          <w:lang w:eastAsia="lt-LT"/>
        </w:rPr>
        <w:t> </w:t>
      </w:r>
      <w:r w:rsidRPr="00F45D90">
        <w:rPr>
          <w:rFonts w:ascii="Times New Roman" w:eastAsia="Times New Roman" w:hAnsi="Times New Roman"/>
          <w:lang w:eastAsia="lt-LT"/>
        </w:rPr>
        <w:t>10</w:t>
      </w:r>
      <w:r w:rsidRPr="00F45D90">
        <w:rPr>
          <w:rFonts w:ascii="Times New Roman" w:eastAsia="Times New Roman" w:hAnsi="Times New Roman"/>
          <w:vertAlign w:val="superscript"/>
          <w:lang w:eastAsia="lt-LT"/>
        </w:rPr>
        <w:t>9</w:t>
      </w:r>
      <w:r w:rsidRPr="00F45D90">
        <w:rPr>
          <w:rFonts w:ascii="Times New Roman" w:eastAsia="Times New Roman" w:hAnsi="Times New Roman"/>
          <w:lang w:eastAsia="lt-LT"/>
        </w:rPr>
        <w:t>/l.</w:t>
      </w:r>
    </w:p>
    <w:p w14:paraId="138B1642" w14:textId="77777777"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14</w:t>
      </w:r>
      <w:r w:rsidRPr="00F45D90">
        <w:rPr>
          <w:rFonts w:ascii="Times New Roman" w:eastAsia="Times New Roman" w:hAnsi="Times New Roman"/>
          <w:lang w:eastAsia="lt-LT"/>
        </w:rPr>
        <w:t>Remiantis klinikiniu tyrimu, pranešimai apie kraujo kreatinfosfokinazės padidėjimo nepageidaujamą reiškinį nesusiję su piktybiniu neurolepsiniu sindromu.</w:t>
      </w:r>
    </w:p>
    <w:p w14:paraId="59E19DD8" w14:textId="37954FDA"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15</w:t>
      </w:r>
      <w:r w:rsidRPr="00F45D90">
        <w:rPr>
          <w:rFonts w:ascii="Times New Roman" w:eastAsia="Times New Roman" w:hAnsi="Times New Roman"/>
          <w:lang w:eastAsia="lt-LT"/>
        </w:rPr>
        <w:t>Prolaktino kiekis bet kuriuo metu (vyresniems kaip 18 metų pacientams): &gt;</w:t>
      </w:r>
      <w:r w:rsidR="00E573E9">
        <w:rPr>
          <w:rFonts w:ascii="Times New Roman" w:eastAsia="Times New Roman" w:hAnsi="Times New Roman"/>
          <w:lang w:eastAsia="lt-LT"/>
        </w:rPr>
        <w:t> </w:t>
      </w:r>
      <w:r w:rsidRPr="00F45D90">
        <w:rPr>
          <w:rFonts w:ascii="Times New Roman" w:eastAsia="Times New Roman" w:hAnsi="Times New Roman"/>
          <w:lang w:eastAsia="lt-LT"/>
        </w:rPr>
        <w:t>20 mikrogramų/l (&gt;</w:t>
      </w:r>
      <w:r w:rsidR="00E573E9">
        <w:rPr>
          <w:rFonts w:ascii="Times New Roman" w:eastAsia="Times New Roman" w:hAnsi="Times New Roman"/>
          <w:lang w:eastAsia="lt-LT"/>
        </w:rPr>
        <w:t> </w:t>
      </w:r>
      <w:r w:rsidRPr="00F45D90">
        <w:rPr>
          <w:rFonts w:ascii="Times New Roman" w:eastAsia="Times New Roman" w:hAnsi="Times New Roman"/>
          <w:lang w:eastAsia="lt-LT"/>
        </w:rPr>
        <w:t>869,56 pmol/l) vyrams, &gt;</w:t>
      </w:r>
      <w:r w:rsidR="00E573E9">
        <w:rPr>
          <w:rFonts w:ascii="Times New Roman" w:eastAsia="Times New Roman" w:hAnsi="Times New Roman"/>
          <w:lang w:eastAsia="lt-LT"/>
        </w:rPr>
        <w:t> </w:t>
      </w:r>
      <w:r w:rsidRPr="00F45D90">
        <w:rPr>
          <w:rFonts w:ascii="Times New Roman" w:eastAsia="Times New Roman" w:hAnsi="Times New Roman"/>
          <w:lang w:eastAsia="lt-LT"/>
        </w:rPr>
        <w:t>30 mikrogramų/l (&gt;</w:t>
      </w:r>
      <w:r w:rsidR="00E573E9">
        <w:rPr>
          <w:rFonts w:ascii="Times New Roman" w:eastAsia="Times New Roman" w:hAnsi="Times New Roman"/>
          <w:lang w:eastAsia="lt-LT"/>
        </w:rPr>
        <w:t> </w:t>
      </w:r>
      <w:r w:rsidRPr="00F45D90">
        <w:rPr>
          <w:rFonts w:ascii="Times New Roman" w:eastAsia="Times New Roman" w:hAnsi="Times New Roman"/>
          <w:lang w:eastAsia="lt-LT"/>
        </w:rPr>
        <w:t>1304,34 pmol/l) moterims.</w:t>
      </w:r>
    </w:p>
    <w:p w14:paraId="3F714654"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16</w:t>
      </w:r>
      <w:r w:rsidRPr="00F45D90">
        <w:rPr>
          <w:rFonts w:ascii="Times New Roman" w:eastAsia="Times New Roman" w:hAnsi="Times New Roman"/>
          <w:lang w:eastAsia="lt-LT"/>
        </w:rPr>
        <w:t>Gali skatinti pargriuvimus.</w:t>
      </w:r>
    </w:p>
    <w:p w14:paraId="77A3DCB4" w14:textId="23449A53"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17</w:t>
      </w:r>
      <w:r w:rsidRPr="00F45D90">
        <w:rPr>
          <w:rFonts w:ascii="Times New Roman" w:eastAsia="Times New Roman" w:hAnsi="Times New Roman"/>
          <w:lang w:eastAsia="lt-LT"/>
        </w:rPr>
        <w:t xml:space="preserve"> DTL cholesterolio kiekis bet kurio metu vyrams &lt;</w:t>
      </w:r>
      <w:r w:rsidR="00E573E9">
        <w:rPr>
          <w:rFonts w:ascii="Times New Roman" w:eastAsia="Times New Roman" w:hAnsi="Times New Roman"/>
          <w:lang w:eastAsia="lt-LT"/>
        </w:rPr>
        <w:t> </w:t>
      </w:r>
      <w:r w:rsidRPr="00F45D90">
        <w:rPr>
          <w:rFonts w:ascii="Times New Roman" w:eastAsia="Times New Roman" w:hAnsi="Times New Roman"/>
          <w:lang w:eastAsia="lt-LT"/>
        </w:rPr>
        <w:t>40 mg/dl (1,025 mmol/l), moterims &lt;</w:t>
      </w:r>
      <w:r w:rsidR="00E573E9">
        <w:rPr>
          <w:rFonts w:ascii="Times New Roman" w:eastAsia="Times New Roman" w:hAnsi="Times New Roman"/>
          <w:lang w:eastAsia="lt-LT"/>
        </w:rPr>
        <w:t> </w:t>
      </w:r>
      <w:r w:rsidRPr="00F45D90">
        <w:rPr>
          <w:rFonts w:ascii="Times New Roman" w:eastAsia="Times New Roman" w:hAnsi="Times New Roman"/>
          <w:lang w:eastAsia="lt-LT"/>
        </w:rPr>
        <w:t>50 mg/dl (1,282 mmol/l).</w:t>
      </w:r>
    </w:p>
    <w:p w14:paraId="6456DD93" w14:textId="19E12418"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18</w:t>
      </w:r>
      <w:r w:rsidRPr="00F45D90">
        <w:rPr>
          <w:rFonts w:ascii="Times New Roman" w:eastAsia="Times New Roman" w:hAnsi="Times New Roman"/>
          <w:lang w:eastAsia="lt-LT"/>
        </w:rPr>
        <w:t xml:space="preserve"> Pacientams, kuriems QT pailgėjo nuo &lt;</w:t>
      </w:r>
      <w:r w:rsidR="00E573E9">
        <w:rPr>
          <w:rFonts w:ascii="Times New Roman" w:eastAsia="Times New Roman" w:hAnsi="Times New Roman"/>
          <w:lang w:eastAsia="lt-LT"/>
        </w:rPr>
        <w:t> </w:t>
      </w:r>
      <w:r w:rsidRPr="00F45D90">
        <w:rPr>
          <w:rFonts w:ascii="Times New Roman" w:eastAsia="Times New Roman" w:hAnsi="Times New Roman"/>
          <w:lang w:eastAsia="lt-LT"/>
        </w:rPr>
        <w:t>450 ms iki &gt;</w:t>
      </w:r>
      <w:r w:rsidR="00E573E9">
        <w:rPr>
          <w:rFonts w:ascii="Times New Roman" w:eastAsia="Times New Roman" w:hAnsi="Times New Roman"/>
          <w:lang w:eastAsia="lt-LT"/>
        </w:rPr>
        <w:t> </w:t>
      </w:r>
      <w:r w:rsidRPr="00F45D90">
        <w:rPr>
          <w:rFonts w:ascii="Times New Roman" w:eastAsia="Times New Roman" w:hAnsi="Times New Roman"/>
          <w:lang w:eastAsia="lt-LT"/>
        </w:rPr>
        <w:t>450 ms dažniau šis intervalas padidėjo ≥</w:t>
      </w:r>
      <w:r w:rsidR="00E573E9">
        <w:rPr>
          <w:rFonts w:ascii="Times New Roman" w:eastAsia="Times New Roman" w:hAnsi="Times New Roman"/>
          <w:lang w:eastAsia="lt-LT"/>
        </w:rPr>
        <w:t> </w:t>
      </w:r>
      <w:r w:rsidRPr="00F45D90">
        <w:rPr>
          <w:rFonts w:ascii="Times New Roman" w:eastAsia="Times New Roman" w:hAnsi="Times New Roman"/>
          <w:lang w:eastAsia="lt-LT"/>
        </w:rPr>
        <w:t xml:space="preserve">30 ms. Placebu kontroliuojamuose tyrimuose pokyčio vidurkis ir skaičius pacientų, kuriems šis pokytis buvo kliniškai reikšmingas, kvetiapiną vartojusiųjų ir placebo grupėse buvo panašus. </w:t>
      </w:r>
    </w:p>
    <w:p w14:paraId="737F37BA" w14:textId="604FB7F9" w:rsidR="00CB68E6" w:rsidRPr="00F45D90" w:rsidRDefault="00CB68E6" w:rsidP="00CB68E6">
      <w:pPr>
        <w:spacing w:after="0" w:line="240" w:lineRule="auto"/>
        <w:ind w:left="180" w:hanging="180"/>
        <w:rPr>
          <w:rFonts w:ascii="Times New Roman" w:eastAsia="Times New Roman" w:hAnsi="Times New Roman"/>
          <w:lang w:eastAsia="lt-LT"/>
        </w:rPr>
      </w:pPr>
      <w:r w:rsidRPr="00F45D90">
        <w:rPr>
          <w:rFonts w:ascii="Times New Roman" w:eastAsia="Times New Roman" w:hAnsi="Times New Roman"/>
          <w:vertAlign w:val="superscript"/>
          <w:lang w:eastAsia="lt-LT"/>
        </w:rPr>
        <w:t>19</w:t>
      </w:r>
      <w:r w:rsidRPr="00F45D90">
        <w:rPr>
          <w:rFonts w:ascii="Times New Roman" w:eastAsia="Times New Roman" w:hAnsi="Times New Roman"/>
          <w:lang w:eastAsia="lt-LT"/>
        </w:rPr>
        <w:t xml:space="preserve"> Bent vienu atveju poslinkis nuo &gt;</w:t>
      </w:r>
      <w:r w:rsidR="00E573E9">
        <w:rPr>
          <w:rFonts w:ascii="Times New Roman" w:eastAsia="Times New Roman" w:hAnsi="Times New Roman"/>
          <w:lang w:eastAsia="lt-LT"/>
        </w:rPr>
        <w:t> </w:t>
      </w:r>
      <w:r w:rsidRPr="00F45D90">
        <w:rPr>
          <w:rFonts w:ascii="Times New Roman" w:eastAsia="Times New Roman" w:hAnsi="Times New Roman"/>
          <w:lang w:eastAsia="lt-LT"/>
        </w:rPr>
        <w:t>132 mmol/l iki &lt;</w:t>
      </w:r>
      <w:r w:rsidR="00E573E9">
        <w:rPr>
          <w:rFonts w:ascii="Times New Roman" w:eastAsia="Times New Roman" w:hAnsi="Times New Roman"/>
          <w:lang w:eastAsia="lt-LT"/>
        </w:rPr>
        <w:t> </w:t>
      </w:r>
      <w:r w:rsidRPr="00F45D90">
        <w:rPr>
          <w:rFonts w:ascii="Times New Roman" w:eastAsia="Times New Roman" w:hAnsi="Times New Roman"/>
          <w:lang w:eastAsia="lt-LT"/>
        </w:rPr>
        <w:t>132 mmol/l.</w:t>
      </w:r>
    </w:p>
    <w:p w14:paraId="7289C6EA" w14:textId="77777777" w:rsidR="00CB68E6" w:rsidRPr="00F45D90" w:rsidRDefault="00CB68E6" w:rsidP="00CB68E6">
      <w:pPr>
        <w:spacing w:before="120" w:after="0" w:line="240" w:lineRule="auto"/>
        <w:rPr>
          <w:rFonts w:ascii="Times New Roman" w:hAnsi="Times New Roman"/>
          <w:noProof/>
        </w:rPr>
      </w:pPr>
      <w:r w:rsidRPr="00F45D90">
        <w:rPr>
          <w:rFonts w:ascii="Times New Roman" w:hAnsi="Times New Roman"/>
          <w:noProof/>
          <w:vertAlign w:val="superscript"/>
        </w:rPr>
        <w:lastRenderedPageBreak/>
        <w:t>20</w:t>
      </w:r>
      <w:r w:rsidRPr="00F45D90">
        <w:rPr>
          <w:rFonts w:ascii="Times New Roman" w:hAnsi="Times New Roman"/>
          <w:noProof/>
        </w:rPr>
        <w:t xml:space="preserve"> Minčių apie savižudybę ir su savižudybe susijusio elgesio atvejai pasitaikė gydymo metu arba tuoj pat po gydymo kvetiapinu nutraukimo (žr. 4.4 ir 5.1 skyrius)</w:t>
      </w:r>
    </w:p>
    <w:p w14:paraId="2AA0F206" w14:textId="77777777" w:rsidR="00CB68E6" w:rsidRPr="00F45D90" w:rsidRDefault="00CB68E6" w:rsidP="00CB68E6">
      <w:pPr>
        <w:spacing w:before="120" w:after="0" w:line="240" w:lineRule="auto"/>
        <w:rPr>
          <w:rFonts w:ascii="Times New Roman" w:hAnsi="Times New Roman"/>
          <w:noProof/>
        </w:rPr>
      </w:pPr>
      <w:r w:rsidRPr="00F45D90">
        <w:rPr>
          <w:rFonts w:ascii="Times New Roman" w:hAnsi="Times New Roman"/>
          <w:noProof/>
          <w:vertAlign w:val="superscript"/>
        </w:rPr>
        <w:t>21</w:t>
      </w:r>
      <w:r w:rsidRPr="00F45D90">
        <w:rPr>
          <w:rFonts w:ascii="Times New Roman" w:hAnsi="Times New Roman"/>
          <w:noProof/>
        </w:rPr>
        <w:t xml:space="preserve"> Žr. 5.1 skyrių</w:t>
      </w:r>
    </w:p>
    <w:p w14:paraId="7B71A31F" w14:textId="280D871D" w:rsidR="00CB68E6" w:rsidRPr="00F45D90" w:rsidRDefault="00CB68E6" w:rsidP="00CB68E6">
      <w:pPr>
        <w:spacing w:after="0" w:line="240" w:lineRule="auto"/>
        <w:rPr>
          <w:rFonts w:ascii="Times New Roman" w:hAnsi="Times New Roman"/>
        </w:rPr>
      </w:pPr>
      <w:r w:rsidRPr="00F45D90">
        <w:rPr>
          <w:rFonts w:ascii="Times New Roman" w:hAnsi="Times New Roman"/>
          <w:noProof/>
          <w:vertAlign w:val="superscript"/>
        </w:rPr>
        <w:t xml:space="preserve">22 </w:t>
      </w:r>
      <w:r w:rsidRPr="00F45D90">
        <w:rPr>
          <w:rFonts w:ascii="Times New Roman" w:hAnsi="Times New Roman"/>
          <w:noProof/>
        </w:rPr>
        <w:t xml:space="preserve">Visų klinikinių, įskaitant ir atvirus, tyrimų metu, hemoglobino kiekio sumažėjimas iki </w:t>
      </w:r>
      <w:r w:rsidRPr="00F45D90">
        <w:rPr>
          <w:rFonts w:ascii="Times New Roman" w:hAnsi="Times New Roman"/>
        </w:rPr>
        <w:t>≤</w:t>
      </w:r>
      <w:r w:rsidR="00E573E9">
        <w:rPr>
          <w:rFonts w:ascii="Times New Roman" w:hAnsi="Times New Roman"/>
        </w:rPr>
        <w:t> </w:t>
      </w:r>
      <w:r w:rsidRPr="00F45D90">
        <w:rPr>
          <w:rFonts w:ascii="Times New Roman" w:hAnsi="Times New Roman"/>
        </w:rPr>
        <w:t>13 g/dl (8,07 mmol/l) vyrams, ≤</w:t>
      </w:r>
      <w:r w:rsidR="00E573E9">
        <w:rPr>
          <w:rFonts w:ascii="Times New Roman" w:hAnsi="Times New Roman"/>
        </w:rPr>
        <w:t> </w:t>
      </w:r>
      <w:r w:rsidRPr="00F45D90">
        <w:rPr>
          <w:rFonts w:ascii="Times New Roman" w:hAnsi="Times New Roman"/>
        </w:rPr>
        <w:t>12 g/dl (7,45 mmol/l) moterims bent vieną kartą nustatytas 11</w:t>
      </w:r>
      <w:r w:rsidR="00E573E9">
        <w:rPr>
          <w:rFonts w:ascii="Times New Roman" w:hAnsi="Times New Roman"/>
        </w:rPr>
        <w:t> </w:t>
      </w:r>
      <w:r w:rsidRPr="00F45D90">
        <w:rPr>
          <w:rFonts w:ascii="Times New Roman" w:hAnsi="Times New Roman"/>
        </w:rPr>
        <w:t>% gydytų pacientų. Šiems pacientams vidutinis didžiausias hemoglobino kiekio sumažėjimas bet kuriuo laikotarpiu buvo -1,50 g/dl.</w:t>
      </w:r>
    </w:p>
    <w:p w14:paraId="518BDF63" w14:textId="77777777" w:rsidR="00CB68E6" w:rsidRPr="00F45D90" w:rsidRDefault="00CB68E6" w:rsidP="00CB68E6">
      <w:pPr>
        <w:spacing w:after="0" w:line="240" w:lineRule="auto"/>
        <w:rPr>
          <w:rFonts w:ascii="Times New Roman" w:hAnsi="Times New Roman"/>
        </w:rPr>
      </w:pPr>
      <w:r w:rsidRPr="00F45D90">
        <w:rPr>
          <w:rFonts w:ascii="Times New Roman" w:hAnsi="Times New Roman"/>
          <w:vertAlign w:val="superscript"/>
        </w:rPr>
        <w:t>23</w:t>
      </w:r>
      <w:r w:rsidRPr="00F45D90">
        <w:rPr>
          <w:rFonts w:ascii="Times New Roman" w:hAnsi="Times New Roman"/>
        </w:rPr>
        <w:t xml:space="preserve"> Šie pranešimai buvo kartu su tachikardija, svaiguliu, ortostatine hipotenzija ir (arba) širdies arba kvėpavimo sistemos liga</w:t>
      </w:r>
    </w:p>
    <w:p w14:paraId="7E05AE01" w14:textId="6D325A33" w:rsidR="00CB68E6" w:rsidRPr="00F45D90" w:rsidRDefault="00CB68E6" w:rsidP="00CB68E6">
      <w:pPr>
        <w:spacing w:after="0" w:line="240" w:lineRule="auto"/>
        <w:rPr>
          <w:rFonts w:ascii="Times New Roman" w:hAnsi="Times New Roman"/>
          <w:noProof/>
        </w:rPr>
      </w:pPr>
      <w:r w:rsidRPr="00F45D90">
        <w:rPr>
          <w:rFonts w:ascii="Times New Roman" w:hAnsi="Times New Roman"/>
          <w:noProof/>
          <w:vertAlign w:val="superscript"/>
        </w:rPr>
        <w:t>24</w:t>
      </w:r>
      <w:r w:rsidRPr="00F45D90">
        <w:rPr>
          <w:rFonts w:ascii="Times New Roman" w:hAnsi="Times New Roman"/>
          <w:noProof/>
        </w:rPr>
        <w:t xml:space="preserve"> Visų klinikinių tyrimų metu stebint nukrypimus nuo normos iki kliniškai svarbių verčių bet kuriuo metu palyginti su pradine verte. Bendro T</w:t>
      </w:r>
      <w:r w:rsidRPr="00F45D90">
        <w:rPr>
          <w:rFonts w:ascii="Times New Roman" w:hAnsi="Times New Roman"/>
          <w:noProof/>
          <w:vertAlign w:val="superscript"/>
        </w:rPr>
        <w:t>4</w:t>
      </w:r>
      <w:r w:rsidRPr="00F45D90">
        <w:rPr>
          <w:rFonts w:ascii="Times New Roman" w:hAnsi="Times New Roman"/>
          <w:noProof/>
        </w:rPr>
        <w:t>, laisvo T</w:t>
      </w:r>
      <w:r w:rsidRPr="00F45D90">
        <w:rPr>
          <w:rFonts w:ascii="Times New Roman" w:hAnsi="Times New Roman"/>
          <w:noProof/>
          <w:vertAlign w:val="superscript"/>
        </w:rPr>
        <w:t>4</w:t>
      </w:r>
      <w:r w:rsidRPr="00F45D90">
        <w:rPr>
          <w:rFonts w:ascii="Times New Roman" w:hAnsi="Times New Roman"/>
          <w:noProof/>
        </w:rPr>
        <w:t>, bendro T</w:t>
      </w:r>
      <w:r w:rsidRPr="00F45D90">
        <w:rPr>
          <w:rFonts w:ascii="Times New Roman" w:hAnsi="Times New Roman"/>
          <w:noProof/>
          <w:vertAlign w:val="superscript"/>
        </w:rPr>
        <w:t>3</w:t>
      </w:r>
      <w:r w:rsidRPr="00F45D90">
        <w:rPr>
          <w:rFonts w:ascii="Times New Roman" w:hAnsi="Times New Roman"/>
          <w:noProof/>
        </w:rPr>
        <w:t xml:space="preserve"> ir laisvo T</w:t>
      </w:r>
      <w:r w:rsidRPr="00F45D90">
        <w:rPr>
          <w:rFonts w:ascii="Times New Roman" w:hAnsi="Times New Roman"/>
          <w:noProof/>
          <w:vertAlign w:val="superscript"/>
        </w:rPr>
        <w:t>3</w:t>
      </w:r>
      <w:r w:rsidRPr="00F45D90">
        <w:rPr>
          <w:rFonts w:ascii="Times New Roman" w:hAnsi="Times New Roman"/>
          <w:noProof/>
        </w:rPr>
        <w:t xml:space="preserve"> nuokrypiais buvo laikomos vertės 0,8</w:t>
      </w:r>
      <w:r w:rsidR="00E573E9">
        <w:rPr>
          <w:rFonts w:ascii="Times New Roman" w:hAnsi="Times New Roman"/>
          <w:noProof/>
        </w:rPr>
        <w:t> </w:t>
      </w:r>
      <w:r w:rsidRPr="00F45D90">
        <w:rPr>
          <w:rFonts w:ascii="Times New Roman" w:hAnsi="Times New Roman"/>
          <w:noProof/>
        </w:rPr>
        <w:t>x žemiausia normos vertė (pmol/l), TSH nuokrypis &gt;</w:t>
      </w:r>
      <w:r w:rsidR="00E573E9">
        <w:rPr>
          <w:rFonts w:ascii="Times New Roman" w:hAnsi="Times New Roman"/>
          <w:noProof/>
        </w:rPr>
        <w:t> </w:t>
      </w:r>
      <w:r w:rsidRPr="00F45D90">
        <w:rPr>
          <w:rFonts w:ascii="Times New Roman" w:hAnsi="Times New Roman"/>
          <w:noProof/>
        </w:rPr>
        <w:t>5</w:t>
      </w:r>
      <w:r w:rsidR="00E573E9">
        <w:rPr>
          <w:rFonts w:ascii="Times New Roman" w:hAnsi="Times New Roman"/>
          <w:noProof/>
        </w:rPr>
        <w:t> </w:t>
      </w:r>
      <w:r w:rsidRPr="00F45D90">
        <w:rPr>
          <w:rFonts w:ascii="Times New Roman" w:hAnsi="Times New Roman"/>
          <w:noProof/>
        </w:rPr>
        <w:t>mTV/l bet kuriuo metu.</w:t>
      </w:r>
    </w:p>
    <w:p w14:paraId="3AF162C9" w14:textId="7800CA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25</w:t>
      </w:r>
      <w:r w:rsidRPr="00F45D90">
        <w:rPr>
          <w:rFonts w:ascii="Times New Roman" w:eastAsia="Times New Roman" w:hAnsi="Times New Roman"/>
          <w:lang w:eastAsia="lt-LT"/>
        </w:rPr>
        <w:t xml:space="preserve"> Pagrįsta senyvų pacientų (≥</w:t>
      </w:r>
      <w:r w:rsidR="00E573E9">
        <w:rPr>
          <w:rFonts w:ascii="Times New Roman" w:eastAsia="Times New Roman" w:hAnsi="Times New Roman"/>
          <w:lang w:eastAsia="lt-LT"/>
        </w:rPr>
        <w:t> </w:t>
      </w:r>
      <w:r w:rsidRPr="00F45D90">
        <w:rPr>
          <w:rFonts w:ascii="Times New Roman" w:eastAsia="Times New Roman" w:hAnsi="Times New Roman"/>
          <w:lang w:eastAsia="lt-LT"/>
        </w:rPr>
        <w:t>65 metų) vėmimo padažnėjimu</w:t>
      </w:r>
    </w:p>
    <w:p w14:paraId="59678DC3" w14:textId="13CBCB1F"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26</w:t>
      </w:r>
      <w:r w:rsidRPr="00F45D90">
        <w:rPr>
          <w:rFonts w:ascii="Times New Roman" w:eastAsia="Times New Roman" w:hAnsi="Times New Roman"/>
          <w:lang w:eastAsia="lt-LT"/>
        </w:rPr>
        <w:t xml:space="preserve"> Neutrofilų kiekio poslinkis nuo ≥</w:t>
      </w:r>
      <w:r w:rsidR="00E573E9">
        <w:rPr>
          <w:rFonts w:ascii="Times New Roman" w:eastAsia="Times New Roman" w:hAnsi="Times New Roman"/>
          <w:lang w:eastAsia="lt-LT"/>
        </w:rPr>
        <w:t> </w:t>
      </w:r>
      <w:r w:rsidRPr="00F45D90">
        <w:rPr>
          <w:rFonts w:ascii="Times New Roman" w:eastAsia="Times New Roman" w:hAnsi="Times New Roman"/>
          <w:lang w:eastAsia="lt-LT"/>
        </w:rPr>
        <w:t>1,5</w:t>
      </w:r>
      <w:r w:rsidR="00E573E9">
        <w:rPr>
          <w:rFonts w:ascii="Times New Roman" w:eastAsia="Times New Roman" w:hAnsi="Times New Roman"/>
          <w:lang w:eastAsia="lt-LT"/>
        </w:rPr>
        <w:t> </w:t>
      </w:r>
      <w:r w:rsidRPr="00F45D90">
        <w:rPr>
          <w:rFonts w:ascii="Times New Roman" w:eastAsia="Times New Roman" w:hAnsi="Times New Roman"/>
          <w:lang w:eastAsia="lt-LT"/>
        </w:rPr>
        <w:t>x</w:t>
      </w:r>
      <w:r w:rsidR="00E573E9">
        <w:rPr>
          <w:rFonts w:ascii="Times New Roman" w:eastAsia="Times New Roman" w:hAnsi="Times New Roman"/>
          <w:lang w:eastAsia="lt-LT"/>
        </w:rPr>
        <w:t> </w:t>
      </w:r>
      <w:r w:rsidRPr="00F45D90">
        <w:rPr>
          <w:rFonts w:ascii="Times New Roman" w:eastAsia="Times New Roman" w:hAnsi="Times New Roman"/>
          <w:lang w:eastAsia="lt-LT"/>
        </w:rPr>
        <w:t>10</w:t>
      </w:r>
      <w:r w:rsidRPr="00F45D90">
        <w:rPr>
          <w:rFonts w:ascii="Times New Roman" w:eastAsia="Times New Roman" w:hAnsi="Times New Roman"/>
          <w:vertAlign w:val="superscript"/>
          <w:lang w:eastAsia="lt-LT"/>
        </w:rPr>
        <w:t>9</w:t>
      </w:r>
      <w:r w:rsidRPr="00F45D90">
        <w:rPr>
          <w:rFonts w:ascii="Times New Roman" w:eastAsia="Times New Roman" w:hAnsi="Times New Roman"/>
          <w:lang w:eastAsia="lt-LT"/>
        </w:rPr>
        <w:t>/l iš pradžių iki &lt;</w:t>
      </w:r>
      <w:r w:rsidR="00E573E9">
        <w:rPr>
          <w:rFonts w:ascii="Times New Roman" w:eastAsia="Times New Roman" w:hAnsi="Times New Roman"/>
          <w:lang w:eastAsia="lt-LT"/>
        </w:rPr>
        <w:t> </w:t>
      </w:r>
      <w:r w:rsidRPr="00F45D90">
        <w:rPr>
          <w:rFonts w:ascii="Times New Roman" w:eastAsia="Times New Roman" w:hAnsi="Times New Roman"/>
          <w:lang w:eastAsia="lt-LT"/>
        </w:rPr>
        <w:t>0,5</w:t>
      </w:r>
      <w:r w:rsidR="00E573E9">
        <w:rPr>
          <w:rFonts w:ascii="Times New Roman" w:eastAsia="Times New Roman" w:hAnsi="Times New Roman"/>
          <w:lang w:eastAsia="lt-LT"/>
        </w:rPr>
        <w:t> </w:t>
      </w:r>
      <w:r w:rsidRPr="00F45D90">
        <w:rPr>
          <w:rFonts w:ascii="Times New Roman" w:eastAsia="Times New Roman" w:hAnsi="Times New Roman"/>
          <w:lang w:eastAsia="lt-LT"/>
        </w:rPr>
        <w:t>x</w:t>
      </w:r>
      <w:r w:rsidR="00E573E9">
        <w:rPr>
          <w:rFonts w:ascii="Times New Roman" w:eastAsia="Times New Roman" w:hAnsi="Times New Roman"/>
          <w:lang w:eastAsia="lt-LT"/>
        </w:rPr>
        <w:t> </w:t>
      </w:r>
      <w:r w:rsidRPr="00F45D90">
        <w:rPr>
          <w:rFonts w:ascii="Times New Roman" w:eastAsia="Times New Roman" w:hAnsi="Times New Roman"/>
          <w:lang w:eastAsia="lt-LT"/>
        </w:rPr>
        <w:t>10</w:t>
      </w:r>
      <w:r w:rsidRPr="00F45D90">
        <w:rPr>
          <w:rFonts w:ascii="Times New Roman" w:eastAsia="Times New Roman" w:hAnsi="Times New Roman"/>
          <w:vertAlign w:val="superscript"/>
          <w:lang w:eastAsia="lt-LT"/>
        </w:rPr>
        <w:t>9</w:t>
      </w:r>
      <w:r w:rsidRPr="00F45D90">
        <w:rPr>
          <w:rFonts w:ascii="Times New Roman" w:eastAsia="Times New Roman" w:hAnsi="Times New Roman"/>
          <w:lang w:eastAsia="lt-LT"/>
        </w:rPr>
        <w:t>/l bet kuriuo gydymo metu</w:t>
      </w:r>
    </w:p>
    <w:p w14:paraId="74B65C63" w14:textId="0A9D1841"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27</w:t>
      </w:r>
      <w:r w:rsidRPr="00F45D90">
        <w:rPr>
          <w:rFonts w:ascii="Times New Roman" w:eastAsia="Times New Roman" w:hAnsi="Times New Roman"/>
          <w:noProof/>
          <w:lang w:eastAsia="lt-LT"/>
        </w:rPr>
        <w:t xml:space="preserve"> Visų klinikinių tyrimų metu stebint nukrypimus nuo normos iki kliniškai svarbių verčių bet kuriuo metu palyginti su pradine verte. Eozinofilų</w:t>
      </w:r>
      <w:r w:rsidRPr="00F45D90">
        <w:rPr>
          <w:rFonts w:ascii="Times New Roman" w:eastAsia="Times New Roman" w:hAnsi="Times New Roman"/>
          <w:lang w:eastAsia="lt-LT"/>
        </w:rPr>
        <w:t xml:space="preserve"> kiekio poslinkis nuo ≥</w:t>
      </w:r>
      <w:r w:rsidR="00E573E9">
        <w:rPr>
          <w:rFonts w:ascii="Times New Roman" w:eastAsia="Times New Roman" w:hAnsi="Times New Roman"/>
          <w:lang w:eastAsia="lt-LT"/>
        </w:rPr>
        <w:t> </w:t>
      </w:r>
      <w:r w:rsidRPr="00F45D90">
        <w:rPr>
          <w:rFonts w:ascii="Times New Roman" w:eastAsia="Times New Roman" w:hAnsi="Times New Roman"/>
          <w:lang w:eastAsia="lt-LT"/>
        </w:rPr>
        <w:t>1,0</w:t>
      </w:r>
      <w:r w:rsidR="00E573E9">
        <w:rPr>
          <w:rFonts w:ascii="Times New Roman" w:eastAsia="Times New Roman" w:hAnsi="Times New Roman"/>
          <w:lang w:eastAsia="lt-LT"/>
        </w:rPr>
        <w:t> </w:t>
      </w:r>
      <w:r w:rsidRPr="00F45D90">
        <w:rPr>
          <w:rFonts w:ascii="Times New Roman" w:eastAsia="Times New Roman" w:hAnsi="Times New Roman"/>
          <w:lang w:eastAsia="lt-LT"/>
        </w:rPr>
        <w:t>x</w:t>
      </w:r>
      <w:r w:rsidR="00E573E9">
        <w:rPr>
          <w:rFonts w:ascii="Times New Roman" w:eastAsia="Times New Roman" w:hAnsi="Times New Roman"/>
          <w:lang w:eastAsia="lt-LT"/>
        </w:rPr>
        <w:t> </w:t>
      </w:r>
      <w:r w:rsidRPr="00F45D90">
        <w:rPr>
          <w:rFonts w:ascii="Times New Roman" w:eastAsia="Times New Roman" w:hAnsi="Times New Roman"/>
          <w:lang w:eastAsia="lt-LT"/>
        </w:rPr>
        <w:t>10</w:t>
      </w:r>
      <w:r w:rsidRPr="00F45D90">
        <w:rPr>
          <w:rFonts w:ascii="Times New Roman" w:eastAsia="Times New Roman" w:hAnsi="Times New Roman"/>
          <w:vertAlign w:val="superscript"/>
          <w:lang w:eastAsia="lt-LT"/>
        </w:rPr>
        <w:t>9</w:t>
      </w:r>
      <w:r w:rsidRPr="00F45D90">
        <w:rPr>
          <w:rFonts w:ascii="Times New Roman" w:eastAsia="Times New Roman" w:hAnsi="Times New Roman"/>
          <w:lang w:eastAsia="lt-LT"/>
        </w:rPr>
        <w:t>/l bet kuriuo gydymo metu</w:t>
      </w:r>
    </w:p>
    <w:p w14:paraId="1303270C" w14:textId="3FBB3A2F"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28 </w:t>
      </w:r>
      <w:r w:rsidRPr="00F45D90">
        <w:rPr>
          <w:rFonts w:ascii="Times New Roman" w:eastAsia="Times New Roman" w:hAnsi="Times New Roman"/>
          <w:noProof/>
          <w:vertAlign w:val="superscript"/>
          <w:lang w:eastAsia="lt-LT"/>
        </w:rPr>
        <w:t xml:space="preserve"> </w:t>
      </w:r>
      <w:r w:rsidRPr="00F45D90">
        <w:rPr>
          <w:rFonts w:ascii="Times New Roman" w:eastAsia="Times New Roman" w:hAnsi="Times New Roman"/>
          <w:noProof/>
          <w:lang w:eastAsia="lt-LT"/>
        </w:rPr>
        <w:t>Visų klinikinių tyrimų metu stebint nukrypimus nuo normos iki kliniškai svarbių verčių bet kuriuo metu palyginti su pradine verte. Leukocitų</w:t>
      </w:r>
      <w:r w:rsidRPr="00F45D90">
        <w:rPr>
          <w:rFonts w:ascii="Times New Roman" w:eastAsia="Times New Roman" w:hAnsi="Times New Roman"/>
          <w:lang w:eastAsia="lt-LT"/>
        </w:rPr>
        <w:t xml:space="preserve"> kiekio poslinkis nuo ≤</w:t>
      </w:r>
      <w:r w:rsidR="00E573E9">
        <w:rPr>
          <w:rFonts w:ascii="Times New Roman" w:eastAsia="Times New Roman" w:hAnsi="Times New Roman"/>
          <w:lang w:eastAsia="lt-LT"/>
        </w:rPr>
        <w:t> </w:t>
      </w:r>
      <w:r w:rsidRPr="00F45D90">
        <w:rPr>
          <w:rFonts w:ascii="Times New Roman" w:eastAsia="Times New Roman" w:hAnsi="Times New Roman"/>
          <w:lang w:eastAsia="lt-LT"/>
        </w:rPr>
        <w:t>3,0</w:t>
      </w:r>
      <w:r w:rsidR="00E573E9">
        <w:rPr>
          <w:rFonts w:ascii="Times New Roman" w:eastAsia="Times New Roman" w:hAnsi="Times New Roman"/>
          <w:lang w:eastAsia="lt-LT"/>
        </w:rPr>
        <w:t> </w:t>
      </w:r>
      <w:r w:rsidRPr="00F45D90">
        <w:rPr>
          <w:rFonts w:ascii="Times New Roman" w:eastAsia="Times New Roman" w:hAnsi="Times New Roman"/>
          <w:lang w:eastAsia="lt-LT"/>
        </w:rPr>
        <w:t>x</w:t>
      </w:r>
      <w:r w:rsidR="00E573E9">
        <w:rPr>
          <w:rFonts w:ascii="Times New Roman" w:eastAsia="Times New Roman" w:hAnsi="Times New Roman"/>
          <w:lang w:eastAsia="lt-LT"/>
        </w:rPr>
        <w:t> </w:t>
      </w:r>
      <w:r w:rsidRPr="00F45D90">
        <w:rPr>
          <w:rFonts w:ascii="Times New Roman" w:eastAsia="Times New Roman" w:hAnsi="Times New Roman"/>
          <w:lang w:eastAsia="lt-LT"/>
        </w:rPr>
        <w:t>10</w:t>
      </w:r>
      <w:r w:rsidRPr="00F45D90">
        <w:rPr>
          <w:rFonts w:ascii="Times New Roman" w:eastAsia="Times New Roman" w:hAnsi="Times New Roman"/>
          <w:vertAlign w:val="superscript"/>
          <w:lang w:eastAsia="lt-LT"/>
        </w:rPr>
        <w:t>9</w:t>
      </w:r>
      <w:r w:rsidRPr="00F45D90">
        <w:rPr>
          <w:rFonts w:ascii="Times New Roman" w:eastAsia="Times New Roman" w:hAnsi="Times New Roman"/>
          <w:lang w:eastAsia="lt-LT"/>
        </w:rPr>
        <w:t>/l bet kuriuo gydymo metu</w:t>
      </w:r>
    </w:p>
    <w:p w14:paraId="7AFDAC2E"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29</w:t>
      </w:r>
      <w:r w:rsidRPr="00F45D90">
        <w:rPr>
          <w:rFonts w:ascii="Times New Roman" w:eastAsia="Times New Roman" w:hAnsi="Times New Roman"/>
          <w:lang w:eastAsia="lt-LT"/>
        </w:rPr>
        <w:t xml:space="preserve"> Pagrįsta nepageidaujamo poveikio pranešimais apie metabolinį sindromą visų kvetiapino klinikinių tyrimų metu</w:t>
      </w:r>
    </w:p>
    <w:p w14:paraId="70C36315"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30</w:t>
      </w:r>
      <w:r w:rsidRPr="00F45D90">
        <w:rPr>
          <w:rFonts w:ascii="Times New Roman" w:eastAsia="Times New Roman" w:hAnsi="Times New Roman"/>
          <w:lang w:eastAsia="lt-LT"/>
        </w:rPr>
        <w:t>Kai kuriems pacientams klinikinių tyrimų metu stebėtas daugiau kaip vieno iš metabolinių veiksnių – svorio, gliukozės kiekio ir lipidų vertės pablogėjimas (žr. 4.4 skyrių)</w:t>
      </w:r>
    </w:p>
    <w:p w14:paraId="12BD1EEF"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 xml:space="preserve">31 </w:t>
      </w:r>
      <w:r w:rsidRPr="00F45D90">
        <w:rPr>
          <w:rFonts w:ascii="Times New Roman" w:eastAsia="Times New Roman" w:hAnsi="Times New Roman"/>
          <w:lang w:eastAsia="lt-LT"/>
        </w:rPr>
        <w:t>Žr. 4.6 skyrių</w:t>
      </w:r>
    </w:p>
    <w:p w14:paraId="7C586580"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vertAlign w:val="superscript"/>
          <w:lang w:eastAsia="lt-LT"/>
        </w:rPr>
        <w:t>32</w:t>
      </w:r>
      <w:r w:rsidRPr="00F45D90">
        <w:rPr>
          <w:rFonts w:ascii="Times New Roman" w:eastAsia="Times New Roman" w:hAnsi="Times New Roman"/>
          <w:lang w:eastAsia="lt-LT"/>
        </w:rPr>
        <w:t xml:space="preserve"> Gali prasidėti vaisto vartojimo pradžioje arba greitai po to, kai pradedama jo vartoti ir sietis su hipotenzija ir (arba) apalpimu. Dažnis nustatytas visų kvetiapino klinikinių tyrimų metu nepageidaujamo poveikio pranešimais apie bradikardiją ir jai panašias būkles</w:t>
      </w:r>
    </w:p>
    <w:p w14:paraId="663AE5EB" w14:textId="707A4532" w:rsidR="00CB68E6" w:rsidRDefault="00CB68E6" w:rsidP="00CB68E6">
      <w:pPr>
        <w:spacing w:after="0" w:line="240" w:lineRule="auto"/>
        <w:rPr>
          <w:rFonts w:ascii="Times New Roman" w:hAnsi="Times New Roman"/>
        </w:rPr>
      </w:pPr>
      <w:r w:rsidRPr="00F45D90">
        <w:rPr>
          <w:rFonts w:ascii="Times New Roman" w:hAnsi="Times New Roman"/>
        </w:rPr>
        <w:t>Vartojant neuroleptikų gauta pranešimų apie QT pailgėjimo, skilvelinės aritmijos, staigios neaiškių priežasčių sukeltos mirties, širdies sustojimo ir polimorfinės paroksizminės skilvelinės tachikardijos (</w:t>
      </w:r>
      <w:r w:rsidRPr="00F45D90">
        <w:rPr>
          <w:rFonts w:ascii="Times New Roman" w:hAnsi="Times New Roman"/>
          <w:i/>
        </w:rPr>
        <w:t>torsade de pointes)</w:t>
      </w:r>
      <w:r w:rsidRPr="00F45D90">
        <w:rPr>
          <w:rFonts w:ascii="Times New Roman" w:hAnsi="Times New Roman"/>
        </w:rPr>
        <w:t xml:space="preserve"> atvejus, kurie, kaip manoma, yra antipsichozinių vaistų klasės preparatams būdingas poveikis.</w:t>
      </w:r>
    </w:p>
    <w:p w14:paraId="1DBD7927" w14:textId="58F91CB6" w:rsidR="00CE46B1" w:rsidRPr="00F45D90" w:rsidRDefault="00CE46B1" w:rsidP="00CB68E6">
      <w:pPr>
        <w:spacing w:after="0" w:line="240" w:lineRule="auto"/>
        <w:rPr>
          <w:rFonts w:ascii="Times New Roman" w:hAnsi="Times New Roman"/>
        </w:rPr>
      </w:pPr>
      <w:r w:rsidRPr="00CE46B1">
        <w:rPr>
          <w:rFonts w:ascii="Times New Roman" w:hAnsi="Times New Roman"/>
          <w:vertAlign w:val="superscript"/>
        </w:rPr>
        <w:t>33</w:t>
      </w:r>
      <w:r>
        <w:rPr>
          <w:rFonts w:ascii="Times New Roman" w:hAnsi="Times New Roman"/>
        </w:rPr>
        <w:t>Pagrįstas vienu retrospektyviniu neatsitiktinių imčių epidemiologiniu tyrimu.</w:t>
      </w:r>
    </w:p>
    <w:p w14:paraId="7C93637A" w14:textId="77777777" w:rsidR="00CB68E6" w:rsidRPr="00F45D90" w:rsidRDefault="00CB68E6" w:rsidP="00CB68E6">
      <w:pPr>
        <w:spacing w:after="0" w:line="240" w:lineRule="auto"/>
        <w:rPr>
          <w:rFonts w:ascii="Times New Roman" w:hAnsi="Times New Roman"/>
        </w:rPr>
      </w:pPr>
    </w:p>
    <w:p w14:paraId="3D5C29DE" w14:textId="77777777" w:rsidR="00CB68E6" w:rsidRPr="00F45D90" w:rsidRDefault="00CB68E6" w:rsidP="00CB68E6">
      <w:pPr>
        <w:keepNext/>
        <w:tabs>
          <w:tab w:val="left" w:pos="567"/>
        </w:tabs>
        <w:spacing w:after="60" w:line="360" w:lineRule="auto"/>
        <w:outlineLvl w:val="2"/>
        <w:rPr>
          <w:rFonts w:ascii="Times New Roman" w:eastAsia="Times New Roman" w:hAnsi="Times New Roman"/>
          <w:b/>
          <w:i/>
          <w:kern w:val="28"/>
          <w:lang w:eastAsia="lt-LT"/>
        </w:rPr>
      </w:pPr>
      <w:r w:rsidRPr="00F45D90">
        <w:rPr>
          <w:rFonts w:ascii="Times New Roman" w:eastAsia="Times New Roman" w:hAnsi="Times New Roman"/>
          <w:b/>
          <w:i/>
          <w:kern w:val="28"/>
          <w:lang w:eastAsia="lt-LT"/>
        </w:rPr>
        <w:t>Vaikų populiacija</w:t>
      </w:r>
    </w:p>
    <w:p w14:paraId="13BF0EE1" w14:textId="77777777" w:rsidR="00CB68E6" w:rsidRPr="00F45D90" w:rsidRDefault="00CB68E6" w:rsidP="00CB68E6">
      <w:pPr>
        <w:keepNext/>
        <w:tabs>
          <w:tab w:val="left" w:pos="567"/>
        </w:tabs>
        <w:spacing w:after="60" w:line="240" w:lineRule="auto"/>
        <w:outlineLvl w:val="2"/>
        <w:rPr>
          <w:rFonts w:ascii="Times New Roman" w:eastAsia="Times New Roman" w:hAnsi="Times New Roman"/>
          <w:kern w:val="28"/>
          <w:lang w:eastAsia="lt-LT"/>
        </w:rPr>
      </w:pPr>
      <w:r w:rsidRPr="00F45D90">
        <w:rPr>
          <w:rFonts w:ascii="Times New Roman" w:eastAsia="Times New Roman" w:hAnsi="Times New Roman"/>
          <w:kern w:val="28"/>
          <w:lang w:eastAsia="lt-LT"/>
        </w:rPr>
        <w:t xml:space="preserve">Reikia atsižvelgti į galimus aukščiau išvardytus nepageidaujamo poveikio reiškinius, kurie gali pasitaikyti vaikams ir paaugliams. Žemiau išvardyti nepageidaujamo poveikio reiškiniai vaikams ir paaugliams (10-17 metų) pasitaiko dažniau negu suaugusiesiems arba jų suaugusiųjų grupėje iš viso nebuvo. </w:t>
      </w:r>
    </w:p>
    <w:p w14:paraId="23AA906D" w14:textId="0CB3E708" w:rsidR="00CB68E6" w:rsidRPr="00F45D90" w:rsidRDefault="00CB68E6" w:rsidP="00CB68E6">
      <w:pPr>
        <w:keepNext/>
        <w:tabs>
          <w:tab w:val="left" w:pos="567"/>
        </w:tabs>
        <w:spacing w:after="60" w:line="240" w:lineRule="auto"/>
        <w:outlineLvl w:val="2"/>
        <w:rPr>
          <w:rFonts w:ascii="Times New Roman" w:eastAsia="Times New Roman" w:hAnsi="Times New Roman"/>
          <w:kern w:val="28"/>
          <w:lang w:eastAsia="lt-LT"/>
        </w:rPr>
      </w:pPr>
      <w:r w:rsidRPr="00F45D90">
        <w:rPr>
          <w:rFonts w:ascii="Times New Roman" w:eastAsia="Times New Roman" w:hAnsi="Times New Roman"/>
          <w:kern w:val="28"/>
          <w:lang w:eastAsia="lt-LT"/>
        </w:rPr>
        <w:t>Nepageidaujamo poveikio dažnumas apibūdinamas taip: labai dažni ( &gt;</w:t>
      </w:r>
      <w:r w:rsidR="00E573E9">
        <w:rPr>
          <w:rFonts w:ascii="Times New Roman" w:eastAsia="Times New Roman" w:hAnsi="Times New Roman"/>
          <w:kern w:val="28"/>
          <w:lang w:eastAsia="lt-LT"/>
        </w:rPr>
        <w:t> </w:t>
      </w:r>
      <w:r w:rsidRPr="00F45D90">
        <w:rPr>
          <w:rFonts w:ascii="Times New Roman" w:eastAsia="Times New Roman" w:hAnsi="Times New Roman"/>
          <w:kern w:val="28"/>
          <w:lang w:eastAsia="lt-LT"/>
        </w:rPr>
        <w:t>1/10), dažni (&gt;</w:t>
      </w:r>
      <w:r w:rsidR="00E573E9">
        <w:rPr>
          <w:rFonts w:ascii="Times New Roman" w:eastAsia="Times New Roman" w:hAnsi="Times New Roman"/>
          <w:kern w:val="28"/>
          <w:lang w:eastAsia="lt-LT"/>
        </w:rPr>
        <w:t> </w:t>
      </w:r>
      <w:r w:rsidRPr="00F45D90">
        <w:rPr>
          <w:rFonts w:ascii="Times New Roman" w:eastAsia="Times New Roman" w:hAnsi="Times New Roman"/>
          <w:kern w:val="28"/>
          <w:lang w:eastAsia="lt-LT"/>
        </w:rPr>
        <w:t>1/100 iki &lt;</w:t>
      </w:r>
      <w:r w:rsidR="00E573E9">
        <w:rPr>
          <w:rFonts w:ascii="Times New Roman" w:eastAsia="Times New Roman" w:hAnsi="Times New Roman"/>
          <w:kern w:val="28"/>
          <w:lang w:eastAsia="lt-LT"/>
        </w:rPr>
        <w:t> </w:t>
      </w:r>
      <w:r w:rsidRPr="00F45D90">
        <w:rPr>
          <w:rFonts w:ascii="Times New Roman" w:eastAsia="Times New Roman" w:hAnsi="Times New Roman"/>
          <w:kern w:val="28"/>
          <w:lang w:eastAsia="lt-LT"/>
        </w:rPr>
        <w:t>1/10), nedažni (&gt;</w:t>
      </w:r>
      <w:r w:rsidR="00E573E9">
        <w:rPr>
          <w:rFonts w:ascii="Times New Roman" w:eastAsia="Times New Roman" w:hAnsi="Times New Roman"/>
          <w:kern w:val="28"/>
          <w:lang w:eastAsia="lt-LT"/>
        </w:rPr>
        <w:t> </w:t>
      </w:r>
      <w:r w:rsidRPr="00F45D90">
        <w:rPr>
          <w:rFonts w:ascii="Times New Roman" w:eastAsia="Times New Roman" w:hAnsi="Times New Roman"/>
          <w:kern w:val="28"/>
          <w:lang w:eastAsia="lt-LT"/>
        </w:rPr>
        <w:t>1/1000 iki &lt;</w:t>
      </w:r>
      <w:r w:rsidR="00E573E9">
        <w:rPr>
          <w:rFonts w:ascii="Times New Roman" w:eastAsia="Times New Roman" w:hAnsi="Times New Roman"/>
          <w:kern w:val="28"/>
          <w:lang w:eastAsia="lt-LT"/>
        </w:rPr>
        <w:t> </w:t>
      </w:r>
      <w:r w:rsidRPr="00F45D90">
        <w:rPr>
          <w:rFonts w:ascii="Times New Roman" w:eastAsia="Times New Roman" w:hAnsi="Times New Roman"/>
          <w:kern w:val="28"/>
          <w:lang w:eastAsia="lt-LT"/>
        </w:rPr>
        <w:t>1/100), reti (&gt;</w:t>
      </w:r>
      <w:r w:rsidR="00E573E9">
        <w:rPr>
          <w:rFonts w:ascii="Times New Roman" w:eastAsia="Times New Roman" w:hAnsi="Times New Roman"/>
          <w:kern w:val="28"/>
          <w:lang w:eastAsia="lt-LT"/>
        </w:rPr>
        <w:t> </w:t>
      </w:r>
      <w:r w:rsidRPr="00F45D90">
        <w:rPr>
          <w:rFonts w:ascii="Times New Roman" w:eastAsia="Times New Roman" w:hAnsi="Times New Roman"/>
          <w:kern w:val="28"/>
          <w:lang w:eastAsia="lt-LT"/>
        </w:rPr>
        <w:t>1/10000 iki &lt;</w:t>
      </w:r>
      <w:r w:rsidR="00E573E9">
        <w:rPr>
          <w:rFonts w:ascii="Times New Roman" w:eastAsia="Times New Roman" w:hAnsi="Times New Roman"/>
          <w:kern w:val="28"/>
          <w:lang w:eastAsia="lt-LT"/>
        </w:rPr>
        <w:t> </w:t>
      </w:r>
      <w:r w:rsidRPr="00F45D90">
        <w:rPr>
          <w:rFonts w:ascii="Times New Roman" w:eastAsia="Times New Roman" w:hAnsi="Times New Roman"/>
          <w:kern w:val="28"/>
          <w:lang w:eastAsia="lt-LT"/>
        </w:rPr>
        <w:t>1/1000), labai reti (</w:t>
      </w:r>
      <w:r w:rsidRPr="00F45D90">
        <w:rPr>
          <w:rFonts w:ascii="Times New Roman" w:eastAsia="Times New Roman" w:hAnsi="Times New Roman"/>
          <w:kern w:val="28"/>
          <w:lang w:eastAsia="lt-LT"/>
        </w:rPr>
        <w:sym w:font="Symbol" w:char="F03C"/>
      </w:r>
      <w:r w:rsidR="00E573E9">
        <w:rPr>
          <w:rFonts w:ascii="Times New Roman" w:eastAsia="Times New Roman" w:hAnsi="Times New Roman"/>
          <w:kern w:val="28"/>
          <w:lang w:eastAsia="lt-LT"/>
        </w:rPr>
        <w:t> </w:t>
      </w:r>
      <w:r w:rsidRPr="00F45D90">
        <w:rPr>
          <w:rFonts w:ascii="Times New Roman" w:eastAsia="Times New Roman" w:hAnsi="Times New Roman"/>
          <w:kern w:val="28"/>
          <w:lang w:eastAsia="lt-LT"/>
        </w:rPr>
        <w:t>1/10000).</w:t>
      </w:r>
    </w:p>
    <w:p w14:paraId="61737266" w14:textId="77777777" w:rsidR="00CB68E6" w:rsidRPr="00F45D90" w:rsidRDefault="00CB68E6" w:rsidP="00CB68E6">
      <w:pPr>
        <w:spacing w:after="0" w:line="240" w:lineRule="auto"/>
        <w:rPr>
          <w:rFonts w:ascii="Times New Roman" w:hAnsi="Times New Roman"/>
          <w:color w:val="000000"/>
          <w:u w:val="single"/>
        </w:rPr>
      </w:pPr>
    </w:p>
    <w:p w14:paraId="24F893DD"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color w:val="000000"/>
          <w:u w:val="single"/>
        </w:rPr>
        <w:t>Endokrininiai sutrikimai</w:t>
      </w:r>
    </w:p>
    <w:p w14:paraId="6F4D52D5" w14:textId="77777777" w:rsidR="00CB68E6" w:rsidRPr="00F45D90" w:rsidRDefault="00CB68E6" w:rsidP="00CB68E6">
      <w:pPr>
        <w:spacing w:after="0" w:line="240" w:lineRule="auto"/>
        <w:rPr>
          <w:rFonts w:ascii="Times New Roman" w:hAnsi="Times New Roman"/>
          <w:color w:val="000000"/>
          <w:vertAlign w:val="superscript"/>
        </w:rPr>
      </w:pPr>
      <w:r w:rsidRPr="00F45D90">
        <w:rPr>
          <w:rFonts w:ascii="Times New Roman" w:hAnsi="Times New Roman"/>
          <w:color w:val="000000"/>
        </w:rPr>
        <w:t>Labai dažni: padidėjęs prolaktino kiekis</w:t>
      </w:r>
      <w:r w:rsidRPr="00F45D90">
        <w:rPr>
          <w:rFonts w:ascii="Times New Roman" w:hAnsi="Times New Roman"/>
          <w:color w:val="000000"/>
          <w:vertAlign w:val="superscript"/>
        </w:rPr>
        <w:t>1</w:t>
      </w:r>
    </w:p>
    <w:p w14:paraId="046FB583" w14:textId="77777777" w:rsidR="00CB68E6" w:rsidRPr="00F45D90" w:rsidRDefault="00CB68E6" w:rsidP="00CB68E6">
      <w:pPr>
        <w:spacing w:after="0" w:line="240" w:lineRule="auto"/>
        <w:rPr>
          <w:rFonts w:ascii="Times New Roman" w:hAnsi="Times New Roman"/>
          <w:color w:val="000000"/>
          <w:vertAlign w:val="superscript"/>
        </w:rPr>
      </w:pPr>
    </w:p>
    <w:p w14:paraId="4C930714"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Metabolizmo ir mitybos sutrikimai</w:t>
      </w:r>
    </w:p>
    <w:p w14:paraId="3F8375B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Labai dažni: padidėjęs apetitas</w:t>
      </w:r>
    </w:p>
    <w:p w14:paraId="3147B317" w14:textId="77777777" w:rsidR="00CB68E6" w:rsidRPr="00F45D90" w:rsidRDefault="00CB68E6" w:rsidP="00CB68E6">
      <w:pPr>
        <w:spacing w:after="0" w:line="240" w:lineRule="auto"/>
        <w:rPr>
          <w:rFonts w:ascii="Times New Roman" w:hAnsi="Times New Roman"/>
        </w:rPr>
      </w:pPr>
    </w:p>
    <w:p w14:paraId="26AE4961"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 xml:space="preserve">Nervų sistemos sutrikimai </w:t>
      </w:r>
    </w:p>
    <w:p w14:paraId="0741E7C8" w14:textId="77777777" w:rsidR="00CB68E6" w:rsidRPr="00F45D90" w:rsidRDefault="00CB68E6" w:rsidP="00CB68E6">
      <w:pPr>
        <w:spacing w:after="0" w:line="240" w:lineRule="auto"/>
        <w:rPr>
          <w:rFonts w:ascii="Times New Roman" w:hAnsi="Times New Roman"/>
          <w:vertAlign w:val="superscript"/>
        </w:rPr>
      </w:pPr>
      <w:r w:rsidRPr="00F45D90">
        <w:rPr>
          <w:rFonts w:ascii="Times New Roman" w:hAnsi="Times New Roman"/>
        </w:rPr>
        <w:t>Labai dažni: ekstrapiramidiniai simptomai</w:t>
      </w:r>
      <w:r w:rsidRPr="00F45D90">
        <w:rPr>
          <w:rFonts w:ascii="Times New Roman" w:hAnsi="Times New Roman"/>
          <w:vertAlign w:val="superscript"/>
        </w:rPr>
        <w:t>3, 4</w:t>
      </w:r>
    </w:p>
    <w:p w14:paraId="0665997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Dažni: apalpimas</w:t>
      </w:r>
    </w:p>
    <w:p w14:paraId="02BCE105" w14:textId="77777777" w:rsidR="00CB68E6" w:rsidRPr="00F45D90" w:rsidRDefault="00CB68E6" w:rsidP="00CB68E6">
      <w:pPr>
        <w:spacing w:after="0" w:line="240" w:lineRule="auto"/>
        <w:rPr>
          <w:rFonts w:ascii="Times New Roman" w:hAnsi="Times New Roman"/>
          <w:i/>
          <w:color w:val="000000"/>
        </w:rPr>
      </w:pPr>
    </w:p>
    <w:p w14:paraId="2311232F"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color w:val="000000"/>
          <w:u w:val="single"/>
        </w:rPr>
        <w:t>Kraujagyslių sutrikimai</w:t>
      </w:r>
    </w:p>
    <w:p w14:paraId="637F758D" w14:textId="77777777" w:rsidR="00CB68E6" w:rsidRPr="00F45D90" w:rsidRDefault="00CB68E6" w:rsidP="00CB68E6">
      <w:pPr>
        <w:spacing w:after="0" w:line="240" w:lineRule="auto"/>
        <w:rPr>
          <w:rFonts w:ascii="Times New Roman" w:hAnsi="Times New Roman"/>
          <w:color w:val="000000"/>
          <w:vertAlign w:val="superscript"/>
        </w:rPr>
      </w:pPr>
      <w:r w:rsidRPr="00F45D90">
        <w:rPr>
          <w:rFonts w:ascii="Times New Roman" w:hAnsi="Times New Roman"/>
          <w:color w:val="000000"/>
        </w:rPr>
        <w:t>Labai dažni: padidėjęs kraujospūdis</w:t>
      </w:r>
      <w:r w:rsidRPr="00F45D90">
        <w:rPr>
          <w:rFonts w:ascii="Times New Roman" w:hAnsi="Times New Roman"/>
          <w:color w:val="000000"/>
          <w:vertAlign w:val="superscript"/>
        </w:rPr>
        <w:t>2</w:t>
      </w:r>
    </w:p>
    <w:p w14:paraId="2BCD8AE6" w14:textId="77777777" w:rsidR="00CB68E6" w:rsidRPr="00F45D90" w:rsidRDefault="00CB68E6" w:rsidP="00CB68E6">
      <w:pPr>
        <w:spacing w:after="0" w:line="240" w:lineRule="auto"/>
        <w:rPr>
          <w:rFonts w:ascii="Times New Roman" w:hAnsi="Times New Roman"/>
          <w:i/>
          <w:color w:val="000000"/>
        </w:rPr>
      </w:pPr>
    </w:p>
    <w:p w14:paraId="075669E2" w14:textId="77777777" w:rsidR="00CB68E6" w:rsidRPr="00F45D90" w:rsidRDefault="00CB68E6" w:rsidP="00CB68E6">
      <w:pPr>
        <w:spacing w:after="0" w:line="240" w:lineRule="auto"/>
        <w:rPr>
          <w:rFonts w:ascii="Times New Roman" w:hAnsi="Times New Roman"/>
          <w:color w:val="000000"/>
          <w:u w:val="single"/>
        </w:rPr>
      </w:pPr>
      <w:r w:rsidRPr="00F45D90">
        <w:rPr>
          <w:rFonts w:ascii="Times New Roman" w:hAnsi="Times New Roman"/>
          <w:color w:val="000000"/>
          <w:u w:val="single"/>
        </w:rPr>
        <w:t>Kvėpavimo sistemos, krūtinės ląstos ir tarpuplaučio sutrikimai</w:t>
      </w:r>
    </w:p>
    <w:p w14:paraId="1928ABCA" w14:textId="77777777" w:rsidR="00CB68E6" w:rsidRPr="00F45D90" w:rsidRDefault="00CB68E6" w:rsidP="00CB68E6">
      <w:pPr>
        <w:spacing w:after="0" w:line="240" w:lineRule="auto"/>
        <w:rPr>
          <w:rFonts w:ascii="Times New Roman" w:hAnsi="Times New Roman"/>
          <w:color w:val="000000"/>
        </w:rPr>
      </w:pPr>
      <w:r w:rsidRPr="00F45D90">
        <w:rPr>
          <w:rFonts w:ascii="Times New Roman" w:hAnsi="Times New Roman"/>
          <w:color w:val="000000"/>
        </w:rPr>
        <w:t>Dažni: rinitas</w:t>
      </w:r>
    </w:p>
    <w:p w14:paraId="4853300F" w14:textId="77777777" w:rsidR="00CB68E6" w:rsidRPr="00F45D90" w:rsidRDefault="00CB68E6" w:rsidP="00CB68E6">
      <w:pPr>
        <w:spacing w:after="0" w:line="240" w:lineRule="auto"/>
        <w:rPr>
          <w:rFonts w:ascii="Times New Roman" w:hAnsi="Times New Roman"/>
          <w:i/>
          <w:kern w:val="28"/>
        </w:rPr>
      </w:pPr>
    </w:p>
    <w:p w14:paraId="3A679AD2" w14:textId="77777777" w:rsidR="00CB68E6" w:rsidRPr="00F45D90" w:rsidRDefault="00CB68E6" w:rsidP="00CB68E6">
      <w:pPr>
        <w:spacing w:after="0" w:line="240" w:lineRule="auto"/>
        <w:rPr>
          <w:rFonts w:ascii="Times New Roman" w:hAnsi="Times New Roman"/>
          <w:color w:val="000000"/>
          <w:u w:val="single"/>
          <w:vertAlign w:val="superscript"/>
        </w:rPr>
      </w:pPr>
      <w:r w:rsidRPr="00F45D90">
        <w:rPr>
          <w:rFonts w:ascii="Times New Roman" w:hAnsi="Times New Roman"/>
          <w:kern w:val="28"/>
          <w:u w:val="single"/>
        </w:rPr>
        <w:t>Virškinimo trakto sutrikimai</w:t>
      </w:r>
    </w:p>
    <w:p w14:paraId="33AB4F4B" w14:textId="77777777" w:rsidR="00CB68E6" w:rsidRPr="00F45D90" w:rsidRDefault="00CB68E6" w:rsidP="00CB68E6">
      <w:pPr>
        <w:spacing w:after="0" w:line="240" w:lineRule="auto"/>
        <w:rPr>
          <w:rFonts w:ascii="Times New Roman" w:hAnsi="Times New Roman"/>
          <w:color w:val="000000"/>
        </w:rPr>
      </w:pPr>
      <w:r w:rsidRPr="00F45D90">
        <w:rPr>
          <w:rFonts w:ascii="Times New Roman" w:hAnsi="Times New Roman"/>
          <w:color w:val="000000"/>
        </w:rPr>
        <w:t>Labai dažni: vėmimas</w:t>
      </w:r>
    </w:p>
    <w:p w14:paraId="4E0DC464" w14:textId="77777777" w:rsidR="00CB68E6" w:rsidRPr="00F45D90" w:rsidRDefault="00CB68E6" w:rsidP="00CB68E6">
      <w:pPr>
        <w:spacing w:after="0" w:line="240" w:lineRule="auto"/>
        <w:rPr>
          <w:rFonts w:ascii="Times New Roman" w:hAnsi="Times New Roman"/>
          <w:u w:val="single"/>
        </w:rPr>
      </w:pPr>
    </w:p>
    <w:p w14:paraId="0134097F"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Bendrieji sutrikimai ir vartojimo vietos pažeidimai</w:t>
      </w:r>
    </w:p>
    <w:p w14:paraId="445D0675" w14:textId="77777777" w:rsidR="00CB68E6" w:rsidRPr="00F45D90" w:rsidRDefault="00CB68E6" w:rsidP="00CB68E6">
      <w:pPr>
        <w:spacing w:after="0" w:line="240" w:lineRule="auto"/>
        <w:rPr>
          <w:rFonts w:ascii="Times New Roman" w:hAnsi="Times New Roman"/>
          <w:vertAlign w:val="superscript"/>
        </w:rPr>
      </w:pPr>
      <w:r w:rsidRPr="00F45D90">
        <w:rPr>
          <w:rFonts w:ascii="Times New Roman" w:hAnsi="Times New Roman"/>
        </w:rPr>
        <w:t>Dažni: irzlumas</w:t>
      </w:r>
      <w:r w:rsidRPr="00F45D90">
        <w:rPr>
          <w:rFonts w:ascii="Times New Roman" w:hAnsi="Times New Roman"/>
          <w:vertAlign w:val="superscript"/>
        </w:rPr>
        <w:t>3</w:t>
      </w:r>
    </w:p>
    <w:p w14:paraId="3FCD8E9F" w14:textId="77777777" w:rsidR="00CB68E6" w:rsidRPr="00F45D90" w:rsidRDefault="00CB68E6" w:rsidP="00CB68E6">
      <w:pPr>
        <w:spacing w:after="0" w:line="240" w:lineRule="auto"/>
        <w:rPr>
          <w:rFonts w:ascii="Times New Roman" w:hAnsi="Times New Roman"/>
          <w:vertAlign w:val="superscript"/>
        </w:rPr>
      </w:pPr>
    </w:p>
    <w:p w14:paraId="4BE54014" w14:textId="6CB2DC18" w:rsidR="00CB68E6" w:rsidRPr="00F45D90" w:rsidRDefault="00CB68E6" w:rsidP="00CB68E6">
      <w:pPr>
        <w:spacing w:after="0" w:line="240" w:lineRule="auto"/>
        <w:rPr>
          <w:rFonts w:ascii="Times New Roman" w:hAnsi="Times New Roman"/>
        </w:rPr>
      </w:pPr>
      <w:r w:rsidRPr="00F45D90">
        <w:rPr>
          <w:rFonts w:ascii="Times New Roman" w:hAnsi="Times New Roman"/>
          <w:vertAlign w:val="superscript"/>
        </w:rPr>
        <w:t xml:space="preserve">1 </w:t>
      </w:r>
      <w:r w:rsidRPr="00F45D90">
        <w:rPr>
          <w:rFonts w:ascii="Times New Roman" w:hAnsi="Times New Roman"/>
        </w:rPr>
        <w:t>Prolaktino kiekis (&lt;</w:t>
      </w:r>
      <w:r w:rsidR="00E573E9">
        <w:rPr>
          <w:rFonts w:ascii="Times New Roman" w:hAnsi="Times New Roman"/>
        </w:rPr>
        <w:t> </w:t>
      </w:r>
      <w:r w:rsidRPr="00F45D90">
        <w:rPr>
          <w:rFonts w:ascii="Times New Roman" w:hAnsi="Times New Roman"/>
        </w:rPr>
        <w:t>18 metų pacientams): &gt;20 mkg/l (&gt;</w:t>
      </w:r>
      <w:r w:rsidR="00E573E9">
        <w:rPr>
          <w:rFonts w:ascii="Times New Roman" w:hAnsi="Times New Roman"/>
        </w:rPr>
        <w:t> </w:t>
      </w:r>
      <w:r w:rsidRPr="00F45D90">
        <w:rPr>
          <w:rFonts w:ascii="Times New Roman" w:hAnsi="Times New Roman"/>
        </w:rPr>
        <w:t>869,56</w:t>
      </w:r>
      <w:r w:rsidR="00E573E9">
        <w:rPr>
          <w:rFonts w:ascii="Times New Roman" w:hAnsi="Times New Roman"/>
        </w:rPr>
        <w:t> </w:t>
      </w:r>
      <w:r w:rsidRPr="00F45D90">
        <w:rPr>
          <w:rFonts w:ascii="Times New Roman" w:hAnsi="Times New Roman"/>
        </w:rPr>
        <w:t>pmol/l) vyrams; &gt;</w:t>
      </w:r>
      <w:r w:rsidR="00E573E9">
        <w:rPr>
          <w:rFonts w:ascii="Times New Roman" w:hAnsi="Times New Roman"/>
        </w:rPr>
        <w:t> </w:t>
      </w:r>
      <w:r w:rsidRPr="00F45D90">
        <w:rPr>
          <w:rFonts w:ascii="Times New Roman" w:hAnsi="Times New Roman"/>
        </w:rPr>
        <w:t>26 mkg/l (&gt;</w:t>
      </w:r>
      <w:r w:rsidR="00E573E9">
        <w:rPr>
          <w:rFonts w:ascii="Times New Roman" w:hAnsi="Times New Roman"/>
        </w:rPr>
        <w:t> </w:t>
      </w:r>
      <w:r w:rsidRPr="00F45D90">
        <w:rPr>
          <w:rFonts w:ascii="Times New Roman" w:hAnsi="Times New Roman"/>
        </w:rPr>
        <w:t>1130,428 pmol/l) moterims bet kuriuo tyrimo metu. Mažiau kaip 1</w:t>
      </w:r>
      <w:r w:rsidR="00E573E9">
        <w:rPr>
          <w:rFonts w:ascii="Times New Roman" w:hAnsi="Times New Roman"/>
        </w:rPr>
        <w:t> </w:t>
      </w:r>
      <w:r w:rsidRPr="00F45D90">
        <w:rPr>
          <w:rFonts w:ascii="Times New Roman" w:hAnsi="Times New Roman"/>
        </w:rPr>
        <w:t>% populiacijos prolaktino kiekis padidėjęs &gt;</w:t>
      </w:r>
      <w:r w:rsidR="00E573E9">
        <w:rPr>
          <w:rFonts w:ascii="Times New Roman" w:hAnsi="Times New Roman"/>
        </w:rPr>
        <w:t> </w:t>
      </w:r>
      <w:r w:rsidRPr="00F45D90">
        <w:rPr>
          <w:rFonts w:ascii="Times New Roman" w:hAnsi="Times New Roman"/>
        </w:rPr>
        <w:t>100 mkg/l.</w:t>
      </w:r>
    </w:p>
    <w:p w14:paraId="34D822B2" w14:textId="77777777" w:rsidR="00CB68E6" w:rsidRPr="00F45D90" w:rsidRDefault="00CB68E6" w:rsidP="00CB68E6">
      <w:pPr>
        <w:spacing w:after="0" w:line="240" w:lineRule="auto"/>
        <w:rPr>
          <w:rFonts w:ascii="Times New Roman" w:hAnsi="Times New Roman"/>
        </w:rPr>
      </w:pPr>
    </w:p>
    <w:p w14:paraId="62B7E1ED" w14:textId="276D979D" w:rsidR="00CB68E6" w:rsidRPr="00F45D90" w:rsidRDefault="00CB68E6" w:rsidP="00CB68E6">
      <w:pPr>
        <w:spacing w:after="0" w:line="240" w:lineRule="auto"/>
        <w:rPr>
          <w:rFonts w:ascii="Times New Roman" w:hAnsi="Times New Roman"/>
        </w:rPr>
      </w:pPr>
      <w:r w:rsidRPr="00F45D90">
        <w:rPr>
          <w:rFonts w:ascii="Times New Roman" w:hAnsi="Times New Roman"/>
          <w:vertAlign w:val="superscript"/>
        </w:rPr>
        <w:t>2</w:t>
      </w:r>
      <w:r w:rsidRPr="00F45D90">
        <w:rPr>
          <w:rFonts w:ascii="Times New Roman" w:hAnsi="Times New Roman"/>
        </w:rPr>
        <w:t xml:space="preserve"> Remiantis dviem ūminiais placebu kontroliuojamais klinikiniais vaikų ir paauglių (3-6 savaičių) tyrimais nustatytu poslinkiu aukščiau klinikiniu požiūriu reikšmingo slenksčio (adaptuota pagal Nacionalinio sveikatos instituto (ang. </w:t>
      </w:r>
      <w:r w:rsidRPr="00F45D90">
        <w:rPr>
          <w:rFonts w:ascii="Times New Roman" w:hAnsi="Times New Roman"/>
          <w:i/>
        </w:rPr>
        <w:t>National Institute of Health</w:t>
      </w:r>
      <w:r w:rsidRPr="00F45D90">
        <w:rPr>
          <w:rFonts w:ascii="Times New Roman" w:hAnsi="Times New Roman"/>
        </w:rPr>
        <w:t>) kriterijus) arba sistolinio kraujospūdžio padidėjimu &gt;</w:t>
      </w:r>
      <w:r w:rsidR="00E573E9">
        <w:rPr>
          <w:rFonts w:ascii="Times New Roman" w:hAnsi="Times New Roman"/>
        </w:rPr>
        <w:t> </w:t>
      </w:r>
      <w:r w:rsidRPr="00F45D90">
        <w:rPr>
          <w:rFonts w:ascii="Times New Roman" w:hAnsi="Times New Roman"/>
        </w:rPr>
        <w:t>20 mm Hg arba distolinio kraujospūdžio padidėjimu &gt;10 mm Hg bet kuriuo metu.</w:t>
      </w:r>
    </w:p>
    <w:p w14:paraId="43632414" w14:textId="77777777" w:rsidR="00CB68E6" w:rsidRPr="00F45D90" w:rsidRDefault="00CB68E6" w:rsidP="00CB68E6">
      <w:pPr>
        <w:keepNext/>
        <w:tabs>
          <w:tab w:val="left" w:pos="567"/>
        </w:tabs>
        <w:spacing w:after="60" w:line="240" w:lineRule="auto"/>
        <w:outlineLvl w:val="2"/>
        <w:rPr>
          <w:rFonts w:ascii="Times New Roman" w:eastAsia="Times New Roman" w:hAnsi="Times New Roman"/>
          <w:kern w:val="28"/>
          <w:lang w:eastAsia="lt-LT"/>
        </w:rPr>
      </w:pPr>
    </w:p>
    <w:p w14:paraId="4D6BEB15" w14:textId="77777777" w:rsidR="00CB68E6" w:rsidRPr="00F45D90" w:rsidRDefault="00CB68E6" w:rsidP="00CB68E6">
      <w:pPr>
        <w:keepNext/>
        <w:tabs>
          <w:tab w:val="left" w:pos="567"/>
        </w:tabs>
        <w:spacing w:after="0" w:line="240" w:lineRule="auto"/>
        <w:outlineLvl w:val="2"/>
        <w:rPr>
          <w:rFonts w:ascii="Times New Roman" w:eastAsia="Times New Roman" w:hAnsi="Times New Roman"/>
          <w:kern w:val="28"/>
          <w:lang w:eastAsia="lt-LT"/>
        </w:rPr>
      </w:pPr>
      <w:r w:rsidRPr="00F45D90">
        <w:rPr>
          <w:rFonts w:ascii="Times New Roman" w:eastAsia="Times New Roman" w:hAnsi="Times New Roman"/>
          <w:kern w:val="28"/>
          <w:vertAlign w:val="superscript"/>
          <w:lang w:eastAsia="lt-LT"/>
        </w:rPr>
        <w:t xml:space="preserve">3 </w:t>
      </w:r>
      <w:r w:rsidRPr="00F45D90">
        <w:rPr>
          <w:rFonts w:ascii="Times New Roman" w:eastAsia="Times New Roman" w:hAnsi="Times New Roman"/>
          <w:kern w:val="28"/>
          <w:lang w:eastAsia="lt-LT"/>
        </w:rPr>
        <w:t xml:space="preserve">Pastaba: dažnis atitinka suaugusiųjų dažnį, bet vaikų ir paauglių irzlumas gali būti susijęs su  skirtinga klinikine reikšme palyginti su suaugusiaisiais. </w:t>
      </w:r>
    </w:p>
    <w:p w14:paraId="402659F9" w14:textId="77777777" w:rsidR="00CB68E6" w:rsidRPr="00F45D90" w:rsidRDefault="00CB68E6" w:rsidP="00CB68E6">
      <w:pPr>
        <w:keepNext/>
        <w:tabs>
          <w:tab w:val="left" w:pos="567"/>
        </w:tabs>
        <w:spacing w:after="60" w:line="240" w:lineRule="auto"/>
        <w:outlineLvl w:val="2"/>
        <w:rPr>
          <w:rFonts w:ascii="Times New Roman" w:eastAsia="Times New Roman" w:hAnsi="Times New Roman"/>
          <w:kern w:val="28"/>
          <w:lang w:eastAsia="lt-LT"/>
        </w:rPr>
      </w:pPr>
    </w:p>
    <w:p w14:paraId="1A567B07" w14:textId="77777777" w:rsidR="00CB68E6" w:rsidRPr="00F45D90" w:rsidRDefault="00CB68E6" w:rsidP="00CB68E6">
      <w:pPr>
        <w:tabs>
          <w:tab w:val="left" w:pos="567"/>
        </w:tabs>
        <w:autoSpaceDE w:val="0"/>
        <w:autoSpaceDN w:val="0"/>
        <w:adjustRightInd w:val="0"/>
        <w:spacing w:after="0" w:line="240" w:lineRule="auto"/>
        <w:jc w:val="both"/>
        <w:rPr>
          <w:rFonts w:ascii="Times New Roman" w:eastAsia="Times New Roman" w:hAnsi="Times New Roman"/>
          <w:snapToGrid w:val="0"/>
          <w:u w:val="single"/>
        </w:rPr>
      </w:pPr>
      <w:r w:rsidRPr="00F45D90">
        <w:rPr>
          <w:rFonts w:ascii="Times New Roman" w:eastAsia="Times New Roman" w:hAnsi="Times New Roman"/>
          <w:noProof/>
          <w:snapToGrid w:val="0"/>
          <w:u w:val="single"/>
        </w:rPr>
        <w:t>Pranešimas apie įtariamas nepageidaujamas reakcijas</w:t>
      </w:r>
    </w:p>
    <w:p w14:paraId="47C007C7" w14:textId="7EFAA0D9" w:rsidR="00CB68E6" w:rsidRPr="00D27530" w:rsidRDefault="00742B36" w:rsidP="00CB68E6">
      <w:pPr>
        <w:pStyle w:val="BTEMEASMCA"/>
        <w:rPr>
          <w:rFonts w:cs="Times New Roman"/>
          <w:lang w:val="lt-LT"/>
        </w:rPr>
      </w:pPr>
      <w:r w:rsidRPr="00D27530">
        <w:rPr>
          <w:lang w:val="pt-P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D27530">
        <w:rPr>
          <w:color w:val="0000EE"/>
          <w:u w:val="single"/>
          <w:lang w:val="pt-PT" w:eastAsia="lt-LT"/>
        </w:rPr>
        <w:t>https://vvkt.lrv.lt/lt/</w:t>
      </w:r>
      <w:r w:rsidRPr="00D27530">
        <w:rPr>
          <w:lang w:val="pt-PT" w:eastAsia="lt-LT"/>
        </w:rPr>
        <w:t xml:space="preserve"> nurodytais būdais</w:t>
      </w:r>
      <w:r w:rsidR="006129D6" w:rsidRPr="00D27530">
        <w:rPr>
          <w:rFonts w:cs="Times New Roman"/>
          <w:lang w:val="lt-LT"/>
        </w:rPr>
        <w:t xml:space="preserve">. </w:t>
      </w:r>
    </w:p>
    <w:p w14:paraId="3719EB76" w14:textId="77777777" w:rsidR="00D26928" w:rsidRPr="00BE281A" w:rsidRDefault="00D26928" w:rsidP="00CB68E6">
      <w:pPr>
        <w:pStyle w:val="BTEMEASMCA"/>
        <w:rPr>
          <w:lang w:val="lt-LT"/>
        </w:rPr>
      </w:pPr>
    </w:p>
    <w:p w14:paraId="2CF73C88"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29" w:name="_Toc129243110"/>
      <w:bookmarkStart w:id="30" w:name="_Toc129243235"/>
      <w:r w:rsidRPr="00F45D90">
        <w:rPr>
          <w:rFonts w:ascii="Times New Roman" w:eastAsia="Times New Roman" w:hAnsi="Times New Roman"/>
          <w:b/>
          <w:kern w:val="28"/>
          <w:lang w:eastAsia="lt-LT"/>
        </w:rPr>
        <w:t>4.9</w:t>
      </w:r>
      <w:r w:rsidRPr="00F45D90">
        <w:rPr>
          <w:rFonts w:ascii="Times New Roman" w:eastAsia="Times New Roman" w:hAnsi="Times New Roman"/>
          <w:b/>
          <w:kern w:val="28"/>
          <w:lang w:eastAsia="lt-LT"/>
        </w:rPr>
        <w:tab/>
        <w:t>Perdozavimas</w:t>
      </w:r>
      <w:bookmarkEnd w:id="29"/>
      <w:bookmarkEnd w:id="30"/>
    </w:p>
    <w:p w14:paraId="23D9F2B8" w14:textId="77777777" w:rsidR="00CB68E6" w:rsidRPr="00F45D90" w:rsidRDefault="00CB68E6" w:rsidP="00CB68E6">
      <w:pPr>
        <w:spacing w:before="120" w:after="0" w:line="240" w:lineRule="auto"/>
        <w:rPr>
          <w:rFonts w:ascii="Times New Roman" w:hAnsi="Times New Roman"/>
        </w:rPr>
      </w:pPr>
      <w:r w:rsidRPr="00F45D90">
        <w:rPr>
          <w:rFonts w:ascii="Times New Roman" w:hAnsi="Times New Roman"/>
        </w:rPr>
        <w:t>Simptomai</w:t>
      </w:r>
    </w:p>
    <w:p w14:paraId="7B4130FE" w14:textId="77777777" w:rsidR="00CB68E6" w:rsidRPr="00F45D90" w:rsidRDefault="00CB68E6" w:rsidP="00CB68E6">
      <w:pPr>
        <w:spacing w:before="120" w:after="0" w:line="240" w:lineRule="auto"/>
        <w:rPr>
          <w:rFonts w:ascii="Times New Roman" w:hAnsi="Times New Roman"/>
        </w:rPr>
      </w:pPr>
      <w:r w:rsidRPr="00F45D90">
        <w:rPr>
          <w:rFonts w:ascii="Times New Roman" w:hAnsi="Times New Roman"/>
        </w:rPr>
        <w:t>Dauguma pastebėtų apsinuodijimo simptomų ir požymių, pvz.: mieguistumas, slopinimas, tachikardija, hipotenzija ir anticholinerginis poveikis buvo sustiprėjusio veikliosios medžiagos farmakologinio poveikio pasekmės.</w:t>
      </w:r>
    </w:p>
    <w:p w14:paraId="0F016A4D" w14:textId="77777777" w:rsidR="00CB68E6" w:rsidRPr="00F45D90" w:rsidRDefault="00CB68E6" w:rsidP="00CB68E6">
      <w:pPr>
        <w:spacing w:after="0" w:line="240" w:lineRule="auto"/>
        <w:rPr>
          <w:rFonts w:ascii="Times New Roman" w:hAnsi="Times New Roman"/>
        </w:rPr>
      </w:pPr>
    </w:p>
    <w:p w14:paraId="4457C05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Perdozavimas gali sukelti: QT intervalo pailgėjimą, traukulius, epilepsijos būklę (</w:t>
      </w:r>
      <w:r w:rsidRPr="00F45D90">
        <w:rPr>
          <w:rFonts w:ascii="Times New Roman" w:hAnsi="Times New Roman"/>
          <w:i/>
        </w:rPr>
        <w:t>status epilepticus</w:t>
      </w:r>
      <w:r w:rsidRPr="00F45D90">
        <w:rPr>
          <w:rFonts w:ascii="Times New Roman" w:hAnsi="Times New Roman"/>
        </w:rPr>
        <w:t>), rabdomiolizę, kvėpavimo sutrikimą, šlapimo susilaikymą, sumišimą, delyrą ir (arba) susijaudinimą, komą ir mirtį.</w:t>
      </w:r>
    </w:p>
    <w:p w14:paraId="757AEEE5" w14:textId="77777777" w:rsidR="00CB68E6" w:rsidRPr="00F45D90" w:rsidRDefault="00CB68E6" w:rsidP="00CB68E6">
      <w:pPr>
        <w:spacing w:after="0" w:line="240" w:lineRule="auto"/>
        <w:rPr>
          <w:rFonts w:ascii="Times New Roman" w:hAnsi="Times New Roman"/>
        </w:rPr>
      </w:pPr>
    </w:p>
    <w:p w14:paraId="082BBBD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Pacientams, kurie prieš pradedant gydyti kvetiapinu serga sunkia širdies ir kraujagyslių sistemos liga, perdozavimo poveikio rizika gali būti didesnė (žr. 4.4 skyrių).</w:t>
      </w:r>
    </w:p>
    <w:p w14:paraId="10D2935C" w14:textId="77777777" w:rsidR="00CB68E6" w:rsidRPr="00F45D90" w:rsidRDefault="00CB68E6" w:rsidP="00CB68E6">
      <w:pPr>
        <w:spacing w:after="0" w:line="240" w:lineRule="auto"/>
        <w:rPr>
          <w:rFonts w:ascii="Times New Roman" w:hAnsi="Times New Roman"/>
        </w:rPr>
      </w:pPr>
    </w:p>
    <w:p w14:paraId="796BD8E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Perdozavimo gydymas</w:t>
      </w:r>
    </w:p>
    <w:p w14:paraId="396C333D" w14:textId="77777777" w:rsidR="00CB68E6" w:rsidRPr="00F45D90" w:rsidRDefault="00CB68E6" w:rsidP="00CB68E6">
      <w:pPr>
        <w:spacing w:after="0" w:line="240" w:lineRule="auto"/>
        <w:rPr>
          <w:rFonts w:ascii="Times New Roman" w:eastAsia="Times New Roman" w:hAnsi="Times New Roman"/>
          <w:lang w:eastAsia="lt-LT"/>
        </w:rPr>
      </w:pPr>
    </w:p>
    <w:p w14:paraId="06F67C9C"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lang w:eastAsia="lt-LT"/>
        </w:rPr>
        <w:t xml:space="preserve">Specifinio priešnuodžio nėra. Sunkaus apsinuodijimo atveju reikia pagalvoti apie kelių vaistinių preparatų suvartojimo galimybę ir yra rekomenduojama taikyti intensyvias slaugos priemones, įskaitant kvėpavimo takų praeinamumo atstatymą ir palaikymą, pakankamo aprūpinimo deguonimi užtikrinimą ir plaučių ventiliaciją, bei širdies ir kraujagyslių sistemos funkcijos stebėjimą ir palaikymą. </w:t>
      </w:r>
    </w:p>
    <w:p w14:paraId="39173128" w14:textId="77777777" w:rsidR="00CB68E6" w:rsidRPr="00F45D90" w:rsidRDefault="00CB68E6" w:rsidP="00CB68E6">
      <w:pPr>
        <w:spacing w:after="0" w:line="240" w:lineRule="auto"/>
        <w:rPr>
          <w:rFonts w:ascii="Times New Roman" w:eastAsia="Times New Roman" w:hAnsi="Times New Roman"/>
        </w:rPr>
      </w:pPr>
      <w:r w:rsidRPr="00F45D90">
        <w:rPr>
          <w:rFonts w:ascii="Times New Roman" w:eastAsia="Times New Roman" w:hAnsi="Times New Roman"/>
        </w:rPr>
        <w:t>Publikuotų pranešimų duomenimis, sunkūs CNS sutrikimai su delyru ir sujaudinimu, aiškus anticholinerginis sindromas praeidavo suleidus 1</w:t>
      </w:r>
      <w:r w:rsidRPr="00F45D90">
        <w:rPr>
          <w:rFonts w:ascii="Times New Roman" w:eastAsia="Times New Roman" w:hAnsi="Times New Roman"/>
        </w:rPr>
        <w:noBreakHyphen/>
        <w:t>2 mg fizostigmino į veną (nuolat registruojant EKG). Tai nėra rekomenduojamas standartinis gydymas, nes galimas neigiamas fizostigmino poveikis širdies laidžiajai sistemai. Fizostigmino galima vartoti kai nėra EKG pokyčių. Esant sutrikusiam ritmui, bet kokiam širdies laidumo blokui arba QRS intervalo pailgėjimui.</w:t>
      </w:r>
    </w:p>
    <w:p w14:paraId="49C5A61F" w14:textId="77777777" w:rsidR="00CB68E6" w:rsidRPr="00F45D90" w:rsidRDefault="00CB68E6" w:rsidP="00CB68E6">
      <w:pPr>
        <w:spacing w:after="0" w:line="240" w:lineRule="auto"/>
        <w:rPr>
          <w:rFonts w:ascii="Times New Roman" w:eastAsia="Times New Roman" w:hAnsi="Times New Roman"/>
        </w:rPr>
      </w:pPr>
    </w:p>
    <w:p w14:paraId="3E82BDE4"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lang w:eastAsia="lt-LT"/>
        </w:rPr>
        <w:t>Nors apsauga nuo absorbcijos perdozavimo atveju netirta, esant sunkiam apsinuodijimui reikia pagalvoti apie skrandžio išplovimą, jeigu praėjo ne daugiau kaip viena valanda po vaisto išgėrimo. Reikia spręsti dėl aktyvintos anglies  vartojimo.</w:t>
      </w:r>
    </w:p>
    <w:p w14:paraId="38BBAA5F" w14:textId="77777777" w:rsidR="00CB68E6" w:rsidRPr="00F45D90" w:rsidRDefault="00CB68E6" w:rsidP="00CB68E6">
      <w:pPr>
        <w:spacing w:after="0" w:line="240" w:lineRule="auto"/>
        <w:rPr>
          <w:rFonts w:ascii="Times New Roman" w:eastAsia="Times New Roman" w:hAnsi="Times New Roman"/>
          <w:lang w:eastAsia="lt-LT"/>
        </w:rPr>
      </w:pPr>
    </w:p>
    <w:p w14:paraId="1283D07D" w14:textId="77777777" w:rsidR="00CB68E6" w:rsidRPr="00F45D90" w:rsidRDefault="00CB68E6" w:rsidP="00CB68E6">
      <w:pPr>
        <w:spacing w:after="0" w:line="240" w:lineRule="auto"/>
        <w:contextualSpacing/>
        <w:rPr>
          <w:rFonts w:ascii="Times New Roman" w:eastAsia="Times New Roman" w:hAnsi="Times New Roman"/>
          <w:lang w:eastAsia="lt-LT"/>
        </w:rPr>
      </w:pPr>
      <w:r w:rsidRPr="00F45D90">
        <w:rPr>
          <w:rFonts w:ascii="Times New Roman" w:eastAsia="Times New Roman" w:hAnsi="Times New Roman"/>
          <w:lang w:eastAsia="lt-LT"/>
        </w:rPr>
        <w:t xml:space="preserve">Perdozavus kvetiapino užsitęsusią hipotenziją reikia gydyti tokiomis tinkamomis priemonėmis kaip skysčių infuzija į veną ir (arba) simpatomimetiniais vaistais, bet reikia vengti vartoti adrenaliną ir dopaminą, nes </w:t>
      </w:r>
      <w:r w:rsidRPr="00F45D90">
        <w:rPr>
          <w:rFonts w:ascii="Times New Roman" w:eastAsia="Times New Roman" w:hAnsi="Times New Roman"/>
        </w:rPr>
        <w:t xml:space="preserve">kvetiapinui užblokavus alfa receptorius gali pasunkėti hipotenzija dėl beta receptorių stimuliavimo. </w:t>
      </w:r>
    </w:p>
    <w:p w14:paraId="65E1F3F2" w14:textId="77777777" w:rsidR="00CB68E6" w:rsidRPr="00F45D90" w:rsidRDefault="00CB68E6" w:rsidP="00CB68E6">
      <w:pPr>
        <w:spacing w:after="0" w:line="240" w:lineRule="auto"/>
        <w:contextualSpacing/>
        <w:rPr>
          <w:rFonts w:ascii="Times New Roman" w:eastAsia="Times New Roman" w:hAnsi="Times New Roman"/>
          <w:lang w:eastAsia="lt-LT"/>
        </w:rPr>
      </w:pPr>
      <w:r w:rsidRPr="00F45D90">
        <w:rPr>
          <w:rFonts w:ascii="Times New Roman" w:eastAsia="Times New Roman" w:hAnsi="Times New Roman"/>
          <w:lang w:eastAsia="lt-LT"/>
        </w:rPr>
        <w:t>Atidžią medicininę priežiūrą bei būklės stebėjimą reikia tęsti tol, kol pacientas pasveiks.</w:t>
      </w:r>
    </w:p>
    <w:p w14:paraId="28586F05" w14:textId="77777777" w:rsidR="00CB68E6" w:rsidRPr="00F45D90" w:rsidRDefault="00CB68E6" w:rsidP="00CB68E6">
      <w:pPr>
        <w:spacing w:after="0" w:line="240" w:lineRule="auto"/>
        <w:rPr>
          <w:rFonts w:ascii="Times New Roman" w:eastAsia="Times New Roman" w:hAnsi="Times New Roman"/>
          <w:lang w:eastAsia="lt-LT"/>
        </w:rPr>
      </w:pPr>
    </w:p>
    <w:p w14:paraId="63A7E011" w14:textId="77777777" w:rsidR="00CB68E6" w:rsidRPr="00F45D90" w:rsidRDefault="00CB68E6" w:rsidP="00CB68E6">
      <w:pPr>
        <w:spacing w:after="0" w:line="240" w:lineRule="auto"/>
        <w:rPr>
          <w:rFonts w:ascii="Times New Roman" w:hAnsi="Times New Roman"/>
        </w:rPr>
      </w:pPr>
    </w:p>
    <w:p w14:paraId="3A4BD06E"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31" w:name="_Toc129243111"/>
      <w:bookmarkStart w:id="32" w:name="_Toc129243236"/>
      <w:r w:rsidRPr="00F45D90">
        <w:rPr>
          <w:rFonts w:ascii="Times New Roman" w:eastAsia="Times New Roman" w:hAnsi="Times New Roman"/>
          <w:b/>
          <w:iCs/>
          <w:lang w:eastAsia="lt-LT" w:bidi="ar-BH"/>
        </w:rPr>
        <w:t>5.</w:t>
      </w:r>
      <w:r w:rsidRPr="00F45D90">
        <w:rPr>
          <w:rFonts w:ascii="Times New Roman" w:eastAsia="Times New Roman" w:hAnsi="Times New Roman"/>
          <w:b/>
          <w:iCs/>
          <w:lang w:eastAsia="lt-LT" w:bidi="ar-BH"/>
        </w:rPr>
        <w:tab/>
        <w:t>FARMAKOLOGINĖS SAVYBĖS</w:t>
      </w:r>
      <w:bookmarkEnd w:id="31"/>
      <w:bookmarkEnd w:id="32"/>
    </w:p>
    <w:p w14:paraId="0987E727" w14:textId="77777777" w:rsidR="00CB68E6" w:rsidRPr="00F45D90" w:rsidRDefault="00CB68E6" w:rsidP="00CB68E6">
      <w:pPr>
        <w:spacing w:after="0" w:line="240" w:lineRule="auto"/>
        <w:rPr>
          <w:rFonts w:ascii="Times New Roman" w:hAnsi="Times New Roman"/>
          <w:b/>
        </w:rPr>
      </w:pPr>
    </w:p>
    <w:p w14:paraId="3DBB78D1"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33" w:name="_Toc129243112"/>
      <w:bookmarkStart w:id="34" w:name="_Toc129243237"/>
      <w:r w:rsidRPr="00F45D90">
        <w:rPr>
          <w:rFonts w:ascii="Times New Roman" w:eastAsia="Times New Roman" w:hAnsi="Times New Roman"/>
          <w:b/>
          <w:kern w:val="28"/>
          <w:lang w:eastAsia="lt-LT"/>
        </w:rPr>
        <w:t>5.1</w:t>
      </w:r>
      <w:r w:rsidRPr="00F45D90">
        <w:rPr>
          <w:rFonts w:ascii="Times New Roman" w:eastAsia="Times New Roman" w:hAnsi="Times New Roman"/>
          <w:b/>
          <w:kern w:val="28"/>
          <w:lang w:eastAsia="lt-LT"/>
        </w:rPr>
        <w:tab/>
        <w:t>Farmakodinaminės savybės</w:t>
      </w:r>
      <w:bookmarkEnd w:id="33"/>
      <w:bookmarkEnd w:id="34"/>
    </w:p>
    <w:p w14:paraId="5C16C5DD" w14:textId="77777777" w:rsidR="00CB68E6" w:rsidRPr="00F45D90" w:rsidRDefault="00CB68E6" w:rsidP="00CB68E6">
      <w:pPr>
        <w:spacing w:after="0" w:line="240" w:lineRule="auto"/>
        <w:rPr>
          <w:rFonts w:ascii="Times New Roman" w:hAnsi="Times New Roman"/>
        </w:rPr>
      </w:pPr>
    </w:p>
    <w:p w14:paraId="70B1844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Farmakoterapinė grupė – vaistai nuo psichozės, diazepinai, oksazepinai ir </w:t>
      </w:r>
      <w:r w:rsidRPr="00F45D90">
        <w:rPr>
          <w:rFonts w:ascii="Times New Roman" w:hAnsi="Times New Roman"/>
          <w:strike/>
        </w:rPr>
        <w:t>ir</w:t>
      </w:r>
      <w:r w:rsidRPr="00F45D90">
        <w:rPr>
          <w:rFonts w:ascii="Times New Roman" w:hAnsi="Times New Roman"/>
        </w:rPr>
        <w:t xml:space="preserve"> tiazepinai. ATC kodas – N05AH04.</w:t>
      </w:r>
    </w:p>
    <w:p w14:paraId="652B8AB3" w14:textId="77777777" w:rsidR="00CB68E6" w:rsidRPr="00F45D90" w:rsidRDefault="00CB68E6" w:rsidP="00CB68E6">
      <w:pPr>
        <w:spacing w:after="0" w:line="240" w:lineRule="auto"/>
        <w:rPr>
          <w:rFonts w:ascii="Times New Roman" w:hAnsi="Times New Roman"/>
          <w:u w:val="single"/>
        </w:rPr>
      </w:pPr>
    </w:p>
    <w:p w14:paraId="5274F42E" w14:textId="77777777" w:rsidR="00CB68E6" w:rsidRPr="00F45D90" w:rsidRDefault="00CB68E6" w:rsidP="00CB68E6">
      <w:pPr>
        <w:spacing w:after="0" w:line="240" w:lineRule="auto"/>
        <w:rPr>
          <w:rFonts w:ascii="Times New Roman" w:hAnsi="Times New Roman"/>
          <w:b/>
          <w:i/>
        </w:rPr>
      </w:pPr>
      <w:r w:rsidRPr="00F45D90">
        <w:rPr>
          <w:rFonts w:ascii="Times New Roman" w:hAnsi="Times New Roman"/>
          <w:b/>
          <w:i/>
        </w:rPr>
        <w:t>Veikimo mechanizmas</w:t>
      </w:r>
    </w:p>
    <w:p w14:paraId="6BC86BE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Kvetiapinas yra atipinis antipsichozinis vaistas. </w:t>
      </w:r>
    </w:p>
    <w:p w14:paraId="02E0DCBC" w14:textId="77777777" w:rsidR="00CB68E6" w:rsidRPr="00F45D90" w:rsidRDefault="00CB68E6" w:rsidP="00CB68E6">
      <w:pPr>
        <w:spacing w:after="0" w:line="240" w:lineRule="auto"/>
        <w:rPr>
          <w:rFonts w:ascii="Times New Roman" w:hAnsi="Times New Roman"/>
          <w:noProof/>
        </w:rPr>
      </w:pPr>
      <w:r w:rsidRPr="00F45D90">
        <w:rPr>
          <w:rFonts w:ascii="Times New Roman" w:hAnsi="Times New Roman"/>
        </w:rPr>
        <w:t>Kvetiapinas ir jo veiklus metabolitas,  norkvetiapinas, sąveikauja su daugelio neuromediatorių receptoriais. Kvetiapinui ir norkvetiapinui yra būdingas afinitetas smegenų serotonino (5-HT</w:t>
      </w:r>
      <w:r w:rsidRPr="00F45D90">
        <w:rPr>
          <w:rFonts w:ascii="Times New Roman" w:hAnsi="Times New Roman"/>
          <w:vertAlign w:val="subscript"/>
        </w:rPr>
        <w:t>2</w:t>
      </w:r>
      <w:r w:rsidRPr="00F45D90">
        <w:rPr>
          <w:rFonts w:ascii="Times New Roman" w:hAnsi="Times New Roman"/>
        </w:rPr>
        <w:t>) bei dopamino D</w:t>
      </w:r>
      <w:r w:rsidRPr="00F45D90">
        <w:rPr>
          <w:rFonts w:ascii="Times New Roman" w:hAnsi="Times New Roman"/>
          <w:vertAlign w:val="subscript"/>
        </w:rPr>
        <w:t>1</w:t>
      </w:r>
      <w:r w:rsidRPr="00F45D90">
        <w:rPr>
          <w:rFonts w:ascii="Times New Roman" w:hAnsi="Times New Roman"/>
        </w:rPr>
        <w:t xml:space="preserve"> ir D</w:t>
      </w:r>
      <w:r w:rsidRPr="00F45D90">
        <w:rPr>
          <w:rFonts w:ascii="Times New Roman" w:hAnsi="Times New Roman"/>
          <w:vertAlign w:val="subscript"/>
        </w:rPr>
        <w:t>2</w:t>
      </w:r>
      <w:r w:rsidRPr="00F45D90">
        <w:rPr>
          <w:rFonts w:ascii="Times New Roman" w:hAnsi="Times New Roman"/>
        </w:rPr>
        <w:t xml:space="preserve"> receptoriams. Manoma, kad šis antagonizmo receptoriams derinys, kurio selektyvumas serotonino 5HT</w:t>
      </w:r>
      <w:r w:rsidRPr="00F45D90">
        <w:rPr>
          <w:rFonts w:ascii="Times New Roman" w:hAnsi="Times New Roman"/>
          <w:vertAlign w:val="subscript"/>
        </w:rPr>
        <w:t>2</w:t>
      </w:r>
      <w:r w:rsidRPr="00F45D90">
        <w:rPr>
          <w:rFonts w:ascii="Times New Roman" w:hAnsi="Times New Roman"/>
        </w:rPr>
        <w:t xml:space="preserve"> didesnis, nei dopamino D</w:t>
      </w:r>
      <w:r w:rsidRPr="00F45D90">
        <w:rPr>
          <w:rFonts w:ascii="Times New Roman" w:hAnsi="Times New Roman"/>
          <w:vertAlign w:val="subscript"/>
        </w:rPr>
        <w:t>2</w:t>
      </w:r>
      <w:r w:rsidRPr="00F45D90">
        <w:rPr>
          <w:rFonts w:ascii="Times New Roman" w:hAnsi="Times New Roman"/>
        </w:rPr>
        <w:t xml:space="preserve"> receptoriams, lemia antipsichozines kvetiapino savybes bei silpnesnį šalutinį poveikį ekstrapiramidinei sistemai</w:t>
      </w:r>
      <w:r w:rsidRPr="00F45D90">
        <w:rPr>
          <w:rFonts w:ascii="Times New Roman" w:hAnsi="Times New Roman"/>
          <w:noProof/>
        </w:rPr>
        <w:t xml:space="preserve"> lyginant su </w:t>
      </w:r>
      <w:r w:rsidRPr="00F45D90">
        <w:rPr>
          <w:rFonts w:ascii="Times New Roman" w:hAnsi="Times New Roman"/>
        </w:rPr>
        <w:t>tipiniais</w:t>
      </w:r>
      <w:r w:rsidRPr="00F45D90">
        <w:rPr>
          <w:rFonts w:ascii="Times New Roman" w:hAnsi="Times New Roman"/>
          <w:noProof/>
        </w:rPr>
        <w:t xml:space="preserve"> antipsichoziniais vaistais. Kvetiapinas ir norkvetiapinas nepasižymi afinitetu benzodiazepinų receptoriams, bet būdingas didelis afinitetas histaminerginiams ir adrenerginiams alfa</w:t>
      </w:r>
      <w:r w:rsidRPr="00F45D90">
        <w:rPr>
          <w:rFonts w:ascii="Times New Roman" w:hAnsi="Times New Roman"/>
          <w:noProof/>
          <w:vertAlign w:val="subscript"/>
        </w:rPr>
        <w:t>1</w:t>
      </w:r>
      <w:r w:rsidRPr="00F45D90">
        <w:rPr>
          <w:rFonts w:ascii="Times New Roman" w:hAnsi="Times New Roman"/>
          <w:noProof/>
        </w:rPr>
        <w:t xml:space="preserve"> receptoriams ir vidutinis adrenerginiams alfa</w:t>
      </w:r>
      <w:r w:rsidRPr="00F45D90">
        <w:rPr>
          <w:rFonts w:ascii="Times New Roman" w:hAnsi="Times New Roman"/>
          <w:noProof/>
          <w:vertAlign w:val="subscript"/>
        </w:rPr>
        <w:t xml:space="preserve">2 </w:t>
      </w:r>
      <w:r w:rsidRPr="00F45D90">
        <w:rPr>
          <w:rFonts w:ascii="Times New Roman" w:hAnsi="Times New Roman"/>
          <w:noProof/>
        </w:rPr>
        <w:t>receptoriams. Kvetiapinui taip pat būdingas mažas afinitetas muskarino receptoriams arba jo iš viso nėra, o norkvetiapinas turi vidutinį arba didelį afinitetą keliems muskarino receptorių potipiams, kuriuo galima paaiškinti anticholinerginį (muskarininį) poveikį.</w:t>
      </w:r>
    </w:p>
    <w:p w14:paraId="0780BAFE" w14:textId="19F1647C" w:rsidR="00CB68E6" w:rsidRPr="00F45D90" w:rsidRDefault="00CB68E6" w:rsidP="00CB68E6">
      <w:pPr>
        <w:spacing w:after="0" w:line="240" w:lineRule="auto"/>
        <w:rPr>
          <w:rFonts w:ascii="Times New Roman" w:hAnsi="Times New Roman"/>
          <w:noProof/>
        </w:rPr>
      </w:pPr>
      <w:r w:rsidRPr="00F45D90">
        <w:rPr>
          <w:rFonts w:ascii="Times New Roman" w:eastAsia="Times New Roman" w:hAnsi="Times New Roman"/>
        </w:rPr>
        <w:t>Norkvetiapino slopinančiu poveikiui norepinefrino nešikliui (NET) ir daliniu agonistiniu poveikiui serotonino 5</w:t>
      </w:r>
      <w:r w:rsidR="00CE46B1">
        <w:rPr>
          <w:rFonts w:ascii="Times New Roman" w:eastAsia="Times New Roman" w:hAnsi="Times New Roman"/>
        </w:rPr>
        <w:t>-</w:t>
      </w:r>
      <w:r w:rsidRPr="00F45D90">
        <w:rPr>
          <w:rFonts w:ascii="Times New Roman" w:eastAsia="Times New Roman" w:hAnsi="Times New Roman"/>
        </w:rPr>
        <w:t>HT</w:t>
      </w:r>
      <w:r w:rsidRPr="00F45D90">
        <w:rPr>
          <w:rFonts w:ascii="Times New Roman" w:eastAsia="Times New Roman" w:hAnsi="Times New Roman"/>
          <w:vertAlign w:val="subscript"/>
        </w:rPr>
        <w:t>1A</w:t>
      </w:r>
      <w:r w:rsidRPr="00F45D90">
        <w:rPr>
          <w:rFonts w:ascii="Times New Roman" w:eastAsia="Times New Roman" w:hAnsi="Times New Roman"/>
        </w:rPr>
        <w:t xml:space="preserve"> receptoriams galima paaiškinti kvetiapino antidepresinį veiksmingumą.</w:t>
      </w:r>
    </w:p>
    <w:p w14:paraId="70925992" w14:textId="77777777" w:rsidR="00CB68E6" w:rsidRPr="00F45D90" w:rsidRDefault="00CB68E6" w:rsidP="00CB68E6">
      <w:pPr>
        <w:spacing w:after="0" w:line="240" w:lineRule="auto"/>
        <w:rPr>
          <w:rFonts w:ascii="Times New Roman" w:hAnsi="Times New Roman"/>
        </w:rPr>
      </w:pPr>
    </w:p>
    <w:p w14:paraId="398328D2" w14:textId="77777777" w:rsidR="00CB68E6" w:rsidRPr="00F45D90" w:rsidRDefault="00CB68E6" w:rsidP="00CB68E6">
      <w:pPr>
        <w:spacing w:after="0" w:line="240" w:lineRule="auto"/>
        <w:rPr>
          <w:rFonts w:ascii="Times New Roman" w:hAnsi="Times New Roman"/>
          <w:b/>
          <w:i/>
        </w:rPr>
      </w:pPr>
      <w:r w:rsidRPr="00F45D90">
        <w:rPr>
          <w:rFonts w:ascii="Times New Roman" w:hAnsi="Times New Roman"/>
          <w:b/>
          <w:i/>
        </w:rPr>
        <w:t>Farmakodinaminis poveikis</w:t>
      </w:r>
    </w:p>
    <w:p w14:paraId="77C1D57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Kvetiapino aktyvumą patvirtina antipsichozinio poveikio tyrimų, pavyzdžiui, sąlyginio išvengimo reflekso, duomenys. Elgsenos ir neurofiziologiniais tyrimais nustatyta, kad jis blokuoja dopamino agonistų poveikį ir didina dopamino metabolitų koncentraciją; šis pokytis yra neurocheminis D</w:t>
      </w:r>
      <w:r w:rsidRPr="00F45D90">
        <w:rPr>
          <w:rFonts w:ascii="Times New Roman" w:hAnsi="Times New Roman"/>
          <w:vertAlign w:val="subscript"/>
        </w:rPr>
        <w:t>2</w:t>
      </w:r>
      <w:r w:rsidRPr="00F45D90">
        <w:rPr>
          <w:rFonts w:ascii="Times New Roman" w:hAnsi="Times New Roman"/>
        </w:rPr>
        <w:t xml:space="preserve"> receptorių blokados rodiklis.</w:t>
      </w:r>
    </w:p>
    <w:p w14:paraId="6227BDAD" w14:textId="77777777" w:rsidR="00CB68E6" w:rsidRPr="00F45D90" w:rsidRDefault="00CB68E6" w:rsidP="00CB68E6">
      <w:pPr>
        <w:spacing w:after="0" w:line="240" w:lineRule="auto"/>
        <w:rPr>
          <w:rFonts w:ascii="Times New Roman" w:hAnsi="Times New Roman"/>
        </w:rPr>
      </w:pPr>
    </w:p>
    <w:p w14:paraId="29A4889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Ikiklinikinių tyrimų, kurie leidžia prognozuoti nepageidaujamus ekstrapiramidinius simptomus, duomenys parodė, kad kvetiapinas skiriasi nuo tipinių antipsichozinių preparatų ir jo profilis yra atipiškas. Po ilgalaikio vartojimo kvetiapinas nedidino D</w:t>
      </w:r>
      <w:r w:rsidRPr="00F45D90">
        <w:rPr>
          <w:rFonts w:ascii="Times New Roman" w:hAnsi="Times New Roman"/>
          <w:vertAlign w:val="subscript"/>
        </w:rPr>
        <w:t>2</w:t>
      </w:r>
      <w:r w:rsidRPr="00F45D90">
        <w:rPr>
          <w:rFonts w:ascii="Times New Roman" w:hAnsi="Times New Roman"/>
        </w:rPr>
        <w:t xml:space="preserve"> receptorių jautrumo. Veiksmingomis D</w:t>
      </w:r>
      <w:r w:rsidRPr="00F45D90">
        <w:rPr>
          <w:rFonts w:ascii="Times New Roman" w:hAnsi="Times New Roman"/>
          <w:vertAlign w:val="subscript"/>
        </w:rPr>
        <w:t>2</w:t>
      </w:r>
      <w:r w:rsidRPr="00F45D90">
        <w:rPr>
          <w:rFonts w:ascii="Times New Roman" w:hAnsi="Times New Roman"/>
        </w:rPr>
        <w:t xml:space="preserve"> receptorius blokuojančiomis dozėmis vartotas kvetiapinas sukėlė tik silpną katalepsiją. Kvetiapino poveikis limbinei sistemai selektyvus, nes po ilgalaikio vartojimo depoliarizacijos slopinimas pasireiškė tik mezolimbinės, bet ne nigrostriatinės, sistemos neuronuose, kuriuose yra dopamino. Ūmus ar ilgalaikis kvetiapino vartojimas haloperidoliu įjautrintoms ar šio vaisto nevartojusioms kapucinų rūšies</w:t>
      </w:r>
      <w:r w:rsidRPr="00F45D90">
        <w:rPr>
          <w:rFonts w:ascii="Times New Roman" w:hAnsi="Times New Roman"/>
          <w:i/>
        </w:rPr>
        <w:t xml:space="preserve"> </w:t>
      </w:r>
      <w:r w:rsidRPr="00F45D90">
        <w:rPr>
          <w:rFonts w:ascii="Times New Roman" w:hAnsi="Times New Roman"/>
        </w:rPr>
        <w:t>beždžionėms sukėlė tik minimalų distoninį labilumą (žr. 4.8 skyrių).</w:t>
      </w:r>
    </w:p>
    <w:p w14:paraId="2817D9AD" w14:textId="77777777" w:rsidR="00CB68E6" w:rsidRPr="00F45D90" w:rsidRDefault="00CB68E6" w:rsidP="00CB68E6">
      <w:pPr>
        <w:spacing w:after="0" w:line="240" w:lineRule="auto"/>
        <w:rPr>
          <w:rFonts w:ascii="Times New Roman" w:hAnsi="Times New Roman"/>
        </w:rPr>
      </w:pPr>
    </w:p>
    <w:p w14:paraId="360681C3" w14:textId="77777777" w:rsidR="00CB68E6" w:rsidRPr="00F45D90" w:rsidRDefault="00CB68E6" w:rsidP="00CB68E6">
      <w:pPr>
        <w:spacing w:after="0" w:line="240" w:lineRule="auto"/>
        <w:rPr>
          <w:rFonts w:ascii="Times New Roman" w:hAnsi="Times New Roman"/>
        </w:rPr>
      </w:pPr>
    </w:p>
    <w:p w14:paraId="32ACED5B" w14:textId="77777777" w:rsidR="00CB68E6" w:rsidRPr="00F45D90" w:rsidRDefault="00CB68E6" w:rsidP="00CB68E6">
      <w:pPr>
        <w:spacing w:after="0" w:line="240" w:lineRule="auto"/>
        <w:rPr>
          <w:rFonts w:ascii="Times New Roman" w:hAnsi="Times New Roman"/>
          <w:b/>
          <w:i/>
        </w:rPr>
      </w:pPr>
      <w:r w:rsidRPr="00F45D90">
        <w:rPr>
          <w:rFonts w:ascii="Times New Roman" w:hAnsi="Times New Roman"/>
          <w:b/>
          <w:i/>
        </w:rPr>
        <w:t xml:space="preserve">Klinikinis veiksmingumas </w:t>
      </w:r>
    </w:p>
    <w:p w14:paraId="2F1A9BE5" w14:textId="77777777" w:rsidR="00CB68E6" w:rsidRPr="00F45D90" w:rsidRDefault="00CB68E6" w:rsidP="00CB68E6">
      <w:pPr>
        <w:spacing w:after="0" w:line="240" w:lineRule="auto"/>
        <w:rPr>
          <w:rFonts w:ascii="Times New Roman" w:hAnsi="Times New Roman"/>
        </w:rPr>
      </w:pPr>
    </w:p>
    <w:p w14:paraId="2ADB5FE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Šizofrenija</w:t>
      </w:r>
    </w:p>
    <w:p w14:paraId="3CFA23B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Trijų placebu kontroliuotų klinikinių tyrimų metu šizofrenija sergantys pacientai vartojo įvairias kvetiapino dozes. Ekstrapiramidinių simptomų (EPS) ar poreikio vartoti anticholinerginių preparatų dažnis vartojusių kvetiapino ir vartojusių placebo nesiskyrė. Placebu kontroliuoto nekintamų kvetiapino paros dozių (dozių diapazonas 75 – 750 mg) klinikinio tyrimo duomenimis, EPS dažnumas ar poreikis vartoti kartu anticholinerginių preparatų nepadidėja. Ilgalaikis kvetiapino, vartojamo greitai veikliąją medžiagą atpalaiduojančia forma, veiksmingumas kartojimosi prevencijai aklais klinikiniais tyrimais nepatvirtintas. Atviro klinikinio tyrimo metu, tęsiant gydymą pacientams, sergantiems </w:t>
      </w:r>
      <w:r w:rsidRPr="00F45D90">
        <w:rPr>
          <w:rFonts w:ascii="Times New Roman" w:hAnsi="Times New Roman"/>
        </w:rPr>
        <w:lastRenderedPageBreak/>
        <w:t>šizofrenija, kurie gydymo pradžioje reagavo į gydymą, kvetiapinas veiksmingai palaikė klinikinį pagerėjimą. Tai rodo tam tikrą galimą ilgalaikį veiksmingumą.</w:t>
      </w:r>
    </w:p>
    <w:p w14:paraId="6338E950" w14:textId="77777777" w:rsidR="00CB68E6" w:rsidRPr="00F45D90" w:rsidRDefault="00CB68E6" w:rsidP="00CB68E6">
      <w:pPr>
        <w:spacing w:after="0" w:line="240" w:lineRule="auto"/>
        <w:rPr>
          <w:rFonts w:ascii="Times New Roman" w:hAnsi="Times New Roman"/>
        </w:rPr>
      </w:pPr>
    </w:p>
    <w:p w14:paraId="195B86F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Bipolinis sutrikimas</w:t>
      </w:r>
    </w:p>
    <w:p w14:paraId="67568B73" w14:textId="24B27BC8" w:rsidR="00CB68E6" w:rsidRPr="00F45D90" w:rsidRDefault="00CB68E6" w:rsidP="00CB68E6">
      <w:pPr>
        <w:spacing w:after="0" w:line="240" w:lineRule="auto"/>
        <w:rPr>
          <w:rFonts w:ascii="Times New Roman" w:hAnsi="Times New Roman"/>
        </w:rPr>
      </w:pPr>
      <w:r w:rsidRPr="00F45D90">
        <w:rPr>
          <w:rFonts w:ascii="Times New Roman" w:hAnsi="Times New Roman"/>
        </w:rPr>
        <w:t>Keturių placebu kontroliuotų tyrimų metu vertintas 800</w:t>
      </w:r>
      <w:r w:rsidR="00D8180D">
        <w:rPr>
          <w:rFonts w:ascii="Times New Roman" w:hAnsi="Times New Roman"/>
        </w:rPr>
        <w:t> </w:t>
      </w:r>
      <w:r w:rsidRPr="00F45D90">
        <w:rPr>
          <w:rFonts w:ascii="Times New Roman" w:hAnsi="Times New Roman"/>
        </w:rPr>
        <w:t xml:space="preserve">mg kvetiapino paros dozės poveikis gydant vidutinio sunkumo ar sunkų manijos epizodą (dviejų tyrimų metu gydyta vienu kvetiapinu, dviejų – kartu su ličiu arba divalproeksu) EPS ar poreikio vartoti anticholinerginių preparatų dažnis vartojant kvetiapino ir placebo nesiskyrė. </w:t>
      </w:r>
    </w:p>
    <w:p w14:paraId="7E30980F" w14:textId="77777777" w:rsidR="00CB68E6" w:rsidRPr="00F45D90" w:rsidRDefault="00CB68E6" w:rsidP="00CB68E6">
      <w:pPr>
        <w:spacing w:after="0" w:line="240" w:lineRule="auto"/>
        <w:rPr>
          <w:rFonts w:ascii="Times New Roman" w:hAnsi="Times New Roman"/>
        </w:rPr>
      </w:pPr>
    </w:p>
    <w:p w14:paraId="29467D1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Dviejų klinikinių tyrimų metu nustatyta, kad gydymas vien kvetiapinu veiksmingiau, nei placebas, mažina manijos simptomus pacientams, kuriems yra vidutinio sunkumo ar sunkus manijos epizodas. Poveikis vertintas po 3 ir 12 gydymo savaičių. Duomenų apie ilgalaikį pacientų stebėjimą, kad būtų galima vertinti kvetiapino, vartojamo manijos ar depresijos epizodų kartojimosi prevencijai, veiksmingumą, nėra. Yra tik nedaug duomenų apie kvetiapino, vartojamo kartu su divalproeksu ar ličiu, poveikį po 3 ar 6 vidutinio sunkumo ar sunkaus manijos epizodo gydymo savaičių. Vis dėlto, minėti deriniai toleruoti gerai. Šių tyrimų rezultatai rodo, kad trečią gydymo savaitę pasireiškia adityvus poveikis. Kito tyrimo metu per 6 gydymo savaites adityvaus poveikio nepastebėta. </w:t>
      </w:r>
    </w:p>
    <w:p w14:paraId="103AE9E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Pacientų, kurie reagavo į gydymą, vidutinė kvetiapino paros dozė paskutinę gydymo savaitę buvo 600 g, maždaug 85 % tokių ligonių vartojo 400 – 800 mg paros dozę.</w:t>
      </w:r>
    </w:p>
    <w:p w14:paraId="3F2BFC04" w14:textId="77777777" w:rsidR="00CB68E6" w:rsidRPr="00F45D90" w:rsidRDefault="00CB68E6" w:rsidP="00CB68E6">
      <w:pPr>
        <w:spacing w:after="0" w:line="240" w:lineRule="auto"/>
        <w:rPr>
          <w:rFonts w:ascii="Times New Roman" w:hAnsi="Times New Roman"/>
        </w:rPr>
      </w:pPr>
    </w:p>
    <w:p w14:paraId="156FE8AB" w14:textId="2CA98F62" w:rsidR="00CB68E6" w:rsidRPr="00F45D90" w:rsidRDefault="00CB68E6" w:rsidP="00CB68E6">
      <w:pPr>
        <w:spacing w:after="0" w:line="240" w:lineRule="auto"/>
        <w:rPr>
          <w:rFonts w:ascii="Times New Roman" w:hAnsi="Times New Roman"/>
        </w:rPr>
      </w:pPr>
      <w:r w:rsidRPr="00F45D90">
        <w:rPr>
          <w:rFonts w:ascii="Times New Roman" w:hAnsi="Times New Roman"/>
        </w:rPr>
        <w:t>8 savaičių trukmės keturių klinikinių tyrimų, kuriuose dalyvavusiems I tipo bipoliniu sutrikimu arba II tipo bipoliniu sutrikimu sergantiems pacientams buvo vidutinio sunkumo ar sunkus depresijos epizodas, duomenimis, pagal reikšmingus matavimų rezultatus, t. y. Montgomery-Asberg depresijos vertinimo skalės (</w:t>
      </w:r>
      <w:r w:rsidRPr="00F45D90">
        <w:rPr>
          <w:rFonts w:ascii="Times New Roman" w:hAnsi="Times New Roman"/>
          <w:i/>
        </w:rPr>
        <w:t>angl.</w:t>
      </w:r>
      <w:r w:rsidRPr="00F45D90">
        <w:rPr>
          <w:rFonts w:ascii="Times New Roman" w:hAnsi="Times New Roman"/>
        </w:rPr>
        <w:t xml:space="preserve"> </w:t>
      </w:r>
      <w:r w:rsidRPr="00F45D90">
        <w:rPr>
          <w:rFonts w:ascii="Times New Roman" w:hAnsi="Times New Roman"/>
          <w:bCs/>
          <w:i/>
        </w:rPr>
        <w:t>Montgomery-Åsberg Depression Rating Scale,</w:t>
      </w:r>
      <w:r w:rsidRPr="00F45D90">
        <w:rPr>
          <w:rFonts w:ascii="Times New Roman" w:hAnsi="Times New Roman"/>
        </w:rPr>
        <w:t xml:space="preserve"> MADRS) rezultatų vidutinį pagerėjimą ir pagal atsaką, apibūdinamą kaip bendro MADRS rezultato pagerėjimas mažiausiai 50</w:t>
      </w:r>
      <w:r w:rsidR="00D8180D">
        <w:rPr>
          <w:rFonts w:ascii="Times New Roman" w:hAnsi="Times New Roman"/>
        </w:rPr>
        <w:t> </w:t>
      </w:r>
      <w:r w:rsidRPr="00F45D90">
        <w:rPr>
          <w:rFonts w:ascii="Times New Roman" w:hAnsi="Times New Roman"/>
        </w:rPr>
        <w:t>%, palyginti su pradiniu, 300 mg ar 600 mg kvetiapino, vartojamo greito atsipalaidavimo forma, sukeltas poveikis buvo reikšmingai didesnis už poveikį,  nustatytą placebu gydytiems pacientams. Poveikio stiprumas pacientams, kurie vartojo 300</w:t>
      </w:r>
      <w:r w:rsidR="00D8180D">
        <w:rPr>
          <w:rFonts w:ascii="Times New Roman" w:hAnsi="Times New Roman"/>
        </w:rPr>
        <w:t> </w:t>
      </w:r>
      <w:r w:rsidRPr="00F45D90">
        <w:rPr>
          <w:rFonts w:ascii="Times New Roman" w:hAnsi="Times New Roman"/>
        </w:rPr>
        <w:t>mg kvetiapino greito atsipalaidavimo forma, ir ligoniams, vartojusiems 600 mg dozę, nesiskyrė.</w:t>
      </w:r>
    </w:p>
    <w:p w14:paraId="013D98FA" w14:textId="77777777" w:rsidR="00CB68E6" w:rsidRPr="00F45D90" w:rsidRDefault="00CB68E6" w:rsidP="00CB68E6">
      <w:pPr>
        <w:spacing w:after="0" w:line="240" w:lineRule="auto"/>
        <w:rPr>
          <w:rFonts w:ascii="Times New Roman" w:hAnsi="Times New Roman"/>
        </w:rPr>
      </w:pPr>
    </w:p>
    <w:p w14:paraId="332272C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Dviejų iš minėtų tyrimų tęstinės fazės metu buvo įrodyta, kad ilgalaikis gydymas pacientų, kurie reagavo į gydymą 300 mg ar 600 mg kvetiapino, vartojamo greito atsipalaidavimo forma, buvo veiksmingas depresijos simptomų, bet ne manijos simptomų, atžvilgiu.</w:t>
      </w:r>
    </w:p>
    <w:p w14:paraId="4B9A32D5" w14:textId="77777777" w:rsidR="00CB68E6" w:rsidRPr="00F45D90" w:rsidRDefault="00CB68E6" w:rsidP="00CB68E6">
      <w:pPr>
        <w:spacing w:after="0" w:line="240" w:lineRule="auto"/>
        <w:rPr>
          <w:rFonts w:ascii="Times New Roman" w:hAnsi="Times New Roman"/>
        </w:rPr>
      </w:pPr>
    </w:p>
    <w:p w14:paraId="759CE1F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Dviejų ligos kartojimosi prevencijos klinikinių tyrimų, kurių metu buvo įvertintas kvetiapino, vartojamo deriniuose su nuotaikos stabilizatoriais, veiksmingumas pacientams, kuriems būna manijos, depresijos ar mišrių epizodų, duomenimis, pagal laiko iki bet kokio nuotaikos reiškinio (manijos, mišraus ar depresijos) pasikartojimo pailgėjimą derinys su kvetiapinu buvo pranašesnis už monoterapiją nuotaikos stabilizatoriumi. Kvetiapino buvo vartojama du kartus per parą 400 – 800 mg paros dozėmis kombinuotojo gydymo kartu su ličiu ar valproato metu. </w:t>
      </w:r>
    </w:p>
    <w:p w14:paraId="1E96AFE2" w14:textId="77777777" w:rsidR="00CB68E6" w:rsidRPr="00F45D90" w:rsidRDefault="00CB68E6" w:rsidP="00CB68E6">
      <w:pPr>
        <w:spacing w:after="0" w:line="240" w:lineRule="auto"/>
        <w:rPr>
          <w:rFonts w:ascii="Times New Roman" w:hAnsi="Times New Roman"/>
        </w:rPr>
      </w:pPr>
    </w:p>
    <w:p w14:paraId="15E62614" w14:textId="6565DD73" w:rsidR="00CB68E6" w:rsidRPr="00F45D90" w:rsidRDefault="00CB68E6" w:rsidP="00CB68E6">
      <w:pPr>
        <w:spacing w:after="0" w:line="240" w:lineRule="auto"/>
        <w:rPr>
          <w:rFonts w:ascii="Times New Roman" w:hAnsi="Times New Roman"/>
        </w:rPr>
      </w:pPr>
      <w:r w:rsidRPr="00F45D90">
        <w:rPr>
          <w:rFonts w:ascii="Times New Roman" w:hAnsi="Times New Roman"/>
        </w:rPr>
        <w:t>Atsitiktinės atrankos 6 savaičių trukmės klinikinio tyrimo metu palygintas ličio ir kvetiapino pailginto atpalaidavimo formos ir kvetiapino pailginto atpalaidavimo formos bei placebo poveikis ūmia manija sergantiems suaugusiems pacientams. YMRS vidutinio pagerėjimo skirtumas tarp grupės su papildomu ličio vartojimu ir placebo grupės buvo 2,8 balo, atsakiusių į gydymą procentų skirtumas (vertinamas kaip 50</w:t>
      </w:r>
      <w:r w:rsidR="00D8180D">
        <w:rPr>
          <w:rFonts w:ascii="Times New Roman" w:hAnsi="Times New Roman"/>
        </w:rPr>
        <w:t> </w:t>
      </w:r>
      <w:r w:rsidRPr="00F45D90">
        <w:rPr>
          <w:rFonts w:ascii="Times New Roman" w:hAnsi="Times New Roman"/>
        </w:rPr>
        <w:t xml:space="preserve">% pagerėjimas nuo pradinio </w:t>
      </w:r>
      <w:r w:rsidRPr="00F45D90">
        <w:rPr>
          <w:rFonts w:ascii="Times New Roman" w:hAnsi="Times New Roman"/>
          <w:color w:val="000000"/>
        </w:rPr>
        <w:t xml:space="preserve">Young manijos vertinimo skalės (angl. </w:t>
      </w:r>
      <w:r w:rsidRPr="00F45D90">
        <w:rPr>
          <w:rFonts w:ascii="Times New Roman" w:hAnsi="Times New Roman"/>
          <w:i/>
          <w:color w:val="000000"/>
        </w:rPr>
        <w:t>Young Mania Rating Scale,</w:t>
      </w:r>
      <w:r w:rsidRPr="00F45D90">
        <w:rPr>
          <w:rFonts w:ascii="Times New Roman" w:hAnsi="Times New Roman"/>
          <w:b/>
          <w:i/>
          <w:color w:val="000000"/>
        </w:rPr>
        <w:t xml:space="preserve"> </w:t>
      </w:r>
      <w:r w:rsidRPr="00F45D90">
        <w:rPr>
          <w:rFonts w:ascii="Times New Roman" w:hAnsi="Times New Roman"/>
          <w:bCs/>
          <w:color w:val="000000"/>
        </w:rPr>
        <w:t>YMRS</w:t>
      </w:r>
      <w:r w:rsidRPr="00F45D90">
        <w:rPr>
          <w:rFonts w:ascii="Times New Roman" w:hAnsi="Times New Roman"/>
          <w:color w:val="000000"/>
        </w:rPr>
        <w:t xml:space="preserve">) </w:t>
      </w:r>
      <w:r w:rsidRPr="00F45D90">
        <w:rPr>
          <w:rFonts w:ascii="Times New Roman" w:hAnsi="Times New Roman"/>
        </w:rPr>
        <w:t>vertinimo) buvo 11</w:t>
      </w:r>
      <w:r w:rsidR="00D8180D">
        <w:rPr>
          <w:rFonts w:ascii="Times New Roman" w:hAnsi="Times New Roman"/>
        </w:rPr>
        <w:t> </w:t>
      </w:r>
      <w:r w:rsidRPr="00F45D90">
        <w:rPr>
          <w:rFonts w:ascii="Times New Roman" w:hAnsi="Times New Roman"/>
        </w:rPr>
        <w:t>% (79% papildomai vartojusių litį grupėje ir 68</w:t>
      </w:r>
      <w:r w:rsidR="00D8180D">
        <w:rPr>
          <w:rFonts w:ascii="Times New Roman" w:hAnsi="Times New Roman"/>
        </w:rPr>
        <w:t> </w:t>
      </w:r>
      <w:r w:rsidRPr="00F45D90">
        <w:rPr>
          <w:rFonts w:ascii="Times New Roman" w:hAnsi="Times New Roman"/>
        </w:rPr>
        <w:t>% placebo grupėje).</w:t>
      </w:r>
    </w:p>
    <w:p w14:paraId="394F90DA" w14:textId="77777777" w:rsidR="00CB68E6" w:rsidRPr="00F45D90" w:rsidRDefault="00CB68E6" w:rsidP="00CB68E6">
      <w:pPr>
        <w:spacing w:after="0" w:line="240" w:lineRule="auto"/>
        <w:rPr>
          <w:rFonts w:ascii="Times New Roman" w:hAnsi="Times New Roman"/>
        </w:rPr>
      </w:pPr>
    </w:p>
    <w:p w14:paraId="6831D68B" w14:textId="62EAED00" w:rsidR="00CB68E6" w:rsidRPr="00F45D90" w:rsidRDefault="00CB68E6" w:rsidP="00CB68E6">
      <w:pPr>
        <w:spacing w:after="0" w:line="240" w:lineRule="auto"/>
        <w:rPr>
          <w:rFonts w:ascii="Times New Roman" w:hAnsi="Times New Roman"/>
        </w:rPr>
      </w:pPr>
      <w:r w:rsidRPr="00F45D90">
        <w:rPr>
          <w:rFonts w:ascii="Times New Roman" w:hAnsi="Times New Roman"/>
        </w:rPr>
        <w:t>Vienas ilgalaikis (iki 2 metų trukmės gydymo) tyrimas, kurio metu  vertintas veiksmingumas atkryčio profilaktikai manijos, depresijos ir mišrių nuotaikos sutrikimų epizodų patyrusiems pacientams, parodė, kad kvetiapinas yra pranašesnis už placebą vertinant pagal laikotarpio iki bet kurio nuotaikos sutrikimo (manijos, depresijos, mišraus), susijusio su I tipo bipoliniu sutrikimu, atkryčio pailgėjimą. Nuotaikos sutrikimo reiškinių pasireiškė 91 (22,5</w:t>
      </w:r>
      <w:r w:rsidR="00D8180D">
        <w:rPr>
          <w:rFonts w:ascii="Times New Roman" w:hAnsi="Times New Roman"/>
        </w:rPr>
        <w:t> </w:t>
      </w:r>
      <w:r w:rsidRPr="00F45D90">
        <w:rPr>
          <w:rFonts w:ascii="Times New Roman" w:hAnsi="Times New Roman"/>
        </w:rPr>
        <w:t>%) kvetiapino grupės, 208 (51,5</w:t>
      </w:r>
      <w:r w:rsidR="00D8180D">
        <w:rPr>
          <w:rFonts w:ascii="Times New Roman" w:hAnsi="Times New Roman"/>
        </w:rPr>
        <w:t> </w:t>
      </w:r>
      <w:r w:rsidRPr="00F45D90">
        <w:rPr>
          <w:rFonts w:ascii="Times New Roman" w:hAnsi="Times New Roman"/>
        </w:rPr>
        <w:t>%) placebo grupės ir 95 (26,1</w:t>
      </w:r>
      <w:r w:rsidR="00D8180D">
        <w:rPr>
          <w:rFonts w:ascii="Times New Roman" w:hAnsi="Times New Roman"/>
        </w:rPr>
        <w:t> </w:t>
      </w:r>
      <w:r w:rsidRPr="00F45D90">
        <w:rPr>
          <w:rFonts w:ascii="Times New Roman" w:hAnsi="Times New Roman"/>
        </w:rPr>
        <w:t xml:space="preserve">%) ličio grupės pacientų. </w:t>
      </w:r>
      <w:r w:rsidR="006129D6">
        <w:rPr>
          <w:rFonts w:ascii="Times New Roman" w:hAnsi="Times New Roman"/>
        </w:rPr>
        <w:t>Rezultatai parodė, kad</w:t>
      </w:r>
      <w:r w:rsidRPr="00F45D90">
        <w:rPr>
          <w:rFonts w:ascii="Times New Roman" w:hAnsi="Times New Roman"/>
        </w:rPr>
        <w:t xml:space="preserve"> pacient</w:t>
      </w:r>
      <w:r w:rsidR="006129D6">
        <w:rPr>
          <w:rFonts w:ascii="Times New Roman" w:hAnsi="Times New Roman"/>
        </w:rPr>
        <w:t>ams</w:t>
      </w:r>
      <w:r w:rsidRPr="00F45D90">
        <w:rPr>
          <w:rFonts w:ascii="Times New Roman" w:hAnsi="Times New Roman"/>
        </w:rPr>
        <w:t>, kurie</w:t>
      </w:r>
      <w:r w:rsidR="000C115C">
        <w:rPr>
          <w:rFonts w:ascii="Times New Roman" w:hAnsi="Times New Roman"/>
        </w:rPr>
        <w:t xml:space="preserve"> reagavo į gydymą kvetiapinu, perėjimas prie gydymo ličiu nėra susijęs su ilgesniu laikotarpiu </w:t>
      </w:r>
      <w:r w:rsidRPr="00F45D90">
        <w:rPr>
          <w:rFonts w:ascii="Times New Roman" w:hAnsi="Times New Roman"/>
        </w:rPr>
        <w:t>iki nuotaikos reiškinio atsinaujinimo</w:t>
      </w:r>
      <w:r w:rsidR="000C115C">
        <w:rPr>
          <w:rFonts w:ascii="Times New Roman" w:hAnsi="Times New Roman"/>
        </w:rPr>
        <w:t>, palyginant nuolatinį gydymą kvetiapinu su perėjimu  nuo kvetiapino prie ličio</w:t>
      </w:r>
      <w:r w:rsidRPr="00F45D90">
        <w:rPr>
          <w:rFonts w:ascii="Times New Roman" w:hAnsi="Times New Roman"/>
        </w:rPr>
        <w:t>.</w:t>
      </w:r>
    </w:p>
    <w:p w14:paraId="5B008AE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lastRenderedPageBreak/>
        <w:t>Klinikinių tyrimų metu nustatyta, kad kvetiapinas gydant šizofreniją ir maniją veiksmingas vartojant du kartus per parą, nors jo pusinės eliminacijos iš plazmos laikas yra maždaug 7 valandos. Tai patvirtinta ir pozitronų emisijos tomografijos (PET) tyrimo duomenimis, kurie parodė, kad kvetiapino poveikis 5HT</w:t>
      </w:r>
      <w:r w:rsidRPr="00F45D90">
        <w:rPr>
          <w:rFonts w:ascii="Times New Roman" w:hAnsi="Times New Roman"/>
          <w:vertAlign w:val="subscript"/>
        </w:rPr>
        <w:t>2</w:t>
      </w:r>
      <w:r w:rsidRPr="00F45D90">
        <w:rPr>
          <w:rFonts w:ascii="Times New Roman" w:hAnsi="Times New Roman"/>
        </w:rPr>
        <w:t xml:space="preserve"> ir D</w:t>
      </w:r>
      <w:r w:rsidRPr="00F45D90">
        <w:rPr>
          <w:rFonts w:ascii="Times New Roman" w:hAnsi="Times New Roman"/>
          <w:vertAlign w:val="subscript"/>
        </w:rPr>
        <w:t>2</w:t>
      </w:r>
      <w:r w:rsidRPr="00F45D90">
        <w:rPr>
          <w:rFonts w:ascii="Times New Roman" w:hAnsi="Times New Roman"/>
        </w:rPr>
        <w:t xml:space="preserve"> receptoriams truko 12 valandų. Didesnių nei 800 mg paros dozių veiksmingumas ir saugumas netirtas.</w:t>
      </w:r>
    </w:p>
    <w:p w14:paraId="3EDDBC26" w14:textId="77777777" w:rsidR="00CB68E6" w:rsidRPr="00F45D90" w:rsidRDefault="00CB68E6" w:rsidP="00CB68E6">
      <w:pPr>
        <w:spacing w:after="0" w:line="240" w:lineRule="auto"/>
        <w:rPr>
          <w:rFonts w:ascii="Times New Roman" w:hAnsi="Times New Roman"/>
        </w:rPr>
      </w:pPr>
    </w:p>
    <w:p w14:paraId="5B87DDC9" w14:textId="77777777" w:rsidR="00CB68E6" w:rsidRPr="00F45D90" w:rsidRDefault="00CB68E6" w:rsidP="00CB68E6">
      <w:pPr>
        <w:spacing w:after="0" w:line="240" w:lineRule="auto"/>
        <w:rPr>
          <w:rFonts w:ascii="Times New Roman" w:hAnsi="Times New Roman"/>
          <w:b/>
          <w:i/>
        </w:rPr>
      </w:pPr>
      <w:r w:rsidRPr="00F45D90">
        <w:rPr>
          <w:rFonts w:ascii="Times New Roman" w:hAnsi="Times New Roman"/>
          <w:b/>
          <w:i/>
        </w:rPr>
        <w:t>Klinikinis saugumas</w:t>
      </w:r>
    </w:p>
    <w:p w14:paraId="06545C03" w14:textId="1D84CEA7" w:rsidR="00CB68E6" w:rsidRPr="00F45D90" w:rsidRDefault="00CB68E6" w:rsidP="00CB68E6">
      <w:pPr>
        <w:spacing w:after="0" w:line="240" w:lineRule="auto"/>
        <w:rPr>
          <w:rFonts w:ascii="Times New Roman" w:hAnsi="Times New Roman"/>
        </w:rPr>
      </w:pPr>
      <w:r w:rsidRPr="00F45D90">
        <w:rPr>
          <w:rFonts w:ascii="Times New Roman" w:hAnsi="Times New Roman"/>
        </w:rPr>
        <w:t>Trumpalaikių placebu kontroliuojamų šizofrenijos ir bipolinės manijos klinikinių tyrimų metu bendras ekstrapiramidinių simptomų pasireiškimo dažnis vartojant kvetiapiną buvo panašus kaip vartojant placebą (sergant šizofrenija – 7,8</w:t>
      </w:r>
      <w:r w:rsidR="00D8180D">
        <w:rPr>
          <w:rFonts w:ascii="Times New Roman" w:hAnsi="Times New Roman"/>
        </w:rPr>
        <w:t> </w:t>
      </w:r>
      <w:r w:rsidRPr="00F45D90">
        <w:rPr>
          <w:rFonts w:ascii="Times New Roman" w:hAnsi="Times New Roman"/>
        </w:rPr>
        <w:t>% vartojant kvetiapiną ir 8</w:t>
      </w:r>
      <w:r w:rsidR="00D8180D">
        <w:rPr>
          <w:rFonts w:ascii="Times New Roman" w:hAnsi="Times New Roman"/>
        </w:rPr>
        <w:t> </w:t>
      </w:r>
      <w:r w:rsidRPr="00F45D90">
        <w:rPr>
          <w:rFonts w:ascii="Times New Roman" w:hAnsi="Times New Roman"/>
        </w:rPr>
        <w:t>% vartojant placebą, sergant bipoline manija – atitinkamai 11,2</w:t>
      </w:r>
      <w:r w:rsidR="00D8180D">
        <w:rPr>
          <w:rFonts w:ascii="Times New Roman" w:hAnsi="Times New Roman"/>
        </w:rPr>
        <w:t> </w:t>
      </w:r>
      <w:r w:rsidRPr="00F45D90">
        <w:rPr>
          <w:rFonts w:ascii="Times New Roman" w:hAnsi="Times New Roman"/>
        </w:rPr>
        <w:t>% ir 11,4</w:t>
      </w:r>
      <w:r w:rsidR="00D8180D">
        <w:rPr>
          <w:rFonts w:ascii="Times New Roman" w:hAnsi="Times New Roman"/>
        </w:rPr>
        <w:t> </w:t>
      </w:r>
      <w:r w:rsidRPr="00F45D90">
        <w:rPr>
          <w:rFonts w:ascii="Times New Roman" w:hAnsi="Times New Roman"/>
        </w:rPr>
        <w:t>%). Ekstrapiramidinių simptomų dažnumas nustatytas didesnis vartojant kvetiapino, palyginti su placebu, atliekant trumpalaikį placebu kontroliuojamą sergančiųjų didžiąja depresija ir bipolinio sutrikimo depresijos epizodu klinikinį tyrimą. Trumpalaikių placebu kontroliuojamų bipolinės depresijos klinikinių tyrimų metu bendras ekstrapiramidinių simptomų pasireiškimo dažnis vartojant kvetiapiną buvo 8,9</w:t>
      </w:r>
      <w:r w:rsidR="00D8180D">
        <w:rPr>
          <w:rFonts w:ascii="Times New Roman" w:hAnsi="Times New Roman"/>
        </w:rPr>
        <w:t> </w:t>
      </w:r>
      <w:r w:rsidRPr="00F45D90">
        <w:rPr>
          <w:rFonts w:ascii="Times New Roman" w:hAnsi="Times New Roman"/>
        </w:rPr>
        <w:t>%, vartojant placebą – 3,8</w:t>
      </w:r>
      <w:r w:rsidR="00D8180D">
        <w:rPr>
          <w:rFonts w:ascii="Times New Roman" w:hAnsi="Times New Roman"/>
        </w:rPr>
        <w:t> </w:t>
      </w:r>
      <w:r w:rsidRPr="00F45D90">
        <w:rPr>
          <w:rFonts w:ascii="Times New Roman" w:hAnsi="Times New Roman"/>
        </w:rPr>
        <w:t>%. Trumpalaikio placebu kontroliuojamo didžiojo depresinio sutrikimo monoterapijos klinikinio tyrimo metu bendras ekstrapiramidinių simptomų dažnumas buvo 5,4</w:t>
      </w:r>
      <w:r w:rsidR="00D8180D">
        <w:rPr>
          <w:rFonts w:ascii="Times New Roman" w:hAnsi="Times New Roman"/>
        </w:rPr>
        <w:t> </w:t>
      </w:r>
      <w:r w:rsidRPr="00F45D90">
        <w:rPr>
          <w:rFonts w:ascii="Times New Roman" w:hAnsi="Times New Roman"/>
        </w:rPr>
        <w:t>% vartojant kvetiapino pailginto atpalaidavimo formą ir 3,2</w:t>
      </w:r>
      <w:r w:rsidR="00D8180D">
        <w:rPr>
          <w:rFonts w:ascii="Times New Roman" w:hAnsi="Times New Roman"/>
        </w:rPr>
        <w:t> </w:t>
      </w:r>
      <w:r w:rsidRPr="00F45D90">
        <w:rPr>
          <w:rFonts w:ascii="Times New Roman" w:hAnsi="Times New Roman"/>
        </w:rPr>
        <w:t>% vartojant placebą. Trumpalaikio placebu kontroliuojamo senyvų pacientų, sergančių didžiuoju depresiniu sutrikimu, klinikinio tyrimo metu bendras ekstrapiramidinių simptomų dažnumas buvo 9,0</w:t>
      </w:r>
      <w:r w:rsidR="00D8180D">
        <w:rPr>
          <w:rFonts w:ascii="Times New Roman" w:hAnsi="Times New Roman"/>
        </w:rPr>
        <w:t> </w:t>
      </w:r>
      <w:r w:rsidRPr="00F45D90">
        <w:rPr>
          <w:rFonts w:ascii="Times New Roman" w:hAnsi="Times New Roman"/>
        </w:rPr>
        <w:t>% vartojant kvetiapiną ir 2,3</w:t>
      </w:r>
      <w:r w:rsidR="00D8180D">
        <w:rPr>
          <w:rFonts w:ascii="Times New Roman" w:hAnsi="Times New Roman"/>
        </w:rPr>
        <w:t> </w:t>
      </w:r>
      <w:r w:rsidRPr="00F45D90">
        <w:rPr>
          <w:rFonts w:ascii="Times New Roman" w:hAnsi="Times New Roman"/>
        </w:rPr>
        <w:t>% vartojant placebą. Tiek sergantiesiems bipoliniu sutrikimu, tiek didžiąja depresija individualių nepageidaujamų reiškinių (pvz.: akatizijos, ekstrapiramidinio sutrikimo, tremoro, diskinezijos, distonijos, neramumo, nevalingų raumenų susitraukimų, pernelyg didelio psichomotorinio aktyvumo ir raumenų stingulio) dažnis nė vienoje gydymo grupėje neviršijo 4</w:t>
      </w:r>
      <w:r w:rsidR="00D8180D">
        <w:rPr>
          <w:rFonts w:ascii="Times New Roman" w:hAnsi="Times New Roman"/>
        </w:rPr>
        <w:t> </w:t>
      </w:r>
      <w:r w:rsidRPr="00F45D90">
        <w:rPr>
          <w:rFonts w:ascii="Times New Roman" w:hAnsi="Times New Roman"/>
        </w:rPr>
        <w:t>%.</w:t>
      </w:r>
    </w:p>
    <w:p w14:paraId="6D5A9975" w14:textId="77777777" w:rsidR="00CB68E6" w:rsidRPr="00F45D90" w:rsidRDefault="00CB68E6" w:rsidP="00CB68E6">
      <w:pPr>
        <w:spacing w:after="0" w:line="240" w:lineRule="auto"/>
        <w:rPr>
          <w:rFonts w:ascii="Times New Roman" w:hAnsi="Times New Roman"/>
        </w:rPr>
      </w:pPr>
    </w:p>
    <w:p w14:paraId="47BE0A73" w14:textId="68C59A04" w:rsidR="00CB68E6" w:rsidRPr="00F45D90" w:rsidRDefault="00CB68E6" w:rsidP="00CB68E6">
      <w:pPr>
        <w:spacing w:after="0" w:line="240" w:lineRule="auto"/>
        <w:rPr>
          <w:rFonts w:ascii="Times New Roman" w:hAnsi="Times New Roman"/>
        </w:rPr>
      </w:pPr>
      <w:r w:rsidRPr="00F45D90">
        <w:rPr>
          <w:rFonts w:ascii="Times New Roman" w:hAnsi="Times New Roman"/>
        </w:rPr>
        <w:t>Trumpalaikių (3-8 savaičių trukmės) fiksuotos dozės (50-800 mg per parą) placebu kontroliuojamų tyrimų metu nustatytas vidutinis kūno svorio prieaugis kvetiapino vartojusiems pacientams buvo nuo 0,8 kg vartojant 50 mg per parą dozę iki 1,4 kg vartojant 600 mg per parą dozę (mažesnis svorio prieaugis vartojant 800 mg per parą dozę) palyginti su svorio prieaugiu 0,2 kg placebą vartojusiems pacientams. Kūno svorio prieaugis ≥</w:t>
      </w:r>
      <w:r w:rsidR="00D8180D">
        <w:rPr>
          <w:rFonts w:ascii="Times New Roman" w:hAnsi="Times New Roman"/>
        </w:rPr>
        <w:t> </w:t>
      </w:r>
      <w:r w:rsidRPr="00F45D90">
        <w:rPr>
          <w:rFonts w:ascii="Times New Roman" w:hAnsi="Times New Roman"/>
        </w:rPr>
        <w:t>7</w:t>
      </w:r>
      <w:r w:rsidR="00D8180D">
        <w:rPr>
          <w:rFonts w:ascii="Times New Roman" w:hAnsi="Times New Roman"/>
        </w:rPr>
        <w:t> </w:t>
      </w:r>
      <w:r w:rsidRPr="00F45D90">
        <w:rPr>
          <w:rFonts w:ascii="Times New Roman" w:hAnsi="Times New Roman"/>
        </w:rPr>
        <w:t>% kvetiapinu gydytiems pacientams nustatytas 5,3</w:t>
      </w:r>
      <w:r w:rsidR="00D8180D">
        <w:rPr>
          <w:rFonts w:ascii="Times New Roman" w:hAnsi="Times New Roman"/>
        </w:rPr>
        <w:t> </w:t>
      </w:r>
      <w:r w:rsidRPr="00F45D90">
        <w:rPr>
          <w:rFonts w:ascii="Times New Roman" w:hAnsi="Times New Roman"/>
        </w:rPr>
        <w:t>% atvejų vartojant 50 mg per parą dozę ir 15,5</w:t>
      </w:r>
      <w:r w:rsidR="00D8180D">
        <w:rPr>
          <w:rFonts w:ascii="Times New Roman" w:hAnsi="Times New Roman"/>
        </w:rPr>
        <w:t> </w:t>
      </w:r>
      <w:r w:rsidRPr="00F45D90">
        <w:rPr>
          <w:rFonts w:ascii="Times New Roman" w:hAnsi="Times New Roman"/>
        </w:rPr>
        <w:t>% vartojant 400 mg per parą dozę (mažesnis prieaugis vartojant 600 mg ir 800 mg paros dozes) palyginti su 3,7</w:t>
      </w:r>
      <w:r w:rsidR="00D8180D">
        <w:rPr>
          <w:rFonts w:ascii="Times New Roman" w:hAnsi="Times New Roman"/>
        </w:rPr>
        <w:t> </w:t>
      </w:r>
      <w:r w:rsidRPr="00F45D90">
        <w:rPr>
          <w:rFonts w:ascii="Times New Roman" w:hAnsi="Times New Roman"/>
        </w:rPr>
        <w:t>% placebu gydytų pacientų.</w:t>
      </w:r>
    </w:p>
    <w:p w14:paraId="60A3BBD0" w14:textId="77777777" w:rsidR="00CB68E6" w:rsidRPr="00F45D90" w:rsidRDefault="00CB68E6" w:rsidP="00CB68E6">
      <w:pPr>
        <w:spacing w:after="0" w:line="240" w:lineRule="auto"/>
        <w:rPr>
          <w:rFonts w:ascii="Times New Roman" w:hAnsi="Times New Roman"/>
        </w:rPr>
      </w:pPr>
    </w:p>
    <w:p w14:paraId="0468F2D5" w14:textId="495F724D" w:rsidR="00CB68E6" w:rsidRPr="00F45D90" w:rsidRDefault="00CB68E6" w:rsidP="00CB68E6">
      <w:pPr>
        <w:spacing w:after="0" w:line="240" w:lineRule="auto"/>
        <w:rPr>
          <w:rFonts w:ascii="Times New Roman" w:eastAsia="Times New Roman" w:hAnsi="Times New Roman"/>
        </w:rPr>
      </w:pPr>
      <w:r w:rsidRPr="00F45D90">
        <w:rPr>
          <w:rFonts w:ascii="Times New Roman" w:eastAsia="Times New Roman" w:hAnsi="Times New Roman"/>
        </w:rPr>
        <w:t xml:space="preserve">6 savaičių trukmės atsitiktinės atrankos tyrimo metu ličio ir kvetiapino pailginto atpalaidavimo formos derinio poveikį ūmine manija sergantiems suaugusiems pacientams lyginant su placebo ir derinio poveikiu, nepageidaujamų reiškinių patyrė daugiau (63 %) kvetiapino pailginto atpalaidavimo formą ir litį vartojusių pacientų negu vartojusių kvetiapino pailginto atpalaidavimo formą ir placebą (48 %). Gautais saugumo duomenimis, ekstrapiramidinių simptomų papildomo gydymo ličiu grupės pacientams (16,8 %) pasireiškė dažniau negu placebo (6,6 %) (dažniausiai tai buvo drebulys, užfiksuotas 15,6 % ličio ir 4,9 % placebo grupės pacientų). Mieguistumas taip pat dažniau pasireiškė papildomai ličiu </w:t>
      </w:r>
      <w:r w:rsidR="000C115C">
        <w:rPr>
          <w:rFonts w:ascii="Times New Roman" w:eastAsia="Times New Roman" w:hAnsi="Times New Roman"/>
        </w:rPr>
        <w:t xml:space="preserve">gydytos </w:t>
      </w:r>
      <w:r w:rsidRPr="00F45D90">
        <w:rPr>
          <w:rFonts w:ascii="Times New Roman" w:eastAsia="Times New Roman" w:hAnsi="Times New Roman"/>
        </w:rPr>
        <w:t xml:space="preserve">grupės pacientams (12,7 %) negu </w:t>
      </w:r>
      <w:r w:rsidR="000C115C">
        <w:rPr>
          <w:rFonts w:ascii="Times New Roman" w:eastAsia="Times New Roman" w:hAnsi="Times New Roman"/>
        </w:rPr>
        <w:t xml:space="preserve"> papildomai </w:t>
      </w:r>
      <w:r w:rsidRPr="00F45D90">
        <w:rPr>
          <w:rFonts w:ascii="Times New Roman" w:eastAsia="Times New Roman" w:hAnsi="Times New Roman"/>
        </w:rPr>
        <w:t>placeb</w:t>
      </w:r>
      <w:r w:rsidR="000C115C">
        <w:rPr>
          <w:rFonts w:ascii="Times New Roman" w:eastAsia="Times New Roman" w:hAnsi="Times New Roman"/>
        </w:rPr>
        <w:t>u gydytiems pacientams</w:t>
      </w:r>
      <w:r w:rsidRPr="00F45D90">
        <w:rPr>
          <w:rFonts w:ascii="Times New Roman" w:eastAsia="Times New Roman" w:hAnsi="Times New Roman"/>
        </w:rPr>
        <w:t xml:space="preserve"> (5,5 %). Be to, gydymo laikotarpiu ≥ 7 % svorio priaugo daugiau papildomo gydymo ličiu grupės pacientų (8,0 %) negu placebo (4,7 %).</w:t>
      </w:r>
    </w:p>
    <w:p w14:paraId="493887CE" w14:textId="77777777" w:rsidR="00CB68E6" w:rsidRPr="00F45D90" w:rsidRDefault="00CB68E6" w:rsidP="00CB68E6">
      <w:pPr>
        <w:spacing w:after="120" w:line="240" w:lineRule="auto"/>
        <w:rPr>
          <w:rFonts w:ascii="Times New Roman" w:eastAsia="Times New Roman" w:hAnsi="Times New Roman"/>
          <w:lang w:eastAsia="lt-LT"/>
        </w:rPr>
      </w:pPr>
    </w:p>
    <w:p w14:paraId="18BECD0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Ilgalaikio ligos atkryčio profilaktikos klinikinio tyrimo atviros fazės (trukmė 4-36 savaitės) metu pacientai buvo gydomi kvetiapinu, po to sekė atsitiktinis vartojimo nutraukimo periodas, kurio metu pacientai vartojo kvetiapiną arba placebą. Atviros fazės laikotarpiu kvetiapiną vartojusių pacientų kūno svoris vidutiniškai padidėjo 2,56 kg, 48-tą tyrimo savaitę vidutinis kūno svorio prieaugis buvo 3,22 kg palyginti su pradiniu. Placebą vartojusių pacientų kūno svoris vidutiniškai padidėjo 2,39 kg, 48-tą tyrimo savaitę vidutinis kūno svorio prieaugis buvo 0,89 kg palyginti su pradiniu. </w:t>
      </w:r>
    </w:p>
    <w:p w14:paraId="6ACCE55A" w14:textId="77777777" w:rsidR="00CB68E6" w:rsidRPr="00F45D90" w:rsidRDefault="00CB68E6" w:rsidP="00CB68E6">
      <w:pPr>
        <w:spacing w:after="0" w:line="240" w:lineRule="auto"/>
        <w:rPr>
          <w:rFonts w:ascii="Times New Roman" w:hAnsi="Times New Roman"/>
        </w:rPr>
      </w:pPr>
    </w:p>
    <w:p w14:paraId="51879D0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Atlikti placebu kontroliuojami tyrimai, kuriuose dalyvavo senyvi su demencija susijusia psichoze sergantys pacientai. Nepageidaujamų širdies ir kraujagyslių sistemos reiškinių dažnis per 100 paciento metų vartojant kvetiapiną nebuvo didesnis negu vartojant placebą.</w:t>
      </w:r>
    </w:p>
    <w:p w14:paraId="5AA05F79" w14:textId="77777777" w:rsidR="00CB68E6" w:rsidRPr="00F45D90" w:rsidRDefault="00CB68E6" w:rsidP="00CB68E6">
      <w:pPr>
        <w:spacing w:after="120" w:line="240" w:lineRule="auto"/>
        <w:rPr>
          <w:rFonts w:ascii="Times New Roman" w:eastAsia="Times New Roman" w:hAnsi="Times New Roman"/>
          <w:lang w:eastAsia="lt-LT"/>
        </w:rPr>
      </w:pPr>
    </w:p>
    <w:p w14:paraId="557B92CD" w14:textId="1978A48B" w:rsidR="00CB68E6" w:rsidRPr="00F45D90" w:rsidRDefault="00CB68E6" w:rsidP="00CB68E6">
      <w:pPr>
        <w:spacing w:after="0" w:line="240" w:lineRule="auto"/>
        <w:rPr>
          <w:rFonts w:ascii="Times New Roman" w:hAnsi="Times New Roman"/>
          <w:noProof/>
          <w:lang w:eastAsia="lt-LT"/>
        </w:rPr>
      </w:pPr>
      <w:r w:rsidRPr="00F45D90">
        <w:rPr>
          <w:rFonts w:ascii="Times New Roman" w:hAnsi="Times New Roman"/>
        </w:rPr>
        <w:t>Visų trumpalaikių placebu kontroliuotų monoterapijos tyrimų metu pacientams, kurių pradinis neutrofilų kiekis buvo ≥</w:t>
      </w:r>
      <w:r w:rsidR="00D8180D">
        <w:rPr>
          <w:rFonts w:ascii="Times New Roman" w:hAnsi="Times New Roman"/>
        </w:rPr>
        <w:t> </w:t>
      </w:r>
      <w:r w:rsidRPr="00F45D90">
        <w:rPr>
          <w:rFonts w:ascii="Times New Roman" w:hAnsi="Times New Roman"/>
        </w:rPr>
        <w:t>1,5</w:t>
      </w:r>
      <w:r w:rsidR="00D8180D">
        <w:rPr>
          <w:rFonts w:ascii="Times New Roman" w:hAnsi="Times New Roman"/>
        </w:rPr>
        <w:t> </w:t>
      </w:r>
      <w:r w:rsidRPr="00F45D90">
        <w:rPr>
          <w:rFonts w:ascii="Times New Roman" w:hAnsi="Times New Roman"/>
        </w:rPr>
        <w:t>x</w:t>
      </w:r>
      <w:r w:rsidR="00D8180D">
        <w:rPr>
          <w:rFonts w:ascii="Times New Roman" w:hAnsi="Times New Roman"/>
        </w:rPr>
        <w:t> </w:t>
      </w:r>
      <w:r w:rsidRPr="00F45D90">
        <w:rPr>
          <w:rFonts w:ascii="Times New Roman" w:hAnsi="Times New Roman"/>
        </w:rPr>
        <w:t>10</w:t>
      </w:r>
      <w:r w:rsidRPr="00F45D90">
        <w:rPr>
          <w:rFonts w:ascii="Times New Roman" w:hAnsi="Times New Roman"/>
          <w:vertAlign w:val="superscript"/>
        </w:rPr>
        <w:t>9</w:t>
      </w:r>
      <w:r w:rsidRPr="00F45D90">
        <w:rPr>
          <w:rFonts w:ascii="Times New Roman" w:hAnsi="Times New Roman"/>
        </w:rPr>
        <w:t>/l, bent vieno neutrofilų kiekio sumažėjimo iki &lt;</w:t>
      </w:r>
      <w:r w:rsidR="00D8180D">
        <w:rPr>
          <w:rFonts w:ascii="Times New Roman" w:hAnsi="Times New Roman"/>
        </w:rPr>
        <w:t> </w:t>
      </w:r>
      <w:r w:rsidRPr="00F45D90">
        <w:rPr>
          <w:rFonts w:ascii="Times New Roman" w:hAnsi="Times New Roman"/>
        </w:rPr>
        <w:t>1,5</w:t>
      </w:r>
      <w:r w:rsidR="00D8180D">
        <w:rPr>
          <w:rFonts w:ascii="Times New Roman" w:hAnsi="Times New Roman"/>
        </w:rPr>
        <w:t> </w:t>
      </w:r>
      <w:r w:rsidRPr="00F45D90">
        <w:rPr>
          <w:rFonts w:ascii="Times New Roman" w:hAnsi="Times New Roman"/>
        </w:rPr>
        <w:t>x</w:t>
      </w:r>
      <w:r w:rsidR="00D8180D">
        <w:rPr>
          <w:rFonts w:ascii="Times New Roman" w:hAnsi="Times New Roman"/>
        </w:rPr>
        <w:t> </w:t>
      </w:r>
      <w:r w:rsidRPr="00F45D90">
        <w:rPr>
          <w:rFonts w:ascii="Times New Roman" w:hAnsi="Times New Roman"/>
        </w:rPr>
        <w:t>10</w:t>
      </w:r>
      <w:r w:rsidRPr="00F45D90">
        <w:rPr>
          <w:rFonts w:ascii="Times New Roman" w:hAnsi="Times New Roman"/>
          <w:vertAlign w:val="superscript"/>
        </w:rPr>
        <w:t>9</w:t>
      </w:r>
      <w:r w:rsidRPr="00F45D90">
        <w:rPr>
          <w:rFonts w:ascii="Times New Roman" w:hAnsi="Times New Roman"/>
        </w:rPr>
        <w:t xml:space="preserve">/l dažnis </w:t>
      </w:r>
      <w:r w:rsidRPr="00F45D90">
        <w:rPr>
          <w:rFonts w:ascii="Times New Roman" w:hAnsi="Times New Roman"/>
        </w:rPr>
        <w:lastRenderedPageBreak/>
        <w:t>buvo 1,9</w:t>
      </w:r>
      <w:r w:rsidR="00D8180D">
        <w:rPr>
          <w:rFonts w:ascii="Times New Roman" w:hAnsi="Times New Roman"/>
        </w:rPr>
        <w:t> </w:t>
      </w:r>
      <w:r w:rsidRPr="00F45D90">
        <w:rPr>
          <w:rFonts w:ascii="Times New Roman" w:hAnsi="Times New Roman"/>
        </w:rPr>
        <w:t>% kvetiapino vartojusių pacientų grupėje palyginti su 1,3</w:t>
      </w:r>
      <w:r w:rsidR="00D8180D">
        <w:rPr>
          <w:rFonts w:ascii="Times New Roman" w:hAnsi="Times New Roman"/>
        </w:rPr>
        <w:t> </w:t>
      </w:r>
      <w:r w:rsidRPr="00F45D90">
        <w:rPr>
          <w:rFonts w:ascii="Times New Roman" w:hAnsi="Times New Roman"/>
        </w:rPr>
        <w:t>% placebo vartojusių ligonių grupėje. Pokyčio, kai neutrofilų kiekis tapo &gt;</w:t>
      </w:r>
      <w:r w:rsidR="00D8180D">
        <w:rPr>
          <w:rFonts w:ascii="Times New Roman" w:hAnsi="Times New Roman"/>
        </w:rPr>
        <w:t> </w:t>
      </w:r>
      <w:r w:rsidRPr="00F45D90">
        <w:rPr>
          <w:rFonts w:ascii="Times New Roman" w:hAnsi="Times New Roman"/>
        </w:rPr>
        <w:t>0,5-&lt;</w:t>
      </w:r>
      <w:r w:rsidR="00D8180D">
        <w:rPr>
          <w:rFonts w:ascii="Times New Roman" w:hAnsi="Times New Roman"/>
        </w:rPr>
        <w:t> </w:t>
      </w:r>
      <w:r w:rsidRPr="00F45D90">
        <w:rPr>
          <w:rFonts w:ascii="Times New Roman" w:hAnsi="Times New Roman"/>
        </w:rPr>
        <w:t>1,0</w:t>
      </w:r>
      <w:r w:rsidR="00D8180D">
        <w:rPr>
          <w:rFonts w:ascii="Times New Roman" w:hAnsi="Times New Roman"/>
        </w:rPr>
        <w:t> </w:t>
      </w:r>
      <w:r w:rsidRPr="00F45D90">
        <w:rPr>
          <w:rFonts w:ascii="Times New Roman" w:hAnsi="Times New Roman"/>
        </w:rPr>
        <w:t>x</w:t>
      </w:r>
      <w:r w:rsidR="00D8180D">
        <w:rPr>
          <w:rFonts w:ascii="Times New Roman" w:hAnsi="Times New Roman"/>
        </w:rPr>
        <w:t> </w:t>
      </w:r>
      <w:r w:rsidRPr="00F45D90">
        <w:rPr>
          <w:rFonts w:ascii="Times New Roman" w:hAnsi="Times New Roman"/>
        </w:rPr>
        <w:t>10</w:t>
      </w:r>
      <w:r w:rsidRPr="00F45D90">
        <w:rPr>
          <w:rFonts w:ascii="Times New Roman" w:hAnsi="Times New Roman"/>
          <w:vertAlign w:val="superscript"/>
        </w:rPr>
        <w:t>9</w:t>
      </w:r>
      <w:r w:rsidRPr="00F45D90">
        <w:rPr>
          <w:rFonts w:ascii="Times New Roman" w:hAnsi="Times New Roman"/>
        </w:rPr>
        <w:t>/l, dažnis ir kvetiapino, ir placebo vartojusių pacientų grupėje buvo toks pats (0,2</w:t>
      </w:r>
      <w:r w:rsidR="00D8180D">
        <w:rPr>
          <w:rFonts w:ascii="Times New Roman" w:hAnsi="Times New Roman"/>
        </w:rPr>
        <w:t> </w:t>
      </w:r>
      <w:r w:rsidRPr="00F45D90">
        <w:rPr>
          <w:rFonts w:ascii="Times New Roman" w:hAnsi="Times New Roman"/>
        </w:rPr>
        <w:t>%). Visų klinikinių tyrimų (placebu kontroliuotų, atvirų, su lyginamąja aktyvaus preparato vartojimo grupe) metu pacientams, kurių pradinis neutrofilų kiekis buvo ≥1,5 x 10</w:t>
      </w:r>
      <w:r w:rsidRPr="00F45D90">
        <w:rPr>
          <w:rFonts w:ascii="Times New Roman" w:hAnsi="Times New Roman"/>
          <w:vertAlign w:val="superscript"/>
        </w:rPr>
        <w:t>9</w:t>
      </w:r>
      <w:r w:rsidRPr="00F45D90">
        <w:rPr>
          <w:rFonts w:ascii="Times New Roman" w:hAnsi="Times New Roman"/>
        </w:rPr>
        <w:t>/l, bent vieno neutrofilų kiekio sumažėjimo iki &lt;</w:t>
      </w:r>
      <w:r w:rsidR="00D8180D">
        <w:rPr>
          <w:rFonts w:ascii="Times New Roman" w:hAnsi="Times New Roman"/>
        </w:rPr>
        <w:t> </w:t>
      </w:r>
      <w:r w:rsidRPr="00F45D90">
        <w:rPr>
          <w:rFonts w:ascii="Times New Roman" w:hAnsi="Times New Roman"/>
        </w:rPr>
        <w:t>1,5</w:t>
      </w:r>
      <w:r w:rsidR="00D8180D">
        <w:rPr>
          <w:rFonts w:ascii="Times New Roman" w:hAnsi="Times New Roman"/>
        </w:rPr>
        <w:t> </w:t>
      </w:r>
      <w:r w:rsidRPr="00F45D90">
        <w:rPr>
          <w:rFonts w:ascii="Times New Roman" w:hAnsi="Times New Roman"/>
        </w:rPr>
        <w:t>x</w:t>
      </w:r>
      <w:r w:rsidR="00D8180D">
        <w:rPr>
          <w:rFonts w:ascii="Times New Roman" w:hAnsi="Times New Roman"/>
        </w:rPr>
        <w:t> </w:t>
      </w:r>
      <w:r w:rsidRPr="00F45D90">
        <w:rPr>
          <w:rFonts w:ascii="Times New Roman" w:hAnsi="Times New Roman"/>
        </w:rPr>
        <w:t>10</w:t>
      </w:r>
      <w:r w:rsidRPr="00F45D90">
        <w:rPr>
          <w:rFonts w:ascii="Times New Roman" w:hAnsi="Times New Roman"/>
          <w:vertAlign w:val="superscript"/>
        </w:rPr>
        <w:t>9</w:t>
      </w:r>
      <w:r w:rsidRPr="00F45D90">
        <w:rPr>
          <w:rFonts w:ascii="Times New Roman" w:hAnsi="Times New Roman"/>
        </w:rPr>
        <w:t>/l dažnis kvetiapino vartojusių ligonių grupėse buvo 2,9</w:t>
      </w:r>
      <w:r w:rsidR="00D8180D">
        <w:rPr>
          <w:rFonts w:ascii="Times New Roman" w:hAnsi="Times New Roman"/>
        </w:rPr>
        <w:t> </w:t>
      </w:r>
      <w:r w:rsidRPr="00F45D90">
        <w:rPr>
          <w:rFonts w:ascii="Times New Roman" w:hAnsi="Times New Roman"/>
        </w:rPr>
        <w:t>%, o pokyčio, kai neutrofilų kiekis tapo &lt;</w:t>
      </w:r>
      <w:r w:rsidR="00D8180D">
        <w:rPr>
          <w:rFonts w:ascii="Times New Roman" w:hAnsi="Times New Roman"/>
        </w:rPr>
        <w:t> </w:t>
      </w:r>
      <w:r w:rsidRPr="00F45D90">
        <w:rPr>
          <w:rFonts w:ascii="Times New Roman" w:hAnsi="Times New Roman"/>
        </w:rPr>
        <w:t>0,5</w:t>
      </w:r>
      <w:r w:rsidR="00D8180D">
        <w:rPr>
          <w:rFonts w:ascii="Times New Roman" w:hAnsi="Times New Roman"/>
        </w:rPr>
        <w:t> </w:t>
      </w:r>
      <w:r w:rsidRPr="00F45D90">
        <w:rPr>
          <w:rFonts w:ascii="Times New Roman" w:hAnsi="Times New Roman"/>
        </w:rPr>
        <w:t>x</w:t>
      </w:r>
      <w:r w:rsidR="00D8180D">
        <w:rPr>
          <w:rFonts w:ascii="Times New Roman" w:hAnsi="Times New Roman"/>
        </w:rPr>
        <w:t> </w:t>
      </w:r>
      <w:r w:rsidRPr="00F45D90">
        <w:rPr>
          <w:rFonts w:ascii="Times New Roman" w:hAnsi="Times New Roman"/>
        </w:rPr>
        <w:t>10</w:t>
      </w:r>
      <w:r w:rsidRPr="00F45D90">
        <w:rPr>
          <w:rFonts w:ascii="Times New Roman" w:hAnsi="Times New Roman"/>
          <w:vertAlign w:val="superscript"/>
        </w:rPr>
        <w:t>9</w:t>
      </w:r>
      <w:r w:rsidRPr="00F45D90">
        <w:rPr>
          <w:rFonts w:ascii="Times New Roman" w:hAnsi="Times New Roman"/>
        </w:rPr>
        <w:t>/l – 0,21</w:t>
      </w:r>
      <w:r w:rsidR="00D8180D">
        <w:rPr>
          <w:rFonts w:ascii="Times New Roman" w:hAnsi="Times New Roman"/>
        </w:rPr>
        <w:t> </w:t>
      </w:r>
      <w:r w:rsidRPr="00F45D90">
        <w:rPr>
          <w:rFonts w:ascii="Times New Roman" w:hAnsi="Times New Roman"/>
        </w:rPr>
        <w:t>%.</w:t>
      </w:r>
    </w:p>
    <w:p w14:paraId="00BBA741" w14:textId="77777777" w:rsidR="00CB68E6" w:rsidRPr="00F45D90" w:rsidRDefault="00CB68E6" w:rsidP="00CB68E6">
      <w:pPr>
        <w:spacing w:after="120" w:line="240" w:lineRule="auto"/>
        <w:rPr>
          <w:rFonts w:ascii="Times New Roman" w:eastAsia="Times New Roman" w:hAnsi="Times New Roman"/>
          <w:lang w:eastAsia="lt-LT"/>
        </w:rPr>
      </w:pPr>
    </w:p>
    <w:p w14:paraId="3A0C27DA" w14:textId="6DB0CAE4" w:rsidR="00CB68E6" w:rsidRPr="00F45D90" w:rsidRDefault="00CB68E6" w:rsidP="00CB68E6">
      <w:pPr>
        <w:spacing w:after="0" w:line="240" w:lineRule="auto"/>
        <w:rPr>
          <w:rFonts w:ascii="Times New Roman" w:hAnsi="Times New Roman"/>
        </w:rPr>
      </w:pPr>
      <w:r w:rsidRPr="00F45D90">
        <w:rPr>
          <w:rFonts w:ascii="Times New Roman" w:eastAsia="Times New Roman" w:hAnsi="Times New Roman"/>
          <w:lang w:eastAsia="lt-LT"/>
        </w:rPr>
        <w:t>Kvetiapino vartojimas susijęs su  nuo dozės priklausomu skydliaukės hormonų kiekio sumažėjimu.</w:t>
      </w:r>
      <w:r w:rsidRPr="00F45D90">
        <w:rPr>
          <w:rFonts w:ascii="Times New Roman" w:hAnsi="Times New Roman"/>
          <w:noProof/>
          <w:lang w:eastAsia="lt-LT"/>
        </w:rPr>
        <w:t xml:space="preserve"> TSH koncentracijos pokyčio dažnis buvo 3,2</w:t>
      </w:r>
      <w:r w:rsidR="00D8180D">
        <w:rPr>
          <w:rFonts w:ascii="Times New Roman" w:hAnsi="Times New Roman"/>
          <w:noProof/>
          <w:lang w:eastAsia="lt-LT"/>
        </w:rPr>
        <w:t> </w:t>
      </w:r>
      <w:r w:rsidRPr="00F45D90">
        <w:rPr>
          <w:rFonts w:ascii="Times New Roman" w:hAnsi="Times New Roman"/>
          <w:noProof/>
          <w:lang w:eastAsia="lt-LT"/>
        </w:rPr>
        <w:t>% vartojant kvetiapino palyginti su 2,7</w:t>
      </w:r>
      <w:r w:rsidR="00D8180D">
        <w:rPr>
          <w:rFonts w:ascii="Times New Roman" w:hAnsi="Times New Roman"/>
          <w:noProof/>
          <w:lang w:eastAsia="lt-LT"/>
        </w:rPr>
        <w:t> </w:t>
      </w:r>
      <w:r w:rsidRPr="00F45D90">
        <w:rPr>
          <w:rFonts w:ascii="Times New Roman" w:hAnsi="Times New Roman"/>
          <w:noProof/>
          <w:lang w:eastAsia="lt-LT"/>
        </w:rPr>
        <w:t xml:space="preserve">% vartojant </w:t>
      </w:r>
      <w:r w:rsidRPr="00F45D90">
        <w:rPr>
          <w:rFonts w:ascii="Times New Roman" w:hAnsi="Times New Roman"/>
        </w:rPr>
        <w:t>placebo.</w:t>
      </w:r>
      <w:r w:rsidRPr="00F45D90">
        <w:rPr>
          <w:rFonts w:ascii="Times New Roman" w:hAnsi="Times New Roman"/>
          <w:noProof/>
          <w:lang w:eastAsia="lt-LT"/>
        </w:rPr>
        <w:t xml:space="preserve"> Reciprokinis potencialiai kliniškai reikšmingas T</w:t>
      </w:r>
      <w:r w:rsidRPr="00F45D90">
        <w:rPr>
          <w:rFonts w:ascii="Times New Roman" w:hAnsi="Times New Roman"/>
          <w:noProof/>
          <w:vertAlign w:val="subscript"/>
          <w:lang w:eastAsia="lt-LT"/>
        </w:rPr>
        <w:t>3</w:t>
      </w:r>
      <w:r w:rsidRPr="00F45D90">
        <w:rPr>
          <w:rFonts w:ascii="Times New Roman" w:hAnsi="Times New Roman"/>
          <w:noProof/>
          <w:lang w:eastAsia="lt-LT"/>
        </w:rPr>
        <w:t xml:space="preserve"> ar T</w:t>
      </w:r>
      <w:r w:rsidRPr="00F45D90">
        <w:rPr>
          <w:rFonts w:ascii="Times New Roman" w:hAnsi="Times New Roman"/>
          <w:noProof/>
          <w:vertAlign w:val="subscript"/>
          <w:lang w:eastAsia="lt-LT"/>
        </w:rPr>
        <w:t>4</w:t>
      </w:r>
      <w:r w:rsidRPr="00F45D90">
        <w:rPr>
          <w:rFonts w:ascii="Times New Roman" w:hAnsi="Times New Roman"/>
          <w:noProof/>
          <w:lang w:eastAsia="lt-LT"/>
        </w:rPr>
        <w:t xml:space="preserve"> ir TSH koncentracijos pokytis šių tyrimų metu atsirado retai, o pasireiškę skydliaukės hormonų koncentracijos pokyčiai nebuvo susiję su klinikiniais simptomais pasireiškiančiu hipotiroidizmu.</w:t>
      </w:r>
      <w:r w:rsidRPr="00F45D90">
        <w:rPr>
          <w:rFonts w:ascii="Times New Roman" w:eastAsia="Times New Roman" w:hAnsi="Times New Roman"/>
        </w:rPr>
        <w:t xml:space="preserve"> </w:t>
      </w:r>
      <w:r w:rsidRPr="00F45D90">
        <w:rPr>
          <w:rFonts w:ascii="Times New Roman" w:hAnsi="Times New Roman"/>
          <w:noProof/>
          <w:lang w:eastAsia="lt-LT"/>
        </w:rPr>
        <w:t>Bendrojo ir laisvojo T</w:t>
      </w:r>
      <w:r w:rsidRPr="00F45D90">
        <w:rPr>
          <w:rFonts w:ascii="Times New Roman" w:hAnsi="Times New Roman"/>
          <w:noProof/>
          <w:vertAlign w:val="subscript"/>
          <w:lang w:eastAsia="lt-LT"/>
        </w:rPr>
        <w:t>4</w:t>
      </w:r>
      <w:r w:rsidRPr="00F45D90">
        <w:rPr>
          <w:rFonts w:ascii="Times New Roman" w:hAnsi="Times New Roman"/>
          <w:noProof/>
          <w:lang w:eastAsia="lt-LT"/>
        </w:rPr>
        <w:t xml:space="preserve"> koncentracija labiausiai sumažėjo pirmosiomis šešiomis gydymo kvetiapinu savaitėmis ir ilgalaikio gydymo metu daugiau nebemažėjo. Maždaug 2/3 visų atvejų gydymo kvetiapinu nutraukimas buvo susijęs su poveikio bendrojo ir laisvojo T</w:t>
      </w:r>
      <w:r w:rsidRPr="00F45D90">
        <w:rPr>
          <w:rFonts w:ascii="Times New Roman" w:hAnsi="Times New Roman"/>
          <w:noProof/>
          <w:vertAlign w:val="subscript"/>
          <w:lang w:eastAsia="lt-LT"/>
        </w:rPr>
        <w:t>4</w:t>
      </w:r>
      <w:r w:rsidRPr="00F45D90">
        <w:rPr>
          <w:rFonts w:ascii="Times New Roman" w:hAnsi="Times New Roman"/>
          <w:noProof/>
          <w:lang w:eastAsia="lt-LT"/>
        </w:rPr>
        <w:t xml:space="preserve"> koncentracijai išnykimu ir tai nuo gydymo trukmės nepriklausė.</w:t>
      </w:r>
    </w:p>
    <w:p w14:paraId="7F61BBB9" w14:textId="77777777" w:rsidR="00CB68E6" w:rsidRPr="00F45D90" w:rsidRDefault="00CB68E6" w:rsidP="00CB68E6">
      <w:pPr>
        <w:spacing w:after="0" w:line="240" w:lineRule="auto"/>
        <w:rPr>
          <w:rFonts w:ascii="Times New Roman" w:hAnsi="Times New Roman"/>
          <w:i/>
        </w:rPr>
      </w:pPr>
    </w:p>
    <w:p w14:paraId="636B923B" w14:textId="77777777" w:rsidR="00CB68E6" w:rsidRPr="00F45D90" w:rsidRDefault="00CB68E6" w:rsidP="00CB68E6">
      <w:pPr>
        <w:spacing w:after="0" w:line="240" w:lineRule="auto"/>
        <w:rPr>
          <w:rFonts w:ascii="Times New Roman" w:hAnsi="Times New Roman"/>
          <w:i/>
        </w:rPr>
      </w:pPr>
      <w:r w:rsidRPr="00F45D90">
        <w:rPr>
          <w:rFonts w:ascii="Times New Roman" w:hAnsi="Times New Roman"/>
          <w:i/>
        </w:rPr>
        <w:t>Katarakta arba lęšiuko drumstis</w:t>
      </w:r>
    </w:p>
    <w:p w14:paraId="30D5BC2C" w14:textId="32647248"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Klinikinio tyrimo metu lyginant potencialų kataraktą sukeliantį kvetiapino (200-800 mg per parą) ir risperidono (2-8 mg per parą) poveikį šizofrenija ar šizoafektiniu sutrikimu sergantiems pacientams nustatyta, kad bent 21 mėn. </w:t>
      </w:r>
      <w:r w:rsidR="000C115C">
        <w:rPr>
          <w:rFonts w:ascii="Times New Roman" w:hAnsi="Times New Roman"/>
        </w:rPr>
        <w:t>k</w:t>
      </w:r>
      <w:r w:rsidRPr="00F45D90">
        <w:rPr>
          <w:rFonts w:ascii="Times New Roman" w:hAnsi="Times New Roman"/>
        </w:rPr>
        <w:t>vetiapiną vartojusių pacientų, kurių lęšiuko drumsties laipsnis padidėjo, dalis (4</w:t>
      </w:r>
      <w:r w:rsidR="00D8180D">
        <w:rPr>
          <w:rFonts w:ascii="Times New Roman" w:hAnsi="Times New Roman"/>
        </w:rPr>
        <w:t> </w:t>
      </w:r>
      <w:r w:rsidRPr="00F45D90">
        <w:rPr>
          <w:rFonts w:ascii="Times New Roman" w:hAnsi="Times New Roman"/>
        </w:rPr>
        <w:t>%) nebuvo didesnė negu tiek pat laiko vartojusių risperidono (10</w:t>
      </w:r>
      <w:r w:rsidR="00D8180D">
        <w:rPr>
          <w:rFonts w:ascii="Times New Roman" w:hAnsi="Times New Roman"/>
        </w:rPr>
        <w:t> </w:t>
      </w:r>
      <w:r w:rsidRPr="00F45D90">
        <w:rPr>
          <w:rFonts w:ascii="Times New Roman" w:hAnsi="Times New Roman"/>
        </w:rPr>
        <w:t>%).</w:t>
      </w:r>
    </w:p>
    <w:p w14:paraId="12A0BC8D" w14:textId="77777777" w:rsidR="00CB68E6" w:rsidRPr="00F45D90" w:rsidRDefault="00CB68E6" w:rsidP="00CB68E6">
      <w:pPr>
        <w:spacing w:after="0" w:line="240" w:lineRule="auto"/>
        <w:rPr>
          <w:rFonts w:ascii="Times New Roman" w:hAnsi="Times New Roman"/>
        </w:rPr>
      </w:pPr>
    </w:p>
    <w:p w14:paraId="3B6E3B86" w14:textId="77777777" w:rsidR="00CB68E6" w:rsidRPr="00F45D90" w:rsidRDefault="00CB68E6" w:rsidP="00CB68E6">
      <w:pPr>
        <w:keepNext/>
        <w:tabs>
          <w:tab w:val="left" w:pos="567"/>
        </w:tabs>
        <w:spacing w:after="60" w:line="240" w:lineRule="auto"/>
        <w:outlineLvl w:val="2"/>
        <w:rPr>
          <w:rFonts w:ascii="Times New Roman" w:eastAsia="Times New Roman" w:hAnsi="Times New Roman"/>
          <w:i/>
          <w:kern w:val="28"/>
          <w:lang w:eastAsia="lt-LT"/>
        </w:rPr>
      </w:pPr>
      <w:bookmarkStart w:id="35" w:name="_Toc129243113"/>
      <w:bookmarkStart w:id="36" w:name="_Toc129243238"/>
      <w:r w:rsidRPr="00F45D90">
        <w:rPr>
          <w:rFonts w:ascii="Times New Roman" w:eastAsia="Times New Roman" w:hAnsi="Times New Roman"/>
          <w:i/>
          <w:kern w:val="28"/>
          <w:lang w:eastAsia="lt-LT"/>
        </w:rPr>
        <w:t>Vaikų populiacija</w:t>
      </w:r>
    </w:p>
    <w:p w14:paraId="0EEE5667" w14:textId="77777777" w:rsidR="00CB68E6" w:rsidRPr="00F45D90" w:rsidRDefault="00CB68E6" w:rsidP="00CB68E6">
      <w:pPr>
        <w:keepNext/>
        <w:tabs>
          <w:tab w:val="left" w:pos="567"/>
        </w:tabs>
        <w:spacing w:after="60" w:line="240" w:lineRule="auto"/>
        <w:outlineLvl w:val="2"/>
        <w:rPr>
          <w:rFonts w:ascii="Times New Roman" w:eastAsia="Times New Roman" w:hAnsi="Times New Roman"/>
          <w:kern w:val="28"/>
          <w:lang w:eastAsia="lt-LT"/>
        </w:rPr>
      </w:pPr>
    </w:p>
    <w:p w14:paraId="68757546" w14:textId="77777777" w:rsidR="00CB68E6" w:rsidRPr="00F45D90" w:rsidRDefault="00CB68E6" w:rsidP="00CB68E6">
      <w:pPr>
        <w:keepNext/>
        <w:tabs>
          <w:tab w:val="left" w:pos="567"/>
        </w:tabs>
        <w:spacing w:after="60" w:line="240" w:lineRule="auto"/>
        <w:outlineLvl w:val="2"/>
        <w:rPr>
          <w:rFonts w:ascii="Times New Roman" w:eastAsia="Times New Roman" w:hAnsi="Times New Roman"/>
          <w:kern w:val="28"/>
          <w:lang w:eastAsia="lt-LT"/>
        </w:rPr>
      </w:pPr>
      <w:r w:rsidRPr="00F45D90">
        <w:rPr>
          <w:rFonts w:ascii="Times New Roman" w:eastAsia="Times New Roman" w:hAnsi="Times New Roman"/>
          <w:kern w:val="28"/>
          <w:lang w:eastAsia="lt-LT"/>
        </w:rPr>
        <w:t>Klinikinis veiksmingumas</w:t>
      </w:r>
    </w:p>
    <w:p w14:paraId="7D20DFAF" w14:textId="5C28BD49" w:rsidR="00CB68E6" w:rsidRPr="00F45D90" w:rsidRDefault="00CB68E6" w:rsidP="00CB68E6">
      <w:pPr>
        <w:keepNext/>
        <w:tabs>
          <w:tab w:val="left" w:pos="567"/>
        </w:tabs>
        <w:spacing w:after="60" w:line="240" w:lineRule="auto"/>
        <w:outlineLvl w:val="2"/>
        <w:rPr>
          <w:rFonts w:ascii="Times New Roman" w:eastAsia="Times New Roman" w:hAnsi="Times New Roman"/>
          <w:kern w:val="28"/>
          <w:lang w:eastAsia="lt-LT"/>
        </w:rPr>
      </w:pPr>
      <w:r w:rsidRPr="00F45D90">
        <w:rPr>
          <w:rFonts w:ascii="Times New Roman" w:eastAsia="Times New Roman" w:hAnsi="Times New Roman"/>
          <w:kern w:val="28"/>
          <w:lang w:eastAsia="lt-LT"/>
        </w:rPr>
        <w:t>Kvetiapino veiksmingumas ir saugumas tirtas atliekant 3 savaičių trukmės placebu kontroliuojamą sergančiųjų maniją tyrimą (284 pacientai iš JAV, amžius 10-17 metų). Apie 45</w:t>
      </w:r>
      <w:r w:rsidR="00D8180D">
        <w:rPr>
          <w:rFonts w:ascii="Times New Roman" w:eastAsia="Times New Roman" w:hAnsi="Times New Roman"/>
          <w:kern w:val="28"/>
          <w:lang w:eastAsia="lt-LT"/>
        </w:rPr>
        <w:t> </w:t>
      </w:r>
      <w:r w:rsidRPr="00F45D90">
        <w:rPr>
          <w:rFonts w:ascii="Times New Roman" w:eastAsia="Times New Roman" w:hAnsi="Times New Roman"/>
          <w:kern w:val="28"/>
          <w:lang w:eastAsia="lt-LT"/>
        </w:rPr>
        <w:t>% pacientų nustatyta papildoma dėmesio stokos ir hiperaktyvumo sutrikimo diagnozė. Be to, atliktas 6 savaičių trukmės placebu kontroliuojamas klinikinis šizofrenijos gydymo tyrimas (222 pacientai, amžius 13-17 metų). Pacientai, kuriems buvo žinoma atsako į gydymą kvetiapinu stoka, į tyrimą neįtraukti. Gydymo kvetiapinu pradinė dozė buvo 50 mg/parą, antrą dieną dozė padidinta iki 100 mg/parą; palengva dozė didinta iki numatytos dozės (manijos gydymui 400-600</w:t>
      </w:r>
      <w:r w:rsidR="00D8180D">
        <w:rPr>
          <w:rFonts w:ascii="Times New Roman" w:eastAsia="Times New Roman" w:hAnsi="Times New Roman"/>
          <w:kern w:val="28"/>
          <w:lang w:eastAsia="lt-LT"/>
        </w:rPr>
        <w:t> </w:t>
      </w:r>
      <w:r w:rsidRPr="00F45D90">
        <w:rPr>
          <w:rFonts w:ascii="Times New Roman" w:eastAsia="Times New Roman" w:hAnsi="Times New Roman"/>
          <w:kern w:val="28"/>
          <w:lang w:eastAsia="lt-LT"/>
        </w:rPr>
        <w:t>mg/parą, šizofrenijos gydymui 400-800 mg/parą) po 100 mg per parą padalijus ją į dvi arba tris dalis.</w:t>
      </w:r>
    </w:p>
    <w:p w14:paraId="713233EF"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p>
    <w:p w14:paraId="2DFF3F4D" w14:textId="593C96C6"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Manijos tyrimo metu </w:t>
      </w:r>
      <w:r w:rsidRPr="00F45D90">
        <w:rPr>
          <w:rFonts w:ascii="Times New Roman" w:hAnsi="Times New Roman"/>
          <w:color w:val="000000"/>
        </w:rPr>
        <w:t xml:space="preserve">Young manijos vertinimo skalės (angl. </w:t>
      </w:r>
      <w:r w:rsidRPr="00F45D90">
        <w:rPr>
          <w:rFonts w:ascii="Times New Roman" w:hAnsi="Times New Roman"/>
          <w:i/>
          <w:color w:val="000000"/>
        </w:rPr>
        <w:t>Young Mania Rating Scale,</w:t>
      </w:r>
      <w:r w:rsidRPr="00F45D90">
        <w:rPr>
          <w:rFonts w:ascii="Times New Roman" w:hAnsi="Times New Roman"/>
          <w:b/>
          <w:i/>
          <w:color w:val="000000"/>
        </w:rPr>
        <w:t xml:space="preserve"> </w:t>
      </w:r>
      <w:r w:rsidRPr="00F45D90">
        <w:rPr>
          <w:rFonts w:ascii="Times New Roman" w:hAnsi="Times New Roman"/>
          <w:bCs/>
          <w:color w:val="000000"/>
        </w:rPr>
        <w:t>YMRS</w:t>
      </w:r>
      <w:r w:rsidRPr="00F45D90">
        <w:rPr>
          <w:rFonts w:ascii="Times New Roman" w:hAnsi="Times New Roman"/>
          <w:color w:val="000000"/>
        </w:rPr>
        <w:t xml:space="preserve">) pradinio vertinimo bendro balų </w:t>
      </w:r>
      <w:r w:rsidRPr="00F45D90">
        <w:rPr>
          <w:rFonts w:ascii="Times New Roman" w:hAnsi="Times New Roman"/>
        </w:rPr>
        <w:t>vidurkio (LS vidurkio) pokytis (aktyvus minus placebo) buvo -5,21 vartojant kvetiapino 400 mg/parą dozę ir -6,56 vartojant kvetiapino 600 mg/parą dozę. Atsako dažnis (YMRS vertinimo pagerėjimas ≥</w:t>
      </w:r>
      <w:r w:rsidR="00D8180D">
        <w:rPr>
          <w:rFonts w:ascii="Times New Roman" w:hAnsi="Times New Roman"/>
        </w:rPr>
        <w:t> </w:t>
      </w:r>
      <w:r w:rsidRPr="00F45D90">
        <w:rPr>
          <w:rFonts w:ascii="Times New Roman" w:hAnsi="Times New Roman"/>
        </w:rPr>
        <w:t>50%) buvo 64% vartojant 400 mg paros dozę ir 58</w:t>
      </w:r>
      <w:r w:rsidR="00D8180D">
        <w:rPr>
          <w:rFonts w:ascii="Times New Roman" w:hAnsi="Times New Roman"/>
        </w:rPr>
        <w:t> </w:t>
      </w:r>
      <w:r w:rsidRPr="00F45D90">
        <w:rPr>
          <w:rFonts w:ascii="Times New Roman" w:hAnsi="Times New Roman"/>
        </w:rPr>
        <w:t>% vartojant 600 mg paros dozę, 37</w:t>
      </w:r>
      <w:r w:rsidR="00D8180D">
        <w:rPr>
          <w:rFonts w:ascii="Times New Roman" w:hAnsi="Times New Roman"/>
        </w:rPr>
        <w:t> </w:t>
      </w:r>
      <w:r w:rsidRPr="00F45D90">
        <w:rPr>
          <w:rFonts w:ascii="Times New Roman" w:hAnsi="Times New Roman"/>
        </w:rPr>
        <w:t>% vartojusių placebą grupėje.</w:t>
      </w:r>
    </w:p>
    <w:p w14:paraId="342C40F8" w14:textId="77777777" w:rsidR="00CB68E6" w:rsidRPr="00F45D90" w:rsidRDefault="00CB68E6" w:rsidP="00CB68E6">
      <w:pPr>
        <w:spacing w:after="0" w:line="240" w:lineRule="auto"/>
        <w:rPr>
          <w:rFonts w:ascii="Times New Roman" w:hAnsi="Times New Roman"/>
        </w:rPr>
      </w:pPr>
    </w:p>
    <w:p w14:paraId="20C53553" w14:textId="012AB1BE"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Šizofrenijos klinikinio tyrimo metu  teigiamo ir neigiamo sindromo skalės (angl. </w:t>
      </w:r>
      <w:r w:rsidRPr="00F45D90">
        <w:rPr>
          <w:rFonts w:ascii="Times New Roman" w:hAnsi="Times New Roman"/>
          <w:bCs/>
          <w:i/>
        </w:rPr>
        <w:t xml:space="preserve">Positive and Negative Syndrome Scale, </w:t>
      </w:r>
      <w:r w:rsidRPr="00F45D90">
        <w:rPr>
          <w:rFonts w:ascii="Times New Roman" w:hAnsi="Times New Roman"/>
          <w:bCs/>
        </w:rPr>
        <w:t>PANSS)</w:t>
      </w:r>
      <w:r w:rsidRPr="00F45D90">
        <w:rPr>
          <w:rFonts w:ascii="Times New Roman" w:hAnsi="Times New Roman"/>
          <w:color w:val="000000"/>
        </w:rPr>
        <w:t xml:space="preserve"> pradinio vertinimo bendro balų </w:t>
      </w:r>
      <w:r w:rsidRPr="00F45D90">
        <w:rPr>
          <w:rFonts w:ascii="Times New Roman" w:hAnsi="Times New Roman"/>
        </w:rPr>
        <w:t>vidurkio (LS vidurkio) pokytis (aktyvus minus placebo) buvo -8,16 vartojant kvetiapino 400 mg paros dozę ir -9,29 vartojant kvetiapino 800 mg/parą dozę. Nei mažos dozės (400 mg /parą), nei didelės dozės (800 mg/parą) kvetiapino vartojimas nebuvo veiksmingesnis palyginti su placebu procentiniu santykiu vertinant  atsakiusius į gydymą, kurių PANSS rodiklis palyginti su pradiniu sumažėjo ≥</w:t>
      </w:r>
      <w:r w:rsidR="00D8180D">
        <w:rPr>
          <w:rFonts w:ascii="Times New Roman" w:hAnsi="Times New Roman"/>
        </w:rPr>
        <w:t> </w:t>
      </w:r>
      <w:r w:rsidRPr="00F45D90">
        <w:rPr>
          <w:rFonts w:ascii="Times New Roman" w:hAnsi="Times New Roman"/>
        </w:rPr>
        <w:t>30%. Tiek manijos, tiek šizofrenijos pacientų grupėje didelės dozės sukėlė skaičiaus atžvilgiu mažesnį atsaką į gydymą.</w:t>
      </w:r>
    </w:p>
    <w:p w14:paraId="489B72B7" w14:textId="77777777" w:rsidR="00CB68E6" w:rsidRPr="00F45D90" w:rsidRDefault="00CB68E6" w:rsidP="00CB68E6">
      <w:pPr>
        <w:spacing w:after="0" w:line="240" w:lineRule="auto"/>
        <w:rPr>
          <w:rFonts w:ascii="Times New Roman" w:hAnsi="Times New Roman"/>
        </w:rPr>
      </w:pPr>
    </w:p>
    <w:p w14:paraId="0E8CADD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Trečio trumpalaikio placebu kontroliuojamo klinikinio tyrimo  metu, kuomet bipolinio sindromo depresijos epizodu sergantiems vaikams ir paaugliams (10-17 metų) buvo taikoma monoterapija kvetiapino pailginto atpalaidavimo forma, vaisto veiksmingumo nenustatyta. </w:t>
      </w:r>
    </w:p>
    <w:p w14:paraId="45F62FBB" w14:textId="77777777" w:rsidR="00CB68E6" w:rsidRPr="00F45D90" w:rsidRDefault="00CB68E6" w:rsidP="00CB68E6">
      <w:pPr>
        <w:spacing w:after="0" w:line="240" w:lineRule="auto"/>
        <w:rPr>
          <w:rFonts w:ascii="Times New Roman" w:hAnsi="Times New Roman"/>
        </w:rPr>
      </w:pPr>
    </w:p>
    <w:p w14:paraId="1091E0D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Apie poveikio išsilaikymą ar atkryčio profilaktiką šioje amžiaus grupėje duomenų nėra.</w:t>
      </w:r>
    </w:p>
    <w:p w14:paraId="476C6683" w14:textId="77777777" w:rsidR="00CB68E6" w:rsidRPr="00F45D90" w:rsidRDefault="00CB68E6" w:rsidP="00CB68E6">
      <w:pPr>
        <w:spacing w:after="0" w:line="240" w:lineRule="auto"/>
        <w:rPr>
          <w:rFonts w:ascii="Times New Roman" w:hAnsi="Times New Roman"/>
        </w:rPr>
      </w:pPr>
    </w:p>
    <w:p w14:paraId="24A57C7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Klinikinis saugumas</w:t>
      </w:r>
    </w:p>
    <w:p w14:paraId="7BA4C901" w14:textId="3382C41E" w:rsidR="00CB68E6" w:rsidRDefault="00CB68E6" w:rsidP="00CB68E6">
      <w:pPr>
        <w:autoSpaceDE w:val="0"/>
        <w:autoSpaceDN w:val="0"/>
        <w:adjustRightInd w:val="0"/>
        <w:spacing w:after="0" w:line="240" w:lineRule="auto"/>
        <w:rPr>
          <w:rFonts w:ascii="Times New Roman" w:hAnsi="Times New Roman"/>
        </w:rPr>
      </w:pPr>
      <w:r w:rsidRPr="00F45D90">
        <w:rPr>
          <w:rFonts w:ascii="Times New Roman" w:hAnsi="Times New Roman"/>
        </w:rPr>
        <w:lastRenderedPageBreak/>
        <w:t>Trumpalaikių aukščiau aprašytų pediatrinių kvetiapino klinikinių tyrimų metu ekstrapiramidinių simptomų dažnumas vaistą vartojančių vaikų grupėje tiriant sergančius šizofrenija buvo 12,9</w:t>
      </w:r>
      <w:r w:rsidR="00D8180D">
        <w:rPr>
          <w:rFonts w:ascii="Times New Roman" w:hAnsi="Times New Roman"/>
        </w:rPr>
        <w:t> </w:t>
      </w:r>
      <w:r w:rsidRPr="00F45D90">
        <w:rPr>
          <w:rFonts w:ascii="Times New Roman" w:hAnsi="Times New Roman"/>
        </w:rPr>
        <w:t>% palyginti su 5,3</w:t>
      </w:r>
      <w:r w:rsidR="00D8180D">
        <w:rPr>
          <w:rFonts w:ascii="Times New Roman" w:hAnsi="Times New Roman"/>
        </w:rPr>
        <w:t> </w:t>
      </w:r>
      <w:r w:rsidRPr="00F45D90">
        <w:rPr>
          <w:rFonts w:ascii="Times New Roman" w:hAnsi="Times New Roman"/>
        </w:rPr>
        <w:t>% placebo grupėje, sergančius bipolinio sutrikimo manijos epizodu 3,6</w:t>
      </w:r>
      <w:r w:rsidR="00D8180D">
        <w:rPr>
          <w:rFonts w:ascii="Times New Roman" w:hAnsi="Times New Roman"/>
        </w:rPr>
        <w:t> </w:t>
      </w:r>
      <w:r w:rsidRPr="00F45D90">
        <w:rPr>
          <w:rFonts w:ascii="Times New Roman" w:hAnsi="Times New Roman"/>
        </w:rPr>
        <w:t>% palyginti su 1,1</w:t>
      </w:r>
      <w:r w:rsidR="00D8180D">
        <w:rPr>
          <w:rFonts w:ascii="Times New Roman" w:hAnsi="Times New Roman"/>
        </w:rPr>
        <w:t> </w:t>
      </w:r>
      <w:r w:rsidRPr="00F45D90">
        <w:rPr>
          <w:rFonts w:ascii="Times New Roman" w:hAnsi="Times New Roman"/>
        </w:rPr>
        <w:t>%, sergančius bipolinio sutrikimo depresijos epizodu 1,1</w:t>
      </w:r>
      <w:r w:rsidR="00D8180D">
        <w:rPr>
          <w:rFonts w:ascii="Times New Roman" w:hAnsi="Times New Roman"/>
        </w:rPr>
        <w:t> </w:t>
      </w:r>
      <w:r w:rsidRPr="00F45D90">
        <w:rPr>
          <w:rFonts w:ascii="Times New Roman" w:hAnsi="Times New Roman"/>
        </w:rPr>
        <w:t>% palyginti su 0</w:t>
      </w:r>
      <w:r w:rsidR="00D8180D">
        <w:rPr>
          <w:rFonts w:ascii="Times New Roman" w:hAnsi="Times New Roman"/>
        </w:rPr>
        <w:t> </w:t>
      </w:r>
      <w:r w:rsidRPr="00F45D90">
        <w:rPr>
          <w:rFonts w:ascii="Times New Roman" w:hAnsi="Times New Roman"/>
        </w:rPr>
        <w:t>%. Kūno svorio prieaugio ≥</w:t>
      </w:r>
      <w:r w:rsidR="00D8180D">
        <w:rPr>
          <w:rFonts w:ascii="Times New Roman" w:hAnsi="Times New Roman"/>
        </w:rPr>
        <w:t> </w:t>
      </w:r>
      <w:r w:rsidRPr="00F45D90">
        <w:rPr>
          <w:rFonts w:ascii="Times New Roman" w:hAnsi="Times New Roman"/>
        </w:rPr>
        <w:t>7 %, palyginti su pradiniu svoriu, dažnumas vaistą vartojančių vaikų grupėje buvo nustatytas 17</w:t>
      </w:r>
      <w:r w:rsidR="00D8180D">
        <w:rPr>
          <w:rFonts w:ascii="Times New Roman" w:hAnsi="Times New Roman"/>
        </w:rPr>
        <w:t> </w:t>
      </w:r>
      <w:r w:rsidRPr="00F45D90">
        <w:rPr>
          <w:rFonts w:ascii="Times New Roman" w:hAnsi="Times New Roman"/>
        </w:rPr>
        <w:t>% palyginti su 2,5</w:t>
      </w:r>
      <w:r w:rsidR="00D8180D">
        <w:t> </w:t>
      </w:r>
      <w:r w:rsidRPr="00F45D90">
        <w:rPr>
          <w:rFonts w:ascii="Times New Roman" w:hAnsi="Times New Roman"/>
        </w:rPr>
        <w:t>% placebo grupėje sergantiems šizofrenija ir bipolinio sutrikimo manijos epizodu, 13,7</w:t>
      </w:r>
      <w:r w:rsidR="00D8180D">
        <w:rPr>
          <w:rFonts w:ascii="Times New Roman" w:hAnsi="Times New Roman"/>
        </w:rPr>
        <w:t> </w:t>
      </w:r>
      <w:r w:rsidRPr="00F45D90">
        <w:rPr>
          <w:rFonts w:ascii="Times New Roman" w:hAnsi="Times New Roman"/>
        </w:rPr>
        <w:t>% palyginti su 6,8</w:t>
      </w:r>
      <w:r w:rsidR="00D8180D">
        <w:rPr>
          <w:rFonts w:ascii="Times New Roman" w:hAnsi="Times New Roman"/>
        </w:rPr>
        <w:t> </w:t>
      </w:r>
      <w:r w:rsidRPr="00F45D90">
        <w:rPr>
          <w:rFonts w:ascii="Times New Roman" w:hAnsi="Times New Roman"/>
        </w:rPr>
        <w:t>% sergantiems bipolinio sutrikimo depresijos epizodu. Su savižudybe susijusių reiškinių dažnumas vaistą vartojančių vaikų grupėje pasitaikė tiriant sergančius šizofrenija 1,4</w:t>
      </w:r>
      <w:r w:rsidR="00D8180D">
        <w:rPr>
          <w:rFonts w:ascii="Times New Roman" w:hAnsi="Times New Roman"/>
        </w:rPr>
        <w:t> </w:t>
      </w:r>
      <w:r w:rsidRPr="00F45D90">
        <w:rPr>
          <w:rFonts w:ascii="Times New Roman" w:hAnsi="Times New Roman"/>
        </w:rPr>
        <w:t>% palyginti su 1,3</w:t>
      </w:r>
      <w:r w:rsidR="00D8180D">
        <w:rPr>
          <w:rFonts w:ascii="Times New Roman" w:hAnsi="Times New Roman"/>
        </w:rPr>
        <w:t> </w:t>
      </w:r>
      <w:r w:rsidRPr="00F45D90">
        <w:rPr>
          <w:rFonts w:ascii="Times New Roman" w:hAnsi="Times New Roman"/>
        </w:rPr>
        <w:t>% placebo grupėje, sergančius bipolinio sutrikimo manijos epizodu 1,0</w:t>
      </w:r>
      <w:r w:rsidR="00D8180D">
        <w:rPr>
          <w:rFonts w:ascii="Times New Roman" w:hAnsi="Times New Roman"/>
        </w:rPr>
        <w:t> </w:t>
      </w:r>
      <w:r w:rsidRPr="00F45D90">
        <w:rPr>
          <w:rFonts w:ascii="Times New Roman" w:hAnsi="Times New Roman"/>
        </w:rPr>
        <w:t>% palyginti su 0</w:t>
      </w:r>
      <w:r w:rsidR="00D8180D">
        <w:rPr>
          <w:rFonts w:ascii="Times New Roman" w:hAnsi="Times New Roman"/>
        </w:rPr>
        <w:t> </w:t>
      </w:r>
      <w:r w:rsidRPr="00F45D90">
        <w:rPr>
          <w:rFonts w:ascii="Times New Roman" w:hAnsi="Times New Roman"/>
        </w:rPr>
        <w:t>%, sergančius bipolinio sutrikimo depresijos epizodu 1,1</w:t>
      </w:r>
      <w:r w:rsidR="00D8180D">
        <w:rPr>
          <w:rFonts w:ascii="Times New Roman" w:hAnsi="Times New Roman"/>
        </w:rPr>
        <w:t> </w:t>
      </w:r>
      <w:r w:rsidRPr="00F45D90">
        <w:rPr>
          <w:rFonts w:ascii="Times New Roman" w:hAnsi="Times New Roman"/>
        </w:rPr>
        <w:t>% palyginti su 0</w:t>
      </w:r>
      <w:r w:rsidR="00D8180D">
        <w:rPr>
          <w:rFonts w:ascii="Times New Roman" w:hAnsi="Times New Roman"/>
        </w:rPr>
        <w:t> </w:t>
      </w:r>
      <w:r w:rsidRPr="00F45D90">
        <w:rPr>
          <w:rFonts w:ascii="Times New Roman" w:hAnsi="Times New Roman"/>
        </w:rPr>
        <w:t>%. Bipolinio sutrikimo depresijos epizodu sergančiųjų po gydymo tęstinės stebėjimo fazės metu dviem pacientams buvo du papildomi su savižudybe susijusių reiškinių atvejai; vienam iš šių pacientų tai pasireiškė vartojant kvetiapiną.</w:t>
      </w:r>
    </w:p>
    <w:p w14:paraId="6CF9D427" w14:textId="77777777" w:rsidR="00D8180D" w:rsidRPr="00F45D90" w:rsidRDefault="00D8180D" w:rsidP="00CB68E6">
      <w:pPr>
        <w:autoSpaceDE w:val="0"/>
        <w:autoSpaceDN w:val="0"/>
        <w:adjustRightInd w:val="0"/>
        <w:spacing w:after="0" w:line="240" w:lineRule="auto"/>
        <w:rPr>
          <w:rFonts w:ascii="Times New Roman" w:hAnsi="Times New Roman"/>
          <w:u w:val="single"/>
        </w:rPr>
      </w:pPr>
    </w:p>
    <w:p w14:paraId="7BC01B27" w14:textId="77777777" w:rsidR="00CB68E6" w:rsidRPr="00F45D90" w:rsidRDefault="00CB68E6" w:rsidP="00CB68E6">
      <w:pPr>
        <w:autoSpaceDE w:val="0"/>
        <w:autoSpaceDN w:val="0"/>
        <w:adjustRightInd w:val="0"/>
        <w:spacing w:after="0" w:line="240" w:lineRule="auto"/>
        <w:rPr>
          <w:rFonts w:ascii="Times New Roman" w:hAnsi="Times New Roman"/>
        </w:rPr>
      </w:pPr>
      <w:r w:rsidRPr="00F45D90">
        <w:rPr>
          <w:rFonts w:ascii="Times New Roman" w:hAnsi="Times New Roman"/>
        </w:rPr>
        <w:t>Ilgalaikio vartojimo saugumas</w:t>
      </w:r>
    </w:p>
    <w:p w14:paraId="13DEA7AC" w14:textId="77777777" w:rsidR="00CB68E6" w:rsidRPr="00F45D90" w:rsidRDefault="00CB68E6" w:rsidP="00CB68E6">
      <w:pPr>
        <w:autoSpaceDE w:val="0"/>
        <w:autoSpaceDN w:val="0"/>
        <w:adjustRightInd w:val="0"/>
        <w:spacing w:after="0" w:line="240" w:lineRule="auto"/>
        <w:rPr>
          <w:rFonts w:ascii="Times New Roman" w:hAnsi="Times New Roman"/>
        </w:rPr>
      </w:pPr>
      <w:r w:rsidRPr="00F45D90">
        <w:rPr>
          <w:rFonts w:ascii="Times New Roman" w:hAnsi="Times New Roman"/>
        </w:rPr>
        <w:t xml:space="preserve">Papildomų saugumo duomenų gauta tęsiant trumpalaikių tyrimų metu pradėtą gydymą kvetiapinu (pacientų n = 380) 26 savaičių trukmės atviro tyrimo metu; paros dozė jo metu buvo koreguojama 400-800 mg ribose. Gauta pranešimų apie vaikams ir paaugliams padidėjusį kraujospūdį; vaikams ir paaugliams dažniau negu suaugusiems pacientams nustatytas padidėjęs apetitas, ekstrapiramidinių simptomų ir padidėjusi prolaktino koncentracija serume (žr. 4.4 ir 4.8 skyrius). </w:t>
      </w:r>
    </w:p>
    <w:p w14:paraId="5FD338B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Kūno masės indekso (KMI) padidėjimas, koreguotas pagal normalų ilgalaikį augimą, buvo laikomas klinikai reikšmingu, jei sudarė bent 0,5 standartinio nuokrypio. Šį kriterijų atitiko 18,3% pacientų, vartojusių kvetiapiną bent 26 savaites.</w:t>
      </w:r>
    </w:p>
    <w:p w14:paraId="4534A0E6"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p>
    <w:p w14:paraId="0F0D6329"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r w:rsidRPr="00F45D90">
        <w:rPr>
          <w:rFonts w:ascii="Times New Roman" w:eastAsia="Times New Roman" w:hAnsi="Times New Roman"/>
          <w:b/>
          <w:kern w:val="28"/>
          <w:lang w:eastAsia="lt-LT"/>
        </w:rPr>
        <w:t>5.2</w:t>
      </w:r>
      <w:r w:rsidRPr="00F45D90">
        <w:rPr>
          <w:rFonts w:ascii="Times New Roman" w:eastAsia="Times New Roman" w:hAnsi="Times New Roman"/>
          <w:b/>
          <w:kern w:val="28"/>
          <w:lang w:eastAsia="lt-LT"/>
        </w:rPr>
        <w:tab/>
        <w:t>Farmakokinetinės savybės</w:t>
      </w:r>
      <w:bookmarkEnd w:id="35"/>
      <w:bookmarkEnd w:id="36"/>
    </w:p>
    <w:p w14:paraId="0FA1D9F0" w14:textId="77777777" w:rsidR="00CB68E6" w:rsidRPr="00F45D90" w:rsidRDefault="00CB68E6" w:rsidP="00CB68E6">
      <w:pPr>
        <w:spacing w:after="0" w:line="240" w:lineRule="auto"/>
        <w:rPr>
          <w:rFonts w:ascii="Times New Roman" w:eastAsia="Times New Roman" w:hAnsi="Times New Roman"/>
          <w:lang w:eastAsia="lt-LT"/>
        </w:rPr>
      </w:pPr>
    </w:p>
    <w:p w14:paraId="4F328EF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Absorbcija</w:t>
      </w:r>
    </w:p>
    <w:p w14:paraId="61A2D40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Išgertas kvetiapinas gerai absorbuojamas ir ekstensyviai metabolizuojamas.</w:t>
      </w:r>
    </w:p>
    <w:p w14:paraId="3EADAD0C" w14:textId="204EB046" w:rsidR="00CB68E6" w:rsidRPr="00F45D90" w:rsidRDefault="00CB68E6" w:rsidP="00CB68E6">
      <w:pPr>
        <w:spacing w:line="240" w:lineRule="auto"/>
        <w:rPr>
          <w:rFonts w:ascii="Times New Roman" w:eastAsia="Times New Roman" w:hAnsi="Times New Roman"/>
        </w:rPr>
      </w:pPr>
      <w:r w:rsidRPr="00F45D90">
        <w:rPr>
          <w:rFonts w:ascii="Times New Roman" w:hAnsi="Times New Roman"/>
        </w:rPr>
        <w:t xml:space="preserve">Maistas neturi reikšmingos įtakos kvetiapino biologiniam prieinamumui. </w:t>
      </w:r>
      <w:r w:rsidRPr="00F45D90">
        <w:rPr>
          <w:rFonts w:ascii="Times New Roman" w:eastAsia="Times New Roman" w:hAnsi="Times New Roman"/>
        </w:rPr>
        <w:t>Aktyvaus metabolito norkvetiapino didžiausia pusiausvyrinė molinė koncentracija sudaro 35</w:t>
      </w:r>
      <w:r w:rsidR="00D8180D">
        <w:rPr>
          <w:rFonts w:ascii="Times New Roman" w:eastAsia="Times New Roman" w:hAnsi="Times New Roman"/>
        </w:rPr>
        <w:t> </w:t>
      </w:r>
      <w:r w:rsidRPr="00F45D90">
        <w:rPr>
          <w:rFonts w:ascii="Times New Roman" w:eastAsia="Times New Roman" w:hAnsi="Times New Roman"/>
        </w:rPr>
        <w:t>% atitinkamos kvetiapino koncentracijos.</w:t>
      </w:r>
    </w:p>
    <w:p w14:paraId="27D47349" w14:textId="77777777" w:rsidR="00CB68E6" w:rsidRPr="00F45D90" w:rsidRDefault="00CB68E6" w:rsidP="00CB68E6">
      <w:pPr>
        <w:spacing w:line="240" w:lineRule="auto"/>
        <w:rPr>
          <w:rFonts w:ascii="Times New Roman" w:eastAsia="Times New Roman" w:hAnsi="Times New Roman"/>
        </w:rPr>
      </w:pPr>
      <w:r w:rsidRPr="00F45D90">
        <w:rPr>
          <w:rFonts w:ascii="Times New Roman" w:eastAsia="Times New Roman" w:hAnsi="Times New Roman"/>
        </w:rPr>
        <w:t>Vartojant vaisto priimtinų dozių ribose kvetiapino ir norkvetiapino kinetika yra linijinė.</w:t>
      </w:r>
    </w:p>
    <w:p w14:paraId="1C578DC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Pasiskirstymas</w:t>
      </w:r>
    </w:p>
    <w:p w14:paraId="65E64E4D" w14:textId="3DFDEE7E" w:rsidR="00CB68E6" w:rsidRPr="00F45D90" w:rsidRDefault="00CB68E6" w:rsidP="00CB68E6">
      <w:pPr>
        <w:spacing w:after="0" w:line="240" w:lineRule="auto"/>
        <w:rPr>
          <w:rFonts w:ascii="Times New Roman" w:hAnsi="Times New Roman"/>
        </w:rPr>
      </w:pPr>
      <w:r w:rsidRPr="00F45D90">
        <w:rPr>
          <w:rFonts w:ascii="Times New Roman" w:hAnsi="Times New Roman"/>
        </w:rPr>
        <w:t>Maždaug 83</w:t>
      </w:r>
      <w:r w:rsidR="00D8180D">
        <w:rPr>
          <w:rFonts w:ascii="Times New Roman" w:hAnsi="Times New Roman"/>
        </w:rPr>
        <w:t> </w:t>
      </w:r>
      <w:r w:rsidRPr="00F45D90">
        <w:rPr>
          <w:rFonts w:ascii="Times New Roman" w:hAnsi="Times New Roman"/>
        </w:rPr>
        <w:t>% šio vaisto būna prisijungę prie plazmos baltymų.</w:t>
      </w:r>
    </w:p>
    <w:p w14:paraId="4F56BF5B" w14:textId="77777777" w:rsidR="00CB68E6" w:rsidRPr="00F45D90" w:rsidRDefault="00CB68E6" w:rsidP="00CB68E6">
      <w:pPr>
        <w:spacing w:after="0" w:line="240" w:lineRule="auto"/>
        <w:rPr>
          <w:rFonts w:ascii="Times New Roman" w:hAnsi="Times New Roman"/>
        </w:rPr>
      </w:pPr>
    </w:p>
    <w:p w14:paraId="4DF7E8A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Biotransformacija</w:t>
      </w:r>
    </w:p>
    <w:p w14:paraId="3AA59D19" w14:textId="51B31AAF" w:rsidR="00CB68E6" w:rsidRPr="00F45D90" w:rsidRDefault="00CB68E6" w:rsidP="00CB68E6">
      <w:pPr>
        <w:spacing w:after="0" w:line="240" w:lineRule="auto"/>
        <w:rPr>
          <w:rFonts w:ascii="Times New Roman" w:hAnsi="Times New Roman"/>
        </w:rPr>
      </w:pPr>
      <w:r w:rsidRPr="00F45D90">
        <w:rPr>
          <w:rFonts w:ascii="Times New Roman" w:hAnsi="Times New Roman"/>
        </w:rPr>
        <w:t>Kvetiapinas ekstensyviai metabolizuojamas kepenyse. Pavartojus radioaktyviuoju izotopu žymėto kvetiapino, nepakitęs vaistas išmatose ir šlapime sudaro mažiau kaip 5</w:t>
      </w:r>
      <w:r w:rsidR="00D8180D">
        <w:rPr>
          <w:rFonts w:ascii="Times New Roman" w:hAnsi="Times New Roman"/>
        </w:rPr>
        <w:t> </w:t>
      </w:r>
      <w:r w:rsidRPr="00F45D90">
        <w:rPr>
          <w:rFonts w:ascii="Times New Roman" w:hAnsi="Times New Roman"/>
        </w:rPr>
        <w:t xml:space="preserve">%. </w:t>
      </w:r>
    </w:p>
    <w:p w14:paraId="7E888BAA" w14:textId="77777777" w:rsidR="00CB68E6" w:rsidRPr="00F45D90" w:rsidRDefault="00CB68E6" w:rsidP="00CB68E6">
      <w:pPr>
        <w:spacing w:after="0" w:line="240" w:lineRule="auto"/>
        <w:rPr>
          <w:rFonts w:ascii="Times New Roman" w:hAnsi="Times New Roman"/>
          <w:noProof/>
        </w:rPr>
      </w:pPr>
    </w:p>
    <w:p w14:paraId="5762F2D1" w14:textId="3BB244EE" w:rsidR="00CB68E6" w:rsidRPr="00F45D90" w:rsidRDefault="00CB68E6" w:rsidP="00CB68E6">
      <w:pPr>
        <w:spacing w:after="0" w:line="240" w:lineRule="auto"/>
        <w:rPr>
          <w:rFonts w:ascii="Times New Roman" w:hAnsi="Times New Roman"/>
          <w:noProof/>
        </w:rPr>
      </w:pPr>
      <w:r w:rsidRPr="00F45D90">
        <w:rPr>
          <w:rFonts w:ascii="Times New Roman" w:hAnsi="Times New Roman"/>
          <w:noProof/>
        </w:rPr>
        <w:t xml:space="preserve">Tyrimai </w:t>
      </w:r>
      <w:r w:rsidRPr="00F45D90">
        <w:rPr>
          <w:rFonts w:ascii="Times New Roman" w:hAnsi="Times New Roman"/>
          <w:i/>
          <w:noProof/>
        </w:rPr>
        <w:t>in vitro</w:t>
      </w:r>
      <w:r w:rsidRPr="00F45D90">
        <w:rPr>
          <w:rFonts w:ascii="Times New Roman" w:hAnsi="Times New Roman"/>
          <w:noProof/>
        </w:rPr>
        <w:t xml:space="preserve"> </w:t>
      </w:r>
      <w:r w:rsidR="000C115C">
        <w:rPr>
          <w:rFonts w:ascii="Times New Roman" w:hAnsi="Times New Roman"/>
          <w:noProof/>
        </w:rPr>
        <w:t>parodė</w:t>
      </w:r>
      <w:r w:rsidRPr="00F45D90">
        <w:rPr>
          <w:rFonts w:ascii="Times New Roman" w:hAnsi="Times New Roman"/>
          <w:noProof/>
        </w:rPr>
        <w:t xml:space="preserve">, kad pagrindinis nuo citochromo P450 priklausomo kvetiapino metabolizmo fermentas yra CYP3A4. Norkvetiapinas daugiausia susidaro ir šalinamas, veikiant CYP3A4. </w:t>
      </w:r>
    </w:p>
    <w:p w14:paraId="0A0A11B9" w14:textId="77777777" w:rsidR="00CB68E6" w:rsidRPr="00F45D90" w:rsidRDefault="00CB68E6" w:rsidP="00CB68E6">
      <w:pPr>
        <w:spacing w:after="0" w:line="240" w:lineRule="auto"/>
        <w:rPr>
          <w:rFonts w:ascii="Times New Roman" w:hAnsi="Times New Roman"/>
        </w:rPr>
      </w:pPr>
    </w:p>
    <w:p w14:paraId="3F5698DC" w14:textId="0C1FD79B" w:rsidR="00CB68E6" w:rsidRPr="00F45D90" w:rsidRDefault="00CB68E6" w:rsidP="00CB68E6">
      <w:pPr>
        <w:spacing w:after="0" w:line="240" w:lineRule="auto"/>
        <w:rPr>
          <w:rFonts w:ascii="Times New Roman" w:hAnsi="Times New Roman"/>
        </w:rPr>
      </w:pPr>
      <w:r w:rsidRPr="00F45D90">
        <w:rPr>
          <w:rFonts w:ascii="Times New Roman" w:hAnsi="Times New Roman"/>
        </w:rPr>
        <w:t>Maždaug 73</w:t>
      </w:r>
      <w:r w:rsidR="00D8180D">
        <w:rPr>
          <w:rFonts w:ascii="Times New Roman" w:hAnsi="Times New Roman"/>
        </w:rPr>
        <w:t> </w:t>
      </w:r>
      <w:r w:rsidRPr="00F45D90">
        <w:rPr>
          <w:rFonts w:ascii="Times New Roman" w:hAnsi="Times New Roman"/>
        </w:rPr>
        <w:t>% radioaktyvumo randama šlapime, 21</w:t>
      </w:r>
      <w:r w:rsidR="00D8180D">
        <w:rPr>
          <w:rFonts w:ascii="Times New Roman" w:hAnsi="Times New Roman"/>
        </w:rPr>
        <w:t> </w:t>
      </w:r>
      <w:r w:rsidRPr="00F45D90">
        <w:rPr>
          <w:rFonts w:ascii="Times New Roman" w:hAnsi="Times New Roman"/>
        </w:rPr>
        <w:t>% – išmatose.</w:t>
      </w:r>
    </w:p>
    <w:p w14:paraId="783301AA" w14:textId="77777777" w:rsidR="00CB68E6" w:rsidRPr="00D27530" w:rsidRDefault="00CB68E6" w:rsidP="00CB68E6">
      <w:pPr>
        <w:pStyle w:val="BTEMEASMCA"/>
        <w:rPr>
          <w:lang w:val="lt-LT"/>
        </w:rPr>
      </w:pPr>
      <w:r w:rsidRPr="00D27530">
        <w:rPr>
          <w:lang w:val="lt-LT"/>
        </w:rPr>
        <w:t xml:space="preserve">Nustatyta, kad kvetiapinas ir keli jo metabolitai (įskaitant norkvetiapiną) silpnai slopina žmogaus citochromo P450 1A2, 2C9, 2C19, 2D6 ir 3A4 </w:t>
      </w:r>
      <w:r w:rsidRPr="00D27530">
        <w:rPr>
          <w:i/>
          <w:lang w:val="lt-LT"/>
        </w:rPr>
        <w:t>aktyvumą in vitro</w:t>
      </w:r>
      <w:r w:rsidRPr="00D27530">
        <w:rPr>
          <w:lang w:val="lt-LT"/>
        </w:rPr>
        <w:t xml:space="preserve">. Tyrimais </w:t>
      </w:r>
      <w:r w:rsidRPr="00D27530">
        <w:rPr>
          <w:i/>
          <w:lang w:val="lt-LT"/>
        </w:rPr>
        <w:t>in vitro</w:t>
      </w:r>
      <w:r w:rsidRPr="00D27530">
        <w:rPr>
          <w:lang w:val="lt-LT"/>
        </w:rPr>
        <w:t xml:space="preserve"> CYP slopinimas pastebimas tik koncentracijai bent apytiksliai 5</w:t>
      </w:r>
      <w:r w:rsidRPr="00D27530">
        <w:rPr>
          <w:lang w:val="lt-LT"/>
        </w:rPr>
        <w:noBreakHyphen/>
        <w:t>50 kartų viršijant susidarančią žmogui vartojant šį vaistą 300</w:t>
      </w:r>
      <w:r w:rsidRPr="00D27530">
        <w:rPr>
          <w:lang w:val="lt-LT"/>
        </w:rPr>
        <w:noBreakHyphen/>
        <w:t xml:space="preserve">800 mg paros dozėmis. Remiantis šių tyrimų </w:t>
      </w:r>
      <w:r w:rsidRPr="00D27530">
        <w:rPr>
          <w:i/>
          <w:lang w:val="lt-LT"/>
        </w:rPr>
        <w:t>in vitro</w:t>
      </w:r>
      <w:r w:rsidRPr="00D27530">
        <w:rPr>
          <w:lang w:val="lt-LT"/>
        </w:rPr>
        <w:t xml:space="preserve"> duomenimis, nereikėtų tikėtis, kad kartu vartojamas kvetiapinas kliniškai reikšmingai slopintų nuo citochromo P450 priklausomą kitų vaistų metabolizmą.</w:t>
      </w:r>
    </w:p>
    <w:p w14:paraId="57D3DD7A" w14:textId="77777777" w:rsidR="00CB68E6" w:rsidRPr="00F45D90" w:rsidRDefault="00CB68E6" w:rsidP="00CB68E6">
      <w:pPr>
        <w:spacing w:after="0" w:line="240" w:lineRule="auto"/>
        <w:rPr>
          <w:rFonts w:ascii="Times New Roman" w:eastAsia="Times New Roman" w:hAnsi="Times New Roman"/>
          <w:noProof/>
        </w:rPr>
      </w:pPr>
      <w:r w:rsidRPr="00F45D90">
        <w:rPr>
          <w:rFonts w:ascii="Times New Roman" w:hAnsi="Times New Roman"/>
          <w:noProof/>
        </w:rPr>
        <w:t xml:space="preserve">Tyrimai su gyvūnais rodo, kad kvetiapinas gali indukuoti citochromo P450 fermentus. </w:t>
      </w:r>
      <w:r w:rsidRPr="00F45D90">
        <w:rPr>
          <w:rFonts w:ascii="Times New Roman" w:eastAsia="Times New Roman" w:hAnsi="Times New Roman"/>
          <w:noProof/>
        </w:rPr>
        <w:t>Vis dėlto atliekant psichoze sergančių pacientų organizme specialų sąveikos tyrimą, citochromo P450 aktyvumo padidėjimo vartojant kvetiapiną nenustatyta.</w:t>
      </w:r>
    </w:p>
    <w:p w14:paraId="75E481EF" w14:textId="77777777" w:rsidR="00CB68E6" w:rsidRPr="00F45D90" w:rsidRDefault="00CB68E6" w:rsidP="00CB68E6">
      <w:pPr>
        <w:spacing w:after="0" w:line="240" w:lineRule="auto"/>
        <w:rPr>
          <w:rFonts w:ascii="Times New Roman" w:hAnsi="Times New Roman"/>
        </w:rPr>
      </w:pPr>
    </w:p>
    <w:p w14:paraId="5A59AE4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Eliminacija</w:t>
      </w:r>
    </w:p>
    <w:p w14:paraId="3D7EB3F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lastRenderedPageBreak/>
        <w:t>Kvetiapino ir norkvetiapino pusinės eliminacijos laikas yra atitinkamai apie 7 val. ir 12 val. Vidutinė laisvojo kvetiapino ir jo aktyvaus metabolito žmogaus plazmoje norkvetiapino molinė dozės dalis, išskiriama su šlapimu, yra mažesnė kaip 5%.</w:t>
      </w:r>
    </w:p>
    <w:p w14:paraId="40CB58C9" w14:textId="77777777" w:rsidR="00CB68E6" w:rsidRPr="00F45D90" w:rsidRDefault="00CB68E6" w:rsidP="00CB68E6">
      <w:pPr>
        <w:spacing w:after="0" w:line="240" w:lineRule="auto"/>
        <w:rPr>
          <w:rFonts w:ascii="Times New Roman" w:hAnsi="Times New Roman"/>
          <w:b/>
          <w:i/>
          <w:noProof/>
        </w:rPr>
      </w:pPr>
    </w:p>
    <w:p w14:paraId="5419DE20" w14:textId="77777777" w:rsidR="00CB68E6" w:rsidRPr="00F45D90" w:rsidRDefault="00CB68E6" w:rsidP="00CB68E6">
      <w:pPr>
        <w:spacing w:after="0" w:line="240" w:lineRule="auto"/>
        <w:rPr>
          <w:rFonts w:ascii="Times New Roman" w:hAnsi="Times New Roman"/>
          <w:b/>
          <w:i/>
          <w:noProof/>
        </w:rPr>
      </w:pPr>
      <w:r w:rsidRPr="00F45D90">
        <w:rPr>
          <w:rFonts w:ascii="Times New Roman" w:hAnsi="Times New Roman"/>
          <w:b/>
          <w:i/>
          <w:noProof/>
        </w:rPr>
        <w:t>Ypatingos pacientų grupės</w:t>
      </w:r>
    </w:p>
    <w:p w14:paraId="7F6B59EC" w14:textId="77777777" w:rsidR="00CB68E6" w:rsidRPr="00F45D90" w:rsidRDefault="00CB68E6" w:rsidP="00CB68E6">
      <w:pPr>
        <w:spacing w:after="0" w:line="240" w:lineRule="auto"/>
        <w:rPr>
          <w:rFonts w:ascii="Times New Roman" w:hAnsi="Times New Roman"/>
        </w:rPr>
      </w:pPr>
    </w:p>
    <w:p w14:paraId="5465ACF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Lytis</w:t>
      </w:r>
    </w:p>
    <w:p w14:paraId="5BA87D4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Vyrų ir moterų organizme kvetiapino farmakokinetika nesiskiria.</w:t>
      </w:r>
    </w:p>
    <w:p w14:paraId="69DB03ED" w14:textId="77777777" w:rsidR="00CB68E6" w:rsidRPr="00F45D90" w:rsidRDefault="00CB68E6" w:rsidP="00CB68E6">
      <w:pPr>
        <w:spacing w:after="0" w:line="240" w:lineRule="auto"/>
        <w:rPr>
          <w:rFonts w:ascii="Times New Roman" w:hAnsi="Times New Roman"/>
        </w:rPr>
      </w:pPr>
    </w:p>
    <w:p w14:paraId="123293F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Senyvi pacientai</w:t>
      </w:r>
    </w:p>
    <w:p w14:paraId="3962F752" w14:textId="1659E17E" w:rsidR="00CB68E6" w:rsidRPr="00F45D90" w:rsidRDefault="00CB68E6" w:rsidP="00CB68E6">
      <w:pPr>
        <w:spacing w:after="0" w:line="240" w:lineRule="auto"/>
        <w:rPr>
          <w:rFonts w:ascii="Times New Roman" w:hAnsi="Times New Roman"/>
        </w:rPr>
      </w:pPr>
      <w:r w:rsidRPr="00F45D90">
        <w:rPr>
          <w:rFonts w:ascii="Times New Roman" w:hAnsi="Times New Roman"/>
        </w:rPr>
        <w:t>Vidutinis kvetiapino klirensas senyvų žmonių organizme yra maždaug 30</w:t>
      </w:r>
      <w:r w:rsidRPr="00F45D90">
        <w:rPr>
          <w:rFonts w:ascii="Times New Roman" w:hAnsi="Times New Roman"/>
        </w:rPr>
        <w:noBreakHyphen/>
        <w:t>50</w:t>
      </w:r>
      <w:r w:rsidR="00D8180D">
        <w:rPr>
          <w:rFonts w:ascii="Times New Roman" w:hAnsi="Times New Roman"/>
        </w:rPr>
        <w:t> </w:t>
      </w:r>
      <w:r w:rsidRPr="00F45D90">
        <w:rPr>
          <w:rFonts w:ascii="Times New Roman" w:hAnsi="Times New Roman"/>
        </w:rPr>
        <w:t>% mažesnis negu 18</w:t>
      </w:r>
      <w:r w:rsidRPr="00F45D90">
        <w:rPr>
          <w:rFonts w:ascii="Times New Roman" w:hAnsi="Times New Roman"/>
        </w:rPr>
        <w:noBreakHyphen/>
        <w:t>65 metų suaugusiųjų.</w:t>
      </w:r>
    </w:p>
    <w:p w14:paraId="24B6CC0C" w14:textId="77777777" w:rsidR="00CB68E6" w:rsidRPr="00F45D90" w:rsidRDefault="00CB68E6" w:rsidP="00CB68E6">
      <w:pPr>
        <w:spacing w:after="0" w:line="240" w:lineRule="auto"/>
        <w:rPr>
          <w:rFonts w:ascii="Times New Roman" w:hAnsi="Times New Roman"/>
          <w:i/>
        </w:rPr>
      </w:pPr>
    </w:p>
    <w:p w14:paraId="13BEB83C" w14:textId="77777777" w:rsidR="00CB68E6" w:rsidRPr="00F45D90" w:rsidRDefault="00CB68E6" w:rsidP="00CB68E6">
      <w:pPr>
        <w:tabs>
          <w:tab w:val="left" w:pos="567"/>
        </w:tabs>
        <w:spacing w:after="0" w:line="240" w:lineRule="auto"/>
        <w:contextualSpacing/>
        <w:outlineLvl w:val="0"/>
        <w:rPr>
          <w:rFonts w:ascii="Times New Roman" w:eastAsia="Times New Roman" w:hAnsi="Times New Roman"/>
          <w:iCs/>
          <w:snapToGrid w:val="0"/>
          <w:color w:val="000000"/>
        </w:rPr>
      </w:pPr>
      <w:r w:rsidRPr="00F45D90">
        <w:rPr>
          <w:rFonts w:ascii="Times New Roman" w:eastAsia="Times New Roman" w:hAnsi="Times New Roman"/>
          <w:iCs/>
          <w:snapToGrid w:val="0"/>
          <w:color w:val="000000"/>
        </w:rPr>
        <w:t>Sutrikusi inkstų funkcija</w:t>
      </w:r>
    </w:p>
    <w:p w14:paraId="16AEA167" w14:textId="410B3826" w:rsidR="00CB68E6" w:rsidRPr="00F45D90" w:rsidRDefault="00CB68E6" w:rsidP="00CB68E6">
      <w:pPr>
        <w:spacing w:after="0" w:line="240" w:lineRule="auto"/>
        <w:rPr>
          <w:rFonts w:ascii="Times New Roman" w:hAnsi="Times New Roman"/>
        </w:rPr>
      </w:pPr>
      <w:r w:rsidRPr="00F45D90">
        <w:rPr>
          <w:rFonts w:ascii="Times New Roman" w:hAnsi="Times New Roman"/>
        </w:rPr>
        <w:t>Sergantiesiems sunkiu inkstų nepakankamumu (kai kreatinino klirensas mažesnis kaip 30 ml/min./1,73 m</w:t>
      </w:r>
      <w:r w:rsidRPr="00F45D90">
        <w:rPr>
          <w:rFonts w:ascii="Times New Roman" w:hAnsi="Times New Roman"/>
          <w:vertAlign w:val="superscript"/>
        </w:rPr>
        <w:t>2</w:t>
      </w:r>
      <w:r w:rsidRPr="00F45D90">
        <w:rPr>
          <w:rFonts w:ascii="Times New Roman" w:hAnsi="Times New Roman"/>
        </w:rPr>
        <w:t>) vidutinis kvetiapino plazminis klirensas sumažėja maždaug 25</w:t>
      </w:r>
      <w:r w:rsidR="00D8180D">
        <w:rPr>
          <w:rFonts w:ascii="Times New Roman" w:hAnsi="Times New Roman"/>
        </w:rPr>
        <w:t> </w:t>
      </w:r>
      <w:r w:rsidRPr="00F45D90">
        <w:rPr>
          <w:rFonts w:ascii="Times New Roman" w:hAnsi="Times New Roman"/>
        </w:rPr>
        <w:t>%</w:t>
      </w:r>
      <w:r w:rsidR="00AE3732">
        <w:rPr>
          <w:rFonts w:ascii="Times New Roman" w:hAnsi="Times New Roman"/>
        </w:rPr>
        <w:t xml:space="preserve"> pacientų</w:t>
      </w:r>
      <w:r w:rsidRPr="00F45D90">
        <w:rPr>
          <w:rFonts w:ascii="Times New Roman" w:hAnsi="Times New Roman"/>
        </w:rPr>
        <w:t xml:space="preserve">, bet individualus klirensas išlieka </w:t>
      </w:r>
      <w:r w:rsidR="00AE3732">
        <w:rPr>
          <w:rFonts w:ascii="Times New Roman" w:hAnsi="Times New Roman"/>
        </w:rPr>
        <w:t xml:space="preserve">normaliems pacientams </w:t>
      </w:r>
      <w:r w:rsidRPr="00F45D90">
        <w:rPr>
          <w:rFonts w:ascii="Times New Roman" w:hAnsi="Times New Roman"/>
        </w:rPr>
        <w:t xml:space="preserve"> nustatytose ribose.</w:t>
      </w:r>
    </w:p>
    <w:p w14:paraId="4472AA75" w14:textId="77777777" w:rsidR="00CB68E6" w:rsidRPr="00F45D90" w:rsidRDefault="00CB68E6" w:rsidP="00CB68E6">
      <w:pPr>
        <w:spacing w:after="0" w:line="240" w:lineRule="auto"/>
        <w:rPr>
          <w:rFonts w:ascii="Times New Roman" w:hAnsi="Times New Roman"/>
        </w:rPr>
      </w:pPr>
    </w:p>
    <w:p w14:paraId="7E0233A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Sutrikusi kepenų funkcija</w:t>
      </w:r>
    </w:p>
    <w:p w14:paraId="35837B42" w14:textId="5C3FDCB2" w:rsidR="00CB68E6" w:rsidRPr="00F45D90" w:rsidRDefault="00CB68E6" w:rsidP="00CB68E6">
      <w:pPr>
        <w:spacing w:after="0" w:line="240" w:lineRule="auto"/>
        <w:rPr>
          <w:rFonts w:ascii="Times New Roman" w:hAnsi="Times New Roman"/>
        </w:rPr>
      </w:pPr>
      <w:r w:rsidRPr="00F45D90">
        <w:rPr>
          <w:rFonts w:ascii="Times New Roman" w:hAnsi="Times New Roman"/>
        </w:rPr>
        <w:t>Esant sutrikusiai kepenų funkcijai (sergant stabilia alkoholine ciroze), vidutinis kvetiapino plazminis klirensas sumažėja maždaug 25</w:t>
      </w:r>
      <w:r w:rsidR="00D8180D">
        <w:rPr>
          <w:rFonts w:ascii="Times New Roman" w:hAnsi="Times New Roman"/>
        </w:rPr>
        <w:t> </w:t>
      </w:r>
      <w:r w:rsidRPr="00F45D90">
        <w:rPr>
          <w:rFonts w:ascii="Times New Roman" w:hAnsi="Times New Roman"/>
        </w:rPr>
        <w:t>%. Kadangi kvetiapinas ekstensyviai metabolizuojamas kepenyse,  tikėtina, kad padidės jo koncentracija kraujo plazmoje</w:t>
      </w:r>
      <w:r w:rsidR="00AE3732">
        <w:rPr>
          <w:rFonts w:ascii="Times New Roman" w:hAnsi="Times New Roman"/>
        </w:rPr>
        <w:t xml:space="preserve"> ir </w:t>
      </w:r>
      <w:r w:rsidRPr="00F45D90">
        <w:rPr>
          <w:rFonts w:ascii="Times New Roman" w:hAnsi="Times New Roman"/>
        </w:rPr>
        <w:t xml:space="preserve">šiems pacientams </w:t>
      </w:r>
      <w:r w:rsidR="00AE3732">
        <w:rPr>
          <w:rFonts w:ascii="Times New Roman" w:hAnsi="Times New Roman"/>
        </w:rPr>
        <w:t xml:space="preserve">gali </w:t>
      </w:r>
      <w:r w:rsidRPr="00F45D90">
        <w:rPr>
          <w:rFonts w:ascii="Times New Roman" w:hAnsi="Times New Roman"/>
        </w:rPr>
        <w:t>reik</w:t>
      </w:r>
      <w:r w:rsidR="00AE3732">
        <w:rPr>
          <w:rFonts w:ascii="Times New Roman" w:hAnsi="Times New Roman"/>
        </w:rPr>
        <w:t>ėti</w:t>
      </w:r>
      <w:r w:rsidRPr="00F45D90">
        <w:rPr>
          <w:rFonts w:ascii="Times New Roman" w:hAnsi="Times New Roman"/>
        </w:rPr>
        <w:t xml:space="preserve"> koreguoti vaisto dozę (žr. 4.2 skyrių).</w:t>
      </w:r>
    </w:p>
    <w:p w14:paraId="101C6FD1" w14:textId="77777777" w:rsidR="00CB68E6" w:rsidRPr="00F45D90" w:rsidRDefault="00CB68E6" w:rsidP="00CB68E6">
      <w:pPr>
        <w:spacing w:after="0" w:line="240" w:lineRule="auto"/>
        <w:rPr>
          <w:rFonts w:ascii="Times New Roman" w:hAnsi="Times New Roman"/>
        </w:rPr>
      </w:pPr>
    </w:p>
    <w:p w14:paraId="2DFA5A6D" w14:textId="77777777" w:rsidR="00CB68E6" w:rsidRPr="00F45D90" w:rsidRDefault="00CB68E6" w:rsidP="00CB68E6">
      <w:pPr>
        <w:keepNext/>
        <w:tabs>
          <w:tab w:val="left" w:pos="567"/>
        </w:tabs>
        <w:spacing w:after="0" w:line="240" w:lineRule="auto"/>
        <w:outlineLvl w:val="2"/>
        <w:rPr>
          <w:rFonts w:ascii="Times New Roman" w:hAnsi="Times New Roman"/>
          <w:kern w:val="28"/>
        </w:rPr>
      </w:pPr>
      <w:r w:rsidRPr="00F45D90">
        <w:rPr>
          <w:rFonts w:ascii="Times New Roman" w:hAnsi="Times New Roman"/>
          <w:kern w:val="28"/>
        </w:rPr>
        <w:t>Vaikų populiacija</w:t>
      </w:r>
    </w:p>
    <w:p w14:paraId="786BD598" w14:textId="2191D1DA" w:rsidR="00CB68E6" w:rsidRPr="00F45D90" w:rsidRDefault="00CB68E6" w:rsidP="00CB68E6">
      <w:pPr>
        <w:spacing w:after="0" w:line="240" w:lineRule="auto"/>
        <w:rPr>
          <w:rFonts w:ascii="Times New Roman" w:hAnsi="Times New Roman"/>
        </w:rPr>
      </w:pPr>
      <w:r w:rsidRPr="00F45D90">
        <w:rPr>
          <w:rFonts w:ascii="Times New Roman" w:hAnsi="Times New Roman"/>
        </w:rPr>
        <w:t>Nustatyti 10-12 metų 9 vaikų ir 12 paauglių, kurių gydymo metu kraujyje buvo nusistovėjusi apykaitos pusiausvyra vartojant po 400 mg kvetiapino du kartus per parą, farmakokinetikos duomenys. Tuo metu, kai apykaita pusiausvyrinė, su doze susijusi vaikų ir paauglių (10-17 metų)  kvetiapino koncentracija iš esmės buvo panaši į suaugusiųjų, nors C</w:t>
      </w:r>
      <w:r w:rsidRPr="00F45D90">
        <w:rPr>
          <w:rFonts w:ascii="Times New Roman" w:hAnsi="Times New Roman"/>
          <w:vertAlign w:val="subscript"/>
        </w:rPr>
        <w:t>max</w:t>
      </w:r>
      <w:r w:rsidRPr="00F45D90">
        <w:rPr>
          <w:rFonts w:ascii="Times New Roman" w:hAnsi="Times New Roman"/>
        </w:rPr>
        <w:t xml:space="preserve"> vaikams buvo viršutiniame kiekio svyravimų, nustatytų suaugusiesiems, taške. Veikliojo metabolito norkvetiapino AUC ir C</w:t>
      </w:r>
      <w:r w:rsidRPr="00F45D90">
        <w:rPr>
          <w:rFonts w:ascii="Times New Roman" w:hAnsi="Times New Roman"/>
          <w:vertAlign w:val="subscript"/>
        </w:rPr>
        <w:t>max</w:t>
      </w:r>
      <w:r w:rsidRPr="00F45D90">
        <w:rPr>
          <w:rFonts w:ascii="Times New Roman" w:hAnsi="Times New Roman"/>
        </w:rPr>
        <w:t xml:space="preserve"> </w:t>
      </w:r>
      <w:r w:rsidR="00AE3732">
        <w:rPr>
          <w:rFonts w:ascii="Times New Roman" w:hAnsi="Times New Roman"/>
        </w:rPr>
        <w:t xml:space="preserve">10-12 metų </w:t>
      </w:r>
      <w:r w:rsidRPr="00F45D90">
        <w:rPr>
          <w:rFonts w:ascii="Times New Roman" w:hAnsi="Times New Roman"/>
        </w:rPr>
        <w:t>vaikų kraujyje buvo didesnė</w:t>
      </w:r>
      <w:r w:rsidR="00AE3732">
        <w:rPr>
          <w:rFonts w:ascii="Times New Roman" w:hAnsi="Times New Roman"/>
        </w:rPr>
        <w:t xml:space="preserve"> (</w:t>
      </w:r>
      <w:r w:rsidRPr="00F45D90">
        <w:rPr>
          <w:rFonts w:ascii="Times New Roman" w:hAnsi="Times New Roman"/>
        </w:rPr>
        <w:t>atitinkamai apie 62</w:t>
      </w:r>
      <w:r w:rsidR="00D8180D">
        <w:rPr>
          <w:rFonts w:ascii="Times New Roman" w:hAnsi="Times New Roman"/>
        </w:rPr>
        <w:t> </w:t>
      </w:r>
      <w:r w:rsidRPr="00F45D90">
        <w:rPr>
          <w:rFonts w:ascii="Times New Roman" w:hAnsi="Times New Roman"/>
        </w:rPr>
        <w:t>% ir 49</w:t>
      </w:r>
      <w:r w:rsidR="00D8180D">
        <w:rPr>
          <w:rFonts w:ascii="Times New Roman" w:hAnsi="Times New Roman"/>
        </w:rPr>
        <w:t> </w:t>
      </w:r>
      <w:r w:rsidRPr="00F45D90">
        <w:rPr>
          <w:rFonts w:ascii="Times New Roman" w:hAnsi="Times New Roman"/>
        </w:rPr>
        <w:t>%</w:t>
      </w:r>
      <w:r w:rsidR="00AE3732">
        <w:rPr>
          <w:rFonts w:ascii="Times New Roman" w:hAnsi="Times New Roman"/>
        </w:rPr>
        <w:t>)</w:t>
      </w:r>
      <w:r w:rsidRPr="00F45D90">
        <w:rPr>
          <w:rFonts w:ascii="Times New Roman" w:hAnsi="Times New Roman"/>
        </w:rPr>
        <w:t xml:space="preserve">, </w:t>
      </w:r>
      <w:r w:rsidR="00AE3732">
        <w:rPr>
          <w:rFonts w:ascii="Times New Roman" w:hAnsi="Times New Roman"/>
        </w:rPr>
        <w:t xml:space="preserve">13 – 17 metų </w:t>
      </w:r>
      <w:r w:rsidRPr="00F45D90">
        <w:rPr>
          <w:rFonts w:ascii="Times New Roman" w:hAnsi="Times New Roman"/>
        </w:rPr>
        <w:t>paauglių (</w:t>
      </w:r>
      <w:r w:rsidR="00AE3732">
        <w:rPr>
          <w:rFonts w:ascii="Times New Roman" w:hAnsi="Times New Roman"/>
        </w:rPr>
        <w:t xml:space="preserve">atitinkamai </w:t>
      </w:r>
      <w:r w:rsidR="00AE3732" w:rsidRPr="00F45D90">
        <w:rPr>
          <w:rFonts w:ascii="Times New Roman" w:hAnsi="Times New Roman"/>
        </w:rPr>
        <w:t>28</w:t>
      </w:r>
      <w:r w:rsidR="00AE3732">
        <w:rPr>
          <w:rFonts w:ascii="Times New Roman" w:hAnsi="Times New Roman"/>
        </w:rPr>
        <w:t> </w:t>
      </w:r>
      <w:r w:rsidR="00AE3732" w:rsidRPr="00F45D90">
        <w:rPr>
          <w:rFonts w:ascii="Times New Roman" w:hAnsi="Times New Roman"/>
        </w:rPr>
        <w:t>% ir 14</w:t>
      </w:r>
      <w:r w:rsidR="00AE3732">
        <w:rPr>
          <w:rFonts w:ascii="Times New Roman" w:hAnsi="Times New Roman"/>
        </w:rPr>
        <w:t> </w:t>
      </w:r>
      <w:r w:rsidR="00AE3732" w:rsidRPr="00F45D90">
        <w:rPr>
          <w:rFonts w:ascii="Times New Roman" w:hAnsi="Times New Roman"/>
        </w:rPr>
        <w:t>%</w:t>
      </w:r>
      <w:r w:rsidRPr="00F45D90">
        <w:rPr>
          <w:rFonts w:ascii="Times New Roman" w:hAnsi="Times New Roman"/>
        </w:rPr>
        <w:t>) palyginti su suaugusiųjų duomenimis.</w:t>
      </w:r>
    </w:p>
    <w:p w14:paraId="5BEE2BCB" w14:textId="77777777" w:rsidR="00CB68E6" w:rsidRPr="00F45D90" w:rsidRDefault="00CB68E6" w:rsidP="00CB68E6">
      <w:pPr>
        <w:spacing w:after="0" w:line="240" w:lineRule="auto"/>
        <w:rPr>
          <w:rFonts w:ascii="Times New Roman" w:hAnsi="Times New Roman"/>
        </w:rPr>
      </w:pPr>
    </w:p>
    <w:p w14:paraId="5B12E316" w14:textId="77777777" w:rsidR="00CB68E6" w:rsidRPr="00F45D90" w:rsidRDefault="00CB68E6" w:rsidP="00CB68E6">
      <w:pPr>
        <w:spacing w:after="0" w:line="240" w:lineRule="auto"/>
        <w:rPr>
          <w:rFonts w:ascii="Times New Roman" w:hAnsi="Times New Roman"/>
        </w:rPr>
      </w:pPr>
    </w:p>
    <w:p w14:paraId="7E9EA2BF"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37" w:name="_Toc129243114"/>
      <w:bookmarkStart w:id="38" w:name="_Toc129243239"/>
      <w:r w:rsidRPr="00F45D90">
        <w:rPr>
          <w:rFonts w:ascii="Times New Roman" w:eastAsia="Times New Roman" w:hAnsi="Times New Roman"/>
          <w:b/>
          <w:kern w:val="28"/>
          <w:lang w:eastAsia="lt-LT"/>
        </w:rPr>
        <w:t>5.3</w:t>
      </w:r>
      <w:r w:rsidRPr="00F45D90">
        <w:rPr>
          <w:rFonts w:ascii="Times New Roman" w:eastAsia="Times New Roman" w:hAnsi="Times New Roman"/>
          <w:b/>
          <w:kern w:val="28"/>
          <w:lang w:eastAsia="lt-LT"/>
        </w:rPr>
        <w:tab/>
        <w:t>Ikiklinikinių saugumo tyrimų duomenys</w:t>
      </w:r>
      <w:bookmarkEnd w:id="37"/>
      <w:bookmarkEnd w:id="38"/>
    </w:p>
    <w:p w14:paraId="26D67ED6" w14:textId="77777777" w:rsidR="00CB68E6" w:rsidRPr="00F45D90" w:rsidRDefault="00CB68E6" w:rsidP="00CB68E6">
      <w:pPr>
        <w:spacing w:after="0" w:line="240" w:lineRule="auto"/>
        <w:rPr>
          <w:rFonts w:ascii="Times New Roman" w:hAnsi="Times New Roman"/>
          <w:color w:val="000000"/>
        </w:rPr>
      </w:pPr>
    </w:p>
    <w:p w14:paraId="0DCC9E8E" w14:textId="1B4837A4" w:rsidR="00CB68E6" w:rsidRPr="00F45D90" w:rsidRDefault="00CB68E6" w:rsidP="00CB68E6">
      <w:pPr>
        <w:spacing w:after="0" w:line="240" w:lineRule="auto"/>
        <w:rPr>
          <w:rFonts w:ascii="Times New Roman" w:hAnsi="Times New Roman"/>
        </w:rPr>
      </w:pPr>
      <w:r w:rsidRPr="00F45D90">
        <w:rPr>
          <w:rFonts w:ascii="Times New Roman" w:hAnsi="Times New Roman"/>
          <w:color w:val="000000"/>
        </w:rPr>
        <w:t xml:space="preserve">Nuoseklių </w:t>
      </w:r>
      <w:r w:rsidRPr="00F45D90">
        <w:rPr>
          <w:rFonts w:ascii="Times New Roman" w:hAnsi="Times New Roman"/>
          <w:i/>
          <w:color w:val="000000"/>
        </w:rPr>
        <w:t>in vitro</w:t>
      </w:r>
      <w:r w:rsidRPr="00F45D90">
        <w:rPr>
          <w:rFonts w:ascii="Times New Roman" w:hAnsi="Times New Roman"/>
          <w:color w:val="000000"/>
        </w:rPr>
        <w:t xml:space="preserve"> ir </w:t>
      </w:r>
      <w:r w:rsidRPr="00F45D90">
        <w:rPr>
          <w:rFonts w:ascii="Times New Roman" w:hAnsi="Times New Roman"/>
          <w:i/>
          <w:color w:val="000000"/>
        </w:rPr>
        <w:t>in vivo</w:t>
      </w:r>
      <w:r w:rsidRPr="00F45D90">
        <w:rPr>
          <w:rFonts w:ascii="Times New Roman" w:hAnsi="Times New Roman"/>
        </w:rPr>
        <w:t xml:space="preserve"> genotoksinio poveikio tyrimų metu šio poveikio požymių nenustatyta. Tyrimų su </w:t>
      </w:r>
      <w:r w:rsidR="00AE3732">
        <w:rPr>
          <w:rFonts w:ascii="Times New Roman" w:hAnsi="Times New Roman"/>
        </w:rPr>
        <w:t xml:space="preserve">laboratoriniais </w:t>
      </w:r>
      <w:r w:rsidRPr="00F45D90">
        <w:rPr>
          <w:rFonts w:ascii="Times New Roman" w:hAnsi="Times New Roman"/>
        </w:rPr>
        <w:t>gyvūnais</w:t>
      </w:r>
      <w:r w:rsidR="008F7C1B">
        <w:rPr>
          <w:rFonts w:ascii="Times New Roman" w:hAnsi="Times New Roman"/>
        </w:rPr>
        <w:t xml:space="preserve"> metu</w:t>
      </w:r>
      <w:r w:rsidRPr="00F45D90">
        <w:rPr>
          <w:rFonts w:ascii="Times New Roman" w:hAnsi="Times New Roman"/>
        </w:rPr>
        <w:t>,</w:t>
      </w:r>
      <w:r w:rsidR="008F7C1B">
        <w:rPr>
          <w:rFonts w:ascii="Times New Roman" w:hAnsi="Times New Roman"/>
        </w:rPr>
        <w:t xml:space="preserve"> </w:t>
      </w:r>
      <w:r w:rsidR="00AE3732">
        <w:rPr>
          <w:rFonts w:ascii="Times New Roman" w:hAnsi="Times New Roman"/>
        </w:rPr>
        <w:t xml:space="preserve">esant kliniškai reikšmingai ekspozicijai, </w:t>
      </w:r>
      <w:r w:rsidRPr="00F45D90">
        <w:rPr>
          <w:rFonts w:ascii="Times New Roman" w:hAnsi="Times New Roman"/>
        </w:rPr>
        <w:t xml:space="preserve"> pastebėta toliau išvardytų pokyčių, tačiau jie </w:t>
      </w:r>
      <w:r w:rsidR="00AE3732">
        <w:rPr>
          <w:rFonts w:ascii="Times New Roman" w:hAnsi="Times New Roman"/>
        </w:rPr>
        <w:t xml:space="preserve">dar nebuvo </w:t>
      </w:r>
      <w:r w:rsidRPr="00F45D90">
        <w:rPr>
          <w:rFonts w:ascii="Times New Roman" w:hAnsi="Times New Roman"/>
        </w:rPr>
        <w:t>patvirtinti ilgalaikių klinikinių tyrimų duomenimis.</w:t>
      </w:r>
    </w:p>
    <w:p w14:paraId="7DEB53A5" w14:textId="77777777" w:rsidR="00CB68E6" w:rsidRPr="00F45D90" w:rsidRDefault="00CB68E6" w:rsidP="00CB68E6">
      <w:pPr>
        <w:spacing w:after="0" w:line="240" w:lineRule="auto"/>
        <w:rPr>
          <w:rFonts w:ascii="Times New Roman" w:hAnsi="Times New Roman"/>
        </w:rPr>
      </w:pPr>
    </w:p>
    <w:p w14:paraId="47F4EBA2" w14:textId="11B771DC"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Žiurkėms </w:t>
      </w:r>
      <w:r w:rsidR="008F7C1B">
        <w:rPr>
          <w:rFonts w:ascii="Times New Roman" w:hAnsi="Times New Roman"/>
        </w:rPr>
        <w:t>stebėtas</w:t>
      </w:r>
      <w:r w:rsidRPr="00F45D90">
        <w:rPr>
          <w:rFonts w:ascii="Times New Roman" w:hAnsi="Times New Roman"/>
        </w:rPr>
        <w:t xml:space="preserve"> pigmento kaupimasis skydliaukėje. Pavianų rūšies (</w:t>
      </w:r>
      <w:r w:rsidRPr="00F45D90">
        <w:rPr>
          <w:rFonts w:ascii="Times New Roman" w:hAnsi="Times New Roman"/>
          <w:i/>
          <w:u w:val="single"/>
        </w:rPr>
        <w:t>Cynomolgus</w:t>
      </w:r>
      <w:r w:rsidRPr="00F45D90">
        <w:rPr>
          <w:rFonts w:ascii="Times New Roman" w:hAnsi="Times New Roman"/>
          <w:u w:val="single"/>
        </w:rPr>
        <w:t>)</w:t>
      </w:r>
      <w:r w:rsidRPr="00F45D90">
        <w:rPr>
          <w:rFonts w:ascii="Times New Roman" w:hAnsi="Times New Roman"/>
        </w:rPr>
        <w:t xml:space="preserve"> beždžionėms </w:t>
      </w:r>
      <w:r w:rsidR="008F7C1B">
        <w:rPr>
          <w:rFonts w:ascii="Times New Roman" w:hAnsi="Times New Roman"/>
        </w:rPr>
        <w:t>stebėta</w:t>
      </w:r>
      <w:r w:rsidRPr="00F45D90">
        <w:rPr>
          <w:rFonts w:ascii="Times New Roman" w:hAnsi="Times New Roman"/>
        </w:rPr>
        <w:t xml:space="preserve"> skydliaukės folikulinių ląstelių hipertrofija, T3 koncentracijos kraujo plazmoje, hemoglobino koncentracijos, eritrocitų bei leukocitų kiekio kraujyje sumažėjimas. Šunims </w:t>
      </w:r>
      <w:r w:rsidR="008F7C1B">
        <w:rPr>
          <w:rFonts w:ascii="Times New Roman" w:hAnsi="Times New Roman"/>
        </w:rPr>
        <w:t>stebėta</w:t>
      </w:r>
      <w:r w:rsidRPr="00F45D90">
        <w:rPr>
          <w:rFonts w:ascii="Times New Roman" w:hAnsi="Times New Roman"/>
        </w:rPr>
        <w:t xml:space="preserve"> akies lęšiuko drumstis (apie kataraktą ir lęšiuko drumstis žr. 5.1 skyrių). </w:t>
      </w:r>
    </w:p>
    <w:p w14:paraId="1A008816" w14:textId="77777777" w:rsidR="00CB68E6" w:rsidRPr="00F45D90" w:rsidRDefault="00CB68E6" w:rsidP="00CB68E6">
      <w:pPr>
        <w:spacing w:after="0" w:line="240" w:lineRule="auto"/>
        <w:rPr>
          <w:rFonts w:ascii="Times New Roman" w:hAnsi="Times New Roman"/>
        </w:rPr>
      </w:pPr>
    </w:p>
    <w:p w14:paraId="21716C7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Toksinio poveikio embrionui ir vaisiui tyrimais su triušiais nustatytas padidėjęs vaisių riešo arba čiurnos fleksijos dažnis. Šis poveikis pasireiškė esant tokiam akivaizdžiam motinos veiksniui kaip sulėtėjęs kūno svorio didėjimas. Šie poveikiai pasireiškė tuomet, kai motinos organizme vaisto ekspozicija buvo panaši arba didesnė negu vartojant žmonėms didžiausiais gydomąsias dozes. Šių radinių reikšmė žmogui neaiški.</w:t>
      </w:r>
    </w:p>
    <w:p w14:paraId="175BCF9B" w14:textId="77777777" w:rsidR="00CB68E6" w:rsidRPr="00F45D90" w:rsidRDefault="00CB68E6" w:rsidP="00CB68E6">
      <w:pPr>
        <w:spacing w:after="0" w:line="240" w:lineRule="auto"/>
        <w:rPr>
          <w:rFonts w:ascii="Times New Roman" w:hAnsi="Times New Roman"/>
        </w:rPr>
      </w:pPr>
    </w:p>
    <w:p w14:paraId="383818C5" w14:textId="4597CAFB"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Vaisingumo tyrimų su žiurkėmis metu </w:t>
      </w:r>
      <w:r w:rsidR="008F7C1B">
        <w:rPr>
          <w:rFonts w:ascii="Times New Roman" w:hAnsi="Times New Roman"/>
        </w:rPr>
        <w:t>stebėtas</w:t>
      </w:r>
      <w:r w:rsidRPr="00F45D90">
        <w:rPr>
          <w:rFonts w:ascii="Times New Roman" w:hAnsi="Times New Roman"/>
        </w:rPr>
        <w:t xml:space="preserve"> nežymus patinų vaisingumo sumažėjimas ir netikras vaikingumas, ilgesnis lytinio neaktyvumo laikotarpis, ilgesnis periodas iki kopuliacijos ir sumažėjęs vaikingumo dažnis. Šie pokyčiai susiję su padidėjusia prolaktino koncentracija ir tiesiogiai žmogui nereikšmingi, nes skiriasi rūšies reprodukcijos hormoninis reguliavimas.</w:t>
      </w:r>
    </w:p>
    <w:p w14:paraId="5B1AFE87" w14:textId="77777777" w:rsidR="00CB68E6" w:rsidRPr="00F45D90" w:rsidRDefault="00CB68E6" w:rsidP="00CB68E6">
      <w:pPr>
        <w:spacing w:after="0" w:line="240" w:lineRule="auto"/>
        <w:rPr>
          <w:rFonts w:ascii="Times New Roman" w:hAnsi="Times New Roman"/>
        </w:rPr>
      </w:pPr>
    </w:p>
    <w:p w14:paraId="35A36D64" w14:textId="77777777" w:rsidR="00CB68E6" w:rsidRPr="00F45D90" w:rsidRDefault="00CB68E6" w:rsidP="00CB68E6">
      <w:pPr>
        <w:spacing w:after="0" w:line="240" w:lineRule="auto"/>
        <w:rPr>
          <w:rFonts w:ascii="Times New Roman" w:hAnsi="Times New Roman"/>
        </w:rPr>
      </w:pPr>
    </w:p>
    <w:p w14:paraId="59A861D4"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39" w:name="_Toc129243115"/>
      <w:bookmarkStart w:id="40" w:name="_Toc129243240"/>
      <w:r w:rsidRPr="00F45D90">
        <w:rPr>
          <w:rFonts w:ascii="Times New Roman" w:eastAsia="Times New Roman" w:hAnsi="Times New Roman"/>
          <w:b/>
          <w:iCs/>
          <w:lang w:eastAsia="lt-LT" w:bidi="ar-BH"/>
        </w:rPr>
        <w:lastRenderedPageBreak/>
        <w:t>6.</w:t>
      </w:r>
      <w:r w:rsidRPr="00F45D90">
        <w:rPr>
          <w:rFonts w:ascii="Times New Roman" w:eastAsia="Times New Roman" w:hAnsi="Times New Roman"/>
          <w:b/>
          <w:iCs/>
          <w:lang w:eastAsia="lt-LT" w:bidi="ar-BH"/>
        </w:rPr>
        <w:tab/>
        <w:t>FARMACINĖ INFORMACIJA</w:t>
      </w:r>
      <w:bookmarkEnd w:id="39"/>
      <w:bookmarkEnd w:id="40"/>
    </w:p>
    <w:p w14:paraId="2BBDED51" w14:textId="77777777" w:rsidR="00CB68E6" w:rsidRPr="00F45D90" w:rsidRDefault="00CB68E6" w:rsidP="00CB68E6">
      <w:pPr>
        <w:spacing w:after="0" w:line="240" w:lineRule="auto"/>
        <w:rPr>
          <w:rFonts w:ascii="Times New Roman" w:hAnsi="Times New Roman"/>
        </w:rPr>
      </w:pPr>
    </w:p>
    <w:p w14:paraId="3045F419"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41" w:name="_Toc129243116"/>
      <w:bookmarkStart w:id="42" w:name="_Toc129243241"/>
      <w:r w:rsidRPr="00F45D90">
        <w:rPr>
          <w:rFonts w:ascii="Times New Roman" w:eastAsia="Times New Roman" w:hAnsi="Times New Roman"/>
          <w:b/>
          <w:kern w:val="28"/>
          <w:lang w:eastAsia="lt-LT"/>
        </w:rPr>
        <w:t>6.1</w:t>
      </w:r>
      <w:r w:rsidRPr="00F45D90">
        <w:rPr>
          <w:rFonts w:ascii="Times New Roman" w:eastAsia="Times New Roman" w:hAnsi="Times New Roman"/>
          <w:b/>
          <w:kern w:val="28"/>
          <w:lang w:eastAsia="lt-LT"/>
        </w:rPr>
        <w:tab/>
        <w:t>Pagalbinių medžiagų sąrašas</w:t>
      </w:r>
      <w:bookmarkEnd w:id="41"/>
      <w:bookmarkEnd w:id="42"/>
    </w:p>
    <w:p w14:paraId="06B23B5A" w14:textId="77777777" w:rsidR="00CB68E6" w:rsidRPr="00F45D90" w:rsidRDefault="00CB68E6" w:rsidP="00CB68E6">
      <w:pPr>
        <w:spacing w:after="0" w:line="240" w:lineRule="auto"/>
        <w:rPr>
          <w:rFonts w:ascii="Times New Roman" w:eastAsia="Times New Roman" w:hAnsi="Times New Roman"/>
          <w:lang w:eastAsia="lt-LT"/>
        </w:rPr>
      </w:pPr>
    </w:p>
    <w:p w14:paraId="7E9B9E1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plėvele dengtos tabletės</w:t>
      </w:r>
    </w:p>
    <w:p w14:paraId="330DEE78" w14:textId="77777777" w:rsidR="00CB68E6" w:rsidRPr="00F45D90" w:rsidRDefault="00CB68E6" w:rsidP="00CB68E6">
      <w:pPr>
        <w:spacing w:after="0" w:line="240" w:lineRule="auto"/>
        <w:rPr>
          <w:rFonts w:ascii="Times New Roman" w:hAnsi="Times New Roman"/>
        </w:rPr>
      </w:pPr>
    </w:p>
    <w:p w14:paraId="388237F4"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Tabletės šerdis</w:t>
      </w:r>
      <w:r w:rsidRPr="00F45D90">
        <w:rPr>
          <w:rFonts w:ascii="Times New Roman" w:hAnsi="Times New Roman"/>
        </w:rPr>
        <w:t>:</w:t>
      </w:r>
    </w:p>
    <w:p w14:paraId="76A9549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Bevandenis kalcio-vandenilio fosfatas</w:t>
      </w:r>
    </w:p>
    <w:p w14:paraId="59202E7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Laktozė monohidratas</w:t>
      </w:r>
    </w:p>
    <w:p w14:paraId="42A2F82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Mikrokristalinė celiuliozė</w:t>
      </w:r>
    </w:p>
    <w:p w14:paraId="0115B14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Karboksimetilkrakmolo A natrio druska</w:t>
      </w:r>
    </w:p>
    <w:p w14:paraId="383DC4F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Povidonas</w:t>
      </w:r>
    </w:p>
    <w:p w14:paraId="34BABE2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Magnio stearatas</w:t>
      </w:r>
    </w:p>
    <w:p w14:paraId="7B1CE156" w14:textId="77777777" w:rsidR="00CB68E6" w:rsidRPr="00F45D90" w:rsidRDefault="00CB68E6" w:rsidP="00CB68E6">
      <w:pPr>
        <w:spacing w:after="0" w:line="240" w:lineRule="auto"/>
        <w:rPr>
          <w:rFonts w:ascii="Times New Roman" w:hAnsi="Times New Roman"/>
        </w:rPr>
      </w:pPr>
    </w:p>
    <w:p w14:paraId="1DFD88EB"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Tabletės plėvelė</w:t>
      </w:r>
      <w:r w:rsidRPr="00F45D90">
        <w:rPr>
          <w:rFonts w:ascii="Times New Roman" w:hAnsi="Times New Roman"/>
        </w:rPr>
        <w:t>:</w:t>
      </w:r>
    </w:p>
    <w:p w14:paraId="227A6FC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Polivinilo alkoholis</w:t>
      </w:r>
    </w:p>
    <w:p w14:paraId="4E1EAE9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Lecitinas</w:t>
      </w:r>
    </w:p>
    <w:p w14:paraId="0A1C780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Titano dioksidas (E171)</w:t>
      </w:r>
    </w:p>
    <w:p w14:paraId="0136501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Makrogolis 3350</w:t>
      </w:r>
    </w:p>
    <w:p w14:paraId="1BABFD4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Talkas</w:t>
      </w:r>
    </w:p>
    <w:p w14:paraId="3020E5C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Geltonasis geležies oksidas (E172)</w:t>
      </w:r>
    </w:p>
    <w:p w14:paraId="791C368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Raudonasis geležies oksidas (E 172)</w:t>
      </w:r>
    </w:p>
    <w:p w14:paraId="4A65E8AC" w14:textId="77777777" w:rsidR="00CB68E6" w:rsidRPr="00F45D90" w:rsidRDefault="00CB68E6" w:rsidP="00CB68E6">
      <w:pPr>
        <w:spacing w:after="0" w:line="240" w:lineRule="auto"/>
        <w:rPr>
          <w:rFonts w:ascii="Times New Roman" w:hAnsi="Times New Roman"/>
        </w:rPr>
      </w:pPr>
    </w:p>
    <w:p w14:paraId="429BF31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100 mg plėvele dengtos tabletės</w:t>
      </w:r>
    </w:p>
    <w:p w14:paraId="73CA7733" w14:textId="77777777" w:rsidR="00CB68E6" w:rsidRPr="00F45D90" w:rsidRDefault="00CB68E6" w:rsidP="00CB68E6">
      <w:pPr>
        <w:spacing w:after="0" w:line="240" w:lineRule="auto"/>
        <w:rPr>
          <w:rFonts w:ascii="Times New Roman" w:hAnsi="Times New Roman"/>
        </w:rPr>
      </w:pPr>
    </w:p>
    <w:p w14:paraId="394BCD4C"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Tabletės šerdis</w:t>
      </w:r>
      <w:r w:rsidRPr="00F45D90">
        <w:rPr>
          <w:rFonts w:ascii="Times New Roman" w:hAnsi="Times New Roman"/>
        </w:rPr>
        <w:t>:</w:t>
      </w:r>
    </w:p>
    <w:p w14:paraId="2C0FBA7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Bevandenis kalcio-vandenilio fosfatas</w:t>
      </w:r>
    </w:p>
    <w:p w14:paraId="7272647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Laktozė monohidratas</w:t>
      </w:r>
    </w:p>
    <w:p w14:paraId="29850A4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Mikrokristalinė celiuliozė</w:t>
      </w:r>
    </w:p>
    <w:p w14:paraId="6FE78ED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Karboksimetilkrakmolo A natrio druska</w:t>
      </w:r>
    </w:p>
    <w:p w14:paraId="2160D56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Povidonas</w:t>
      </w:r>
    </w:p>
    <w:p w14:paraId="1AE6D87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Magnio stearatas</w:t>
      </w:r>
    </w:p>
    <w:p w14:paraId="250AE1C3" w14:textId="77777777" w:rsidR="00CB68E6" w:rsidRPr="00F45D90" w:rsidRDefault="00CB68E6" w:rsidP="00CB68E6">
      <w:pPr>
        <w:spacing w:after="0" w:line="240" w:lineRule="auto"/>
        <w:rPr>
          <w:rFonts w:ascii="Times New Roman" w:hAnsi="Times New Roman"/>
        </w:rPr>
      </w:pPr>
    </w:p>
    <w:p w14:paraId="2D83C6D7"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Tabletės plėvelė</w:t>
      </w:r>
      <w:r w:rsidRPr="00F45D90">
        <w:rPr>
          <w:rFonts w:ascii="Times New Roman" w:hAnsi="Times New Roman"/>
        </w:rPr>
        <w:t>:</w:t>
      </w:r>
    </w:p>
    <w:p w14:paraId="336FE72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Polivinilo alkoholis</w:t>
      </w:r>
    </w:p>
    <w:p w14:paraId="6703436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Lecitinas</w:t>
      </w:r>
    </w:p>
    <w:p w14:paraId="033D421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Titano dioksidas (E171)</w:t>
      </w:r>
    </w:p>
    <w:p w14:paraId="601C983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Makrogolis 3350</w:t>
      </w:r>
    </w:p>
    <w:p w14:paraId="44082A2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Talkas</w:t>
      </w:r>
    </w:p>
    <w:p w14:paraId="0845350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Geltonasis geležies oksidas (E172)</w:t>
      </w:r>
    </w:p>
    <w:p w14:paraId="620FAC0C" w14:textId="77777777" w:rsidR="00CB68E6" w:rsidRPr="00F45D90" w:rsidRDefault="00CB68E6" w:rsidP="00CB68E6">
      <w:pPr>
        <w:spacing w:after="0" w:line="240" w:lineRule="auto"/>
        <w:rPr>
          <w:rFonts w:ascii="Times New Roman" w:hAnsi="Times New Roman"/>
        </w:rPr>
      </w:pPr>
    </w:p>
    <w:p w14:paraId="0E48412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200 mg plėvele dengtos tabletės</w:t>
      </w:r>
    </w:p>
    <w:p w14:paraId="04F7FACB" w14:textId="77777777" w:rsidR="00CB68E6" w:rsidRPr="00F45D90" w:rsidRDefault="00CB68E6" w:rsidP="00CB68E6">
      <w:pPr>
        <w:spacing w:after="0" w:line="240" w:lineRule="auto"/>
        <w:rPr>
          <w:rFonts w:ascii="Times New Roman" w:hAnsi="Times New Roman"/>
        </w:rPr>
      </w:pPr>
    </w:p>
    <w:p w14:paraId="385CE2C3"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Tabletės šerdis</w:t>
      </w:r>
      <w:r w:rsidRPr="00F45D90">
        <w:rPr>
          <w:rFonts w:ascii="Times New Roman" w:hAnsi="Times New Roman"/>
        </w:rPr>
        <w:t>:</w:t>
      </w:r>
    </w:p>
    <w:p w14:paraId="5E74225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Bevandenis kalcio-vandenilio fosfatas</w:t>
      </w:r>
    </w:p>
    <w:p w14:paraId="285632B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Laktozė monohidratas</w:t>
      </w:r>
    </w:p>
    <w:p w14:paraId="0DE5029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Mikrokristalinė celiuliozė</w:t>
      </w:r>
    </w:p>
    <w:p w14:paraId="25A0CF0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Karboksimetilkrakmolo A natrio druska</w:t>
      </w:r>
    </w:p>
    <w:p w14:paraId="2532B1D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Povidonas</w:t>
      </w:r>
    </w:p>
    <w:p w14:paraId="24DD090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Magnio stearatas</w:t>
      </w:r>
    </w:p>
    <w:p w14:paraId="4EAF2FEC" w14:textId="77777777" w:rsidR="00CB68E6" w:rsidRPr="00F45D90" w:rsidRDefault="00CB68E6" w:rsidP="00CB68E6">
      <w:pPr>
        <w:spacing w:after="0" w:line="240" w:lineRule="auto"/>
        <w:rPr>
          <w:rFonts w:ascii="Times New Roman" w:hAnsi="Times New Roman"/>
        </w:rPr>
      </w:pPr>
    </w:p>
    <w:p w14:paraId="31CE524B"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Tabletės plėvelė</w:t>
      </w:r>
      <w:r w:rsidRPr="00F45D90">
        <w:rPr>
          <w:rFonts w:ascii="Times New Roman" w:hAnsi="Times New Roman"/>
        </w:rPr>
        <w:t>:</w:t>
      </w:r>
    </w:p>
    <w:p w14:paraId="5337CDC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Polivinilo alkoholis</w:t>
      </w:r>
    </w:p>
    <w:p w14:paraId="1EDD3C0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Lecitinas</w:t>
      </w:r>
    </w:p>
    <w:p w14:paraId="2854CD5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Titano dioksidas (E171)</w:t>
      </w:r>
    </w:p>
    <w:p w14:paraId="5856FCB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Makrogolis 3350</w:t>
      </w:r>
    </w:p>
    <w:p w14:paraId="1C29DE7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Talkas</w:t>
      </w:r>
    </w:p>
    <w:p w14:paraId="0D481083" w14:textId="77777777" w:rsidR="00CB68E6" w:rsidRPr="00F45D90" w:rsidRDefault="00CB68E6" w:rsidP="00CB68E6">
      <w:pPr>
        <w:spacing w:after="0" w:line="240" w:lineRule="auto"/>
        <w:rPr>
          <w:rFonts w:ascii="Times New Roman" w:hAnsi="Times New Roman"/>
        </w:rPr>
      </w:pPr>
    </w:p>
    <w:p w14:paraId="20AE3B8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300 mg plėvele dengtos tabletės</w:t>
      </w:r>
    </w:p>
    <w:p w14:paraId="572F280C" w14:textId="77777777" w:rsidR="00CB68E6" w:rsidRPr="00F45D90" w:rsidRDefault="00CB68E6" w:rsidP="00CB68E6">
      <w:pPr>
        <w:spacing w:after="0" w:line="240" w:lineRule="auto"/>
        <w:rPr>
          <w:rFonts w:ascii="Times New Roman" w:hAnsi="Times New Roman"/>
        </w:rPr>
      </w:pPr>
    </w:p>
    <w:p w14:paraId="47204B6C"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Tabletės šerdis</w:t>
      </w:r>
      <w:r w:rsidRPr="00F45D90">
        <w:rPr>
          <w:rFonts w:ascii="Times New Roman" w:hAnsi="Times New Roman"/>
        </w:rPr>
        <w:t>:</w:t>
      </w:r>
    </w:p>
    <w:p w14:paraId="3CFA39C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Bevandenis kalcio-vandenilio fosfatas</w:t>
      </w:r>
    </w:p>
    <w:p w14:paraId="6686CB4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Laktozė monohidratas</w:t>
      </w:r>
    </w:p>
    <w:p w14:paraId="5C3129A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Mikrokristalinė celiuliozė</w:t>
      </w:r>
    </w:p>
    <w:p w14:paraId="6518A53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Karboksimetilkrakmolo A natrio druska</w:t>
      </w:r>
    </w:p>
    <w:p w14:paraId="7D881BB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Povidonas</w:t>
      </w:r>
    </w:p>
    <w:p w14:paraId="699CB77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Magnio stearatas</w:t>
      </w:r>
    </w:p>
    <w:p w14:paraId="3C3724AD" w14:textId="77777777" w:rsidR="00CB68E6" w:rsidRPr="00F45D90" w:rsidRDefault="00CB68E6" w:rsidP="00CB68E6">
      <w:pPr>
        <w:spacing w:after="0" w:line="240" w:lineRule="auto"/>
        <w:rPr>
          <w:rFonts w:ascii="Times New Roman" w:hAnsi="Times New Roman"/>
        </w:rPr>
      </w:pPr>
    </w:p>
    <w:p w14:paraId="2A86CF86" w14:textId="77777777" w:rsidR="00CB68E6" w:rsidRPr="00F45D90" w:rsidRDefault="00CB68E6" w:rsidP="00CB68E6">
      <w:pPr>
        <w:spacing w:after="0" w:line="240" w:lineRule="auto"/>
        <w:rPr>
          <w:rFonts w:ascii="Times New Roman" w:hAnsi="Times New Roman"/>
        </w:rPr>
      </w:pPr>
      <w:r w:rsidRPr="00F45D90">
        <w:rPr>
          <w:rFonts w:ascii="Times New Roman" w:hAnsi="Times New Roman"/>
          <w:i/>
        </w:rPr>
        <w:t>Tabletės plėvelė</w:t>
      </w:r>
      <w:r w:rsidRPr="00F45D90">
        <w:rPr>
          <w:rFonts w:ascii="Times New Roman" w:hAnsi="Times New Roman"/>
        </w:rPr>
        <w:t>:</w:t>
      </w:r>
    </w:p>
    <w:p w14:paraId="10D416E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Polivinilo alkoholis</w:t>
      </w:r>
    </w:p>
    <w:p w14:paraId="337E8F5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Lecitinas</w:t>
      </w:r>
    </w:p>
    <w:p w14:paraId="194E52D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Titano dioksidas (E171)</w:t>
      </w:r>
    </w:p>
    <w:p w14:paraId="6CCC4E6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Makrogolis 3350</w:t>
      </w:r>
    </w:p>
    <w:p w14:paraId="74E8B8E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Talkas</w:t>
      </w:r>
    </w:p>
    <w:p w14:paraId="1F098C7F" w14:textId="77777777" w:rsidR="00CB68E6" w:rsidRPr="00F45D90" w:rsidRDefault="00CB68E6" w:rsidP="00CB68E6">
      <w:pPr>
        <w:spacing w:after="0" w:line="240" w:lineRule="auto"/>
        <w:rPr>
          <w:rFonts w:ascii="Times New Roman" w:hAnsi="Times New Roman"/>
        </w:rPr>
      </w:pPr>
    </w:p>
    <w:p w14:paraId="4C5FA83F"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43" w:name="_Toc129243117"/>
      <w:bookmarkStart w:id="44" w:name="_Toc129243242"/>
      <w:r w:rsidRPr="00F45D90">
        <w:rPr>
          <w:rFonts w:ascii="Times New Roman" w:eastAsia="Times New Roman" w:hAnsi="Times New Roman"/>
          <w:b/>
          <w:kern w:val="28"/>
          <w:lang w:eastAsia="lt-LT"/>
        </w:rPr>
        <w:t>6.2</w:t>
      </w:r>
      <w:r w:rsidRPr="00F45D90">
        <w:rPr>
          <w:rFonts w:ascii="Times New Roman" w:eastAsia="Times New Roman" w:hAnsi="Times New Roman"/>
          <w:b/>
          <w:kern w:val="28"/>
          <w:lang w:eastAsia="lt-LT"/>
        </w:rPr>
        <w:tab/>
        <w:t>Nesuderinamumas</w:t>
      </w:r>
      <w:bookmarkEnd w:id="43"/>
      <w:bookmarkEnd w:id="44"/>
    </w:p>
    <w:p w14:paraId="0CC65700" w14:textId="77777777" w:rsidR="00CB68E6" w:rsidRPr="00F45D90" w:rsidRDefault="00CB68E6" w:rsidP="00CB68E6">
      <w:pPr>
        <w:spacing w:after="0" w:line="240" w:lineRule="auto"/>
        <w:rPr>
          <w:rFonts w:ascii="Times New Roman" w:hAnsi="Times New Roman"/>
        </w:rPr>
      </w:pPr>
    </w:p>
    <w:p w14:paraId="300453D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Duomenys nebūtini.</w:t>
      </w:r>
    </w:p>
    <w:p w14:paraId="311266AF" w14:textId="77777777" w:rsidR="00CB68E6" w:rsidRPr="00F45D90" w:rsidRDefault="00CB68E6" w:rsidP="00CB68E6">
      <w:pPr>
        <w:spacing w:after="0" w:line="240" w:lineRule="auto"/>
        <w:rPr>
          <w:rFonts w:ascii="Times New Roman" w:hAnsi="Times New Roman"/>
        </w:rPr>
      </w:pPr>
    </w:p>
    <w:p w14:paraId="29FA04CB"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45" w:name="_Toc129243118"/>
      <w:bookmarkStart w:id="46" w:name="_Toc129243243"/>
      <w:r w:rsidRPr="00F45D90">
        <w:rPr>
          <w:rFonts w:ascii="Times New Roman" w:eastAsia="Times New Roman" w:hAnsi="Times New Roman"/>
          <w:b/>
          <w:kern w:val="28"/>
          <w:lang w:eastAsia="lt-LT"/>
        </w:rPr>
        <w:t>6.3</w:t>
      </w:r>
      <w:r w:rsidRPr="00F45D90">
        <w:rPr>
          <w:rFonts w:ascii="Times New Roman" w:eastAsia="Times New Roman" w:hAnsi="Times New Roman"/>
          <w:b/>
          <w:kern w:val="28"/>
          <w:lang w:eastAsia="lt-LT"/>
        </w:rPr>
        <w:tab/>
        <w:t>Tinkamumo laikas</w:t>
      </w:r>
      <w:bookmarkEnd w:id="45"/>
      <w:bookmarkEnd w:id="46"/>
    </w:p>
    <w:p w14:paraId="7796A294" w14:textId="77777777" w:rsidR="00CB68E6" w:rsidRPr="00F45D90" w:rsidRDefault="00CB68E6" w:rsidP="00CB68E6">
      <w:pPr>
        <w:spacing w:after="0" w:line="240" w:lineRule="auto"/>
        <w:rPr>
          <w:rFonts w:ascii="Times New Roman" w:hAnsi="Times New Roman"/>
        </w:rPr>
      </w:pPr>
    </w:p>
    <w:p w14:paraId="68E808DD" w14:textId="77777777" w:rsidR="00CB68E6" w:rsidRPr="00F45D90" w:rsidRDefault="00CB68E6" w:rsidP="00CB68E6">
      <w:pPr>
        <w:spacing w:after="0" w:line="240" w:lineRule="auto"/>
        <w:rPr>
          <w:rFonts w:ascii="Times New Roman" w:hAnsi="Times New Roman"/>
        </w:rPr>
      </w:pPr>
      <w:r>
        <w:rPr>
          <w:rFonts w:ascii="Times New Roman" w:hAnsi="Times New Roman"/>
        </w:rPr>
        <w:t>5</w:t>
      </w:r>
      <w:r w:rsidRPr="00F45D90">
        <w:rPr>
          <w:rFonts w:ascii="Times New Roman" w:hAnsi="Times New Roman"/>
        </w:rPr>
        <w:t xml:space="preserve"> metai.</w:t>
      </w:r>
    </w:p>
    <w:p w14:paraId="28A9054A" w14:textId="77777777" w:rsidR="00CB68E6" w:rsidRPr="00F45D90" w:rsidRDefault="00CB68E6" w:rsidP="00CB68E6">
      <w:pPr>
        <w:spacing w:after="0" w:line="240" w:lineRule="auto"/>
        <w:rPr>
          <w:rFonts w:ascii="Times New Roman" w:hAnsi="Times New Roman"/>
        </w:rPr>
      </w:pPr>
    </w:p>
    <w:p w14:paraId="773CBD26"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47" w:name="_Toc129243119"/>
      <w:bookmarkStart w:id="48" w:name="_Toc129243244"/>
      <w:r w:rsidRPr="00F45D90">
        <w:rPr>
          <w:rFonts w:ascii="Times New Roman" w:eastAsia="Times New Roman" w:hAnsi="Times New Roman"/>
          <w:b/>
          <w:kern w:val="28"/>
          <w:lang w:eastAsia="lt-LT"/>
        </w:rPr>
        <w:t>6.4</w:t>
      </w:r>
      <w:r w:rsidRPr="00F45D90">
        <w:rPr>
          <w:rFonts w:ascii="Times New Roman" w:eastAsia="Times New Roman" w:hAnsi="Times New Roman"/>
          <w:b/>
          <w:kern w:val="28"/>
          <w:lang w:eastAsia="lt-LT"/>
        </w:rPr>
        <w:tab/>
        <w:t>Specialios laikymo sąlygos</w:t>
      </w:r>
      <w:bookmarkEnd w:id="47"/>
      <w:bookmarkEnd w:id="48"/>
    </w:p>
    <w:p w14:paraId="70314FC4" w14:textId="77777777" w:rsidR="00CB68E6" w:rsidRPr="00F45D90" w:rsidRDefault="00CB68E6" w:rsidP="00CB68E6">
      <w:pPr>
        <w:spacing w:after="0" w:line="240" w:lineRule="auto"/>
        <w:rPr>
          <w:rFonts w:ascii="Times New Roman" w:hAnsi="Times New Roman"/>
        </w:rPr>
      </w:pPr>
    </w:p>
    <w:p w14:paraId="2ECE00E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Šiam vaistiniam preparatui specialių laikymo sąlygų nereikia.</w:t>
      </w:r>
    </w:p>
    <w:p w14:paraId="30044FCB" w14:textId="77777777" w:rsidR="00CB68E6" w:rsidRPr="00F45D90" w:rsidRDefault="00CB68E6" w:rsidP="00CB68E6">
      <w:pPr>
        <w:spacing w:after="0" w:line="240" w:lineRule="auto"/>
        <w:rPr>
          <w:rFonts w:ascii="Times New Roman" w:hAnsi="Times New Roman"/>
        </w:rPr>
      </w:pPr>
    </w:p>
    <w:p w14:paraId="3075DDFD"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49" w:name="_Toc129243120"/>
      <w:bookmarkStart w:id="50" w:name="_Toc129243245"/>
      <w:r w:rsidRPr="00F45D90">
        <w:rPr>
          <w:rFonts w:ascii="Times New Roman" w:eastAsia="Times New Roman" w:hAnsi="Times New Roman"/>
          <w:b/>
          <w:kern w:val="28"/>
          <w:lang w:eastAsia="lt-LT"/>
        </w:rPr>
        <w:t>6.5</w:t>
      </w:r>
      <w:r w:rsidRPr="00F45D90">
        <w:rPr>
          <w:rFonts w:ascii="Times New Roman" w:eastAsia="Times New Roman" w:hAnsi="Times New Roman"/>
          <w:b/>
          <w:kern w:val="28"/>
          <w:lang w:eastAsia="lt-LT"/>
        </w:rPr>
        <w:tab/>
        <w:t>Talpyklės pobūdis ir jos turinys</w:t>
      </w:r>
      <w:bookmarkEnd w:id="49"/>
      <w:bookmarkEnd w:id="50"/>
    </w:p>
    <w:p w14:paraId="34D1F213" w14:textId="77777777" w:rsidR="00CB68E6" w:rsidRPr="00F45D90" w:rsidRDefault="00CB68E6" w:rsidP="00CB68E6">
      <w:pPr>
        <w:spacing w:after="0" w:line="240" w:lineRule="auto"/>
        <w:rPr>
          <w:rFonts w:ascii="Times New Roman" w:hAnsi="Times New Roman"/>
        </w:rPr>
      </w:pPr>
    </w:p>
    <w:p w14:paraId="7540A17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PVC/PE/PVDC/Al lizdinės plokštelės.</w:t>
      </w:r>
    </w:p>
    <w:p w14:paraId="4B7F0E8C" w14:textId="77777777" w:rsidR="00CB68E6" w:rsidRPr="00F45D90" w:rsidRDefault="00CB68E6" w:rsidP="00CB68E6">
      <w:pPr>
        <w:spacing w:after="0" w:line="240" w:lineRule="auto"/>
        <w:rPr>
          <w:rFonts w:ascii="Times New Roman" w:hAnsi="Times New Roman"/>
        </w:rPr>
      </w:pPr>
    </w:p>
    <w:p w14:paraId="645DF33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Pakuotės dydžiai:</w:t>
      </w:r>
    </w:p>
    <w:p w14:paraId="034957F6" w14:textId="77777777" w:rsidR="00CB68E6" w:rsidRPr="00F45D90" w:rsidRDefault="00CB68E6" w:rsidP="00CB68E6">
      <w:pPr>
        <w:spacing w:after="0" w:line="240" w:lineRule="auto"/>
        <w:rPr>
          <w:rFonts w:ascii="Times New Roman" w:hAnsi="Times New Roman"/>
        </w:rPr>
      </w:pPr>
    </w:p>
    <w:p w14:paraId="2FC021F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plėvele dengtos tabletės</w:t>
      </w:r>
    </w:p>
    <w:p w14:paraId="78E3603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10, 30, 60 tablečių lizdinėse plokštelėse</w:t>
      </w:r>
    </w:p>
    <w:p w14:paraId="45EEEEE7" w14:textId="77777777" w:rsidR="00CB68E6" w:rsidRPr="00F45D90" w:rsidRDefault="00CB68E6" w:rsidP="00CB68E6">
      <w:pPr>
        <w:spacing w:after="0" w:line="240" w:lineRule="auto"/>
        <w:rPr>
          <w:rFonts w:ascii="Times New Roman" w:hAnsi="Times New Roman"/>
        </w:rPr>
      </w:pPr>
    </w:p>
    <w:p w14:paraId="7A4FF45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100 mg plėvele dengtos tabletės</w:t>
      </w:r>
    </w:p>
    <w:p w14:paraId="685DF1C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30, 60, 90 tablečių lizdinėse plokštelėse</w:t>
      </w:r>
    </w:p>
    <w:p w14:paraId="7710DAB8" w14:textId="77777777" w:rsidR="00CB68E6" w:rsidRPr="00F45D90" w:rsidRDefault="00CB68E6" w:rsidP="00CB68E6">
      <w:pPr>
        <w:spacing w:after="0" w:line="240" w:lineRule="auto"/>
        <w:rPr>
          <w:rFonts w:ascii="Times New Roman" w:hAnsi="Times New Roman"/>
        </w:rPr>
      </w:pPr>
    </w:p>
    <w:p w14:paraId="5CA3C1F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200 mg plėvele dengtos tabletės</w:t>
      </w:r>
    </w:p>
    <w:p w14:paraId="1155547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30, 60, 90 tablečių lizdinėse plokštelėse</w:t>
      </w:r>
    </w:p>
    <w:p w14:paraId="1196E986" w14:textId="77777777" w:rsidR="00CB68E6" w:rsidRPr="00F45D90" w:rsidRDefault="00CB68E6" w:rsidP="00CB68E6">
      <w:pPr>
        <w:spacing w:after="0" w:line="240" w:lineRule="auto"/>
        <w:rPr>
          <w:rFonts w:ascii="Times New Roman" w:hAnsi="Times New Roman"/>
        </w:rPr>
      </w:pPr>
    </w:p>
    <w:p w14:paraId="6589704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300 mg plėvele dengtos tabletės</w:t>
      </w:r>
    </w:p>
    <w:p w14:paraId="64A623C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10, 20, 30, 60, 90 tablečių lizdinėse plokštelėse</w:t>
      </w:r>
    </w:p>
    <w:p w14:paraId="54B728B0" w14:textId="77777777" w:rsidR="00CB68E6" w:rsidRPr="00F45D90" w:rsidRDefault="00CB68E6" w:rsidP="00CB68E6">
      <w:pPr>
        <w:spacing w:after="0" w:line="240" w:lineRule="auto"/>
        <w:rPr>
          <w:rFonts w:ascii="Times New Roman" w:hAnsi="Times New Roman"/>
        </w:rPr>
      </w:pPr>
    </w:p>
    <w:p w14:paraId="11A0C5E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+ 100 mg plėvele dengtos tabletės</w:t>
      </w:r>
    </w:p>
    <w:p w14:paraId="5FD4D9D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Viena lizdinė plokštelė su 6 Hedonin 25 mg plėvele dengtomis tabletėmis</w:t>
      </w:r>
    </w:p>
    <w:p w14:paraId="03B65D1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Viena lizdinė plokštelė su 5 Hedonin 100 mg plėvele dengtomis tabletėmis</w:t>
      </w:r>
    </w:p>
    <w:p w14:paraId="061EB7A5" w14:textId="77777777" w:rsidR="00CB68E6" w:rsidRPr="00F45D90" w:rsidRDefault="00CB68E6" w:rsidP="00CB68E6">
      <w:pPr>
        <w:spacing w:after="0" w:line="240" w:lineRule="auto"/>
        <w:rPr>
          <w:rFonts w:ascii="Times New Roman" w:hAnsi="Times New Roman"/>
        </w:rPr>
      </w:pPr>
    </w:p>
    <w:p w14:paraId="6377D87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Gali būti tiekiamos ne visų dydžių pakuotės.</w:t>
      </w:r>
    </w:p>
    <w:p w14:paraId="07B7DE18" w14:textId="77777777" w:rsidR="00CB68E6" w:rsidRPr="00F45D90" w:rsidRDefault="00CB68E6" w:rsidP="00CB68E6">
      <w:pPr>
        <w:spacing w:after="0" w:line="240" w:lineRule="auto"/>
        <w:rPr>
          <w:rFonts w:ascii="Times New Roman" w:hAnsi="Times New Roman"/>
        </w:rPr>
      </w:pPr>
    </w:p>
    <w:p w14:paraId="33CFED2D" w14:textId="77777777" w:rsidR="00CB68E6" w:rsidRPr="00F45D90" w:rsidRDefault="00CB68E6" w:rsidP="00CB68E6">
      <w:pPr>
        <w:keepNext/>
        <w:tabs>
          <w:tab w:val="left" w:pos="567"/>
        </w:tabs>
        <w:spacing w:after="60" w:line="240" w:lineRule="auto"/>
        <w:outlineLvl w:val="2"/>
        <w:rPr>
          <w:rFonts w:ascii="Times New Roman" w:eastAsia="Times New Roman" w:hAnsi="Times New Roman"/>
          <w:b/>
          <w:kern w:val="28"/>
          <w:lang w:eastAsia="lt-LT"/>
        </w:rPr>
      </w:pPr>
      <w:bookmarkStart w:id="51" w:name="_Toc129243121"/>
      <w:bookmarkStart w:id="52" w:name="_Toc129243246"/>
      <w:r w:rsidRPr="00F45D90">
        <w:rPr>
          <w:rFonts w:ascii="Times New Roman" w:eastAsia="Times New Roman" w:hAnsi="Times New Roman"/>
          <w:b/>
          <w:kern w:val="28"/>
          <w:lang w:eastAsia="lt-LT"/>
        </w:rPr>
        <w:t>6.6</w:t>
      </w:r>
      <w:r w:rsidRPr="00F45D90">
        <w:rPr>
          <w:rFonts w:ascii="Times New Roman" w:eastAsia="Times New Roman" w:hAnsi="Times New Roman"/>
          <w:b/>
          <w:kern w:val="28"/>
          <w:lang w:eastAsia="lt-LT"/>
        </w:rPr>
        <w:tab/>
        <w:t xml:space="preserve">Specialūs reikalavimai atliekoms tvarkyti </w:t>
      </w:r>
      <w:bookmarkEnd w:id="51"/>
      <w:bookmarkEnd w:id="52"/>
    </w:p>
    <w:p w14:paraId="4ACAA280" w14:textId="77777777" w:rsidR="00CB68E6" w:rsidRPr="00F45D90" w:rsidRDefault="00CB68E6" w:rsidP="00CB68E6">
      <w:pPr>
        <w:spacing w:after="0" w:line="240" w:lineRule="auto"/>
        <w:rPr>
          <w:rFonts w:ascii="Times New Roman" w:hAnsi="Times New Roman"/>
        </w:rPr>
      </w:pPr>
    </w:p>
    <w:p w14:paraId="5AC8E97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lastRenderedPageBreak/>
        <w:t>Specialių reikalavimų nėra.</w:t>
      </w:r>
    </w:p>
    <w:p w14:paraId="68B108FD" w14:textId="77777777" w:rsidR="00CB68E6" w:rsidRPr="00F45D90" w:rsidRDefault="00CB68E6" w:rsidP="00CB68E6">
      <w:pPr>
        <w:spacing w:after="0" w:line="240" w:lineRule="auto"/>
        <w:rPr>
          <w:rFonts w:ascii="Times New Roman" w:hAnsi="Times New Roman"/>
        </w:rPr>
      </w:pPr>
    </w:p>
    <w:p w14:paraId="6AB2C9CB" w14:textId="77777777" w:rsidR="00CB68E6" w:rsidRPr="00F45D90" w:rsidRDefault="00CB68E6" w:rsidP="00CB68E6">
      <w:pPr>
        <w:spacing w:after="0" w:line="240" w:lineRule="auto"/>
        <w:rPr>
          <w:rFonts w:ascii="Times New Roman" w:hAnsi="Times New Roman"/>
        </w:rPr>
      </w:pPr>
    </w:p>
    <w:p w14:paraId="67F4628F"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53" w:name="_Toc129243122"/>
      <w:bookmarkStart w:id="54" w:name="_Toc129243247"/>
      <w:r w:rsidRPr="00F45D90">
        <w:rPr>
          <w:rFonts w:ascii="Times New Roman" w:eastAsia="Times New Roman" w:hAnsi="Times New Roman"/>
          <w:b/>
          <w:iCs/>
          <w:lang w:eastAsia="lt-LT" w:bidi="ar-BH"/>
        </w:rPr>
        <w:t>7.</w:t>
      </w:r>
      <w:r w:rsidRPr="00F45D90">
        <w:rPr>
          <w:rFonts w:ascii="Times New Roman" w:eastAsia="Times New Roman" w:hAnsi="Times New Roman"/>
          <w:b/>
          <w:iCs/>
          <w:lang w:eastAsia="lt-LT" w:bidi="ar-BH"/>
        </w:rPr>
        <w:tab/>
        <w:t>REGISTRUOTOJAS</w:t>
      </w:r>
      <w:bookmarkEnd w:id="53"/>
      <w:bookmarkEnd w:id="54"/>
    </w:p>
    <w:p w14:paraId="257604C8" w14:textId="77777777" w:rsidR="00CB68E6" w:rsidRPr="00F45D90" w:rsidRDefault="00CB68E6" w:rsidP="00CB68E6">
      <w:pPr>
        <w:spacing w:after="0" w:line="240" w:lineRule="auto"/>
        <w:rPr>
          <w:rFonts w:ascii="Times New Roman" w:hAnsi="Times New Roman"/>
        </w:rPr>
      </w:pPr>
    </w:p>
    <w:p w14:paraId="3BA237A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G.L. Pharma GmbH </w:t>
      </w:r>
    </w:p>
    <w:p w14:paraId="593E216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Schlossplatz 1 </w:t>
      </w:r>
    </w:p>
    <w:p w14:paraId="3F94C33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8502 Lannach </w:t>
      </w:r>
    </w:p>
    <w:p w14:paraId="4912CBE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Austrija</w:t>
      </w:r>
    </w:p>
    <w:p w14:paraId="71266251" w14:textId="77777777" w:rsidR="00CB68E6" w:rsidRPr="00F45D90" w:rsidRDefault="00CB68E6" w:rsidP="00CB68E6">
      <w:pPr>
        <w:spacing w:after="0" w:line="240" w:lineRule="auto"/>
        <w:rPr>
          <w:rFonts w:ascii="Times New Roman" w:hAnsi="Times New Roman"/>
        </w:rPr>
      </w:pPr>
    </w:p>
    <w:p w14:paraId="6896BD1A" w14:textId="77777777" w:rsidR="00CB68E6" w:rsidRPr="00F45D90" w:rsidRDefault="00CB68E6" w:rsidP="00CB68E6">
      <w:pPr>
        <w:spacing w:after="0" w:line="240" w:lineRule="auto"/>
        <w:rPr>
          <w:rFonts w:ascii="Times New Roman" w:hAnsi="Times New Roman"/>
        </w:rPr>
      </w:pPr>
    </w:p>
    <w:p w14:paraId="79E17C10"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55" w:name="_Toc129243123"/>
      <w:bookmarkStart w:id="56" w:name="_Toc129243248"/>
      <w:r w:rsidRPr="00F45D90">
        <w:rPr>
          <w:rFonts w:ascii="Times New Roman" w:eastAsia="Times New Roman" w:hAnsi="Times New Roman"/>
          <w:b/>
          <w:iCs/>
          <w:lang w:eastAsia="lt-LT" w:bidi="ar-BH"/>
        </w:rPr>
        <w:t>8.</w:t>
      </w:r>
      <w:r w:rsidRPr="00F45D90">
        <w:rPr>
          <w:rFonts w:ascii="Times New Roman" w:eastAsia="Times New Roman" w:hAnsi="Times New Roman"/>
          <w:b/>
          <w:iCs/>
          <w:lang w:eastAsia="lt-LT" w:bidi="ar-BH"/>
        </w:rPr>
        <w:tab/>
        <w:t>REGISTRACIJOS PAŽYMĖJIMO NUMER</w:t>
      </w:r>
      <w:bookmarkEnd w:id="55"/>
      <w:bookmarkEnd w:id="56"/>
      <w:r w:rsidRPr="00F45D90">
        <w:rPr>
          <w:rFonts w:ascii="Times New Roman" w:eastAsia="Times New Roman" w:hAnsi="Times New Roman"/>
          <w:b/>
          <w:iCs/>
          <w:lang w:eastAsia="lt-LT" w:bidi="ar-BH"/>
        </w:rPr>
        <w:t>IAI</w:t>
      </w:r>
    </w:p>
    <w:p w14:paraId="5A61680C" w14:textId="77777777" w:rsidR="00CB68E6" w:rsidRPr="00F45D90" w:rsidRDefault="00CB68E6" w:rsidP="00CB68E6">
      <w:pPr>
        <w:spacing w:after="0" w:line="240" w:lineRule="auto"/>
        <w:rPr>
          <w:rFonts w:ascii="Times New Roman" w:hAnsi="Times New Roman"/>
        </w:rPr>
      </w:pPr>
    </w:p>
    <w:p w14:paraId="65E1867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w:t>
      </w:r>
    </w:p>
    <w:p w14:paraId="17F0C24D"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N10 - </w:t>
      </w:r>
      <w:r w:rsidRPr="00F45D90">
        <w:rPr>
          <w:rFonts w:ascii="Times New Roman" w:hAnsi="Times New Roman"/>
        </w:rPr>
        <w:t>LT/1/07/0840/016</w:t>
      </w:r>
    </w:p>
    <w:p w14:paraId="0A5ABE7F"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N30 - LT/1/07/0840/002 </w:t>
      </w:r>
    </w:p>
    <w:p w14:paraId="564ABC4B"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N60 - LT/1/07/0840/003 </w:t>
      </w:r>
    </w:p>
    <w:p w14:paraId="0C265EE5" w14:textId="77777777" w:rsidR="00CB68E6" w:rsidRPr="00F45D90" w:rsidRDefault="00CB68E6" w:rsidP="00CB68E6">
      <w:pPr>
        <w:spacing w:after="0" w:line="240" w:lineRule="auto"/>
        <w:rPr>
          <w:rFonts w:ascii="Times New Roman" w:hAnsi="Times New Roman"/>
        </w:rPr>
      </w:pPr>
    </w:p>
    <w:p w14:paraId="37131BE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100 mg</w:t>
      </w:r>
    </w:p>
    <w:p w14:paraId="73226D44"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N30 - LT/1/07/0840/004</w:t>
      </w:r>
    </w:p>
    <w:p w14:paraId="0AC6CFAE"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N60 - LT/1/07/0840/005 </w:t>
      </w:r>
    </w:p>
    <w:p w14:paraId="0819F100"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N90 - LT/1/07/0840/006 </w:t>
      </w:r>
    </w:p>
    <w:p w14:paraId="663F359C" w14:textId="77777777" w:rsidR="00CB68E6" w:rsidRPr="00F45D90" w:rsidRDefault="00CB68E6" w:rsidP="00CB68E6">
      <w:pPr>
        <w:spacing w:after="0" w:line="240" w:lineRule="auto"/>
        <w:rPr>
          <w:rFonts w:ascii="Times New Roman" w:hAnsi="Times New Roman"/>
        </w:rPr>
      </w:pPr>
    </w:p>
    <w:p w14:paraId="21F88CB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200 mg</w:t>
      </w:r>
    </w:p>
    <w:p w14:paraId="573C4484"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N30 - LT/1/07/0840/007</w:t>
      </w:r>
    </w:p>
    <w:p w14:paraId="3E1D6095"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N60 - LT/1/07/0840/008 </w:t>
      </w:r>
    </w:p>
    <w:p w14:paraId="080F0BCC"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N90 - LT/1/07/0840/009</w:t>
      </w:r>
    </w:p>
    <w:p w14:paraId="44445884" w14:textId="77777777" w:rsidR="00CB68E6" w:rsidRPr="00F45D90" w:rsidRDefault="00CB68E6" w:rsidP="00CB68E6">
      <w:pPr>
        <w:spacing w:after="0" w:line="240" w:lineRule="auto"/>
        <w:rPr>
          <w:rFonts w:ascii="Times New Roman" w:hAnsi="Times New Roman"/>
        </w:rPr>
      </w:pPr>
    </w:p>
    <w:p w14:paraId="0D049DC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300 mg</w:t>
      </w:r>
    </w:p>
    <w:p w14:paraId="05252B91" w14:textId="77777777" w:rsidR="00CB68E6" w:rsidRPr="00F45D90" w:rsidRDefault="00CB68E6" w:rsidP="00CB68E6">
      <w:pPr>
        <w:autoSpaceDE w:val="0"/>
        <w:autoSpaceDN w:val="0"/>
        <w:adjustRightInd w:val="0"/>
        <w:spacing w:after="0" w:line="240" w:lineRule="auto"/>
        <w:rPr>
          <w:rFonts w:ascii="Times New Roman" w:hAnsi="Times New Roman"/>
          <w:color w:val="000000"/>
          <w:lang w:eastAsia="lt-LT"/>
        </w:rPr>
      </w:pPr>
      <w:r w:rsidRPr="00F45D90">
        <w:rPr>
          <w:rFonts w:ascii="Times New Roman" w:hAnsi="Times New Roman"/>
          <w:color w:val="000000"/>
          <w:lang w:eastAsia="lt-LT"/>
        </w:rPr>
        <w:t>N10 – LT/1/07/0840/013</w:t>
      </w:r>
    </w:p>
    <w:p w14:paraId="7E051876" w14:textId="77777777" w:rsidR="00CB68E6" w:rsidRPr="00F45D90" w:rsidRDefault="00CB68E6" w:rsidP="00CB68E6">
      <w:pPr>
        <w:autoSpaceDE w:val="0"/>
        <w:autoSpaceDN w:val="0"/>
        <w:adjustRightInd w:val="0"/>
        <w:spacing w:after="0" w:line="240" w:lineRule="auto"/>
        <w:rPr>
          <w:rFonts w:ascii="Times New Roman" w:hAnsi="Times New Roman"/>
          <w:color w:val="000000"/>
          <w:lang w:eastAsia="lt-LT"/>
        </w:rPr>
      </w:pPr>
      <w:r w:rsidRPr="00F45D90">
        <w:rPr>
          <w:rFonts w:ascii="Times New Roman" w:hAnsi="Times New Roman"/>
          <w:color w:val="000000"/>
          <w:lang w:eastAsia="lt-LT"/>
        </w:rPr>
        <w:t>N20 – LT/1/07/0840/014</w:t>
      </w:r>
    </w:p>
    <w:p w14:paraId="24886F5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N30 – LT/1/07/0840/015</w:t>
      </w:r>
    </w:p>
    <w:p w14:paraId="21232110"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N60 - LT/1/07/0840/010</w:t>
      </w:r>
    </w:p>
    <w:p w14:paraId="5BB823D9"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N90 - LT/1/07/0840/011</w:t>
      </w:r>
    </w:p>
    <w:p w14:paraId="42442F26" w14:textId="77777777" w:rsidR="00CB68E6" w:rsidRPr="00F45D90" w:rsidRDefault="00CB68E6" w:rsidP="00CB68E6">
      <w:pPr>
        <w:spacing w:after="0" w:line="240" w:lineRule="auto"/>
        <w:rPr>
          <w:rFonts w:ascii="Times New Roman" w:hAnsi="Times New Roman"/>
          <w:bCs/>
        </w:rPr>
      </w:pPr>
    </w:p>
    <w:p w14:paraId="4CD18D2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+ 100</w:t>
      </w:r>
      <w:r w:rsidRPr="00250BF6">
        <w:rPr>
          <w:rFonts w:ascii="Times New Roman" w:hAnsi="Times New Roman"/>
        </w:rPr>
        <w:t> mg</w:t>
      </w:r>
    </w:p>
    <w:p w14:paraId="1E222FC0"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N6 (25 mg) ir N5 (100 mg) - LT/1/07/0840/012</w:t>
      </w:r>
    </w:p>
    <w:p w14:paraId="208E8CE7" w14:textId="77777777" w:rsidR="00CB68E6" w:rsidRPr="00F45D90" w:rsidRDefault="00CB68E6" w:rsidP="00CB68E6">
      <w:pPr>
        <w:spacing w:after="0" w:line="240" w:lineRule="auto"/>
        <w:rPr>
          <w:rFonts w:ascii="Times New Roman" w:hAnsi="Times New Roman"/>
        </w:rPr>
      </w:pPr>
    </w:p>
    <w:p w14:paraId="17C03D95" w14:textId="77777777" w:rsidR="00CB68E6" w:rsidRPr="00F45D90" w:rsidRDefault="00CB68E6" w:rsidP="00CB68E6">
      <w:pPr>
        <w:spacing w:after="0" w:line="240" w:lineRule="auto"/>
        <w:rPr>
          <w:rFonts w:ascii="Times New Roman" w:hAnsi="Times New Roman"/>
        </w:rPr>
      </w:pPr>
    </w:p>
    <w:p w14:paraId="4507316E"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57" w:name="_Toc129243124"/>
      <w:bookmarkStart w:id="58" w:name="_Toc129243249"/>
      <w:r w:rsidRPr="00F45D90">
        <w:rPr>
          <w:rFonts w:ascii="Times New Roman" w:eastAsia="Times New Roman" w:hAnsi="Times New Roman"/>
          <w:b/>
          <w:iCs/>
          <w:lang w:eastAsia="lt-LT" w:bidi="ar-BH"/>
        </w:rPr>
        <w:t>9.</w:t>
      </w:r>
      <w:r w:rsidRPr="00F45D90">
        <w:rPr>
          <w:rFonts w:ascii="Times New Roman" w:eastAsia="Times New Roman" w:hAnsi="Times New Roman"/>
          <w:b/>
          <w:iCs/>
          <w:lang w:eastAsia="lt-LT" w:bidi="ar-BH"/>
        </w:rPr>
        <w:tab/>
      </w:r>
      <w:r w:rsidRPr="00F45D90">
        <w:rPr>
          <w:rFonts w:ascii="Times New Roman" w:hAnsi="Times New Roman"/>
          <w:b/>
        </w:rPr>
        <w:t>REGISTRAVIMO / PERREGISTRAVIMO</w:t>
      </w:r>
      <w:r w:rsidRPr="00F45D90">
        <w:rPr>
          <w:rFonts w:ascii="Times New Roman" w:hAnsi="Times New Roman"/>
        </w:rPr>
        <w:t xml:space="preserve"> </w:t>
      </w:r>
      <w:r w:rsidRPr="00F45D90">
        <w:rPr>
          <w:rFonts w:ascii="Times New Roman" w:eastAsia="Times New Roman" w:hAnsi="Times New Roman"/>
          <w:b/>
          <w:iCs/>
          <w:lang w:eastAsia="lt-LT" w:bidi="ar-BH"/>
        </w:rPr>
        <w:t>DATA</w:t>
      </w:r>
      <w:bookmarkEnd w:id="57"/>
      <w:bookmarkEnd w:id="58"/>
    </w:p>
    <w:p w14:paraId="40001A8F" w14:textId="77777777" w:rsidR="00CB68E6" w:rsidRPr="00F45D90" w:rsidRDefault="00CB68E6" w:rsidP="00CB68E6">
      <w:pPr>
        <w:spacing w:after="0" w:line="240" w:lineRule="auto"/>
        <w:rPr>
          <w:rFonts w:ascii="Times New Roman" w:hAnsi="Times New Roman"/>
        </w:rPr>
      </w:pPr>
    </w:p>
    <w:p w14:paraId="5F07B25E" w14:textId="3125A098" w:rsidR="00CB68E6" w:rsidRPr="00D27530" w:rsidRDefault="00CB68E6" w:rsidP="00CB68E6">
      <w:pPr>
        <w:pStyle w:val="BTEMEASMCA"/>
        <w:rPr>
          <w:lang w:val="it-IT"/>
        </w:rPr>
      </w:pPr>
      <w:r w:rsidRPr="00D27530">
        <w:rPr>
          <w:szCs w:val="24"/>
          <w:lang w:val="it-IT"/>
        </w:rPr>
        <w:t xml:space="preserve">Registravimo data </w:t>
      </w:r>
      <w:r w:rsidRPr="00D27530">
        <w:rPr>
          <w:lang w:val="it-IT"/>
        </w:rPr>
        <w:t>2007 m. spalio 03 d.</w:t>
      </w:r>
    </w:p>
    <w:p w14:paraId="4552B8DC" w14:textId="5817A2AB" w:rsidR="00CB68E6" w:rsidRPr="00D27530" w:rsidRDefault="00CB68E6" w:rsidP="00CB68E6">
      <w:pPr>
        <w:pStyle w:val="BTEMEASMCA"/>
        <w:rPr>
          <w:lang w:val="it-IT"/>
        </w:rPr>
      </w:pPr>
      <w:r w:rsidRPr="00D27530">
        <w:rPr>
          <w:lang w:val="it-IT"/>
        </w:rPr>
        <w:t xml:space="preserve">Paskutinio </w:t>
      </w:r>
      <w:r w:rsidRPr="00D27530">
        <w:rPr>
          <w:szCs w:val="24"/>
          <w:lang w:val="it-IT"/>
        </w:rPr>
        <w:t xml:space="preserve">perregistravimo data </w:t>
      </w:r>
      <w:r w:rsidRPr="00D27530">
        <w:rPr>
          <w:lang w:val="it-IT"/>
        </w:rPr>
        <w:t>2013 m. vasario 08 d.</w:t>
      </w:r>
    </w:p>
    <w:p w14:paraId="118A9B4E" w14:textId="77777777" w:rsidR="00CB68E6" w:rsidRPr="00F45D90" w:rsidRDefault="00CB68E6" w:rsidP="00CB68E6">
      <w:pPr>
        <w:spacing w:after="0" w:line="240" w:lineRule="auto"/>
        <w:rPr>
          <w:rFonts w:ascii="Times New Roman" w:hAnsi="Times New Roman"/>
        </w:rPr>
      </w:pPr>
    </w:p>
    <w:p w14:paraId="0D74A87A" w14:textId="77777777" w:rsidR="00CB68E6" w:rsidRPr="00F45D90" w:rsidRDefault="00CB68E6" w:rsidP="00CB68E6">
      <w:pPr>
        <w:spacing w:after="0" w:line="240" w:lineRule="auto"/>
        <w:rPr>
          <w:rFonts w:ascii="Times New Roman" w:hAnsi="Times New Roman"/>
        </w:rPr>
      </w:pPr>
    </w:p>
    <w:p w14:paraId="4F6FF915" w14:textId="77777777" w:rsidR="00CB68E6"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59" w:name="_Toc129243125"/>
      <w:bookmarkStart w:id="60" w:name="_Toc129243250"/>
      <w:r w:rsidRPr="00F45D90">
        <w:rPr>
          <w:rFonts w:ascii="Times New Roman" w:eastAsia="Times New Roman" w:hAnsi="Times New Roman"/>
          <w:b/>
          <w:iCs/>
          <w:lang w:eastAsia="lt-LT" w:bidi="ar-BH"/>
        </w:rPr>
        <w:t>10.</w:t>
      </w:r>
      <w:r w:rsidRPr="00F45D90">
        <w:rPr>
          <w:rFonts w:ascii="Times New Roman" w:eastAsia="Times New Roman" w:hAnsi="Times New Roman"/>
          <w:b/>
          <w:iCs/>
          <w:lang w:eastAsia="lt-LT" w:bidi="ar-BH"/>
        </w:rPr>
        <w:tab/>
        <w:t>TEKSTO PERŽIŪROS DATA</w:t>
      </w:r>
      <w:bookmarkEnd w:id="59"/>
      <w:bookmarkEnd w:id="60"/>
    </w:p>
    <w:p w14:paraId="15B36D47"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p>
    <w:p w14:paraId="6B0B9E72" w14:textId="54B65930" w:rsidR="00BB7646" w:rsidRDefault="00DB61C4" w:rsidP="00CB68E6">
      <w:pPr>
        <w:spacing w:after="0" w:line="240" w:lineRule="auto"/>
        <w:rPr>
          <w:rFonts w:ascii="Times New Roman" w:hAnsi="Times New Roman"/>
        </w:rPr>
      </w:pPr>
      <w:r>
        <w:rPr>
          <w:rFonts w:ascii="Times New Roman" w:hAnsi="Times New Roman"/>
        </w:rPr>
        <w:t>2024 m. rugpjūčio 30 d.</w:t>
      </w:r>
    </w:p>
    <w:p w14:paraId="14FE30E1" w14:textId="77777777" w:rsidR="00D27530" w:rsidRPr="00F45D90" w:rsidRDefault="00D27530" w:rsidP="00CB68E6">
      <w:pPr>
        <w:spacing w:after="0" w:line="240" w:lineRule="auto"/>
        <w:rPr>
          <w:rFonts w:ascii="Times New Roman" w:hAnsi="Times New Roman"/>
        </w:rPr>
      </w:pPr>
    </w:p>
    <w:p w14:paraId="1A61E93F" w14:textId="7288745B" w:rsidR="00CB68E6" w:rsidRPr="00F45D90" w:rsidRDefault="00CB68E6" w:rsidP="00CB68E6">
      <w:pPr>
        <w:tabs>
          <w:tab w:val="left" w:pos="5954"/>
          <w:tab w:val="left" w:pos="6237"/>
          <w:tab w:val="left" w:pos="6663"/>
          <w:tab w:val="left" w:pos="6946"/>
        </w:tabs>
        <w:spacing w:after="0" w:line="240" w:lineRule="auto"/>
        <w:rPr>
          <w:rFonts w:ascii="Times New Roman" w:eastAsia="SimSun" w:hAnsi="Times New Roman"/>
        </w:rPr>
      </w:pPr>
      <w:r w:rsidRPr="00F45D90">
        <w:rPr>
          <w:rFonts w:ascii="Times New Roman" w:eastAsia="SimSun" w:hAnsi="Times New Roman"/>
          <w:noProof/>
        </w:rPr>
        <w:t>Išsami informacija apie šį vaistinį preparatą pateikiama Valstybinės vaistų kontrolės tarnybos prie Lietuvos Respublikos sveikatos apsaugos ministerijos tinklalapyje</w:t>
      </w:r>
      <w:r w:rsidRPr="00F45D90">
        <w:rPr>
          <w:rFonts w:ascii="Times New Roman" w:eastAsia="SimSun" w:hAnsi="Times New Roman"/>
          <w:i/>
          <w:noProof/>
        </w:rPr>
        <w:t xml:space="preserve"> </w:t>
      </w:r>
      <w:hyperlink r:id="rId7" w:history="1">
        <w:r w:rsidR="009F4467" w:rsidRPr="009F4467">
          <w:rPr>
            <w:rFonts w:ascii="Times New Roman" w:eastAsia="Times New Roman" w:hAnsi="Times New Roman"/>
            <w:color w:val="0000FF"/>
            <w:u w:val="single"/>
            <w:lang w:eastAsia="lt-LT"/>
          </w:rPr>
          <w:t>https://vvkt.lrv.lt/lt/</w:t>
        </w:r>
      </w:hyperlink>
      <w:r w:rsidR="009F4467" w:rsidRPr="009F4467">
        <w:rPr>
          <w:rFonts w:ascii="Times New Roman" w:eastAsia="Times New Roman" w:hAnsi="Times New Roman"/>
          <w:lang w:eastAsia="lt-LT"/>
        </w:rPr>
        <w:t>.</w:t>
      </w:r>
    </w:p>
    <w:p w14:paraId="393DD115" w14:textId="77777777" w:rsidR="00CB68E6" w:rsidRPr="00F45D90" w:rsidRDefault="00CB68E6" w:rsidP="00CB68E6">
      <w:pPr>
        <w:spacing w:after="0" w:line="240" w:lineRule="auto"/>
        <w:rPr>
          <w:rFonts w:ascii="Times New Roman" w:hAnsi="Times New Roman"/>
        </w:rPr>
      </w:pPr>
    </w:p>
    <w:p w14:paraId="138AD92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br w:type="page"/>
      </w:r>
    </w:p>
    <w:p w14:paraId="50B8EAA2" w14:textId="77777777" w:rsidR="00CB68E6" w:rsidRPr="00F45D90" w:rsidRDefault="00CB68E6" w:rsidP="00CB68E6">
      <w:pPr>
        <w:spacing w:after="0" w:line="240" w:lineRule="auto"/>
        <w:rPr>
          <w:rFonts w:ascii="Times New Roman" w:hAnsi="Times New Roman"/>
        </w:rPr>
      </w:pPr>
    </w:p>
    <w:p w14:paraId="610E174D"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74A0C5A1"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56CA9777"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5219250"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63F6D7FC"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0FC8BEFC"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23537442"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539FCFFB"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4FABF61"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128CB4FF"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B085C6D"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4ACE8781"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70314BC2"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2E3440E5"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25AA6EEE"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166E5CDB"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22ED0079"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7937DD4C"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6F31A76A"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5EF0829F"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4BCFE401"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016AD6D4" w14:textId="77777777" w:rsidR="00CB68E6" w:rsidRPr="00F45D90" w:rsidRDefault="00CB68E6" w:rsidP="00CB68E6">
      <w:pPr>
        <w:spacing w:after="0" w:line="240" w:lineRule="auto"/>
        <w:jc w:val="center"/>
        <w:rPr>
          <w:rFonts w:ascii="Times New Roman" w:hAnsi="Times New Roman"/>
          <w:b/>
        </w:rPr>
      </w:pPr>
    </w:p>
    <w:p w14:paraId="7AC03C08" w14:textId="77777777" w:rsidR="00CB68E6" w:rsidRPr="00F45D90" w:rsidRDefault="00CB68E6" w:rsidP="00CB68E6">
      <w:pPr>
        <w:spacing w:after="0" w:line="240" w:lineRule="auto"/>
        <w:jc w:val="center"/>
        <w:rPr>
          <w:rFonts w:ascii="Times New Roman" w:hAnsi="Times New Roman"/>
          <w:b/>
        </w:rPr>
      </w:pPr>
      <w:r w:rsidRPr="00F45D90">
        <w:rPr>
          <w:rFonts w:ascii="Times New Roman" w:hAnsi="Times New Roman"/>
          <w:b/>
        </w:rPr>
        <w:t>II PRIEDAS</w:t>
      </w:r>
    </w:p>
    <w:p w14:paraId="3BCC07E0" w14:textId="77777777" w:rsidR="00CB68E6" w:rsidRPr="00F45D90" w:rsidRDefault="00CB68E6" w:rsidP="00CB68E6">
      <w:pPr>
        <w:spacing w:after="0" w:line="240" w:lineRule="auto"/>
        <w:jc w:val="center"/>
        <w:rPr>
          <w:rFonts w:ascii="Times New Roman" w:hAnsi="Times New Roman"/>
          <w:b/>
        </w:rPr>
      </w:pPr>
    </w:p>
    <w:p w14:paraId="1D570341" w14:textId="77777777" w:rsidR="00CB68E6" w:rsidRPr="00F45D90" w:rsidRDefault="00CB68E6" w:rsidP="00CB68E6">
      <w:pPr>
        <w:spacing w:after="0" w:line="240" w:lineRule="auto"/>
        <w:jc w:val="center"/>
        <w:rPr>
          <w:rFonts w:ascii="Times New Roman" w:hAnsi="Times New Roman"/>
          <w:b/>
        </w:rPr>
      </w:pPr>
      <w:r w:rsidRPr="00F45D90">
        <w:rPr>
          <w:rFonts w:ascii="Times New Roman" w:hAnsi="Times New Roman"/>
          <w:b/>
        </w:rPr>
        <w:t>REGISTRACIJOS SĄLYGOS</w:t>
      </w:r>
    </w:p>
    <w:p w14:paraId="2E249727" w14:textId="77777777" w:rsidR="00CB68E6" w:rsidRPr="00F45D90" w:rsidRDefault="00CB68E6" w:rsidP="00CB68E6">
      <w:pPr>
        <w:spacing w:after="0" w:line="240" w:lineRule="auto"/>
        <w:rPr>
          <w:rFonts w:ascii="Times New Roman" w:hAnsi="Times New Roman"/>
          <w:b/>
        </w:rPr>
      </w:pPr>
    </w:p>
    <w:p w14:paraId="4CC77208" w14:textId="77777777" w:rsidR="00CB68E6" w:rsidRPr="00F45D90" w:rsidRDefault="00CB68E6" w:rsidP="00CB68E6">
      <w:pPr>
        <w:spacing w:after="0" w:line="240" w:lineRule="auto"/>
        <w:ind w:left="1701" w:right="1416" w:hanging="708"/>
        <w:rPr>
          <w:rFonts w:ascii="Times New Roman" w:hAnsi="Times New Roman"/>
          <w:b/>
        </w:rPr>
      </w:pPr>
      <w:r w:rsidRPr="00F45D90">
        <w:rPr>
          <w:rFonts w:ascii="Times New Roman" w:hAnsi="Times New Roman"/>
          <w:b/>
        </w:rPr>
        <w:t>A.</w:t>
      </w:r>
      <w:r w:rsidRPr="00F45D90">
        <w:rPr>
          <w:rFonts w:ascii="Times New Roman" w:hAnsi="Times New Roman"/>
          <w:b/>
        </w:rPr>
        <w:tab/>
        <w:t>GAMINTOJAS, ATSAKINGAS UŽ SERIJŲ IŠLEIDIMĄ</w:t>
      </w:r>
    </w:p>
    <w:p w14:paraId="1A6E85F5" w14:textId="77777777" w:rsidR="00CB68E6" w:rsidRPr="00F45D90" w:rsidRDefault="00CB68E6" w:rsidP="00CB68E6">
      <w:pPr>
        <w:spacing w:after="0" w:line="240" w:lineRule="auto"/>
        <w:rPr>
          <w:rFonts w:ascii="Times New Roman" w:hAnsi="Times New Roman"/>
        </w:rPr>
      </w:pPr>
    </w:p>
    <w:p w14:paraId="1D15D4CF" w14:textId="77777777" w:rsidR="00CB68E6" w:rsidRPr="00F45D90" w:rsidRDefault="00CB68E6" w:rsidP="00CB68E6">
      <w:pPr>
        <w:suppressLineNumbers/>
        <w:spacing w:after="0" w:line="240" w:lineRule="auto"/>
        <w:ind w:left="1701" w:right="1416" w:hanging="708"/>
        <w:rPr>
          <w:rFonts w:ascii="Times New Roman" w:hAnsi="Times New Roman"/>
        </w:rPr>
      </w:pPr>
      <w:r w:rsidRPr="00F45D90">
        <w:rPr>
          <w:rFonts w:ascii="Times New Roman" w:hAnsi="Times New Roman"/>
          <w:b/>
        </w:rPr>
        <w:t>B.</w:t>
      </w:r>
      <w:r w:rsidRPr="00F45D90">
        <w:rPr>
          <w:rFonts w:ascii="Times New Roman" w:hAnsi="Times New Roman"/>
          <w:b/>
        </w:rPr>
        <w:tab/>
        <w:t>TIEKIMO IR VARTOJIMO SĄLYGOS AR APRIBOJIMAI</w:t>
      </w:r>
    </w:p>
    <w:p w14:paraId="6991C3A4" w14:textId="77777777" w:rsidR="00CB68E6" w:rsidRPr="00F45D90" w:rsidRDefault="00CB68E6" w:rsidP="00CB68E6">
      <w:pPr>
        <w:spacing w:after="0" w:line="240" w:lineRule="auto"/>
        <w:rPr>
          <w:rFonts w:ascii="Times New Roman" w:hAnsi="Times New Roman"/>
        </w:rPr>
      </w:pPr>
    </w:p>
    <w:p w14:paraId="180B5E7F" w14:textId="77777777" w:rsidR="00CB68E6" w:rsidRPr="00F45D90" w:rsidRDefault="00CB68E6" w:rsidP="00CB68E6">
      <w:pPr>
        <w:tabs>
          <w:tab w:val="left" w:pos="567"/>
        </w:tabs>
        <w:spacing w:after="0" w:line="240" w:lineRule="auto"/>
        <w:rPr>
          <w:rFonts w:ascii="Times New Roman" w:hAnsi="Times New Roman"/>
          <w:b/>
        </w:rPr>
      </w:pPr>
      <w:r w:rsidRPr="00F45D90">
        <w:rPr>
          <w:rFonts w:ascii="Times New Roman" w:hAnsi="Times New Roman"/>
        </w:rPr>
        <w:br w:type="page"/>
      </w:r>
      <w:r w:rsidRPr="00F45D90">
        <w:rPr>
          <w:rFonts w:ascii="Times New Roman" w:hAnsi="Times New Roman"/>
          <w:b/>
        </w:rPr>
        <w:lastRenderedPageBreak/>
        <w:t>A.</w:t>
      </w:r>
      <w:r w:rsidRPr="00F45D90">
        <w:rPr>
          <w:rFonts w:ascii="Times New Roman" w:hAnsi="Times New Roman"/>
          <w:b/>
        </w:rPr>
        <w:tab/>
        <w:t>GAMINTOJAS, ATSAKINGAS UŽ SERIJŲ IŠLEIDIMĄ</w:t>
      </w:r>
    </w:p>
    <w:p w14:paraId="0734E18B" w14:textId="77777777" w:rsidR="00CB68E6" w:rsidRPr="00F45D90" w:rsidRDefault="00CB68E6" w:rsidP="00CB68E6">
      <w:pPr>
        <w:keepNext/>
        <w:tabs>
          <w:tab w:val="left" w:pos="567"/>
        </w:tabs>
        <w:spacing w:after="60" w:line="240" w:lineRule="auto"/>
        <w:outlineLvl w:val="1"/>
        <w:rPr>
          <w:rFonts w:ascii="Times New Roman" w:eastAsia="Times New Roman" w:hAnsi="Times New Roman"/>
          <w:b/>
          <w:iCs/>
          <w:lang w:eastAsia="lt-LT" w:bidi="ar-BH"/>
        </w:rPr>
      </w:pPr>
    </w:p>
    <w:p w14:paraId="12BD35D7"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Gamintojo, atsakingo už serijų išleidimą, pavadinimas ir adresas</w:t>
      </w:r>
    </w:p>
    <w:p w14:paraId="7FC73040" w14:textId="77777777" w:rsidR="00CB68E6" w:rsidRPr="00F45D90" w:rsidRDefault="00CB68E6" w:rsidP="00CB68E6">
      <w:pPr>
        <w:spacing w:after="0" w:line="240" w:lineRule="auto"/>
        <w:rPr>
          <w:rFonts w:ascii="Times New Roman" w:hAnsi="Times New Roman"/>
        </w:rPr>
      </w:pPr>
    </w:p>
    <w:p w14:paraId="1792FB77" w14:textId="77777777" w:rsidR="00CB68E6" w:rsidRPr="00250BF6" w:rsidRDefault="00CB68E6" w:rsidP="00CB68E6">
      <w:pPr>
        <w:widowControl w:val="0"/>
        <w:autoSpaceDE w:val="0"/>
        <w:autoSpaceDN w:val="0"/>
        <w:adjustRightInd w:val="0"/>
        <w:spacing w:after="0" w:line="240" w:lineRule="auto"/>
        <w:rPr>
          <w:rFonts w:ascii="Times New Roman" w:eastAsia="Times New Roman" w:hAnsi="Times New Roman"/>
          <w:lang w:eastAsia="de-DE"/>
        </w:rPr>
      </w:pPr>
      <w:bookmarkStart w:id="61" w:name="_Toc129243129"/>
      <w:bookmarkStart w:id="62" w:name="_Toc129243254"/>
      <w:r w:rsidRPr="00250BF6">
        <w:rPr>
          <w:rFonts w:ascii="Times New Roman" w:eastAsia="Times New Roman" w:hAnsi="Times New Roman"/>
          <w:lang w:eastAsia="de-DE"/>
        </w:rPr>
        <w:t xml:space="preserve">G.L. Pharma GmbH </w:t>
      </w:r>
    </w:p>
    <w:p w14:paraId="7CC5D393" w14:textId="77777777" w:rsidR="00CB68E6" w:rsidRPr="00250BF6" w:rsidRDefault="00CB68E6" w:rsidP="00CB68E6">
      <w:pPr>
        <w:widowControl w:val="0"/>
        <w:autoSpaceDE w:val="0"/>
        <w:autoSpaceDN w:val="0"/>
        <w:adjustRightInd w:val="0"/>
        <w:spacing w:after="0" w:line="240" w:lineRule="auto"/>
        <w:rPr>
          <w:rFonts w:ascii="Times New Roman" w:eastAsia="Times New Roman" w:hAnsi="Times New Roman"/>
          <w:lang w:eastAsia="de-DE"/>
        </w:rPr>
      </w:pPr>
      <w:r w:rsidRPr="00250BF6">
        <w:rPr>
          <w:rFonts w:ascii="Times New Roman" w:eastAsia="Times New Roman" w:hAnsi="Times New Roman"/>
          <w:lang w:eastAsia="de-DE"/>
        </w:rPr>
        <w:t xml:space="preserve">Schlossplatz 1 </w:t>
      </w:r>
    </w:p>
    <w:p w14:paraId="4C52BC51" w14:textId="77777777" w:rsidR="00CB68E6" w:rsidRPr="00250BF6" w:rsidRDefault="00CB68E6" w:rsidP="00CB68E6">
      <w:pPr>
        <w:widowControl w:val="0"/>
        <w:autoSpaceDE w:val="0"/>
        <w:autoSpaceDN w:val="0"/>
        <w:adjustRightInd w:val="0"/>
        <w:spacing w:after="0" w:line="240" w:lineRule="auto"/>
        <w:rPr>
          <w:rFonts w:ascii="Times New Roman" w:eastAsia="Times New Roman" w:hAnsi="Times New Roman"/>
          <w:lang w:eastAsia="de-DE"/>
        </w:rPr>
      </w:pPr>
      <w:r w:rsidRPr="00250BF6">
        <w:rPr>
          <w:rFonts w:ascii="Times New Roman" w:eastAsia="Times New Roman" w:hAnsi="Times New Roman"/>
          <w:lang w:eastAsia="de-DE"/>
        </w:rPr>
        <w:t xml:space="preserve">8502 Lannach </w:t>
      </w:r>
    </w:p>
    <w:p w14:paraId="1D0F4A77" w14:textId="77777777" w:rsidR="00CB68E6" w:rsidRPr="00250BF6" w:rsidRDefault="00CB68E6" w:rsidP="00CB68E6">
      <w:pPr>
        <w:widowControl w:val="0"/>
        <w:autoSpaceDE w:val="0"/>
        <w:autoSpaceDN w:val="0"/>
        <w:adjustRightInd w:val="0"/>
        <w:spacing w:after="0" w:line="240" w:lineRule="auto"/>
        <w:rPr>
          <w:rFonts w:ascii="Times New Roman" w:eastAsia="Times New Roman" w:hAnsi="Times New Roman"/>
          <w:lang w:eastAsia="de-DE"/>
        </w:rPr>
      </w:pPr>
      <w:r w:rsidRPr="00250BF6">
        <w:rPr>
          <w:rFonts w:ascii="Times New Roman" w:eastAsia="Times New Roman" w:hAnsi="Times New Roman"/>
          <w:lang w:eastAsia="de-DE"/>
        </w:rPr>
        <w:t>Austrija</w:t>
      </w:r>
    </w:p>
    <w:p w14:paraId="6EA8854E" w14:textId="77777777" w:rsidR="00CB68E6" w:rsidRPr="00250BF6" w:rsidRDefault="00CB68E6" w:rsidP="00CB68E6">
      <w:pPr>
        <w:suppressLineNumbers/>
        <w:spacing w:after="0" w:line="240" w:lineRule="auto"/>
        <w:ind w:left="567" w:hanging="567"/>
        <w:rPr>
          <w:rFonts w:ascii="Times New Roman" w:hAnsi="Times New Roman"/>
          <w:b/>
        </w:rPr>
      </w:pPr>
    </w:p>
    <w:p w14:paraId="520EE584" w14:textId="77777777" w:rsidR="00CB68E6" w:rsidRPr="00F45D90" w:rsidRDefault="00CB68E6" w:rsidP="00CB68E6">
      <w:pPr>
        <w:suppressLineNumbers/>
        <w:spacing w:after="0" w:line="240" w:lineRule="auto"/>
        <w:ind w:left="567" w:hanging="567"/>
        <w:rPr>
          <w:rFonts w:ascii="Times New Roman" w:hAnsi="Times New Roman"/>
          <w:b/>
        </w:rPr>
      </w:pPr>
    </w:p>
    <w:p w14:paraId="2087CD40" w14:textId="77777777" w:rsidR="00CB68E6" w:rsidRPr="00F45D90" w:rsidRDefault="00CB68E6" w:rsidP="00CB68E6">
      <w:pPr>
        <w:suppressLineNumbers/>
        <w:spacing w:after="0" w:line="240" w:lineRule="auto"/>
        <w:ind w:left="567" w:hanging="567"/>
        <w:rPr>
          <w:rFonts w:ascii="Times New Roman" w:hAnsi="Times New Roman"/>
        </w:rPr>
      </w:pPr>
      <w:r w:rsidRPr="00F45D90">
        <w:rPr>
          <w:rFonts w:ascii="Times New Roman" w:hAnsi="Times New Roman"/>
          <w:b/>
        </w:rPr>
        <w:t>B.</w:t>
      </w:r>
      <w:r w:rsidRPr="00F45D90">
        <w:rPr>
          <w:rFonts w:ascii="Times New Roman" w:hAnsi="Times New Roman"/>
          <w:b/>
        </w:rPr>
        <w:tab/>
        <w:t xml:space="preserve">TIEKIMO IR VARTOJIMO SĄLYGOS AR APRIBOJIMAI </w:t>
      </w:r>
    </w:p>
    <w:p w14:paraId="14D9D0FE" w14:textId="77777777" w:rsidR="00CB68E6" w:rsidRPr="00F45D90" w:rsidRDefault="00CB68E6" w:rsidP="00CB68E6">
      <w:pPr>
        <w:spacing w:after="0" w:line="240" w:lineRule="auto"/>
        <w:rPr>
          <w:rFonts w:ascii="Times New Roman" w:hAnsi="Times New Roman"/>
        </w:rPr>
      </w:pPr>
    </w:p>
    <w:p w14:paraId="0333515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Receptinis vaistinis preparatas.</w:t>
      </w:r>
    </w:p>
    <w:bookmarkEnd w:id="61"/>
    <w:bookmarkEnd w:id="62"/>
    <w:p w14:paraId="62C4C28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br w:type="page"/>
      </w:r>
    </w:p>
    <w:p w14:paraId="3168D220" w14:textId="77777777" w:rsidR="00CB68E6" w:rsidRPr="00F45D90" w:rsidRDefault="00CB68E6" w:rsidP="00CB68E6">
      <w:pPr>
        <w:spacing w:after="0" w:line="240" w:lineRule="auto"/>
        <w:rPr>
          <w:rFonts w:ascii="Times New Roman" w:hAnsi="Times New Roman"/>
        </w:rPr>
      </w:pPr>
    </w:p>
    <w:p w14:paraId="1D51EEDE" w14:textId="77777777" w:rsidR="00CB68E6" w:rsidRPr="00F45D90" w:rsidRDefault="00CB68E6" w:rsidP="00CB68E6">
      <w:pPr>
        <w:spacing w:after="0" w:line="240" w:lineRule="auto"/>
        <w:rPr>
          <w:rFonts w:ascii="Times New Roman" w:hAnsi="Times New Roman"/>
        </w:rPr>
      </w:pPr>
    </w:p>
    <w:p w14:paraId="6B457AEF" w14:textId="77777777" w:rsidR="00CB68E6" w:rsidRPr="00F45D90" w:rsidRDefault="00CB68E6" w:rsidP="00CB68E6">
      <w:pPr>
        <w:spacing w:after="0" w:line="240" w:lineRule="auto"/>
        <w:rPr>
          <w:rFonts w:ascii="Times New Roman" w:hAnsi="Times New Roman"/>
        </w:rPr>
      </w:pPr>
    </w:p>
    <w:p w14:paraId="638A1D2E" w14:textId="77777777" w:rsidR="00CB68E6" w:rsidRPr="00F45D90" w:rsidRDefault="00CB68E6" w:rsidP="00CB68E6">
      <w:pPr>
        <w:spacing w:after="0" w:line="240" w:lineRule="auto"/>
        <w:rPr>
          <w:rFonts w:ascii="Times New Roman" w:hAnsi="Times New Roman"/>
        </w:rPr>
      </w:pPr>
    </w:p>
    <w:p w14:paraId="448E5F61" w14:textId="77777777" w:rsidR="00CB68E6" w:rsidRPr="00F45D90" w:rsidRDefault="00CB68E6" w:rsidP="00CB68E6">
      <w:pPr>
        <w:spacing w:after="0" w:line="240" w:lineRule="auto"/>
        <w:rPr>
          <w:rFonts w:ascii="Times New Roman" w:hAnsi="Times New Roman"/>
        </w:rPr>
      </w:pPr>
    </w:p>
    <w:p w14:paraId="24EDD4C5" w14:textId="77777777" w:rsidR="00CB68E6" w:rsidRPr="00F45D90" w:rsidRDefault="00CB68E6" w:rsidP="00CB68E6">
      <w:pPr>
        <w:spacing w:after="0" w:line="240" w:lineRule="auto"/>
        <w:rPr>
          <w:rFonts w:ascii="Times New Roman" w:hAnsi="Times New Roman"/>
        </w:rPr>
      </w:pPr>
    </w:p>
    <w:p w14:paraId="53085CD0" w14:textId="77777777" w:rsidR="00CB68E6" w:rsidRPr="00F45D90" w:rsidRDefault="00CB68E6" w:rsidP="00CB68E6">
      <w:pPr>
        <w:spacing w:after="0" w:line="240" w:lineRule="auto"/>
        <w:rPr>
          <w:rFonts w:ascii="Times New Roman" w:hAnsi="Times New Roman"/>
        </w:rPr>
      </w:pPr>
    </w:p>
    <w:p w14:paraId="02DD69D6" w14:textId="77777777" w:rsidR="00CB68E6" w:rsidRPr="00F45D90" w:rsidRDefault="00CB68E6" w:rsidP="00CB68E6">
      <w:pPr>
        <w:spacing w:after="0" w:line="240" w:lineRule="auto"/>
        <w:rPr>
          <w:rFonts w:ascii="Times New Roman" w:hAnsi="Times New Roman"/>
        </w:rPr>
      </w:pPr>
    </w:p>
    <w:p w14:paraId="0331FB28" w14:textId="77777777" w:rsidR="00CB68E6" w:rsidRPr="00F45D90" w:rsidRDefault="00CB68E6" w:rsidP="00CB68E6">
      <w:pPr>
        <w:spacing w:after="0" w:line="240" w:lineRule="auto"/>
        <w:rPr>
          <w:rFonts w:ascii="Times New Roman" w:hAnsi="Times New Roman"/>
        </w:rPr>
      </w:pPr>
    </w:p>
    <w:p w14:paraId="2F7CDACB" w14:textId="77777777" w:rsidR="00CB68E6" w:rsidRPr="00F45D90" w:rsidRDefault="00CB68E6" w:rsidP="00CB68E6">
      <w:pPr>
        <w:spacing w:after="0" w:line="240" w:lineRule="auto"/>
        <w:rPr>
          <w:rFonts w:ascii="Times New Roman" w:hAnsi="Times New Roman"/>
        </w:rPr>
      </w:pPr>
    </w:p>
    <w:p w14:paraId="63E25D21" w14:textId="77777777" w:rsidR="00CB68E6" w:rsidRPr="00F45D90" w:rsidRDefault="00CB68E6" w:rsidP="00CB68E6">
      <w:pPr>
        <w:spacing w:after="0" w:line="240" w:lineRule="auto"/>
        <w:rPr>
          <w:rFonts w:ascii="Times New Roman" w:hAnsi="Times New Roman"/>
        </w:rPr>
      </w:pPr>
    </w:p>
    <w:p w14:paraId="7E1BA6CE" w14:textId="77777777" w:rsidR="00CB68E6" w:rsidRPr="00F45D90" w:rsidRDefault="00CB68E6" w:rsidP="00CB68E6">
      <w:pPr>
        <w:spacing w:after="0" w:line="240" w:lineRule="auto"/>
        <w:rPr>
          <w:rFonts w:ascii="Times New Roman" w:hAnsi="Times New Roman"/>
        </w:rPr>
      </w:pPr>
    </w:p>
    <w:p w14:paraId="05DB3BA7" w14:textId="77777777" w:rsidR="00CB68E6" w:rsidRPr="00F45D90" w:rsidRDefault="00CB68E6" w:rsidP="00CB68E6">
      <w:pPr>
        <w:spacing w:after="0" w:line="240" w:lineRule="auto"/>
        <w:rPr>
          <w:rFonts w:ascii="Times New Roman" w:hAnsi="Times New Roman"/>
        </w:rPr>
      </w:pPr>
    </w:p>
    <w:p w14:paraId="468C313C" w14:textId="77777777" w:rsidR="00CB68E6" w:rsidRPr="00F45D90" w:rsidRDefault="00CB68E6" w:rsidP="00CB68E6">
      <w:pPr>
        <w:spacing w:after="0" w:line="240" w:lineRule="auto"/>
        <w:rPr>
          <w:rFonts w:ascii="Times New Roman" w:hAnsi="Times New Roman"/>
        </w:rPr>
      </w:pPr>
    </w:p>
    <w:p w14:paraId="0B49B426" w14:textId="77777777" w:rsidR="00CB68E6" w:rsidRPr="00F45D90" w:rsidRDefault="00CB68E6" w:rsidP="00CB68E6">
      <w:pPr>
        <w:spacing w:after="0" w:line="240" w:lineRule="auto"/>
        <w:rPr>
          <w:rFonts w:ascii="Times New Roman" w:hAnsi="Times New Roman"/>
        </w:rPr>
      </w:pPr>
    </w:p>
    <w:p w14:paraId="2590D81E" w14:textId="77777777" w:rsidR="00CB68E6" w:rsidRPr="00F45D90" w:rsidRDefault="00CB68E6" w:rsidP="00CB68E6">
      <w:pPr>
        <w:spacing w:after="0" w:line="240" w:lineRule="auto"/>
        <w:rPr>
          <w:rFonts w:ascii="Times New Roman" w:hAnsi="Times New Roman"/>
        </w:rPr>
      </w:pPr>
    </w:p>
    <w:p w14:paraId="40BFC739" w14:textId="77777777" w:rsidR="00CB68E6" w:rsidRPr="00F45D90" w:rsidRDefault="00CB68E6" w:rsidP="00CB68E6">
      <w:pPr>
        <w:spacing w:after="0" w:line="240" w:lineRule="auto"/>
        <w:rPr>
          <w:rFonts w:ascii="Times New Roman" w:hAnsi="Times New Roman"/>
        </w:rPr>
      </w:pPr>
    </w:p>
    <w:p w14:paraId="184AA4C2" w14:textId="77777777" w:rsidR="00CB68E6" w:rsidRPr="00F45D90" w:rsidRDefault="00CB68E6" w:rsidP="00CB68E6">
      <w:pPr>
        <w:spacing w:after="0" w:line="240" w:lineRule="auto"/>
        <w:rPr>
          <w:rFonts w:ascii="Times New Roman" w:hAnsi="Times New Roman"/>
        </w:rPr>
      </w:pPr>
    </w:p>
    <w:p w14:paraId="029F7229" w14:textId="77777777" w:rsidR="00CB68E6" w:rsidRPr="00F45D90" w:rsidRDefault="00CB68E6" w:rsidP="00CB68E6">
      <w:pPr>
        <w:spacing w:after="0" w:line="240" w:lineRule="auto"/>
        <w:rPr>
          <w:rFonts w:ascii="Times New Roman" w:hAnsi="Times New Roman"/>
        </w:rPr>
      </w:pPr>
    </w:p>
    <w:p w14:paraId="39EB2D8A" w14:textId="77777777" w:rsidR="00CB68E6" w:rsidRPr="00F45D90" w:rsidRDefault="00CB68E6" w:rsidP="00CB68E6">
      <w:pPr>
        <w:spacing w:after="0" w:line="240" w:lineRule="auto"/>
        <w:rPr>
          <w:rFonts w:ascii="Times New Roman" w:hAnsi="Times New Roman"/>
        </w:rPr>
      </w:pPr>
    </w:p>
    <w:p w14:paraId="0E3EEC24" w14:textId="77777777" w:rsidR="00CB68E6" w:rsidRPr="00F45D90" w:rsidRDefault="00CB68E6" w:rsidP="00CB68E6">
      <w:pPr>
        <w:spacing w:after="0" w:line="240" w:lineRule="auto"/>
        <w:rPr>
          <w:rFonts w:ascii="Times New Roman" w:hAnsi="Times New Roman"/>
        </w:rPr>
      </w:pPr>
    </w:p>
    <w:p w14:paraId="1EF5E5DD" w14:textId="77777777" w:rsidR="00CB68E6" w:rsidRPr="00F45D90" w:rsidRDefault="00CB68E6" w:rsidP="00CB68E6">
      <w:pPr>
        <w:spacing w:after="0" w:line="240" w:lineRule="auto"/>
        <w:rPr>
          <w:rFonts w:ascii="Times New Roman" w:hAnsi="Times New Roman"/>
        </w:rPr>
      </w:pPr>
    </w:p>
    <w:p w14:paraId="5A801F62"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bookmarkStart w:id="63" w:name="_Toc129243134"/>
      <w:bookmarkStart w:id="64" w:name="_Toc129243259"/>
    </w:p>
    <w:p w14:paraId="0040D31D"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r w:rsidRPr="00F45D90">
        <w:rPr>
          <w:rFonts w:ascii="Times New Roman" w:eastAsia="Times New Roman" w:hAnsi="Times New Roman"/>
          <w:b/>
          <w:lang w:eastAsia="lt-LT" w:bidi="ar-BH"/>
        </w:rPr>
        <w:t>III PRIEDAS</w:t>
      </w:r>
      <w:bookmarkEnd w:id="63"/>
      <w:bookmarkEnd w:id="64"/>
    </w:p>
    <w:p w14:paraId="51EFB136" w14:textId="77777777" w:rsidR="00CB68E6" w:rsidRPr="00F45D90" w:rsidRDefault="00CB68E6" w:rsidP="00CB68E6">
      <w:pPr>
        <w:spacing w:after="0" w:line="240" w:lineRule="auto"/>
        <w:rPr>
          <w:rFonts w:ascii="Times New Roman" w:hAnsi="Times New Roman"/>
        </w:rPr>
      </w:pPr>
    </w:p>
    <w:p w14:paraId="736E4EDD"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bookmarkStart w:id="65" w:name="_Toc129243135"/>
      <w:bookmarkStart w:id="66" w:name="_Toc129243260"/>
      <w:r w:rsidRPr="00F45D90">
        <w:rPr>
          <w:rFonts w:ascii="Times New Roman" w:eastAsia="Times New Roman" w:hAnsi="Times New Roman"/>
          <w:b/>
          <w:lang w:eastAsia="lt-LT" w:bidi="ar-BH"/>
        </w:rPr>
        <w:t>ŽENKLINIMAS IR PAKUOTĖS LAPELIS</w:t>
      </w:r>
      <w:bookmarkEnd w:id="65"/>
      <w:bookmarkEnd w:id="66"/>
    </w:p>
    <w:p w14:paraId="69D4723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br w:type="page"/>
      </w:r>
    </w:p>
    <w:p w14:paraId="162F750A" w14:textId="77777777" w:rsidR="00CB68E6" w:rsidRPr="00F45D90" w:rsidRDefault="00CB68E6" w:rsidP="00CB68E6">
      <w:pPr>
        <w:spacing w:after="0" w:line="240" w:lineRule="auto"/>
        <w:rPr>
          <w:rFonts w:ascii="Times New Roman" w:hAnsi="Times New Roman"/>
        </w:rPr>
      </w:pPr>
    </w:p>
    <w:p w14:paraId="35A9C32C" w14:textId="77777777" w:rsidR="00CB68E6" w:rsidRPr="00F45D90" w:rsidRDefault="00CB68E6" w:rsidP="00CB68E6">
      <w:pPr>
        <w:spacing w:after="0" w:line="240" w:lineRule="auto"/>
        <w:rPr>
          <w:rFonts w:ascii="Times New Roman" w:eastAsia="Times New Roman" w:hAnsi="Times New Roman"/>
          <w:noProof/>
          <w:lang w:eastAsia="lt-LT"/>
        </w:rPr>
      </w:pPr>
    </w:p>
    <w:p w14:paraId="4CB12DD9" w14:textId="77777777" w:rsidR="00CB68E6" w:rsidRPr="00F45D90" w:rsidRDefault="00CB68E6" w:rsidP="00CB68E6">
      <w:pPr>
        <w:spacing w:after="0" w:line="240" w:lineRule="auto"/>
        <w:rPr>
          <w:rFonts w:ascii="Times New Roman" w:eastAsia="Times New Roman" w:hAnsi="Times New Roman"/>
          <w:noProof/>
          <w:lang w:eastAsia="lt-LT"/>
        </w:rPr>
      </w:pPr>
    </w:p>
    <w:p w14:paraId="4438C6E2" w14:textId="77777777" w:rsidR="00CB68E6" w:rsidRPr="00F45D90" w:rsidRDefault="00CB68E6" w:rsidP="00CB68E6">
      <w:pPr>
        <w:spacing w:after="0" w:line="240" w:lineRule="auto"/>
        <w:rPr>
          <w:rFonts w:ascii="Times New Roman" w:eastAsia="Times New Roman" w:hAnsi="Times New Roman"/>
          <w:noProof/>
          <w:lang w:eastAsia="lt-LT"/>
        </w:rPr>
      </w:pPr>
    </w:p>
    <w:p w14:paraId="513298E7" w14:textId="77777777" w:rsidR="00CB68E6" w:rsidRPr="00F45D90" w:rsidRDefault="00CB68E6" w:rsidP="00CB68E6">
      <w:pPr>
        <w:spacing w:after="0" w:line="240" w:lineRule="auto"/>
        <w:rPr>
          <w:rFonts w:ascii="Times New Roman" w:eastAsia="Times New Roman" w:hAnsi="Times New Roman"/>
          <w:noProof/>
          <w:lang w:eastAsia="lt-LT"/>
        </w:rPr>
      </w:pPr>
    </w:p>
    <w:p w14:paraId="1D20B6BA" w14:textId="77777777" w:rsidR="00CB68E6" w:rsidRPr="00F45D90" w:rsidRDefault="00CB68E6" w:rsidP="00CB68E6">
      <w:pPr>
        <w:spacing w:after="0" w:line="240" w:lineRule="auto"/>
        <w:rPr>
          <w:rFonts w:ascii="Times New Roman" w:eastAsia="Times New Roman" w:hAnsi="Times New Roman"/>
          <w:noProof/>
          <w:lang w:eastAsia="lt-LT"/>
        </w:rPr>
      </w:pPr>
    </w:p>
    <w:p w14:paraId="0B0ECB20" w14:textId="77777777" w:rsidR="00CB68E6" w:rsidRPr="00F45D90" w:rsidRDefault="00CB68E6" w:rsidP="00CB68E6">
      <w:pPr>
        <w:spacing w:after="0" w:line="240" w:lineRule="auto"/>
        <w:rPr>
          <w:rFonts w:ascii="Times New Roman" w:eastAsia="Times New Roman" w:hAnsi="Times New Roman"/>
          <w:noProof/>
          <w:lang w:eastAsia="lt-LT"/>
        </w:rPr>
      </w:pPr>
    </w:p>
    <w:p w14:paraId="51933E06" w14:textId="77777777" w:rsidR="00CB68E6" w:rsidRPr="00F45D90" w:rsidRDefault="00CB68E6" w:rsidP="00CB68E6">
      <w:pPr>
        <w:spacing w:after="0" w:line="240" w:lineRule="auto"/>
        <w:rPr>
          <w:rFonts w:ascii="Times New Roman" w:eastAsia="Times New Roman" w:hAnsi="Times New Roman"/>
          <w:noProof/>
          <w:lang w:eastAsia="lt-LT"/>
        </w:rPr>
      </w:pPr>
    </w:p>
    <w:p w14:paraId="18BF5D40" w14:textId="77777777" w:rsidR="00CB68E6" w:rsidRPr="00F45D90" w:rsidRDefault="00CB68E6" w:rsidP="00CB68E6">
      <w:pPr>
        <w:spacing w:after="0" w:line="240" w:lineRule="auto"/>
        <w:rPr>
          <w:rFonts w:ascii="Times New Roman" w:eastAsia="Times New Roman" w:hAnsi="Times New Roman"/>
          <w:noProof/>
          <w:lang w:eastAsia="lt-LT"/>
        </w:rPr>
      </w:pPr>
    </w:p>
    <w:p w14:paraId="00691767" w14:textId="77777777" w:rsidR="00CB68E6" w:rsidRPr="00F45D90" w:rsidRDefault="00CB68E6" w:rsidP="00CB68E6">
      <w:pPr>
        <w:spacing w:after="0" w:line="240" w:lineRule="auto"/>
        <w:rPr>
          <w:rFonts w:ascii="Times New Roman" w:eastAsia="Times New Roman" w:hAnsi="Times New Roman"/>
          <w:noProof/>
          <w:lang w:eastAsia="lt-LT"/>
        </w:rPr>
      </w:pPr>
    </w:p>
    <w:p w14:paraId="5AB371E7" w14:textId="77777777" w:rsidR="00CB68E6" w:rsidRPr="00F45D90" w:rsidRDefault="00CB68E6" w:rsidP="00CB68E6">
      <w:pPr>
        <w:spacing w:after="0" w:line="240" w:lineRule="auto"/>
        <w:rPr>
          <w:rFonts w:ascii="Times New Roman" w:eastAsia="Times New Roman" w:hAnsi="Times New Roman"/>
          <w:noProof/>
          <w:lang w:eastAsia="lt-LT"/>
        </w:rPr>
      </w:pPr>
    </w:p>
    <w:p w14:paraId="3125A08F" w14:textId="77777777" w:rsidR="00CB68E6" w:rsidRPr="00F45D90" w:rsidRDefault="00CB68E6" w:rsidP="00CB68E6">
      <w:pPr>
        <w:spacing w:after="0" w:line="240" w:lineRule="auto"/>
        <w:rPr>
          <w:rFonts w:ascii="Times New Roman" w:eastAsia="Times New Roman" w:hAnsi="Times New Roman"/>
          <w:noProof/>
          <w:lang w:eastAsia="lt-LT"/>
        </w:rPr>
      </w:pPr>
    </w:p>
    <w:p w14:paraId="0B8D568F" w14:textId="77777777" w:rsidR="00CB68E6" w:rsidRPr="00F45D90" w:rsidRDefault="00CB68E6" w:rsidP="00CB68E6">
      <w:pPr>
        <w:spacing w:after="0" w:line="240" w:lineRule="auto"/>
        <w:rPr>
          <w:rFonts w:ascii="Times New Roman" w:eastAsia="Times New Roman" w:hAnsi="Times New Roman"/>
          <w:noProof/>
          <w:lang w:eastAsia="lt-LT"/>
        </w:rPr>
      </w:pPr>
    </w:p>
    <w:p w14:paraId="483E5FCD" w14:textId="77777777" w:rsidR="00CB68E6" w:rsidRPr="00F45D90" w:rsidRDefault="00CB68E6" w:rsidP="00CB68E6">
      <w:pPr>
        <w:spacing w:after="0" w:line="240" w:lineRule="auto"/>
        <w:rPr>
          <w:rFonts w:ascii="Times New Roman" w:eastAsia="Times New Roman" w:hAnsi="Times New Roman"/>
          <w:noProof/>
          <w:lang w:eastAsia="lt-LT"/>
        </w:rPr>
      </w:pPr>
    </w:p>
    <w:p w14:paraId="1BEE09A0" w14:textId="77777777" w:rsidR="00CB68E6" w:rsidRPr="00F45D90" w:rsidRDefault="00CB68E6" w:rsidP="00CB68E6">
      <w:pPr>
        <w:spacing w:after="0" w:line="240" w:lineRule="auto"/>
        <w:rPr>
          <w:rFonts w:ascii="Times New Roman" w:eastAsia="Times New Roman" w:hAnsi="Times New Roman"/>
          <w:noProof/>
          <w:lang w:eastAsia="lt-LT"/>
        </w:rPr>
      </w:pPr>
    </w:p>
    <w:p w14:paraId="15F403E9" w14:textId="77777777" w:rsidR="00CB68E6" w:rsidRPr="00F45D90" w:rsidRDefault="00CB68E6" w:rsidP="00CB68E6">
      <w:pPr>
        <w:spacing w:after="0" w:line="240" w:lineRule="auto"/>
        <w:rPr>
          <w:rFonts w:ascii="Times New Roman" w:eastAsia="Times New Roman" w:hAnsi="Times New Roman"/>
          <w:noProof/>
          <w:lang w:eastAsia="lt-LT"/>
        </w:rPr>
      </w:pPr>
    </w:p>
    <w:p w14:paraId="4D46D1BE" w14:textId="77777777" w:rsidR="00CB68E6" w:rsidRPr="00F45D90" w:rsidRDefault="00CB68E6" w:rsidP="00CB68E6">
      <w:pPr>
        <w:spacing w:after="0" w:line="240" w:lineRule="auto"/>
        <w:rPr>
          <w:rFonts w:ascii="Times New Roman" w:eastAsia="Times New Roman" w:hAnsi="Times New Roman"/>
          <w:noProof/>
          <w:lang w:eastAsia="lt-LT"/>
        </w:rPr>
      </w:pPr>
    </w:p>
    <w:p w14:paraId="30E94688" w14:textId="77777777" w:rsidR="00CB68E6" w:rsidRPr="00F45D90" w:rsidRDefault="00CB68E6" w:rsidP="00CB68E6">
      <w:pPr>
        <w:spacing w:after="0" w:line="240" w:lineRule="auto"/>
        <w:rPr>
          <w:rFonts w:ascii="Times New Roman" w:eastAsia="Times New Roman" w:hAnsi="Times New Roman"/>
          <w:noProof/>
          <w:lang w:eastAsia="lt-LT"/>
        </w:rPr>
      </w:pPr>
    </w:p>
    <w:p w14:paraId="0043A774" w14:textId="77777777" w:rsidR="00CB68E6" w:rsidRPr="00F45D90" w:rsidRDefault="00CB68E6" w:rsidP="00CB68E6">
      <w:pPr>
        <w:spacing w:after="0" w:line="240" w:lineRule="auto"/>
        <w:rPr>
          <w:rFonts w:ascii="Times New Roman" w:eastAsia="Times New Roman" w:hAnsi="Times New Roman"/>
          <w:noProof/>
          <w:lang w:eastAsia="lt-LT"/>
        </w:rPr>
      </w:pPr>
    </w:p>
    <w:p w14:paraId="3E7BAAAA" w14:textId="77777777" w:rsidR="00CB68E6" w:rsidRPr="00F45D90" w:rsidRDefault="00CB68E6" w:rsidP="00CB68E6">
      <w:pPr>
        <w:spacing w:after="0" w:line="240" w:lineRule="auto"/>
        <w:rPr>
          <w:rFonts w:ascii="Times New Roman" w:eastAsia="Times New Roman" w:hAnsi="Times New Roman"/>
          <w:noProof/>
          <w:lang w:eastAsia="lt-LT"/>
        </w:rPr>
      </w:pPr>
    </w:p>
    <w:p w14:paraId="294F04F7" w14:textId="77777777" w:rsidR="00CB68E6" w:rsidRPr="00F45D90" w:rsidRDefault="00CB68E6" w:rsidP="00CB68E6">
      <w:pPr>
        <w:spacing w:after="0" w:line="240" w:lineRule="auto"/>
        <w:rPr>
          <w:rFonts w:ascii="Times New Roman" w:eastAsia="Times New Roman" w:hAnsi="Times New Roman"/>
          <w:noProof/>
          <w:lang w:eastAsia="lt-LT"/>
        </w:rPr>
      </w:pPr>
    </w:p>
    <w:p w14:paraId="577E4B59" w14:textId="77777777" w:rsidR="00CB68E6" w:rsidRPr="00F45D90" w:rsidRDefault="00CB68E6" w:rsidP="00CB68E6">
      <w:pPr>
        <w:spacing w:after="0" w:line="240" w:lineRule="auto"/>
        <w:rPr>
          <w:rFonts w:ascii="Times New Roman" w:eastAsia="Times New Roman" w:hAnsi="Times New Roman"/>
          <w:noProof/>
          <w:lang w:eastAsia="lt-LT"/>
        </w:rPr>
      </w:pPr>
    </w:p>
    <w:p w14:paraId="231D8A72"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F550D95"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r w:rsidRPr="00F45D90">
        <w:rPr>
          <w:rFonts w:ascii="Times New Roman" w:eastAsia="Times New Roman" w:hAnsi="Times New Roman"/>
          <w:b/>
          <w:lang w:eastAsia="lt-LT" w:bidi="ar-BH"/>
        </w:rPr>
        <w:t>A. ŽENKLINIMAS</w:t>
      </w:r>
    </w:p>
    <w:p w14:paraId="3CF6E29F"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br w:type="page"/>
      </w:r>
    </w:p>
    <w:p w14:paraId="6660D144"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lastRenderedPageBreak/>
        <w:t>INFORMACIJA ANT IŠORINĖS PAKUOTĖS</w:t>
      </w:r>
    </w:p>
    <w:p w14:paraId="2B48FFF0"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p>
    <w:p w14:paraId="2A8F52AF"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lang w:eastAsia="lt-LT"/>
        </w:rPr>
      </w:pPr>
      <w:r w:rsidRPr="00F45D90">
        <w:rPr>
          <w:rFonts w:ascii="Times New Roman" w:eastAsia="Times New Roman" w:hAnsi="Times New Roman"/>
          <w:b/>
          <w:noProof/>
          <w:lang w:eastAsia="lt-LT"/>
        </w:rPr>
        <w:t>KARTONO DĖŽUTĖ</w:t>
      </w:r>
    </w:p>
    <w:p w14:paraId="5763DBC4" w14:textId="77777777" w:rsidR="00CB68E6" w:rsidRPr="00F45D90" w:rsidRDefault="00CB68E6" w:rsidP="00CB68E6">
      <w:pPr>
        <w:spacing w:after="0" w:line="240" w:lineRule="auto"/>
        <w:rPr>
          <w:rFonts w:ascii="Times New Roman" w:eastAsia="Times New Roman" w:hAnsi="Times New Roman"/>
          <w:noProof/>
          <w:lang w:eastAsia="lt-LT"/>
        </w:rPr>
      </w:pPr>
    </w:p>
    <w:p w14:paraId="2CF2C007" w14:textId="77777777" w:rsidR="00CB68E6" w:rsidRPr="00F45D90" w:rsidRDefault="00CB68E6" w:rsidP="00CB68E6">
      <w:pPr>
        <w:spacing w:after="0" w:line="240" w:lineRule="auto"/>
        <w:rPr>
          <w:rFonts w:ascii="Times New Roman" w:eastAsia="Times New Roman" w:hAnsi="Times New Roman"/>
          <w:noProof/>
          <w:lang w:eastAsia="lt-LT"/>
        </w:rPr>
      </w:pPr>
    </w:p>
    <w:p w14:paraId="77BD8D81"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w:t>
      </w:r>
      <w:r w:rsidRPr="00F45D90">
        <w:rPr>
          <w:rFonts w:ascii="Times New Roman" w:eastAsia="Times New Roman" w:hAnsi="Times New Roman"/>
          <w:b/>
          <w:noProof/>
          <w:lang w:eastAsia="lt-LT"/>
        </w:rPr>
        <w:tab/>
        <w:t>VAISTINIO PREPARATO PAVADINIMAS</w:t>
      </w:r>
    </w:p>
    <w:p w14:paraId="3DEA7A36" w14:textId="77777777" w:rsidR="00CB68E6" w:rsidRPr="00F45D90" w:rsidRDefault="00CB68E6" w:rsidP="00CB68E6">
      <w:pPr>
        <w:spacing w:after="0" w:line="240" w:lineRule="auto"/>
        <w:rPr>
          <w:rFonts w:ascii="Times New Roman" w:eastAsia="Times New Roman" w:hAnsi="Times New Roman"/>
          <w:noProof/>
          <w:lang w:eastAsia="lt-LT"/>
        </w:rPr>
      </w:pPr>
    </w:p>
    <w:p w14:paraId="675F3644"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noProof/>
          <w:lang w:eastAsia="lt-LT"/>
        </w:rPr>
        <w:t>Hedonin 25 mg plėvele dengtos tabletės</w:t>
      </w:r>
    </w:p>
    <w:p w14:paraId="4AB1C7F0"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100 mg plėvele dengtos tabletės</w:t>
      </w:r>
    </w:p>
    <w:p w14:paraId="215017FC"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200 mg plėvele dengtos tabletės</w:t>
      </w:r>
    </w:p>
    <w:p w14:paraId="18B4D133"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300 mg plėvele dengtos tabletės</w:t>
      </w:r>
    </w:p>
    <w:p w14:paraId="6BCA6346"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25 mg + 100 mg plėvele dengtos tabletės</w:t>
      </w:r>
    </w:p>
    <w:p w14:paraId="4E4F54C9" w14:textId="77777777" w:rsidR="00CB68E6" w:rsidRPr="00F45D90" w:rsidRDefault="00CB68E6" w:rsidP="00CB68E6">
      <w:pPr>
        <w:spacing w:after="0" w:line="240" w:lineRule="auto"/>
        <w:rPr>
          <w:rFonts w:ascii="Times New Roman" w:eastAsia="Times New Roman" w:hAnsi="Times New Roman"/>
          <w:noProof/>
          <w:lang w:eastAsia="lt-LT"/>
        </w:rPr>
      </w:pPr>
    </w:p>
    <w:p w14:paraId="1750AE48" w14:textId="303337F4" w:rsidR="00CB68E6" w:rsidRDefault="00E2053E" w:rsidP="00CB68E6">
      <w:pPr>
        <w:spacing w:after="0" w:line="240" w:lineRule="auto"/>
        <w:rPr>
          <w:rFonts w:ascii="Times New Roman" w:hAnsi="Times New Roman"/>
          <w:color w:val="000000"/>
          <w:shd w:val="clear" w:color="auto" w:fill="FFFFFF"/>
        </w:rPr>
      </w:pPr>
      <w:r>
        <w:rPr>
          <w:rFonts w:ascii="Times New Roman" w:hAnsi="Times New Roman"/>
          <w:color w:val="000000"/>
          <w:shd w:val="clear" w:color="auto" w:fill="FFFFFF"/>
        </w:rPr>
        <w:t>k</w:t>
      </w:r>
      <w:r w:rsidR="007F6FC0" w:rsidRPr="007F6FC0">
        <w:rPr>
          <w:rFonts w:ascii="Times New Roman" w:hAnsi="Times New Roman"/>
          <w:color w:val="000000"/>
          <w:shd w:val="clear" w:color="auto" w:fill="FFFFFF"/>
        </w:rPr>
        <w:t>vetiapinas</w:t>
      </w:r>
    </w:p>
    <w:p w14:paraId="691E540C" w14:textId="77777777" w:rsidR="007F6FC0" w:rsidRPr="007F6FC0" w:rsidRDefault="007F6FC0" w:rsidP="00CB68E6">
      <w:pPr>
        <w:spacing w:after="0" w:line="240" w:lineRule="auto"/>
        <w:rPr>
          <w:rFonts w:ascii="Times New Roman" w:eastAsia="Times New Roman" w:hAnsi="Times New Roman"/>
          <w:noProof/>
          <w:lang w:eastAsia="lt-LT"/>
        </w:rPr>
      </w:pPr>
    </w:p>
    <w:p w14:paraId="0D3AC060" w14:textId="77777777" w:rsidR="00CB68E6" w:rsidRPr="00F45D90" w:rsidRDefault="00CB68E6" w:rsidP="00CB68E6">
      <w:pPr>
        <w:spacing w:after="0" w:line="240" w:lineRule="auto"/>
        <w:rPr>
          <w:rFonts w:ascii="Times New Roman" w:eastAsia="Times New Roman" w:hAnsi="Times New Roman"/>
          <w:noProof/>
          <w:lang w:eastAsia="lt-LT"/>
        </w:rPr>
      </w:pPr>
    </w:p>
    <w:p w14:paraId="21F2C98A"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2.</w:t>
      </w:r>
      <w:r w:rsidRPr="00F45D90">
        <w:rPr>
          <w:rFonts w:ascii="Times New Roman" w:eastAsia="Times New Roman" w:hAnsi="Times New Roman"/>
          <w:b/>
          <w:noProof/>
          <w:lang w:eastAsia="lt-LT"/>
        </w:rPr>
        <w:tab/>
        <w:t>VEIKLIOJI MEDŽIAGA IR JOS KIEKIS</w:t>
      </w:r>
    </w:p>
    <w:p w14:paraId="7A2A827B" w14:textId="77777777" w:rsidR="00CB68E6" w:rsidRPr="00F45D90" w:rsidRDefault="00CB68E6" w:rsidP="00CB68E6">
      <w:pPr>
        <w:spacing w:after="0" w:line="240" w:lineRule="auto"/>
        <w:rPr>
          <w:rFonts w:ascii="Times New Roman" w:eastAsia="Times New Roman" w:hAnsi="Times New Roman"/>
          <w:noProof/>
          <w:lang w:eastAsia="lt-LT"/>
        </w:rPr>
      </w:pPr>
    </w:p>
    <w:p w14:paraId="4BDC903C" w14:textId="2B0829E0"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Vienoje plėvele dengtoje tabletėje </w:t>
      </w:r>
      <w:r w:rsidR="00E2053E">
        <w:rPr>
          <w:rFonts w:ascii="Times New Roman" w:eastAsia="Times New Roman" w:hAnsi="Times New Roman"/>
          <w:noProof/>
          <w:lang w:eastAsia="lt-LT"/>
        </w:rPr>
        <w:t xml:space="preserve">yra </w:t>
      </w:r>
      <w:r w:rsidRPr="00F45D90">
        <w:rPr>
          <w:rFonts w:ascii="Times New Roman" w:eastAsia="Times New Roman" w:hAnsi="Times New Roman"/>
          <w:noProof/>
          <w:lang w:eastAsia="lt-LT"/>
        </w:rPr>
        <w:t>25 mg kvetiapino (kvetiapino fumarato pavidalu).</w:t>
      </w:r>
    </w:p>
    <w:p w14:paraId="679628D5"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Vienoje plėvele dengtoje tabletėje yra 100 mg kvetiapino (kvetiapino fumarato pavidalu).</w:t>
      </w:r>
    </w:p>
    <w:p w14:paraId="06A967D2"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Vienoje plėvele dengtoje tabletėje yra 200 mg kvetiapino (kvetiapino fumarato pavidalu).</w:t>
      </w:r>
    </w:p>
    <w:p w14:paraId="2C00A11B"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Vienoje plėvele dengtoje tabletėje yra 300 mg kvetiapino (kvetiapino fumarato pavidalu).</w:t>
      </w:r>
    </w:p>
    <w:p w14:paraId="2F315D08" w14:textId="77777777" w:rsidR="00CB68E6" w:rsidRPr="00F45D90" w:rsidRDefault="00CB68E6" w:rsidP="00CB68E6">
      <w:pPr>
        <w:spacing w:after="0" w:line="240" w:lineRule="auto"/>
        <w:rPr>
          <w:rFonts w:ascii="Times New Roman" w:eastAsia="Times New Roman" w:hAnsi="Times New Roman"/>
          <w:noProof/>
          <w:lang w:eastAsia="lt-LT"/>
        </w:rPr>
      </w:pPr>
    </w:p>
    <w:p w14:paraId="13CAB5AE" w14:textId="77777777" w:rsidR="00CB68E6" w:rsidRPr="00F45D90" w:rsidRDefault="00CB68E6" w:rsidP="00CB68E6">
      <w:pPr>
        <w:spacing w:after="0" w:line="240" w:lineRule="auto"/>
        <w:rPr>
          <w:rFonts w:ascii="Times New Roman" w:eastAsia="Times New Roman" w:hAnsi="Times New Roman"/>
          <w:noProof/>
          <w:lang w:eastAsia="lt-LT"/>
        </w:rPr>
      </w:pPr>
    </w:p>
    <w:p w14:paraId="62A88969"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3.</w:t>
      </w:r>
      <w:r w:rsidRPr="00F45D90">
        <w:rPr>
          <w:rFonts w:ascii="Times New Roman" w:eastAsia="Times New Roman" w:hAnsi="Times New Roman"/>
          <w:b/>
          <w:noProof/>
          <w:lang w:eastAsia="lt-LT"/>
        </w:rPr>
        <w:tab/>
        <w:t>PAGALBINIŲ MEDŽIAGŲ SĄRAŠAS</w:t>
      </w:r>
    </w:p>
    <w:p w14:paraId="76AC59A2" w14:textId="77777777" w:rsidR="00CB68E6" w:rsidRPr="00F45D90" w:rsidRDefault="00CB68E6" w:rsidP="00CB68E6">
      <w:pPr>
        <w:spacing w:after="0" w:line="240" w:lineRule="auto"/>
        <w:rPr>
          <w:rFonts w:ascii="Times New Roman" w:eastAsia="Times New Roman" w:hAnsi="Times New Roman"/>
          <w:noProof/>
          <w:lang w:eastAsia="lt-LT"/>
        </w:rPr>
      </w:pPr>
    </w:p>
    <w:p w14:paraId="4CF7898C"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Sudėtyje yra laktozės ir lecitino (sojos). </w:t>
      </w:r>
    </w:p>
    <w:p w14:paraId="4F6496B3" w14:textId="77777777" w:rsidR="00CB68E6" w:rsidRPr="00F45D90" w:rsidRDefault="00CB68E6" w:rsidP="00CB68E6">
      <w:pPr>
        <w:spacing w:after="0" w:line="240" w:lineRule="auto"/>
        <w:rPr>
          <w:rFonts w:ascii="Times New Roman" w:eastAsia="Times New Roman" w:hAnsi="Times New Roman"/>
          <w:noProof/>
          <w:lang w:eastAsia="lt-LT"/>
        </w:rPr>
      </w:pPr>
    </w:p>
    <w:p w14:paraId="60F63EDF" w14:textId="77777777" w:rsidR="00CB68E6" w:rsidRPr="00F45D90" w:rsidRDefault="00CB68E6" w:rsidP="00CB68E6">
      <w:pPr>
        <w:spacing w:after="0" w:line="240" w:lineRule="auto"/>
        <w:rPr>
          <w:rFonts w:ascii="Times New Roman" w:eastAsia="Times New Roman" w:hAnsi="Times New Roman"/>
          <w:noProof/>
          <w:lang w:eastAsia="lt-LT"/>
        </w:rPr>
      </w:pPr>
    </w:p>
    <w:p w14:paraId="61D6D5CA"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4.</w:t>
      </w:r>
      <w:r w:rsidRPr="00F45D90">
        <w:rPr>
          <w:rFonts w:ascii="Times New Roman" w:eastAsia="Times New Roman" w:hAnsi="Times New Roman"/>
          <w:b/>
          <w:noProof/>
          <w:lang w:eastAsia="lt-LT"/>
        </w:rPr>
        <w:tab/>
        <w:t>FARMACINĖ FORMA IR KIEKIS PAKUOTĖJE</w:t>
      </w:r>
    </w:p>
    <w:p w14:paraId="09D48BFD" w14:textId="77777777" w:rsidR="00CB68E6" w:rsidRPr="00F45D90" w:rsidRDefault="00CB68E6" w:rsidP="00CB68E6">
      <w:pPr>
        <w:spacing w:after="0" w:line="240" w:lineRule="auto"/>
        <w:rPr>
          <w:rFonts w:ascii="Times New Roman" w:eastAsia="Times New Roman" w:hAnsi="Times New Roman"/>
          <w:noProof/>
          <w:lang w:eastAsia="lt-LT"/>
        </w:rPr>
      </w:pPr>
    </w:p>
    <w:p w14:paraId="3A0B2813" w14:textId="77777777" w:rsidR="00CB68E6" w:rsidRPr="00F45D90" w:rsidRDefault="00CB68E6" w:rsidP="00CB68E6">
      <w:pPr>
        <w:spacing w:after="0" w:line="240" w:lineRule="auto"/>
        <w:rPr>
          <w:rFonts w:ascii="Times New Roman" w:eastAsia="Times New Roman" w:hAnsi="Times New Roman"/>
          <w:noProof/>
          <w:lang w:eastAsia="lt-LT"/>
        </w:rPr>
      </w:pPr>
      <w:r w:rsidRPr="00BE281A">
        <w:rPr>
          <w:rFonts w:ascii="Times New Roman" w:hAnsi="Times New Roman"/>
          <w:highlight w:val="lightGray"/>
        </w:rPr>
        <w:t>Plėvele dengta tabletė</w:t>
      </w:r>
    </w:p>
    <w:p w14:paraId="590D3F76" w14:textId="77777777" w:rsidR="00CB68E6" w:rsidRPr="00F45D90" w:rsidRDefault="00CB68E6" w:rsidP="00CB68E6">
      <w:pPr>
        <w:spacing w:after="0" w:line="240" w:lineRule="auto"/>
        <w:rPr>
          <w:rFonts w:ascii="Times New Roman" w:eastAsia="Times New Roman" w:hAnsi="Times New Roman"/>
          <w:noProof/>
          <w:lang w:eastAsia="lt-LT"/>
        </w:rPr>
      </w:pPr>
    </w:p>
    <w:p w14:paraId="6C48748C"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25 mg:</w:t>
      </w:r>
    </w:p>
    <w:p w14:paraId="32AC012B" w14:textId="77777777" w:rsidR="00CB68E6" w:rsidRPr="00F45D90" w:rsidRDefault="00CB68E6" w:rsidP="00CB68E6">
      <w:pPr>
        <w:spacing w:after="0" w:line="240" w:lineRule="auto"/>
        <w:rPr>
          <w:rFonts w:ascii="Times New Roman" w:hAnsi="Times New Roman"/>
          <w:noProof/>
        </w:rPr>
      </w:pPr>
      <w:r w:rsidRPr="00F45D90">
        <w:rPr>
          <w:rFonts w:ascii="Times New Roman" w:hAnsi="Times New Roman"/>
          <w:noProof/>
        </w:rPr>
        <w:t>10 tablečių</w:t>
      </w:r>
    </w:p>
    <w:p w14:paraId="0BB58E1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30 tablečių</w:t>
      </w:r>
    </w:p>
    <w:p w14:paraId="4F18B61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60 tablečių</w:t>
      </w:r>
    </w:p>
    <w:p w14:paraId="020D5603" w14:textId="77777777" w:rsidR="00CB68E6" w:rsidRPr="00F45D90" w:rsidRDefault="00CB68E6" w:rsidP="00CB68E6">
      <w:pPr>
        <w:spacing w:after="0" w:line="240" w:lineRule="auto"/>
        <w:rPr>
          <w:rFonts w:ascii="Times New Roman" w:eastAsia="Times New Roman" w:hAnsi="Times New Roman"/>
          <w:noProof/>
          <w:lang w:eastAsia="lt-LT"/>
        </w:rPr>
      </w:pPr>
    </w:p>
    <w:p w14:paraId="54A96E88"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Hedonin 100 mg:</w:t>
      </w:r>
    </w:p>
    <w:p w14:paraId="03022F27" w14:textId="77777777" w:rsidR="00CB68E6" w:rsidRPr="00F45D90" w:rsidRDefault="00CB68E6" w:rsidP="00CB68E6">
      <w:pPr>
        <w:spacing w:after="0" w:line="240" w:lineRule="auto"/>
        <w:rPr>
          <w:rFonts w:ascii="Times New Roman" w:hAnsi="Times New Roman"/>
          <w:noProof/>
        </w:rPr>
      </w:pPr>
      <w:r w:rsidRPr="00F45D90">
        <w:rPr>
          <w:rFonts w:ascii="Times New Roman" w:hAnsi="Times New Roman"/>
          <w:noProof/>
        </w:rPr>
        <w:t>30 tablečių</w:t>
      </w:r>
    </w:p>
    <w:p w14:paraId="05D7AA3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60 tablečių</w:t>
      </w:r>
    </w:p>
    <w:p w14:paraId="3DA89DB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90 tablečių</w:t>
      </w:r>
    </w:p>
    <w:p w14:paraId="08B6B796" w14:textId="77777777" w:rsidR="00CB68E6" w:rsidRPr="00F45D90" w:rsidRDefault="00CB68E6" w:rsidP="00CB68E6">
      <w:pPr>
        <w:spacing w:after="0" w:line="240" w:lineRule="auto"/>
        <w:rPr>
          <w:rFonts w:ascii="Times New Roman" w:eastAsia="Times New Roman" w:hAnsi="Times New Roman"/>
          <w:noProof/>
          <w:lang w:eastAsia="lt-LT"/>
        </w:rPr>
      </w:pPr>
    </w:p>
    <w:p w14:paraId="64AD9855"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Hedonin 200 mg:</w:t>
      </w:r>
    </w:p>
    <w:p w14:paraId="72B9E079" w14:textId="77777777" w:rsidR="00CB68E6" w:rsidRPr="00F45D90" w:rsidRDefault="00CB68E6" w:rsidP="00CB68E6">
      <w:pPr>
        <w:spacing w:after="0" w:line="240" w:lineRule="auto"/>
        <w:rPr>
          <w:rFonts w:ascii="Times New Roman" w:hAnsi="Times New Roman"/>
          <w:noProof/>
        </w:rPr>
      </w:pPr>
      <w:r w:rsidRPr="00F45D90">
        <w:rPr>
          <w:rFonts w:ascii="Times New Roman" w:hAnsi="Times New Roman"/>
          <w:noProof/>
        </w:rPr>
        <w:t>30 tablečių</w:t>
      </w:r>
    </w:p>
    <w:p w14:paraId="5FE57BD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60 tablečių</w:t>
      </w:r>
    </w:p>
    <w:p w14:paraId="01CDBB8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90 tablečių</w:t>
      </w:r>
    </w:p>
    <w:p w14:paraId="4C9F251F" w14:textId="77777777" w:rsidR="00CB68E6" w:rsidRPr="00F45D90" w:rsidRDefault="00CB68E6" w:rsidP="00CB68E6">
      <w:pPr>
        <w:spacing w:after="0" w:line="240" w:lineRule="auto"/>
        <w:rPr>
          <w:rFonts w:ascii="Times New Roman" w:eastAsia="Times New Roman" w:hAnsi="Times New Roman"/>
          <w:noProof/>
          <w:lang w:eastAsia="lt-LT"/>
        </w:rPr>
      </w:pPr>
    </w:p>
    <w:p w14:paraId="105FE744"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300 mg:</w:t>
      </w:r>
    </w:p>
    <w:p w14:paraId="4A37CD61" w14:textId="77777777" w:rsidR="00CB68E6" w:rsidRPr="00F45D90" w:rsidRDefault="00CB68E6" w:rsidP="00CB68E6">
      <w:pPr>
        <w:spacing w:after="0" w:line="240" w:lineRule="auto"/>
        <w:rPr>
          <w:rFonts w:ascii="Times New Roman" w:hAnsi="Times New Roman"/>
          <w:noProof/>
        </w:rPr>
      </w:pPr>
      <w:r w:rsidRPr="00F45D90">
        <w:rPr>
          <w:rFonts w:ascii="Times New Roman" w:hAnsi="Times New Roman"/>
          <w:noProof/>
        </w:rPr>
        <w:t>10 tablečių</w:t>
      </w:r>
    </w:p>
    <w:p w14:paraId="59CEEC7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20 tablečių</w:t>
      </w:r>
    </w:p>
    <w:p w14:paraId="7253409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30 tablečių</w:t>
      </w:r>
    </w:p>
    <w:p w14:paraId="7EE2B2A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60 tablečių</w:t>
      </w:r>
    </w:p>
    <w:p w14:paraId="59EBC46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90 tablečių</w:t>
      </w:r>
    </w:p>
    <w:p w14:paraId="44DA44E9" w14:textId="77777777" w:rsidR="00CB68E6" w:rsidRPr="00F45D90" w:rsidRDefault="00CB68E6" w:rsidP="00CB68E6">
      <w:pPr>
        <w:spacing w:after="0" w:line="240" w:lineRule="auto"/>
        <w:rPr>
          <w:rFonts w:ascii="Times New Roman" w:hAnsi="Times New Roman"/>
        </w:rPr>
      </w:pPr>
    </w:p>
    <w:p w14:paraId="04927FE8"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Hedonin 25 mg + 100 mg: </w:t>
      </w:r>
    </w:p>
    <w:p w14:paraId="034191E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lastRenderedPageBreak/>
        <w:t>1 lizdinė plokštelė su 6 Hedonin 25 mg plėvele dengtomis tabletėmis</w:t>
      </w:r>
    </w:p>
    <w:p w14:paraId="0587A56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1 lizdinė plokštelė su 5 Hedonin 100 mg plėvele dengtomis tabletėmis</w:t>
      </w:r>
    </w:p>
    <w:p w14:paraId="3FE17A19" w14:textId="77777777" w:rsidR="00CB68E6" w:rsidRPr="00F45D90" w:rsidRDefault="00CB68E6" w:rsidP="00CB68E6">
      <w:pPr>
        <w:spacing w:after="0" w:line="240" w:lineRule="auto"/>
        <w:rPr>
          <w:rFonts w:ascii="Times New Roman" w:eastAsia="Times New Roman" w:hAnsi="Times New Roman"/>
          <w:noProof/>
          <w:lang w:eastAsia="lt-LT"/>
        </w:rPr>
      </w:pPr>
    </w:p>
    <w:p w14:paraId="4815F075" w14:textId="77777777" w:rsidR="00CB68E6" w:rsidRPr="00F45D90" w:rsidRDefault="00CB68E6" w:rsidP="00CB68E6">
      <w:pPr>
        <w:spacing w:after="0" w:line="240" w:lineRule="auto"/>
        <w:rPr>
          <w:rFonts w:ascii="Times New Roman" w:eastAsia="Times New Roman" w:hAnsi="Times New Roman"/>
          <w:noProof/>
          <w:lang w:eastAsia="lt-LT"/>
        </w:rPr>
      </w:pPr>
    </w:p>
    <w:p w14:paraId="0CB68BD4"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5.</w:t>
      </w:r>
      <w:r w:rsidRPr="00F45D90">
        <w:rPr>
          <w:rFonts w:ascii="Times New Roman" w:eastAsia="Times New Roman" w:hAnsi="Times New Roman"/>
          <w:b/>
          <w:noProof/>
          <w:lang w:eastAsia="lt-LT"/>
        </w:rPr>
        <w:tab/>
        <w:t>VARTOJIMO METODAS IR BŪDAS (-AI)</w:t>
      </w:r>
    </w:p>
    <w:p w14:paraId="521EF6E4" w14:textId="77777777" w:rsidR="00CB68E6" w:rsidRPr="00F45D90" w:rsidRDefault="00CB68E6" w:rsidP="00CB68E6">
      <w:pPr>
        <w:spacing w:after="0" w:line="240" w:lineRule="auto"/>
        <w:rPr>
          <w:rFonts w:ascii="Times New Roman" w:eastAsia="Times New Roman" w:hAnsi="Times New Roman"/>
          <w:noProof/>
          <w:lang w:eastAsia="lt-LT"/>
        </w:rPr>
      </w:pPr>
    </w:p>
    <w:p w14:paraId="08F26F7C"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Vartoti per burną.</w:t>
      </w:r>
    </w:p>
    <w:p w14:paraId="57AB95AD" w14:textId="37F6675B"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Prieš vartojimą perskaity</w:t>
      </w:r>
      <w:r w:rsidR="00E2053E">
        <w:rPr>
          <w:rFonts w:ascii="Times New Roman" w:eastAsia="Times New Roman" w:hAnsi="Times New Roman"/>
          <w:noProof/>
          <w:lang w:eastAsia="lt-LT"/>
        </w:rPr>
        <w:t>kite</w:t>
      </w:r>
      <w:r w:rsidRPr="00F45D90">
        <w:rPr>
          <w:rFonts w:ascii="Times New Roman" w:eastAsia="Times New Roman" w:hAnsi="Times New Roman"/>
          <w:noProof/>
          <w:lang w:eastAsia="lt-LT"/>
        </w:rPr>
        <w:t xml:space="preserve"> pakuotės lapelį.</w:t>
      </w:r>
    </w:p>
    <w:p w14:paraId="6C99FF70" w14:textId="77777777" w:rsidR="00CB68E6" w:rsidRPr="00F45D90" w:rsidRDefault="00CB68E6" w:rsidP="00CB68E6">
      <w:pPr>
        <w:spacing w:after="0" w:line="240" w:lineRule="auto"/>
        <w:rPr>
          <w:rFonts w:ascii="Times New Roman" w:eastAsia="Times New Roman" w:hAnsi="Times New Roman"/>
          <w:noProof/>
          <w:lang w:eastAsia="lt-LT"/>
        </w:rPr>
      </w:pPr>
    </w:p>
    <w:p w14:paraId="6AE9539C" w14:textId="77777777" w:rsidR="00CB68E6" w:rsidRPr="00F45D90" w:rsidRDefault="00CB68E6" w:rsidP="00CB68E6">
      <w:pPr>
        <w:spacing w:after="0" w:line="240" w:lineRule="auto"/>
        <w:rPr>
          <w:rFonts w:ascii="Times New Roman" w:eastAsia="Times New Roman" w:hAnsi="Times New Roman"/>
          <w:noProof/>
          <w:lang w:eastAsia="lt-LT"/>
        </w:rPr>
      </w:pPr>
    </w:p>
    <w:p w14:paraId="1439857B"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6.</w:t>
      </w:r>
      <w:r w:rsidRPr="00F45D90">
        <w:rPr>
          <w:rFonts w:ascii="Times New Roman" w:eastAsia="Times New Roman" w:hAnsi="Times New Roman"/>
          <w:b/>
          <w:noProof/>
          <w:lang w:eastAsia="lt-LT"/>
        </w:rPr>
        <w:tab/>
        <w:t>SPECIALUS ĮSPĖJIMAS, KAD VAISTINĮ PREPARATĄ BŪTINA LAIKYTI VAIKAMS NEPASTEBIMOJE IR NEPASIEKIAMOJE</w:t>
      </w:r>
      <w:r w:rsidRPr="00F45D90" w:rsidDel="00094511">
        <w:rPr>
          <w:rFonts w:ascii="Times New Roman" w:eastAsia="Times New Roman" w:hAnsi="Times New Roman"/>
          <w:b/>
          <w:noProof/>
          <w:lang w:eastAsia="lt-LT"/>
        </w:rPr>
        <w:t xml:space="preserve"> </w:t>
      </w:r>
      <w:r w:rsidRPr="00F45D90">
        <w:rPr>
          <w:rFonts w:ascii="Times New Roman" w:eastAsia="Times New Roman" w:hAnsi="Times New Roman"/>
          <w:b/>
          <w:noProof/>
          <w:lang w:eastAsia="lt-LT"/>
        </w:rPr>
        <w:t>VIETOJE</w:t>
      </w:r>
    </w:p>
    <w:p w14:paraId="7DC27242" w14:textId="77777777" w:rsidR="00CB68E6" w:rsidRPr="00F45D90" w:rsidRDefault="00CB68E6" w:rsidP="00CB68E6">
      <w:pPr>
        <w:spacing w:after="0" w:line="240" w:lineRule="auto"/>
        <w:rPr>
          <w:rFonts w:ascii="Times New Roman" w:eastAsia="Times New Roman" w:hAnsi="Times New Roman"/>
          <w:noProof/>
          <w:lang w:eastAsia="lt-LT"/>
        </w:rPr>
      </w:pPr>
    </w:p>
    <w:p w14:paraId="27A63F1F"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Laikyti vaikams nepastebimoje ir nepasiekiamoje vietoje.</w:t>
      </w:r>
    </w:p>
    <w:p w14:paraId="2FD04687" w14:textId="77777777" w:rsidR="00CB68E6" w:rsidRPr="00F45D90" w:rsidRDefault="00CB68E6" w:rsidP="00CB68E6">
      <w:pPr>
        <w:spacing w:after="0" w:line="240" w:lineRule="auto"/>
        <w:rPr>
          <w:rFonts w:ascii="Times New Roman" w:hAnsi="Times New Roman"/>
          <w:noProof/>
        </w:rPr>
      </w:pPr>
    </w:p>
    <w:p w14:paraId="642E80B5" w14:textId="77777777" w:rsidR="00CB68E6" w:rsidRPr="00F45D90" w:rsidRDefault="00CB68E6" w:rsidP="00CB68E6">
      <w:pPr>
        <w:spacing w:after="0" w:line="240" w:lineRule="auto"/>
        <w:rPr>
          <w:rFonts w:ascii="Times New Roman" w:hAnsi="Times New Roman"/>
          <w:noProof/>
        </w:rPr>
      </w:pPr>
    </w:p>
    <w:p w14:paraId="670C8D86"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F45D90">
        <w:rPr>
          <w:rFonts w:ascii="Times New Roman" w:hAnsi="Times New Roman"/>
          <w:b/>
          <w:noProof/>
        </w:rPr>
        <w:t>7.</w:t>
      </w:r>
      <w:r w:rsidRPr="00F45D90">
        <w:rPr>
          <w:rFonts w:ascii="Times New Roman" w:hAnsi="Times New Roman"/>
          <w:b/>
          <w:noProof/>
        </w:rPr>
        <w:tab/>
        <w:t>KITAS (-I) SPECIALUS (-ŪS) ĮSPĖJIMAS (-AI) (JEI REIKIA)</w:t>
      </w:r>
    </w:p>
    <w:p w14:paraId="679E2B7D" w14:textId="77777777" w:rsidR="00CB68E6" w:rsidRPr="00F45D90" w:rsidRDefault="00CB68E6" w:rsidP="00CB68E6">
      <w:pPr>
        <w:spacing w:after="0" w:line="240" w:lineRule="auto"/>
        <w:rPr>
          <w:rFonts w:ascii="Times New Roman" w:hAnsi="Times New Roman"/>
          <w:noProof/>
        </w:rPr>
      </w:pPr>
    </w:p>
    <w:p w14:paraId="39F74422" w14:textId="77777777" w:rsidR="00CB68E6" w:rsidRPr="00F45D90" w:rsidRDefault="00CB68E6" w:rsidP="00CB68E6">
      <w:pPr>
        <w:spacing w:after="0" w:line="240" w:lineRule="auto"/>
        <w:rPr>
          <w:rFonts w:ascii="Times New Roman" w:hAnsi="Times New Roman"/>
          <w:noProof/>
        </w:rPr>
      </w:pPr>
    </w:p>
    <w:p w14:paraId="5DFDB181"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rPr>
      </w:pPr>
      <w:r w:rsidRPr="00F45D90">
        <w:rPr>
          <w:rFonts w:ascii="Times New Roman" w:hAnsi="Times New Roman"/>
          <w:b/>
          <w:noProof/>
        </w:rPr>
        <w:t>8.</w:t>
      </w:r>
      <w:r w:rsidRPr="00F45D90">
        <w:rPr>
          <w:rFonts w:ascii="Times New Roman" w:hAnsi="Times New Roman"/>
          <w:b/>
          <w:noProof/>
        </w:rPr>
        <w:tab/>
        <w:t>TINKAMUMO LAIKAS</w:t>
      </w:r>
    </w:p>
    <w:p w14:paraId="688F83F1" w14:textId="77777777" w:rsidR="00CB68E6" w:rsidRPr="00F45D90" w:rsidRDefault="00CB68E6" w:rsidP="00CB68E6">
      <w:pPr>
        <w:spacing w:after="0" w:line="240" w:lineRule="auto"/>
        <w:rPr>
          <w:rFonts w:ascii="Times New Roman" w:hAnsi="Times New Roman"/>
          <w:noProof/>
        </w:rPr>
      </w:pPr>
    </w:p>
    <w:p w14:paraId="64C5ABD6" w14:textId="2A0D4D3F" w:rsidR="00CB68E6" w:rsidRPr="00F45D90" w:rsidRDefault="00217EBE" w:rsidP="00CB68E6">
      <w:pPr>
        <w:spacing w:after="0" w:line="240" w:lineRule="auto"/>
        <w:rPr>
          <w:rFonts w:ascii="Times New Roman" w:eastAsia="Times New Roman" w:hAnsi="Times New Roman"/>
          <w:noProof/>
          <w:lang w:eastAsia="lt-LT"/>
        </w:rPr>
      </w:pPr>
      <w:r>
        <w:rPr>
          <w:rFonts w:ascii="Times New Roman" w:eastAsia="Times New Roman" w:hAnsi="Times New Roman"/>
          <w:noProof/>
          <w:lang w:eastAsia="lt-LT"/>
        </w:rPr>
        <w:t>EXP:</w:t>
      </w:r>
      <w:r w:rsidR="00CB68E6" w:rsidRPr="00F45D90">
        <w:rPr>
          <w:rFonts w:ascii="Times New Roman" w:eastAsia="Times New Roman" w:hAnsi="Times New Roman"/>
          <w:noProof/>
          <w:lang w:eastAsia="lt-LT"/>
        </w:rPr>
        <w:t xml:space="preserve"> mm.MMMM</w:t>
      </w:r>
    </w:p>
    <w:p w14:paraId="0E5E112E" w14:textId="77777777" w:rsidR="00CB68E6" w:rsidRPr="00F45D90" w:rsidRDefault="00CB68E6" w:rsidP="00CB68E6">
      <w:pPr>
        <w:spacing w:after="0" w:line="240" w:lineRule="auto"/>
        <w:rPr>
          <w:rFonts w:ascii="Times New Roman" w:eastAsia="Times New Roman" w:hAnsi="Times New Roman"/>
          <w:noProof/>
          <w:lang w:eastAsia="lt-LT"/>
        </w:rPr>
      </w:pPr>
    </w:p>
    <w:p w14:paraId="49C5BC6B" w14:textId="77777777" w:rsidR="00CB68E6" w:rsidRPr="00F45D90" w:rsidRDefault="00CB68E6" w:rsidP="00CB68E6">
      <w:pPr>
        <w:spacing w:after="0" w:line="240" w:lineRule="auto"/>
        <w:rPr>
          <w:rFonts w:ascii="Times New Roman" w:eastAsia="Times New Roman" w:hAnsi="Times New Roman"/>
          <w:noProof/>
          <w:lang w:eastAsia="lt-LT"/>
        </w:rPr>
      </w:pPr>
    </w:p>
    <w:p w14:paraId="41DA433E"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9.</w:t>
      </w:r>
      <w:r w:rsidRPr="00F45D90">
        <w:rPr>
          <w:rFonts w:ascii="Times New Roman" w:eastAsia="Times New Roman" w:hAnsi="Times New Roman"/>
          <w:b/>
          <w:noProof/>
          <w:lang w:eastAsia="lt-LT"/>
        </w:rPr>
        <w:tab/>
        <w:t>SPECIALIOS LAIKYMO SĄLYGOS</w:t>
      </w:r>
    </w:p>
    <w:p w14:paraId="6D526A5A" w14:textId="77777777" w:rsidR="00CB68E6" w:rsidRPr="00F45D90" w:rsidRDefault="00CB68E6" w:rsidP="00CB68E6">
      <w:pPr>
        <w:spacing w:after="0" w:line="240" w:lineRule="auto"/>
        <w:rPr>
          <w:rFonts w:ascii="Times New Roman" w:eastAsia="Times New Roman" w:hAnsi="Times New Roman"/>
          <w:noProof/>
          <w:lang w:eastAsia="lt-LT"/>
        </w:rPr>
      </w:pPr>
    </w:p>
    <w:p w14:paraId="0DC6EDD1" w14:textId="77777777" w:rsidR="00CB68E6" w:rsidRPr="00F45D90" w:rsidRDefault="00CB68E6" w:rsidP="00CB68E6">
      <w:pPr>
        <w:spacing w:after="0" w:line="240" w:lineRule="auto"/>
        <w:rPr>
          <w:rFonts w:ascii="Times New Roman" w:eastAsia="Times New Roman" w:hAnsi="Times New Roman"/>
          <w:noProof/>
          <w:lang w:eastAsia="lt-LT"/>
        </w:rPr>
      </w:pPr>
    </w:p>
    <w:p w14:paraId="239E2CCA" w14:textId="77777777" w:rsidR="00CB68E6" w:rsidRPr="00F45D90" w:rsidRDefault="00CB68E6" w:rsidP="00CB68E6">
      <w:pPr>
        <w:spacing w:after="0" w:line="240" w:lineRule="auto"/>
        <w:rPr>
          <w:rFonts w:ascii="Times New Roman" w:eastAsia="Times New Roman" w:hAnsi="Times New Roman"/>
          <w:noProof/>
          <w:lang w:eastAsia="lt-LT"/>
        </w:rPr>
      </w:pPr>
    </w:p>
    <w:p w14:paraId="06290E43"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10.</w:t>
      </w:r>
      <w:r w:rsidRPr="00F45D90">
        <w:rPr>
          <w:rFonts w:ascii="Times New Roman" w:eastAsia="Times New Roman" w:hAnsi="Times New Roman"/>
          <w:b/>
          <w:noProof/>
          <w:lang w:eastAsia="lt-LT"/>
        </w:rPr>
        <w:tab/>
        <w:t xml:space="preserve">SPECIALIOS ATSARGUMO PRIEMONĖS DĖL NESUVARTOTO </w:t>
      </w:r>
      <w:r w:rsidRPr="00F45D90">
        <w:rPr>
          <w:rFonts w:ascii="Times New Roman" w:eastAsia="Times New Roman" w:hAnsi="Times New Roman"/>
          <w:b/>
          <w:bCs/>
          <w:noProof/>
          <w:lang w:eastAsia="lt-LT"/>
        </w:rPr>
        <w:t xml:space="preserve">VAISTINIO PREPARATO AR JO ATLIEKŲ </w:t>
      </w:r>
      <w:r w:rsidRPr="00F45D90">
        <w:rPr>
          <w:rFonts w:ascii="Times New Roman" w:eastAsia="Times New Roman" w:hAnsi="Times New Roman"/>
          <w:b/>
          <w:noProof/>
          <w:lang w:eastAsia="lt-LT"/>
        </w:rPr>
        <w:t>TVARKYMO (JEI REIKIA)</w:t>
      </w:r>
    </w:p>
    <w:p w14:paraId="7014E1C0" w14:textId="77777777" w:rsidR="00CB68E6" w:rsidRPr="00F45D90" w:rsidRDefault="00CB68E6" w:rsidP="00CB68E6">
      <w:pPr>
        <w:spacing w:after="0" w:line="240" w:lineRule="auto"/>
        <w:rPr>
          <w:rFonts w:ascii="Times New Roman" w:eastAsia="Times New Roman" w:hAnsi="Times New Roman"/>
          <w:noProof/>
          <w:lang w:eastAsia="lt-LT"/>
        </w:rPr>
      </w:pPr>
    </w:p>
    <w:p w14:paraId="6C25728A" w14:textId="77777777" w:rsidR="00CB68E6" w:rsidRPr="00F45D90" w:rsidRDefault="00CB68E6" w:rsidP="00CB68E6">
      <w:pPr>
        <w:spacing w:after="0" w:line="240" w:lineRule="auto"/>
        <w:rPr>
          <w:rFonts w:ascii="Times New Roman" w:eastAsia="Times New Roman" w:hAnsi="Times New Roman"/>
          <w:noProof/>
          <w:lang w:eastAsia="lt-LT"/>
        </w:rPr>
      </w:pPr>
    </w:p>
    <w:p w14:paraId="73A818A2"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11.</w:t>
      </w:r>
      <w:r w:rsidRPr="00F45D90">
        <w:rPr>
          <w:rFonts w:ascii="Times New Roman" w:eastAsia="Times New Roman" w:hAnsi="Times New Roman"/>
          <w:b/>
          <w:noProof/>
          <w:lang w:eastAsia="lt-LT"/>
        </w:rPr>
        <w:tab/>
        <w:t>REGISTRUOTOJO PAVADINIMAS IR ADRESAS</w:t>
      </w:r>
    </w:p>
    <w:p w14:paraId="12C5EC7A" w14:textId="77777777" w:rsidR="00CB68E6" w:rsidRPr="00F45D90" w:rsidRDefault="00CB68E6" w:rsidP="00CB68E6">
      <w:pPr>
        <w:spacing w:after="0" w:line="240" w:lineRule="auto"/>
        <w:rPr>
          <w:rFonts w:ascii="Times New Roman" w:eastAsia="Times New Roman" w:hAnsi="Times New Roman"/>
          <w:noProof/>
          <w:lang w:eastAsia="lt-LT"/>
        </w:rPr>
      </w:pPr>
    </w:p>
    <w:p w14:paraId="4E0DADE8"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G.L. Pharma GmbH </w:t>
      </w:r>
    </w:p>
    <w:p w14:paraId="7DD56FD9"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Schlossplatz 1 </w:t>
      </w:r>
    </w:p>
    <w:p w14:paraId="0030DE7B"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8502 Lannach </w:t>
      </w:r>
    </w:p>
    <w:p w14:paraId="6DD3D7E4"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Austrija</w:t>
      </w:r>
    </w:p>
    <w:p w14:paraId="730E4368" w14:textId="77777777" w:rsidR="00CB68E6" w:rsidRPr="00F45D90" w:rsidRDefault="00CB68E6" w:rsidP="00CB68E6">
      <w:pPr>
        <w:spacing w:after="0" w:line="240" w:lineRule="auto"/>
        <w:rPr>
          <w:rFonts w:ascii="Times New Roman" w:eastAsia="Times New Roman" w:hAnsi="Times New Roman"/>
          <w:noProof/>
          <w:lang w:eastAsia="lt-LT"/>
        </w:rPr>
      </w:pPr>
    </w:p>
    <w:p w14:paraId="053CE57F" w14:textId="77777777" w:rsidR="00CB68E6" w:rsidRPr="00F45D90" w:rsidRDefault="00CB68E6" w:rsidP="00CB68E6">
      <w:pPr>
        <w:spacing w:after="0" w:line="240" w:lineRule="auto"/>
        <w:rPr>
          <w:rFonts w:ascii="Times New Roman" w:eastAsia="Times New Roman" w:hAnsi="Times New Roman"/>
          <w:noProof/>
          <w:lang w:eastAsia="lt-LT"/>
        </w:rPr>
      </w:pPr>
    </w:p>
    <w:p w14:paraId="0C3CDE3B"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12.</w:t>
      </w:r>
      <w:r w:rsidRPr="00F45D90">
        <w:rPr>
          <w:rFonts w:ascii="Times New Roman" w:eastAsia="Times New Roman" w:hAnsi="Times New Roman"/>
          <w:b/>
          <w:noProof/>
          <w:lang w:eastAsia="lt-LT"/>
        </w:rPr>
        <w:tab/>
        <w:t>REGISTRACIJOS PAŽYMĖJIMO NUMERIAI</w:t>
      </w:r>
    </w:p>
    <w:p w14:paraId="16262D8A" w14:textId="77777777" w:rsidR="00CB68E6" w:rsidRPr="00F45D90" w:rsidRDefault="00CB68E6" w:rsidP="00CB68E6">
      <w:pPr>
        <w:spacing w:after="0" w:line="240" w:lineRule="auto"/>
        <w:rPr>
          <w:rFonts w:ascii="Times New Roman" w:eastAsia="Times New Roman" w:hAnsi="Times New Roman"/>
          <w:noProof/>
          <w:lang w:eastAsia="lt-LT"/>
        </w:rPr>
      </w:pPr>
    </w:p>
    <w:p w14:paraId="51ADD223"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25 mg</w:t>
      </w:r>
    </w:p>
    <w:p w14:paraId="14635BBD"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N10 - </w:t>
      </w:r>
      <w:r w:rsidRPr="00F45D90">
        <w:rPr>
          <w:rFonts w:ascii="Times New Roman" w:hAnsi="Times New Roman"/>
        </w:rPr>
        <w:t>LT/1/07/0840/016</w:t>
      </w:r>
    </w:p>
    <w:p w14:paraId="42C31F07"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N30 - LT/1/07/0840/002 </w:t>
      </w:r>
    </w:p>
    <w:p w14:paraId="528A2051"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N60 - LT/1/07/0840/003 </w:t>
      </w:r>
    </w:p>
    <w:p w14:paraId="180695ED" w14:textId="77777777" w:rsidR="00CB68E6" w:rsidRPr="00F45D90" w:rsidRDefault="00CB68E6" w:rsidP="00CB68E6">
      <w:pPr>
        <w:spacing w:after="0" w:line="240" w:lineRule="auto"/>
        <w:rPr>
          <w:rFonts w:ascii="Times New Roman" w:eastAsia="Times New Roman" w:hAnsi="Times New Roman"/>
          <w:noProof/>
          <w:lang w:eastAsia="lt-LT"/>
        </w:rPr>
      </w:pPr>
    </w:p>
    <w:p w14:paraId="4FB2580C" w14:textId="77777777" w:rsidR="00CB68E6" w:rsidRPr="00F45D90" w:rsidRDefault="00CB68E6" w:rsidP="00CB68E6">
      <w:pPr>
        <w:spacing w:after="0" w:line="240" w:lineRule="auto"/>
        <w:rPr>
          <w:rFonts w:ascii="Times New Roman" w:eastAsia="Times New Roman" w:hAnsi="Times New Roman"/>
          <w:noProof/>
          <w:lang w:eastAsia="lt-LT"/>
        </w:rPr>
      </w:pPr>
    </w:p>
    <w:p w14:paraId="07E8B1FC"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100 mg</w:t>
      </w:r>
    </w:p>
    <w:p w14:paraId="0500BA10"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N30 - LT/1/07/0840/004</w:t>
      </w:r>
    </w:p>
    <w:p w14:paraId="07EE9D0E"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N60 - LT/1/07/0840/005 </w:t>
      </w:r>
    </w:p>
    <w:p w14:paraId="680BE020"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 xml:space="preserve">N90 - LT/1/07/0840/006 </w:t>
      </w:r>
    </w:p>
    <w:p w14:paraId="2AA214C0" w14:textId="77777777" w:rsidR="00CB68E6" w:rsidRPr="00F45D90" w:rsidRDefault="00CB68E6" w:rsidP="00CB68E6">
      <w:pPr>
        <w:spacing w:after="0" w:line="240" w:lineRule="auto"/>
        <w:rPr>
          <w:rFonts w:ascii="Times New Roman" w:eastAsia="Times New Roman" w:hAnsi="Times New Roman"/>
          <w:noProof/>
          <w:lang w:eastAsia="lt-LT"/>
        </w:rPr>
      </w:pPr>
    </w:p>
    <w:p w14:paraId="2702DD86"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200 mg</w:t>
      </w:r>
    </w:p>
    <w:p w14:paraId="33F91401"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N30 - LT/1/07/0840/007</w:t>
      </w:r>
    </w:p>
    <w:p w14:paraId="75813849"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lastRenderedPageBreak/>
        <w:t xml:space="preserve">N60 - LT/1/07/0840/008 </w:t>
      </w:r>
    </w:p>
    <w:p w14:paraId="7959451F"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N90 - LT/1/07/0840/009</w:t>
      </w:r>
    </w:p>
    <w:p w14:paraId="70BDB929" w14:textId="77777777" w:rsidR="00CB68E6" w:rsidRPr="00F45D90" w:rsidRDefault="00CB68E6" w:rsidP="00CB68E6">
      <w:pPr>
        <w:spacing w:after="0" w:line="240" w:lineRule="auto"/>
        <w:rPr>
          <w:rFonts w:ascii="Times New Roman" w:eastAsia="Times New Roman" w:hAnsi="Times New Roman"/>
          <w:noProof/>
          <w:lang w:eastAsia="lt-LT"/>
        </w:rPr>
      </w:pPr>
    </w:p>
    <w:p w14:paraId="39754052"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300 mg</w:t>
      </w:r>
    </w:p>
    <w:p w14:paraId="62316F51" w14:textId="77777777" w:rsidR="00CB68E6" w:rsidRPr="00F45D90" w:rsidRDefault="00CB68E6" w:rsidP="00CB68E6">
      <w:pPr>
        <w:autoSpaceDE w:val="0"/>
        <w:autoSpaceDN w:val="0"/>
        <w:adjustRightInd w:val="0"/>
        <w:spacing w:after="0" w:line="240" w:lineRule="auto"/>
        <w:rPr>
          <w:rFonts w:ascii="Times New Roman" w:hAnsi="Times New Roman"/>
          <w:color w:val="000000"/>
          <w:lang w:eastAsia="lt-LT"/>
        </w:rPr>
      </w:pPr>
      <w:r w:rsidRPr="00F45D90">
        <w:rPr>
          <w:rFonts w:ascii="Times New Roman" w:hAnsi="Times New Roman"/>
          <w:color w:val="000000"/>
          <w:lang w:eastAsia="lt-LT"/>
        </w:rPr>
        <w:t>N10 – LT/1/07/0840/013</w:t>
      </w:r>
    </w:p>
    <w:p w14:paraId="1D8854FD" w14:textId="77777777" w:rsidR="00CB68E6" w:rsidRPr="00F45D90" w:rsidRDefault="00CB68E6" w:rsidP="00CB68E6">
      <w:pPr>
        <w:autoSpaceDE w:val="0"/>
        <w:autoSpaceDN w:val="0"/>
        <w:adjustRightInd w:val="0"/>
        <w:spacing w:after="0" w:line="240" w:lineRule="auto"/>
        <w:rPr>
          <w:rFonts w:ascii="Times New Roman" w:hAnsi="Times New Roman"/>
          <w:color w:val="000000"/>
          <w:lang w:eastAsia="lt-LT"/>
        </w:rPr>
      </w:pPr>
      <w:r w:rsidRPr="00F45D90">
        <w:rPr>
          <w:rFonts w:ascii="Times New Roman" w:hAnsi="Times New Roman"/>
          <w:color w:val="000000"/>
          <w:lang w:eastAsia="lt-LT"/>
        </w:rPr>
        <w:t>N20 – LT/1/07/0840/014</w:t>
      </w:r>
    </w:p>
    <w:p w14:paraId="12312A3B" w14:textId="77777777" w:rsidR="00CB68E6" w:rsidRPr="00F45D90" w:rsidRDefault="00CB68E6" w:rsidP="00CB68E6">
      <w:pPr>
        <w:spacing w:after="0" w:line="240" w:lineRule="auto"/>
        <w:rPr>
          <w:rFonts w:ascii="Times New Roman" w:hAnsi="Times New Roman"/>
          <w:color w:val="000000"/>
          <w:lang w:eastAsia="lt-LT"/>
        </w:rPr>
      </w:pPr>
      <w:r w:rsidRPr="00F45D90">
        <w:rPr>
          <w:rFonts w:ascii="Times New Roman" w:hAnsi="Times New Roman"/>
          <w:color w:val="000000"/>
          <w:lang w:eastAsia="lt-LT"/>
        </w:rPr>
        <w:t>N30 – LT/1/07/0840/015</w:t>
      </w:r>
    </w:p>
    <w:p w14:paraId="032DD561"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N60 - LT/1/07/0840/010</w:t>
      </w:r>
    </w:p>
    <w:p w14:paraId="105FA9B5"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N90 - LT/1/07/0840/011</w:t>
      </w:r>
    </w:p>
    <w:p w14:paraId="40FE3276" w14:textId="77777777" w:rsidR="00CB68E6" w:rsidRPr="00F45D90" w:rsidRDefault="00CB68E6" w:rsidP="00CB68E6">
      <w:pPr>
        <w:spacing w:after="0" w:line="240" w:lineRule="auto"/>
        <w:rPr>
          <w:rFonts w:ascii="Times New Roman" w:eastAsia="Times New Roman" w:hAnsi="Times New Roman"/>
          <w:noProof/>
          <w:lang w:eastAsia="lt-LT"/>
        </w:rPr>
      </w:pPr>
    </w:p>
    <w:p w14:paraId="72E2C210"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noProof/>
          <w:lang w:eastAsia="lt-LT"/>
        </w:rPr>
        <w:t>Hedonin 25 mg + 100 mg</w:t>
      </w:r>
    </w:p>
    <w:p w14:paraId="003BE0EB" w14:textId="77777777" w:rsidR="00CB68E6" w:rsidRPr="00F45D90" w:rsidRDefault="00CB68E6" w:rsidP="00CB68E6">
      <w:pPr>
        <w:spacing w:after="0" w:line="240" w:lineRule="auto"/>
        <w:rPr>
          <w:rFonts w:ascii="Times New Roman" w:hAnsi="Times New Roman"/>
          <w:bCs/>
        </w:rPr>
      </w:pPr>
      <w:r w:rsidRPr="00F45D90">
        <w:rPr>
          <w:rFonts w:ascii="Times New Roman" w:hAnsi="Times New Roman"/>
          <w:bCs/>
        </w:rPr>
        <w:t>N6 (25 mg) ir N5 (100 mg) - LT/1/07/0840/012</w:t>
      </w:r>
    </w:p>
    <w:p w14:paraId="143049A7" w14:textId="77777777" w:rsidR="00CB68E6" w:rsidRPr="00F45D90" w:rsidRDefault="00CB68E6" w:rsidP="00CB68E6">
      <w:pPr>
        <w:spacing w:after="0" w:line="240" w:lineRule="auto"/>
        <w:rPr>
          <w:rFonts w:ascii="Times New Roman" w:eastAsia="Times New Roman" w:hAnsi="Times New Roman"/>
          <w:noProof/>
          <w:lang w:eastAsia="lt-LT"/>
        </w:rPr>
      </w:pPr>
    </w:p>
    <w:p w14:paraId="1B863A94" w14:textId="77777777" w:rsidR="00CB68E6" w:rsidRPr="00F45D90" w:rsidRDefault="00CB68E6" w:rsidP="00CB68E6">
      <w:pPr>
        <w:spacing w:after="0" w:line="240" w:lineRule="auto"/>
        <w:rPr>
          <w:rFonts w:ascii="Times New Roman" w:eastAsia="Times New Roman" w:hAnsi="Times New Roman"/>
          <w:noProof/>
          <w:lang w:eastAsia="lt-LT"/>
        </w:rPr>
      </w:pPr>
    </w:p>
    <w:p w14:paraId="0781F660"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13.</w:t>
      </w:r>
      <w:r w:rsidRPr="00F45D90">
        <w:rPr>
          <w:rFonts w:ascii="Times New Roman" w:eastAsia="Times New Roman" w:hAnsi="Times New Roman"/>
          <w:b/>
          <w:noProof/>
          <w:lang w:eastAsia="lt-LT"/>
        </w:rPr>
        <w:tab/>
        <w:t>SERIJOS NUMERIS</w:t>
      </w:r>
    </w:p>
    <w:p w14:paraId="1FD565D1" w14:textId="77777777" w:rsidR="00CB68E6" w:rsidRPr="00F45D90" w:rsidRDefault="00CB68E6" w:rsidP="00CB68E6">
      <w:pPr>
        <w:spacing w:after="0" w:line="240" w:lineRule="auto"/>
        <w:rPr>
          <w:rFonts w:ascii="Times New Roman" w:eastAsia="Times New Roman" w:hAnsi="Times New Roman"/>
          <w:noProof/>
          <w:lang w:eastAsia="lt-LT"/>
        </w:rPr>
      </w:pPr>
    </w:p>
    <w:p w14:paraId="58AFCB75" w14:textId="7D8CAC74" w:rsidR="00CB68E6" w:rsidRPr="00F45D90" w:rsidRDefault="00217EBE" w:rsidP="00CB68E6">
      <w:pPr>
        <w:spacing w:after="0" w:line="240" w:lineRule="auto"/>
        <w:rPr>
          <w:rFonts w:ascii="Times New Roman" w:eastAsia="Times New Roman" w:hAnsi="Times New Roman"/>
          <w:noProof/>
          <w:lang w:eastAsia="lt-LT"/>
        </w:rPr>
      </w:pPr>
      <w:r>
        <w:rPr>
          <w:rFonts w:ascii="Times New Roman" w:eastAsia="Times New Roman" w:hAnsi="Times New Roman"/>
          <w:noProof/>
          <w:lang w:eastAsia="lt-LT"/>
        </w:rPr>
        <w:t>Lot:</w:t>
      </w:r>
    </w:p>
    <w:p w14:paraId="6B1D1ABF" w14:textId="77777777" w:rsidR="00CB68E6" w:rsidRPr="00F45D90" w:rsidRDefault="00CB68E6" w:rsidP="00CB68E6">
      <w:pPr>
        <w:spacing w:after="0" w:line="240" w:lineRule="auto"/>
        <w:rPr>
          <w:rFonts w:ascii="Times New Roman" w:eastAsia="Times New Roman" w:hAnsi="Times New Roman"/>
          <w:noProof/>
          <w:lang w:eastAsia="lt-LT"/>
        </w:rPr>
      </w:pPr>
    </w:p>
    <w:p w14:paraId="56980A05" w14:textId="77777777" w:rsidR="00CB68E6" w:rsidRPr="00F45D90" w:rsidRDefault="00CB68E6" w:rsidP="00CB68E6">
      <w:pPr>
        <w:spacing w:after="0" w:line="240" w:lineRule="auto"/>
        <w:rPr>
          <w:rFonts w:ascii="Times New Roman" w:eastAsia="Times New Roman" w:hAnsi="Times New Roman"/>
          <w:noProof/>
          <w:lang w:eastAsia="lt-LT"/>
        </w:rPr>
      </w:pPr>
    </w:p>
    <w:p w14:paraId="21C54CBE"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14.</w:t>
      </w:r>
      <w:r w:rsidRPr="00F45D90">
        <w:rPr>
          <w:rFonts w:ascii="Times New Roman" w:eastAsia="Times New Roman" w:hAnsi="Times New Roman"/>
          <w:b/>
          <w:noProof/>
          <w:lang w:eastAsia="lt-LT"/>
        </w:rPr>
        <w:tab/>
        <w:t>PARDAVIMO (IŠDAVIMO) TVARKA</w:t>
      </w:r>
    </w:p>
    <w:p w14:paraId="291DD038" w14:textId="77777777" w:rsidR="00CB68E6" w:rsidRPr="00F45D90" w:rsidRDefault="00CB68E6" w:rsidP="00CB68E6">
      <w:pPr>
        <w:spacing w:after="0" w:line="240" w:lineRule="auto"/>
        <w:rPr>
          <w:rFonts w:ascii="Times New Roman" w:eastAsia="Times New Roman" w:hAnsi="Times New Roman"/>
          <w:noProof/>
          <w:lang w:eastAsia="lt-LT"/>
        </w:rPr>
      </w:pPr>
    </w:p>
    <w:p w14:paraId="77C9BAD9" w14:textId="08B65D32"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Receptinis vaist</w:t>
      </w:r>
      <w:r w:rsidR="00217EBE">
        <w:rPr>
          <w:rFonts w:ascii="Times New Roman" w:eastAsia="Times New Roman" w:hAnsi="Times New Roman"/>
          <w:noProof/>
          <w:lang w:eastAsia="lt-LT"/>
        </w:rPr>
        <w:t>as</w:t>
      </w:r>
    </w:p>
    <w:p w14:paraId="1112141E" w14:textId="77777777" w:rsidR="00CB68E6" w:rsidRPr="00F45D90" w:rsidRDefault="00CB68E6" w:rsidP="00CB68E6">
      <w:pPr>
        <w:spacing w:after="0" w:line="240" w:lineRule="auto"/>
        <w:rPr>
          <w:rFonts w:ascii="Times New Roman" w:eastAsia="Times New Roman" w:hAnsi="Times New Roman"/>
          <w:noProof/>
          <w:lang w:eastAsia="lt-LT"/>
        </w:rPr>
      </w:pPr>
    </w:p>
    <w:p w14:paraId="7D9A6AFB" w14:textId="77777777" w:rsidR="00CB68E6" w:rsidRPr="00F45D90" w:rsidRDefault="00CB68E6" w:rsidP="00CB68E6">
      <w:pPr>
        <w:spacing w:after="0" w:line="240" w:lineRule="auto"/>
        <w:rPr>
          <w:rFonts w:ascii="Times New Roman" w:eastAsia="Times New Roman" w:hAnsi="Times New Roman"/>
          <w:noProof/>
          <w:lang w:eastAsia="lt-LT"/>
        </w:rPr>
      </w:pPr>
    </w:p>
    <w:p w14:paraId="28072635"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15.</w:t>
      </w:r>
      <w:r w:rsidRPr="00F45D90">
        <w:rPr>
          <w:rFonts w:ascii="Times New Roman" w:eastAsia="Times New Roman" w:hAnsi="Times New Roman"/>
          <w:b/>
          <w:noProof/>
          <w:lang w:eastAsia="lt-LT"/>
        </w:rPr>
        <w:tab/>
        <w:t>VARTOJIMO INSTRUKCIJA</w:t>
      </w:r>
    </w:p>
    <w:p w14:paraId="35517F05" w14:textId="77777777" w:rsidR="00CB68E6" w:rsidRPr="00F45D90" w:rsidRDefault="00CB68E6" w:rsidP="00CB68E6">
      <w:pPr>
        <w:spacing w:after="0" w:line="240" w:lineRule="auto"/>
        <w:rPr>
          <w:rFonts w:ascii="Times New Roman" w:eastAsia="Times New Roman" w:hAnsi="Times New Roman"/>
          <w:noProof/>
          <w:lang w:eastAsia="lt-LT"/>
        </w:rPr>
      </w:pPr>
    </w:p>
    <w:p w14:paraId="1282AC66" w14:textId="77777777" w:rsidR="00CB68E6" w:rsidRPr="00250BF6" w:rsidRDefault="00CB68E6" w:rsidP="00CB68E6">
      <w:pPr>
        <w:spacing w:after="0" w:line="240" w:lineRule="auto"/>
        <w:rPr>
          <w:rFonts w:ascii="Times New Roman" w:hAnsi="Times New Roman"/>
        </w:rPr>
      </w:pPr>
      <w:r w:rsidRPr="00250BF6">
        <w:rPr>
          <w:rFonts w:ascii="Times New Roman" w:hAnsi="Times New Roman"/>
        </w:rPr>
        <w:t>Hedonin 100 mg:</w:t>
      </w:r>
    </w:p>
    <w:p w14:paraId="3A1C86C4" w14:textId="77777777" w:rsidR="00CB68E6" w:rsidRPr="00250BF6" w:rsidRDefault="00CB68E6" w:rsidP="00CB68E6">
      <w:pPr>
        <w:spacing w:after="0" w:line="240" w:lineRule="auto"/>
        <w:rPr>
          <w:rFonts w:ascii="Times New Roman" w:hAnsi="Times New Roman"/>
          <w:b/>
          <w:strike/>
          <w:noProof/>
        </w:rPr>
      </w:pPr>
      <w:r w:rsidRPr="00F45D90">
        <w:rPr>
          <w:rFonts w:ascii="Times New Roman" w:hAnsi="Times New Roman"/>
          <w:noProof/>
          <w:lang w:eastAsia="lt-LT"/>
        </w:rPr>
        <w:drawing>
          <wp:inline distT="0" distB="0" distL="0" distR="0" wp14:anchorId="132347F6" wp14:editId="4B8C53C0">
            <wp:extent cx="533400" cy="457200"/>
            <wp:effectExtent l="0" t="0" r="0" b="0"/>
            <wp:docPr id="1" name="Picture 2" descr="WPM$5EF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PM$5EF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p w14:paraId="736AF281" w14:textId="77777777" w:rsidR="00CB68E6" w:rsidRPr="00250BF6" w:rsidRDefault="00CB68E6" w:rsidP="00CB68E6">
      <w:pPr>
        <w:spacing w:after="0" w:line="240" w:lineRule="auto"/>
        <w:rPr>
          <w:rFonts w:ascii="Times New Roman" w:hAnsi="Times New Roman"/>
          <w:noProof/>
        </w:rPr>
      </w:pPr>
    </w:p>
    <w:p w14:paraId="68E62EE1" w14:textId="77777777" w:rsidR="00CB68E6" w:rsidRPr="00250BF6" w:rsidRDefault="00CB68E6" w:rsidP="00CB68E6">
      <w:pPr>
        <w:spacing w:after="0" w:line="240" w:lineRule="auto"/>
        <w:rPr>
          <w:rFonts w:ascii="Times New Roman" w:hAnsi="Times New Roman"/>
        </w:rPr>
      </w:pPr>
      <w:r w:rsidRPr="00250BF6">
        <w:rPr>
          <w:rFonts w:ascii="Times New Roman" w:hAnsi="Times New Roman"/>
        </w:rPr>
        <w:t>Hedonin 300 mg:</w:t>
      </w:r>
    </w:p>
    <w:p w14:paraId="61A15CDB" w14:textId="77777777" w:rsidR="00CB68E6" w:rsidRPr="00F45D90" w:rsidRDefault="00CB68E6" w:rsidP="00CB68E6">
      <w:pPr>
        <w:spacing w:after="0" w:line="240" w:lineRule="auto"/>
        <w:rPr>
          <w:rFonts w:ascii="Times New Roman" w:hAnsi="Times New Roman"/>
          <w:color w:val="000000"/>
        </w:rPr>
      </w:pPr>
      <w:r w:rsidRPr="00F45D90">
        <w:rPr>
          <w:rFonts w:ascii="Times New Roman" w:hAnsi="Times New Roman"/>
          <w:noProof/>
          <w:lang w:eastAsia="lt-LT"/>
        </w:rPr>
        <w:drawing>
          <wp:inline distT="0" distB="0" distL="0" distR="0" wp14:anchorId="6175CD1B" wp14:editId="1BCF45F7">
            <wp:extent cx="685800" cy="409575"/>
            <wp:effectExtent l="0" t="0" r="0" b="9525"/>
            <wp:docPr id="2" name="Picture 1" descr="WPM$43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PM$43D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5800" cy="409575"/>
                    </a:xfrm>
                    <a:prstGeom prst="rect">
                      <a:avLst/>
                    </a:prstGeom>
                    <a:noFill/>
                    <a:ln>
                      <a:noFill/>
                    </a:ln>
                  </pic:spPr>
                </pic:pic>
              </a:graphicData>
            </a:graphic>
          </wp:inline>
        </w:drawing>
      </w:r>
    </w:p>
    <w:p w14:paraId="067425B6" w14:textId="77777777" w:rsidR="00CB68E6" w:rsidRPr="00F45D90" w:rsidRDefault="00CB68E6" w:rsidP="00CB68E6">
      <w:pPr>
        <w:spacing w:after="0" w:line="240" w:lineRule="auto"/>
        <w:rPr>
          <w:rFonts w:ascii="Times New Roman" w:eastAsia="Times New Roman" w:hAnsi="Times New Roman"/>
          <w:noProof/>
          <w:lang w:eastAsia="lt-LT"/>
        </w:rPr>
      </w:pPr>
    </w:p>
    <w:p w14:paraId="30D77D07"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16.</w:t>
      </w:r>
      <w:r w:rsidRPr="00F45D90">
        <w:rPr>
          <w:rFonts w:ascii="Times New Roman" w:eastAsia="Times New Roman" w:hAnsi="Times New Roman"/>
          <w:b/>
          <w:noProof/>
          <w:lang w:eastAsia="lt-LT"/>
        </w:rPr>
        <w:tab/>
        <w:t>INFORMACIJA BRAILIO RAŠTU</w:t>
      </w:r>
    </w:p>
    <w:p w14:paraId="55E43B13" w14:textId="77777777" w:rsidR="00CB68E6" w:rsidRPr="00F45D90" w:rsidRDefault="00CB68E6" w:rsidP="00CB68E6">
      <w:pPr>
        <w:spacing w:after="0" w:line="240" w:lineRule="auto"/>
        <w:rPr>
          <w:rFonts w:ascii="Times New Roman" w:eastAsia="Times New Roman" w:hAnsi="Times New Roman"/>
          <w:noProof/>
          <w:lang w:eastAsia="lt-LT"/>
        </w:rPr>
      </w:pPr>
    </w:p>
    <w:p w14:paraId="2FBB3752"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noProof/>
          <w:lang w:eastAsia="lt-LT"/>
        </w:rPr>
        <w:t>Hedonin 25 mg</w:t>
      </w:r>
    </w:p>
    <w:p w14:paraId="3C462273"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100 mg</w:t>
      </w:r>
    </w:p>
    <w:p w14:paraId="69A47190"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200 mg</w:t>
      </w:r>
    </w:p>
    <w:p w14:paraId="64A58EB5"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300 mg</w:t>
      </w:r>
    </w:p>
    <w:p w14:paraId="3E609716"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Hedonin 25 mg + 100 mg</w:t>
      </w:r>
    </w:p>
    <w:p w14:paraId="1A90FEF6" w14:textId="77777777" w:rsidR="00CB68E6" w:rsidRPr="00250BF6" w:rsidRDefault="00CB68E6" w:rsidP="00CB68E6">
      <w:pPr>
        <w:rPr>
          <w:rFonts w:ascii="Times New Roman" w:hAnsi="Times New Roman"/>
          <w:b/>
        </w:rPr>
      </w:pPr>
    </w:p>
    <w:p w14:paraId="4791E049" w14:textId="77777777" w:rsidR="00CB68E6" w:rsidRPr="00F45D90" w:rsidRDefault="00CB68E6" w:rsidP="00CB68E6">
      <w:pPr>
        <w:pBdr>
          <w:top w:val="single" w:sz="4" w:space="1" w:color="auto"/>
          <w:left w:val="single" w:sz="4" w:space="4" w:color="auto"/>
          <w:bottom w:val="single" w:sz="4" w:space="1" w:color="auto"/>
          <w:right w:val="single" w:sz="4" w:space="4" w:color="auto"/>
        </w:pBdr>
        <w:ind w:left="567" w:hanging="567"/>
        <w:rPr>
          <w:rFonts w:ascii="Times New Roman" w:eastAsia="Times New Roman" w:hAnsi="Times New Roman"/>
          <w:i/>
          <w:noProof/>
          <w:lang w:eastAsia="lt-LT" w:bidi="lt-LT"/>
        </w:rPr>
      </w:pPr>
      <w:r w:rsidRPr="00F45D90">
        <w:rPr>
          <w:rFonts w:ascii="Times New Roman" w:eastAsia="Times New Roman" w:hAnsi="Times New Roman"/>
          <w:b/>
          <w:noProof/>
          <w:lang w:eastAsia="lt-LT" w:bidi="lt-LT"/>
        </w:rPr>
        <w:t>17.    UNIKALUS IDENTIFIKATORIUS – 2D BRŪKŠNINIS KODAS</w:t>
      </w:r>
    </w:p>
    <w:p w14:paraId="42561DD9" w14:textId="77777777" w:rsidR="00CB68E6" w:rsidRPr="00F45D90" w:rsidRDefault="00CB68E6" w:rsidP="00CB68E6">
      <w:pPr>
        <w:tabs>
          <w:tab w:val="left" w:pos="567"/>
        </w:tabs>
        <w:spacing w:after="0" w:line="240" w:lineRule="auto"/>
        <w:rPr>
          <w:rFonts w:ascii="Times New Roman" w:eastAsia="Times New Roman" w:hAnsi="Times New Roman"/>
          <w:noProof/>
          <w:shd w:val="clear" w:color="auto" w:fill="CCCCCC"/>
          <w:lang w:eastAsia="lt-LT" w:bidi="lt-LT"/>
        </w:rPr>
      </w:pPr>
      <w:r w:rsidRPr="00F45D90">
        <w:rPr>
          <w:rFonts w:ascii="Times New Roman" w:eastAsia="Times New Roman" w:hAnsi="Times New Roman"/>
          <w:noProof/>
          <w:highlight w:val="lightGray"/>
          <w:lang w:eastAsia="lt-LT" w:bidi="lt-LT"/>
        </w:rPr>
        <w:t>2D brūkšninis kodas su nurodytu unikaliu identifikatoriumi.</w:t>
      </w:r>
    </w:p>
    <w:p w14:paraId="7CC3D2B0" w14:textId="77777777" w:rsidR="00CB68E6" w:rsidRPr="00F45D90" w:rsidRDefault="00CB68E6" w:rsidP="00CB68E6">
      <w:pPr>
        <w:spacing w:after="0" w:line="240" w:lineRule="auto"/>
        <w:rPr>
          <w:rFonts w:ascii="Times New Roman" w:eastAsia="Times New Roman" w:hAnsi="Times New Roman"/>
          <w:noProof/>
          <w:lang w:eastAsia="lt-LT" w:bidi="lt-LT"/>
        </w:rPr>
      </w:pPr>
    </w:p>
    <w:p w14:paraId="7F76A75D" w14:textId="77777777" w:rsidR="00CB68E6" w:rsidRPr="00F45D90" w:rsidRDefault="00CB68E6" w:rsidP="00CB68E6">
      <w:pPr>
        <w:spacing w:after="0" w:line="240" w:lineRule="auto"/>
        <w:rPr>
          <w:rFonts w:ascii="Times New Roman" w:eastAsia="Times New Roman" w:hAnsi="Times New Roman"/>
          <w:noProof/>
          <w:lang w:eastAsia="lt-LT" w:bidi="lt-LT"/>
        </w:rPr>
      </w:pPr>
    </w:p>
    <w:p w14:paraId="05FF9DB0" w14:textId="77777777" w:rsidR="00CB68E6" w:rsidRPr="00F45D90" w:rsidRDefault="00CB68E6" w:rsidP="00CB68E6">
      <w:pPr>
        <w:keepNext/>
        <w:numPr>
          <w:ilvl w:val="0"/>
          <w:numId w:val="6"/>
        </w:num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contextualSpacing/>
        <w:outlineLvl w:val="0"/>
        <w:rPr>
          <w:rFonts w:ascii="Times New Roman" w:eastAsia="Times New Roman" w:hAnsi="Times New Roman"/>
          <w:i/>
          <w:noProof/>
          <w:lang w:eastAsia="lt-LT" w:bidi="lt-LT"/>
        </w:rPr>
      </w:pPr>
      <w:r w:rsidRPr="00F45D90">
        <w:rPr>
          <w:rFonts w:ascii="Times New Roman" w:eastAsia="Times New Roman" w:hAnsi="Times New Roman"/>
          <w:b/>
          <w:noProof/>
          <w:lang w:eastAsia="lt-LT" w:bidi="lt-LT"/>
        </w:rPr>
        <w:t>UNIKALUS IDENTIFIKATORIUS – ŽMONĖMS SUPRANTAMI DUOMENYS</w:t>
      </w:r>
    </w:p>
    <w:p w14:paraId="3A512900" w14:textId="77777777" w:rsidR="00CB68E6" w:rsidRPr="00F45D90" w:rsidRDefault="00CB68E6" w:rsidP="00CB68E6">
      <w:pPr>
        <w:spacing w:after="0" w:line="240" w:lineRule="auto"/>
        <w:rPr>
          <w:rFonts w:ascii="Times New Roman" w:eastAsia="Times New Roman" w:hAnsi="Times New Roman"/>
          <w:noProof/>
          <w:lang w:eastAsia="lt-LT" w:bidi="lt-LT"/>
        </w:rPr>
      </w:pPr>
    </w:p>
    <w:p w14:paraId="569ECA74" w14:textId="77777777" w:rsidR="00CB68E6" w:rsidRPr="00F45D90" w:rsidRDefault="00CB68E6" w:rsidP="00CB68E6">
      <w:pPr>
        <w:tabs>
          <w:tab w:val="left" w:pos="567"/>
        </w:tabs>
        <w:spacing w:after="0" w:line="260" w:lineRule="exact"/>
        <w:rPr>
          <w:rFonts w:ascii="Times New Roman" w:eastAsia="Times New Roman" w:hAnsi="Times New Roman"/>
          <w:color w:val="008000"/>
          <w:lang w:eastAsia="lt-LT" w:bidi="lt-LT"/>
        </w:rPr>
      </w:pPr>
      <w:r w:rsidRPr="00F45D90">
        <w:rPr>
          <w:rFonts w:ascii="Times New Roman" w:eastAsia="Times New Roman" w:hAnsi="Times New Roman"/>
          <w:lang w:eastAsia="lt-LT" w:bidi="lt-LT"/>
        </w:rPr>
        <w:t xml:space="preserve">PC: {numeris} </w:t>
      </w:r>
    </w:p>
    <w:p w14:paraId="24C99BBC" w14:textId="77777777" w:rsidR="00CB68E6" w:rsidRPr="00F45D90" w:rsidRDefault="00CB68E6" w:rsidP="00CB68E6">
      <w:pPr>
        <w:tabs>
          <w:tab w:val="left" w:pos="567"/>
        </w:tabs>
        <w:spacing w:after="0" w:line="260" w:lineRule="exact"/>
        <w:rPr>
          <w:rFonts w:ascii="Times New Roman" w:eastAsia="Times New Roman" w:hAnsi="Times New Roman"/>
          <w:lang w:eastAsia="lt-LT" w:bidi="lt-LT"/>
        </w:rPr>
      </w:pPr>
      <w:r w:rsidRPr="00F45D90">
        <w:rPr>
          <w:rFonts w:ascii="Times New Roman" w:eastAsia="Times New Roman" w:hAnsi="Times New Roman"/>
          <w:lang w:eastAsia="lt-LT" w:bidi="lt-LT"/>
        </w:rPr>
        <w:t xml:space="preserve">SN: {numeris} </w:t>
      </w:r>
    </w:p>
    <w:p w14:paraId="65683BBC" w14:textId="77777777" w:rsidR="00CB68E6" w:rsidRPr="00F45D90" w:rsidRDefault="00CB68E6" w:rsidP="00CB68E6">
      <w:pPr>
        <w:tabs>
          <w:tab w:val="left" w:pos="567"/>
        </w:tabs>
        <w:spacing w:after="0" w:line="260" w:lineRule="exact"/>
        <w:rPr>
          <w:rFonts w:ascii="Times New Roman" w:eastAsia="Times New Roman" w:hAnsi="Times New Roman"/>
          <w:lang w:eastAsia="lt-LT" w:bidi="lt-LT"/>
        </w:rPr>
      </w:pPr>
      <w:r w:rsidRPr="00F45D90">
        <w:rPr>
          <w:rFonts w:ascii="Times New Roman" w:eastAsia="Times New Roman" w:hAnsi="Times New Roman"/>
          <w:lang w:eastAsia="lt-LT" w:bidi="lt-LT"/>
        </w:rPr>
        <w:t xml:space="preserve">NN: {numeris} </w:t>
      </w:r>
    </w:p>
    <w:p w14:paraId="6AC87D3A"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Pr>
          <w:rFonts w:ascii="Times New Roman" w:eastAsia="Times New Roman" w:hAnsi="Times New Roman"/>
          <w:b/>
          <w:noProof/>
          <w:lang w:eastAsia="lt-LT"/>
        </w:rPr>
        <w:lastRenderedPageBreak/>
        <w:t xml:space="preserve">MINIMALI </w:t>
      </w:r>
      <w:r w:rsidRPr="00F45D90">
        <w:rPr>
          <w:rFonts w:ascii="Times New Roman" w:eastAsia="Times New Roman" w:hAnsi="Times New Roman"/>
          <w:b/>
          <w:caps/>
          <w:noProof/>
          <w:lang w:eastAsia="lt-LT"/>
        </w:rPr>
        <w:t xml:space="preserve">informacija ant </w:t>
      </w:r>
      <w:r w:rsidRPr="00F45D90">
        <w:rPr>
          <w:rFonts w:ascii="Times New Roman" w:eastAsia="Times New Roman" w:hAnsi="Times New Roman"/>
          <w:b/>
          <w:noProof/>
          <w:lang w:eastAsia="lt-LT"/>
        </w:rPr>
        <w:t>LIZDINIŲ PLOKŠTELIŲ ARBA DVISLUOKSNIŲ JUOSTELIŲ</w:t>
      </w:r>
    </w:p>
    <w:p w14:paraId="2879036C"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LIZDINĖ PLOKŠTELĖ</w:t>
      </w:r>
    </w:p>
    <w:p w14:paraId="458508B2" w14:textId="77777777" w:rsidR="00CB68E6" w:rsidRPr="00F45D90" w:rsidRDefault="00CB68E6" w:rsidP="00CB68E6">
      <w:pPr>
        <w:spacing w:after="0" w:line="240" w:lineRule="auto"/>
        <w:rPr>
          <w:rFonts w:ascii="Times New Roman" w:eastAsia="Times New Roman" w:hAnsi="Times New Roman"/>
          <w:noProof/>
          <w:lang w:eastAsia="lt-LT"/>
        </w:rPr>
      </w:pPr>
    </w:p>
    <w:p w14:paraId="1BAB72ED" w14:textId="77777777" w:rsidR="00CB68E6" w:rsidRPr="00F45D90" w:rsidRDefault="00CB68E6" w:rsidP="00CB68E6">
      <w:pPr>
        <w:spacing w:after="0" w:line="240" w:lineRule="auto"/>
        <w:rPr>
          <w:rFonts w:ascii="Times New Roman" w:eastAsia="Times New Roman" w:hAnsi="Times New Roman"/>
          <w:noProof/>
          <w:lang w:eastAsia="lt-LT"/>
        </w:rPr>
      </w:pPr>
    </w:p>
    <w:p w14:paraId="1B64B4E8"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1.</w:t>
      </w:r>
      <w:r w:rsidRPr="00F45D90">
        <w:rPr>
          <w:rFonts w:ascii="Times New Roman" w:eastAsia="Times New Roman" w:hAnsi="Times New Roman"/>
          <w:b/>
          <w:noProof/>
          <w:lang w:eastAsia="lt-LT"/>
        </w:rPr>
        <w:tab/>
        <w:t>VAISTINIO PREPARATO PAVADINIMAS</w:t>
      </w:r>
    </w:p>
    <w:p w14:paraId="017CF4B6" w14:textId="77777777" w:rsidR="00CB68E6" w:rsidRPr="00F45D90" w:rsidRDefault="00CB68E6" w:rsidP="00CB68E6">
      <w:pPr>
        <w:spacing w:after="0" w:line="240" w:lineRule="auto"/>
        <w:rPr>
          <w:rFonts w:ascii="Times New Roman" w:eastAsia="Times New Roman" w:hAnsi="Times New Roman"/>
          <w:noProof/>
          <w:lang w:eastAsia="lt-LT"/>
        </w:rPr>
      </w:pPr>
    </w:p>
    <w:p w14:paraId="31C4A816" w14:textId="77777777" w:rsidR="00CB68E6" w:rsidRPr="00F45D90" w:rsidRDefault="00CB68E6" w:rsidP="00CB68E6">
      <w:pPr>
        <w:spacing w:after="0" w:line="240" w:lineRule="auto"/>
        <w:rPr>
          <w:rFonts w:ascii="Times New Roman" w:eastAsia="Times New Roman" w:hAnsi="Times New Roman"/>
          <w:lang w:eastAsia="lt-LT"/>
        </w:rPr>
      </w:pPr>
      <w:r w:rsidRPr="00F45D90">
        <w:rPr>
          <w:rFonts w:ascii="Times New Roman" w:eastAsia="Times New Roman" w:hAnsi="Times New Roman"/>
          <w:noProof/>
          <w:lang w:eastAsia="lt-LT"/>
        </w:rPr>
        <w:t xml:space="preserve">Hedonin 25 mg </w:t>
      </w:r>
      <w:r w:rsidRPr="00F45D90">
        <w:rPr>
          <w:rFonts w:ascii="Times New Roman" w:eastAsia="Times New Roman" w:hAnsi="Times New Roman"/>
          <w:noProof/>
          <w:highlight w:val="lightGray"/>
          <w:lang w:eastAsia="lt-LT"/>
        </w:rPr>
        <w:t>plėvele dengtos</w:t>
      </w:r>
      <w:r w:rsidRPr="00F45D90">
        <w:rPr>
          <w:rFonts w:ascii="Times New Roman" w:eastAsia="Times New Roman" w:hAnsi="Times New Roman"/>
          <w:noProof/>
          <w:lang w:eastAsia="lt-LT"/>
        </w:rPr>
        <w:t xml:space="preserve"> tabletės</w:t>
      </w:r>
    </w:p>
    <w:p w14:paraId="60710FC9"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Hedonin 100 mg </w:t>
      </w:r>
      <w:r w:rsidRPr="00F45D90">
        <w:rPr>
          <w:rFonts w:ascii="Times New Roman" w:eastAsia="Times New Roman" w:hAnsi="Times New Roman"/>
          <w:noProof/>
          <w:highlight w:val="lightGray"/>
          <w:lang w:eastAsia="lt-LT"/>
        </w:rPr>
        <w:t>plėvele dengtos</w:t>
      </w:r>
      <w:r w:rsidRPr="00F45D90">
        <w:rPr>
          <w:rFonts w:ascii="Times New Roman" w:eastAsia="Times New Roman" w:hAnsi="Times New Roman"/>
          <w:noProof/>
          <w:lang w:eastAsia="lt-LT"/>
        </w:rPr>
        <w:t xml:space="preserve"> tabletės</w:t>
      </w:r>
    </w:p>
    <w:p w14:paraId="6C777569"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Hedonin 200 mg </w:t>
      </w:r>
      <w:r w:rsidRPr="00F45D90">
        <w:rPr>
          <w:rFonts w:ascii="Times New Roman" w:eastAsia="Times New Roman" w:hAnsi="Times New Roman"/>
          <w:noProof/>
          <w:highlight w:val="lightGray"/>
          <w:lang w:eastAsia="lt-LT"/>
        </w:rPr>
        <w:t>plėvele dengtos</w:t>
      </w:r>
      <w:r w:rsidRPr="00F45D90">
        <w:rPr>
          <w:rFonts w:ascii="Times New Roman" w:eastAsia="Times New Roman" w:hAnsi="Times New Roman"/>
          <w:noProof/>
          <w:lang w:eastAsia="lt-LT"/>
        </w:rPr>
        <w:t xml:space="preserve"> tabletės</w:t>
      </w:r>
    </w:p>
    <w:p w14:paraId="3DE02825"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 xml:space="preserve">Hedonin 300 mg </w:t>
      </w:r>
      <w:r w:rsidRPr="00F45D90">
        <w:rPr>
          <w:rFonts w:ascii="Times New Roman" w:eastAsia="Times New Roman" w:hAnsi="Times New Roman"/>
          <w:noProof/>
          <w:highlight w:val="lightGray"/>
          <w:lang w:eastAsia="lt-LT"/>
        </w:rPr>
        <w:t>plėvele dengtos</w:t>
      </w:r>
      <w:r w:rsidRPr="00F45D90">
        <w:rPr>
          <w:rFonts w:ascii="Times New Roman" w:eastAsia="Times New Roman" w:hAnsi="Times New Roman"/>
          <w:noProof/>
          <w:lang w:eastAsia="lt-LT"/>
        </w:rPr>
        <w:t xml:space="preserve"> tabletės</w:t>
      </w:r>
    </w:p>
    <w:p w14:paraId="5B70D59A" w14:textId="77777777" w:rsidR="00CB68E6" w:rsidRPr="00F45D90" w:rsidRDefault="00CB68E6" w:rsidP="00CB68E6">
      <w:pPr>
        <w:spacing w:after="0" w:line="240" w:lineRule="auto"/>
        <w:rPr>
          <w:rFonts w:ascii="Times New Roman" w:eastAsia="Times New Roman" w:hAnsi="Times New Roman"/>
          <w:noProof/>
          <w:lang w:eastAsia="lt-LT"/>
        </w:rPr>
      </w:pPr>
    </w:p>
    <w:p w14:paraId="7E764594" w14:textId="02E7CE20" w:rsidR="007F6FC0" w:rsidRDefault="00E2053E" w:rsidP="007F6FC0">
      <w:pPr>
        <w:spacing w:after="0" w:line="240" w:lineRule="auto"/>
        <w:rPr>
          <w:rFonts w:ascii="Times New Roman" w:hAnsi="Times New Roman"/>
          <w:color w:val="000000"/>
          <w:shd w:val="clear" w:color="auto" w:fill="FFFFFF"/>
        </w:rPr>
      </w:pPr>
      <w:r>
        <w:rPr>
          <w:rFonts w:ascii="Times New Roman" w:hAnsi="Times New Roman"/>
          <w:color w:val="000000"/>
          <w:shd w:val="clear" w:color="auto" w:fill="FFFFFF"/>
        </w:rPr>
        <w:t>k</w:t>
      </w:r>
      <w:r w:rsidR="007F6FC0" w:rsidRPr="007F6FC0">
        <w:rPr>
          <w:rFonts w:ascii="Times New Roman" w:hAnsi="Times New Roman"/>
          <w:color w:val="000000"/>
          <w:shd w:val="clear" w:color="auto" w:fill="FFFFFF"/>
        </w:rPr>
        <w:t>vetiapinas</w:t>
      </w:r>
    </w:p>
    <w:p w14:paraId="527A4CF4" w14:textId="77777777" w:rsidR="00CB68E6" w:rsidRPr="00F45D90" w:rsidRDefault="00CB68E6" w:rsidP="00CB68E6">
      <w:pPr>
        <w:spacing w:after="0" w:line="240" w:lineRule="auto"/>
        <w:rPr>
          <w:rFonts w:ascii="Times New Roman" w:eastAsia="Times New Roman" w:hAnsi="Times New Roman"/>
          <w:noProof/>
          <w:lang w:eastAsia="lt-LT"/>
        </w:rPr>
      </w:pPr>
    </w:p>
    <w:p w14:paraId="38E71DEF" w14:textId="77777777" w:rsidR="00CB68E6" w:rsidRPr="00F45D90" w:rsidRDefault="00CB68E6" w:rsidP="00CB68E6">
      <w:pPr>
        <w:spacing w:after="0" w:line="240" w:lineRule="auto"/>
        <w:rPr>
          <w:rFonts w:ascii="Times New Roman" w:eastAsia="Times New Roman" w:hAnsi="Times New Roman"/>
          <w:noProof/>
          <w:lang w:eastAsia="lt-LT"/>
        </w:rPr>
      </w:pPr>
    </w:p>
    <w:p w14:paraId="157425E1"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2.</w:t>
      </w:r>
      <w:r w:rsidRPr="00F45D90">
        <w:rPr>
          <w:rFonts w:ascii="Times New Roman" w:eastAsia="Times New Roman" w:hAnsi="Times New Roman"/>
          <w:b/>
          <w:noProof/>
          <w:lang w:eastAsia="lt-LT"/>
        </w:rPr>
        <w:tab/>
        <w:t>REGISTRUOTOJO PAVADINIMAS</w:t>
      </w:r>
    </w:p>
    <w:p w14:paraId="23DDEA3A" w14:textId="77777777" w:rsidR="00CB68E6" w:rsidRPr="00F45D90" w:rsidRDefault="00CB68E6" w:rsidP="00CB68E6">
      <w:pPr>
        <w:spacing w:after="0" w:line="240" w:lineRule="auto"/>
        <w:rPr>
          <w:rFonts w:ascii="Times New Roman" w:eastAsia="Times New Roman" w:hAnsi="Times New Roman"/>
          <w:noProof/>
          <w:lang w:eastAsia="lt-LT"/>
        </w:rPr>
      </w:pPr>
    </w:p>
    <w:p w14:paraId="136F8379"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G.L. Pharma</w:t>
      </w:r>
    </w:p>
    <w:p w14:paraId="3813689D" w14:textId="77777777" w:rsidR="00CB68E6" w:rsidRPr="00F45D90" w:rsidRDefault="00CB68E6" w:rsidP="00CB68E6">
      <w:pPr>
        <w:spacing w:after="0" w:line="240" w:lineRule="auto"/>
        <w:rPr>
          <w:rFonts w:ascii="Times New Roman" w:eastAsia="Times New Roman" w:hAnsi="Times New Roman"/>
          <w:noProof/>
          <w:lang w:eastAsia="lt-LT"/>
        </w:rPr>
      </w:pPr>
    </w:p>
    <w:p w14:paraId="5BA11697" w14:textId="77777777" w:rsidR="00CB68E6" w:rsidRPr="00F45D90" w:rsidRDefault="00CB68E6" w:rsidP="00CB68E6">
      <w:pPr>
        <w:spacing w:after="0" w:line="240" w:lineRule="auto"/>
        <w:rPr>
          <w:rFonts w:ascii="Times New Roman" w:eastAsia="Times New Roman" w:hAnsi="Times New Roman"/>
          <w:noProof/>
          <w:lang w:eastAsia="lt-LT"/>
        </w:rPr>
      </w:pPr>
    </w:p>
    <w:p w14:paraId="4DEC8A9A"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3.</w:t>
      </w:r>
      <w:r w:rsidRPr="00F45D90">
        <w:rPr>
          <w:rFonts w:ascii="Times New Roman" w:eastAsia="Times New Roman" w:hAnsi="Times New Roman"/>
          <w:b/>
          <w:noProof/>
          <w:lang w:eastAsia="lt-LT"/>
        </w:rPr>
        <w:tab/>
        <w:t>TINKAMUMO LAIKAS</w:t>
      </w:r>
    </w:p>
    <w:p w14:paraId="068E176E" w14:textId="77777777" w:rsidR="00CB68E6" w:rsidRPr="00F45D90" w:rsidRDefault="00CB68E6" w:rsidP="00CB68E6">
      <w:pPr>
        <w:spacing w:after="0" w:line="240" w:lineRule="auto"/>
        <w:rPr>
          <w:rFonts w:ascii="Times New Roman" w:eastAsia="Times New Roman" w:hAnsi="Times New Roman"/>
          <w:noProof/>
          <w:lang w:eastAsia="lt-LT"/>
        </w:rPr>
      </w:pPr>
    </w:p>
    <w:p w14:paraId="14259681" w14:textId="77777777" w:rsidR="00CB68E6" w:rsidRPr="00F45D90" w:rsidRDefault="00CB68E6" w:rsidP="00CB68E6">
      <w:pPr>
        <w:spacing w:after="0" w:line="240" w:lineRule="auto"/>
        <w:rPr>
          <w:rFonts w:ascii="Times New Roman" w:eastAsia="Times New Roman" w:hAnsi="Times New Roman"/>
          <w:noProof/>
          <w:lang w:eastAsia="lt-LT"/>
        </w:rPr>
      </w:pPr>
      <w:r w:rsidRPr="00F45D90">
        <w:rPr>
          <w:rFonts w:ascii="Times New Roman" w:eastAsia="Times New Roman" w:hAnsi="Times New Roman"/>
          <w:noProof/>
          <w:lang w:eastAsia="lt-LT"/>
        </w:rPr>
        <w:t>EXP mm.MMMM</w:t>
      </w:r>
    </w:p>
    <w:p w14:paraId="010B878B" w14:textId="77777777" w:rsidR="00CB68E6" w:rsidRPr="00F45D90" w:rsidRDefault="00CB68E6" w:rsidP="00CB68E6">
      <w:pPr>
        <w:spacing w:after="0" w:line="240" w:lineRule="auto"/>
        <w:rPr>
          <w:rFonts w:ascii="Times New Roman" w:hAnsi="Times New Roman"/>
        </w:rPr>
      </w:pPr>
    </w:p>
    <w:p w14:paraId="325B8736" w14:textId="77777777" w:rsidR="00CB68E6" w:rsidRPr="00F45D90" w:rsidRDefault="00CB68E6" w:rsidP="00CB68E6">
      <w:pPr>
        <w:spacing w:after="0" w:line="240" w:lineRule="auto"/>
        <w:rPr>
          <w:rFonts w:ascii="Times New Roman" w:hAnsi="Times New Roman"/>
        </w:rPr>
      </w:pPr>
    </w:p>
    <w:p w14:paraId="7C5EE06E"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4.</w:t>
      </w:r>
      <w:r w:rsidRPr="00F45D90">
        <w:rPr>
          <w:rFonts w:ascii="Times New Roman" w:eastAsia="Times New Roman" w:hAnsi="Times New Roman"/>
          <w:b/>
          <w:noProof/>
          <w:lang w:eastAsia="lt-LT"/>
        </w:rPr>
        <w:tab/>
        <w:t>SERIJOS NUMERIS</w:t>
      </w:r>
    </w:p>
    <w:p w14:paraId="5ED4E20B" w14:textId="77777777" w:rsidR="00CB68E6" w:rsidRPr="00F45D90" w:rsidRDefault="00CB68E6" w:rsidP="00CB68E6">
      <w:pPr>
        <w:spacing w:after="0" w:line="240" w:lineRule="auto"/>
        <w:rPr>
          <w:rFonts w:ascii="Times New Roman" w:hAnsi="Times New Roman"/>
        </w:rPr>
      </w:pPr>
    </w:p>
    <w:p w14:paraId="27F0AED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Lot.:</w:t>
      </w:r>
    </w:p>
    <w:p w14:paraId="576F5434" w14:textId="77777777" w:rsidR="00CB68E6" w:rsidRPr="00F45D90" w:rsidRDefault="00CB68E6" w:rsidP="00CB68E6">
      <w:pPr>
        <w:spacing w:after="0" w:line="240" w:lineRule="auto"/>
        <w:rPr>
          <w:rFonts w:ascii="Times New Roman" w:hAnsi="Times New Roman"/>
        </w:rPr>
      </w:pPr>
    </w:p>
    <w:p w14:paraId="64FE2548" w14:textId="77777777" w:rsidR="00CB68E6" w:rsidRPr="00F45D90" w:rsidRDefault="00CB68E6" w:rsidP="00CB68E6">
      <w:pPr>
        <w:spacing w:after="0" w:line="240" w:lineRule="auto"/>
        <w:rPr>
          <w:rFonts w:ascii="Times New Roman" w:hAnsi="Times New Roman"/>
        </w:rPr>
      </w:pPr>
    </w:p>
    <w:p w14:paraId="04E9258F" w14:textId="77777777" w:rsidR="00CB68E6" w:rsidRPr="00F45D90" w:rsidRDefault="00CB68E6" w:rsidP="00CB68E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eastAsia="lt-LT"/>
        </w:rPr>
      </w:pPr>
      <w:r w:rsidRPr="00F45D90">
        <w:rPr>
          <w:rFonts w:ascii="Times New Roman" w:eastAsia="Times New Roman" w:hAnsi="Times New Roman"/>
          <w:b/>
          <w:noProof/>
          <w:lang w:eastAsia="lt-LT"/>
        </w:rPr>
        <w:t>5.</w:t>
      </w:r>
      <w:r w:rsidRPr="00F45D90">
        <w:rPr>
          <w:rFonts w:ascii="Times New Roman" w:eastAsia="Times New Roman" w:hAnsi="Times New Roman"/>
          <w:b/>
          <w:noProof/>
          <w:lang w:eastAsia="lt-LT"/>
        </w:rPr>
        <w:tab/>
        <w:t>KITA</w:t>
      </w:r>
    </w:p>
    <w:p w14:paraId="7F528FB9" w14:textId="77777777" w:rsidR="00CB68E6" w:rsidRPr="00F45D90" w:rsidRDefault="00CB68E6" w:rsidP="00CB68E6">
      <w:pPr>
        <w:spacing w:after="0" w:line="240" w:lineRule="auto"/>
        <w:rPr>
          <w:rFonts w:ascii="Times New Roman" w:hAnsi="Times New Roman"/>
        </w:rPr>
      </w:pPr>
    </w:p>
    <w:p w14:paraId="1D60B5E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Tik Hedonin 25 mg+100 mg pakuotei:</w:t>
      </w:r>
    </w:p>
    <w:p w14:paraId="2230198B" w14:textId="77777777" w:rsidR="00CB68E6" w:rsidRPr="00F45D90" w:rsidRDefault="00CB68E6" w:rsidP="00CB68E6">
      <w:pPr>
        <w:spacing w:after="0" w:line="240" w:lineRule="auto"/>
        <w:rPr>
          <w:rFonts w:ascii="Times New Roman" w:hAnsi="Times New Roman"/>
        </w:rPr>
      </w:pPr>
    </w:p>
    <w:p w14:paraId="2A50B82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Diena 1       ryte       25 mg</w:t>
      </w:r>
    </w:p>
    <w:p w14:paraId="75B63F2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                    vakare  25 mg</w:t>
      </w:r>
    </w:p>
    <w:p w14:paraId="6BA2C7B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Diena 2       ryte       2x25 mg</w:t>
      </w:r>
    </w:p>
    <w:p w14:paraId="5ED38E1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                    vakare  2x25 mg</w:t>
      </w:r>
    </w:p>
    <w:p w14:paraId="74FE0800" w14:textId="77777777" w:rsidR="00CB68E6" w:rsidRPr="00F45D90" w:rsidRDefault="00CB68E6" w:rsidP="00CB68E6">
      <w:pPr>
        <w:spacing w:after="0" w:line="240" w:lineRule="auto"/>
        <w:rPr>
          <w:rFonts w:ascii="Times New Roman" w:hAnsi="Times New Roman"/>
        </w:rPr>
      </w:pPr>
    </w:p>
    <w:p w14:paraId="5085E26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Diena 3       ryte       100 mg</w:t>
      </w:r>
    </w:p>
    <w:p w14:paraId="3B4C8EA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                    vakare  100 mg</w:t>
      </w:r>
    </w:p>
    <w:p w14:paraId="030A27DE" w14:textId="77777777" w:rsidR="00CB68E6" w:rsidRPr="00F45D90" w:rsidRDefault="00CB68E6" w:rsidP="00CB68E6">
      <w:pPr>
        <w:spacing w:after="0" w:line="240" w:lineRule="auto"/>
        <w:rPr>
          <w:rFonts w:ascii="Times New Roman" w:hAnsi="Times New Roman"/>
        </w:rPr>
      </w:pPr>
    </w:p>
    <w:p w14:paraId="37A818C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Diena 4       ryte       100 mg</w:t>
      </w:r>
    </w:p>
    <w:p w14:paraId="46CBA625"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                    vakare  2x100 mg</w:t>
      </w:r>
    </w:p>
    <w:p w14:paraId="0DB1C318" w14:textId="77777777" w:rsidR="00CB68E6" w:rsidRPr="00F45D90" w:rsidRDefault="00CB68E6" w:rsidP="00CB68E6">
      <w:pPr>
        <w:spacing w:after="0" w:line="240" w:lineRule="auto"/>
        <w:rPr>
          <w:rFonts w:ascii="Times New Roman" w:hAnsi="Times New Roman"/>
        </w:rPr>
      </w:pPr>
    </w:p>
    <w:p w14:paraId="7796278A" w14:textId="77777777" w:rsidR="00CB68E6" w:rsidRPr="00F45D90" w:rsidRDefault="00CB68E6" w:rsidP="00CB68E6">
      <w:pPr>
        <w:spacing w:after="0" w:line="240" w:lineRule="auto"/>
        <w:rPr>
          <w:rFonts w:ascii="Times New Roman" w:hAnsi="Times New Roman"/>
        </w:rPr>
      </w:pPr>
    </w:p>
    <w:p w14:paraId="5677BF55" w14:textId="77777777" w:rsidR="00CB68E6" w:rsidRPr="00F45D90" w:rsidRDefault="00CB68E6" w:rsidP="00CB68E6">
      <w:pPr>
        <w:spacing w:after="0" w:line="240" w:lineRule="auto"/>
        <w:rPr>
          <w:rFonts w:ascii="Times New Roman" w:hAnsi="Times New Roman"/>
        </w:rPr>
      </w:pPr>
    </w:p>
    <w:p w14:paraId="4AF416CA" w14:textId="77777777" w:rsidR="00CB68E6" w:rsidRPr="00F45D90" w:rsidRDefault="00CB68E6" w:rsidP="00CB68E6">
      <w:pPr>
        <w:spacing w:after="0" w:line="240" w:lineRule="auto"/>
        <w:rPr>
          <w:rFonts w:ascii="Times New Roman" w:hAnsi="Times New Roman"/>
        </w:rPr>
      </w:pPr>
    </w:p>
    <w:p w14:paraId="111B275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br w:type="page"/>
      </w:r>
    </w:p>
    <w:p w14:paraId="59C0F3EB"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5A5A6ADE"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59C2A116"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1AAAAC0D"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20972725"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61C587A9"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71F25AB3"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798E6BFA"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67D145D6"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627111DC"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26C70D13"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D4D57D0"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5B2E8C18"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23C16424"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4D2B7060"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1682EEAA"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80AB6CA"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0E1344B8"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143FF873"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752B10B1"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102C49FE"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0E1F5A23"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63D1A16B"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bookmarkStart w:id="67" w:name="_Toc129243137"/>
      <w:bookmarkStart w:id="68" w:name="_Toc129243262"/>
    </w:p>
    <w:p w14:paraId="7C2A6241"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r w:rsidRPr="00F45D90">
        <w:rPr>
          <w:rFonts w:ascii="Times New Roman" w:eastAsia="Times New Roman" w:hAnsi="Times New Roman"/>
          <w:b/>
          <w:lang w:eastAsia="lt-LT" w:bidi="ar-BH"/>
        </w:rPr>
        <w:t>B. PAKUOTĖS LAPELIS</w:t>
      </w:r>
      <w:bookmarkEnd w:id="67"/>
      <w:bookmarkEnd w:id="68"/>
    </w:p>
    <w:p w14:paraId="01085665"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bookmarkStart w:id="69" w:name="_Toc129243138"/>
      <w:bookmarkStart w:id="70" w:name="_Toc129243263"/>
    </w:p>
    <w:p w14:paraId="37E7210E"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8EBF10D"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4E8B524B"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51E0E787"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C1F0F8B"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0EA417BF"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482FC278"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6B444564"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526F854"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31170AE"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3F1C8599"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p>
    <w:p w14:paraId="443E15E0" w14:textId="77777777" w:rsidR="00CB68E6" w:rsidRPr="00F45D90" w:rsidRDefault="00CB68E6" w:rsidP="00CB68E6">
      <w:pPr>
        <w:spacing w:line="240" w:lineRule="auto"/>
        <w:rPr>
          <w:rFonts w:ascii="Times New Roman" w:hAnsi="Times New Roman"/>
          <w:b/>
          <w:caps/>
          <w:lang w:bidi="ar-BH"/>
        </w:rPr>
      </w:pPr>
      <w:r w:rsidRPr="00F45D90">
        <w:rPr>
          <w:rFonts w:ascii="Times New Roman" w:hAnsi="Times New Roman"/>
          <w:lang w:bidi="ar-BH"/>
        </w:rPr>
        <w:br w:type="page"/>
      </w:r>
    </w:p>
    <w:p w14:paraId="1CD9FD4E" w14:textId="77777777" w:rsidR="00CB68E6" w:rsidRPr="00F45D90" w:rsidRDefault="00CB68E6" w:rsidP="00CB68E6">
      <w:pPr>
        <w:tabs>
          <w:tab w:val="left" w:pos="567"/>
        </w:tabs>
        <w:spacing w:after="60" w:line="240" w:lineRule="auto"/>
        <w:jc w:val="center"/>
        <w:outlineLvl w:val="0"/>
        <w:rPr>
          <w:rFonts w:ascii="Times New Roman" w:eastAsia="Times New Roman" w:hAnsi="Times New Roman"/>
          <w:b/>
          <w:lang w:eastAsia="lt-LT" w:bidi="ar-BH"/>
        </w:rPr>
      </w:pPr>
      <w:r w:rsidRPr="00F45D90">
        <w:rPr>
          <w:rFonts w:ascii="Times New Roman" w:eastAsia="Times New Roman" w:hAnsi="Times New Roman"/>
          <w:b/>
          <w:lang w:eastAsia="lt-LT" w:bidi="ar-BH"/>
        </w:rPr>
        <w:lastRenderedPageBreak/>
        <w:t>Pakuotės lapelis: informacija pacientui</w:t>
      </w:r>
      <w:bookmarkEnd w:id="69"/>
      <w:bookmarkEnd w:id="70"/>
    </w:p>
    <w:p w14:paraId="71D76563" w14:textId="77777777" w:rsidR="00CB68E6" w:rsidRPr="00F45D90" w:rsidRDefault="00CB68E6" w:rsidP="00CB68E6">
      <w:pPr>
        <w:spacing w:after="0" w:line="240" w:lineRule="auto"/>
        <w:jc w:val="center"/>
        <w:rPr>
          <w:rFonts w:ascii="Times New Roman" w:hAnsi="Times New Roman"/>
        </w:rPr>
      </w:pPr>
    </w:p>
    <w:p w14:paraId="6F596ED0" w14:textId="77777777" w:rsidR="00CB68E6" w:rsidRPr="00F45D90" w:rsidRDefault="00CB68E6" w:rsidP="00CB68E6">
      <w:pPr>
        <w:spacing w:after="0" w:line="240" w:lineRule="auto"/>
        <w:jc w:val="center"/>
        <w:rPr>
          <w:rFonts w:ascii="Times New Roman" w:hAnsi="Times New Roman"/>
          <w:b/>
        </w:rPr>
      </w:pPr>
      <w:r w:rsidRPr="00F45D90">
        <w:rPr>
          <w:rFonts w:ascii="Times New Roman" w:hAnsi="Times New Roman"/>
          <w:b/>
        </w:rPr>
        <w:t>Hedonin 25 mg plėvele dengtos tabletės</w:t>
      </w:r>
    </w:p>
    <w:p w14:paraId="54FD1879" w14:textId="77777777" w:rsidR="00CB68E6" w:rsidRPr="00F45D90" w:rsidRDefault="00CB68E6" w:rsidP="00CB68E6">
      <w:pPr>
        <w:spacing w:after="0" w:line="240" w:lineRule="auto"/>
        <w:jc w:val="center"/>
        <w:rPr>
          <w:rFonts w:ascii="Times New Roman" w:hAnsi="Times New Roman"/>
          <w:b/>
        </w:rPr>
      </w:pPr>
      <w:r w:rsidRPr="00F45D90">
        <w:rPr>
          <w:rFonts w:ascii="Times New Roman" w:hAnsi="Times New Roman"/>
          <w:b/>
        </w:rPr>
        <w:t>Hedonin 100 mg plėvele dengtos tabletės</w:t>
      </w:r>
    </w:p>
    <w:p w14:paraId="0CA0BDFD" w14:textId="77777777" w:rsidR="00CB68E6" w:rsidRPr="00F45D90" w:rsidRDefault="00CB68E6" w:rsidP="00CB68E6">
      <w:pPr>
        <w:spacing w:after="0" w:line="240" w:lineRule="auto"/>
        <w:jc w:val="center"/>
        <w:rPr>
          <w:rFonts w:ascii="Times New Roman" w:hAnsi="Times New Roman"/>
          <w:b/>
        </w:rPr>
      </w:pPr>
      <w:r w:rsidRPr="00F45D90">
        <w:rPr>
          <w:rFonts w:ascii="Times New Roman" w:hAnsi="Times New Roman"/>
          <w:b/>
        </w:rPr>
        <w:t>Hedonin 200 mg plėvele dengtos tabletės</w:t>
      </w:r>
    </w:p>
    <w:p w14:paraId="0DA55932" w14:textId="77777777" w:rsidR="00CB68E6" w:rsidRPr="00F45D90" w:rsidRDefault="00CB68E6" w:rsidP="00CB68E6">
      <w:pPr>
        <w:spacing w:after="0" w:line="240" w:lineRule="auto"/>
        <w:jc w:val="center"/>
        <w:rPr>
          <w:rFonts w:ascii="Times New Roman" w:hAnsi="Times New Roman"/>
          <w:b/>
        </w:rPr>
      </w:pPr>
      <w:r w:rsidRPr="00F45D90">
        <w:rPr>
          <w:rFonts w:ascii="Times New Roman" w:hAnsi="Times New Roman"/>
          <w:b/>
        </w:rPr>
        <w:t>Hedonin 300 mg plėvele dengtos tabletės</w:t>
      </w:r>
    </w:p>
    <w:p w14:paraId="1B5B952E" w14:textId="77777777" w:rsidR="00CB68E6" w:rsidRPr="00F45D90" w:rsidRDefault="00CB68E6" w:rsidP="00CB68E6">
      <w:pPr>
        <w:spacing w:after="0" w:line="240" w:lineRule="auto"/>
        <w:jc w:val="center"/>
        <w:rPr>
          <w:rFonts w:ascii="Times New Roman" w:hAnsi="Times New Roman"/>
          <w:b/>
        </w:rPr>
      </w:pPr>
      <w:r w:rsidRPr="00F45D90">
        <w:rPr>
          <w:rFonts w:ascii="Times New Roman" w:hAnsi="Times New Roman"/>
          <w:b/>
        </w:rPr>
        <w:t>Hedonin 25 mg+100 mg plėvele dengtos tabletės</w:t>
      </w:r>
    </w:p>
    <w:p w14:paraId="2376BA2A" w14:textId="11DB60B8" w:rsidR="00CB68E6" w:rsidRPr="00F45D90" w:rsidRDefault="00E2053E" w:rsidP="00CB68E6">
      <w:pPr>
        <w:spacing w:after="0" w:line="240" w:lineRule="auto"/>
        <w:jc w:val="center"/>
        <w:rPr>
          <w:rFonts w:ascii="Times New Roman" w:hAnsi="Times New Roman"/>
        </w:rPr>
      </w:pPr>
      <w:r>
        <w:rPr>
          <w:rFonts w:ascii="Times New Roman" w:hAnsi="Times New Roman"/>
        </w:rPr>
        <w:t>k</w:t>
      </w:r>
      <w:r w:rsidR="00CB68E6" w:rsidRPr="00F45D90">
        <w:rPr>
          <w:rFonts w:ascii="Times New Roman" w:hAnsi="Times New Roman"/>
        </w:rPr>
        <w:t xml:space="preserve">vetiapinas </w:t>
      </w:r>
    </w:p>
    <w:p w14:paraId="1CD0966E" w14:textId="77777777" w:rsidR="00CB68E6" w:rsidRPr="00F45D90" w:rsidRDefault="00CB68E6" w:rsidP="00CB68E6">
      <w:pPr>
        <w:spacing w:after="0" w:line="240" w:lineRule="auto"/>
        <w:rPr>
          <w:rFonts w:ascii="Times New Roman" w:hAnsi="Times New Roman"/>
          <w:b/>
        </w:rPr>
      </w:pPr>
    </w:p>
    <w:p w14:paraId="0927C425"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b/>
        </w:rPr>
        <w:t>Atidžiai perskaitykite visą šį lapelį, prieš pradėdami vartoti vaistą, nes jame pateikiama Jums svarbi informacija.</w:t>
      </w:r>
    </w:p>
    <w:p w14:paraId="559C6C2C" w14:textId="77777777" w:rsidR="00CB68E6" w:rsidRPr="00F45D90" w:rsidRDefault="00CB68E6" w:rsidP="00CB68E6">
      <w:pPr>
        <w:numPr>
          <w:ilvl w:val="0"/>
          <w:numId w:val="2"/>
        </w:numPr>
        <w:spacing w:after="0" w:line="240" w:lineRule="auto"/>
        <w:contextualSpacing/>
        <w:rPr>
          <w:rFonts w:ascii="Times New Roman" w:hAnsi="Times New Roman"/>
        </w:rPr>
      </w:pPr>
      <w:r w:rsidRPr="00F45D90">
        <w:rPr>
          <w:rFonts w:ascii="Times New Roman" w:hAnsi="Times New Roman"/>
        </w:rPr>
        <w:t>Neišmeskite šio lapelio, nes vėl gali prireikti jį perskaityti.</w:t>
      </w:r>
    </w:p>
    <w:p w14:paraId="6CEEBEAE" w14:textId="77777777" w:rsidR="00CB68E6" w:rsidRPr="00F45D90" w:rsidRDefault="00CB68E6" w:rsidP="00CB68E6">
      <w:pPr>
        <w:numPr>
          <w:ilvl w:val="0"/>
          <w:numId w:val="2"/>
        </w:numPr>
        <w:spacing w:after="0" w:line="240" w:lineRule="auto"/>
        <w:contextualSpacing/>
        <w:rPr>
          <w:rFonts w:ascii="Times New Roman" w:hAnsi="Times New Roman"/>
        </w:rPr>
      </w:pPr>
      <w:r w:rsidRPr="00F45D90">
        <w:rPr>
          <w:rFonts w:ascii="Times New Roman" w:hAnsi="Times New Roman"/>
        </w:rPr>
        <w:t>Jeigu kiltų daugiau klausimų, kreipkitės į gydytoją arba vaistininką.</w:t>
      </w:r>
    </w:p>
    <w:p w14:paraId="1E160C3A" w14:textId="77777777" w:rsidR="00CB68E6" w:rsidRPr="00F45D90" w:rsidRDefault="00CB68E6" w:rsidP="00CB68E6">
      <w:pPr>
        <w:numPr>
          <w:ilvl w:val="0"/>
          <w:numId w:val="2"/>
        </w:numPr>
        <w:spacing w:after="0" w:line="240" w:lineRule="auto"/>
        <w:contextualSpacing/>
        <w:rPr>
          <w:rFonts w:ascii="Times New Roman" w:hAnsi="Times New Roman"/>
        </w:rPr>
      </w:pPr>
      <w:r w:rsidRPr="00F45D90">
        <w:rPr>
          <w:rFonts w:ascii="Times New Roman" w:hAnsi="Times New Roman"/>
        </w:rPr>
        <w:t>Šis vaistas skirtas tik Jums, todėl kitiems žmonėms jo duoti negalima. Vaistas gali jiems pakenkti (net tiems, kurių ligos požymiai yra tokie patys kaip Jūsų).</w:t>
      </w:r>
    </w:p>
    <w:p w14:paraId="4EDFE004" w14:textId="77777777" w:rsidR="00CB68E6" w:rsidRPr="00F45D90" w:rsidRDefault="00CB68E6" w:rsidP="00CB68E6">
      <w:pPr>
        <w:numPr>
          <w:ilvl w:val="0"/>
          <w:numId w:val="2"/>
        </w:numPr>
        <w:spacing w:after="0" w:line="240" w:lineRule="auto"/>
        <w:contextualSpacing/>
        <w:rPr>
          <w:rFonts w:ascii="Times New Roman" w:hAnsi="Times New Roman"/>
        </w:rPr>
      </w:pPr>
      <w:r w:rsidRPr="00F45D90">
        <w:rPr>
          <w:rFonts w:ascii="Times New Roman" w:hAnsi="Times New Roman"/>
        </w:rPr>
        <w:t>Jeigu pasireiškė šalutinis poveikis (net jeigu jis šiame lapelyje nenurodytas), kreipkitės į gydytoją arba vaistininką. Žr. 4 skyrių.</w:t>
      </w:r>
    </w:p>
    <w:p w14:paraId="7DA1D636" w14:textId="77777777" w:rsidR="00CB68E6" w:rsidRPr="00F45D90" w:rsidRDefault="00CB68E6" w:rsidP="00CB68E6">
      <w:pPr>
        <w:spacing w:after="0" w:line="240" w:lineRule="auto"/>
        <w:rPr>
          <w:rFonts w:ascii="Times New Roman" w:hAnsi="Times New Roman"/>
        </w:rPr>
      </w:pPr>
    </w:p>
    <w:p w14:paraId="44A3D0E0" w14:textId="77777777" w:rsidR="00CB68E6" w:rsidRPr="00F45D90" w:rsidRDefault="00CB68E6" w:rsidP="00CB68E6">
      <w:pPr>
        <w:spacing w:after="0" w:line="240" w:lineRule="auto"/>
        <w:ind w:left="567" w:hanging="567"/>
        <w:rPr>
          <w:rFonts w:ascii="Times New Roman" w:hAnsi="Times New Roman"/>
          <w:b/>
        </w:rPr>
      </w:pPr>
      <w:r w:rsidRPr="00F45D90">
        <w:rPr>
          <w:rFonts w:ascii="Times New Roman" w:hAnsi="Times New Roman"/>
          <w:b/>
        </w:rPr>
        <w:t>Apie ką rašoma šiame lapelyje?</w:t>
      </w:r>
    </w:p>
    <w:p w14:paraId="5B90F392"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1.</w:t>
      </w:r>
      <w:r w:rsidRPr="00F45D90">
        <w:rPr>
          <w:rFonts w:ascii="Times New Roman" w:hAnsi="Times New Roman"/>
        </w:rPr>
        <w:tab/>
        <w:t>Kas yra Hedonin ir kam jis vartojamas</w:t>
      </w:r>
    </w:p>
    <w:p w14:paraId="62DD0BD7" w14:textId="77777777" w:rsidR="00CB68E6" w:rsidRPr="00F45D90" w:rsidRDefault="00CB68E6" w:rsidP="00CB68E6">
      <w:pPr>
        <w:spacing w:after="0" w:line="240" w:lineRule="auto"/>
        <w:ind w:left="567" w:hanging="567"/>
        <w:rPr>
          <w:rFonts w:ascii="Times New Roman" w:hAnsi="Times New Roman"/>
          <w:b/>
        </w:rPr>
      </w:pPr>
      <w:r w:rsidRPr="00F45D90">
        <w:rPr>
          <w:rFonts w:ascii="Times New Roman" w:hAnsi="Times New Roman"/>
        </w:rPr>
        <w:t>2.</w:t>
      </w:r>
      <w:r w:rsidRPr="00F45D90">
        <w:rPr>
          <w:rFonts w:ascii="Times New Roman" w:hAnsi="Times New Roman"/>
        </w:rPr>
        <w:tab/>
        <w:t xml:space="preserve">Kas žinotina prieš vartojant Hedonin </w:t>
      </w:r>
    </w:p>
    <w:p w14:paraId="551C3535"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3.</w:t>
      </w:r>
      <w:r w:rsidRPr="00F45D90">
        <w:rPr>
          <w:rFonts w:ascii="Times New Roman" w:hAnsi="Times New Roman"/>
        </w:rPr>
        <w:tab/>
        <w:t>Kaip vartoti Hedonin</w:t>
      </w:r>
    </w:p>
    <w:p w14:paraId="363226FE"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4.</w:t>
      </w:r>
      <w:r w:rsidRPr="00F45D90">
        <w:rPr>
          <w:rFonts w:ascii="Times New Roman" w:hAnsi="Times New Roman"/>
        </w:rPr>
        <w:tab/>
        <w:t>Galimas šalutinis poveikis</w:t>
      </w:r>
    </w:p>
    <w:p w14:paraId="3D0EB7F7"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5.</w:t>
      </w:r>
      <w:r w:rsidRPr="00F45D90">
        <w:rPr>
          <w:rFonts w:ascii="Times New Roman" w:hAnsi="Times New Roman"/>
        </w:rPr>
        <w:tab/>
        <w:t>Kaip laikyti Hedonin</w:t>
      </w:r>
    </w:p>
    <w:p w14:paraId="78B44276"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6.</w:t>
      </w:r>
      <w:r w:rsidRPr="00F45D90">
        <w:rPr>
          <w:rFonts w:ascii="Times New Roman" w:hAnsi="Times New Roman"/>
        </w:rPr>
        <w:tab/>
        <w:t>Pakuotės turinys ir kita informacija</w:t>
      </w:r>
    </w:p>
    <w:p w14:paraId="3666B0DD" w14:textId="77777777" w:rsidR="00CB68E6" w:rsidRPr="00F45D90" w:rsidRDefault="00CB68E6" w:rsidP="00CB68E6">
      <w:pPr>
        <w:spacing w:after="0" w:line="240" w:lineRule="auto"/>
        <w:rPr>
          <w:rFonts w:ascii="Times New Roman" w:hAnsi="Times New Roman"/>
        </w:rPr>
      </w:pPr>
    </w:p>
    <w:p w14:paraId="1C9BDBD7" w14:textId="77777777" w:rsidR="00CB68E6" w:rsidRPr="00F45D90" w:rsidRDefault="00CB68E6" w:rsidP="00CB68E6">
      <w:pPr>
        <w:spacing w:after="0" w:line="240" w:lineRule="auto"/>
        <w:rPr>
          <w:rFonts w:ascii="Times New Roman" w:hAnsi="Times New Roman"/>
        </w:rPr>
      </w:pPr>
    </w:p>
    <w:p w14:paraId="224D7A82" w14:textId="77777777" w:rsidR="00CB68E6" w:rsidRPr="00F45D90" w:rsidRDefault="00CB68E6" w:rsidP="00CB68E6">
      <w:pPr>
        <w:spacing w:after="0" w:line="240" w:lineRule="auto"/>
        <w:ind w:left="567" w:hanging="567"/>
        <w:rPr>
          <w:rFonts w:ascii="Times New Roman" w:hAnsi="Times New Roman"/>
          <w:b/>
        </w:rPr>
      </w:pPr>
      <w:bookmarkStart w:id="71" w:name="_Toc129243139"/>
      <w:bookmarkStart w:id="72" w:name="_Toc129243264"/>
      <w:r w:rsidRPr="00F45D90">
        <w:rPr>
          <w:rFonts w:ascii="Times New Roman" w:hAnsi="Times New Roman"/>
          <w:b/>
        </w:rPr>
        <w:t>1.</w:t>
      </w:r>
      <w:r w:rsidRPr="00F45D90">
        <w:rPr>
          <w:rFonts w:ascii="Times New Roman" w:hAnsi="Times New Roman"/>
          <w:b/>
        </w:rPr>
        <w:tab/>
        <w:t>Kas yra Hedonin ir kam jis vartojamas</w:t>
      </w:r>
      <w:bookmarkEnd w:id="71"/>
      <w:bookmarkEnd w:id="72"/>
    </w:p>
    <w:p w14:paraId="116197EF" w14:textId="77777777" w:rsidR="00CB68E6" w:rsidRPr="00F45D90" w:rsidRDefault="00CB68E6" w:rsidP="00CB68E6">
      <w:pPr>
        <w:spacing w:after="0" w:line="240" w:lineRule="auto"/>
        <w:ind w:left="567" w:hanging="567"/>
        <w:rPr>
          <w:rFonts w:ascii="Times New Roman" w:hAnsi="Times New Roman"/>
        </w:rPr>
      </w:pPr>
    </w:p>
    <w:p w14:paraId="680E62F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Hedonin sudėtyje yra </w:t>
      </w:r>
      <w:r w:rsidRPr="00F45D90">
        <w:rPr>
          <w:rFonts w:ascii="Times New Roman" w:eastAsia="Times New Roman" w:hAnsi="Times New Roman"/>
        </w:rPr>
        <w:t>medžiagos</w:t>
      </w:r>
      <w:r w:rsidRPr="00F45D90">
        <w:rPr>
          <w:rFonts w:ascii="Times New Roman" w:hAnsi="Times New Roman"/>
        </w:rPr>
        <w:t xml:space="preserve">, vadinamos kvetiapinu. Ji priklauso vaistų nuo psichozės grupei. Hedonin </w:t>
      </w:r>
      <w:r w:rsidRPr="00F45D90">
        <w:rPr>
          <w:rFonts w:ascii="Times New Roman" w:eastAsia="Times New Roman" w:hAnsi="Times New Roman"/>
        </w:rPr>
        <w:t>galima vartoti kelioms ligoms gydyti</w:t>
      </w:r>
      <w:r w:rsidRPr="00F45D90">
        <w:rPr>
          <w:rFonts w:ascii="Times New Roman" w:hAnsi="Times New Roman"/>
        </w:rPr>
        <w:t>:</w:t>
      </w:r>
    </w:p>
    <w:p w14:paraId="0AF7B850" w14:textId="486E24DA" w:rsidR="00CB68E6" w:rsidRPr="00F45D90" w:rsidRDefault="00CB68E6" w:rsidP="00CB68E6">
      <w:pPr>
        <w:pStyle w:val="BT-EMEASMCA"/>
        <w:tabs>
          <w:tab w:val="clear" w:pos="720"/>
          <w:tab w:val="num" w:pos="567"/>
        </w:tabs>
        <w:spacing w:after="0" w:line="240" w:lineRule="auto"/>
        <w:ind w:left="567" w:hanging="567"/>
        <w:rPr>
          <w:rFonts w:ascii="Times New Roman" w:hAnsi="Times New Roman"/>
        </w:rPr>
      </w:pPr>
      <w:r w:rsidRPr="00F45D90">
        <w:rPr>
          <w:rFonts w:ascii="Times New Roman" w:hAnsi="Times New Roman"/>
          <w:lang w:eastAsia="ja-JP"/>
        </w:rPr>
        <w:t>depresijai (blogai nuotaikai), susijusiai su</w:t>
      </w:r>
      <w:r w:rsidRPr="00F45D90">
        <w:rPr>
          <w:rFonts w:ascii="Times New Roman" w:hAnsi="Times New Roman"/>
        </w:rPr>
        <w:t xml:space="preserve"> bipoliniu sutrikimu. Sergant šia liga gali varginti bloga nuotaika, kaltės jausmas, energijos stygius, apetito stoka ar nemiga;</w:t>
      </w:r>
    </w:p>
    <w:p w14:paraId="5C667DF9" w14:textId="77777777" w:rsidR="00CB68E6" w:rsidRPr="00F45D90" w:rsidRDefault="00CB68E6" w:rsidP="00CB68E6">
      <w:pPr>
        <w:pStyle w:val="BT-EMEASMCA"/>
        <w:tabs>
          <w:tab w:val="clear" w:pos="720"/>
          <w:tab w:val="num" w:pos="567"/>
        </w:tabs>
        <w:spacing w:after="0" w:line="240" w:lineRule="auto"/>
        <w:ind w:left="567" w:hanging="567"/>
        <w:rPr>
          <w:rFonts w:ascii="Times New Roman" w:hAnsi="Times New Roman"/>
        </w:rPr>
      </w:pPr>
      <w:r w:rsidRPr="00F45D90">
        <w:rPr>
          <w:rFonts w:ascii="Times New Roman" w:hAnsi="Times New Roman"/>
        </w:rPr>
        <w:t>manijai: sergant šia liga Jums gali pasireikšti labai didelis sujaudinimas, pakili nuotaika, entuziazmas, padidėjęs aktyvumas ar neapgalvotas elgesys, net agresyvumas ir griaunamasis elgesys;</w:t>
      </w:r>
    </w:p>
    <w:p w14:paraId="62FB9A0A" w14:textId="77777777" w:rsidR="00CB68E6" w:rsidRPr="00F45D90" w:rsidRDefault="00CB68E6" w:rsidP="00CB68E6">
      <w:pPr>
        <w:pStyle w:val="BT-EMEASMCA"/>
        <w:tabs>
          <w:tab w:val="clear" w:pos="720"/>
          <w:tab w:val="num" w:pos="567"/>
        </w:tabs>
        <w:spacing w:after="0" w:line="240" w:lineRule="auto"/>
        <w:ind w:left="567" w:hanging="567"/>
        <w:rPr>
          <w:rFonts w:ascii="Times New Roman" w:hAnsi="Times New Roman"/>
        </w:rPr>
      </w:pPr>
      <w:r w:rsidRPr="00F45D90">
        <w:rPr>
          <w:rFonts w:ascii="Times New Roman" w:hAnsi="Times New Roman"/>
        </w:rPr>
        <w:t>šizofrenijai: sirgdami šia liga Jūs galite girdėti ar jausti daiktus, kurių nėra, tikėti nesamais dalykais, gali pasireikšti neįprastas įtarumas, nerimas, sutrikti orientacija, atsirasti kaltės jausmas, psichinė įtampa ar depresija.</w:t>
      </w:r>
    </w:p>
    <w:p w14:paraId="695150A4"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Jūsų gydytojas gali nurodyti tęsti vaisto Hedonin vartojimą netgi tuomet, kai pasijusite geriau. </w:t>
      </w:r>
    </w:p>
    <w:p w14:paraId="6F8F89B4" w14:textId="77777777" w:rsidR="00CB68E6" w:rsidRPr="00F45D90" w:rsidRDefault="00CB68E6" w:rsidP="00CB68E6">
      <w:pPr>
        <w:spacing w:after="0" w:line="240" w:lineRule="auto"/>
        <w:ind w:left="567" w:hanging="567"/>
        <w:rPr>
          <w:rFonts w:ascii="Times New Roman" w:hAnsi="Times New Roman"/>
        </w:rPr>
      </w:pPr>
    </w:p>
    <w:p w14:paraId="70A2AE55" w14:textId="77777777" w:rsidR="00CB68E6" w:rsidRPr="00F45D90" w:rsidRDefault="00CB68E6" w:rsidP="00CB68E6">
      <w:pPr>
        <w:spacing w:after="0" w:line="240" w:lineRule="auto"/>
        <w:ind w:left="567" w:hanging="567"/>
        <w:rPr>
          <w:rFonts w:ascii="Times New Roman" w:hAnsi="Times New Roman"/>
        </w:rPr>
      </w:pPr>
    </w:p>
    <w:p w14:paraId="2C06DB1B" w14:textId="77777777" w:rsidR="00CB68E6" w:rsidRPr="00F45D90" w:rsidRDefault="00CB68E6" w:rsidP="00CB68E6">
      <w:pPr>
        <w:spacing w:after="0" w:line="240" w:lineRule="auto"/>
        <w:ind w:left="567" w:hanging="567"/>
        <w:rPr>
          <w:rFonts w:ascii="Times New Roman" w:hAnsi="Times New Roman"/>
          <w:b/>
        </w:rPr>
      </w:pPr>
      <w:bookmarkStart w:id="73" w:name="_Toc129243140"/>
      <w:bookmarkStart w:id="74" w:name="_Toc129243265"/>
      <w:r w:rsidRPr="00F45D90">
        <w:rPr>
          <w:rFonts w:ascii="Times New Roman" w:hAnsi="Times New Roman"/>
          <w:b/>
        </w:rPr>
        <w:t>2.</w:t>
      </w:r>
      <w:r w:rsidRPr="00F45D90">
        <w:rPr>
          <w:rFonts w:ascii="Times New Roman" w:hAnsi="Times New Roman"/>
          <w:b/>
        </w:rPr>
        <w:tab/>
        <w:t xml:space="preserve">Kas žinotina prieš vartojant </w:t>
      </w:r>
      <w:bookmarkEnd w:id="73"/>
      <w:bookmarkEnd w:id="74"/>
      <w:r w:rsidRPr="00F45D90">
        <w:rPr>
          <w:rFonts w:ascii="Times New Roman" w:hAnsi="Times New Roman"/>
          <w:b/>
        </w:rPr>
        <w:t>Hedonin</w:t>
      </w:r>
    </w:p>
    <w:p w14:paraId="1E1067C3" w14:textId="77777777" w:rsidR="00CB68E6" w:rsidRPr="00F45D90" w:rsidRDefault="00CB68E6" w:rsidP="00CB68E6">
      <w:pPr>
        <w:spacing w:after="0" w:line="240" w:lineRule="auto"/>
        <w:rPr>
          <w:rFonts w:ascii="Times New Roman" w:hAnsi="Times New Roman"/>
        </w:rPr>
      </w:pPr>
    </w:p>
    <w:p w14:paraId="76696C38" w14:textId="0DE6C459" w:rsidR="00CB68E6" w:rsidRPr="00F45D90" w:rsidRDefault="00CB68E6" w:rsidP="00CB68E6">
      <w:pPr>
        <w:spacing w:after="0" w:line="240" w:lineRule="auto"/>
        <w:rPr>
          <w:rFonts w:ascii="Times New Roman" w:hAnsi="Times New Roman"/>
          <w:b/>
        </w:rPr>
      </w:pPr>
      <w:r w:rsidRPr="00F45D90">
        <w:rPr>
          <w:rFonts w:ascii="Times New Roman" w:hAnsi="Times New Roman"/>
          <w:b/>
        </w:rPr>
        <w:t xml:space="preserve">Hedonin </w:t>
      </w:r>
      <w:r w:rsidRPr="00F45D90">
        <w:rPr>
          <w:rFonts w:ascii="Times New Roman" w:hAnsi="Times New Roman"/>
          <w:b/>
          <w:noProof/>
        </w:rPr>
        <w:t xml:space="preserve">vartoti </w:t>
      </w:r>
      <w:r w:rsidR="00BC42F5">
        <w:rPr>
          <w:rFonts w:ascii="Times New Roman" w:hAnsi="Times New Roman"/>
          <w:b/>
          <w:noProof/>
        </w:rPr>
        <w:t>draudžiama</w:t>
      </w:r>
      <w:r w:rsidRPr="00F45D90">
        <w:rPr>
          <w:rFonts w:ascii="Times New Roman" w:hAnsi="Times New Roman"/>
          <w:b/>
        </w:rPr>
        <w:t>:</w:t>
      </w:r>
    </w:p>
    <w:p w14:paraId="45698C04" w14:textId="77777777" w:rsidR="00CB68E6" w:rsidRDefault="00CB68E6" w:rsidP="00CB68E6">
      <w:pPr>
        <w:spacing w:after="0" w:line="240" w:lineRule="auto"/>
        <w:ind w:left="567" w:hanging="567"/>
        <w:rPr>
          <w:rFonts w:ascii="Times New Roman" w:hAnsi="Times New Roman"/>
        </w:rPr>
      </w:pPr>
      <w:r w:rsidRPr="00F45D90">
        <w:rPr>
          <w:rFonts w:ascii="Times New Roman" w:hAnsi="Times New Roman"/>
        </w:rPr>
        <w:t xml:space="preserve">-        jeigu yra alergija kvetiapinui arba bet kuriai pagalbinei šio vaistinio preparato medžiagai </w:t>
      </w:r>
      <w:r w:rsidRPr="00F45D90">
        <w:rPr>
          <w:rFonts w:ascii="Times New Roman" w:hAnsi="Times New Roman"/>
          <w:color w:val="000000"/>
        </w:rPr>
        <w:t>(jos išvardytos 6 skyriuje)</w:t>
      </w:r>
      <w:r w:rsidRPr="00F45D90">
        <w:rPr>
          <w:rFonts w:ascii="Times New Roman" w:hAnsi="Times New Roman"/>
        </w:rPr>
        <w:t>;</w:t>
      </w:r>
    </w:p>
    <w:p w14:paraId="7D2D500A" w14:textId="77777777" w:rsidR="00366652" w:rsidRPr="00366652" w:rsidRDefault="00366652" w:rsidP="00366652">
      <w:pPr>
        <w:pStyle w:val="Sraopastraipa"/>
        <w:numPr>
          <w:ilvl w:val="0"/>
          <w:numId w:val="23"/>
        </w:numPr>
        <w:spacing w:after="0" w:line="240" w:lineRule="auto"/>
        <w:ind w:left="567" w:hanging="567"/>
        <w:rPr>
          <w:rFonts w:ascii="Times New Roman" w:hAnsi="Times New Roman"/>
        </w:rPr>
      </w:pPr>
      <w:r w:rsidRPr="00366652">
        <w:rPr>
          <w:rFonts w:ascii="Times New Roman" w:hAnsi="Times New Roman"/>
        </w:rPr>
        <w:t xml:space="preserve">jeigu </w:t>
      </w:r>
      <w:r>
        <w:rPr>
          <w:rFonts w:ascii="Times New Roman" w:hAnsi="Times New Roman"/>
        </w:rPr>
        <w:t>yra</w:t>
      </w:r>
      <w:r w:rsidRPr="00366652">
        <w:rPr>
          <w:rFonts w:ascii="Times New Roman" w:hAnsi="Times New Roman"/>
        </w:rPr>
        <w:t xml:space="preserve"> alergi</w:t>
      </w:r>
      <w:r>
        <w:rPr>
          <w:rFonts w:ascii="Times New Roman" w:hAnsi="Times New Roman"/>
        </w:rPr>
        <w:t>ja</w:t>
      </w:r>
      <w:r w:rsidRPr="00366652">
        <w:rPr>
          <w:rFonts w:ascii="Times New Roman" w:hAnsi="Times New Roman"/>
        </w:rPr>
        <w:t xml:space="preserve"> </w:t>
      </w:r>
      <w:r>
        <w:rPr>
          <w:rFonts w:ascii="Times New Roman" w:hAnsi="Times New Roman"/>
        </w:rPr>
        <w:t>žemės riešutams arba sojai;</w:t>
      </w:r>
    </w:p>
    <w:p w14:paraId="4E6480A0"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vartojate kai kurių vaistų nuo ŽIV;</w:t>
      </w:r>
    </w:p>
    <w:p w14:paraId="00A750AC"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vartojate azolo grupės vaistų (nuo grybelinių ligų);</w:t>
      </w:r>
    </w:p>
    <w:p w14:paraId="2DCE8218"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vartojate eritromicino ar klaritromicino (infekcinėms ligoms gydyti);</w:t>
      </w:r>
    </w:p>
    <w:p w14:paraId="6661A19E"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vartojate nefazodono (vaisto nuo depresijos).</w:t>
      </w:r>
    </w:p>
    <w:p w14:paraId="4A821A0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Žr. skyrių „Kiti vaistai ir Hedonin”.</w:t>
      </w:r>
    </w:p>
    <w:p w14:paraId="7C2C7439" w14:textId="77777777" w:rsidR="00CB68E6" w:rsidRPr="00F45D90" w:rsidRDefault="00CB68E6" w:rsidP="00CB68E6">
      <w:pPr>
        <w:spacing w:after="0" w:line="240" w:lineRule="auto"/>
        <w:rPr>
          <w:rFonts w:ascii="Times New Roman" w:hAnsi="Times New Roman"/>
        </w:rPr>
      </w:pPr>
    </w:p>
    <w:p w14:paraId="5073A312"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Nevartokite Hedonin, jei aukščiau išvardyta tinka Jums. Jeigu abejojate, kreipkitės į gydytoją arba </w:t>
      </w:r>
    </w:p>
    <w:p w14:paraId="7F43C6D2"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vaistininką prieš pradėdami vartoti Hedonin.</w:t>
      </w:r>
    </w:p>
    <w:p w14:paraId="662F6BF6" w14:textId="77777777" w:rsidR="00CB68E6" w:rsidRPr="00F45D90" w:rsidRDefault="00CB68E6" w:rsidP="00CB68E6">
      <w:pPr>
        <w:spacing w:after="0" w:line="240" w:lineRule="auto"/>
        <w:ind w:left="567" w:hanging="567"/>
        <w:rPr>
          <w:rFonts w:ascii="Times New Roman" w:hAnsi="Times New Roman"/>
          <w:b/>
          <w:lang w:bidi="ar-BH"/>
        </w:rPr>
      </w:pPr>
    </w:p>
    <w:p w14:paraId="444D9801" w14:textId="77777777" w:rsidR="00CB68E6" w:rsidRPr="00F45D90" w:rsidRDefault="00CB68E6" w:rsidP="00CB68E6">
      <w:pPr>
        <w:autoSpaceDE w:val="0"/>
        <w:autoSpaceDN w:val="0"/>
        <w:adjustRightInd w:val="0"/>
        <w:spacing w:after="0" w:line="240" w:lineRule="auto"/>
        <w:rPr>
          <w:rFonts w:ascii="Times New Roman" w:hAnsi="Times New Roman"/>
          <w:b/>
          <w:bCs/>
          <w:color w:val="000000"/>
        </w:rPr>
      </w:pPr>
      <w:r w:rsidRPr="00F45D90">
        <w:rPr>
          <w:rFonts w:ascii="Times New Roman" w:hAnsi="Times New Roman"/>
          <w:b/>
          <w:bCs/>
          <w:color w:val="000000"/>
        </w:rPr>
        <w:lastRenderedPageBreak/>
        <w:t>Įspėjimai ir atsargumo priemonės</w:t>
      </w:r>
    </w:p>
    <w:p w14:paraId="6FCD3DD2"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Prieš pradėdami vartoti Hedonin pasakykite savo gydytojui:</w:t>
      </w:r>
    </w:p>
    <w:p w14:paraId="2FC98ADD"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Jūs arba kuris nors Jūsų šeimos narys sergate arba anksčiau sirgote širdies ligomis (pvz., ritmo sutrikimu, širdies raumens susilpnėjimu arba širdies uždegimu) arba vartojate vaistų, galinčių paveikti širdies susitraukimus;</w:t>
      </w:r>
    </w:p>
    <w:p w14:paraId="61E11793"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sumažėjęs Jūsų kraujospūdis;</w:t>
      </w:r>
    </w:p>
    <w:p w14:paraId="135253B2"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sirgote insultu, ypač jei esate senyvo amžiaus;</w:t>
      </w:r>
    </w:p>
    <w:p w14:paraId="58619FB7"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yra sutrikusi Jūsų kepenų funkcija;</w:t>
      </w:r>
    </w:p>
    <w:p w14:paraId="34391755"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yra buvę traukulių;</w:t>
      </w:r>
    </w:p>
    <w:p w14:paraId="0D40E848"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sergate cukriniu diabetu arba yra šios ligos rizika; jei sergate cukriniu diabetu arba yra padidėjęs cukraus kiekis kraujyje, vartojant Hedonin Jūsų gydytojas gali nurodyti tirti cukraus kiekį kraujyje;</w:t>
      </w:r>
    </w:p>
    <w:p w14:paraId="0E1BC1D0"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buvo sumažėjęs baltųjų kraujo ląstelių skaičius (dėl to, kad vartojote kitus vaistus arba dėl kitų priežasčių);</w:t>
      </w:r>
    </w:p>
    <w:p w14:paraId="59E7101E" w14:textId="6358B8B3" w:rsidR="00CB68E6" w:rsidRDefault="00CB68E6" w:rsidP="00CB68E6">
      <w:pPr>
        <w:spacing w:after="0" w:line="240" w:lineRule="auto"/>
        <w:ind w:left="567" w:hanging="567"/>
        <w:rPr>
          <w:rFonts w:ascii="Times New Roman" w:hAnsi="Times New Roman"/>
        </w:rPr>
      </w:pPr>
      <w:r w:rsidRPr="00F45D90">
        <w:rPr>
          <w:rFonts w:ascii="Times New Roman" w:hAnsi="Times New Roman"/>
        </w:rPr>
        <w:t>-         jei esate senyvo amžiaus ir sergate demencija (sutrikusi galvos smegenų funkcija). Jei taip yra, Hedonin vartoti negalima, nes vaistų grupė, kuriai priklauso Hedonin, gali padidinti insulto riziką, o kai kuriais atvejais - padidinti mirties riziką senyvo amžiaus pacientams sergantiems demencija;</w:t>
      </w:r>
    </w:p>
    <w:p w14:paraId="5DB2846A" w14:textId="0EB5BBD3" w:rsidR="00C404A3" w:rsidRPr="00C404A3" w:rsidRDefault="00C404A3" w:rsidP="00C404A3">
      <w:pPr>
        <w:pStyle w:val="Sraopastraipa"/>
        <w:numPr>
          <w:ilvl w:val="0"/>
          <w:numId w:val="25"/>
        </w:numPr>
        <w:spacing w:after="0" w:line="240" w:lineRule="auto"/>
        <w:ind w:left="567" w:hanging="567"/>
        <w:rPr>
          <w:rFonts w:ascii="Times New Roman" w:hAnsi="Times New Roman"/>
        </w:rPr>
      </w:pPr>
      <w:r>
        <w:rPr>
          <w:rFonts w:ascii="Times New Roman" w:hAnsi="Times New Roman"/>
        </w:rPr>
        <w:t>esate senyvo amžiaus ir sergate Parkinsono liga (parkinsonizmu);</w:t>
      </w:r>
    </w:p>
    <w:p w14:paraId="10623AA6"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Jums arba kažkam iš Jūsų šeimos narių buvo susidaręs kraujo krešulys, kadangi vaistai, tokie kaip šis, yra susiję su krešulių susidarymo pavojų;</w:t>
      </w:r>
    </w:p>
    <w:p w14:paraId="2370AD6D" w14:textId="77777777" w:rsidR="00CB68E6" w:rsidRPr="00F45D90" w:rsidRDefault="00CB68E6" w:rsidP="00CB68E6">
      <w:pPr>
        <w:pStyle w:val="BT-EMEASMCA"/>
        <w:spacing w:after="0" w:line="240" w:lineRule="auto"/>
        <w:ind w:left="567" w:hanging="567"/>
        <w:rPr>
          <w:rFonts w:ascii="Times New Roman" w:hAnsi="Times New Roman"/>
        </w:rPr>
      </w:pPr>
      <w:r w:rsidRPr="00F45D90">
        <w:rPr>
          <w:rFonts w:ascii="Times New Roman" w:hAnsi="Times New Roman"/>
        </w:rPr>
        <w:t>jeigu Jums dabar yra arba anksčiau yra buvęs sutrikimas, kuris pasireiškia trumpomis kvėpavimo pauzėmis normalaus nakties miego metu (jis vadinamas miego apnėja), arba vartojate vaistus, slopinančius normalią smegenų veiklą („depresantus“);</w:t>
      </w:r>
    </w:p>
    <w:p w14:paraId="34B9EE23" w14:textId="77777777" w:rsidR="00CB68E6" w:rsidRPr="00F45D90" w:rsidRDefault="00CB68E6" w:rsidP="00CB68E6">
      <w:pPr>
        <w:pStyle w:val="BT-EMEASMCA"/>
        <w:spacing w:after="0" w:line="240" w:lineRule="auto"/>
        <w:ind w:left="567" w:hanging="567"/>
        <w:rPr>
          <w:rFonts w:ascii="Times New Roman" w:hAnsi="Times New Roman"/>
        </w:rPr>
      </w:pPr>
      <w:r w:rsidRPr="00F45D90">
        <w:rPr>
          <w:rFonts w:ascii="Times New Roman" w:hAnsi="Times New Roman"/>
        </w:rPr>
        <w:t>jeigu Jums dabar yra arba anksčiau yra pasireiškęs sutrikimas, dėl kurio pilnai neišsituština šlapimo pūslė (jis vadinamas šlapimo susilaikymu), padidėjusi Jūsų prostata, užsikimšusios žarnos arba padidėjęs akispūdis. Tokių sutrikimų kartais sukelia vaistai (vadinami anticholinerginiais), kurie veikia nervų ląstelių funkciją ir todėl vartojami tam tikroms ligoms gydyti</w:t>
      </w:r>
      <w:r>
        <w:rPr>
          <w:rFonts w:ascii="Times New Roman" w:hAnsi="Times New Roman"/>
        </w:rPr>
        <w:t>;</w:t>
      </w:r>
    </w:p>
    <w:p w14:paraId="4CAFF7F8" w14:textId="77777777" w:rsidR="00B74044" w:rsidRDefault="00CB68E6" w:rsidP="00CB68E6">
      <w:pPr>
        <w:pStyle w:val="BT-EMEASMCA"/>
        <w:spacing w:after="0" w:line="240" w:lineRule="auto"/>
        <w:ind w:left="567" w:hanging="567"/>
        <w:rPr>
          <w:rFonts w:ascii="Times New Roman" w:hAnsi="Times New Roman"/>
        </w:rPr>
      </w:pPr>
      <w:r w:rsidRPr="00F45D90">
        <w:rPr>
          <w:rFonts w:ascii="Times New Roman" w:hAnsi="Times New Roman"/>
        </w:rPr>
        <w:t>jeigu praeityje piktnaudžiavote alkoholiu arba vaistais</w:t>
      </w:r>
      <w:r w:rsidR="00B74044">
        <w:rPr>
          <w:rFonts w:ascii="Times New Roman" w:hAnsi="Times New Roman"/>
        </w:rPr>
        <w:t>;</w:t>
      </w:r>
    </w:p>
    <w:p w14:paraId="5BF18FC0" w14:textId="3C467C2D" w:rsidR="00CB68E6" w:rsidRPr="00F45D90" w:rsidRDefault="00B74044" w:rsidP="00CB68E6">
      <w:pPr>
        <w:pStyle w:val="BT-EMEASMCA"/>
        <w:spacing w:after="0" w:line="240" w:lineRule="auto"/>
        <w:ind w:left="567" w:hanging="567"/>
        <w:rPr>
          <w:rFonts w:ascii="Times New Roman" w:hAnsi="Times New Roman"/>
        </w:rPr>
      </w:pPr>
      <w:r>
        <w:rPr>
          <w:rFonts w:ascii="Times New Roman" w:hAnsi="Times New Roman"/>
        </w:rPr>
        <w:t>jei Jus kamuoja depresija arba kitos būklės, kurios gydomos antidepresantais</w:t>
      </w:r>
      <w:r w:rsidR="00CB68E6" w:rsidRPr="00F45D90">
        <w:rPr>
          <w:rFonts w:ascii="Times New Roman" w:hAnsi="Times New Roman"/>
        </w:rPr>
        <w:t>.</w:t>
      </w:r>
      <w:r>
        <w:rPr>
          <w:rFonts w:ascii="Times New Roman" w:hAnsi="Times New Roman"/>
        </w:rPr>
        <w:t xml:space="preserve"> Tokių vaistų vartojimas kartu su Hedonin gali sukelti gyvybei pavojingą būklę - serotonino sindromą (žr. skyrelį „Kiti vaistai ir Hedonin“).</w:t>
      </w:r>
    </w:p>
    <w:p w14:paraId="5D24AD30" w14:textId="77777777" w:rsidR="00CB68E6" w:rsidRPr="00F45D90" w:rsidRDefault="00CB68E6" w:rsidP="00CB68E6">
      <w:pPr>
        <w:spacing w:after="0" w:line="240" w:lineRule="auto"/>
        <w:ind w:left="567" w:hanging="567"/>
        <w:rPr>
          <w:rFonts w:ascii="Times New Roman" w:hAnsi="Times New Roman"/>
          <w:u w:val="single"/>
        </w:rPr>
      </w:pPr>
    </w:p>
    <w:p w14:paraId="6314EE9D" w14:textId="77777777" w:rsidR="00CB68E6" w:rsidRPr="00F45D90" w:rsidRDefault="00CB68E6" w:rsidP="00CB68E6">
      <w:pPr>
        <w:spacing w:after="0" w:line="240" w:lineRule="auto"/>
        <w:ind w:left="567" w:hanging="567"/>
        <w:rPr>
          <w:rFonts w:ascii="Times New Roman" w:hAnsi="Times New Roman"/>
          <w:u w:val="single"/>
        </w:rPr>
      </w:pPr>
      <w:r w:rsidRPr="00F45D90">
        <w:rPr>
          <w:rFonts w:ascii="Times New Roman" w:hAnsi="Times New Roman"/>
          <w:u w:val="single"/>
        </w:rPr>
        <w:t xml:space="preserve">Nedelsiant pasakykite gydytojui, jeigu pajutote žemiau išvardytus požymius vartojant Hedonin: </w:t>
      </w:r>
    </w:p>
    <w:p w14:paraId="3512F79E"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pradėjote karščiuoti, atsirado raumenų sąstingis, gausiai prakaituojate arba pritemo sąmonė (sindromo, vadinamo „piktybiniu neurolepsiniu sindromu“, požymiai). Tokiu atveju Jums gali būti reikalingas skubus gydymas;</w:t>
      </w:r>
    </w:p>
    <w:p w14:paraId="33B24888"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pastebėjote nevalingų judesių, ypač veido raumenų arba liežuvio;</w:t>
      </w:r>
    </w:p>
    <w:p w14:paraId="599564F8"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jeigu atsirado svaigulys arba stiprus mieguistumas. Tai gali padidinti nelaimingų susižeidimų riziką senyviems pacientams;</w:t>
      </w:r>
    </w:p>
    <w:p w14:paraId="1E41355B" w14:textId="77777777" w:rsidR="0071727F" w:rsidRDefault="00CB68E6" w:rsidP="00CB68E6">
      <w:pPr>
        <w:numPr>
          <w:ilvl w:val="0"/>
          <w:numId w:val="3"/>
        </w:numPr>
        <w:spacing w:after="0" w:line="240" w:lineRule="auto"/>
        <w:ind w:left="567" w:hanging="567"/>
        <w:contextualSpacing/>
        <w:rPr>
          <w:rFonts w:ascii="Times New Roman" w:hAnsi="Times New Roman"/>
        </w:rPr>
      </w:pPr>
      <w:r w:rsidRPr="00F45D90">
        <w:rPr>
          <w:rFonts w:ascii="Times New Roman" w:hAnsi="Times New Roman"/>
        </w:rPr>
        <w:t>jeigu atsirado traukulių, jeigu atsirado ilgai trunkanti skausminga erekcija (priapizmas)</w:t>
      </w:r>
      <w:r w:rsidR="0071727F">
        <w:rPr>
          <w:rFonts w:ascii="Times New Roman" w:hAnsi="Times New Roman"/>
        </w:rPr>
        <w:t>;</w:t>
      </w:r>
    </w:p>
    <w:p w14:paraId="534F5695" w14:textId="6AF9EA2B" w:rsidR="00CB68E6" w:rsidRPr="00F45D90" w:rsidRDefault="0071727F" w:rsidP="00CB68E6">
      <w:pPr>
        <w:numPr>
          <w:ilvl w:val="0"/>
          <w:numId w:val="3"/>
        </w:numPr>
        <w:spacing w:after="0" w:line="240" w:lineRule="auto"/>
        <w:ind w:left="567" w:hanging="567"/>
        <w:contextualSpacing/>
        <w:rPr>
          <w:rFonts w:ascii="Times New Roman" w:hAnsi="Times New Roman"/>
        </w:rPr>
      </w:pPr>
      <w:r>
        <w:rPr>
          <w:rFonts w:ascii="Times New Roman" w:hAnsi="Times New Roman"/>
        </w:rPr>
        <w:t>greitas ir nereguliarus širdies plakimas, netgi esant jums ramybėje, palpitacijos, kvėpavimo sutrikimai, krūtinės skausmas arba nepaaiškinamas nuovargis</w:t>
      </w:r>
      <w:r w:rsidR="00CB68E6" w:rsidRPr="00F45D90">
        <w:rPr>
          <w:rFonts w:ascii="Times New Roman" w:hAnsi="Times New Roman"/>
        </w:rPr>
        <w:t>.</w:t>
      </w:r>
      <w:r>
        <w:rPr>
          <w:rFonts w:ascii="Times New Roman" w:hAnsi="Times New Roman"/>
        </w:rPr>
        <w:t xml:space="preserve"> Jūsų gydytojas gali nurodyti įvertinti širdies būklę ir, prireikus, nedelsiant nukreipti kardiologo konsultacijai.</w:t>
      </w:r>
    </w:p>
    <w:p w14:paraId="25B97FD3" w14:textId="77777777" w:rsidR="00CB68E6" w:rsidRPr="00F45D90" w:rsidRDefault="00CB68E6" w:rsidP="00CB68E6">
      <w:pPr>
        <w:spacing w:after="0" w:line="240" w:lineRule="auto"/>
        <w:ind w:left="567" w:hanging="567"/>
        <w:rPr>
          <w:rFonts w:ascii="Times New Roman" w:hAnsi="Times New Roman"/>
        </w:rPr>
      </w:pPr>
    </w:p>
    <w:p w14:paraId="5869987E"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Tokius sutrikimus gali sukelti šios grupės vaistai.</w:t>
      </w:r>
    </w:p>
    <w:p w14:paraId="660C079E" w14:textId="77777777" w:rsidR="00CB68E6" w:rsidRPr="00F45D90" w:rsidRDefault="00CB68E6" w:rsidP="00CB68E6">
      <w:pPr>
        <w:spacing w:after="0" w:line="240" w:lineRule="auto"/>
        <w:contextualSpacing/>
        <w:rPr>
          <w:rFonts w:ascii="Times New Roman" w:eastAsia="Times New Roman" w:hAnsi="Times New Roman"/>
        </w:rPr>
      </w:pPr>
    </w:p>
    <w:p w14:paraId="768D1D2D" w14:textId="77777777" w:rsidR="00CB68E6" w:rsidRPr="00F45D90" w:rsidRDefault="00CB68E6" w:rsidP="00CB68E6">
      <w:pPr>
        <w:spacing w:after="0" w:line="240" w:lineRule="auto"/>
        <w:contextualSpacing/>
        <w:rPr>
          <w:rFonts w:ascii="Times New Roman" w:eastAsia="Times New Roman" w:hAnsi="Times New Roman"/>
        </w:rPr>
      </w:pPr>
      <w:r w:rsidRPr="00F45D90">
        <w:rPr>
          <w:rFonts w:ascii="Times New Roman" w:eastAsia="Times New Roman" w:hAnsi="Times New Roman"/>
        </w:rPr>
        <w:t>Pasakykite gydytojui galimai greičiau, jeigu:</w:t>
      </w:r>
    </w:p>
    <w:p w14:paraId="1EA52CF4" w14:textId="4C7D8347" w:rsidR="00CB68E6" w:rsidRPr="00F45D90" w:rsidRDefault="00CB68E6" w:rsidP="00CB68E6">
      <w:pPr>
        <w:numPr>
          <w:ilvl w:val="0"/>
          <w:numId w:val="9"/>
        </w:numPr>
        <w:tabs>
          <w:tab w:val="clear" w:pos="720"/>
          <w:tab w:val="num" w:pos="567"/>
        </w:tabs>
        <w:spacing w:after="0" w:line="240" w:lineRule="auto"/>
        <w:ind w:left="567" w:hanging="567"/>
        <w:contextualSpacing/>
        <w:rPr>
          <w:rFonts w:ascii="Times New Roman" w:eastAsia="Times New Roman" w:hAnsi="Times New Roman"/>
        </w:rPr>
      </w:pPr>
      <w:r w:rsidRPr="00F45D90">
        <w:rPr>
          <w:rFonts w:ascii="Times New Roman" w:eastAsia="Times New Roman" w:hAnsi="Times New Roman"/>
        </w:rPr>
        <w:t xml:space="preserve">atsiranda karščiavimas kartu su ryklės skausmu arba kiti infekcijos požymiai, nes tai gali būti susiję su žymiu baltųjų kraujo kūnelių kiekio sumažėjimu ir dėl to gali reikėti nutraukti Hedonin vartojimą ir (arba) pradėti </w:t>
      </w:r>
      <w:r w:rsidR="0071727F">
        <w:rPr>
          <w:rFonts w:ascii="Times New Roman" w:eastAsia="Times New Roman" w:hAnsi="Times New Roman"/>
        </w:rPr>
        <w:t xml:space="preserve">kitą </w:t>
      </w:r>
      <w:r w:rsidRPr="00F45D90">
        <w:rPr>
          <w:rFonts w:ascii="Times New Roman" w:eastAsia="Times New Roman" w:hAnsi="Times New Roman"/>
        </w:rPr>
        <w:t>gydymą;</w:t>
      </w:r>
    </w:p>
    <w:p w14:paraId="41BA4BCE" w14:textId="77777777" w:rsidR="00CB68E6" w:rsidRPr="00F45D90" w:rsidRDefault="00CB68E6" w:rsidP="00CB68E6">
      <w:pPr>
        <w:numPr>
          <w:ilvl w:val="0"/>
          <w:numId w:val="9"/>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kamuoja vidurių užkietėjimas ir kartu nuolatinis pilvo skausmas arba vidurių užkietėjimas, kurio nepalengvina vaistai (gali pavojingai užsikimšti žarnos).</w:t>
      </w:r>
    </w:p>
    <w:p w14:paraId="22FAFC66" w14:textId="77777777" w:rsidR="00CB68E6" w:rsidRPr="00F45D90" w:rsidRDefault="00CB68E6" w:rsidP="00CB68E6">
      <w:pPr>
        <w:spacing w:after="0" w:line="240" w:lineRule="auto"/>
        <w:rPr>
          <w:rFonts w:ascii="Times New Roman" w:hAnsi="Times New Roman"/>
        </w:rPr>
      </w:pPr>
    </w:p>
    <w:p w14:paraId="11B19160" w14:textId="77777777" w:rsidR="00CB68E6" w:rsidRPr="00F45D90" w:rsidRDefault="00CB68E6" w:rsidP="00CB68E6">
      <w:pPr>
        <w:spacing w:after="0" w:line="240" w:lineRule="auto"/>
        <w:rPr>
          <w:rFonts w:ascii="Times New Roman" w:hAnsi="Times New Roman"/>
          <w:u w:val="single"/>
        </w:rPr>
      </w:pPr>
      <w:r w:rsidRPr="00F45D90">
        <w:rPr>
          <w:rFonts w:ascii="Times New Roman" w:hAnsi="Times New Roman"/>
          <w:u w:val="single"/>
        </w:rPr>
        <w:t>Mintys apie savižudybę bei depresijos pasunkėjimas</w:t>
      </w:r>
    </w:p>
    <w:p w14:paraId="6422CBD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lastRenderedPageBreak/>
        <w:t xml:space="preserve">Jei sergate depresija, kartais gali atsirasti minčių apie kenkimą sau arba savižudybę. Tokios mintys gali sustiprėti pradėjus vartoti antidepresantų, nes kol šie vaistai pradeda veikti, turi praeiti laiko (paprastai maždaug dvi svaitės, bet kartais ir ilgiau). Tokių minčių gali atsirasti, jei Jūs staiga nutraukėte šio vaisto vartojimą. Galbūt Jūs taip galvojate dėl to, kad esate jaunas. Klinikinių tyrimų duomenys rodo, kad minčių apie savižudybę ir (arba) savižudiško elgesio rizika didesnė jaunesniems kaip 25 metų suaugusiesiems. </w:t>
      </w:r>
    </w:p>
    <w:p w14:paraId="25F1F6C1" w14:textId="77777777" w:rsidR="00CB68E6" w:rsidRPr="00F45D90" w:rsidRDefault="00CB68E6" w:rsidP="00CB68E6">
      <w:pPr>
        <w:spacing w:after="0" w:line="240" w:lineRule="auto"/>
        <w:rPr>
          <w:rFonts w:ascii="Times New Roman" w:hAnsi="Times New Roman"/>
        </w:rPr>
      </w:pPr>
    </w:p>
    <w:p w14:paraId="4E941E2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 Jums bet kuriuo metu atsirado minčių apie kenkimą sau ar savižudybę, nedelsiant kreipkitės į gydytoją arba vykite į ligoninę. Gali būti naudinga pasakyti giminaičiams ir artimiems draugams, kad sergate depresija, bei pasiūlyti jiems perskaityti šį pakuotės lapelį. Galite paprašyti, kad pasakytų Jums, jei jiems atrodo, kad Jūsų depresija pasunkėjo, arba jei jiems nerimą kelia Jūsų elgesys.</w:t>
      </w:r>
    </w:p>
    <w:p w14:paraId="4BE9FA53" w14:textId="77777777" w:rsidR="0071727F" w:rsidRDefault="0071727F" w:rsidP="0071727F">
      <w:pPr>
        <w:pStyle w:val="BTbEMEASMCA"/>
        <w:rPr>
          <w:sz w:val="22"/>
          <w:szCs w:val="22"/>
        </w:rPr>
      </w:pPr>
    </w:p>
    <w:p w14:paraId="19367626" w14:textId="381D0232" w:rsidR="0071727F" w:rsidRPr="0071727F" w:rsidRDefault="0071727F" w:rsidP="0071727F">
      <w:pPr>
        <w:pStyle w:val="BTbEMEASMCA"/>
        <w:rPr>
          <w:sz w:val="22"/>
          <w:szCs w:val="22"/>
        </w:rPr>
      </w:pPr>
      <w:r w:rsidRPr="0071727F">
        <w:rPr>
          <w:sz w:val="22"/>
          <w:szCs w:val="22"/>
        </w:rPr>
        <w:t>Stipriai išreikštos odos nepageidaujamos reakcijos</w:t>
      </w:r>
    </w:p>
    <w:p w14:paraId="659A6E29" w14:textId="56CE2518" w:rsidR="0071727F" w:rsidRDefault="0071727F" w:rsidP="0071727F">
      <w:pPr>
        <w:keepNext/>
        <w:shd w:val="clear" w:color="auto" w:fill="FFFFFF"/>
        <w:spacing w:after="0" w:line="240" w:lineRule="auto"/>
        <w:rPr>
          <w:rFonts w:ascii="Times New Roman" w:eastAsia="Times New Roman" w:hAnsi="Times New Roman"/>
        </w:rPr>
      </w:pPr>
      <w:r w:rsidRPr="0071727F">
        <w:rPr>
          <w:rFonts w:ascii="Times New Roman" w:eastAsia="Times New Roman" w:hAnsi="Times New Roman"/>
        </w:rPr>
        <w:t xml:space="preserve">Vartojant kvetiapiną labai retais atvejais užfiksuota stipriai išreikštų odos nepageidaujamų reakcijų (angl. </w:t>
      </w:r>
      <w:r w:rsidRPr="0071727F">
        <w:rPr>
          <w:rFonts w:ascii="Times New Roman" w:eastAsia="Times New Roman" w:hAnsi="Times New Roman"/>
          <w:i/>
        </w:rPr>
        <w:t>Severe cutaneous adverse reactions, SCARs</w:t>
      </w:r>
      <w:r w:rsidRPr="0071727F">
        <w:rPr>
          <w:rFonts w:ascii="Times New Roman" w:eastAsia="Times New Roman" w:hAnsi="Times New Roman"/>
        </w:rPr>
        <w:t xml:space="preserve">), </w:t>
      </w:r>
      <w:r w:rsidRPr="00170B96">
        <w:rPr>
          <w:rFonts w:ascii="Times New Roman" w:eastAsia="Times New Roman" w:hAnsi="Times New Roman"/>
        </w:rPr>
        <w:t>kurios gali būti pavojingos gyvybei arba mirtinos</w:t>
      </w:r>
      <w:r>
        <w:rPr>
          <w:rFonts w:ascii="Times New Roman" w:eastAsia="Times New Roman" w:hAnsi="Times New Roman"/>
        </w:rPr>
        <w:t>:</w:t>
      </w:r>
    </w:p>
    <w:p w14:paraId="3C172324" w14:textId="6474DAE5" w:rsidR="0071727F" w:rsidRPr="00B02A4C" w:rsidRDefault="0071727F" w:rsidP="0071727F">
      <w:pPr>
        <w:pStyle w:val="Sraopastraipa"/>
        <w:keepNext/>
        <w:numPr>
          <w:ilvl w:val="0"/>
          <w:numId w:val="25"/>
        </w:numPr>
        <w:shd w:val="clear" w:color="auto" w:fill="FFFFFF"/>
        <w:spacing w:after="0" w:line="240" w:lineRule="auto"/>
        <w:ind w:left="567" w:hanging="567"/>
        <w:rPr>
          <w:rFonts w:ascii="Times New Roman" w:hAnsi="Times New Roman"/>
          <w:color w:val="000000"/>
        </w:rPr>
      </w:pPr>
      <w:r w:rsidRPr="0071727F">
        <w:rPr>
          <w:rFonts w:ascii="Times New Roman" w:hAnsi="Times New Roman"/>
        </w:rPr>
        <w:t>Stivenso-Džonsono (</w:t>
      </w:r>
      <w:r w:rsidRPr="0071727F">
        <w:rPr>
          <w:rFonts w:ascii="Times New Roman" w:hAnsi="Times New Roman"/>
          <w:i/>
          <w:iCs/>
        </w:rPr>
        <w:t>Stevens-Johnson</w:t>
      </w:r>
      <w:r>
        <w:rPr>
          <w:rFonts w:ascii="Times New Roman" w:hAnsi="Times New Roman"/>
        </w:rPr>
        <w:t>) sindromas</w:t>
      </w:r>
      <w:r w:rsidRPr="0071727F">
        <w:rPr>
          <w:rFonts w:ascii="Times New Roman" w:hAnsi="Times New Roman"/>
        </w:rPr>
        <w:t xml:space="preserve"> (SJS), plačiai išplitęs išbėrimas su pustulėmis, </w:t>
      </w:r>
      <w:r>
        <w:rPr>
          <w:rFonts w:ascii="Times New Roman" w:hAnsi="Times New Roman"/>
        </w:rPr>
        <w:t>odos atsisluoksniavimu, ypač apie burną, nosį, akis ir lyties organus;</w:t>
      </w:r>
    </w:p>
    <w:p w14:paraId="0878C277" w14:textId="5E9FD842" w:rsidR="0071727F" w:rsidRPr="00B02A4C" w:rsidRDefault="0071727F" w:rsidP="0071727F">
      <w:pPr>
        <w:pStyle w:val="Sraopastraipa"/>
        <w:keepNext/>
        <w:numPr>
          <w:ilvl w:val="0"/>
          <w:numId w:val="25"/>
        </w:numPr>
        <w:shd w:val="clear" w:color="auto" w:fill="FFFFFF"/>
        <w:spacing w:after="0" w:line="240" w:lineRule="auto"/>
        <w:ind w:left="567" w:hanging="567"/>
        <w:rPr>
          <w:rFonts w:ascii="Times New Roman" w:hAnsi="Times New Roman"/>
          <w:color w:val="000000"/>
        </w:rPr>
      </w:pPr>
      <w:r w:rsidRPr="0071727F">
        <w:rPr>
          <w:rFonts w:ascii="Times New Roman" w:hAnsi="Times New Roman"/>
        </w:rPr>
        <w:t>toksin</w:t>
      </w:r>
      <w:r>
        <w:rPr>
          <w:rFonts w:ascii="Times New Roman" w:hAnsi="Times New Roman"/>
        </w:rPr>
        <w:t>ė</w:t>
      </w:r>
      <w:r w:rsidRPr="0071727F">
        <w:rPr>
          <w:rFonts w:ascii="Times New Roman" w:hAnsi="Times New Roman"/>
        </w:rPr>
        <w:t xml:space="preserve"> epidermio nekroliz</w:t>
      </w:r>
      <w:r>
        <w:rPr>
          <w:rFonts w:ascii="Times New Roman" w:hAnsi="Times New Roman"/>
        </w:rPr>
        <w:t>ė</w:t>
      </w:r>
      <w:r w:rsidRPr="0071727F">
        <w:rPr>
          <w:rFonts w:ascii="Times New Roman" w:hAnsi="Times New Roman"/>
        </w:rPr>
        <w:t xml:space="preserve"> (TEN)</w:t>
      </w:r>
      <w:r>
        <w:rPr>
          <w:rFonts w:ascii="Times New Roman" w:hAnsi="Times New Roman"/>
        </w:rPr>
        <w:t xml:space="preserve">, dar sunkesnė </w:t>
      </w:r>
      <w:r w:rsidR="00B02A4C">
        <w:rPr>
          <w:rFonts w:ascii="Times New Roman" w:hAnsi="Times New Roman"/>
        </w:rPr>
        <w:t>ligos forma su išreikštu odos atsisluoksniavimu,</w:t>
      </w:r>
    </w:p>
    <w:p w14:paraId="1527F459" w14:textId="69073CD5" w:rsidR="00B02A4C" w:rsidRPr="00B02A4C" w:rsidRDefault="0071727F" w:rsidP="0071727F">
      <w:pPr>
        <w:pStyle w:val="Sraopastraipa"/>
        <w:keepNext/>
        <w:numPr>
          <w:ilvl w:val="0"/>
          <w:numId w:val="25"/>
        </w:numPr>
        <w:shd w:val="clear" w:color="auto" w:fill="FFFFFF"/>
        <w:spacing w:after="0" w:line="240" w:lineRule="auto"/>
        <w:ind w:left="567" w:hanging="567"/>
        <w:rPr>
          <w:rFonts w:ascii="Times New Roman" w:hAnsi="Times New Roman"/>
          <w:color w:val="000000"/>
        </w:rPr>
      </w:pPr>
      <w:r w:rsidRPr="0071727F">
        <w:rPr>
          <w:rFonts w:ascii="Times New Roman" w:hAnsi="Times New Roman"/>
        </w:rPr>
        <w:t>reakcij</w:t>
      </w:r>
      <w:r w:rsidR="005C6E86">
        <w:rPr>
          <w:rFonts w:ascii="Times New Roman" w:hAnsi="Times New Roman"/>
        </w:rPr>
        <w:t>a</w:t>
      </w:r>
      <w:r w:rsidRPr="0071727F">
        <w:rPr>
          <w:rFonts w:ascii="Times New Roman" w:hAnsi="Times New Roman"/>
        </w:rPr>
        <w:t xml:space="preserve"> į vaistinį preparatą su eozinofilija ir sisteminiais sindromais (angl. </w:t>
      </w:r>
      <w:r w:rsidRPr="0071727F">
        <w:rPr>
          <w:rFonts w:ascii="Times New Roman" w:hAnsi="Times New Roman"/>
          <w:i/>
        </w:rPr>
        <w:t>drug reaction with eosinophilia and systemic symptoms, DRESS</w:t>
      </w:r>
      <w:r w:rsidRPr="0071727F">
        <w:rPr>
          <w:rFonts w:ascii="Times New Roman" w:hAnsi="Times New Roman"/>
        </w:rPr>
        <w:t xml:space="preserve">), </w:t>
      </w:r>
      <w:r w:rsidR="00B02A4C">
        <w:rPr>
          <w:rFonts w:ascii="Times New Roman" w:hAnsi="Times New Roman"/>
        </w:rPr>
        <w:t xml:space="preserve">pasireiškianti gripui panašiais simptomais: išbėrimu, </w:t>
      </w:r>
      <w:r w:rsidR="00B02A4C" w:rsidRPr="0071727F">
        <w:rPr>
          <w:rFonts w:ascii="Times New Roman" w:hAnsi="Times New Roman"/>
        </w:rPr>
        <w:t>karščiavim</w:t>
      </w:r>
      <w:r w:rsidR="00B02A4C">
        <w:rPr>
          <w:rFonts w:ascii="Times New Roman" w:hAnsi="Times New Roman"/>
        </w:rPr>
        <w:t xml:space="preserve">u, </w:t>
      </w:r>
      <w:r w:rsidR="00B02A4C" w:rsidRPr="0071727F">
        <w:rPr>
          <w:rFonts w:ascii="Times New Roman" w:hAnsi="Times New Roman"/>
        </w:rPr>
        <w:t>limf</w:t>
      </w:r>
      <w:r w:rsidR="00B02A4C">
        <w:rPr>
          <w:rFonts w:ascii="Times New Roman" w:hAnsi="Times New Roman"/>
        </w:rPr>
        <w:t>mazgių padidėjimu, kraujo pokyčiais (padidėjusiu eozinofilų kiekiu) ir padidėjusiu kepenų fermentų aktyvumu;</w:t>
      </w:r>
    </w:p>
    <w:p w14:paraId="264A587B" w14:textId="77777777" w:rsidR="00B02A4C" w:rsidRPr="00B02A4C" w:rsidRDefault="00B02A4C" w:rsidP="0071727F">
      <w:pPr>
        <w:pStyle w:val="Sraopastraipa"/>
        <w:keepNext/>
        <w:numPr>
          <w:ilvl w:val="0"/>
          <w:numId w:val="25"/>
        </w:numPr>
        <w:shd w:val="clear" w:color="auto" w:fill="FFFFFF"/>
        <w:spacing w:after="0" w:line="240" w:lineRule="auto"/>
        <w:ind w:left="567" w:hanging="567"/>
        <w:rPr>
          <w:rFonts w:ascii="Times New Roman" w:hAnsi="Times New Roman"/>
          <w:color w:val="000000"/>
        </w:rPr>
      </w:pPr>
      <w:r>
        <w:rPr>
          <w:rFonts w:ascii="Times New Roman" w:hAnsi="Times New Roman"/>
        </w:rPr>
        <w:t>ūminė išplitusi ekzanteminė pustuliozė: mažos pūslytės, pripildytos pūliais;</w:t>
      </w:r>
    </w:p>
    <w:p w14:paraId="7E301490" w14:textId="198AC175" w:rsidR="00B02A4C" w:rsidRPr="00B02A4C" w:rsidRDefault="00B02A4C" w:rsidP="00B02A4C">
      <w:pPr>
        <w:pStyle w:val="Sraopastraipa"/>
        <w:keepNext/>
        <w:numPr>
          <w:ilvl w:val="0"/>
          <w:numId w:val="25"/>
        </w:numPr>
        <w:shd w:val="clear" w:color="auto" w:fill="FFFFFF"/>
        <w:spacing w:after="0" w:line="240" w:lineRule="auto"/>
        <w:ind w:left="567" w:hanging="567"/>
        <w:rPr>
          <w:rFonts w:ascii="Times New Roman" w:hAnsi="Times New Roman"/>
          <w:color w:val="000000"/>
        </w:rPr>
      </w:pPr>
      <w:r>
        <w:rPr>
          <w:rFonts w:ascii="Times New Roman" w:hAnsi="Times New Roman"/>
        </w:rPr>
        <w:t>dauginė eritema, išbėrimas raudonomis niežtinčiomis dėmėmis</w:t>
      </w:r>
    </w:p>
    <w:p w14:paraId="595F58B5" w14:textId="55B5A18D" w:rsidR="0071727F" w:rsidRPr="00B02A4C" w:rsidRDefault="00B02A4C" w:rsidP="00B02A4C">
      <w:pPr>
        <w:keepNext/>
        <w:shd w:val="clear" w:color="auto" w:fill="FFFFFF"/>
        <w:spacing w:after="0" w:line="240" w:lineRule="auto"/>
        <w:rPr>
          <w:rFonts w:ascii="Times New Roman" w:hAnsi="Times New Roman"/>
          <w:color w:val="000000"/>
        </w:rPr>
      </w:pPr>
      <w:r>
        <w:rPr>
          <w:rFonts w:ascii="Times New Roman" w:hAnsi="Times New Roman"/>
          <w:noProof/>
          <w:lang w:val="lv-LV"/>
        </w:rPr>
        <w:t>Ne</w:t>
      </w:r>
      <w:r w:rsidR="0071727F" w:rsidRPr="00B02A4C">
        <w:rPr>
          <w:rFonts w:ascii="Times New Roman" w:hAnsi="Times New Roman"/>
          <w:noProof/>
          <w:lang w:val="lv-LV"/>
        </w:rPr>
        <w:t>delsiant nutrauk</w:t>
      </w:r>
      <w:r>
        <w:rPr>
          <w:rFonts w:ascii="Times New Roman" w:hAnsi="Times New Roman"/>
          <w:noProof/>
          <w:lang w:val="lv-LV"/>
        </w:rPr>
        <w:t>ite</w:t>
      </w:r>
      <w:r w:rsidRPr="00B02A4C">
        <w:rPr>
          <w:rFonts w:ascii="Times New Roman" w:hAnsi="Times New Roman"/>
          <w:noProof/>
          <w:lang w:val="lv-LV"/>
        </w:rPr>
        <w:t xml:space="preserve"> </w:t>
      </w:r>
      <w:r w:rsidR="005C6E86">
        <w:rPr>
          <w:rFonts w:ascii="Times New Roman" w:hAnsi="Times New Roman"/>
          <w:noProof/>
          <w:lang w:val="lv-LV"/>
        </w:rPr>
        <w:t>Hedonin</w:t>
      </w:r>
      <w:r w:rsidRPr="00B02A4C">
        <w:rPr>
          <w:rFonts w:ascii="Times New Roman" w:hAnsi="Times New Roman"/>
          <w:noProof/>
          <w:lang w:val="lv-LV"/>
        </w:rPr>
        <w:t xml:space="preserve"> vartojimą</w:t>
      </w:r>
      <w:r>
        <w:rPr>
          <w:rFonts w:ascii="Times New Roman" w:hAnsi="Times New Roman"/>
          <w:noProof/>
          <w:lang w:val="lv-LV"/>
        </w:rPr>
        <w:t xml:space="preserve"> ir kreipkitės į savo gydytoją arba n</w:t>
      </w:r>
      <w:r w:rsidRPr="00B02A4C">
        <w:rPr>
          <w:rFonts w:ascii="Times New Roman" w:hAnsi="Times New Roman"/>
          <w:noProof/>
          <w:lang w:val="lv-LV"/>
        </w:rPr>
        <w:t xml:space="preserve">edelsiant kreipkitės </w:t>
      </w:r>
      <w:r>
        <w:rPr>
          <w:rFonts w:ascii="Times New Roman" w:hAnsi="Times New Roman"/>
          <w:noProof/>
          <w:lang w:val="lv-LV"/>
        </w:rPr>
        <w:t>kitos medicininės pagalbos</w:t>
      </w:r>
      <w:r w:rsidR="0071727F" w:rsidRPr="00B02A4C">
        <w:rPr>
          <w:rFonts w:ascii="Times New Roman" w:hAnsi="Times New Roman"/>
          <w:color w:val="000000"/>
        </w:rPr>
        <w:t>.</w:t>
      </w:r>
    </w:p>
    <w:p w14:paraId="2356C346" w14:textId="77777777" w:rsidR="00CB68E6" w:rsidRPr="00F45D90" w:rsidRDefault="00CB68E6" w:rsidP="00CB68E6">
      <w:pPr>
        <w:spacing w:after="0" w:line="240" w:lineRule="auto"/>
        <w:rPr>
          <w:rFonts w:ascii="Times New Roman" w:hAnsi="Times New Roman"/>
        </w:rPr>
      </w:pPr>
    </w:p>
    <w:p w14:paraId="528E11DF" w14:textId="77777777" w:rsidR="00CB68E6" w:rsidRPr="00F45D90" w:rsidRDefault="00CB68E6" w:rsidP="00CB68E6">
      <w:pPr>
        <w:spacing w:after="0" w:line="240" w:lineRule="auto"/>
        <w:rPr>
          <w:rFonts w:ascii="Times New Roman" w:eastAsia="Times New Roman" w:hAnsi="Times New Roman"/>
          <w:i/>
        </w:rPr>
      </w:pPr>
      <w:r w:rsidRPr="00F45D90">
        <w:rPr>
          <w:rFonts w:ascii="Times New Roman" w:eastAsia="Times New Roman" w:hAnsi="Times New Roman"/>
          <w:i/>
        </w:rPr>
        <w:t>Svorio prieaugis</w:t>
      </w:r>
    </w:p>
    <w:p w14:paraId="2F506FC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Pacientams, vartojantiems Hedonin, pastebėtas svorio didėjimas. Jūs ir Jūsų gydytojas turi reguliariai vertinti svorį.</w:t>
      </w:r>
    </w:p>
    <w:p w14:paraId="3BDC0D7D" w14:textId="77777777" w:rsidR="00CB68E6" w:rsidRPr="00F45D90" w:rsidRDefault="00CB68E6" w:rsidP="00CB68E6">
      <w:pPr>
        <w:spacing w:after="0" w:line="240" w:lineRule="auto"/>
        <w:rPr>
          <w:rFonts w:ascii="Times New Roman" w:hAnsi="Times New Roman"/>
        </w:rPr>
      </w:pPr>
    </w:p>
    <w:p w14:paraId="03FE4E1A" w14:textId="77777777" w:rsidR="00CB68E6" w:rsidRPr="00F45D90" w:rsidRDefault="00CB68E6" w:rsidP="00CB68E6">
      <w:pPr>
        <w:spacing w:after="0" w:line="240" w:lineRule="auto"/>
        <w:rPr>
          <w:rFonts w:ascii="Times New Roman" w:eastAsia="Times New Roman" w:hAnsi="Times New Roman"/>
          <w:i/>
          <w:iCs/>
        </w:rPr>
      </w:pPr>
      <w:r w:rsidRPr="00F45D90">
        <w:rPr>
          <w:rFonts w:ascii="Times New Roman" w:eastAsia="Times New Roman" w:hAnsi="Times New Roman"/>
          <w:i/>
          <w:iCs/>
        </w:rPr>
        <w:t>Vaikams ir paaugliams</w:t>
      </w:r>
    </w:p>
    <w:p w14:paraId="4E06FF2E" w14:textId="77777777" w:rsidR="00CB68E6" w:rsidRPr="00F45D90" w:rsidRDefault="00CB68E6" w:rsidP="00CB68E6">
      <w:pPr>
        <w:spacing w:after="0" w:line="240" w:lineRule="auto"/>
        <w:rPr>
          <w:rFonts w:ascii="Times New Roman" w:eastAsia="Times New Roman" w:hAnsi="Times New Roman"/>
          <w:iCs/>
        </w:rPr>
      </w:pPr>
      <w:r w:rsidRPr="00F45D90">
        <w:rPr>
          <w:rFonts w:ascii="Times New Roman" w:eastAsia="Times New Roman" w:hAnsi="Times New Roman"/>
          <w:iCs/>
        </w:rPr>
        <w:t>Hedonin nėra skirtas vartoti vaikams ir paaugliams iki 18 metų.</w:t>
      </w:r>
    </w:p>
    <w:p w14:paraId="7D786957" w14:textId="77777777" w:rsidR="00CB68E6" w:rsidRPr="00F45D90" w:rsidRDefault="00CB68E6" w:rsidP="00CB68E6">
      <w:pPr>
        <w:spacing w:after="0" w:line="240" w:lineRule="auto"/>
        <w:rPr>
          <w:rFonts w:ascii="Times New Roman" w:hAnsi="Times New Roman"/>
        </w:rPr>
      </w:pPr>
    </w:p>
    <w:p w14:paraId="0F6E2273"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b/>
        </w:rPr>
        <w:t>Kiti vaistai ir Hedonin</w:t>
      </w:r>
    </w:p>
    <w:p w14:paraId="0F2C425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Jeigu vartojate arba neseniai vartojote kitų vaistų arba nesate dėl to tikri, apie tai pasakykite gydytojui arba vaistininkui.</w:t>
      </w:r>
    </w:p>
    <w:p w14:paraId="2FFAA02F" w14:textId="77777777" w:rsidR="00CB68E6" w:rsidRPr="00F45D90" w:rsidRDefault="00CB68E6" w:rsidP="00CB68E6">
      <w:pPr>
        <w:spacing w:after="0" w:line="240" w:lineRule="auto"/>
        <w:rPr>
          <w:rFonts w:ascii="Times New Roman" w:hAnsi="Times New Roman"/>
        </w:rPr>
      </w:pPr>
    </w:p>
    <w:p w14:paraId="3CDFFFF8"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Nevartokite Hedonin tuo metu, kai gydotės žemiau išvardytais vaistiniais preparatais:</w:t>
      </w:r>
    </w:p>
    <w:p w14:paraId="786B9F36"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kai kuriais vaistais ŽIV infekcijos gydymui,</w:t>
      </w:r>
    </w:p>
    <w:p w14:paraId="53C7DDD1"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azolo grupės vaistais (grybelių sukeltoms infekcijoms gydyti),</w:t>
      </w:r>
    </w:p>
    <w:p w14:paraId="359576DD"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eritromicinu arba klaritromicinu (vaistais infekcinėms ligoms gydyti),</w:t>
      </w:r>
    </w:p>
    <w:p w14:paraId="41FDD141"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vaistu nuo depresijos nefazodonu.</w:t>
      </w:r>
    </w:p>
    <w:p w14:paraId="415183B4" w14:textId="77777777" w:rsidR="00CB68E6" w:rsidRPr="00F45D90" w:rsidRDefault="00CB68E6" w:rsidP="00CB68E6">
      <w:pPr>
        <w:spacing w:after="0" w:line="240" w:lineRule="auto"/>
        <w:ind w:left="567" w:hanging="567"/>
        <w:rPr>
          <w:rFonts w:ascii="Times New Roman" w:hAnsi="Times New Roman"/>
        </w:rPr>
      </w:pPr>
    </w:p>
    <w:p w14:paraId="6F36691A" w14:textId="77777777" w:rsidR="00CB68E6" w:rsidRPr="00F45D90" w:rsidRDefault="00CB68E6" w:rsidP="00CB68E6">
      <w:pPr>
        <w:spacing w:after="0" w:line="240" w:lineRule="auto"/>
        <w:ind w:left="567" w:hanging="567"/>
        <w:rPr>
          <w:rFonts w:ascii="Times New Roman" w:hAnsi="Times New Roman"/>
          <w:b/>
        </w:rPr>
      </w:pPr>
      <w:r w:rsidRPr="00F45D90">
        <w:rPr>
          <w:rFonts w:ascii="Times New Roman" w:hAnsi="Times New Roman"/>
          <w:b/>
        </w:rPr>
        <w:t>Pasakykite gydytojui, jei vartojate šiuos vaistinius preparatus:</w:t>
      </w:r>
    </w:p>
    <w:p w14:paraId="156B0D0C"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vaistus epilepsijai gydyti (natrio valproatą, fenitoiną arba karbamazepiną); </w:t>
      </w:r>
    </w:p>
    <w:p w14:paraId="46E04FEA" w14:textId="77777777" w:rsidR="00CB68E6" w:rsidRPr="00F45D90" w:rsidRDefault="00CB68E6" w:rsidP="00CB68E6">
      <w:pPr>
        <w:numPr>
          <w:ilvl w:val="0"/>
          <w:numId w:val="3"/>
        </w:numPr>
        <w:spacing w:after="0" w:line="240" w:lineRule="auto"/>
        <w:ind w:left="567" w:hanging="567"/>
        <w:contextualSpacing/>
        <w:rPr>
          <w:rFonts w:ascii="Times New Roman" w:hAnsi="Times New Roman"/>
        </w:rPr>
      </w:pPr>
      <w:r w:rsidRPr="00F45D90">
        <w:rPr>
          <w:rFonts w:ascii="Times New Roman" w:hAnsi="Times New Roman"/>
        </w:rPr>
        <w:t>vaistus padidėjusiam kraujospūdžiui gydyti;</w:t>
      </w:r>
    </w:p>
    <w:p w14:paraId="26669395" w14:textId="77777777" w:rsidR="00CB68E6" w:rsidRPr="00F45D90" w:rsidRDefault="00CB68E6" w:rsidP="00CB68E6">
      <w:pPr>
        <w:numPr>
          <w:ilvl w:val="0"/>
          <w:numId w:val="3"/>
        </w:numPr>
        <w:spacing w:after="0" w:line="240" w:lineRule="auto"/>
        <w:ind w:left="567" w:hanging="567"/>
        <w:contextualSpacing/>
        <w:rPr>
          <w:rFonts w:ascii="Times New Roman" w:hAnsi="Times New Roman"/>
        </w:rPr>
      </w:pPr>
      <w:r w:rsidRPr="00F45D90">
        <w:rPr>
          <w:rFonts w:ascii="Times New Roman" w:hAnsi="Times New Roman"/>
        </w:rPr>
        <w:t>barbitūratus (esant miego sutrikimui);</w:t>
      </w:r>
    </w:p>
    <w:p w14:paraId="48389139"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tioridaziną arba litį (kitus vaistus psichozei gydyti);</w:t>
      </w:r>
    </w:p>
    <w:p w14:paraId="3D28063B" w14:textId="77777777" w:rsidR="00CB68E6" w:rsidRPr="00F45D90" w:rsidRDefault="00CB68E6" w:rsidP="00CB68E6">
      <w:pPr>
        <w:numPr>
          <w:ilvl w:val="0"/>
          <w:numId w:val="4"/>
        </w:numPr>
        <w:spacing w:after="0" w:line="240" w:lineRule="auto"/>
        <w:ind w:left="567" w:hanging="567"/>
        <w:contextualSpacing/>
        <w:rPr>
          <w:rFonts w:ascii="Times New Roman" w:hAnsi="Times New Roman"/>
        </w:rPr>
      </w:pPr>
      <w:r w:rsidRPr="00F45D90">
        <w:rPr>
          <w:rFonts w:ascii="Times New Roman" w:hAnsi="Times New Roman"/>
        </w:rPr>
        <w:t>vaistus, galinčius turėti įtakos širdies veiklai, pavyzdžiui, elektrolitų pusiausvyros sutrikimus (mažinančius kalio arba magnio koncentraciją kraujyje) sukeliantys diuretikai (šlapimo išsiskyrimą skatinantys vaistai) arba kai kurie antibiotikai (vaistai infekcinėms ligoms gydyti);</w:t>
      </w:r>
    </w:p>
    <w:p w14:paraId="4383ED0F" w14:textId="77777777" w:rsidR="00CB68E6" w:rsidRPr="00F45D90" w:rsidRDefault="00CB68E6" w:rsidP="00CB68E6">
      <w:pPr>
        <w:numPr>
          <w:ilvl w:val="0"/>
          <w:numId w:val="4"/>
        </w:numPr>
        <w:spacing w:after="0" w:line="240" w:lineRule="auto"/>
        <w:ind w:left="567" w:hanging="567"/>
        <w:contextualSpacing/>
        <w:rPr>
          <w:rFonts w:ascii="Times New Roman" w:hAnsi="Times New Roman"/>
        </w:rPr>
      </w:pPr>
      <w:r w:rsidRPr="00F45D90">
        <w:rPr>
          <w:rFonts w:ascii="Times New Roman" w:hAnsi="Times New Roman"/>
        </w:rPr>
        <w:t>vidurių užkietėjimą sukeliančius vaistus;</w:t>
      </w:r>
    </w:p>
    <w:p w14:paraId="2F2118E7" w14:textId="77777777" w:rsidR="00B74044" w:rsidRPr="0085150F" w:rsidRDefault="00CB68E6" w:rsidP="00CB68E6">
      <w:pPr>
        <w:pStyle w:val="Sraopastraipa"/>
        <w:numPr>
          <w:ilvl w:val="0"/>
          <w:numId w:val="4"/>
        </w:numPr>
        <w:spacing w:after="0" w:line="240" w:lineRule="auto"/>
        <w:ind w:left="567" w:hanging="567"/>
        <w:rPr>
          <w:rFonts w:ascii="Times New Roman" w:hAnsi="Times New Roman"/>
        </w:rPr>
      </w:pPr>
      <w:r w:rsidRPr="00F45D90">
        <w:rPr>
          <w:rFonts w:ascii="Times New Roman" w:eastAsia="Calibri" w:hAnsi="Times New Roman"/>
        </w:rPr>
        <w:t>vaistus (vadinamus „anticholinerginiais“), veikiančius nervų ląstelių funkciją ir todėl vartojamus tam tikroms ligoms gydyti</w:t>
      </w:r>
      <w:r w:rsidR="00B74044">
        <w:rPr>
          <w:rFonts w:ascii="Times New Roman" w:eastAsia="Calibri" w:hAnsi="Times New Roman"/>
        </w:rPr>
        <w:t>;</w:t>
      </w:r>
    </w:p>
    <w:p w14:paraId="372A3A4E" w14:textId="77E4B2CD" w:rsidR="00CB68E6" w:rsidRPr="00F45D90" w:rsidRDefault="00B74044" w:rsidP="00B74044">
      <w:pPr>
        <w:pStyle w:val="Sraopastraipa"/>
        <w:numPr>
          <w:ilvl w:val="0"/>
          <w:numId w:val="4"/>
        </w:numPr>
        <w:spacing w:after="0" w:line="240" w:lineRule="auto"/>
        <w:ind w:left="567" w:hanging="567"/>
        <w:rPr>
          <w:rFonts w:ascii="Times New Roman" w:hAnsi="Times New Roman"/>
        </w:rPr>
      </w:pPr>
      <w:r>
        <w:rPr>
          <w:rFonts w:ascii="Times New Roman" w:hAnsi="Times New Roman"/>
        </w:rPr>
        <w:lastRenderedPageBreak/>
        <w:t>antidepresantus. Šie vaistai gali sąveikauti su Hedonin ir Jūs galite pajausti tokius simptomus kaip nevalingi, ritmiški raumenų susitraukimai, įskaitant tų raumenų, kurie kontroliuoja akių judesius, sujaudinimą</w:t>
      </w:r>
      <w:r w:rsidR="00C6240E">
        <w:rPr>
          <w:rFonts w:ascii="Times New Roman" w:hAnsi="Times New Roman"/>
        </w:rPr>
        <w:t xml:space="preserve"> (ažitaciją)</w:t>
      </w:r>
      <w:r>
        <w:rPr>
          <w:rFonts w:ascii="Times New Roman" w:hAnsi="Times New Roman"/>
        </w:rPr>
        <w:t>, haliucinacijas, komą, stiprų prakaitavimą, drebėjimą, sustiprėjusius refleksus, padidėjusį raumenų tonusą</w:t>
      </w:r>
      <w:r w:rsidR="00C6240E">
        <w:rPr>
          <w:rFonts w:ascii="Times New Roman" w:hAnsi="Times New Roman"/>
        </w:rPr>
        <w:t>,</w:t>
      </w:r>
      <w:r w:rsidRPr="00B74044">
        <w:rPr>
          <w:rFonts w:ascii="Times New Roman" w:hAnsi="Times New Roman"/>
        </w:rPr>
        <w:t xml:space="preserve"> </w:t>
      </w:r>
      <w:r>
        <w:rPr>
          <w:rFonts w:ascii="Times New Roman" w:hAnsi="Times New Roman"/>
        </w:rPr>
        <w:t xml:space="preserve">didesnę nei </w:t>
      </w:r>
      <w:r w:rsidRPr="00B74044">
        <w:rPr>
          <w:rFonts w:ascii="Times New Roman" w:hAnsi="Times New Roman"/>
        </w:rPr>
        <w:t>38</w:t>
      </w:r>
      <w:r w:rsidRPr="00D27530">
        <w:rPr>
          <w:rFonts w:ascii="Times New Roman" w:hAnsi="Times New Roman"/>
        </w:rPr>
        <w:t>°C</w:t>
      </w:r>
      <w:r w:rsidRPr="00B74044">
        <w:rPr>
          <w:rFonts w:ascii="Times New Roman" w:hAnsi="Times New Roman"/>
        </w:rPr>
        <w:t xml:space="preserve"> </w:t>
      </w:r>
      <w:r>
        <w:rPr>
          <w:rFonts w:ascii="Times New Roman" w:hAnsi="Times New Roman"/>
        </w:rPr>
        <w:t>kūno temperatūrą (serotonino sindromas)</w:t>
      </w:r>
      <w:r w:rsidR="0085150F">
        <w:rPr>
          <w:rFonts w:ascii="Times New Roman" w:hAnsi="Times New Roman"/>
        </w:rPr>
        <w:t>. Jei pajusite tokius simptomus, kreipkitės į Jūsų gydytoją.</w:t>
      </w:r>
    </w:p>
    <w:p w14:paraId="6A0BA4B7" w14:textId="77777777" w:rsidR="00CB68E6" w:rsidRPr="00F45D90" w:rsidRDefault="00CB68E6" w:rsidP="00CB68E6">
      <w:pPr>
        <w:spacing w:after="0" w:line="240" w:lineRule="auto"/>
        <w:rPr>
          <w:rFonts w:ascii="Times New Roman" w:hAnsi="Times New Roman"/>
        </w:rPr>
      </w:pPr>
    </w:p>
    <w:p w14:paraId="5BBAED46"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b/>
        </w:rPr>
        <w:t>Prieš nutraukdami bet kokių vaistų vartojimą pirmiausia pasitarkite su gydytoju.</w:t>
      </w:r>
    </w:p>
    <w:p w14:paraId="2D2D8CBE" w14:textId="77777777" w:rsidR="00CB68E6" w:rsidRPr="00F45D90" w:rsidRDefault="00CB68E6" w:rsidP="00CB68E6">
      <w:pPr>
        <w:spacing w:after="0" w:line="240" w:lineRule="auto"/>
        <w:rPr>
          <w:rFonts w:ascii="Times New Roman" w:hAnsi="Times New Roman"/>
        </w:rPr>
      </w:pPr>
    </w:p>
    <w:p w14:paraId="477D2798"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b/>
        </w:rPr>
        <w:t>Hedonin vartojimas su maistu, gėrimais ir alkoholiu</w:t>
      </w:r>
    </w:p>
    <w:p w14:paraId="2764D28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galima vartoti valgymo metu arba nevalgius.</w:t>
      </w:r>
    </w:p>
    <w:p w14:paraId="61EC61FF"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Negerkite daug alkoholinių gėrimų, kadangi alkoholio ir Hedonin poveikis gali sumuotis ir dėl to pasireikšti </w:t>
      </w:r>
      <w:r w:rsidRPr="00F45D90">
        <w:rPr>
          <w:rFonts w:ascii="Times New Roman" w:hAnsi="Times New Roman"/>
          <w:bCs/>
        </w:rPr>
        <w:t>mieguistumas</w:t>
      </w:r>
      <w:r w:rsidRPr="00F45D90">
        <w:rPr>
          <w:rFonts w:ascii="Times New Roman" w:hAnsi="Times New Roman"/>
        </w:rPr>
        <w:t>.</w:t>
      </w:r>
    </w:p>
    <w:p w14:paraId="44786A4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Vartojant Hedonin negerkite greipfrutų sulčių, nes jos gali turėti įtakos Hedonin poveikiui.</w:t>
      </w:r>
    </w:p>
    <w:p w14:paraId="5A90E154" w14:textId="77777777" w:rsidR="00CB68E6" w:rsidRPr="00F45D90" w:rsidRDefault="00CB68E6" w:rsidP="00CB68E6">
      <w:pPr>
        <w:spacing w:after="0" w:line="240" w:lineRule="auto"/>
        <w:rPr>
          <w:rFonts w:ascii="Times New Roman" w:hAnsi="Times New Roman"/>
        </w:rPr>
      </w:pPr>
    </w:p>
    <w:p w14:paraId="032149AE"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b/>
        </w:rPr>
        <w:t>Nėštumas, žindymo laikotarpis ir vaisingumas</w:t>
      </w:r>
    </w:p>
    <w:p w14:paraId="2F145CD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Jeigu esate nėščia, ketinate pastoti ar žindote kūdikį, prieš pradėdama vartoti Hedonin pasitarkite su gydytoju. Negalima vartoti Hedonin nėštumo laikotarpiu, kol nepasitarėte su gydytoju. Hedonin negalima vartoti žindymo laikotarpiu.</w:t>
      </w:r>
    </w:p>
    <w:p w14:paraId="3B3AB2FF" w14:textId="77777777" w:rsidR="00CB68E6" w:rsidRPr="00F45D90" w:rsidRDefault="00CB68E6" w:rsidP="00CB68E6">
      <w:pPr>
        <w:spacing w:after="0" w:line="240" w:lineRule="auto"/>
        <w:rPr>
          <w:rFonts w:ascii="Times New Roman" w:hAnsi="Times New Roman"/>
        </w:rPr>
      </w:pPr>
    </w:p>
    <w:p w14:paraId="55F1BA0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Naujagimiams, kurių motinos nėštumo trečiojo trimestro laikotarpiu vartojo kvetiapiną, gali būti tokių simptomų: drebulys, raumenų sustingimas ir (arba) silpnumas, mieguistumas, susijaudinimas, kvėpavimo sutrikimai, sutrikęs čiulpimas. Jeigu Jūsų vaikui atsirado kuris nors išvardytas simptomas, reikėtų pasitarti su gydytoju.</w:t>
      </w:r>
    </w:p>
    <w:p w14:paraId="357A6CC5" w14:textId="77777777" w:rsidR="00CB68E6" w:rsidRPr="00F45D90" w:rsidRDefault="00CB68E6" w:rsidP="00CB68E6">
      <w:pPr>
        <w:spacing w:after="0" w:line="240" w:lineRule="auto"/>
        <w:rPr>
          <w:rFonts w:ascii="Times New Roman" w:hAnsi="Times New Roman"/>
        </w:rPr>
      </w:pPr>
    </w:p>
    <w:p w14:paraId="34AB8D52" w14:textId="77777777" w:rsidR="00CB68E6" w:rsidRPr="00F45D90" w:rsidRDefault="00CB68E6" w:rsidP="00CB68E6">
      <w:pPr>
        <w:spacing w:after="0" w:line="240" w:lineRule="auto"/>
        <w:rPr>
          <w:rFonts w:ascii="Times New Roman" w:hAnsi="Times New Roman"/>
          <w:b/>
          <w:bCs/>
        </w:rPr>
      </w:pPr>
      <w:r w:rsidRPr="00F45D90">
        <w:rPr>
          <w:rFonts w:ascii="Times New Roman" w:hAnsi="Times New Roman"/>
          <w:b/>
          <w:bCs/>
        </w:rPr>
        <w:t>Vairavimas ir mechanizmų valdymas</w:t>
      </w:r>
    </w:p>
    <w:p w14:paraId="34594EC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Tabletės gali sukelti mieguistumą. Todėl nevairuokite ir nedirbkite su mechanizmais, kol pajusite, kaip šis vaistas veikia Jus.</w:t>
      </w:r>
    </w:p>
    <w:p w14:paraId="612F9615" w14:textId="77777777" w:rsidR="00CB68E6" w:rsidRPr="00F45D90" w:rsidRDefault="00CB68E6" w:rsidP="00CB68E6">
      <w:pPr>
        <w:spacing w:after="0" w:line="240" w:lineRule="auto"/>
        <w:rPr>
          <w:rFonts w:ascii="Times New Roman" w:eastAsia="Times New Roman" w:hAnsi="Times New Roman"/>
          <w:b/>
          <w:iCs/>
        </w:rPr>
      </w:pPr>
    </w:p>
    <w:p w14:paraId="799D9E82" w14:textId="77777777" w:rsidR="00CB68E6" w:rsidRPr="00F45D90" w:rsidRDefault="00CB68E6" w:rsidP="00CB68E6">
      <w:pPr>
        <w:spacing w:after="0" w:line="240" w:lineRule="auto"/>
        <w:rPr>
          <w:rFonts w:ascii="Times New Roman" w:eastAsia="Times New Roman" w:hAnsi="Times New Roman"/>
          <w:b/>
          <w:iCs/>
        </w:rPr>
      </w:pPr>
      <w:r w:rsidRPr="00F45D90">
        <w:rPr>
          <w:rFonts w:ascii="Times New Roman" w:eastAsia="Times New Roman" w:hAnsi="Times New Roman"/>
          <w:b/>
          <w:iCs/>
        </w:rPr>
        <w:t>Poveikis vaistų tyrimų šlapime duomenims</w:t>
      </w:r>
    </w:p>
    <w:p w14:paraId="2ED6DD3C" w14:textId="77777777" w:rsidR="00CB68E6" w:rsidRPr="00F45D90" w:rsidRDefault="00CB68E6" w:rsidP="00CB68E6">
      <w:pPr>
        <w:spacing w:after="0" w:line="240" w:lineRule="auto"/>
        <w:rPr>
          <w:rFonts w:ascii="Times New Roman" w:eastAsia="Times New Roman" w:hAnsi="Times New Roman"/>
        </w:rPr>
      </w:pPr>
      <w:r w:rsidRPr="00F45D90">
        <w:rPr>
          <w:rFonts w:ascii="Times New Roman" w:eastAsia="Times New Roman" w:hAnsi="Times New Roman"/>
        </w:rPr>
        <w:t>Vartojant Hedonin gali būti netikslūs vaistų tyrimų šlapime duomenys: kai kuriais metodais atlikti tyrimai gali rodyti metadono ar tam tikrų vaistų nuo depresijos, vadinamų tricikliniais antidepresantais, buvimą Jūsų šlapime, nors jų ir nevartojate. Tokiais atvejais galima tirti specifiškesniu metodu.</w:t>
      </w:r>
    </w:p>
    <w:p w14:paraId="03F211F4" w14:textId="77777777" w:rsidR="00CB68E6" w:rsidRPr="00F45D90" w:rsidRDefault="00CB68E6" w:rsidP="00CB68E6">
      <w:pPr>
        <w:spacing w:after="0" w:line="240" w:lineRule="auto"/>
        <w:rPr>
          <w:rFonts w:ascii="Times New Roman" w:hAnsi="Times New Roman"/>
        </w:rPr>
      </w:pPr>
    </w:p>
    <w:p w14:paraId="78A7783B" w14:textId="30EC25C6" w:rsidR="00CB68E6" w:rsidRPr="00F45D90" w:rsidRDefault="00CB68E6" w:rsidP="00CB68E6">
      <w:pPr>
        <w:spacing w:after="0" w:line="240" w:lineRule="auto"/>
        <w:rPr>
          <w:rFonts w:ascii="Times New Roman" w:hAnsi="Times New Roman"/>
          <w:b/>
        </w:rPr>
      </w:pPr>
      <w:r w:rsidRPr="00F45D90">
        <w:rPr>
          <w:rFonts w:ascii="Times New Roman" w:hAnsi="Times New Roman"/>
          <w:b/>
        </w:rPr>
        <w:t xml:space="preserve">Hedonin sudėtyje yra laktozės </w:t>
      </w:r>
    </w:p>
    <w:p w14:paraId="4BBC7149" w14:textId="6E71E95B" w:rsidR="00366652" w:rsidRPr="00BE281A" w:rsidRDefault="00CB68E6" w:rsidP="00366652">
      <w:pPr>
        <w:spacing w:after="0" w:line="240" w:lineRule="auto"/>
        <w:rPr>
          <w:rFonts w:ascii="Times New Roman" w:hAnsi="Times New Roman"/>
          <w:b/>
        </w:rPr>
      </w:pPr>
      <w:r w:rsidRPr="00F45D90">
        <w:rPr>
          <w:rFonts w:ascii="Times New Roman" w:hAnsi="Times New Roman"/>
        </w:rPr>
        <w:t>Jei gydytojas Jums sakė, kad Jūs netoleruojate kai kurių cukrų, prieš vartodami šį vaistą pasitarkite su gydytoju.</w:t>
      </w:r>
      <w:r w:rsidRPr="00F45D90">
        <w:rPr>
          <w:rFonts w:ascii="Times New Roman" w:hAnsi="Times New Roman"/>
          <w:noProof/>
          <w:lang w:eastAsia="lt-LT"/>
        </w:rPr>
        <w:br/>
      </w:r>
    </w:p>
    <w:p w14:paraId="1752CF1F" w14:textId="77777777" w:rsidR="00366652" w:rsidRPr="00F45D90" w:rsidRDefault="00366652" w:rsidP="00366652">
      <w:pPr>
        <w:spacing w:after="0" w:line="240" w:lineRule="auto"/>
        <w:rPr>
          <w:rFonts w:ascii="Times New Roman" w:hAnsi="Times New Roman"/>
          <w:b/>
        </w:rPr>
      </w:pPr>
      <w:r w:rsidRPr="00F45D90">
        <w:rPr>
          <w:rFonts w:ascii="Times New Roman" w:hAnsi="Times New Roman"/>
          <w:b/>
        </w:rPr>
        <w:t xml:space="preserve">Hedonin sudėtyje yra </w:t>
      </w:r>
      <w:r w:rsidRPr="00F45D90">
        <w:rPr>
          <w:rFonts w:ascii="Times New Roman" w:eastAsia="Times New Roman" w:hAnsi="Times New Roman"/>
          <w:b/>
          <w:noProof/>
          <w:lang w:eastAsia="lt-LT"/>
        </w:rPr>
        <w:t>lecitino (</w:t>
      </w:r>
      <w:r w:rsidRPr="00F45D90">
        <w:rPr>
          <w:rFonts w:ascii="Times New Roman" w:hAnsi="Times New Roman"/>
          <w:b/>
          <w:noProof/>
          <w:lang w:eastAsia="lt-LT"/>
        </w:rPr>
        <w:t>sojos)</w:t>
      </w:r>
    </w:p>
    <w:p w14:paraId="5EE08451" w14:textId="3A748BF6" w:rsidR="00CB68E6" w:rsidRPr="00F45D90" w:rsidRDefault="00CB68E6" w:rsidP="00CB68E6">
      <w:pPr>
        <w:spacing w:after="0" w:line="240" w:lineRule="auto"/>
        <w:rPr>
          <w:rFonts w:ascii="Times New Roman" w:hAnsi="Times New Roman"/>
        </w:rPr>
      </w:pPr>
      <w:r w:rsidRPr="00F45D90">
        <w:rPr>
          <w:rFonts w:ascii="Times New Roman" w:hAnsi="Times New Roman"/>
          <w:noProof/>
          <w:lang w:eastAsia="lt-LT"/>
        </w:rPr>
        <w:t>Lecitinas gali turėti sojos baltymų</w:t>
      </w:r>
      <w:r w:rsidR="00366652">
        <w:rPr>
          <w:rFonts w:ascii="Times New Roman" w:hAnsi="Times New Roman"/>
          <w:noProof/>
          <w:lang w:eastAsia="lt-LT"/>
        </w:rPr>
        <w:t>. Jeigu esate alergiškas</w:t>
      </w:r>
      <w:r w:rsidR="000B7CD3">
        <w:rPr>
          <w:rFonts w:ascii="Times New Roman" w:hAnsi="Times New Roman"/>
          <w:noProof/>
          <w:lang w:eastAsia="lt-LT"/>
        </w:rPr>
        <w:t xml:space="preserve"> </w:t>
      </w:r>
      <w:r w:rsidR="00CA2D11">
        <w:rPr>
          <w:rFonts w:ascii="Times New Roman" w:hAnsi="Times New Roman"/>
          <w:noProof/>
          <w:lang w:eastAsia="lt-LT"/>
        </w:rPr>
        <w:t>(a</w:t>
      </w:r>
      <w:r w:rsidR="000B7CD3">
        <w:rPr>
          <w:rFonts w:ascii="Times New Roman" w:hAnsi="Times New Roman"/>
          <w:noProof/>
          <w:lang w:eastAsia="lt-LT"/>
        </w:rPr>
        <w:t>lergiška</w:t>
      </w:r>
      <w:r w:rsidR="00CA2D11">
        <w:rPr>
          <w:rFonts w:ascii="Times New Roman" w:hAnsi="Times New Roman"/>
          <w:noProof/>
          <w:lang w:eastAsia="lt-LT"/>
        </w:rPr>
        <w:t>)</w:t>
      </w:r>
      <w:r w:rsidR="00366652">
        <w:rPr>
          <w:rFonts w:ascii="Times New Roman" w:hAnsi="Times New Roman"/>
          <w:noProof/>
          <w:lang w:eastAsia="lt-LT"/>
        </w:rPr>
        <w:t xml:space="preserve"> žemės riešutams arba sojai, </w:t>
      </w:r>
      <w:r w:rsidR="000B7CD3">
        <w:rPr>
          <w:rFonts w:ascii="Times New Roman" w:hAnsi="Times New Roman"/>
          <w:noProof/>
          <w:lang w:eastAsia="lt-LT"/>
        </w:rPr>
        <w:t>Jums šio vaisto vartoti negalima</w:t>
      </w:r>
      <w:r w:rsidR="00366652">
        <w:rPr>
          <w:rFonts w:ascii="Times New Roman" w:hAnsi="Times New Roman"/>
          <w:noProof/>
          <w:lang w:eastAsia="lt-LT"/>
        </w:rPr>
        <w:t>.</w:t>
      </w:r>
    </w:p>
    <w:p w14:paraId="66411022" w14:textId="77777777" w:rsidR="00CB68E6" w:rsidRPr="00F45D90" w:rsidRDefault="00CB68E6" w:rsidP="00CB68E6">
      <w:pPr>
        <w:spacing w:after="0" w:line="240" w:lineRule="auto"/>
        <w:rPr>
          <w:rFonts w:ascii="Times New Roman" w:hAnsi="Times New Roman"/>
        </w:rPr>
      </w:pPr>
    </w:p>
    <w:p w14:paraId="6914DA17" w14:textId="77777777" w:rsidR="00CB68E6" w:rsidRPr="00F45D90" w:rsidRDefault="00CB68E6" w:rsidP="00CB68E6">
      <w:pPr>
        <w:spacing w:after="0" w:line="240" w:lineRule="auto"/>
        <w:rPr>
          <w:rFonts w:ascii="Times New Roman" w:hAnsi="Times New Roman"/>
        </w:rPr>
      </w:pPr>
    </w:p>
    <w:p w14:paraId="5FFF9A37" w14:textId="77777777" w:rsidR="00CB68E6" w:rsidRPr="00F45D90" w:rsidRDefault="00CB68E6" w:rsidP="00CB68E6">
      <w:pPr>
        <w:keepNext/>
        <w:tabs>
          <w:tab w:val="left" w:pos="567"/>
        </w:tabs>
        <w:spacing w:after="60" w:line="240" w:lineRule="auto"/>
        <w:ind w:left="567" w:hanging="567"/>
        <w:outlineLvl w:val="1"/>
        <w:rPr>
          <w:rFonts w:ascii="Times New Roman" w:eastAsia="Times New Roman" w:hAnsi="Times New Roman"/>
          <w:b/>
          <w:iCs/>
          <w:lang w:eastAsia="lt-LT" w:bidi="ar-BH"/>
        </w:rPr>
      </w:pPr>
      <w:bookmarkStart w:id="75" w:name="_Toc129243141"/>
      <w:bookmarkStart w:id="76" w:name="_Toc129243266"/>
      <w:r w:rsidRPr="00F45D90">
        <w:rPr>
          <w:rFonts w:ascii="Times New Roman" w:eastAsia="Times New Roman" w:hAnsi="Times New Roman"/>
          <w:b/>
          <w:iCs/>
          <w:lang w:eastAsia="lt-LT" w:bidi="ar-BH"/>
        </w:rPr>
        <w:t>3.</w:t>
      </w:r>
      <w:r w:rsidRPr="00F45D90">
        <w:rPr>
          <w:rFonts w:ascii="Times New Roman" w:eastAsia="Times New Roman" w:hAnsi="Times New Roman"/>
          <w:b/>
          <w:iCs/>
          <w:lang w:eastAsia="lt-LT" w:bidi="ar-BH"/>
        </w:rPr>
        <w:tab/>
        <w:t xml:space="preserve">Kaip vartoti </w:t>
      </w:r>
      <w:bookmarkEnd w:id="75"/>
      <w:bookmarkEnd w:id="76"/>
      <w:r w:rsidRPr="00F45D90">
        <w:rPr>
          <w:rFonts w:ascii="Times New Roman" w:eastAsia="Times New Roman" w:hAnsi="Times New Roman"/>
          <w:b/>
          <w:iCs/>
          <w:lang w:eastAsia="lt-LT" w:bidi="ar-BH"/>
        </w:rPr>
        <w:t>Hedonin</w:t>
      </w:r>
    </w:p>
    <w:p w14:paraId="6BCC2577" w14:textId="77777777" w:rsidR="00CB68E6" w:rsidRPr="00F45D90" w:rsidRDefault="00CB68E6" w:rsidP="00CB68E6">
      <w:pPr>
        <w:spacing w:after="0" w:line="240" w:lineRule="auto"/>
        <w:rPr>
          <w:rFonts w:ascii="Times New Roman" w:hAnsi="Times New Roman"/>
        </w:rPr>
      </w:pPr>
    </w:p>
    <w:p w14:paraId="11C63F3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visada vartokite tiksliai, kaip nurodė gydytojas. Jeigu abejojate, kreipkitės į gydytoją arba vaistininką.</w:t>
      </w:r>
    </w:p>
    <w:p w14:paraId="7D74EE7C" w14:textId="77777777" w:rsidR="00CB68E6" w:rsidRPr="00F45D90" w:rsidRDefault="00CB68E6" w:rsidP="00CB68E6">
      <w:pPr>
        <w:spacing w:after="0" w:line="240" w:lineRule="auto"/>
        <w:rPr>
          <w:rFonts w:ascii="Times New Roman" w:hAnsi="Times New Roman"/>
        </w:rPr>
      </w:pPr>
    </w:p>
    <w:p w14:paraId="09EDF76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Pradinę vartojimo dozę nustatys Jūsų gydytojas. Palaikomoji dozė (paros dozė) priklauso nuo Jūsų ligos ir poreikio, dažniausiai reikia vartoti 150-800 mg.</w:t>
      </w:r>
    </w:p>
    <w:p w14:paraId="0938AA59" w14:textId="77777777" w:rsidR="00CB68E6" w:rsidRPr="00F45D90" w:rsidRDefault="00CB68E6" w:rsidP="00CB68E6">
      <w:pPr>
        <w:spacing w:after="0" w:line="240" w:lineRule="auto"/>
        <w:rPr>
          <w:rFonts w:ascii="Times New Roman" w:hAnsi="Times New Roman"/>
        </w:rPr>
      </w:pPr>
    </w:p>
    <w:p w14:paraId="5DEBC4D7" w14:textId="77777777" w:rsidR="00CB68E6" w:rsidRPr="00F45D90" w:rsidRDefault="00CB68E6" w:rsidP="00CB68E6">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Tabletes galima gerti vieną kartą per dieną prieš miegą arba du kartus, priklausomai nuo Jūsų ligos.</w:t>
      </w:r>
    </w:p>
    <w:p w14:paraId="38EB41E6" w14:textId="77777777" w:rsidR="00CB68E6" w:rsidRPr="00F45D90" w:rsidRDefault="00CB68E6" w:rsidP="00CB68E6">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 xml:space="preserve">Nurykite tabletes nesukramtytas, užsigerkite vandeniu. </w:t>
      </w:r>
    </w:p>
    <w:p w14:paraId="344BED92" w14:textId="77777777" w:rsidR="00CB68E6" w:rsidRPr="00F45D90" w:rsidRDefault="00CB68E6" w:rsidP="00CB68E6">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 xml:space="preserve">Vaistą galima gerti valgymo metu arba tarp valgymų. </w:t>
      </w:r>
    </w:p>
    <w:p w14:paraId="5FE5CBC9" w14:textId="77777777" w:rsidR="00CB68E6" w:rsidRPr="00F45D90" w:rsidRDefault="00CB68E6" w:rsidP="00CB68E6">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Vartojant Hedonin negerkite greipfrutų sulčių, nes jos gali turėti įtakos vaisto veikimui.</w:t>
      </w:r>
    </w:p>
    <w:p w14:paraId="0DC7BE61" w14:textId="77777777" w:rsidR="00CB68E6" w:rsidRPr="00F45D90" w:rsidRDefault="00CB68E6" w:rsidP="00CB68E6">
      <w:pPr>
        <w:numPr>
          <w:ilvl w:val="3"/>
          <w:numId w:val="1"/>
        </w:numPr>
        <w:tabs>
          <w:tab w:val="num" w:pos="567"/>
        </w:tabs>
        <w:spacing w:after="0" w:line="240" w:lineRule="auto"/>
        <w:ind w:left="567" w:hanging="567"/>
        <w:rPr>
          <w:rFonts w:ascii="Times New Roman" w:hAnsi="Times New Roman"/>
        </w:rPr>
      </w:pPr>
      <w:r w:rsidRPr="00F45D90">
        <w:rPr>
          <w:rFonts w:ascii="Times New Roman" w:hAnsi="Times New Roman"/>
        </w:rPr>
        <w:t>Nenutraukite vaisto vartojimo net jei jaučiatės geriau tol, kol nenurodys gydytojas.</w:t>
      </w:r>
    </w:p>
    <w:p w14:paraId="42DF5958" w14:textId="77777777" w:rsidR="00CB68E6" w:rsidRPr="00F45D90" w:rsidRDefault="00CB68E6" w:rsidP="00CB68E6">
      <w:pPr>
        <w:tabs>
          <w:tab w:val="num" w:pos="567"/>
        </w:tabs>
        <w:spacing w:after="0" w:line="240" w:lineRule="auto"/>
        <w:ind w:left="567" w:hanging="567"/>
        <w:rPr>
          <w:rFonts w:ascii="Times New Roman" w:hAnsi="Times New Roman"/>
        </w:rPr>
      </w:pPr>
    </w:p>
    <w:p w14:paraId="0D735119" w14:textId="77777777" w:rsidR="00CB68E6" w:rsidRPr="00F45D90" w:rsidRDefault="00CB68E6" w:rsidP="00CB68E6">
      <w:pPr>
        <w:tabs>
          <w:tab w:val="num" w:pos="567"/>
        </w:tabs>
        <w:spacing w:after="0" w:line="240" w:lineRule="auto"/>
        <w:ind w:left="567" w:hanging="567"/>
        <w:rPr>
          <w:rFonts w:ascii="Times New Roman" w:hAnsi="Times New Roman"/>
          <w:i/>
        </w:rPr>
      </w:pPr>
      <w:r w:rsidRPr="00F45D90">
        <w:rPr>
          <w:rFonts w:ascii="Times New Roman" w:hAnsi="Times New Roman"/>
          <w:i/>
        </w:rPr>
        <w:t>Sutrikusi kepenų funkcija</w:t>
      </w:r>
    </w:p>
    <w:p w14:paraId="1BFAF48A" w14:textId="77777777" w:rsidR="00CB68E6" w:rsidRPr="00F45D90" w:rsidRDefault="00CB68E6" w:rsidP="00CB68E6">
      <w:pPr>
        <w:tabs>
          <w:tab w:val="num" w:pos="567"/>
        </w:tabs>
        <w:spacing w:after="0" w:line="240" w:lineRule="auto"/>
        <w:ind w:left="567" w:hanging="567"/>
        <w:rPr>
          <w:rFonts w:ascii="Times New Roman" w:hAnsi="Times New Roman"/>
        </w:rPr>
      </w:pPr>
      <w:r w:rsidRPr="00F45D90">
        <w:rPr>
          <w:rFonts w:ascii="Times New Roman" w:hAnsi="Times New Roman"/>
        </w:rPr>
        <w:t>Jeigu yra sutrikusi Jūsų kepenų funkcija, gydytojas gali pakoreguoti vaisto dozę.</w:t>
      </w:r>
    </w:p>
    <w:p w14:paraId="05841E6A" w14:textId="77777777" w:rsidR="00CB68E6" w:rsidRPr="00F45D90" w:rsidRDefault="00CB68E6" w:rsidP="00CB68E6">
      <w:pPr>
        <w:tabs>
          <w:tab w:val="num" w:pos="567"/>
        </w:tabs>
        <w:spacing w:after="0" w:line="240" w:lineRule="auto"/>
        <w:ind w:left="567" w:hanging="567"/>
        <w:rPr>
          <w:rFonts w:ascii="Times New Roman" w:hAnsi="Times New Roman"/>
        </w:rPr>
      </w:pPr>
    </w:p>
    <w:p w14:paraId="388F788A" w14:textId="77777777" w:rsidR="00CB68E6" w:rsidRPr="00F45D90" w:rsidRDefault="00CB68E6" w:rsidP="00CB68E6">
      <w:pPr>
        <w:tabs>
          <w:tab w:val="num" w:pos="567"/>
        </w:tabs>
        <w:spacing w:after="0" w:line="240" w:lineRule="auto"/>
        <w:ind w:left="567" w:hanging="567"/>
        <w:rPr>
          <w:rFonts w:ascii="Times New Roman" w:hAnsi="Times New Roman"/>
          <w:i/>
        </w:rPr>
      </w:pPr>
      <w:r w:rsidRPr="00F45D90">
        <w:rPr>
          <w:rFonts w:ascii="Times New Roman" w:hAnsi="Times New Roman"/>
          <w:i/>
        </w:rPr>
        <w:t>Senyviems žmonėms</w:t>
      </w:r>
    </w:p>
    <w:p w14:paraId="73100A2A" w14:textId="77777777" w:rsidR="00CB68E6" w:rsidRPr="00F45D90" w:rsidRDefault="00CB68E6" w:rsidP="00CB68E6">
      <w:pPr>
        <w:tabs>
          <w:tab w:val="num" w:pos="567"/>
        </w:tabs>
        <w:spacing w:after="0" w:line="240" w:lineRule="auto"/>
        <w:ind w:left="567" w:hanging="567"/>
        <w:rPr>
          <w:rFonts w:ascii="Times New Roman" w:hAnsi="Times New Roman"/>
        </w:rPr>
      </w:pPr>
      <w:r w:rsidRPr="00F45D90">
        <w:rPr>
          <w:rFonts w:ascii="Times New Roman" w:hAnsi="Times New Roman"/>
        </w:rPr>
        <w:t>Senyviems žmonėms gydytojas gali pakoreguoti dozę.</w:t>
      </w:r>
    </w:p>
    <w:p w14:paraId="4962EAC3" w14:textId="77777777" w:rsidR="00CB68E6" w:rsidRPr="00F45D90" w:rsidRDefault="00CB68E6" w:rsidP="00CB68E6">
      <w:pPr>
        <w:tabs>
          <w:tab w:val="num" w:pos="567"/>
        </w:tabs>
        <w:spacing w:after="0" w:line="240" w:lineRule="auto"/>
        <w:ind w:left="567" w:hanging="567"/>
        <w:rPr>
          <w:rFonts w:ascii="Times New Roman" w:hAnsi="Times New Roman"/>
        </w:rPr>
      </w:pPr>
    </w:p>
    <w:p w14:paraId="72D51E44"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b/>
        </w:rPr>
        <w:t>Vartojimas vaikams ir paaugliams</w:t>
      </w:r>
    </w:p>
    <w:p w14:paraId="74F7185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nerekomenduojama vartoti jaunesniems kaip 18 metų vaikams ir paaugliams.</w:t>
      </w:r>
    </w:p>
    <w:p w14:paraId="466D31A5" w14:textId="77777777" w:rsidR="00CB68E6" w:rsidRPr="00F45D90" w:rsidRDefault="00CB68E6" w:rsidP="00CB68E6">
      <w:pPr>
        <w:spacing w:after="0" w:line="240" w:lineRule="auto"/>
        <w:rPr>
          <w:rFonts w:ascii="Times New Roman" w:hAnsi="Times New Roman"/>
        </w:rPr>
      </w:pPr>
    </w:p>
    <w:p w14:paraId="66166CC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 manote, kad Hedonin veikia pernelyg stipriai ar silpnai, pasitarkite su gydytoju.</w:t>
      </w:r>
    </w:p>
    <w:p w14:paraId="055795A4" w14:textId="77777777" w:rsidR="00CB68E6" w:rsidRPr="00F45D90" w:rsidRDefault="00CB68E6" w:rsidP="00CB68E6">
      <w:pPr>
        <w:spacing w:after="0" w:line="240" w:lineRule="auto"/>
        <w:rPr>
          <w:rFonts w:ascii="Times New Roman" w:hAnsi="Times New Roman"/>
        </w:rPr>
      </w:pPr>
    </w:p>
    <w:p w14:paraId="0C14606A" w14:textId="77777777" w:rsidR="00CB68E6" w:rsidRPr="00F45D90" w:rsidRDefault="00CB68E6" w:rsidP="00CB68E6">
      <w:pPr>
        <w:spacing w:after="0" w:line="240" w:lineRule="auto"/>
        <w:rPr>
          <w:rFonts w:ascii="Times New Roman" w:hAnsi="Times New Roman"/>
          <w:b/>
          <w:bCs/>
        </w:rPr>
      </w:pPr>
      <w:r w:rsidRPr="00F45D90">
        <w:rPr>
          <w:rFonts w:ascii="Times New Roman" w:hAnsi="Times New Roman"/>
          <w:b/>
          <w:bCs/>
        </w:rPr>
        <w:t>Ką daryti pavartojus per didelę Hedonin dozę?</w:t>
      </w:r>
    </w:p>
    <w:p w14:paraId="04C37FF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 Jūs išgėrėte didesnę dozę negu nurodė gydytojas, gali atsirasti mieguistumas, svaigulys, neįprastas širdies plakimas. Pavartoję per didelę Hedonin dozę, nedelsiant kreipkitės į gydytoją arba ligoninę. Su savimi pasiimkite Hedonin tabletes.</w:t>
      </w:r>
    </w:p>
    <w:p w14:paraId="5B106504" w14:textId="77777777" w:rsidR="00CB68E6" w:rsidRPr="00F45D90" w:rsidRDefault="00CB68E6" w:rsidP="00CB68E6">
      <w:pPr>
        <w:spacing w:after="0" w:line="240" w:lineRule="auto"/>
        <w:rPr>
          <w:rFonts w:ascii="Times New Roman" w:hAnsi="Times New Roman"/>
          <w:b/>
          <w:bCs/>
          <w:strike/>
        </w:rPr>
      </w:pPr>
    </w:p>
    <w:p w14:paraId="1F003F32" w14:textId="77777777" w:rsidR="00CB68E6" w:rsidRPr="00F45D90" w:rsidRDefault="00CB68E6" w:rsidP="00CB68E6">
      <w:pPr>
        <w:spacing w:after="0" w:line="240" w:lineRule="auto"/>
        <w:rPr>
          <w:rFonts w:ascii="Times New Roman" w:hAnsi="Times New Roman"/>
          <w:b/>
          <w:bCs/>
        </w:rPr>
      </w:pPr>
      <w:r w:rsidRPr="00F45D90">
        <w:rPr>
          <w:rFonts w:ascii="Times New Roman" w:hAnsi="Times New Roman"/>
          <w:b/>
          <w:bCs/>
        </w:rPr>
        <w:t>Pamiršus pavartoti Hedonin</w:t>
      </w:r>
    </w:p>
    <w:p w14:paraId="6785147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Pamiršus išgerti Hedonin, padarykite tai, kai tik prisiminsite. Jei netoli laikas gerti kitą dozę, palaukite. Negalima vartoti dvigubos dozės norint kompensuoti praleistą dozę.</w:t>
      </w:r>
    </w:p>
    <w:p w14:paraId="776FE981" w14:textId="77777777" w:rsidR="00CB68E6" w:rsidRPr="00F45D90" w:rsidRDefault="00CB68E6" w:rsidP="00CB68E6">
      <w:pPr>
        <w:spacing w:after="0" w:line="240" w:lineRule="auto"/>
        <w:rPr>
          <w:rFonts w:ascii="Times New Roman" w:hAnsi="Times New Roman"/>
        </w:rPr>
      </w:pPr>
    </w:p>
    <w:p w14:paraId="1B5E01DC" w14:textId="77777777" w:rsidR="00CB68E6" w:rsidRPr="00F45D90" w:rsidRDefault="00CB68E6" w:rsidP="00CB68E6">
      <w:pPr>
        <w:spacing w:after="0" w:line="240" w:lineRule="auto"/>
        <w:rPr>
          <w:rFonts w:ascii="Times New Roman" w:hAnsi="Times New Roman"/>
          <w:b/>
          <w:bCs/>
        </w:rPr>
      </w:pPr>
      <w:r w:rsidRPr="00F45D90">
        <w:rPr>
          <w:rFonts w:ascii="Times New Roman" w:hAnsi="Times New Roman"/>
          <w:b/>
          <w:bCs/>
        </w:rPr>
        <w:t>Nustojus vartoti Hedonin</w:t>
      </w:r>
    </w:p>
    <w:p w14:paraId="007A227A"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 Jūs nustosite vaistą vartoti staiga, gali atsirasti nemiga, pykinimas arba galvos skausmas, viduriavimas, vėmimas, svaigulys arba irzlumas. Gydytojas Jums patars kaip palengva mažinti vaisto dozę prieš nutraukiant jo vartojimą.</w:t>
      </w:r>
    </w:p>
    <w:p w14:paraId="688955B8" w14:textId="77777777" w:rsidR="00CB68E6" w:rsidRPr="00F45D90" w:rsidRDefault="00CB68E6" w:rsidP="00CB68E6">
      <w:pPr>
        <w:spacing w:after="0" w:line="240" w:lineRule="auto"/>
        <w:rPr>
          <w:rFonts w:ascii="Times New Roman" w:hAnsi="Times New Roman"/>
        </w:rPr>
      </w:pPr>
    </w:p>
    <w:p w14:paraId="77AA64E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Jeigu kiltų daugiau klausimų dėl šio vaisto vartojimo, kreipkitės į gydytoją arba vaistininką.</w:t>
      </w:r>
    </w:p>
    <w:p w14:paraId="5EEE279E" w14:textId="77777777" w:rsidR="00CB68E6" w:rsidRPr="00F45D90" w:rsidRDefault="00CB68E6" w:rsidP="00CB68E6">
      <w:pPr>
        <w:spacing w:after="0" w:line="240" w:lineRule="auto"/>
        <w:rPr>
          <w:rFonts w:ascii="Times New Roman" w:hAnsi="Times New Roman"/>
        </w:rPr>
      </w:pPr>
    </w:p>
    <w:p w14:paraId="7172C4AB" w14:textId="77777777" w:rsidR="00CB68E6" w:rsidRPr="00F45D90" w:rsidRDefault="00CB68E6" w:rsidP="00CB68E6">
      <w:pPr>
        <w:spacing w:after="0" w:line="240" w:lineRule="auto"/>
        <w:rPr>
          <w:rFonts w:ascii="Times New Roman" w:hAnsi="Times New Roman"/>
        </w:rPr>
      </w:pPr>
    </w:p>
    <w:p w14:paraId="5AEFC004" w14:textId="77777777" w:rsidR="00CB68E6" w:rsidRPr="00F45D90" w:rsidRDefault="00CB68E6" w:rsidP="00CB68E6">
      <w:pPr>
        <w:spacing w:after="0" w:line="240" w:lineRule="auto"/>
        <w:ind w:left="567" w:hanging="567"/>
        <w:rPr>
          <w:rFonts w:ascii="Times New Roman" w:hAnsi="Times New Roman"/>
          <w:b/>
        </w:rPr>
      </w:pPr>
      <w:bookmarkStart w:id="77" w:name="_Toc129243142"/>
      <w:bookmarkStart w:id="78" w:name="_Toc129243267"/>
      <w:r w:rsidRPr="00F45D90">
        <w:rPr>
          <w:rFonts w:ascii="Times New Roman" w:hAnsi="Times New Roman"/>
          <w:b/>
        </w:rPr>
        <w:t>4.</w:t>
      </w:r>
      <w:r w:rsidRPr="00F45D90">
        <w:rPr>
          <w:rFonts w:ascii="Times New Roman" w:hAnsi="Times New Roman"/>
          <w:b/>
        </w:rPr>
        <w:tab/>
        <w:t>Galimas šalutinis poveikis</w:t>
      </w:r>
      <w:bookmarkEnd w:id="77"/>
      <w:bookmarkEnd w:id="78"/>
    </w:p>
    <w:p w14:paraId="3AA648DF" w14:textId="77777777" w:rsidR="00CB68E6" w:rsidRPr="00F45D90" w:rsidRDefault="00CB68E6" w:rsidP="00CB68E6">
      <w:pPr>
        <w:spacing w:after="0" w:line="240" w:lineRule="auto"/>
        <w:rPr>
          <w:rFonts w:ascii="Times New Roman" w:hAnsi="Times New Roman"/>
        </w:rPr>
      </w:pPr>
    </w:p>
    <w:p w14:paraId="184670AD"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Šis vaistas, kaip ir visi kiti, gali sukelti šalutinį poveikį, nors jis pasireiškia ne visiems žmonėms.</w:t>
      </w:r>
    </w:p>
    <w:p w14:paraId="615D5245" w14:textId="77777777" w:rsidR="00CB68E6" w:rsidRPr="00F45D90" w:rsidRDefault="00CB68E6" w:rsidP="00F902E7">
      <w:pPr>
        <w:spacing w:after="0" w:line="240" w:lineRule="auto"/>
        <w:rPr>
          <w:rFonts w:ascii="Times New Roman" w:hAnsi="Times New Roman"/>
        </w:rPr>
      </w:pPr>
    </w:p>
    <w:p w14:paraId="3AC18B63" w14:textId="77777777" w:rsidR="00F902E7" w:rsidRPr="00F902E7" w:rsidRDefault="00F902E7" w:rsidP="00F902E7">
      <w:pPr>
        <w:tabs>
          <w:tab w:val="left" w:pos="567"/>
        </w:tabs>
        <w:spacing w:after="0"/>
        <w:ind w:right="-29"/>
        <w:rPr>
          <w:rFonts w:ascii="Times New Roman" w:hAnsi="Times New Roman"/>
          <w:b/>
          <w:bCs/>
        </w:rPr>
      </w:pPr>
      <w:r w:rsidRPr="00F902E7">
        <w:rPr>
          <w:rFonts w:ascii="Times New Roman" w:hAnsi="Times New Roman"/>
          <w:b/>
          <w:bCs/>
        </w:rPr>
        <w:t>Labai dažni šalutinio poveikio reiškiniai (gali pasireikšti ne rečiau kaip 1 iš 10 asmenų):</w:t>
      </w:r>
    </w:p>
    <w:p w14:paraId="6C79A632" w14:textId="77777777" w:rsidR="00CB68E6" w:rsidRPr="00F45D90" w:rsidRDefault="00CB68E6" w:rsidP="00CB68E6">
      <w:pPr>
        <w:numPr>
          <w:ilvl w:val="0"/>
          <w:numId w:val="7"/>
        </w:numPr>
        <w:spacing w:after="0" w:line="240" w:lineRule="auto"/>
        <w:ind w:left="567" w:hanging="567"/>
        <w:contextualSpacing/>
        <w:rPr>
          <w:rFonts w:ascii="Times New Roman" w:hAnsi="Times New Roman"/>
        </w:rPr>
      </w:pPr>
      <w:r w:rsidRPr="00F45D90">
        <w:rPr>
          <w:rFonts w:ascii="Times New Roman" w:hAnsi="Times New Roman"/>
        </w:rPr>
        <w:t>Svaigulys (pacientas gali nugriūti), galvos skausmas, burnos džiūvimas.</w:t>
      </w:r>
    </w:p>
    <w:p w14:paraId="11E9CA7F" w14:textId="77777777" w:rsidR="00CB68E6" w:rsidRPr="00F45D90" w:rsidRDefault="00CB68E6" w:rsidP="00CB68E6">
      <w:pPr>
        <w:numPr>
          <w:ilvl w:val="0"/>
          <w:numId w:val="7"/>
        </w:numPr>
        <w:spacing w:after="0" w:line="240" w:lineRule="auto"/>
        <w:ind w:left="567" w:hanging="567"/>
        <w:contextualSpacing/>
        <w:rPr>
          <w:rFonts w:ascii="Times New Roman" w:hAnsi="Times New Roman"/>
        </w:rPr>
      </w:pPr>
      <w:r w:rsidRPr="00F45D90">
        <w:rPr>
          <w:rFonts w:ascii="Times New Roman" w:hAnsi="Times New Roman"/>
        </w:rPr>
        <w:t>Mieguistumas (dėl to galite pargriūti; vartojant vaistą ilgiau, gali pranykti).</w:t>
      </w:r>
    </w:p>
    <w:p w14:paraId="510A2734"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Nutraukimo simptomai (atsiranda tuomet, jeigu Jūs staiga nutrauksite Hedonin vartojimą), įskaitant nemigą, pykinimą, galvos skausmą, viduriavimą, vėmimą, svaigulį ir irzlumą.  Rekomenduojama nutraukti vaisto vartojimą palengva per 1-2 savaites.</w:t>
      </w:r>
    </w:p>
    <w:p w14:paraId="0D8ED128" w14:textId="77777777" w:rsidR="00CB68E6" w:rsidRPr="00F45D90" w:rsidRDefault="00CB68E6" w:rsidP="00CB68E6">
      <w:pPr>
        <w:numPr>
          <w:ilvl w:val="0"/>
          <w:numId w:val="5"/>
        </w:numPr>
        <w:spacing w:after="0" w:line="240" w:lineRule="auto"/>
        <w:contextualSpacing/>
        <w:rPr>
          <w:rFonts w:ascii="Times New Roman" w:hAnsi="Times New Roman"/>
        </w:rPr>
      </w:pPr>
      <w:r w:rsidRPr="00F45D90">
        <w:rPr>
          <w:rFonts w:ascii="Times New Roman" w:hAnsi="Times New Roman"/>
        </w:rPr>
        <w:t>Svorio didėjimas.</w:t>
      </w:r>
    </w:p>
    <w:p w14:paraId="3AFAA826" w14:textId="77777777" w:rsidR="00CB68E6" w:rsidRPr="00F45D90" w:rsidRDefault="00CB68E6" w:rsidP="00CB68E6">
      <w:pPr>
        <w:numPr>
          <w:ilvl w:val="0"/>
          <w:numId w:val="5"/>
        </w:numPr>
        <w:spacing w:after="0" w:line="240" w:lineRule="auto"/>
        <w:contextualSpacing/>
        <w:rPr>
          <w:rFonts w:ascii="Times New Roman" w:hAnsi="Times New Roman"/>
        </w:rPr>
      </w:pPr>
      <w:r w:rsidRPr="00F45D90">
        <w:rPr>
          <w:rFonts w:ascii="Times New Roman" w:hAnsi="Times New Roman"/>
        </w:rPr>
        <w:t>Nenormalūs raumenų judesiai: sunku pradėti judėti, purtymasis, neramumas, drebėjimas, neskausmingas raumenų sąstingis.</w:t>
      </w:r>
    </w:p>
    <w:p w14:paraId="3D11919F" w14:textId="4EF4CBDB" w:rsidR="00CB68E6" w:rsidRPr="00F45D90" w:rsidRDefault="00CB68E6" w:rsidP="00F902E7">
      <w:pPr>
        <w:numPr>
          <w:ilvl w:val="0"/>
          <w:numId w:val="5"/>
        </w:numPr>
        <w:spacing w:after="0" w:line="240" w:lineRule="auto"/>
        <w:contextualSpacing/>
        <w:rPr>
          <w:rFonts w:ascii="Times New Roman" w:hAnsi="Times New Roman"/>
        </w:rPr>
      </w:pPr>
      <w:r w:rsidRPr="00F45D90">
        <w:rPr>
          <w:rFonts w:ascii="Times New Roman" w:hAnsi="Times New Roman"/>
        </w:rPr>
        <w:t xml:space="preserve">Kai kurių riebalų kiekio pokyčiai (trigliceridų ir bendro cholesterolio) kraujyje. </w:t>
      </w:r>
    </w:p>
    <w:p w14:paraId="1F2D8DDC" w14:textId="77777777" w:rsidR="00F902E7" w:rsidRPr="00F902E7" w:rsidRDefault="00F902E7" w:rsidP="00F902E7">
      <w:pPr>
        <w:spacing w:after="0" w:line="240" w:lineRule="auto"/>
        <w:ind w:right="-29"/>
        <w:rPr>
          <w:bCs/>
        </w:rPr>
      </w:pPr>
    </w:p>
    <w:p w14:paraId="54B6E123" w14:textId="08FE4F1C" w:rsidR="00F902E7" w:rsidRPr="00F902E7" w:rsidRDefault="00F902E7" w:rsidP="00F902E7">
      <w:pPr>
        <w:spacing w:after="0" w:line="240" w:lineRule="auto"/>
        <w:ind w:right="-29"/>
        <w:rPr>
          <w:rFonts w:ascii="Times New Roman" w:hAnsi="Times New Roman"/>
        </w:rPr>
      </w:pPr>
      <w:r w:rsidRPr="00F902E7">
        <w:rPr>
          <w:rFonts w:ascii="Times New Roman" w:hAnsi="Times New Roman"/>
          <w:b/>
          <w:bCs/>
        </w:rPr>
        <w:t>Dažni šalutinio poveikio reiškiniai (gali pasireikšti rečiau kaip 1 iš 10 asmenų)</w:t>
      </w:r>
    </w:p>
    <w:p w14:paraId="56D09059"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Dažni širdies susitraukimai.</w:t>
      </w:r>
    </w:p>
    <w:p w14:paraId="1A3E8472"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eastAsia="Times New Roman" w:hAnsi="Times New Roman"/>
        </w:rPr>
        <w:t>Juntamas širdies plakimas, dažna jos veikla arba „iškrintantys“ susitraukimai</w:t>
      </w:r>
      <w:r w:rsidRPr="00F45D90">
        <w:rPr>
          <w:rFonts w:ascii="Times New Roman" w:hAnsi="Times New Roman"/>
        </w:rPr>
        <w:t>.</w:t>
      </w:r>
    </w:p>
    <w:p w14:paraId="6B6BD949"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Vidurių užkietėjimas, sutrikęs virškinimas.</w:t>
      </w:r>
    </w:p>
    <w:p w14:paraId="237BB77D"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Silpnumas.</w:t>
      </w:r>
    </w:p>
    <w:p w14:paraId="5C3AF486"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Rankų ir kojų patinimas.</w:t>
      </w:r>
    </w:p>
    <w:p w14:paraId="5CC3A8C5"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Sumažėjęs kraujospūdis atsistojus iš gulimos padėties. Tai gali sukelti svaigulį arba apkvaitimą (gali sukelti pargriuvimą).</w:t>
      </w:r>
    </w:p>
    <w:p w14:paraId="592E8394"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Padidėjęs cukraus kiekis kraujyje.</w:t>
      </w:r>
    </w:p>
    <w:p w14:paraId="687AA1D3"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Neryškus matymas.</w:t>
      </w:r>
    </w:p>
    <w:p w14:paraId="439F0C6B"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Nenormalūs sapnai, košmarai.</w:t>
      </w:r>
    </w:p>
    <w:p w14:paraId="47AC4CDF"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Alkio jausmas.</w:t>
      </w:r>
    </w:p>
    <w:p w14:paraId="380DE559"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Irzlumas.</w:t>
      </w:r>
    </w:p>
    <w:p w14:paraId="0824551D"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lastRenderedPageBreak/>
        <w:t>Kalbos sutrikimas.</w:t>
      </w:r>
    </w:p>
    <w:p w14:paraId="74E1DB7A"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Mintys apie savižudybę ir depresijos pagilėjimas.</w:t>
      </w:r>
    </w:p>
    <w:p w14:paraId="17ADBC07"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Dusulys.</w:t>
      </w:r>
    </w:p>
    <w:p w14:paraId="7F1310D0"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Vėmimas (dažniau senyviems pacientams).</w:t>
      </w:r>
    </w:p>
    <w:p w14:paraId="1978E537"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Karščiavimas.</w:t>
      </w:r>
    </w:p>
    <w:p w14:paraId="4DFE26F4"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Skydliaukės hormonų kiekio pokyčiai kraujyje.</w:t>
      </w:r>
    </w:p>
    <w:p w14:paraId="2A292C6B" w14:textId="77777777" w:rsidR="00CB68E6" w:rsidRPr="00F45D90" w:rsidRDefault="00CB68E6" w:rsidP="00CB68E6">
      <w:pPr>
        <w:numPr>
          <w:ilvl w:val="0"/>
          <w:numId w:val="10"/>
        </w:numPr>
        <w:spacing w:after="0" w:line="240" w:lineRule="auto"/>
        <w:ind w:left="567" w:hanging="567"/>
        <w:contextualSpacing/>
        <w:rPr>
          <w:rFonts w:ascii="Times New Roman" w:hAnsi="Times New Roman"/>
        </w:rPr>
      </w:pPr>
      <w:r w:rsidRPr="00F45D90">
        <w:rPr>
          <w:rFonts w:ascii="Times New Roman" w:hAnsi="Times New Roman"/>
        </w:rPr>
        <w:t>Kai kurių baltųjų kraujo ląstelių  skaičiaus sumažėjimas.</w:t>
      </w:r>
    </w:p>
    <w:p w14:paraId="0899CD2E" w14:textId="77777777" w:rsidR="00CB68E6" w:rsidRPr="00F45D90" w:rsidRDefault="00CB68E6" w:rsidP="00CB68E6">
      <w:pPr>
        <w:numPr>
          <w:ilvl w:val="0"/>
          <w:numId w:val="10"/>
        </w:numPr>
        <w:tabs>
          <w:tab w:val="left" w:pos="567"/>
        </w:tabs>
        <w:spacing w:after="0" w:line="240" w:lineRule="auto"/>
        <w:ind w:left="567" w:hanging="567"/>
        <w:contextualSpacing/>
        <w:rPr>
          <w:rFonts w:ascii="Times New Roman" w:eastAsia="Times New Roman" w:hAnsi="Times New Roman"/>
        </w:rPr>
      </w:pPr>
      <w:r w:rsidRPr="00F45D90">
        <w:rPr>
          <w:rFonts w:ascii="Times New Roman" w:eastAsia="Times New Roman" w:hAnsi="Times New Roman"/>
        </w:rPr>
        <w:t>Padidėjęs hormono prolaktino kiekis kraujyje. Dėl to retai gali:</w:t>
      </w:r>
    </w:p>
    <w:p w14:paraId="0F611C0E" w14:textId="77777777" w:rsidR="00CB68E6" w:rsidRPr="00F45D90" w:rsidRDefault="00CB68E6" w:rsidP="00CB68E6">
      <w:pPr>
        <w:numPr>
          <w:ilvl w:val="0"/>
          <w:numId w:val="19"/>
        </w:numPr>
        <w:tabs>
          <w:tab w:val="clear" w:pos="720"/>
          <w:tab w:val="left" w:pos="1134"/>
        </w:tabs>
        <w:spacing w:after="0" w:line="240" w:lineRule="auto"/>
        <w:ind w:left="1134" w:hanging="708"/>
        <w:contextualSpacing/>
        <w:rPr>
          <w:rFonts w:ascii="Times New Roman" w:eastAsia="Times New Roman" w:hAnsi="Times New Roman"/>
        </w:rPr>
      </w:pPr>
      <w:r w:rsidRPr="00F45D90">
        <w:rPr>
          <w:rFonts w:ascii="Times New Roman" w:eastAsia="Times New Roman" w:hAnsi="Times New Roman"/>
        </w:rPr>
        <w:t>padidėti krūtys ir netikėtai išsiskirti pieno (vyrams ir moterims);</w:t>
      </w:r>
    </w:p>
    <w:p w14:paraId="1B7DFD5C" w14:textId="77777777" w:rsidR="00CB68E6" w:rsidRPr="00F45D90" w:rsidRDefault="00CB68E6" w:rsidP="00CB68E6">
      <w:pPr>
        <w:numPr>
          <w:ilvl w:val="0"/>
          <w:numId w:val="19"/>
        </w:numPr>
        <w:tabs>
          <w:tab w:val="clear" w:pos="720"/>
          <w:tab w:val="left" w:pos="1134"/>
        </w:tabs>
        <w:spacing w:after="0" w:line="240" w:lineRule="auto"/>
        <w:ind w:left="1134" w:hanging="708"/>
        <w:contextualSpacing/>
        <w:rPr>
          <w:rFonts w:ascii="Times New Roman" w:eastAsia="Times New Roman" w:hAnsi="Times New Roman"/>
        </w:rPr>
      </w:pPr>
      <w:r w:rsidRPr="00F45D90">
        <w:rPr>
          <w:rFonts w:ascii="Times New Roman" w:eastAsia="Times New Roman" w:hAnsi="Times New Roman"/>
        </w:rPr>
        <w:t>išnykti arba pasidaryti nereguliarios mėnesinės (moterims).</w:t>
      </w:r>
    </w:p>
    <w:p w14:paraId="4B6D75B5" w14:textId="77777777" w:rsidR="00CB68E6" w:rsidRPr="00F45D90" w:rsidRDefault="00CB68E6" w:rsidP="00CB68E6">
      <w:pPr>
        <w:spacing w:after="0" w:line="240" w:lineRule="auto"/>
        <w:ind w:left="567"/>
        <w:contextualSpacing/>
        <w:rPr>
          <w:rFonts w:ascii="Times New Roman" w:hAnsi="Times New Roman"/>
        </w:rPr>
      </w:pPr>
    </w:p>
    <w:p w14:paraId="56AA97FC" w14:textId="77777777" w:rsidR="00F902E7" w:rsidRPr="00F902E7" w:rsidRDefault="00F902E7" w:rsidP="00B95C9E">
      <w:pPr>
        <w:spacing w:after="0"/>
        <w:ind w:right="-29"/>
        <w:rPr>
          <w:rFonts w:ascii="Times New Roman" w:eastAsia="Times New Roman" w:hAnsi="Times New Roman"/>
          <w:b/>
          <w:bCs/>
        </w:rPr>
      </w:pPr>
      <w:r w:rsidRPr="00F902E7">
        <w:rPr>
          <w:rFonts w:ascii="Times New Roman" w:hAnsi="Times New Roman"/>
          <w:b/>
          <w:bCs/>
        </w:rPr>
        <w:t xml:space="preserve">Nedažni šalutinio poveikio reiškiniai (gali pasireikšti rečiau kaip 1 iš 100 asmenų): </w:t>
      </w:r>
    </w:p>
    <w:p w14:paraId="436403E0"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Traukuliai, priepuoliai.</w:t>
      </w:r>
    </w:p>
    <w:p w14:paraId="6EF58C54"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Alerginės reakcijos dėl kurių gali atsirasti ruplių (odos iškilimų), patinti oda ir aplink burną.</w:t>
      </w:r>
    </w:p>
    <w:p w14:paraId="5D155831" w14:textId="77777777" w:rsidR="00CB68E6" w:rsidRPr="00F45D90" w:rsidRDefault="00CB68E6" w:rsidP="00CB68E6">
      <w:pPr>
        <w:numPr>
          <w:ilvl w:val="0"/>
          <w:numId w:val="11"/>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Nemalonus pojūtis kojose (vadinamasis neramių kojų sindromas).</w:t>
      </w:r>
    </w:p>
    <w:p w14:paraId="16E53C60" w14:textId="77777777" w:rsidR="00CB68E6" w:rsidRPr="00F45D90" w:rsidRDefault="00CB68E6" w:rsidP="00CB68E6">
      <w:pPr>
        <w:numPr>
          <w:ilvl w:val="0"/>
          <w:numId w:val="11"/>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Pasunkėjęs rijimas.</w:t>
      </w:r>
    </w:p>
    <w:p w14:paraId="7349E9EA"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hAnsi="Times New Roman"/>
        </w:rPr>
        <w:t>Nekontroliuojami judesiai, labiau veido ir liežuvio.</w:t>
      </w:r>
    </w:p>
    <w:p w14:paraId="759FBB4D" w14:textId="77777777" w:rsidR="00CB68E6" w:rsidRPr="00F45D90" w:rsidRDefault="00CB68E6" w:rsidP="00CB68E6">
      <w:pPr>
        <w:numPr>
          <w:ilvl w:val="0"/>
          <w:numId w:val="11"/>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Lytinės funkcijos sutrikimas.</w:t>
      </w:r>
    </w:p>
    <w:p w14:paraId="0BE17E93" w14:textId="77777777" w:rsidR="00CB68E6" w:rsidRPr="00F45D90" w:rsidRDefault="00CB68E6" w:rsidP="00CB68E6">
      <w:pPr>
        <w:numPr>
          <w:ilvl w:val="0"/>
          <w:numId w:val="11"/>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Cukrinis diabetas.</w:t>
      </w:r>
    </w:p>
    <w:p w14:paraId="64C17BC8"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Pakitęs širdies elektrinis aktyvumas (pailgėjęs QT intervalas elektrokardiogramoje). </w:t>
      </w:r>
    </w:p>
    <w:p w14:paraId="6DB69234"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Retesni už normalius širdies susitraukimai, kurie gali suretėti pradedant gydymą bei būti susiję su kraujospūdžio sumažėjimu ir apalpimu.</w:t>
      </w:r>
    </w:p>
    <w:p w14:paraId="1013B9F9"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Pasunkėjęs šlapinimasis.</w:t>
      </w:r>
    </w:p>
    <w:p w14:paraId="5FD23A48"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Alpimas (dėl to galite pargriūti).</w:t>
      </w:r>
    </w:p>
    <w:p w14:paraId="1F12B82C"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Užgulta nosis.</w:t>
      </w:r>
    </w:p>
    <w:p w14:paraId="2C30258F" w14:textId="77777777" w:rsidR="00CB68E6" w:rsidRPr="00F45D90"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Sumažėjęs raudonųjų kraujo ląstelių kiekis.</w:t>
      </w:r>
    </w:p>
    <w:p w14:paraId="4E1DB3EB" w14:textId="0120E1EE" w:rsidR="00CB68E6" w:rsidRDefault="00CB68E6"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Sumažėjęs natrio kiekis kraujyje.</w:t>
      </w:r>
    </w:p>
    <w:p w14:paraId="65880C53" w14:textId="78AE863D" w:rsidR="00C404A3" w:rsidRDefault="00C404A3" w:rsidP="00CB68E6">
      <w:pPr>
        <w:numPr>
          <w:ilvl w:val="0"/>
          <w:numId w:val="11"/>
        </w:numPr>
        <w:tabs>
          <w:tab w:val="clear" w:pos="720"/>
          <w:tab w:val="num" w:pos="567"/>
        </w:tabs>
        <w:spacing w:after="0" w:line="240" w:lineRule="auto"/>
        <w:ind w:left="567" w:hanging="567"/>
        <w:rPr>
          <w:rFonts w:ascii="Times New Roman" w:eastAsia="Times New Roman" w:hAnsi="Times New Roman"/>
        </w:rPr>
      </w:pPr>
      <w:r>
        <w:rPr>
          <w:rFonts w:ascii="Times New Roman" w:eastAsia="Times New Roman" w:hAnsi="Times New Roman"/>
        </w:rPr>
        <w:t xml:space="preserve">Cukrinio diabeto eigos pablogėjimas. </w:t>
      </w:r>
    </w:p>
    <w:p w14:paraId="5769798C" w14:textId="3D25B843" w:rsidR="00F902E7" w:rsidRDefault="00F902E7" w:rsidP="00F902E7">
      <w:pPr>
        <w:numPr>
          <w:ilvl w:val="0"/>
          <w:numId w:val="11"/>
        </w:numPr>
        <w:tabs>
          <w:tab w:val="clear" w:pos="720"/>
          <w:tab w:val="num" w:pos="567"/>
        </w:tabs>
        <w:spacing w:after="0" w:line="240" w:lineRule="auto"/>
        <w:ind w:left="567" w:hanging="567"/>
        <w:rPr>
          <w:rFonts w:ascii="Times New Roman" w:eastAsia="Times New Roman" w:hAnsi="Times New Roman"/>
        </w:rPr>
      </w:pPr>
      <w:r>
        <w:rPr>
          <w:rFonts w:ascii="Times New Roman" w:eastAsia="Times New Roman" w:hAnsi="Times New Roman"/>
        </w:rPr>
        <w:t>Sumišimas.</w:t>
      </w:r>
    </w:p>
    <w:p w14:paraId="6B1ABB0D" w14:textId="77777777" w:rsidR="00F902E7" w:rsidRPr="00F902E7" w:rsidRDefault="00F902E7" w:rsidP="00F902E7">
      <w:pPr>
        <w:spacing w:after="0" w:line="240" w:lineRule="auto"/>
        <w:ind w:left="567"/>
        <w:rPr>
          <w:rFonts w:ascii="Times New Roman" w:eastAsia="Times New Roman" w:hAnsi="Times New Roman"/>
        </w:rPr>
      </w:pPr>
    </w:p>
    <w:p w14:paraId="18F9E915" w14:textId="0E37F484" w:rsidR="00F902E7" w:rsidRPr="00F902E7" w:rsidRDefault="00F902E7" w:rsidP="00F902E7">
      <w:pPr>
        <w:tabs>
          <w:tab w:val="left" w:pos="567"/>
        </w:tabs>
        <w:spacing w:after="0"/>
        <w:ind w:right="-29"/>
        <w:rPr>
          <w:rFonts w:ascii="Times New Roman" w:eastAsia="Segoe UI Emoji" w:hAnsi="Times New Roman"/>
          <w:b/>
          <w:bCs/>
        </w:rPr>
      </w:pPr>
      <w:r w:rsidRPr="00F902E7">
        <w:rPr>
          <w:rFonts w:ascii="Times New Roman" w:hAnsi="Times New Roman"/>
          <w:b/>
          <w:bCs/>
        </w:rPr>
        <w:t xml:space="preserve">Reti šalutinio poveikio reiškiniai (gali pasireikšti rečiau kaip 1 iš 1 000 asmenų): </w:t>
      </w:r>
    </w:p>
    <w:p w14:paraId="053D4A5F" w14:textId="77777777" w:rsidR="00CB68E6" w:rsidRPr="00F45D90" w:rsidRDefault="00CB68E6" w:rsidP="00F902E7">
      <w:pPr>
        <w:numPr>
          <w:ilvl w:val="0"/>
          <w:numId w:val="12"/>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Karščiavimo, prakaitavimo, raumenų stingulio, didelio mieguistumo arba alpimo derinys (vadinamas „piktybiniu neurolepsiniu sindromu“).</w:t>
      </w:r>
    </w:p>
    <w:p w14:paraId="1B5AC2B4" w14:textId="77777777" w:rsidR="00CB68E6" w:rsidRPr="00F45D90" w:rsidRDefault="00CB68E6" w:rsidP="00CB68E6">
      <w:pPr>
        <w:numPr>
          <w:ilvl w:val="0"/>
          <w:numId w:val="12"/>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Odos ir akių pageltimas (gelta).</w:t>
      </w:r>
    </w:p>
    <w:p w14:paraId="03EC42F8" w14:textId="77777777" w:rsidR="00CB68E6" w:rsidRPr="00F45D90" w:rsidRDefault="00CB68E6" w:rsidP="00CB68E6">
      <w:pPr>
        <w:numPr>
          <w:ilvl w:val="0"/>
          <w:numId w:val="12"/>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Kepenų uždegimas (hepatitas).</w:t>
      </w:r>
    </w:p>
    <w:p w14:paraId="19D1D3D3" w14:textId="77777777" w:rsidR="00CB68E6" w:rsidRPr="00F45D90" w:rsidRDefault="00CB68E6" w:rsidP="00CB68E6">
      <w:pPr>
        <w:numPr>
          <w:ilvl w:val="0"/>
          <w:numId w:val="12"/>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Ilgalaikė skausminga erekcija (priapizmas). </w:t>
      </w:r>
    </w:p>
    <w:p w14:paraId="21B8142E" w14:textId="77777777" w:rsidR="00CB68E6" w:rsidRPr="00F45D90" w:rsidRDefault="00CB68E6" w:rsidP="00CB68E6">
      <w:pPr>
        <w:pStyle w:val="Sraopastraipa"/>
        <w:numPr>
          <w:ilvl w:val="0"/>
          <w:numId w:val="12"/>
        </w:numPr>
        <w:tabs>
          <w:tab w:val="clear" w:pos="720"/>
          <w:tab w:val="num" w:pos="567"/>
        </w:tabs>
        <w:ind w:left="567" w:hanging="567"/>
        <w:rPr>
          <w:rFonts w:ascii="Times New Roman" w:hAnsi="Times New Roman"/>
        </w:rPr>
      </w:pPr>
      <w:r w:rsidRPr="00F45D90">
        <w:rPr>
          <w:rFonts w:ascii="Times New Roman" w:hAnsi="Times New Roman"/>
        </w:rPr>
        <w:t>Krūtų paburkimas ir netikėta pieno gamyba (galaktorėja).</w:t>
      </w:r>
    </w:p>
    <w:p w14:paraId="2DEAE9FA" w14:textId="77777777" w:rsidR="00CB68E6" w:rsidRPr="00F45D90" w:rsidRDefault="00CB68E6" w:rsidP="00CB68E6">
      <w:pPr>
        <w:pStyle w:val="Sraopastraipa"/>
        <w:numPr>
          <w:ilvl w:val="0"/>
          <w:numId w:val="12"/>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Mėnesinių sutrikimas.</w:t>
      </w:r>
    </w:p>
    <w:p w14:paraId="281ED751" w14:textId="77777777" w:rsidR="00CB68E6" w:rsidRPr="00F45D90" w:rsidRDefault="00CB68E6" w:rsidP="00CB68E6">
      <w:pPr>
        <w:numPr>
          <w:ilvl w:val="0"/>
          <w:numId w:val="12"/>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Kraujo krešuliai venose, ypač kojų (jų simptomai yra kojos patinimas, skausmas ir paraudimas), kurie gali kraujagyslėmis nukeliauti į plaučius, sukelti krūtinės skausmą ir apsunkinti kvėpavimą. Pastebėję kurį nors iš šių simptomų, nedelsdami kreipkitės į gydytoją.</w:t>
      </w:r>
    </w:p>
    <w:p w14:paraId="4236FA72" w14:textId="77777777" w:rsidR="00CB68E6" w:rsidRPr="00F45D90" w:rsidRDefault="00CB68E6" w:rsidP="00CB68E6">
      <w:pPr>
        <w:numPr>
          <w:ilvl w:val="0"/>
          <w:numId w:val="12"/>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Vaikščiojimas, kalbėjimas ir valgymas miego metu.</w:t>
      </w:r>
    </w:p>
    <w:p w14:paraId="5232ADD9" w14:textId="77777777" w:rsidR="00CB68E6" w:rsidRPr="00F45D90" w:rsidRDefault="00CB68E6" w:rsidP="00CB68E6">
      <w:pPr>
        <w:numPr>
          <w:ilvl w:val="0"/>
          <w:numId w:val="12"/>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Sumažėjusi kūno temperatūra (hipotermija).</w:t>
      </w:r>
    </w:p>
    <w:p w14:paraId="7D442DC7" w14:textId="77777777" w:rsidR="00CB68E6" w:rsidRPr="00F45D90" w:rsidRDefault="00CB68E6" w:rsidP="00CB68E6">
      <w:pPr>
        <w:numPr>
          <w:ilvl w:val="0"/>
          <w:numId w:val="12"/>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Kasos uždegimas.</w:t>
      </w:r>
    </w:p>
    <w:p w14:paraId="3B9D243A" w14:textId="77777777" w:rsidR="00CB68E6" w:rsidRPr="00F45D90" w:rsidRDefault="00CB68E6" w:rsidP="00CB68E6">
      <w:pPr>
        <w:numPr>
          <w:ilvl w:val="0"/>
          <w:numId w:val="12"/>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Būklė, vadinama „metaboliniu sindromu“. Jai esant gali pasireikšti 3 ar daugiau šių sutrikimų derinys: padidėjęs pilvo srities riebalų kiekis, sumažėjęs „gerojo“ (DTL) cholesterolio kiekis,  padidėjęs trigliceridais vadinamų riebalų kiekis kraujyje, padidėjęs kraujospūdis ir padidėjęs cukraus kiekis kraujyje.</w:t>
      </w:r>
    </w:p>
    <w:p w14:paraId="1683A582" w14:textId="77777777" w:rsidR="00CB68E6" w:rsidRPr="00F45D90" w:rsidRDefault="00CB68E6" w:rsidP="00CB68E6">
      <w:pPr>
        <w:numPr>
          <w:ilvl w:val="0"/>
          <w:numId w:val="12"/>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Karščiavimo, panašių į gripo simptomų ir gerklės skausmo derinys arba kitokia infekcija, susijusi labai mažu baltųjų kraujo ląstelių kiekiu (ši būklė vadinama agranulocitoze). </w:t>
      </w:r>
    </w:p>
    <w:p w14:paraId="537116EF" w14:textId="77777777" w:rsidR="00CB68E6" w:rsidRPr="00F45D90" w:rsidRDefault="00CB68E6" w:rsidP="00CB68E6">
      <w:pPr>
        <w:numPr>
          <w:ilvl w:val="0"/>
          <w:numId w:val="12"/>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Mėnesinių sutrikimas.</w:t>
      </w:r>
    </w:p>
    <w:p w14:paraId="3489BD32" w14:textId="77777777" w:rsidR="00CB68E6" w:rsidRPr="00F45D90" w:rsidRDefault="00CB68E6" w:rsidP="00CB68E6">
      <w:pPr>
        <w:pStyle w:val="Sraopastraipa"/>
        <w:numPr>
          <w:ilvl w:val="0"/>
          <w:numId w:val="12"/>
        </w:numPr>
        <w:tabs>
          <w:tab w:val="clear" w:pos="720"/>
          <w:tab w:val="num" w:pos="567"/>
        </w:tabs>
        <w:ind w:left="567" w:hanging="567"/>
        <w:rPr>
          <w:rFonts w:ascii="Times New Roman" w:hAnsi="Times New Roman"/>
        </w:rPr>
      </w:pPr>
      <w:r w:rsidRPr="00F45D90">
        <w:rPr>
          <w:rFonts w:ascii="Times New Roman" w:hAnsi="Times New Roman"/>
        </w:rPr>
        <w:t>Žarnų obstrukcija (užsikimšimas).</w:t>
      </w:r>
    </w:p>
    <w:p w14:paraId="232BEFFF" w14:textId="224695DD" w:rsidR="00CB68E6" w:rsidRDefault="00CB68E6" w:rsidP="00CB68E6">
      <w:pPr>
        <w:pStyle w:val="Sraopastraipa"/>
        <w:numPr>
          <w:ilvl w:val="0"/>
          <w:numId w:val="12"/>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Padidėjęs kreatino kinazės (raumenyse susidarančios medžiagos) kiekis kraujyje.</w:t>
      </w:r>
    </w:p>
    <w:p w14:paraId="0AFEDA14" w14:textId="77777777" w:rsidR="00F902E7" w:rsidRPr="00F902E7" w:rsidRDefault="00F902E7" w:rsidP="00F902E7">
      <w:pPr>
        <w:tabs>
          <w:tab w:val="left" w:pos="567"/>
        </w:tabs>
        <w:spacing w:after="0" w:line="240" w:lineRule="auto"/>
        <w:ind w:right="-29"/>
        <w:rPr>
          <w:rFonts w:ascii="Times New Roman" w:eastAsia="Times New Roman" w:hAnsi="Times New Roman"/>
        </w:rPr>
      </w:pPr>
      <w:r w:rsidRPr="00F902E7">
        <w:rPr>
          <w:rFonts w:ascii="Times New Roman" w:hAnsi="Times New Roman"/>
          <w:b/>
          <w:bCs/>
        </w:rPr>
        <w:t>Labai reti šalutinio poveikio reiškiniai (gali pasireikšti rečiau kaip 1 iš 10 000 asmenų</w:t>
      </w:r>
    </w:p>
    <w:p w14:paraId="59F9EA9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Stiprus išbėrimas, pūslės arba raudonos dėmės odoje.</w:t>
      </w:r>
    </w:p>
    <w:p w14:paraId="63A98ED3" w14:textId="77777777" w:rsidR="00CB68E6" w:rsidRPr="00F45D90" w:rsidRDefault="00CB68E6" w:rsidP="00CB68E6">
      <w:pPr>
        <w:pStyle w:val="Sraopastraipa"/>
        <w:numPr>
          <w:ilvl w:val="0"/>
          <w:numId w:val="13"/>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Sunki alerginė reakcija (anafilaksija), dėl kurios gali pasunkėti kvėpavimas ir ištikti šokas.</w:t>
      </w:r>
    </w:p>
    <w:p w14:paraId="7AD92B09" w14:textId="77777777" w:rsidR="00CB68E6" w:rsidRPr="00F45D90" w:rsidRDefault="00CB68E6" w:rsidP="00CB68E6">
      <w:pPr>
        <w:pStyle w:val="Sraopastraipa"/>
        <w:numPr>
          <w:ilvl w:val="0"/>
          <w:numId w:val="13"/>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lastRenderedPageBreak/>
        <w:t>Greitai pasireiškiantis odos patinimas, dažniausiai aplink akis, lūpas ir gerklėje (angioedema).</w:t>
      </w:r>
    </w:p>
    <w:p w14:paraId="7854F82B" w14:textId="2EE4891B" w:rsidR="00CB68E6" w:rsidRPr="00F45D90" w:rsidRDefault="00CB68E6" w:rsidP="00CB68E6">
      <w:pPr>
        <w:pStyle w:val="Sraopastraipa"/>
        <w:numPr>
          <w:ilvl w:val="0"/>
          <w:numId w:val="13"/>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Sunki būklė, pasireiškianti odos, burnos, akių ir lytinių organų pūslėmis (Stevens-Johnson sindromas)</w:t>
      </w:r>
      <w:r w:rsidR="00093C15">
        <w:rPr>
          <w:rFonts w:ascii="Times New Roman" w:hAnsi="Times New Roman"/>
        </w:rPr>
        <w:t xml:space="preserve"> (žr</w:t>
      </w:r>
      <w:r w:rsidRPr="00F45D90">
        <w:rPr>
          <w:rFonts w:ascii="Times New Roman" w:hAnsi="Times New Roman"/>
        </w:rPr>
        <w:t>.</w:t>
      </w:r>
      <w:r w:rsidR="00093C15">
        <w:rPr>
          <w:rFonts w:ascii="Times New Roman" w:hAnsi="Times New Roman"/>
        </w:rPr>
        <w:t>2 skyrių).</w:t>
      </w:r>
    </w:p>
    <w:p w14:paraId="6EC18C38" w14:textId="77777777" w:rsidR="00CB68E6" w:rsidRPr="00F45D90" w:rsidRDefault="00CB68E6" w:rsidP="00CB68E6">
      <w:pPr>
        <w:numPr>
          <w:ilvl w:val="0"/>
          <w:numId w:val="13"/>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Sutrikusi hormono, kuris kontroliuoja šlapimo išsiskyrimą, sekrecija.</w:t>
      </w:r>
    </w:p>
    <w:p w14:paraId="122D3144" w14:textId="77777777" w:rsidR="00CB68E6" w:rsidRPr="00F45D90" w:rsidRDefault="00CB68E6" w:rsidP="00CB68E6">
      <w:pPr>
        <w:pStyle w:val="Sraopastraipa"/>
        <w:numPr>
          <w:ilvl w:val="0"/>
          <w:numId w:val="13"/>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Raumenų skaidulų pažeidimas ir raumenų skausmas (rabdomiolizė).</w:t>
      </w:r>
    </w:p>
    <w:p w14:paraId="085E14FA" w14:textId="77777777" w:rsidR="00CB68E6" w:rsidRPr="00F45D90" w:rsidRDefault="00CB68E6" w:rsidP="00CB68E6">
      <w:pPr>
        <w:spacing w:after="0" w:line="240" w:lineRule="auto"/>
        <w:rPr>
          <w:rFonts w:ascii="Times New Roman" w:hAnsi="Times New Roman"/>
        </w:rPr>
      </w:pPr>
    </w:p>
    <w:p w14:paraId="52F226F8" w14:textId="68E74E36" w:rsidR="005C6E86" w:rsidRPr="005C6E86" w:rsidRDefault="005C6E86" w:rsidP="005C6E86">
      <w:pPr>
        <w:tabs>
          <w:tab w:val="left" w:pos="567"/>
        </w:tabs>
        <w:spacing w:after="0" w:line="240" w:lineRule="auto"/>
        <w:ind w:right="-29"/>
        <w:rPr>
          <w:rFonts w:ascii="Times New Roman" w:eastAsia="Times New Roman" w:hAnsi="Times New Roman"/>
          <w:b/>
          <w:bCs/>
          <w:noProof/>
          <w:snapToGrid w:val="0"/>
        </w:rPr>
      </w:pPr>
      <w:r w:rsidRPr="005C6E86">
        <w:rPr>
          <w:rFonts w:ascii="Times New Roman" w:eastAsia="Times New Roman" w:hAnsi="Times New Roman"/>
          <w:b/>
          <w:bCs/>
          <w:noProof/>
          <w:snapToGrid w:val="0"/>
        </w:rPr>
        <w:t xml:space="preserve">Šalutinio poveikio reiškiniai, kurių dažnis nežinomas (negali būti apskaičiuotas pagal turimus duomenis): </w:t>
      </w:r>
    </w:p>
    <w:p w14:paraId="5EE4C5AA" w14:textId="797E1AC5" w:rsidR="00CB68E6" w:rsidRDefault="00CB68E6" w:rsidP="00CB68E6">
      <w:pPr>
        <w:numPr>
          <w:ilvl w:val="0"/>
          <w:numId w:val="20"/>
        </w:numPr>
        <w:tabs>
          <w:tab w:val="clear" w:pos="720"/>
          <w:tab w:val="num" w:pos="567"/>
        </w:tabs>
        <w:spacing w:after="0" w:line="240" w:lineRule="auto"/>
        <w:ind w:left="567" w:hanging="567"/>
        <w:contextualSpacing/>
        <w:rPr>
          <w:rFonts w:ascii="Times New Roman" w:hAnsi="Times New Roman"/>
        </w:rPr>
      </w:pPr>
      <w:r w:rsidRPr="00F45D90">
        <w:rPr>
          <w:rFonts w:ascii="Times New Roman" w:hAnsi="Times New Roman"/>
        </w:rPr>
        <w:t>Odos išbėrimas netaisyklingos formos raudonomis dėmėmis (daugiaformė eritema)</w:t>
      </w:r>
      <w:r w:rsidR="00093C15">
        <w:rPr>
          <w:rFonts w:ascii="Times New Roman" w:hAnsi="Times New Roman"/>
        </w:rPr>
        <w:t>. Žr. 2 skyrių</w:t>
      </w:r>
      <w:r w:rsidRPr="00F45D90">
        <w:rPr>
          <w:rFonts w:ascii="Times New Roman" w:hAnsi="Times New Roman"/>
        </w:rPr>
        <w:t>.</w:t>
      </w:r>
    </w:p>
    <w:p w14:paraId="26CBCEB8" w14:textId="0EA258DA" w:rsidR="00093C15" w:rsidRPr="00F45D90" w:rsidRDefault="00093C15" w:rsidP="00CB68E6">
      <w:pPr>
        <w:numPr>
          <w:ilvl w:val="0"/>
          <w:numId w:val="20"/>
        </w:numPr>
        <w:tabs>
          <w:tab w:val="clear" w:pos="720"/>
          <w:tab w:val="num" w:pos="567"/>
        </w:tabs>
        <w:spacing w:after="0" w:line="240" w:lineRule="auto"/>
        <w:ind w:left="567" w:hanging="567"/>
        <w:contextualSpacing/>
        <w:rPr>
          <w:rFonts w:ascii="Times New Roman" w:hAnsi="Times New Roman"/>
        </w:rPr>
      </w:pPr>
      <w:r>
        <w:rPr>
          <w:rFonts w:ascii="Times New Roman" w:hAnsi="Times New Roman"/>
        </w:rPr>
        <w:t xml:space="preserve">Greitai </w:t>
      </w:r>
      <w:r w:rsidR="000B6A56">
        <w:rPr>
          <w:rFonts w:ascii="Times New Roman" w:hAnsi="Times New Roman"/>
        </w:rPr>
        <w:t>atsirandančios</w:t>
      </w:r>
      <w:r>
        <w:rPr>
          <w:rFonts w:ascii="Times New Roman" w:hAnsi="Times New Roman"/>
        </w:rPr>
        <w:t xml:space="preserve">, mažomis </w:t>
      </w:r>
      <w:r w:rsidR="00B95C9E">
        <w:rPr>
          <w:rFonts w:ascii="Times New Roman" w:hAnsi="Times New Roman"/>
        </w:rPr>
        <w:t xml:space="preserve">nusėtos </w:t>
      </w:r>
      <w:r>
        <w:rPr>
          <w:rFonts w:ascii="Times New Roman" w:hAnsi="Times New Roman"/>
        </w:rPr>
        <w:t xml:space="preserve">pustulėmis </w:t>
      </w:r>
      <w:r w:rsidR="00B95C9E">
        <w:rPr>
          <w:rFonts w:ascii="Times New Roman" w:hAnsi="Times New Roman"/>
        </w:rPr>
        <w:t xml:space="preserve">odos vietos </w:t>
      </w:r>
      <w:r>
        <w:rPr>
          <w:rFonts w:ascii="Times New Roman" w:hAnsi="Times New Roman"/>
        </w:rPr>
        <w:t>(mažos pūslytės, pripildytos baltu arba geltonu sky</w:t>
      </w:r>
      <w:r w:rsidR="000B6A56">
        <w:rPr>
          <w:rFonts w:ascii="Times New Roman" w:hAnsi="Times New Roman"/>
        </w:rPr>
        <w:t>s</w:t>
      </w:r>
      <w:r>
        <w:rPr>
          <w:rFonts w:ascii="Times New Roman" w:hAnsi="Times New Roman"/>
        </w:rPr>
        <w:t>či</w:t>
      </w:r>
      <w:r w:rsidR="000B6A56">
        <w:rPr>
          <w:rFonts w:ascii="Times New Roman" w:hAnsi="Times New Roman"/>
        </w:rPr>
        <w:t>u</w:t>
      </w:r>
      <w:r>
        <w:rPr>
          <w:rFonts w:ascii="Times New Roman" w:hAnsi="Times New Roman"/>
        </w:rPr>
        <w:t>, vadinama ūmine generalizuota egzantemine pustulioze). Žr. 2 skyrių.</w:t>
      </w:r>
    </w:p>
    <w:p w14:paraId="097FE0DB" w14:textId="57D3152C"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w:t>
      </w:r>
      <w:r w:rsidRPr="00F45D90">
        <w:rPr>
          <w:rFonts w:ascii="Times New Roman" w:hAnsi="Times New Roman"/>
        </w:rPr>
        <w:tab/>
        <w:t>Sunki staigi alerginė reakcija, kurios simptomai yra karščiavimas, odos pūslės ir lupimasis (toksinė epidermio nekrolizė).</w:t>
      </w:r>
      <w:r w:rsidR="00093C15">
        <w:rPr>
          <w:rFonts w:ascii="Times New Roman" w:hAnsi="Times New Roman"/>
        </w:rPr>
        <w:t xml:space="preserve"> Žr. 2 skyrių.</w:t>
      </w:r>
    </w:p>
    <w:p w14:paraId="0C66F558" w14:textId="5F6B47F7" w:rsidR="00093C15" w:rsidRDefault="00093C15" w:rsidP="00366652">
      <w:pPr>
        <w:pStyle w:val="Sraopastraipa"/>
        <w:numPr>
          <w:ilvl w:val="0"/>
          <w:numId w:val="24"/>
        </w:numPr>
        <w:spacing w:after="0" w:line="240" w:lineRule="auto"/>
        <w:ind w:left="567" w:hanging="567"/>
        <w:rPr>
          <w:rFonts w:ascii="Times New Roman" w:hAnsi="Times New Roman"/>
        </w:rPr>
      </w:pPr>
    </w:p>
    <w:p w14:paraId="752CE6A7" w14:textId="72027966" w:rsidR="00093C15" w:rsidRDefault="00E573E9" w:rsidP="00366652">
      <w:pPr>
        <w:pStyle w:val="Sraopastraipa"/>
        <w:numPr>
          <w:ilvl w:val="0"/>
          <w:numId w:val="24"/>
        </w:numPr>
        <w:spacing w:after="0" w:line="240" w:lineRule="auto"/>
        <w:ind w:left="567" w:hanging="567"/>
        <w:rPr>
          <w:rFonts w:ascii="Times New Roman" w:hAnsi="Times New Roman"/>
        </w:rPr>
      </w:pPr>
      <w:r w:rsidRPr="001B64D9">
        <w:rPr>
          <w:rFonts w:ascii="Times New Roman" w:eastAsia="Calibri" w:hAnsi="Times New Roman"/>
        </w:rPr>
        <w:t xml:space="preserve">Reakcija į vaistą su eozinofilija ir sisteminiais simptomais (angliškai vadinamas DRESS sindromas). </w:t>
      </w:r>
      <w:r w:rsidR="00093C15">
        <w:rPr>
          <w:rFonts w:ascii="Times New Roman" w:eastAsia="Calibri" w:hAnsi="Times New Roman"/>
        </w:rPr>
        <w:t xml:space="preserve">Gripui panašūs simptomai: </w:t>
      </w:r>
      <w:r w:rsidRPr="001B64D9">
        <w:rPr>
          <w:rFonts w:ascii="Times New Roman" w:eastAsia="Calibri" w:hAnsi="Times New Roman"/>
        </w:rPr>
        <w:t xml:space="preserve"> bėrimas, aukšta kūno temperatūra, </w:t>
      </w:r>
      <w:r w:rsidR="00093C15">
        <w:rPr>
          <w:rFonts w:ascii="Times New Roman" w:eastAsia="Calibri" w:hAnsi="Times New Roman"/>
        </w:rPr>
        <w:t>limfmazgių padidėjimas, kraujo sudėties pokyčiai (</w:t>
      </w:r>
      <w:r w:rsidRPr="001B64D9">
        <w:rPr>
          <w:rFonts w:ascii="Times New Roman" w:eastAsia="Calibri" w:hAnsi="Times New Roman"/>
        </w:rPr>
        <w:t xml:space="preserve">padidėjęs </w:t>
      </w:r>
      <w:r w:rsidR="00093C15">
        <w:rPr>
          <w:rFonts w:ascii="Times New Roman" w:eastAsia="Calibri" w:hAnsi="Times New Roman"/>
        </w:rPr>
        <w:t xml:space="preserve">baltųjų kraujo ląstelių [eozinofilų] kiekis, </w:t>
      </w:r>
      <w:r w:rsidR="00B95C9E">
        <w:rPr>
          <w:rFonts w:ascii="Times New Roman" w:eastAsia="Calibri" w:hAnsi="Times New Roman"/>
        </w:rPr>
        <w:t xml:space="preserve">padidėjęs </w:t>
      </w:r>
      <w:r w:rsidRPr="001B64D9">
        <w:rPr>
          <w:rFonts w:ascii="Times New Roman" w:eastAsia="Calibri" w:hAnsi="Times New Roman"/>
        </w:rPr>
        <w:t>kepenų fermentų kiekis kraujyje</w:t>
      </w:r>
      <w:r w:rsidR="00093C15">
        <w:rPr>
          <w:rFonts w:ascii="Times New Roman" w:eastAsia="Calibri" w:hAnsi="Times New Roman"/>
        </w:rPr>
        <w:t>). Žr. 2 skyrių</w:t>
      </w:r>
      <w:r w:rsidR="00EC6202">
        <w:rPr>
          <w:rFonts w:ascii="Times New Roman" w:hAnsi="Times New Roman"/>
        </w:rPr>
        <w:t xml:space="preserve"> </w:t>
      </w:r>
    </w:p>
    <w:p w14:paraId="7CC3D942" w14:textId="5BB69FB8" w:rsidR="00093C15" w:rsidRPr="00093C15" w:rsidRDefault="00093C15" w:rsidP="00093C15">
      <w:pPr>
        <w:pStyle w:val="Sraopastraipa"/>
        <w:numPr>
          <w:ilvl w:val="0"/>
          <w:numId w:val="28"/>
        </w:numPr>
        <w:spacing w:after="0" w:line="240" w:lineRule="auto"/>
        <w:ind w:left="567" w:hanging="567"/>
        <w:rPr>
          <w:rFonts w:ascii="Times New Roman" w:hAnsi="Times New Roman"/>
        </w:rPr>
      </w:pPr>
      <w:r w:rsidRPr="00093C15">
        <w:rPr>
          <w:rFonts w:ascii="Times New Roman" w:hAnsi="Times New Roman"/>
        </w:rPr>
        <w:t xml:space="preserve">Nutraukimo simptomai, galintys pasireikšti motinų, nėštumo metu vartojusių kvetiapiną, naujagimiams. </w:t>
      </w:r>
    </w:p>
    <w:p w14:paraId="549F7854" w14:textId="7E1C35CC" w:rsidR="00C404A3" w:rsidRDefault="00C404A3" w:rsidP="00366652">
      <w:pPr>
        <w:pStyle w:val="Sraopastraipa"/>
        <w:numPr>
          <w:ilvl w:val="0"/>
          <w:numId w:val="24"/>
        </w:numPr>
        <w:spacing w:after="0" w:line="240" w:lineRule="auto"/>
        <w:ind w:left="567" w:hanging="567"/>
        <w:rPr>
          <w:rFonts w:ascii="Times New Roman" w:hAnsi="Times New Roman"/>
        </w:rPr>
      </w:pPr>
      <w:r>
        <w:rPr>
          <w:rFonts w:ascii="Times New Roman" w:hAnsi="Times New Roman"/>
        </w:rPr>
        <w:t>Insultas.</w:t>
      </w:r>
    </w:p>
    <w:p w14:paraId="1B48D5A3" w14:textId="15369053" w:rsidR="0004478C" w:rsidRDefault="0004478C" w:rsidP="00366652">
      <w:pPr>
        <w:pStyle w:val="Sraopastraipa"/>
        <w:numPr>
          <w:ilvl w:val="0"/>
          <w:numId w:val="24"/>
        </w:numPr>
        <w:spacing w:after="0" w:line="240" w:lineRule="auto"/>
        <w:ind w:left="567" w:hanging="567"/>
        <w:rPr>
          <w:rFonts w:ascii="Times New Roman" w:hAnsi="Times New Roman"/>
        </w:rPr>
      </w:pPr>
      <w:r>
        <w:rPr>
          <w:rFonts w:ascii="Times New Roman" w:hAnsi="Times New Roman"/>
        </w:rPr>
        <w:t>Širdies raumens sutrikimai (kardiomiopatija).</w:t>
      </w:r>
    </w:p>
    <w:p w14:paraId="694B7247" w14:textId="3464D943" w:rsidR="0004478C" w:rsidRDefault="0004478C" w:rsidP="00366652">
      <w:pPr>
        <w:pStyle w:val="Sraopastraipa"/>
        <w:numPr>
          <w:ilvl w:val="0"/>
          <w:numId w:val="24"/>
        </w:numPr>
        <w:spacing w:after="0" w:line="240" w:lineRule="auto"/>
        <w:ind w:left="567" w:hanging="567"/>
        <w:rPr>
          <w:rFonts w:ascii="Times New Roman" w:hAnsi="Times New Roman"/>
        </w:rPr>
      </w:pPr>
      <w:r>
        <w:rPr>
          <w:rFonts w:ascii="Times New Roman" w:hAnsi="Times New Roman"/>
        </w:rPr>
        <w:t>Širdies raumens uždegimas (miokardiatas).</w:t>
      </w:r>
    </w:p>
    <w:p w14:paraId="1BEFAA32" w14:textId="6A5FA8DB" w:rsidR="0004478C" w:rsidRPr="00366652" w:rsidRDefault="0004478C" w:rsidP="00366652">
      <w:pPr>
        <w:pStyle w:val="Sraopastraipa"/>
        <w:numPr>
          <w:ilvl w:val="0"/>
          <w:numId w:val="24"/>
        </w:numPr>
        <w:spacing w:after="0" w:line="240" w:lineRule="auto"/>
        <w:ind w:left="567" w:hanging="567"/>
        <w:rPr>
          <w:rFonts w:ascii="Times New Roman" w:hAnsi="Times New Roman"/>
        </w:rPr>
      </w:pPr>
      <w:r>
        <w:rPr>
          <w:rFonts w:ascii="Times New Roman" w:hAnsi="Times New Roman"/>
        </w:rPr>
        <w:t xml:space="preserve">Kraujagyslių uždegimas (vaskulitas): dažnai kartu su išbėrimu mažais raudonais arba violetiniais iškilimais. </w:t>
      </w:r>
    </w:p>
    <w:p w14:paraId="61779073" w14:textId="77777777" w:rsidR="00CB68E6" w:rsidRPr="00F45D90" w:rsidRDefault="00CB68E6" w:rsidP="00CB68E6">
      <w:pPr>
        <w:spacing w:after="0" w:line="240" w:lineRule="auto"/>
        <w:ind w:left="567" w:hanging="567"/>
        <w:rPr>
          <w:rFonts w:ascii="Times New Roman" w:hAnsi="Times New Roman"/>
        </w:rPr>
      </w:pPr>
    </w:p>
    <w:p w14:paraId="42ED6E2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Vaistų grupė, kuriai priklauso Hedonin, gali sukelti širdies ritmo sutrikimus, kurie gali būti sunkūs ir net sukelti mirtį.</w:t>
      </w:r>
    </w:p>
    <w:p w14:paraId="29A7E154" w14:textId="77777777" w:rsidR="00CB68E6" w:rsidRPr="00F45D90" w:rsidRDefault="00CB68E6" w:rsidP="00CB68E6">
      <w:pPr>
        <w:spacing w:after="0" w:line="240" w:lineRule="auto"/>
        <w:rPr>
          <w:rFonts w:ascii="Times New Roman" w:hAnsi="Times New Roman"/>
        </w:rPr>
      </w:pPr>
    </w:p>
    <w:p w14:paraId="287C2377" w14:textId="77777777" w:rsidR="00CB68E6" w:rsidRPr="00F45D90" w:rsidRDefault="00CB68E6" w:rsidP="00CB68E6">
      <w:pPr>
        <w:spacing w:after="0" w:line="240" w:lineRule="auto"/>
        <w:rPr>
          <w:rFonts w:ascii="Times New Roman" w:eastAsia="Times New Roman" w:hAnsi="Times New Roman"/>
        </w:rPr>
      </w:pPr>
      <w:r w:rsidRPr="00F45D90">
        <w:rPr>
          <w:rFonts w:ascii="Times New Roman" w:hAnsi="Times New Roman"/>
        </w:rPr>
        <w:t xml:space="preserve">Kai kurie šalutinio poveikio reiškiniai nustatomi tik atliekant kraujo tyrimą. Tai yra padidėjęs kai kurių riebalų (trigliceridų ir bendrojo cholesterolio) arba cukraus kiekis, </w:t>
      </w:r>
      <w:r w:rsidRPr="00F45D90">
        <w:rPr>
          <w:rFonts w:ascii="Times New Roman" w:eastAsia="Times New Roman" w:hAnsi="Times New Roman"/>
        </w:rPr>
        <w:t>pakitęs skydliaukės hormonų kiekis, padidėjęs kepenų fermentų kiekis, sumažėjęs kai kurių kraujo ląstelių kiekis, raudonųjų kraujo ląstelių kiekis, padidėjęs kreatino fosfokinazės (raumenyse susidarančios medžiagos) kiekis, sumažėjęs natrio kiekis, padidėjęs hormono prolaktino kiekis kraujyje. Padaugėjus hormono prolaktino, retais atvejais gali:</w:t>
      </w:r>
    </w:p>
    <w:p w14:paraId="3D695ECD" w14:textId="77777777" w:rsidR="00CB68E6" w:rsidRPr="00F45D90" w:rsidRDefault="00CB68E6" w:rsidP="00CB68E6">
      <w:pPr>
        <w:numPr>
          <w:ilvl w:val="0"/>
          <w:numId w:val="18"/>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padidėti krūtys ir netikėtai išsiskirti pieno (vyrams ir moterims);</w:t>
      </w:r>
    </w:p>
    <w:p w14:paraId="0E66BEC2" w14:textId="77777777" w:rsidR="00CB68E6" w:rsidRPr="00F45D90" w:rsidRDefault="00CB68E6" w:rsidP="00CB68E6">
      <w:pPr>
        <w:pStyle w:val="Sraopastraipa"/>
        <w:numPr>
          <w:ilvl w:val="0"/>
          <w:numId w:val="18"/>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išnykti ar pasidaryti nereguliarios mėnesinės (moterims).</w:t>
      </w:r>
    </w:p>
    <w:p w14:paraId="16B0DB9D" w14:textId="77777777" w:rsidR="00CB68E6" w:rsidRPr="00F45D90" w:rsidRDefault="00CB68E6" w:rsidP="00CB68E6">
      <w:pPr>
        <w:spacing w:after="0" w:line="240" w:lineRule="auto"/>
        <w:rPr>
          <w:rFonts w:ascii="Times New Roman" w:hAnsi="Times New Roman"/>
        </w:rPr>
      </w:pPr>
    </w:p>
    <w:p w14:paraId="19E5E64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Gydytojas gali nurodyti jums atlikti tam tikrais laiko tarpais kraujo tyrimus.</w:t>
      </w:r>
    </w:p>
    <w:p w14:paraId="23C0469A" w14:textId="77777777" w:rsidR="00CB68E6" w:rsidRPr="00F45D90" w:rsidRDefault="00CB68E6" w:rsidP="00CB68E6">
      <w:pPr>
        <w:spacing w:after="0" w:line="240" w:lineRule="auto"/>
        <w:rPr>
          <w:rFonts w:ascii="Times New Roman" w:hAnsi="Times New Roman"/>
        </w:rPr>
      </w:pPr>
    </w:p>
    <w:p w14:paraId="226151BF" w14:textId="63F83F4E" w:rsidR="00CB68E6" w:rsidRPr="00F45D90" w:rsidRDefault="000B6A56" w:rsidP="00CB68E6">
      <w:pPr>
        <w:spacing w:after="0" w:line="240" w:lineRule="auto"/>
        <w:rPr>
          <w:rFonts w:ascii="Times New Roman" w:hAnsi="Times New Roman"/>
        </w:rPr>
      </w:pPr>
      <w:r w:rsidRPr="000B6A56">
        <w:rPr>
          <w:rFonts w:ascii="Times New Roman" w:eastAsia="Times New Roman" w:hAnsi="Times New Roman"/>
          <w:b/>
          <w:bCs/>
          <w:snapToGrid w:val="0"/>
          <w:szCs w:val="28"/>
          <w:lang w:eastAsia="x-none"/>
        </w:rPr>
        <w:t>Kitas šalutinis poveikis, kuris gali pasireikšti vaikams ir paaugliams</w:t>
      </w:r>
      <w:r w:rsidRPr="00F45D90">
        <w:rPr>
          <w:rFonts w:ascii="Times New Roman" w:hAnsi="Times New Roman"/>
          <w:b/>
        </w:rPr>
        <w:t xml:space="preserve"> </w:t>
      </w:r>
      <w:r w:rsidR="00CB68E6" w:rsidRPr="00F45D90">
        <w:rPr>
          <w:rFonts w:ascii="Times New Roman" w:hAnsi="Times New Roman"/>
        </w:rPr>
        <w:t xml:space="preserve"> </w:t>
      </w:r>
    </w:p>
    <w:p w14:paraId="0A89D10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Vaikams ir paaugliams gali pasireikšti toks pats šalutinis poveikis, kaip ir suaugusiesiems.</w:t>
      </w:r>
    </w:p>
    <w:p w14:paraId="6424955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Žemiau nurodytas šalutinis poveikis, kuris vaikams ir paaugliams pastebėtas dažniau negu suaugusiesiems, arba kurio suaugusiesiems nepastebėta.</w:t>
      </w:r>
    </w:p>
    <w:p w14:paraId="6A82135A" w14:textId="77777777" w:rsidR="00CB68E6" w:rsidRPr="00F45D90" w:rsidRDefault="00CB68E6" w:rsidP="00CB68E6">
      <w:pPr>
        <w:spacing w:after="0" w:line="240" w:lineRule="auto"/>
        <w:rPr>
          <w:rFonts w:ascii="Times New Roman" w:eastAsia="Times New Roman" w:hAnsi="Times New Roman"/>
          <w:b/>
        </w:rPr>
      </w:pPr>
    </w:p>
    <w:p w14:paraId="74515E48" w14:textId="77777777" w:rsidR="0004478C" w:rsidRPr="0004478C" w:rsidRDefault="0004478C" w:rsidP="0004478C">
      <w:pPr>
        <w:tabs>
          <w:tab w:val="left" w:pos="567"/>
        </w:tabs>
        <w:spacing w:after="0" w:line="240" w:lineRule="auto"/>
        <w:ind w:right="-29"/>
        <w:rPr>
          <w:rFonts w:ascii="Times New Roman" w:eastAsia="Times New Roman" w:hAnsi="Times New Roman"/>
          <w:b/>
          <w:bCs/>
        </w:rPr>
      </w:pPr>
      <w:r w:rsidRPr="0004478C">
        <w:rPr>
          <w:rFonts w:ascii="Times New Roman" w:hAnsi="Times New Roman"/>
          <w:b/>
          <w:bCs/>
        </w:rPr>
        <w:t>Labai dažni šalutinio poveikio reiškiniai (gali pasireikšti ne rečiau kaip 1 iš 10 asmenų):</w:t>
      </w:r>
    </w:p>
    <w:p w14:paraId="36FC84A0" w14:textId="77777777" w:rsidR="00CB68E6" w:rsidRPr="00F45D90" w:rsidRDefault="00CB68E6" w:rsidP="00CB68E6">
      <w:pPr>
        <w:numPr>
          <w:ilvl w:val="0"/>
          <w:numId w:val="14"/>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 xml:space="preserve">Padidėjęs hormono, vadinamo prolaktinu, kiekis kraujyje. Retais atvejais dėl to gali: </w:t>
      </w:r>
    </w:p>
    <w:p w14:paraId="1078BA2E" w14:textId="77777777" w:rsidR="00CB68E6" w:rsidRPr="00F45D90" w:rsidRDefault="00CB68E6" w:rsidP="00CB68E6">
      <w:pPr>
        <w:numPr>
          <w:ilvl w:val="1"/>
          <w:numId w:val="15"/>
        </w:numPr>
        <w:tabs>
          <w:tab w:val="clear" w:pos="1440"/>
          <w:tab w:val="num" w:pos="1134"/>
        </w:tabs>
        <w:spacing w:after="0" w:line="240" w:lineRule="auto"/>
        <w:ind w:left="1134" w:hanging="567"/>
        <w:rPr>
          <w:rFonts w:ascii="Times New Roman" w:eastAsia="Times New Roman" w:hAnsi="Times New Roman"/>
        </w:rPr>
      </w:pPr>
      <w:r w:rsidRPr="00F45D90">
        <w:rPr>
          <w:rFonts w:ascii="Times New Roman" w:eastAsia="Times New Roman" w:hAnsi="Times New Roman"/>
        </w:rPr>
        <w:t>padidėti krūtys ir netikėtai išsiskirti pieno (berniukams ir mergaitėms);</w:t>
      </w:r>
    </w:p>
    <w:p w14:paraId="028B3834" w14:textId="77777777" w:rsidR="00CB68E6" w:rsidRPr="00F45D90" w:rsidRDefault="00CB68E6" w:rsidP="00CB68E6">
      <w:pPr>
        <w:numPr>
          <w:ilvl w:val="1"/>
          <w:numId w:val="15"/>
        </w:numPr>
        <w:tabs>
          <w:tab w:val="clear" w:pos="1440"/>
          <w:tab w:val="num" w:pos="1134"/>
        </w:tabs>
        <w:spacing w:after="0" w:line="240" w:lineRule="auto"/>
        <w:ind w:left="1134" w:hanging="567"/>
        <w:rPr>
          <w:rFonts w:ascii="Times New Roman" w:eastAsia="Times New Roman" w:hAnsi="Times New Roman"/>
        </w:rPr>
      </w:pPr>
      <w:r w:rsidRPr="00F45D90">
        <w:rPr>
          <w:rFonts w:ascii="Times New Roman" w:eastAsia="Times New Roman" w:hAnsi="Times New Roman"/>
        </w:rPr>
        <w:t>išnykti arba pasidaryti nereguliarios mėnesinės (mergaitėms).</w:t>
      </w:r>
    </w:p>
    <w:p w14:paraId="31F7CCED" w14:textId="77777777" w:rsidR="00CB68E6" w:rsidRPr="00F45D90" w:rsidRDefault="00CB68E6" w:rsidP="00CB68E6">
      <w:pPr>
        <w:numPr>
          <w:ilvl w:val="0"/>
          <w:numId w:val="16"/>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Padidėjęs apetitas.</w:t>
      </w:r>
    </w:p>
    <w:p w14:paraId="0A7D761F" w14:textId="77777777" w:rsidR="00CB68E6" w:rsidRPr="00F45D90" w:rsidRDefault="00CB68E6" w:rsidP="00CB68E6">
      <w:pPr>
        <w:numPr>
          <w:ilvl w:val="0"/>
          <w:numId w:val="16"/>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Vėmimas.</w:t>
      </w:r>
    </w:p>
    <w:p w14:paraId="0A293B76" w14:textId="77777777" w:rsidR="00CB68E6" w:rsidRPr="00F45D90" w:rsidRDefault="00CB68E6" w:rsidP="00CB68E6">
      <w:pPr>
        <w:numPr>
          <w:ilvl w:val="0"/>
          <w:numId w:val="16"/>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Nenormalūs raumenų judesiai (būna sunku pradėti judėti, atsiranda drebėjimas (tremoras), nenustygimas arba neskausmingas raumenų stingulys).</w:t>
      </w:r>
    </w:p>
    <w:p w14:paraId="6ADADA2F" w14:textId="77777777" w:rsidR="00CB68E6" w:rsidRPr="00F45D90" w:rsidRDefault="00CB68E6" w:rsidP="00CB68E6">
      <w:pPr>
        <w:numPr>
          <w:ilvl w:val="0"/>
          <w:numId w:val="16"/>
        </w:numPr>
        <w:tabs>
          <w:tab w:val="clear" w:pos="720"/>
          <w:tab w:val="num" w:pos="567"/>
        </w:tabs>
        <w:spacing w:after="0" w:line="240" w:lineRule="auto"/>
        <w:ind w:left="567" w:hanging="567"/>
        <w:rPr>
          <w:rFonts w:ascii="Times New Roman" w:eastAsia="Times New Roman" w:hAnsi="Times New Roman"/>
        </w:rPr>
      </w:pPr>
      <w:r w:rsidRPr="00F45D90">
        <w:rPr>
          <w:rFonts w:ascii="Times New Roman" w:eastAsia="Times New Roman" w:hAnsi="Times New Roman"/>
        </w:rPr>
        <w:t>Padidėjęs kraujospūdis.</w:t>
      </w:r>
    </w:p>
    <w:p w14:paraId="68F11F61" w14:textId="77777777" w:rsidR="00CB68E6" w:rsidRPr="00F45D90" w:rsidRDefault="00CB68E6" w:rsidP="00CB68E6">
      <w:pPr>
        <w:tabs>
          <w:tab w:val="num" w:pos="567"/>
        </w:tabs>
        <w:spacing w:after="0" w:line="240" w:lineRule="auto"/>
        <w:ind w:left="567" w:hanging="567"/>
        <w:rPr>
          <w:rFonts w:ascii="Times New Roman" w:hAnsi="Times New Roman"/>
        </w:rPr>
      </w:pPr>
    </w:p>
    <w:p w14:paraId="2B9B27AF" w14:textId="77777777" w:rsidR="0004478C" w:rsidRPr="0004478C" w:rsidRDefault="0004478C" w:rsidP="0004478C">
      <w:pPr>
        <w:tabs>
          <w:tab w:val="left" w:pos="567"/>
        </w:tabs>
        <w:spacing w:after="0" w:line="240" w:lineRule="auto"/>
        <w:ind w:right="-29"/>
        <w:rPr>
          <w:rFonts w:ascii="Times New Roman" w:eastAsia="Times New Roman" w:hAnsi="Times New Roman"/>
        </w:rPr>
      </w:pPr>
      <w:r w:rsidRPr="0004478C">
        <w:rPr>
          <w:rFonts w:ascii="Times New Roman" w:hAnsi="Times New Roman"/>
          <w:b/>
          <w:bCs/>
        </w:rPr>
        <w:lastRenderedPageBreak/>
        <w:t>Dažni šalutinio poveikio reiškiniai (gali pasireikšti rečiau kaip 1 iš 10 asmenų)</w:t>
      </w:r>
    </w:p>
    <w:p w14:paraId="10B50A40" w14:textId="77777777" w:rsidR="00CB68E6" w:rsidRPr="00F45D90" w:rsidRDefault="00CB68E6" w:rsidP="00CB68E6">
      <w:pPr>
        <w:pStyle w:val="Sraopastraipa"/>
        <w:numPr>
          <w:ilvl w:val="0"/>
          <w:numId w:val="17"/>
        </w:numPr>
        <w:tabs>
          <w:tab w:val="clear" w:pos="720"/>
          <w:tab w:val="num" w:pos="567"/>
        </w:tabs>
        <w:spacing w:after="0" w:line="240" w:lineRule="auto"/>
        <w:ind w:left="567" w:hanging="567"/>
        <w:rPr>
          <w:rFonts w:ascii="Times New Roman" w:hAnsi="Times New Roman"/>
        </w:rPr>
      </w:pPr>
      <w:r w:rsidRPr="00F45D90">
        <w:rPr>
          <w:rFonts w:ascii="Times New Roman" w:hAnsi="Times New Roman"/>
        </w:rPr>
        <w:t>Silpnumas, alpimas (dėl to galima pargriūti).</w:t>
      </w:r>
    </w:p>
    <w:p w14:paraId="0C56E516" w14:textId="77777777" w:rsidR="00CB68E6" w:rsidRPr="00F45D90" w:rsidRDefault="00CB68E6" w:rsidP="00CB68E6">
      <w:pPr>
        <w:pStyle w:val="BT-EMEASMCA"/>
        <w:spacing w:after="0" w:line="240" w:lineRule="auto"/>
        <w:ind w:left="567" w:hanging="567"/>
        <w:rPr>
          <w:rFonts w:ascii="Times New Roman" w:hAnsi="Times New Roman"/>
        </w:rPr>
      </w:pPr>
      <w:r w:rsidRPr="00F45D90">
        <w:rPr>
          <w:rFonts w:ascii="Times New Roman" w:hAnsi="Times New Roman"/>
        </w:rPr>
        <w:t>Užgulta nosis.</w:t>
      </w:r>
    </w:p>
    <w:p w14:paraId="7C9F3A6E" w14:textId="77777777" w:rsidR="00CB68E6" w:rsidRPr="00F45D90" w:rsidRDefault="00CB68E6" w:rsidP="00CB68E6">
      <w:pPr>
        <w:pStyle w:val="BT-EMEASMCA"/>
        <w:spacing w:after="0" w:line="240" w:lineRule="auto"/>
        <w:ind w:left="567" w:hanging="567"/>
        <w:rPr>
          <w:rFonts w:ascii="Times New Roman" w:hAnsi="Times New Roman"/>
        </w:rPr>
      </w:pPr>
      <w:r w:rsidRPr="00F45D90">
        <w:rPr>
          <w:rFonts w:ascii="Times New Roman" w:hAnsi="Times New Roman"/>
        </w:rPr>
        <w:t>Irzlumas.</w:t>
      </w:r>
    </w:p>
    <w:p w14:paraId="03918C12" w14:textId="77777777" w:rsidR="00CB68E6" w:rsidRPr="00F45D90" w:rsidRDefault="00CB68E6" w:rsidP="00CB68E6">
      <w:pPr>
        <w:spacing w:after="0" w:line="240" w:lineRule="auto"/>
        <w:rPr>
          <w:rFonts w:ascii="Times New Roman" w:hAnsi="Times New Roman"/>
        </w:rPr>
      </w:pPr>
    </w:p>
    <w:p w14:paraId="01B736A1" w14:textId="77777777" w:rsidR="00CB68E6" w:rsidRPr="00F45D90" w:rsidRDefault="00CB68E6" w:rsidP="00CB68E6">
      <w:pPr>
        <w:spacing w:after="0" w:line="240" w:lineRule="auto"/>
        <w:rPr>
          <w:rFonts w:ascii="Times New Roman" w:eastAsia="Times New Roman" w:hAnsi="Times New Roman"/>
          <w:b/>
          <w:bCs/>
        </w:rPr>
      </w:pPr>
      <w:r w:rsidRPr="00F45D90">
        <w:rPr>
          <w:rFonts w:ascii="Times New Roman" w:eastAsia="Times New Roman" w:hAnsi="Times New Roman"/>
          <w:b/>
          <w:bCs/>
        </w:rPr>
        <w:t>Pranešimas apie šalutinį poveikį</w:t>
      </w:r>
    </w:p>
    <w:p w14:paraId="2F5062BD" w14:textId="3AA8EA20" w:rsidR="00DD3A29" w:rsidRPr="00F45D90" w:rsidRDefault="00CB68E6" w:rsidP="00D27530">
      <w:pPr>
        <w:tabs>
          <w:tab w:val="left" w:pos="567"/>
        </w:tabs>
        <w:spacing w:line="260" w:lineRule="exact"/>
        <w:ind w:right="-1"/>
        <w:rPr>
          <w:rFonts w:ascii="Times New Roman" w:eastAsia="Times New Roman" w:hAnsi="Times New Roman"/>
        </w:rPr>
      </w:pPr>
      <w:r w:rsidRPr="00F45D90">
        <w:rPr>
          <w:rFonts w:ascii="Times New Roman" w:eastAsia="Times New Roman" w:hAnsi="Times New Roman"/>
        </w:rPr>
        <w:t xml:space="preserve">Jeigu pasireiškė šalutinis poveikis, įskaitant šiame lapelyje nenurodytą, pasakykite gydytojui arba vaistininkui. </w:t>
      </w:r>
      <w:r w:rsidR="00DD3A29" w:rsidRPr="00DD3A29">
        <w:rPr>
          <w:rFonts w:ascii="Times New Roman" w:eastAsia="Times New Roman" w:hAnsi="Times New Roman"/>
          <w:lang w:eastAsia="lt-LT"/>
        </w:rPr>
        <w:t xml:space="preserve">Pranešimą apie šalutinį poveikį galite užpildyti ir pateikti Valstybinės vaistų kontrolės tarnybos prie Lietuvos Respublikos sveikatos apsaugos ministerijos tinklalapyje </w:t>
      </w:r>
      <w:r w:rsidR="00DD3A29" w:rsidRPr="00DD3A29">
        <w:rPr>
          <w:rFonts w:ascii="Times New Roman" w:eastAsia="Times New Roman" w:hAnsi="Times New Roman"/>
          <w:color w:val="0000EE"/>
          <w:u w:val="single"/>
          <w:lang w:eastAsia="lt-LT"/>
        </w:rPr>
        <w:t>https://vvkt.lrv.lt/lt/</w:t>
      </w:r>
      <w:r w:rsidR="00DD3A29" w:rsidRPr="00DD3A29">
        <w:rPr>
          <w:rFonts w:ascii="Times New Roman" w:eastAsia="Times New Roman" w:hAnsi="Times New Roman"/>
          <w:lang w:eastAsia="lt-LT"/>
        </w:rPr>
        <w:t xml:space="preserve"> nurodytais būdais arba paskambinti nemokamu telefonu 8 800 73 568. Pranešdami apie šalutinį poveikį galite mums padėti gauti daugiau informacijos apie šio vaisto saugumą</w:t>
      </w:r>
      <w:r w:rsidR="0004478C" w:rsidRPr="00E6355D">
        <w:rPr>
          <w:rFonts w:ascii="Times New Roman" w:hAnsi="Times New Roman"/>
        </w:rPr>
        <w:t>.</w:t>
      </w:r>
    </w:p>
    <w:p w14:paraId="55A176A3" w14:textId="77777777" w:rsidR="00CB68E6" w:rsidRPr="00F45D90" w:rsidRDefault="00CB68E6" w:rsidP="00CB68E6">
      <w:pPr>
        <w:spacing w:after="0" w:line="240" w:lineRule="auto"/>
        <w:rPr>
          <w:rFonts w:ascii="Times New Roman" w:hAnsi="Times New Roman"/>
        </w:rPr>
      </w:pPr>
    </w:p>
    <w:p w14:paraId="2E511DDD" w14:textId="77777777" w:rsidR="00CB68E6" w:rsidRPr="00F45D90" w:rsidRDefault="00CB68E6" w:rsidP="00CB68E6">
      <w:pPr>
        <w:spacing w:after="0" w:line="240" w:lineRule="auto"/>
        <w:rPr>
          <w:rFonts w:ascii="Times New Roman" w:hAnsi="Times New Roman"/>
        </w:rPr>
      </w:pPr>
    </w:p>
    <w:p w14:paraId="78F3682B" w14:textId="77777777" w:rsidR="00CB68E6" w:rsidRPr="00F45D90" w:rsidRDefault="00CB68E6" w:rsidP="00CB68E6">
      <w:pPr>
        <w:tabs>
          <w:tab w:val="left" w:pos="567"/>
        </w:tabs>
        <w:spacing w:after="0" w:line="240" w:lineRule="auto"/>
        <w:rPr>
          <w:rFonts w:ascii="Times New Roman" w:hAnsi="Times New Roman"/>
          <w:b/>
        </w:rPr>
      </w:pPr>
      <w:bookmarkStart w:id="79" w:name="_Toc129243143"/>
      <w:bookmarkStart w:id="80" w:name="_Toc129243268"/>
      <w:r w:rsidRPr="00F45D90">
        <w:rPr>
          <w:rFonts w:ascii="Times New Roman" w:hAnsi="Times New Roman"/>
          <w:b/>
        </w:rPr>
        <w:t>5.</w:t>
      </w:r>
      <w:r w:rsidRPr="00F45D90">
        <w:rPr>
          <w:rFonts w:ascii="Times New Roman" w:hAnsi="Times New Roman"/>
          <w:b/>
        </w:rPr>
        <w:tab/>
        <w:t xml:space="preserve">Kaip laikyti </w:t>
      </w:r>
      <w:bookmarkEnd w:id="79"/>
      <w:bookmarkEnd w:id="80"/>
      <w:r w:rsidRPr="00F45D90">
        <w:rPr>
          <w:rFonts w:ascii="Times New Roman" w:hAnsi="Times New Roman"/>
          <w:b/>
        </w:rPr>
        <w:t xml:space="preserve">Hedonin </w:t>
      </w:r>
    </w:p>
    <w:p w14:paraId="2CF0455D" w14:textId="77777777" w:rsidR="00CB68E6" w:rsidRPr="00F45D90" w:rsidRDefault="00CB68E6" w:rsidP="00CB68E6">
      <w:pPr>
        <w:spacing w:after="0" w:line="240" w:lineRule="auto"/>
        <w:rPr>
          <w:rFonts w:ascii="Times New Roman" w:hAnsi="Times New Roman"/>
        </w:rPr>
      </w:pPr>
    </w:p>
    <w:p w14:paraId="18A1D17C" w14:textId="77777777" w:rsidR="00CB68E6" w:rsidRPr="00F45D90" w:rsidRDefault="00CB68E6" w:rsidP="00CB68E6">
      <w:pPr>
        <w:numPr>
          <w:ilvl w:val="12"/>
          <w:numId w:val="0"/>
        </w:numPr>
        <w:spacing w:after="0" w:line="240" w:lineRule="auto"/>
        <w:ind w:right="-2"/>
        <w:rPr>
          <w:rFonts w:ascii="Times New Roman" w:hAnsi="Times New Roman"/>
        </w:rPr>
      </w:pPr>
      <w:r w:rsidRPr="00F45D90">
        <w:rPr>
          <w:rFonts w:ascii="Times New Roman" w:hAnsi="Times New Roman"/>
        </w:rPr>
        <w:t>Šį vaistą laikykite vaikams nepastebimoje ir nepasiekiamoje vietoje.</w:t>
      </w:r>
    </w:p>
    <w:p w14:paraId="12EE4D94" w14:textId="77777777" w:rsidR="00CB68E6" w:rsidRPr="00F45D90" w:rsidRDefault="00CB68E6" w:rsidP="00CB68E6">
      <w:pPr>
        <w:spacing w:after="0" w:line="240" w:lineRule="auto"/>
        <w:rPr>
          <w:rFonts w:ascii="Times New Roman" w:hAnsi="Times New Roman"/>
        </w:rPr>
      </w:pPr>
    </w:p>
    <w:p w14:paraId="5B22DDD6"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Ant lizdinės plokštelės ir dėžutės nurodytam tinkamumo laikui pasibaigus, šio vaisto vartoti negalima. Vaistas tinkamas vartoti iki paskutinės nurodyto mėnesio dienos.</w:t>
      </w:r>
    </w:p>
    <w:p w14:paraId="63A547FC" w14:textId="77777777" w:rsidR="00CB68E6" w:rsidRPr="00F45D90" w:rsidRDefault="00CB68E6" w:rsidP="00CB68E6">
      <w:pPr>
        <w:spacing w:after="0" w:line="240" w:lineRule="auto"/>
        <w:rPr>
          <w:rFonts w:ascii="Times New Roman" w:hAnsi="Times New Roman"/>
        </w:rPr>
      </w:pPr>
    </w:p>
    <w:p w14:paraId="56C7884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Vaistų negalima išmesti į kanalizaciją arba su buitinėmis atliekomis. Kaip išmesti nereikalingus vaistus, klauskite vaistininko. Šios priemonės padės apsaugoti aplinką.</w:t>
      </w:r>
    </w:p>
    <w:p w14:paraId="3FC4F88B" w14:textId="77777777" w:rsidR="00CB68E6" w:rsidRPr="00F45D90" w:rsidRDefault="00CB68E6" w:rsidP="00CB68E6">
      <w:pPr>
        <w:spacing w:after="0" w:line="240" w:lineRule="auto"/>
        <w:rPr>
          <w:rFonts w:ascii="Times New Roman" w:hAnsi="Times New Roman"/>
        </w:rPr>
      </w:pPr>
    </w:p>
    <w:p w14:paraId="027FCF0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Šiam vaistiniam preparatui specialių laikymo sąlygų nereikia.</w:t>
      </w:r>
    </w:p>
    <w:p w14:paraId="7C3613E9" w14:textId="77777777" w:rsidR="00CB68E6" w:rsidRPr="00F45D90" w:rsidRDefault="00CB68E6" w:rsidP="00CB68E6">
      <w:pPr>
        <w:spacing w:after="0" w:line="240" w:lineRule="auto"/>
        <w:rPr>
          <w:rFonts w:ascii="Times New Roman" w:hAnsi="Times New Roman"/>
        </w:rPr>
      </w:pPr>
    </w:p>
    <w:p w14:paraId="41A6BFB7" w14:textId="77777777" w:rsidR="00CB68E6" w:rsidRPr="00F45D90" w:rsidRDefault="00CB68E6" w:rsidP="00CB68E6">
      <w:pPr>
        <w:spacing w:after="0" w:line="240" w:lineRule="auto"/>
        <w:rPr>
          <w:rFonts w:ascii="Times New Roman" w:hAnsi="Times New Roman"/>
        </w:rPr>
      </w:pPr>
    </w:p>
    <w:p w14:paraId="3515B9CE" w14:textId="77777777" w:rsidR="00CB68E6" w:rsidRPr="00F45D90" w:rsidRDefault="00CB68E6" w:rsidP="00CB68E6">
      <w:pPr>
        <w:tabs>
          <w:tab w:val="left" w:pos="567"/>
        </w:tabs>
        <w:spacing w:after="0" w:line="240" w:lineRule="auto"/>
        <w:rPr>
          <w:rFonts w:ascii="Times New Roman" w:hAnsi="Times New Roman"/>
          <w:b/>
        </w:rPr>
      </w:pPr>
      <w:bookmarkStart w:id="81" w:name="_Toc129243144"/>
      <w:bookmarkStart w:id="82" w:name="_Toc129243269"/>
      <w:r w:rsidRPr="00F45D90">
        <w:rPr>
          <w:rFonts w:ascii="Times New Roman" w:hAnsi="Times New Roman"/>
          <w:b/>
        </w:rPr>
        <w:t>6.</w:t>
      </w:r>
      <w:r w:rsidRPr="00F45D90">
        <w:rPr>
          <w:rFonts w:ascii="Times New Roman" w:hAnsi="Times New Roman"/>
          <w:b/>
        </w:rPr>
        <w:tab/>
        <w:t>Pakuotės turinys ir kita informacija</w:t>
      </w:r>
      <w:bookmarkEnd w:id="81"/>
      <w:bookmarkEnd w:id="82"/>
    </w:p>
    <w:p w14:paraId="1D85E403" w14:textId="77777777" w:rsidR="00CB68E6" w:rsidRPr="00F45D90" w:rsidRDefault="00CB68E6" w:rsidP="00CB68E6">
      <w:pPr>
        <w:spacing w:after="0" w:line="240" w:lineRule="auto"/>
        <w:rPr>
          <w:rFonts w:ascii="Times New Roman" w:hAnsi="Times New Roman"/>
        </w:rPr>
      </w:pPr>
    </w:p>
    <w:p w14:paraId="34890834"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b/>
        </w:rPr>
        <w:t>Hedonin sudėtis</w:t>
      </w:r>
    </w:p>
    <w:p w14:paraId="080C86D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plėvele dengtos tabletės</w:t>
      </w:r>
    </w:p>
    <w:p w14:paraId="639C9DD2"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Veiklioji medžiaga yra kvetiapinas (kvetiapino fumarato pavidalu). Vienoje plėvele dengtoje tabletėje yra 25 mg kvetiapino (kvetiapino fumarato pavidalu). </w:t>
      </w:r>
    </w:p>
    <w:p w14:paraId="0A5F6D57"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Pagalbinės medžiagos:</w:t>
      </w:r>
    </w:p>
    <w:p w14:paraId="09F2533D" w14:textId="28F42628"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Tabletės šerdis: kalcio-vandenilio fosfatas, laktozė monohidratas, mikrokristalinė celiuliozė, karboksimetilkrakmolo A natrio druska, povidonas, magnio stearatas.</w:t>
      </w:r>
    </w:p>
    <w:p w14:paraId="306FFA37" w14:textId="3968A6AC"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Tabletės plėvelė: polivinilo alkoholis, lecitinas, titano dioksidas (E171), makrogolis 3350, talkas, geltonasis geležies oksidas (E172), raudonasis geležies oksidas (E172).</w:t>
      </w:r>
    </w:p>
    <w:p w14:paraId="52DEEC84" w14:textId="77777777" w:rsidR="00CB68E6" w:rsidRPr="00F45D90" w:rsidRDefault="00CB68E6" w:rsidP="00CB68E6">
      <w:pPr>
        <w:spacing w:after="0" w:line="240" w:lineRule="auto"/>
        <w:rPr>
          <w:rFonts w:ascii="Times New Roman" w:hAnsi="Times New Roman"/>
        </w:rPr>
      </w:pPr>
    </w:p>
    <w:p w14:paraId="4D246A4E"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Hedonin 100 mg plėvele dengtos tabletės</w:t>
      </w:r>
    </w:p>
    <w:p w14:paraId="090F10D3"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Veiklioji medžiaga yra kvetiapinas (kvetiapino fumarato pavidalu). Vienoje plėvele dengtoje tabletėje yra 100 mg kvetiapino (kvetiapino fumarato pavidalu).</w:t>
      </w:r>
    </w:p>
    <w:p w14:paraId="22052401"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Pagalbinės medžiagos </w:t>
      </w:r>
    </w:p>
    <w:p w14:paraId="3A42FA6D"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Tabletės šerdis: kalcio-vandenilio fosfatas, laktozė monohidratas, mikrokristalinė celiuliozė, karboksimetilkrakmolo A natrio druska, povidonas, magnio stearatas.</w:t>
      </w:r>
    </w:p>
    <w:p w14:paraId="368E0D0D" w14:textId="7894F9D0"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Tabletės plėvelė: polivinilo alkoholis, lecitinas, titano dioksidas (E171), makrogolis 3350, talkas, geltonasis geležies oksidas (E172).</w:t>
      </w:r>
    </w:p>
    <w:p w14:paraId="02978351" w14:textId="77777777" w:rsidR="00CB68E6" w:rsidRPr="00F45D90" w:rsidRDefault="00CB68E6" w:rsidP="00CB68E6">
      <w:pPr>
        <w:spacing w:after="0" w:line="240" w:lineRule="auto"/>
        <w:ind w:left="567" w:hanging="567"/>
        <w:rPr>
          <w:rFonts w:ascii="Times New Roman" w:hAnsi="Times New Roman"/>
        </w:rPr>
      </w:pPr>
    </w:p>
    <w:p w14:paraId="09957ADE"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Hedonin 200 mg plėvele dengtos tabletės</w:t>
      </w:r>
    </w:p>
    <w:p w14:paraId="46975238"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Veiklioji medžiaga yra kvetiapinas (kvetiapino fumarato pavidalu). Vienoje plėvele dengtoje tabletėje yra 200 mg kvetiapino (kvetiapino fumarato pavidalu).</w:t>
      </w:r>
    </w:p>
    <w:p w14:paraId="363A0853"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Pagalbinės medžiagos</w:t>
      </w:r>
    </w:p>
    <w:p w14:paraId="6B5E2879"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Tabletės šerdis: kalcio-vandenilio fosfatas, laktozė monohidratas, mikrokristalinė celiuliozė, karboksimetilkrakmolo A natrio druska, povidonas, magnio stearatas.</w:t>
      </w:r>
    </w:p>
    <w:p w14:paraId="16439F5F"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Tabletės plėvelė: polivinilo alkoholis, lecitinas, titano dioksidas (E171), makrogolis 3350, talkas.</w:t>
      </w:r>
    </w:p>
    <w:p w14:paraId="3B45CB44" w14:textId="77777777" w:rsidR="00CB68E6" w:rsidRPr="00F45D90" w:rsidRDefault="00CB68E6" w:rsidP="00CB68E6">
      <w:pPr>
        <w:spacing w:after="0" w:line="240" w:lineRule="auto"/>
        <w:ind w:left="567" w:hanging="567"/>
        <w:rPr>
          <w:rFonts w:ascii="Times New Roman" w:hAnsi="Times New Roman"/>
        </w:rPr>
      </w:pPr>
    </w:p>
    <w:p w14:paraId="7F93BBAD"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lastRenderedPageBreak/>
        <w:t>Hedonin 300 mg plėvele dengtos tabletės</w:t>
      </w:r>
    </w:p>
    <w:p w14:paraId="6193E317"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Veiklioji medžiaga yra kvetiapinas (kvetiapino fumarato pavidalu). Vienoje plėvele dengtoje tabletėje yra 300 mg kvetiapino (kvetiapino fumarato pavidalu).</w:t>
      </w:r>
    </w:p>
    <w:p w14:paraId="017BE451"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Pagalbinės medžiagos</w:t>
      </w:r>
    </w:p>
    <w:p w14:paraId="08F2ADAD" w14:textId="0D454B6E"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w:t>
      </w:r>
      <w:r w:rsidR="00C404A3">
        <w:rPr>
          <w:rFonts w:ascii="Times New Roman" w:hAnsi="Times New Roman"/>
        </w:rPr>
        <w:t>T</w:t>
      </w:r>
      <w:r w:rsidRPr="00F45D90">
        <w:rPr>
          <w:rFonts w:ascii="Times New Roman" w:hAnsi="Times New Roman"/>
        </w:rPr>
        <w:t>abletės šerdis: kalcio-vandenilio fosfatas, laktozė monohidratas, mikrokristalinė celiuliozė, karboksimetilkrakmolo A natrio druska, povidonas, magnio stearatas.</w:t>
      </w:r>
    </w:p>
    <w:p w14:paraId="60FD8CCE"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 xml:space="preserve">          Tabletės plėvelė: polivinilo alkoholis, lecitinas, titano dioksidas (E171), makrogolis 3350, talkas.</w:t>
      </w:r>
    </w:p>
    <w:p w14:paraId="7A0FA0B3" w14:textId="77777777" w:rsidR="00CB68E6" w:rsidRPr="00F45D90" w:rsidRDefault="00CB68E6" w:rsidP="00CB68E6">
      <w:pPr>
        <w:spacing w:after="0" w:line="240" w:lineRule="auto"/>
        <w:ind w:left="567" w:hanging="567"/>
        <w:rPr>
          <w:rFonts w:ascii="Times New Roman" w:hAnsi="Times New Roman"/>
        </w:rPr>
      </w:pPr>
    </w:p>
    <w:p w14:paraId="4494DDBA"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Hedonin 25 mg+100 mg plėvele dengtos tabletės (šizofrenijai gydyti keturias pirmas dienas)</w:t>
      </w:r>
    </w:p>
    <w:p w14:paraId="1E0AF53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Vienoje pakuotėje yra 11 plėvele dengtų tablečių (6 Hedonin 25 mg plėvele dengtos tabletės ir 5 Hedonin 100 mg plėvele dengtos tabletės).</w:t>
      </w:r>
    </w:p>
    <w:p w14:paraId="256E5E94" w14:textId="77777777" w:rsidR="00CB68E6" w:rsidRPr="00F45D90" w:rsidRDefault="00CB68E6" w:rsidP="00CB68E6">
      <w:pPr>
        <w:spacing w:after="0" w:line="240" w:lineRule="auto"/>
        <w:ind w:left="567" w:hanging="567"/>
        <w:rPr>
          <w:rFonts w:ascii="Times New Roman" w:hAnsi="Times New Roman"/>
        </w:rPr>
      </w:pPr>
    </w:p>
    <w:p w14:paraId="162F2990" w14:textId="77777777" w:rsidR="00CB68E6" w:rsidRPr="00F45D90" w:rsidRDefault="00CB68E6" w:rsidP="00CB68E6">
      <w:pPr>
        <w:spacing w:after="0" w:line="240" w:lineRule="auto"/>
        <w:ind w:left="567" w:hanging="567"/>
        <w:rPr>
          <w:rFonts w:ascii="Times New Roman" w:hAnsi="Times New Roman"/>
          <w:b/>
        </w:rPr>
      </w:pPr>
      <w:r w:rsidRPr="00F45D90">
        <w:rPr>
          <w:rFonts w:ascii="Times New Roman" w:hAnsi="Times New Roman"/>
          <w:b/>
        </w:rPr>
        <w:t>Hedonin išvaizda ir kiekis pakuotėje</w:t>
      </w:r>
    </w:p>
    <w:p w14:paraId="2A5A2BF7"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Hedonin 25 mg plėvele dengtos tabletės</w:t>
      </w:r>
    </w:p>
    <w:p w14:paraId="6055747A"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Apskritos, persikų spalvos abipus išgaubtos plėvele dengtos tabletės.</w:t>
      </w:r>
    </w:p>
    <w:p w14:paraId="49624CAE" w14:textId="77777777" w:rsidR="00CB68E6" w:rsidRPr="00F45D90" w:rsidRDefault="00CB68E6" w:rsidP="00CB68E6">
      <w:pPr>
        <w:spacing w:after="0" w:line="240" w:lineRule="auto"/>
        <w:ind w:left="567" w:hanging="567"/>
        <w:rPr>
          <w:rFonts w:ascii="Times New Roman" w:hAnsi="Times New Roman"/>
        </w:rPr>
      </w:pPr>
    </w:p>
    <w:p w14:paraId="5B247950"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Hedonin 100 mg plėvele dengtos tabletės</w:t>
      </w:r>
    </w:p>
    <w:p w14:paraId="214EE48E"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Apskritos, geltonos, abipus išgaubtos plėvele dengtos tabletės, su vagele vienoje pusėje.</w:t>
      </w:r>
    </w:p>
    <w:p w14:paraId="6AA2E40A" w14:textId="77777777" w:rsidR="00CB68E6" w:rsidRPr="00F45D90" w:rsidRDefault="00CB68E6" w:rsidP="00CB68E6">
      <w:pPr>
        <w:spacing w:after="0" w:line="240" w:lineRule="auto"/>
        <w:ind w:left="567" w:hanging="567"/>
        <w:rPr>
          <w:rFonts w:ascii="Times New Roman" w:hAnsi="Times New Roman"/>
        </w:rPr>
      </w:pPr>
    </w:p>
    <w:p w14:paraId="06134647"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Hedonin 200 mg plėvele dengtos tabletės</w:t>
      </w:r>
    </w:p>
    <w:p w14:paraId="2C7BC1D3"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Apskritos, baltos, abipus išgaubtos plėvele dengtos tabletės.</w:t>
      </w:r>
    </w:p>
    <w:p w14:paraId="22C77FB0" w14:textId="77777777" w:rsidR="00CB68E6" w:rsidRPr="00F45D90" w:rsidRDefault="00CB68E6" w:rsidP="00CB68E6">
      <w:pPr>
        <w:spacing w:after="0" w:line="240" w:lineRule="auto"/>
        <w:ind w:left="567" w:hanging="567"/>
        <w:rPr>
          <w:rFonts w:ascii="Times New Roman" w:hAnsi="Times New Roman"/>
        </w:rPr>
      </w:pPr>
    </w:p>
    <w:p w14:paraId="5A7A5A14"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Hedonin 300 mg plėvele dengtos tabletės</w:t>
      </w:r>
    </w:p>
    <w:p w14:paraId="22DE949F"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Pailgos, baltos plėvele dengtos tabletės, su vagele vienoje pusėje.</w:t>
      </w:r>
    </w:p>
    <w:p w14:paraId="4FF86C0E" w14:textId="77777777" w:rsidR="00CB68E6" w:rsidRPr="00F45D90" w:rsidRDefault="00CB68E6" w:rsidP="00CB68E6">
      <w:pPr>
        <w:spacing w:after="0" w:line="240" w:lineRule="auto"/>
        <w:ind w:left="567" w:hanging="567"/>
        <w:rPr>
          <w:rFonts w:ascii="Times New Roman" w:hAnsi="Times New Roman"/>
        </w:rPr>
      </w:pPr>
    </w:p>
    <w:p w14:paraId="08563C31" w14:textId="77777777" w:rsidR="00CB68E6" w:rsidRPr="00F45D90" w:rsidRDefault="00CB68E6" w:rsidP="00CB68E6">
      <w:pPr>
        <w:spacing w:after="0" w:line="240" w:lineRule="auto"/>
        <w:ind w:left="567" w:hanging="567"/>
        <w:rPr>
          <w:rFonts w:ascii="Times New Roman" w:hAnsi="Times New Roman"/>
        </w:rPr>
      </w:pPr>
    </w:p>
    <w:p w14:paraId="6F4FD4E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tabletės tiekiamos lizdinėmis plokštelėmis.</w:t>
      </w:r>
    </w:p>
    <w:p w14:paraId="64A6949A" w14:textId="77777777" w:rsidR="00CB68E6" w:rsidRPr="00F45D90" w:rsidRDefault="00CB68E6" w:rsidP="00CB68E6">
      <w:pPr>
        <w:spacing w:after="0" w:line="240" w:lineRule="auto"/>
        <w:ind w:left="567" w:hanging="567"/>
        <w:rPr>
          <w:rFonts w:ascii="Times New Roman" w:hAnsi="Times New Roman"/>
        </w:rPr>
      </w:pPr>
    </w:p>
    <w:p w14:paraId="659FC244"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Pakuotės dydžiai:</w:t>
      </w:r>
    </w:p>
    <w:p w14:paraId="3CECA13D"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Hedonin 25 mg plėvele dengtos tabletės</w:t>
      </w:r>
    </w:p>
    <w:p w14:paraId="5CF288A2" w14:textId="77777777" w:rsidR="00CB68E6" w:rsidRPr="00F45D90" w:rsidRDefault="00CB68E6" w:rsidP="00CB68E6">
      <w:pPr>
        <w:spacing w:after="0" w:line="240" w:lineRule="auto"/>
        <w:ind w:left="567" w:hanging="567"/>
        <w:rPr>
          <w:rFonts w:ascii="Times New Roman" w:hAnsi="Times New Roman"/>
        </w:rPr>
      </w:pPr>
      <w:r w:rsidRPr="00F45D90">
        <w:rPr>
          <w:rFonts w:ascii="Times New Roman" w:hAnsi="Times New Roman"/>
        </w:rPr>
        <w:t>10, 30, 60 tablečių lizdinėse plokštelėse</w:t>
      </w:r>
    </w:p>
    <w:p w14:paraId="5F70A922" w14:textId="77777777" w:rsidR="00CB68E6" w:rsidRPr="00F45D90" w:rsidRDefault="00CB68E6" w:rsidP="00CB68E6">
      <w:pPr>
        <w:spacing w:after="0" w:line="240" w:lineRule="auto"/>
        <w:ind w:left="567" w:hanging="567"/>
        <w:rPr>
          <w:rFonts w:ascii="Times New Roman" w:hAnsi="Times New Roman"/>
        </w:rPr>
      </w:pPr>
    </w:p>
    <w:p w14:paraId="001567FB"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100 mg plėvele dengtos tabletės</w:t>
      </w:r>
    </w:p>
    <w:p w14:paraId="5042A78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30, 60, 90 tablečių lizdinėse plokštelėse</w:t>
      </w:r>
    </w:p>
    <w:p w14:paraId="2820D6DC" w14:textId="77777777" w:rsidR="00CB68E6" w:rsidRPr="00F45D90" w:rsidRDefault="00CB68E6" w:rsidP="00CB68E6">
      <w:pPr>
        <w:spacing w:after="0" w:line="240" w:lineRule="auto"/>
        <w:rPr>
          <w:rFonts w:ascii="Times New Roman" w:hAnsi="Times New Roman"/>
        </w:rPr>
      </w:pPr>
    </w:p>
    <w:p w14:paraId="0EDF729E"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200 mg plėvele dengtos tabletės</w:t>
      </w:r>
    </w:p>
    <w:p w14:paraId="2D3CCFD2"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30, 60, 90 tablečių lizdinėse plokštelėse</w:t>
      </w:r>
    </w:p>
    <w:p w14:paraId="10FD7C84" w14:textId="77777777" w:rsidR="00CB68E6" w:rsidRPr="00F45D90" w:rsidRDefault="00CB68E6" w:rsidP="00CB68E6">
      <w:pPr>
        <w:spacing w:after="0" w:line="240" w:lineRule="auto"/>
        <w:rPr>
          <w:rFonts w:ascii="Times New Roman" w:hAnsi="Times New Roman"/>
        </w:rPr>
      </w:pPr>
    </w:p>
    <w:p w14:paraId="679E8388"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300 mg plėvele dengtos tabletės</w:t>
      </w:r>
    </w:p>
    <w:p w14:paraId="4728DF5C"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10, 20, 30, 60, 90 tablečių lizdinėse plokštelėse</w:t>
      </w:r>
    </w:p>
    <w:p w14:paraId="060D95EE" w14:textId="77777777" w:rsidR="00CB68E6" w:rsidRPr="00F45D90" w:rsidRDefault="00CB68E6" w:rsidP="00CB68E6">
      <w:pPr>
        <w:spacing w:after="0" w:line="240" w:lineRule="auto"/>
        <w:rPr>
          <w:rFonts w:ascii="Times New Roman" w:hAnsi="Times New Roman"/>
        </w:rPr>
      </w:pPr>
    </w:p>
    <w:p w14:paraId="523D863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Hedonin 25 mg + 100 mg plėvele dengtos tabletės</w:t>
      </w:r>
    </w:p>
    <w:p w14:paraId="1D52625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Viena lizdinė plokštelė su 6 Hedonin 25 mg plėvele dengtomis tabletėmis</w:t>
      </w:r>
    </w:p>
    <w:p w14:paraId="7C9286B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Viena lizdinė plokštelė su 5 Hedonin 100 mg plėvele dengtomis tabletėmis</w:t>
      </w:r>
    </w:p>
    <w:p w14:paraId="1C4699F5" w14:textId="77777777" w:rsidR="00CB68E6" w:rsidRPr="00F45D90" w:rsidRDefault="00CB68E6" w:rsidP="00CB68E6">
      <w:pPr>
        <w:spacing w:after="0" w:line="240" w:lineRule="auto"/>
        <w:rPr>
          <w:rFonts w:ascii="Times New Roman" w:hAnsi="Times New Roman"/>
        </w:rPr>
      </w:pPr>
    </w:p>
    <w:p w14:paraId="5B8D1B80"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Gali būti tiekiamos ne visų dydžių pakuotės.</w:t>
      </w:r>
    </w:p>
    <w:p w14:paraId="4F64F2FD" w14:textId="77777777" w:rsidR="00CB68E6" w:rsidRPr="00F45D90" w:rsidRDefault="00CB68E6" w:rsidP="00CB68E6">
      <w:pPr>
        <w:spacing w:after="0" w:line="240" w:lineRule="auto"/>
        <w:rPr>
          <w:rFonts w:ascii="Times New Roman" w:hAnsi="Times New Roman"/>
        </w:rPr>
      </w:pPr>
    </w:p>
    <w:p w14:paraId="6ECAA68E" w14:textId="77777777" w:rsidR="00CB68E6" w:rsidRPr="00F45D90" w:rsidRDefault="00CB68E6" w:rsidP="00CB68E6">
      <w:pPr>
        <w:spacing w:after="0" w:line="240" w:lineRule="auto"/>
        <w:rPr>
          <w:rFonts w:ascii="Times New Roman" w:hAnsi="Times New Roman"/>
          <w:b/>
        </w:rPr>
      </w:pPr>
      <w:r w:rsidRPr="00F45D90">
        <w:rPr>
          <w:rFonts w:ascii="Times New Roman" w:hAnsi="Times New Roman"/>
          <w:b/>
        </w:rPr>
        <w:t>Registruotojas ir gamintojas</w:t>
      </w:r>
    </w:p>
    <w:p w14:paraId="6F647CD6" w14:textId="77777777" w:rsidR="00CB68E6" w:rsidRPr="00F45D90" w:rsidRDefault="00CB68E6" w:rsidP="00CB68E6">
      <w:pPr>
        <w:spacing w:after="0" w:line="240" w:lineRule="auto"/>
        <w:rPr>
          <w:rFonts w:ascii="Times New Roman" w:hAnsi="Times New Roman"/>
        </w:rPr>
      </w:pPr>
    </w:p>
    <w:p w14:paraId="7D160344"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G.L. Pharma GmbH </w:t>
      </w:r>
    </w:p>
    <w:p w14:paraId="50884CB3"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Schlossplatz 1 </w:t>
      </w:r>
    </w:p>
    <w:p w14:paraId="17F358C1"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 xml:space="preserve">8502 Lannach </w:t>
      </w:r>
    </w:p>
    <w:p w14:paraId="6DA0A2E7"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Austrija</w:t>
      </w:r>
    </w:p>
    <w:p w14:paraId="46965A00" w14:textId="77777777" w:rsidR="00CB68E6" w:rsidRPr="00F45D90" w:rsidRDefault="00CB68E6" w:rsidP="00CB68E6">
      <w:pPr>
        <w:spacing w:after="0" w:line="240" w:lineRule="auto"/>
        <w:rPr>
          <w:rFonts w:ascii="Times New Roman" w:hAnsi="Times New Roman"/>
        </w:rPr>
      </w:pPr>
    </w:p>
    <w:p w14:paraId="11078300" w14:textId="77777777" w:rsidR="00CB68E6" w:rsidRPr="00F45D90" w:rsidRDefault="00CB68E6" w:rsidP="00CB68E6">
      <w:pPr>
        <w:spacing w:after="0" w:line="240" w:lineRule="auto"/>
        <w:rPr>
          <w:rFonts w:ascii="Times New Roman" w:hAnsi="Times New Roman"/>
        </w:rPr>
      </w:pPr>
    </w:p>
    <w:p w14:paraId="68395809" w14:textId="77777777" w:rsidR="00CB68E6" w:rsidRPr="00F45D90" w:rsidRDefault="00CB68E6" w:rsidP="00CB68E6">
      <w:pPr>
        <w:spacing w:after="0" w:line="240" w:lineRule="auto"/>
        <w:rPr>
          <w:rFonts w:ascii="Times New Roman" w:hAnsi="Times New Roman"/>
        </w:rPr>
      </w:pPr>
      <w:r w:rsidRPr="00F45D90">
        <w:rPr>
          <w:rFonts w:ascii="Times New Roman" w:hAnsi="Times New Roman"/>
        </w:rPr>
        <w:t>Jeigu apie šį vaistą norite sužinoti daugiau, kreipkitės į vietinį registruotojo atstovą.</w:t>
      </w:r>
    </w:p>
    <w:p w14:paraId="7AF34495" w14:textId="77777777" w:rsidR="00CB68E6" w:rsidRPr="00F45D90" w:rsidRDefault="00CB68E6" w:rsidP="00CB68E6">
      <w:pPr>
        <w:spacing w:after="0" w:line="240" w:lineRule="auto"/>
        <w:rPr>
          <w:rFonts w:ascii="Times New Roman" w:hAnsi="Times New Roman"/>
          <w:lang w:bidi="ar-BH"/>
        </w:rPr>
      </w:pPr>
    </w:p>
    <w:tbl>
      <w:tblPr>
        <w:tblW w:w="4678" w:type="dxa"/>
        <w:tblLayout w:type="fixed"/>
        <w:tblLook w:val="0000" w:firstRow="0" w:lastRow="0" w:firstColumn="0" w:lastColumn="0" w:noHBand="0" w:noVBand="0"/>
      </w:tblPr>
      <w:tblGrid>
        <w:gridCol w:w="4678"/>
      </w:tblGrid>
      <w:tr w:rsidR="00CB68E6" w:rsidRPr="00F45D90" w14:paraId="7AF8C11A" w14:textId="77777777" w:rsidTr="00BE281A">
        <w:tc>
          <w:tcPr>
            <w:tcW w:w="4678" w:type="dxa"/>
          </w:tcPr>
          <w:p w14:paraId="619AF6DF" w14:textId="77777777" w:rsidR="00CB68E6" w:rsidRPr="00F45D90" w:rsidRDefault="00CB68E6" w:rsidP="00812204">
            <w:pPr>
              <w:spacing w:after="0" w:line="240" w:lineRule="auto"/>
              <w:rPr>
                <w:rFonts w:ascii="Times New Roman" w:hAnsi="Times New Roman"/>
              </w:rPr>
            </w:pPr>
            <w:r w:rsidRPr="00F45D90">
              <w:rPr>
                <w:rFonts w:ascii="Times New Roman" w:hAnsi="Times New Roman"/>
              </w:rPr>
              <w:t>UAB „GL Pharma Vilnius“</w:t>
            </w:r>
          </w:p>
          <w:p w14:paraId="12DDA1CD" w14:textId="77777777" w:rsidR="00CB68E6" w:rsidRPr="00F45D90" w:rsidRDefault="00CB68E6" w:rsidP="00812204">
            <w:pPr>
              <w:spacing w:after="0" w:line="240" w:lineRule="auto"/>
              <w:rPr>
                <w:rFonts w:ascii="Times New Roman" w:hAnsi="Times New Roman"/>
              </w:rPr>
            </w:pPr>
            <w:r w:rsidRPr="00F45D90">
              <w:rPr>
                <w:rFonts w:ascii="Times New Roman" w:hAnsi="Times New Roman"/>
              </w:rPr>
              <w:t>Tel. + 370 5 2610705</w:t>
            </w:r>
          </w:p>
          <w:p w14:paraId="5B94EA98" w14:textId="77777777" w:rsidR="00CB68E6" w:rsidRPr="00F45D90" w:rsidRDefault="00CB68E6" w:rsidP="00812204">
            <w:pPr>
              <w:spacing w:after="0" w:line="240" w:lineRule="auto"/>
              <w:rPr>
                <w:rFonts w:ascii="Times New Roman" w:hAnsi="Times New Roman"/>
              </w:rPr>
            </w:pPr>
            <w:r w:rsidRPr="00F45D90">
              <w:rPr>
                <w:rFonts w:ascii="Times New Roman" w:hAnsi="Times New Roman"/>
              </w:rPr>
              <w:t>El. paštas: office@gl-pharma.lt</w:t>
            </w:r>
            <w:r w:rsidRPr="00F45D90" w:rsidDel="005C3AD2">
              <w:rPr>
                <w:rFonts w:ascii="Times New Roman" w:hAnsi="Times New Roman"/>
              </w:rPr>
              <w:t xml:space="preserve"> </w:t>
            </w:r>
          </w:p>
        </w:tc>
      </w:tr>
    </w:tbl>
    <w:p w14:paraId="3414F443" w14:textId="77777777" w:rsidR="00CB68E6" w:rsidRPr="00F45D90" w:rsidRDefault="00CB68E6" w:rsidP="00CB68E6">
      <w:pPr>
        <w:tabs>
          <w:tab w:val="left" w:pos="567"/>
        </w:tabs>
        <w:spacing w:after="0" w:line="240" w:lineRule="auto"/>
        <w:rPr>
          <w:rFonts w:ascii="Times New Roman" w:hAnsi="Times New Roman"/>
          <w:b/>
        </w:rPr>
      </w:pPr>
    </w:p>
    <w:p w14:paraId="22EB84E2" w14:textId="43566339" w:rsidR="00CB68E6" w:rsidRPr="00F45D90" w:rsidRDefault="00CB68E6" w:rsidP="00CB68E6">
      <w:pPr>
        <w:tabs>
          <w:tab w:val="left" w:pos="567"/>
        </w:tabs>
        <w:spacing w:after="0" w:line="240" w:lineRule="auto"/>
        <w:rPr>
          <w:rFonts w:ascii="Times New Roman" w:hAnsi="Times New Roman"/>
          <w:b/>
        </w:rPr>
      </w:pPr>
      <w:r w:rsidRPr="00F45D90">
        <w:rPr>
          <w:rFonts w:ascii="Times New Roman" w:hAnsi="Times New Roman"/>
          <w:b/>
        </w:rPr>
        <w:t xml:space="preserve">Šis vaistas </w:t>
      </w:r>
      <w:r w:rsidR="000B6A56" w:rsidRPr="000B6A56">
        <w:rPr>
          <w:rFonts w:ascii="Times New Roman" w:eastAsia="Times New Roman" w:hAnsi="Times New Roman"/>
          <w:b/>
          <w:snapToGrid w:val="0"/>
          <w:szCs w:val="20"/>
        </w:rPr>
        <w:t xml:space="preserve">Europos ekonominės erdvės </w:t>
      </w:r>
      <w:r w:rsidRPr="00F45D90">
        <w:rPr>
          <w:rFonts w:ascii="Times New Roman" w:hAnsi="Times New Roman"/>
          <w:b/>
        </w:rPr>
        <w:t>valstybėse narėse registruotas tokiais pavadinimais:</w:t>
      </w:r>
    </w:p>
    <w:p w14:paraId="4055A413" w14:textId="77777777" w:rsidR="00CB68E6" w:rsidRPr="00F45D90" w:rsidRDefault="00CB68E6" w:rsidP="00CB68E6">
      <w:pPr>
        <w:tabs>
          <w:tab w:val="left" w:pos="567"/>
        </w:tabs>
        <w:spacing w:after="0" w:line="240" w:lineRule="auto"/>
        <w:rPr>
          <w:rFonts w:ascii="Times New Roman" w:hAnsi="Times New Roman"/>
          <w:b/>
        </w:rPr>
      </w:pPr>
    </w:p>
    <w:tbl>
      <w:tblPr>
        <w:tblW w:w="0" w:type="auto"/>
        <w:tblLook w:val="01E0" w:firstRow="1" w:lastRow="1" w:firstColumn="1" w:lastColumn="1" w:noHBand="0" w:noVBand="0"/>
      </w:tblPr>
      <w:tblGrid>
        <w:gridCol w:w="2970"/>
        <w:gridCol w:w="5643"/>
        <w:gridCol w:w="248"/>
      </w:tblGrid>
      <w:tr w:rsidR="00CB68E6" w:rsidRPr="00F45D90" w14:paraId="751B4FB4" w14:textId="77777777" w:rsidTr="00BE281A">
        <w:tc>
          <w:tcPr>
            <w:tcW w:w="2970" w:type="dxa"/>
          </w:tcPr>
          <w:p w14:paraId="30843BCE" w14:textId="77777777" w:rsidR="00CB68E6" w:rsidRPr="00F45D90" w:rsidRDefault="00CB68E6" w:rsidP="00812204">
            <w:pPr>
              <w:tabs>
                <w:tab w:val="left" w:pos="567"/>
              </w:tabs>
              <w:spacing w:after="0" w:line="240" w:lineRule="auto"/>
              <w:rPr>
                <w:rFonts w:ascii="Times New Roman" w:hAnsi="Times New Roman"/>
                <w:b/>
              </w:rPr>
            </w:pPr>
            <w:r w:rsidRPr="00F45D90">
              <w:rPr>
                <w:rFonts w:ascii="Times New Roman" w:hAnsi="Times New Roman"/>
                <w:b/>
              </w:rPr>
              <w:t>Valstybės narės pavadinimas</w:t>
            </w:r>
          </w:p>
        </w:tc>
        <w:tc>
          <w:tcPr>
            <w:tcW w:w="5643" w:type="dxa"/>
          </w:tcPr>
          <w:p w14:paraId="5BF70B93" w14:textId="77777777" w:rsidR="00CB68E6" w:rsidRPr="00F45D90" w:rsidRDefault="00CB68E6" w:rsidP="00812204">
            <w:pPr>
              <w:tabs>
                <w:tab w:val="left" w:pos="567"/>
              </w:tabs>
              <w:spacing w:after="0" w:line="240" w:lineRule="auto"/>
              <w:rPr>
                <w:rFonts w:ascii="Times New Roman" w:hAnsi="Times New Roman"/>
                <w:b/>
              </w:rPr>
            </w:pPr>
            <w:r w:rsidRPr="00F45D90">
              <w:rPr>
                <w:rFonts w:ascii="Times New Roman" w:hAnsi="Times New Roman"/>
                <w:b/>
              </w:rPr>
              <w:t>Vaisto pavadinimas</w:t>
            </w:r>
          </w:p>
        </w:tc>
        <w:tc>
          <w:tcPr>
            <w:tcW w:w="248" w:type="dxa"/>
          </w:tcPr>
          <w:p w14:paraId="2F83FA05" w14:textId="77777777" w:rsidR="00CB68E6" w:rsidRPr="00F45D90" w:rsidRDefault="00CB68E6" w:rsidP="00812204">
            <w:pPr>
              <w:tabs>
                <w:tab w:val="left" w:pos="567"/>
              </w:tabs>
              <w:spacing w:after="0" w:line="240" w:lineRule="auto"/>
              <w:rPr>
                <w:rFonts w:ascii="Times New Roman" w:hAnsi="Times New Roman"/>
                <w:b/>
              </w:rPr>
            </w:pPr>
          </w:p>
        </w:tc>
      </w:tr>
      <w:tr w:rsidR="00CB68E6" w:rsidRPr="00F45D90" w14:paraId="12F4681D" w14:textId="77777777" w:rsidTr="00BE281A">
        <w:tc>
          <w:tcPr>
            <w:tcW w:w="2970" w:type="dxa"/>
          </w:tcPr>
          <w:p w14:paraId="33CDADF1" w14:textId="77777777" w:rsidR="00CB68E6" w:rsidRPr="00F45D90" w:rsidRDefault="00CB68E6" w:rsidP="00812204">
            <w:pPr>
              <w:tabs>
                <w:tab w:val="left" w:pos="567"/>
              </w:tabs>
              <w:spacing w:after="0" w:line="240" w:lineRule="auto"/>
              <w:rPr>
                <w:rFonts w:ascii="Times New Roman" w:hAnsi="Times New Roman"/>
              </w:rPr>
            </w:pPr>
            <w:r w:rsidRPr="00F45D90">
              <w:rPr>
                <w:rFonts w:ascii="Times New Roman" w:hAnsi="Times New Roman"/>
              </w:rPr>
              <w:t>Austrija</w:t>
            </w:r>
          </w:p>
        </w:tc>
        <w:tc>
          <w:tcPr>
            <w:tcW w:w="5643" w:type="dxa"/>
          </w:tcPr>
          <w:p w14:paraId="7496D2A3" w14:textId="77777777" w:rsidR="00CB68E6" w:rsidRPr="00250BF6" w:rsidRDefault="00CB68E6" w:rsidP="00812204">
            <w:pPr>
              <w:spacing w:after="0" w:line="240" w:lineRule="auto"/>
              <w:rPr>
                <w:rFonts w:ascii="Times New Roman" w:hAnsi="Times New Roman"/>
              </w:rPr>
            </w:pPr>
            <w:r w:rsidRPr="00250BF6">
              <w:rPr>
                <w:rFonts w:ascii="Times New Roman" w:hAnsi="Times New Roman"/>
                <w:lang w:eastAsia="de-DE"/>
              </w:rPr>
              <w:t>Quetialan</w:t>
            </w:r>
            <w:r w:rsidRPr="00250BF6">
              <w:rPr>
                <w:rFonts w:ascii="Times New Roman" w:hAnsi="Times New Roman"/>
                <w:b/>
                <w:lang w:eastAsia="de-DE"/>
              </w:rPr>
              <w:t xml:space="preserve"> </w:t>
            </w:r>
          </w:p>
        </w:tc>
        <w:tc>
          <w:tcPr>
            <w:tcW w:w="248" w:type="dxa"/>
          </w:tcPr>
          <w:p w14:paraId="591B9A1E" w14:textId="77777777" w:rsidR="00CB68E6" w:rsidRPr="00F45D90" w:rsidRDefault="00CB68E6" w:rsidP="00812204">
            <w:pPr>
              <w:tabs>
                <w:tab w:val="left" w:pos="567"/>
              </w:tabs>
              <w:spacing w:after="0" w:line="240" w:lineRule="auto"/>
              <w:rPr>
                <w:rFonts w:ascii="Times New Roman" w:hAnsi="Times New Roman"/>
              </w:rPr>
            </w:pPr>
          </w:p>
        </w:tc>
      </w:tr>
      <w:tr w:rsidR="00CB68E6" w:rsidRPr="00F45D90" w14:paraId="784126A4" w14:textId="77777777" w:rsidTr="00BE281A">
        <w:tc>
          <w:tcPr>
            <w:tcW w:w="2970" w:type="dxa"/>
          </w:tcPr>
          <w:p w14:paraId="454AD3A3" w14:textId="21E7430A" w:rsidR="00CB68E6" w:rsidRPr="00F45D90" w:rsidRDefault="00CB68E6" w:rsidP="00812204">
            <w:pPr>
              <w:tabs>
                <w:tab w:val="left" w:pos="567"/>
              </w:tabs>
              <w:spacing w:after="0" w:line="240" w:lineRule="auto"/>
              <w:rPr>
                <w:rFonts w:ascii="Times New Roman" w:hAnsi="Times New Roman"/>
              </w:rPr>
            </w:pPr>
            <w:r w:rsidRPr="00F45D90">
              <w:rPr>
                <w:rFonts w:ascii="Times New Roman" w:hAnsi="Times New Roman"/>
              </w:rPr>
              <w:t>Čekija, Lietuva</w:t>
            </w:r>
          </w:p>
        </w:tc>
        <w:tc>
          <w:tcPr>
            <w:tcW w:w="5643" w:type="dxa"/>
          </w:tcPr>
          <w:p w14:paraId="62A5E968" w14:textId="77777777" w:rsidR="00CB68E6" w:rsidRPr="00F45D90" w:rsidRDefault="00CB68E6" w:rsidP="00812204">
            <w:pPr>
              <w:spacing w:after="0" w:line="240" w:lineRule="auto"/>
              <w:rPr>
                <w:rFonts w:ascii="Times New Roman" w:hAnsi="Times New Roman"/>
              </w:rPr>
            </w:pPr>
            <w:r w:rsidRPr="00F45D90">
              <w:rPr>
                <w:rFonts w:ascii="Times New Roman" w:hAnsi="Times New Roman"/>
              </w:rPr>
              <w:t>Hedonin</w:t>
            </w:r>
          </w:p>
        </w:tc>
        <w:tc>
          <w:tcPr>
            <w:tcW w:w="248" w:type="dxa"/>
          </w:tcPr>
          <w:p w14:paraId="11F828C7" w14:textId="77777777" w:rsidR="00CB68E6" w:rsidRPr="00F45D90" w:rsidRDefault="00CB68E6" w:rsidP="00812204">
            <w:pPr>
              <w:tabs>
                <w:tab w:val="left" w:pos="567"/>
              </w:tabs>
              <w:spacing w:after="0" w:line="240" w:lineRule="auto"/>
              <w:rPr>
                <w:rFonts w:ascii="Times New Roman" w:hAnsi="Times New Roman"/>
              </w:rPr>
            </w:pPr>
          </w:p>
        </w:tc>
      </w:tr>
      <w:tr w:rsidR="00CB68E6" w:rsidRPr="00F45D90" w14:paraId="32162F9F" w14:textId="77777777" w:rsidTr="00BE281A">
        <w:tc>
          <w:tcPr>
            <w:tcW w:w="2970" w:type="dxa"/>
          </w:tcPr>
          <w:p w14:paraId="7674654D" w14:textId="77777777" w:rsidR="00CB68E6" w:rsidRPr="00F45D90" w:rsidRDefault="00CB68E6" w:rsidP="00812204">
            <w:pPr>
              <w:tabs>
                <w:tab w:val="left" w:pos="567"/>
              </w:tabs>
              <w:spacing w:after="0" w:line="240" w:lineRule="auto"/>
              <w:rPr>
                <w:rFonts w:ascii="Times New Roman" w:hAnsi="Times New Roman"/>
              </w:rPr>
            </w:pPr>
            <w:r w:rsidRPr="00F45D90">
              <w:rPr>
                <w:rFonts w:ascii="Times New Roman" w:hAnsi="Times New Roman"/>
              </w:rPr>
              <w:t>Danija</w:t>
            </w:r>
          </w:p>
          <w:p w14:paraId="6A5F2166" w14:textId="77777777" w:rsidR="00CB68E6" w:rsidRPr="00F45D90" w:rsidRDefault="00CB68E6" w:rsidP="00812204">
            <w:pPr>
              <w:tabs>
                <w:tab w:val="left" w:pos="567"/>
              </w:tabs>
              <w:spacing w:after="0" w:line="240" w:lineRule="auto"/>
              <w:rPr>
                <w:rFonts w:ascii="Times New Roman" w:hAnsi="Times New Roman"/>
              </w:rPr>
            </w:pPr>
          </w:p>
        </w:tc>
        <w:tc>
          <w:tcPr>
            <w:tcW w:w="5643" w:type="dxa"/>
          </w:tcPr>
          <w:p w14:paraId="5E912B95" w14:textId="77777777" w:rsidR="00CB68E6" w:rsidRPr="00F45D90" w:rsidRDefault="00CB68E6" w:rsidP="00812204">
            <w:pPr>
              <w:tabs>
                <w:tab w:val="left" w:pos="567"/>
              </w:tabs>
              <w:spacing w:after="0" w:line="240" w:lineRule="auto"/>
              <w:rPr>
                <w:rFonts w:ascii="Times New Roman" w:hAnsi="Times New Roman"/>
              </w:rPr>
            </w:pPr>
            <w:r w:rsidRPr="00250BF6">
              <w:rPr>
                <w:rFonts w:ascii="Times New Roman" w:hAnsi="Times New Roman"/>
                <w:lang w:eastAsia="de-DE"/>
              </w:rPr>
              <w:t>Quetiapin Lannacher</w:t>
            </w:r>
          </w:p>
        </w:tc>
        <w:tc>
          <w:tcPr>
            <w:tcW w:w="248" w:type="dxa"/>
          </w:tcPr>
          <w:p w14:paraId="0241D1B1" w14:textId="77777777" w:rsidR="00CB68E6" w:rsidRPr="00F45D90" w:rsidRDefault="00CB68E6" w:rsidP="00812204">
            <w:pPr>
              <w:tabs>
                <w:tab w:val="left" w:pos="567"/>
              </w:tabs>
              <w:spacing w:after="0" w:line="240" w:lineRule="auto"/>
              <w:rPr>
                <w:rFonts w:ascii="Times New Roman" w:hAnsi="Times New Roman"/>
              </w:rPr>
            </w:pPr>
          </w:p>
        </w:tc>
      </w:tr>
    </w:tbl>
    <w:p w14:paraId="182DA2B6" w14:textId="77777777" w:rsidR="00CB68E6" w:rsidRPr="00F45D90" w:rsidRDefault="00CB68E6" w:rsidP="00CB68E6">
      <w:pPr>
        <w:spacing w:after="0" w:line="240" w:lineRule="auto"/>
        <w:rPr>
          <w:rFonts w:ascii="Times New Roman" w:hAnsi="Times New Roman"/>
        </w:rPr>
      </w:pPr>
    </w:p>
    <w:p w14:paraId="29C7D039" w14:textId="77777777" w:rsidR="00CB68E6" w:rsidRPr="00F45D90" w:rsidRDefault="00CB68E6" w:rsidP="00CB68E6">
      <w:pPr>
        <w:spacing w:after="0" w:line="240" w:lineRule="auto"/>
        <w:rPr>
          <w:rFonts w:ascii="Times New Roman" w:hAnsi="Times New Roman"/>
        </w:rPr>
      </w:pPr>
    </w:p>
    <w:p w14:paraId="1EF84A24" w14:textId="6491ADAE" w:rsidR="00CB68E6" w:rsidRPr="00CA7355" w:rsidRDefault="00CB68E6" w:rsidP="001B64D9">
      <w:pPr>
        <w:tabs>
          <w:tab w:val="left" w:pos="0"/>
        </w:tabs>
        <w:spacing w:after="0" w:line="240" w:lineRule="auto"/>
        <w:rPr>
          <w:rFonts w:ascii="Times New Roman" w:hAnsi="Times New Roman"/>
          <w:b/>
        </w:rPr>
      </w:pPr>
      <w:r w:rsidRPr="00F45D90">
        <w:rPr>
          <w:rFonts w:ascii="Times New Roman" w:hAnsi="Times New Roman"/>
          <w:b/>
          <w:bCs/>
        </w:rPr>
        <w:t>Šis pakuotės lapelis</w:t>
      </w:r>
      <w:r w:rsidRPr="00F45D90">
        <w:rPr>
          <w:rFonts w:ascii="Times New Roman" w:hAnsi="Times New Roman"/>
          <w:b/>
        </w:rPr>
        <w:t xml:space="preserve"> paskutinį kartą peržiūrėtas</w:t>
      </w:r>
      <w:r w:rsidR="00E11D06">
        <w:rPr>
          <w:rFonts w:ascii="Times New Roman" w:hAnsi="Times New Roman"/>
          <w:b/>
        </w:rPr>
        <w:t xml:space="preserve"> </w:t>
      </w:r>
      <w:r w:rsidR="00CA7355">
        <w:rPr>
          <w:rFonts w:ascii="Times New Roman" w:hAnsi="Times New Roman"/>
          <w:b/>
        </w:rPr>
        <w:t>202</w:t>
      </w:r>
      <w:r w:rsidR="00DB61C4">
        <w:rPr>
          <w:rFonts w:ascii="Times New Roman" w:hAnsi="Times New Roman"/>
          <w:b/>
        </w:rPr>
        <w:t>4-08-30</w:t>
      </w:r>
      <w:r w:rsidR="00CA7355">
        <w:rPr>
          <w:rFonts w:ascii="Times New Roman" w:hAnsi="Times New Roman"/>
          <w:b/>
        </w:rPr>
        <w:t>.</w:t>
      </w:r>
    </w:p>
    <w:p w14:paraId="36410472" w14:textId="77777777" w:rsidR="00CB68E6" w:rsidRPr="00F45D90" w:rsidRDefault="00CB68E6" w:rsidP="00CB68E6">
      <w:pPr>
        <w:spacing w:after="0" w:line="240" w:lineRule="auto"/>
        <w:rPr>
          <w:rFonts w:ascii="Times New Roman" w:hAnsi="Times New Roman"/>
          <w:b/>
        </w:rPr>
      </w:pPr>
    </w:p>
    <w:p w14:paraId="77545A2F" w14:textId="57327E9B" w:rsidR="00CB68E6" w:rsidRPr="00F45D90" w:rsidRDefault="00CB68E6" w:rsidP="00CB68E6">
      <w:pPr>
        <w:numPr>
          <w:ilvl w:val="12"/>
          <w:numId w:val="0"/>
        </w:numPr>
        <w:tabs>
          <w:tab w:val="left" w:pos="567"/>
        </w:tabs>
        <w:spacing w:after="0" w:line="240" w:lineRule="auto"/>
        <w:ind w:right="-2"/>
        <w:rPr>
          <w:rFonts w:ascii="Times New Roman" w:eastAsia="Times New Roman" w:hAnsi="Times New Roman"/>
          <w:snapToGrid w:val="0"/>
        </w:rPr>
      </w:pPr>
      <w:r w:rsidRPr="00F45D90">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F45D90">
        <w:rPr>
          <w:rFonts w:ascii="Times New Roman" w:eastAsia="Times New Roman" w:hAnsi="Times New Roman"/>
          <w:i/>
          <w:snapToGrid w:val="0"/>
        </w:rPr>
        <w:t xml:space="preserve"> </w:t>
      </w:r>
      <w:r w:rsidR="00DD3A29" w:rsidRPr="00DD3A29">
        <w:rPr>
          <w:rFonts w:ascii="Times New Roman" w:eastAsia="Times New Roman" w:hAnsi="Times New Roman"/>
          <w:color w:val="0000EE"/>
          <w:u w:val="single"/>
          <w:lang w:eastAsia="lt-LT"/>
        </w:rPr>
        <w:t>https://vvkt.lrv.lt/lt/</w:t>
      </w:r>
      <w:r w:rsidR="00DD3A29" w:rsidRPr="00DD3A29">
        <w:rPr>
          <w:rFonts w:ascii="Times New Roman" w:eastAsia="Times New Roman" w:hAnsi="Times New Roman"/>
          <w:lang w:eastAsia="lt-LT"/>
        </w:rPr>
        <w:t>.</w:t>
      </w:r>
    </w:p>
    <w:p w14:paraId="7A14B5EE" w14:textId="77777777" w:rsidR="00CB68E6" w:rsidRPr="00F45D90" w:rsidRDefault="00CB68E6" w:rsidP="00CB68E6">
      <w:pPr>
        <w:spacing w:after="0" w:line="240" w:lineRule="auto"/>
        <w:rPr>
          <w:rFonts w:ascii="Times New Roman" w:hAnsi="Times New Roman"/>
        </w:rPr>
      </w:pPr>
    </w:p>
    <w:p w14:paraId="63E1EB47" w14:textId="77777777" w:rsidR="00CB68E6" w:rsidRPr="00250BF6" w:rsidRDefault="00CB68E6" w:rsidP="00CB68E6"/>
    <w:p w14:paraId="6D0BFBE0" w14:textId="77777777" w:rsidR="00CB68E6" w:rsidRDefault="00CB68E6" w:rsidP="00CB68E6"/>
    <w:p w14:paraId="7FCAAE97" w14:textId="77777777" w:rsidR="00447A78" w:rsidRDefault="00447A78"/>
    <w:sectPr w:rsidR="00447A78" w:rsidSect="00812204">
      <w:footerReference w:type="even" r:id="rId10"/>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2A505F" w14:textId="77777777" w:rsidR="0023252A" w:rsidRDefault="0023252A">
      <w:pPr>
        <w:spacing w:after="0" w:line="240" w:lineRule="auto"/>
      </w:pPr>
      <w:r>
        <w:separator/>
      </w:r>
    </w:p>
  </w:endnote>
  <w:endnote w:type="continuationSeparator" w:id="0">
    <w:p w14:paraId="0E7E1C5F" w14:textId="77777777" w:rsidR="0023252A" w:rsidRDefault="0023252A">
      <w:pPr>
        <w:spacing w:after="0" w:line="240" w:lineRule="auto"/>
      </w:pPr>
      <w:r>
        <w:continuationSeparator/>
      </w:r>
    </w:p>
  </w:endnote>
  <w:endnote w:type="continuationNotice" w:id="1">
    <w:p w14:paraId="53144B5B" w14:textId="77777777" w:rsidR="0023252A" w:rsidRDefault="002325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egoe UI Emoji">
    <w:panose1 w:val="020B0502040204020203"/>
    <w:charset w:val="00"/>
    <w:family w:val="swiss"/>
    <w:pitch w:val="variable"/>
    <w:sig w:usb0="00000003" w:usb1="02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98DE8E" w14:textId="77777777" w:rsidR="00775B7D" w:rsidRDefault="00775B7D" w:rsidP="0081220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11</w:t>
    </w:r>
    <w:r>
      <w:rPr>
        <w:rStyle w:val="Puslapionumeris"/>
      </w:rPr>
      <w:fldChar w:fldCharType="end"/>
    </w:r>
  </w:p>
  <w:p w14:paraId="0C9E9F44" w14:textId="77777777" w:rsidR="00775B7D" w:rsidRDefault="00775B7D" w:rsidP="0081220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9FE50F" w14:textId="1442DF07" w:rsidR="00775B7D" w:rsidRPr="003D09B7" w:rsidRDefault="00775B7D" w:rsidP="00812204">
    <w:pPr>
      <w:pStyle w:val="Porat"/>
      <w:framePr w:wrap="around" w:vAnchor="text" w:hAnchor="margin" w:xAlign="right" w:y="1"/>
      <w:rPr>
        <w:rStyle w:val="Puslapionumeris"/>
        <w:sz w:val="22"/>
        <w:szCs w:val="22"/>
      </w:rPr>
    </w:pPr>
    <w:r w:rsidRPr="003D09B7">
      <w:rPr>
        <w:rStyle w:val="Puslapionumeris"/>
        <w:sz w:val="22"/>
        <w:szCs w:val="22"/>
      </w:rPr>
      <w:fldChar w:fldCharType="begin"/>
    </w:r>
    <w:r w:rsidRPr="003D09B7">
      <w:rPr>
        <w:rStyle w:val="Puslapionumeris"/>
        <w:sz w:val="22"/>
        <w:szCs w:val="22"/>
      </w:rPr>
      <w:instrText xml:space="preserve">PAGE  </w:instrText>
    </w:r>
    <w:r w:rsidRPr="003D09B7">
      <w:rPr>
        <w:rStyle w:val="Puslapionumeris"/>
        <w:sz w:val="22"/>
        <w:szCs w:val="22"/>
      </w:rPr>
      <w:fldChar w:fldCharType="separate"/>
    </w:r>
    <w:r w:rsidR="008D2EE7">
      <w:rPr>
        <w:rStyle w:val="Puslapionumeris"/>
        <w:noProof/>
        <w:sz w:val="22"/>
        <w:szCs w:val="22"/>
      </w:rPr>
      <w:t>2</w:t>
    </w:r>
    <w:r w:rsidRPr="003D09B7">
      <w:rPr>
        <w:rStyle w:val="Puslapionumeris"/>
        <w:sz w:val="22"/>
        <w:szCs w:val="22"/>
      </w:rPr>
      <w:fldChar w:fldCharType="end"/>
    </w:r>
  </w:p>
  <w:p w14:paraId="34235C0C" w14:textId="77777777" w:rsidR="00775B7D" w:rsidRDefault="00775B7D" w:rsidP="0081220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F3B484" w14:textId="77777777" w:rsidR="0023252A" w:rsidRDefault="0023252A">
      <w:pPr>
        <w:spacing w:after="0" w:line="240" w:lineRule="auto"/>
      </w:pPr>
      <w:r>
        <w:separator/>
      </w:r>
    </w:p>
  </w:footnote>
  <w:footnote w:type="continuationSeparator" w:id="0">
    <w:p w14:paraId="2943F394" w14:textId="77777777" w:rsidR="0023252A" w:rsidRDefault="0023252A">
      <w:pPr>
        <w:spacing w:after="0" w:line="240" w:lineRule="auto"/>
      </w:pPr>
      <w:r>
        <w:continuationSeparator/>
      </w:r>
    </w:p>
  </w:footnote>
  <w:footnote w:type="continuationNotice" w:id="1">
    <w:p w14:paraId="028C7CD4" w14:textId="77777777" w:rsidR="0023252A" w:rsidRDefault="0023252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743F4"/>
    <w:multiLevelType w:val="hybridMultilevel"/>
    <w:tmpl w:val="85D2604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C844B7"/>
    <w:multiLevelType w:val="multilevel"/>
    <w:tmpl w:val="E610B8C0"/>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AA729DB"/>
    <w:multiLevelType w:val="multilevel"/>
    <w:tmpl w:val="DFB25214"/>
    <w:lvl w:ilvl="0">
      <w:start w:val="2"/>
      <w:numFmt w:val="bullet"/>
      <w:pStyle w:val="BT-EMEASMCA"/>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BFA5D9A"/>
    <w:multiLevelType w:val="hybridMultilevel"/>
    <w:tmpl w:val="ED6601BC"/>
    <w:lvl w:ilvl="0" w:tplc="E6E232E0">
      <w:start w:val="2"/>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2520"/>
        </w:tabs>
        <w:ind w:left="2520" w:hanging="360"/>
      </w:pPr>
      <w:rPr>
        <w:rFonts w:ascii="Courier New" w:hAnsi="Courier New" w:hint="default"/>
      </w:rPr>
    </w:lvl>
    <w:lvl w:ilvl="2" w:tplc="04270005" w:tentative="1">
      <w:start w:val="1"/>
      <w:numFmt w:val="bullet"/>
      <w:lvlText w:val=""/>
      <w:lvlJc w:val="left"/>
      <w:pPr>
        <w:tabs>
          <w:tab w:val="num" w:pos="3240"/>
        </w:tabs>
        <w:ind w:left="3240" w:hanging="360"/>
      </w:pPr>
      <w:rPr>
        <w:rFonts w:ascii="Wingdings" w:hAnsi="Wingdings" w:hint="default"/>
      </w:rPr>
    </w:lvl>
    <w:lvl w:ilvl="3" w:tplc="04270001">
      <w:start w:val="1"/>
      <w:numFmt w:val="bullet"/>
      <w:lvlText w:val=""/>
      <w:lvlJc w:val="left"/>
      <w:pPr>
        <w:tabs>
          <w:tab w:val="num" w:pos="3960"/>
        </w:tabs>
        <w:ind w:left="3960" w:hanging="360"/>
      </w:pPr>
      <w:rPr>
        <w:rFonts w:ascii="Symbol" w:hAnsi="Symbol" w:hint="default"/>
      </w:rPr>
    </w:lvl>
    <w:lvl w:ilvl="4" w:tplc="04270003" w:tentative="1">
      <w:start w:val="1"/>
      <w:numFmt w:val="bullet"/>
      <w:lvlText w:val="o"/>
      <w:lvlJc w:val="left"/>
      <w:pPr>
        <w:tabs>
          <w:tab w:val="num" w:pos="4680"/>
        </w:tabs>
        <w:ind w:left="4680" w:hanging="360"/>
      </w:pPr>
      <w:rPr>
        <w:rFonts w:ascii="Courier New" w:hAnsi="Courier New" w:hint="default"/>
      </w:rPr>
    </w:lvl>
    <w:lvl w:ilvl="5" w:tplc="04270005" w:tentative="1">
      <w:start w:val="1"/>
      <w:numFmt w:val="bullet"/>
      <w:lvlText w:val=""/>
      <w:lvlJc w:val="left"/>
      <w:pPr>
        <w:tabs>
          <w:tab w:val="num" w:pos="5400"/>
        </w:tabs>
        <w:ind w:left="5400" w:hanging="360"/>
      </w:pPr>
      <w:rPr>
        <w:rFonts w:ascii="Wingdings" w:hAnsi="Wingdings" w:hint="default"/>
      </w:rPr>
    </w:lvl>
    <w:lvl w:ilvl="6" w:tplc="04270001" w:tentative="1">
      <w:start w:val="1"/>
      <w:numFmt w:val="bullet"/>
      <w:lvlText w:val=""/>
      <w:lvlJc w:val="left"/>
      <w:pPr>
        <w:tabs>
          <w:tab w:val="num" w:pos="6120"/>
        </w:tabs>
        <w:ind w:left="6120" w:hanging="360"/>
      </w:pPr>
      <w:rPr>
        <w:rFonts w:ascii="Symbol" w:hAnsi="Symbol" w:hint="default"/>
      </w:rPr>
    </w:lvl>
    <w:lvl w:ilvl="7" w:tplc="04270003" w:tentative="1">
      <w:start w:val="1"/>
      <w:numFmt w:val="bullet"/>
      <w:lvlText w:val="o"/>
      <w:lvlJc w:val="left"/>
      <w:pPr>
        <w:tabs>
          <w:tab w:val="num" w:pos="6840"/>
        </w:tabs>
        <w:ind w:left="6840" w:hanging="360"/>
      </w:pPr>
      <w:rPr>
        <w:rFonts w:ascii="Courier New" w:hAnsi="Courier New" w:hint="default"/>
      </w:rPr>
    </w:lvl>
    <w:lvl w:ilvl="8" w:tplc="0427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302A0696"/>
    <w:multiLevelType w:val="multilevel"/>
    <w:tmpl w:val="CDA26EC0"/>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112321D"/>
    <w:multiLevelType w:val="hybridMultilevel"/>
    <w:tmpl w:val="6B643E4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387596"/>
    <w:multiLevelType w:val="multilevel"/>
    <w:tmpl w:val="9C2CB44E"/>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7556910"/>
    <w:multiLevelType w:val="multilevel"/>
    <w:tmpl w:val="D23035C4"/>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96462F0"/>
    <w:multiLevelType w:val="hybridMultilevel"/>
    <w:tmpl w:val="B6C88F6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07B034C"/>
    <w:multiLevelType w:val="hybridMultilevel"/>
    <w:tmpl w:val="4AEE199E"/>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66306EA"/>
    <w:multiLevelType w:val="multilevel"/>
    <w:tmpl w:val="DA86EAAE"/>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4C482357"/>
    <w:multiLevelType w:val="hybridMultilevel"/>
    <w:tmpl w:val="38A434E2"/>
    <w:lvl w:ilvl="0" w:tplc="E6E232E0">
      <w:start w:val="2"/>
      <w:numFmt w:val="bullet"/>
      <w:lvlText w:val="-"/>
      <w:lvlJc w:val="left"/>
      <w:pPr>
        <w:ind w:left="720" w:hanging="360"/>
      </w:pPr>
      <w:rPr>
        <w:rFonts w:ascii="Times New Roman" w:eastAsia="Times New Roman" w:hAnsi="Times New Roman" w:cs="Times New Roman" w:hint="default"/>
      </w:rPr>
    </w:lvl>
    <w:lvl w:ilvl="1" w:tplc="E6E232E0">
      <w:start w:val="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6A5471"/>
    <w:multiLevelType w:val="hybridMultilevel"/>
    <w:tmpl w:val="71ECD9A0"/>
    <w:lvl w:ilvl="0" w:tplc="29920D14">
      <w:start w:val="18"/>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87A0204"/>
    <w:multiLevelType w:val="hybridMultilevel"/>
    <w:tmpl w:val="DEA60D48"/>
    <w:lvl w:ilvl="0" w:tplc="E6E232E0">
      <w:start w:val="2"/>
      <w:numFmt w:val="bullet"/>
      <w:lvlText w:val="-"/>
      <w:lvlJc w:val="left"/>
      <w:pPr>
        <w:tabs>
          <w:tab w:val="num" w:pos="567"/>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DAF4C77"/>
    <w:multiLevelType w:val="hybridMultilevel"/>
    <w:tmpl w:val="68FE661C"/>
    <w:lvl w:ilvl="0" w:tplc="4AE4887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BA7EF3"/>
    <w:multiLevelType w:val="hybridMultilevel"/>
    <w:tmpl w:val="1BD6395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04246D"/>
    <w:multiLevelType w:val="hybridMultilevel"/>
    <w:tmpl w:val="2AC87F2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C02FC1"/>
    <w:multiLevelType w:val="multilevel"/>
    <w:tmpl w:val="88326BC6"/>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6EA90F1B"/>
    <w:multiLevelType w:val="multilevel"/>
    <w:tmpl w:val="7F729D40"/>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15:restartNumberingAfterBreak="0">
    <w:nsid w:val="71D24604"/>
    <w:multiLevelType w:val="hybridMultilevel"/>
    <w:tmpl w:val="824614AA"/>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37776E3"/>
    <w:multiLevelType w:val="multilevel"/>
    <w:tmpl w:val="588A2926"/>
    <w:lvl w:ilvl="0">
      <w:start w:val="1"/>
      <w:numFmt w:val="decimal"/>
      <w:lvlText w:val="%1."/>
      <w:lvlJc w:val="left"/>
      <w:pPr>
        <w:tabs>
          <w:tab w:val="num" w:pos="720"/>
        </w:tabs>
        <w:ind w:left="720" w:hanging="720"/>
      </w:pPr>
    </w:lvl>
    <w:lvl w:ilvl="1">
      <w:start w:val="2"/>
      <w:numFmt w:val="bullet"/>
      <w:lvlText w:val="-"/>
      <w:lvlJc w:val="left"/>
      <w:pPr>
        <w:tabs>
          <w:tab w:val="num" w:pos="1440"/>
        </w:tabs>
        <w:ind w:left="1440" w:hanging="720"/>
      </w:pPr>
      <w:rPr>
        <w:rFonts w:ascii="Times New Roman" w:eastAsia="Times New Roman" w:hAnsi="Times New Roman" w:cs="Times New Roman"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73AB272E"/>
    <w:multiLevelType w:val="multilevel"/>
    <w:tmpl w:val="9B4AE5F0"/>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7637630D"/>
    <w:multiLevelType w:val="multilevel"/>
    <w:tmpl w:val="7E087BD6"/>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78CE57A9"/>
    <w:multiLevelType w:val="hybridMultilevel"/>
    <w:tmpl w:val="70946C3C"/>
    <w:lvl w:ilvl="0" w:tplc="E6E232E0">
      <w:start w:val="2"/>
      <w:numFmt w:val="bullet"/>
      <w:lvlText w:val="-"/>
      <w:lvlJc w:val="left"/>
      <w:pPr>
        <w:tabs>
          <w:tab w:val="num" w:pos="567"/>
        </w:tabs>
        <w:ind w:left="567" w:hanging="56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93666D8"/>
    <w:multiLevelType w:val="multilevel"/>
    <w:tmpl w:val="6842353A"/>
    <w:lvl w:ilvl="0">
      <w:start w:val="2"/>
      <w:numFmt w:val="bullet"/>
      <w:lvlText w:val="-"/>
      <w:lvlJc w:val="left"/>
      <w:pPr>
        <w:tabs>
          <w:tab w:val="num" w:pos="720"/>
        </w:tabs>
        <w:ind w:left="720" w:hanging="720"/>
      </w:pPr>
      <w:rPr>
        <w:rFonts w:ascii="Times New Roman" w:eastAsia="Times New Roman" w:hAnsi="Times New Roman" w:cs="Times New Roman"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3"/>
  </w:num>
  <w:num w:numId="2">
    <w:abstractNumId w:val="23"/>
  </w:num>
  <w:num w:numId="3">
    <w:abstractNumId w:val="19"/>
  </w:num>
  <w:num w:numId="4">
    <w:abstractNumId w:val="9"/>
  </w:num>
  <w:num w:numId="5">
    <w:abstractNumId w:val="13"/>
    <w:lvlOverride w:ilvl="0">
      <w:startOverride w:val="2"/>
    </w:lvlOverride>
  </w:num>
  <w:num w:numId="6">
    <w:abstractNumId w:val="12"/>
  </w:num>
  <w:num w:numId="7">
    <w:abstractNumId w:val="11"/>
  </w:num>
  <w:num w:numId="8">
    <w:abstractNumId w:val="2"/>
  </w:num>
  <w:num w:numId="9">
    <w:abstractNumId w:val="6"/>
  </w:num>
  <w:num w:numId="10">
    <w:abstractNumId w:val="15"/>
  </w:num>
  <w:num w:numId="11">
    <w:abstractNumId w:val="22"/>
  </w:num>
  <w:num w:numId="12">
    <w:abstractNumId w:val="21"/>
  </w:num>
  <w:num w:numId="13">
    <w:abstractNumId w:val="1"/>
  </w:num>
  <w:num w:numId="14">
    <w:abstractNumId w:val="17"/>
  </w:num>
  <w:num w:numId="15">
    <w:abstractNumId w:val="20"/>
  </w:num>
  <w:num w:numId="16">
    <w:abstractNumId w:val="7"/>
  </w:num>
  <w:num w:numId="17">
    <w:abstractNumId w:val="4"/>
  </w:num>
  <w:num w:numId="18">
    <w:abstractNumId w:val="18"/>
  </w:num>
  <w:num w:numId="19">
    <w:abstractNumId w:val="10"/>
  </w:num>
  <w:num w:numId="20">
    <w:abstractNumId w:val="24"/>
  </w:num>
  <w:num w:numId="21">
    <w:abstractNumId w:val="13"/>
  </w:num>
  <w:num w:numId="22">
    <w:abstractNumId w:val="8"/>
  </w:num>
  <w:num w:numId="23">
    <w:abstractNumId w:val="5"/>
  </w:num>
  <w:num w:numId="24">
    <w:abstractNumId w:val="14"/>
  </w:num>
  <w:num w:numId="25">
    <w:abstractNumId w:val="0"/>
  </w:num>
  <w:num w:numId="26">
    <w:abstractNumId w:val="13"/>
  </w:num>
  <w:num w:numId="27">
    <w:abstractNumId w:val="14"/>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8E6"/>
    <w:rsid w:val="00021EF0"/>
    <w:rsid w:val="0004478C"/>
    <w:rsid w:val="00066556"/>
    <w:rsid w:val="000708C3"/>
    <w:rsid w:val="00090D6B"/>
    <w:rsid w:val="00093C15"/>
    <w:rsid w:val="000A1294"/>
    <w:rsid w:val="000B6A56"/>
    <w:rsid w:val="000B7CD3"/>
    <w:rsid w:val="000C115C"/>
    <w:rsid w:val="000D09AB"/>
    <w:rsid w:val="0011223E"/>
    <w:rsid w:val="001713C4"/>
    <w:rsid w:val="00171B4E"/>
    <w:rsid w:val="00173DFA"/>
    <w:rsid w:val="00190D85"/>
    <w:rsid w:val="001B64D9"/>
    <w:rsid w:val="00217EBE"/>
    <w:rsid w:val="002264D2"/>
    <w:rsid w:val="0023252A"/>
    <w:rsid w:val="00240690"/>
    <w:rsid w:val="00303618"/>
    <w:rsid w:val="00326381"/>
    <w:rsid w:val="00366652"/>
    <w:rsid w:val="00397F0F"/>
    <w:rsid w:val="003C5D02"/>
    <w:rsid w:val="003E1127"/>
    <w:rsid w:val="003F5F94"/>
    <w:rsid w:val="00447A78"/>
    <w:rsid w:val="00480145"/>
    <w:rsid w:val="00490E39"/>
    <w:rsid w:val="004C0C8C"/>
    <w:rsid w:val="004F0185"/>
    <w:rsid w:val="004F190A"/>
    <w:rsid w:val="00514A8C"/>
    <w:rsid w:val="00554A47"/>
    <w:rsid w:val="005C4275"/>
    <w:rsid w:val="005C6E86"/>
    <w:rsid w:val="006129D6"/>
    <w:rsid w:val="0065151E"/>
    <w:rsid w:val="00652CEC"/>
    <w:rsid w:val="006617AF"/>
    <w:rsid w:val="0068443E"/>
    <w:rsid w:val="006A6E0C"/>
    <w:rsid w:val="006B1D2B"/>
    <w:rsid w:val="0071727F"/>
    <w:rsid w:val="0072435F"/>
    <w:rsid w:val="00742B36"/>
    <w:rsid w:val="00775B7D"/>
    <w:rsid w:val="007939FC"/>
    <w:rsid w:val="007C412E"/>
    <w:rsid w:val="007F6FC0"/>
    <w:rsid w:val="00812204"/>
    <w:rsid w:val="0085150F"/>
    <w:rsid w:val="008D2EE7"/>
    <w:rsid w:val="008F7C1B"/>
    <w:rsid w:val="00965D68"/>
    <w:rsid w:val="009B26B0"/>
    <w:rsid w:val="009F4467"/>
    <w:rsid w:val="00A3425A"/>
    <w:rsid w:val="00A77B6F"/>
    <w:rsid w:val="00AB41C8"/>
    <w:rsid w:val="00AE3732"/>
    <w:rsid w:val="00B02A4C"/>
    <w:rsid w:val="00B27CFA"/>
    <w:rsid w:val="00B43476"/>
    <w:rsid w:val="00B74044"/>
    <w:rsid w:val="00B95C9E"/>
    <w:rsid w:val="00BB2F9A"/>
    <w:rsid w:val="00BB7646"/>
    <w:rsid w:val="00BC2EE8"/>
    <w:rsid w:val="00BC42F5"/>
    <w:rsid w:val="00BE281A"/>
    <w:rsid w:val="00C122A3"/>
    <w:rsid w:val="00C404A3"/>
    <w:rsid w:val="00C6240E"/>
    <w:rsid w:val="00CA2D11"/>
    <w:rsid w:val="00CA7355"/>
    <w:rsid w:val="00CB68E6"/>
    <w:rsid w:val="00CE39AB"/>
    <w:rsid w:val="00CE46B1"/>
    <w:rsid w:val="00CF7C5B"/>
    <w:rsid w:val="00D26928"/>
    <w:rsid w:val="00D27530"/>
    <w:rsid w:val="00D322B8"/>
    <w:rsid w:val="00D76DC4"/>
    <w:rsid w:val="00D8180D"/>
    <w:rsid w:val="00DB61C4"/>
    <w:rsid w:val="00DC0DA4"/>
    <w:rsid w:val="00DD3A29"/>
    <w:rsid w:val="00E11D06"/>
    <w:rsid w:val="00E17399"/>
    <w:rsid w:val="00E2053E"/>
    <w:rsid w:val="00E3488F"/>
    <w:rsid w:val="00E425AE"/>
    <w:rsid w:val="00E573E9"/>
    <w:rsid w:val="00E7247C"/>
    <w:rsid w:val="00EB338A"/>
    <w:rsid w:val="00EC6202"/>
    <w:rsid w:val="00ED7F9C"/>
    <w:rsid w:val="00EF5945"/>
    <w:rsid w:val="00F36C87"/>
    <w:rsid w:val="00F61D76"/>
    <w:rsid w:val="00F8308F"/>
    <w:rsid w:val="00F902E7"/>
    <w:rsid w:val="00FA2D0A"/>
    <w:rsid w:val="00FB17ED"/>
    <w:rsid w:val="00FB62A0"/>
    <w:rsid w:val="00FF4B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25B66"/>
  <w15:docId w15:val="{ADB72163-5C9D-4219-9B08-C181530D3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0"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1727F"/>
    <w:pPr>
      <w:spacing w:after="200" w:line="276" w:lineRule="auto"/>
    </w:pPr>
    <w:rPr>
      <w:rFonts w:ascii="Calibri" w:eastAsia="Calibri" w:hAnsi="Calibri" w:cs="Times New Roman"/>
      <w:lang w:val="lt-LT"/>
    </w:rPr>
  </w:style>
  <w:style w:type="paragraph" w:styleId="Antrat1">
    <w:name w:val="heading 1"/>
    <w:basedOn w:val="prastasis"/>
    <w:next w:val="prastasis"/>
    <w:link w:val="Antrat1Diagrama"/>
    <w:qFormat/>
    <w:rsid w:val="00CB68E6"/>
    <w:pPr>
      <w:keepNext/>
      <w:spacing w:before="240" w:after="60"/>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qFormat/>
    <w:rsid w:val="00CB68E6"/>
    <w:pPr>
      <w:keepNext/>
      <w:tabs>
        <w:tab w:val="left" w:pos="4300"/>
        <w:tab w:val="left" w:pos="5940"/>
        <w:tab w:val="left" w:pos="8180"/>
      </w:tabs>
      <w:spacing w:line="360" w:lineRule="atLeast"/>
      <w:outlineLvl w:val="1"/>
    </w:pPr>
    <w:rPr>
      <w:rFonts w:eastAsia="Times New Roman"/>
      <w:b/>
      <w:u w:val="single"/>
      <w:lang w:val="en-US"/>
    </w:rPr>
  </w:style>
  <w:style w:type="paragraph" w:styleId="Antrat3">
    <w:name w:val="heading 3"/>
    <w:basedOn w:val="prastasis"/>
    <w:next w:val="prastasis"/>
    <w:link w:val="Antrat3Diagrama"/>
    <w:qFormat/>
    <w:rsid w:val="00CB68E6"/>
    <w:pPr>
      <w:keepNext/>
      <w:tabs>
        <w:tab w:val="decimal" w:pos="6760"/>
      </w:tabs>
      <w:spacing w:line="480" w:lineRule="atLeast"/>
      <w:outlineLvl w:val="2"/>
    </w:pPr>
    <w:rPr>
      <w:rFonts w:eastAsia="Times New Roman"/>
      <w:b/>
      <w:lang w:val="en-US"/>
    </w:rPr>
  </w:style>
  <w:style w:type="paragraph" w:styleId="Antrat4">
    <w:name w:val="heading 4"/>
    <w:basedOn w:val="prastasis"/>
    <w:next w:val="prastasis"/>
    <w:link w:val="Antrat4Diagrama"/>
    <w:uiPriority w:val="99"/>
    <w:qFormat/>
    <w:rsid w:val="00CB68E6"/>
    <w:pPr>
      <w:keepNext/>
      <w:spacing w:before="240" w:after="60"/>
      <w:outlineLvl w:val="3"/>
    </w:pPr>
    <w:rPr>
      <w:rFonts w:eastAsia="Times New Roman"/>
      <w:b/>
      <w:bCs/>
      <w:sz w:val="28"/>
      <w:szCs w:val="28"/>
    </w:rPr>
  </w:style>
  <w:style w:type="paragraph" w:styleId="Antrat5">
    <w:name w:val="heading 5"/>
    <w:basedOn w:val="prastasis"/>
    <w:next w:val="prastasis"/>
    <w:link w:val="Antrat5Diagrama"/>
    <w:uiPriority w:val="99"/>
    <w:qFormat/>
    <w:rsid w:val="00CB68E6"/>
    <w:pPr>
      <w:keepNext/>
      <w:tabs>
        <w:tab w:val="left" w:pos="567"/>
      </w:tabs>
      <w:spacing w:line="260" w:lineRule="exact"/>
      <w:jc w:val="both"/>
      <w:outlineLvl w:val="4"/>
    </w:pPr>
    <w:rPr>
      <w:rFonts w:eastAsia="SimSun"/>
      <w:noProof/>
      <w:lang w:val="en-GB"/>
    </w:rPr>
  </w:style>
  <w:style w:type="paragraph" w:styleId="Antrat6">
    <w:name w:val="heading 6"/>
    <w:basedOn w:val="prastasis"/>
    <w:next w:val="prastasis"/>
    <w:link w:val="Antrat6Diagrama"/>
    <w:uiPriority w:val="99"/>
    <w:qFormat/>
    <w:rsid w:val="00CB68E6"/>
    <w:pPr>
      <w:keepNext/>
      <w:keepLines/>
      <w:tabs>
        <w:tab w:val="right" w:pos="4536"/>
        <w:tab w:val="left" w:pos="5180"/>
        <w:tab w:val="left" w:pos="5380"/>
        <w:tab w:val="left" w:pos="8222"/>
      </w:tabs>
      <w:outlineLvl w:val="5"/>
    </w:pPr>
    <w:rPr>
      <w:rFonts w:eastAsia="Times New Roman"/>
      <w:b/>
      <w:lang w:val="en-US"/>
    </w:rPr>
  </w:style>
  <w:style w:type="paragraph" w:styleId="Antrat7">
    <w:name w:val="heading 7"/>
    <w:basedOn w:val="prastasis"/>
    <w:next w:val="prastasis"/>
    <w:link w:val="Antrat7Diagrama"/>
    <w:qFormat/>
    <w:rsid w:val="00CB68E6"/>
    <w:pPr>
      <w:keepNext/>
      <w:tabs>
        <w:tab w:val="left" w:pos="-720"/>
        <w:tab w:val="left" w:pos="567"/>
        <w:tab w:val="left" w:pos="4536"/>
      </w:tabs>
      <w:suppressAutoHyphens/>
      <w:spacing w:line="260" w:lineRule="exact"/>
      <w:jc w:val="both"/>
      <w:outlineLvl w:val="6"/>
    </w:pPr>
    <w:rPr>
      <w:rFonts w:eastAsia="SimSun"/>
      <w:i/>
      <w:lang w:val="en-GB"/>
    </w:rPr>
  </w:style>
  <w:style w:type="paragraph" w:styleId="Antrat8">
    <w:name w:val="heading 8"/>
    <w:basedOn w:val="prastasis"/>
    <w:next w:val="prastasis"/>
    <w:link w:val="Antrat8Diagrama"/>
    <w:uiPriority w:val="99"/>
    <w:qFormat/>
    <w:rsid w:val="00CB68E6"/>
    <w:pPr>
      <w:keepNext/>
      <w:tabs>
        <w:tab w:val="left" w:pos="567"/>
      </w:tabs>
      <w:spacing w:line="260" w:lineRule="exact"/>
      <w:ind w:left="567" w:hanging="567"/>
      <w:jc w:val="both"/>
      <w:outlineLvl w:val="7"/>
    </w:pPr>
    <w:rPr>
      <w:rFonts w:eastAsia="SimSun"/>
      <w:b/>
      <w:i/>
      <w:lang w:val="en-GB"/>
    </w:rPr>
  </w:style>
  <w:style w:type="paragraph" w:styleId="Antrat9">
    <w:name w:val="heading 9"/>
    <w:basedOn w:val="prastasis"/>
    <w:next w:val="prastasis"/>
    <w:link w:val="Antrat9Diagrama"/>
    <w:uiPriority w:val="99"/>
    <w:qFormat/>
    <w:rsid w:val="00CB68E6"/>
    <w:pPr>
      <w:keepNext/>
      <w:tabs>
        <w:tab w:val="left" w:pos="567"/>
      </w:tabs>
      <w:spacing w:line="260" w:lineRule="exact"/>
      <w:jc w:val="both"/>
      <w:outlineLvl w:val="8"/>
    </w:pPr>
    <w:rPr>
      <w:rFonts w:eastAsia="SimSun"/>
      <w:b/>
      <w:i/>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B68E6"/>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rsid w:val="00CB68E6"/>
    <w:rPr>
      <w:rFonts w:ascii="Calibri" w:eastAsia="Times New Roman" w:hAnsi="Calibri" w:cs="Times New Roman"/>
      <w:b/>
      <w:u w:val="single"/>
    </w:rPr>
  </w:style>
  <w:style w:type="character" w:customStyle="1" w:styleId="Antrat3Diagrama">
    <w:name w:val="Antraštė 3 Diagrama"/>
    <w:basedOn w:val="Numatytasispastraiposriftas"/>
    <w:link w:val="Antrat3"/>
    <w:rsid w:val="00CB68E6"/>
    <w:rPr>
      <w:rFonts w:ascii="Calibri" w:eastAsia="Times New Roman" w:hAnsi="Calibri" w:cs="Times New Roman"/>
      <w:b/>
    </w:rPr>
  </w:style>
  <w:style w:type="character" w:customStyle="1" w:styleId="Antrat4Diagrama">
    <w:name w:val="Antraštė 4 Diagrama"/>
    <w:basedOn w:val="Numatytasispastraiposriftas"/>
    <w:link w:val="Antrat4"/>
    <w:uiPriority w:val="99"/>
    <w:rsid w:val="00CB68E6"/>
    <w:rPr>
      <w:rFonts w:ascii="Calibri" w:eastAsia="Times New Roman" w:hAnsi="Calibri" w:cs="Times New Roman"/>
      <w:b/>
      <w:bCs/>
      <w:sz w:val="28"/>
      <w:szCs w:val="28"/>
      <w:lang w:val="lt-LT"/>
    </w:rPr>
  </w:style>
  <w:style w:type="character" w:customStyle="1" w:styleId="Antrat5Diagrama">
    <w:name w:val="Antraštė 5 Diagrama"/>
    <w:basedOn w:val="Numatytasispastraiposriftas"/>
    <w:link w:val="Antrat5"/>
    <w:uiPriority w:val="99"/>
    <w:rsid w:val="00CB68E6"/>
    <w:rPr>
      <w:rFonts w:ascii="Calibri" w:eastAsia="SimSun" w:hAnsi="Calibri" w:cs="Times New Roman"/>
      <w:noProof/>
      <w:lang w:val="en-GB"/>
    </w:rPr>
  </w:style>
  <w:style w:type="character" w:customStyle="1" w:styleId="Antrat6Diagrama">
    <w:name w:val="Antraštė 6 Diagrama"/>
    <w:basedOn w:val="Numatytasispastraiposriftas"/>
    <w:link w:val="Antrat6"/>
    <w:uiPriority w:val="99"/>
    <w:rsid w:val="00CB68E6"/>
    <w:rPr>
      <w:rFonts w:ascii="Calibri" w:eastAsia="Times New Roman" w:hAnsi="Calibri" w:cs="Times New Roman"/>
      <w:b/>
    </w:rPr>
  </w:style>
  <w:style w:type="character" w:customStyle="1" w:styleId="Antrat7Diagrama">
    <w:name w:val="Antraštė 7 Diagrama"/>
    <w:basedOn w:val="Numatytasispastraiposriftas"/>
    <w:link w:val="Antrat7"/>
    <w:rsid w:val="00CB68E6"/>
    <w:rPr>
      <w:rFonts w:ascii="Calibri" w:eastAsia="SimSun" w:hAnsi="Calibri" w:cs="Times New Roman"/>
      <w:i/>
      <w:lang w:val="en-GB"/>
    </w:rPr>
  </w:style>
  <w:style w:type="character" w:customStyle="1" w:styleId="Antrat8Diagrama">
    <w:name w:val="Antraštė 8 Diagrama"/>
    <w:basedOn w:val="Numatytasispastraiposriftas"/>
    <w:link w:val="Antrat8"/>
    <w:uiPriority w:val="99"/>
    <w:rsid w:val="00CB68E6"/>
    <w:rPr>
      <w:rFonts w:ascii="Calibri" w:eastAsia="SimSun" w:hAnsi="Calibri" w:cs="Times New Roman"/>
      <w:b/>
      <w:i/>
      <w:lang w:val="en-GB"/>
    </w:rPr>
  </w:style>
  <w:style w:type="character" w:customStyle="1" w:styleId="Antrat9Diagrama">
    <w:name w:val="Antraštė 9 Diagrama"/>
    <w:basedOn w:val="Numatytasispastraiposriftas"/>
    <w:link w:val="Antrat9"/>
    <w:uiPriority w:val="99"/>
    <w:rsid w:val="00CB68E6"/>
    <w:rPr>
      <w:rFonts w:ascii="Calibri" w:eastAsia="SimSun" w:hAnsi="Calibri" w:cs="Times New Roman"/>
      <w:b/>
      <w:i/>
      <w:lang w:val="en-GB"/>
    </w:rPr>
  </w:style>
  <w:style w:type="paragraph" w:styleId="Antrat">
    <w:name w:val="caption"/>
    <w:basedOn w:val="prastasis"/>
    <w:next w:val="prastasis"/>
    <w:qFormat/>
    <w:rsid w:val="00CB68E6"/>
    <w:pPr>
      <w:jc w:val="both"/>
    </w:pPr>
    <w:rPr>
      <w:rFonts w:eastAsia="Times New Roman"/>
      <w:lang w:val="en-GB"/>
    </w:rPr>
  </w:style>
  <w:style w:type="paragraph" w:styleId="Pavadinimas">
    <w:name w:val="Title"/>
    <w:basedOn w:val="prastasis"/>
    <w:link w:val="PavadinimasDiagrama"/>
    <w:qFormat/>
    <w:rsid w:val="00CB68E6"/>
    <w:pPr>
      <w:jc w:val="center"/>
    </w:pPr>
    <w:rPr>
      <w:rFonts w:eastAsia="SimSun"/>
      <w:b/>
      <w:lang w:val="en-GB"/>
    </w:rPr>
  </w:style>
  <w:style w:type="character" w:customStyle="1" w:styleId="PavadinimasDiagrama">
    <w:name w:val="Pavadinimas Diagrama"/>
    <w:basedOn w:val="Numatytasispastraiposriftas"/>
    <w:link w:val="Pavadinimas"/>
    <w:rsid w:val="00CB68E6"/>
    <w:rPr>
      <w:rFonts w:ascii="Calibri" w:eastAsia="SimSun" w:hAnsi="Calibri" w:cs="Times New Roman"/>
      <w:b/>
      <w:lang w:val="en-GB"/>
    </w:rPr>
  </w:style>
  <w:style w:type="character" w:styleId="Grietas">
    <w:name w:val="Strong"/>
    <w:uiPriority w:val="99"/>
    <w:qFormat/>
    <w:rsid w:val="00CB68E6"/>
    <w:rPr>
      <w:rFonts w:cs="Times New Roman"/>
      <w:b/>
      <w:bCs/>
    </w:rPr>
  </w:style>
  <w:style w:type="paragraph" w:styleId="Betarp">
    <w:name w:val="No Spacing"/>
    <w:uiPriority w:val="1"/>
    <w:qFormat/>
    <w:rsid w:val="00CB68E6"/>
    <w:pPr>
      <w:tabs>
        <w:tab w:val="left" w:pos="567"/>
      </w:tabs>
      <w:spacing w:after="0" w:line="240" w:lineRule="auto"/>
    </w:pPr>
    <w:rPr>
      <w:rFonts w:ascii="Times New Roman" w:eastAsia="Times New Roman" w:hAnsi="Times New Roman" w:cs="Times New Roman"/>
      <w:snapToGrid w:val="0"/>
      <w:szCs w:val="20"/>
      <w:lang w:val="en-GB"/>
    </w:rPr>
  </w:style>
  <w:style w:type="paragraph" w:styleId="Sraopastraipa">
    <w:name w:val="List Paragraph"/>
    <w:basedOn w:val="prastasis"/>
    <w:uiPriority w:val="34"/>
    <w:qFormat/>
    <w:rsid w:val="00CB68E6"/>
    <w:pPr>
      <w:ind w:left="720"/>
      <w:contextualSpacing/>
    </w:pPr>
    <w:rPr>
      <w:rFonts w:eastAsia="Times New Roman"/>
    </w:rPr>
  </w:style>
  <w:style w:type="numbering" w:customStyle="1" w:styleId="NoList1">
    <w:name w:val="No List1"/>
    <w:next w:val="Sraonra"/>
    <w:uiPriority w:val="99"/>
    <w:semiHidden/>
    <w:unhideWhenUsed/>
    <w:rsid w:val="00CB68E6"/>
  </w:style>
  <w:style w:type="character" w:styleId="Hipersaitas">
    <w:name w:val="Hyperlink"/>
    <w:uiPriority w:val="99"/>
    <w:rsid w:val="00CB68E6"/>
    <w:rPr>
      <w:color w:val="0000FF"/>
      <w:u w:val="single"/>
    </w:rPr>
  </w:style>
  <w:style w:type="paragraph" w:customStyle="1" w:styleId="PI-1EMEASMCA">
    <w:name w:val="PI-1 EMEA_SMCA"/>
    <w:basedOn w:val="Antrat2"/>
    <w:autoRedefine/>
    <w:rsid w:val="00CB68E6"/>
    <w:pPr>
      <w:tabs>
        <w:tab w:val="clear" w:pos="4300"/>
        <w:tab w:val="clear" w:pos="5940"/>
        <w:tab w:val="clear" w:pos="8180"/>
        <w:tab w:val="left" w:pos="567"/>
      </w:tabs>
      <w:spacing w:after="60" w:line="240" w:lineRule="auto"/>
      <w:ind w:left="567" w:hanging="567"/>
    </w:pPr>
    <w:rPr>
      <w:iCs/>
      <w:u w:val="none"/>
      <w:lang w:val="lt-LT" w:eastAsia="lt-LT" w:bidi="ar-BH"/>
    </w:rPr>
  </w:style>
  <w:style w:type="paragraph" w:customStyle="1" w:styleId="PI-1labEMEASMCA">
    <w:name w:val="PI-1_lab EMEA_SMCA"/>
    <w:basedOn w:val="prastasis"/>
    <w:link w:val="PI-1labEMEASMCAChar"/>
    <w:autoRedefine/>
    <w:rsid w:val="00CB68E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eastAsia="lt-LT"/>
    </w:rPr>
  </w:style>
  <w:style w:type="character" w:customStyle="1" w:styleId="PI-1labEMEASMCAChar">
    <w:name w:val="PI-1_lab EMEA_SMCA Char"/>
    <w:link w:val="PI-1labEMEASMCA"/>
    <w:locked/>
    <w:rsid w:val="00CB68E6"/>
    <w:rPr>
      <w:rFonts w:ascii="Times New Roman" w:eastAsia="Times New Roman" w:hAnsi="Times New Roman" w:cs="Times New Roman"/>
      <w:b/>
      <w:noProof/>
      <w:sz w:val="20"/>
      <w:szCs w:val="20"/>
      <w:lang w:val="lt-LT" w:eastAsia="lt-LT"/>
    </w:rPr>
  </w:style>
  <w:style w:type="paragraph" w:customStyle="1" w:styleId="PI-2EMEASMCA">
    <w:name w:val="PI-2 EMEA_SMCA"/>
    <w:basedOn w:val="Antrat3"/>
    <w:autoRedefine/>
    <w:rsid w:val="00CB68E6"/>
    <w:pPr>
      <w:tabs>
        <w:tab w:val="clear" w:pos="6760"/>
        <w:tab w:val="left" w:pos="567"/>
      </w:tabs>
      <w:spacing w:after="60" w:line="240" w:lineRule="auto"/>
    </w:pPr>
    <w:rPr>
      <w:kern w:val="28"/>
      <w:lang w:val="lt-LT" w:eastAsia="lt-LT"/>
    </w:rPr>
  </w:style>
  <w:style w:type="character" w:customStyle="1" w:styleId="BTEMEASMCAChar">
    <w:name w:val="BT EMEA_SMCA Char"/>
    <w:link w:val="BTEMEASMCA"/>
    <w:locked/>
    <w:rsid w:val="00CB68E6"/>
    <w:rPr>
      <w:rFonts w:ascii="Times New Roman" w:hAnsi="Times New Roman"/>
      <w:noProof/>
    </w:rPr>
  </w:style>
  <w:style w:type="paragraph" w:customStyle="1" w:styleId="TTEMEASMCA">
    <w:name w:val="TT EMEA_SMCA"/>
    <w:basedOn w:val="Antrat1"/>
    <w:link w:val="TTEMEASMCAChar"/>
    <w:autoRedefine/>
    <w:rsid w:val="00CB68E6"/>
    <w:pPr>
      <w:keepNext w:val="0"/>
      <w:tabs>
        <w:tab w:val="left" w:pos="567"/>
      </w:tabs>
      <w:spacing w:before="0"/>
      <w:jc w:val="center"/>
    </w:pPr>
    <w:rPr>
      <w:rFonts w:ascii="Times New Roman" w:hAnsi="Times New Roman" w:cs="Times New Roman"/>
      <w:bCs w:val="0"/>
      <w:kern w:val="0"/>
      <w:sz w:val="20"/>
      <w:szCs w:val="20"/>
      <w:lang w:eastAsia="lt-LT" w:bidi="ar-BH"/>
    </w:rPr>
  </w:style>
  <w:style w:type="character" w:customStyle="1" w:styleId="TTEMEASMCAChar">
    <w:name w:val="TT EMEA_SMCA Char"/>
    <w:link w:val="TTEMEASMCA"/>
    <w:locked/>
    <w:rsid w:val="00CB68E6"/>
    <w:rPr>
      <w:rFonts w:ascii="Times New Roman" w:eastAsia="Times New Roman" w:hAnsi="Times New Roman" w:cs="Times New Roman"/>
      <w:b/>
      <w:sz w:val="20"/>
      <w:szCs w:val="20"/>
      <w:lang w:val="lt-LT" w:eastAsia="lt-LT" w:bidi="ar-BH"/>
    </w:rPr>
  </w:style>
  <w:style w:type="paragraph" w:customStyle="1" w:styleId="PI-3EMEASMCA">
    <w:name w:val="PI-3 EMEA_SMCA"/>
    <w:basedOn w:val="prastasis"/>
    <w:autoRedefine/>
    <w:rsid w:val="00CB68E6"/>
    <w:pPr>
      <w:spacing w:after="0" w:line="220" w:lineRule="exact"/>
    </w:pPr>
    <w:rPr>
      <w:rFonts w:ascii="Times New Roman" w:hAnsi="Times New Roman"/>
      <w:b/>
      <w:bCs/>
    </w:rPr>
  </w:style>
  <w:style w:type="paragraph" w:customStyle="1" w:styleId="BTbEMEASMCA">
    <w:name w:val="BT(b) EMEA_SMCA"/>
    <w:basedOn w:val="prastasis"/>
    <w:autoRedefine/>
    <w:rsid w:val="00066556"/>
    <w:pPr>
      <w:spacing w:after="0" w:line="240" w:lineRule="auto"/>
    </w:pPr>
    <w:rPr>
      <w:rFonts w:ascii="Times New Roman" w:hAnsi="Times New Roman"/>
      <w:i/>
      <w:sz w:val="24"/>
      <w:szCs w:val="24"/>
    </w:rPr>
  </w:style>
  <w:style w:type="paragraph" w:customStyle="1" w:styleId="BTeEMEASMCA">
    <w:name w:val="BT(e) EMEA_SMCA"/>
    <w:basedOn w:val="prastasis"/>
    <w:autoRedefine/>
    <w:rsid w:val="00CB68E6"/>
    <w:pPr>
      <w:spacing w:after="0" w:line="240" w:lineRule="auto"/>
      <w:jc w:val="center"/>
    </w:pPr>
    <w:rPr>
      <w:rFonts w:ascii="Times New Roman" w:hAnsi="Times New Roman"/>
      <w:sz w:val="24"/>
      <w:szCs w:val="24"/>
    </w:rPr>
  </w:style>
  <w:style w:type="paragraph" w:customStyle="1" w:styleId="BTgEMEASMCA">
    <w:name w:val="BT(g) EMEA_SMCA"/>
    <w:basedOn w:val="prastasis"/>
    <w:link w:val="BTgEMEASMCAChar"/>
    <w:autoRedefine/>
    <w:rsid w:val="00CB68E6"/>
    <w:pPr>
      <w:spacing w:after="0" w:line="240" w:lineRule="auto"/>
    </w:pPr>
    <w:rPr>
      <w:rFonts w:ascii="Times New Roman" w:eastAsia="Times New Roman" w:hAnsi="Times New Roman"/>
      <w:i/>
      <w:noProof/>
      <w:sz w:val="20"/>
      <w:szCs w:val="20"/>
      <w:lang w:eastAsia="lt-LT"/>
    </w:rPr>
  </w:style>
  <w:style w:type="character" w:customStyle="1" w:styleId="BTgEMEASMCAChar">
    <w:name w:val="BT(g) EMEA_SMCA Char"/>
    <w:link w:val="BTgEMEASMCA"/>
    <w:locked/>
    <w:rsid w:val="00CB68E6"/>
    <w:rPr>
      <w:rFonts w:ascii="Times New Roman" w:eastAsia="Times New Roman" w:hAnsi="Times New Roman" w:cs="Times New Roman"/>
      <w:i/>
      <w:noProof/>
      <w:sz w:val="20"/>
      <w:szCs w:val="20"/>
      <w:lang w:val="lt-LT" w:eastAsia="lt-LT"/>
    </w:rPr>
  </w:style>
  <w:style w:type="paragraph" w:customStyle="1" w:styleId="BTuEMEASMCA">
    <w:name w:val="BT(u) EMEA_SMCA"/>
    <w:basedOn w:val="prastasis"/>
    <w:autoRedefine/>
    <w:rsid w:val="00CB68E6"/>
    <w:pPr>
      <w:spacing w:after="0" w:line="240" w:lineRule="auto"/>
    </w:pPr>
    <w:rPr>
      <w:rFonts w:ascii="Times New Roman" w:hAnsi="Times New Roman"/>
      <w:sz w:val="24"/>
      <w:szCs w:val="24"/>
      <w:u w:val="single"/>
    </w:rPr>
  </w:style>
  <w:style w:type="paragraph" w:styleId="Pagrindinistekstas">
    <w:name w:val="Body Text"/>
    <w:basedOn w:val="prastasis"/>
    <w:link w:val="PagrindinistekstasDiagrama"/>
    <w:rsid w:val="00CB68E6"/>
    <w:pPr>
      <w:spacing w:after="120" w:line="240" w:lineRule="auto"/>
    </w:pPr>
    <w:rPr>
      <w:rFonts w:ascii="Times New Roman" w:eastAsia="Times New Roman" w:hAnsi="Times New Roman"/>
      <w:sz w:val="24"/>
      <w:szCs w:val="20"/>
      <w:lang w:eastAsia="lt-LT"/>
    </w:rPr>
  </w:style>
  <w:style w:type="character" w:customStyle="1" w:styleId="BodyTextChar">
    <w:name w:val="Body Text Char"/>
    <w:basedOn w:val="Numatytasispastraiposriftas"/>
    <w:rsid w:val="00CB68E6"/>
    <w:rPr>
      <w:rFonts w:ascii="Calibri" w:eastAsia="Calibri" w:hAnsi="Calibri" w:cs="Times New Roman"/>
      <w:lang w:val="lt-LT"/>
    </w:rPr>
  </w:style>
  <w:style w:type="character" w:customStyle="1" w:styleId="PagrindinistekstasDiagrama">
    <w:name w:val="Pagrindinis tekstas Diagrama"/>
    <w:basedOn w:val="Numatytasispastraiposriftas"/>
    <w:link w:val="Pagrindinistekstas"/>
    <w:rsid w:val="00CB68E6"/>
    <w:rPr>
      <w:rFonts w:ascii="Times New Roman" w:eastAsia="Times New Roman" w:hAnsi="Times New Roman" w:cs="Times New Roman"/>
      <w:sz w:val="24"/>
      <w:szCs w:val="20"/>
      <w:lang w:val="lt-LT" w:eastAsia="lt-LT"/>
    </w:rPr>
  </w:style>
  <w:style w:type="paragraph" w:styleId="Porat">
    <w:name w:val="footer"/>
    <w:basedOn w:val="prastasis"/>
    <w:link w:val="PoratDiagrama"/>
    <w:rsid w:val="00CB68E6"/>
    <w:pPr>
      <w:tabs>
        <w:tab w:val="center" w:pos="4819"/>
        <w:tab w:val="right" w:pos="9638"/>
      </w:tabs>
      <w:spacing w:after="0" w:line="240" w:lineRule="auto"/>
    </w:pPr>
    <w:rPr>
      <w:rFonts w:ascii="Times New Roman" w:eastAsia="Times New Roman" w:hAnsi="Times New Roman"/>
      <w:sz w:val="24"/>
      <w:szCs w:val="20"/>
      <w:lang w:eastAsia="lt-LT"/>
    </w:rPr>
  </w:style>
  <w:style w:type="character" w:customStyle="1" w:styleId="FooterChar">
    <w:name w:val="Footer Char"/>
    <w:basedOn w:val="Numatytasispastraiposriftas"/>
    <w:rsid w:val="00CB68E6"/>
    <w:rPr>
      <w:rFonts w:ascii="Calibri" w:eastAsia="Calibri" w:hAnsi="Calibri" w:cs="Times New Roman"/>
      <w:lang w:val="lt-LT"/>
    </w:rPr>
  </w:style>
  <w:style w:type="character" w:customStyle="1" w:styleId="PoratDiagrama">
    <w:name w:val="Poraštė Diagrama"/>
    <w:basedOn w:val="Numatytasispastraiposriftas"/>
    <w:link w:val="Porat"/>
    <w:rsid w:val="00CB68E6"/>
    <w:rPr>
      <w:rFonts w:ascii="Times New Roman" w:eastAsia="Times New Roman" w:hAnsi="Times New Roman" w:cs="Times New Roman"/>
      <w:sz w:val="24"/>
      <w:szCs w:val="20"/>
      <w:lang w:val="lt-LT" w:eastAsia="lt-LT"/>
    </w:rPr>
  </w:style>
  <w:style w:type="character" w:styleId="Puslapionumeris">
    <w:name w:val="page number"/>
    <w:basedOn w:val="Numatytasispastraiposriftas"/>
    <w:rsid w:val="00CB68E6"/>
  </w:style>
  <w:style w:type="paragraph" w:styleId="Antrats">
    <w:name w:val="header"/>
    <w:basedOn w:val="prastasis"/>
    <w:link w:val="AntratsDiagrama"/>
    <w:rsid w:val="00CB68E6"/>
    <w:pPr>
      <w:tabs>
        <w:tab w:val="center" w:pos="4819"/>
        <w:tab w:val="right" w:pos="9638"/>
      </w:tabs>
      <w:spacing w:after="0" w:line="240" w:lineRule="auto"/>
    </w:pPr>
    <w:rPr>
      <w:rFonts w:ascii="Times New Roman" w:eastAsia="Times New Roman" w:hAnsi="Times New Roman"/>
      <w:sz w:val="24"/>
      <w:szCs w:val="20"/>
      <w:lang w:eastAsia="lt-LT"/>
    </w:rPr>
  </w:style>
  <w:style w:type="character" w:customStyle="1" w:styleId="HeaderChar">
    <w:name w:val="Header Char"/>
    <w:basedOn w:val="Numatytasispastraiposriftas"/>
    <w:rsid w:val="00CB68E6"/>
    <w:rPr>
      <w:rFonts w:ascii="Calibri" w:eastAsia="Calibri" w:hAnsi="Calibri" w:cs="Times New Roman"/>
      <w:lang w:val="lt-LT"/>
    </w:rPr>
  </w:style>
  <w:style w:type="character" w:customStyle="1" w:styleId="AntratsDiagrama">
    <w:name w:val="Antraštės Diagrama"/>
    <w:basedOn w:val="Numatytasispastraiposriftas"/>
    <w:link w:val="Antrats"/>
    <w:rsid w:val="00CB68E6"/>
    <w:rPr>
      <w:rFonts w:ascii="Times New Roman" w:eastAsia="Times New Roman" w:hAnsi="Times New Roman" w:cs="Times New Roman"/>
      <w:sz w:val="24"/>
      <w:szCs w:val="20"/>
      <w:lang w:val="lt-LT" w:eastAsia="lt-LT"/>
    </w:rPr>
  </w:style>
  <w:style w:type="paragraph" w:styleId="Debesliotekstas">
    <w:name w:val="Balloon Text"/>
    <w:basedOn w:val="prastasis"/>
    <w:link w:val="DebesliotekstasDiagrama"/>
    <w:semiHidden/>
    <w:rsid w:val="00CB68E6"/>
    <w:pPr>
      <w:spacing w:after="0" w:line="240" w:lineRule="auto"/>
    </w:pPr>
    <w:rPr>
      <w:rFonts w:ascii="Tahoma" w:eastAsia="Times New Roman" w:hAnsi="Tahoma"/>
      <w:sz w:val="16"/>
      <w:szCs w:val="16"/>
      <w:lang w:eastAsia="lt-LT"/>
    </w:rPr>
  </w:style>
  <w:style w:type="character" w:customStyle="1" w:styleId="DebesliotekstasDiagrama">
    <w:name w:val="Debesėlio tekstas Diagrama"/>
    <w:basedOn w:val="Numatytasispastraiposriftas"/>
    <w:link w:val="Debesliotekstas"/>
    <w:semiHidden/>
    <w:rsid w:val="00CB68E6"/>
    <w:rPr>
      <w:rFonts w:ascii="Tahoma" w:eastAsia="Times New Roman" w:hAnsi="Tahoma" w:cs="Times New Roman"/>
      <w:sz w:val="16"/>
      <w:szCs w:val="16"/>
      <w:lang w:val="lt-LT" w:eastAsia="lt-LT"/>
    </w:rPr>
  </w:style>
  <w:style w:type="character" w:styleId="Emfaz">
    <w:name w:val="Emphasis"/>
    <w:qFormat/>
    <w:rsid w:val="00CB68E6"/>
    <w:rPr>
      <w:b/>
    </w:rPr>
  </w:style>
  <w:style w:type="character" w:customStyle="1" w:styleId="Normal1">
    <w:name w:val="Normal1"/>
    <w:rsid w:val="00CB68E6"/>
    <w:rPr>
      <w:rFonts w:ascii="Helvetica" w:hAnsi="Helvetica"/>
      <w:sz w:val="24"/>
    </w:rPr>
  </w:style>
  <w:style w:type="character" w:styleId="Komentaronuoroda">
    <w:name w:val="annotation reference"/>
    <w:semiHidden/>
    <w:rsid w:val="00CB68E6"/>
    <w:rPr>
      <w:sz w:val="16"/>
    </w:rPr>
  </w:style>
  <w:style w:type="paragraph" w:styleId="Komentarotekstas">
    <w:name w:val="annotation text"/>
    <w:basedOn w:val="prastasis"/>
    <w:link w:val="KomentarotekstasDiagrama"/>
    <w:semiHidden/>
    <w:rsid w:val="00CB68E6"/>
    <w:pPr>
      <w:spacing w:after="0" w:line="240" w:lineRule="auto"/>
    </w:pPr>
    <w:rPr>
      <w:rFonts w:ascii="Times New Roman" w:eastAsia="Times New Roman" w:hAnsi="Times New Roman"/>
      <w:sz w:val="20"/>
      <w:szCs w:val="20"/>
      <w:lang w:eastAsia="lt-LT"/>
    </w:rPr>
  </w:style>
  <w:style w:type="character" w:customStyle="1" w:styleId="KomentarotekstasDiagrama">
    <w:name w:val="Komentaro tekstas Diagrama"/>
    <w:basedOn w:val="Numatytasispastraiposriftas"/>
    <w:link w:val="Komentarotekstas"/>
    <w:semiHidden/>
    <w:rsid w:val="00CB68E6"/>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CB68E6"/>
    <w:rPr>
      <w:b/>
      <w:bCs/>
    </w:rPr>
  </w:style>
  <w:style w:type="character" w:customStyle="1" w:styleId="KomentarotemaDiagrama">
    <w:name w:val="Komentaro tema Diagrama"/>
    <w:basedOn w:val="KomentarotekstasDiagrama"/>
    <w:link w:val="Komentarotema"/>
    <w:semiHidden/>
    <w:rsid w:val="00CB68E6"/>
    <w:rPr>
      <w:rFonts w:ascii="Times New Roman" w:eastAsia="Times New Roman" w:hAnsi="Times New Roman" w:cs="Times New Roman"/>
      <w:b/>
      <w:bCs/>
      <w:sz w:val="20"/>
      <w:szCs w:val="20"/>
      <w:lang w:val="lt-LT" w:eastAsia="lt-LT"/>
    </w:rPr>
  </w:style>
  <w:style w:type="paragraph" w:customStyle="1" w:styleId="Sraopastraipa1">
    <w:name w:val="Sąrašo pastraipa1"/>
    <w:basedOn w:val="prastasis"/>
    <w:rsid w:val="00CB68E6"/>
    <w:pPr>
      <w:spacing w:after="0" w:line="240" w:lineRule="auto"/>
      <w:ind w:left="720"/>
      <w:contextualSpacing/>
    </w:pPr>
    <w:rPr>
      <w:rFonts w:ascii="Times New Roman" w:hAnsi="Times New Roman"/>
      <w:sz w:val="24"/>
      <w:szCs w:val="24"/>
    </w:rPr>
  </w:style>
  <w:style w:type="paragraph" w:customStyle="1" w:styleId="BTEMEASMCA">
    <w:name w:val="BT EMEA_SMCA"/>
    <w:basedOn w:val="prastasis"/>
    <w:link w:val="BTEMEASMCAChar"/>
    <w:autoRedefine/>
    <w:rsid w:val="00CB68E6"/>
    <w:pPr>
      <w:spacing w:after="0" w:line="240" w:lineRule="auto"/>
    </w:pPr>
    <w:rPr>
      <w:rFonts w:ascii="Times New Roman" w:eastAsiaTheme="minorHAnsi" w:hAnsi="Times New Roman" w:cstheme="minorBidi"/>
      <w:noProof/>
      <w:lang w:val="en-US"/>
    </w:rPr>
  </w:style>
  <w:style w:type="character" w:customStyle="1" w:styleId="hps">
    <w:name w:val="hps"/>
    <w:rsid w:val="00CB68E6"/>
    <w:rPr>
      <w:rFonts w:cs="Times New Roman"/>
    </w:rPr>
  </w:style>
  <w:style w:type="paragraph" w:customStyle="1" w:styleId="CM21">
    <w:name w:val="CM21"/>
    <w:basedOn w:val="prastasis"/>
    <w:next w:val="prastasis"/>
    <w:uiPriority w:val="99"/>
    <w:rsid w:val="00CB68E6"/>
    <w:pPr>
      <w:widowControl w:val="0"/>
      <w:autoSpaceDE w:val="0"/>
      <w:autoSpaceDN w:val="0"/>
      <w:adjustRightInd w:val="0"/>
      <w:spacing w:after="0" w:line="240" w:lineRule="auto"/>
    </w:pPr>
    <w:rPr>
      <w:rFonts w:ascii="Times New Roman" w:eastAsia="Times New Roman" w:hAnsi="Times New Roman"/>
      <w:sz w:val="24"/>
      <w:szCs w:val="24"/>
      <w:lang w:val="de-DE" w:eastAsia="de-DE"/>
    </w:rPr>
  </w:style>
  <w:style w:type="paragraph" w:customStyle="1" w:styleId="BT-EMEASMCA">
    <w:name w:val="BT- EMEA_SMCA"/>
    <w:basedOn w:val="prastasis"/>
    <w:rsid w:val="00CB68E6"/>
    <w:pPr>
      <w:numPr>
        <w:numId w:val="8"/>
      </w:numPr>
    </w:pPr>
  </w:style>
  <w:style w:type="paragraph" w:styleId="HTMLiankstoformatuotas">
    <w:name w:val="HTML Preformatted"/>
    <w:basedOn w:val="prastasis"/>
    <w:link w:val="HTMLiankstoformatuotasDiagrama"/>
    <w:uiPriority w:val="99"/>
    <w:semiHidden/>
    <w:unhideWhenUsed/>
    <w:rsid w:val="006129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6129D6"/>
    <w:rPr>
      <w:rFonts w:ascii="Courier New" w:eastAsia="Times New Roman" w:hAnsi="Courier New" w:cs="Courier New"/>
      <w:sz w:val="20"/>
      <w:szCs w:val="20"/>
    </w:rPr>
  </w:style>
  <w:style w:type="character" w:customStyle="1" w:styleId="y2iqfc">
    <w:name w:val="y2iqfc"/>
    <w:basedOn w:val="Numatytasispastraiposriftas"/>
    <w:rsid w:val="006129D6"/>
  </w:style>
  <w:style w:type="paragraph" w:styleId="Pataisymai">
    <w:name w:val="Revision"/>
    <w:hidden/>
    <w:uiPriority w:val="99"/>
    <w:semiHidden/>
    <w:rsid w:val="00E2053E"/>
    <w:pPr>
      <w:spacing w:after="0" w:line="240" w:lineRule="auto"/>
    </w:pPr>
    <w:rPr>
      <w:rFonts w:ascii="Calibri" w:eastAsia="Calibri" w:hAnsi="Calibri" w:cs="Times New Roman"/>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446667">
      <w:bodyDiv w:val="1"/>
      <w:marLeft w:val="0"/>
      <w:marRight w:val="0"/>
      <w:marTop w:val="0"/>
      <w:marBottom w:val="0"/>
      <w:divBdr>
        <w:top w:val="none" w:sz="0" w:space="0" w:color="auto"/>
        <w:left w:val="none" w:sz="0" w:space="0" w:color="auto"/>
        <w:bottom w:val="none" w:sz="0" w:space="0" w:color="auto"/>
        <w:right w:val="none" w:sz="0" w:space="0" w:color="auto"/>
      </w:divBdr>
    </w:div>
    <w:div w:id="224607083">
      <w:bodyDiv w:val="1"/>
      <w:marLeft w:val="0"/>
      <w:marRight w:val="0"/>
      <w:marTop w:val="0"/>
      <w:marBottom w:val="0"/>
      <w:divBdr>
        <w:top w:val="none" w:sz="0" w:space="0" w:color="auto"/>
        <w:left w:val="none" w:sz="0" w:space="0" w:color="auto"/>
        <w:bottom w:val="none" w:sz="0" w:space="0" w:color="auto"/>
        <w:right w:val="none" w:sz="0" w:space="0" w:color="auto"/>
      </w:divBdr>
    </w:div>
    <w:div w:id="279848937">
      <w:bodyDiv w:val="1"/>
      <w:marLeft w:val="0"/>
      <w:marRight w:val="0"/>
      <w:marTop w:val="0"/>
      <w:marBottom w:val="0"/>
      <w:divBdr>
        <w:top w:val="none" w:sz="0" w:space="0" w:color="auto"/>
        <w:left w:val="none" w:sz="0" w:space="0" w:color="auto"/>
        <w:bottom w:val="none" w:sz="0" w:space="0" w:color="auto"/>
        <w:right w:val="none" w:sz="0" w:space="0" w:color="auto"/>
      </w:divBdr>
    </w:div>
    <w:div w:id="333194123">
      <w:bodyDiv w:val="1"/>
      <w:marLeft w:val="0"/>
      <w:marRight w:val="0"/>
      <w:marTop w:val="0"/>
      <w:marBottom w:val="0"/>
      <w:divBdr>
        <w:top w:val="none" w:sz="0" w:space="0" w:color="auto"/>
        <w:left w:val="none" w:sz="0" w:space="0" w:color="auto"/>
        <w:bottom w:val="none" w:sz="0" w:space="0" w:color="auto"/>
        <w:right w:val="none" w:sz="0" w:space="0" w:color="auto"/>
      </w:divBdr>
    </w:div>
    <w:div w:id="570702721">
      <w:bodyDiv w:val="1"/>
      <w:marLeft w:val="0"/>
      <w:marRight w:val="0"/>
      <w:marTop w:val="0"/>
      <w:marBottom w:val="0"/>
      <w:divBdr>
        <w:top w:val="none" w:sz="0" w:space="0" w:color="auto"/>
        <w:left w:val="none" w:sz="0" w:space="0" w:color="auto"/>
        <w:bottom w:val="none" w:sz="0" w:space="0" w:color="auto"/>
        <w:right w:val="none" w:sz="0" w:space="0" w:color="auto"/>
      </w:divBdr>
    </w:div>
    <w:div w:id="612635642">
      <w:bodyDiv w:val="1"/>
      <w:marLeft w:val="0"/>
      <w:marRight w:val="0"/>
      <w:marTop w:val="0"/>
      <w:marBottom w:val="0"/>
      <w:divBdr>
        <w:top w:val="none" w:sz="0" w:space="0" w:color="auto"/>
        <w:left w:val="none" w:sz="0" w:space="0" w:color="auto"/>
        <w:bottom w:val="none" w:sz="0" w:space="0" w:color="auto"/>
        <w:right w:val="none" w:sz="0" w:space="0" w:color="auto"/>
      </w:divBdr>
    </w:div>
    <w:div w:id="737943896">
      <w:bodyDiv w:val="1"/>
      <w:marLeft w:val="0"/>
      <w:marRight w:val="0"/>
      <w:marTop w:val="0"/>
      <w:marBottom w:val="0"/>
      <w:divBdr>
        <w:top w:val="none" w:sz="0" w:space="0" w:color="auto"/>
        <w:left w:val="none" w:sz="0" w:space="0" w:color="auto"/>
        <w:bottom w:val="none" w:sz="0" w:space="0" w:color="auto"/>
        <w:right w:val="none" w:sz="0" w:space="0" w:color="auto"/>
      </w:divBdr>
    </w:div>
    <w:div w:id="881987425">
      <w:bodyDiv w:val="1"/>
      <w:marLeft w:val="0"/>
      <w:marRight w:val="0"/>
      <w:marTop w:val="0"/>
      <w:marBottom w:val="0"/>
      <w:divBdr>
        <w:top w:val="none" w:sz="0" w:space="0" w:color="auto"/>
        <w:left w:val="none" w:sz="0" w:space="0" w:color="auto"/>
        <w:bottom w:val="none" w:sz="0" w:space="0" w:color="auto"/>
        <w:right w:val="none" w:sz="0" w:space="0" w:color="auto"/>
      </w:divBdr>
    </w:div>
    <w:div w:id="1253776521">
      <w:bodyDiv w:val="1"/>
      <w:marLeft w:val="0"/>
      <w:marRight w:val="0"/>
      <w:marTop w:val="0"/>
      <w:marBottom w:val="0"/>
      <w:divBdr>
        <w:top w:val="none" w:sz="0" w:space="0" w:color="auto"/>
        <w:left w:val="none" w:sz="0" w:space="0" w:color="auto"/>
        <w:bottom w:val="none" w:sz="0" w:space="0" w:color="auto"/>
        <w:right w:val="none" w:sz="0" w:space="0" w:color="auto"/>
      </w:divBdr>
    </w:div>
    <w:div w:id="163259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43</Pages>
  <Words>66766</Words>
  <Characters>38057</Characters>
  <Application>Microsoft Office Word</Application>
  <DocSecurity>4</DocSecurity>
  <Lines>317</Lines>
  <Paragraphs>209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Vyt B</dc:creator>
  <cp:lastModifiedBy>Albina Burkauskaitė</cp:lastModifiedBy>
  <cp:revision>2</cp:revision>
  <dcterms:created xsi:type="dcterms:W3CDTF">2024-09-18T08:47:00Z</dcterms:created>
  <dcterms:modified xsi:type="dcterms:W3CDTF">2024-09-18T08:47:00Z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1d8a568-8360-4891-a6ec-a5768dfc9195_Enabled">
    <vt:lpwstr>true</vt:lpwstr>
  </property>
  <property fmtid="{D5CDD505-2E9C-101B-9397-08002B2CF9AE}" pid="3" name="MSIP_Label_11d8a568-8360-4891-a6ec-a5768dfc9195_SetDate">
    <vt:lpwstr>2023-02-28T12:34:13Z</vt:lpwstr>
  </property>
  <property fmtid="{D5CDD505-2E9C-101B-9397-08002B2CF9AE}" pid="4" name="MSIP_Label_11d8a568-8360-4891-a6ec-a5768dfc9195_Method">
    <vt:lpwstr>Standard</vt:lpwstr>
  </property>
  <property fmtid="{D5CDD505-2E9C-101B-9397-08002B2CF9AE}" pid="5" name="MSIP_Label_11d8a568-8360-4891-a6ec-a5768dfc9195_Name">
    <vt:lpwstr>Intern</vt:lpwstr>
  </property>
  <property fmtid="{D5CDD505-2E9C-101B-9397-08002B2CF9AE}" pid="6" name="MSIP_Label_11d8a568-8360-4891-a6ec-a5768dfc9195_SiteId">
    <vt:lpwstr>6bdc6215-bc43-4892-b83b-772704344107</vt:lpwstr>
  </property>
  <property fmtid="{D5CDD505-2E9C-101B-9397-08002B2CF9AE}" pid="7" name="MSIP_Label_11d8a568-8360-4891-a6ec-a5768dfc9195_ActionId">
    <vt:lpwstr>8738513e-6f6a-4a0c-aa47-3f69a869b0ff</vt:lpwstr>
  </property>
  <property fmtid="{D5CDD505-2E9C-101B-9397-08002B2CF9AE}" pid="8" name="MSIP_Label_11d8a568-8360-4891-a6ec-a5768dfc9195_ContentBits">
    <vt:lpwstr>0</vt:lpwstr>
  </property>
</Properties>
</file>