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jc w:val="center"/>
        <w:rPr>
          <w:b/>
          <w:sz w:val="22"/>
          <w:szCs w:val="22"/>
          <w:lang w:val="lt-LT"/>
        </w:rPr>
      </w:pPr>
      <w:r w:rsidRPr="00C326B9">
        <w:rPr>
          <w:b/>
          <w:sz w:val="22"/>
          <w:szCs w:val="22"/>
          <w:lang w:val="lt-LT"/>
        </w:rPr>
        <w:t>I PRIEDAS</w:t>
      </w:r>
    </w:p>
    <w:p w:rsidR="001F5325" w:rsidRPr="00C326B9" w:rsidRDefault="001F5325" w:rsidP="001F5325">
      <w:pPr>
        <w:autoSpaceDE w:val="0"/>
        <w:autoSpaceDN w:val="0"/>
        <w:adjustRightInd w:val="0"/>
        <w:jc w:val="center"/>
        <w:rPr>
          <w:b/>
          <w:sz w:val="22"/>
          <w:szCs w:val="22"/>
          <w:lang w:val="lt-LT"/>
        </w:rPr>
      </w:pPr>
    </w:p>
    <w:p w:rsidR="001F5325" w:rsidRPr="00C326B9" w:rsidRDefault="001F5325" w:rsidP="001F5325">
      <w:pPr>
        <w:autoSpaceDE w:val="0"/>
        <w:autoSpaceDN w:val="0"/>
        <w:adjustRightInd w:val="0"/>
        <w:jc w:val="center"/>
        <w:rPr>
          <w:sz w:val="22"/>
          <w:szCs w:val="22"/>
          <w:lang w:val="lt-LT"/>
        </w:rPr>
      </w:pPr>
      <w:r w:rsidRPr="00C326B9">
        <w:rPr>
          <w:b/>
          <w:sz w:val="22"/>
          <w:szCs w:val="22"/>
          <w:lang w:val="lt-LT"/>
        </w:rPr>
        <w:t>PREPARATO CHARAKTERISTIKŲ SANTRAUKA</w:t>
      </w:r>
    </w:p>
    <w:p w:rsidR="001F5325" w:rsidRPr="00C326B9" w:rsidRDefault="001F5325" w:rsidP="001F5325">
      <w:pPr>
        <w:tabs>
          <w:tab w:val="left" w:pos="567"/>
        </w:tabs>
        <w:autoSpaceDE w:val="0"/>
        <w:autoSpaceDN w:val="0"/>
        <w:adjustRightInd w:val="0"/>
        <w:rPr>
          <w:b/>
          <w:sz w:val="22"/>
          <w:szCs w:val="22"/>
          <w:lang w:val="lt-LT"/>
        </w:rPr>
      </w:pPr>
      <w:r w:rsidRPr="00C326B9">
        <w:rPr>
          <w:sz w:val="22"/>
          <w:szCs w:val="22"/>
          <w:lang w:val="lt-LT"/>
        </w:rPr>
        <w:br w:type="page"/>
      </w:r>
      <w:r w:rsidRPr="00C326B9">
        <w:rPr>
          <w:b/>
          <w:sz w:val="22"/>
          <w:szCs w:val="22"/>
          <w:lang w:val="lt-LT"/>
        </w:rPr>
        <w:lastRenderedPageBreak/>
        <w:t xml:space="preserve">1. </w:t>
      </w:r>
      <w:r w:rsidRPr="00C326B9">
        <w:rPr>
          <w:b/>
          <w:sz w:val="22"/>
          <w:szCs w:val="22"/>
          <w:lang w:val="lt-LT"/>
        </w:rPr>
        <w:tab/>
        <w:t>VAISTINIO PREPARATO PAVADINI</w:t>
      </w:r>
      <w:smartTag w:uri="urn:schemas-microsoft-com:office:smarttags" w:element="PersonName">
        <w:r w:rsidRPr="00C326B9">
          <w:rPr>
            <w:b/>
            <w:sz w:val="22"/>
            <w:szCs w:val="22"/>
            <w:lang w:val="lt-LT"/>
          </w:rPr>
          <w:t>MA</w:t>
        </w:r>
      </w:smartTag>
      <w:r w:rsidRPr="00C326B9">
        <w:rPr>
          <w:b/>
          <w:sz w:val="22"/>
          <w:szCs w:val="22"/>
          <w:lang w:val="lt-LT"/>
        </w:rPr>
        <w:t>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ZOLAFREN 5 mg tabletės</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2. </w:t>
      </w:r>
      <w:r w:rsidRPr="00C326B9">
        <w:rPr>
          <w:b/>
          <w:sz w:val="22"/>
          <w:szCs w:val="22"/>
          <w:lang w:val="lt-LT"/>
        </w:rPr>
        <w:tab/>
        <w:t>KOKYBINĖ IR KIEKYBINĖ SUDĖTIS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Vienoje tabletėje yra 5 mg olanzapino.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Pagalbinės medžiagos, kurių poveikis žinomas: vienoje tabletėje yra 75,4 mg laktozės monohidrato.</w:t>
      </w:r>
    </w:p>
    <w:p w:rsidR="001F5325" w:rsidRPr="00C326B9" w:rsidRDefault="001F5325" w:rsidP="001F5325">
      <w:pPr>
        <w:autoSpaceDE w:val="0"/>
        <w:autoSpaceDN w:val="0"/>
        <w:adjustRightInd w:val="0"/>
        <w:rPr>
          <w:sz w:val="22"/>
          <w:szCs w:val="22"/>
          <w:lang w:val="lt-LT"/>
        </w:rPr>
      </w:pPr>
      <w:r w:rsidRPr="00C326B9">
        <w:rPr>
          <w:sz w:val="22"/>
          <w:szCs w:val="22"/>
          <w:lang w:val="lt-LT"/>
        </w:rPr>
        <w:t>Visos pagalbinės medžiagos išvardytos 6.1 skyriuje.</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3. </w:t>
      </w:r>
      <w:r w:rsidRPr="00C326B9">
        <w:rPr>
          <w:b/>
          <w:sz w:val="22"/>
          <w:szCs w:val="22"/>
          <w:lang w:val="lt-LT"/>
        </w:rPr>
        <w:tab/>
        <w:t>FAR</w:t>
      </w:r>
      <w:smartTag w:uri="urn:schemas-microsoft-com:office:smarttags" w:element="PersonName">
        <w:r w:rsidRPr="00C326B9">
          <w:rPr>
            <w:b/>
            <w:sz w:val="22"/>
            <w:szCs w:val="22"/>
            <w:lang w:val="lt-LT"/>
          </w:rPr>
          <w:t>MA</w:t>
        </w:r>
      </w:smartTag>
      <w:r w:rsidRPr="00C326B9">
        <w:rPr>
          <w:b/>
          <w:sz w:val="22"/>
          <w:szCs w:val="22"/>
          <w:lang w:val="lt-LT"/>
        </w:rPr>
        <w:t>CINĖ FOR</w:t>
      </w:r>
      <w:smartTag w:uri="urn:schemas-microsoft-com:office:smarttags" w:element="PersonName">
        <w:r w:rsidRPr="00C326B9">
          <w:rPr>
            <w:b/>
            <w:sz w:val="22"/>
            <w:szCs w:val="22"/>
            <w:lang w:val="lt-LT"/>
          </w:rPr>
          <w:t>MA</w:t>
        </w:r>
      </w:smartTag>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Tabletė.</w:t>
      </w:r>
    </w:p>
    <w:p w:rsidR="001F5325" w:rsidRPr="00C326B9" w:rsidRDefault="001F5325" w:rsidP="001F5325">
      <w:pPr>
        <w:rPr>
          <w:sz w:val="22"/>
          <w:szCs w:val="22"/>
          <w:highlight w:val="cyan"/>
          <w:lang w:val="lt-LT"/>
        </w:rPr>
      </w:pPr>
    </w:p>
    <w:p w:rsidR="001F5325" w:rsidRPr="00C326B9" w:rsidRDefault="001F5325" w:rsidP="001F5325">
      <w:pPr>
        <w:rPr>
          <w:sz w:val="22"/>
          <w:szCs w:val="22"/>
          <w:lang w:val="lt-LT"/>
        </w:rPr>
      </w:pPr>
      <w:r w:rsidRPr="00C326B9">
        <w:rPr>
          <w:sz w:val="22"/>
          <w:szCs w:val="22"/>
          <w:lang w:val="lt-LT"/>
        </w:rPr>
        <w:t>Apvalios, geltonos, abipusiai išgaubtos, tabletės su laužimo vagele vienoje pusėje.</w:t>
      </w:r>
    </w:p>
    <w:p w:rsidR="001F5325" w:rsidRPr="00C326B9" w:rsidRDefault="001F5325" w:rsidP="001F5325">
      <w:pPr>
        <w:autoSpaceDE w:val="0"/>
        <w:autoSpaceDN w:val="0"/>
        <w:adjustRightInd w:val="0"/>
        <w:rPr>
          <w:b/>
          <w:sz w:val="22"/>
          <w:szCs w:val="22"/>
          <w:lang w:val="lt-LT"/>
        </w:rPr>
      </w:pPr>
      <w:r w:rsidRPr="00C326B9">
        <w:rPr>
          <w:sz w:val="22"/>
          <w:szCs w:val="22"/>
          <w:lang w:val="lt-LT"/>
        </w:rPr>
        <w:t xml:space="preserve">Tabletę galima </w:t>
      </w:r>
      <w:r w:rsidRPr="00C326B9">
        <w:rPr>
          <w:sz w:val="22"/>
          <w:szCs w:val="22"/>
        </w:rPr>
        <w:t>padalyti į lygias dozes.</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4. </w:t>
      </w:r>
      <w:r w:rsidRPr="00C326B9">
        <w:rPr>
          <w:b/>
          <w:sz w:val="22"/>
          <w:szCs w:val="22"/>
          <w:lang w:val="lt-LT"/>
        </w:rPr>
        <w:tab/>
        <w:t>KLINIKINĖ INFOR</w:t>
      </w:r>
      <w:smartTag w:uri="urn:schemas-microsoft-com:office:smarttags" w:element="PersonName">
        <w:r w:rsidRPr="00C326B9">
          <w:rPr>
            <w:b/>
            <w:sz w:val="22"/>
            <w:szCs w:val="22"/>
            <w:lang w:val="lt-LT"/>
          </w:rPr>
          <w:t>MA</w:t>
        </w:r>
      </w:smartTag>
      <w:r w:rsidRPr="00C326B9">
        <w:rPr>
          <w:b/>
          <w:sz w:val="22"/>
          <w:szCs w:val="22"/>
          <w:lang w:val="lt-LT"/>
        </w:rPr>
        <w:t>CIJA</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4.1 </w:t>
      </w:r>
      <w:r w:rsidRPr="00C326B9">
        <w:rPr>
          <w:b/>
          <w:sz w:val="22"/>
          <w:szCs w:val="22"/>
          <w:lang w:val="lt-LT"/>
        </w:rPr>
        <w:tab/>
        <w:t>Terapinės indikacijos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Suaugusieji</w:t>
      </w:r>
    </w:p>
    <w:p w:rsidR="001F5325" w:rsidRPr="00C326B9" w:rsidRDefault="001F5325" w:rsidP="001F5325">
      <w:pPr>
        <w:autoSpaceDE w:val="0"/>
        <w:autoSpaceDN w:val="0"/>
        <w:adjustRightInd w:val="0"/>
        <w:rPr>
          <w:sz w:val="22"/>
          <w:szCs w:val="22"/>
          <w:lang w:val="lt-LT"/>
        </w:rPr>
      </w:pPr>
      <w:r w:rsidRPr="00C326B9">
        <w:rPr>
          <w:sz w:val="22"/>
          <w:szCs w:val="22"/>
          <w:lang w:val="lt-LT"/>
        </w:rPr>
        <w:t>Šizofrenijos gydymas.</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Olanzapinas veiksmingas kliniškai pagerėjusiai būklei palaikyti pacientams, kuriems pradinis gydymas juo buvo sėkmingas.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Vidutinio sunkumo ir sunkaus manijos epizodo gydymas.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Bipolinio sutrikimo pasikartojimo prevencija pacientams, kurių manijos epizodo gydymas olanzapinu buvo sėkmingas (žr. 5.1 skyrių).</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4.2 </w:t>
      </w:r>
      <w:r w:rsidRPr="00C326B9">
        <w:rPr>
          <w:b/>
          <w:sz w:val="22"/>
          <w:szCs w:val="22"/>
          <w:lang w:val="lt-LT"/>
        </w:rPr>
        <w:tab/>
        <w:t>Dozavimas ir vartojimo metodas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Suaugusieji</w:t>
      </w:r>
    </w:p>
    <w:p w:rsidR="001F5325" w:rsidRPr="00C326B9" w:rsidRDefault="001F5325" w:rsidP="001F5325">
      <w:pPr>
        <w:autoSpaceDE w:val="0"/>
        <w:autoSpaceDN w:val="0"/>
        <w:adjustRightInd w:val="0"/>
        <w:rPr>
          <w:sz w:val="22"/>
          <w:szCs w:val="22"/>
          <w:lang w:val="lt-LT"/>
        </w:rPr>
      </w:pPr>
      <w:r w:rsidRPr="00C326B9">
        <w:rPr>
          <w:sz w:val="22"/>
          <w:szCs w:val="22"/>
          <w:lang w:val="lt-LT"/>
        </w:rPr>
        <w:t>Šizofrenija. Rekomenduojama pradinė olanzapino dozė – 10 mg per parą.</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Manijos epizodas. Pradinė olanzapino dozė – 15 mg vieną kartą per parą monoterapijai ir 10 mg per parą skiriant kompleksinę terapiją (žr. 5.1 skyrių).</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Bipolinio afektinio sutrikimo pasikartojimo prevencija. Rekomenduojama pradinė olanzapino dozė – 10 mg per parą. Pacientams, kurių manijos epizodas yra gydomas olanzapinu, </w:t>
      </w:r>
      <w:r w:rsidRPr="00C326B9">
        <w:rPr>
          <w:sz w:val="22"/>
          <w:szCs w:val="22"/>
          <w:lang w:val="lt-LT"/>
        </w:rPr>
        <w:lastRenderedPageBreak/>
        <w:t>bipolinio sutrikimo pasikartojimo prevencijai gydymą tęsti tomis pačiomis dozėmis. Jei ištinka naujas manijos, mišrus arba depresijos epizodas , gydymą olanzapinu reikia tęsti (jei reikia - optimizuoti dozę), kartu pagal klinikines indikacijas papildomai skiriant nuotaikos simptomų gydymą.</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Olanzapiną skiriant šizofrenijos, manijos epizodo gydymui ir bipolinio afektinio sutrikimo pasikartojimo prevencijai, paros dozė gali būti palaipsniui koreguojama pagal ligonio klinikinę būklę nuo 5 mg iki 20 mg per parą. Didinti dozę iki didesnės nei rekomenduojama pradinė patariama tik kruopščiai kartotinai įvertinus klinikinę ligonio būklę ir ne trumpesniais nei 24 valandų intervalais.</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Olanzapiną galima skirti nepriklausomai nuo valgio, kadangi maistas neveikia jo absorbcijos.</w:t>
      </w:r>
    </w:p>
    <w:p w:rsidR="001F5325" w:rsidRPr="00C326B9" w:rsidRDefault="001F5325" w:rsidP="001F5325">
      <w:pPr>
        <w:autoSpaceDE w:val="0"/>
        <w:autoSpaceDN w:val="0"/>
        <w:adjustRightInd w:val="0"/>
        <w:rPr>
          <w:sz w:val="22"/>
          <w:szCs w:val="22"/>
          <w:lang w:val="lt-LT"/>
        </w:rPr>
      </w:pPr>
      <w:r w:rsidRPr="00C326B9">
        <w:rPr>
          <w:sz w:val="22"/>
          <w:szCs w:val="22"/>
          <w:lang w:val="lt-LT"/>
        </w:rPr>
        <w:t>Nutraukti gydymą olanzapinu reikėtų palaipsniui mažinant dozę.</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Vaikai ir paaugliai</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Olanzapino nerekomenduojama vartoti vaikams ir jaunesniems kaip 18 metų paaugliams, nes</w:t>
      </w:r>
    </w:p>
    <w:p w:rsidR="001F5325" w:rsidRPr="00C326B9" w:rsidRDefault="001F5325" w:rsidP="001F5325">
      <w:pPr>
        <w:autoSpaceDE w:val="0"/>
        <w:autoSpaceDN w:val="0"/>
        <w:adjustRightInd w:val="0"/>
        <w:rPr>
          <w:sz w:val="22"/>
          <w:szCs w:val="22"/>
          <w:lang w:val="lt-LT"/>
        </w:rPr>
      </w:pPr>
      <w:r w:rsidRPr="00C326B9">
        <w:rPr>
          <w:sz w:val="22"/>
          <w:szCs w:val="22"/>
          <w:lang w:val="lt-LT"/>
        </w:rPr>
        <w:t>duomenų apie saugumą ir veiksmingumą nepakanka. Trumpalaikių tyrimų su paaugliais metu</w:t>
      </w:r>
    </w:p>
    <w:p w:rsidR="001F5325" w:rsidRPr="00C326B9" w:rsidRDefault="001F5325" w:rsidP="001F5325">
      <w:pPr>
        <w:autoSpaceDE w:val="0"/>
        <w:autoSpaceDN w:val="0"/>
        <w:adjustRightInd w:val="0"/>
        <w:rPr>
          <w:sz w:val="22"/>
          <w:szCs w:val="22"/>
          <w:lang w:val="lt-LT"/>
        </w:rPr>
      </w:pPr>
      <w:r w:rsidRPr="00C326B9">
        <w:rPr>
          <w:sz w:val="22"/>
          <w:szCs w:val="22"/>
          <w:lang w:val="lt-LT"/>
        </w:rPr>
        <w:t>nustatytas didesnis svorio padidėjimas, didesni lipidų ir prolaktino koncentracijos pokyčiai nei tyrimų</w:t>
      </w:r>
    </w:p>
    <w:p w:rsidR="001F5325" w:rsidRPr="00C326B9" w:rsidRDefault="001F5325" w:rsidP="001F5325">
      <w:pPr>
        <w:autoSpaceDE w:val="0"/>
        <w:autoSpaceDN w:val="0"/>
        <w:adjustRightInd w:val="0"/>
        <w:rPr>
          <w:sz w:val="22"/>
          <w:szCs w:val="22"/>
          <w:lang w:val="lt-LT"/>
        </w:rPr>
      </w:pPr>
      <w:r w:rsidRPr="00C326B9">
        <w:rPr>
          <w:sz w:val="22"/>
          <w:szCs w:val="22"/>
          <w:lang w:val="lt-LT"/>
        </w:rPr>
        <w:t>su suaugusiais pacientais metu (žr. 4.4, 4.8, 5.1 ir 5.2 skyrius).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Senyviems pacientams</w:t>
      </w:r>
    </w:p>
    <w:p w:rsidR="001F5325" w:rsidRPr="00C326B9" w:rsidRDefault="001F5325" w:rsidP="001F5325">
      <w:pPr>
        <w:autoSpaceDE w:val="0"/>
        <w:autoSpaceDN w:val="0"/>
        <w:adjustRightInd w:val="0"/>
        <w:rPr>
          <w:sz w:val="22"/>
          <w:szCs w:val="22"/>
          <w:lang w:val="lt-LT"/>
        </w:rPr>
      </w:pPr>
      <w:r w:rsidRPr="00C326B9">
        <w:rPr>
          <w:sz w:val="22"/>
          <w:szCs w:val="22"/>
          <w:lang w:val="lt-LT"/>
        </w:rPr>
        <w:t>Senyvo amžiaus pacientams mažesnė pradinė dozė (5 mg per parą) paprastai nerekomenduojama,</w:t>
      </w:r>
    </w:p>
    <w:p w:rsidR="001F5325" w:rsidRPr="00C326B9" w:rsidRDefault="001F5325" w:rsidP="001F5325">
      <w:pPr>
        <w:autoSpaceDE w:val="0"/>
        <w:autoSpaceDN w:val="0"/>
        <w:adjustRightInd w:val="0"/>
        <w:rPr>
          <w:sz w:val="22"/>
          <w:szCs w:val="22"/>
          <w:lang w:val="lt-LT"/>
        </w:rPr>
      </w:pPr>
      <w:r w:rsidRPr="00C326B9">
        <w:rPr>
          <w:sz w:val="22"/>
          <w:szCs w:val="22"/>
          <w:lang w:val="lt-LT"/>
        </w:rPr>
        <w:t>tačiau, atsižvelgiant į tam tikrus klinikinius faktorius, ją kartais tenka skirti 65 metų ir vyresniems</w:t>
      </w:r>
    </w:p>
    <w:p w:rsidR="001F5325" w:rsidRPr="00C326B9" w:rsidRDefault="001F5325" w:rsidP="001F5325">
      <w:pPr>
        <w:autoSpaceDE w:val="0"/>
        <w:autoSpaceDN w:val="0"/>
        <w:adjustRightInd w:val="0"/>
        <w:rPr>
          <w:sz w:val="22"/>
          <w:szCs w:val="22"/>
          <w:lang w:val="lt-LT"/>
        </w:rPr>
      </w:pPr>
      <w:r w:rsidRPr="00C326B9">
        <w:rPr>
          <w:sz w:val="22"/>
          <w:szCs w:val="22"/>
          <w:lang w:val="lt-LT"/>
        </w:rPr>
        <w:t>pacientams.(žr. 4.4 skyrių).</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sz w:val="22"/>
          <w:szCs w:val="22"/>
          <w:lang w:val="lt-LT"/>
        </w:rPr>
        <w:t xml:space="preserve">Pacientams, kuriems yra </w:t>
      </w:r>
      <w:r w:rsidRPr="00C326B9">
        <w:rPr>
          <w:i/>
          <w:iCs/>
          <w:sz w:val="22"/>
          <w:szCs w:val="22"/>
          <w:lang w:val="lt-LT"/>
        </w:rPr>
        <w:t>inkstų</w:t>
      </w:r>
      <w:r w:rsidRPr="00C326B9">
        <w:rPr>
          <w:i/>
          <w:sz w:val="22"/>
          <w:szCs w:val="22"/>
          <w:lang w:val="lt-LT"/>
        </w:rPr>
        <w:t xml:space="preserve"> ir (ar) kepenų </w:t>
      </w:r>
      <w:r w:rsidRPr="00C326B9">
        <w:rPr>
          <w:i/>
          <w:iCs/>
          <w:sz w:val="22"/>
          <w:szCs w:val="22"/>
          <w:lang w:val="lt-LT"/>
        </w:rPr>
        <w:t>funkcijos sutrikimas</w:t>
      </w:r>
    </w:p>
    <w:p w:rsidR="001F5325" w:rsidRPr="00C326B9" w:rsidRDefault="001F5325" w:rsidP="001F5325">
      <w:pPr>
        <w:autoSpaceDE w:val="0"/>
        <w:autoSpaceDN w:val="0"/>
        <w:adjustRightInd w:val="0"/>
        <w:rPr>
          <w:sz w:val="22"/>
          <w:szCs w:val="22"/>
          <w:lang w:val="lt-LT"/>
        </w:rPr>
      </w:pPr>
      <w:r w:rsidRPr="00C326B9">
        <w:rPr>
          <w:sz w:val="22"/>
          <w:szCs w:val="22"/>
          <w:lang w:val="lt-LT"/>
        </w:rPr>
        <w:t>Šiems pacientams rekomenduojama skirti mažesnę (5 mg) pradinę dozę. Esant vidutinio laipsnio</w:t>
      </w:r>
    </w:p>
    <w:p w:rsidR="001F5325" w:rsidRPr="00C326B9" w:rsidRDefault="001F5325" w:rsidP="001F5325">
      <w:pPr>
        <w:autoSpaceDE w:val="0"/>
        <w:autoSpaceDN w:val="0"/>
        <w:adjustRightInd w:val="0"/>
        <w:rPr>
          <w:sz w:val="22"/>
          <w:szCs w:val="22"/>
          <w:lang w:val="lt-LT"/>
        </w:rPr>
      </w:pPr>
      <w:r w:rsidRPr="00C326B9">
        <w:rPr>
          <w:sz w:val="22"/>
          <w:szCs w:val="22"/>
          <w:lang w:val="lt-LT"/>
        </w:rPr>
        <w:t>kepenų sutrikimui (cirozė, A ar B Child-Pugh klasė), reikia skirti 5 mg pradinę dozę, kurią</w:t>
      </w:r>
    </w:p>
    <w:p w:rsidR="001F5325" w:rsidRPr="00C326B9" w:rsidRDefault="001F5325" w:rsidP="001F5325">
      <w:pPr>
        <w:autoSpaceDE w:val="0"/>
        <w:autoSpaceDN w:val="0"/>
        <w:adjustRightInd w:val="0"/>
        <w:rPr>
          <w:sz w:val="22"/>
          <w:szCs w:val="22"/>
          <w:lang w:val="lt-LT"/>
        </w:rPr>
      </w:pPr>
      <w:r w:rsidRPr="00C326B9">
        <w:rPr>
          <w:sz w:val="22"/>
          <w:szCs w:val="22"/>
          <w:lang w:val="lt-LT"/>
        </w:rPr>
        <w:t>galima didinti labai atsargiai.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Lytis</w:t>
      </w:r>
    </w:p>
    <w:p w:rsidR="001F5325" w:rsidRPr="00C326B9" w:rsidRDefault="001F5325" w:rsidP="001F5325">
      <w:pPr>
        <w:autoSpaceDE w:val="0"/>
        <w:autoSpaceDN w:val="0"/>
        <w:adjustRightInd w:val="0"/>
        <w:rPr>
          <w:sz w:val="22"/>
          <w:szCs w:val="22"/>
          <w:lang w:val="lt-LT"/>
        </w:rPr>
      </w:pPr>
      <w:r w:rsidRPr="00C326B9">
        <w:rPr>
          <w:sz w:val="22"/>
          <w:szCs w:val="22"/>
          <w:lang w:val="lt-LT"/>
        </w:rPr>
        <w:t>Moterims pradinės dozės ir dozių intervalų paprastai nereikia keisti.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sz w:val="22"/>
          <w:szCs w:val="22"/>
          <w:lang w:val="lt-LT"/>
        </w:rPr>
      </w:pPr>
      <w:r w:rsidRPr="00C326B9">
        <w:rPr>
          <w:i/>
          <w:iCs/>
          <w:sz w:val="22"/>
          <w:szCs w:val="22"/>
          <w:lang w:val="lt-LT"/>
        </w:rPr>
        <w:t>Rūkymas</w:t>
      </w:r>
    </w:p>
    <w:p w:rsidR="001F5325" w:rsidRPr="00C326B9" w:rsidRDefault="001F5325" w:rsidP="001F5325">
      <w:pPr>
        <w:autoSpaceDE w:val="0"/>
        <w:autoSpaceDN w:val="0"/>
        <w:adjustRightInd w:val="0"/>
        <w:rPr>
          <w:sz w:val="22"/>
          <w:szCs w:val="22"/>
          <w:lang w:val="lt-LT"/>
        </w:rPr>
      </w:pPr>
      <w:r w:rsidRPr="00C326B9">
        <w:rPr>
          <w:sz w:val="22"/>
          <w:szCs w:val="22"/>
          <w:lang w:val="lt-LT"/>
        </w:rPr>
        <w:t>Nerūkantiems pacientams pradinės dozės ir dozių intervalų nereikia keisti.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Kai yra daugiau nei vienas veiksnys, galintis lėtinti metabolizmą (moteriška lytis, senyvas amžius,</w:t>
      </w:r>
    </w:p>
    <w:p w:rsidR="001F5325" w:rsidRPr="00C326B9" w:rsidRDefault="001F5325" w:rsidP="001F5325">
      <w:pPr>
        <w:autoSpaceDE w:val="0"/>
        <w:autoSpaceDN w:val="0"/>
        <w:adjustRightInd w:val="0"/>
        <w:rPr>
          <w:sz w:val="22"/>
          <w:szCs w:val="22"/>
          <w:lang w:val="lt-LT"/>
        </w:rPr>
      </w:pPr>
      <w:r w:rsidRPr="00C326B9">
        <w:rPr>
          <w:sz w:val="22"/>
          <w:szCs w:val="22"/>
          <w:lang w:val="lt-LT"/>
        </w:rPr>
        <w:lastRenderedPageBreak/>
        <w:t>nerūkymas), turi būti sprendžiamas mažesnės pradinės dozės skyrimas. Prireikus tokiems pacientams</w:t>
      </w:r>
    </w:p>
    <w:p w:rsidR="001F5325" w:rsidRPr="00C326B9" w:rsidRDefault="001F5325" w:rsidP="001F5325">
      <w:pPr>
        <w:autoSpaceDE w:val="0"/>
        <w:autoSpaceDN w:val="0"/>
        <w:adjustRightInd w:val="0"/>
        <w:rPr>
          <w:sz w:val="22"/>
          <w:szCs w:val="22"/>
          <w:lang w:val="lt-LT"/>
        </w:rPr>
      </w:pPr>
      <w:r w:rsidRPr="00C326B9">
        <w:rPr>
          <w:sz w:val="22"/>
          <w:szCs w:val="22"/>
          <w:lang w:val="lt-LT"/>
        </w:rPr>
        <w:t>dozę galima atsargiai didinti.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(Žr. 4.5 ir 5.2 skyrius).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4.3 </w:t>
      </w:r>
      <w:r w:rsidRPr="00C326B9">
        <w:rPr>
          <w:b/>
          <w:sz w:val="22"/>
          <w:szCs w:val="22"/>
          <w:lang w:val="lt-LT"/>
        </w:rPr>
        <w:tab/>
        <w:t>Kontraindikacijos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Padidėjęs jautrumas veikliajai arba bet kuriai 6.1 skyriuje nurodytai pagalbinei ZOLAFREN tablečių medžiagai.</w:t>
      </w:r>
    </w:p>
    <w:p w:rsidR="001F5325" w:rsidRPr="00C326B9" w:rsidRDefault="001F5325" w:rsidP="001F5325">
      <w:pPr>
        <w:autoSpaceDE w:val="0"/>
        <w:autoSpaceDN w:val="0"/>
        <w:adjustRightInd w:val="0"/>
        <w:rPr>
          <w:sz w:val="22"/>
          <w:szCs w:val="22"/>
          <w:lang w:val="lt-LT"/>
        </w:rPr>
      </w:pPr>
      <w:r w:rsidRPr="00C326B9">
        <w:rPr>
          <w:sz w:val="22"/>
          <w:szCs w:val="22"/>
          <w:lang w:val="lt-LT"/>
        </w:rPr>
        <w:t>Pacientai, kuriems nustatyta uždaro kampo glaukomos rizika.</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4.4 </w:t>
      </w:r>
      <w:r w:rsidRPr="00C326B9">
        <w:rPr>
          <w:b/>
          <w:sz w:val="22"/>
          <w:szCs w:val="22"/>
          <w:lang w:val="lt-LT"/>
        </w:rPr>
        <w:tab/>
        <w:t>Specialūs įspėjimai ir atsargumo priemonės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Antipsichoziniais vaistais gydomų pacientų klinikinė būklė gali pagerėti tik po kelių dienų ar savaičių.</w:t>
      </w:r>
    </w:p>
    <w:p w:rsidR="001F5325" w:rsidRPr="00C326B9" w:rsidRDefault="001F5325" w:rsidP="001F5325">
      <w:pPr>
        <w:autoSpaceDE w:val="0"/>
        <w:autoSpaceDN w:val="0"/>
        <w:adjustRightInd w:val="0"/>
        <w:rPr>
          <w:sz w:val="22"/>
          <w:szCs w:val="22"/>
          <w:lang w:val="lt-LT"/>
        </w:rPr>
      </w:pPr>
      <w:r w:rsidRPr="00C326B9">
        <w:rPr>
          <w:sz w:val="22"/>
          <w:szCs w:val="22"/>
          <w:lang w:val="lt-LT"/>
        </w:rPr>
        <w:t>Šiuo laikotarpiu pacientus reikia labai atidžiai stebėti.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Su demencija susijusios psichozės ir (arba) elgesio sutrikimai</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Olanzapinas nėra patvirtintas su demencija susijusių psichozių ir (arba) elgesio sutrikimų gydymui bei</w:t>
      </w:r>
    </w:p>
    <w:p w:rsidR="001F5325" w:rsidRPr="00C326B9" w:rsidRDefault="001F5325" w:rsidP="001F5325">
      <w:pPr>
        <w:autoSpaceDE w:val="0"/>
        <w:autoSpaceDN w:val="0"/>
        <w:adjustRightInd w:val="0"/>
        <w:rPr>
          <w:sz w:val="22"/>
          <w:szCs w:val="22"/>
          <w:lang w:val="lt-LT"/>
        </w:rPr>
      </w:pPr>
      <w:r w:rsidRPr="00C326B9">
        <w:rPr>
          <w:sz w:val="22"/>
          <w:szCs w:val="22"/>
          <w:lang w:val="lt-LT"/>
        </w:rPr>
        <w:t>nerekomenduojamas būtent šios grupės pacientams, nes padidėja mirtingumas ir cerebrovaskulinių</w:t>
      </w:r>
    </w:p>
    <w:p w:rsidR="001F5325" w:rsidRPr="00C326B9" w:rsidRDefault="001F5325" w:rsidP="001F5325">
      <w:pPr>
        <w:autoSpaceDE w:val="0"/>
        <w:autoSpaceDN w:val="0"/>
        <w:adjustRightInd w:val="0"/>
        <w:rPr>
          <w:sz w:val="22"/>
          <w:szCs w:val="22"/>
          <w:lang w:val="lt-LT"/>
        </w:rPr>
      </w:pPr>
      <w:r w:rsidRPr="00C326B9">
        <w:rPr>
          <w:sz w:val="22"/>
          <w:szCs w:val="22"/>
          <w:lang w:val="lt-LT"/>
        </w:rPr>
        <w:t>sutrikimų rizika. Placebo kontroliuojamų klinikinių tyrimų metu (6-12 savaičių trukmės) su senyvais</w:t>
      </w:r>
    </w:p>
    <w:p w:rsidR="001F5325" w:rsidRPr="00C326B9" w:rsidRDefault="001F5325" w:rsidP="001F5325">
      <w:pPr>
        <w:autoSpaceDE w:val="0"/>
        <w:autoSpaceDN w:val="0"/>
        <w:adjustRightInd w:val="0"/>
        <w:rPr>
          <w:sz w:val="22"/>
          <w:szCs w:val="22"/>
          <w:lang w:val="lt-LT"/>
        </w:rPr>
      </w:pPr>
      <w:r w:rsidRPr="00C326B9">
        <w:rPr>
          <w:sz w:val="22"/>
          <w:szCs w:val="22"/>
          <w:lang w:val="lt-LT"/>
        </w:rPr>
        <w:t>(vidutinis amžius 78 metai) sergančiais demencija su psichoze ir (arba) elgesio sutrikimais pacientais,</w:t>
      </w:r>
    </w:p>
    <w:p w:rsidR="001F5325" w:rsidRPr="00C326B9" w:rsidRDefault="001F5325" w:rsidP="001F5325">
      <w:pPr>
        <w:autoSpaceDE w:val="0"/>
        <w:autoSpaceDN w:val="0"/>
        <w:adjustRightInd w:val="0"/>
        <w:rPr>
          <w:sz w:val="22"/>
          <w:szCs w:val="22"/>
          <w:lang w:val="lt-LT"/>
        </w:rPr>
      </w:pPr>
      <w:r w:rsidRPr="00C326B9">
        <w:rPr>
          <w:sz w:val="22"/>
          <w:szCs w:val="22"/>
          <w:lang w:val="lt-LT"/>
        </w:rPr>
        <w:t>gydytų olanzapinu pacientų mirčių dažnis buvo 2 kartus didesnis nei gavusių placebą (atitinkamai</w:t>
      </w:r>
    </w:p>
    <w:p w:rsidR="001F5325" w:rsidRPr="00C326B9" w:rsidRDefault="001F5325" w:rsidP="001F5325">
      <w:pPr>
        <w:autoSpaceDE w:val="0"/>
        <w:autoSpaceDN w:val="0"/>
        <w:adjustRightInd w:val="0"/>
        <w:rPr>
          <w:sz w:val="22"/>
          <w:szCs w:val="22"/>
          <w:lang w:val="lt-LT"/>
        </w:rPr>
      </w:pPr>
      <w:r w:rsidRPr="00C326B9">
        <w:rPr>
          <w:sz w:val="22"/>
          <w:szCs w:val="22"/>
          <w:lang w:val="lt-LT"/>
        </w:rPr>
        <w:t>3,5 %, palyginti su 1,5 %). Didesnis mirčių dažnis nebuvo susijęs su olanzapino doze (vidutinė paros</w:t>
      </w:r>
    </w:p>
    <w:p w:rsidR="001F5325" w:rsidRPr="00C326B9" w:rsidRDefault="001F5325" w:rsidP="001F5325">
      <w:pPr>
        <w:autoSpaceDE w:val="0"/>
        <w:autoSpaceDN w:val="0"/>
        <w:adjustRightInd w:val="0"/>
        <w:rPr>
          <w:sz w:val="22"/>
          <w:szCs w:val="22"/>
          <w:lang w:val="lt-LT"/>
        </w:rPr>
      </w:pPr>
      <w:r w:rsidRPr="00C326B9">
        <w:rPr>
          <w:sz w:val="22"/>
          <w:szCs w:val="22"/>
          <w:lang w:val="lt-LT"/>
        </w:rPr>
        <w:t>dozė 4,4 mg) ar gydymo trukme. Šios grupės pacientų mirtingumo dažnio padidėjimą gydant</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olanzapinu gali lemti tokie rizikos veiksniai kaip amžius &gt; 65 metų, disfagija, sedacija, mitybos</w:t>
      </w:r>
    </w:p>
    <w:p w:rsidR="001F5325" w:rsidRPr="00C326B9" w:rsidRDefault="001F5325" w:rsidP="001F5325">
      <w:pPr>
        <w:autoSpaceDE w:val="0"/>
        <w:autoSpaceDN w:val="0"/>
        <w:adjustRightInd w:val="0"/>
        <w:rPr>
          <w:sz w:val="22"/>
          <w:szCs w:val="22"/>
          <w:lang w:val="lt-LT"/>
        </w:rPr>
      </w:pPr>
      <w:r w:rsidRPr="00C326B9">
        <w:rPr>
          <w:sz w:val="22"/>
          <w:szCs w:val="22"/>
          <w:lang w:val="lt-LT"/>
        </w:rPr>
        <w:t>sutrikimai ir dehidratacija, plaučių ligos (t.y. pneumonija su aspiracija arba be jos), arba kartu</w:t>
      </w:r>
    </w:p>
    <w:p w:rsidR="001F5325" w:rsidRPr="00C326B9" w:rsidRDefault="001F5325" w:rsidP="001F5325">
      <w:pPr>
        <w:autoSpaceDE w:val="0"/>
        <w:autoSpaceDN w:val="0"/>
        <w:adjustRightInd w:val="0"/>
        <w:rPr>
          <w:sz w:val="22"/>
          <w:szCs w:val="22"/>
          <w:lang w:val="lt-LT"/>
        </w:rPr>
      </w:pPr>
      <w:r w:rsidRPr="00C326B9">
        <w:rPr>
          <w:sz w:val="22"/>
          <w:szCs w:val="22"/>
          <w:lang w:val="lt-LT"/>
        </w:rPr>
        <w:t>vartojami benzodiazepinai. Tačiau mirčių dažnis olanzapinu gydytų pacientų grupėje buvo didesnis</w:t>
      </w:r>
    </w:p>
    <w:p w:rsidR="001F5325" w:rsidRPr="00C326B9" w:rsidRDefault="001F5325" w:rsidP="001F5325">
      <w:pPr>
        <w:autoSpaceDE w:val="0"/>
        <w:autoSpaceDN w:val="0"/>
        <w:adjustRightInd w:val="0"/>
        <w:rPr>
          <w:sz w:val="22"/>
          <w:szCs w:val="22"/>
          <w:lang w:val="lt-LT"/>
        </w:rPr>
      </w:pPr>
      <w:r w:rsidRPr="00C326B9">
        <w:rPr>
          <w:sz w:val="22"/>
          <w:szCs w:val="22"/>
          <w:lang w:val="lt-LT"/>
        </w:rPr>
        <w:t>negu gavusių placebą pacientų grupėje nepriklausomai nuo šių rizikos veiksnių.</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Tų pačių klinikinių tyrimų metu buvo nepageidaujamų cerebrovaskulinių reiškinių (NCVR t. y.</w:t>
      </w:r>
    </w:p>
    <w:p w:rsidR="001F5325" w:rsidRPr="00C326B9" w:rsidRDefault="001F5325" w:rsidP="001F5325">
      <w:pPr>
        <w:autoSpaceDE w:val="0"/>
        <w:autoSpaceDN w:val="0"/>
        <w:adjustRightInd w:val="0"/>
        <w:rPr>
          <w:sz w:val="22"/>
          <w:szCs w:val="22"/>
          <w:lang w:val="lt-LT"/>
        </w:rPr>
      </w:pPr>
      <w:r w:rsidRPr="00C326B9">
        <w:rPr>
          <w:sz w:val="22"/>
          <w:szCs w:val="22"/>
          <w:lang w:val="lt-LT"/>
        </w:rPr>
        <w:t>insultas, praeinantys išemijos priepuoliai), įskaitant mirties atvejus. Olanzapinu gydytiems pacientams</w:t>
      </w:r>
    </w:p>
    <w:p w:rsidR="001F5325" w:rsidRPr="00C326B9" w:rsidRDefault="001F5325" w:rsidP="001F5325">
      <w:pPr>
        <w:autoSpaceDE w:val="0"/>
        <w:autoSpaceDN w:val="0"/>
        <w:adjustRightInd w:val="0"/>
        <w:rPr>
          <w:sz w:val="22"/>
          <w:szCs w:val="22"/>
          <w:lang w:val="lt-LT"/>
        </w:rPr>
      </w:pPr>
      <w:r w:rsidRPr="00C326B9">
        <w:rPr>
          <w:sz w:val="22"/>
          <w:szCs w:val="22"/>
          <w:lang w:val="lt-LT"/>
        </w:rPr>
        <w:t>NCVR dažnis buvo 3 kartus didesnis nei gavusiems placebą (atitinkamai 1,3 %, palyginti su 0,4 %).</w:t>
      </w:r>
    </w:p>
    <w:p w:rsidR="001F5325" w:rsidRPr="00C326B9" w:rsidRDefault="001F5325" w:rsidP="001F5325">
      <w:pPr>
        <w:autoSpaceDE w:val="0"/>
        <w:autoSpaceDN w:val="0"/>
        <w:adjustRightInd w:val="0"/>
        <w:rPr>
          <w:sz w:val="22"/>
          <w:szCs w:val="22"/>
          <w:lang w:val="lt-LT"/>
        </w:rPr>
      </w:pPr>
      <w:r w:rsidRPr="00C326B9">
        <w:rPr>
          <w:sz w:val="22"/>
          <w:szCs w:val="22"/>
          <w:lang w:val="lt-LT"/>
        </w:rPr>
        <w:t>Visi olanzapiną ir placebą vartoję pacientai, patyrę cerebrovaskulinių reiškinių, turėjo rizikos veiksnių.</w:t>
      </w:r>
    </w:p>
    <w:p w:rsidR="001F5325" w:rsidRPr="00C326B9" w:rsidRDefault="001F5325" w:rsidP="001F5325">
      <w:pPr>
        <w:autoSpaceDE w:val="0"/>
        <w:autoSpaceDN w:val="0"/>
        <w:adjustRightInd w:val="0"/>
        <w:rPr>
          <w:sz w:val="22"/>
          <w:szCs w:val="22"/>
          <w:lang w:val="lt-LT"/>
        </w:rPr>
      </w:pPr>
      <w:r w:rsidRPr="00C326B9">
        <w:rPr>
          <w:sz w:val="22"/>
          <w:szCs w:val="22"/>
          <w:lang w:val="lt-LT"/>
        </w:rPr>
        <w:t>Buvo pripažinta, kad &gt; 75 metų amžius ir kraujagyslinė / mišri demencija gydant olanzapinu yra</w:t>
      </w:r>
    </w:p>
    <w:p w:rsidR="001F5325" w:rsidRPr="00C326B9" w:rsidRDefault="001F5325" w:rsidP="001F5325">
      <w:pPr>
        <w:autoSpaceDE w:val="0"/>
        <w:autoSpaceDN w:val="0"/>
        <w:adjustRightInd w:val="0"/>
        <w:rPr>
          <w:sz w:val="22"/>
          <w:szCs w:val="22"/>
          <w:lang w:val="lt-LT"/>
        </w:rPr>
      </w:pPr>
      <w:r w:rsidRPr="00C326B9">
        <w:rPr>
          <w:sz w:val="22"/>
          <w:szCs w:val="22"/>
          <w:lang w:val="lt-LT"/>
        </w:rPr>
        <w:lastRenderedPageBreak/>
        <w:t>NCVR rizikos veiksniai. Šių tyrimų metu olanzapino veiksmingumas nebuvo nustatytas.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Parkinsono liga</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Olanzapino nerekomenduojama skirti dopamino agonistų sukeltoms psichozėms gydyti Parkinsono</w:t>
      </w:r>
    </w:p>
    <w:p w:rsidR="001F5325" w:rsidRPr="00C326B9" w:rsidRDefault="001F5325" w:rsidP="001F5325">
      <w:pPr>
        <w:autoSpaceDE w:val="0"/>
        <w:autoSpaceDN w:val="0"/>
        <w:adjustRightInd w:val="0"/>
        <w:rPr>
          <w:sz w:val="22"/>
          <w:szCs w:val="22"/>
          <w:lang w:val="lt-LT"/>
        </w:rPr>
      </w:pPr>
      <w:r w:rsidRPr="00C326B9">
        <w:rPr>
          <w:sz w:val="22"/>
          <w:szCs w:val="22"/>
          <w:lang w:val="lt-LT"/>
        </w:rPr>
        <w:t>liga sergantiems pacientams. Klinikinių tyrimų metu pastebėta, kad skiriant olanzapiną labai dažnai ir</w:t>
      </w:r>
    </w:p>
    <w:p w:rsidR="001F5325" w:rsidRPr="00C326B9" w:rsidRDefault="001F5325" w:rsidP="001F5325">
      <w:pPr>
        <w:autoSpaceDE w:val="0"/>
        <w:autoSpaceDN w:val="0"/>
        <w:adjustRightInd w:val="0"/>
        <w:rPr>
          <w:sz w:val="22"/>
          <w:szCs w:val="22"/>
          <w:lang w:val="lt-LT"/>
        </w:rPr>
      </w:pPr>
      <w:r w:rsidRPr="00C326B9">
        <w:rPr>
          <w:sz w:val="22"/>
          <w:szCs w:val="22"/>
          <w:lang w:val="lt-LT"/>
        </w:rPr>
        <w:t>dažniau nei placebo grupėje (žr. 4.8 skyrių) Parkinsono ligos simptomai pasunkėjo ir atsirado</w:t>
      </w:r>
    </w:p>
    <w:p w:rsidR="001F5325" w:rsidRPr="00C326B9" w:rsidRDefault="001F5325" w:rsidP="001F5325">
      <w:pPr>
        <w:autoSpaceDE w:val="0"/>
        <w:autoSpaceDN w:val="0"/>
        <w:adjustRightInd w:val="0"/>
        <w:rPr>
          <w:sz w:val="22"/>
          <w:szCs w:val="22"/>
          <w:lang w:val="lt-LT"/>
        </w:rPr>
      </w:pPr>
      <w:r w:rsidRPr="00C326B9">
        <w:rPr>
          <w:sz w:val="22"/>
          <w:szCs w:val="22"/>
          <w:lang w:val="lt-LT"/>
        </w:rPr>
        <w:t>haliucinacijų bei olanzapinas nebuvo veiksmingesnis, palyginti su placebu, gydant psichozės</w:t>
      </w:r>
    </w:p>
    <w:p w:rsidR="001F5325" w:rsidRPr="00C326B9" w:rsidRDefault="001F5325" w:rsidP="001F5325">
      <w:pPr>
        <w:autoSpaceDE w:val="0"/>
        <w:autoSpaceDN w:val="0"/>
        <w:adjustRightInd w:val="0"/>
        <w:rPr>
          <w:sz w:val="22"/>
          <w:szCs w:val="22"/>
          <w:lang w:val="lt-LT"/>
        </w:rPr>
      </w:pPr>
      <w:r w:rsidRPr="00C326B9">
        <w:rPr>
          <w:sz w:val="22"/>
          <w:szCs w:val="22"/>
          <w:lang w:val="lt-LT"/>
        </w:rPr>
        <w:t>simptomus. Šių klinikinių tyrimų metu iš anksto buvo reikalaujama, kad ligos būklė būtų stabili</w:t>
      </w:r>
    </w:p>
    <w:p w:rsidR="001F5325" w:rsidRPr="00C326B9" w:rsidRDefault="001F5325" w:rsidP="001F5325">
      <w:pPr>
        <w:autoSpaceDE w:val="0"/>
        <w:autoSpaceDN w:val="0"/>
        <w:adjustRightInd w:val="0"/>
        <w:rPr>
          <w:sz w:val="22"/>
          <w:szCs w:val="22"/>
          <w:lang w:val="lt-LT"/>
        </w:rPr>
      </w:pPr>
      <w:r w:rsidRPr="00C326B9">
        <w:rPr>
          <w:sz w:val="22"/>
          <w:szCs w:val="22"/>
          <w:lang w:val="lt-LT"/>
        </w:rPr>
        <w:t>vartojant mažiausias veiksmingas vaistinių preparatų Parkinsono ligai gydyti (dopamino agonistų)</w:t>
      </w:r>
    </w:p>
    <w:p w:rsidR="001F5325" w:rsidRPr="00C326B9" w:rsidRDefault="001F5325" w:rsidP="001F5325">
      <w:pPr>
        <w:autoSpaceDE w:val="0"/>
        <w:autoSpaceDN w:val="0"/>
        <w:adjustRightInd w:val="0"/>
        <w:rPr>
          <w:sz w:val="22"/>
          <w:szCs w:val="22"/>
          <w:lang w:val="lt-LT"/>
        </w:rPr>
      </w:pPr>
      <w:r w:rsidRPr="00C326B9">
        <w:rPr>
          <w:sz w:val="22"/>
          <w:szCs w:val="22"/>
          <w:lang w:val="lt-LT"/>
        </w:rPr>
        <w:t>dozes ir visų klinikinių tyrimų metu nebūtų keičiami nei vaistiniai preparatai Parkinsono ligai gydyti,</w:t>
      </w:r>
    </w:p>
    <w:p w:rsidR="001F5325" w:rsidRPr="00C326B9" w:rsidRDefault="001F5325" w:rsidP="001F5325">
      <w:pPr>
        <w:autoSpaceDE w:val="0"/>
        <w:autoSpaceDN w:val="0"/>
        <w:adjustRightInd w:val="0"/>
        <w:rPr>
          <w:sz w:val="22"/>
          <w:szCs w:val="22"/>
          <w:lang w:val="lt-LT"/>
        </w:rPr>
      </w:pPr>
      <w:r w:rsidRPr="00C326B9">
        <w:rPr>
          <w:sz w:val="22"/>
          <w:szCs w:val="22"/>
          <w:lang w:val="lt-LT"/>
        </w:rPr>
        <w:t>nei jų dozės. Gydymas olanzapinu buvo pradėtas nuo 2,5 mg per parą ir tyrėjų nuožiūra titruojamas iki</w:t>
      </w:r>
    </w:p>
    <w:p w:rsidR="001F5325" w:rsidRPr="00C326B9" w:rsidRDefault="001F5325" w:rsidP="001F5325">
      <w:pPr>
        <w:autoSpaceDE w:val="0"/>
        <w:autoSpaceDN w:val="0"/>
        <w:adjustRightInd w:val="0"/>
        <w:rPr>
          <w:sz w:val="22"/>
          <w:szCs w:val="22"/>
          <w:lang w:val="lt-LT"/>
        </w:rPr>
      </w:pPr>
      <w:r w:rsidRPr="00C326B9">
        <w:rPr>
          <w:sz w:val="22"/>
          <w:szCs w:val="22"/>
          <w:lang w:val="lt-LT"/>
        </w:rPr>
        <w:t>didžiausios 15 mg paros dozės.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Piktybinis neurolepsinis sindromas (PNS)</w:t>
      </w:r>
    </w:p>
    <w:p w:rsidR="001F5325" w:rsidRPr="00C326B9" w:rsidRDefault="001F5325" w:rsidP="001F5325">
      <w:pPr>
        <w:autoSpaceDE w:val="0"/>
        <w:autoSpaceDN w:val="0"/>
        <w:adjustRightInd w:val="0"/>
        <w:rPr>
          <w:sz w:val="22"/>
          <w:szCs w:val="22"/>
          <w:lang w:val="lt-LT"/>
        </w:rPr>
      </w:pPr>
      <w:r w:rsidRPr="00C326B9">
        <w:rPr>
          <w:sz w:val="22"/>
          <w:szCs w:val="22"/>
          <w:lang w:val="lt-LT"/>
        </w:rPr>
        <w:t>PNS – tai gyvybei pavojinga būklė, kurią sukelia antipsichoziniai vaistiniai preparatai. Žinomi reti</w:t>
      </w:r>
    </w:p>
    <w:p w:rsidR="001F5325" w:rsidRPr="00C326B9" w:rsidRDefault="001F5325" w:rsidP="001F5325">
      <w:pPr>
        <w:autoSpaceDE w:val="0"/>
        <w:autoSpaceDN w:val="0"/>
        <w:adjustRightInd w:val="0"/>
        <w:rPr>
          <w:sz w:val="22"/>
          <w:szCs w:val="22"/>
          <w:lang w:val="lt-LT"/>
        </w:rPr>
      </w:pPr>
      <w:r w:rsidRPr="00C326B9">
        <w:rPr>
          <w:sz w:val="22"/>
          <w:szCs w:val="22"/>
          <w:lang w:val="lt-LT"/>
        </w:rPr>
        <w:t>atvejai, kai šį sindromą sukėlė olanzapinas. PNS kliniškai pasireiškia hiperpireksija, raumenų</w:t>
      </w:r>
    </w:p>
    <w:p w:rsidR="001F5325" w:rsidRPr="00C326B9" w:rsidRDefault="001F5325" w:rsidP="001F5325">
      <w:pPr>
        <w:autoSpaceDE w:val="0"/>
        <w:autoSpaceDN w:val="0"/>
        <w:adjustRightInd w:val="0"/>
        <w:rPr>
          <w:sz w:val="22"/>
          <w:szCs w:val="22"/>
          <w:lang w:val="lt-LT"/>
        </w:rPr>
      </w:pPr>
      <w:r w:rsidRPr="00C326B9">
        <w:rPr>
          <w:sz w:val="22"/>
          <w:szCs w:val="22"/>
          <w:lang w:val="lt-LT"/>
        </w:rPr>
        <w:t>rigidiškumu, sutrikusia psichika ir autonominės nervų sistemos nestabilumu (nenormaliais pulsu ir</w:t>
      </w:r>
    </w:p>
    <w:p w:rsidR="001F5325" w:rsidRPr="00C326B9" w:rsidRDefault="001F5325" w:rsidP="001F5325">
      <w:pPr>
        <w:autoSpaceDE w:val="0"/>
        <w:autoSpaceDN w:val="0"/>
        <w:adjustRightInd w:val="0"/>
        <w:rPr>
          <w:sz w:val="22"/>
          <w:szCs w:val="22"/>
          <w:lang w:val="lt-LT"/>
        </w:rPr>
      </w:pPr>
      <w:r w:rsidRPr="00C326B9">
        <w:rPr>
          <w:sz w:val="22"/>
          <w:szCs w:val="22"/>
          <w:lang w:val="lt-LT"/>
        </w:rPr>
        <w:t>kraujospūdžiu, tachikardija, prakaitavimu ir širdies ritmo sutrikimu). Taip pat gali padidėti kreatino</w:t>
      </w:r>
    </w:p>
    <w:p w:rsidR="001F5325" w:rsidRPr="00C326B9" w:rsidRDefault="001F5325" w:rsidP="001F5325">
      <w:pPr>
        <w:autoSpaceDE w:val="0"/>
        <w:autoSpaceDN w:val="0"/>
        <w:adjustRightInd w:val="0"/>
        <w:rPr>
          <w:sz w:val="22"/>
          <w:szCs w:val="22"/>
          <w:lang w:val="lt-LT"/>
        </w:rPr>
      </w:pPr>
      <w:r w:rsidRPr="00C326B9">
        <w:rPr>
          <w:sz w:val="22"/>
          <w:szCs w:val="22"/>
          <w:lang w:val="lt-LT"/>
        </w:rPr>
        <w:t>fosfokinazės koncentracija, pasireikšti mioglobinurija (rabdomiolizė) ir ūminis inkstų funkcijos</w:t>
      </w:r>
    </w:p>
    <w:p w:rsidR="001F5325" w:rsidRPr="00C326B9" w:rsidRDefault="001F5325" w:rsidP="001F5325">
      <w:pPr>
        <w:autoSpaceDE w:val="0"/>
        <w:autoSpaceDN w:val="0"/>
        <w:adjustRightInd w:val="0"/>
        <w:rPr>
          <w:sz w:val="22"/>
          <w:szCs w:val="22"/>
          <w:lang w:val="lt-LT"/>
        </w:rPr>
      </w:pPr>
      <w:r w:rsidRPr="00C326B9">
        <w:rPr>
          <w:sz w:val="22"/>
          <w:szCs w:val="22"/>
          <w:lang w:val="lt-LT"/>
        </w:rPr>
        <w:t>nepakankamumas. Pasireiškus klinikiniams PNS simptomams ar be priežasties labai padidėjus kūno</w:t>
      </w:r>
    </w:p>
    <w:p w:rsidR="001F5325" w:rsidRPr="00C326B9" w:rsidRDefault="001F5325" w:rsidP="001F5325">
      <w:pPr>
        <w:autoSpaceDE w:val="0"/>
        <w:autoSpaceDN w:val="0"/>
        <w:adjustRightInd w:val="0"/>
        <w:rPr>
          <w:sz w:val="22"/>
          <w:szCs w:val="22"/>
          <w:lang w:val="lt-LT"/>
        </w:rPr>
      </w:pPr>
      <w:r w:rsidRPr="00C326B9">
        <w:rPr>
          <w:sz w:val="22"/>
          <w:szCs w:val="22"/>
          <w:lang w:val="lt-LT"/>
        </w:rPr>
        <w:t>temperatūrai, bet nenustačius papildomų klinikinių PNS požymių, visų antipsichozinių vaistinių</w:t>
      </w:r>
    </w:p>
    <w:p w:rsidR="001F5325" w:rsidRPr="00C326B9" w:rsidRDefault="001F5325" w:rsidP="001F5325">
      <w:pPr>
        <w:autoSpaceDE w:val="0"/>
        <w:autoSpaceDN w:val="0"/>
        <w:adjustRightInd w:val="0"/>
        <w:rPr>
          <w:sz w:val="22"/>
          <w:szCs w:val="22"/>
          <w:lang w:val="lt-LT"/>
        </w:rPr>
      </w:pPr>
      <w:r w:rsidRPr="00C326B9">
        <w:rPr>
          <w:sz w:val="22"/>
          <w:szCs w:val="22"/>
          <w:lang w:val="lt-LT"/>
        </w:rPr>
        <w:t>preparatų, įskaitant olanzapiną, vartojimą reikia nutraukti.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Hiperglikemija ir diabetas</w:t>
      </w: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Nedažnai pranešta apie hiperglikemiją ir (arba) cukrinio diabeto pasireiškimą ar pasunkėjimą, retkarčiais su ketoacidoze ar koma, įskaitant kelis mirtį lėmusius atvejus. (žr. 4.8 skyrių). Kai kuriems iš jų prieš tai padidėjo kūno svoris, kas galėjo būti predisponuojančiu veiksniu. Gydymo metu rekomenduojama tinkamai sekti pacientų stovį pagal galiojančias gydymo antipsichoziniais vaistiniais preparatais gaires, pvz.: išmatuoti gliukozės koncentraciją kraujyje prieš pradedant gydymą, praėjus 12 savaičių nuo gydymo olanzapinu pradžios ir vėliau kiekvienais metais. Reikia stebėti, ar antipsichoziniais vaistiniais preparatais, įskaitant olanzapino, kurių sudėtyje yra vaistinio preparato, gydomiems ligoniams neatsiranda </w:t>
      </w:r>
      <w:r w:rsidRPr="00C326B9">
        <w:rPr>
          <w:sz w:val="22"/>
          <w:szCs w:val="22"/>
          <w:lang w:val="lt-LT"/>
        </w:rPr>
        <w:lastRenderedPageBreak/>
        <w:t>hiperglikemijos simptomų (pvz., polidipsija, poliurija, polifagija, silpnumas), ir reguliariai tikrinti, ar pacientams, kurie serga diabetu arba kuriems yra diabeto rizikos veiksnių, nepablogėjo gliukozės kiekio kraujyje kontrolė. Reikia reguliariai tikrinti kūno svorį, pvz.: prieš pradedant gydymą, praėjus 4, 8 ir 12 savaičių nuo gydymo olanzapinu pradžios ir vėliau kas ketvirtį.</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Lipidų pokyčiai</w:t>
      </w:r>
    </w:p>
    <w:p w:rsidR="001F5325" w:rsidRPr="00C326B9" w:rsidRDefault="001F5325" w:rsidP="001F5325">
      <w:pPr>
        <w:autoSpaceDE w:val="0"/>
        <w:autoSpaceDN w:val="0"/>
        <w:adjustRightInd w:val="0"/>
        <w:rPr>
          <w:sz w:val="22"/>
          <w:szCs w:val="22"/>
          <w:lang w:val="lt-LT"/>
        </w:rPr>
      </w:pPr>
      <w:r w:rsidRPr="00C326B9">
        <w:rPr>
          <w:sz w:val="22"/>
          <w:szCs w:val="22"/>
          <w:lang w:val="lt-LT"/>
        </w:rPr>
        <w:t>Placebo kontroliuojamų tyrimų metu olanzapinu gydomiems pacientams atsirado nepageidaujami</w:t>
      </w:r>
    </w:p>
    <w:p w:rsidR="001F5325" w:rsidRPr="00C326B9" w:rsidRDefault="001F5325" w:rsidP="001F5325">
      <w:pPr>
        <w:autoSpaceDE w:val="0"/>
        <w:autoSpaceDN w:val="0"/>
        <w:adjustRightInd w:val="0"/>
        <w:rPr>
          <w:sz w:val="22"/>
          <w:szCs w:val="22"/>
          <w:lang w:val="lt-LT"/>
        </w:rPr>
      </w:pPr>
      <w:r w:rsidRPr="00C326B9">
        <w:rPr>
          <w:sz w:val="22"/>
          <w:szCs w:val="22"/>
          <w:lang w:val="lt-LT"/>
        </w:rPr>
        <w:t>lipidų pokyčiai (žr. 4.8 skyrių). Lipidų pokyčius reikia atitinkamai kontroliuoti, ypatingai tiems</w:t>
      </w:r>
    </w:p>
    <w:p w:rsidR="001F5325" w:rsidRPr="00C326B9" w:rsidRDefault="001F5325" w:rsidP="001F5325">
      <w:pPr>
        <w:autoSpaceDE w:val="0"/>
        <w:autoSpaceDN w:val="0"/>
        <w:adjustRightInd w:val="0"/>
        <w:rPr>
          <w:sz w:val="22"/>
          <w:szCs w:val="22"/>
          <w:lang w:val="lt-LT"/>
        </w:rPr>
      </w:pPr>
      <w:r w:rsidRPr="00C326B9">
        <w:rPr>
          <w:sz w:val="22"/>
          <w:szCs w:val="22"/>
          <w:lang w:val="lt-LT"/>
        </w:rPr>
        <w:t>pacientams, kuriems yra dislipidemija ir turintiems lipidų sutrikimų rizikos veiksnių. Antipsichoziniais</w:t>
      </w:r>
    </w:p>
    <w:p w:rsidR="001F5325" w:rsidRPr="00C326B9" w:rsidRDefault="001F5325" w:rsidP="001F5325">
      <w:pPr>
        <w:autoSpaceDE w:val="0"/>
        <w:autoSpaceDN w:val="0"/>
        <w:adjustRightInd w:val="0"/>
        <w:rPr>
          <w:sz w:val="22"/>
          <w:szCs w:val="22"/>
          <w:lang w:val="lt-LT"/>
        </w:rPr>
      </w:pPr>
      <w:r w:rsidRPr="00C326B9">
        <w:rPr>
          <w:sz w:val="22"/>
          <w:szCs w:val="22"/>
          <w:lang w:val="lt-LT"/>
        </w:rPr>
        <w:t>vaistiniais preparatais, įskaitant olanzapino, kurių sudėtyje yra vaistinio preparato, gydomiems pacientams reikia reguliariai sekti lipidų kiekį kraujyje pagal galiojančias gydymo antipsichoziniais vaistiniais preparatais gaires, pvz.: prieš pradedant gydymą, praėjus 12 savaičių nuo gydymo olanzapinu pradžios ir vėliau kas 5 metus.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Anticholinerginis poveikis</w:t>
      </w: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Olanzapinas </w:t>
      </w:r>
      <w:r w:rsidRPr="00C326B9">
        <w:rPr>
          <w:i/>
          <w:iCs/>
          <w:sz w:val="22"/>
          <w:szCs w:val="22"/>
          <w:lang w:val="lt-LT"/>
        </w:rPr>
        <w:t xml:space="preserve">in vitro </w:t>
      </w:r>
      <w:r w:rsidRPr="00C326B9">
        <w:rPr>
          <w:sz w:val="22"/>
          <w:szCs w:val="22"/>
          <w:lang w:val="lt-LT"/>
        </w:rPr>
        <w:t>veikia anticholinergiškai, tačiau klinikinių tyrimų patirtis rodo, kad šių reiškinių</w:t>
      </w:r>
    </w:p>
    <w:p w:rsidR="001F5325" w:rsidRPr="00C326B9" w:rsidRDefault="001F5325" w:rsidP="001F5325">
      <w:pPr>
        <w:autoSpaceDE w:val="0"/>
        <w:autoSpaceDN w:val="0"/>
        <w:adjustRightInd w:val="0"/>
        <w:rPr>
          <w:sz w:val="22"/>
          <w:szCs w:val="22"/>
          <w:lang w:val="lt-LT"/>
        </w:rPr>
      </w:pPr>
      <w:r w:rsidRPr="00C326B9">
        <w:rPr>
          <w:sz w:val="22"/>
          <w:szCs w:val="22"/>
          <w:lang w:val="lt-LT"/>
        </w:rPr>
        <w:t>būna retai. Kadangi dar yra mažai klinikinės patirties olanzapinu gydant ligonius, sergančius ir kitomis</w:t>
      </w:r>
    </w:p>
    <w:p w:rsidR="001F5325" w:rsidRPr="00C326B9" w:rsidRDefault="001F5325" w:rsidP="001F5325">
      <w:pPr>
        <w:autoSpaceDE w:val="0"/>
        <w:autoSpaceDN w:val="0"/>
        <w:adjustRightInd w:val="0"/>
        <w:rPr>
          <w:sz w:val="22"/>
          <w:szCs w:val="22"/>
          <w:lang w:val="lt-LT"/>
        </w:rPr>
      </w:pPr>
      <w:r w:rsidRPr="00C326B9">
        <w:rPr>
          <w:sz w:val="22"/>
          <w:szCs w:val="22"/>
          <w:lang w:val="lt-LT"/>
        </w:rPr>
        <w:t>ligomis, todėl jį reikia atsargiai skirti tiems asmenims, kuriems yra prostatos hipertrofija, paralyžinis</w:t>
      </w:r>
    </w:p>
    <w:p w:rsidR="001F5325" w:rsidRPr="00C326B9" w:rsidRDefault="001F5325" w:rsidP="001F5325">
      <w:pPr>
        <w:autoSpaceDE w:val="0"/>
        <w:autoSpaceDN w:val="0"/>
        <w:adjustRightInd w:val="0"/>
        <w:rPr>
          <w:sz w:val="22"/>
          <w:szCs w:val="22"/>
          <w:lang w:val="lt-LT"/>
        </w:rPr>
      </w:pPr>
      <w:r w:rsidRPr="00C326B9">
        <w:rPr>
          <w:sz w:val="22"/>
          <w:szCs w:val="22"/>
          <w:lang w:val="lt-LT"/>
        </w:rPr>
        <w:t>žarnų nepraeinamumas ar panaši būklė.</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Kepenų funkcija</w:t>
      </w:r>
    </w:p>
    <w:p w:rsidR="001F5325" w:rsidRPr="00C326B9" w:rsidRDefault="001F5325" w:rsidP="001F5325">
      <w:pPr>
        <w:autoSpaceDE w:val="0"/>
        <w:autoSpaceDN w:val="0"/>
        <w:adjustRightInd w:val="0"/>
        <w:rPr>
          <w:sz w:val="22"/>
          <w:szCs w:val="22"/>
          <w:lang w:val="lt-LT"/>
        </w:rPr>
      </w:pPr>
      <w:r w:rsidRPr="00C326B9">
        <w:rPr>
          <w:sz w:val="22"/>
          <w:szCs w:val="22"/>
          <w:lang w:val="lt-LT"/>
        </w:rPr>
        <w:t>Dažnai, ypač gydymo pradžioje, buvo stebimas laikinas besimptominis kepenų aminotransferazių (ALAT, ASAT) aktyvumo padidėjimas. Atsargiai vaistą skirti ir atlikti pakartotiną tyrimą pacientams, kuriems padidėjęs ALAT ir (ar) ASAT aktyvumas, yra kepenų funkcijos sutrikimo simptomų, būklė, susijusi su ribotu kepenų</w:t>
      </w:r>
    </w:p>
    <w:p w:rsidR="001F5325" w:rsidRPr="00C326B9" w:rsidRDefault="001F5325" w:rsidP="001F5325">
      <w:pPr>
        <w:autoSpaceDE w:val="0"/>
        <w:autoSpaceDN w:val="0"/>
        <w:adjustRightInd w:val="0"/>
        <w:rPr>
          <w:sz w:val="22"/>
          <w:szCs w:val="22"/>
          <w:lang w:val="lt-LT"/>
        </w:rPr>
      </w:pPr>
      <w:r w:rsidRPr="00C326B9">
        <w:rPr>
          <w:sz w:val="22"/>
          <w:szCs w:val="22"/>
          <w:lang w:val="lt-LT"/>
        </w:rPr>
        <w:t>funkcijos rezervu, taip pat gydomiems hepatotoksiškais vaistais. Diagnozavus hepatitą (iskaitant hepatoceliulinį, cholestazinį arba mišrų kepenų pažeidimą), gydymą olanzapinu reikia nutraukti.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Neutropenija</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Olanzapino atsargiai skiriama pacientams, kurių leukocitų ir (ar) neutrofilų skaičius dėl bet kokios</w:t>
      </w:r>
    </w:p>
    <w:p w:rsidR="001F5325" w:rsidRPr="00C326B9" w:rsidRDefault="001F5325" w:rsidP="001F5325">
      <w:pPr>
        <w:autoSpaceDE w:val="0"/>
        <w:autoSpaceDN w:val="0"/>
        <w:adjustRightInd w:val="0"/>
        <w:rPr>
          <w:sz w:val="22"/>
          <w:szCs w:val="22"/>
          <w:lang w:val="lt-LT"/>
        </w:rPr>
      </w:pPr>
      <w:r w:rsidRPr="00C326B9">
        <w:rPr>
          <w:sz w:val="22"/>
          <w:szCs w:val="22"/>
          <w:lang w:val="lt-LT"/>
        </w:rPr>
        <w:t>priežasties yra sumažėjęs, vartojantiems neutropeniją sukeliančius vaistus, pacientams, kuriems</w:t>
      </w:r>
    </w:p>
    <w:p w:rsidR="001F5325" w:rsidRPr="00C326B9" w:rsidRDefault="001F5325" w:rsidP="001F5325">
      <w:pPr>
        <w:autoSpaceDE w:val="0"/>
        <w:autoSpaceDN w:val="0"/>
        <w:adjustRightInd w:val="0"/>
        <w:rPr>
          <w:sz w:val="22"/>
          <w:szCs w:val="22"/>
          <w:lang w:val="lt-LT"/>
        </w:rPr>
      </w:pPr>
      <w:r w:rsidRPr="00C326B9">
        <w:rPr>
          <w:sz w:val="22"/>
          <w:szCs w:val="22"/>
          <w:lang w:val="lt-LT"/>
        </w:rPr>
        <w:t>anksčiau yra buvęs vaistų sukeltas kaulų čiulpų slopinimas (toksiškumas) arba kaulų čiulpų slopinimą</w:t>
      </w:r>
    </w:p>
    <w:p w:rsidR="001F5325" w:rsidRPr="00C326B9" w:rsidRDefault="001F5325" w:rsidP="001F5325">
      <w:pPr>
        <w:autoSpaceDE w:val="0"/>
        <w:autoSpaceDN w:val="0"/>
        <w:adjustRightInd w:val="0"/>
        <w:rPr>
          <w:sz w:val="22"/>
          <w:szCs w:val="22"/>
          <w:lang w:val="lt-LT"/>
        </w:rPr>
      </w:pPr>
      <w:r w:rsidRPr="00C326B9">
        <w:rPr>
          <w:sz w:val="22"/>
          <w:szCs w:val="22"/>
          <w:lang w:val="lt-LT"/>
        </w:rPr>
        <w:lastRenderedPageBreak/>
        <w:t>yra sukėlusi kita liga, spindulinis gydymas ar chemoterapija, taip pat tiems asmenims, kuriems yra</w:t>
      </w:r>
    </w:p>
    <w:p w:rsidR="001F5325" w:rsidRPr="00C326B9" w:rsidRDefault="001F5325" w:rsidP="001F5325">
      <w:pPr>
        <w:autoSpaceDE w:val="0"/>
        <w:autoSpaceDN w:val="0"/>
        <w:adjustRightInd w:val="0"/>
        <w:rPr>
          <w:sz w:val="22"/>
          <w:szCs w:val="22"/>
          <w:lang w:val="lt-LT"/>
        </w:rPr>
      </w:pPr>
      <w:r w:rsidRPr="00C326B9">
        <w:rPr>
          <w:sz w:val="22"/>
          <w:szCs w:val="22"/>
          <w:lang w:val="lt-LT"/>
        </w:rPr>
        <w:t>hipereozinofilinės būklės ar mieloproliferacinė liga. Skiriant olanzapiną kartu su valproatu, dažnai</w:t>
      </w:r>
    </w:p>
    <w:p w:rsidR="001F5325" w:rsidRPr="00C326B9" w:rsidRDefault="001F5325" w:rsidP="001F5325">
      <w:pPr>
        <w:autoSpaceDE w:val="0"/>
        <w:autoSpaceDN w:val="0"/>
        <w:adjustRightInd w:val="0"/>
        <w:rPr>
          <w:sz w:val="22"/>
          <w:szCs w:val="22"/>
          <w:lang w:val="lt-LT"/>
        </w:rPr>
      </w:pPr>
      <w:r w:rsidRPr="00C326B9">
        <w:rPr>
          <w:sz w:val="22"/>
          <w:szCs w:val="22"/>
          <w:lang w:val="lt-LT"/>
        </w:rPr>
        <w:t>pastebėta neutropenija (žr. 4.8 skyrių).</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Gydymo nutraukimas</w:t>
      </w:r>
    </w:p>
    <w:p w:rsidR="001F5325" w:rsidRPr="00C326B9" w:rsidRDefault="001F5325" w:rsidP="001F5325">
      <w:pPr>
        <w:autoSpaceDE w:val="0"/>
        <w:autoSpaceDN w:val="0"/>
        <w:adjustRightInd w:val="0"/>
        <w:rPr>
          <w:sz w:val="22"/>
          <w:szCs w:val="22"/>
          <w:lang w:val="lt-LT"/>
        </w:rPr>
      </w:pPr>
      <w:r w:rsidRPr="00C326B9">
        <w:rPr>
          <w:sz w:val="22"/>
          <w:szCs w:val="22"/>
          <w:lang w:val="lt-LT"/>
        </w:rPr>
        <w:t>Staigiai nutraukus gydymą olanzapinu, retai (nuo ≥ 1/10,000 iki &lt; 1/1,000) buvo pranešta apie ūminių simptomų, pavyzdžiui, prakaitavimas, nemiga, drebulys, nerimas, pykinimas ar vėmimas.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QT intervalas</w:t>
      </w:r>
    </w:p>
    <w:p w:rsidR="001F5325" w:rsidRPr="00C326B9" w:rsidRDefault="001F5325" w:rsidP="001F5325">
      <w:pPr>
        <w:autoSpaceDE w:val="0"/>
        <w:autoSpaceDN w:val="0"/>
        <w:adjustRightInd w:val="0"/>
        <w:rPr>
          <w:sz w:val="22"/>
          <w:szCs w:val="22"/>
          <w:lang w:val="lt-LT"/>
        </w:rPr>
      </w:pPr>
      <w:r w:rsidRPr="00C326B9">
        <w:rPr>
          <w:sz w:val="22"/>
          <w:szCs w:val="22"/>
          <w:lang w:val="lt-LT"/>
        </w:rPr>
        <w:t>Klinikinių tyrimų metu kliniškai reikšmingas QTc intervalo pailgėjimas (Fridericia QT korekcija</w:t>
      </w:r>
    </w:p>
    <w:p w:rsidR="001F5325" w:rsidRPr="00C326B9" w:rsidRDefault="001F5325" w:rsidP="001F5325">
      <w:pPr>
        <w:autoSpaceDE w:val="0"/>
        <w:autoSpaceDN w:val="0"/>
        <w:adjustRightInd w:val="0"/>
        <w:rPr>
          <w:sz w:val="22"/>
          <w:szCs w:val="22"/>
          <w:lang w:val="lt-LT"/>
        </w:rPr>
      </w:pPr>
      <w:r w:rsidRPr="00C326B9">
        <w:rPr>
          <w:sz w:val="22"/>
          <w:szCs w:val="22"/>
          <w:lang w:val="lt-LT"/>
        </w:rPr>
        <w:t>[QTcF] ≥ 500 milisekundžių [msek] bet kuriuo metu po bazinio dydžio nustatymo pacientams, kurių</w:t>
      </w:r>
    </w:p>
    <w:p w:rsidR="001F5325" w:rsidRPr="00C326B9" w:rsidRDefault="001F5325" w:rsidP="001F5325">
      <w:pPr>
        <w:autoSpaceDE w:val="0"/>
        <w:autoSpaceDN w:val="0"/>
        <w:adjustRightInd w:val="0"/>
        <w:rPr>
          <w:sz w:val="22"/>
          <w:szCs w:val="22"/>
          <w:lang w:val="lt-LT"/>
        </w:rPr>
      </w:pPr>
      <w:r w:rsidRPr="00C326B9">
        <w:rPr>
          <w:sz w:val="22"/>
          <w:szCs w:val="22"/>
          <w:lang w:val="lt-LT"/>
        </w:rPr>
        <w:t>bazinis QTcF&lt; 500 msek) olanzapinu gydytiems pacientams buvo nedažnas (nuo 0,1 % iki 1 %), jokių</w:t>
      </w:r>
    </w:p>
    <w:p w:rsidR="001F5325" w:rsidRPr="00C326B9" w:rsidRDefault="001F5325" w:rsidP="001F5325">
      <w:pPr>
        <w:autoSpaceDE w:val="0"/>
        <w:autoSpaceDN w:val="0"/>
        <w:adjustRightInd w:val="0"/>
        <w:rPr>
          <w:sz w:val="22"/>
          <w:szCs w:val="22"/>
          <w:lang w:val="lt-LT"/>
        </w:rPr>
      </w:pPr>
      <w:r w:rsidRPr="00C326B9">
        <w:rPr>
          <w:sz w:val="22"/>
          <w:szCs w:val="22"/>
          <w:lang w:val="lt-LT"/>
        </w:rPr>
        <w:t>reikšmingų su tuo susijusių nepageidaujamų širdies reiškinių skirtumų, palyginant su placebu, nebuvo.</w:t>
      </w:r>
    </w:p>
    <w:p w:rsidR="001F5325" w:rsidRPr="00C326B9" w:rsidRDefault="001F5325" w:rsidP="001F5325">
      <w:pPr>
        <w:autoSpaceDE w:val="0"/>
        <w:autoSpaceDN w:val="0"/>
        <w:adjustRightInd w:val="0"/>
        <w:rPr>
          <w:sz w:val="22"/>
          <w:szCs w:val="22"/>
          <w:lang w:val="lt-LT"/>
        </w:rPr>
      </w:pPr>
      <w:r w:rsidRPr="00C326B9">
        <w:rPr>
          <w:sz w:val="22"/>
          <w:szCs w:val="22"/>
          <w:lang w:val="lt-LT"/>
        </w:rPr>
        <w:t>Tačiau olanzapiną, kaip ir visus antipsichozinius vaistinius preparatus, reikia atsargiai skirti kartu su</w:t>
      </w:r>
    </w:p>
    <w:p w:rsidR="001F5325" w:rsidRPr="00C326B9" w:rsidRDefault="001F5325" w:rsidP="001F5325">
      <w:pPr>
        <w:autoSpaceDE w:val="0"/>
        <w:autoSpaceDN w:val="0"/>
        <w:adjustRightInd w:val="0"/>
        <w:rPr>
          <w:sz w:val="22"/>
          <w:szCs w:val="22"/>
          <w:lang w:val="lt-LT"/>
        </w:rPr>
      </w:pPr>
      <w:r w:rsidRPr="00C326B9">
        <w:rPr>
          <w:sz w:val="22"/>
          <w:szCs w:val="22"/>
          <w:lang w:val="lt-LT"/>
        </w:rPr>
        <w:t>vaistais, ilginančiais QTc intervalą, ypač senyviems pacientams, taip pat asmenims, kuriems yra</w:t>
      </w:r>
    </w:p>
    <w:p w:rsidR="001F5325" w:rsidRPr="00C326B9" w:rsidRDefault="001F5325" w:rsidP="001F5325">
      <w:pPr>
        <w:autoSpaceDE w:val="0"/>
        <w:autoSpaceDN w:val="0"/>
        <w:adjustRightInd w:val="0"/>
        <w:rPr>
          <w:sz w:val="22"/>
          <w:szCs w:val="22"/>
          <w:lang w:val="lt-LT"/>
        </w:rPr>
      </w:pPr>
      <w:r w:rsidRPr="00C326B9">
        <w:rPr>
          <w:sz w:val="22"/>
          <w:szCs w:val="22"/>
          <w:lang w:val="lt-LT"/>
        </w:rPr>
        <w:t>įgimtas ilgo QT sindromas, stazinis širdies nepakankamumas, širdies hipertrofija, hipokalemija ar</w:t>
      </w:r>
    </w:p>
    <w:p w:rsidR="001F5325" w:rsidRPr="00C326B9" w:rsidRDefault="001F5325" w:rsidP="001F5325">
      <w:pPr>
        <w:autoSpaceDE w:val="0"/>
        <w:autoSpaceDN w:val="0"/>
        <w:adjustRightInd w:val="0"/>
        <w:rPr>
          <w:sz w:val="22"/>
          <w:szCs w:val="22"/>
          <w:lang w:val="lt-LT"/>
        </w:rPr>
      </w:pPr>
      <w:r w:rsidRPr="00C326B9">
        <w:rPr>
          <w:sz w:val="22"/>
          <w:szCs w:val="22"/>
          <w:lang w:val="lt-LT"/>
        </w:rPr>
        <w:t>hipomagnezemija.</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Tromboembolija</w:t>
      </w:r>
    </w:p>
    <w:p w:rsidR="001F5325" w:rsidRPr="00C326B9" w:rsidRDefault="001F5325" w:rsidP="001F5325">
      <w:pPr>
        <w:autoSpaceDE w:val="0"/>
        <w:autoSpaceDN w:val="0"/>
        <w:adjustRightInd w:val="0"/>
        <w:rPr>
          <w:sz w:val="22"/>
          <w:szCs w:val="22"/>
          <w:lang w:val="lt-LT"/>
        </w:rPr>
      </w:pPr>
      <w:r w:rsidRPr="00C326B9">
        <w:rPr>
          <w:sz w:val="22"/>
          <w:szCs w:val="22"/>
          <w:lang w:val="lt-LT"/>
        </w:rPr>
        <w:t>Gauta labai retų pranešimų (≥ 0,1&amp; ir &lt; 1% atvejų) apie tai, kad gydymas olanzapinu laikinai buvo susijęs su venų</w:t>
      </w:r>
    </w:p>
    <w:p w:rsidR="001F5325" w:rsidRPr="00C326B9" w:rsidRDefault="001F5325" w:rsidP="001F5325">
      <w:pPr>
        <w:autoSpaceDE w:val="0"/>
        <w:autoSpaceDN w:val="0"/>
        <w:adjustRightInd w:val="0"/>
        <w:rPr>
          <w:sz w:val="22"/>
          <w:szCs w:val="22"/>
          <w:lang w:val="lt-LT"/>
        </w:rPr>
      </w:pPr>
      <w:r w:rsidRPr="00C326B9">
        <w:rPr>
          <w:sz w:val="22"/>
          <w:szCs w:val="22"/>
          <w:lang w:val="lt-LT"/>
        </w:rPr>
        <w:t>tromboembolija. Priežastinio ryšio tarp gydymo olanzapinu ir venų tromboembolijos nenustatyta.</w:t>
      </w:r>
    </w:p>
    <w:p w:rsidR="001F5325" w:rsidRPr="00C326B9" w:rsidRDefault="001F5325" w:rsidP="001F5325">
      <w:pPr>
        <w:autoSpaceDE w:val="0"/>
        <w:autoSpaceDN w:val="0"/>
        <w:adjustRightInd w:val="0"/>
        <w:rPr>
          <w:sz w:val="22"/>
          <w:szCs w:val="22"/>
          <w:lang w:val="lt-LT"/>
        </w:rPr>
      </w:pPr>
      <w:r w:rsidRPr="00C326B9">
        <w:rPr>
          <w:sz w:val="22"/>
          <w:szCs w:val="22"/>
          <w:lang w:val="lt-LT"/>
        </w:rPr>
        <w:t>Tačiau atsižvelgiant į tai, kad šizofrenija sergantys pacientai dažnai turi venų tromboembolijos rizikos</w:t>
      </w:r>
    </w:p>
    <w:p w:rsidR="001F5325" w:rsidRPr="00C326B9" w:rsidRDefault="001F5325" w:rsidP="001F5325">
      <w:pPr>
        <w:autoSpaceDE w:val="0"/>
        <w:autoSpaceDN w:val="0"/>
        <w:adjustRightInd w:val="0"/>
        <w:rPr>
          <w:sz w:val="22"/>
          <w:szCs w:val="22"/>
          <w:lang w:val="lt-LT"/>
        </w:rPr>
      </w:pPr>
      <w:r w:rsidRPr="00C326B9">
        <w:rPr>
          <w:sz w:val="22"/>
          <w:szCs w:val="22"/>
          <w:lang w:val="lt-LT"/>
        </w:rPr>
        <w:t>veiksnių, reikia nustatyti visus galimus venų tromboembolijos rizikos veiksnius (pvz., pacientų</w:t>
      </w:r>
    </w:p>
    <w:p w:rsidR="001F5325" w:rsidRPr="00C326B9" w:rsidRDefault="001F5325" w:rsidP="001F5325">
      <w:pPr>
        <w:autoSpaceDE w:val="0"/>
        <w:autoSpaceDN w:val="0"/>
        <w:adjustRightInd w:val="0"/>
        <w:rPr>
          <w:sz w:val="22"/>
          <w:szCs w:val="22"/>
          <w:lang w:val="lt-LT"/>
        </w:rPr>
      </w:pPr>
      <w:r w:rsidRPr="00C326B9">
        <w:rPr>
          <w:sz w:val="22"/>
          <w:szCs w:val="22"/>
          <w:lang w:val="lt-LT"/>
        </w:rPr>
        <w:t>imobilizacija) ir imtis profilaktinių priemonių.</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Bendrasis CNS aktyvumas</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Olanzapinas tiesiogiai veikia CNS, todėl ypač atsargiai jį reikia vartoti kartu su kitais centrinio</w:t>
      </w: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poveikio vaistais ir alkoholiu. </w:t>
      </w:r>
      <w:r w:rsidRPr="00C326B9">
        <w:rPr>
          <w:i/>
          <w:iCs/>
          <w:sz w:val="22"/>
          <w:szCs w:val="22"/>
          <w:lang w:val="lt-LT"/>
        </w:rPr>
        <w:t xml:space="preserve">In vitro </w:t>
      </w:r>
      <w:r w:rsidRPr="00C326B9">
        <w:rPr>
          <w:sz w:val="22"/>
          <w:szCs w:val="22"/>
          <w:lang w:val="lt-LT"/>
        </w:rPr>
        <w:t>jis veikia antagonistiškai dopaminui, todėl gali slopinti</w:t>
      </w:r>
    </w:p>
    <w:p w:rsidR="001F5325" w:rsidRPr="00C326B9" w:rsidRDefault="001F5325" w:rsidP="001F5325">
      <w:pPr>
        <w:autoSpaceDE w:val="0"/>
        <w:autoSpaceDN w:val="0"/>
        <w:adjustRightInd w:val="0"/>
        <w:rPr>
          <w:sz w:val="22"/>
          <w:szCs w:val="22"/>
          <w:lang w:val="lt-LT"/>
        </w:rPr>
      </w:pPr>
      <w:r w:rsidRPr="00C326B9">
        <w:rPr>
          <w:sz w:val="22"/>
          <w:szCs w:val="22"/>
          <w:lang w:val="lt-LT"/>
        </w:rPr>
        <w:t>tiesioginių ir netiesioginių dopamino agonistų poveikį.</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Traukuliai</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Olanzapiną atsargiai skirti asmenims, kuriems yra buvę traukulių arba yra traukulių slenkstį</w:t>
      </w:r>
    </w:p>
    <w:p w:rsidR="001F5325" w:rsidRPr="00C326B9" w:rsidRDefault="001F5325" w:rsidP="001F5325">
      <w:pPr>
        <w:autoSpaceDE w:val="0"/>
        <w:autoSpaceDN w:val="0"/>
        <w:adjustRightInd w:val="0"/>
        <w:rPr>
          <w:sz w:val="22"/>
          <w:szCs w:val="22"/>
          <w:lang w:val="lt-LT"/>
        </w:rPr>
      </w:pPr>
      <w:r w:rsidRPr="00C326B9">
        <w:rPr>
          <w:sz w:val="22"/>
          <w:szCs w:val="22"/>
          <w:lang w:val="lt-LT"/>
        </w:rPr>
        <w:t>mažinančių veiksnių. Olanzapinu gydomiems pacientams traukuliai pasireiškia nedažnai, dažniausiai tuomet, kai traukulių yra buvę anksčiau arba yra traukulių rizikos veiksnių.</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Vėlyvoji diskinezija</w:t>
      </w:r>
    </w:p>
    <w:p w:rsidR="001F5325" w:rsidRPr="00C326B9" w:rsidRDefault="001F5325" w:rsidP="001F5325">
      <w:pPr>
        <w:autoSpaceDE w:val="0"/>
        <w:autoSpaceDN w:val="0"/>
        <w:adjustRightInd w:val="0"/>
        <w:rPr>
          <w:sz w:val="22"/>
          <w:szCs w:val="22"/>
          <w:lang w:val="lt-LT"/>
        </w:rPr>
      </w:pPr>
      <w:r w:rsidRPr="00C326B9">
        <w:rPr>
          <w:sz w:val="22"/>
          <w:szCs w:val="22"/>
          <w:lang w:val="lt-LT"/>
        </w:rPr>
        <w:t>Vienerių metų ir trumpesni lyginamieji tyrimai parodė, kad olanzapinas statistiškai patikimai rečiau</w:t>
      </w:r>
    </w:p>
    <w:p w:rsidR="001F5325" w:rsidRPr="00C326B9" w:rsidRDefault="001F5325" w:rsidP="001F5325">
      <w:pPr>
        <w:autoSpaceDE w:val="0"/>
        <w:autoSpaceDN w:val="0"/>
        <w:adjustRightInd w:val="0"/>
        <w:rPr>
          <w:sz w:val="22"/>
          <w:szCs w:val="22"/>
          <w:lang w:val="lt-LT"/>
        </w:rPr>
      </w:pPr>
      <w:r w:rsidRPr="00C326B9">
        <w:rPr>
          <w:sz w:val="22"/>
          <w:szCs w:val="22"/>
          <w:lang w:val="lt-LT"/>
        </w:rPr>
        <w:t>sukelia diskineziją. Vėlyvosios diskinezijos rizika didėja gydant ilgai, todėl, atsiradus jos požymiams,</w:t>
      </w:r>
    </w:p>
    <w:p w:rsidR="001F5325" w:rsidRPr="00C326B9" w:rsidRDefault="001F5325" w:rsidP="001F5325">
      <w:pPr>
        <w:autoSpaceDE w:val="0"/>
        <w:autoSpaceDN w:val="0"/>
        <w:adjustRightInd w:val="0"/>
        <w:rPr>
          <w:sz w:val="22"/>
          <w:szCs w:val="22"/>
          <w:lang w:val="lt-LT"/>
        </w:rPr>
      </w:pPr>
      <w:r w:rsidRPr="00C326B9">
        <w:rPr>
          <w:sz w:val="22"/>
          <w:szCs w:val="22"/>
          <w:lang w:val="lt-LT"/>
        </w:rPr>
        <w:t>reikia spręsti, ar mažinti vaisto dozę ar jo nebevartoti. Šie simptomai gali laikinai pablogėti ar net ir</w:t>
      </w:r>
    </w:p>
    <w:p w:rsidR="001F5325" w:rsidRPr="00C326B9" w:rsidRDefault="001F5325" w:rsidP="001F5325">
      <w:pPr>
        <w:autoSpaceDE w:val="0"/>
        <w:autoSpaceDN w:val="0"/>
        <w:adjustRightInd w:val="0"/>
        <w:rPr>
          <w:sz w:val="22"/>
          <w:szCs w:val="22"/>
          <w:lang w:val="lt-LT"/>
        </w:rPr>
      </w:pPr>
      <w:r w:rsidRPr="00C326B9">
        <w:rPr>
          <w:sz w:val="22"/>
          <w:szCs w:val="22"/>
          <w:lang w:val="lt-LT"/>
        </w:rPr>
        <w:t>atsirasti nutraukus.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Ortostatinė hipotenzija</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Olanzapino klinikinių tyrimų metu kai kuriems senyviems pacientams stebėta ortostatinė hipotenzija.</w:t>
      </w:r>
    </w:p>
    <w:p w:rsidR="001F5325" w:rsidRPr="00C326B9" w:rsidRDefault="001F5325" w:rsidP="001F5325">
      <w:pPr>
        <w:autoSpaceDE w:val="0"/>
        <w:autoSpaceDN w:val="0"/>
        <w:adjustRightInd w:val="0"/>
        <w:rPr>
          <w:sz w:val="22"/>
          <w:szCs w:val="22"/>
          <w:lang w:val="lt-LT"/>
        </w:rPr>
      </w:pPr>
      <w:r w:rsidRPr="00C326B9">
        <w:rPr>
          <w:sz w:val="22"/>
          <w:szCs w:val="22"/>
          <w:lang w:val="lt-LT"/>
        </w:rPr>
        <w:t>Todėl vyresniems kaip 65 metų pacientams, kaip ir vartojantiems bet kokius antipsichozinius vaistus,</w:t>
      </w:r>
    </w:p>
    <w:p w:rsidR="001F5325" w:rsidRPr="00C326B9" w:rsidRDefault="001F5325" w:rsidP="001F5325">
      <w:pPr>
        <w:autoSpaceDE w:val="0"/>
        <w:autoSpaceDN w:val="0"/>
        <w:adjustRightInd w:val="0"/>
        <w:rPr>
          <w:sz w:val="22"/>
          <w:szCs w:val="22"/>
          <w:lang w:val="lt-LT"/>
        </w:rPr>
      </w:pPr>
      <w:r w:rsidRPr="00C326B9">
        <w:rPr>
          <w:sz w:val="22"/>
          <w:szCs w:val="22"/>
          <w:lang w:val="lt-LT"/>
        </w:rPr>
        <w:t>rekomenduojama periodiškai matuoti kraujospūdį.</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Staigi kardialinė mirtis</w:t>
      </w:r>
    </w:p>
    <w:p w:rsidR="001F5325" w:rsidRPr="00C326B9" w:rsidRDefault="001F5325" w:rsidP="001F5325">
      <w:pPr>
        <w:autoSpaceDE w:val="0"/>
        <w:autoSpaceDN w:val="0"/>
        <w:adjustRightInd w:val="0"/>
        <w:rPr>
          <w:sz w:val="22"/>
          <w:szCs w:val="22"/>
          <w:lang w:val="lt-LT"/>
        </w:rPr>
      </w:pPr>
      <w:r w:rsidRPr="00C326B9">
        <w:rPr>
          <w:sz w:val="22"/>
          <w:szCs w:val="22"/>
          <w:lang w:val="lt-LT"/>
        </w:rPr>
        <w:t>Po olanzapino patekimo į rinką gauta pranešimų apie pacientų, vartojančių olanzapiną, staigios mirties</w:t>
      </w:r>
    </w:p>
    <w:p w:rsidR="001F5325" w:rsidRPr="00C326B9" w:rsidRDefault="001F5325" w:rsidP="001F5325">
      <w:pPr>
        <w:autoSpaceDE w:val="0"/>
        <w:autoSpaceDN w:val="0"/>
        <w:adjustRightInd w:val="0"/>
        <w:rPr>
          <w:sz w:val="22"/>
          <w:szCs w:val="22"/>
          <w:lang w:val="lt-LT"/>
        </w:rPr>
      </w:pPr>
      <w:r w:rsidRPr="00C326B9">
        <w:rPr>
          <w:sz w:val="22"/>
          <w:szCs w:val="22"/>
          <w:lang w:val="lt-LT"/>
        </w:rPr>
        <w:t>atvejus. Remiantis retrospektyviojo stebėjimo kohortos tyrimo duomenimis, daroma prielaida, kad</w:t>
      </w:r>
    </w:p>
    <w:p w:rsidR="001F5325" w:rsidRPr="00C326B9" w:rsidRDefault="001F5325" w:rsidP="001F5325">
      <w:pPr>
        <w:autoSpaceDE w:val="0"/>
        <w:autoSpaceDN w:val="0"/>
        <w:adjustRightInd w:val="0"/>
        <w:rPr>
          <w:sz w:val="22"/>
          <w:szCs w:val="22"/>
          <w:lang w:val="lt-LT"/>
        </w:rPr>
      </w:pPr>
      <w:r w:rsidRPr="00C326B9">
        <w:rPr>
          <w:sz w:val="22"/>
          <w:szCs w:val="22"/>
          <w:lang w:val="lt-LT"/>
        </w:rPr>
        <w:t>pacientams, vartojantiems olanzapiną, staigios mirties rizika yra maždaug du kartus didesnė nei</w:t>
      </w:r>
    </w:p>
    <w:p w:rsidR="001F5325" w:rsidRPr="00C326B9" w:rsidRDefault="001F5325" w:rsidP="001F5325">
      <w:pPr>
        <w:autoSpaceDE w:val="0"/>
        <w:autoSpaceDN w:val="0"/>
        <w:adjustRightInd w:val="0"/>
        <w:rPr>
          <w:sz w:val="22"/>
          <w:szCs w:val="22"/>
          <w:lang w:val="lt-LT"/>
        </w:rPr>
      </w:pPr>
      <w:r w:rsidRPr="00C326B9">
        <w:rPr>
          <w:sz w:val="22"/>
          <w:szCs w:val="22"/>
          <w:lang w:val="lt-LT"/>
        </w:rPr>
        <w:t>antipsichozinių vaistinių preparatų nevartojantiems pacientams. Šio tyrimo duomenimis, olanzapino</w:t>
      </w:r>
    </w:p>
    <w:p w:rsidR="001F5325" w:rsidRPr="00C326B9" w:rsidRDefault="001F5325" w:rsidP="001F5325">
      <w:pPr>
        <w:autoSpaceDE w:val="0"/>
        <w:autoSpaceDN w:val="0"/>
        <w:adjustRightInd w:val="0"/>
        <w:rPr>
          <w:sz w:val="22"/>
          <w:szCs w:val="22"/>
          <w:lang w:val="lt-LT"/>
        </w:rPr>
      </w:pPr>
      <w:r w:rsidRPr="00C326B9">
        <w:rPr>
          <w:sz w:val="22"/>
          <w:szCs w:val="22"/>
          <w:lang w:val="lt-LT"/>
        </w:rPr>
        <w:t>keliama rizika buvo panaši į riziką, kurią kelia atipiniai antipsichoziniai vaistiniai preparatai, įtraukti į</w:t>
      </w:r>
    </w:p>
    <w:p w:rsidR="001F5325" w:rsidRPr="00C326B9" w:rsidRDefault="001F5325" w:rsidP="001F5325">
      <w:pPr>
        <w:autoSpaceDE w:val="0"/>
        <w:autoSpaceDN w:val="0"/>
        <w:adjustRightInd w:val="0"/>
        <w:rPr>
          <w:sz w:val="22"/>
          <w:szCs w:val="22"/>
          <w:lang w:val="lt-LT"/>
        </w:rPr>
      </w:pPr>
      <w:r w:rsidRPr="00C326B9">
        <w:rPr>
          <w:sz w:val="22"/>
          <w:szCs w:val="22"/>
          <w:lang w:val="lt-LT"/>
        </w:rPr>
        <w:t>jungtinę analizę.</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Vaikai ir paaugliai</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Olanzapinas nevartojamas vaikams ir paaugliams gydyti. Tyrimų, kuriuose dalyvavo 13-17 metų</w:t>
      </w:r>
    </w:p>
    <w:p w:rsidR="001F5325" w:rsidRPr="00C326B9" w:rsidRDefault="001F5325" w:rsidP="001F5325">
      <w:pPr>
        <w:autoSpaceDE w:val="0"/>
        <w:autoSpaceDN w:val="0"/>
        <w:adjustRightInd w:val="0"/>
        <w:rPr>
          <w:sz w:val="22"/>
          <w:szCs w:val="22"/>
          <w:lang w:val="lt-LT"/>
        </w:rPr>
      </w:pPr>
      <w:r w:rsidRPr="00C326B9">
        <w:rPr>
          <w:sz w:val="22"/>
          <w:szCs w:val="22"/>
          <w:lang w:val="lt-LT"/>
        </w:rPr>
        <w:t>pacientai, metu pasireiškė įvairios nepageidaujamos reakcijos, įskaitant svorio padidėjimą, medžiagų</w:t>
      </w:r>
    </w:p>
    <w:p w:rsidR="001F5325" w:rsidRPr="00C326B9" w:rsidRDefault="001F5325" w:rsidP="001F5325">
      <w:pPr>
        <w:autoSpaceDE w:val="0"/>
        <w:autoSpaceDN w:val="0"/>
        <w:adjustRightInd w:val="0"/>
        <w:rPr>
          <w:sz w:val="22"/>
          <w:szCs w:val="22"/>
          <w:lang w:val="lt-LT"/>
        </w:rPr>
      </w:pPr>
      <w:r w:rsidRPr="00C326B9">
        <w:rPr>
          <w:sz w:val="22"/>
          <w:szCs w:val="22"/>
          <w:lang w:val="lt-LT"/>
        </w:rPr>
        <w:t>apykaitos pokyčius ir prolaktino koncentracijos padidėjimą. Ilgalaikės pasekmės, susijusios su šiais</w:t>
      </w:r>
    </w:p>
    <w:p w:rsidR="001F5325" w:rsidRPr="00C326B9" w:rsidRDefault="001F5325" w:rsidP="001F5325">
      <w:pPr>
        <w:autoSpaceDE w:val="0"/>
        <w:autoSpaceDN w:val="0"/>
        <w:adjustRightInd w:val="0"/>
        <w:rPr>
          <w:sz w:val="22"/>
          <w:szCs w:val="22"/>
          <w:lang w:val="lt-LT"/>
        </w:rPr>
      </w:pPr>
      <w:r w:rsidRPr="00C326B9">
        <w:rPr>
          <w:sz w:val="22"/>
          <w:szCs w:val="22"/>
          <w:lang w:val="lt-LT"/>
        </w:rPr>
        <w:t>reiškiniais, netirtos ir nežinomos (žr. 4.8 ir 5.1 skyrius).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Laktozė</w:t>
      </w:r>
    </w:p>
    <w:p w:rsidR="001F5325" w:rsidRPr="00C326B9" w:rsidRDefault="001F5325" w:rsidP="001F5325">
      <w:pPr>
        <w:autoSpaceDE w:val="0"/>
        <w:autoSpaceDN w:val="0"/>
        <w:adjustRightInd w:val="0"/>
        <w:rPr>
          <w:sz w:val="22"/>
          <w:szCs w:val="22"/>
          <w:lang w:val="lt-LT"/>
        </w:rPr>
      </w:pPr>
      <w:r w:rsidRPr="00C326B9">
        <w:rPr>
          <w:sz w:val="22"/>
          <w:szCs w:val="22"/>
          <w:lang w:val="lt-LT"/>
        </w:rPr>
        <w:t>ZOLAFREN tabletėse yra laktozės. Šio vaistinio preparato vartoti negalima pacientams, kuriems</w:t>
      </w: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nustatytas retas paveldimas sutrikimas – galaktozės netoleravimas, </w:t>
      </w:r>
      <w:r w:rsidRPr="00C326B9">
        <w:rPr>
          <w:i/>
          <w:iCs/>
          <w:sz w:val="22"/>
          <w:szCs w:val="22"/>
          <w:lang w:val="lt-LT"/>
        </w:rPr>
        <w:t xml:space="preserve">Lapp </w:t>
      </w:r>
      <w:r w:rsidRPr="00C326B9">
        <w:rPr>
          <w:sz w:val="22"/>
          <w:szCs w:val="22"/>
          <w:lang w:val="lt-LT"/>
        </w:rPr>
        <w:t>laktazės stygius arba</w:t>
      </w:r>
    </w:p>
    <w:p w:rsidR="001F5325" w:rsidRPr="00C326B9" w:rsidRDefault="001F5325" w:rsidP="001F5325">
      <w:pPr>
        <w:autoSpaceDE w:val="0"/>
        <w:autoSpaceDN w:val="0"/>
        <w:adjustRightInd w:val="0"/>
        <w:rPr>
          <w:sz w:val="22"/>
          <w:szCs w:val="22"/>
          <w:lang w:val="lt-LT"/>
        </w:rPr>
      </w:pPr>
      <w:r w:rsidRPr="00C326B9">
        <w:rPr>
          <w:sz w:val="22"/>
          <w:szCs w:val="22"/>
          <w:lang w:val="lt-LT"/>
        </w:rPr>
        <w:t>gliukozės ir galaktozės malabsorbcija.</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4.5 </w:t>
      </w:r>
      <w:r w:rsidRPr="00C326B9">
        <w:rPr>
          <w:b/>
          <w:sz w:val="22"/>
          <w:szCs w:val="22"/>
          <w:lang w:val="lt-LT"/>
        </w:rPr>
        <w:tab/>
        <w:t>Sąveika su kitais vaistiniais preparatais ir kitokia sąveika</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Vaikai</w:t>
      </w:r>
    </w:p>
    <w:p w:rsidR="001F5325" w:rsidRPr="00C326B9" w:rsidRDefault="001F5325" w:rsidP="001F5325">
      <w:pPr>
        <w:autoSpaceDE w:val="0"/>
        <w:autoSpaceDN w:val="0"/>
        <w:adjustRightInd w:val="0"/>
        <w:rPr>
          <w:sz w:val="22"/>
          <w:szCs w:val="22"/>
          <w:lang w:val="lt-LT"/>
        </w:rPr>
      </w:pPr>
      <w:r w:rsidRPr="00C326B9">
        <w:rPr>
          <w:sz w:val="22"/>
          <w:szCs w:val="22"/>
          <w:lang w:val="lt-LT"/>
        </w:rPr>
        <w:t>Sąveikos tyrimai atlikti tik suaugusiesiems.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sz w:val="22"/>
          <w:szCs w:val="22"/>
          <w:lang w:val="lt-LT"/>
        </w:rPr>
      </w:pPr>
      <w:r w:rsidRPr="00C326B9">
        <w:rPr>
          <w:i/>
          <w:sz w:val="22"/>
          <w:szCs w:val="22"/>
          <w:u w:val="single"/>
          <w:lang w:val="lt-LT"/>
        </w:rPr>
        <w:t>Galimas kitų vaistų poveikis olanzapinui</w:t>
      </w:r>
      <w:r w:rsidRPr="00C326B9">
        <w:rPr>
          <w:i/>
          <w:sz w:val="22"/>
          <w:szCs w:val="22"/>
          <w:lang w:val="lt-LT"/>
        </w:rPr>
        <w:t xml:space="preserve">. </w:t>
      </w:r>
    </w:p>
    <w:p w:rsidR="001F5325" w:rsidRPr="00C326B9" w:rsidRDefault="001F5325" w:rsidP="001F5325">
      <w:pPr>
        <w:autoSpaceDE w:val="0"/>
        <w:autoSpaceDN w:val="0"/>
        <w:adjustRightInd w:val="0"/>
        <w:rPr>
          <w:sz w:val="22"/>
          <w:szCs w:val="22"/>
          <w:lang w:val="lt-LT"/>
        </w:rPr>
      </w:pPr>
      <w:r w:rsidRPr="00C326B9">
        <w:rPr>
          <w:sz w:val="22"/>
          <w:szCs w:val="22"/>
          <w:lang w:val="lt-LT"/>
        </w:rPr>
        <w:lastRenderedPageBreak/>
        <w:t>Olanzapiną metabolizuoja CYP1A2, todėl medžiagos, kurios specifiškai indukuoja ar inhibuoja šį izofermentą, gali veikti olanzapino farmakokinetiką.</w:t>
      </w:r>
    </w:p>
    <w:p w:rsidR="001F5325" w:rsidRPr="00C326B9" w:rsidRDefault="001F5325" w:rsidP="001F5325">
      <w:pPr>
        <w:autoSpaceDE w:val="0"/>
        <w:autoSpaceDN w:val="0"/>
        <w:adjustRightInd w:val="0"/>
        <w:rPr>
          <w:i/>
          <w:sz w:val="22"/>
          <w:szCs w:val="22"/>
          <w:lang w:val="lt-LT"/>
        </w:rPr>
      </w:pPr>
    </w:p>
    <w:p w:rsidR="001F5325" w:rsidRPr="00C326B9" w:rsidRDefault="001F5325" w:rsidP="001F5325">
      <w:pPr>
        <w:autoSpaceDE w:val="0"/>
        <w:autoSpaceDN w:val="0"/>
        <w:adjustRightInd w:val="0"/>
        <w:rPr>
          <w:i/>
          <w:sz w:val="22"/>
          <w:szCs w:val="22"/>
          <w:lang w:val="lt-LT"/>
        </w:rPr>
      </w:pPr>
      <w:r w:rsidRPr="00C326B9">
        <w:rPr>
          <w:i/>
          <w:sz w:val="22"/>
          <w:szCs w:val="22"/>
          <w:u w:val="single"/>
          <w:lang w:val="lt-LT"/>
        </w:rPr>
        <w:t>CYP1A2 indukcija</w:t>
      </w:r>
      <w:r w:rsidRPr="00C326B9">
        <w:rPr>
          <w:i/>
          <w:sz w:val="22"/>
          <w:szCs w:val="22"/>
          <w:lang w:val="lt-LT"/>
        </w:rPr>
        <w:t xml:space="preserve">. </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Olanzapino metabolizmą gali greitinti rūkymas ir karbamazepinas, tai gali mažinti šio vaisto koncentraciją. Olanzapino klirensas padidėja nedaug ar vidutiniškai. Dėl to klinikinių pasekmių paprastai nebūna, tačiau rekomenduojama stebėti paciento būklę ir prireikus didinti olanzapino dozę (žr. 4.2 skyrių).</w:t>
      </w:r>
    </w:p>
    <w:p w:rsidR="001F5325" w:rsidRPr="00C326B9" w:rsidRDefault="001F5325" w:rsidP="001F5325">
      <w:pPr>
        <w:autoSpaceDE w:val="0"/>
        <w:autoSpaceDN w:val="0"/>
        <w:adjustRightInd w:val="0"/>
        <w:rPr>
          <w:i/>
          <w:sz w:val="22"/>
          <w:szCs w:val="22"/>
          <w:lang w:val="lt-LT"/>
        </w:rPr>
      </w:pPr>
    </w:p>
    <w:p w:rsidR="001F5325" w:rsidRPr="00C326B9" w:rsidRDefault="001F5325" w:rsidP="001F5325">
      <w:pPr>
        <w:autoSpaceDE w:val="0"/>
        <w:autoSpaceDN w:val="0"/>
        <w:adjustRightInd w:val="0"/>
        <w:rPr>
          <w:i/>
          <w:sz w:val="22"/>
          <w:szCs w:val="22"/>
          <w:lang w:val="lt-LT"/>
        </w:rPr>
      </w:pPr>
      <w:r w:rsidRPr="00C326B9">
        <w:rPr>
          <w:i/>
          <w:sz w:val="22"/>
          <w:szCs w:val="22"/>
          <w:u w:val="single"/>
          <w:lang w:val="lt-LT"/>
        </w:rPr>
        <w:t>CYP1A2 inhibicija</w:t>
      </w:r>
      <w:r w:rsidRPr="00C326B9">
        <w:rPr>
          <w:i/>
          <w:sz w:val="22"/>
          <w:szCs w:val="22"/>
          <w:lang w:val="lt-LT"/>
        </w:rPr>
        <w:t xml:space="preserve">. </w:t>
      </w:r>
    </w:p>
    <w:p w:rsidR="001F5325" w:rsidRPr="00C326B9" w:rsidRDefault="001F5325" w:rsidP="001F5325">
      <w:pPr>
        <w:autoSpaceDE w:val="0"/>
        <w:autoSpaceDN w:val="0"/>
        <w:adjustRightInd w:val="0"/>
        <w:rPr>
          <w:sz w:val="22"/>
          <w:szCs w:val="22"/>
          <w:lang w:val="lt-LT"/>
        </w:rPr>
      </w:pPr>
      <w:r w:rsidRPr="00C326B9">
        <w:rPr>
          <w:sz w:val="22"/>
          <w:szCs w:val="22"/>
          <w:lang w:val="lt-LT"/>
        </w:rPr>
        <w:t>Nustatyta, kad fluvoksaminas, specifinis CYP1A2 inhibitorius, reikšmingai slopina olanzapino metabolizmą. Fluvoksaminą vartojančioms nerūkančioms moterims maksimali olanzapino koncentracija C</w:t>
      </w:r>
      <w:r w:rsidRPr="00C326B9">
        <w:rPr>
          <w:sz w:val="22"/>
          <w:szCs w:val="22"/>
          <w:vertAlign w:val="subscript"/>
          <w:lang w:val="lt-LT"/>
        </w:rPr>
        <w:t>max</w:t>
      </w:r>
      <w:r w:rsidRPr="00C326B9">
        <w:rPr>
          <w:sz w:val="22"/>
          <w:szCs w:val="22"/>
          <w:lang w:val="lt-LT"/>
        </w:rPr>
        <w:t xml:space="preserve"> vidutiniškai padidėjo 54%, o jį vartojantiems rūkantiems vyrams – 77%. Olanzapino plotas po koncentracijos-laiko kreive (AUC) vidutiniškai padidėjo atitinkamai 52% ir 108%. Pacientams, vartojantiems fluvoksaminą ar bet kurį kitą CYP1A2 inhibitorių, pvz., ciprofloksaciną, reikia skirti mažesnę pradinę olanzapino dozę. Pradedant gydyti CYP1A2 inhibitoriumi, būtina sumažinti olanzapino dozę.</w:t>
      </w:r>
    </w:p>
    <w:p w:rsidR="001F5325" w:rsidRPr="00C326B9" w:rsidRDefault="001F5325" w:rsidP="001F5325">
      <w:pPr>
        <w:autoSpaceDE w:val="0"/>
        <w:autoSpaceDN w:val="0"/>
        <w:adjustRightInd w:val="0"/>
        <w:rPr>
          <w:i/>
          <w:sz w:val="22"/>
          <w:szCs w:val="22"/>
          <w:lang w:val="lt-LT"/>
        </w:rPr>
      </w:pPr>
    </w:p>
    <w:p w:rsidR="001F5325" w:rsidRPr="00C326B9" w:rsidRDefault="001F5325" w:rsidP="001F5325">
      <w:pPr>
        <w:autoSpaceDE w:val="0"/>
        <w:autoSpaceDN w:val="0"/>
        <w:adjustRightInd w:val="0"/>
        <w:rPr>
          <w:i/>
          <w:sz w:val="22"/>
          <w:szCs w:val="22"/>
          <w:lang w:val="lt-LT"/>
        </w:rPr>
      </w:pPr>
      <w:r w:rsidRPr="00C326B9">
        <w:rPr>
          <w:i/>
          <w:sz w:val="22"/>
          <w:szCs w:val="22"/>
          <w:u w:val="single"/>
          <w:lang w:val="lt-LT"/>
        </w:rPr>
        <w:t>Sumažėjęs biologinis prieinamumas</w:t>
      </w:r>
      <w:r w:rsidRPr="00C326B9">
        <w:rPr>
          <w:i/>
          <w:sz w:val="22"/>
          <w:szCs w:val="22"/>
          <w:lang w:val="lt-LT"/>
        </w:rPr>
        <w:t xml:space="preserve">. </w:t>
      </w: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Geriamojo olanzapino biologinį prieinamumą 50-60% sumažina kartu vartojama aktyvinta anglis, todėl ją reikia skirti 2 valandom anksčiau arba vėliau olanzapino.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Fluoksetinas (CYP2D6 inhibitorius), vienkartinė antacidinių vaistų (aliuminio, magnio) ar cimetidino dozė reikšmingai olanzapino farmakokinetikos nekeičia.</w:t>
      </w:r>
    </w:p>
    <w:p w:rsidR="001F5325" w:rsidRPr="00C326B9" w:rsidRDefault="001F5325" w:rsidP="001F5325">
      <w:pPr>
        <w:autoSpaceDE w:val="0"/>
        <w:autoSpaceDN w:val="0"/>
        <w:adjustRightInd w:val="0"/>
        <w:rPr>
          <w:i/>
          <w:sz w:val="22"/>
          <w:szCs w:val="22"/>
          <w:lang w:val="lt-LT"/>
        </w:rPr>
      </w:pPr>
    </w:p>
    <w:p w:rsidR="001F5325" w:rsidRPr="00C326B9" w:rsidRDefault="001F5325" w:rsidP="001F5325">
      <w:pPr>
        <w:autoSpaceDE w:val="0"/>
        <w:autoSpaceDN w:val="0"/>
        <w:adjustRightInd w:val="0"/>
        <w:rPr>
          <w:i/>
          <w:sz w:val="22"/>
          <w:szCs w:val="22"/>
          <w:lang w:val="lt-LT"/>
        </w:rPr>
      </w:pPr>
      <w:r w:rsidRPr="00C326B9">
        <w:rPr>
          <w:i/>
          <w:sz w:val="22"/>
          <w:szCs w:val="22"/>
          <w:u w:val="single"/>
          <w:lang w:val="lt-LT"/>
        </w:rPr>
        <w:t>Galimas olanzapino poveikis kitiems vaistams</w:t>
      </w:r>
      <w:r w:rsidRPr="00C326B9">
        <w:rPr>
          <w:i/>
          <w:sz w:val="22"/>
          <w:szCs w:val="22"/>
          <w:lang w:val="lt-LT"/>
        </w:rPr>
        <w:t xml:space="preserve">. </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Olanzapinas gali slopinti tiesioginių ir netiesioginių dopamino agonistų poveikį.</w:t>
      </w:r>
    </w:p>
    <w:p w:rsidR="001F5325" w:rsidRPr="00C326B9" w:rsidRDefault="001F5325" w:rsidP="001F5325">
      <w:pPr>
        <w:autoSpaceDE w:val="0"/>
        <w:autoSpaceDN w:val="0"/>
        <w:adjustRightInd w:val="0"/>
        <w:rPr>
          <w:i/>
          <w:sz w:val="22"/>
          <w:szCs w:val="22"/>
          <w:lang w:val="lt-LT"/>
        </w:rPr>
      </w:pPr>
    </w:p>
    <w:p w:rsidR="001F5325" w:rsidRPr="00C326B9" w:rsidRDefault="001F5325" w:rsidP="001F5325">
      <w:pPr>
        <w:autoSpaceDE w:val="0"/>
        <w:autoSpaceDN w:val="0"/>
        <w:adjustRightInd w:val="0"/>
        <w:rPr>
          <w:sz w:val="22"/>
          <w:szCs w:val="22"/>
          <w:lang w:val="lt-LT"/>
        </w:rPr>
      </w:pPr>
      <w:r w:rsidRPr="00C326B9">
        <w:rPr>
          <w:i/>
          <w:sz w:val="22"/>
          <w:szCs w:val="22"/>
          <w:lang w:val="lt-LT"/>
        </w:rPr>
        <w:t xml:space="preserve">In vitro </w:t>
      </w:r>
      <w:r w:rsidRPr="00C326B9">
        <w:rPr>
          <w:sz w:val="22"/>
          <w:szCs w:val="22"/>
          <w:lang w:val="lt-LT"/>
        </w:rPr>
        <w:t xml:space="preserve">olanzapinas neslopina pagrindinių CYP450 izofermentų (pvz., 1A2, 2D6, 2C9, 2C19, 3A4), todėl specifinės sąveikos nesitikima. Tai patvirtina ir tyrimai </w:t>
      </w:r>
      <w:r w:rsidRPr="00C326B9">
        <w:rPr>
          <w:i/>
          <w:sz w:val="22"/>
          <w:szCs w:val="22"/>
          <w:lang w:val="lt-LT"/>
        </w:rPr>
        <w:t>in vivo</w:t>
      </w:r>
      <w:r w:rsidRPr="00C326B9">
        <w:rPr>
          <w:sz w:val="22"/>
          <w:szCs w:val="22"/>
          <w:lang w:val="lt-LT"/>
        </w:rPr>
        <w:t>, kurių metu nepastebėta šių aktyvių medžiagų: triciklių antidepresantų (daugiausiai metabolizuojamų CYP2D6), varfarino (CYP2C9), teofilino (CYP1A2) ar diazepamo (CYP3A4 ir 2C19) – metabolizmo slopinimo.</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Sąveikos nepastebėta ir olanzapiną vartojant kartu su ličiu ar biperidenu.</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Stebint terapinę valproato plazmos koncentraciją nenustatyta, kad reikėtų koreguoti valproato dozę pradėjus kartu skirti olanzapiną.</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lastRenderedPageBreak/>
        <w:t>Bendrasis CNS aktyvumas</w:t>
      </w:r>
    </w:p>
    <w:p w:rsidR="001F5325" w:rsidRPr="00C326B9" w:rsidRDefault="001F5325" w:rsidP="001F5325">
      <w:pPr>
        <w:autoSpaceDE w:val="0"/>
        <w:autoSpaceDN w:val="0"/>
        <w:adjustRightInd w:val="0"/>
        <w:rPr>
          <w:sz w:val="22"/>
          <w:szCs w:val="22"/>
          <w:lang w:val="lt-LT"/>
        </w:rPr>
      </w:pPr>
      <w:r w:rsidRPr="00C326B9">
        <w:rPr>
          <w:sz w:val="22"/>
          <w:szCs w:val="22"/>
          <w:lang w:val="lt-LT"/>
        </w:rPr>
        <w:t>Reikia atsargiai gydyti pacientus, kurie geria alkoholio arba vartoja vaistinių preparatų, galinčių</w:t>
      </w:r>
    </w:p>
    <w:p w:rsidR="001F5325" w:rsidRPr="00C326B9" w:rsidRDefault="001F5325" w:rsidP="001F5325">
      <w:pPr>
        <w:autoSpaceDE w:val="0"/>
        <w:autoSpaceDN w:val="0"/>
        <w:adjustRightInd w:val="0"/>
        <w:rPr>
          <w:sz w:val="22"/>
          <w:szCs w:val="22"/>
          <w:lang w:val="lt-LT"/>
        </w:rPr>
      </w:pPr>
      <w:r w:rsidRPr="00C326B9">
        <w:rPr>
          <w:sz w:val="22"/>
          <w:szCs w:val="22"/>
          <w:lang w:val="lt-LT"/>
        </w:rPr>
        <w:t>slopinti centrinę nervų sistemą.</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Olanzapiną vartoti kartu su vaistiniais preparatais nuo parkinsonizmo pacientams, kurie serga</w:t>
      </w:r>
    </w:p>
    <w:p w:rsidR="001F5325" w:rsidRPr="00C326B9" w:rsidRDefault="001F5325" w:rsidP="001F5325">
      <w:pPr>
        <w:autoSpaceDE w:val="0"/>
        <w:autoSpaceDN w:val="0"/>
        <w:adjustRightInd w:val="0"/>
        <w:rPr>
          <w:sz w:val="22"/>
          <w:szCs w:val="22"/>
          <w:lang w:val="lt-LT"/>
        </w:rPr>
      </w:pPr>
      <w:r w:rsidRPr="00C326B9">
        <w:rPr>
          <w:sz w:val="22"/>
          <w:szCs w:val="22"/>
          <w:lang w:val="lt-LT"/>
        </w:rPr>
        <w:t>Parkinsono liga ir demencija, nerekomenduojama (žr. 4.4 skyrių).</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QTc intervalas</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Olanzapiną skirti kartu su vaistiniais preparatais, ilginančiais QTc intervalą, reikia atsargiai (žr. 4.4</w:t>
      </w:r>
    </w:p>
    <w:p w:rsidR="001F5325" w:rsidRPr="00C326B9" w:rsidRDefault="001F5325" w:rsidP="001F5325">
      <w:pPr>
        <w:autoSpaceDE w:val="0"/>
        <w:autoSpaceDN w:val="0"/>
        <w:adjustRightInd w:val="0"/>
        <w:rPr>
          <w:sz w:val="22"/>
          <w:szCs w:val="22"/>
          <w:lang w:val="lt-LT"/>
        </w:rPr>
      </w:pPr>
      <w:r w:rsidRPr="00C326B9">
        <w:rPr>
          <w:sz w:val="22"/>
          <w:szCs w:val="22"/>
          <w:lang w:val="lt-LT"/>
        </w:rPr>
        <w:t>skyrių).</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4.6 </w:t>
      </w:r>
      <w:r w:rsidRPr="00C326B9">
        <w:rPr>
          <w:b/>
          <w:sz w:val="22"/>
          <w:szCs w:val="22"/>
          <w:lang w:val="lt-LT"/>
        </w:rPr>
        <w:tab/>
        <w:t>Vaisingumas, nėštumo ir žindymo laikotarpis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 xml:space="preserve">Nėštumas </w:t>
      </w:r>
    </w:p>
    <w:p w:rsidR="001F5325" w:rsidRPr="00C326B9" w:rsidRDefault="001F5325" w:rsidP="001F5325">
      <w:pPr>
        <w:autoSpaceDE w:val="0"/>
        <w:autoSpaceDN w:val="0"/>
        <w:adjustRightInd w:val="0"/>
        <w:rPr>
          <w:sz w:val="22"/>
          <w:szCs w:val="22"/>
          <w:lang w:val="lt-LT"/>
        </w:rPr>
      </w:pPr>
      <w:r w:rsidRPr="00C326B9">
        <w:rPr>
          <w:sz w:val="22"/>
          <w:szCs w:val="22"/>
          <w:lang w:val="lt-LT"/>
        </w:rPr>
        <w:t>Nėra adekvačių ir gerai kontroliuojamų olanzapino poveikio nėščiajai tyrimų. Šį vaistą vartojančią moterį reikia įspėti, kad ji praneštų savo gydytojui, jei pastojo ar ketina pastoti. Nėra pakankamai duomenų apie šio vaisto poveikį žmogaus vaisiui, todėl nėščiosioms jo skirti tik tuomet, kai laukiamas efektas pateisins galimą riziką vaisiui.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Naujagimiams, kurių motinos trečiuoju nėštumo trimestru vartojo antipsichozinių vaistinių preparatų</w:t>
      </w:r>
    </w:p>
    <w:p w:rsidR="001F5325" w:rsidRPr="00C326B9" w:rsidRDefault="001F5325" w:rsidP="001F5325">
      <w:pPr>
        <w:autoSpaceDE w:val="0"/>
        <w:autoSpaceDN w:val="0"/>
        <w:adjustRightInd w:val="0"/>
        <w:rPr>
          <w:sz w:val="22"/>
          <w:szCs w:val="22"/>
          <w:lang w:val="lt-LT"/>
        </w:rPr>
      </w:pPr>
      <w:r w:rsidRPr="00C326B9">
        <w:rPr>
          <w:sz w:val="22"/>
          <w:szCs w:val="22"/>
          <w:lang w:val="lt-LT"/>
        </w:rPr>
        <w:t>(įskaitant a olanzapiną), po gimimo yra padidėjusi rizika pasireikšti nepageidaujamoms reakcijoms,</w:t>
      </w:r>
    </w:p>
    <w:p w:rsidR="001F5325" w:rsidRPr="00C326B9" w:rsidRDefault="001F5325" w:rsidP="001F5325">
      <w:pPr>
        <w:autoSpaceDE w:val="0"/>
        <w:autoSpaceDN w:val="0"/>
        <w:adjustRightInd w:val="0"/>
        <w:rPr>
          <w:sz w:val="22"/>
          <w:szCs w:val="22"/>
          <w:lang w:val="lt-LT"/>
        </w:rPr>
      </w:pPr>
      <w:r w:rsidRPr="00C326B9">
        <w:rPr>
          <w:sz w:val="22"/>
          <w:szCs w:val="22"/>
          <w:lang w:val="lt-LT"/>
        </w:rPr>
        <w:t>įskaitant ekstrapiramidinius ir (arba) nutraukimo simptomus, kurių intensyvumas ir trukmė gali būti</w:t>
      </w:r>
    </w:p>
    <w:p w:rsidR="001F5325" w:rsidRPr="00C326B9" w:rsidRDefault="001F5325" w:rsidP="001F5325">
      <w:pPr>
        <w:autoSpaceDE w:val="0"/>
        <w:autoSpaceDN w:val="0"/>
        <w:adjustRightInd w:val="0"/>
        <w:rPr>
          <w:sz w:val="22"/>
          <w:szCs w:val="22"/>
          <w:lang w:val="lt-LT"/>
        </w:rPr>
      </w:pPr>
      <w:r w:rsidRPr="00C326B9">
        <w:rPr>
          <w:sz w:val="22"/>
          <w:szCs w:val="22"/>
          <w:lang w:val="lt-LT"/>
        </w:rPr>
        <w:t>skirtingi. Gauta pranešimų apie sujaudinimo, raumenų tonuso padidėjimo ar sumažėjimo, tremoro,</w:t>
      </w:r>
    </w:p>
    <w:p w:rsidR="001F5325" w:rsidRPr="00C326B9" w:rsidRDefault="001F5325" w:rsidP="001F5325">
      <w:pPr>
        <w:autoSpaceDE w:val="0"/>
        <w:autoSpaceDN w:val="0"/>
        <w:adjustRightInd w:val="0"/>
        <w:rPr>
          <w:sz w:val="22"/>
          <w:szCs w:val="22"/>
          <w:lang w:val="lt-LT"/>
        </w:rPr>
      </w:pPr>
      <w:r w:rsidRPr="00C326B9">
        <w:rPr>
          <w:sz w:val="22"/>
          <w:szCs w:val="22"/>
          <w:lang w:val="lt-LT"/>
        </w:rPr>
        <w:t>mieguistumo, kvėpavimo distreso ir apsunkinto žindymo atvejus. Todėl tokių naujagimių būklę reikia</w:t>
      </w: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atidžiai stebėti.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 xml:space="preserve">Žindymas </w:t>
      </w:r>
    </w:p>
    <w:p w:rsidR="001F5325" w:rsidRPr="00C326B9" w:rsidRDefault="001F5325" w:rsidP="001F5325">
      <w:pPr>
        <w:autoSpaceDE w:val="0"/>
        <w:autoSpaceDN w:val="0"/>
        <w:adjustRightInd w:val="0"/>
        <w:rPr>
          <w:sz w:val="22"/>
          <w:szCs w:val="22"/>
          <w:lang w:val="lt-LT"/>
        </w:rPr>
      </w:pPr>
      <w:r w:rsidRPr="00C326B9">
        <w:rPr>
          <w:sz w:val="22"/>
          <w:szCs w:val="22"/>
          <w:lang w:val="lt-LT"/>
        </w:rPr>
        <w:t>Klinikiniuose tyrimuose su sveikomis kūdikį krūtimi maitinančiomis moterimis buvo nustatyta, kad olanzapino patenka į moters pieną. Kai vaisto koncentracija plazmoje pastovi, vidutinė kūdikio ekspozicija (mg/kg) yra 1,8% motinos olanzapino dozės (mg/kg). Pacientėms reikia patarti, kad, vartodamos olanzapiną, kūdikio nežindytų.</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4.7 </w:t>
      </w:r>
      <w:r w:rsidRPr="00C326B9">
        <w:rPr>
          <w:b/>
          <w:sz w:val="22"/>
          <w:szCs w:val="22"/>
          <w:lang w:val="lt-LT"/>
        </w:rPr>
        <w:tab/>
        <w:t>Poveikis gebėjimui vairuoti ir valdyti mechanizmus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Tyrimų, kurių metu būtų nustatinėtas preparato poveikis gebėjimui vairuoti ir valdyti mechanizmus, neatlikta. Olanzapinas gali sukelti mieguistumą ir galvos svaigimą, todėl jį vartojantys asmenys turi būti atsargūs valdydami mechanizmus, įskaitant motorines transporto priemones.</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lastRenderedPageBreak/>
        <w:t xml:space="preserve">4.8 </w:t>
      </w:r>
      <w:r w:rsidRPr="00C326B9">
        <w:rPr>
          <w:b/>
          <w:sz w:val="22"/>
          <w:szCs w:val="22"/>
          <w:lang w:val="lt-LT"/>
        </w:rPr>
        <w:tab/>
        <w:t>Nepageidaujamas poveikis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Suaugusieji</w:t>
      </w:r>
    </w:p>
    <w:p w:rsidR="001F5325" w:rsidRPr="00C326B9" w:rsidRDefault="001F5325" w:rsidP="001F5325">
      <w:pPr>
        <w:autoSpaceDE w:val="0"/>
        <w:autoSpaceDN w:val="0"/>
        <w:adjustRightInd w:val="0"/>
        <w:rPr>
          <w:sz w:val="22"/>
          <w:szCs w:val="22"/>
          <w:lang w:val="lt-LT"/>
        </w:rPr>
      </w:pPr>
      <w:r w:rsidRPr="00C326B9">
        <w:rPr>
          <w:sz w:val="22"/>
          <w:szCs w:val="22"/>
          <w:lang w:val="lt-LT"/>
        </w:rPr>
        <w:t>Klinikinių tyrimų metu dažniausiai nustatytos nepageidaujamos reakcijos (pasireiškė ≥ 1 % pacientų), susijusios su olanzapino vartojimu, buvo somnolencija, kūno svorio padidėjimas, eozinofilija, prolaktino, cholesterolio, gliukozės ir trigliceridų koncentracijos padidėjimas (žr. 4.4 skyrių), gliukozurija, apetito padidėjimas, galvos svaigimas, akatizija, parkinsonizmas, leukopenija, neutropenija (žr. 4.4 skyrių), diskinezija, ortostatinė hipotenzija, anticholinerginis poveikis, trumpalaikis simptomų nesukeliantis kepenų aminotransferazių aktyvumo padidėjimas (žr. 4.4 skyrių), išbėrimas, astenija, nuovargis ir edema.</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Nepageidaujamų reakcijų sąrašas lentelėje</w:t>
      </w: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Toliau esančioje lentelėje išvardytos nepageidaujamos reakcijos ir laboratorinių tyrimų duomenys, gauti iš spontaninių pranešimų ir klinikinių tyrimų. Kiekvienoje dažnio grupėje nepageidaujamos reakcijos pateikiamos mažėjančio sunkumo tvarka. Išvardytas sutrikimų dažnis apibūdinamas taip: labai dažni (≥ 1/10), dažni (nuo ≥ 1/100 iki &lt; 1/10), nedažni (nuo ≥ 1/1000 iki &lt; 1/100), reti (nuo </w:t>
      </w:r>
      <w:r w:rsidRPr="00C326B9">
        <w:rPr>
          <w:sz w:val="22"/>
          <w:szCs w:val="22"/>
          <w:lang w:val="pt-PT"/>
        </w:rPr>
        <w:t xml:space="preserve">≥ 1/10 000 iki &lt; 1/1000), labai reti (&lt; 1/10 000), dažnis nežinomas (negali būti įvertintas pagal turimus </w:t>
      </w:r>
      <w:r w:rsidRPr="00C326B9">
        <w:rPr>
          <w:sz w:val="22"/>
          <w:szCs w:val="22"/>
          <w:lang w:val="lt-LT"/>
        </w:rPr>
        <w:t>duomenis).</w:t>
      </w:r>
    </w:p>
    <w:p w:rsidR="001F5325" w:rsidRPr="00E82D06" w:rsidRDefault="001F5325" w:rsidP="001F5325">
      <w:pPr>
        <w:autoSpaceDE w:val="0"/>
        <w:autoSpaceDN w:val="0"/>
        <w:adjustRightInd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70"/>
        <w:gridCol w:w="2094"/>
        <w:gridCol w:w="86"/>
        <w:gridCol w:w="2078"/>
        <w:gridCol w:w="2282"/>
      </w:tblGrid>
      <w:tr w:rsidR="001F5325" w:rsidRPr="0058353B" w:rsidTr="00F30456">
        <w:tc>
          <w:tcPr>
            <w:tcW w:w="2109" w:type="dxa"/>
            <w:shd w:val="clear" w:color="auto" w:fill="auto"/>
          </w:tcPr>
          <w:p w:rsidR="001F5325" w:rsidRPr="00E82D06" w:rsidRDefault="001F5325" w:rsidP="00F30456">
            <w:pPr>
              <w:autoSpaceDE w:val="0"/>
              <w:autoSpaceDN w:val="0"/>
              <w:adjustRightInd w:val="0"/>
              <w:rPr>
                <w:sz w:val="22"/>
                <w:szCs w:val="22"/>
                <w:vertAlign w:val="superscript"/>
                <w:lang w:val="lt-LT"/>
              </w:rPr>
            </w:pPr>
            <w:r w:rsidRPr="00E82D06">
              <w:rPr>
                <w:b/>
                <w:bCs/>
                <w:sz w:val="22"/>
                <w:szCs w:val="22"/>
                <w:lang w:val="lt-LT"/>
              </w:rPr>
              <w:t>Labai dažni</w:t>
            </w:r>
          </w:p>
        </w:tc>
        <w:tc>
          <w:tcPr>
            <w:tcW w:w="2164" w:type="dxa"/>
            <w:gridSpan w:val="2"/>
            <w:shd w:val="clear" w:color="auto" w:fill="auto"/>
          </w:tcPr>
          <w:p w:rsidR="001F5325" w:rsidRPr="00E82D06" w:rsidRDefault="001F5325" w:rsidP="00F30456">
            <w:pPr>
              <w:autoSpaceDE w:val="0"/>
              <w:autoSpaceDN w:val="0"/>
              <w:adjustRightInd w:val="0"/>
              <w:rPr>
                <w:sz w:val="22"/>
                <w:szCs w:val="22"/>
                <w:vertAlign w:val="superscript"/>
                <w:lang w:val="lt-LT"/>
              </w:rPr>
            </w:pPr>
            <w:r w:rsidRPr="00E82D06">
              <w:rPr>
                <w:b/>
                <w:bCs/>
                <w:sz w:val="22"/>
                <w:szCs w:val="22"/>
                <w:lang w:val="lt-LT"/>
              </w:rPr>
              <w:t>Dažni</w:t>
            </w:r>
          </w:p>
        </w:tc>
        <w:tc>
          <w:tcPr>
            <w:tcW w:w="2164" w:type="dxa"/>
            <w:gridSpan w:val="2"/>
            <w:shd w:val="clear" w:color="auto" w:fill="auto"/>
          </w:tcPr>
          <w:p w:rsidR="001F5325" w:rsidRPr="00E82D06" w:rsidRDefault="001F5325" w:rsidP="00F30456">
            <w:pPr>
              <w:autoSpaceDE w:val="0"/>
              <w:autoSpaceDN w:val="0"/>
              <w:adjustRightInd w:val="0"/>
              <w:rPr>
                <w:sz w:val="22"/>
                <w:szCs w:val="22"/>
                <w:vertAlign w:val="superscript"/>
                <w:lang w:val="lt-LT"/>
              </w:rPr>
            </w:pPr>
            <w:r w:rsidRPr="00E82D06">
              <w:rPr>
                <w:b/>
                <w:bCs/>
                <w:sz w:val="22"/>
                <w:szCs w:val="22"/>
                <w:lang w:val="lt-LT"/>
              </w:rPr>
              <w:t xml:space="preserve">Nedažni </w:t>
            </w:r>
          </w:p>
        </w:tc>
        <w:tc>
          <w:tcPr>
            <w:tcW w:w="2282" w:type="dxa"/>
            <w:shd w:val="clear" w:color="auto" w:fill="auto"/>
          </w:tcPr>
          <w:p w:rsidR="001F5325" w:rsidRPr="0058353B" w:rsidRDefault="001F5325" w:rsidP="00F30456">
            <w:pPr>
              <w:pStyle w:val="Default"/>
              <w:rPr>
                <w:rFonts w:ascii="Times New Roman" w:hAnsi="Times New Roman" w:cs="Times New Roman"/>
                <w:sz w:val="22"/>
                <w:szCs w:val="22"/>
              </w:rPr>
            </w:pPr>
            <w:r w:rsidRPr="0058353B">
              <w:rPr>
                <w:rFonts w:ascii="Times New Roman" w:hAnsi="Times New Roman" w:cs="Times New Roman"/>
                <w:b/>
                <w:bCs/>
                <w:sz w:val="22"/>
                <w:szCs w:val="22"/>
              </w:rPr>
              <w:t xml:space="preserve">Reti </w:t>
            </w:r>
          </w:p>
          <w:p w:rsidR="001F5325" w:rsidRPr="00E82D06" w:rsidRDefault="001F5325" w:rsidP="00F30456">
            <w:pPr>
              <w:autoSpaceDE w:val="0"/>
              <w:autoSpaceDN w:val="0"/>
              <w:adjustRightInd w:val="0"/>
              <w:rPr>
                <w:sz w:val="22"/>
                <w:szCs w:val="22"/>
                <w:vertAlign w:val="superscript"/>
                <w:lang w:val="lt-LT"/>
              </w:rPr>
            </w:pPr>
          </w:p>
        </w:tc>
      </w:tr>
      <w:tr w:rsidR="001F5325" w:rsidRPr="0058353B" w:rsidTr="00F30456">
        <w:tc>
          <w:tcPr>
            <w:tcW w:w="8719" w:type="dxa"/>
            <w:gridSpan w:val="6"/>
            <w:shd w:val="clear" w:color="auto" w:fill="auto"/>
          </w:tcPr>
          <w:p w:rsidR="001F5325" w:rsidRPr="0058353B" w:rsidRDefault="001F5325" w:rsidP="00F30456">
            <w:pPr>
              <w:autoSpaceDE w:val="0"/>
              <w:autoSpaceDN w:val="0"/>
              <w:adjustRightInd w:val="0"/>
              <w:rPr>
                <w:sz w:val="22"/>
                <w:szCs w:val="22"/>
                <w:vertAlign w:val="superscript"/>
                <w:lang w:val="lt-LT"/>
              </w:rPr>
            </w:pPr>
            <w:r w:rsidRPr="0058353B">
              <w:rPr>
                <w:b/>
                <w:bCs/>
                <w:sz w:val="22"/>
                <w:szCs w:val="22"/>
                <w:lang w:val="lt-LT"/>
              </w:rPr>
              <w:t>Kraujo</w:t>
            </w:r>
            <w:r w:rsidRPr="0058353B">
              <w:rPr>
                <w:b/>
                <w:sz w:val="22"/>
                <w:szCs w:val="22"/>
                <w:lang w:val="lt-LT"/>
              </w:rPr>
              <w:t xml:space="preserve"> ir </w:t>
            </w:r>
            <w:r w:rsidRPr="0058353B">
              <w:rPr>
                <w:b/>
                <w:bCs/>
                <w:sz w:val="22"/>
                <w:szCs w:val="22"/>
                <w:lang w:val="lt-LT"/>
              </w:rPr>
              <w:t>limfinės sistemos</w:t>
            </w:r>
            <w:r w:rsidRPr="0058353B">
              <w:rPr>
                <w:b/>
                <w:sz w:val="22"/>
                <w:szCs w:val="22"/>
                <w:lang w:val="lt-LT"/>
              </w:rPr>
              <w:t xml:space="preserve"> sutrikimai</w:t>
            </w:r>
          </w:p>
        </w:tc>
      </w:tr>
      <w:tr w:rsidR="001F5325" w:rsidRPr="0058353B" w:rsidTr="00F30456">
        <w:tc>
          <w:tcPr>
            <w:tcW w:w="2109" w:type="dxa"/>
            <w:shd w:val="clear" w:color="auto" w:fill="auto"/>
          </w:tcPr>
          <w:p w:rsidR="001F5325" w:rsidRPr="0058353B" w:rsidRDefault="001F5325" w:rsidP="00F30456">
            <w:pPr>
              <w:autoSpaceDE w:val="0"/>
              <w:autoSpaceDN w:val="0"/>
              <w:adjustRightInd w:val="0"/>
              <w:rPr>
                <w:sz w:val="22"/>
                <w:szCs w:val="22"/>
                <w:vertAlign w:val="superscript"/>
                <w:lang w:val="lt-LT"/>
              </w:rPr>
            </w:pPr>
          </w:p>
        </w:tc>
        <w:tc>
          <w:tcPr>
            <w:tcW w:w="2164" w:type="dxa"/>
            <w:gridSpan w:val="2"/>
            <w:shd w:val="clear" w:color="auto" w:fill="auto"/>
          </w:tcPr>
          <w:p w:rsidR="001F5325" w:rsidRPr="0058353B" w:rsidRDefault="001F5325" w:rsidP="00F30456">
            <w:pPr>
              <w:autoSpaceDE w:val="0"/>
              <w:autoSpaceDN w:val="0"/>
              <w:adjustRightInd w:val="0"/>
              <w:rPr>
                <w:sz w:val="22"/>
                <w:szCs w:val="22"/>
                <w:lang w:val="lt-LT"/>
              </w:rPr>
            </w:pPr>
            <w:r w:rsidRPr="0058353B">
              <w:rPr>
                <w:sz w:val="22"/>
                <w:szCs w:val="22"/>
                <w:lang w:val="lt-LT"/>
              </w:rPr>
              <w:t>Eozinofilija</w:t>
            </w:r>
          </w:p>
          <w:p w:rsidR="001F5325" w:rsidRPr="0058353B" w:rsidRDefault="001F5325" w:rsidP="00F30456">
            <w:pPr>
              <w:pStyle w:val="Default"/>
              <w:rPr>
                <w:rFonts w:ascii="Times New Roman" w:hAnsi="Times New Roman" w:cs="Times New Roman"/>
                <w:sz w:val="22"/>
                <w:szCs w:val="22"/>
              </w:rPr>
            </w:pPr>
            <w:r w:rsidRPr="0058353B">
              <w:rPr>
                <w:rFonts w:ascii="Times New Roman" w:hAnsi="Times New Roman" w:cs="Times New Roman"/>
                <w:sz w:val="22"/>
                <w:szCs w:val="22"/>
              </w:rPr>
              <w:t xml:space="preserve">Leukopenija 10 </w:t>
            </w:r>
          </w:p>
          <w:p w:rsidR="001F5325" w:rsidRPr="00E82D06" w:rsidRDefault="001F5325" w:rsidP="00F30456">
            <w:pPr>
              <w:autoSpaceDE w:val="0"/>
              <w:autoSpaceDN w:val="0"/>
              <w:adjustRightInd w:val="0"/>
              <w:rPr>
                <w:sz w:val="22"/>
                <w:szCs w:val="22"/>
                <w:vertAlign w:val="superscript"/>
                <w:lang w:val="lt-LT"/>
              </w:rPr>
            </w:pPr>
            <w:r w:rsidRPr="00E82D06">
              <w:rPr>
                <w:sz w:val="22"/>
                <w:szCs w:val="22"/>
              </w:rPr>
              <w:t xml:space="preserve">Neutropenija </w:t>
            </w:r>
            <w:r w:rsidRPr="00E82D06">
              <w:rPr>
                <w:sz w:val="22"/>
                <w:szCs w:val="22"/>
                <w:vertAlign w:val="superscript"/>
              </w:rPr>
              <w:t>10</w:t>
            </w:r>
          </w:p>
        </w:tc>
        <w:tc>
          <w:tcPr>
            <w:tcW w:w="2164" w:type="dxa"/>
            <w:gridSpan w:val="2"/>
            <w:shd w:val="clear" w:color="auto" w:fill="auto"/>
          </w:tcPr>
          <w:p w:rsidR="001F5325" w:rsidRPr="0058353B" w:rsidRDefault="001F5325" w:rsidP="00F30456">
            <w:pPr>
              <w:autoSpaceDE w:val="0"/>
              <w:autoSpaceDN w:val="0"/>
              <w:adjustRightInd w:val="0"/>
              <w:rPr>
                <w:sz w:val="22"/>
                <w:szCs w:val="22"/>
                <w:vertAlign w:val="superscript"/>
                <w:lang w:val="lt-LT"/>
              </w:rPr>
            </w:pPr>
          </w:p>
        </w:tc>
        <w:tc>
          <w:tcPr>
            <w:tcW w:w="2282" w:type="dxa"/>
            <w:shd w:val="clear" w:color="auto" w:fill="auto"/>
          </w:tcPr>
          <w:p w:rsidR="001F5325" w:rsidRPr="0058353B" w:rsidRDefault="001F5325" w:rsidP="00F30456">
            <w:pPr>
              <w:autoSpaceDE w:val="0"/>
              <w:autoSpaceDN w:val="0"/>
              <w:adjustRightInd w:val="0"/>
              <w:rPr>
                <w:sz w:val="22"/>
                <w:szCs w:val="22"/>
                <w:vertAlign w:val="superscript"/>
                <w:lang w:val="lt-LT"/>
              </w:rPr>
            </w:pPr>
            <w:r w:rsidRPr="0058353B">
              <w:rPr>
                <w:sz w:val="22"/>
                <w:szCs w:val="22"/>
                <w:lang w:val="lt-LT"/>
              </w:rPr>
              <w:t>Trombocitopenija</w:t>
            </w:r>
            <w:r w:rsidRPr="0058353B">
              <w:rPr>
                <w:sz w:val="22"/>
                <w:szCs w:val="22"/>
                <w:vertAlign w:val="superscript"/>
              </w:rPr>
              <w:t>11</w:t>
            </w:r>
          </w:p>
        </w:tc>
      </w:tr>
      <w:tr w:rsidR="001F5325" w:rsidRPr="0058353B" w:rsidTr="00F30456">
        <w:tc>
          <w:tcPr>
            <w:tcW w:w="8719" w:type="dxa"/>
            <w:gridSpan w:val="6"/>
            <w:shd w:val="clear" w:color="auto" w:fill="auto"/>
          </w:tcPr>
          <w:p w:rsidR="001F5325" w:rsidRPr="0058353B" w:rsidRDefault="001F5325" w:rsidP="00F30456">
            <w:pPr>
              <w:autoSpaceDE w:val="0"/>
              <w:autoSpaceDN w:val="0"/>
              <w:adjustRightInd w:val="0"/>
              <w:rPr>
                <w:sz w:val="22"/>
                <w:szCs w:val="22"/>
                <w:vertAlign w:val="superscript"/>
                <w:lang w:val="lt-LT"/>
              </w:rPr>
            </w:pPr>
            <w:r w:rsidRPr="0058353B">
              <w:rPr>
                <w:b/>
                <w:bCs/>
                <w:sz w:val="22"/>
                <w:szCs w:val="22"/>
                <w:lang w:val="lt-LT"/>
              </w:rPr>
              <w:t>Imuninės sistemos</w:t>
            </w:r>
            <w:r w:rsidRPr="0058353B">
              <w:rPr>
                <w:b/>
                <w:sz w:val="22"/>
                <w:szCs w:val="22"/>
                <w:lang w:val="lt-LT"/>
              </w:rPr>
              <w:t xml:space="preserve"> sutrikimai</w:t>
            </w:r>
          </w:p>
        </w:tc>
      </w:tr>
      <w:tr w:rsidR="001F5325" w:rsidRPr="0058353B" w:rsidTr="00F30456">
        <w:tc>
          <w:tcPr>
            <w:tcW w:w="2109" w:type="dxa"/>
            <w:shd w:val="clear" w:color="auto" w:fill="auto"/>
          </w:tcPr>
          <w:p w:rsidR="001F5325" w:rsidRPr="0058353B" w:rsidRDefault="001F5325" w:rsidP="00F30456">
            <w:pPr>
              <w:autoSpaceDE w:val="0"/>
              <w:autoSpaceDN w:val="0"/>
              <w:adjustRightInd w:val="0"/>
              <w:rPr>
                <w:sz w:val="22"/>
                <w:szCs w:val="22"/>
                <w:vertAlign w:val="superscript"/>
                <w:lang w:val="lt-LT"/>
              </w:rPr>
            </w:pPr>
          </w:p>
        </w:tc>
        <w:tc>
          <w:tcPr>
            <w:tcW w:w="2164" w:type="dxa"/>
            <w:gridSpan w:val="2"/>
            <w:shd w:val="clear" w:color="auto" w:fill="auto"/>
          </w:tcPr>
          <w:p w:rsidR="001F5325" w:rsidRPr="0058353B" w:rsidRDefault="001F5325" w:rsidP="00F30456">
            <w:pPr>
              <w:autoSpaceDE w:val="0"/>
              <w:autoSpaceDN w:val="0"/>
              <w:adjustRightInd w:val="0"/>
              <w:rPr>
                <w:sz w:val="22"/>
                <w:szCs w:val="22"/>
                <w:vertAlign w:val="superscript"/>
                <w:lang w:val="lt-LT"/>
              </w:rPr>
            </w:pPr>
          </w:p>
        </w:tc>
        <w:tc>
          <w:tcPr>
            <w:tcW w:w="2164" w:type="dxa"/>
            <w:gridSpan w:val="2"/>
            <w:shd w:val="clear" w:color="auto" w:fill="auto"/>
          </w:tcPr>
          <w:p w:rsidR="001F5325" w:rsidRPr="0058353B" w:rsidRDefault="001F5325" w:rsidP="00F30456">
            <w:pPr>
              <w:autoSpaceDE w:val="0"/>
              <w:autoSpaceDN w:val="0"/>
              <w:adjustRightInd w:val="0"/>
              <w:rPr>
                <w:sz w:val="22"/>
                <w:szCs w:val="22"/>
                <w:vertAlign w:val="superscript"/>
                <w:lang w:val="lt-LT"/>
              </w:rPr>
            </w:pPr>
            <w:r w:rsidRPr="0058353B">
              <w:rPr>
                <w:sz w:val="22"/>
                <w:szCs w:val="22"/>
              </w:rPr>
              <w:t xml:space="preserve">Padidėjusio jautrumo reakcijos </w:t>
            </w:r>
            <w:r w:rsidRPr="0058353B">
              <w:rPr>
                <w:sz w:val="22"/>
                <w:szCs w:val="22"/>
                <w:vertAlign w:val="superscript"/>
              </w:rPr>
              <w:t>11</w:t>
            </w:r>
          </w:p>
        </w:tc>
        <w:tc>
          <w:tcPr>
            <w:tcW w:w="2282" w:type="dxa"/>
            <w:shd w:val="clear" w:color="auto" w:fill="auto"/>
          </w:tcPr>
          <w:p w:rsidR="001F5325" w:rsidRPr="0058353B" w:rsidRDefault="001F5325" w:rsidP="00F30456">
            <w:pPr>
              <w:autoSpaceDE w:val="0"/>
              <w:autoSpaceDN w:val="0"/>
              <w:adjustRightInd w:val="0"/>
              <w:rPr>
                <w:sz w:val="22"/>
                <w:szCs w:val="22"/>
                <w:vertAlign w:val="superscript"/>
                <w:lang w:val="lt-LT"/>
              </w:rPr>
            </w:pPr>
          </w:p>
        </w:tc>
      </w:tr>
      <w:tr w:rsidR="001F5325" w:rsidRPr="00C326B9" w:rsidTr="00F30456">
        <w:tc>
          <w:tcPr>
            <w:tcW w:w="8719" w:type="dxa"/>
            <w:gridSpan w:val="6"/>
            <w:shd w:val="clear" w:color="auto" w:fill="auto"/>
          </w:tcPr>
          <w:p w:rsidR="001F5325" w:rsidRPr="00C326B9" w:rsidRDefault="001F5325" w:rsidP="00F30456">
            <w:pPr>
              <w:autoSpaceDE w:val="0"/>
              <w:autoSpaceDN w:val="0"/>
              <w:adjustRightInd w:val="0"/>
              <w:rPr>
                <w:sz w:val="22"/>
                <w:szCs w:val="22"/>
                <w:vertAlign w:val="superscript"/>
                <w:lang w:val="lt-LT"/>
              </w:rPr>
            </w:pPr>
            <w:r w:rsidRPr="00C326B9">
              <w:rPr>
                <w:b/>
                <w:bCs/>
                <w:sz w:val="22"/>
                <w:szCs w:val="22"/>
                <w:lang w:val="lt-LT"/>
              </w:rPr>
              <w:t>Metabolizmo ir mitybos</w:t>
            </w:r>
            <w:r w:rsidRPr="00C326B9">
              <w:rPr>
                <w:b/>
                <w:sz w:val="22"/>
                <w:szCs w:val="22"/>
                <w:lang w:val="lt-LT"/>
              </w:rPr>
              <w:t xml:space="preserve"> sutrikimai</w:t>
            </w:r>
          </w:p>
        </w:tc>
      </w:tr>
      <w:tr w:rsidR="001F5325" w:rsidRPr="00C326B9" w:rsidTr="00F30456">
        <w:tc>
          <w:tcPr>
            <w:tcW w:w="2109" w:type="dxa"/>
            <w:shd w:val="clear" w:color="auto" w:fill="auto"/>
          </w:tcPr>
          <w:p w:rsidR="001F5325" w:rsidRPr="00C326B9" w:rsidRDefault="001F5325" w:rsidP="00F30456">
            <w:pPr>
              <w:autoSpaceDE w:val="0"/>
              <w:autoSpaceDN w:val="0"/>
              <w:adjustRightInd w:val="0"/>
              <w:rPr>
                <w:sz w:val="22"/>
                <w:szCs w:val="22"/>
                <w:vertAlign w:val="superscript"/>
                <w:lang w:val="lt-LT"/>
              </w:rPr>
            </w:pPr>
            <w:r w:rsidRPr="00C326B9">
              <w:rPr>
                <w:sz w:val="22"/>
                <w:szCs w:val="22"/>
                <w:lang w:val="lt-LT"/>
              </w:rPr>
              <w:t xml:space="preserve">Svorio padidėjimas </w:t>
            </w:r>
            <w:r w:rsidRPr="00C326B9">
              <w:rPr>
                <w:sz w:val="22"/>
                <w:szCs w:val="22"/>
                <w:vertAlign w:val="superscript"/>
                <w:lang w:val="lt-LT"/>
              </w:rPr>
              <w:t>1</w:t>
            </w:r>
          </w:p>
        </w:tc>
        <w:tc>
          <w:tcPr>
            <w:tcW w:w="2164" w:type="dxa"/>
            <w:gridSpan w:val="2"/>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Cholesterolio</w:t>
            </w:r>
          </w:p>
          <w:p w:rsidR="001F5325" w:rsidRPr="00C326B9" w:rsidRDefault="001F5325" w:rsidP="00F30456">
            <w:pPr>
              <w:autoSpaceDE w:val="0"/>
              <w:autoSpaceDN w:val="0"/>
              <w:adjustRightInd w:val="0"/>
              <w:rPr>
                <w:sz w:val="22"/>
                <w:szCs w:val="22"/>
                <w:lang w:val="lt-LT"/>
              </w:rPr>
            </w:pPr>
            <w:r w:rsidRPr="00C326B9">
              <w:rPr>
                <w:sz w:val="22"/>
                <w:szCs w:val="22"/>
                <w:lang w:val="lt-LT"/>
              </w:rPr>
              <w:t>koncentracijos</w:t>
            </w:r>
          </w:p>
          <w:p w:rsidR="001F5325" w:rsidRPr="00C326B9" w:rsidRDefault="001F5325" w:rsidP="00F30456">
            <w:pPr>
              <w:autoSpaceDE w:val="0"/>
              <w:autoSpaceDN w:val="0"/>
              <w:adjustRightInd w:val="0"/>
              <w:rPr>
                <w:sz w:val="22"/>
                <w:szCs w:val="22"/>
                <w:lang w:val="lt-LT"/>
              </w:rPr>
            </w:pPr>
            <w:r w:rsidRPr="00C326B9">
              <w:rPr>
                <w:sz w:val="22"/>
                <w:szCs w:val="22"/>
                <w:lang w:val="lt-LT"/>
              </w:rPr>
              <w:t xml:space="preserve">padidėjimas </w:t>
            </w:r>
            <w:r w:rsidRPr="00C326B9">
              <w:rPr>
                <w:sz w:val="22"/>
                <w:szCs w:val="22"/>
                <w:vertAlign w:val="superscript"/>
                <w:lang w:val="lt-LT"/>
              </w:rPr>
              <w:t>2, 3</w:t>
            </w:r>
          </w:p>
          <w:p w:rsidR="001F5325" w:rsidRPr="00C326B9" w:rsidRDefault="001F5325" w:rsidP="00F30456">
            <w:pPr>
              <w:autoSpaceDE w:val="0"/>
              <w:autoSpaceDN w:val="0"/>
              <w:adjustRightInd w:val="0"/>
              <w:rPr>
                <w:sz w:val="22"/>
                <w:szCs w:val="22"/>
                <w:lang w:val="lt-LT"/>
              </w:rPr>
            </w:pPr>
            <w:r w:rsidRPr="00C326B9">
              <w:rPr>
                <w:sz w:val="22"/>
                <w:szCs w:val="22"/>
                <w:lang w:val="lt-LT"/>
              </w:rPr>
              <w:t>Gliukozės</w:t>
            </w:r>
          </w:p>
          <w:p w:rsidR="001F5325" w:rsidRPr="00C326B9" w:rsidRDefault="001F5325" w:rsidP="00F30456">
            <w:pPr>
              <w:autoSpaceDE w:val="0"/>
              <w:autoSpaceDN w:val="0"/>
              <w:adjustRightInd w:val="0"/>
              <w:rPr>
                <w:sz w:val="22"/>
                <w:szCs w:val="22"/>
                <w:lang w:val="lt-LT"/>
              </w:rPr>
            </w:pPr>
            <w:r w:rsidRPr="00C326B9">
              <w:rPr>
                <w:sz w:val="22"/>
                <w:szCs w:val="22"/>
                <w:lang w:val="lt-LT"/>
              </w:rPr>
              <w:t>koncentracijos</w:t>
            </w:r>
          </w:p>
          <w:p w:rsidR="001F5325" w:rsidRPr="00C326B9" w:rsidRDefault="001F5325" w:rsidP="00F30456">
            <w:pPr>
              <w:autoSpaceDE w:val="0"/>
              <w:autoSpaceDN w:val="0"/>
              <w:adjustRightInd w:val="0"/>
              <w:rPr>
                <w:sz w:val="22"/>
                <w:szCs w:val="22"/>
                <w:lang w:val="lt-LT"/>
              </w:rPr>
            </w:pPr>
            <w:r w:rsidRPr="00C326B9">
              <w:rPr>
                <w:sz w:val="22"/>
                <w:szCs w:val="22"/>
                <w:lang w:val="lt-LT"/>
              </w:rPr>
              <w:t xml:space="preserve">padidėjimas </w:t>
            </w:r>
            <w:r w:rsidRPr="00C326B9">
              <w:rPr>
                <w:sz w:val="22"/>
                <w:szCs w:val="22"/>
                <w:vertAlign w:val="superscript"/>
                <w:lang w:val="lt-LT"/>
              </w:rPr>
              <w:t>4</w:t>
            </w:r>
          </w:p>
          <w:p w:rsidR="001F5325" w:rsidRPr="00C326B9" w:rsidRDefault="001F5325" w:rsidP="00F30456">
            <w:pPr>
              <w:autoSpaceDE w:val="0"/>
              <w:autoSpaceDN w:val="0"/>
              <w:adjustRightInd w:val="0"/>
              <w:rPr>
                <w:sz w:val="22"/>
                <w:szCs w:val="22"/>
                <w:lang w:val="lt-LT"/>
              </w:rPr>
            </w:pPr>
            <w:r w:rsidRPr="00C326B9">
              <w:rPr>
                <w:sz w:val="22"/>
                <w:szCs w:val="22"/>
                <w:lang w:val="lt-LT"/>
              </w:rPr>
              <w:t>Trigliceridų</w:t>
            </w:r>
          </w:p>
          <w:p w:rsidR="001F5325" w:rsidRPr="00C326B9" w:rsidRDefault="001F5325" w:rsidP="00F30456">
            <w:pPr>
              <w:autoSpaceDE w:val="0"/>
              <w:autoSpaceDN w:val="0"/>
              <w:adjustRightInd w:val="0"/>
              <w:rPr>
                <w:sz w:val="22"/>
                <w:szCs w:val="22"/>
                <w:lang w:val="lt-LT"/>
              </w:rPr>
            </w:pPr>
            <w:r w:rsidRPr="00C326B9">
              <w:rPr>
                <w:sz w:val="22"/>
                <w:szCs w:val="22"/>
                <w:lang w:val="lt-LT"/>
              </w:rPr>
              <w:t>koncentracijos</w:t>
            </w:r>
          </w:p>
          <w:p w:rsidR="001F5325" w:rsidRPr="00C326B9" w:rsidRDefault="001F5325" w:rsidP="00F30456">
            <w:pPr>
              <w:autoSpaceDE w:val="0"/>
              <w:autoSpaceDN w:val="0"/>
              <w:adjustRightInd w:val="0"/>
              <w:rPr>
                <w:sz w:val="22"/>
                <w:szCs w:val="22"/>
                <w:lang w:val="lt-LT"/>
              </w:rPr>
            </w:pPr>
            <w:r w:rsidRPr="00C326B9">
              <w:rPr>
                <w:sz w:val="22"/>
                <w:szCs w:val="22"/>
                <w:lang w:val="lt-LT"/>
              </w:rPr>
              <w:t xml:space="preserve">padidėjimas </w:t>
            </w:r>
            <w:r w:rsidRPr="00C326B9">
              <w:rPr>
                <w:sz w:val="22"/>
                <w:szCs w:val="22"/>
                <w:vertAlign w:val="superscript"/>
                <w:lang w:val="lt-LT"/>
              </w:rPr>
              <w:t>2, 5</w:t>
            </w:r>
          </w:p>
          <w:p w:rsidR="001F5325" w:rsidRPr="00C326B9" w:rsidRDefault="001F5325" w:rsidP="00F30456">
            <w:pPr>
              <w:autoSpaceDE w:val="0"/>
              <w:autoSpaceDN w:val="0"/>
              <w:adjustRightInd w:val="0"/>
              <w:rPr>
                <w:sz w:val="22"/>
                <w:szCs w:val="22"/>
                <w:lang w:val="lt-LT"/>
              </w:rPr>
            </w:pPr>
            <w:r w:rsidRPr="00C326B9">
              <w:rPr>
                <w:sz w:val="22"/>
                <w:szCs w:val="22"/>
                <w:lang w:val="lt-LT"/>
              </w:rPr>
              <w:t>Gliukozurija</w:t>
            </w:r>
          </w:p>
          <w:p w:rsidR="001F5325" w:rsidRPr="00C326B9" w:rsidRDefault="001F5325" w:rsidP="00F30456">
            <w:pPr>
              <w:autoSpaceDE w:val="0"/>
              <w:autoSpaceDN w:val="0"/>
              <w:adjustRightInd w:val="0"/>
              <w:rPr>
                <w:sz w:val="22"/>
                <w:szCs w:val="22"/>
                <w:vertAlign w:val="superscript"/>
                <w:lang w:val="lt-LT"/>
              </w:rPr>
            </w:pPr>
            <w:r w:rsidRPr="00C326B9">
              <w:rPr>
                <w:sz w:val="22"/>
                <w:szCs w:val="22"/>
                <w:lang w:val="lt-LT"/>
              </w:rPr>
              <w:t>Apetito padidėjimas</w:t>
            </w:r>
          </w:p>
        </w:tc>
        <w:tc>
          <w:tcPr>
            <w:tcW w:w="2164" w:type="dxa"/>
            <w:gridSpan w:val="2"/>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Diabeto atsiradimas</w:t>
            </w:r>
          </w:p>
          <w:p w:rsidR="001F5325" w:rsidRPr="00C326B9" w:rsidRDefault="001F5325" w:rsidP="00F30456">
            <w:pPr>
              <w:autoSpaceDE w:val="0"/>
              <w:autoSpaceDN w:val="0"/>
              <w:adjustRightInd w:val="0"/>
              <w:rPr>
                <w:sz w:val="22"/>
                <w:szCs w:val="22"/>
                <w:lang w:val="lt-LT"/>
              </w:rPr>
            </w:pPr>
            <w:r w:rsidRPr="00C326B9">
              <w:rPr>
                <w:sz w:val="22"/>
                <w:szCs w:val="22"/>
                <w:lang w:val="lt-LT"/>
              </w:rPr>
              <w:t>arba pasunkėjimas,</w:t>
            </w:r>
          </w:p>
          <w:p w:rsidR="001F5325" w:rsidRPr="00C326B9" w:rsidRDefault="001F5325" w:rsidP="00F30456">
            <w:pPr>
              <w:autoSpaceDE w:val="0"/>
              <w:autoSpaceDN w:val="0"/>
              <w:adjustRightInd w:val="0"/>
              <w:rPr>
                <w:sz w:val="22"/>
                <w:szCs w:val="22"/>
                <w:lang w:val="lt-LT"/>
              </w:rPr>
            </w:pPr>
            <w:r w:rsidRPr="00C326B9">
              <w:rPr>
                <w:sz w:val="22"/>
                <w:szCs w:val="22"/>
                <w:lang w:val="lt-LT"/>
              </w:rPr>
              <w:t>kartais pasireiškiantis</w:t>
            </w:r>
          </w:p>
          <w:p w:rsidR="001F5325" w:rsidRPr="00C326B9" w:rsidRDefault="001F5325" w:rsidP="00F30456">
            <w:pPr>
              <w:autoSpaceDE w:val="0"/>
              <w:autoSpaceDN w:val="0"/>
              <w:adjustRightInd w:val="0"/>
              <w:rPr>
                <w:sz w:val="22"/>
                <w:szCs w:val="22"/>
                <w:lang w:val="lt-LT"/>
              </w:rPr>
            </w:pPr>
            <w:r w:rsidRPr="00C326B9">
              <w:rPr>
                <w:sz w:val="22"/>
                <w:szCs w:val="22"/>
                <w:lang w:val="lt-LT"/>
              </w:rPr>
              <w:t>ketoacidoze ar koma,</w:t>
            </w:r>
          </w:p>
          <w:p w:rsidR="001F5325" w:rsidRPr="00C326B9" w:rsidRDefault="001F5325" w:rsidP="00F30456">
            <w:pPr>
              <w:autoSpaceDE w:val="0"/>
              <w:autoSpaceDN w:val="0"/>
              <w:adjustRightInd w:val="0"/>
              <w:rPr>
                <w:sz w:val="22"/>
                <w:szCs w:val="22"/>
                <w:lang w:val="lt-LT"/>
              </w:rPr>
            </w:pPr>
            <w:r w:rsidRPr="00C326B9">
              <w:rPr>
                <w:sz w:val="22"/>
                <w:szCs w:val="22"/>
                <w:lang w:val="lt-LT"/>
              </w:rPr>
              <w:t>įskaitant mirtinus</w:t>
            </w:r>
          </w:p>
          <w:p w:rsidR="001F5325" w:rsidRPr="00C326B9" w:rsidRDefault="001F5325" w:rsidP="00F30456">
            <w:pPr>
              <w:autoSpaceDE w:val="0"/>
              <w:autoSpaceDN w:val="0"/>
              <w:adjustRightInd w:val="0"/>
              <w:rPr>
                <w:sz w:val="22"/>
                <w:szCs w:val="22"/>
                <w:lang w:val="lt-LT"/>
              </w:rPr>
            </w:pPr>
            <w:r w:rsidRPr="00C326B9">
              <w:rPr>
                <w:sz w:val="22"/>
                <w:szCs w:val="22"/>
                <w:lang w:val="lt-LT"/>
              </w:rPr>
              <w:t>atvejus (žr. 4.4 skyrių)</w:t>
            </w:r>
            <w:r w:rsidRPr="00C326B9">
              <w:rPr>
                <w:sz w:val="22"/>
                <w:szCs w:val="22"/>
                <w:vertAlign w:val="superscript"/>
                <w:lang w:val="lt-LT"/>
              </w:rPr>
              <w:t>11</w:t>
            </w:r>
          </w:p>
          <w:p w:rsidR="001F5325" w:rsidRPr="00C326B9" w:rsidRDefault="001F5325" w:rsidP="00F30456">
            <w:pPr>
              <w:autoSpaceDE w:val="0"/>
              <w:autoSpaceDN w:val="0"/>
              <w:adjustRightInd w:val="0"/>
              <w:rPr>
                <w:sz w:val="22"/>
                <w:szCs w:val="22"/>
                <w:vertAlign w:val="superscript"/>
                <w:lang w:val="lt-LT"/>
              </w:rPr>
            </w:pPr>
          </w:p>
        </w:tc>
        <w:tc>
          <w:tcPr>
            <w:tcW w:w="2282" w:type="dxa"/>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Hipotermija</w:t>
            </w:r>
            <w:r w:rsidRPr="00C326B9">
              <w:rPr>
                <w:sz w:val="22"/>
                <w:szCs w:val="22"/>
                <w:vertAlign w:val="superscript"/>
                <w:lang w:val="lt-LT"/>
              </w:rPr>
              <w:t>12</w:t>
            </w:r>
          </w:p>
        </w:tc>
      </w:tr>
      <w:tr w:rsidR="001F5325" w:rsidRPr="00C326B9" w:rsidTr="00F30456">
        <w:tc>
          <w:tcPr>
            <w:tcW w:w="8719" w:type="dxa"/>
            <w:gridSpan w:val="6"/>
            <w:shd w:val="clear" w:color="auto" w:fill="auto"/>
          </w:tcPr>
          <w:p w:rsidR="001F5325" w:rsidRPr="00C326B9" w:rsidRDefault="001F5325" w:rsidP="00F30456">
            <w:pPr>
              <w:autoSpaceDE w:val="0"/>
              <w:autoSpaceDN w:val="0"/>
              <w:adjustRightInd w:val="0"/>
              <w:rPr>
                <w:sz w:val="22"/>
                <w:szCs w:val="22"/>
                <w:vertAlign w:val="superscript"/>
                <w:lang w:val="lt-LT"/>
              </w:rPr>
            </w:pPr>
            <w:r w:rsidRPr="00C326B9">
              <w:rPr>
                <w:b/>
                <w:bCs/>
                <w:sz w:val="22"/>
                <w:szCs w:val="22"/>
                <w:lang w:val="lt-LT"/>
              </w:rPr>
              <w:t>Nervų sistemos</w:t>
            </w:r>
            <w:r w:rsidRPr="00C326B9">
              <w:rPr>
                <w:b/>
                <w:sz w:val="22"/>
                <w:szCs w:val="22"/>
                <w:lang w:val="lt-LT"/>
              </w:rPr>
              <w:t xml:space="preserve"> sutrikimai</w:t>
            </w:r>
          </w:p>
        </w:tc>
      </w:tr>
      <w:tr w:rsidR="001F5325" w:rsidRPr="00C326B9" w:rsidTr="00F30456">
        <w:tc>
          <w:tcPr>
            <w:tcW w:w="2109" w:type="dxa"/>
            <w:shd w:val="clear" w:color="auto" w:fill="auto"/>
          </w:tcPr>
          <w:p w:rsidR="001F5325" w:rsidRPr="00C326B9" w:rsidRDefault="001F5325" w:rsidP="00F30456">
            <w:pPr>
              <w:autoSpaceDE w:val="0"/>
              <w:autoSpaceDN w:val="0"/>
              <w:adjustRightInd w:val="0"/>
              <w:rPr>
                <w:sz w:val="22"/>
                <w:szCs w:val="22"/>
                <w:vertAlign w:val="superscript"/>
                <w:lang w:val="lt-LT"/>
              </w:rPr>
            </w:pPr>
            <w:r w:rsidRPr="00C326B9">
              <w:rPr>
                <w:sz w:val="22"/>
                <w:szCs w:val="22"/>
                <w:lang w:val="lt-LT"/>
              </w:rPr>
              <w:t>Somnolencija</w:t>
            </w:r>
          </w:p>
        </w:tc>
        <w:tc>
          <w:tcPr>
            <w:tcW w:w="2164" w:type="dxa"/>
            <w:gridSpan w:val="2"/>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Galvos svaigimas</w:t>
            </w:r>
          </w:p>
          <w:p w:rsidR="001F5325" w:rsidRPr="00C326B9" w:rsidRDefault="001F5325" w:rsidP="00F30456">
            <w:pPr>
              <w:autoSpaceDE w:val="0"/>
              <w:autoSpaceDN w:val="0"/>
              <w:adjustRightInd w:val="0"/>
              <w:rPr>
                <w:sz w:val="22"/>
                <w:szCs w:val="22"/>
                <w:lang w:val="lt-LT"/>
              </w:rPr>
            </w:pPr>
            <w:r w:rsidRPr="00C326B9">
              <w:rPr>
                <w:sz w:val="22"/>
                <w:szCs w:val="22"/>
                <w:lang w:val="lt-LT"/>
              </w:rPr>
              <w:t>Akatizija</w:t>
            </w:r>
            <w:r w:rsidRPr="00C326B9">
              <w:rPr>
                <w:sz w:val="22"/>
                <w:szCs w:val="22"/>
                <w:vertAlign w:val="superscript"/>
                <w:lang w:val="lt-LT"/>
              </w:rPr>
              <w:t xml:space="preserve"> 6</w:t>
            </w:r>
          </w:p>
          <w:p w:rsidR="001F5325" w:rsidRPr="00C326B9" w:rsidRDefault="001F5325" w:rsidP="00F30456">
            <w:pPr>
              <w:autoSpaceDE w:val="0"/>
              <w:autoSpaceDN w:val="0"/>
              <w:adjustRightInd w:val="0"/>
              <w:rPr>
                <w:sz w:val="22"/>
                <w:szCs w:val="22"/>
                <w:lang w:val="lt-LT"/>
              </w:rPr>
            </w:pPr>
            <w:r w:rsidRPr="00C326B9">
              <w:rPr>
                <w:sz w:val="22"/>
                <w:szCs w:val="22"/>
                <w:lang w:val="lt-LT"/>
              </w:rPr>
              <w:t xml:space="preserve">Parkinsonizmas </w:t>
            </w:r>
            <w:r w:rsidRPr="00C326B9">
              <w:rPr>
                <w:sz w:val="22"/>
                <w:szCs w:val="22"/>
                <w:vertAlign w:val="superscript"/>
                <w:lang w:val="lt-LT"/>
              </w:rPr>
              <w:t>6</w:t>
            </w:r>
          </w:p>
          <w:p w:rsidR="001F5325" w:rsidRPr="00C326B9" w:rsidRDefault="001F5325" w:rsidP="00F30456">
            <w:pPr>
              <w:autoSpaceDE w:val="0"/>
              <w:autoSpaceDN w:val="0"/>
              <w:adjustRightInd w:val="0"/>
              <w:rPr>
                <w:sz w:val="22"/>
                <w:szCs w:val="22"/>
                <w:vertAlign w:val="superscript"/>
                <w:lang w:val="lt-LT"/>
              </w:rPr>
            </w:pPr>
            <w:r w:rsidRPr="00C326B9">
              <w:rPr>
                <w:sz w:val="22"/>
                <w:szCs w:val="22"/>
                <w:lang w:val="lt-LT"/>
              </w:rPr>
              <w:t xml:space="preserve">Diskinezija </w:t>
            </w:r>
            <w:r w:rsidRPr="00C326B9">
              <w:rPr>
                <w:sz w:val="22"/>
                <w:szCs w:val="22"/>
                <w:vertAlign w:val="superscript"/>
                <w:lang w:val="lt-LT"/>
              </w:rPr>
              <w:t>6</w:t>
            </w:r>
          </w:p>
        </w:tc>
        <w:tc>
          <w:tcPr>
            <w:tcW w:w="2164" w:type="dxa"/>
            <w:gridSpan w:val="2"/>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Traukuliai, kurių</w:t>
            </w:r>
          </w:p>
          <w:p w:rsidR="001F5325" w:rsidRPr="00C326B9" w:rsidRDefault="001F5325" w:rsidP="00F30456">
            <w:pPr>
              <w:autoSpaceDE w:val="0"/>
              <w:autoSpaceDN w:val="0"/>
              <w:adjustRightInd w:val="0"/>
              <w:rPr>
                <w:sz w:val="22"/>
                <w:szCs w:val="22"/>
                <w:lang w:val="lt-LT"/>
              </w:rPr>
            </w:pPr>
            <w:r w:rsidRPr="00C326B9">
              <w:rPr>
                <w:sz w:val="22"/>
                <w:szCs w:val="22"/>
                <w:lang w:val="lt-LT"/>
              </w:rPr>
              <w:t>daugeliu atvejų</w:t>
            </w:r>
          </w:p>
          <w:p w:rsidR="001F5325" w:rsidRPr="00C326B9" w:rsidRDefault="001F5325" w:rsidP="00F30456">
            <w:pPr>
              <w:autoSpaceDE w:val="0"/>
              <w:autoSpaceDN w:val="0"/>
              <w:adjustRightInd w:val="0"/>
              <w:rPr>
                <w:sz w:val="22"/>
                <w:szCs w:val="22"/>
                <w:lang w:val="lt-LT"/>
              </w:rPr>
            </w:pPr>
            <w:r w:rsidRPr="00C326B9">
              <w:rPr>
                <w:sz w:val="22"/>
                <w:szCs w:val="22"/>
                <w:lang w:val="lt-LT"/>
              </w:rPr>
              <w:t>atsirado pacientams,</w:t>
            </w:r>
          </w:p>
          <w:p w:rsidR="001F5325" w:rsidRPr="00C326B9" w:rsidRDefault="001F5325" w:rsidP="00F30456">
            <w:pPr>
              <w:autoSpaceDE w:val="0"/>
              <w:autoSpaceDN w:val="0"/>
              <w:adjustRightInd w:val="0"/>
              <w:rPr>
                <w:sz w:val="22"/>
                <w:szCs w:val="22"/>
                <w:lang w:val="lt-LT"/>
              </w:rPr>
            </w:pPr>
            <w:r w:rsidRPr="00C326B9">
              <w:rPr>
                <w:sz w:val="22"/>
                <w:szCs w:val="22"/>
                <w:lang w:val="lt-LT"/>
              </w:rPr>
              <w:t>kuriems anksčiau buvo</w:t>
            </w:r>
          </w:p>
          <w:p w:rsidR="001F5325" w:rsidRPr="00C326B9" w:rsidRDefault="001F5325" w:rsidP="00F30456">
            <w:pPr>
              <w:autoSpaceDE w:val="0"/>
              <w:autoSpaceDN w:val="0"/>
              <w:adjustRightInd w:val="0"/>
              <w:rPr>
                <w:sz w:val="22"/>
                <w:szCs w:val="22"/>
                <w:lang w:val="lt-LT"/>
              </w:rPr>
            </w:pPr>
            <w:r w:rsidRPr="00C326B9">
              <w:rPr>
                <w:sz w:val="22"/>
                <w:szCs w:val="22"/>
                <w:lang w:val="lt-LT"/>
              </w:rPr>
              <w:t>traukulių arba nustatyta</w:t>
            </w:r>
          </w:p>
          <w:p w:rsidR="001F5325" w:rsidRPr="00C326B9" w:rsidRDefault="001F5325" w:rsidP="00F30456">
            <w:pPr>
              <w:autoSpaceDE w:val="0"/>
              <w:autoSpaceDN w:val="0"/>
              <w:adjustRightInd w:val="0"/>
              <w:rPr>
                <w:sz w:val="22"/>
                <w:szCs w:val="22"/>
                <w:lang w:val="lt-LT"/>
              </w:rPr>
            </w:pPr>
            <w:r w:rsidRPr="00C326B9">
              <w:rPr>
                <w:sz w:val="22"/>
                <w:szCs w:val="22"/>
                <w:lang w:val="lt-LT"/>
              </w:rPr>
              <w:t>rizikos veiksnių</w:t>
            </w:r>
            <w:r w:rsidRPr="00C326B9">
              <w:rPr>
                <w:sz w:val="22"/>
                <w:szCs w:val="22"/>
                <w:vertAlign w:val="superscript"/>
                <w:lang w:val="lt-LT"/>
              </w:rPr>
              <w:t>11</w:t>
            </w:r>
          </w:p>
          <w:p w:rsidR="001F5325" w:rsidRPr="00C326B9" w:rsidRDefault="001F5325" w:rsidP="00F30456">
            <w:pPr>
              <w:autoSpaceDE w:val="0"/>
              <w:autoSpaceDN w:val="0"/>
              <w:adjustRightInd w:val="0"/>
              <w:rPr>
                <w:sz w:val="22"/>
                <w:szCs w:val="22"/>
                <w:lang w:val="lt-LT"/>
              </w:rPr>
            </w:pPr>
            <w:r w:rsidRPr="00C326B9">
              <w:rPr>
                <w:sz w:val="22"/>
                <w:szCs w:val="22"/>
                <w:lang w:val="lt-LT"/>
              </w:rPr>
              <w:t>Distonija (įskaitant</w:t>
            </w:r>
          </w:p>
          <w:p w:rsidR="001F5325" w:rsidRPr="00C326B9" w:rsidRDefault="001F5325" w:rsidP="00F30456">
            <w:pPr>
              <w:autoSpaceDE w:val="0"/>
              <w:autoSpaceDN w:val="0"/>
              <w:adjustRightInd w:val="0"/>
              <w:rPr>
                <w:sz w:val="22"/>
                <w:szCs w:val="22"/>
                <w:lang w:val="lt-LT"/>
              </w:rPr>
            </w:pPr>
            <w:r w:rsidRPr="00C326B9">
              <w:rPr>
                <w:sz w:val="22"/>
                <w:szCs w:val="22"/>
                <w:lang w:val="lt-LT"/>
              </w:rPr>
              <w:t>okulogiraciją)</w:t>
            </w:r>
            <w:r w:rsidRPr="00C326B9">
              <w:rPr>
                <w:sz w:val="22"/>
                <w:szCs w:val="22"/>
                <w:vertAlign w:val="superscript"/>
                <w:lang w:val="lt-LT"/>
              </w:rPr>
              <w:t>11</w:t>
            </w:r>
          </w:p>
          <w:p w:rsidR="001F5325" w:rsidRPr="00C326B9" w:rsidRDefault="001F5325" w:rsidP="00F30456">
            <w:pPr>
              <w:autoSpaceDE w:val="0"/>
              <w:autoSpaceDN w:val="0"/>
              <w:adjustRightInd w:val="0"/>
              <w:rPr>
                <w:sz w:val="22"/>
                <w:szCs w:val="22"/>
                <w:lang w:val="fr-FR"/>
              </w:rPr>
            </w:pPr>
            <w:proofErr w:type="spellStart"/>
            <w:r w:rsidRPr="00C326B9">
              <w:rPr>
                <w:sz w:val="22"/>
                <w:szCs w:val="22"/>
                <w:lang w:val="fr-FR"/>
              </w:rPr>
              <w:t>Vėlyvoji</w:t>
            </w:r>
            <w:proofErr w:type="spellEnd"/>
            <w:r w:rsidRPr="00C326B9">
              <w:rPr>
                <w:sz w:val="22"/>
                <w:szCs w:val="22"/>
                <w:lang w:val="fr-FR"/>
              </w:rPr>
              <w:t xml:space="preserve"> diskinezija</w:t>
            </w:r>
            <w:r w:rsidRPr="00C326B9">
              <w:rPr>
                <w:sz w:val="22"/>
                <w:szCs w:val="22"/>
                <w:vertAlign w:val="superscript"/>
                <w:lang w:val="fr-FR"/>
              </w:rPr>
              <w:t>11</w:t>
            </w:r>
          </w:p>
          <w:p w:rsidR="001F5325" w:rsidRPr="00537E35" w:rsidRDefault="001F5325" w:rsidP="00F30456">
            <w:pPr>
              <w:pStyle w:val="Default"/>
              <w:rPr>
                <w:rFonts w:ascii="Times New Roman" w:hAnsi="Times New Roman" w:cs="Times New Roman"/>
                <w:sz w:val="22"/>
                <w:szCs w:val="22"/>
              </w:rPr>
            </w:pPr>
            <w:r w:rsidRPr="00537E35">
              <w:rPr>
                <w:rFonts w:ascii="Times New Roman" w:hAnsi="Times New Roman" w:cs="Times New Roman"/>
                <w:sz w:val="22"/>
                <w:szCs w:val="22"/>
              </w:rPr>
              <w:t xml:space="preserve">Amnezija 9 </w:t>
            </w:r>
          </w:p>
          <w:p w:rsidR="001F5325" w:rsidRPr="00C326B9" w:rsidRDefault="001F5325" w:rsidP="00F30456">
            <w:pPr>
              <w:autoSpaceDE w:val="0"/>
              <w:autoSpaceDN w:val="0"/>
              <w:adjustRightInd w:val="0"/>
              <w:rPr>
                <w:sz w:val="22"/>
                <w:szCs w:val="22"/>
                <w:vertAlign w:val="superscript"/>
                <w:lang w:val="lt-LT"/>
              </w:rPr>
            </w:pPr>
            <w:r w:rsidRPr="00537E35">
              <w:rPr>
                <w:sz w:val="22"/>
                <w:szCs w:val="22"/>
              </w:rPr>
              <w:t>Dizartrija</w:t>
            </w:r>
          </w:p>
        </w:tc>
        <w:tc>
          <w:tcPr>
            <w:tcW w:w="2282" w:type="dxa"/>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Piktybinis</w:t>
            </w:r>
          </w:p>
          <w:p w:rsidR="001F5325" w:rsidRPr="00C326B9" w:rsidRDefault="001F5325" w:rsidP="00F30456">
            <w:pPr>
              <w:autoSpaceDE w:val="0"/>
              <w:autoSpaceDN w:val="0"/>
              <w:adjustRightInd w:val="0"/>
              <w:rPr>
                <w:sz w:val="22"/>
                <w:szCs w:val="22"/>
                <w:lang w:val="lt-LT"/>
              </w:rPr>
            </w:pPr>
            <w:r w:rsidRPr="00C326B9">
              <w:rPr>
                <w:sz w:val="22"/>
                <w:szCs w:val="22"/>
                <w:lang w:val="lt-LT"/>
              </w:rPr>
              <w:t>neurolepsinis</w:t>
            </w:r>
          </w:p>
          <w:p w:rsidR="001F5325" w:rsidRPr="00C326B9" w:rsidRDefault="001F5325" w:rsidP="00F30456">
            <w:pPr>
              <w:autoSpaceDE w:val="0"/>
              <w:autoSpaceDN w:val="0"/>
              <w:adjustRightInd w:val="0"/>
              <w:rPr>
                <w:sz w:val="22"/>
                <w:szCs w:val="22"/>
                <w:lang w:val="lt-LT"/>
              </w:rPr>
            </w:pPr>
            <w:r w:rsidRPr="00C326B9">
              <w:rPr>
                <w:sz w:val="22"/>
                <w:szCs w:val="22"/>
                <w:lang w:val="lt-LT"/>
              </w:rPr>
              <w:t>sindromas (žr. 4.4</w:t>
            </w:r>
          </w:p>
          <w:p w:rsidR="001F5325" w:rsidRPr="00C326B9" w:rsidRDefault="001F5325" w:rsidP="00F30456">
            <w:pPr>
              <w:autoSpaceDE w:val="0"/>
              <w:autoSpaceDN w:val="0"/>
              <w:adjustRightInd w:val="0"/>
              <w:rPr>
                <w:sz w:val="22"/>
                <w:szCs w:val="22"/>
                <w:lang w:val="lt-LT"/>
              </w:rPr>
            </w:pPr>
            <w:r w:rsidRPr="00C326B9">
              <w:rPr>
                <w:sz w:val="22"/>
                <w:szCs w:val="22"/>
                <w:lang w:val="lt-LT"/>
              </w:rPr>
              <w:t>skyrių)</w:t>
            </w:r>
            <w:r w:rsidRPr="00C326B9">
              <w:rPr>
                <w:sz w:val="22"/>
                <w:szCs w:val="22"/>
                <w:vertAlign w:val="superscript"/>
                <w:lang w:val="lt-LT"/>
              </w:rPr>
              <w:t>12</w:t>
            </w:r>
          </w:p>
          <w:p w:rsidR="001F5325" w:rsidRPr="00C326B9" w:rsidRDefault="001F5325" w:rsidP="00F30456">
            <w:pPr>
              <w:autoSpaceDE w:val="0"/>
              <w:autoSpaceDN w:val="0"/>
              <w:adjustRightInd w:val="0"/>
              <w:rPr>
                <w:sz w:val="22"/>
                <w:szCs w:val="22"/>
                <w:lang w:val="lt-LT"/>
              </w:rPr>
            </w:pPr>
            <w:r w:rsidRPr="00C326B9">
              <w:rPr>
                <w:sz w:val="22"/>
                <w:szCs w:val="22"/>
                <w:lang w:val="lt-LT"/>
              </w:rPr>
              <w:t>Nutraukimo</w:t>
            </w:r>
          </w:p>
          <w:p w:rsidR="001F5325" w:rsidRPr="00C326B9" w:rsidRDefault="001F5325" w:rsidP="00F30456">
            <w:pPr>
              <w:autoSpaceDE w:val="0"/>
              <w:autoSpaceDN w:val="0"/>
              <w:adjustRightInd w:val="0"/>
              <w:rPr>
                <w:sz w:val="22"/>
                <w:szCs w:val="22"/>
                <w:vertAlign w:val="superscript"/>
                <w:lang w:val="lt-LT"/>
              </w:rPr>
            </w:pPr>
            <w:r w:rsidRPr="00C326B9">
              <w:rPr>
                <w:sz w:val="22"/>
                <w:szCs w:val="22"/>
                <w:lang w:val="lt-LT"/>
              </w:rPr>
              <w:t>simptomai</w:t>
            </w:r>
            <w:r w:rsidRPr="00C326B9">
              <w:rPr>
                <w:sz w:val="22"/>
                <w:szCs w:val="22"/>
                <w:vertAlign w:val="superscript"/>
                <w:lang w:val="lt-LT"/>
              </w:rPr>
              <w:t xml:space="preserve"> 7,12</w:t>
            </w:r>
          </w:p>
        </w:tc>
      </w:tr>
      <w:tr w:rsidR="001F5325" w:rsidRPr="00C326B9" w:rsidTr="00F30456">
        <w:tc>
          <w:tcPr>
            <w:tcW w:w="8719" w:type="dxa"/>
            <w:gridSpan w:val="6"/>
          </w:tcPr>
          <w:p w:rsidR="001F5325" w:rsidRPr="00537E35" w:rsidRDefault="001F5325" w:rsidP="00F30456">
            <w:pPr>
              <w:pStyle w:val="Default"/>
              <w:rPr>
                <w:rFonts w:ascii="Times New Roman" w:hAnsi="Times New Roman" w:cs="Times New Roman"/>
                <w:sz w:val="22"/>
                <w:szCs w:val="22"/>
                <w:lang w:val="lt-LT"/>
              </w:rPr>
            </w:pPr>
            <w:r w:rsidRPr="00537E35">
              <w:rPr>
                <w:rFonts w:ascii="Times New Roman" w:hAnsi="Times New Roman" w:cs="Times New Roman"/>
                <w:b/>
                <w:bCs/>
                <w:sz w:val="22"/>
                <w:szCs w:val="22"/>
                <w:lang w:val="lt-LT"/>
              </w:rPr>
              <w:t xml:space="preserve">Kvėpavimo sistemos, krūtinės ląstos ir tarpuplaučio sutrikimai </w:t>
            </w:r>
          </w:p>
        </w:tc>
      </w:tr>
      <w:tr w:rsidR="001F5325" w:rsidRPr="00C326B9" w:rsidTr="00F30456">
        <w:tc>
          <w:tcPr>
            <w:tcW w:w="2109" w:type="dxa"/>
          </w:tcPr>
          <w:p w:rsidR="001F5325" w:rsidRPr="00C326B9" w:rsidRDefault="001F5325" w:rsidP="00F30456">
            <w:pPr>
              <w:autoSpaceDE w:val="0"/>
              <w:autoSpaceDN w:val="0"/>
              <w:adjustRightInd w:val="0"/>
              <w:rPr>
                <w:sz w:val="22"/>
                <w:szCs w:val="22"/>
                <w:vertAlign w:val="superscript"/>
                <w:lang w:val="lt-LT"/>
              </w:rPr>
            </w:pPr>
          </w:p>
        </w:tc>
        <w:tc>
          <w:tcPr>
            <w:tcW w:w="2164" w:type="dxa"/>
            <w:gridSpan w:val="2"/>
          </w:tcPr>
          <w:p w:rsidR="001F5325" w:rsidRPr="00C326B9" w:rsidRDefault="001F5325" w:rsidP="00F30456">
            <w:pPr>
              <w:autoSpaceDE w:val="0"/>
              <w:autoSpaceDN w:val="0"/>
              <w:adjustRightInd w:val="0"/>
              <w:rPr>
                <w:sz w:val="22"/>
                <w:szCs w:val="22"/>
                <w:vertAlign w:val="superscript"/>
                <w:lang w:val="lt-LT"/>
              </w:rPr>
            </w:pPr>
          </w:p>
        </w:tc>
        <w:tc>
          <w:tcPr>
            <w:tcW w:w="2164" w:type="dxa"/>
            <w:gridSpan w:val="2"/>
          </w:tcPr>
          <w:p w:rsidR="001F5325" w:rsidRPr="00537E35" w:rsidRDefault="001F5325" w:rsidP="00F30456">
            <w:pPr>
              <w:pStyle w:val="Default"/>
              <w:rPr>
                <w:rFonts w:ascii="Times New Roman" w:hAnsi="Times New Roman" w:cs="Times New Roman"/>
                <w:sz w:val="22"/>
                <w:szCs w:val="22"/>
              </w:rPr>
            </w:pPr>
            <w:r w:rsidRPr="00537E35">
              <w:rPr>
                <w:rFonts w:ascii="Times New Roman" w:hAnsi="Times New Roman" w:cs="Times New Roman"/>
                <w:sz w:val="22"/>
                <w:szCs w:val="22"/>
              </w:rPr>
              <w:t xml:space="preserve">Kraujavimas iš nosies </w:t>
            </w:r>
            <w:r w:rsidRPr="00537E35">
              <w:rPr>
                <w:rFonts w:ascii="Times New Roman" w:hAnsi="Times New Roman" w:cs="Times New Roman"/>
                <w:sz w:val="22"/>
                <w:szCs w:val="22"/>
                <w:vertAlign w:val="superscript"/>
              </w:rPr>
              <w:t xml:space="preserve">9 </w:t>
            </w:r>
          </w:p>
        </w:tc>
        <w:tc>
          <w:tcPr>
            <w:tcW w:w="2282" w:type="dxa"/>
          </w:tcPr>
          <w:p w:rsidR="001F5325" w:rsidRPr="00C326B9" w:rsidRDefault="001F5325" w:rsidP="00F30456">
            <w:pPr>
              <w:autoSpaceDE w:val="0"/>
              <w:autoSpaceDN w:val="0"/>
              <w:adjustRightInd w:val="0"/>
              <w:rPr>
                <w:sz w:val="22"/>
                <w:szCs w:val="22"/>
                <w:vertAlign w:val="superscript"/>
              </w:rPr>
            </w:pPr>
          </w:p>
        </w:tc>
      </w:tr>
      <w:tr w:rsidR="001F5325" w:rsidRPr="00C326B9" w:rsidTr="00F30456">
        <w:tc>
          <w:tcPr>
            <w:tcW w:w="8719" w:type="dxa"/>
            <w:gridSpan w:val="6"/>
            <w:shd w:val="clear" w:color="auto" w:fill="auto"/>
          </w:tcPr>
          <w:p w:rsidR="001F5325" w:rsidRPr="00C326B9" w:rsidRDefault="001F5325" w:rsidP="00F30456">
            <w:pPr>
              <w:autoSpaceDE w:val="0"/>
              <w:autoSpaceDN w:val="0"/>
              <w:adjustRightInd w:val="0"/>
              <w:rPr>
                <w:sz w:val="22"/>
                <w:szCs w:val="22"/>
                <w:vertAlign w:val="superscript"/>
                <w:lang w:val="lt-LT"/>
              </w:rPr>
            </w:pPr>
            <w:r w:rsidRPr="00C326B9">
              <w:rPr>
                <w:b/>
                <w:bCs/>
                <w:sz w:val="22"/>
                <w:szCs w:val="22"/>
                <w:lang w:val="lt-LT"/>
              </w:rPr>
              <w:t>Širdies sutrikimai</w:t>
            </w:r>
          </w:p>
        </w:tc>
      </w:tr>
      <w:tr w:rsidR="001F5325" w:rsidRPr="00C326B9" w:rsidTr="00F30456">
        <w:tc>
          <w:tcPr>
            <w:tcW w:w="2109" w:type="dxa"/>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164" w:type="dxa"/>
            <w:gridSpan w:val="2"/>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164" w:type="dxa"/>
            <w:gridSpan w:val="2"/>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Bradikardija</w:t>
            </w:r>
          </w:p>
          <w:p w:rsidR="001F5325" w:rsidRPr="00C326B9" w:rsidRDefault="001F5325" w:rsidP="00F30456">
            <w:pPr>
              <w:autoSpaceDE w:val="0"/>
              <w:autoSpaceDN w:val="0"/>
              <w:adjustRightInd w:val="0"/>
              <w:rPr>
                <w:sz w:val="22"/>
                <w:szCs w:val="22"/>
                <w:lang w:val="lt-LT"/>
              </w:rPr>
            </w:pPr>
            <w:r w:rsidRPr="00C326B9">
              <w:rPr>
                <w:sz w:val="22"/>
                <w:szCs w:val="22"/>
                <w:lang w:val="lt-LT"/>
              </w:rPr>
              <w:t xml:space="preserve">QTc pailgėjimas </w:t>
            </w:r>
          </w:p>
          <w:p w:rsidR="001F5325" w:rsidRPr="00C326B9" w:rsidRDefault="001F5325" w:rsidP="00F30456">
            <w:pPr>
              <w:autoSpaceDE w:val="0"/>
              <w:autoSpaceDN w:val="0"/>
              <w:adjustRightInd w:val="0"/>
              <w:rPr>
                <w:sz w:val="22"/>
                <w:szCs w:val="22"/>
                <w:lang w:val="lt-LT"/>
              </w:rPr>
            </w:pPr>
            <w:r w:rsidRPr="00C326B9">
              <w:rPr>
                <w:sz w:val="22"/>
                <w:szCs w:val="22"/>
                <w:lang w:val="lt-LT"/>
              </w:rPr>
              <w:t>(žr. 4.4 skyrių)</w:t>
            </w:r>
          </w:p>
        </w:tc>
        <w:tc>
          <w:tcPr>
            <w:tcW w:w="2282" w:type="dxa"/>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Skilvelinė</w:t>
            </w:r>
          </w:p>
          <w:p w:rsidR="001F5325" w:rsidRPr="00C326B9" w:rsidRDefault="001F5325" w:rsidP="00F30456">
            <w:pPr>
              <w:autoSpaceDE w:val="0"/>
              <w:autoSpaceDN w:val="0"/>
              <w:adjustRightInd w:val="0"/>
              <w:rPr>
                <w:sz w:val="22"/>
                <w:szCs w:val="22"/>
                <w:lang w:val="lt-LT"/>
              </w:rPr>
            </w:pPr>
            <w:r w:rsidRPr="00C326B9">
              <w:rPr>
                <w:sz w:val="22"/>
                <w:szCs w:val="22"/>
                <w:lang w:val="lt-LT"/>
              </w:rPr>
              <w:t>tachikardija/skilvelių</w:t>
            </w:r>
          </w:p>
          <w:p w:rsidR="001F5325" w:rsidRPr="00C326B9" w:rsidRDefault="001F5325" w:rsidP="00F30456">
            <w:pPr>
              <w:autoSpaceDE w:val="0"/>
              <w:autoSpaceDN w:val="0"/>
              <w:adjustRightInd w:val="0"/>
              <w:rPr>
                <w:sz w:val="22"/>
                <w:szCs w:val="22"/>
                <w:lang w:val="lt-LT"/>
              </w:rPr>
            </w:pPr>
            <w:r w:rsidRPr="00C326B9">
              <w:rPr>
                <w:sz w:val="22"/>
                <w:szCs w:val="22"/>
                <w:lang w:val="lt-LT"/>
              </w:rPr>
              <w:t>virpėjimas, staigi mirtis</w:t>
            </w:r>
          </w:p>
          <w:p w:rsidR="001F5325" w:rsidRPr="00C326B9" w:rsidRDefault="001F5325" w:rsidP="00F30456">
            <w:pPr>
              <w:autoSpaceDE w:val="0"/>
              <w:autoSpaceDN w:val="0"/>
              <w:adjustRightInd w:val="0"/>
              <w:rPr>
                <w:sz w:val="22"/>
                <w:szCs w:val="22"/>
                <w:lang w:val="lt-LT"/>
              </w:rPr>
            </w:pPr>
            <w:r w:rsidRPr="00C326B9">
              <w:rPr>
                <w:sz w:val="22"/>
                <w:szCs w:val="22"/>
                <w:lang w:val="lt-LT"/>
              </w:rPr>
              <w:t>(žr. 4.4 skyrių)</w:t>
            </w:r>
            <w:r w:rsidRPr="00C326B9">
              <w:rPr>
                <w:sz w:val="22"/>
                <w:szCs w:val="22"/>
                <w:vertAlign w:val="superscript"/>
                <w:lang w:val="lt-LT"/>
              </w:rPr>
              <w:t>11</w:t>
            </w:r>
          </w:p>
        </w:tc>
      </w:tr>
      <w:tr w:rsidR="001F5325" w:rsidRPr="00C326B9" w:rsidTr="00F30456">
        <w:tc>
          <w:tcPr>
            <w:tcW w:w="8719" w:type="dxa"/>
            <w:gridSpan w:val="6"/>
            <w:shd w:val="clear" w:color="auto" w:fill="auto"/>
          </w:tcPr>
          <w:p w:rsidR="001F5325" w:rsidRPr="00C326B9" w:rsidRDefault="001F5325" w:rsidP="00F30456">
            <w:pPr>
              <w:autoSpaceDE w:val="0"/>
              <w:autoSpaceDN w:val="0"/>
              <w:adjustRightInd w:val="0"/>
              <w:rPr>
                <w:sz w:val="22"/>
                <w:szCs w:val="22"/>
                <w:vertAlign w:val="superscript"/>
                <w:lang w:val="lt-LT"/>
              </w:rPr>
            </w:pPr>
            <w:r w:rsidRPr="00C326B9">
              <w:rPr>
                <w:b/>
                <w:bCs/>
                <w:sz w:val="22"/>
                <w:szCs w:val="22"/>
                <w:lang w:val="lt-LT"/>
              </w:rPr>
              <w:t>Kraujagyslių</w:t>
            </w:r>
            <w:r w:rsidRPr="00C326B9">
              <w:rPr>
                <w:b/>
                <w:sz w:val="22"/>
                <w:szCs w:val="22"/>
                <w:lang w:val="lt-LT"/>
              </w:rPr>
              <w:t xml:space="preserve"> sutrikimai</w:t>
            </w:r>
          </w:p>
        </w:tc>
      </w:tr>
      <w:tr w:rsidR="001F5325" w:rsidRPr="00C326B9" w:rsidTr="00F30456">
        <w:tc>
          <w:tcPr>
            <w:tcW w:w="2109" w:type="dxa"/>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Ortostatinė hipotenzija</w:t>
            </w:r>
            <w:r w:rsidRPr="00C326B9">
              <w:rPr>
                <w:sz w:val="22"/>
                <w:szCs w:val="22"/>
                <w:vertAlign w:val="superscript"/>
                <w:lang w:val="lt-LT"/>
              </w:rPr>
              <w:t>10</w:t>
            </w:r>
          </w:p>
        </w:tc>
        <w:tc>
          <w:tcPr>
            <w:tcW w:w="2164" w:type="dxa"/>
            <w:gridSpan w:val="2"/>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164" w:type="dxa"/>
            <w:gridSpan w:val="2"/>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Tromboembolija</w:t>
            </w:r>
          </w:p>
          <w:p w:rsidR="001F5325" w:rsidRPr="00C326B9" w:rsidRDefault="001F5325" w:rsidP="00F30456">
            <w:pPr>
              <w:autoSpaceDE w:val="0"/>
              <w:autoSpaceDN w:val="0"/>
              <w:adjustRightInd w:val="0"/>
              <w:rPr>
                <w:sz w:val="22"/>
                <w:szCs w:val="22"/>
                <w:lang w:val="lt-LT"/>
              </w:rPr>
            </w:pPr>
            <w:r w:rsidRPr="00C326B9">
              <w:rPr>
                <w:sz w:val="22"/>
                <w:szCs w:val="22"/>
                <w:lang w:val="lt-LT"/>
              </w:rPr>
              <w:t>(įskaitant plaučių</w:t>
            </w:r>
          </w:p>
          <w:p w:rsidR="001F5325" w:rsidRPr="00C326B9" w:rsidRDefault="001F5325" w:rsidP="00F30456">
            <w:pPr>
              <w:autoSpaceDE w:val="0"/>
              <w:autoSpaceDN w:val="0"/>
              <w:adjustRightInd w:val="0"/>
              <w:rPr>
                <w:sz w:val="22"/>
                <w:szCs w:val="22"/>
                <w:lang w:val="lt-LT"/>
              </w:rPr>
            </w:pPr>
            <w:r w:rsidRPr="00C326B9">
              <w:rPr>
                <w:sz w:val="22"/>
                <w:szCs w:val="22"/>
                <w:lang w:val="lt-LT"/>
              </w:rPr>
              <w:t>emboliją ir giliųjų venų</w:t>
            </w:r>
          </w:p>
          <w:p w:rsidR="001F5325" w:rsidRPr="00C326B9" w:rsidRDefault="001F5325" w:rsidP="00F30456">
            <w:pPr>
              <w:autoSpaceDE w:val="0"/>
              <w:autoSpaceDN w:val="0"/>
              <w:adjustRightInd w:val="0"/>
              <w:rPr>
                <w:sz w:val="22"/>
                <w:szCs w:val="22"/>
                <w:vertAlign w:val="superscript"/>
                <w:lang w:val="lt-LT"/>
              </w:rPr>
            </w:pPr>
            <w:r w:rsidRPr="00C326B9">
              <w:rPr>
                <w:sz w:val="22"/>
                <w:szCs w:val="22"/>
                <w:lang w:val="lt-LT"/>
              </w:rPr>
              <w:t>trombozę) (</w:t>
            </w:r>
            <w:r w:rsidRPr="00C326B9">
              <w:rPr>
                <w:sz w:val="22"/>
                <w:szCs w:val="22"/>
              </w:rPr>
              <w:t xml:space="preserve">žr.4.4 skyrių) </w:t>
            </w:r>
          </w:p>
        </w:tc>
        <w:tc>
          <w:tcPr>
            <w:tcW w:w="2282" w:type="dxa"/>
            <w:shd w:val="clear" w:color="auto" w:fill="auto"/>
          </w:tcPr>
          <w:p w:rsidR="001F5325" w:rsidRPr="00C326B9" w:rsidRDefault="001F5325" w:rsidP="00F30456">
            <w:pPr>
              <w:autoSpaceDE w:val="0"/>
              <w:autoSpaceDN w:val="0"/>
              <w:adjustRightInd w:val="0"/>
              <w:rPr>
                <w:sz w:val="22"/>
                <w:szCs w:val="22"/>
                <w:vertAlign w:val="superscript"/>
                <w:lang w:val="lt-LT"/>
              </w:rPr>
            </w:pPr>
          </w:p>
        </w:tc>
      </w:tr>
      <w:tr w:rsidR="001F5325" w:rsidRPr="00C326B9" w:rsidTr="00F30456">
        <w:tc>
          <w:tcPr>
            <w:tcW w:w="8719" w:type="dxa"/>
            <w:gridSpan w:val="6"/>
            <w:shd w:val="clear" w:color="auto" w:fill="auto"/>
          </w:tcPr>
          <w:p w:rsidR="001F5325" w:rsidRPr="00C326B9" w:rsidRDefault="001F5325" w:rsidP="00F30456">
            <w:pPr>
              <w:autoSpaceDE w:val="0"/>
              <w:autoSpaceDN w:val="0"/>
              <w:adjustRightInd w:val="0"/>
              <w:rPr>
                <w:sz w:val="22"/>
                <w:szCs w:val="22"/>
                <w:vertAlign w:val="superscript"/>
                <w:lang w:val="lt-LT"/>
              </w:rPr>
            </w:pPr>
            <w:r w:rsidRPr="00C326B9">
              <w:rPr>
                <w:b/>
                <w:bCs/>
                <w:sz w:val="22"/>
                <w:szCs w:val="22"/>
                <w:lang w:val="lt-LT"/>
              </w:rPr>
              <w:t>Virškinimo trakto</w:t>
            </w:r>
            <w:r w:rsidRPr="00C326B9">
              <w:rPr>
                <w:b/>
                <w:sz w:val="22"/>
                <w:szCs w:val="22"/>
                <w:lang w:val="lt-LT"/>
              </w:rPr>
              <w:t xml:space="preserve"> sutrikimai</w:t>
            </w:r>
          </w:p>
        </w:tc>
      </w:tr>
      <w:tr w:rsidR="001F5325" w:rsidRPr="00C326B9" w:rsidTr="00F30456">
        <w:tc>
          <w:tcPr>
            <w:tcW w:w="2109" w:type="dxa"/>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164" w:type="dxa"/>
            <w:gridSpan w:val="2"/>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Lengvas, trumpalaikis</w:t>
            </w:r>
          </w:p>
          <w:p w:rsidR="001F5325" w:rsidRPr="00C326B9" w:rsidRDefault="001F5325" w:rsidP="00F30456">
            <w:pPr>
              <w:autoSpaceDE w:val="0"/>
              <w:autoSpaceDN w:val="0"/>
              <w:adjustRightInd w:val="0"/>
              <w:rPr>
                <w:sz w:val="22"/>
                <w:szCs w:val="22"/>
                <w:lang w:val="lt-LT"/>
              </w:rPr>
            </w:pPr>
            <w:r w:rsidRPr="00C326B9">
              <w:rPr>
                <w:sz w:val="22"/>
                <w:szCs w:val="22"/>
                <w:lang w:val="lt-LT"/>
              </w:rPr>
              <w:t>anticholinerginis</w:t>
            </w:r>
          </w:p>
          <w:p w:rsidR="001F5325" w:rsidRPr="00C326B9" w:rsidRDefault="001F5325" w:rsidP="00F30456">
            <w:pPr>
              <w:autoSpaceDE w:val="0"/>
              <w:autoSpaceDN w:val="0"/>
              <w:adjustRightInd w:val="0"/>
              <w:rPr>
                <w:sz w:val="22"/>
                <w:szCs w:val="22"/>
                <w:lang w:val="lt-LT"/>
              </w:rPr>
            </w:pPr>
            <w:r w:rsidRPr="00C326B9">
              <w:rPr>
                <w:sz w:val="22"/>
                <w:szCs w:val="22"/>
                <w:lang w:val="lt-LT"/>
              </w:rPr>
              <w:t>poveikis, įskaitant</w:t>
            </w:r>
          </w:p>
          <w:p w:rsidR="001F5325" w:rsidRPr="00C326B9" w:rsidRDefault="001F5325" w:rsidP="00F30456">
            <w:pPr>
              <w:autoSpaceDE w:val="0"/>
              <w:autoSpaceDN w:val="0"/>
              <w:adjustRightInd w:val="0"/>
              <w:rPr>
                <w:sz w:val="22"/>
                <w:szCs w:val="22"/>
                <w:lang w:val="lt-LT"/>
              </w:rPr>
            </w:pPr>
            <w:r w:rsidRPr="00C326B9">
              <w:rPr>
                <w:sz w:val="22"/>
                <w:szCs w:val="22"/>
                <w:lang w:val="lt-LT"/>
              </w:rPr>
              <w:t>vidurių užkietėjimą ir</w:t>
            </w:r>
          </w:p>
          <w:p w:rsidR="001F5325" w:rsidRPr="00C326B9" w:rsidRDefault="001F5325" w:rsidP="00F30456">
            <w:pPr>
              <w:autoSpaceDE w:val="0"/>
              <w:autoSpaceDN w:val="0"/>
              <w:adjustRightInd w:val="0"/>
              <w:rPr>
                <w:sz w:val="22"/>
                <w:szCs w:val="22"/>
                <w:vertAlign w:val="superscript"/>
                <w:lang w:val="lt-LT"/>
              </w:rPr>
            </w:pPr>
            <w:r w:rsidRPr="00C326B9">
              <w:rPr>
                <w:sz w:val="22"/>
                <w:szCs w:val="22"/>
                <w:lang w:val="lt-LT"/>
              </w:rPr>
              <w:t>burnos džiūvimą</w:t>
            </w:r>
          </w:p>
        </w:tc>
        <w:tc>
          <w:tcPr>
            <w:tcW w:w="2164" w:type="dxa"/>
            <w:gridSpan w:val="2"/>
            <w:shd w:val="clear" w:color="auto" w:fill="auto"/>
          </w:tcPr>
          <w:p w:rsidR="001F5325" w:rsidRPr="00C326B9" w:rsidRDefault="001F5325" w:rsidP="00F30456">
            <w:pPr>
              <w:pStyle w:val="Default"/>
              <w:rPr>
                <w:sz w:val="22"/>
                <w:szCs w:val="22"/>
              </w:rPr>
            </w:pPr>
            <w:r w:rsidRPr="00C326B9">
              <w:rPr>
                <w:sz w:val="22"/>
                <w:szCs w:val="22"/>
              </w:rPr>
              <w:t xml:space="preserve">Pilvo pūtimas </w:t>
            </w:r>
            <w:r w:rsidRPr="00C326B9">
              <w:rPr>
                <w:sz w:val="22"/>
                <w:szCs w:val="22"/>
                <w:vertAlign w:val="superscript"/>
              </w:rPr>
              <w:t>9</w:t>
            </w:r>
          </w:p>
          <w:p w:rsidR="001F5325" w:rsidRPr="00C326B9" w:rsidRDefault="001F5325" w:rsidP="00F30456">
            <w:pPr>
              <w:autoSpaceDE w:val="0"/>
              <w:autoSpaceDN w:val="0"/>
              <w:adjustRightInd w:val="0"/>
              <w:rPr>
                <w:sz w:val="22"/>
                <w:szCs w:val="22"/>
                <w:vertAlign w:val="superscript"/>
                <w:lang w:val="lt-LT"/>
              </w:rPr>
            </w:pPr>
          </w:p>
        </w:tc>
        <w:tc>
          <w:tcPr>
            <w:tcW w:w="2282" w:type="dxa"/>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Pankreatitas</w:t>
            </w:r>
            <w:r w:rsidRPr="00C326B9">
              <w:rPr>
                <w:sz w:val="22"/>
                <w:szCs w:val="22"/>
                <w:vertAlign w:val="superscript"/>
                <w:lang w:val="lt-LT"/>
              </w:rPr>
              <w:t>11</w:t>
            </w:r>
          </w:p>
        </w:tc>
      </w:tr>
      <w:tr w:rsidR="001F5325" w:rsidRPr="00C326B9" w:rsidTr="00F30456">
        <w:tc>
          <w:tcPr>
            <w:tcW w:w="8719" w:type="dxa"/>
            <w:gridSpan w:val="6"/>
            <w:shd w:val="clear" w:color="auto" w:fill="auto"/>
          </w:tcPr>
          <w:p w:rsidR="001F5325" w:rsidRPr="00C326B9" w:rsidRDefault="001F5325" w:rsidP="00F30456">
            <w:pPr>
              <w:autoSpaceDE w:val="0"/>
              <w:autoSpaceDN w:val="0"/>
              <w:adjustRightInd w:val="0"/>
              <w:rPr>
                <w:sz w:val="22"/>
                <w:szCs w:val="22"/>
                <w:vertAlign w:val="superscript"/>
                <w:lang w:val="lt-LT"/>
              </w:rPr>
            </w:pPr>
            <w:r w:rsidRPr="00C326B9">
              <w:rPr>
                <w:b/>
                <w:bCs/>
                <w:sz w:val="22"/>
                <w:szCs w:val="22"/>
                <w:lang w:val="lt-LT"/>
              </w:rPr>
              <w:t>Kepenų, tulžies pūslės ir latakų</w:t>
            </w:r>
            <w:r w:rsidRPr="00C326B9">
              <w:rPr>
                <w:b/>
                <w:sz w:val="22"/>
                <w:szCs w:val="22"/>
                <w:lang w:val="lt-LT"/>
              </w:rPr>
              <w:t xml:space="preserve"> sutrikimai</w:t>
            </w:r>
          </w:p>
        </w:tc>
      </w:tr>
      <w:tr w:rsidR="001F5325" w:rsidRPr="00C326B9" w:rsidTr="00F30456">
        <w:tc>
          <w:tcPr>
            <w:tcW w:w="2109" w:type="dxa"/>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164" w:type="dxa"/>
            <w:gridSpan w:val="2"/>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Trumpalaikis,</w:t>
            </w:r>
          </w:p>
          <w:p w:rsidR="001F5325" w:rsidRPr="00C326B9" w:rsidRDefault="001F5325" w:rsidP="00F30456">
            <w:pPr>
              <w:autoSpaceDE w:val="0"/>
              <w:autoSpaceDN w:val="0"/>
              <w:adjustRightInd w:val="0"/>
              <w:rPr>
                <w:sz w:val="22"/>
                <w:szCs w:val="22"/>
                <w:lang w:val="lt-LT"/>
              </w:rPr>
            </w:pPr>
            <w:r w:rsidRPr="00C326B9">
              <w:rPr>
                <w:sz w:val="22"/>
                <w:szCs w:val="22"/>
                <w:lang w:val="lt-LT"/>
              </w:rPr>
              <w:t>simptomų nesukeliantis</w:t>
            </w:r>
          </w:p>
          <w:p w:rsidR="001F5325" w:rsidRPr="00C326B9" w:rsidRDefault="001F5325" w:rsidP="00F30456">
            <w:pPr>
              <w:autoSpaceDE w:val="0"/>
              <w:autoSpaceDN w:val="0"/>
              <w:adjustRightInd w:val="0"/>
              <w:rPr>
                <w:sz w:val="22"/>
                <w:szCs w:val="22"/>
                <w:lang w:val="lt-LT"/>
              </w:rPr>
            </w:pPr>
            <w:r w:rsidRPr="00C326B9">
              <w:rPr>
                <w:sz w:val="22"/>
                <w:szCs w:val="22"/>
                <w:lang w:val="lt-LT"/>
              </w:rPr>
              <w:t>kepenų aminotransferazių</w:t>
            </w:r>
          </w:p>
          <w:p w:rsidR="001F5325" w:rsidRPr="00C326B9" w:rsidRDefault="001F5325" w:rsidP="00F30456">
            <w:pPr>
              <w:autoSpaceDE w:val="0"/>
              <w:autoSpaceDN w:val="0"/>
              <w:adjustRightInd w:val="0"/>
              <w:rPr>
                <w:sz w:val="22"/>
                <w:szCs w:val="22"/>
                <w:lang w:val="lt-LT"/>
              </w:rPr>
            </w:pPr>
            <w:r w:rsidRPr="00C326B9">
              <w:rPr>
                <w:sz w:val="22"/>
                <w:szCs w:val="22"/>
                <w:lang w:val="lt-LT"/>
              </w:rPr>
              <w:t>(ALT, AST)</w:t>
            </w:r>
          </w:p>
          <w:p w:rsidR="001F5325" w:rsidRPr="00C326B9" w:rsidRDefault="001F5325" w:rsidP="00F30456">
            <w:pPr>
              <w:autoSpaceDE w:val="0"/>
              <w:autoSpaceDN w:val="0"/>
              <w:adjustRightInd w:val="0"/>
              <w:rPr>
                <w:sz w:val="22"/>
                <w:szCs w:val="22"/>
                <w:lang w:val="lt-LT"/>
              </w:rPr>
            </w:pPr>
            <w:r w:rsidRPr="00C326B9">
              <w:rPr>
                <w:sz w:val="22"/>
                <w:szCs w:val="22"/>
                <w:lang w:val="lt-LT"/>
              </w:rPr>
              <w:t>suaktyvėjimas, ypač</w:t>
            </w:r>
          </w:p>
          <w:p w:rsidR="001F5325" w:rsidRPr="00C326B9" w:rsidRDefault="001F5325" w:rsidP="00F30456">
            <w:pPr>
              <w:autoSpaceDE w:val="0"/>
              <w:autoSpaceDN w:val="0"/>
              <w:adjustRightInd w:val="0"/>
              <w:rPr>
                <w:sz w:val="22"/>
                <w:szCs w:val="22"/>
                <w:lang w:val="lt-LT"/>
              </w:rPr>
            </w:pPr>
            <w:r w:rsidRPr="00C326B9">
              <w:rPr>
                <w:sz w:val="22"/>
                <w:szCs w:val="22"/>
                <w:lang w:val="lt-LT"/>
              </w:rPr>
              <w:t>gydymo pradžioje (žr. 4.4 skyrių)</w:t>
            </w:r>
          </w:p>
        </w:tc>
        <w:tc>
          <w:tcPr>
            <w:tcW w:w="2164" w:type="dxa"/>
            <w:gridSpan w:val="2"/>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282" w:type="dxa"/>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Hepatitas (įskaitant</w:t>
            </w:r>
          </w:p>
          <w:p w:rsidR="001F5325" w:rsidRPr="00C326B9" w:rsidRDefault="001F5325" w:rsidP="00F30456">
            <w:pPr>
              <w:autoSpaceDE w:val="0"/>
              <w:autoSpaceDN w:val="0"/>
              <w:adjustRightInd w:val="0"/>
              <w:rPr>
                <w:sz w:val="22"/>
                <w:szCs w:val="22"/>
                <w:lang w:val="lt-LT"/>
              </w:rPr>
            </w:pPr>
            <w:r w:rsidRPr="00C326B9">
              <w:rPr>
                <w:sz w:val="22"/>
                <w:szCs w:val="22"/>
                <w:lang w:val="lt-LT"/>
              </w:rPr>
              <w:t>hepatoceliulinį,</w:t>
            </w:r>
          </w:p>
          <w:p w:rsidR="001F5325" w:rsidRPr="00C326B9" w:rsidRDefault="001F5325" w:rsidP="00F30456">
            <w:pPr>
              <w:autoSpaceDE w:val="0"/>
              <w:autoSpaceDN w:val="0"/>
              <w:adjustRightInd w:val="0"/>
              <w:rPr>
                <w:sz w:val="22"/>
                <w:szCs w:val="22"/>
                <w:lang w:val="lt-LT"/>
              </w:rPr>
            </w:pPr>
            <w:r w:rsidRPr="00C326B9">
              <w:rPr>
                <w:sz w:val="22"/>
                <w:szCs w:val="22"/>
                <w:lang w:val="lt-LT"/>
              </w:rPr>
              <w:t>cholestazinį ar mišrų</w:t>
            </w:r>
          </w:p>
          <w:p w:rsidR="001F5325" w:rsidRPr="00C326B9" w:rsidRDefault="001F5325" w:rsidP="00F30456">
            <w:pPr>
              <w:autoSpaceDE w:val="0"/>
              <w:autoSpaceDN w:val="0"/>
              <w:adjustRightInd w:val="0"/>
              <w:rPr>
                <w:sz w:val="22"/>
                <w:szCs w:val="22"/>
                <w:lang w:val="lt-LT"/>
              </w:rPr>
            </w:pPr>
            <w:r w:rsidRPr="00C326B9">
              <w:rPr>
                <w:sz w:val="22"/>
                <w:szCs w:val="22"/>
                <w:lang w:val="lt-LT"/>
              </w:rPr>
              <w:t>kepenų pažeidimą)</w:t>
            </w:r>
            <w:r w:rsidRPr="00C326B9">
              <w:rPr>
                <w:sz w:val="22"/>
                <w:szCs w:val="22"/>
                <w:vertAlign w:val="superscript"/>
                <w:lang w:val="lt-LT"/>
              </w:rPr>
              <w:t>11</w:t>
            </w:r>
          </w:p>
        </w:tc>
      </w:tr>
      <w:tr w:rsidR="001F5325" w:rsidRPr="00C326B9" w:rsidTr="00F30456">
        <w:tc>
          <w:tcPr>
            <w:tcW w:w="8719" w:type="dxa"/>
            <w:gridSpan w:val="6"/>
            <w:shd w:val="clear" w:color="auto" w:fill="auto"/>
          </w:tcPr>
          <w:p w:rsidR="001F5325" w:rsidRPr="00C326B9" w:rsidRDefault="001F5325" w:rsidP="00F30456">
            <w:pPr>
              <w:autoSpaceDE w:val="0"/>
              <w:autoSpaceDN w:val="0"/>
              <w:adjustRightInd w:val="0"/>
              <w:rPr>
                <w:sz w:val="22"/>
                <w:szCs w:val="22"/>
                <w:vertAlign w:val="superscript"/>
                <w:lang w:val="lt-LT"/>
              </w:rPr>
            </w:pPr>
            <w:r w:rsidRPr="00C326B9">
              <w:rPr>
                <w:b/>
                <w:bCs/>
                <w:sz w:val="22"/>
                <w:szCs w:val="22"/>
                <w:lang w:val="lt-LT"/>
              </w:rPr>
              <w:t>Odos</w:t>
            </w:r>
            <w:r w:rsidRPr="00C326B9">
              <w:rPr>
                <w:b/>
                <w:sz w:val="22"/>
                <w:szCs w:val="22"/>
                <w:lang w:val="lt-LT"/>
              </w:rPr>
              <w:t xml:space="preserve"> ir </w:t>
            </w:r>
            <w:r w:rsidRPr="00C326B9">
              <w:rPr>
                <w:b/>
                <w:bCs/>
                <w:sz w:val="22"/>
                <w:szCs w:val="22"/>
                <w:lang w:val="lt-LT"/>
              </w:rPr>
              <w:t>poodinio audinio</w:t>
            </w:r>
            <w:r w:rsidRPr="00C326B9">
              <w:rPr>
                <w:b/>
                <w:sz w:val="22"/>
                <w:szCs w:val="22"/>
                <w:lang w:val="lt-LT"/>
              </w:rPr>
              <w:t xml:space="preserve"> sutrikimai</w:t>
            </w:r>
          </w:p>
        </w:tc>
      </w:tr>
      <w:tr w:rsidR="001F5325" w:rsidRPr="00C326B9" w:rsidTr="00F30456">
        <w:tc>
          <w:tcPr>
            <w:tcW w:w="2179" w:type="dxa"/>
            <w:gridSpan w:val="2"/>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094" w:type="dxa"/>
            <w:shd w:val="clear" w:color="auto" w:fill="auto"/>
          </w:tcPr>
          <w:p w:rsidR="001F5325" w:rsidRPr="00C326B9" w:rsidRDefault="001F5325" w:rsidP="00F30456">
            <w:pPr>
              <w:autoSpaceDE w:val="0"/>
              <w:autoSpaceDN w:val="0"/>
              <w:adjustRightInd w:val="0"/>
              <w:rPr>
                <w:sz w:val="22"/>
                <w:szCs w:val="22"/>
                <w:vertAlign w:val="superscript"/>
                <w:lang w:val="lt-LT"/>
              </w:rPr>
            </w:pPr>
            <w:r w:rsidRPr="00C326B9">
              <w:rPr>
                <w:sz w:val="22"/>
                <w:szCs w:val="22"/>
                <w:lang w:val="lt-LT"/>
              </w:rPr>
              <w:t>Išbėrimas</w:t>
            </w:r>
          </w:p>
        </w:tc>
        <w:tc>
          <w:tcPr>
            <w:tcW w:w="2164" w:type="dxa"/>
            <w:gridSpan w:val="2"/>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Padidėjusio jautrumo</w:t>
            </w:r>
          </w:p>
          <w:p w:rsidR="001F5325" w:rsidRPr="00C326B9" w:rsidRDefault="001F5325" w:rsidP="00F30456">
            <w:pPr>
              <w:autoSpaceDE w:val="0"/>
              <w:autoSpaceDN w:val="0"/>
              <w:adjustRightInd w:val="0"/>
              <w:rPr>
                <w:sz w:val="22"/>
                <w:szCs w:val="22"/>
                <w:lang w:val="lt-LT"/>
              </w:rPr>
            </w:pPr>
            <w:r w:rsidRPr="00C326B9">
              <w:rPr>
                <w:sz w:val="22"/>
                <w:szCs w:val="22"/>
                <w:lang w:val="lt-LT"/>
              </w:rPr>
              <w:t>šviesai reakcija</w:t>
            </w:r>
          </w:p>
          <w:p w:rsidR="001F5325" w:rsidRPr="00C326B9" w:rsidRDefault="001F5325" w:rsidP="00F30456">
            <w:pPr>
              <w:autoSpaceDE w:val="0"/>
              <w:autoSpaceDN w:val="0"/>
              <w:adjustRightInd w:val="0"/>
              <w:rPr>
                <w:sz w:val="22"/>
                <w:szCs w:val="22"/>
                <w:vertAlign w:val="superscript"/>
                <w:lang w:val="lt-LT"/>
              </w:rPr>
            </w:pPr>
            <w:r w:rsidRPr="00C326B9">
              <w:rPr>
                <w:sz w:val="22"/>
                <w:szCs w:val="22"/>
                <w:lang w:val="lt-LT"/>
              </w:rPr>
              <w:t>Alopecija</w:t>
            </w:r>
          </w:p>
        </w:tc>
        <w:tc>
          <w:tcPr>
            <w:tcW w:w="2282" w:type="dxa"/>
            <w:shd w:val="clear" w:color="auto" w:fill="auto"/>
          </w:tcPr>
          <w:p w:rsidR="001F5325" w:rsidRPr="00C326B9" w:rsidRDefault="001F5325" w:rsidP="00F30456">
            <w:pPr>
              <w:autoSpaceDE w:val="0"/>
              <w:autoSpaceDN w:val="0"/>
              <w:adjustRightInd w:val="0"/>
              <w:rPr>
                <w:sz w:val="22"/>
                <w:szCs w:val="22"/>
                <w:vertAlign w:val="superscript"/>
                <w:lang w:val="lt-LT"/>
              </w:rPr>
            </w:pPr>
          </w:p>
        </w:tc>
      </w:tr>
      <w:tr w:rsidR="001F5325" w:rsidRPr="00C326B9" w:rsidTr="00F30456">
        <w:tc>
          <w:tcPr>
            <w:tcW w:w="8719" w:type="dxa"/>
            <w:gridSpan w:val="6"/>
            <w:shd w:val="clear" w:color="auto" w:fill="auto"/>
          </w:tcPr>
          <w:p w:rsidR="001F5325" w:rsidRPr="00C326B9" w:rsidRDefault="001F5325" w:rsidP="00F30456">
            <w:pPr>
              <w:autoSpaceDE w:val="0"/>
              <w:autoSpaceDN w:val="0"/>
              <w:adjustRightInd w:val="0"/>
              <w:rPr>
                <w:sz w:val="22"/>
                <w:szCs w:val="22"/>
                <w:vertAlign w:val="superscript"/>
                <w:lang w:val="lt-LT"/>
              </w:rPr>
            </w:pPr>
            <w:r w:rsidRPr="00C326B9">
              <w:rPr>
                <w:b/>
                <w:bCs/>
                <w:sz w:val="22"/>
                <w:szCs w:val="22"/>
                <w:lang w:val="lt-LT"/>
              </w:rPr>
              <w:t>Metabolizmo</w:t>
            </w:r>
            <w:r w:rsidRPr="00C326B9">
              <w:rPr>
                <w:b/>
                <w:sz w:val="22"/>
                <w:szCs w:val="22"/>
                <w:lang w:val="lt-LT"/>
              </w:rPr>
              <w:t xml:space="preserve"> ir </w:t>
            </w:r>
            <w:r w:rsidRPr="00C326B9">
              <w:rPr>
                <w:b/>
                <w:bCs/>
                <w:sz w:val="22"/>
                <w:szCs w:val="22"/>
                <w:lang w:val="lt-LT"/>
              </w:rPr>
              <w:t>mitybos</w:t>
            </w:r>
            <w:r w:rsidRPr="00C326B9">
              <w:rPr>
                <w:b/>
                <w:sz w:val="22"/>
                <w:szCs w:val="22"/>
                <w:lang w:val="lt-LT"/>
              </w:rPr>
              <w:t xml:space="preserve"> sutrikimai</w:t>
            </w:r>
          </w:p>
        </w:tc>
      </w:tr>
      <w:tr w:rsidR="001F5325" w:rsidRPr="00C326B9" w:rsidTr="00F30456">
        <w:tc>
          <w:tcPr>
            <w:tcW w:w="2179" w:type="dxa"/>
            <w:gridSpan w:val="2"/>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180" w:type="dxa"/>
            <w:gridSpan w:val="2"/>
            <w:shd w:val="clear" w:color="auto" w:fill="auto"/>
          </w:tcPr>
          <w:p w:rsidR="001F5325" w:rsidRPr="00C326B9" w:rsidRDefault="001F5325" w:rsidP="00F30456">
            <w:pPr>
              <w:autoSpaceDE w:val="0"/>
              <w:autoSpaceDN w:val="0"/>
              <w:adjustRightInd w:val="0"/>
              <w:rPr>
                <w:sz w:val="22"/>
                <w:szCs w:val="22"/>
                <w:vertAlign w:val="superscript"/>
                <w:lang w:val="lt-LT"/>
              </w:rPr>
            </w:pPr>
            <w:r w:rsidRPr="00C326B9">
              <w:rPr>
                <w:sz w:val="22"/>
                <w:szCs w:val="22"/>
              </w:rPr>
              <w:t xml:space="preserve">Artralgija </w:t>
            </w:r>
            <w:r w:rsidRPr="00C326B9">
              <w:rPr>
                <w:sz w:val="22"/>
                <w:szCs w:val="22"/>
                <w:vertAlign w:val="superscript"/>
              </w:rPr>
              <w:t>9</w:t>
            </w:r>
          </w:p>
        </w:tc>
        <w:tc>
          <w:tcPr>
            <w:tcW w:w="2078" w:type="dxa"/>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282" w:type="dxa"/>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Rabdomiolizė</w:t>
            </w:r>
            <w:r w:rsidRPr="00C326B9">
              <w:rPr>
                <w:sz w:val="22"/>
                <w:szCs w:val="22"/>
                <w:vertAlign w:val="superscript"/>
                <w:lang w:val="lt-LT"/>
              </w:rPr>
              <w:t>11</w:t>
            </w:r>
          </w:p>
        </w:tc>
      </w:tr>
      <w:tr w:rsidR="001F5325" w:rsidRPr="00C326B9" w:rsidTr="00F30456">
        <w:tc>
          <w:tcPr>
            <w:tcW w:w="8719" w:type="dxa"/>
            <w:gridSpan w:val="6"/>
            <w:shd w:val="clear" w:color="auto" w:fill="auto"/>
          </w:tcPr>
          <w:p w:rsidR="001F5325" w:rsidRPr="00C326B9" w:rsidRDefault="001F5325" w:rsidP="00F30456">
            <w:pPr>
              <w:autoSpaceDE w:val="0"/>
              <w:autoSpaceDN w:val="0"/>
              <w:adjustRightInd w:val="0"/>
              <w:rPr>
                <w:sz w:val="22"/>
                <w:szCs w:val="22"/>
                <w:vertAlign w:val="superscript"/>
                <w:lang w:val="lt-LT"/>
              </w:rPr>
            </w:pPr>
            <w:r w:rsidRPr="00C326B9">
              <w:rPr>
                <w:b/>
                <w:bCs/>
                <w:sz w:val="22"/>
                <w:szCs w:val="22"/>
                <w:lang w:val="lt-LT"/>
              </w:rPr>
              <w:t>Inkstų</w:t>
            </w:r>
            <w:r w:rsidRPr="00C326B9">
              <w:rPr>
                <w:b/>
                <w:sz w:val="22"/>
                <w:szCs w:val="22"/>
                <w:lang w:val="lt-LT"/>
              </w:rPr>
              <w:t xml:space="preserve"> ir </w:t>
            </w:r>
            <w:r w:rsidRPr="00C326B9">
              <w:rPr>
                <w:b/>
                <w:bCs/>
                <w:sz w:val="22"/>
                <w:szCs w:val="22"/>
                <w:lang w:val="lt-LT"/>
              </w:rPr>
              <w:t>šlapimo takų</w:t>
            </w:r>
            <w:r w:rsidRPr="00C326B9">
              <w:rPr>
                <w:b/>
                <w:sz w:val="22"/>
                <w:szCs w:val="22"/>
                <w:lang w:val="lt-LT"/>
              </w:rPr>
              <w:t xml:space="preserve"> sutrikimai</w:t>
            </w:r>
          </w:p>
        </w:tc>
      </w:tr>
      <w:tr w:rsidR="001F5325" w:rsidRPr="00C326B9" w:rsidTr="00F30456">
        <w:tc>
          <w:tcPr>
            <w:tcW w:w="2179" w:type="dxa"/>
            <w:gridSpan w:val="2"/>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180" w:type="dxa"/>
            <w:gridSpan w:val="2"/>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078" w:type="dxa"/>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Šlapimo nelaikymas, šlapimo</w:t>
            </w:r>
          </w:p>
          <w:p w:rsidR="001F5325" w:rsidRPr="00C326B9" w:rsidRDefault="001F5325" w:rsidP="00F30456">
            <w:pPr>
              <w:autoSpaceDE w:val="0"/>
              <w:autoSpaceDN w:val="0"/>
              <w:adjustRightInd w:val="0"/>
              <w:rPr>
                <w:sz w:val="22"/>
                <w:szCs w:val="22"/>
                <w:lang w:val="lt-LT"/>
              </w:rPr>
            </w:pPr>
            <w:r w:rsidRPr="00C326B9">
              <w:rPr>
                <w:sz w:val="22"/>
                <w:szCs w:val="22"/>
                <w:lang w:val="lt-LT"/>
              </w:rPr>
              <w:t>Susilaikymas</w:t>
            </w:r>
          </w:p>
          <w:p w:rsidR="001F5325" w:rsidRPr="00C326B9" w:rsidRDefault="001F5325" w:rsidP="00F30456">
            <w:pPr>
              <w:autoSpaceDE w:val="0"/>
              <w:autoSpaceDN w:val="0"/>
              <w:adjustRightInd w:val="0"/>
              <w:rPr>
                <w:sz w:val="22"/>
                <w:szCs w:val="22"/>
                <w:lang w:val="lt-LT"/>
              </w:rPr>
            </w:pPr>
            <w:r w:rsidRPr="00C326B9">
              <w:rPr>
                <w:sz w:val="22"/>
                <w:szCs w:val="22"/>
                <w:lang w:val="lt-LT"/>
              </w:rPr>
              <w:t>Sunkumas pradėti</w:t>
            </w:r>
          </w:p>
          <w:p w:rsidR="001F5325" w:rsidRPr="00C326B9" w:rsidRDefault="001F5325" w:rsidP="00F30456">
            <w:pPr>
              <w:autoSpaceDE w:val="0"/>
              <w:autoSpaceDN w:val="0"/>
              <w:adjustRightInd w:val="0"/>
              <w:rPr>
                <w:b/>
                <w:sz w:val="22"/>
                <w:szCs w:val="22"/>
                <w:lang w:val="lt-LT"/>
              </w:rPr>
            </w:pPr>
            <w:r w:rsidRPr="00C326B9">
              <w:rPr>
                <w:sz w:val="22"/>
                <w:szCs w:val="22"/>
                <w:lang w:val="lt-LT"/>
              </w:rPr>
              <w:t>Šlapintis</w:t>
            </w:r>
            <w:r w:rsidRPr="00C326B9">
              <w:rPr>
                <w:sz w:val="22"/>
                <w:szCs w:val="22"/>
                <w:vertAlign w:val="superscript"/>
                <w:lang w:val="lt-LT"/>
              </w:rPr>
              <w:t>11</w:t>
            </w:r>
          </w:p>
        </w:tc>
        <w:tc>
          <w:tcPr>
            <w:tcW w:w="2282" w:type="dxa"/>
            <w:shd w:val="clear" w:color="auto" w:fill="auto"/>
          </w:tcPr>
          <w:p w:rsidR="001F5325" w:rsidRPr="00C326B9" w:rsidRDefault="001F5325" w:rsidP="00F30456">
            <w:pPr>
              <w:autoSpaceDE w:val="0"/>
              <w:autoSpaceDN w:val="0"/>
              <w:adjustRightInd w:val="0"/>
              <w:rPr>
                <w:sz w:val="22"/>
                <w:szCs w:val="22"/>
                <w:vertAlign w:val="superscript"/>
                <w:lang w:val="lt-LT"/>
              </w:rPr>
            </w:pPr>
          </w:p>
        </w:tc>
      </w:tr>
      <w:tr w:rsidR="001F5325" w:rsidRPr="00C326B9" w:rsidTr="00F30456">
        <w:tc>
          <w:tcPr>
            <w:tcW w:w="8719" w:type="dxa"/>
            <w:gridSpan w:val="6"/>
            <w:shd w:val="clear" w:color="auto" w:fill="auto"/>
          </w:tcPr>
          <w:p w:rsidR="001F5325" w:rsidRPr="00C326B9" w:rsidRDefault="001F5325" w:rsidP="00F30456">
            <w:pPr>
              <w:autoSpaceDE w:val="0"/>
              <w:autoSpaceDN w:val="0"/>
              <w:adjustRightInd w:val="0"/>
              <w:rPr>
                <w:sz w:val="22"/>
                <w:szCs w:val="22"/>
                <w:lang w:val="lt-LT"/>
              </w:rPr>
            </w:pPr>
          </w:p>
        </w:tc>
      </w:tr>
      <w:tr w:rsidR="001F5325" w:rsidRPr="00C326B9" w:rsidTr="00F30456">
        <w:tc>
          <w:tcPr>
            <w:tcW w:w="2179" w:type="dxa"/>
            <w:gridSpan w:val="2"/>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180" w:type="dxa"/>
            <w:gridSpan w:val="2"/>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078" w:type="dxa"/>
            <w:shd w:val="clear" w:color="auto" w:fill="auto"/>
          </w:tcPr>
          <w:p w:rsidR="001F5325" w:rsidRPr="00C326B9" w:rsidRDefault="001F5325" w:rsidP="00F30456">
            <w:pPr>
              <w:autoSpaceDE w:val="0"/>
              <w:autoSpaceDN w:val="0"/>
              <w:adjustRightInd w:val="0"/>
              <w:rPr>
                <w:sz w:val="22"/>
                <w:szCs w:val="22"/>
                <w:lang w:val="lt-LT"/>
              </w:rPr>
            </w:pPr>
          </w:p>
        </w:tc>
        <w:tc>
          <w:tcPr>
            <w:tcW w:w="2282" w:type="dxa"/>
            <w:shd w:val="clear" w:color="auto" w:fill="auto"/>
          </w:tcPr>
          <w:p w:rsidR="001F5325" w:rsidRPr="00C326B9" w:rsidRDefault="001F5325" w:rsidP="00F30456">
            <w:pPr>
              <w:autoSpaceDE w:val="0"/>
              <w:autoSpaceDN w:val="0"/>
              <w:adjustRightInd w:val="0"/>
              <w:rPr>
                <w:sz w:val="22"/>
                <w:szCs w:val="22"/>
                <w:lang w:val="lt-LT"/>
              </w:rPr>
            </w:pPr>
          </w:p>
        </w:tc>
      </w:tr>
      <w:tr w:rsidR="001F5325" w:rsidRPr="00C326B9" w:rsidTr="00F30456">
        <w:tc>
          <w:tcPr>
            <w:tcW w:w="8719" w:type="dxa"/>
            <w:gridSpan w:val="6"/>
            <w:shd w:val="clear" w:color="auto" w:fill="auto"/>
          </w:tcPr>
          <w:p w:rsidR="001F5325" w:rsidRPr="00C326B9" w:rsidRDefault="001F5325" w:rsidP="00F30456">
            <w:pPr>
              <w:autoSpaceDE w:val="0"/>
              <w:autoSpaceDN w:val="0"/>
              <w:adjustRightInd w:val="0"/>
              <w:rPr>
                <w:b/>
                <w:bCs/>
                <w:sz w:val="22"/>
                <w:szCs w:val="22"/>
                <w:lang w:val="lt-LT"/>
              </w:rPr>
            </w:pPr>
            <w:r w:rsidRPr="00C326B9">
              <w:rPr>
                <w:b/>
                <w:bCs/>
                <w:sz w:val="22"/>
                <w:szCs w:val="22"/>
                <w:lang w:val="lt-LT"/>
              </w:rPr>
              <w:t>Lytinės sistemos ir krūties sutrikimai</w:t>
            </w:r>
          </w:p>
        </w:tc>
      </w:tr>
      <w:tr w:rsidR="001F5325" w:rsidRPr="00C326B9" w:rsidTr="00F30456">
        <w:tc>
          <w:tcPr>
            <w:tcW w:w="2179" w:type="dxa"/>
            <w:gridSpan w:val="2"/>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180" w:type="dxa"/>
            <w:gridSpan w:val="2"/>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Erekcijos funkcijos</w:t>
            </w:r>
          </w:p>
          <w:p w:rsidR="001F5325" w:rsidRPr="00C326B9" w:rsidRDefault="001F5325" w:rsidP="00F30456">
            <w:pPr>
              <w:autoSpaceDE w:val="0"/>
              <w:autoSpaceDN w:val="0"/>
              <w:adjustRightInd w:val="0"/>
              <w:rPr>
                <w:sz w:val="22"/>
                <w:szCs w:val="22"/>
                <w:lang w:val="lt-LT"/>
              </w:rPr>
            </w:pPr>
            <w:r w:rsidRPr="00C326B9">
              <w:rPr>
                <w:sz w:val="22"/>
                <w:szCs w:val="22"/>
                <w:lang w:val="lt-LT"/>
              </w:rPr>
              <w:t>sutrikimas vyrams,</w:t>
            </w:r>
          </w:p>
          <w:p w:rsidR="001F5325" w:rsidRPr="00C326B9" w:rsidRDefault="001F5325" w:rsidP="00F30456">
            <w:pPr>
              <w:autoSpaceDE w:val="0"/>
              <w:autoSpaceDN w:val="0"/>
              <w:adjustRightInd w:val="0"/>
              <w:rPr>
                <w:sz w:val="22"/>
                <w:szCs w:val="22"/>
                <w:lang w:val="lt-LT"/>
              </w:rPr>
            </w:pPr>
            <w:r w:rsidRPr="00C326B9">
              <w:rPr>
                <w:sz w:val="22"/>
                <w:szCs w:val="22"/>
                <w:lang w:val="lt-LT"/>
              </w:rPr>
              <w:t>lytinio potraukio</w:t>
            </w:r>
          </w:p>
          <w:p w:rsidR="001F5325" w:rsidRPr="00C326B9" w:rsidRDefault="001F5325" w:rsidP="00F30456">
            <w:pPr>
              <w:autoSpaceDE w:val="0"/>
              <w:autoSpaceDN w:val="0"/>
              <w:adjustRightInd w:val="0"/>
              <w:rPr>
                <w:sz w:val="22"/>
                <w:szCs w:val="22"/>
              </w:rPr>
            </w:pPr>
            <w:r w:rsidRPr="00C326B9">
              <w:rPr>
                <w:sz w:val="22"/>
                <w:szCs w:val="22"/>
              </w:rPr>
              <w:t>sumažėjimas moterims ir</w:t>
            </w:r>
          </w:p>
          <w:p w:rsidR="001F5325" w:rsidRPr="00C326B9" w:rsidRDefault="001F5325" w:rsidP="00F30456">
            <w:pPr>
              <w:autoSpaceDE w:val="0"/>
              <w:autoSpaceDN w:val="0"/>
              <w:adjustRightInd w:val="0"/>
              <w:rPr>
                <w:sz w:val="22"/>
                <w:szCs w:val="22"/>
                <w:vertAlign w:val="superscript"/>
                <w:lang w:val="lt-LT"/>
              </w:rPr>
            </w:pPr>
            <w:r w:rsidRPr="00C326B9">
              <w:rPr>
                <w:sz w:val="22"/>
                <w:szCs w:val="22"/>
              </w:rPr>
              <w:t>vyrams</w:t>
            </w:r>
          </w:p>
        </w:tc>
        <w:tc>
          <w:tcPr>
            <w:tcW w:w="2078" w:type="dxa"/>
            <w:shd w:val="clear" w:color="auto" w:fill="auto"/>
          </w:tcPr>
          <w:p w:rsidR="001F5325" w:rsidRPr="00C326B9" w:rsidRDefault="001F5325" w:rsidP="00F30456">
            <w:pPr>
              <w:autoSpaceDE w:val="0"/>
              <w:autoSpaceDN w:val="0"/>
              <w:adjustRightInd w:val="0"/>
              <w:rPr>
                <w:sz w:val="22"/>
                <w:szCs w:val="22"/>
                <w:lang w:val="lt-LT"/>
              </w:rPr>
            </w:pPr>
            <w:r w:rsidRPr="00C326B9">
              <w:rPr>
                <w:sz w:val="22"/>
                <w:szCs w:val="22"/>
                <w:lang w:val="lt-LT"/>
              </w:rPr>
              <w:t>Amenorėja,</w:t>
            </w:r>
          </w:p>
          <w:p w:rsidR="001F5325" w:rsidRPr="00C326B9" w:rsidRDefault="001F5325" w:rsidP="00F30456">
            <w:pPr>
              <w:autoSpaceDE w:val="0"/>
              <w:autoSpaceDN w:val="0"/>
              <w:adjustRightInd w:val="0"/>
              <w:rPr>
                <w:sz w:val="22"/>
                <w:szCs w:val="22"/>
                <w:lang w:val="lt-LT"/>
              </w:rPr>
            </w:pPr>
            <w:r w:rsidRPr="00C326B9">
              <w:rPr>
                <w:sz w:val="22"/>
                <w:szCs w:val="22"/>
                <w:lang w:val="lt-LT"/>
              </w:rPr>
              <w:t>krūtų padidėjimas,</w:t>
            </w:r>
          </w:p>
          <w:p w:rsidR="001F5325" w:rsidRPr="00C326B9" w:rsidRDefault="001F5325" w:rsidP="00F30456">
            <w:pPr>
              <w:autoSpaceDE w:val="0"/>
              <w:autoSpaceDN w:val="0"/>
              <w:adjustRightInd w:val="0"/>
              <w:rPr>
                <w:sz w:val="22"/>
                <w:szCs w:val="22"/>
                <w:lang w:val="lt-LT"/>
              </w:rPr>
            </w:pPr>
            <w:r w:rsidRPr="00C326B9">
              <w:rPr>
                <w:sz w:val="22"/>
                <w:szCs w:val="22"/>
                <w:lang w:val="lt-LT"/>
              </w:rPr>
              <w:t>galaktorėja</w:t>
            </w:r>
          </w:p>
          <w:p w:rsidR="001F5325" w:rsidRPr="00C326B9" w:rsidRDefault="001F5325" w:rsidP="00F30456">
            <w:pPr>
              <w:autoSpaceDE w:val="0"/>
              <w:autoSpaceDN w:val="0"/>
              <w:adjustRightInd w:val="0"/>
              <w:rPr>
                <w:sz w:val="22"/>
                <w:szCs w:val="22"/>
                <w:lang w:val="lt-LT"/>
              </w:rPr>
            </w:pPr>
            <w:r w:rsidRPr="00C326B9">
              <w:rPr>
                <w:sz w:val="22"/>
                <w:szCs w:val="22"/>
                <w:lang w:val="lt-LT"/>
              </w:rPr>
              <w:t>moterims,</w:t>
            </w:r>
          </w:p>
          <w:p w:rsidR="001F5325" w:rsidRPr="00C326B9" w:rsidRDefault="001F5325" w:rsidP="00F30456">
            <w:pPr>
              <w:autoSpaceDE w:val="0"/>
              <w:autoSpaceDN w:val="0"/>
              <w:adjustRightInd w:val="0"/>
              <w:rPr>
                <w:sz w:val="22"/>
                <w:szCs w:val="22"/>
                <w:lang w:val="lt-LT"/>
              </w:rPr>
            </w:pPr>
            <w:r w:rsidRPr="00C326B9">
              <w:rPr>
                <w:sz w:val="22"/>
                <w:szCs w:val="22"/>
                <w:lang w:val="lt-LT"/>
              </w:rPr>
              <w:t>ginekomastija /</w:t>
            </w:r>
          </w:p>
          <w:p w:rsidR="001F5325" w:rsidRPr="00C326B9" w:rsidRDefault="001F5325" w:rsidP="00F30456">
            <w:pPr>
              <w:autoSpaceDE w:val="0"/>
              <w:autoSpaceDN w:val="0"/>
              <w:adjustRightInd w:val="0"/>
              <w:rPr>
                <w:sz w:val="22"/>
                <w:szCs w:val="22"/>
              </w:rPr>
            </w:pPr>
            <w:r w:rsidRPr="00C326B9">
              <w:rPr>
                <w:sz w:val="22"/>
                <w:szCs w:val="22"/>
              </w:rPr>
              <w:t>krūtų padidėjimas</w:t>
            </w:r>
          </w:p>
          <w:p w:rsidR="001F5325" w:rsidRPr="00C326B9" w:rsidRDefault="001F5325" w:rsidP="00F30456">
            <w:pPr>
              <w:autoSpaceDE w:val="0"/>
              <w:autoSpaceDN w:val="0"/>
              <w:adjustRightInd w:val="0"/>
              <w:rPr>
                <w:sz w:val="22"/>
                <w:szCs w:val="22"/>
                <w:vertAlign w:val="superscript"/>
                <w:lang w:val="lt-LT"/>
              </w:rPr>
            </w:pPr>
            <w:r w:rsidRPr="00C326B9">
              <w:rPr>
                <w:sz w:val="22"/>
                <w:szCs w:val="22"/>
              </w:rPr>
              <w:t>vyrams</w:t>
            </w:r>
          </w:p>
        </w:tc>
        <w:tc>
          <w:tcPr>
            <w:tcW w:w="2282" w:type="dxa"/>
            <w:shd w:val="clear" w:color="auto" w:fill="auto"/>
          </w:tcPr>
          <w:p w:rsidR="001F5325" w:rsidRPr="00C326B9" w:rsidRDefault="001F5325" w:rsidP="00F30456">
            <w:pPr>
              <w:autoSpaceDE w:val="0"/>
              <w:autoSpaceDN w:val="0"/>
              <w:adjustRightInd w:val="0"/>
              <w:rPr>
                <w:b/>
                <w:bCs/>
                <w:sz w:val="22"/>
                <w:szCs w:val="22"/>
                <w:lang w:val="lt-LT"/>
              </w:rPr>
            </w:pPr>
            <w:r w:rsidRPr="00C326B9">
              <w:rPr>
                <w:sz w:val="22"/>
                <w:szCs w:val="22"/>
                <w:lang w:val="lt-LT"/>
              </w:rPr>
              <w:t>Priapizmas</w:t>
            </w:r>
            <w:r w:rsidRPr="00C326B9">
              <w:rPr>
                <w:sz w:val="22"/>
                <w:szCs w:val="22"/>
                <w:vertAlign w:val="superscript"/>
                <w:lang w:val="lt-LT"/>
              </w:rPr>
              <w:t>12</w:t>
            </w:r>
          </w:p>
        </w:tc>
      </w:tr>
      <w:tr w:rsidR="001F5325" w:rsidRPr="00C326B9" w:rsidTr="00F30456">
        <w:tc>
          <w:tcPr>
            <w:tcW w:w="8719" w:type="dxa"/>
            <w:gridSpan w:val="6"/>
            <w:shd w:val="clear" w:color="auto" w:fill="auto"/>
          </w:tcPr>
          <w:p w:rsidR="001F5325" w:rsidRPr="00C326B9" w:rsidRDefault="001F5325" w:rsidP="00F30456">
            <w:pPr>
              <w:autoSpaceDE w:val="0"/>
              <w:autoSpaceDN w:val="0"/>
              <w:adjustRightInd w:val="0"/>
              <w:rPr>
                <w:b/>
                <w:bCs/>
                <w:sz w:val="22"/>
                <w:szCs w:val="22"/>
                <w:lang w:val="lt-LT"/>
              </w:rPr>
            </w:pPr>
            <w:r w:rsidRPr="00C326B9">
              <w:rPr>
                <w:b/>
                <w:bCs/>
                <w:sz w:val="22"/>
                <w:szCs w:val="22"/>
                <w:lang w:val="lt-LT"/>
              </w:rPr>
              <w:t>Bendrieji sutrikimai ir vartojimo vietos pažeidimai</w:t>
            </w:r>
          </w:p>
        </w:tc>
      </w:tr>
      <w:tr w:rsidR="001F5325" w:rsidRPr="00C326B9" w:rsidTr="00F30456">
        <w:tc>
          <w:tcPr>
            <w:tcW w:w="2179" w:type="dxa"/>
            <w:gridSpan w:val="2"/>
            <w:shd w:val="clear" w:color="auto" w:fill="auto"/>
          </w:tcPr>
          <w:p w:rsidR="001F5325" w:rsidRPr="00E82D06" w:rsidRDefault="001F5325" w:rsidP="00F30456">
            <w:pPr>
              <w:autoSpaceDE w:val="0"/>
              <w:autoSpaceDN w:val="0"/>
              <w:adjustRightInd w:val="0"/>
              <w:rPr>
                <w:sz w:val="22"/>
                <w:szCs w:val="22"/>
                <w:vertAlign w:val="superscript"/>
                <w:lang w:val="lt-LT"/>
              </w:rPr>
            </w:pPr>
          </w:p>
        </w:tc>
        <w:tc>
          <w:tcPr>
            <w:tcW w:w="2180" w:type="dxa"/>
            <w:gridSpan w:val="2"/>
            <w:shd w:val="clear" w:color="auto" w:fill="auto"/>
          </w:tcPr>
          <w:p w:rsidR="001F5325" w:rsidRPr="0058353B" w:rsidRDefault="001F5325" w:rsidP="00F30456">
            <w:pPr>
              <w:autoSpaceDE w:val="0"/>
              <w:autoSpaceDN w:val="0"/>
              <w:adjustRightInd w:val="0"/>
              <w:rPr>
                <w:sz w:val="22"/>
                <w:szCs w:val="22"/>
                <w:lang w:val="lt-LT"/>
              </w:rPr>
            </w:pPr>
            <w:r w:rsidRPr="0058353B">
              <w:rPr>
                <w:sz w:val="22"/>
                <w:szCs w:val="22"/>
                <w:lang w:val="lt-LT"/>
              </w:rPr>
              <w:t>Astenija</w:t>
            </w:r>
          </w:p>
          <w:p w:rsidR="001F5325" w:rsidRPr="0058353B" w:rsidRDefault="001F5325" w:rsidP="00F30456">
            <w:pPr>
              <w:autoSpaceDE w:val="0"/>
              <w:autoSpaceDN w:val="0"/>
              <w:adjustRightInd w:val="0"/>
              <w:rPr>
                <w:sz w:val="22"/>
                <w:szCs w:val="22"/>
                <w:lang w:val="lt-LT"/>
              </w:rPr>
            </w:pPr>
            <w:r w:rsidRPr="0058353B">
              <w:rPr>
                <w:sz w:val="22"/>
                <w:szCs w:val="22"/>
                <w:lang w:val="lt-LT"/>
              </w:rPr>
              <w:t>Nuovargis</w:t>
            </w:r>
          </w:p>
          <w:p w:rsidR="001F5325" w:rsidRPr="0058353B" w:rsidRDefault="001F5325" w:rsidP="00F30456">
            <w:pPr>
              <w:autoSpaceDE w:val="0"/>
              <w:autoSpaceDN w:val="0"/>
              <w:adjustRightInd w:val="0"/>
              <w:rPr>
                <w:sz w:val="22"/>
                <w:szCs w:val="22"/>
                <w:lang w:val="lt-LT"/>
              </w:rPr>
            </w:pPr>
            <w:r w:rsidRPr="0058353B">
              <w:rPr>
                <w:sz w:val="22"/>
                <w:szCs w:val="22"/>
                <w:lang w:val="lt-LT"/>
              </w:rPr>
              <w:t>Edema</w:t>
            </w:r>
          </w:p>
          <w:p w:rsidR="001F5325" w:rsidRPr="0058353B" w:rsidRDefault="001F5325" w:rsidP="00F30456">
            <w:pPr>
              <w:pStyle w:val="Default"/>
              <w:rPr>
                <w:rFonts w:ascii="Times New Roman" w:hAnsi="Times New Roman" w:cs="Times New Roman"/>
                <w:sz w:val="22"/>
                <w:szCs w:val="22"/>
              </w:rPr>
            </w:pPr>
            <w:r w:rsidRPr="0058353B">
              <w:rPr>
                <w:rFonts w:ascii="Times New Roman" w:hAnsi="Times New Roman" w:cs="Times New Roman"/>
                <w:sz w:val="22"/>
                <w:szCs w:val="22"/>
              </w:rPr>
              <w:t xml:space="preserve">Karščiavimas </w:t>
            </w:r>
            <w:r w:rsidRPr="0058353B">
              <w:rPr>
                <w:rFonts w:ascii="Times New Roman" w:hAnsi="Times New Roman" w:cs="Times New Roman"/>
                <w:sz w:val="22"/>
                <w:szCs w:val="22"/>
                <w:vertAlign w:val="superscript"/>
              </w:rPr>
              <w:t>10</w:t>
            </w:r>
          </w:p>
        </w:tc>
        <w:tc>
          <w:tcPr>
            <w:tcW w:w="2078" w:type="dxa"/>
            <w:shd w:val="clear" w:color="auto" w:fill="auto"/>
          </w:tcPr>
          <w:p w:rsidR="001F5325" w:rsidRPr="00E82D06" w:rsidRDefault="001F5325" w:rsidP="00F30456">
            <w:pPr>
              <w:autoSpaceDE w:val="0"/>
              <w:autoSpaceDN w:val="0"/>
              <w:adjustRightInd w:val="0"/>
              <w:rPr>
                <w:sz w:val="22"/>
                <w:szCs w:val="22"/>
                <w:vertAlign w:val="superscript"/>
                <w:lang w:val="lt-LT"/>
              </w:rPr>
            </w:pPr>
          </w:p>
        </w:tc>
        <w:tc>
          <w:tcPr>
            <w:tcW w:w="2282" w:type="dxa"/>
            <w:shd w:val="clear" w:color="auto" w:fill="auto"/>
          </w:tcPr>
          <w:p w:rsidR="001F5325" w:rsidRPr="0058353B" w:rsidRDefault="001F5325" w:rsidP="00F30456">
            <w:pPr>
              <w:autoSpaceDE w:val="0"/>
              <w:autoSpaceDN w:val="0"/>
              <w:adjustRightInd w:val="0"/>
              <w:rPr>
                <w:b/>
                <w:bCs/>
                <w:sz w:val="22"/>
                <w:szCs w:val="22"/>
                <w:lang w:val="lt-LT"/>
              </w:rPr>
            </w:pPr>
          </w:p>
        </w:tc>
      </w:tr>
      <w:tr w:rsidR="001F5325" w:rsidRPr="00C326B9" w:rsidTr="00F30456">
        <w:tc>
          <w:tcPr>
            <w:tcW w:w="8719" w:type="dxa"/>
            <w:gridSpan w:val="6"/>
            <w:shd w:val="clear" w:color="auto" w:fill="auto"/>
          </w:tcPr>
          <w:p w:rsidR="001F5325" w:rsidRPr="00E82D06" w:rsidRDefault="001F5325" w:rsidP="00F30456">
            <w:pPr>
              <w:autoSpaceDE w:val="0"/>
              <w:autoSpaceDN w:val="0"/>
              <w:adjustRightInd w:val="0"/>
              <w:rPr>
                <w:b/>
                <w:bCs/>
                <w:sz w:val="22"/>
                <w:szCs w:val="22"/>
                <w:lang w:val="lt-LT"/>
              </w:rPr>
            </w:pPr>
            <w:r w:rsidRPr="00E82D06">
              <w:rPr>
                <w:b/>
                <w:bCs/>
                <w:sz w:val="22"/>
                <w:szCs w:val="22"/>
                <w:lang w:val="lt-LT"/>
              </w:rPr>
              <w:t>Tyrimai</w:t>
            </w:r>
          </w:p>
        </w:tc>
      </w:tr>
      <w:tr w:rsidR="001F5325" w:rsidRPr="00C326B9" w:rsidTr="00F30456">
        <w:tc>
          <w:tcPr>
            <w:tcW w:w="2179" w:type="dxa"/>
            <w:gridSpan w:val="2"/>
            <w:shd w:val="clear" w:color="auto" w:fill="auto"/>
          </w:tcPr>
          <w:p w:rsidR="001F5325" w:rsidRPr="00E82D06" w:rsidRDefault="001F5325" w:rsidP="00F30456">
            <w:pPr>
              <w:autoSpaceDE w:val="0"/>
              <w:autoSpaceDN w:val="0"/>
              <w:adjustRightInd w:val="0"/>
              <w:rPr>
                <w:sz w:val="22"/>
                <w:szCs w:val="22"/>
                <w:lang w:val="lt-LT"/>
              </w:rPr>
            </w:pPr>
            <w:r w:rsidRPr="00E82D06">
              <w:rPr>
                <w:sz w:val="22"/>
                <w:szCs w:val="22"/>
                <w:lang w:val="lt-LT"/>
              </w:rPr>
              <w:t>Prolaktino</w:t>
            </w:r>
          </w:p>
          <w:p w:rsidR="001F5325" w:rsidRPr="0058353B" w:rsidRDefault="001F5325" w:rsidP="00F30456">
            <w:pPr>
              <w:autoSpaceDE w:val="0"/>
              <w:autoSpaceDN w:val="0"/>
              <w:adjustRightInd w:val="0"/>
              <w:rPr>
                <w:sz w:val="22"/>
                <w:szCs w:val="22"/>
                <w:lang w:val="lt-LT"/>
              </w:rPr>
            </w:pPr>
            <w:r w:rsidRPr="0058353B">
              <w:rPr>
                <w:sz w:val="22"/>
                <w:szCs w:val="22"/>
                <w:lang w:val="lt-LT"/>
              </w:rPr>
              <w:t>koncentracijos</w:t>
            </w:r>
          </w:p>
          <w:p w:rsidR="001F5325" w:rsidRPr="0058353B" w:rsidRDefault="001F5325" w:rsidP="00F30456">
            <w:pPr>
              <w:autoSpaceDE w:val="0"/>
              <w:autoSpaceDN w:val="0"/>
              <w:adjustRightInd w:val="0"/>
              <w:rPr>
                <w:sz w:val="22"/>
                <w:szCs w:val="22"/>
                <w:vertAlign w:val="superscript"/>
                <w:lang w:val="lt-LT"/>
              </w:rPr>
            </w:pPr>
            <w:r w:rsidRPr="0058353B">
              <w:rPr>
                <w:sz w:val="22"/>
                <w:szCs w:val="22"/>
                <w:lang w:val="lt-LT"/>
              </w:rPr>
              <w:t xml:space="preserve">plazmoje padidėjimas </w:t>
            </w:r>
            <w:r w:rsidRPr="0058353B">
              <w:rPr>
                <w:sz w:val="22"/>
                <w:szCs w:val="22"/>
                <w:vertAlign w:val="superscript"/>
                <w:lang w:val="lt-LT"/>
              </w:rPr>
              <w:t>8</w:t>
            </w:r>
          </w:p>
        </w:tc>
        <w:tc>
          <w:tcPr>
            <w:tcW w:w="2180" w:type="dxa"/>
            <w:gridSpan w:val="2"/>
            <w:shd w:val="clear" w:color="auto" w:fill="auto"/>
          </w:tcPr>
          <w:p w:rsidR="001F5325" w:rsidRPr="0058353B" w:rsidRDefault="001F5325" w:rsidP="00F30456">
            <w:pPr>
              <w:autoSpaceDE w:val="0"/>
              <w:autoSpaceDN w:val="0"/>
              <w:adjustRightInd w:val="0"/>
              <w:rPr>
                <w:sz w:val="22"/>
                <w:szCs w:val="22"/>
                <w:lang w:val="lt-LT"/>
              </w:rPr>
            </w:pPr>
            <w:r w:rsidRPr="0058353B">
              <w:rPr>
                <w:sz w:val="22"/>
                <w:szCs w:val="22"/>
                <w:lang w:val="lt-LT"/>
              </w:rPr>
              <w:t>Šarminės fosfatazės</w:t>
            </w:r>
          </w:p>
          <w:p w:rsidR="001F5325" w:rsidRPr="0058353B" w:rsidRDefault="001F5325" w:rsidP="00F30456">
            <w:pPr>
              <w:autoSpaceDE w:val="0"/>
              <w:autoSpaceDN w:val="0"/>
              <w:adjustRightInd w:val="0"/>
              <w:rPr>
                <w:sz w:val="22"/>
                <w:szCs w:val="22"/>
                <w:lang w:val="lt-LT"/>
              </w:rPr>
            </w:pPr>
            <w:r w:rsidRPr="0058353B">
              <w:rPr>
                <w:sz w:val="22"/>
                <w:szCs w:val="22"/>
                <w:lang w:val="lt-LT"/>
              </w:rPr>
              <w:t>Suaktyvėjimas</w:t>
            </w:r>
            <w:r w:rsidRPr="0058353B">
              <w:rPr>
                <w:sz w:val="22"/>
                <w:szCs w:val="22"/>
                <w:vertAlign w:val="superscript"/>
                <w:lang w:val="lt-LT"/>
              </w:rPr>
              <w:t>10</w:t>
            </w:r>
          </w:p>
          <w:p w:rsidR="001F5325" w:rsidRPr="0058353B" w:rsidRDefault="001F5325" w:rsidP="00F30456">
            <w:pPr>
              <w:pStyle w:val="Default"/>
              <w:rPr>
                <w:rFonts w:ascii="Times New Roman" w:hAnsi="Times New Roman" w:cs="Times New Roman"/>
                <w:sz w:val="22"/>
                <w:szCs w:val="22"/>
                <w:lang w:val="lt-LT"/>
              </w:rPr>
            </w:pPr>
            <w:r w:rsidRPr="0058353B">
              <w:rPr>
                <w:rFonts w:ascii="Times New Roman" w:hAnsi="Times New Roman" w:cs="Times New Roman"/>
                <w:sz w:val="22"/>
                <w:szCs w:val="22"/>
                <w:lang w:val="lt-LT"/>
              </w:rPr>
              <w:t xml:space="preserve">Didelis kreatinfosfokinazės aktyvumas 11 </w:t>
            </w:r>
          </w:p>
          <w:p w:rsidR="001F5325" w:rsidRPr="0058353B" w:rsidRDefault="001F5325" w:rsidP="00F30456">
            <w:pPr>
              <w:pStyle w:val="Default"/>
              <w:rPr>
                <w:rFonts w:ascii="Times New Roman" w:hAnsi="Times New Roman" w:cs="Times New Roman"/>
                <w:sz w:val="22"/>
                <w:szCs w:val="22"/>
                <w:lang w:val="lt-LT"/>
              </w:rPr>
            </w:pPr>
            <w:r w:rsidRPr="0058353B">
              <w:rPr>
                <w:rFonts w:ascii="Times New Roman" w:hAnsi="Times New Roman" w:cs="Times New Roman"/>
                <w:sz w:val="22"/>
                <w:szCs w:val="22"/>
                <w:lang w:val="lt-LT"/>
              </w:rPr>
              <w:t xml:space="preserve">Didelis gama gliutamiltransferazės aktyvumas 10 </w:t>
            </w:r>
          </w:p>
          <w:p w:rsidR="001F5325" w:rsidRPr="0058353B" w:rsidRDefault="001F5325" w:rsidP="00F30456">
            <w:pPr>
              <w:autoSpaceDE w:val="0"/>
              <w:autoSpaceDN w:val="0"/>
              <w:adjustRightInd w:val="0"/>
              <w:rPr>
                <w:sz w:val="22"/>
                <w:szCs w:val="22"/>
                <w:lang w:val="lt-LT"/>
              </w:rPr>
            </w:pPr>
            <w:r w:rsidRPr="00E82D06">
              <w:rPr>
                <w:sz w:val="22"/>
                <w:szCs w:val="22"/>
              </w:rPr>
              <w:t xml:space="preserve">Didelė šlapimo rūgšties koncentracija </w:t>
            </w:r>
            <w:r w:rsidRPr="0058353B">
              <w:rPr>
                <w:sz w:val="22"/>
                <w:szCs w:val="22"/>
                <w:vertAlign w:val="superscript"/>
              </w:rPr>
              <w:t>10</w:t>
            </w:r>
          </w:p>
        </w:tc>
        <w:tc>
          <w:tcPr>
            <w:tcW w:w="2078" w:type="dxa"/>
            <w:shd w:val="clear" w:color="auto" w:fill="auto"/>
          </w:tcPr>
          <w:p w:rsidR="001F5325" w:rsidRPr="0058353B" w:rsidRDefault="001F5325" w:rsidP="00F30456">
            <w:pPr>
              <w:autoSpaceDE w:val="0"/>
              <w:autoSpaceDN w:val="0"/>
              <w:adjustRightInd w:val="0"/>
              <w:rPr>
                <w:sz w:val="22"/>
                <w:szCs w:val="22"/>
                <w:lang w:val="lt-LT"/>
              </w:rPr>
            </w:pPr>
            <w:r w:rsidRPr="0058353B">
              <w:rPr>
                <w:sz w:val="22"/>
                <w:szCs w:val="22"/>
                <w:lang w:val="lt-LT"/>
              </w:rPr>
              <w:t>Bendrojo bilirubino</w:t>
            </w:r>
          </w:p>
          <w:p w:rsidR="001F5325" w:rsidRPr="0058353B" w:rsidRDefault="001F5325" w:rsidP="00F30456">
            <w:pPr>
              <w:autoSpaceDE w:val="0"/>
              <w:autoSpaceDN w:val="0"/>
              <w:adjustRightInd w:val="0"/>
              <w:rPr>
                <w:sz w:val="22"/>
                <w:szCs w:val="22"/>
                <w:lang w:val="lt-LT"/>
              </w:rPr>
            </w:pPr>
            <w:r w:rsidRPr="0058353B">
              <w:rPr>
                <w:sz w:val="22"/>
                <w:szCs w:val="22"/>
                <w:lang w:val="lt-LT"/>
              </w:rPr>
              <w:t>koncentracijos</w:t>
            </w:r>
          </w:p>
          <w:p w:rsidR="001F5325" w:rsidRPr="0058353B" w:rsidRDefault="001F5325" w:rsidP="00F30456">
            <w:pPr>
              <w:autoSpaceDE w:val="0"/>
              <w:autoSpaceDN w:val="0"/>
              <w:adjustRightInd w:val="0"/>
              <w:rPr>
                <w:sz w:val="22"/>
                <w:szCs w:val="22"/>
                <w:vertAlign w:val="superscript"/>
                <w:lang w:val="lt-LT"/>
              </w:rPr>
            </w:pPr>
            <w:r w:rsidRPr="0058353B">
              <w:rPr>
                <w:sz w:val="22"/>
                <w:szCs w:val="22"/>
                <w:lang w:val="lt-LT"/>
              </w:rPr>
              <w:t>padidėjimas</w:t>
            </w:r>
          </w:p>
        </w:tc>
        <w:tc>
          <w:tcPr>
            <w:tcW w:w="2282" w:type="dxa"/>
            <w:shd w:val="clear" w:color="auto" w:fill="auto"/>
          </w:tcPr>
          <w:p w:rsidR="001F5325" w:rsidRPr="0058353B" w:rsidRDefault="001F5325" w:rsidP="00F30456">
            <w:pPr>
              <w:autoSpaceDE w:val="0"/>
              <w:autoSpaceDN w:val="0"/>
              <w:adjustRightInd w:val="0"/>
              <w:rPr>
                <w:b/>
                <w:bCs/>
                <w:sz w:val="22"/>
                <w:szCs w:val="22"/>
                <w:lang w:val="lt-LT"/>
              </w:rPr>
            </w:pPr>
          </w:p>
        </w:tc>
      </w:tr>
      <w:tr w:rsidR="001F5325" w:rsidRPr="00C326B9" w:rsidTr="00F30456">
        <w:tc>
          <w:tcPr>
            <w:tcW w:w="2179" w:type="dxa"/>
            <w:gridSpan w:val="2"/>
            <w:shd w:val="clear" w:color="auto" w:fill="auto"/>
          </w:tcPr>
          <w:p w:rsidR="001F5325" w:rsidRPr="00E82D06" w:rsidRDefault="001F5325" w:rsidP="00F30456">
            <w:pPr>
              <w:autoSpaceDE w:val="0"/>
              <w:autoSpaceDN w:val="0"/>
              <w:adjustRightInd w:val="0"/>
              <w:rPr>
                <w:sz w:val="22"/>
                <w:szCs w:val="22"/>
                <w:vertAlign w:val="superscript"/>
                <w:lang w:val="lt-LT"/>
              </w:rPr>
            </w:pPr>
          </w:p>
        </w:tc>
        <w:tc>
          <w:tcPr>
            <w:tcW w:w="2180" w:type="dxa"/>
            <w:gridSpan w:val="2"/>
            <w:shd w:val="clear" w:color="auto" w:fill="auto"/>
          </w:tcPr>
          <w:p w:rsidR="001F5325" w:rsidRPr="0058353B" w:rsidRDefault="001F5325" w:rsidP="00F30456">
            <w:pPr>
              <w:autoSpaceDE w:val="0"/>
              <w:autoSpaceDN w:val="0"/>
              <w:adjustRightInd w:val="0"/>
              <w:rPr>
                <w:sz w:val="22"/>
                <w:szCs w:val="22"/>
                <w:vertAlign w:val="superscript"/>
                <w:lang w:val="lt-LT"/>
              </w:rPr>
            </w:pPr>
          </w:p>
        </w:tc>
        <w:tc>
          <w:tcPr>
            <w:tcW w:w="2078" w:type="dxa"/>
            <w:shd w:val="clear" w:color="auto" w:fill="auto"/>
          </w:tcPr>
          <w:p w:rsidR="001F5325" w:rsidRPr="0058353B" w:rsidRDefault="001F5325" w:rsidP="00F30456">
            <w:pPr>
              <w:autoSpaceDE w:val="0"/>
              <w:autoSpaceDN w:val="0"/>
              <w:adjustRightInd w:val="0"/>
              <w:rPr>
                <w:sz w:val="22"/>
                <w:szCs w:val="22"/>
                <w:vertAlign w:val="superscript"/>
                <w:lang w:val="lt-LT"/>
              </w:rPr>
            </w:pPr>
          </w:p>
        </w:tc>
        <w:tc>
          <w:tcPr>
            <w:tcW w:w="2282" w:type="dxa"/>
            <w:shd w:val="clear" w:color="auto" w:fill="auto"/>
          </w:tcPr>
          <w:p w:rsidR="001F5325" w:rsidRPr="0058353B" w:rsidRDefault="001F5325" w:rsidP="00F30456">
            <w:pPr>
              <w:pStyle w:val="Default"/>
              <w:rPr>
                <w:rFonts w:ascii="Times New Roman" w:hAnsi="Times New Roman" w:cs="Times New Roman"/>
                <w:sz w:val="22"/>
                <w:szCs w:val="22"/>
              </w:rPr>
            </w:pPr>
            <w:r w:rsidRPr="0058353B">
              <w:rPr>
                <w:rFonts w:ascii="Times New Roman" w:hAnsi="Times New Roman" w:cs="Times New Roman"/>
                <w:b/>
                <w:bCs/>
                <w:sz w:val="22"/>
                <w:szCs w:val="22"/>
              </w:rPr>
              <w:t xml:space="preserve">Dažnis nežinomas </w:t>
            </w:r>
          </w:p>
        </w:tc>
      </w:tr>
      <w:tr w:rsidR="001F5325" w:rsidRPr="00C326B9" w:rsidTr="00F30456">
        <w:tc>
          <w:tcPr>
            <w:tcW w:w="8719" w:type="dxa"/>
            <w:gridSpan w:val="6"/>
            <w:shd w:val="clear" w:color="auto" w:fill="auto"/>
          </w:tcPr>
          <w:p w:rsidR="001F5325" w:rsidRPr="00C326B9" w:rsidRDefault="001F5325" w:rsidP="00F30456">
            <w:pPr>
              <w:autoSpaceDE w:val="0"/>
              <w:autoSpaceDN w:val="0"/>
              <w:adjustRightInd w:val="0"/>
              <w:rPr>
                <w:sz w:val="22"/>
                <w:szCs w:val="22"/>
                <w:lang w:val="lt-LT"/>
              </w:rPr>
            </w:pPr>
            <w:r w:rsidRPr="00C326B9">
              <w:rPr>
                <w:b/>
                <w:sz w:val="22"/>
                <w:szCs w:val="22"/>
                <w:lang w:val="lt-LT"/>
              </w:rPr>
              <w:t>Būklės nėštumo, pogimdyminiu ir perinataliniu laikotarpiu</w:t>
            </w:r>
          </w:p>
        </w:tc>
      </w:tr>
      <w:tr w:rsidR="001F5325" w:rsidRPr="00C326B9" w:rsidTr="00F30456">
        <w:tc>
          <w:tcPr>
            <w:tcW w:w="2179" w:type="dxa"/>
            <w:gridSpan w:val="2"/>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180" w:type="dxa"/>
            <w:gridSpan w:val="2"/>
            <w:shd w:val="clear" w:color="auto" w:fill="auto"/>
          </w:tcPr>
          <w:p w:rsidR="001F5325" w:rsidRPr="00C326B9" w:rsidRDefault="001F5325" w:rsidP="00F30456">
            <w:pPr>
              <w:autoSpaceDE w:val="0"/>
              <w:autoSpaceDN w:val="0"/>
              <w:adjustRightInd w:val="0"/>
              <w:rPr>
                <w:sz w:val="22"/>
                <w:szCs w:val="22"/>
                <w:vertAlign w:val="superscript"/>
                <w:lang w:val="lt-LT"/>
              </w:rPr>
            </w:pPr>
          </w:p>
        </w:tc>
        <w:tc>
          <w:tcPr>
            <w:tcW w:w="2078" w:type="dxa"/>
            <w:shd w:val="clear" w:color="auto" w:fill="auto"/>
          </w:tcPr>
          <w:p w:rsidR="001F5325" w:rsidRPr="00C326B9" w:rsidRDefault="001F5325" w:rsidP="00F30456">
            <w:pPr>
              <w:autoSpaceDE w:val="0"/>
              <w:autoSpaceDN w:val="0"/>
              <w:adjustRightInd w:val="0"/>
              <w:rPr>
                <w:sz w:val="22"/>
                <w:szCs w:val="22"/>
                <w:lang w:val="lt-LT"/>
              </w:rPr>
            </w:pPr>
          </w:p>
        </w:tc>
        <w:tc>
          <w:tcPr>
            <w:tcW w:w="2282" w:type="dxa"/>
            <w:shd w:val="clear" w:color="auto" w:fill="auto"/>
          </w:tcPr>
          <w:p w:rsidR="001F5325" w:rsidRPr="00C326B9" w:rsidRDefault="001F5325" w:rsidP="00F30456">
            <w:pPr>
              <w:autoSpaceDE w:val="0"/>
              <w:autoSpaceDN w:val="0"/>
              <w:adjustRightInd w:val="0"/>
              <w:rPr>
                <w:sz w:val="22"/>
                <w:szCs w:val="22"/>
                <w:lang w:val="pt-PT"/>
              </w:rPr>
            </w:pPr>
            <w:r w:rsidRPr="00C326B9">
              <w:rPr>
                <w:sz w:val="22"/>
                <w:szCs w:val="22"/>
                <w:lang w:val="pt-PT"/>
              </w:rPr>
              <w:t>Vaistinio preparato</w:t>
            </w:r>
          </w:p>
          <w:p w:rsidR="001F5325" w:rsidRPr="00C326B9" w:rsidRDefault="001F5325" w:rsidP="00F30456">
            <w:pPr>
              <w:autoSpaceDE w:val="0"/>
              <w:autoSpaceDN w:val="0"/>
              <w:adjustRightInd w:val="0"/>
              <w:rPr>
                <w:sz w:val="22"/>
                <w:szCs w:val="22"/>
                <w:lang w:val="pt-PT"/>
              </w:rPr>
            </w:pPr>
            <w:r w:rsidRPr="00C326B9">
              <w:rPr>
                <w:sz w:val="22"/>
                <w:szCs w:val="22"/>
                <w:lang w:val="pt-PT"/>
              </w:rPr>
              <w:t>nutraukimo sindromas</w:t>
            </w:r>
          </w:p>
          <w:p w:rsidR="001F5325" w:rsidRPr="00C326B9" w:rsidRDefault="001F5325" w:rsidP="00F30456">
            <w:pPr>
              <w:autoSpaceDE w:val="0"/>
              <w:autoSpaceDN w:val="0"/>
              <w:adjustRightInd w:val="0"/>
              <w:rPr>
                <w:sz w:val="22"/>
                <w:szCs w:val="22"/>
                <w:lang w:val="pt-PT"/>
              </w:rPr>
            </w:pPr>
            <w:r w:rsidRPr="00C326B9">
              <w:rPr>
                <w:sz w:val="22"/>
                <w:szCs w:val="22"/>
                <w:lang w:val="pt-PT"/>
              </w:rPr>
              <w:t>naujagimiams (žr.</w:t>
            </w:r>
          </w:p>
          <w:p w:rsidR="001F5325" w:rsidRPr="00C326B9" w:rsidRDefault="001F5325" w:rsidP="00F30456">
            <w:pPr>
              <w:autoSpaceDE w:val="0"/>
              <w:autoSpaceDN w:val="0"/>
              <w:adjustRightInd w:val="0"/>
              <w:rPr>
                <w:sz w:val="22"/>
                <w:szCs w:val="22"/>
                <w:lang w:val="lt-LT"/>
              </w:rPr>
            </w:pPr>
            <w:r w:rsidRPr="00C326B9">
              <w:rPr>
                <w:sz w:val="22"/>
                <w:szCs w:val="22"/>
              </w:rPr>
              <w:t>4.6 skyrių)</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vertAlign w:val="superscript"/>
          <w:lang w:val="lt-LT"/>
        </w:rPr>
        <w:t xml:space="preserve">1 </w:t>
      </w:r>
      <w:r w:rsidRPr="00C326B9">
        <w:rPr>
          <w:sz w:val="22"/>
          <w:szCs w:val="22"/>
          <w:lang w:val="lt-LT"/>
        </w:rPr>
        <w:t>Nepriklausomai nuo pradinės kūno masės indekso (KMI), kliniškai reikšmingai kūno svoris padidėjo</w:t>
      </w:r>
      <w:r w:rsidR="00E82D06">
        <w:rPr>
          <w:sz w:val="22"/>
          <w:szCs w:val="22"/>
          <w:lang w:val="lt-LT"/>
        </w:rPr>
        <w:t xml:space="preserve"> </w:t>
      </w:r>
      <w:r w:rsidRPr="00C326B9">
        <w:rPr>
          <w:sz w:val="22"/>
          <w:szCs w:val="22"/>
          <w:lang w:val="lt-LT"/>
        </w:rPr>
        <w:t>visiems tiriamiesiems. Dėl trumpalaikio gydymo (vidutinė trukmė 47 dienos) kūno svoris ≥7</w:t>
      </w:r>
      <w:r w:rsidR="00E82D06">
        <w:rPr>
          <w:sz w:val="22"/>
          <w:szCs w:val="22"/>
          <w:lang w:val="lt-LT"/>
        </w:rPr>
        <w:t>%</w:t>
      </w:r>
      <w:r w:rsidRPr="00C326B9">
        <w:rPr>
          <w:sz w:val="22"/>
          <w:szCs w:val="22"/>
          <w:lang w:val="lt-LT"/>
        </w:rPr>
        <w:t>,</w:t>
      </w:r>
      <w:r w:rsidR="00E82D06">
        <w:rPr>
          <w:sz w:val="22"/>
          <w:szCs w:val="22"/>
          <w:lang w:val="lt-LT"/>
        </w:rPr>
        <w:t xml:space="preserve"> </w:t>
      </w:r>
      <w:r w:rsidRPr="00C326B9">
        <w:rPr>
          <w:sz w:val="22"/>
          <w:szCs w:val="22"/>
          <w:lang w:val="lt-LT"/>
        </w:rPr>
        <w:t>palyginti su pradiniu, padidėjo labai dažnai (22,2 %), ≥15</w:t>
      </w:r>
      <w:r w:rsidR="00E82D06">
        <w:rPr>
          <w:sz w:val="22"/>
          <w:szCs w:val="22"/>
          <w:lang w:val="lt-LT"/>
        </w:rPr>
        <w:t>%</w:t>
      </w:r>
      <w:r w:rsidRPr="00C326B9">
        <w:rPr>
          <w:sz w:val="22"/>
          <w:szCs w:val="22"/>
          <w:lang w:val="lt-LT"/>
        </w:rPr>
        <w:t xml:space="preserve"> dažnai (4,2 %) ir ≥ 25 % – nedažnai</w:t>
      </w:r>
      <w:r w:rsidR="00D760BA">
        <w:rPr>
          <w:sz w:val="22"/>
          <w:szCs w:val="22"/>
          <w:lang w:val="lt-LT"/>
        </w:rPr>
        <w:t xml:space="preserve"> </w:t>
      </w:r>
      <w:r w:rsidRPr="00C326B9">
        <w:rPr>
          <w:sz w:val="22"/>
          <w:szCs w:val="22"/>
          <w:lang w:val="lt-LT"/>
        </w:rPr>
        <w:t>(0,8 %). Dėl ilgalaikės ekspozicijos (ne trumpesnės kaip 48 savaitės) kūno svoris, palyginti su</w:t>
      </w:r>
      <w:r w:rsidR="00D760BA">
        <w:rPr>
          <w:sz w:val="22"/>
          <w:szCs w:val="22"/>
          <w:lang w:val="lt-LT"/>
        </w:rPr>
        <w:t xml:space="preserve"> </w:t>
      </w:r>
      <w:r w:rsidRPr="00C326B9">
        <w:rPr>
          <w:sz w:val="22"/>
          <w:szCs w:val="22"/>
          <w:lang w:val="lt-LT"/>
        </w:rPr>
        <w:t>pradiniu, padidėjo ≥7</w:t>
      </w:r>
      <w:r w:rsidR="00D760BA" w:rsidRPr="007B5763">
        <w:rPr>
          <w:sz w:val="22"/>
          <w:szCs w:val="22"/>
          <w:lang w:val="lt-LT"/>
        </w:rPr>
        <w:t>%</w:t>
      </w:r>
      <w:r w:rsidRPr="00C326B9">
        <w:rPr>
          <w:sz w:val="22"/>
          <w:szCs w:val="22"/>
          <w:lang w:val="lt-LT"/>
        </w:rPr>
        <w:t>, ≥15</w:t>
      </w:r>
      <w:r w:rsidR="00D760BA">
        <w:rPr>
          <w:sz w:val="22"/>
          <w:szCs w:val="22"/>
          <w:lang w:val="lt-LT"/>
        </w:rPr>
        <w:t xml:space="preserve">% </w:t>
      </w:r>
      <w:r w:rsidRPr="00C326B9">
        <w:rPr>
          <w:sz w:val="22"/>
          <w:szCs w:val="22"/>
          <w:lang w:val="lt-LT"/>
        </w:rPr>
        <w:t>ir ≥25 % labai dažnai (atitinkamai 64,4 %, 31,7 % ir 12,3 %).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vertAlign w:val="superscript"/>
          <w:lang w:val="lt-LT"/>
        </w:rPr>
        <w:t xml:space="preserve">2 </w:t>
      </w:r>
      <w:r w:rsidRPr="00C326B9">
        <w:rPr>
          <w:sz w:val="22"/>
          <w:szCs w:val="22"/>
          <w:lang w:val="lt-LT"/>
        </w:rPr>
        <w:t>Pacientams, kuriems prieš pradedant gydyti lipidų apykaitos sutrikimų nebuvo, vidutinis jų (bendro</w:t>
      </w:r>
    </w:p>
    <w:p w:rsidR="001F5325" w:rsidRPr="00C326B9" w:rsidRDefault="001F5325" w:rsidP="001F5325">
      <w:pPr>
        <w:autoSpaceDE w:val="0"/>
        <w:autoSpaceDN w:val="0"/>
        <w:adjustRightInd w:val="0"/>
        <w:rPr>
          <w:sz w:val="22"/>
          <w:szCs w:val="22"/>
          <w:lang w:val="lt-LT"/>
        </w:rPr>
      </w:pPr>
      <w:r w:rsidRPr="00C326B9">
        <w:rPr>
          <w:sz w:val="22"/>
          <w:szCs w:val="22"/>
          <w:lang w:val="lt-LT"/>
        </w:rPr>
        <w:t>cholesterolio, MTL cholesterolio ir trigliceridų) kiekio padidėjimas nevalgius buvo didesnis.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vertAlign w:val="superscript"/>
          <w:lang w:val="lt-LT"/>
        </w:rPr>
        <w:t>3</w:t>
      </w:r>
      <w:r w:rsidRPr="00C326B9">
        <w:rPr>
          <w:sz w:val="22"/>
          <w:szCs w:val="22"/>
          <w:lang w:val="lt-LT"/>
        </w:rPr>
        <w:t xml:space="preserve"> Normali pradinė koncentracija nevalgius (5,17 mmol/l), kuri padidėjo iki didelės (≥6,2 mmol/l).</w:t>
      </w:r>
    </w:p>
    <w:p w:rsidR="001F5325" w:rsidRPr="00C326B9" w:rsidRDefault="001F5325" w:rsidP="001F5325">
      <w:pPr>
        <w:autoSpaceDE w:val="0"/>
        <w:autoSpaceDN w:val="0"/>
        <w:adjustRightInd w:val="0"/>
        <w:rPr>
          <w:sz w:val="22"/>
          <w:szCs w:val="22"/>
          <w:lang w:val="lt-LT"/>
        </w:rPr>
      </w:pPr>
      <w:r w:rsidRPr="00C326B9">
        <w:rPr>
          <w:sz w:val="22"/>
          <w:szCs w:val="22"/>
          <w:lang w:val="lt-LT"/>
        </w:rPr>
        <w:t>Ribinės pradinės cholesterolio koncentracijos nevalgius (≥5,17-6,2 mmol/l) padidėjimas iki didelės</w:t>
      </w:r>
    </w:p>
    <w:p w:rsidR="001F5325" w:rsidRPr="00C326B9" w:rsidRDefault="001F5325" w:rsidP="001F5325">
      <w:pPr>
        <w:autoSpaceDE w:val="0"/>
        <w:autoSpaceDN w:val="0"/>
        <w:adjustRightInd w:val="0"/>
        <w:rPr>
          <w:sz w:val="22"/>
          <w:szCs w:val="22"/>
          <w:lang w:val="lt-LT"/>
        </w:rPr>
      </w:pPr>
      <w:r w:rsidRPr="00C326B9">
        <w:rPr>
          <w:sz w:val="22"/>
          <w:szCs w:val="22"/>
          <w:lang w:val="lt-LT"/>
        </w:rPr>
        <w:t>(≥6,2 mmol/l) buvo labai dažnas.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vertAlign w:val="superscript"/>
          <w:lang w:val="lt-LT"/>
        </w:rPr>
        <w:t>4</w:t>
      </w:r>
      <w:r w:rsidRPr="00C326B9">
        <w:rPr>
          <w:sz w:val="22"/>
          <w:szCs w:val="22"/>
          <w:lang w:val="lt-LT"/>
        </w:rPr>
        <w:t xml:space="preserve"> Normali pradinė koncentracija nevalgius (&lt; 5,56 mmol/l), kuri padidėjo iki didelės (≥ 7 mmol/l).</w:t>
      </w:r>
    </w:p>
    <w:p w:rsidR="001F5325" w:rsidRPr="00C326B9" w:rsidRDefault="001F5325" w:rsidP="001F5325">
      <w:pPr>
        <w:autoSpaceDE w:val="0"/>
        <w:autoSpaceDN w:val="0"/>
        <w:adjustRightInd w:val="0"/>
        <w:rPr>
          <w:sz w:val="22"/>
          <w:szCs w:val="22"/>
          <w:lang w:val="lt-LT"/>
        </w:rPr>
      </w:pPr>
      <w:r w:rsidRPr="00C326B9">
        <w:rPr>
          <w:sz w:val="22"/>
          <w:szCs w:val="22"/>
          <w:lang w:val="lt-LT"/>
        </w:rPr>
        <w:t>Ribinės pradinės gliukozės koncentracijos nevalgius (≥ 5,56-7 mmol/l) padidėjimas iki didelės</w:t>
      </w:r>
    </w:p>
    <w:p w:rsidR="001F5325" w:rsidRPr="00C326B9" w:rsidRDefault="001F5325" w:rsidP="001F5325">
      <w:pPr>
        <w:autoSpaceDE w:val="0"/>
        <w:autoSpaceDN w:val="0"/>
        <w:adjustRightInd w:val="0"/>
        <w:rPr>
          <w:sz w:val="22"/>
          <w:szCs w:val="22"/>
          <w:lang w:val="lt-LT"/>
        </w:rPr>
      </w:pPr>
      <w:r w:rsidRPr="00C326B9">
        <w:rPr>
          <w:sz w:val="22"/>
          <w:szCs w:val="22"/>
          <w:lang w:val="lt-LT"/>
        </w:rPr>
        <w:t>(≥ 7 mmol/l) buvo labai dažnas.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vertAlign w:val="superscript"/>
          <w:lang w:val="lt-LT"/>
        </w:rPr>
        <w:t>5</w:t>
      </w:r>
      <w:r w:rsidRPr="00C326B9">
        <w:rPr>
          <w:sz w:val="22"/>
          <w:szCs w:val="22"/>
          <w:lang w:val="lt-LT"/>
        </w:rPr>
        <w:t xml:space="preserve"> Normali pradinė koncentracija nevalgius (1,69 mmol/l), kuri padidėjo iki didelės (≥2,26 mmol/l).</w:t>
      </w:r>
    </w:p>
    <w:p w:rsidR="001F5325" w:rsidRPr="00C326B9" w:rsidRDefault="001F5325" w:rsidP="001F5325">
      <w:pPr>
        <w:autoSpaceDE w:val="0"/>
        <w:autoSpaceDN w:val="0"/>
        <w:adjustRightInd w:val="0"/>
        <w:rPr>
          <w:sz w:val="22"/>
          <w:szCs w:val="22"/>
          <w:lang w:val="lt-LT"/>
        </w:rPr>
      </w:pPr>
      <w:r w:rsidRPr="00C326B9">
        <w:rPr>
          <w:sz w:val="22"/>
          <w:szCs w:val="22"/>
          <w:lang w:val="lt-LT"/>
        </w:rPr>
        <w:t>Ribinės pradinės trigliceridų koncentracijos nevalgius (≥1,69-2,26 mmol/l) padidėjimas iki didelės</w:t>
      </w:r>
    </w:p>
    <w:p w:rsidR="001F5325" w:rsidRPr="00C326B9" w:rsidRDefault="001F5325" w:rsidP="001F5325">
      <w:pPr>
        <w:autoSpaceDE w:val="0"/>
        <w:autoSpaceDN w:val="0"/>
        <w:adjustRightInd w:val="0"/>
        <w:rPr>
          <w:sz w:val="22"/>
          <w:szCs w:val="22"/>
          <w:lang w:val="lt-LT"/>
        </w:rPr>
      </w:pPr>
      <w:r w:rsidRPr="00C326B9">
        <w:rPr>
          <w:sz w:val="22"/>
          <w:szCs w:val="22"/>
          <w:lang w:val="lt-LT"/>
        </w:rPr>
        <w:t>(≥2,26 mmol/l) buvo labai dažnas.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vertAlign w:val="superscript"/>
          <w:lang w:val="lt-LT"/>
        </w:rPr>
        <w:t>6</w:t>
      </w:r>
      <w:r w:rsidRPr="00C326B9">
        <w:rPr>
          <w:sz w:val="22"/>
          <w:szCs w:val="22"/>
          <w:lang w:val="lt-LT"/>
        </w:rPr>
        <w:t xml:space="preserve"> Klinikinių tyrimų metu parkinsonizmo ir distonijos dažnis olanzapinu gydytiems pacientams buvo</w:t>
      </w:r>
    </w:p>
    <w:p w:rsidR="001F5325" w:rsidRPr="00C326B9" w:rsidRDefault="001F5325" w:rsidP="001F5325">
      <w:pPr>
        <w:autoSpaceDE w:val="0"/>
        <w:autoSpaceDN w:val="0"/>
        <w:adjustRightInd w:val="0"/>
        <w:rPr>
          <w:sz w:val="22"/>
          <w:szCs w:val="22"/>
          <w:lang w:val="lt-LT"/>
        </w:rPr>
      </w:pPr>
      <w:r w:rsidRPr="00C326B9">
        <w:rPr>
          <w:sz w:val="22"/>
          <w:szCs w:val="22"/>
          <w:lang w:val="lt-LT"/>
        </w:rPr>
        <w:t>didesnis, tačiau statistiškai reikšmingai nesiskyrė nuo vartojusiųjų placebą. Olanzapiną vartojusiems</w:t>
      </w:r>
    </w:p>
    <w:p w:rsidR="001F5325" w:rsidRPr="00C326B9" w:rsidRDefault="001F5325" w:rsidP="001F5325">
      <w:pPr>
        <w:autoSpaceDE w:val="0"/>
        <w:autoSpaceDN w:val="0"/>
        <w:adjustRightInd w:val="0"/>
        <w:rPr>
          <w:sz w:val="22"/>
          <w:szCs w:val="22"/>
          <w:lang w:val="lt-LT"/>
        </w:rPr>
      </w:pPr>
      <w:r w:rsidRPr="00C326B9">
        <w:rPr>
          <w:sz w:val="22"/>
          <w:szCs w:val="22"/>
          <w:lang w:val="lt-LT"/>
        </w:rPr>
        <w:t>pacientams rečiau negu vartojusiems titruotą haloperidolio dozę pasireiškė parkinsonizmas, akatizija ir</w:t>
      </w:r>
    </w:p>
    <w:p w:rsidR="001F5325" w:rsidRPr="00C326B9" w:rsidRDefault="001F5325" w:rsidP="001F5325">
      <w:pPr>
        <w:autoSpaceDE w:val="0"/>
        <w:autoSpaceDN w:val="0"/>
        <w:adjustRightInd w:val="0"/>
        <w:rPr>
          <w:sz w:val="22"/>
          <w:szCs w:val="22"/>
          <w:lang w:val="lt-LT"/>
        </w:rPr>
      </w:pPr>
      <w:r w:rsidRPr="00C326B9">
        <w:rPr>
          <w:sz w:val="22"/>
          <w:szCs w:val="22"/>
          <w:lang w:val="lt-LT"/>
        </w:rPr>
        <w:t>distonija. Nesant išsamios informacijos apie jau buvusius ūminius ar vėlyvuosius ekstrapiramidinius</w:t>
      </w:r>
    </w:p>
    <w:p w:rsidR="001F5325" w:rsidRPr="00C326B9" w:rsidRDefault="001F5325" w:rsidP="001F5325">
      <w:pPr>
        <w:autoSpaceDE w:val="0"/>
        <w:autoSpaceDN w:val="0"/>
        <w:adjustRightInd w:val="0"/>
        <w:rPr>
          <w:sz w:val="22"/>
          <w:szCs w:val="22"/>
          <w:lang w:val="lt-LT"/>
        </w:rPr>
      </w:pPr>
      <w:r w:rsidRPr="00C326B9">
        <w:rPr>
          <w:sz w:val="22"/>
          <w:szCs w:val="22"/>
          <w:lang w:val="lt-LT"/>
        </w:rPr>
        <w:t>judėjimo sutrikimus, šiuo metu negalima teigti, kad olanzapinas rečiau sukelia vėlyvąją diskineziją ir</w:t>
      </w:r>
    </w:p>
    <w:p w:rsidR="001F5325" w:rsidRPr="00C326B9" w:rsidRDefault="001F5325" w:rsidP="001F5325">
      <w:pPr>
        <w:autoSpaceDE w:val="0"/>
        <w:autoSpaceDN w:val="0"/>
        <w:adjustRightInd w:val="0"/>
        <w:rPr>
          <w:sz w:val="22"/>
          <w:szCs w:val="22"/>
          <w:lang w:val="lt-LT"/>
        </w:rPr>
      </w:pPr>
      <w:r w:rsidRPr="00C326B9">
        <w:rPr>
          <w:sz w:val="22"/>
          <w:szCs w:val="22"/>
          <w:lang w:val="lt-LT"/>
        </w:rPr>
        <w:t>(ar) kitus vėlyvuosius ekstrapiramidinius sindromus.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vertAlign w:val="superscript"/>
          <w:lang w:val="lt-LT"/>
        </w:rPr>
        <w:t xml:space="preserve">7 </w:t>
      </w:r>
      <w:r w:rsidRPr="00C326B9">
        <w:rPr>
          <w:sz w:val="22"/>
          <w:szCs w:val="22"/>
          <w:lang w:val="lt-LT"/>
        </w:rPr>
        <w:t>Staigiai nutraukus olanzapino vartojimą, atsirado ūminių simptomų, pavyzdžiui: prakaitavimas,</w:t>
      </w:r>
    </w:p>
    <w:p w:rsidR="001F5325" w:rsidRPr="00C326B9" w:rsidRDefault="001F5325" w:rsidP="001F5325">
      <w:pPr>
        <w:autoSpaceDE w:val="0"/>
        <w:autoSpaceDN w:val="0"/>
        <w:adjustRightInd w:val="0"/>
        <w:rPr>
          <w:sz w:val="22"/>
          <w:szCs w:val="22"/>
          <w:lang w:val="lt-LT"/>
        </w:rPr>
      </w:pPr>
      <w:r w:rsidRPr="00C326B9">
        <w:rPr>
          <w:sz w:val="22"/>
          <w:szCs w:val="22"/>
          <w:lang w:val="lt-LT"/>
        </w:rPr>
        <w:lastRenderedPageBreak/>
        <w:t>nemiga, drebulys, nerimas, pykinimas ir vėmimas.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vertAlign w:val="superscript"/>
          <w:lang w:val="lt-LT"/>
        </w:rPr>
        <w:t xml:space="preserve">8 </w:t>
      </w:r>
      <w:r w:rsidRPr="00C326B9">
        <w:rPr>
          <w:sz w:val="22"/>
          <w:szCs w:val="22"/>
          <w:lang w:val="lt-LT"/>
        </w:rPr>
        <w:t>Iki 12 savaičių trukusių klinkinių tyrimų duomenimis, maždaug 30 % pacientų, kurių prolaktino</w:t>
      </w:r>
    </w:p>
    <w:p w:rsidR="001F5325" w:rsidRPr="00C326B9" w:rsidRDefault="001F5325" w:rsidP="001F5325">
      <w:pPr>
        <w:autoSpaceDE w:val="0"/>
        <w:autoSpaceDN w:val="0"/>
        <w:adjustRightInd w:val="0"/>
        <w:rPr>
          <w:sz w:val="22"/>
          <w:szCs w:val="22"/>
          <w:lang w:val="lt-LT"/>
        </w:rPr>
      </w:pPr>
      <w:r w:rsidRPr="00C326B9">
        <w:rPr>
          <w:sz w:val="22"/>
          <w:szCs w:val="22"/>
          <w:lang w:val="lt-LT"/>
        </w:rPr>
        <w:t>koncentracija prieš pradedant gydymą buvo normali, prolaktino koncentracijos plazmoje vartojant</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olanzapiną viršijo viršutinę normos ribą. Daugumai šių pacientų koncentracijos padidėjimas buvo</w:t>
      </w: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lengvas ir viršutinę normos ribą viršijo mažiau kaip du kartus.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color w:val="000000"/>
          <w:sz w:val="22"/>
          <w:szCs w:val="22"/>
          <w:lang w:val="lt-LT"/>
        </w:rPr>
      </w:pPr>
      <w:r w:rsidRPr="00C326B9">
        <w:rPr>
          <w:color w:val="000000"/>
          <w:sz w:val="22"/>
          <w:szCs w:val="22"/>
          <w:vertAlign w:val="superscript"/>
          <w:lang w:val="lt-LT"/>
        </w:rPr>
        <w:t xml:space="preserve">9 </w:t>
      </w:r>
      <w:r w:rsidRPr="00C326B9">
        <w:rPr>
          <w:color w:val="000000"/>
          <w:sz w:val="22"/>
          <w:szCs w:val="22"/>
          <w:lang w:val="lt-LT"/>
        </w:rPr>
        <w:t xml:space="preserve">Nepageidaujamas reiškinys, kuris buvo nustatytas klinikinių tyrimų metu, remiantis integruota olanzapino duomenų baze. </w:t>
      </w:r>
    </w:p>
    <w:p w:rsidR="001F5325" w:rsidRPr="00C326B9" w:rsidRDefault="001F5325" w:rsidP="001F5325">
      <w:pPr>
        <w:autoSpaceDE w:val="0"/>
        <w:autoSpaceDN w:val="0"/>
        <w:adjustRightInd w:val="0"/>
        <w:rPr>
          <w:color w:val="000000"/>
          <w:sz w:val="22"/>
          <w:szCs w:val="22"/>
          <w:lang w:val="lt-LT"/>
        </w:rPr>
      </w:pPr>
    </w:p>
    <w:p w:rsidR="001F5325" w:rsidRPr="00C326B9" w:rsidRDefault="001F5325" w:rsidP="001F5325">
      <w:pPr>
        <w:autoSpaceDE w:val="0"/>
        <w:autoSpaceDN w:val="0"/>
        <w:adjustRightInd w:val="0"/>
        <w:rPr>
          <w:color w:val="000000"/>
          <w:sz w:val="22"/>
          <w:szCs w:val="22"/>
          <w:lang w:val="lt-LT"/>
        </w:rPr>
      </w:pPr>
      <w:r w:rsidRPr="00C326B9">
        <w:rPr>
          <w:color w:val="000000"/>
          <w:sz w:val="22"/>
          <w:szCs w:val="22"/>
          <w:vertAlign w:val="superscript"/>
          <w:lang w:val="lt-LT"/>
        </w:rPr>
        <w:t xml:space="preserve">10 </w:t>
      </w:r>
      <w:r w:rsidRPr="00C326B9">
        <w:rPr>
          <w:color w:val="000000"/>
          <w:sz w:val="22"/>
          <w:szCs w:val="22"/>
          <w:lang w:val="lt-LT"/>
        </w:rPr>
        <w:t xml:space="preserve">Kaip įvertinta pagal klinikinių tyrimų metu išmatuotus rodmenis, remiantis integruota olanzapino duomenų baze. </w:t>
      </w:r>
    </w:p>
    <w:p w:rsidR="001F5325" w:rsidRPr="00C326B9" w:rsidRDefault="001F5325" w:rsidP="001F5325">
      <w:pPr>
        <w:autoSpaceDE w:val="0"/>
        <w:autoSpaceDN w:val="0"/>
        <w:adjustRightInd w:val="0"/>
        <w:rPr>
          <w:color w:val="000000"/>
          <w:sz w:val="22"/>
          <w:szCs w:val="22"/>
          <w:lang w:val="lt-LT"/>
        </w:rPr>
      </w:pPr>
    </w:p>
    <w:p w:rsidR="001F5325" w:rsidRPr="00C326B9" w:rsidRDefault="001F5325" w:rsidP="001F5325">
      <w:pPr>
        <w:autoSpaceDE w:val="0"/>
        <w:autoSpaceDN w:val="0"/>
        <w:adjustRightInd w:val="0"/>
        <w:rPr>
          <w:color w:val="000000"/>
          <w:sz w:val="22"/>
          <w:szCs w:val="22"/>
          <w:lang w:val="lt-LT"/>
        </w:rPr>
      </w:pPr>
      <w:r w:rsidRPr="00C326B9">
        <w:rPr>
          <w:color w:val="000000"/>
          <w:sz w:val="22"/>
          <w:szCs w:val="22"/>
          <w:vertAlign w:val="superscript"/>
          <w:lang w:val="lt-LT"/>
        </w:rPr>
        <w:t xml:space="preserve">11 </w:t>
      </w:r>
      <w:r w:rsidRPr="00C326B9">
        <w:rPr>
          <w:color w:val="000000"/>
          <w:sz w:val="22"/>
          <w:szCs w:val="22"/>
          <w:lang w:val="lt-LT"/>
        </w:rPr>
        <w:t xml:space="preserve">Nepageidaujamas reiškinys, kuris buvo nustatytas, remiantis savanoriškais pranešimas, gautais po vaistinio preparato patekimo į rinką, kurio dažnis apskaičiuotas, remiantis integruota olanzapino duomenų baze. </w:t>
      </w:r>
    </w:p>
    <w:p w:rsidR="001F5325" w:rsidRPr="00C326B9" w:rsidRDefault="001F5325" w:rsidP="001F5325">
      <w:pPr>
        <w:autoSpaceDE w:val="0"/>
        <w:autoSpaceDN w:val="0"/>
        <w:adjustRightInd w:val="0"/>
        <w:rPr>
          <w:color w:val="000000"/>
          <w:sz w:val="22"/>
          <w:szCs w:val="22"/>
          <w:lang w:val="lt-LT"/>
        </w:rPr>
      </w:pPr>
    </w:p>
    <w:p w:rsidR="001F5325" w:rsidRPr="00C326B9" w:rsidRDefault="001F5325" w:rsidP="001F5325">
      <w:pPr>
        <w:autoSpaceDE w:val="0"/>
        <w:autoSpaceDN w:val="0"/>
        <w:adjustRightInd w:val="0"/>
        <w:rPr>
          <w:color w:val="000000"/>
          <w:sz w:val="22"/>
          <w:szCs w:val="22"/>
          <w:lang w:val="lt-LT"/>
        </w:rPr>
      </w:pPr>
      <w:r w:rsidRPr="00C326B9">
        <w:rPr>
          <w:color w:val="000000"/>
          <w:sz w:val="22"/>
          <w:szCs w:val="22"/>
          <w:vertAlign w:val="superscript"/>
          <w:lang w:val="lt-LT"/>
        </w:rPr>
        <w:t xml:space="preserve">12 </w:t>
      </w:r>
      <w:r w:rsidRPr="00C326B9">
        <w:rPr>
          <w:color w:val="000000"/>
          <w:sz w:val="22"/>
          <w:szCs w:val="22"/>
          <w:lang w:val="lt-LT"/>
        </w:rPr>
        <w:t>Nepageidaujamas reiškinys, kuris buvo nustatytas, remiantis savanoriškais pranešimas, gautais po vaistinio preparato patekimo į rinką, kurio dažnio 95 % pasikliautinojo intervalo viršutinė riba apskaičiuota remiantis integruota olanzapino duomenų baze.</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Ilgalaikė (mažiausiai 48 savaičių) ekspozicija</w:t>
      </w:r>
    </w:p>
    <w:p w:rsidR="001F5325" w:rsidRPr="00C326B9" w:rsidRDefault="001F5325" w:rsidP="001F5325">
      <w:pPr>
        <w:autoSpaceDE w:val="0"/>
        <w:autoSpaceDN w:val="0"/>
        <w:adjustRightInd w:val="0"/>
        <w:rPr>
          <w:sz w:val="22"/>
          <w:szCs w:val="22"/>
          <w:lang w:val="lt-LT"/>
        </w:rPr>
      </w:pPr>
      <w:r w:rsidRPr="00C326B9">
        <w:rPr>
          <w:sz w:val="22"/>
          <w:szCs w:val="22"/>
          <w:lang w:val="lt-LT"/>
        </w:rPr>
        <w:t>Pacientų, kuriems atsirado nepageidaujamas kliniškai reikšmingas kūno svorio padidėjimas arba</w:t>
      </w:r>
    </w:p>
    <w:p w:rsidR="001F5325" w:rsidRPr="00C326B9" w:rsidRDefault="001F5325" w:rsidP="001F5325">
      <w:pPr>
        <w:autoSpaceDE w:val="0"/>
        <w:autoSpaceDN w:val="0"/>
        <w:adjustRightInd w:val="0"/>
        <w:rPr>
          <w:sz w:val="22"/>
          <w:szCs w:val="22"/>
          <w:lang w:val="lt-LT"/>
        </w:rPr>
      </w:pPr>
      <w:r w:rsidRPr="00C326B9">
        <w:rPr>
          <w:sz w:val="22"/>
          <w:szCs w:val="22"/>
          <w:lang w:val="lt-LT"/>
        </w:rPr>
        <w:t>gliukozės, bendro/MTL/DTL cholesterolio ar trigliceridų kiekio pokytis, dalis laikui bėgant didėjo.</w:t>
      </w:r>
    </w:p>
    <w:p w:rsidR="001F5325" w:rsidRPr="00C326B9" w:rsidRDefault="001F5325" w:rsidP="001F5325">
      <w:pPr>
        <w:autoSpaceDE w:val="0"/>
        <w:autoSpaceDN w:val="0"/>
        <w:adjustRightInd w:val="0"/>
        <w:rPr>
          <w:sz w:val="22"/>
          <w:szCs w:val="22"/>
          <w:lang w:val="lt-LT"/>
        </w:rPr>
      </w:pPr>
      <w:r w:rsidRPr="00C326B9">
        <w:rPr>
          <w:sz w:val="22"/>
          <w:szCs w:val="22"/>
          <w:lang w:val="lt-LT"/>
        </w:rPr>
        <w:t>Suaugusiems pacientams, baigusiems 9-12 mėnesių gydymą, vidutinis gliukozės kiekis kraujyje</w:t>
      </w:r>
    </w:p>
    <w:p w:rsidR="001F5325" w:rsidRPr="00C326B9" w:rsidRDefault="001F5325" w:rsidP="001F5325">
      <w:pPr>
        <w:autoSpaceDE w:val="0"/>
        <w:autoSpaceDN w:val="0"/>
        <w:adjustRightInd w:val="0"/>
        <w:rPr>
          <w:sz w:val="22"/>
          <w:szCs w:val="22"/>
          <w:lang w:val="lt-LT"/>
        </w:rPr>
      </w:pPr>
      <w:r w:rsidRPr="00C326B9">
        <w:rPr>
          <w:sz w:val="22"/>
          <w:szCs w:val="22"/>
          <w:lang w:val="lt-LT"/>
        </w:rPr>
        <w:t>padidėjimo greitis maždaug po 6 gydymo mėnesių sulėtėdavo.</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Papildoma informacija apie specialių grupių pacientus</w:t>
      </w:r>
    </w:p>
    <w:p w:rsidR="001F5325" w:rsidRPr="00C326B9" w:rsidRDefault="001F5325" w:rsidP="001F5325">
      <w:pPr>
        <w:autoSpaceDE w:val="0"/>
        <w:autoSpaceDN w:val="0"/>
        <w:adjustRightInd w:val="0"/>
        <w:rPr>
          <w:sz w:val="22"/>
          <w:szCs w:val="22"/>
          <w:lang w:val="lt-LT"/>
        </w:rPr>
      </w:pPr>
      <w:r w:rsidRPr="00C326B9">
        <w:rPr>
          <w:sz w:val="22"/>
          <w:szCs w:val="22"/>
          <w:lang w:val="lt-LT"/>
        </w:rPr>
        <w:t>Klinikiniai tyrimai, kuriuose dalyvavo demencija sergantys senyvi pacientai, parodė mirčių ir</w:t>
      </w:r>
    </w:p>
    <w:p w:rsidR="001F5325" w:rsidRPr="00C326B9" w:rsidRDefault="001F5325" w:rsidP="001F5325">
      <w:pPr>
        <w:autoSpaceDE w:val="0"/>
        <w:autoSpaceDN w:val="0"/>
        <w:adjustRightInd w:val="0"/>
        <w:rPr>
          <w:sz w:val="22"/>
          <w:szCs w:val="22"/>
          <w:lang w:val="lt-LT"/>
        </w:rPr>
      </w:pPr>
      <w:r w:rsidRPr="00C326B9">
        <w:rPr>
          <w:sz w:val="22"/>
          <w:szCs w:val="22"/>
          <w:lang w:val="lt-LT"/>
        </w:rPr>
        <w:t>cerebrovaskulinių nepageidaujamų reakcijų padažnėjimą gydant olanzapinu, palyginti su placebo</w:t>
      </w:r>
    </w:p>
    <w:p w:rsidR="001F5325" w:rsidRPr="00C326B9" w:rsidRDefault="001F5325" w:rsidP="001F5325">
      <w:pPr>
        <w:autoSpaceDE w:val="0"/>
        <w:autoSpaceDN w:val="0"/>
        <w:adjustRightInd w:val="0"/>
        <w:rPr>
          <w:sz w:val="22"/>
          <w:szCs w:val="22"/>
          <w:lang w:val="lt-LT"/>
        </w:rPr>
      </w:pPr>
      <w:r w:rsidRPr="00C326B9">
        <w:rPr>
          <w:sz w:val="22"/>
          <w:szCs w:val="22"/>
          <w:lang w:val="lt-LT"/>
        </w:rPr>
        <w:t>vartojimu (žr. 4.4 skyrių). Labai dažnos nepageidaujamos reakcijos, susijusios su olanzapino</w:t>
      </w:r>
    </w:p>
    <w:p w:rsidR="001F5325" w:rsidRPr="00C326B9" w:rsidRDefault="001F5325" w:rsidP="001F5325">
      <w:pPr>
        <w:autoSpaceDE w:val="0"/>
        <w:autoSpaceDN w:val="0"/>
        <w:adjustRightInd w:val="0"/>
        <w:rPr>
          <w:sz w:val="22"/>
          <w:szCs w:val="22"/>
          <w:lang w:val="lt-LT"/>
        </w:rPr>
      </w:pPr>
      <w:r w:rsidRPr="00C326B9">
        <w:rPr>
          <w:sz w:val="22"/>
          <w:szCs w:val="22"/>
          <w:lang w:val="lt-LT"/>
        </w:rPr>
        <w:t>vartojimu, šios grupės pacientams buvo eisenos sutrikimai ir pargriuvimai. Dažnai pasireiškė</w:t>
      </w:r>
    </w:p>
    <w:p w:rsidR="001F5325" w:rsidRPr="00C326B9" w:rsidRDefault="001F5325" w:rsidP="001F5325">
      <w:pPr>
        <w:autoSpaceDE w:val="0"/>
        <w:autoSpaceDN w:val="0"/>
        <w:adjustRightInd w:val="0"/>
        <w:rPr>
          <w:sz w:val="22"/>
          <w:szCs w:val="22"/>
          <w:lang w:val="lt-LT"/>
        </w:rPr>
      </w:pPr>
      <w:r w:rsidRPr="00C326B9">
        <w:rPr>
          <w:sz w:val="22"/>
          <w:szCs w:val="22"/>
          <w:lang w:val="lt-LT"/>
        </w:rPr>
        <w:t>pneumonija, kūno temperatūros padidėjimas, letargija, eritema, regos haliucinacijos ir šlapimo</w:t>
      </w:r>
    </w:p>
    <w:p w:rsidR="001F5325" w:rsidRPr="00C326B9" w:rsidRDefault="001F5325" w:rsidP="001F5325">
      <w:pPr>
        <w:autoSpaceDE w:val="0"/>
        <w:autoSpaceDN w:val="0"/>
        <w:adjustRightInd w:val="0"/>
        <w:rPr>
          <w:sz w:val="22"/>
          <w:szCs w:val="22"/>
          <w:lang w:val="lt-LT"/>
        </w:rPr>
      </w:pPr>
      <w:r w:rsidRPr="00C326B9">
        <w:rPr>
          <w:sz w:val="22"/>
          <w:szCs w:val="22"/>
          <w:lang w:val="lt-LT"/>
        </w:rPr>
        <w:t>nelaikymas.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Klinikinių tyrimų, kuriuose dalyvavo pacientai, kuriems pasireiškė vaistų (dopamino agonistų) sukelta</w:t>
      </w:r>
    </w:p>
    <w:p w:rsidR="001F5325" w:rsidRPr="00C326B9" w:rsidRDefault="001F5325" w:rsidP="001F5325">
      <w:pPr>
        <w:autoSpaceDE w:val="0"/>
        <w:autoSpaceDN w:val="0"/>
        <w:adjustRightInd w:val="0"/>
        <w:rPr>
          <w:sz w:val="22"/>
          <w:szCs w:val="22"/>
          <w:lang w:val="lt-LT"/>
        </w:rPr>
      </w:pPr>
      <w:r w:rsidRPr="00C326B9">
        <w:rPr>
          <w:sz w:val="22"/>
          <w:szCs w:val="22"/>
          <w:lang w:val="lt-LT"/>
        </w:rPr>
        <w:lastRenderedPageBreak/>
        <w:t>psichozė, susijusi su Parkinsono liga, duomenimis, dažnai ir dažniau nei vartojant placebą, pasunkėjo</w:t>
      </w:r>
    </w:p>
    <w:p w:rsidR="001F5325" w:rsidRPr="00C326B9" w:rsidRDefault="001F5325" w:rsidP="001F5325">
      <w:pPr>
        <w:autoSpaceDE w:val="0"/>
        <w:autoSpaceDN w:val="0"/>
        <w:adjustRightInd w:val="0"/>
        <w:rPr>
          <w:sz w:val="22"/>
          <w:szCs w:val="22"/>
          <w:lang w:val="lt-LT"/>
        </w:rPr>
      </w:pPr>
      <w:r w:rsidRPr="00C326B9">
        <w:rPr>
          <w:sz w:val="22"/>
          <w:szCs w:val="22"/>
          <w:lang w:val="lt-LT"/>
        </w:rPr>
        <w:t>parkinsoniniai simptomai ir atsirado haliucinacijų.</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Vieno klinikinio tyrimo, kuriame dalyvavo pacientai, sergantys bipoline manija, duomenimis, kartu su</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olanzapinu vartojant valproato, neutropenija pasireiškė 4,1 % atvejų. Galimas skatinamasis veiksnys</w:t>
      </w:r>
    </w:p>
    <w:p w:rsidR="001F5325" w:rsidRPr="00C326B9" w:rsidRDefault="001F5325" w:rsidP="001F5325">
      <w:pPr>
        <w:autoSpaceDE w:val="0"/>
        <w:autoSpaceDN w:val="0"/>
        <w:adjustRightInd w:val="0"/>
        <w:rPr>
          <w:sz w:val="22"/>
          <w:szCs w:val="22"/>
          <w:lang w:val="lt-LT"/>
        </w:rPr>
      </w:pPr>
      <w:r w:rsidRPr="00C326B9">
        <w:rPr>
          <w:sz w:val="22"/>
          <w:szCs w:val="22"/>
          <w:lang w:val="lt-LT"/>
        </w:rPr>
        <w:t>gali būti didelė valproato koncentracija plazmoje. Olanzapiną vartojant kartu su ličiu ar valproatu,</w:t>
      </w:r>
    </w:p>
    <w:p w:rsidR="001F5325" w:rsidRPr="00C326B9" w:rsidRDefault="001F5325" w:rsidP="001F5325">
      <w:pPr>
        <w:autoSpaceDE w:val="0"/>
        <w:autoSpaceDN w:val="0"/>
        <w:adjustRightInd w:val="0"/>
        <w:rPr>
          <w:sz w:val="22"/>
          <w:szCs w:val="22"/>
          <w:lang w:val="lt-LT"/>
        </w:rPr>
      </w:pPr>
      <w:r w:rsidRPr="00C326B9">
        <w:rPr>
          <w:sz w:val="22"/>
          <w:szCs w:val="22"/>
          <w:lang w:val="lt-LT"/>
        </w:rPr>
        <w:t>dažniau pasireiškė (≥10 %) drebulys, burnos džiūvimas, apetito ir svorio padidėjimas. Taip pat dažnai</w:t>
      </w:r>
      <w:r w:rsidR="00F30456">
        <w:rPr>
          <w:sz w:val="22"/>
          <w:szCs w:val="22"/>
          <w:lang w:val="lt-LT"/>
        </w:rPr>
        <w:t xml:space="preserve"> </w:t>
      </w:r>
      <w:r w:rsidRPr="00C326B9">
        <w:rPr>
          <w:sz w:val="22"/>
          <w:szCs w:val="22"/>
          <w:lang w:val="lt-LT"/>
        </w:rPr>
        <w:t>stebėtas kalbos sutrikimas. Olanzapiną vartojant kartu su ličiu ar divalproeksu, svorio padidėjimas</w:t>
      </w:r>
    </w:p>
    <w:p w:rsidR="001F5325" w:rsidRPr="00C326B9" w:rsidRDefault="001F5325" w:rsidP="001F5325">
      <w:pPr>
        <w:autoSpaceDE w:val="0"/>
        <w:autoSpaceDN w:val="0"/>
        <w:adjustRightInd w:val="0"/>
        <w:rPr>
          <w:sz w:val="22"/>
          <w:szCs w:val="22"/>
          <w:lang w:val="lt-LT"/>
        </w:rPr>
      </w:pPr>
      <w:r w:rsidRPr="00C326B9">
        <w:rPr>
          <w:sz w:val="22"/>
          <w:szCs w:val="22"/>
          <w:lang w:val="lt-LT"/>
        </w:rPr>
        <w:t>≥7 % pradinio svorio gydymo metu (iki 6 savaičių) nustatytas 17,4 % pacientų. Ilgalaikis (iki</w:t>
      </w:r>
    </w:p>
    <w:p w:rsidR="001F5325" w:rsidRPr="00C326B9" w:rsidRDefault="001F5325" w:rsidP="001F5325">
      <w:pPr>
        <w:autoSpaceDE w:val="0"/>
        <w:autoSpaceDN w:val="0"/>
        <w:adjustRightInd w:val="0"/>
        <w:rPr>
          <w:sz w:val="22"/>
          <w:szCs w:val="22"/>
          <w:lang w:val="lt-LT"/>
        </w:rPr>
      </w:pPr>
      <w:r w:rsidRPr="00C326B9">
        <w:rPr>
          <w:sz w:val="22"/>
          <w:szCs w:val="22"/>
          <w:lang w:val="lt-LT"/>
        </w:rPr>
        <w:t>12 mėnesių) olanzapino vartojimas atkryčio profilaktikai pacientams, kuriems diagnozuotas bipolinis</w:t>
      </w:r>
    </w:p>
    <w:p w:rsidR="001F5325" w:rsidRPr="00C326B9" w:rsidRDefault="001F5325" w:rsidP="001F5325">
      <w:pPr>
        <w:autoSpaceDE w:val="0"/>
        <w:autoSpaceDN w:val="0"/>
        <w:adjustRightInd w:val="0"/>
        <w:rPr>
          <w:sz w:val="22"/>
          <w:szCs w:val="22"/>
          <w:lang w:val="lt-LT"/>
        </w:rPr>
      </w:pPr>
      <w:r w:rsidRPr="00C326B9">
        <w:rPr>
          <w:sz w:val="22"/>
          <w:szCs w:val="22"/>
          <w:lang w:val="lt-LT"/>
        </w:rPr>
        <w:t>sutrikimas, 39,9 % pacientų buvo susijęs su kūno svorio padidėjimu ≥7 % pradinio svorio.</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lang w:val="lt-LT"/>
        </w:rPr>
      </w:pPr>
      <w:r w:rsidRPr="00C326B9">
        <w:rPr>
          <w:i/>
          <w:iCs/>
          <w:sz w:val="22"/>
          <w:szCs w:val="22"/>
          <w:lang w:val="lt-LT"/>
        </w:rPr>
        <w:t>Vaikai ir paaugliai</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Olanzapinu vaikai ir jaunesni kaip 18 metų paaugliai negydomi. Palyginamųjų paauglių ir suaugusiųjų</w:t>
      </w:r>
    </w:p>
    <w:p w:rsidR="001F5325" w:rsidRPr="00C326B9" w:rsidRDefault="001F5325" w:rsidP="001F5325">
      <w:pPr>
        <w:autoSpaceDE w:val="0"/>
        <w:autoSpaceDN w:val="0"/>
        <w:adjustRightInd w:val="0"/>
        <w:rPr>
          <w:sz w:val="22"/>
          <w:szCs w:val="22"/>
          <w:lang w:val="lt-LT"/>
        </w:rPr>
      </w:pPr>
      <w:r w:rsidRPr="00C326B9">
        <w:rPr>
          <w:sz w:val="22"/>
          <w:szCs w:val="22"/>
          <w:lang w:val="lt-LT"/>
        </w:rPr>
        <w:t>gydymo klinikinių tyrimų neatlikta, visgi palyginti tyrimų, kuriuose dalyvavo paaugliai, ir suaugusiųjų</w:t>
      </w:r>
    </w:p>
    <w:p w:rsidR="001F5325" w:rsidRPr="00C326B9" w:rsidRDefault="001F5325" w:rsidP="001F5325">
      <w:pPr>
        <w:autoSpaceDE w:val="0"/>
        <w:autoSpaceDN w:val="0"/>
        <w:adjustRightInd w:val="0"/>
        <w:rPr>
          <w:sz w:val="22"/>
          <w:szCs w:val="22"/>
          <w:lang w:val="lt-LT"/>
        </w:rPr>
      </w:pPr>
      <w:r w:rsidRPr="00C326B9">
        <w:rPr>
          <w:sz w:val="22"/>
          <w:szCs w:val="22"/>
          <w:lang w:val="lt-LT"/>
        </w:rPr>
        <w:t>tyrimų duomenys.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Toliau esančioje lentelėje apibendrintos nepageidaujamos reakcijos, kurios dažniau pasireiškė</w:t>
      </w:r>
    </w:p>
    <w:p w:rsidR="001F5325" w:rsidRPr="00C326B9" w:rsidRDefault="001F5325" w:rsidP="001F5325">
      <w:pPr>
        <w:autoSpaceDE w:val="0"/>
        <w:autoSpaceDN w:val="0"/>
        <w:adjustRightInd w:val="0"/>
        <w:rPr>
          <w:sz w:val="22"/>
          <w:szCs w:val="22"/>
          <w:lang w:val="lt-LT"/>
        </w:rPr>
      </w:pPr>
      <w:r w:rsidRPr="00C326B9">
        <w:rPr>
          <w:sz w:val="22"/>
          <w:szCs w:val="22"/>
          <w:lang w:val="lt-LT"/>
        </w:rPr>
        <w:t>paaugliams (13-17 metų) nei suaugusiesiems ar nepageidaujamos reakcijos, kurios nustatytos tik</w:t>
      </w:r>
    </w:p>
    <w:p w:rsidR="001F5325" w:rsidRPr="00C326B9" w:rsidRDefault="001F5325" w:rsidP="001F5325">
      <w:pPr>
        <w:autoSpaceDE w:val="0"/>
        <w:autoSpaceDN w:val="0"/>
        <w:adjustRightInd w:val="0"/>
        <w:rPr>
          <w:sz w:val="22"/>
          <w:szCs w:val="22"/>
          <w:lang w:val="lt-LT"/>
        </w:rPr>
      </w:pPr>
      <w:r w:rsidRPr="00C326B9">
        <w:rPr>
          <w:sz w:val="22"/>
          <w:szCs w:val="22"/>
          <w:lang w:val="lt-LT"/>
        </w:rPr>
        <w:t>trumpalaikių klinikinių tyrimų, kuriuose dalyvavo paaugliai, metu. Paaugliams kliniškai reikšmingai</w:t>
      </w:r>
    </w:p>
    <w:p w:rsidR="001F5325" w:rsidRPr="00C326B9" w:rsidRDefault="001F5325" w:rsidP="001F5325">
      <w:pPr>
        <w:autoSpaceDE w:val="0"/>
        <w:autoSpaceDN w:val="0"/>
        <w:adjustRightInd w:val="0"/>
        <w:rPr>
          <w:sz w:val="22"/>
          <w:szCs w:val="22"/>
          <w:lang w:val="lt-LT"/>
        </w:rPr>
      </w:pPr>
      <w:r w:rsidRPr="00C326B9">
        <w:rPr>
          <w:sz w:val="22"/>
          <w:szCs w:val="22"/>
          <w:lang w:val="lt-LT"/>
        </w:rPr>
        <w:t>(≥ 7 %) kūno svoris padidėjo dažniau, negu suaugusiems žmonėms, kurių organizme ekspozicija buvo</w:t>
      </w:r>
    </w:p>
    <w:p w:rsidR="001F5325" w:rsidRPr="00C326B9" w:rsidRDefault="001F5325" w:rsidP="001F5325">
      <w:pPr>
        <w:autoSpaceDE w:val="0"/>
        <w:autoSpaceDN w:val="0"/>
        <w:adjustRightInd w:val="0"/>
        <w:rPr>
          <w:sz w:val="22"/>
          <w:szCs w:val="22"/>
          <w:lang w:val="lt-LT"/>
        </w:rPr>
      </w:pPr>
      <w:r w:rsidRPr="00C326B9">
        <w:rPr>
          <w:sz w:val="22"/>
          <w:szCs w:val="22"/>
          <w:lang w:val="lt-LT"/>
        </w:rPr>
        <w:t>panaši. Ilgalaikės (mažiausiai 24 savaičių) ekspozicijos metu paauglių kūno svorio padidėjimo dydis ir</w:t>
      </w:r>
    </w:p>
    <w:p w:rsidR="001F5325" w:rsidRPr="00C326B9" w:rsidRDefault="001F5325" w:rsidP="001F5325">
      <w:pPr>
        <w:autoSpaceDE w:val="0"/>
        <w:autoSpaceDN w:val="0"/>
        <w:adjustRightInd w:val="0"/>
        <w:rPr>
          <w:sz w:val="22"/>
          <w:szCs w:val="22"/>
          <w:lang w:val="lt-LT"/>
        </w:rPr>
      </w:pPr>
      <w:r w:rsidRPr="00C326B9">
        <w:rPr>
          <w:sz w:val="22"/>
          <w:szCs w:val="22"/>
          <w:lang w:val="lt-LT"/>
        </w:rPr>
        <w:t>paauglių, kurių kūno svoris padidėjo kliniškai reikšmingai, dalis buvo didesni, negu trumpalaikės</w:t>
      </w:r>
    </w:p>
    <w:p w:rsidR="001F5325" w:rsidRPr="00C326B9" w:rsidRDefault="001F5325" w:rsidP="001F5325">
      <w:pPr>
        <w:autoSpaceDE w:val="0"/>
        <w:autoSpaceDN w:val="0"/>
        <w:adjustRightInd w:val="0"/>
        <w:rPr>
          <w:sz w:val="22"/>
          <w:szCs w:val="22"/>
          <w:lang w:val="lt-LT"/>
        </w:rPr>
      </w:pPr>
      <w:r w:rsidRPr="00C326B9">
        <w:rPr>
          <w:sz w:val="22"/>
          <w:szCs w:val="22"/>
          <w:lang w:val="lt-LT"/>
        </w:rPr>
        <w:t>ekspozicijos metu.</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Kiekvienoje dažnio grupėje nepageidaujamos reakcijos pateikiamos mažėjančio sunkumo tvarka.</w:t>
      </w:r>
    </w:p>
    <w:p w:rsidR="001F5325" w:rsidRPr="00C326B9" w:rsidRDefault="001F5325" w:rsidP="001F5325">
      <w:pPr>
        <w:autoSpaceDE w:val="0"/>
        <w:autoSpaceDN w:val="0"/>
        <w:adjustRightInd w:val="0"/>
        <w:rPr>
          <w:sz w:val="22"/>
          <w:szCs w:val="22"/>
          <w:lang w:val="lt-LT"/>
        </w:rPr>
      </w:pPr>
      <w:r w:rsidRPr="00C326B9">
        <w:rPr>
          <w:sz w:val="22"/>
          <w:szCs w:val="22"/>
          <w:lang w:val="lt-LT"/>
        </w:rPr>
        <w:t>Išvardytas sutrikimų dažnis apibūdinamas taip: labai dažni (≥ 1/10), dažni (nuo ≥ 1/100 iki &lt; 1/10).</w:t>
      </w:r>
    </w:p>
    <w:p w:rsidR="001F5325" w:rsidRPr="00C326B9" w:rsidRDefault="001F5325" w:rsidP="001F5325">
      <w:pPr>
        <w:autoSpaceDE w:val="0"/>
        <w:autoSpaceDN w:val="0"/>
        <w:adjustRightInd w:val="0"/>
        <w:rPr>
          <w:sz w:val="22"/>
          <w:szCs w:val="22"/>
          <w:lang w:val="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60"/>
      </w:tblGrid>
      <w:tr w:rsidR="001F5325" w:rsidRPr="00C326B9" w:rsidTr="00F30456">
        <w:trPr>
          <w:trHeight w:val="778"/>
        </w:trPr>
        <w:tc>
          <w:tcPr>
            <w:tcW w:w="9360" w:type="dxa"/>
          </w:tcPr>
          <w:p w:rsidR="001F5325" w:rsidRPr="00C326B9" w:rsidRDefault="001F5325" w:rsidP="00F30456">
            <w:pPr>
              <w:autoSpaceDE w:val="0"/>
              <w:autoSpaceDN w:val="0"/>
              <w:adjustRightInd w:val="0"/>
              <w:rPr>
                <w:b/>
                <w:bCs/>
                <w:sz w:val="22"/>
                <w:szCs w:val="22"/>
                <w:lang w:val="lt-LT"/>
              </w:rPr>
            </w:pPr>
            <w:r w:rsidRPr="00C326B9">
              <w:rPr>
                <w:b/>
                <w:bCs/>
                <w:sz w:val="22"/>
                <w:szCs w:val="22"/>
                <w:lang w:val="lt-LT"/>
              </w:rPr>
              <w:t>Metabolizmo ir mitybos sutrikimai</w:t>
            </w:r>
          </w:p>
          <w:p w:rsidR="001F5325" w:rsidRPr="00C326B9" w:rsidRDefault="001F5325" w:rsidP="00F30456">
            <w:pPr>
              <w:autoSpaceDE w:val="0"/>
              <w:autoSpaceDN w:val="0"/>
              <w:adjustRightInd w:val="0"/>
              <w:rPr>
                <w:sz w:val="22"/>
                <w:szCs w:val="22"/>
                <w:lang w:val="lt-LT"/>
              </w:rPr>
            </w:pPr>
            <w:r w:rsidRPr="00C326B9">
              <w:rPr>
                <w:i/>
                <w:iCs/>
                <w:sz w:val="22"/>
                <w:szCs w:val="22"/>
                <w:lang w:val="lt-LT"/>
              </w:rPr>
              <w:t xml:space="preserve">Labai dažni. </w:t>
            </w:r>
            <w:r w:rsidRPr="00C326B9">
              <w:rPr>
                <w:sz w:val="22"/>
                <w:szCs w:val="22"/>
                <w:lang w:val="lt-LT"/>
              </w:rPr>
              <w:t xml:space="preserve">Svorio padidėjimas </w:t>
            </w:r>
            <w:r w:rsidRPr="00C326B9">
              <w:rPr>
                <w:sz w:val="22"/>
                <w:szCs w:val="22"/>
                <w:vertAlign w:val="superscript"/>
                <w:lang w:val="lt-LT"/>
              </w:rPr>
              <w:t>13</w:t>
            </w:r>
            <w:r w:rsidRPr="00C326B9">
              <w:rPr>
                <w:sz w:val="22"/>
                <w:szCs w:val="22"/>
                <w:lang w:val="lt-LT"/>
              </w:rPr>
              <w:t xml:space="preserve">, trigliceridų koncentracijos padidėjimas </w:t>
            </w:r>
            <w:r w:rsidRPr="00C326B9">
              <w:rPr>
                <w:sz w:val="22"/>
                <w:szCs w:val="22"/>
                <w:vertAlign w:val="superscript"/>
                <w:lang w:val="lt-LT"/>
              </w:rPr>
              <w:t>14</w:t>
            </w:r>
            <w:r w:rsidRPr="00C326B9">
              <w:rPr>
                <w:sz w:val="22"/>
                <w:szCs w:val="22"/>
                <w:lang w:val="lt-LT"/>
              </w:rPr>
              <w:t>, apetito padidėjimas.</w:t>
            </w:r>
          </w:p>
          <w:p w:rsidR="001F5325" w:rsidRPr="00C326B9" w:rsidRDefault="001F5325" w:rsidP="00F30456">
            <w:pPr>
              <w:autoSpaceDE w:val="0"/>
              <w:autoSpaceDN w:val="0"/>
              <w:adjustRightInd w:val="0"/>
              <w:rPr>
                <w:sz w:val="22"/>
                <w:szCs w:val="22"/>
                <w:lang w:val="lt-LT"/>
              </w:rPr>
            </w:pPr>
            <w:r w:rsidRPr="00C326B9">
              <w:rPr>
                <w:i/>
                <w:iCs/>
                <w:sz w:val="22"/>
                <w:szCs w:val="22"/>
                <w:lang w:val="lt-LT"/>
              </w:rPr>
              <w:t xml:space="preserve">Dažni. </w:t>
            </w:r>
            <w:r w:rsidRPr="00C326B9">
              <w:rPr>
                <w:sz w:val="22"/>
                <w:szCs w:val="22"/>
                <w:lang w:val="lt-LT"/>
              </w:rPr>
              <w:t xml:space="preserve">Cholesterolio koncentracijos padidėjimas </w:t>
            </w:r>
            <w:r w:rsidRPr="00C326B9">
              <w:rPr>
                <w:sz w:val="22"/>
                <w:szCs w:val="22"/>
                <w:vertAlign w:val="superscript"/>
                <w:lang w:val="lt-LT"/>
              </w:rPr>
              <w:t>15</w:t>
            </w:r>
            <w:r w:rsidRPr="00C326B9">
              <w:rPr>
                <w:sz w:val="22"/>
                <w:szCs w:val="22"/>
                <w:lang w:val="lt-LT"/>
              </w:rPr>
              <w:t>.</w:t>
            </w:r>
          </w:p>
        </w:tc>
      </w:tr>
      <w:tr w:rsidR="001F5325" w:rsidRPr="00C326B9" w:rsidTr="00F30456">
        <w:trPr>
          <w:trHeight w:val="534"/>
        </w:trPr>
        <w:tc>
          <w:tcPr>
            <w:tcW w:w="9360" w:type="dxa"/>
          </w:tcPr>
          <w:p w:rsidR="001F5325" w:rsidRPr="00C326B9" w:rsidRDefault="001F5325" w:rsidP="00F30456">
            <w:pPr>
              <w:autoSpaceDE w:val="0"/>
              <w:autoSpaceDN w:val="0"/>
              <w:adjustRightInd w:val="0"/>
              <w:rPr>
                <w:b/>
                <w:bCs/>
                <w:sz w:val="22"/>
                <w:szCs w:val="22"/>
                <w:lang w:val="lt-LT"/>
              </w:rPr>
            </w:pPr>
            <w:r w:rsidRPr="00C326B9">
              <w:rPr>
                <w:b/>
                <w:bCs/>
                <w:sz w:val="22"/>
                <w:szCs w:val="22"/>
                <w:lang w:val="lt-LT"/>
              </w:rPr>
              <w:t>Nervų sistemos sutrikimai</w:t>
            </w:r>
          </w:p>
          <w:p w:rsidR="001F5325" w:rsidRPr="00C326B9" w:rsidRDefault="001F5325" w:rsidP="00F30456">
            <w:pPr>
              <w:autoSpaceDE w:val="0"/>
              <w:autoSpaceDN w:val="0"/>
              <w:adjustRightInd w:val="0"/>
              <w:rPr>
                <w:sz w:val="22"/>
                <w:szCs w:val="22"/>
                <w:lang w:val="lt-LT"/>
              </w:rPr>
            </w:pPr>
            <w:r w:rsidRPr="00C326B9">
              <w:rPr>
                <w:i/>
                <w:iCs/>
                <w:sz w:val="22"/>
                <w:szCs w:val="22"/>
                <w:lang w:val="lt-LT"/>
              </w:rPr>
              <w:t xml:space="preserve">Labai dažni. </w:t>
            </w:r>
            <w:r w:rsidRPr="00C326B9">
              <w:rPr>
                <w:sz w:val="22"/>
                <w:szCs w:val="22"/>
                <w:lang w:val="lt-LT"/>
              </w:rPr>
              <w:t>Sedacija (įskaitant pernelyg didelį mieguistumą, letargiją, somnolenciją).</w:t>
            </w:r>
          </w:p>
        </w:tc>
      </w:tr>
      <w:tr w:rsidR="001F5325" w:rsidRPr="00C326B9" w:rsidTr="00F30456">
        <w:trPr>
          <w:trHeight w:val="528"/>
        </w:trPr>
        <w:tc>
          <w:tcPr>
            <w:tcW w:w="9360" w:type="dxa"/>
          </w:tcPr>
          <w:p w:rsidR="001F5325" w:rsidRPr="00C326B9" w:rsidRDefault="001F5325" w:rsidP="00F30456">
            <w:pPr>
              <w:autoSpaceDE w:val="0"/>
              <w:autoSpaceDN w:val="0"/>
              <w:adjustRightInd w:val="0"/>
              <w:rPr>
                <w:b/>
                <w:bCs/>
                <w:sz w:val="22"/>
                <w:szCs w:val="22"/>
                <w:lang w:val="lt-LT"/>
              </w:rPr>
            </w:pPr>
            <w:r w:rsidRPr="00C326B9">
              <w:rPr>
                <w:b/>
                <w:bCs/>
                <w:sz w:val="22"/>
                <w:szCs w:val="22"/>
                <w:lang w:val="lt-LT"/>
              </w:rPr>
              <w:t>Virškinimo trakto sutrikimai</w:t>
            </w:r>
          </w:p>
          <w:p w:rsidR="001F5325" w:rsidRPr="00C326B9" w:rsidRDefault="001F5325" w:rsidP="00F30456">
            <w:pPr>
              <w:autoSpaceDE w:val="0"/>
              <w:autoSpaceDN w:val="0"/>
              <w:adjustRightInd w:val="0"/>
              <w:rPr>
                <w:sz w:val="22"/>
                <w:szCs w:val="22"/>
                <w:lang w:val="lt-LT"/>
              </w:rPr>
            </w:pPr>
            <w:r w:rsidRPr="00C326B9">
              <w:rPr>
                <w:i/>
                <w:iCs/>
                <w:sz w:val="22"/>
                <w:szCs w:val="22"/>
                <w:lang w:val="lt-LT"/>
              </w:rPr>
              <w:t xml:space="preserve">Dažni. </w:t>
            </w:r>
            <w:r w:rsidRPr="00C326B9">
              <w:rPr>
                <w:sz w:val="22"/>
                <w:szCs w:val="22"/>
                <w:lang w:val="lt-LT"/>
              </w:rPr>
              <w:t>Burnos džiūvimas.</w:t>
            </w:r>
          </w:p>
        </w:tc>
      </w:tr>
      <w:tr w:rsidR="001F5325" w:rsidRPr="00C326B9" w:rsidTr="00F30456">
        <w:trPr>
          <w:trHeight w:val="536"/>
        </w:trPr>
        <w:tc>
          <w:tcPr>
            <w:tcW w:w="9360" w:type="dxa"/>
          </w:tcPr>
          <w:p w:rsidR="001F5325" w:rsidRPr="00C326B9" w:rsidRDefault="001F5325" w:rsidP="00F30456">
            <w:pPr>
              <w:autoSpaceDE w:val="0"/>
              <w:autoSpaceDN w:val="0"/>
              <w:adjustRightInd w:val="0"/>
              <w:rPr>
                <w:b/>
                <w:bCs/>
                <w:sz w:val="22"/>
                <w:szCs w:val="22"/>
                <w:lang w:val="lt-LT"/>
              </w:rPr>
            </w:pPr>
            <w:r w:rsidRPr="00C326B9">
              <w:rPr>
                <w:b/>
                <w:bCs/>
                <w:sz w:val="22"/>
                <w:szCs w:val="22"/>
                <w:lang w:val="lt-LT"/>
              </w:rPr>
              <w:lastRenderedPageBreak/>
              <w:t>Kepenų, tulžies pūslės ir latakų sutrikimai</w:t>
            </w:r>
          </w:p>
          <w:p w:rsidR="001F5325" w:rsidRPr="00C326B9" w:rsidRDefault="001F5325" w:rsidP="00F30456">
            <w:pPr>
              <w:autoSpaceDE w:val="0"/>
              <w:autoSpaceDN w:val="0"/>
              <w:adjustRightInd w:val="0"/>
              <w:rPr>
                <w:sz w:val="22"/>
                <w:szCs w:val="22"/>
                <w:lang w:val="lt-LT"/>
              </w:rPr>
            </w:pPr>
            <w:r w:rsidRPr="00C326B9">
              <w:rPr>
                <w:i/>
                <w:iCs/>
                <w:sz w:val="22"/>
                <w:szCs w:val="22"/>
                <w:lang w:val="lt-LT"/>
              </w:rPr>
              <w:t xml:space="preserve">Labai dažni. </w:t>
            </w:r>
            <w:r w:rsidRPr="00C326B9">
              <w:rPr>
                <w:sz w:val="22"/>
                <w:szCs w:val="22"/>
                <w:lang w:val="lt-LT"/>
              </w:rPr>
              <w:t>Kepenų aminotransferazių (ALT/AST) suaktyvėjimas (žr. 4.4 skyrių).</w:t>
            </w:r>
          </w:p>
        </w:tc>
      </w:tr>
      <w:tr w:rsidR="001F5325" w:rsidRPr="00C326B9" w:rsidTr="00F30456">
        <w:trPr>
          <w:trHeight w:val="696"/>
        </w:trPr>
        <w:tc>
          <w:tcPr>
            <w:tcW w:w="9360" w:type="dxa"/>
          </w:tcPr>
          <w:p w:rsidR="001F5325" w:rsidRPr="00C326B9" w:rsidRDefault="001F5325" w:rsidP="00F30456">
            <w:pPr>
              <w:autoSpaceDE w:val="0"/>
              <w:autoSpaceDN w:val="0"/>
              <w:adjustRightInd w:val="0"/>
              <w:rPr>
                <w:b/>
                <w:bCs/>
                <w:sz w:val="22"/>
                <w:szCs w:val="22"/>
                <w:lang w:val="lt-LT"/>
              </w:rPr>
            </w:pPr>
            <w:r w:rsidRPr="00C326B9">
              <w:rPr>
                <w:b/>
                <w:bCs/>
                <w:sz w:val="22"/>
                <w:szCs w:val="22"/>
                <w:lang w:val="lt-LT"/>
              </w:rPr>
              <w:t>Tyrimai</w:t>
            </w:r>
          </w:p>
          <w:p w:rsidR="001F5325" w:rsidRPr="00C326B9" w:rsidRDefault="001F5325" w:rsidP="00F30456">
            <w:pPr>
              <w:autoSpaceDE w:val="0"/>
              <w:autoSpaceDN w:val="0"/>
              <w:adjustRightInd w:val="0"/>
              <w:rPr>
                <w:sz w:val="22"/>
                <w:szCs w:val="22"/>
                <w:lang w:val="lt-LT"/>
              </w:rPr>
            </w:pPr>
            <w:r w:rsidRPr="00C326B9">
              <w:rPr>
                <w:i/>
                <w:iCs/>
                <w:sz w:val="22"/>
                <w:szCs w:val="22"/>
                <w:lang w:val="lt-LT"/>
              </w:rPr>
              <w:t xml:space="preserve">Labai dažni. </w:t>
            </w:r>
            <w:r w:rsidRPr="00C326B9">
              <w:rPr>
                <w:sz w:val="22"/>
                <w:szCs w:val="22"/>
                <w:lang w:val="lt-LT"/>
              </w:rPr>
              <w:t>Bendrojo bilirubino koncentracijos sumažėjimas, GGT padaugėjimas, prolaktino</w:t>
            </w:r>
          </w:p>
          <w:p w:rsidR="001F5325" w:rsidRPr="00C326B9" w:rsidRDefault="001F5325" w:rsidP="00F30456">
            <w:pPr>
              <w:autoSpaceDE w:val="0"/>
              <w:autoSpaceDN w:val="0"/>
              <w:adjustRightInd w:val="0"/>
              <w:rPr>
                <w:sz w:val="22"/>
                <w:szCs w:val="22"/>
                <w:lang w:val="lt-LT"/>
              </w:rPr>
            </w:pPr>
            <w:r w:rsidRPr="00C326B9">
              <w:rPr>
                <w:sz w:val="22"/>
                <w:szCs w:val="22"/>
                <w:lang w:val="lt-LT"/>
              </w:rPr>
              <w:t>koncentracijos plazmoje padidėjimas</w:t>
            </w:r>
            <w:r w:rsidRPr="00C326B9">
              <w:rPr>
                <w:sz w:val="22"/>
                <w:szCs w:val="22"/>
                <w:vertAlign w:val="superscript"/>
                <w:lang w:val="lt-LT"/>
              </w:rPr>
              <w:t xml:space="preserve"> 16</w:t>
            </w:r>
            <w:r w:rsidRPr="00C326B9">
              <w:rPr>
                <w:sz w:val="22"/>
                <w:szCs w:val="22"/>
                <w:lang w:val="lt-LT"/>
              </w:rPr>
              <w:t>.</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vertAlign w:val="superscript"/>
          <w:lang w:val="lt-LT"/>
        </w:rPr>
        <w:t xml:space="preserve">13 </w:t>
      </w:r>
      <w:r w:rsidRPr="00C326B9">
        <w:rPr>
          <w:sz w:val="22"/>
          <w:szCs w:val="22"/>
          <w:lang w:val="lt-LT"/>
        </w:rPr>
        <w:t>Svorio padidėjimas ≥ 7 % pradinio kūno svorio (kg) po trumpalaikio gydymo (vidutinė trukmė</w:t>
      </w:r>
    </w:p>
    <w:p w:rsidR="001F5325" w:rsidRPr="00C326B9" w:rsidRDefault="001F5325" w:rsidP="001F5325">
      <w:pPr>
        <w:autoSpaceDE w:val="0"/>
        <w:autoSpaceDN w:val="0"/>
        <w:adjustRightInd w:val="0"/>
        <w:rPr>
          <w:sz w:val="22"/>
          <w:szCs w:val="22"/>
          <w:lang w:val="lt-LT"/>
        </w:rPr>
      </w:pPr>
      <w:r w:rsidRPr="00C326B9">
        <w:rPr>
          <w:sz w:val="22"/>
          <w:szCs w:val="22"/>
          <w:lang w:val="lt-LT"/>
        </w:rPr>
        <w:t>22 dienos) buvo labai dažnas (40,6 %), ≥ 15 % pradinio kūno svorio – dažnas (7,1 %) ir ≥ 25 % –</w:t>
      </w:r>
    </w:p>
    <w:p w:rsidR="001F5325" w:rsidRPr="00C326B9" w:rsidRDefault="001F5325" w:rsidP="001F5325">
      <w:pPr>
        <w:autoSpaceDE w:val="0"/>
        <w:autoSpaceDN w:val="0"/>
        <w:adjustRightInd w:val="0"/>
        <w:rPr>
          <w:sz w:val="22"/>
          <w:szCs w:val="22"/>
          <w:lang w:val="lt-LT"/>
        </w:rPr>
      </w:pPr>
      <w:r w:rsidRPr="00C326B9">
        <w:rPr>
          <w:sz w:val="22"/>
          <w:szCs w:val="22"/>
          <w:lang w:val="lt-LT"/>
        </w:rPr>
        <w:t>dažnas (2,5 %). Dėl ilgalaikės (mažiausiai 24 savaičių) ekspozicijos 89,4 % paauglių kūno svoris,</w:t>
      </w:r>
    </w:p>
    <w:p w:rsidR="001F5325" w:rsidRPr="00C326B9" w:rsidRDefault="001F5325" w:rsidP="001F5325">
      <w:pPr>
        <w:autoSpaceDE w:val="0"/>
        <w:autoSpaceDN w:val="0"/>
        <w:adjustRightInd w:val="0"/>
        <w:rPr>
          <w:sz w:val="22"/>
          <w:szCs w:val="22"/>
          <w:lang w:val="lt-LT"/>
        </w:rPr>
      </w:pPr>
      <w:r w:rsidRPr="00C326B9">
        <w:rPr>
          <w:sz w:val="22"/>
          <w:szCs w:val="22"/>
          <w:lang w:val="lt-LT"/>
        </w:rPr>
        <w:t>palyginti su pradiniu, padidėjo ≥ 7 %, 55,3 % paauglių – ≥ 15 % ir 29,1 % paauglių ≥ 25 %.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vertAlign w:val="superscript"/>
          <w:lang w:val="lt-LT"/>
        </w:rPr>
        <w:t>14</w:t>
      </w:r>
      <w:r w:rsidRPr="00C326B9">
        <w:rPr>
          <w:sz w:val="22"/>
          <w:szCs w:val="22"/>
          <w:lang w:val="lt-LT"/>
        </w:rPr>
        <w:t xml:space="preserve"> Normali pradinė koncentracija nevalgius (&lt;1,016 mmol/l), kuri padidėjo iki didelės</w:t>
      </w:r>
    </w:p>
    <w:p w:rsidR="001F5325" w:rsidRPr="00C326B9" w:rsidRDefault="001F5325" w:rsidP="001F5325">
      <w:pPr>
        <w:autoSpaceDE w:val="0"/>
        <w:autoSpaceDN w:val="0"/>
        <w:adjustRightInd w:val="0"/>
        <w:rPr>
          <w:sz w:val="22"/>
          <w:szCs w:val="22"/>
          <w:lang w:val="lt-LT"/>
        </w:rPr>
      </w:pPr>
      <w:r w:rsidRPr="00C326B9">
        <w:rPr>
          <w:sz w:val="22"/>
          <w:szCs w:val="22"/>
          <w:lang w:val="lt-LT"/>
        </w:rPr>
        <w:t>(≥1,467 mmol/l), o ribinės pradinės trigliceridų koncentracijos nevalgius (≥1,016-&lt;1,467 mmol/l) iki</w:t>
      </w:r>
    </w:p>
    <w:p w:rsidR="001F5325" w:rsidRPr="00C326B9" w:rsidRDefault="001F5325" w:rsidP="001F5325">
      <w:pPr>
        <w:autoSpaceDE w:val="0"/>
        <w:autoSpaceDN w:val="0"/>
        <w:adjustRightInd w:val="0"/>
        <w:rPr>
          <w:sz w:val="22"/>
          <w:szCs w:val="22"/>
          <w:lang w:val="lt-LT"/>
        </w:rPr>
      </w:pPr>
      <w:r w:rsidRPr="00C326B9">
        <w:rPr>
          <w:sz w:val="22"/>
          <w:szCs w:val="22"/>
          <w:lang w:val="lt-LT"/>
        </w:rPr>
        <w:t>didelės (≥1,467 mmol/l).</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vertAlign w:val="superscript"/>
          <w:lang w:val="lt-LT"/>
        </w:rPr>
        <w:t xml:space="preserve">15 </w:t>
      </w:r>
      <w:r w:rsidRPr="00C326B9">
        <w:rPr>
          <w:sz w:val="22"/>
          <w:szCs w:val="22"/>
          <w:lang w:val="lt-LT"/>
        </w:rPr>
        <w:t>Normalios pradinės bendrojo cholesterolio koncentracijos nevalgius (&lt;4,39 mmol/l) padidėjimas iki</w:t>
      </w:r>
    </w:p>
    <w:p w:rsidR="001F5325" w:rsidRPr="00C326B9" w:rsidRDefault="001F5325" w:rsidP="001F5325">
      <w:pPr>
        <w:autoSpaceDE w:val="0"/>
        <w:autoSpaceDN w:val="0"/>
        <w:adjustRightInd w:val="0"/>
        <w:rPr>
          <w:sz w:val="22"/>
          <w:szCs w:val="22"/>
          <w:lang w:val="lt-LT"/>
        </w:rPr>
      </w:pPr>
      <w:r w:rsidRPr="00C326B9">
        <w:rPr>
          <w:sz w:val="22"/>
          <w:szCs w:val="22"/>
          <w:lang w:val="lt-LT"/>
        </w:rPr>
        <w:t>didelės (≥5,17 mmol/l) nustatytas dažnai. Ribinės pradinės bendrojo cholesterolio koncentracijos</w:t>
      </w:r>
    </w:p>
    <w:p w:rsidR="001F5325" w:rsidRPr="00C326B9" w:rsidRDefault="001F5325" w:rsidP="001F5325">
      <w:pPr>
        <w:autoSpaceDE w:val="0"/>
        <w:autoSpaceDN w:val="0"/>
        <w:adjustRightInd w:val="0"/>
        <w:rPr>
          <w:sz w:val="22"/>
          <w:szCs w:val="22"/>
          <w:lang w:val="lt-LT"/>
        </w:rPr>
      </w:pPr>
      <w:r w:rsidRPr="00C326B9">
        <w:rPr>
          <w:sz w:val="22"/>
          <w:szCs w:val="22"/>
          <w:lang w:val="lt-LT"/>
        </w:rPr>
        <w:t>nevalgius (≥5,17-6,2 mmol/l) padidėjimas iki didelės ≥6,2 mmol/l) buvo labai dažnas.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vertAlign w:val="superscript"/>
          <w:lang w:val="lt-LT"/>
        </w:rPr>
        <w:t xml:space="preserve">16 </w:t>
      </w:r>
      <w:r w:rsidRPr="00C326B9">
        <w:rPr>
          <w:sz w:val="22"/>
          <w:szCs w:val="22"/>
          <w:lang w:val="lt-LT"/>
        </w:rPr>
        <w:t>Prolaktino koncentracijos padidėjimas nustatytas 47,4 % paauglių.</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u w:val="single"/>
          <w:lang w:val="lt-LT"/>
        </w:rPr>
      </w:pPr>
      <w:r w:rsidRPr="00C326B9">
        <w:rPr>
          <w:sz w:val="22"/>
          <w:szCs w:val="22"/>
          <w:u w:val="single"/>
          <w:lang w:val="lt-LT"/>
        </w:rPr>
        <w:t>Pranešimas apie įtariamas nepageidaujamas reakcijas</w:t>
      </w:r>
    </w:p>
    <w:p w:rsidR="00F30456" w:rsidRPr="001E234E" w:rsidRDefault="00F30456" w:rsidP="00F30456">
      <w:pPr>
        <w:tabs>
          <w:tab w:val="left" w:pos="567"/>
        </w:tabs>
        <w:autoSpaceDE w:val="0"/>
        <w:autoSpaceDN w:val="0"/>
        <w:adjustRightInd w:val="0"/>
        <w:spacing w:line="260" w:lineRule="exact"/>
        <w:jc w:val="both"/>
        <w:rPr>
          <w:noProof/>
          <w:snapToGrid w:val="0"/>
          <w:sz w:val="22"/>
          <w:lang w:val="lt-LT" w:eastAsia="en-US"/>
        </w:rPr>
      </w:pPr>
      <w:r w:rsidRPr="00C1292C">
        <w:rPr>
          <w:noProof/>
          <w:snapToGrid w:val="0"/>
          <w:sz w:val="22"/>
          <w:lang w:val="lt-LT" w:eastAsia="en-US"/>
        </w:rPr>
        <w:t>Svarbu pranešti apie įtariamas nepageidaujamas reakcijas, pastebėtas po vaistinio preparato registracijos, nes tai leidžia nuolat stebėti vaistinio preparato naudos ir rizikos santykį.</w:t>
      </w:r>
      <w:r w:rsidRPr="00C1292C">
        <w:rPr>
          <w:snapToGrid w:val="0"/>
          <w:sz w:val="22"/>
          <w:lang w:val="lt-LT" w:eastAsia="en-US"/>
        </w:rPr>
        <w:t xml:space="preserve"> </w:t>
      </w:r>
      <w:r w:rsidRPr="00C1292C">
        <w:rPr>
          <w:noProof/>
          <w:snapToGrid w:val="0"/>
          <w:sz w:val="22"/>
          <w:lang w:val="lt-LT" w:eastAsia="en-US"/>
        </w:rPr>
        <w:t>Sveikatos priežiūros specialistai turi pranešti apie bet kokias įtariamas nepageidaujamas reakcijas, užpildę interneto svetainėje http://</w:t>
      </w:r>
      <w:hyperlink r:id="rId7" w:history="1">
        <w:r w:rsidRPr="00C1292C">
          <w:rPr>
            <w:rFonts w:eastAsia="SimSun"/>
            <w:noProof/>
            <w:snapToGrid w:val="0"/>
            <w:color w:val="0000FF"/>
            <w:sz w:val="22"/>
            <w:u w:val="single"/>
            <w:lang w:val="lt-LT" w:eastAsia="en-US"/>
          </w:rPr>
          <w:t>www.vvkt.lt</w:t>
        </w:r>
      </w:hyperlink>
      <w:r w:rsidRPr="00C1292C">
        <w:rPr>
          <w:noProof/>
          <w:snapToGrid w:val="0"/>
          <w:sz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1292C">
          <w:rPr>
            <w:rFonts w:eastAsia="SimSun"/>
            <w:noProof/>
            <w:snapToGrid w:val="0"/>
            <w:color w:val="0000FF"/>
            <w:sz w:val="22"/>
            <w:u w:val="single"/>
            <w:lang w:val="lt-LT" w:eastAsia="en-US"/>
          </w:rPr>
          <w:t>NepageidaujamaR@vvkt.lt</w:t>
        </w:r>
      </w:hyperlink>
      <w:r w:rsidRPr="00C1292C">
        <w:rPr>
          <w:noProof/>
          <w:snapToGrid w:val="0"/>
          <w:sz w:val="22"/>
          <w:lang w:val="lt-LT" w:eastAsia="en-US"/>
        </w:rPr>
        <w:t>), per interneto svetainę (adresu http://www.vvkt.lt).</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4.9 </w:t>
      </w:r>
      <w:r w:rsidRPr="00C326B9">
        <w:rPr>
          <w:b/>
          <w:sz w:val="22"/>
          <w:szCs w:val="22"/>
          <w:lang w:val="lt-LT"/>
        </w:rPr>
        <w:tab/>
        <w:t>Perdozavimas</w:t>
      </w:r>
    </w:p>
    <w:p w:rsidR="001F5325" w:rsidRPr="00C326B9" w:rsidRDefault="001F5325" w:rsidP="001F5325">
      <w:pPr>
        <w:autoSpaceDE w:val="0"/>
        <w:autoSpaceDN w:val="0"/>
        <w:adjustRightInd w:val="0"/>
        <w:rPr>
          <w:i/>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Požymiai ir simptomai</w:t>
      </w:r>
    </w:p>
    <w:p w:rsidR="001F5325" w:rsidRPr="00C326B9" w:rsidRDefault="001F5325" w:rsidP="001F5325">
      <w:pPr>
        <w:autoSpaceDE w:val="0"/>
        <w:autoSpaceDN w:val="0"/>
        <w:adjustRightInd w:val="0"/>
        <w:rPr>
          <w:sz w:val="22"/>
          <w:szCs w:val="22"/>
          <w:lang w:val="lt-LT"/>
        </w:rPr>
      </w:pPr>
      <w:r w:rsidRPr="00C326B9">
        <w:rPr>
          <w:sz w:val="22"/>
          <w:szCs w:val="22"/>
          <w:lang w:val="lt-LT"/>
        </w:rPr>
        <w:t>Perdozavus labai dažnai (&gt;10%) būna tachikardija, ažitacija ar agresyvumas, dizartrija, įvairūs ekstrapiramidiniai simptomai, sąmonės slopinimas nuo sedacijos iki komos.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lastRenderedPageBreak/>
        <w:t>Kitos kliniškai reikšmingos perdozavimo pasekmės yra delyras, traukuliai, koma, galimas piktybinis neurolepsinis sindromas, kvėpavimo slopinimas, aspiracija, hipertenzija ar hipotenzija, širdies aritmijos (&lt;2% perdozavusiųjų) ir širdies bei kvėpavimo sustojimas. Pasitaikė mirties atvejų, kai buvo iš karto suvartota tik 450 mg, tačiau pacientas, iš karto išgėręs 2 g, išgyveno.</w:t>
      </w:r>
    </w:p>
    <w:p w:rsidR="001F5325" w:rsidRPr="00C326B9" w:rsidRDefault="001F5325" w:rsidP="001F5325">
      <w:pPr>
        <w:autoSpaceDE w:val="0"/>
        <w:autoSpaceDN w:val="0"/>
        <w:adjustRightInd w:val="0"/>
        <w:rPr>
          <w:i/>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Gydymas</w:t>
      </w:r>
    </w:p>
    <w:p w:rsidR="001F5325" w:rsidRPr="00C326B9" w:rsidRDefault="001F5325" w:rsidP="001F5325">
      <w:pPr>
        <w:autoSpaceDE w:val="0"/>
        <w:autoSpaceDN w:val="0"/>
        <w:adjustRightInd w:val="0"/>
        <w:rPr>
          <w:sz w:val="22"/>
          <w:szCs w:val="22"/>
          <w:lang w:val="lt-LT"/>
        </w:rPr>
      </w:pPr>
      <w:r w:rsidRPr="00C326B9">
        <w:rPr>
          <w:sz w:val="22"/>
          <w:szCs w:val="22"/>
          <w:lang w:val="lt-LT"/>
        </w:rPr>
        <w:t>Specifinio olanzapino priešnuodžio nėra. Nerekomenduojama sukelti vėmimą. Reikia taikyti standartinį apsinuodijimo gydymą (t.y. plauti skrandį, skirti aktyvintos anglies). Kartu vartojama aktyvinta anglis 50-60% sumažina išgerto olanzapino biologinį prieinamumą.</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Atsižvelgiant į klinikinę būklę, būtina pradėti simptominį gydymą ir stebėti gyvybines organų funkcijas, gydyti hipotenziją ir kraujotakos kolapsą bei užtikrinti kvėpavimo funkciją. Negalima vartoti epinefrino, dopamino ir kitų simpatomimetikų, kuriems būdingas beta agonistinis aktyvumas, nes, stimuliuojant beta adrenoreceptorius, gali sustiprėti hipotenzija. Reikia nuolat tirti širdies ir kraujagyslių sistemos būklę, kad būtų nustatytos galimos aritmijos. Pacientą reikia atidžiai stebėti tol, kol pasveiks.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5. </w:t>
      </w:r>
      <w:r w:rsidRPr="00C326B9">
        <w:rPr>
          <w:b/>
          <w:sz w:val="22"/>
          <w:szCs w:val="22"/>
          <w:lang w:val="lt-LT"/>
        </w:rPr>
        <w:tab/>
        <w:t>FAR</w:t>
      </w:r>
      <w:smartTag w:uri="urn:schemas-microsoft-com:office:smarttags" w:element="PersonName">
        <w:r w:rsidRPr="00C326B9">
          <w:rPr>
            <w:b/>
            <w:sz w:val="22"/>
            <w:szCs w:val="22"/>
            <w:lang w:val="lt-LT"/>
          </w:rPr>
          <w:t>MA</w:t>
        </w:r>
      </w:smartTag>
      <w:r w:rsidRPr="00C326B9">
        <w:rPr>
          <w:b/>
          <w:sz w:val="22"/>
          <w:szCs w:val="22"/>
          <w:lang w:val="lt-LT"/>
        </w:rPr>
        <w:t>KOLOGINĖS SAVYBĖS</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5.1 </w:t>
      </w:r>
      <w:r w:rsidRPr="00C326B9">
        <w:rPr>
          <w:b/>
          <w:sz w:val="22"/>
          <w:szCs w:val="22"/>
          <w:lang w:val="lt-LT"/>
        </w:rPr>
        <w:tab/>
        <w:t>Farmakodinaminės savybės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Farmakoterapinė grupė: diazepinai, oksazepinai ir tiazepinai, ATC kodas: N05A H03.</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Farmakodinaminis poveikis</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Olanzapinas yra antipsichozinis, slopinantis maniją ir stabilizuojantis nuotaiką vaistas, plačiai farmakologiškai veikiantis daugelį receptorių sistemų.</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Ikiklinikiniai olanzapino tyrimai parodė, kad jis turi afinitetą (Ki; &lt;100 nM) serotonino 5 HT2A/2C, 5 HT3, 5 HT6; dopamino D1, D2, D3, D4, D5; cholinerginiams muskarino M1-M5, α</w:t>
      </w:r>
      <w:r w:rsidRPr="00C326B9">
        <w:rPr>
          <w:sz w:val="22"/>
          <w:szCs w:val="22"/>
          <w:vertAlign w:val="subscript"/>
          <w:lang w:val="lt-LT"/>
        </w:rPr>
        <w:t>1</w:t>
      </w:r>
      <w:r w:rsidRPr="00C326B9">
        <w:rPr>
          <w:sz w:val="22"/>
          <w:szCs w:val="22"/>
          <w:lang w:val="lt-LT"/>
        </w:rPr>
        <w:t xml:space="preserve"> adrenerginiams ir histamino H1 receptoriams. Tiriant olanzapino poveikį gyvūnų elgsenai, nustatyta, kad jam būdingas 5 HT, dopamino ir cholinerginis antagonizmas, atitinkantis jungimosi su receptoriais profilį. Tyrimais nustatyta, kad </w:t>
      </w:r>
      <w:r w:rsidRPr="00C326B9">
        <w:rPr>
          <w:i/>
          <w:sz w:val="22"/>
          <w:szCs w:val="22"/>
          <w:lang w:val="lt-LT"/>
        </w:rPr>
        <w:t xml:space="preserve">in vitro </w:t>
      </w:r>
      <w:r w:rsidRPr="00C326B9">
        <w:rPr>
          <w:sz w:val="22"/>
          <w:szCs w:val="22"/>
          <w:lang w:val="lt-LT"/>
        </w:rPr>
        <w:t xml:space="preserve">olanzapino afinitetas didesnis serotonino 5 HT2 negu dopamino D2 receptoriams, </w:t>
      </w:r>
      <w:r w:rsidRPr="00C326B9">
        <w:rPr>
          <w:i/>
          <w:sz w:val="22"/>
          <w:szCs w:val="22"/>
          <w:lang w:val="lt-LT"/>
        </w:rPr>
        <w:t xml:space="preserve">in vivo </w:t>
      </w:r>
      <w:r w:rsidRPr="00C326B9">
        <w:rPr>
          <w:sz w:val="22"/>
          <w:szCs w:val="22"/>
          <w:lang w:val="lt-LT"/>
        </w:rPr>
        <w:t>- ryškesnis poveikis serotonino 5 HT2 negu dopamino D2 receptoriams. Elektrofiziologiniai tyrimai parodė, kad olanzapinas selektyviai mažina mezolimbinių (A10) dopaminerginių neuronų iškrovą ir beveik neveikia motorines funkcijas reguliuojančios dryžuo</w:t>
      </w:r>
      <w:r w:rsidRPr="00C326B9">
        <w:rPr>
          <w:sz w:val="22"/>
          <w:szCs w:val="22"/>
          <w:lang w:val="lt-LT"/>
        </w:rPr>
        <w:lastRenderedPageBreak/>
        <w:t>tojo kūno (A9) sistemos. Olanzapino dozės, slopinančios sąlyginį vengimo refleksą (testas antipsichoziniam poveikiui įvertinti), yra mažesnės negu sukeliančios katalepsiją (nepageidaujamo motorikos poveikio indikatorius). Atliekant “anksiolitinį” testą, skirtingai negu kai kurie kiti antipsichoziniai vaistai, olanzapinas padidina atsaką.</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Sveikiems savanoriams, išgėrusiems vienkartinę 10 mg olanzapino dozę, pozitronų emisijos tomografijos (PET) būdu buvo nustatyta, kad daugiau olanzapino prisijungė prie 5 HT2A receptorių negu prie dopamino D2 receptorių. Be to, SPECT tyrimo su šizofrenija sergančiaisiais metu nustatyta, kad sėkmingai olanzapinu gydomų pacientų dryžuotajame kūne buvo mažiau užimtų D2 receptorių negu sėkmingai kitais antipsichoziniais vaistais bei risperidonu gydomų ir panašiai kaip sėkmingai klozapinu gydomų pacientų.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i/>
          <w:sz w:val="22"/>
          <w:szCs w:val="22"/>
          <w:u w:val="single"/>
        </w:rPr>
        <w:t>Klinikinis veiksmingumas</w:t>
      </w:r>
      <w:r w:rsidRPr="00C326B9">
        <w:rPr>
          <w:sz w:val="22"/>
          <w:szCs w:val="22"/>
          <w:u w:val="single"/>
        </w:rPr>
        <w:t xml:space="preserve"> </w:t>
      </w:r>
    </w:p>
    <w:p w:rsidR="001F5325" w:rsidRPr="00C326B9" w:rsidRDefault="001F5325" w:rsidP="001F5325">
      <w:pPr>
        <w:autoSpaceDE w:val="0"/>
        <w:autoSpaceDN w:val="0"/>
        <w:adjustRightInd w:val="0"/>
        <w:rPr>
          <w:sz w:val="22"/>
          <w:szCs w:val="22"/>
          <w:lang w:val="lt-LT"/>
        </w:rPr>
      </w:pPr>
      <w:r w:rsidRPr="00C326B9">
        <w:rPr>
          <w:sz w:val="22"/>
          <w:szCs w:val="22"/>
          <w:lang w:val="lt-LT"/>
        </w:rPr>
        <w:t>Dviejuose iš dviejų placebo ir dviejuose iš trijų lyginamuosiuose kontroliuojamuose klinikiniuose tyrimuose dalyvavusiems daugiau nei 2900 šizofrenija sergantiems pacientams su teigiamais ir neigiamais simptomais olanzapinas statistiškai patikimai sumažino ir vienus, ir kitus simptomus.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Tarptautiniame palyginamajame klinikiniame tyrime, atliktame dvigubai koduotu būdu, dalyvavo 1481 pacientas, sergantis šizofrenija, šizoafektiniu ar panašiu sutrikimu, kuriems buvo įvairaus laipsnio asocijuotų depresijos simptomų (prieš gydymą vidutinis rodiklis pagal Montgomery-Asberg depresijos vertinimo skalę buvo 16,6). Prospektyvi antrinė nuotaikos skalės rodiklių prieš gydymą ir galutinių tyrimo rezultatų pokyčio analizė parodė statistiškai patikimą pagerėjimą (p = 0,001) gydant olanzapinu (-6,0) palyginti su haloperidoliu (-3,1).</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Pacientams, sergantiems bipoliniu sutrikimu, manijos ar mišraus epizodo metu olanzapino efektyvumas buvo didesnis nei placebo ir valproato (divalproeks) slopinant manijos simptomus 3 savaites. Olanzapino efektyvumas buvo panašus kaip haloperidolio lyginant manijos ir depresijos simptomų sumažėjimo santykį per 6 ir 12 savaičių. Klinikinio tyrimo, kai buvo skiriamas litis arba valproatas mažiausiai 2 savaites, papildomai paskyrus 10 mg olanzapino (gydymas kartu su ličiu arba valproatu) manijos simptomų slopinimas buvo geresnis nei skiriant vien litį arba valproatą 6 savaites.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12 mėnesių pasikartojimo prevencijos klinikinio tyrimo metu pacientams, kuriems manijos epizodas buvo sėkmingai nuslopintas olanzapinu, buvo randomizuotai skirtas olanzapinas arba placebas. Olanzapinas statistiškai patikimai geriau nei placebas nutraukė pirminį bipolinio sutrikimo pasikartojimą. Taip pat olanzapinas buvo statistiškai patikimai pranašesnis </w:t>
      </w:r>
      <w:r w:rsidRPr="00C326B9">
        <w:rPr>
          <w:sz w:val="22"/>
          <w:szCs w:val="22"/>
          <w:lang w:val="lt-LT"/>
        </w:rPr>
        <w:lastRenderedPageBreak/>
        <w:t>už placebą užkertant kelią tiek manijos, tiek depresijos pasikartojimui.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Antro 12 mėnesių pasikartojimo prevencijos klinikinio tyrimo metu pacientams, kuriems manijos epizodas buvo sėkmingai nuslopintas olanzapino ir ličio deriniu, buvo randomizuotai skirtas tik olanzapinas arba tik litis. Olanzapinas statistiškai patikimai ne blogiau nei litis nutraukė pirminį bipolinio sutrikimo pasikartojimą (olanzapinas 30,0%, litis 38,3%; p = 0,055).</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18 mėnesių klinikinio tyrimo metu pacientams, kuriems manijos arba mišrus epizodas buvo sėkmingai nuslopintas skiriant olanzapiną kartu su vienu iš nuotaiką stabilizuojančių vaistų (ličiu arba valproatu), ilgalaikis gydymas olanzapinu kartu su ličiu arba valproatu nebuvo statistiškai reikšmingai pranašesnis už gydymą tik ličiu arba valproatu pavėlinant bipolinį pasikartojimą, apibūdinamą sindrominiais diagnozės nustatymo kriterijais.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u w:val="single"/>
          <w:lang w:val="lt-LT"/>
        </w:rPr>
      </w:pPr>
      <w:r w:rsidRPr="00C326B9">
        <w:rPr>
          <w:i/>
          <w:iCs/>
          <w:sz w:val="22"/>
          <w:szCs w:val="22"/>
          <w:u w:val="single"/>
          <w:lang w:val="lt-LT"/>
        </w:rPr>
        <w:t>Vaikai ir paaugliai</w:t>
      </w:r>
    </w:p>
    <w:p w:rsidR="001F5325" w:rsidRPr="00C326B9" w:rsidRDefault="001F5325" w:rsidP="001F5325">
      <w:pPr>
        <w:autoSpaceDE w:val="0"/>
        <w:autoSpaceDN w:val="0"/>
        <w:adjustRightInd w:val="0"/>
        <w:rPr>
          <w:sz w:val="22"/>
          <w:szCs w:val="22"/>
          <w:lang w:val="lt-LT"/>
        </w:rPr>
      </w:pPr>
      <w:r w:rsidRPr="00C326B9">
        <w:rPr>
          <w:sz w:val="22"/>
          <w:szCs w:val="22"/>
          <w:lang w:val="lt-LT"/>
        </w:rPr>
        <w:t>Paauglių (13-17 metų) gydymo patirtis ribota ir remiasi trumpalaikiais šizofrenijos (6 savaičių) ir</w:t>
      </w:r>
    </w:p>
    <w:p w:rsidR="001F5325" w:rsidRPr="00C326B9" w:rsidRDefault="001F5325" w:rsidP="001F5325">
      <w:pPr>
        <w:autoSpaceDE w:val="0"/>
        <w:autoSpaceDN w:val="0"/>
        <w:adjustRightInd w:val="0"/>
        <w:rPr>
          <w:sz w:val="22"/>
          <w:szCs w:val="22"/>
          <w:lang w:val="lt-LT"/>
        </w:rPr>
      </w:pPr>
      <w:r w:rsidRPr="00C326B9">
        <w:rPr>
          <w:sz w:val="22"/>
          <w:szCs w:val="22"/>
          <w:lang w:val="lt-LT"/>
        </w:rPr>
        <w:t>manijos, susijusios su bipoliniu I tipo sutrikimu (3 savaičių), kuriuose dalyvavo mažiau kaip 200</w:t>
      </w:r>
    </w:p>
    <w:p w:rsidR="001F5325" w:rsidRPr="00C326B9" w:rsidRDefault="001F5325" w:rsidP="001F5325">
      <w:pPr>
        <w:autoSpaceDE w:val="0"/>
        <w:autoSpaceDN w:val="0"/>
        <w:adjustRightInd w:val="0"/>
        <w:rPr>
          <w:sz w:val="22"/>
          <w:szCs w:val="22"/>
          <w:lang w:val="lt-LT"/>
        </w:rPr>
      </w:pPr>
      <w:r w:rsidRPr="00C326B9">
        <w:rPr>
          <w:sz w:val="22"/>
          <w:szCs w:val="22"/>
          <w:lang w:val="lt-LT"/>
        </w:rPr>
        <w:t>paauglių, gydymo veiksmingumo tyrimais. Buvo vartojamos lanksčios olanzapino dozės: nuo 2,5 iki</w:t>
      </w:r>
    </w:p>
    <w:p w:rsidR="001F5325" w:rsidRPr="00C326B9" w:rsidRDefault="001F5325" w:rsidP="001F5325">
      <w:pPr>
        <w:autoSpaceDE w:val="0"/>
        <w:autoSpaceDN w:val="0"/>
        <w:adjustRightInd w:val="0"/>
        <w:rPr>
          <w:sz w:val="22"/>
          <w:szCs w:val="22"/>
          <w:lang w:val="lt-LT"/>
        </w:rPr>
      </w:pPr>
      <w:r w:rsidRPr="00C326B9">
        <w:rPr>
          <w:sz w:val="22"/>
          <w:szCs w:val="22"/>
          <w:lang w:val="lt-LT"/>
        </w:rPr>
        <w:t>20 mg per parą. Gydant olanzapinu, paaugliai priaugo daug daugiau svorio, palyginti su</w:t>
      </w:r>
    </w:p>
    <w:p w:rsidR="001F5325" w:rsidRPr="00C326B9" w:rsidRDefault="001F5325" w:rsidP="001F5325">
      <w:pPr>
        <w:autoSpaceDE w:val="0"/>
        <w:autoSpaceDN w:val="0"/>
        <w:adjustRightInd w:val="0"/>
        <w:rPr>
          <w:sz w:val="22"/>
          <w:szCs w:val="22"/>
          <w:lang w:val="lt-LT"/>
        </w:rPr>
      </w:pPr>
      <w:r w:rsidRPr="00C326B9">
        <w:rPr>
          <w:sz w:val="22"/>
          <w:szCs w:val="22"/>
          <w:lang w:val="lt-LT"/>
        </w:rPr>
        <w:t>suaugusiaisiais. Bendrojo cholesterolio, MTL cholesterolio, trigliceridų ir prolaktino koncentracijų</w:t>
      </w:r>
    </w:p>
    <w:p w:rsidR="001F5325" w:rsidRPr="00C326B9" w:rsidRDefault="001F5325" w:rsidP="001F5325">
      <w:pPr>
        <w:autoSpaceDE w:val="0"/>
        <w:autoSpaceDN w:val="0"/>
        <w:adjustRightInd w:val="0"/>
        <w:rPr>
          <w:sz w:val="22"/>
          <w:szCs w:val="22"/>
          <w:lang w:val="lt-LT"/>
        </w:rPr>
      </w:pPr>
      <w:r w:rsidRPr="00C326B9">
        <w:rPr>
          <w:sz w:val="22"/>
          <w:szCs w:val="22"/>
          <w:lang w:val="lt-LT"/>
        </w:rPr>
        <w:t>nevalgius (žr. 4.4 ir 4.8 skyrius) pokytis paaugliams buvo didesnis nei suaugusiesiems. Duomenų apie</w:t>
      </w:r>
    </w:p>
    <w:p w:rsidR="001F5325" w:rsidRPr="00C326B9" w:rsidRDefault="001F5325" w:rsidP="001F5325">
      <w:pPr>
        <w:autoSpaceDE w:val="0"/>
        <w:autoSpaceDN w:val="0"/>
        <w:adjustRightInd w:val="0"/>
        <w:rPr>
          <w:sz w:val="22"/>
          <w:szCs w:val="22"/>
          <w:lang w:val="lt-LT"/>
        </w:rPr>
      </w:pPr>
      <w:r w:rsidRPr="00C326B9">
        <w:rPr>
          <w:sz w:val="22"/>
          <w:szCs w:val="22"/>
          <w:lang w:val="lt-LT"/>
        </w:rPr>
        <w:t>poveikio palaikymą nėra, o duomenys apie ilgalaikį saugumą riboti (žr. 4.4 ir 4.8 skyrius)</w:t>
      </w:r>
      <w:r w:rsidRPr="00C326B9">
        <w:rPr>
          <w:i/>
          <w:iCs/>
          <w:sz w:val="22"/>
          <w:szCs w:val="22"/>
          <w:lang w:val="lt-LT"/>
        </w:rPr>
        <w:t>.</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5.2 </w:t>
      </w:r>
      <w:r w:rsidRPr="00C326B9">
        <w:rPr>
          <w:b/>
          <w:sz w:val="22"/>
          <w:szCs w:val="22"/>
          <w:lang w:val="lt-LT"/>
        </w:rPr>
        <w:tab/>
        <w:t>Farmakokinetinės savybės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 xml:space="preserve">Absorbcija </w:t>
      </w:r>
    </w:p>
    <w:p w:rsidR="001F5325" w:rsidRPr="00C326B9" w:rsidRDefault="001F5325" w:rsidP="001F5325">
      <w:pPr>
        <w:autoSpaceDE w:val="0"/>
        <w:autoSpaceDN w:val="0"/>
        <w:adjustRightInd w:val="0"/>
        <w:rPr>
          <w:sz w:val="22"/>
          <w:szCs w:val="22"/>
          <w:lang w:val="lt-LT"/>
        </w:rPr>
      </w:pPr>
      <w:r w:rsidRPr="00C326B9">
        <w:rPr>
          <w:sz w:val="22"/>
          <w:szCs w:val="22"/>
          <w:lang w:val="lt-LT"/>
        </w:rPr>
        <w:t>Išgertas olanzapinas gerai absorbuojasi, didžiausia jo koncentracija kraujo plazmoje būna po 5-8 valandų. Maistas absorbcijos neveikia. Absoliutus išgerto vaisto biologinis įsisavinimas, lyginant su pavartotu į veną, nenustatytas.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sz w:val="22"/>
          <w:szCs w:val="22"/>
          <w:lang w:val="lt-LT"/>
        </w:rPr>
      </w:pPr>
      <w:r w:rsidRPr="00C326B9">
        <w:rPr>
          <w:i/>
          <w:sz w:val="22"/>
          <w:szCs w:val="22"/>
          <w:u w:val="single"/>
          <w:lang w:val="lt-LT"/>
        </w:rPr>
        <w:t>Pasiskirstymas</w:t>
      </w:r>
      <w:r w:rsidRPr="00C326B9">
        <w:rPr>
          <w:i/>
          <w:sz w:val="22"/>
          <w:szCs w:val="22"/>
          <w:lang w:val="lt-LT"/>
        </w:rPr>
        <w:t xml:space="preserve"> </w:t>
      </w:r>
    </w:p>
    <w:p w:rsidR="001F5325" w:rsidRPr="00C326B9" w:rsidRDefault="001F5325" w:rsidP="001F5325">
      <w:pPr>
        <w:autoSpaceDE w:val="0"/>
        <w:autoSpaceDN w:val="0"/>
        <w:adjustRightInd w:val="0"/>
        <w:rPr>
          <w:sz w:val="22"/>
          <w:szCs w:val="22"/>
          <w:lang w:val="lt-LT"/>
        </w:rPr>
      </w:pPr>
      <w:r w:rsidRPr="00C326B9">
        <w:rPr>
          <w:sz w:val="22"/>
          <w:szCs w:val="22"/>
          <w:lang w:val="lt-LT"/>
        </w:rPr>
        <w:t>Kai olanzapino koncentracija kraujyje yra 7-1000 ng/ml, apie 93% jo susijungia su plazmos baltymais, daugiausiai su albuminu ir α</w:t>
      </w:r>
      <w:r w:rsidRPr="00C326B9">
        <w:rPr>
          <w:sz w:val="22"/>
          <w:szCs w:val="22"/>
          <w:vertAlign w:val="subscript"/>
          <w:lang w:val="lt-LT"/>
        </w:rPr>
        <w:t>1</w:t>
      </w:r>
      <w:r w:rsidRPr="00C326B9">
        <w:rPr>
          <w:sz w:val="22"/>
          <w:szCs w:val="22"/>
          <w:lang w:val="lt-LT"/>
        </w:rPr>
        <w:t xml:space="preserve"> rūgščiuoju glikoproteinu.</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sz w:val="22"/>
          <w:szCs w:val="22"/>
          <w:lang w:val="lt-LT"/>
        </w:rPr>
      </w:pPr>
      <w:r w:rsidRPr="00C326B9">
        <w:rPr>
          <w:i/>
          <w:sz w:val="22"/>
          <w:szCs w:val="22"/>
          <w:u w:val="single"/>
          <w:lang w:val="lt-LT"/>
        </w:rPr>
        <w:t>Biotransformacija</w:t>
      </w:r>
      <w:r w:rsidRPr="00C326B9">
        <w:rPr>
          <w:i/>
          <w:sz w:val="22"/>
          <w:szCs w:val="22"/>
          <w:lang w:val="lt-LT"/>
        </w:rPr>
        <w:t xml:space="preserve"> </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Olanzapinas metabolizuojamas kepenyse konjugacijos ir oksidacijos būdu. Daugiausia cirkuliuoja metabolito 10-N-gliu</w:t>
      </w:r>
      <w:r w:rsidRPr="00C326B9">
        <w:rPr>
          <w:sz w:val="22"/>
          <w:szCs w:val="22"/>
          <w:lang w:val="lt-LT"/>
        </w:rPr>
        <w:lastRenderedPageBreak/>
        <w:t xml:space="preserve">kuronido, kuris nepraeina pro hematoencefalinį barjerą. Veikiant citochromams P450-CYP1A2 ir P450-CYP2D6, susidaro N-dezmetilo ir 2-hidroksimetilo metabolitų. Tyrimai su gyvūnais parodė, kad abu metabolitai </w:t>
      </w:r>
      <w:r w:rsidRPr="00C326B9">
        <w:rPr>
          <w:i/>
          <w:sz w:val="22"/>
          <w:szCs w:val="22"/>
          <w:lang w:val="lt-LT"/>
        </w:rPr>
        <w:t xml:space="preserve">in vivo </w:t>
      </w:r>
      <w:r w:rsidRPr="00C326B9">
        <w:rPr>
          <w:sz w:val="22"/>
          <w:szCs w:val="22"/>
          <w:lang w:val="lt-LT"/>
        </w:rPr>
        <w:t xml:space="preserve">veikia žymiai silpniau negu olanzapinas. Todėl farmakologinis poveikis daugiausia priklauso nuo olanzapino.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sz w:val="22"/>
          <w:szCs w:val="22"/>
          <w:lang w:val="lt-LT"/>
        </w:rPr>
      </w:pPr>
      <w:r w:rsidRPr="00C326B9">
        <w:rPr>
          <w:i/>
          <w:sz w:val="22"/>
          <w:szCs w:val="22"/>
          <w:u w:val="single"/>
          <w:lang w:val="lt-LT"/>
        </w:rPr>
        <w:t>Eliminacija</w:t>
      </w:r>
      <w:r w:rsidRPr="00C326B9">
        <w:rPr>
          <w:i/>
          <w:sz w:val="22"/>
          <w:szCs w:val="22"/>
          <w:lang w:val="lt-LT"/>
        </w:rPr>
        <w:t xml:space="preserve"> </w:t>
      </w:r>
    </w:p>
    <w:p w:rsidR="001F5325" w:rsidRPr="00C326B9" w:rsidRDefault="001F5325" w:rsidP="001F5325">
      <w:pPr>
        <w:autoSpaceDE w:val="0"/>
        <w:autoSpaceDN w:val="0"/>
        <w:adjustRightInd w:val="0"/>
        <w:rPr>
          <w:sz w:val="22"/>
          <w:szCs w:val="22"/>
          <w:lang w:val="lt-LT"/>
        </w:rPr>
      </w:pPr>
      <w:r w:rsidRPr="00C326B9">
        <w:rPr>
          <w:sz w:val="22"/>
          <w:szCs w:val="22"/>
          <w:lang w:val="lt-LT"/>
        </w:rPr>
        <w:t>Sveikų asmenų galutinis išgerto olanzapino pusinės eliminacijos periodas priklausė nuo amžiaus ir lyties.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Sveikų senyvų pacientų (65 metų ir daugiau), lyginant su jaunesniais, vidutinis pusinės eliminacijos periodas buvo ilgesnis (atitinkamai 51,8 val. ir 33,8 val.), o klirensas mažesnis (atitinkamai 17,5 l/val. ir 18,2 l/val.). Senyvų pacientų farmakokinetikos kintamumas atitinka jaunesnių pacientų ribas. 44 vyresniems kaip 65 metų pacientams, sergantiems šizofrenija, 5-20 mg vaisto paros dozės nebuvo susijusios su išskirtiniu nepageidaujamu poveikiu.</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Moterų, lyginant su vyrais, vidutinis pusinės eliminacijos periodas buvo šiek tiek ilgesnis (atitinkamai 36,7 val. ir 32,3 val.), o klirensas mažesnis (atitinkamai 18,9 l/val. ir 27,3 l/val.). Tačiau olanzapinas (5-20 mg) buvo toks pat saugus ir moterims (n = 467), ir vyrams (n = 869).</w:t>
      </w:r>
    </w:p>
    <w:p w:rsidR="001F5325" w:rsidRPr="00C326B9" w:rsidRDefault="001F5325" w:rsidP="001F5325">
      <w:pPr>
        <w:autoSpaceDE w:val="0"/>
        <w:autoSpaceDN w:val="0"/>
        <w:adjustRightInd w:val="0"/>
        <w:rPr>
          <w:sz w:val="22"/>
          <w:szCs w:val="22"/>
          <w:lang w:val="lt-LT"/>
        </w:rPr>
      </w:pPr>
    </w:p>
    <w:p w:rsidR="00F246A8" w:rsidRPr="001D1B06" w:rsidRDefault="00F246A8" w:rsidP="00F246A8">
      <w:pPr>
        <w:autoSpaceDE w:val="0"/>
        <w:autoSpaceDN w:val="0"/>
        <w:adjustRightInd w:val="0"/>
        <w:rPr>
          <w:i/>
          <w:sz w:val="22"/>
          <w:szCs w:val="22"/>
          <w:u w:val="single"/>
          <w:lang w:val="lt-LT"/>
        </w:rPr>
      </w:pPr>
      <w:r>
        <w:rPr>
          <w:i/>
          <w:sz w:val="22"/>
          <w:szCs w:val="22"/>
          <w:u w:val="single"/>
          <w:lang w:val="lt-LT"/>
        </w:rPr>
        <w:t>Sutrikusi inkstų funkcija</w:t>
      </w:r>
    </w:p>
    <w:p w:rsidR="001F5325" w:rsidRPr="00C326B9" w:rsidRDefault="001F5325" w:rsidP="001F5325">
      <w:pPr>
        <w:autoSpaceDE w:val="0"/>
        <w:autoSpaceDN w:val="0"/>
        <w:adjustRightInd w:val="0"/>
        <w:rPr>
          <w:sz w:val="22"/>
          <w:szCs w:val="22"/>
          <w:lang w:val="lt-LT"/>
        </w:rPr>
      </w:pPr>
      <w:r w:rsidRPr="00C326B9">
        <w:rPr>
          <w:sz w:val="22"/>
          <w:szCs w:val="22"/>
          <w:lang w:val="lt-LT"/>
        </w:rPr>
        <w:t>Pacientams, kuriems buvo inkstų nepakankamumas (kreatinino klirensas &lt;10 ml/min), lyginant su sveikaisiais, nustatyta tik neryškių vidutinio pusinio eliminacijos periodo (atitinkamai 37,7 val. ir 32,4 val.) ir vaisto klirenso (atitinkamai 21,2 l/val. ir 25,0 l/val.) skirtumų. Masių pusiausvyros tyrimų metu nustatyta, kad 57% radioaktyviąja medžiaga žymėto olanzapino išsiskiria su šlapimu, daugiausia metabolitų pavidalu.</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sz w:val="22"/>
          <w:szCs w:val="22"/>
          <w:u w:val="single"/>
        </w:rPr>
      </w:pPr>
      <w:r w:rsidRPr="00C326B9">
        <w:rPr>
          <w:i/>
          <w:sz w:val="22"/>
          <w:szCs w:val="22"/>
          <w:u w:val="single"/>
        </w:rPr>
        <w:t>Rūkantys žmonės</w:t>
      </w:r>
    </w:p>
    <w:p w:rsidR="001F5325" w:rsidRPr="00C326B9" w:rsidRDefault="001F5325" w:rsidP="001F5325">
      <w:pPr>
        <w:autoSpaceDE w:val="0"/>
        <w:autoSpaceDN w:val="0"/>
        <w:adjustRightInd w:val="0"/>
        <w:rPr>
          <w:sz w:val="22"/>
          <w:szCs w:val="22"/>
          <w:lang w:val="lt-LT"/>
        </w:rPr>
      </w:pPr>
      <w:r w:rsidRPr="00C326B9">
        <w:rPr>
          <w:sz w:val="22"/>
          <w:szCs w:val="22"/>
          <w:lang w:val="lt-LT"/>
        </w:rPr>
        <w:t>Rūkančių pacientų, kurių neryškiai sutrikusi kepenų funkcija, vidutinis pusinės eliminacijos periodas (39,3 val.) buvo ilgesnis, o klirensas (18,0 l/val.) mažesnis lyginant su sveikais nerūkančiais asmenimis (atitinkamai 48,8 val. ir 14,1 l/val.).</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Nerūkančių pacientų (vyrų ir moterų), lyginant su rūkančiais, vidutinis pusinės eliminacijos periodas buvo ilgesnis (atitinkamai 38,6 val. ir 30,4 val.), o klirensas mažesnis (atitinkamai 18,6 l/val. ir 27,7 l/val.).</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Olanzapino klirensas yra mažesnis senyvų pacientų lyginant su jaunesniais, moterų lyginant su vyrais, ir nerūkančiųjų lyginant su rūkančiaisiais. Tačiau amžiaus, lyties ir rūkymo įtaka olanzapino klirensui ir pusinės eliminacijos periodui yra nedidelė lyginant su bendraisiais individų tarpusavio skirtumais.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lastRenderedPageBreak/>
        <w:t>Tiriant trijų populiacijų - baltaodžių, japonų ir kinų - farmakokinetikos rodiklius, skirtumų nenustatyta.</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i/>
          <w:iCs/>
          <w:sz w:val="22"/>
          <w:szCs w:val="22"/>
          <w:u w:val="single"/>
          <w:lang w:val="lt-LT"/>
        </w:rPr>
      </w:pPr>
      <w:r w:rsidRPr="00C326B9">
        <w:rPr>
          <w:i/>
          <w:iCs/>
          <w:sz w:val="22"/>
          <w:szCs w:val="22"/>
          <w:u w:val="single"/>
          <w:lang w:val="lt-LT"/>
        </w:rPr>
        <w:t>Vaikai ir paaugliai</w:t>
      </w:r>
    </w:p>
    <w:p w:rsidR="001F5325" w:rsidRPr="00C326B9" w:rsidRDefault="001F5325" w:rsidP="001F5325">
      <w:pPr>
        <w:autoSpaceDE w:val="0"/>
        <w:autoSpaceDN w:val="0"/>
        <w:adjustRightInd w:val="0"/>
        <w:rPr>
          <w:sz w:val="22"/>
          <w:szCs w:val="22"/>
          <w:lang w:val="lt-LT"/>
        </w:rPr>
      </w:pPr>
      <w:r w:rsidRPr="00C326B9">
        <w:rPr>
          <w:sz w:val="22"/>
          <w:szCs w:val="22"/>
          <w:lang w:val="lt-LT"/>
        </w:rPr>
        <w:t>Paaugliai (13-17 metų). Olanzapino farmakokinetika paauglių ir suaugusiųjų organizme panaši.</w:t>
      </w:r>
    </w:p>
    <w:p w:rsidR="001F5325" w:rsidRPr="00C326B9" w:rsidRDefault="001F5325" w:rsidP="001F5325">
      <w:pPr>
        <w:autoSpaceDE w:val="0"/>
        <w:autoSpaceDN w:val="0"/>
        <w:adjustRightInd w:val="0"/>
        <w:rPr>
          <w:sz w:val="22"/>
          <w:szCs w:val="22"/>
          <w:lang w:val="lt-LT"/>
        </w:rPr>
      </w:pPr>
      <w:r w:rsidRPr="00C326B9">
        <w:rPr>
          <w:sz w:val="22"/>
          <w:szCs w:val="22"/>
          <w:lang w:val="lt-LT"/>
        </w:rPr>
        <w:t>Kinikinių tyrimų duomenimis, vidutinė olanzapino ekspozicija paauglių organizme maždaug 27 %</w:t>
      </w:r>
    </w:p>
    <w:p w:rsidR="001F5325" w:rsidRPr="00C326B9" w:rsidRDefault="001F5325" w:rsidP="001F5325">
      <w:pPr>
        <w:autoSpaceDE w:val="0"/>
        <w:autoSpaceDN w:val="0"/>
        <w:adjustRightInd w:val="0"/>
        <w:rPr>
          <w:sz w:val="22"/>
          <w:szCs w:val="22"/>
          <w:lang w:val="lt-LT"/>
        </w:rPr>
      </w:pPr>
      <w:r w:rsidRPr="00C326B9">
        <w:rPr>
          <w:sz w:val="22"/>
          <w:szCs w:val="22"/>
          <w:lang w:val="lt-LT"/>
        </w:rPr>
        <w:t>didesnė. Demografiniai paauglių ir suaugusiųjų skirtumai yra šie: vidutinis paauglių kūno svoris yra</w:t>
      </w:r>
    </w:p>
    <w:p w:rsidR="001F5325" w:rsidRPr="00C326B9" w:rsidRDefault="001F5325" w:rsidP="001F5325">
      <w:pPr>
        <w:autoSpaceDE w:val="0"/>
        <w:autoSpaceDN w:val="0"/>
        <w:adjustRightInd w:val="0"/>
        <w:rPr>
          <w:sz w:val="22"/>
          <w:szCs w:val="22"/>
          <w:lang w:val="lt-LT"/>
        </w:rPr>
      </w:pPr>
      <w:r w:rsidRPr="00C326B9">
        <w:rPr>
          <w:sz w:val="22"/>
          <w:szCs w:val="22"/>
          <w:lang w:val="lt-LT"/>
        </w:rPr>
        <w:t>mažesnis, mažiau paauglių rūko. Šie veiksniai gali skatinti ekspozicijos padidėjimą paauglių.</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5.3 </w:t>
      </w:r>
      <w:r w:rsidRPr="00C326B9">
        <w:rPr>
          <w:b/>
          <w:sz w:val="22"/>
          <w:szCs w:val="22"/>
          <w:lang w:val="lt-LT"/>
        </w:rPr>
        <w:tab/>
        <w:t>Ikiklinikinių saugumo tyrimų duomenys</w:t>
      </w:r>
    </w:p>
    <w:p w:rsidR="001F5325" w:rsidRPr="00C326B9" w:rsidRDefault="001F5325" w:rsidP="001F5325">
      <w:pPr>
        <w:autoSpaceDE w:val="0"/>
        <w:autoSpaceDN w:val="0"/>
        <w:adjustRightInd w:val="0"/>
        <w:rPr>
          <w:i/>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Ūminis (vienkartinės dozės) toksiškumas</w:t>
      </w:r>
    </w:p>
    <w:p w:rsidR="001F5325" w:rsidRPr="00C326B9" w:rsidRDefault="001F5325" w:rsidP="001F5325">
      <w:pPr>
        <w:autoSpaceDE w:val="0"/>
        <w:autoSpaceDN w:val="0"/>
        <w:adjustRightInd w:val="0"/>
        <w:rPr>
          <w:sz w:val="22"/>
          <w:szCs w:val="22"/>
          <w:lang w:val="lt-LT"/>
        </w:rPr>
      </w:pPr>
      <w:r w:rsidRPr="00C326B9">
        <w:rPr>
          <w:sz w:val="22"/>
          <w:szCs w:val="22"/>
          <w:lang w:val="lt-LT"/>
        </w:rPr>
        <w:t>Graužikams per burną pavartoto vaisto sukeltas toksiškumas buvo toks pat kaip sukeltas stiprių neuroleptikų: sumažėjęs aktyvumas, koma, drebulys, kloniniai traukuliai, seilėtekis ir svorio augimo sulėtėjimas. Vidutinė mirtina dozė buvo apie 210 mg/kg pelėms ir apie 175 mg/kg žiurkėms. Šunys toleravo ir nenugaišo nuo vienkartinės dozės iki 100 mg/kg. Jiems buvo šių klinikinių reiškinių: sedacija, ataksija, drebulys, padažnėjęs širdies ritmas, pasunkėjęs kvėpavimas, miozė ir anoreksija. Beždžionėms vienkartinė 100 mg/kg dozė sukėlė prostraciją, o nuo didesnės dozės pritemo sąmonė.</w:t>
      </w:r>
    </w:p>
    <w:p w:rsidR="001F5325" w:rsidRPr="00C326B9" w:rsidRDefault="001F5325" w:rsidP="001F5325">
      <w:pPr>
        <w:autoSpaceDE w:val="0"/>
        <w:autoSpaceDN w:val="0"/>
        <w:adjustRightInd w:val="0"/>
        <w:rPr>
          <w:i/>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Kartotinių dozių toksiškumas</w:t>
      </w:r>
    </w:p>
    <w:p w:rsidR="001F5325" w:rsidRPr="00C326B9" w:rsidRDefault="001F5325" w:rsidP="001F5325">
      <w:pPr>
        <w:autoSpaceDE w:val="0"/>
        <w:autoSpaceDN w:val="0"/>
        <w:adjustRightInd w:val="0"/>
        <w:rPr>
          <w:sz w:val="22"/>
          <w:szCs w:val="22"/>
          <w:lang w:val="lt-LT"/>
        </w:rPr>
      </w:pPr>
      <w:r w:rsidRPr="00C326B9">
        <w:rPr>
          <w:sz w:val="22"/>
          <w:szCs w:val="22"/>
          <w:lang w:val="lt-LT"/>
        </w:rPr>
        <w:t>Trijų mėnesių tyrimų su pelėmis ir vienerių metų tyrimų su žiurkėmis bei šunimis metu buvo nustatyti šie vyraujantys efektai: CNS slopinimas, anticholinerginis poveikis ir periferinio kraujo pokyčiai. CNS slopinimui pasireiškė tolerancija. Nuo didelių vaisto dozių sulėtėjo augimas. Žiurkėms atsirado grįžtamųjų reiškinių, susijusių su padidėjusiu prolaktino kiekiu: sumažėjo kiaušidžių ir gimdos svoris, morfologiškai pakito makšties ir pieno liaukos epitelis.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Hematologinis toksiškumas. Visų rūšių gyvūnams pakito kraujo rodikliai. Tai ir nuo dozės priklausantis cirkuliuojančių leukocitų skaičiaus sumažėjimas pelėms ir nespecifinis cirkuliuojančių leukocitų skaičiaus sumažėjimas žiurkėms, tačiau citotoksinio vaisto poveikio kaulų čiulpams nenustatyta. Keliems šunims, gavusiems 8 mg/kg ar 10 mg/kg per parą (bendra olanzapino ekspozicija [AUC] 12-15 kartų didesnė negu skiriant 12 mg dozę žmogui), nustatyta laikina neutropenija, trombocitopenija ar anemija. Šunų, kurių kraujyje buvo nustatyta citopenija, kaulų čiulpų kamieninės ir proliferuojančios ląstelės buvo nepakitusios.</w:t>
      </w:r>
    </w:p>
    <w:p w:rsidR="001F5325" w:rsidRPr="00C326B9" w:rsidRDefault="001F5325" w:rsidP="001F5325">
      <w:pPr>
        <w:autoSpaceDE w:val="0"/>
        <w:autoSpaceDN w:val="0"/>
        <w:adjustRightInd w:val="0"/>
        <w:rPr>
          <w:i/>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Reprodukcinis toksiškumas</w:t>
      </w: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Olanzapinas neveikė teratogeniškai. Raminamasis poveikis turėjo įtakos žiurkių patinų poravimuisi. 1,1 mg/kg dozė (3 </w:t>
      </w:r>
      <w:r w:rsidRPr="00C326B9">
        <w:rPr>
          <w:sz w:val="22"/>
          <w:szCs w:val="22"/>
          <w:lang w:val="lt-LT"/>
        </w:rPr>
        <w:lastRenderedPageBreak/>
        <w:t>kartus didesnė už didžiausią žmogaus dozę) veikė žiurkių estrogeninius ciklus, 3 mg/kg dozė (9 kartus didesnė už didžiausią žmogaus dozę) - reprodukciją. Žiurkių, kurios gavo olanzapino, palikuonių fetalinė raida sulėtėjo, jų aktyvumas laikinai sumažėjo.</w:t>
      </w:r>
    </w:p>
    <w:p w:rsidR="001F5325" w:rsidRPr="00C326B9" w:rsidRDefault="001F5325" w:rsidP="001F5325">
      <w:pPr>
        <w:autoSpaceDE w:val="0"/>
        <w:autoSpaceDN w:val="0"/>
        <w:adjustRightInd w:val="0"/>
        <w:rPr>
          <w:i/>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Mutageniškumas</w:t>
      </w: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Standartiniais tyrimais, įskaitant bakterijų mutacijos testus bei </w:t>
      </w:r>
      <w:r w:rsidRPr="00C326B9">
        <w:rPr>
          <w:i/>
          <w:sz w:val="22"/>
          <w:szCs w:val="22"/>
          <w:lang w:val="lt-LT"/>
        </w:rPr>
        <w:t xml:space="preserve">in vitro </w:t>
      </w:r>
      <w:r w:rsidRPr="00C326B9">
        <w:rPr>
          <w:sz w:val="22"/>
          <w:szCs w:val="22"/>
          <w:lang w:val="lt-LT"/>
        </w:rPr>
        <w:t xml:space="preserve">ir </w:t>
      </w:r>
      <w:r w:rsidRPr="00C326B9">
        <w:rPr>
          <w:i/>
          <w:sz w:val="22"/>
          <w:szCs w:val="22"/>
          <w:lang w:val="lt-LT"/>
        </w:rPr>
        <w:t xml:space="preserve">in vivo </w:t>
      </w:r>
      <w:r w:rsidRPr="00C326B9">
        <w:rPr>
          <w:sz w:val="22"/>
          <w:szCs w:val="22"/>
          <w:lang w:val="lt-LT"/>
        </w:rPr>
        <w:t>žinduolių testus, mutageninio ar klastogeninio olanzapino poveikio nenustatyta.</w:t>
      </w:r>
    </w:p>
    <w:p w:rsidR="001F5325" w:rsidRPr="00C326B9" w:rsidRDefault="001F5325" w:rsidP="001F5325">
      <w:pPr>
        <w:autoSpaceDE w:val="0"/>
        <w:autoSpaceDN w:val="0"/>
        <w:adjustRightInd w:val="0"/>
        <w:rPr>
          <w:i/>
          <w:sz w:val="22"/>
          <w:szCs w:val="22"/>
          <w:lang w:val="lt-LT"/>
        </w:rPr>
      </w:pPr>
    </w:p>
    <w:p w:rsidR="001F5325" w:rsidRPr="00C326B9" w:rsidRDefault="001F5325" w:rsidP="001F5325">
      <w:pPr>
        <w:autoSpaceDE w:val="0"/>
        <w:autoSpaceDN w:val="0"/>
        <w:adjustRightInd w:val="0"/>
        <w:rPr>
          <w:i/>
          <w:sz w:val="22"/>
          <w:szCs w:val="22"/>
          <w:u w:val="single"/>
          <w:lang w:val="lt-LT"/>
        </w:rPr>
      </w:pPr>
      <w:r w:rsidRPr="00C326B9">
        <w:rPr>
          <w:i/>
          <w:sz w:val="22"/>
          <w:szCs w:val="22"/>
          <w:u w:val="single"/>
          <w:lang w:val="lt-LT"/>
        </w:rPr>
        <w:t>Kancerogeniškumas</w:t>
      </w:r>
    </w:p>
    <w:p w:rsidR="001F5325" w:rsidRPr="00C326B9" w:rsidRDefault="001F5325" w:rsidP="001F5325">
      <w:pPr>
        <w:autoSpaceDE w:val="0"/>
        <w:autoSpaceDN w:val="0"/>
        <w:adjustRightInd w:val="0"/>
        <w:rPr>
          <w:sz w:val="22"/>
          <w:szCs w:val="22"/>
          <w:lang w:val="lt-LT"/>
        </w:rPr>
      </w:pPr>
      <w:r w:rsidRPr="00C326B9">
        <w:rPr>
          <w:sz w:val="22"/>
          <w:szCs w:val="22"/>
          <w:lang w:val="lt-LT"/>
        </w:rPr>
        <w:t>Įvertinus tyrimų su žiurkėmis ir pelėmis rezultatus, galima teigti, kad olanzapinas nėra kancerogeniškas.</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6. </w:t>
      </w:r>
      <w:r w:rsidRPr="00C326B9">
        <w:rPr>
          <w:b/>
          <w:sz w:val="22"/>
          <w:szCs w:val="22"/>
          <w:lang w:val="lt-LT"/>
        </w:rPr>
        <w:tab/>
        <w:t>FAR</w:t>
      </w:r>
      <w:smartTag w:uri="urn:schemas-microsoft-com:office:smarttags" w:element="PersonName">
        <w:r w:rsidRPr="00C326B9">
          <w:rPr>
            <w:b/>
            <w:sz w:val="22"/>
            <w:szCs w:val="22"/>
            <w:lang w:val="lt-LT"/>
          </w:rPr>
          <w:t>MA</w:t>
        </w:r>
      </w:smartTag>
      <w:r w:rsidRPr="00C326B9">
        <w:rPr>
          <w:b/>
          <w:sz w:val="22"/>
          <w:szCs w:val="22"/>
          <w:lang w:val="lt-LT"/>
        </w:rPr>
        <w:t>CINĖ INFOR</w:t>
      </w:r>
      <w:smartTag w:uri="urn:schemas-microsoft-com:office:smarttags" w:element="PersonName">
        <w:r w:rsidRPr="00C326B9">
          <w:rPr>
            <w:b/>
            <w:sz w:val="22"/>
            <w:szCs w:val="22"/>
            <w:lang w:val="lt-LT"/>
          </w:rPr>
          <w:t>MA</w:t>
        </w:r>
      </w:smartTag>
      <w:r w:rsidRPr="00C326B9">
        <w:rPr>
          <w:b/>
          <w:sz w:val="22"/>
          <w:szCs w:val="22"/>
          <w:lang w:val="lt-LT"/>
        </w:rPr>
        <w:t>CIJA</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6.1 </w:t>
      </w:r>
      <w:r w:rsidRPr="00C326B9">
        <w:rPr>
          <w:b/>
          <w:sz w:val="22"/>
          <w:szCs w:val="22"/>
          <w:lang w:val="lt-LT"/>
        </w:rPr>
        <w:tab/>
        <w:t>Pagalbinių medžiagų sąrašas</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Laktozės monohidratas</w:t>
      </w:r>
    </w:p>
    <w:p w:rsidR="001F5325" w:rsidRPr="00C326B9" w:rsidRDefault="001F5325" w:rsidP="001F5325">
      <w:pPr>
        <w:autoSpaceDE w:val="0"/>
        <w:autoSpaceDN w:val="0"/>
        <w:adjustRightInd w:val="0"/>
        <w:rPr>
          <w:sz w:val="22"/>
          <w:szCs w:val="22"/>
          <w:lang w:val="lt-LT"/>
        </w:rPr>
      </w:pPr>
      <w:r w:rsidRPr="00C326B9">
        <w:rPr>
          <w:sz w:val="22"/>
          <w:szCs w:val="22"/>
          <w:lang w:val="lt-LT"/>
        </w:rPr>
        <w:t>Mikrokristalinė celiuliozė</w:t>
      </w:r>
    </w:p>
    <w:p w:rsidR="001F5325" w:rsidRPr="00C326B9" w:rsidRDefault="001F5325" w:rsidP="001F5325">
      <w:pPr>
        <w:autoSpaceDE w:val="0"/>
        <w:autoSpaceDN w:val="0"/>
        <w:adjustRightInd w:val="0"/>
        <w:rPr>
          <w:sz w:val="22"/>
          <w:szCs w:val="22"/>
          <w:lang w:val="lt-LT"/>
        </w:rPr>
      </w:pPr>
      <w:r w:rsidRPr="00C326B9">
        <w:rPr>
          <w:sz w:val="22"/>
          <w:szCs w:val="22"/>
          <w:lang w:val="lt-LT"/>
        </w:rPr>
        <w:t>Magnio stearatas</w:t>
      </w:r>
    </w:p>
    <w:p w:rsidR="001F5325" w:rsidRPr="00C326B9" w:rsidRDefault="001F5325" w:rsidP="001F5325">
      <w:pPr>
        <w:autoSpaceDE w:val="0"/>
        <w:autoSpaceDN w:val="0"/>
        <w:adjustRightInd w:val="0"/>
        <w:rPr>
          <w:b/>
          <w:sz w:val="22"/>
          <w:szCs w:val="22"/>
          <w:lang w:val="lt-LT"/>
        </w:rPr>
      </w:pPr>
      <w:r w:rsidRPr="00C326B9">
        <w:rPr>
          <w:rStyle w:val="rvts9"/>
          <w:color w:val="000000"/>
          <w:sz w:val="22"/>
          <w:szCs w:val="22"/>
          <w:lang w:val="lt-LT"/>
        </w:rPr>
        <w:t>Karboksimetilkrakmolo A natrio druska</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6.2 </w:t>
      </w:r>
      <w:r w:rsidRPr="00C326B9">
        <w:rPr>
          <w:b/>
          <w:sz w:val="22"/>
          <w:szCs w:val="22"/>
          <w:lang w:val="lt-LT"/>
        </w:rPr>
        <w:tab/>
        <w:t>Nesuderinamumas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Duomenys nebūtini</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6.3 </w:t>
      </w:r>
      <w:r w:rsidRPr="00C326B9">
        <w:rPr>
          <w:b/>
          <w:sz w:val="22"/>
          <w:szCs w:val="22"/>
          <w:lang w:val="lt-LT"/>
        </w:rPr>
        <w:tab/>
        <w:t>Tinkamumo laikas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2 metai</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6.4 </w:t>
      </w:r>
      <w:r w:rsidRPr="00C326B9">
        <w:rPr>
          <w:b/>
          <w:sz w:val="22"/>
          <w:szCs w:val="22"/>
          <w:lang w:val="lt-LT"/>
        </w:rPr>
        <w:tab/>
        <w:t>Specialios laikymo sąlygos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rPr>
          <w:sz w:val="22"/>
          <w:szCs w:val="22"/>
          <w:cs/>
          <w:lang w:val="lt-LT" w:bidi="th-TH"/>
        </w:rPr>
      </w:pPr>
      <w:r w:rsidRPr="00C326B9">
        <w:rPr>
          <w:sz w:val="22"/>
          <w:szCs w:val="22"/>
          <w:lang w:val="lt-LT"/>
        </w:rPr>
        <w:t xml:space="preserve">Laikyti gamintojo pakuotėje, kad preparatas būtų apsaugotas nuo drėgmės. </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6.5 </w:t>
      </w:r>
      <w:r w:rsidRPr="00C326B9">
        <w:rPr>
          <w:b/>
          <w:sz w:val="22"/>
          <w:szCs w:val="22"/>
          <w:lang w:val="lt-LT"/>
        </w:rPr>
        <w:tab/>
        <w:t>Pakuotė ir jos turinys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rPr>
          <w:sz w:val="22"/>
          <w:szCs w:val="22"/>
          <w:cs/>
          <w:lang w:val="lt-LT" w:bidi="th-TH"/>
        </w:rPr>
      </w:pPr>
      <w:r w:rsidRPr="00C326B9">
        <w:rPr>
          <w:sz w:val="22"/>
          <w:szCs w:val="22"/>
          <w:cs/>
          <w:lang w:val="lt-LT" w:bidi="th-TH"/>
        </w:rPr>
        <w:t xml:space="preserve">PA/Al/PVC/aliuminio dvisluoksnes lizdinės juostelės po 28 arba 56 tabletes kartoninėje dėžutėje.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Gali būti tiekiamos ne visų dydžių pakuotės.</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6.6 </w:t>
      </w:r>
      <w:r w:rsidRPr="00C326B9">
        <w:rPr>
          <w:b/>
          <w:sz w:val="22"/>
          <w:szCs w:val="22"/>
          <w:lang w:val="lt-LT"/>
        </w:rPr>
        <w:tab/>
        <w:t>Specialūs reikalavimai likučiams naikinti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Specialių reikalavimų nėra.</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7. </w:t>
      </w:r>
      <w:r w:rsidRPr="00C326B9">
        <w:rPr>
          <w:b/>
          <w:sz w:val="22"/>
          <w:szCs w:val="22"/>
          <w:lang w:val="lt-LT"/>
        </w:rPr>
        <w:tab/>
      </w:r>
      <w:r w:rsidR="00F246A8">
        <w:rPr>
          <w:b/>
          <w:sz w:val="22"/>
          <w:szCs w:val="22"/>
          <w:lang w:val="lt-LT"/>
        </w:rPr>
        <w:t>REGISTRUOTOJAS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Adamed Sp. z  o. o., </w:t>
      </w:r>
    </w:p>
    <w:p w:rsidR="001F5325" w:rsidRPr="00C326B9" w:rsidRDefault="001F5325" w:rsidP="001F5325">
      <w:pPr>
        <w:autoSpaceDE w:val="0"/>
        <w:autoSpaceDN w:val="0"/>
        <w:adjustRightInd w:val="0"/>
        <w:rPr>
          <w:rFonts w:eastAsia="Arial Unicode MS"/>
          <w:sz w:val="22"/>
          <w:szCs w:val="22"/>
          <w:lang w:val="lt-LT"/>
        </w:rPr>
      </w:pPr>
      <w:r w:rsidRPr="00C326B9">
        <w:rPr>
          <w:rFonts w:eastAsia="Arial Unicode MS"/>
          <w:sz w:val="22"/>
          <w:szCs w:val="22"/>
          <w:lang w:val="lt-LT"/>
        </w:rPr>
        <w:lastRenderedPageBreak/>
        <w:t>Pieńków 149</w:t>
      </w:r>
    </w:p>
    <w:p w:rsidR="001F5325" w:rsidRPr="00C326B9" w:rsidRDefault="001F5325" w:rsidP="001F5325">
      <w:pPr>
        <w:autoSpaceDE w:val="0"/>
        <w:autoSpaceDN w:val="0"/>
        <w:adjustRightInd w:val="0"/>
        <w:rPr>
          <w:rFonts w:eastAsia="Arial Unicode MS"/>
          <w:sz w:val="22"/>
          <w:szCs w:val="22"/>
          <w:lang w:val="lt-LT"/>
        </w:rPr>
      </w:pPr>
      <w:r w:rsidRPr="00C326B9">
        <w:rPr>
          <w:sz w:val="22"/>
          <w:szCs w:val="22"/>
          <w:lang w:val="lt-LT"/>
        </w:rPr>
        <w:t>05-152 Czosnów</w:t>
      </w:r>
    </w:p>
    <w:p w:rsidR="001F5325" w:rsidRPr="00C326B9" w:rsidRDefault="001F5325" w:rsidP="001F5325">
      <w:pPr>
        <w:autoSpaceDE w:val="0"/>
        <w:autoSpaceDN w:val="0"/>
        <w:adjustRightInd w:val="0"/>
        <w:rPr>
          <w:rFonts w:eastAsia="Arial Unicode MS"/>
          <w:sz w:val="22"/>
          <w:szCs w:val="22"/>
          <w:lang w:val="lt-LT"/>
        </w:rPr>
      </w:pPr>
      <w:r w:rsidRPr="00C326B9">
        <w:rPr>
          <w:rFonts w:eastAsia="Arial Unicode MS"/>
          <w:sz w:val="22"/>
          <w:szCs w:val="22"/>
          <w:lang w:val="lt-LT"/>
        </w:rPr>
        <w:t>Lenkija</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8.</w:t>
      </w:r>
      <w:r w:rsidR="00F246A8">
        <w:rPr>
          <w:b/>
          <w:sz w:val="22"/>
          <w:szCs w:val="22"/>
          <w:lang w:val="lt-LT"/>
        </w:rPr>
        <w:t xml:space="preserve"> </w:t>
      </w:r>
      <w:r w:rsidRPr="00C326B9">
        <w:rPr>
          <w:b/>
          <w:sz w:val="22"/>
          <w:szCs w:val="22"/>
          <w:lang w:val="lt-LT"/>
        </w:rPr>
        <w:tab/>
      </w:r>
      <w:r w:rsidR="00F246A8">
        <w:rPr>
          <w:b/>
          <w:sz w:val="22"/>
          <w:szCs w:val="22"/>
          <w:lang w:val="lt-LT"/>
        </w:rPr>
        <w:t>REGISTRACIJOS PAŽYMĖJIMO NUMERIS (-IAI)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pStyle w:val="BTEMEASMCA"/>
        <w:rPr>
          <w:rFonts w:eastAsia="SimSun"/>
        </w:rPr>
      </w:pPr>
      <w:r w:rsidRPr="00C326B9">
        <w:t>N28 – LT/1/08/1081/001</w:t>
      </w:r>
    </w:p>
    <w:p w:rsidR="001F5325" w:rsidRPr="00C326B9" w:rsidRDefault="001F5325" w:rsidP="001F5325">
      <w:pPr>
        <w:autoSpaceDE w:val="0"/>
        <w:autoSpaceDN w:val="0"/>
        <w:adjustRightInd w:val="0"/>
        <w:rPr>
          <w:sz w:val="22"/>
          <w:szCs w:val="22"/>
          <w:lang w:val="lt-LT"/>
        </w:rPr>
      </w:pPr>
      <w:r w:rsidRPr="00C326B9">
        <w:rPr>
          <w:sz w:val="22"/>
          <w:szCs w:val="22"/>
          <w:lang w:val="lt-LT"/>
        </w:rPr>
        <w:t>N56 – LT/1/08/1081/002</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9. </w:t>
      </w:r>
      <w:r w:rsidRPr="00C326B9">
        <w:rPr>
          <w:b/>
          <w:sz w:val="22"/>
          <w:szCs w:val="22"/>
          <w:lang w:val="lt-LT"/>
        </w:rPr>
        <w:tab/>
      </w:r>
      <w:r w:rsidR="00F246A8">
        <w:rPr>
          <w:b/>
          <w:sz w:val="22"/>
          <w:szCs w:val="22"/>
          <w:lang w:val="lt-LT"/>
        </w:rPr>
        <w:t>REGISTRAVIMO</w:t>
      </w:r>
      <w:r w:rsidR="00F246A8" w:rsidRPr="006B0DAC">
        <w:rPr>
          <w:b/>
          <w:sz w:val="22"/>
          <w:szCs w:val="22"/>
          <w:lang w:val="lt-LT"/>
        </w:rPr>
        <w:t>/</w:t>
      </w:r>
      <w:r w:rsidR="00F246A8">
        <w:rPr>
          <w:b/>
          <w:sz w:val="22"/>
          <w:szCs w:val="22"/>
          <w:lang w:val="lt-LT"/>
        </w:rPr>
        <w:t>PERREGISTRAVIMO</w:t>
      </w:r>
      <w:r w:rsidR="00F246A8" w:rsidRPr="006B0DAC">
        <w:rPr>
          <w:b/>
          <w:sz w:val="22"/>
          <w:szCs w:val="22"/>
          <w:lang w:val="lt-LT"/>
        </w:rPr>
        <w:t xml:space="preserve"> DATA</w:t>
      </w:r>
    </w:p>
    <w:p w:rsidR="001F5325" w:rsidRPr="00C326B9" w:rsidRDefault="001F5325" w:rsidP="001F5325">
      <w:pPr>
        <w:autoSpaceDE w:val="0"/>
        <w:autoSpaceDN w:val="0"/>
        <w:adjustRightInd w:val="0"/>
        <w:rPr>
          <w:sz w:val="22"/>
          <w:szCs w:val="22"/>
          <w:lang w:val="lt-LT"/>
        </w:rPr>
      </w:pPr>
    </w:p>
    <w:p w:rsidR="00F246A8" w:rsidRDefault="00F246A8" w:rsidP="001F5325">
      <w:pPr>
        <w:autoSpaceDE w:val="0"/>
        <w:autoSpaceDN w:val="0"/>
        <w:adjustRightInd w:val="0"/>
        <w:rPr>
          <w:sz w:val="22"/>
          <w:szCs w:val="22"/>
          <w:lang w:val="lt-LT"/>
        </w:rPr>
      </w:pPr>
      <w:r>
        <w:rPr>
          <w:sz w:val="22"/>
          <w:szCs w:val="22"/>
          <w:lang w:val="lt-LT"/>
        </w:rPr>
        <w:t>Registravimo data 2008 m. balandžio mėn. 7 d</w:t>
      </w:r>
      <w:r w:rsidRPr="00C326B9" w:rsidDel="00F246A8">
        <w:rPr>
          <w:sz w:val="22"/>
          <w:szCs w:val="22"/>
          <w:lang w:val="lt-LT"/>
        </w:rPr>
        <w:t xml:space="preserve">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10. </w:t>
      </w:r>
      <w:r w:rsidRPr="00C326B9">
        <w:rPr>
          <w:b/>
          <w:sz w:val="22"/>
          <w:szCs w:val="22"/>
          <w:lang w:val="lt-LT"/>
        </w:rPr>
        <w:tab/>
        <w:t>TEKSTO PERŽIŪROS DATA</w:t>
      </w:r>
    </w:p>
    <w:p w:rsidR="00F246A8" w:rsidRPr="00C326B9" w:rsidRDefault="00F246A8" w:rsidP="001F5325">
      <w:pPr>
        <w:tabs>
          <w:tab w:val="left" w:pos="567"/>
        </w:tabs>
        <w:autoSpaceDE w:val="0"/>
        <w:autoSpaceDN w:val="0"/>
        <w:adjustRightInd w:val="0"/>
        <w:rPr>
          <w:sz w:val="22"/>
          <w:szCs w:val="22"/>
          <w:lang w:val="lt-LT"/>
        </w:rPr>
      </w:pPr>
    </w:p>
    <w:p w:rsidR="00537E35" w:rsidRDefault="00400A79" w:rsidP="00537E35">
      <w:pPr>
        <w:pStyle w:val="BTEMEASMCA"/>
      </w:pPr>
      <w:r>
        <w:t>2016 m. s</w:t>
      </w:r>
      <w:r w:rsidR="00537E35" w:rsidRPr="00537E35">
        <w:t>palio 19 d.</w:t>
      </w:r>
    </w:p>
    <w:p w:rsidR="00537E35" w:rsidRDefault="00537E35" w:rsidP="00537E35">
      <w:pPr>
        <w:pStyle w:val="BTEMEASMCA"/>
      </w:pPr>
    </w:p>
    <w:p w:rsidR="001F5325" w:rsidRPr="00C326B9" w:rsidRDefault="001F5325" w:rsidP="00537E35">
      <w:pPr>
        <w:pStyle w:val="BTEMEASMCA"/>
      </w:pPr>
      <w:r w:rsidRPr="00C326B9">
        <w:t>Išsami informacija apie šį vaistinį preparatą pateikiama Valstybinės vaistų kontrolės tarnybos prie Lietuvos Respublikos sveikatos apsaugos ministerijos tinklalapyje</w:t>
      </w:r>
      <w:r w:rsidRPr="00C326B9">
        <w:rPr>
          <w:i/>
        </w:rPr>
        <w:t xml:space="preserve"> </w:t>
      </w:r>
      <w:hyperlink r:id="rId9" w:history="1">
        <w:r w:rsidRPr="00C326B9">
          <w:rPr>
            <w:rStyle w:val="Hipersaitas"/>
          </w:rPr>
          <w:t>http://www.vvkt.lt</w:t>
        </w:r>
      </w:hyperlink>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Default="001F5325" w:rsidP="001F5325">
      <w:pPr>
        <w:autoSpaceDE w:val="0"/>
        <w:autoSpaceDN w:val="0"/>
        <w:adjustRightInd w:val="0"/>
        <w:jc w:val="center"/>
        <w:rPr>
          <w:b/>
          <w:sz w:val="22"/>
          <w:szCs w:val="22"/>
          <w:lang w:val="lt-LT"/>
        </w:rPr>
      </w:pPr>
    </w:p>
    <w:p w:rsidR="001F5325" w:rsidRDefault="001F5325" w:rsidP="001F5325">
      <w:pPr>
        <w:autoSpaceDE w:val="0"/>
        <w:autoSpaceDN w:val="0"/>
        <w:adjustRightInd w:val="0"/>
        <w:jc w:val="center"/>
        <w:rPr>
          <w:b/>
          <w:sz w:val="22"/>
          <w:szCs w:val="22"/>
          <w:lang w:val="lt-LT"/>
        </w:rPr>
      </w:pPr>
    </w:p>
    <w:p w:rsidR="001F5325" w:rsidRDefault="001F5325" w:rsidP="001F5325">
      <w:pPr>
        <w:autoSpaceDE w:val="0"/>
        <w:autoSpaceDN w:val="0"/>
        <w:adjustRightInd w:val="0"/>
        <w:jc w:val="center"/>
        <w:rPr>
          <w:b/>
          <w:sz w:val="22"/>
          <w:szCs w:val="22"/>
          <w:lang w:val="lt-LT"/>
        </w:rPr>
      </w:pPr>
    </w:p>
    <w:p w:rsidR="001F5325" w:rsidRDefault="001F5325" w:rsidP="001F5325">
      <w:pPr>
        <w:autoSpaceDE w:val="0"/>
        <w:autoSpaceDN w:val="0"/>
        <w:adjustRightInd w:val="0"/>
        <w:jc w:val="center"/>
        <w:rPr>
          <w:b/>
          <w:sz w:val="22"/>
          <w:szCs w:val="22"/>
          <w:lang w:val="lt-LT"/>
        </w:rPr>
      </w:pPr>
    </w:p>
    <w:p w:rsidR="001F5325" w:rsidRDefault="001F5325" w:rsidP="001F5325">
      <w:pPr>
        <w:autoSpaceDE w:val="0"/>
        <w:autoSpaceDN w:val="0"/>
        <w:adjustRightInd w:val="0"/>
        <w:jc w:val="center"/>
        <w:rPr>
          <w:b/>
          <w:sz w:val="22"/>
          <w:szCs w:val="22"/>
          <w:lang w:val="lt-LT"/>
        </w:rPr>
      </w:pPr>
    </w:p>
    <w:p w:rsidR="001F5325" w:rsidRDefault="001F5325" w:rsidP="001F5325">
      <w:pPr>
        <w:autoSpaceDE w:val="0"/>
        <w:autoSpaceDN w:val="0"/>
        <w:adjustRightInd w:val="0"/>
        <w:jc w:val="center"/>
        <w:rPr>
          <w:b/>
          <w:sz w:val="22"/>
          <w:szCs w:val="22"/>
          <w:lang w:val="lt-LT"/>
        </w:rPr>
      </w:pPr>
    </w:p>
    <w:p w:rsidR="001F5325" w:rsidRDefault="001F5325" w:rsidP="001F5325">
      <w:pPr>
        <w:autoSpaceDE w:val="0"/>
        <w:autoSpaceDN w:val="0"/>
        <w:adjustRightInd w:val="0"/>
        <w:jc w:val="center"/>
        <w:rPr>
          <w:b/>
          <w:sz w:val="22"/>
          <w:szCs w:val="22"/>
          <w:lang w:val="lt-LT"/>
        </w:rPr>
      </w:pPr>
    </w:p>
    <w:p w:rsidR="001F5325" w:rsidRDefault="001F5325" w:rsidP="001F5325">
      <w:pPr>
        <w:autoSpaceDE w:val="0"/>
        <w:autoSpaceDN w:val="0"/>
        <w:adjustRightInd w:val="0"/>
        <w:jc w:val="center"/>
        <w:rPr>
          <w:b/>
          <w:sz w:val="22"/>
          <w:szCs w:val="22"/>
          <w:lang w:val="lt-LT"/>
        </w:rPr>
      </w:pPr>
    </w:p>
    <w:p w:rsidR="001F5325" w:rsidRDefault="001F5325" w:rsidP="001F5325">
      <w:pPr>
        <w:autoSpaceDE w:val="0"/>
        <w:autoSpaceDN w:val="0"/>
        <w:adjustRightInd w:val="0"/>
        <w:jc w:val="center"/>
        <w:rPr>
          <w:b/>
          <w:sz w:val="22"/>
          <w:szCs w:val="22"/>
          <w:lang w:val="lt-LT"/>
        </w:rPr>
      </w:pPr>
    </w:p>
    <w:p w:rsidR="001F5325" w:rsidRDefault="001F5325" w:rsidP="001F5325">
      <w:pPr>
        <w:autoSpaceDE w:val="0"/>
        <w:autoSpaceDN w:val="0"/>
        <w:adjustRightInd w:val="0"/>
        <w:jc w:val="center"/>
        <w:rPr>
          <w:b/>
          <w:sz w:val="22"/>
          <w:szCs w:val="22"/>
          <w:lang w:val="lt-LT"/>
        </w:rPr>
      </w:pPr>
    </w:p>
    <w:p w:rsidR="001F5325" w:rsidRDefault="001F5325" w:rsidP="001F5325">
      <w:pPr>
        <w:autoSpaceDE w:val="0"/>
        <w:autoSpaceDN w:val="0"/>
        <w:adjustRightInd w:val="0"/>
        <w:jc w:val="center"/>
        <w:rPr>
          <w:b/>
          <w:sz w:val="22"/>
          <w:szCs w:val="22"/>
          <w:lang w:val="lt-LT"/>
        </w:rPr>
      </w:pPr>
    </w:p>
    <w:p w:rsidR="001F5325" w:rsidRDefault="001F5325" w:rsidP="001F5325">
      <w:pPr>
        <w:autoSpaceDE w:val="0"/>
        <w:autoSpaceDN w:val="0"/>
        <w:adjustRightInd w:val="0"/>
        <w:jc w:val="center"/>
        <w:rPr>
          <w:b/>
          <w:sz w:val="22"/>
          <w:szCs w:val="22"/>
          <w:lang w:val="lt-LT"/>
        </w:rPr>
      </w:pPr>
    </w:p>
    <w:p w:rsidR="004819BB" w:rsidRDefault="004819BB" w:rsidP="001F5325">
      <w:pPr>
        <w:autoSpaceDE w:val="0"/>
        <w:autoSpaceDN w:val="0"/>
        <w:adjustRightInd w:val="0"/>
        <w:jc w:val="center"/>
        <w:rPr>
          <w:b/>
          <w:sz w:val="22"/>
          <w:szCs w:val="22"/>
          <w:lang w:val="lt-LT"/>
        </w:rPr>
      </w:pPr>
    </w:p>
    <w:p w:rsidR="004819BB" w:rsidRDefault="004819BB" w:rsidP="001F5325">
      <w:pPr>
        <w:autoSpaceDE w:val="0"/>
        <w:autoSpaceDN w:val="0"/>
        <w:adjustRightInd w:val="0"/>
        <w:jc w:val="center"/>
        <w:rPr>
          <w:b/>
          <w:sz w:val="22"/>
          <w:szCs w:val="22"/>
          <w:lang w:val="lt-LT"/>
        </w:rPr>
      </w:pPr>
    </w:p>
    <w:p w:rsidR="004819BB" w:rsidRDefault="004819BB" w:rsidP="001F5325">
      <w:pPr>
        <w:autoSpaceDE w:val="0"/>
        <w:autoSpaceDN w:val="0"/>
        <w:adjustRightInd w:val="0"/>
        <w:jc w:val="center"/>
        <w:rPr>
          <w:b/>
          <w:sz w:val="22"/>
          <w:szCs w:val="22"/>
          <w:lang w:val="lt-LT"/>
        </w:rPr>
      </w:pPr>
    </w:p>
    <w:p w:rsidR="004819BB" w:rsidRDefault="004819BB" w:rsidP="001F5325">
      <w:pPr>
        <w:autoSpaceDE w:val="0"/>
        <w:autoSpaceDN w:val="0"/>
        <w:adjustRightInd w:val="0"/>
        <w:jc w:val="center"/>
        <w:rPr>
          <w:b/>
          <w:sz w:val="22"/>
          <w:szCs w:val="22"/>
          <w:lang w:val="lt-LT"/>
        </w:rPr>
      </w:pPr>
    </w:p>
    <w:p w:rsidR="004819BB" w:rsidRDefault="004819BB" w:rsidP="001F5325">
      <w:pPr>
        <w:autoSpaceDE w:val="0"/>
        <w:autoSpaceDN w:val="0"/>
        <w:adjustRightInd w:val="0"/>
        <w:jc w:val="center"/>
        <w:rPr>
          <w:b/>
          <w:sz w:val="22"/>
          <w:szCs w:val="22"/>
          <w:lang w:val="lt-LT"/>
        </w:rPr>
      </w:pPr>
    </w:p>
    <w:p w:rsidR="004819BB" w:rsidRDefault="004819BB" w:rsidP="001F5325">
      <w:pPr>
        <w:autoSpaceDE w:val="0"/>
        <w:autoSpaceDN w:val="0"/>
        <w:adjustRightInd w:val="0"/>
        <w:jc w:val="center"/>
        <w:rPr>
          <w:b/>
          <w:sz w:val="22"/>
          <w:szCs w:val="22"/>
          <w:lang w:val="lt-LT"/>
        </w:rPr>
      </w:pPr>
    </w:p>
    <w:p w:rsidR="004819BB" w:rsidRDefault="004819BB" w:rsidP="001F5325">
      <w:pPr>
        <w:autoSpaceDE w:val="0"/>
        <w:autoSpaceDN w:val="0"/>
        <w:adjustRightInd w:val="0"/>
        <w:jc w:val="center"/>
        <w:rPr>
          <w:b/>
          <w:sz w:val="22"/>
          <w:szCs w:val="22"/>
          <w:lang w:val="lt-LT"/>
        </w:rPr>
      </w:pPr>
    </w:p>
    <w:p w:rsidR="004819BB" w:rsidRDefault="004819BB" w:rsidP="001F5325">
      <w:pPr>
        <w:autoSpaceDE w:val="0"/>
        <w:autoSpaceDN w:val="0"/>
        <w:adjustRightInd w:val="0"/>
        <w:jc w:val="center"/>
        <w:rPr>
          <w:b/>
          <w:sz w:val="22"/>
          <w:szCs w:val="22"/>
          <w:lang w:val="lt-LT"/>
        </w:rPr>
      </w:pPr>
    </w:p>
    <w:p w:rsidR="004819BB" w:rsidRDefault="004819BB" w:rsidP="001F5325">
      <w:pPr>
        <w:autoSpaceDE w:val="0"/>
        <w:autoSpaceDN w:val="0"/>
        <w:adjustRightInd w:val="0"/>
        <w:jc w:val="center"/>
        <w:rPr>
          <w:b/>
          <w:sz w:val="22"/>
          <w:szCs w:val="22"/>
          <w:lang w:val="lt-LT"/>
        </w:rPr>
      </w:pPr>
    </w:p>
    <w:p w:rsidR="004819BB" w:rsidRDefault="004819BB" w:rsidP="001F5325">
      <w:pPr>
        <w:autoSpaceDE w:val="0"/>
        <w:autoSpaceDN w:val="0"/>
        <w:adjustRightInd w:val="0"/>
        <w:jc w:val="center"/>
        <w:rPr>
          <w:b/>
          <w:sz w:val="22"/>
          <w:szCs w:val="22"/>
          <w:lang w:val="lt-LT"/>
        </w:rPr>
      </w:pPr>
    </w:p>
    <w:p w:rsidR="001F5325" w:rsidRPr="00C326B9" w:rsidRDefault="001F5325" w:rsidP="001F5325">
      <w:pPr>
        <w:autoSpaceDE w:val="0"/>
        <w:autoSpaceDN w:val="0"/>
        <w:adjustRightInd w:val="0"/>
        <w:jc w:val="center"/>
        <w:rPr>
          <w:b/>
          <w:sz w:val="22"/>
          <w:szCs w:val="22"/>
          <w:lang w:val="lt-LT"/>
        </w:rPr>
      </w:pPr>
      <w:r w:rsidRPr="00C326B9">
        <w:rPr>
          <w:b/>
          <w:sz w:val="22"/>
          <w:szCs w:val="22"/>
          <w:lang w:val="lt-LT"/>
        </w:rPr>
        <w:t>II PRIEDAS</w:t>
      </w:r>
    </w:p>
    <w:p w:rsidR="001F5325" w:rsidRPr="00C326B9" w:rsidRDefault="001F5325" w:rsidP="001F5325">
      <w:pPr>
        <w:autoSpaceDE w:val="0"/>
        <w:autoSpaceDN w:val="0"/>
        <w:adjustRightInd w:val="0"/>
        <w:jc w:val="center"/>
        <w:rPr>
          <w:b/>
          <w:sz w:val="22"/>
          <w:szCs w:val="22"/>
          <w:lang w:val="lt-LT"/>
        </w:rPr>
      </w:pPr>
    </w:p>
    <w:p w:rsidR="001F5325" w:rsidRPr="00C326B9" w:rsidRDefault="001F5325" w:rsidP="001F5325">
      <w:pPr>
        <w:autoSpaceDE w:val="0"/>
        <w:autoSpaceDN w:val="0"/>
        <w:adjustRightInd w:val="0"/>
        <w:rPr>
          <w:b/>
          <w:sz w:val="22"/>
          <w:szCs w:val="22"/>
          <w:lang w:val="lt-LT"/>
        </w:rPr>
      </w:pPr>
      <w:r w:rsidRPr="00C326B9">
        <w:rPr>
          <w:b/>
          <w:sz w:val="22"/>
          <w:szCs w:val="22"/>
          <w:lang w:val="lt-LT"/>
        </w:rPr>
        <w:t xml:space="preserve">A. </w:t>
      </w:r>
      <w:r w:rsidRPr="00C326B9">
        <w:rPr>
          <w:b/>
          <w:sz w:val="22"/>
          <w:szCs w:val="22"/>
          <w:lang w:val="lt-LT"/>
        </w:rPr>
        <w:tab/>
        <w:t>GAMYBOS LICENCIJOS TURĖTOJAS, ATSAKINGAS UŽ SERIJOS IŠLEIDIMĄ</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sz w:val="22"/>
          <w:szCs w:val="22"/>
          <w:lang w:val="lt-LT"/>
        </w:rPr>
      </w:pPr>
      <w:r w:rsidRPr="00C326B9">
        <w:rPr>
          <w:b/>
          <w:sz w:val="22"/>
          <w:szCs w:val="22"/>
          <w:lang w:val="lt-LT"/>
        </w:rPr>
        <w:t xml:space="preserve">B. </w:t>
      </w:r>
      <w:r w:rsidRPr="00C326B9">
        <w:rPr>
          <w:b/>
          <w:sz w:val="22"/>
          <w:szCs w:val="22"/>
          <w:lang w:val="lt-LT"/>
        </w:rPr>
        <w:tab/>
        <w:t>REGISTRACIJOS SĄLYGOS</w:t>
      </w:r>
    </w:p>
    <w:p w:rsidR="001F5325" w:rsidRPr="00FD1A47" w:rsidRDefault="001F5325" w:rsidP="001F5325">
      <w:pPr>
        <w:autoSpaceDE w:val="0"/>
        <w:autoSpaceDN w:val="0"/>
        <w:adjustRightInd w:val="0"/>
        <w:rPr>
          <w:b/>
          <w:sz w:val="22"/>
          <w:szCs w:val="22"/>
          <w:lang w:val="lt-LT"/>
        </w:rPr>
      </w:pPr>
      <w:r w:rsidRPr="00C326B9">
        <w:rPr>
          <w:sz w:val="22"/>
          <w:szCs w:val="22"/>
          <w:lang w:val="lt-LT"/>
        </w:rPr>
        <w:br w:type="page"/>
      </w:r>
      <w:r w:rsidRPr="00C326B9">
        <w:rPr>
          <w:b/>
          <w:sz w:val="22"/>
          <w:szCs w:val="22"/>
          <w:lang w:val="lt-LT"/>
        </w:rPr>
        <w:lastRenderedPageBreak/>
        <w:t xml:space="preserve">A. </w:t>
      </w:r>
      <w:r w:rsidRPr="00FD1A47">
        <w:rPr>
          <w:b/>
          <w:sz w:val="22"/>
          <w:szCs w:val="22"/>
          <w:lang w:val="lt-LT"/>
        </w:rPr>
        <w:tab/>
        <w:t>GAMYBOS LICENCIJOS TURĖTOJAS, ATSAKINGAS UŽ SERIJOS IŠLEIDIMĄ</w:t>
      </w:r>
    </w:p>
    <w:p w:rsidR="001F5325" w:rsidRPr="0058353B" w:rsidRDefault="001F5325" w:rsidP="001F5325">
      <w:pPr>
        <w:rPr>
          <w:b/>
          <w:sz w:val="22"/>
          <w:szCs w:val="22"/>
          <w:lang w:val="lt-LT"/>
        </w:rPr>
      </w:pPr>
      <w:r w:rsidRPr="0058353B">
        <w:rPr>
          <w:b/>
          <w:sz w:val="22"/>
          <w:szCs w:val="22"/>
          <w:lang w:val="lt-LT"/>
        </w:rPr>
        <w:t xml:space="preserve"> </w:t>
      </w:r>
      <w:r w:rsidRPr="0058353B">
        <w:rPr>
          <w:b/>
          <w:sz w:val="22"/>
          <w:szCs w:val="22"/>
          <w:lang w:val="lt-LT"/>
        </w:rPr>
        <w:tab/>
      </w:r>
    </w:p>
    <w:p w:rsidR="001F5325" w:rsidRPr="0058353B" w:rsidRDefault="001F5325" w:rsidP="001F5325">
      <w:pPr>
        <w:rPr>
          <w:sz w:val="22"/>
          <w:szCs w:val="22"/>
          <w:u w:val="single"/>
          <w:lang w:val="lt-LT"/>
        </w:rPr>
      </w:pPr>
      <w:r w:rsidRPr="0058353B">
        <w:rPr>
          <w:sz w:val="22"/>
          <w:szCs w:val="22"/>
          <w:u w:val="single"/>
          <w:lang w:val="lt-LT"/>
        </w:rPr>
        <w:t xml:space="preserve">Gamintojo (ų) atsakingo (ų) už serijų išleidimą, pavadinimas (-ai) ir adresas </w:t>
      </w:r>
    </w:p>
    <w:p w:rsidR="001F5325" w:rsidRPr="0058353B" w:rsidRDefault="001F5325" w:rsidP="001F5325">
      <w:pPr>
        <w:rPr>
          <w:sz w:val="22"/>
          <w:szCs w:val="22"/>
          <w:lang w:val="lt-LT"/>
        </w:rPr>
      </w:pPr>
    </w:p>
    <w:p w:rsidR="001F5325" w:rsidRPr="0058353B" w:rsidRDefault="001F5325" w:rsidP="001F5325">
      <w:pPr>
        <w:rPr>
          <w:sz w:val="22"/>
          <w:szCs w:val="22"/>
          <w:lang w:val="lt-LT" w:eastAsia="lt-LT"/>
        </w:rPr>
      </w:pPr>
      <w:r w:rsidRPr="0058353B">
        <w:rPr>
          <w:sz w:val="22"/>
          <w:szCs w:val="22"/>
          <w:lang w:val="lt-LT" w:eastAsia="lt-LT"/>
        </w:rPr>
        <w:t xml:space="preserve">Adamed Sp. z o. o. </w:t>
      </w:r>
    </w:p>
    <w:p w:rsidR="001F5325" w:rsidRPr="0058353B" w:rsidRDefault="001F5325" w:rsidP="001F5325">
      <w:pPr>
        <w:rPr>
          <w:sz w:val="22"/>
          <w:szCs w:val="22"/>
          <w:lang w:val="lt-LT" w:eastAsia="lt-LT"/>
        </w:rPr>
      </w:pPr>
      <w:r w:rsidRPr="0058353B">
        <w:rPr>
          <w:sz w:val="22"/>
          <w:szCs w:val="22"/>
          <w:lang w:val="lt-LT" w:eastAsia="lt-LT"/>
        </w:rPr>
        <w:t xml:space="preserve">Pieńków 149 </w:t>
      </w:r>
    </w:p>
    <w:p w:rsidR="001F5325" w:rsidRPr="0058353B" w:rsidRDefault="001F5325" w:rsidP="001F5325">
      <w:pPr>
        <w:rPr>
          <w:sz w:val="22"/>
          <w:szCs w:val="22"/>
          <w:lang w:val="lt-LT" w:eastAsia="lt-LT"/>
        </w:rPr>
      </w:pPr>
      <w:r w:rsidRPr="0058353B">
        <w:rPr>
          <w:sz w:val="22"/>
          <w:szCs w:val="22"/>
          <w:lang w:val="lt-LT" w:eastAsia="lt-LT"/>
        </w:rPr>
        <w:t xml:space="preserve">05-152 Czosnów </w:t>
      </w:r>
    </w:p>
    <w:p w:rsidR="001F5325" w:rsidRPr="0058353B" w:rsidRDefault="001F5325" w:rsidP="001F5325">
      <w:pPr>
        <w:rPr>
          <w:sz w:val="22"/>
          <w:szCs w:val="22"/>
          <w:lang w:val="lt-LT" w:eastAsia="lt-LT"/>
        </w:rPr>
      </w:pPr>
      <w:r w:rsidRPr="0058353B">
        <w:rPr>
          <w:sz w:val="22"/>
          <w:szCs w:val="22"/>
          <w:lang w:val="lt-LT" w:eastAsia="lt-LT"/>
        </w:rPr>
        <w:t>Lenkija</w:t>
      </w:r>
    </w:p>
    <w:p w:rsidR="001F5325" w:rsidRPr="0058353B" w:rsidRDefault="001F5325" w:rsidP="001F5325">
      <w:pPr>
        <w:autoSpaceDE w:val="0"/>
        <w:autoSpaceDN w:val="0"/>
        <w:adjustRightInd w:val="0"/>
        <w:rPr>
          <w:sz w:val="22"/>
          <w:szCs w:val="22"/>
          <w:lang w:val="lt-LT"/>
        </w:rPr>
      </w:pPr>
    </w:p>
    <w:p w:rsidR="001F5325" w:rsidRPr="00537E35" w:rsidRDefault="001F5325" w:rsidP="001F5325">
      <w:pPr>
        <w:pStyle w:val="Default"/>
        <w:rPr>
          <w:rFonts w:ascii="Times New Roman" w:hAnsi="Times New Roman" w:cs="Times New Roman"/>
          <w:sz w:val="22"/>
          <w:szCs w:val="22"/>
          <w:lang w:val="lt-LT"/>
        </w:rPr>
      </w:pPr>
      <w:r w:rsidRPr="00537E35">
        <w:rPr>
          <w:rFonts w:ascii="Times New Roman" w:hAnsi="Times New Roman" w:cs="Times New Roman"/>
          <w:sz w:val="22"/>
          <w:szCs w:val="22"/>
          <w:lang w:val="lt-LT"/>
        </w:rPr>
        <w:t>Pabianickie Zakłady Farmaceutyczne Polfa S.A.</w:t>
      </w:r>
    </w:p>
    <w:p w:rsidR="001F5325" w:rsidRPr="00537E35" w:rsidRDefault="001F5325" w:rsidP="001F5325">
      <w:pPr>
        <w:pStyle w:val="Default"/>
        <w:rPr>
          <w:rFonts w:ascii="Times New Roman" w:hAnsi="Times New Roman" w:cs="Times New Roman"/>
          <w:sz w:val="22"/>
          <w:szCs w:val="22"/>
          <w:lang w:val="lt-LT"/>
        </w:rPr>
      </w:pPr>
      <w:r w:rsidRPr="00537E35">
        <w:rPr>
          <w:rFonts w:ascii="Times New Roman" w:hAnsi="Times New Roman" w:cs="Times New Roman"/>
          <w:sz w:val="22"/>
          <w:szCs w:val="22"/>
          <w:lang w:val="lt-LT"/>
        </w:rPr>
        <w:t xml:space="preserve">ul. 5 Marszałka J. Piłsudskiego </w:t>
      </w:r>
    </w:p>
    <w:p w:rsidR="001F5325" w:rsidRPr="00537E35" w:rsidRDefault="001F5325" w:rsidP="001F5325">
      <w:pPr>
        <w:pStyle w:val="Default"/>
        <w:rPr>
          <w:rFonts w:ascii="Times New Roman" w:hAnsi="Times New Roman" w:cs="Times New Roman"/>
          <w:sz w:val="22"/>
          <w:szCs w:val="22"/>
          <w:lang w:val="lt-LT"/>
        </w:rPr>
      </w:pPr>
      <w:r w:rsidRPr="00537E35">
        <w:rPr>
          <w:rFonts w:ascii="Times New Roman" w:hAnsi="Times New Roman" w:cs="Times New Roman"/>
          <w:sz w:val="22"/>
          <w:szCs w:val="22"/>
          <w:lang w:val="lt-LT"/>
        </w:rPr>
        <w:t xml:space="preserve">95-200 Pabianice </w:t>
      </w:r>
    </w:p>
    <w:p w:rsidR="001F5325" w:rsidRPr="00537E35" w:rsidRDefault="001F5325" w:rsidP="001F5325">
      <w:pPr>
        <w:pStyle w:val="Default"/>
        <w:rPr>
          <w:rFonts w:ascii="Times New Roman" w:hAnsi="Times New Roman" w:cs="Times New Roman"/>
          <w:sz w:val="22"/>
          <w:szCs w:val="22"/>
          <w:lang w:val="lt-LT"/>
        </w:rPr>
      </w:pPr>
      <w:r w:rsidRPr="00537E35">
        <w:rPr>
          <w:rFonts w:ascii="Times New Roman" w:hAnsi="Times New Roman" w:cs="Times New Roman"/>
          <w:sz w:val="22"/>
          <w:szCs w:val="22"/>
          <w:lang w:val="lt-LT"/>
        </w:rPr>
        <w:t>Lenkija</w:t>
      </w:r>
    </w:p>
    <w:p w:rsidR="001F5325" w:rsidRPr="00FD1A47" w:rsidRDefault="001F5325" w:rsidP="001F5325">
      <w:pPr>
        <w:autoSpaceDE w:val="0"/>
        <w:autoSpaceDN w:val="0"/>
        <w:adjustRightInd w:val="0"/>
        <w:rPr>
          <w:sz w:val="22"/>
          <w:szCs w:val="22"/>
          <w:lang w:val="lt-LT"/>
        </w:rPr>
      </w:pPr>
    </w:p>
    <w:p w:rsidR="001F5325" w:rsidRPr="0058353B" w:rsidRDefault="001F5325" w:rsidP="001F5325">
      <w:pPr>
        <w:rPr>
          <w:b/>
          <w:sz w:val="22"/>
          <w:szCs w:val="22"/>
          <w:lang w:val="lt-LT"/>
        </w:rPr>
      </w:pPr>
    </w:p>
    <w:p w:rsidR="001F5325" w:rsidRPr="0058353B" w:rsidRDefault="001F5325" w:rsidP="001F5325">
      <w:pPr>
        <w:rPr>
          <w:b/>
          <w:sz w:val="22"/>
          <w:szCs w:val="22"/>
          <w:lang w:val="lt-LT"/>
        </w:rPr>
      </w:pPr>
      <w:r w:rsidRPr="0058353B">
        <w:rPr>
          <w:b/>
          <w:sz w:val="22"/>
          <w:szCs w:val="22"/>
          <w:lang w:val="lt-LT"/>
        </w:rPr>
        <w:t>B.</w:t>
      </w:r>
      <w:r w:rsidRPr="0058353B">
        <w:rPr>
          <w:b/>
          <w:sz w:val="22"/>
          <w:szCs w:val="22"/>
          <w:lang w:val="lt-LT"/>
        </w:rPr>
        <w:tab/>
      </w:r>
      <w:r w:rsidR="0058353B">
        <w:rPr>
          <w:b/>
          <w:sz w:val="22"/>
          <w:szCs w:val="22"/>
          <w:lang w:val="lt-LT"/>
        </w:rPr>
        <w:t>REGISTRACIJOS SĄLYGOS</w:t>
      </w:r>
    </w:p>
    <w:p w:rsidR="001F5325" w:rsidRPr="0058353B" w:rsidRDefault="001F5325" w:rsidP="001F5325">
      <w:pPr>
        <w:rPr>
          <w:b/>
          <w:sz w:val="22"/>
          <w:szCs w:val="22"/>
          <w:lang w:val="lt-LT"/>
        </w:rPr>
      </w:pPr>
    </w:p>
    <w:p w:rsidR="001F5325" w:rsidRPr="00537E35" w:rsidRDefault="001F5325" w:rsidP="001F5325">
      <w:pPr>
        <w:ind w:left="360"/>
        <w:rPr>
          <w:sz w:val="22"/>
          <w:szCs w:val="22"/>
          <w:lang w:val="lt-LT"/>
        </w:rPr>
      </w:pPr>
      <w:r w:rsidRPr="00537E35">
        <w:rPr>
          <w:sz w:val="22"/>
          <w:szCs w:val="22"/>
          <w:lang w:val="lt-LT"/>
        </w:rPr>
        <w:t>Receptinis vaistinis preparatas</w:t>
      </w:r>
    </w:p>
    <w:p w:rsidR="001F5325" w:rsidRPr="0058353B" w:rsidRDefault="001F5325" w:rsidP="001F5325">
      <w:pPr>
        <w:rPr>
          <w:b/>
          <w:sz w:val="22"/>
          <w:szCs w:val="22"/>
          <w:lang w:val="lt-LT"/>
        </w:rPr>
      </w:pPr>
    </w:p>
    <w:p w:rsidR="001F5325" w:rsidRPr="0058353B" w:rsidRDefault="001F5325" w:rsidP="001F5325">
      <w:pPr>
        <w:rPr>
          <w:b/>
          <w:sz w:val="22"/>
          <w:szCs w:val="22"/>
          <w:lang w:val="lt-LT"/>
        </w:rPr>
      </w:pPr>
    </w:p>
    <w:p w:rsidR="001F5325" w:rsidRPr="0058353B" w:rsidRDefault="001F5325" w:rsidP="001F5325">
      <w:pPr>
        <w:rPr>
          <w:b/>
          <w:sz w:val="22"/>
          <w:szCs w:val="22"/>
          <w:lang w:val="lt-LT"/>
        </w:rPr>
      </w:pPr>
    </w:p>
    <w:p w:rsidR="001F5325" w:rsidRPr="0058353B" w:rsidRDefault="001F5325" w:rsidP="001F5325">
      <w:pPr>
        <w:rPr>
          <w:b/>
          <w:sz w:val="22"/>
          <w:szCs w:val="22"/>
          <w:lang w:val="lt-LT"/>
        </w:rPr>
      </w:pPr>
    </w:p>
    <w:p w:rsidR="001F5325" w:rsidRPr="0058353B" w:rsidRDefault="001F5325" w:rsidP="001F5325">
      <w:pPr>
        <w:rPr>
          <w:b/>
          <w:sz w:val="22"/>
          <w:szCs w:val="22"/>
          <w:lang w:val="lt-LT"/>
        </w:rPr>
      </w:pPr>
    </w:p>
    <w:p w:rsidR="001F5325" w:rsidRPr="0058353B" w:rsidRDefault="001F5325" w:rsidP="001F5325">
      <w:pPr>
        <w:rPr>
          <w:b/>
          <w:sz w:val="22"/>
          <w:szCs w:val="22"/>
          <w:lang w:val="lt-LT"/>
        </w:rPr>
      </w:pPr>
    </w:p>
    <w:p w:rsidR="001F5325" w:rsidRPr="0058353B" w:rsidRDefault="001F5325" w:rsidP="001F5325">
      <w:pPr>
        <w:rPr>
          <w:b/>
          <w:sz w:val="22"/>
          <w:szCs w:val="22"/>
          <w:lang w:val="lt-LT"/>
        </w:rPr>
      </w:pPr>
    </w:p>
    <w:p w:rsidR="001F5325" w:rsidRPr="0058353B" w:rsidRDefault="001F5325" w:rsidP="001F5325">
      <w:pPr>
        <w:rPr>
          <w:b/>
          <w:sz w:val="22"/>
          <w:szCs w:val="22"/>
          <w:lang w:val="lt-LT"/>
        </w:rPr>
      </w:pPr>
    </w:p>
    <w:p w:rsidR="001F5325" w:rsidRPr="0058353B" w:rsidRDefault="001F5325" w:rsidP="001F5325">
      <w:pPr>
        <w:rPr>
          <w:b/>
          <w:sz w:val="22"/>
          <w:szCs w:val="22"/>
          <w:lang w:val="lt-LT"/>
        </w:rPr>
      </w:pPr>
    </w:p>
    <w:p w:rsidR="001F5325" w:rsidRPr="0058353B" w:rsidRDefault="001F5325" w:rsidP="001F5325">
      <w:pPr>
        <w:rPr>
          <w:b/>
          <w:sz w:val="22"/>
          <w:szCs w:val="22"/>
          <w:lang w:val="lt-LT"/>
        </w:rPr>
      </w:pPr>
    </w:p>
    <w:p w:rsidR="001F5325" w:rsidRPr="00C326B9" w:rsidRDefault="001F5325" w:rsidP="001F5325">
      <w:pPr>
        <w:rPr>
          <w:b/>
          <w:sz w:val="22"/>
          <w:szCs w:val="22"/>
          <w:lang w:val="lt-LT"/>
        </w:rPr>
      </w:pPr>
      <w:r w:rsidRPr="0058353B">
        <w:rPr>
          <w:b/>
          <w:sz w:val="22"/>
          <w:szCs w:val="22"/>
          <w:lang w:val="lt-LT"/>
        </w:rPr>
        <w:br w:type="page"/>
      </w: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rPr>
          <w:b/>
          <w:sz w:val="22"/>
          <w:szCs w:val="22"/>
          <w:lang w:val="lt-LT"/>
        </w:rPr>
      </w:pPr>
    </w:p>
    <w:p w:rsidR="001F5325" w:rsidRPr="00C326B9" w:rsidRDefault="001F5325" w:rsidP="001F5325">
      <w:pPr>
        <w:jc w:val="center"/>
        <w:rPr>
          <w:b/>
          <w:sz w:val="22"/>
          <w:szCs w:val="22"/>
          <w:lang w:val="lt-LT"/>
        </w:rPr>
      </w:pPr>
      <w:r w:rsidRPr="00C326B9">
        <w:rPr>
          <w:b/>
          <w:sz w:val="22"/>
          <w:szCs w:val="22"/>
          <w:lang w:val="lt-LT"/>
        </w:rPr>
        <w:t>III PRIEDAS</w:t>
      </w:r>
    </w:p>
    <w:p w:rsidR="001F5325" w:rsidRPr="00C326B9" w:rsidRDefault="001F5325" w:rsidP="001F5325">
      <w:pPr>
        <w:rPr>
          <w:b/>
          <w:sz w:val="22"/>
          <w:szCs w:val="22"/>
          <w:lang w:val="lt-LT"/>
        </w:rPr>
      </w:pPr>
    </w:p>
    <w:p w:rsidR="001F5325" w:rsidRPr="00C326B9" w:rsidRDefault="001F5325" w:rsidP="001F5325">
      <w:pPr>
        <w:tabs>
          <w:tab w:val="center" w:pos="4703"/>
          <w:tab w:val="left" w:pos="7665"/>
        </w:tabs>
        <w:rPr>
          <w:b/>
          <w:sz w:val="22"/>
          <w:szCs w:val="22"/>
          <w:lang w:val="lt-LT"/>
        </w:rPr>
      </w:pPr>
      <w:r w:rsidRPr="00C326B9">
        <w:rPr>
          <w:b/>
          <w:sz w:val="22"/>
          <w:szCs w:val="22"/>
          <w:lang w:val="lt-LT"/>
        </w:rPr>
        <w:tab/>
        <w:t>ŽENKLINIMAS IR PAKUOTĖS LAPELIS</w:t>
      </w:r>
    </w:p>
    <w:p w:rsidR="001F5325" w:rsidRPr="00C326B9" w:rsidRDefault="001F5325" w:rsidP="001F5325">
      <w:pPr>
        <w:autoSpaceDE w:val="0"/>
        <w:autoSpaceDN w:val="0"/>
        <w:adjustRightInd w:val="0"/>
        <w:rPr>
          <w:b/>
          <w:sz w:val="22"/>
          <w:szCs w:val="22"/>
          <w:lang w:val="lt-LT"/>
        </w:rPr>
      </w:pPr>
      <w:r w:rsidRPr="00C326B9">
        <w:rPr>
          <w:b/>
          <w:sz w:val="22"/>
          <w:szCs w:val="22"/>
          <w:lang w:val="lt-LT"/>
        </w:rPr>
        <w:br w:type="page"/>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numPr>
          <w:ilvl w:val="0"/>
          <w:numId w:val="5"/>
        </w:numPr>
        <w:autoSpaceDE w:val="0"/>
        <w:autoSpaceDN w:val="0"/>
        <w:adjustRightInd w:val="0"/>
        <w:jc w:val="center"/>
        <w:rPr>
          <w:b/>
          <w:sz w:val="22"/>
          <w:szCs w:val="22"/>
          <w:lang w:val="lt-LT"/>
        </w:rPr>
      </w:pPr>
      <w:r w:rsidRPr="00C326B9">
        <w:rPr>
          <w:b/>
          <w:sz w:val="22"/>
          <w:szCs w:val="22"/>
          <w:lang w:val="lt-LT"/>
        </w:rPr>
        <w:t>ŽENKLINIMAS</w:t>
      </w:r>
    </w:p>
    <w:p w:rsidR="001F5325" w:rsidRPr="00C326B9" w:rsidRDefault="001F5325" w:rsidP="001F5325">
      <w:pPr>
        <w:autoSpaceDE w:val="0"/>
        <w:autoSpaceDN w:val="0"/>
        <w:adjustRightInd w:val="0"/>
        <w:rPr>
          <w:b/>
          <w:sz w:val="22"/>
          <w:szCs w:val="22"/>
          <w:lang w:val="lt-LT"/>
        </w:rPr>
      </w:pPr>
      <w:r w:rsidRPr="00C326B9">
        <w:rPr>
          <w:b/>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INFORMACIJA ANT IŠORINĖS PAKUOTĖS</w:t>
            </w:r>
          </w:p>
          <w:p w:rsidR="001F5325" w:rsidRPr="00602BA1" w:rsidRDefault="001F5325" w:rsidP="00602BA1">
            <w:pPr>
              <w:autoSpaceDE w:val="0"/>
              <w:autoSpaceDN w:val="0"/>
              <w:adjustRightInd w:val="0"/>
              <w:rPr>
                <w:b/>
                <w:sz w:val="22"/>
                <w:szCs w:val="22"/>
                <w:lang w:val="lt-LT"/>
              </w:rPr>
            </w:pPr>
          </w:p>
          <w:p w:rsidR="001F5325" w:rsidRPr="00602BA1" w:rsidRDefault="001F5325" w:rsidP="00602BA1">
            <w:pPr>
              <w:autoSpaceDE w:val="0"/>
              <w:autoSpaceDN w:val="0"/>
              <w:adjustRightInd w:val="0"/>
              <w:rPr>
                <w:b/>
                <w:sz w:val="22"/>
                <w:szCs w:val="22"/>
                <w:lang w:val="lt-LT"/>
              </w:rPr>
            </w:pPr>
            <w:r w:rsidRPr="00602BA1">
              <w:rPr>
                <w:b/>
                <w:sz w:val="22"/>
                <w:szCs w:val="22"/>
                <w:lang w:val="lt-LT"/>
              </w:rPr>
              <w:t>KARTONO DĖŽUTĖ</w:t>
            </w:r>
          </w:p>
        </w:tc>
      </w:tr>
    </w:tbl>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1. VAISTINIO PREPARATO PAVADINIMAS</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es-ES"/>
        </w:rPr>
        <w:t>ZOLAFREN</w:t>
      </w:r>
      <w:r w:rsidRPr="00C326B9">
        <w:rPr>
          <w:sz w:val="22"/>
          <w:szCs w:val="22"/>
          <w:lang w:val="lt-LT"/>
        </w:rPr>
        <w:t xml:space="preserve"> 5 mg tabletės</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Olanzapinas</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2. VEIKLIOJI MEDŽIAGA IR JOS KIEKIS</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bidi="th-TH"/>
        </w:rPr>
      </w:pPr>
      <w:r w:rsidRPr="00C326B9">
        <w:rPr>
          <w:sz w:val="22"/>
          <w:szCs w:val="22"/>
          <w:cs/>
          <w:lang w:val="lt-LT" w:bidi="th-TH"/>
        </w:rPr>
        <w:t>Vienoje tabletėje yra 5mg olanzapino.</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3. PAGALBINIŲ MEDŽIAGŲ SĄRAŠAS</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Sudėtyje yra laktozės monohidrato.</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4. FARMACINĖ FORMA IR KIEKIS PAKUOTĖJE</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28 tabletės</w:t>
      </w:r>
    </w:p>
    <w:p w:rsidR="001F5325" w:rsidRPr="00C326B9" w:rsidRDefault="001F5325" w:rsidP="001F5325">
      <w:pPr>
        <w:autoSpaceDE w:val="0"/>
        <w:autoSpaceDN w:val="0"/>
        <w:adjustRightInd w:val="0"/>
        <w:rPr>
          <w:sz w:val="22"/>
          <w:szCs w:val="22"/>
          <w:lang w:val="lt-LT"/>
        </w:rPr>
      </w:pPr>
      <w:r w:rsidRPr="001F5325">
        <w:rPr>
          <w:sz w:val="22"/>
          <w:szCs w:val="22"/>
          <w:highlight w:val="lightGray"/>
          <w:lang w:val="lt-LT"/>
        </w:rPr>
        <w:t>56 tabletės</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5. VARTOJIMO METODAS IR BŪDAS</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Prieš vartojimą perskaityti pakuotės lapelį.</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Vartoti per burną.</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58353B">
            <w:pPr>
              <w:autoSpaceDE w:val="0"/>
              <w:autoSpaceDN w:val="0"/>
              <w:adjustRightInd w:val="0"/>
              <w:rPr>
                <w:b/>
                <w:sz w:val="22"/>
                <w:szCs w:val="22"/>
                <w:lang w:val="lt-LT"/>
              </w:rPr>
            </w:pPr>
            <w:r w:rsidRPr="00602BA1">
              <w:rPr>
                <w:b/>
                <w:sz w:val="22"/>
                <w:szCs w:val="22"/>
                <w:lang w:val="lt-LT"/>
              </w:rPr>
              <w:t xml:space="preserve">6. SPECIALUS ĮSPĖJIMAS, JOG VAISTINĮ PREPARATĄ BŪTINA LAIKYTI VAIKAMS </w:t>
            </w:r>
            <w:r w:rsidR="0058353B" w:rsidRPr="00602BA1">
              <w:rPr>
                <w:b/>
                <w:sz w:val="22"/>
                <w:szCs w:val="22"/>
                <w:lang w:val="lt-LT"/>
              </w:rPr>
              <w:t xml:space="preserve">NEPASTEBIMOJE </w:t>
            </w:r>
            <w:r w:rsidR="0058353B">
              <w:rPr>
                <w:b/>
                <w:sz w:val="22"/>
                <w:szCs w:val="22"/>
                <w:lang w:val="lt-LT"/>
              </w:rPr>
              <w:t xml:space="preserve">IR </w:t>
            </w:r>
            <w:r w:rsidRPr="00602BA1">
              <w:rPr>
                <w:b/>
                <w:sz w:val="22"/>
                <w:szCs w:val="22"/>
                <w:lang w:val="lt-LT"/>
              </w:rPr>
              <w:t>NEPASIEKIAMOJE VIETOJE</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Laikyti vaikams </w:t>
      </w:r>
      <w:r w:rsidR="0058353B" w:rsidRPr="00C326B9">
        <w:rPr>
          <w:sz w:val="22"/>
          <w:szCs w:val="22"/>
          <w:lang w:val="lt-LT"/>
        </w:rPr>
        <w:t xml:space="preserve">nepastebimoje </w:t>
      </w:r>
      <w:r w:rsidR="0058353B">
        <w:rPr>
          <w:sz w:val="22"/>
          <w:szCs w:val="22"/>
          <w:lang w:val="lt-LT"/>
        </w:rPr>
        <w:t xml:space="preserve">ir </w:t>
      </w:r>
      <w:r w:rsidRPr="00C326B9">
        <w:rPr>
          <w:sz w:val="22"/>
          <w:szCs w:val="22"/>
          <w:lang w:val="lt-LT"/>
        </w:rPr>
        <w:t>nepasiekiamoje vietoje.</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7. KITAS SPECIALUS ĮSPĖJIMAS (JEI REIKIA)</w:t>
            </w:r>
          </w:p>
        </w:tc>
      </w:tr>
    </w:tbl>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8. TINKAMUMO LAIKAS</w:t>
            </w:r>
          </w:p>
        </w:tc>
      </w:tr>
    </w:tbl>
    <w:p w:rsidR="001F5325" w:rsidRPr="00C326B9" w:rsidRDefault="001F5325" w:rsidP="001F5325">
      <w:pPr>
        <w:autoSpaceDE w:val="0"/>
        <w:autoSpaceDN w:val="0"/>
        <w:adjustRightInd w:val="0"/>
        <w:rPr>
          <w:sz w:val="22"/>
          <w:szCs w:val="22"/>
          <w:lang w:val="lt-LT"/>
        </w:rPr>
      </w:pPr>
    </w:p>
    <w:p w:rsidR="0058353B" w:rsidRDefault="001F5325" w:rsidP="0058353B">
      <w:pPr>
        <w:autoSpaceDE w:val="0"/>
        <w:autoSpaceDN w:val="0"/>
        <w:adjustRightInd w:val="0"/>
        <w:rPr>
          <w:sz w:val="22"/>
          <w:szCs w:val="22"/>
          <w:lang w:val="lt-LT" w:eastAsia="pl-PL"/>
        </w:rPr>
      </w:pPr>
      <w:r w:rsidRPr="00C326B9">
        <w:rPr>
          <w:sz w:val="22"/>
          <w:szCs w:val="22"/>
          <w:lang w:val="lt-LT"/>
        </w:rPr>
        <w:t>Tinka iki</w:t>
      </w:r>
      <w:r w:rsidR="00100A00">
        <w:rPr>
          <w:sz w:val="22"/>
          <w:szCs w:val="22"/>
          <w:lang w:val="lt-LT"/>
        </w:rPr>
        <w:t xml:space="preserve"> </w:t>
      </w:r>
      <w:r w:rsidR="00537E35" w:rsidRPr="00CC1C79">
        <w:rPr>
          <w:sz w:val="22"/>
          <w:lang w:val="lt-LT"/>
        </w:rPr>
        <w:t>{mm/MMMM}</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9. SPECIALIOS LAIKYMO SĄLYGOS</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Laikyti gamintojo pakuotėje, kad preparatas būtų apsaugotas nuo drėgmės. </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lastRenderedPageBreak/>
              <w:t>10. SPECIALIOS ATSARGUMO PRIEMONĖS, BŪTINOS NAIKINANT VAISTINIO PREPARATO LIKUČIUS ARBA ATLIEKAS (JEI REIKIA)</w:t>
            </w:r>
          </w:p>
        </w:tc>
      </w:tr>
    </w:tbl>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 xml:space="preserve">11. </w:t>
            </w:r>
            <w:r w:rsidR="00FD1A47" w:rsidRPr="00602BA1">
              <w:rPr>
                <w:b/>
                <w:sz w:val="22"/>
                <w:szCs w:val="22"/>
                <w:lang w:val="lt-LT"/>
              </w:rPr>
              <w:t>REGISTRUOTOJO</w:t>
            </w:r>
            <w:r w:rsidR="00FD1A47" w:rsidRPr="00602BA1" w:rsidDel="00FD1A47">
              <w:rPr>
                <w:b/>
                <w:sz w:val="22"/>
                <w:szCs w:val="22"/>
                <w:lang w:val="lt-LT"/>
              </w:rPr>
              <w:t xml:space="preserve"> </w:t>
            </w:r>
            <w:r w:rsidRPr="00602BA1">
              <w:rPr>
                <w:b/>
                <w:sz w:val="22"/>
                <w:szCs w:val="22"/>
                <w:lang w:val="lt-LT"/>
              </w:rPr>
              <w:t>PAVADINIMAS IR ADRESAS</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eastAsia="lt-LT"/>
        </w:rPr>
      </w:pPr>
      <w:r w:rsidRPr="00C326B9">
        <w:rPr>
          <w:sz w:val="22"/>
          <w:szCs w:val="22"/>
          <w:lang w:eastAsia="lt-LT"/>
        </w:rPr>
        <w:t>Adamed Sp. z o. o.</w:t>
      </w:r>
    </w:p>
    <w:p w:rsidR="001F5325" w:rsidRPr="00C326B9" w:rsidRDefault="001F5325" w:rsidP="001F5325">
      <w:pPr>
        <w:autoSpaceDE w:val="0"/>
        <w:autoSpaceDN w:val="0"/>
        <w:adjustRightInd w:val="0"/>
        <w:rPr>
          <w:sz w:val="22"/>
          <w:szCs w:val="22"/>
          <w:lang w:eastAsia="lt-LT"/>
        </w:rPr>
      </w:pPr>
      <w:r w:rsidRPr="00C326B9">
        <w:rPr>
          <w:sz w:val="22"/>
          <w:szCs w:val="22"/>
          <w:lang w:eastAsia="lt-LT"/>
        </w:rPr>
        <w:t>Pie</w:t>
      </w:r>
      <w:r w:rsidRPr="00C326B9">
        <w:rPr>
          <w:rFonts w:eastAsia="TimesNewRomanPSMT"/>
          <w:sz w:val="22"/>
          <w:szCs w:val="22"/>
          <w:lang w:eastAsia="lt-LT"/>
        </w:rPr>
        <w:t>ń</w:t>
      </w:r>
      <w:r w:rsidRPr="00C326B9">
        <w:rPr>
          <w:sz w:val="22"/>
          <w:szCs w:val="22"/>
          <w:lang w:eastAsia="lt-LT"/>
        </w:rPr>
        <w:t>ków 149</w:t>
      </w:r>
    </w:p>
    <w:p w:rsidR="001F5325" w:rsidRPr="00C326B9" w:rsidRDefault="001F5325" w:rsidP="001F5325">
      <w:pPr>
        <w:autoSpaceDE w:val="0"/>
        <w:autoSpaceDN w:val="0"/>
        <w:adjustRightInd w:val="0"/>
        <w:rPr>
          <w:sz w:val="22"/>
          <w:szCs w:val="22"/>
          <w:lang w:eastAsia="lt-LT"/>
        </w:rPr>
      </w:pPr>
      <w:r w:rsidRPr="00C326B9">
        <w:rPr>
          <w:sz w:val="22"/>
          <w:szCs w:val="22"/>
          <w:lang w:eastAsia="lt-LT"/>
        </w:rPr>
        <w:t>05-152 Czosnów</w:t>
      </w:r>
    </w:p>
    <w:p w:rsidR="001F5325" w:rsidRPr="00C326B9" w:rsidRDefault="001F5325" w:rsidP="001F5325">
      <w:pPr>
        <w:rPr>
          <w:sz w:val="22"/>
          <w:szCs w:val="22"/>
          <w:lang w:eastAsia="lt-LT"/>
        </w:rPr>
      </w:pPr>
      <w:r w:rsidRPr="00C326B9">
        <w:rPr>
          <w:sz w:val="22"/>
          <w:szCs w:val="22"/>
          <w:lang w:eastAsia="lt-LT"/>
        </w:rPr>
        <w:t>Lenkija</w:t>
      </w:r>
    </w:p>
    <w:p w:rsidR="001F5325" w:rsidRPr="00C326B9" w:rsidRDefault="001F5325" w:rsidP="001F5325">
      <w:pPr>
        <w:autoSpaceDE w:val="0"/>
        <w:autoSpaceDN w:val="0"/>
        <w:adjustRightInd w:val="0"/>
        <w:rPr>
          <w:b/>
          <w:bCs/>
          <w:sz w:val="22"/>
          <w:szCs w:val="22"/>
          <w:lang w:val="lt-LT"/>
        </w:rPr>
      </w:pPr>
    </w:p>
    <w:p w:rsidR="001F5325" w:rsidRPr="00C326B9" w:rsidRDefault="001F5325" w:rsidP="001F5325">
      <w:pPr>
        <w:autoSpaceDE w:val="0"/>
        <w:autoSpaceDN w:val="0"/>
        <w:adjustRightInd w:val="0"/>
        <w:rPr>
          <w:b/>
          <w:b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bCs/>
                <w:sz w:val="22"/>
                <w:szCs w:val="22"/>
                <w:lang w:val="es-ES"/>
              </w:rPr>
            </w:pPr>
            <w:r w:rsidRPr="00602BA1">
              <w:rPr>
                <w:b/>
                <w:bCs/>
                <w:sz w:val="22"/>
                <w:szCs w:val="22"/>
                <w:lang w:val="es-ES"/>
              </w:rPr>
              <w:t xml:space="preserve">12. </w:t>
            </w:r>
            <w:r w:rsidR="00FD1A47" w:rsidRPr="00602BA1">
              <w:rPr>
                <w:b/>
                <w:sz w:val="22"/>
                <w:szCs w:val="22"/>
                <w:lang w:val="lt-LT"/>
              </w:rPr>
              <w:t xml:space="preserve">REGISTRACIJOS </w:t>
            </w:r>
            <w:r w:rsidR="00FD1A47" w:rsidRPr="00602BA1">
              <w:rPr>
                <w:b/>
                <w:noProof/>
                <w:sz w:val="22"/>
                <w:lang w:val="lt-LT"/>
              </w:rPr>
              <w:t xml:space="preserve"> PAŽYMĖJIMO</w:t>
            </w:r>
            <w:r w:rsidR="00FD1A47" w:rsidRPr="00602BA1" w:rsidDel="00FD1A47">
              <w:rPr>
                <w:b/>
                <w:sz w:val="22"/>
                <w:szCs w:val="22"/>
                <w:lang w:val="lt-LT"/>
              </w:rPr>
              <w:t xml:space="preserve"> </w:t>
            </w:r>
            <w:r w:rsidRPr="00602BA1">
              <w:rPr>
                <w:b/>
                <w:bCs/>
                <w:sz w:val="22"/>
                <w:szCs w:val="22"/>
                <w:lang w:val="es-ES"/>
              </w:rPr>
              <w:t>NUMERIS</w:t>
            </w:r>
            <w:r w:rsidR="00FD1A47" w:rsidRPr="00602BA1">
              <w:rPr>
                <w:b/>
                <w:noProof/>
                <w:sz w:val="22"/>
                <w:lang w:val="lt-LT"/>
              </w:rPr>
              <w:t>(-IAI)</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N28 – LT/1/08/1081/001</w:t>
      </w:r>
    </w:p>
    <w:p w:rsidR="001F5325" w:rsidRPr="00C326B9" w:rsidRDefault="001F5325" w:rsidP="001F5325">
      <w:pPr>
        <w:autoSpaceDE w:val="0"/>
        <w:autoSpaceDN w:val="0"/>
        <w:adjustRightInd w:val="0"/>
        <w:rPr>
          <w:sz w:val="22"/>
          <w:szCs w:val="22"/>
          <w:lang w:val="lt-LT"/>
        </w:rPr>
      </w:pPr>
      <w:r w:rsidRPr="00C326B9">
        <w:rPr>
          <w:sz w:val="22"/>
          <w:szCs w:val="22"/>
          <w:lang w:val="lt-LT"/>
        </w:rPr>
        <w:t>N56 – LT/1/08/1081/002</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13. SERIJOS NUMERIS</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14. PARDAVIMO (IŠDAVIMO) TVARKA</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Receptinis vaistinis preparatas.</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15. VARTOJIMO INSTRUKCIJA</w:t>
            </w:r>
          </w:p>
        </w:tc>
      </w:tr>
    </w:tbl>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16. INFORMACIJA BRAILIO RAŠTU</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rPr>
        <w:t>ZOLAFREN</w:t>
      </w:r>
      <w:r w:rsidRPr="00C326B9">
        <w:rPr>
          <w:sz w:val="22"/>
          <w:szCs w:val="22"/>
          <w:lang w:val="lt-LT"/>
        </w:rPr>
        <w:t xml:space="preserve"> 5 mg tabletės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jc w:val="center"/>
        <w:rPr>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r w:rsidRPr="00C326B9">
        <w:rPr>
          <w:b/>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MINIMALI INFORMACIJA ANT LIZDINIŲ PLOKŠTELIŲ ARBA DVISLUOKSNIŲ JUOSTELIŲ</w:t>
            </w:r>
          </w:p>
          <w:p w:rsidR="001F5325" w:rsidRPr="00602BA1" w:rsidRDefault="001F5325" w:rsidP="00602BA1">
            <w:pPr>
              <w:autoSpaceDE w:val="0"/>
              <w:autoSpaceDN w:val="0"/>
              <w:adjustRightInd w:val="0"/>
              <w:rPr>
                <w:b/>
                <w:sz w:val="22"/>
                <w:szCs w:val="22"/>
                <w:lang w:val="lt-LT"/>
              </w:rPr>
            </w:pPr>
          </w:p>
          <w:p w:rsidR="001F5325" w:rsidRPr="00602BA1" w:rsidRDefault="001F5325" w:rsidP="00602BA1">
            <w:pPr>
              <w:autoSpaceDE w:val="0"/>
              <w:autoSpaceDN w:val="0"/>
              <w:adjustRightInd w:val="0"/>
              <w:rPr>
                <w:b/>
                <w:sz w:val="22"/>
                <w:szCs w:val="22"/>
                <w:lang w:val="lt-LT"/>
              </w:rPr>
            </w:pPr>
            <w:r w:rsidRPr="00602BA1">
              <w:rPr>
                <w:b/>
                <w:bCs/>
                <w:sz w:val="22"/>
                <w:szCs w:val="22"/>
              </w:rPr>
              <w:t>Dvisluoksnė juostelė</w:t>
            </w:r>
          </w:p>
        </w:tc>
      </w:tr>
    </w:tbl>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1. VAISTINIO PREPARATO PAVADINIMAS</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es-ES"/>
        </w:rPr>
        <w:t>ZOLAFREN</w:t>
      </w:r>
      <w:r w:rsidRPr="00C326B9">
        <w:rPr>
          <w:sz w:val="22"/>
          <w:szCs w:val="22"/>
          <w:lang w:val="lt-LT"/>
        </w:rPr>
        <w:t xml:space="preserve"> 5 mg tabletės</w:t>
      </w:r>
    </w:p>
    <w:p w:rsidR="001F5325" w:rsidRPr="00C326B9" w:rsidRDefault="001F5325" w:rsidP="001F5325">
      <w:pPr>
        <w:autoSpaceDE w:val="0"/>
        <w:autoSpaceDN w:val="0"/>
        <w:adjustRightInd w:val="0"/>
        <w:rPr>
          <w:sz w:val="22"/>
          <w:szCs w:val="22"/>
          <w:lang w:val="lt-LT"/>
        </w:rPr>
      </w:pPr>
      <w:r w:rsidRPr="00C326B9">
        <w:rPr>
          <w:sz w:val="22"/>
          <w:szCs w:val="22"/>
          <w:lang w:val="lt-LT"/>
        </w:rPr>
        <w:t>Olanzapinas</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 xml:space="preserve">2. </w:t>
            </w:r>
            <w:r w:rsidR="00272D2E" w:rsidRPr="00602BA1">
              <w:rPr>
                <w:b/>
                <w:sz w:val="22"/>
                <w:szCs w:val="22"/>
                <w:lang w:val="lt-LT"/>
              </w:rPr>
              <w:t>REGISTRUOTOJO</w:t>
            </w:r>
            <w:r w:rsidRPr="00602BA1">
              <w:rPr>
                <w:b/>
                <w:sz w:val="22"/>
                <w:szCs w:val="22"/>
                <w:lang w:val="lt-LT"/>
              </w:rPr>
              <w:t xml:space="preserve"> PAVADINIMAS</w:t>
            </w:r>
          </w:p>
        </w:tc>
      </w:tr>
    </w:tbl>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eastAsia="lt-LT"/>
        </w:rPr>
      </w:pPr>
      <w:r w:rsidRPr="00C326B9">
        <w:rPr>
          <w:sz w:val="22"/>
          <w:szCs w:val="22"/>
          <w:lang w:eastAsia="lt-LT"/>
        </w:rPr>
        <w:t>Adamed Sp. z o. o.</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3. TINKAMUMO LAIKAS</w:t>
            </w:r>
          </w:p>
        </w:tc>
      </w:tr>
    </w:tbl>
    <w:p w:rsidR="001F5325" w:rsidRPr="00C326B9" w:rsidRDefault="001F5325" w:rsidP="001F5325">
      <w:pPr>
        <w:autoSpaceDE w:val="0"/>
        <w:autoSpaceDN w:val="0"/>
        <w:adjustRightInd w:val="0"/>
        <w:rPr>
          <w:sz w:val="22"/>
          <w:szCs w:val="22"/>
          <w:lang w:val="lt-LT"/>
        </w:rPr>
      </w:pPr>
    </w:p>
    <w:p w:rsidR="0058353B" w:rsidRDefault="001F5325" w:rsidP="0058353B">
      <w:pPr>
        <w:autoSpaceDE w:val="0"/>
        <w:autoSpaceDN w:val="0"/>
        <w:adjustRightInd w:val="0"/>
        <w:rPr>
          <w:sz w:val="22"/>
          <w:szCs w:val="22"/>
          <w:lang w:val="lt-LT" w:eastAsia="pl-PL"/>
        </w:rPr>
      </w:pPr>
      <w:r w:rsidRPr="00C326B9">
        <w:rPr>
          <w:sz w:val="22"/>
          <w:szCs w:val="22"/>
          <w:lang w:val="lt-LT"/>
        </w:rPr>
        <w:t>Tinka iki</w:t>
      </w:r>
      <w:r w:rsidR="0058353B">
        <w:rPr>
          <w:sz w:val="22"/>
          <w:szCs w:val="22"/>
          <w:lang w:val="lt-LT"/>
        </w:rPr>
        <w:t xml:space="preserve"> </w:t>
      </w:r>
      <w:r w:rsidR="00537E35" w:rsidRPr="00CC1C79">
        <w:rPr>
          <w:sz w:val="22"/>
          <w:lang w:val="lt-LT"/>
        </w:rPr>
        <w:t>{mm/MMMM}</w:t>
      </w: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b/>
                <w:sz w:val="22"/>
                <w:szCs w:val="22"/>
                <w:lang w:val="lt-LT"/>
              </w:rPr>
            </w:pPr>
            <w:r w:rsidRPr="00602BA1">
              <w:rPr>
                <w:b/>
                <w:sz w:val="22"/>
                <w:szCs w:val="22"/>
                <w:lang w:val="lt-LT"/>
              </w:rPr>
              <w:t>4. SERIJOS NUMERIS</w:t>
            </w:r>
          </w:p>
        </w:tc>
      </w:tr>
    </w:tbl>
    <w:p w:rsidR="001F5325" w:rsidRPr="00C326B9" w:rsidRDefault="001F5325" w:rsidP="001F5325">
      <w:pPr>
        <w:autoSpaceDE w:val="0"/>
        <w:autoSpaceDN w:val="0"/>
        <w:adjustRightInd w:val="0"/>
        <w:rPr>
          <w:sz w:val="22"/>
          <w:szCs w:val="22"/>
          <w:lang w:val="lt-LT"/>
        </w:rPr>
      </w:pPr>
    </w:p>
    <w:p w:rsidR="00272D2E" w:rsidRPr="00C326B9" w:rsidRDefault="00272D2E" w:rsidP="00272D2E">
      <w:pPr>
        <w:autoSpaceDE w:val="0"/>
        <w:autoSpaceDN w:val="0"/>
        <w:adjustRightInd w:val="0"/>
        <w:rPr>
          <w:b/>
          <w:sz w:val="22"/>
          <w:szCs w:val="22"/>
          <w:lang w:val="lt-LT"/>
        </w:rPr>
      </w:pPr>
      <w:r w:rsidRPr="006030E4">
        <w:rPr>
          <w:sz w:val="22"/>
          <w:lang w:val="lt-LT"/>
        </w:rPr>
        <w:t>&lt;Serija&gt;</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5325" w:rsidRPr="00C326B9" w:rsidTr="00602BA1">
        <w:tc>
          <w:tcPr>
            <w:tcW w:w="9546" w:type="dxa"/>
            <w:shd w:val="clear" w:color="auto" w:fill="auto"/>
          </w:tcPr>
          <w:p w:rsidR="001F5325" w:rsidRPr="00602BA1" w:rsidRDefault="001F5325" w:rsidP="00602BA1">
            <w:pPr>
              <w:autoSpaceDE w:val="0"/>
              <w:autoSpaceDN w:val="0"/>
              <w:adjustRightInd w:val="0"/>
              <w:rPr>
                <w:sz w:val="22"/>
                <w:szCs w:val="22"/>
                <w:lang w:val="lt-LT"/>
              </w:rPr>
            </w:pPr>
            <w:r w:rsidRPr="00602BA1">
              <w:rPr>
                <w:b/>
                <w:sz w:val="22"/>
                <w:szCs w:val="22"/>
                <w:lang w:val="lt-LT"/>
              </w:rPr>
              <w:t>5. KITA</w:t>
            </w:r>
          </w:p>
        </w:tc>
      </w:tr>
    </w:tbl>
    <w:p w:rsidR="001F5325" w:rsidRPr="00C326B9" w:rsidRDefault="001F5325" w:rsidP="001F5325">
      <w:pPr>
        <w:tabs>
          <w:tab w:val="center" w:pos="4703"/>
          <w:tab w:val="left" w:pos="7665"/>
        </w:tabs>
        <w:rPr>
          <w:sz w:val="22"/>
          <w:szCs w:val="22"/>
          <w:lang w:val="lt-LT"/>
        </w:rPr>
      </w:pPr>
    </w:p>
    <w:p w:rsidR="001F5325" w:rsidRPr="00C326B9" w:rsidRDefault="001F5325" w:rsidP="00537E35">
      <w:pPr>
        <w:tabs>
          <w:tab w:val="center" w:pos="4703"/>
          <w:tab w:val="left" w:pos="7665"/>
        </w:tabs>
        <w:rPr>
          <w:sz w:val="22"/>
          <w:szCs w:val="22"/>
          <w:lang w:val="lt-LT"/>
        </w:rPr>
      </w:pPr>
      <w:r w:rsidRPr="00C326B9">
        <w:rPr>
          <w:sz w:val="22"/>
          <w:szCs w:val="22"/>
          <w:lang w:val="lt-LT"/>
        </w:rPr>
        <w:br w:type="page"/>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jc w:val="center"/>
        <w:rPr>
          <w:sz w:val="22"/>
          <w:szCs w:val="22"/>
          <w:lang w:val="lt-LT"/>
        </w:rPr>
      </w:pPr>
      <w:r w:rsidRPr="00C326B9">
        <w:rPr>
          <w:b/>
          <w:sz w:val="22"/>
          <w:szCs w:val="22"/>
          <w:lang w:val="lt-LT"/>
        </w:rPr>
        <w:t xml:space="preserve">B. </w:t>
      </w:r>
      <w:r w:rsidRPr="00C326B9">
        <w:rPr>
          <w:b/>
          <w:bCs/>
          <w:sz w:val="22"/>
          <w:szCs w:val="22"/>
          <w:lang w:val="lt-LT"/>
        </w:rPr>
        <w:t xml:space="preserve">PAKUOTĖS </w:t>
      </w:r>
      <w:r w:rsidRPr="00C326B9">
        <w:rPr>
          <w:b/>
          <w:sz w:val="22"/>
          <w:szCs w:val="22"/>
          <w:lang w:val="lt-LT"/>
        </w:rPr>
        <w:t>LAPELIS</w:t>
      </w:r>
    </w:p>
    <w:p w:rsidR="001F5325" w:rsidRPr="00C326B9" w:rsidRDefault="001F5325" w:rsidP="001F5325">
      <w:pPr>
        <w:autoSpaceDE w:val="0"/>
        <w:autoSpaceDN w:val="0"/>
        <w:adjustRightInd w:val="0"/>
        <w:jc w:val="center"/>
        <w:rPr>
          <w:b/>
          <w:sz w:val="22"/>
          <w:szCs w:val="22"/>
          <w:lang w:val="lt-LT"/>
        </w:rPr>
      </w:pPr>
      <w:r w:rsidRPr="00C326B9">
        <w:rPr>
          <w:sz w:val="22"/>
          <w:szCs w:val="22"/>
          <w:lang w:val="lt-LT"/>
        </w:rPr>
        <w:br w:type="page"/>
      </w:r>
      <w:r w:rsidRPr="00C326B9">
        <w:rPr>
          <w:b/>
          <w:bCs/>
          <w:sz w:val="22"/>
          <w:szCs w:val="22"/>
          <w:lang w:val="lt-LT"/>
        </w:rPr>
        <w:lastRenderedPageBreak/>
        <w:t>Pakuotės lapelis: informacija vartotojui</w:t>
      </w:r>
    </w:p>
    <w:p w:rsidR="001F5325" w:rsidRPr="00C326B9" w:rsidRDefault="001F5325" w:rsidP="001F5325">
      <w:pPr>
        <w:autoSpaceDE w:val="0"/>
        <w:autoSpaceDN w:val="0"/>
        <w:adjustRightInd w:val="0"/>
        <w:jc w:val="center"/>
        <w:rPr>
          <w:b/>
          <w:sz w:val="22"/>
          <w:szCs w:val="22"/>
          <w:lang w:val="lt-LT"/>
        </w:rPr>
      </w:pPr>
    </w:p>
    <w:p w:rsidR="001F5325" w:rsidRPr="00C326B9" w:rsidRDefault="001F5325" w:rsidP="001F5325">
      <w:pPr>
        <w:autoSpaceDE w:val="0"/>
        <w:autoSpaceDN w:val="0"/>
        <w:adjustRightInd w:val="0"/>
        <w:jc w:val="center"/>
        <w:rPr>
          <w:b/>
          <w:bCs/>
          <w:sz w:val="22"/>
          <w:szCs w:val="22"/>
          <w:lang w:val="lt-LT"/>
        </w:rPr>
      </w:pPr>
      <w:r w:rsidRPr="00C326B9">
        <w:rPr>
          <w:b/>
          <w:sz w:val="22"/>
          <w:szCs w:val="22"/>
          <w:lang w:val="lt-LT"/>
        </w:rPr>
        <w:t>ZOLAFREN 5 mg, tablet</w:t>
      </w:r>
      <w:r w:rsidRPr="00C326B9">
        <w:rPr>
          <w:b/>
          <w:bCs/>
          <w:sz w:val="22"/>
          <w:szCs w:val="22"/>
          <w:lang w:val="lt-LT"/>
        </w:rPr>
        <w:t>ės,</w:t>
      </w:r>
    </w:p>
    <w:p w:rsidR="001F5325" w:rsidRPr="00C326B9" w:rsidRDefault="001F5325" w:rsidP="001F5325">
      <w:pPr>
        <w:autoSpaceDE w:val="0"/>
        <w:autoSpaceDN w:val="0"/>
        <w:adjustRightInd w:val="0"/>
        <w:jc w:val="center"/>
        <w:rPr>
          <w:b/>
          <w:sz w:val="22"/>
          <w:szCs w:val="22"/>
          <w:lang w:val="lt-LT"/>
        </w:rPr>
      </w:pPr>
      <w:r w:rsidRPr="00C326B9">
        <w:rPr>
          <w:b/>
          <w:sz w:val="22"/>
          <w:szCs w:val="22"/>
          <w:lang w:val="lt-LT"/>
        </w:rPr>
        <w:t>ZOLAFREN 10 mg, tabletės</w:t>
      </w:r>
    </w:p>
    <w:p w:rsidR="001F5325" w:rsidRPr="00C326B9" w:rsidRDefault="001F5325" w:rsidP="001F5325">
      <w:pPr>
        <w:autoSpaceDE w:val="0"/>
        <w:autoSpaceDN w:val="0"/>
        <w:adjustRightInd w:val="0"/>
        <w:jc w:val="center"/>
        <w:rPr>
          <w:sz w:val="22"/>
          <w:szCs w:val="22"/>
          <w:lang w:val="lt-LT"/>
        </w:rPr>
      </w:pPr>
      <w:r w:rsidRPr="00C326B9">
        <w:rPr>
          <w:sz w:val="22"/>
          <w:szCs w:val="22"/>
          <w:lang w:val="lt-LT"/>
        </w:rPr>
        <w:t>Olanzapinas</w:t>
      </w:r>
    </w:p>
    <w:p w:rsidR="001F5325" w:rsidRPr="00C326B9" w:rsidRDefault="001F5325" w:rsidP="001F5325">
      <w:pPr>
        <w:autoSpaceDE w:val="0"/>
        <w:autoSpaceDN w:val="0"/>
        <w:adjustRightInd w:val="0"/>
        <w:rPr>
          <w:b/>
          <w:sz w:val="22"/>
          <w:szCs w:val="22"/>
          <w:lang w:val="lt-LT"/>
        </w:rPr>
      </w:pPr>
      <w:r w:rsidRPr="00C326B9">
        <w:rPr>
          <w:b/>
          <w:bCs/>
          <w:sz w:val="22"/>
          <w:szCs w:val="22"/>
          <w:lang w:val="lt-LT"/>
        </w:rPr>
        <w:t xml:space="preserve">Atidžiai perskaitykite visą šį lapelį, prieš </w:t>
      </w:r>
      <w:r w:rsidRPr="00C326B9">
        <w:rPr>
          <w:b/>
          <w:sz w:val="22"/>
          <w:szCs w:val="22"/>
          <w:lang w:val="lt-LT"/>
        </w:rPr>
        <w:t xml:space="preserve">pradėdami vartoti vaistą, </w:t>
      </w:r>
      <w:r w:rsidRPr="00C326B9">
        <w:rPr>
          <w:b/>
          <w:bCs/>
          <w:sz w:val="22"/>
          <w:szCs w:val="22"/>
          <w:lang w:val="lt-LT"/>
        </w:rPr>
        <w:t>nes jame pateikiama Jums</w:t>
      </w:r>
    </w:p>
    <w:p w:rsidR="001F5325" w:rsidRPr="00C326B9" w:rsidRDefault="001F5325" w:rsidP="001F5325">
      <w:pPr>
        <w:autoSpaceDE w:val="0"/>
        <w:autoSpaceDN w:val="0"/>
        <w:adjustRightInd w:val="0"/>
        <w:rPr>
          <w:b/>
          <w:bCs/>
          <w:sz w:val="22"/>
          <w:szCs w:val="22"/>
          <w:lang w:val="lt-LT"/>
        </w:rPr>
      </w:pPr>
      <w:r w:rsidRPr="00C326B9">
        <w:rPr>
          <w:b/>
          <w:bCs/>
          <w:sz w:val="22"/>
          <w:szCs w:val="22"/>
          <w:lang w:val="lt-LT"/>
        </w:rPr>
        <w:t>svarbi informacija.</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Neišmeskite šio lapelio, nes vėl gali prireikti jį perskaityti.</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Jeigu kiltų daugiau klausimų, kreipkitės į gydytoją arba vaistininką.</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Šis vaistas skirtas tik Jums, todėl kitiems žmonėms jo duoti negalima. Vaistas gali jiems</w:t>
      </w:r>
    </w:p>
    <w:p w:rsidR="001F5325" w:rsidRPr="00C326B9" w:rsidRDefault="001F5325" w:rsidP="001F5325">
      <w:pPr>
        <w:autoSpaceDE w:val="0"/>
        <w:autoSpaceDN w:val="0"/>
        <w:adjustRightInd w:val="0"/>
        <w:ind w:firstLine="567"/>
        <w:rPr>
          <w:sz w:val="22"/>
          <w:szCs w:val="22"/>
          <w:lang w:val="lt-LT"/>
        </w:rPr>
      </w:pPr>
      <w:r w:rsidRPr="00C326B9">
        <w:rPr>
          <w:sz w:val="22"/>
          <w:szCs w:val="22"/>
          <w:lang w:val="lt-LT"/>
        </w:rPr>
        <w:t>pakenkti (net tiems kurių ligos požymiai yra tokie patys kaip Jūsų.)</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Jeigu pasireiškė šalutinis poveikis (net jeigu jis šiame lapelyje nenurodytas), kreipkitės į</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ab/>
        <w:t>gydytoją arba vaistininką. Žr. 4 skyrių.</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bCs/>
          <w:sz w:val="22"/>
          <w:szCs w:val="22"/>
          <w:lang w:val="lt-LT"/>
        </w:rPr>
      </w:pPr>
      <w:r w:rsidRPr="00C326B9">
        <w:rPr>
          <w:b/>
          <w:bCs/>
          <w:sz w:val="22"/>
          <w:szCs w:val="22"/>
          <w:lang w:val="lt-LT"/>
        </w:rPr>
        <w:t>Apie ką rašoma šiame lapelyje?</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 xml:space="preserve">1. </w:t>
      </w:r>
      <w:r w:rsidRPr="00C326B9">
        <w:rPr>
          <w:sz w:val="22"/>
          <w:szCs w:val="22"/>
          <w:lang w:val="lt-LT"/>
        </w:rPr>
        <w:tab/>
        <w:t>Kas yra ZOLAFREN ir kam jis vartojamas</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 xml:space="preserve">2. </w:t>
      </w:r>
      <w:r w:rsidRPr="00C326B9">
        <w:rPr>
          <w:sz w:val="22"/>
          <w:szCs w:val="22"/>
          <w:lang w:val="lt-LT"/>
        </w:rPr>
        <w:tab/>
        <w:t>Kas žinotina prieš vartojant ZOLAFREN</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 xml:space="preserve">3. </w:t>
      </w:r>
      <w:r w:rsidRPr="00C326B9">
        <w:rPr>
          <w:sz w:val="22"/>
          <w:szCs w:val="22"/>
          <w:lang w:val="lt-LT"/>
        </w:rPr>
        <w:tab/>
        <w:t>Kaip vartoti ZOLAFREN</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 xml:space="preserve">4. </w:t>
      </w:r>
      <w:r w:rsidRPr="00C326B9">
        <w:rPr>
          <w:sz w:val="22"/>
          <w:szCs w:val="22"/>
          <w:lang w:val="lt-LT"/>
        </w:rPr>
        <w:tab/>
        <w:t>Galimas šalutinis poveikis</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 xml:space="preserve">5. </w:t>
      </w:r>
      <w:r w:rsidRPr="00C326B9">
        <w:rPr>
          <w:sz w:val="22"/>
          <w:szCs w:val="22"/>
          <w:lang w:val="lt-LT"/>
        </w:rPr>
        <w:tab/>
        <w:t>Kaip laikyti ZOLAFREN</w:t>
      </w:r>
    </w:p>
    <w:p w:rsidR="001F5325" w:rsidRPr="00C326B9" w:rsidRDefault="001F5325" w:rsidP="001F5325">
      <w:pPr>
        <w:tabs>
          <w:tab w:val="left" w:pos="567"/>
        </w:tabs>
        <w:autoSpaceDE w:val="0"/>
        <w:autoSpaceDN w:val="0"/>
        <w:adjustRightInd w:val="0"/>
        <w:rPr>
          <w:b/>
          <w:sz w:val="22"/>
          <w:szCs w:val="22"/>
          <w:lang w:val="lt-LT"/>
        </w:rPr>
      </w:pPr>
      <w:r w:rsidRPr="00C326B9">
        <w:rPr>
          <w:sz w:val="22"/>
          <w:szCs w:val="22"/>
          <w:lang w:val="lt-LT"/>
        </w:rPr>
        <w:t xml:space="preserve">6. </w:t>
      </w:r>
      <w:r w:rsidRPr="00C326B9">
        <w:rPr>
          <w:sz w:val="22"/>
          <w:szCs w:val="22"/>
          <w:lang w:val="lt-LT"/>
        </w:rPr>
        <w:tab/>
        <w:t>Pakuotės turinys ir kita informacija</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1. </w:t>
      </w:r>
      <w:r w:rsidRPr="00C326B9">
        <w:rPr>
          <w:b/>
          <w:sz w:val="22"/>
          <w:szCs w:val="22"/>
          <w:lang w:val="lt-LT"/>
        </w:rPr>
        <w:tab/>
        <w:t>Kas yra ZOLAFREN ir kam jis vartojamas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ZOLAFREN priklauso vaistų nuo psichozės grupei ir yra vartojamas toliau išvardytoms būklėms gydyti.</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 xml:space="preserve">Šizofrenija. Tai yra liga, kuriai būdingi šie simptomai: nesančių garsų girdėjimas, nesančių </w:t>
      </w:r>
      <w:r w:rsidRPr="00C326B9">
        <w:rPr>
          <w:sz w:val="22"/>
          <w:szCs w:val="22"/>
          <w:lang w:val="lt-LT"/>
        </w:rPr>
        <w:tab/>
        <w:t xml:space="preserve">daiktų matymas ar jutimas, klaidingi įsitikinimai, neįprastas įtarumas ir nepritapimas. Žmonės, </w:t>
      </w:r>
      <w:r w:rsidRPr="00C326B9">
        <w:rPr>
          <w:sz w:val="22"/>
          <w:szCs w:val="22"/>
          <w:lang w:val="lt-LT"/>
        </w:rPr>
        <w:tab/>
        <w:t>sergantys šia liga, gali jaustis prislėgti, apimti nerimo ar įsitempę.</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 xml:space="preserve">Vidutinio sunkumo ir sunkūs manijos epizodai. Tai yra būklė, kuriai būdingi susijaudinimo ar </w:t>
      </w:r>
      <w:r w:rsidRPr="00C326B9">
        <w:rPr>
          <w:sz w:val="22"/>
          <w:szCs w:val="22"/>
          <w:lang w:val="lt-LT"/>
        </w:rPr>
        <w:tab/>
        <w:t>euforijos simptomai.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b/>
          <w:sz w:val="22"/>
          <w:szCs w:val="22"/>
          <w:lang w:val="lt-LT"/>
        </w:rPr>
      </w:pPr>
      <w:r w:rsidRPr="00C326B9">
        <w:rPr>
          <w:sz w:val="22"/>
          <w:szCs w:val="22"/>
          <w:lang w:val="lt-LT"/>
        </w:rPr>
        <w:t>Nustatyta, kad ZOLAFREN apsaugo nuo šių simptomų pasikartojimo pacientams, kuriems pasireiškia bipolinis sutrikimas, jeigu gydant manijos epizodą, buvo reakcija į gydymą olanzapinu.</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r w:rsidRPr="00C326B9">
        <w:rPr>
          <w:b/>
          <w:sz w:val="22"/>
          <w:szCs w:val="22"/>
          <w:lang w:val="lt-LT"/>
        </w:rPr>
        <w:t>2. Kas žinotina prieš vartojant ZOLAFREN</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r w:rsidRPr="00C326B9">
        <w:rPr>
          <w:b/>
          <w:sz w:val="22"/>
          <w:szCs w:val="22"/>
          <w:lang w:val="lt-LT"/>
        </w:rPr>
        <w:t>ZOLAFREN vartoti draudžiama</w:t>
      </w:r>
    </w:p>
    <w:p w:rsidR="001F5325" w:rsidRPr="00C326B9" w:rsidRDefault="001F5325" w:rsidP="001F5325">
      <w:pPr>
        <w:numPr>
          <w:ilvl w:val="0"/>
          <w:numId w:val="16"/>
        </w:numPr>
        <w:autoSpaceDE w:val="0"/>
        <w:autoSpaceDN w:val="0"/>
        <w:adjustRightInd w:val="0"/>
        <w:ind w:left="567" w:hanging="567"/>
        <w:rPr>
          <w:sz w:val="22"/>
          <w:szCs w:val="22"/>
          <w:lang w:val="lt-LT"/>
        </w:rPr>
      </w:pPr>
      <w:r w:rsidRPr="00C326B9">
        <w:rPr>
          <w:sz w:val="22"/>
          <w:szCs w:val="22"/>
          <w:lang w:val="lt-LT"/>
        </w:rPr>
        <w:lastRenderedPageBreak/>
        <w:t>Jeigu yra alergija olanzapinui arba bet kuriai šio vaisto pagalbinei medžiagai (jos išvardytos 6 skyriuje). Alerginė reakcija gali pasireikšti bėrimu, niežėjimu, veido, lūpų tinimu ar dusuliu. Jei Jums taip yra buvę, pasakykite gydytojui.</w:t>
      </w:r>
    </w:p>
    <w:p w:rsidR="001F5325" w:rsidRPr="00C326B9" w:rsidRDefault="001F5325" w:rsidP="001F5325">
      <w:pPr>
        <w:numPr>
          <w:ilvl w:val="0"/>
          <w:numId w:val="16"/>
        </w:numPr>
        <w:autoSpaceDE w:val="0"/>
        <w:autoSpaceDN w:val="0"/>
        <w:adjustRightInd w:val="0"/>
        <w:ind w:left="567" w:hanging="567"/>
        <w:rPr>
          <w:sz w:val="22"/>
          <w:szCs w:val="22"/>
          <w:lang w:val="lt-LT"/>
        </w:rPr>
      </w:pPr>
      <w:r w:rsidRPr="00C326B9">
        <w:rPr>
          <w:sz w:val="22"/>
          <w:szCs w:val="22"/>
          <w:lang w:val="lt-LT"/>
        </w:rPr>
        <w:t>Jeigu anksčiau buvo diagnozuota akių liga, pavyzdžiui, kurio nors tipo glaukoma (akispūdžio padidėjimas).</w:t>
      </w:r>
    </w:p>
    <w:p w:rsidR="001F5325" w:rsidRPr="00C326B9" w:rsidRDefault="001F5325" w:rsidP="001F5325">
      <w:pPr>
        <w:autoSpaceDE w:val="0"/>
        <w:autoSpaceDN w:val="0"/>
        <w:adjustRightInd w:val="0"/>
        <w:ind w:firstLine="540"/>
        <w:rPr>
          <w:b/>
          <w:sz w:val="22"/>
          <w:szCs w:val="22"/>
          <w:lang w:val="lt-LT"/>
        </w:rPr>
      </w:pPr>
    </w:p>
    <w:p w:rsidR="001F5325" w:rsidRPr="00C326B9" w:rsidRDefault="001F5325" w:rsidP="001F5325">
      <w:pPr>
        <w:autoSpaceDE w:val="0"/>
        <w:autoSpaceDN w:val="0"/>
        <w:adjustRightInd w:val="0"/>
        <w:rPr>
          <w:b/>
          <w:sz w:val="22"/>
          <w:szCs w:val="22"/>
          <w:lang w:val="lt-LT"/>
        </w:rPr>
      </w:pPr>
      <w:r w:rsidRPr="00C326B9">
        <w:rPr>
          <w:b/>
          <w:bCs/>
          <w:sz w:val="22"/>
          <w:szCs w:val="22"/>
          <w:lang w:val="lt-LT"/>
        </w:rPr>
        <w:t>Įspėjimai ir</w:t>
      </w:r>
      <w:r w:rsidRPr="00C326B9">
        <w:rPr>
          <w:b/>
          <w:sz w:val="22"/>
          <w:szCs w:val="22"/>
          <w:lang w:val="lt-LT"/>
        </w:rPr>
        <w:t xml:space="preserve"> atsargumo </w:t>
      </w:r>
      <w:r w:rsidRPr="00C326B9">
        <w:rPr>
          <w:b/>
          <w:bCs/>
          <w:sz w:val="22"/>
          <w:szCs w:val="22"/>
          <w:lang w:val="lt-LT"/>
        </w:rPr>
        <w:t>priemonės</w:t>
      </w:r>
    </w:p>
    <w:p w:rsidR="001F5325" w:rsidRPr="00C326B9" w:rsidRDefault="001F5325" w:rsidP="001F5325">
      <w:pPr>
        <w:autoSpaceDE w:val="0"/>
        <w:autoSpaceDN w:val="0"/>
        <w:adjustRightInd w:val="0"/>
        <w:rPr>
          <w:b/>
          <w:bCs/>
          <w:sz w:val="22"/>
          <w:szCs w:val="22"/>
          <w:lang w:val="lt-LT"/>
        </w:rPr>
      </w:pPr>
      <w:r w:rsidRPr="00C326B9">
        <w:rPr>
          <w:sz w:val="22"/>
          <w:szCs w:val="22"/>
          <w:lang w:val="lt-LT"/>
        </w:rPr>
        <w:t>Pasitarkite su gydytoju arba vaistininku, prieš pradėdami vartoti ZOLAFREN</w:t>
      </w:r>
    </w:p>
    <w:p w:rsidR="001F5325" w:rsidRPr="00C326B9" w:rsidRDefault="001F5325" w:rsidP="001F5325">
      <w:pPr>
        <w:numPr>
          <w:ilvl w:val="0"/>
          <w:numId w:val="17"/>
        </w:numPr>
        <w:autoSpaceDE w:val="0"/>
        <w:autoSpaceDN w:val="0"/>
        <w:adjustRightInd w:val="0"/>
        <w:ind w:left="567" w:hanging="567"/>
        <w:rPr>
          <w:sz w:val="22"/>
          <w:szCs w:val="22"/>
          <w:lang w:val="lt-LT"/>
        </w:rPr>
      </w:pPr>
      <w:r w:rsidRPr="00C326B9">
        <w:rPr>
          <w:sz w:val="22"/>
          <w:szCs w:val="22"/>
          <w:lang w:val="lt-LT"/>
        </w:rPr>
        <w:t>ZOLAFREN nerekomenduojama vartoti demencija sergantiems senyviems pacientams, nes tai</w:t>
      </w:r>
    </w:p>
    <w:p w:rsidR="001F5325" w:rsidRPr="00C326B9" w:rsidRDefault="001F5325" w:rsidP="001F5325">
      <w:pPr>
        <w:autoSpaceDE w:val="0"/>
        <w:autoSpaceDN w:val="0"/>
        <w:adjustRightInd w:val="0"/>
        <w:ind w:left="567"/>
        <w:rPr>
          <w:sz w:val="22"/>
          <w:szCs w:val="22"/>
          <w:lang w:val="lt-LT"/>
        </w:rPr>
      </w:pPr>
      <w:r w:rsidRPr="00C326B9">
        <w:rPr>
          <w:sz w:val="22"/>
          <w:szCs w:val="22"/>
          <w:lang w:val="lt-LT"/>
        </w:rPr>
        <w:t>gali sukelti sunkų šalutinį poveikį.</w:t>
      </w:r>
    </w:p>
    <w:p w:rsidR="001F5325" w:rsidRPr="00C326B9" w:rsidRDefault="001F5325" w:rsidP="001F5325">
      <w:pPr>
        <w:numPr>
          <w:ilvl w:val="0"/>
          <w:numId w:val="17"/>
        </w:numPr>
        <w:autoSpaceDE w:val="0"/>
        <w:autoSpaceDN w:val="0"/>
        <w:adjustRightInd w:val="0"/>
        <w:ind w:left="567" w:hanging="567"/>
        <w:rPr>
          <w:sz w:val="22"/>
          <w:szCs w:val="22"/>
          <w:lang w:val="lt-LT"/>
        </w:rPr>
      </w:pPr>
      <w:r w:rsidRPr="00C326B9">
        <w:rPr>
          <w:sz w:val="22"/>
          <w:szCs w:val="22"/>
          <w:lang w:val="lt-LT"/>
        </w:rPr>
        <w:t>Šios rūšies vaistai gali sukelti neįprastus judesius, ypač veido ir liežuvio. Jei taip atsitiko Jums</w:t>
      </w:r>
    </w:p>
    <w:p w:rsidR="001F5325" w:rsidRPr="00C326B9" w:rsidRDefault="001F5325" w:rsidP="001F5325">
      <w:pPr>
        <w:autoSpaceDE w:val="0"/>
        <w:autoSpaceDN w:val="0"/>
        <w:adjustRightInd w:val="0"/>
        <w:ind w:left="567"/>
        <w:rPr>
          <w:sz w:val="22"/>
          <w:szCs w:val="22"/>
          <w:lang w:val="lt-LT"/>
        </w:rPr>
      </w:pPr>
      <w:r w:rsidRPr="00C326B9">
        <w:rPr>
          <w:sz w:val="22"/>
          <w:szCs w:val="22"/>
          <w:lang w:val="lt-LT"/>
        </w:rPr>
        <w:t>vartojant ZOLAFREN, kreipkitės į gydytoją.</w:t>
      </w:r>
    </w:p>
    <w:p w:rsidR="001F5325" w:rsidRPr="00C326B9" w:rsidRDefault="001F5325" w:rsidP="001F5325">
      <w:pPr>
        <w:numPr>
          <w:ilvl w:val="0"/>
          <w:numId w:val="17"/>
        </w:numPr>
        <w:autoSpaceDE w:val="0"/>
        <w:autoSpaceDN w:val="0"/>
        <w:adjustRightInd w:val="0"/>
        <w:ind w:left="567" w:hanging="567"/>
        <w:rPr>
          <w:sz w:val="22"/>
          <w:szCs w:val="22"/>
          <w:lang w:val="lt-LT"/>
        </w:rPr>
      </w:pPr>
      <w:r w:rsidRPr="00C326B9">
        <w:rPr>
          <w:sz w:val="22"/>
          <w:szCs w:val="22"/>
          <w:lang w:val="lt-LT"/>
        </w:rPr>
        <w:t>Labai retai šios grupės vaistai gali sukelti karščiavimą su padažnėjusiu kvėpavimu,</w:t>
      </w:r>
    </w:p>
    <w:p w:rsidR="001F5325" w:rsidRPr="00C326B9" w:rsidRDefault="001F5325" w:rsidP="001F5325">
      <w:pPr>
        <w:autoSpaceDE w:val="0"/>
        <w:autoSpaceDN w:val="0"/>
        <w:adjustRightInd w:val="0"/>
        <w:ind w:left="567"/>
        <w:rPr>
          <w:sz w:val="22"/>
          <w:szCs w:val="22"/>
          <w:lang w:val="lt-LT"/>
        </w:rPr>
      </w:pPr>
      <w:r w:rsidRPr="00C326B9">
        <w:rPr>
          <w:sz w:val="22"/>
          <w:szCs w:val="22"/>
          <w:lang w:val="lt-LT"/>
        </w:rPr>
        <w:t>prakaitavimu, raumenų sąstingiu ir apsnūdimu ar mieguistumu. Jei taip atsitiko Jums,</w:t>
      </w:r>
    </w:p>
    <w:p w:rsidR="001F5325" w:rsidRPr="00C326B9" w:rsidRDefault="001F5325" w:rsidP="001F5325">
      <w:pPr>
        <w:autoSpaceDE w:val="0"/>
        <w:autoSpaceDN w:val="0"/>
        <w:adjustRightInd w:val="0"/>
        <w:ind w:left="567"/>
        <w:rPr>
          <w:sz w:val="22"/>
          <w:szCs w:val="22"/>
          <w:lang w:val="lt-LT"/>
        </w:rPr>
      </w:pPr>
      <w:r w:rsidRPr="00C326B9">
        <w:rPr>
          <w:sz w:val="22"/>
          <w:szCs w:val="22"/>
          <w:lang w:val="lt-LT"/>
        </w:rPr>
        <w:t>nedelsdami kreipkitės į gydytoją.</w:t>
      </w:r>
    </w:p>
    <w:p w:rsidR="001F5325" w:rsidRPr="00C326B9" w:rsidRDefault="001F5325" w:rsidP="001F5325">
      <w:pPr>
        <w:numPr>
          <w:ilvl w:val="0"/>
          <w:numId w:val="17"/>
        </w:numPr>
        <w:autoSpaceDE w:val="0"/>
        <w:autoSpaceDN w:val="0"/>
        <w:adjustRightInd w:val="0"/>
        <w:ind w:left="567" w:hanging="567"/>
        <w:rPr>
          <w:sz w:val="22"/>
          <w:szCs w:val="22"/>
          <w:lang w:val="lt-LT"/>
        </w:rPr>
      </w:pPr>
      <w:r w:rsidRPr="00C326B9">
        <w:rPr>
          <w:sz w:val="22"/>
          <w:szCs w:val="22"/>
          <w:lang w:val="lt-LT"/>
        </w:rPr>
        <w:t>ZOLAFREN vartojantiems pacientams buvo nustatytas kūno svorio didėjimas. Jūs ir Jūsų</w:t>
      </w:r>
    </w:p>
    <w:p w:rsidR="001F5325" w:rsidRPr="00C326B9" w:rsidRDefault="001F5325" w:rsidP="001F5325">
      <w:pPr>
        <w:autoSpaceDE w:val="0"/>
        <w:autoSpaceDN w:val="0"/>
        <w:adjustRightInd w:val="0"/>
        <w:ind w:left="567"/>
        <w:rPr>
          <w:sz w:val="22"/>
          <w:szCs w:val="22"/>
          <w:lang w:val="lt-LT"/>
        </w:rPr>
      </w:pPr>
      <w:r w:rsidRPr="00C326B9">
        <w:rPr>
          <w:sz w:val="22"/>
          <w:szCs w:val="22"/>
          <w:lang w:val="lt-LT"/>
        </w:rPr>
        <w:t>gydytojas turite reguliariai tikrinti Jūsų kūno svorį.</w:t>
      </w:r>
    </w:p>
    <w:p w:rsidR="001F5325" w:rsidRPr="00C326B9" w:rsidRDefault="001F5325" w:rsidP="001F5325">
      <w:pPr>
        <w:numPr>
          <w:ilvl w:val="0"/>
          <w:numId w:val="17"/>
        </w:numPr>
        <w:autoSpaceDE w:val="0"/>
        <w:autoSpaceDN w:val="0"/>
        <w:adjustRightInd w:val="0"/>
        <w:ind w:left="567" w:hanging="567"/>
        <w:rPr>
          <w:sz w:val="22"/>
          <w:szCs w:val="22"/>
          <w:lang w:val="lt-LT"/>
        </w:rPr>
      </w:pPr>
      <w:r w:rsidRPr="00C326B9">
        <w:rPr>
          <w:sz w:val="22"/>
          <w:szCs w:val="22"/>
          <w:lang w:val="lt-LT"/>
        </w:rPr>
        <w:t>ZOLAFREN vartojantiems pacientams buvo išmatuotos didelės gliukozės ir riebiųjų medžiagų</w:t>
      </w:r>
    </w:p>
    <w:p w:rsidR="001F5325" w:rsidRPr="00C326B9" w:rsidRDefault="001F5325" w:rsidP="001F5325">
      <w:pPr>
        <w:autoSpaceDE w:val="0"/>
        <w:autoSpaceDN w:val="0"/>
        <w:adjustRightInd w:val="0"/>
        <w:ind w:left="567"/>
        <w:rPr>
          <w:sz w:val="22"/>
          <w:szCs w:val="22"/>
          <w:lang w:val="lt-LT"/>
        </w:rPr>
      </w:pPr>
      <w:r w:rsidRPr="00C326B9">
        <w:rPr>
          <w:sz w:val="22"/>
          <w:szCs w:val="22"/>
          <w:lang w:val="lt-LT"/>
        </w:rPr>
        <w:t>(trigliceridų ir cholesterolio) koncentracijos kraujyje. Gydytojas turės atlikti kraujo tyrimus</w:t>
      </w:r>
    </w:p>
    <w:p w:rsidR="001F5325" w:rsidRPr="00C326B9" w:rsidRDefault="001F5325" w:rsidP="001F5325">
      <w:pPr>
        <w:autoSpaceDE w:val="0"/>
        <w:autoSpaceDN w:val="0"/>
        <w:adjustRightInd w:val="0"/>
        <w:ind w:left="567"/>
        <w:rPr>
          <w:sz w:val="22"/>
          <w:szCs w:val="22"/>
          <w:lang w:val="lt-LT"/>
        </w:rPr>
      </w:pPr>
      <w:r w:rsidRPr="00C326B9">
        <w:rPr>
          <w:sz w:val="22"/>
          <w:szCs w:val="22"/>
          <w:lang w:val="lt-LT"/>
        </w:rPr>
        <w:t>gliukozės ir tam tikrų riebiųjų medžiagų koncentracijoms kraujyje nustatyti prieš pradedant</w:t>
      </w:r>
    </w:p>
    <w:p w:rsidR="001F5325" w:rsidRPr="00C326B9" w:rsidRDefault="001F5325" w:rsidP="001F5325">
      <w:pPr>
        <w:autoSpaceDE w:val="0"/>
        <w:autoSpaceDN w:val="0"/>
        <w:adjustRightInd w:val="0"/>
        <w:ind w:left="567"/>
        <w:rPr>
          <w:sz w:val="22"/>
          <w:szCs w:val="22"/>
          <w:lang w:val="lt-LT"/>
        </w:rPr>
      </w:pPr>
      <w:r w:rsidRPr="00C326B9">
        <w:rPr>
          <w:sz w:val="22"/>
          <w:szCs w:val="22"/>
          <w:lang w:val="lt-LT"/>
        </w:rPr>
        <w:t>vartoti ZOLAFREN ir reguliariai gydymo metu.</w:t>
      </w:r>
    </w:p>
    <w:p w:rsidR="001F5325" w:rsidRPr="00C326B9" w:rsidRDefault="001F5325" w:rsidP="001F5325">
      <w:pPr>
        <w:numPr>
          <w:ilvl w:val="0"/>
          <w:numId w:val="17"/>
        </w:numPr>
        <w:autoSpaceDE w:val="0"/>
        <w:autoSpaceDN w:val="0"/>
        <w:adjustRightInd w:val="0"/>
        <w:ind w:left="567" w:hanging="567"/>
        <w:rPr>
          <w:sz w:val="22"/>
          <w:szCs w:val="22"/>
          <w:lang w:val="lt-LT"/>
        </w:rPr>
      </w:pPr>
      <w:r w:rsidRPr="00C326B9">
        <w:rPr>
          <w:sz w:val="22"/>
          <w:szCs w:val="22"/>
          <w:lang w:val="lt-LT"/>
        </w:rPr>
        <w:t>Pasakykite gydytojui, jeigu Jums arba kuriam nors Jūsų kraujo giminaičiui kraujagyslėse buvo</w:t>
      </w:r>
    </w:p>
    <w:p w:rsidR="001F5325" w:rsidRPr="00C326B9" w:rsidRDefault="001F5325" w:rsidP="001F5325">
      <w:pPr>
        <w:autoSpaceDE w:val="0"/>
        <w:autoSpaceDN w:val="0"/>
        <w:adjustRightInd w:val="0"/>
        <w:ind w:left="567"/>
        <w:rPr>
          <w:sz w:val="22"/>
          <w:szCs w:val="22"/>
          <w:lang w:val="lt-LT"/>
        </w:rPr>
      </w:pPr>
      <w:r w:rsidRPr="00C326B9">
        <w:rPr>
          <w:sz w:val="22"/>
          <w:szCs w:val="22"/>
          <w:lang w:val="lt-LT"/>
        </w:rPr>
        <w:t>susiformavę kraujo krešuliai, nes į šį vaistą panašūs vaistai yra susiję su kraujo krešulių</w:t>
      </w:r>
    </w:p>
    <w:p w:rsidR="001F5325" w:rsidRPr="00C326B9" w:rsidRDefault="001F5325" w:rsidP="001F5325">
      <w:pPr>
        <w:autoSpaceDE w:val="0"/>
        <w:autoSpaceDN w:val="0"/>
        <w:adjustRightInd w:val="0"/>
        <w:ind w:left="567"/>
        <w:rPr>
          <w:sz w:val="22"/>
          <w:szCs w:val="22"/>
          <w:lang w:val="lt-LT"/>
        </w:rPr>
      </w:pPr>
      <w:r w:rsidRPr="00C326B9">
        <w:rPr>
          <w:sz w:val="22"/>
          <w:szCs w:val="22"/>
          <w:lang w:val="lt-LT"/>
        </w:rPr>
        <w:t>formavimusi.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Kiek galima greičiau pasakykite gydytojui, jeigu pasireiškia kuris nors išvardytas sutrikimas.</w:t>
      </w:r>
    </w:p>
    <w:p w:rsidR="001F5325" w:rsidRPr="00C326B9" w:rsidRDefault="001F5325" w:rsidP="001F5325">
      <w:pPr>
        <w:numPr>
          <w:ilvl w:val="0"/>
          <w:numId w:val="18"/>
        </w:numPr>
        <w:autoSpaceDE w:val="0"/>
        <w:autoSpaceDN w:val="0"/>
        <w:adjustRightInd w:val="0"/>
        <w:ind w:left="567" w:hanging="567"/>
        <w:rPr>
          <w:sz w:val="22"/>
          <w:szCs w:val="22"/>
          <w:lang w:val="lt-LT"/>
        </w:rPr>
      </w:pPr>
      <w:r w:rsidRPr="00C326B9">
        <w:rPr>
          <w:sz w:val="22"/>
          <w:szCs w:val="22"/>
          <w:lang w:val="lt-LT"/>
        </w:rPr>
        <w:t>Insultas arba “mikro” insultas (praeinantieji insulto simptomai).</w:t>
      </w:r>
    </w:p>
    <w:p w:rsidR="001F5325" w:rsidRPr="00C326B9" w:rsidRDefault="001F5325" w:rsidP="001F5325">
      <w:pPr>
        <w:numPr>
          <w:ilvl w:val="0"/>
          <w:numId w:val="18"/>
        </w:numPr>
        <w:autoSpaceDE w:val="0"/>
        <w:autoSpaceDN w:val="0"/>
        <w:adjustRightInd w:val="0"/>
        <w:ind w:left="567" w:hanging="567"/>
        <w:rPr>
          <w:sz w:val="22"/>
          <w:szCs w:val="22"/>
          <w:lang w:val="lt-LT"/>
        </w:rPr>
      </w:pPr>
      <w:r w:rsidRPr="00C326B9">
        <w:rPr>
          <w:sz w:val="22"/>
          <w:szCs w:val="22"/>
          <w:lang w:val="lt-LT"/>
        </w:rPr>
        <w:t>Parkinsono liga.</w:t>
      </w:r>
    </w:p>
    <w:p w:rsidR="001F5325" w:rsidRPr="00C326B9" w:rsidRDefault="001F5325" w:rsidP="001F5325">
      <w:pPr>
        <w:numPr>
          <w:ilvl w:val="0"/>
          <w:numId w:val="18"/>
        </w:numPr>
        <w:autoSpaceDE w:val="0"/>
        <w:autoSpaceDN w:val="0"/>
        <w:adjustRightInd w:val="0"/>
        <w:ind w:left="567" w:hanging="567"/>
        <w:rPr>
          <w:sz w:val="22"/>
          <w:szCs w:val="22"/>
          <w:lang w:val="lt-LT"/>
        </w:rPr>
      </w:pPr>
      <w:r w:rsidRPr="00C326B9">
        <w:rPr>
          <w:sz w:val="22"/>
          <w:szCs w:val="22"/>
          <w:lang w:val="lt-LT"/>
        </w:rPr>
        <w:t>Prostatos liga.</w:t>
      </w:r>
    </w:p>
    <w:p w:rsidR="001F5325" w:rsidRPr="00C326B9" w:rsidRDefault="001F5325" w:rsidP="001F5325">
      <w:pPr>
        <w:numPr>
          <w:ilvl w:val="0"/>
          <w:numId w:val="18"/>
        </w:numPr>
        <w:autoSpaceDE w:val="0"/>
        <w:autoSpaceDN w:val="0"/>
        <w:adjustRightInd w:val="0"/>
        <w:ind w:left="567" w:hanging="567"/>
        <w:rPr>
          <w:sz w:val="22"/>
          <w:szCs w:val="22"/>
          <w:lang w:val="lt-LT"/>
        </w:rPr>
      </w:pPr>
      <w:r w:rsidRPr="00C326B9">
        <w:rPr>
          <w:sz w:val="22"/>
          <w:szCs w:val="22"/>
          <w:lang w:val="lt-LT"/>
        </w:rPr>
        <w:t>Žarnų nepraeinamumas (paralyžinis žarnų nepraeinamumas).</w:t>
      </w:r>
    </w:p>
    <w:p w:rsidR="001F5325" w:rsidRPr="00C326B9" w:rsidRDefault="001F5325" w:rsidP="001F5325">
      <w:pPr>
        <w:numPr>
          <w:ilvl w:val="0"/>
          <w:numId w:val="18"/>
        </w:numPr>
        <w:autoSpaceDE w:val="0"/>
        <w:autoSpaceDN w:val="0"/>
        <w:adjustRightInd w:val="0"/>
        <w:ind w:left="567" w:hanging="567"/>
        <w:rPr>
          <w:sz w:val="22"/>
          <w:szCs w:val="22"/>
          <w:lang w:val="lt-LT"/>
        </w:rPr>
      </w:pPr>
      <w:r w:rsidRPr="00C326B9">
        <w:rPr>
          <w:sz w:val="22"/>
          <w:szCs w:val="22"/>
          <w:lang w:val="lt-LT"/>
        </w:rPr>
        <w:t>Kepenų ar inkstų liga.</w:t>
      </w:r>
    </w:p>
    <w:p w:rsidR="001F5325" w:rsidRPr="00C326B9" w:rsidRDefault="001F5325" w:rsidP="001F5325">
      <w:pPr>
        <w:numPr>
          <w:ilvl w:val="0"/>
          <w:numId w:val="18"/>
        </w:numPr>
        <w:autoSpaceDE w:val="0"/>
        <w:autoSpaceDN w:val="0"/>
        <w:adjustRightInd w:val="0"/>
        <w:ind w:left="567" w:hanging="567"/>
        <w:rPr>
          <w:sz w:val="22"/>
          <w:szCs w:val="22"/>
          <w:lang w:val="lt-LT"/>
        </w:rPr>
      </w:pPr>
      <w:r w:rsidRPr="00C326B9">
        <w:rPr>
          <w:sz w:val="22"/>
          <w:szCs w:val="22"/>
          <w:lang w:val="lt-LT"/>
        </w:rPr>
        <w:t>Kraujo sutrikimai.</w:t>
      </w:r>
    </w:p>
    <w:p w:rsidR="001F5325" w:rsidRPr="00C326B9" w:rsidRDefault="001F5325" w:rsidP="001F5325">
      <w:pPr>
        <w:numPr>
          <w:ilvl w:val="0"/>
          <w:numId w:val="18"/>
        </w:numPr>
        <w:autoSpaceDE w:val="0"/>
        <w:autoSpaceDN w:val="0"/>
        <w:adjustRightInd w:val="0"/>
        <w:ind w:left="567" w:hanging="567"/>
        <w:rPr>
          <w:sz w:val="22"/>
          <w:szCs w:val="22"/>
          <w:lang w:val="lt-LT"/>
        </w:rPr>
      </w:pPr>
      <w:r w:rsidRPr="00C326B9">
        <w:rPr>
          <w:sz w:val="22"/>
          <w:szCs w:val="22"/>
          <w:lang w:val="lt-LT"/>
        </w:rPr>
        <w:t>Širdies liga.</w:t>
      </w:r>
    </w:p>
    <w:p w:rsidR="001F5325" w:rsidRPr="00C326B9" w:rsidRDefault="001F5325" w:rsidP="001F5325">
      <w:pPr>
        <w:numPr>
          <w:ilvl w:val="0"/>
          <w:numId w:val="18"/>
        </w:numPr>
        <w:autoSpaceDE w:val="0"/>
        <w:autoSpaceDN w:val="0"/>
        <w:adjustRightInd w:val="0"/>
        <w:ind w:left="567" w:hanging="567"/>
        <w:rPr>
          <w:sz w:val="22"/>
          <w:szCs w:val="22"/>
          <w:lang w:val="lt-LT"/>
        </w:rPr>
      </w:pPr>
      <w:r w:rsidRPr="00C326B9">
        <w:rPr>
          <w:sz w:val="22"/>
          <w:szCs w:val="22"/>
          <w:lang w:val="lt-LT"/>
        </w:rPr>
        <w:t>Diabetas.</w:t>
      </w:r>
    </w:p>
    <w:p w:rsidR="001F5325" w:rsidRPr="00C326B9" w:rsidRDefault="001F5325" w:rsidP="001F5325">
      <w:pPr>
        <w:numPr>
          <w:ilvl w:val="0"/>
          <w:numId w:val="18"/>
        </w:numPr>
        <w:autoSpaceDE w:val="0"/>
        <w:autoSpaceDN w:val="0"/>
        <w:adjustRightInd w:val="0"/>
        <w:ind w:left="567" w:hanging="567"/>
        <w:rPr>
          <w:sz w:val="22"/>
          <w:szCs w:val="22"/>
          <w:lang w:val="lt-LT"/>
        </w:rPr>
      </w:pPr>
      <w:r w:rsidRPr="00C326B9">
        <w:rPr>
          <w:sz w:val="22"/>
          <w:szCs w:val="22"/>
          <w:lang w:val="lt-LT"/>
        </w:rPr>
        <w:t xml:space="preserve">Priepuoliai (traukuliai).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Jei Jums daugiau kaip 65 metai, gydytojas gali reguliariai matuoti Jūsų kraujospūdį.</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b/>
          <w:bCs/>
          <w:sz w:val="22"/>
          <w:szCs w:val="22"/>
          <w:lang w:val="lt-LT"/>
        </w:rPr>
        <w:t>Vaikams ir paaugliams</w:t>
      </w:r>
      <w:r w:rsidRPr="00C326B9">
        <w:rPr>
          <w:sz w:val="22"/>
          <w:szCs w:val="22"/>
          <w:lang w:val="lt-LT"/>
        </w:rPr>
        <w:t xml:space="preserve"> </w:t>
      </w:r>
    </w:p>
    <w:p w:rsidR="001F5325" w:rsidRPr="00C326B9" w:rsidRDefault="001F5325" w:rsidP="001F5325">
      <w:pPr>
        <w:autoSpaceDE w:val="0"/>
        <w:autoSpaceDN w:val="0"/>
        <w:adjustRightInd w:val="0"/>
        <w:rPr>
          <w:sz w:val="22"/>
          <w:szCs w:val="22"/>
          <w:lang w:val="lt-LT"/>
        </w:rPr>
      </w:pPr>
      <w:r w:rsidRPr="00C326B9">
        <w:rPr>
          <w:sz w:val="22"/>
          <w:szCs w:val="22"/>
          <w:lang w:val="lt-LT"/>
        </w:rPr>
        <w:t>ZOLAFREN jaunesnių kaip 18 metų pacientų gydyti negalima.</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sz w:val="22"/>
          <w:szCs w:val="22"/>
          <w:lang w:val="lt-LT"/>
        </w:rPr>
      </w:pPr>
      <w:r w:rsidRPr="00C326B9">
        <w:rPr>
          <w:b/>
          <w:bCs/>
          <w:sz w:val="22"/>
          <w:szCs w:val="22"/>
          <w:lang w:val="lt-LT"/>
        </w:rPr>
        <w:t>Kiti vaistai ir</w:t>
      </w:r>
      <w:r w:rsidRPr="00C326B9">
        <w:rPr>
          <w:sz w:val="22"/>
          <w:szCs w:val="22"/>
          <w:lang w:val="lt-LT"/>
        </w:rPr>
        <w:t xml:space="preserve"> </w:t>
      </w:r>
      <w:r w:rsidRPr="00C326B9">
        <w:rPr>
          <w:b/>
          <w:sz w:val="22"/>
          <w:szCs w:val="22"/>
          <w:lang w:val="lt-LT"/>
        </w:rPr>
        <w:t>ZOLAFREN</w:t>
      </w:r>
    </w:p>
    <w:p w:rsidR="001F5325" w:rsidRPr="00C326B9" w:rsidRDefault="001F5325" w:rsidP="001F5325">
      <w:pPr>
        <w:autoSpaceDE w:val="0"/>
        <w:autoSpaceDN w:val="0"/>
        <w:adjustRightInd w:val="0"/>
        <w:rPr>
          <w:sz w:val="22"/>
          <w:szCs w:val="22"/>
          <w:lang w:val="lt-LT"/>
        </w:rPr>
      </w:pPr>
      <w:r w:rsidRPr="00C326B9">
        <w:rPr>
          <w:sz w:val="22"/>
          <w:szCs w:val="22"/>
          <w:lang w:val="lt-LT"/>
        </w:rPr>
        <w:t>Kitų vaistų kartu su ZOLAFREN galima vartoti tik gydytojo leidimu. Jeigu kartu su ZOLAFREN vartosite antidepresantų ar vaistų, mažinančių nerimą arba padedančių užmigti (trankviliantų), galite būti mieguistas.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Jeigu vartojate ar neseniai vartojote kitų vaistų arba dėl to nesate tikri, apie tai pasakykite gydytojui.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Labai svarbu pasakyti gydytojui, jeigu vartojate:</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vaistų Parkinsono ligai gydyti;</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 xml:space="preserve">- </w:t>
      </w:r>
      <w:r w:rsidRPr="00C326B9">
        <w:rPr>
          <w:sz w:val="22"/>
          <w:szCs w:val="22"/>
          <w:lang w:val="lt-LT"/>
        </w:rPr>
        <w:tab/>
        <w:t>karbamazepiną (antiepilepsinis ir nuotaiką stabilizuojantis vaistas), fluvoksaminą</w:t>
      </w:r>
    </w:p>
    <w:p w:rsidR="001F5325" w:rsidRPr="00C326B9" w:rsidRDefault="001F5325" w:rsidP="001F5325">
      <w:pPr>
        <w:tabs>
          <w:tab w:val="left" w:pos="567"/>
        </w:tabs>
        <w:autoSpaceDE w:val="0"/>
        <w:autoSpaceDN w:val="0"/>
        <w:adjustRightInd w:val="0"/>
        <w:rPr>
          <w:sz w:val="22"/>
          <w:szCs w:val="22"/>
          <w:lang w:val="lt-LT"/>
        </w:rPr>
      </w:pPr>
      <w:r w:rsidRPr="00C326B9">
        <w:rPr>
          <w:sz w:val="22"/>
          <w:szCs w:val="22"/>
          <w:lang w:val="lt-LT"/>
        </w:rPr>
        <w:tab/>
        <w:t>(antidepresantas) arba ciprofloksaciną (antibiotikas). Gali prireikti keisti ZOLAFREN dozę.</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r w:rsidRPr="00C326B9">
        <w:rPr>
          <w:b/>
          <w:sz w:val="22"/>
          <w:szCs w:val="22"/>
          <w:lang w:val="lt-LT"/>
        </w:rPr>
        <w:t>ZOLAFREN vartojimas su alkoholiu</w:t>
      </w:r>
    </w:p>
    <w:p w:rsidR="001F5325" w:rsidRPr="00C326B9" w:rsidRDefault="001F5325" w:rsidP="001F5325">
      <w:pPr>
        <w:autoSpaceDE w:val="0"/>
        <w:autoSpaceDN w:val="0"/>
        <w:adjustRightInd w:val="0"/>
        <w:rPr>
          <w:sz w:val="22"/>
          <w:szCs w:val="22"/>
          <w:lang w:val="lt-LT"/>
        </w:rPr>
      </w:pPr>
      <w:r w:rsidRPr="00C326B9">
        <w:rPr>
          <w:sz w:val="22"/>
          <w:szCs w:val="22"/>
          <w:lang w:val="lt-LT"/>
        </w:rPr>
        <w:t>Gydydamiesi ZOLAFREN, negerkite jokių alkoholinių gėrimų, nes vartojami kartu jie gali sukelti mieguistumą.</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r w:rsidRPr="00C326B9">
        <w:rPr>
          <w:b/>
          <w:sz w:val="22"/>
          <w:szCs w:val="22"/>
          <w:lang w:val="lt-LT"/>
        </w:rPr>
        <w:t>Nėštumas ir žindymo laikotarpis</w:t>
      </w:r>
    </w:p>
    <w:p w:rsidR="001F5325" w:rsidRPr="00C326B9" w:rsidRDefault="001F5325" w:rsidP="001F5325">
      <w:pPr>
        <w:autoSpaceDE w:val="0"/>
        <w:autoSpaceDN w:val="0"/>
        <w:adjustRightInd w:val="0"/>
        <w:rPr>
          <w:sz w:val="22"/>
          <w:szCs w:val="22"/>
          <w:lang w:val="lt-LT"/>
        </w:rPr>
      </w:pPr>
      <w:r w:rsidRPr="00C326B9">
        <w:rPr>
          <w:sz w:val="22"/>
          <w:szCs w:val="22"/>
          <w:lang w:val="lt-LT"/>
        </w:rPr>
        <w:t>Pasakykite kuo anksčiau savo gydytojui, jei esate nėščia ar manote, kad pastojote. Nėščiosioms šio vaisto vartoti negalima, nebent tai Jūs aptarsite su gydytoju. Jei žindote kūdikį, šio medikamento vartoti negalima, nes mažas jo kiekis gali patekti į pieną.</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Naujagimiams, kurių motinos vartojo ZOLAFREN paskutiniuoju nėštumo trimestru (paskutiniuosius</w:t>
      </w:r>
    </w:p>
    <w:p w:rsidR="001F5325" w:rsidRPr="00C326B9" w:rsidRDefault="001F5325" w:rsidP="001F5325">
      <w:pPr>
        <w:autoSpaceDE w:val="0"/>
        <w:autoSpaceDN w:val="0"/>
        <w:adjustRightInd w:val="0"/>
        <w:rPr>
          <w:sz w:val="22"/>
          <w:szCs w:val="22"/>
          <w:lang w:val="lt-LT"/>
        </w:rPr>
      </w:pPr>
      <w:r w:rsidRPr="00C326B9">
        <w:rPr>
          <w:sz w:val="22"/>
          <w:szCs w:val="22"/>
          <w:lang w:val="lt-LT"/>
        </w:rPr>
        <w:t>tris nėštumo mėnesius), gali būti šių toliau išvardytų simptomų: drebėjimas, raumenų sustingimas ir</w:t>
      </w:r>
    </w:p>
    <w:p w:rsidR="001F5325" w:rsidRPr="00C326B9" w:rsidRDefault="001F5325" w:rsidP="001F5325">
      <w:pPr>
        <w:autoSpaceDE w:val="0"/>
        <w:autoSpaceDN w:val="0"/>
        <w:adjustRightInd w:val="0"/>
        <w:rPr>
          <w:sz w:val="22"/>
          <w:szCs w:val="22"/>
          <w:lang w:val="lt-LT"/>
        </w:rPr>
      </w:pPr>
      <w:r w:rsidRPr="00C326B9">
        <w:rPr>
          <w:sz w:val="22"/>
          <w:szCs w:val="22"/>
          <w:lang w:val="lt-LT"/>
        </w:rPr>
        <w:t>(arba) silpnumas, mieguistumas, sujaudinimas, kvėpavimo sutrikimas ir apsunkintas maitinimas. Jeigu</w:t>
      </w:r>
    </w:p>
    <w:p w:rsidR="001F5325" w:rsidRPr="00C326B9" w:rsidRDefault="001F5325" w:rsidP="001F5325">
      <w:pPr>
        <w:autoSpaceDE w:val="0"/>
        <w:autoSpaceDN w:val="0"/>
        <w:adjustRightInd w:val="0"/>
        <w:rPr>
          <w:sz w:val="22"/>
          <w:szCs w:val="22"/>
          <w:lang w:val="lt-LT"/>
        </w:rPr>
      </w:pPr>
      <w:r w:rsidRPr="00C326B9">
        <w:rPr>
          <w:sz w:val="22"/>
          <w:szCs w:val="22"/>
          <w:lang w:val="lt-LT"/>
        </w:rPr>
        <w:t>Jūsų kūdikiui atsirastų bet kuris iš šių simptomų, Jums gali reikėti kreiptis į gydytoją.</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b/>
          <w:sz w:val="22"/>
          <w:szCs w:val="22"/>
          <w:lang w:val="lt-LT"/>
        </w:rPr>
      </w:pPr>
      <w:r w:rsidRPr="00C326B9">
        <w:rPr>
          <w:b/>
          <w:sz w:val="22"/>
          <w:szCs w:val="22"/>
          <w:lang w:val="lt-LT"/>
        </w:rPr>
        <w:t>Vairavimas ir mechanizmų valdymas</w:t>
      </w:r>
    </w:p>
    <w:p w:rsidR="001F5325" w:rsidRPr="00C326B9" w:rsidRDefault="001F5325" w:rsidP="001F5325">
      <w:pPr>
        <w:autoSpaceDE w:val="0"/>
        <w:autoSpaceDN w:val="0"/>
        <w:adjustRightInd w:val="0"/>
        <w:rPr>
          <w:sz w:val="22"/>
          <w:szCs w:val="22"/>
          <w:lang w:val="lt-LT"/>
        </w:rPr>
      </w:pPr>
      <w:r w:rsidRPr="00C326B9">
        <w:rPr>
          <w:sz w:val="22"/>
          <w:szCs w:val="22"/>
          <w:lang w:val="lt-LT"/>
        </w:rPr>
        <w:t>Vartodami ZOLAFREN, galite jaustis apsnūdę. Jei taip atsitiktų, nevairuokite, nevaldykite mechanizmų ir praneškite apie tai gydytojui.</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sz w:val="22"/>
          <w:szCs w:val="22"/>
          <w:lang w:val="lt-LT"/>
        </w:rPr>
      </w:pPr>
      <w:r w:rsidRPr="00C326B9">
        <w:rPr>
          <w:b/>
          <w:sz w:val="22"/>
          <w:szCs w:val="22"/>
          <w:lang w:val="lt-LT"/>
        </w:rPr>
        <w:t xml:space="preserve">ZOLAFREN </w:t>
      </w:r>
      <w:r w:rsidRPr="00C326B9">
        <w:rPr>
          <w:b/>
          <w:bCs/>
          <w:sz w:val="22"/>
          <w:szCs w:val="22"/>
          <w:lang w:val="lt-LT"/>
        </w:rPr>
        <w:t>sudėtyje</w:t>
      </w:r>
      <w:r w:rsidRPr="00C326B9">
        <w:rPr>
          <w:b/>
          <w:sz w:val="22"/>
          <w:szCs w:val="22"/>
          <w:lang w:val="lt-LT"/>
        </w:rPr>
        <w:t xml:space="preserve"> yra laktozės</w:t>
      </w:r>
    </w:p>
    <w:p w:rsidR="001F5325" w:rsidRPr="00C326B9" w:rsidRDefault="001F5325" w:rsidP="001F5325">
      <w:pPr>
        <w:autoSpaceDE w:val="0"/>
        <w:autoSpaceDN w:val="0"/>
        <w:adjustRightInd w:val="0"/>
        <w:rPr>
          <w:sz w:val="22"/>
          <w:szCs w:val="22"/>
          <w:lang w:val="lt-LT"/>
        </w:rPr>
      </w:pPr>
      <w:r w:rsidRPr="00C326B9">
        <w:rPr>
          <w:sz w:val="22"/>
          <w:szCs w:val="22"/>
          <w:lang w:val="lt-LT"/>
        </w:rPr>
        <w:t>ZOLAFREN tabletėse yra laktozės. Jeigu gydytojas Jums yra sakęs, kad netoleruojate kokių nors angliavandenių, kreipkitės į jį prieš pradėdami vartoti šį vaistą.</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3. </w:t>
      </w:r>
      <w:r w:rsidRPr="00C326B9">
        <w:rPr>
          <w:b/>
          <w:sz w:val="22"/>
          <w:szCs w:val="22"/>
          <w:lang w:val="lt-LT"/>
        </w:rPr>
        <w:tab/>
        <w:t>Kaip vartoti ZOLAFREN</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Šį vaistą visada vartokite tiksliai kaip nurodė gydytojas. Jeigu abejojate, kreipkitės į gydytoją arba</w:t>
      </w:r>
    </w:p>
    <w:p w:rsidR="001F5325" w:rsidRPr="00C326B9" w:rsidRDefault="001F5325" w:rsidP="001F5325">
      <w:pPr>
        <w:autoSpaceDE w:val="0"/>
        <w:autoSpaceDN w:val="0"/>
        <w:adjustRightInd w:val="0"/>
        <w:rPr>
          <w:sz w:val="22"/>
          <w:szCs w:val="22"/>
          <w:lang w:val="lt-LT"/>
        </w:rPr>
      </w:pPr>
      <w:r w:rsidRPr="00C326B9">
        <w:rPr>
          <w:sz w:val="22"/>
          <w:szCs w:val="22"/>
          <w:lang w:val="lt-LT"/>
        </w:rPr>
        <w:t>vaistininką.</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Gydytojas pasakys, po kiek ZOLAFREN tablečių gerti ir kiek laiko jų vartoti. Šio vaisto paros dozė yra 5 - 20 mg. Pasitarkite su savo gydytoju, jeigu ligos simptomai atsinaujintų, tačiau nenustokite vartoti ZOLAFREN, nebent tai padaryti nurodytų gydytojas.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ZOLAFREN tabletes reikia vartoti vieną kartą per parą taip, kaip nurodė gydytojas. Pasistenkite jas gerti kiekvieną dieną tokiu pačiu laiku, nesvarbu, ar valgydami, ar tarp valgių. ZOLAFREN tabletės yra geriamasis vaistas. Jas reikia nuryti nekramtytas, užgeriant vandeniu.</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sz w:val="22"/>
          <w:szCs w:val="22"/>
          <w:lang w:val="lt-LT"/>
        </w:rPr>
      </w:pPr>
      <w:r w:rsidRPr="00C326B9">
        <w:rPr>
          <w:b/>
          <w:sz w:val="22"/>
          <w:szCs w:val="22"/>
          <w:lang w:val="lt-LT"/>
        </w:rPr>
        <w:t>Pavartojus per didelę ZOLAFREN dozę</w:t>
      </w:r>
    </w:p>
    <w:p w:rsidR="001F5325" w:rsidRPr="00C326B9" w:rsidRDefault="001F5325" w:rsidP="001F5325">
      <w:pPr>
        <w:autoSpaceDE w:val="0"/>
        <w:autoSpaceDN w:val="0"/>
        <w:adjustRightInd w:val="0"/>
        <w:rPr>
          <w:sz w:val="22"/>
          <w:szCs w:val="22"/>
          <w:lang w:val="lt-LT"/>
        </w:rPr>
      </w:pPr>
      <w:r w:rsidRPr="00C326B9">
        <w:rPr>
          <w:sz w:val="22"/>
          <w:szCs w:val="22"/>
          <w:lang w:val="lt-LT"/>
        </w:rPr>
        <w:t>Iš karto išgėrus daugiau, negu reikia ZOLAFREN tablečių, gali atsirasti tokių simptomų: greitas širdies plakimas, sujaudinimas arba agresyvumas, kalbos sutrikimas, neįprasti judesiai (ypač veido ar liežuvio) bei sąmonės pritemimas. Galimi ir kitokie simptomai: ūmus sumišimas, traukuliai (epilepsiniai), koma, simptomų: karščiavimo, kvėpavimo pagreitėjimo, prakaitavimo, raumenų sąstingio ir apsnūdimo arba mieguistumo, derinys, kvėpavimo sulėtėjimas, aspiracija, didelis arba mažas kraujospūdis, nenormalus širdies ritmas. Jeigu pasireiškė bet kuris anksčiau nurodytas simptomas, nedelsdami kreipkitės į gydytoją ar iš karto vykite į ligoninę. Gydytojui parodykite tablečių pakuotę.</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bCs/>
          <w:sz w:val="22"/>
          <w:szCs w:val="22"/>
          <w:lang w:val="lt-LT"/>
        </w:rPr>
      </w:pPr>
      <w:r w:rsidRPr="00C326B9">
        <w:rPr>
          <w:b/>
          <w:sz w:val="22"/>
          <w:szCs w:val="22"/>
          <w:lang w:val="lt-LT"/>
        </w:rPr>
        <w:t>Pamiršus pavartoti ZOLAFREN</w:t>
      </w:r>
    </w:p>
    <w:p w:rsidR="001F5325" w:rsidRPr="00C326B9" w:rsidRDefault="001F5325" w:rsidP="001F5325">
      <w:pPr>
        <w:autoSpaceDE w:val="0"/>
        <w:autoSpaceDN w:val="0"/>
        <w:adjustRightInd w:val="0"/>
        <w:rPr>
          <w:sz w:val="22"/>
          <w:szCs w:val="22"/>
          <w:lang w:val="lt-LT"/>
        </w:rPr>
      </w:pPr>
      <w:r w:rsidRPr="00C326B9">
        <w:rPr>
          <w:sz w:val="22"/>
          <w:szCs w:val="22"/>
          <w:lang w:val="lt-LT"/>
        </w:rPr>
        <w:t>Tabletes išgerkite tuojau pat prisiminę. Dviejų dozių per dieną gerti negalima.</w:t>
      </w:r>
    </w:p>
    <w:p w:rsidR="001F5325" w:rsidRPr="00C326B9" w:rsidRDefault="001F5325" w:rsidP="001F5325">
      <w:pPr>
        <w:autoSpaceDE w:val="0"/>
        <w:autoSpaceDN w:val="0"/>
        <w:adjustRightInd w:val="0"/>
        <w:rPr>
          <w:sz w:val="22"/>
          <w:szCs w:val="22"/>
          <w:lang w:val="lt-LT"/>
        </w:rPr>
      </w:pPr>
      <w:r w:rsidRPr="00C326B9">
        <w:rPr>
          <w:sz w:val="22"/>
          <w:szCs w:val="22"/>
          <w:lang w:val="lt-LT"/>
        </w:rPr>
        <w:t>Jeigu kiltų bet kokių klausimų dėl šio vaisto vartojimo, kreipkitės į gydytoją arba vaistininką.</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bCs/>
          <w:sz w:val="22"/>
          <w:szCs w:val="22"/>
          <w:lang w:val="lt-LT"/>
        </w:rPr>
      </w:pPr>
      <w:r w:rsidRPr="00C326B9">
        <w:rPr>
          <w:b/>
          <w:bCs/>
          <w:sz w:val="22"/>
          <w:szCs w:val="22"/>
          <w:lang w:val="lt-LT"/>
        </w:rPr>
        <w:t>Nustojus vartoti ZOLAFREN</w:t>
      </w:r>
    </w:p>
    <w:p w:rsidR="001F5325" w:rsidRPr="00C326B9" w:rsidRDefault="001F5325" w:rsidP="001F5325">
      <w:pPr>
        <w:autoSpaceDE w:val="0"/>
        <w:autoSpaceDN w:val="0"/>
        <w:adjustRightInd w:val="0"/>
        <w:rPr>
          <w:sz w:val="22"/>
          <w:szCs w:val="22"/>
          <w:lang w:val="lt-LT"/>
        </w:rPr>
      </w:pPr>
      <w:r w:rsidRPr="00C326B9">
        <w:rPr>
          <w:sz w:val="22"/>
          <w:szCs w:val="22"/>
          <w:lang w:val="lt-LT"/>
        </w:rPr>
        <w:t>Jeigu jaučiatės geriau, tablečių vartojimo nutraukti negalima. Svarbu ZYPREXA vartoti tol, kol</w:t>
      </w:r>
    </w:p>
    <w:p w:rsidR="001F5325" w:rsidRPr="00C326B9" w:rsidRDefault="001F5325" w:rsidP="001F5325">
      <w:pPr>
        <w:autoSpaceDE w:val="0"/>
        <w:autoSpaceDN w:val="0"/>
        <w:adjustRightInd w:val="0"/>
        <w:rPr>
          <w:sz w:val="22"/>
          <w:szCs w:val="22"/>
          <w:lang w:val="lt-LT"/>
        </w:rPr>
      </w:pPr>
      <w:r w:rsidRPr="00C326B9">
        <w:rPr>
          <w:sz w:val="22"/>
          <w:szCs w:val="22"/>
          <w:lang w:val="lt-LT"/>
        </w:rPr>
        <w:t>gydytojas nurodys baigti gydymą.</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Jeigu staigiai nutrauksite ZOLAFREN vartojimą, gali pasireikšti simptomų, pavyzdžiui: prakaitavimas, nemiga, drebulys, nerimas ar pykinimas ir vėmimas. Baigiant gydymą, gydytojas patars dozę mažinti palaipsniui.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b/>
          <w:sz w:val="22"/>
          <w:szCs w:val="22"/>
          <w:lang w:val="lt-LT"/>
        </w:rPr>
      </w:pPr>
      <w:r w:rsidRPr="00C326B9">
        <w:rPr>
          <w:sz w:val="22"/>
          <w:szCs w:val="22"/>
          <w:lang w:val="lt-LT"/>
        </w:rPr>
        <w:t>Jeigu kiltų daugiau klausimų dėl šio vaisto vartojimo, kreipkitės į gydytoją arba vaistininką.</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4. </w:t>
      </w:r>
      <w:r w:rsidRPr="00C326B9">
        <w:rPr>
          <w:b/>
          <w:sz w:val="22"/>
          <w:szCs w:val="22"/>
          <w:lang w:val="lt-LT"/>
        </w:rPr>
        <w:tab/>
        <w:t>Galimas šalutinis poveikis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Šis vaistas, kaip ir visi kiti, gali sukelti šalutinį poveikį, nors jis pasireiškia ne visiems žmonėms.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tabs>
          <w:tab w:val="left" w:pos="5085"/>
        </w:tabs>
        <w:autoSpaceDE w:val="0"/>
        <w:autoSpaceDN w:val="0"/>
        <w:adjustRightInd w:val="0"/>
        <w:rPr>
          <w:sz w:val="22"/>
          <w:szCs w:val="22"/>
          <w:lang w:val="lt-LT"/>
        </w:rPr>
      </w:pPr>
      <w:r w:rsidRPr="00C326B9">
        <w:rPr>
          <w:sz w:val="22"/>
          <w:szCs w:val="22"/>
          <w:lang w:val="lt-LT"/>
        </w:rPr>
        <w:t xml:space="preserve">Nedelsdami kreipkitės į gydytoją, jeigu pasireiškia </w:t>
      </w:r>
      <w:r w:rsidRPr="00C326B9">
        <w:rPr>
          <w:sz w:val="22"/>
          <w:szCs w:val="22"/>
          <w:lang w:val="lt-LT"/>
        </w:rPr>
        <w:tab/>
      </w:r>
    </w:p>
    <w:p w:rsidR="001F5325" w:rsidRPr="00C326B9" w:rsidRDefault="001F5325" w:rsidP="001F5325">
      <w:pPr>
        <w:numPr>
          <w:ilvl w:val="0"/>
          <w:numId w:val="19"/>
        </w:numPr>
        <w:autoSpaceDE w:val="0"/>
        <w:autoSpaceDN w:val="0"/>
        <w:adjustRightInd w:val="0"/>
        <w:ind w:left="567" w:hanging="567"/>
        <w:rPr>
          <w:sz w:val="22"/>
          <w:szCs w:val="22"/>
          <w:lang w:val="lt-LT"/>
        </w:rPr>
      </w:pPr>
      <w:r w:rsidRPr="00C326B9">
        <w:rPr>
          <w:sz w:val="22"/>
          <w:szCs w:val="22"/>
          <w:lang w:val="lt-LT"/>
        </w:rPr>
        <w:t>neįprasti dažniausiai veido ar liežuvio judesiai (dažnas šalutinis poveikis, kuris gali pasireikšti</w:t>
      </w:r>
    </w:p>
    <w:p w:rsidR="001F5325" w:rsidRPr="00C326B9" w:rsidRDefault="001F5325" w:rsidP="001F5325">
      <w:pPr>
        <w:tabs>
          <w:tab w:val="left" w:pos="5085"/>
        </w:tabs>
        <w:autoSpaceDE w:val="0"/>
        <w:autoSpaceDN w:val="0"/>
        <w:adjustRightInd w:val="0"/>
        <w:ind w:left="567" w:hanging="567"/>
        <w:rPr>
          <w:sz w:val="22"/>
          <w:szCs w:val="22"/>
          <w:lang w:val="lt-LT"/>
        </w:rPr>
      </w:pPr>
      <w:r w:rsidRPr="00C326B9">
        <w:rPr>
          <w:sz w:val="22"/>
          <w:szCs w:val="22"/>
          <w:lang w:val="lt-LT"/>
        </w:rPr>
        <w:tab/>
        <w:t>ne dažniau kaip 1 iš 10 žmonių);</w:t>
      </w:r>
    </w:p>
    <w:p w:rsidR="001F5325" w:rsidRPr="00C326B9" w:rsidRDefault="001F5325" w:rsidP="001F5325">
      <w:pPr>
        <w:numPr>
          <w:ilvl w:val="0"/>
          <w:numId w:val="19"/>
        </w:numPr>
        <w:autoSpaceDE w:val="0"/>
        <w:autoSpaceDN w:val="0"/>
        <w:adjustRightInd w:val="0"/>
        <w:ind w:left="567" w:hanging="567"/>
        <w:rPr>
          <w:sz w:val="22"/>
          <w:szCs w:val="22"/>
          <w:lang w:val="lt-LT"/>
        </w:rPr>
      </w:pPr>
      <w:r w:rsidRPr="00C326B9">
        <w:rPr>
          <w:sz w:val="22"/>
          <w:szCs w:val="22"/>
          <w:lang w:val="lt-LT"/>
        </w:rPr>
        <w:t>kraujo krešuliai (nedažnas šalutinis poveikis, kuris gali pasireikšti ne dažniau kaip 1 iš 100</w:t>
      </w:r>
    </w:p>
    <w:p w:rsidR="001F5325" w:rsidRPr="00C326B9" w:rsidRDefault="001F5325" w:rsidP="001F5325">
      <w:pPr>
        <w:autoSpaceDE w:val="0"/>
        <w:autoSpaceDN w:val="0"/>
        <w:adjustRightInd w:val="0"/>
        <w:ind w:left="567"/>
        <w:rPr>
          <w:sz w:val="22"/>
          <w:szCs w:val="22"/>
          <w:lang w:val="lt-LT"/>
        </w:rPr>
      </w:pPr>
      <w:r w:rsidRPr="00C326B9">
        <w:rPr>
          <w:sz w:val="22"/>
          <w:szCs w:val="22"/>
          <w:lang w:val="lt-LT"/>
        </w:rPr>
        <w:t>žmonių) venose, ypač kojų venose (simptomai yra kojų patinimas, skausmas ir paraudimas), iš</w:t>
      </w:r>
    </w:p>
    <w:p w:rsidR="001F5325" w:rsidRPr="00C326B9" w:rsidRDefault="001F5325" w:rsidP="001F5325">
      <w:pPr>
        <w:autoSpaceDE w:val="0"/>
        <w:autoSpaceDN w:val="0"/>
        <w:adjustRightInd w:val="0"/>
        <w:ind w:left="567"/>
        <w:rPr>
          <w:sz w:val="22"/>
          <w:szCs w:val="22"/>
          <w:lang w:val="lt-LT"/>
        </w:rPr>
      </w:pPr>
      <w:r w:rsidRPr="00C326B9">
        <w:rPr>
          <w:sz w:val="22"/>
          <w:szCs w:val="22"/>
          <w:lang w:val="lt-LT"/>
        </w:rPr>
        <w:t>kur krešuliai gali kraujagyslėmis nukeliauti į plaučius, sukeldami krūtinės skausmą ir kvėpavimo pasunkėjimą. Jeigu pastebėjote kurį nors iš šių simptomų, nedelsdami kreipkitės į gydytoją;</w:t>
      </w:r>
    </w:p>
    <w:p w:rsidR="001F5325" w:rsidRPr="00C326B9" w:rsidRDefault="001F5325" w:rsidP="001F5325">
      <w:pPr>
        <w:numPr>
          <w:ilvl w:val="0"/>
          <w:numId w:val="19"/>
        </w:numPr>
        <w:autoSpaceDE w:val="0"/>
        <w:autoSpaceDN w:val="0"/>
        <w:adjustRightInd w:val="0"/>
        <w:ind w:left="567" w:hanging="567"/>
        <w:rPr>
          <w:sz w:val="22"/>
          <w:szCs w:val="22"/>
          <w:lang w:val="lt-LT"/>
        </w:rPr>
      </w:pPr>
      <w:r w:rsidRPr="00C326B9">
        <w:rPr>
          <w:sz w:val="22"/>
          <w:szCs w:val="22"/>
          <w:lang w:val="lt-LT"/>
        </w:rPr>
        <w:t>karščiavimo, dažno kvėpavimo, prakaitavimo, raumenų sąstingio ir apsnūdimo ar mieguistumo simptomų derinys (retas šalutinis poveikis, kuris gali pasireikšti ne dažniau kaip 1 iš 1000 žmonių).</w:t>
      </w:r>
    </w:p>
    <w:p w:rsidR="001F5325" w:rsidRPr="00C326B9" w:rsidRDefault="001F5325" w:rsidP="001F5325">
      <w:pPr>
        <w:tabs>
          <w:tab w:val="left" w:pos="5085"/>
        </w:tabs>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Labai dažnas šalutinis poveikis (gali pasireikšti dažniau kaip 1 iš 10 žmonių) yra kūno masės</w:t>
      </w:r>
    </w:p>
    <w:p w:rsidR="001F5325" w:rsidRPr="00C326B9" w:rsidRDefault="001F5325" w:rsidP="001F5325">
      <w:pPr>
        <w:autoSpaceDE w:val="0"/>
        <w:autoSpaceDN w:val="0"/>
        <w:adjustRightInd w:val="0"/>
        <w:rPr>
          <w:sz w:val="22"/>
          <w:szCs w:val="22"/>
          <w:lang w:val="lt-LT"/>
        </w:rPr>
      </w:pPr>
      <w:r w:rsidRPr="00C326B9">
        <w:rPr>
          <w:sz w:val="22"/>
          <w:szCs w:val="22"/>
          <w:lang w:val="lt-LT"/>
        </w:rPr>
        <w:t>didėjimas, mieguistumas ir prolaktino koncentracijos kraujyje padidėjimas. Gydymo pradžioje kai kuriems žmonėms gali pasireikšti svaigulys ar alpimas (suretėjus širdies plakimui), ypač atsistojant iš gulimos ar sėdimos padėties. Tai paprastai praeina savaime, bet jeigu poveikis neišnyksta, kreipkitės į savo gydytoją.</w:t>
      </w:r>
    </w:p>
    <w:p w:rsidR="001F5325" w:rsidRPr="00C326B9" w:rsidRDefault="001F5325" w:rsidP="001F5325">
      <w:pPr>
        <w:tabs>
          <w:tab w:val="left" w:pos="5085"/>
        </w:tabs>
        <w:autoSpaceDE w:val="0"/>
        <w:autoSpaceDN w:val="0"/>
        <w:adjustRightInd w:val="0"/>
        <w:rPr>
          <w:sz w:val="22"/>
          <w:szCs w:val="22"/>
          <w:lang w:val="lt-LT"/>
        </w:rPr>
      </w:pPr>
    </w:p>
    <w:p w:rsidR="001F5325" w:rsidRPr="00C326B9" w:rsidRDefault="001F5325" w:rsidP="001F5325">
      <w:pPr>
        <w:tabs>
          <w:tab w:val="left" w:pos="5085"/>
        </w:tabs>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Dažnas šalutinis poveikis (gali pasireikšti ne dažniau kaip 1 iš 10 žmonių) yra kai kurių kraujo ląstelių kiekio, riebiųjų medžiagų koncentracijos kraujyje pokyčiai ir laikinas kepenų fermentų suaktyvėjimas gydymo pradžioje,  gliukozės koncentracijos kraujyje ir šlapime padidėjimas, šlapimo rūgšties koncentracijos kraujyje padidėjimas ir šarminės fosfatazės suaktyvėjimas kraujyje, didesnis alkio pojūtis, galvos svaigimas, nerimastingumas, drebulys, neįprasti judesiai (diskinezijos), vidurių užkietėjimas, burnos džiūvimas, išbėrimas, silpnumas, labai didelis nuovargis, vandens kaupimasis, sukeliantis rankų, kulkšnių ir pėdų patinimą, karščiavimas, sąnarių skausmas  ir lytinės funkcijos sutrikimas, pavyzdžiui: lytinio potraukio susilpnėjimas vyrams ir moterims arba erekcijos funkcijos sutrikimas vyrams.    </w:t>
      </w:r>
    </w:p>
    <w:p w:rsidR="001F5325" w:rsidRPr="00C326B9" w:rsidRDefault="001F5325" w:rsidP="001F5325">
      <w:pPr>
        <w:tabs>
          <w:tab w:val="left" w:pos="5085"/>
        </w:tabs>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Nedažnas šalutinis poveikis (gali pasireikšti ne dažniau kaip 1 iš 100 žmonių) yra padidėjusio jautrumo reakcijos (pvz., burnos ir gerklės patinimas, niežulys, bėrimas), diabetas ar diabeto pasunkėjimas, kartais susijęs su ketoacidoze (ketoninės </w:t>
      </w:r>
      <w:r w:rsidRPr="00C326B9">
        <w:rPr>
          <w:sz w:val="22"/>
          <w:szCs w:val="22"/>
          <w:lang w:val="lt-LT"/>
        </w:rPr>
        <w:lastRenderedPageBreak/>
        <w:t>medžiagos kraujyje ir šlapime) arba koma; bendrojo bilirubino koncentracijos padidėjimas, priepuoliai, dažniausiai susiję su buvusiais priepuoliais (epilepsija); raumenų sąstingis ar spazmai (įskaitant akių judesius), kalbos sutrikimas; retas pulsas, tromboembolija, padidėjęs jautrumas saulės šviesai, kraujavimas iš nosies, pilvo pūtimas, atminties praradimas arba užmaršumas, šlapimo nelaikymas, nesugebėjimas šlapintis, plaukų slinkimas, mėnesinių nebuvimas arba sumažėjimas ir krūtų pokyčiai vyrams ir moterims, pavyzdžiui: nenormali pieno gamyba arba nenormalus krūtų padidėjimas.</w:t>
      </w:r>
    </w:p>
    <w:p w:rsidR="001F5325" w:rsidRPr="00C326B9" w:rsidRDefault="001F5325" w:rsidP="001F5325">
      <w:pPr>
        <w:tabs>
          <w:tab w:val="left" w:pos="5085"/>
        </w:tabs>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Retas šalutinis poveikis (gali pasireikšti ne dažniau kaip 1 iš 1 000 žmonių) yra </w:t>
      </w:r>
    </w:p>
    <w:p w:rsidR="001F5325" w:rsidRPr="00C326B9" w:rsidRDefault="001F5325" w:rsidP="001F5325">
      <w:pPr>
        <w:autoSpaceDE w:val="0"/>
        <w:autoSpaceDN w:val="0"/>
        <w:adjustRightInd w:val="0"/>
        <w:rPr>
          <w:sz w:val="22"/>
          <w:szCs w:val="22"/>
          <w:lang w:val="lt-LT"/>
        </w:rPr>
      </w:pPr>
      <w:r w:rsidRPr="00C326B9">
        <w:rPr>
          <w:sz w:val="22"/>
          <w:szCs w:val="22"/>
          <w:lang w:val="lt-LT"/>
        </w:rPr>
        <w:t>normalios kūno temperatūros sumažėjimas, nenormalus širdies plakimas, staigi mirtis dėl neaiškių priežasčių, kasos uždegimas, sukeliantis smarkų pilvo skausmą, karščiavimą ir vėmimą, kepenų liga, pasireiškianti odos ir akių baltymo pageltimu, raumenų liga, pasireiškianti raumenų diegliais ir skausmu dėl neaiškių priežasčių, ilgalaikė ir (arba) skausminga erekcija, nutraukimo</w:t>
      </w: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simptomai. </w:t>
      </w:r>
    </w:p>
    <w:p w:rsidR="001F5325" w:rsidRPr="00C326B9" w:rsidRDefault="001F5325" w:rsidP="001F5325">
      <w:pPr>
        <w:tabs>
          <w:tab w:val="left" w:pos="5085"/>
        </w:tabs>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Senyvi demencija sergantys pacientai, vartodami olanzapiną, gali susirgti insultu, pneumonija, šlapimo</w:t>
      </w:r>
    </w:p>
    <w:p w:rsidR="001F5325" w:rsidRPr="00C326B9" w:rsidRDefault="001F5325" w:rsidP="001F5325">
      <w:pPr>
        <w:autoSpaceDE w:val="0"/>
        <w:autoSpaceDN w:val="0"/>
        <w:adjustRightInd w:val="0"/>
        <w:rPr>
          <w:sz w:val="22"/>
          <w:szCs w:val="22"/>
          <w:lang w:val="lt-LT"/>
        </w:rPr>
      </w:pPr>
      <w:r w:rsidRPr="00C326B9">
        <w:rPr>
          <w:sz w:val="22"/>
          <w:szCs w:val="22"/>
          <w:lang w:val="lt-LT"/>
        </w:rPr>
        <w:t>nelaikymu, gali nugriūti, jiems gali atsirasti didžiulis nuovargis, regos haliucinacijos, padidėti kūno</w:t>
      </w:r>
    </w:p>
    <w:p w:rsidR="001F5325" w:rsidRPr="00C326B9" w:rsidRDefault="001F5325" w:rsidP="001F5325">
      <w:pPr>
        <w:autoSpaceDE w:val="0"/>
        <w:autoSpaceDN w:val="0"/>
        <w:adjustRightInd w:val="0"/>
        <w:rPr>
          <w:sz w:val="22"/>
          <w:szCs w:val="22"/>
          <w:lang w:val="lt-LT"/>
        </w:rPr>
      </w:pPr>
      <w:r w:rsidRPr="00C326B9">
        <w:rPr>
          <w:sz w:val="22"/>
          <w:szCs w:val="22"/>
          <w:lang w:val="lt-LT"/>
        </w:rPr>
        <w:t>temperatūra, parausti oda bei gali būti sunku vaikščioti. Buvo keli šios grupės pacientų mirties atvejai.</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Sergantiesiems Parkinsono liga ZOLAFREN gali pabloginti šios ligos simptomus.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rPr>
          <w:noProof/>
          <w:sz w:val="22"/>
          <w:szCs w:val="22"/>
          <w:lang w:val="lt-LT"/>
        </w:rPr>
      </w:pPr>
      <w:r w:rsidRPr="00C326B9">
        <w:rPr>
          <w:b/>
          <w:noProof/>
          <w:sz w:val="22"/>
          <w:szCs w:val="22"/>
          <w:lang w:val="lt-LT"/>
        </w:rPr>
        <w:t>Pranešimas apie šalutinį poveikį</w:t>
      </w:r>
    </w:p>
    <w:p w:rsidR="001F5325" w:rsidRPr="00C326B9" w:rsidRDefault="001F5325" w:rsidP="001F5325">
      <w:pPr>
        <w:autoSpaceDE w:val="0"/>
        <w:autoSpaceDN w:val="0"/>
        <w:adjustRightInd w:val="0"/>
        <w:rPr>
          <w:sz w:val="22"/>
          <w:szCs w:val="22"/>
          <w:lang w:val="lt-LT"/>
        </w:rPr>
      </w:pPr>
      <w:r w:rsidRPr="00C326B9">
        <w:rPr>
          <w:sz w:val="22"/>
          <w:szCs w:val="22"/>
          <w:lang w:val="lt-LT"/>
        </w:rPr>
        <w:t>Jeigu pasireiškė šalutinis poveikis, įskaitant šiame lapelyje nenurodytą, pasakykite gydytojui arba</w:t>
      </w:r>
    </w:p>
    <w:p w:rsidR="00272D2E" w:rsidRPr="00272D2E" w:rsidRDefault="001F5325" w:rsidP="00272D2E">
      <w:pPr>
        <w:tabs>
          <w:tab w:val="left" w:pos="5085"/>
        </w:tabs>
        <w:autoSpaceDE w:val="0"/>
        <w:autoSpaceDN w:val="0"/>
        <w:adjustRightInd w:val="0"/>
        <w:rPr>
          <w:sz w:val="22"/>
          <w:lang w:val="lt-LT"/>
        </w:rPr>
      </w:pPr>
      <w:r w:rsidRPr="00C326B9">
        <w:rPr>
          <w:sz w:val="22"/>
          <w:szCs w:val="22"/>
          <w:lang w:val="lt-LT"/>
        </w:rPr>
        <w:t>vaistininkui.</w:t>
      </w:r>
      <w:r w:rsidRPr="00C326B9">
        <w:rPr>
          <w:noProof/>
          <w:sz w:val="22"/>
          <w:szCs w:val="22"/>
          <w:lang w:val="lt-LT"/>
        </w:rPr>
        <w:t xml:space="preserve"> </w:t>
      </w:r>
      <w:r w:rsidR="00272D2E" w:rsidRPr="00C1292C">
        <w:rPr>
          <w:sz w:val="22"/>
          <w:lang w:val="lt-LT"/>
        </w:rPr>
        <w:t>Apie šalutinį poveikį taip pat galite pranešti Valstybinei vaistų kontrolės tarnybai prie Lietuvos Respublikos sveikatos apsaugos ministerijos nemokamu t</w:t>
      </w:r>
      <w:r w:rsidR="00272D2E" w:rsidRPr="00C1292C">
        <w:rPr>
          <w:sz w:val="22"/>
          <w:lang w:val="lt-LT" w:eastAsia="zh-CN"/>
        </w:rPr>
        <w:t>elefonu 8 800 73568</w:t>
      </w:r>
      <w:r w:rsidR="00272D2E" w:rsidRPr="00C1292C">
        <w:rPr>
          <w:sz w:val="22"/>
          <w:lang w:val="lt-LT"/>
        </w:rPr>
        <w:t xml:space="preserve"> arba užpildyti interneto svetainėje </w:t>
      </w:r>
      <w:hyperlink r:id="rId10" w:history="1">
        <w:r w:rsidR="00272D2E" w:rsidRPr="00C1292C">
          <w:rPr>
            <w:rStyle w:val="Hipersaitas"/>
            <w:rFonts w:eastAsia="SimSun"/>
            <w:sz w:val="22"/>
            <w:lang w:val="lt-LT"/>
          </w:rPr>
          <w:t>www.vvkt.lt</w:t>
        </w:r>
      </w:hyperlink>
      <w:r w:rsidR="00272D2E" w:rsidRPr="00C1292C">
        <w:rPr>
          <w:sz w:val="22"/>
          <w:lang w:val="lt-LT"/>
        </w:rPr>
        <w:t xml:space="preserve"> esančią formą ir pateikti ją Valstybinei vaistų kontrolės tarnybai prie Lietuvos Respublikos sveikatos apsaugos ministerijos vienu iš šių būdų: raštu (adresu Žirmūnų g. 139A, LT-09120 Vilnius), </w:t>
      </w:r>
      <w:r w:rsidR="00272D2E" w:rsidRPr="00C1292C">
        <w:rPr>
          <w:sz w:val="22"/>
          <w:lang w:val="lt-LT" w:eastAsia="zh-CN"/>
        </w:rPr>
        <w:t xml:space="preserve">nemokamu </w:t>
      </w:r>
      <w:r w:rsidR="00272D2E" w:rsidRPr="00C1292C">
        <w:rPr>
          <w:sz w:val="22"/>
          <w:lang w:val="lt-LT"/>
        </w:rPr>
        <w:t>fakso numeriu 8 800 20131</w:t>
      </w:r>
      <w:r w:rsidR="00272D2E" w:rsidRPr="00C1292C">
        <w:rPr>
          <w:sz w:val="22"/>
          <w:lang w:val="lt-LT" w:eastAsia="zh-CN"/>
        </w:rPr>
        <w:t xml:space="preserve">, </w:t>
      </w:r>
      <w:r w:rsidR="00272D2E" w:rsidRPr="00C1292C">
        <w:rPr>
          <w:sz w:val="22"/>
          <w:lang w:val="lt-LT"/>
        </w:rPr>
        <w:t xml:space="preserve">el. paštu </w:t>
      </w:r>
      <w:hyperlink r:id="rId11" w:history="1">
        <w:r w:rsidR="00272D2E" w:rsidRPr="00C1292C">
          <w:rPr>
            <w:rStyle w:val="Hipersaitas"/>
            <w:rFonts w:eastAsia="SimSun"/>
            <w:sz w:val="22"/>
            <w:lang w:val="lt-LT"/>
          </w:rPr>
          <w:t>NepageidaujamaR@vvkt.lt</w:t>
        </w:r>
      </w:hyperlink>
      <w:r w:rsidR="00272D2E" w:rsidRPr="00C1292C">
        <w:rPr>
          <w:sz w:val="22"/>
          <w:lang w:val="lt-LT"/>
        </w:rPr>
        <w:t xml:space="preserve">, taip pat per Valstybinės vaistų kontrolės tarnybos prie Lietuvos Respublikos sveikatos apsaugos ministerijos interneto svetainę (adresu </w:t>
      </w:r>
      <w:hyperlink r:id="rId12" w:history="1">
        <w:r w:rsidR="00272D2E" w:rsidRPr="00C1292C">
          <w:rPr>
            <w:rStyle w:val="Hipersaitas"/>
            <w:rFonts w:eastAsia="SimSun"/>
            <w:sz w:val="22"/>
            <w:lang w:val="lt-LT"/>
          </w:rPr>
          <w:t>http://www.vvkt.lt</w:t>
        </w:r>
      </w:hyperlink>
      <w:r w:rsidR="00272D2E" w:rsidRPr="00C1292C">
        <w:rPr>
          <w:sz w:val="22"/>
          <w:lang w:val="lt-LT"/>
        </w:rPr>
        <w:t>). Pranešdami apie šalutinį poveikį galite mums padėti gauti daugiau informacijos apie šio vaisto saugumą.</w:t>
      </w: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5. </w:t>
      </w:r>
      <w:r w:rsidRPr="00C326B9">
        <w:rPr>
          <w:b/>
          <w:sz w:val="22"/>
          <w:szCs w:val="22"/>
          <w:lang w:val="lt-LT"/>
        </w:rPr>
        <w:tab/>
        <w:t xml:space="preserve"> </w:t>
      </w:r>
      <w:r w:rsidRPr="00C326B9">
        <w:rPr>
          <w:b/>
          <w:bCs/>
          <w:sz w:val="22"/>
          <w:szCs w:val="22"/>
          <w:lang w:val="lt-LT"/>
        </w:rPr>
        <w:t>Kaip laikyti</w:t>
      </w:r>
      <w:r w:rsidRPr="00C326B9">
        <w:rPr>
          <w:b/>
          <w:sz w:val="22"/>
          <w:szCs w:val="22"/>
          <w:lang w:val="lt-LT"/>
        </w:rPr>
        <w:t xml:space="preserve"> ZOLAFREN</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Šį vaistą laikykite vaikams nepastebimoje ir nepasiekiamoje vietoje.</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lastRenderedPageBreak/>
        <w:t xml:space="preserve">Ant kartono dėžutės nurodytam tinkamumo laikui pasibaigus, ZOLAFREN vartoti negalima.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Laikyti gamintojo pakuotėje, kad preparatas būtų apsaugotas nuo drėgmės. </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Vaistų negalima išmesti į kanalizaciją arba kartu su buitinėmis atliekomis. Kaip išmesti nereikalingus</w:t>
      </w:r>
    </w:p>
    <w:p w:rsidR="001F5325" w:rsidRPr="00C326B9" w:rsidRDefault="001F5325" w:rsidP="001F5325">
      <w:pPr>
        <w:autoSpaceDE w:val="0"/>
        <w:autoSpaceDN w:val="0"/>
        <w:adjustRightInd w:val="0"/>
        <w:rPr>
          <w:sz w:val="22"/>
          <w:szCs w:val="22"/>
          <w:lang w:val="lt-LT"/>
        </w:rPr>
      </w:pPr>
      <w:r w:rsidRPr="00C326B9">
        <w:rPr>
          <w:sz w:val="22"/>
          <w:szCs w:val="22"/>
          <w:lang w:val="lt-LT"/>
        </w:rPr>
        <w:t>vaistus, klauskite vaistininko. Šios priemonės padės apsaugoti aplinką.</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tabs>
          <w:tab w:val="left" w:pos="567"/>
        </w:tabs>
        <w:autoSpaceDE w:val="0"/>
        <w:autoSpaceDN w:val="0"/>
        <w:adjustRightInd w:val="0"/>
        <w:rPr>
          <w:b/>
          <w:sz w:val="22"/>
          <w:szCs w:val="22"/>
          <w:lang w:val="lt-LT"/>
        </w:rPr>
      </w:pPr>
      <w:r w:rsidRPr="00C326B9">
        <w:rPr>
          <w:b/>
          <w:sz w:val="22"/>
          <w:szCs w:val="22"/>
          <w:lang w:val="lt-LT"/>
        </w:rPr>
        <w:t xml:space="preserve">6. </w:t>
      </w:r>
      <w:r w:rsidRPr="00C326B9">
        <w:rPr>
          <w:b/>
          <w:sz w:val="22"/>
          <w:szCs w:val="22"/>
          <w:lang w:val="lt-LT"/>
        </w:rPr>
        <w:tab/>
      </w:r>
      <w:r w:rsidRPr="00C326B9">
        <w:rPr>
          <w:b/>
          <w:bCs/>
          <w:sz w:val="22"/>
          <w:szCs w:val="22"/>
          <w:lang w:val="lt-LT"/>
        </w:rPr>
        <w:t>Pakuotės turinys ir kita informacija</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r w:rsidRPr="00C326B9">
        <w:rPr>
          <w:b/>
          <w:sz w:val="22"/>
          <w:szCs w:val="22"/>
          <w:lang w:val="lt-LT"/>
        </w:rPr>
        <w:t>ZOLAFREN sudėtyje yra</w:t>
      </w:r>
    </w:p>
    <w:p w:rsidR="001F5325" w:rsidRPr="00C326B9" w:rsidRDefault="001F5325" w:rsidP="001F5325">
      <w:pPr>
        <w:autoSpaceDE w:val="0"/>
        <w:autoSpaceDN w:val="0"/>
        <w:adjustRightInd w:val="0"/>
        <w:ind w:left="180" w:hanging="180"/>
        <w:rPr>
          <w:sz w:val="22"/>
          <w:szCs w:val="22"/>
          <w:lang w:val="lt-LT"/>
        </w:rPr>
      </w:pPr>
      <w:r w:rsidRPr="00C326B9">
        <w:rPr>
          <w:sz w:val="22"/>
          <w:szCs w:val="22"/>
          <w:lang w:val="lt-LT"/>
        </w:rPr>
        <w:t>- Veiklioji medžiaga yra olanzapinas. Vienoje ZOLAFREN tabletėje yra 5 mg arba 10 mg olanzapino. Tikslus jos kiekis nurodytas ant Jūsų ZOLAFREN tablečių pakuotės.</w:t>
      </w:r>
    </w:p>
    <w:p w:rsidR="001F5325" w:rsidRPr="00C326B9" w:rsidRDefault="001F5325" w:rsidP="001F5325">
      <w:pPr>
        <w:autoSpaceDE w:val="0"/>
        <w:autoSpaceDN w:val="0"/>
        <w:adjustRightInd w:val="0"/>
        <w:ind w:left="180" w:hanging="180"/>
        <w:rPr>
          <w:b/>
          <w:sz w:val="22"/>
          <w:szCs w:val="22"/>
          <w:lang w:val="lt-LT"/>
        </w:rPr>
      </w:pPr>
      <w:r w:rsidRPr="00C326B9">
        <w:rPr>
          <w:sz w:val="22"/>
          <w:szCs w:val="22"/>
          <w:lang w:val="lt-LT"/>
        </w:rPr>
        <w:t>- Pagalbinės medžiagos:  laktozės monohidratas, mikrokristalinė celiuliozė, magnio stearata</w:t>
      </w:r>
      <w:r w:rsidRPr="00C326B9">
        <w:rPr>
          <w:rStyle w:val="rvts9"/>
          <w:color w:val="000000"/>
          <w:sz w:val="22"/>
          <w:szCs w:val="22"/>
          <w:lang w:val="lt-LT"/>
        </w:rPr>
        <w:t>s, karboksimetilkrakmolo A natrio druska</w:t>
      </w:r>
    </w:p>
    <w:p w:rsidR="001F5325" w:rsidRPr="00C326B9" w:rsidRDefault="001F5325" w:rsidP="001F5325">
      <w:pPr>
        <w:autoSpaceDE w:val="0"/>
        <w:autoSpaceDN w:val="0"/>
        <w:adjustRightInd w:val="0"/>
        <w:rPr>
          <w:b/>
          <w:sz w:val="22"/>
          <w:szCs w:val="22"/>
          <w:lang w:val="lt-LT"/>
        </w:rPr>
      </w:pPr>
    </w:p>
    <w:p w:rsidR="001F5325" w:rsidRPr="00C326B9" w:rsidRDefault="001F5325" w:rsidP="001F5325">
      <w:pPr>
        <w:autoSpaceDE w:val="0"/>
        <w:autoSpaceDN w:val="0"/>
        <w:adjustRightInd w:val="0"/>
        <w:rPr>
          <w:b/>
          <w:sz w:val="22"/>
          <w:szCs w:val="22"/>
          <w:lang w:val="lt-LT"/>
        </w:rPr>
      </w:pPr>
      <w:r w:rsidRPr="00C326B9">
        <w:rPr>
          <w:b/>
          <w:sz w:val="22"/>
          <w:szCs w:val="22"/>
          <w:lang w:val="lt-LT"/>
        </w:rPr>
        <w:t>Kaip atrodo ZOLAFREN ir jo pakuotės turinys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rPr>
          <w:sz w:val="22"/>
          <w:szCs w:val="22"/>
          <w:lang w:val="lt-LT"/>
        </w:rPr>
      </w:pPr>
      <w:r w:rsidRPr="00C326B9">
        <w:rPr>
          <w:sz w:val="22"/>
          <w:szCs w:val="22"/>
          <w:lang w:val="lt-LT"/>
        </w:rPr>
        <w:t xml:space="preserve">ZOLAFREN 5 mg tabletės yra apvalios, geltonos, abipusiai išgaubtos, su laužimo vagele vienoje pusėje. Tabletę galima </w:t>
      </w:r>
      <w:r w:rsidRPr="00C326B9">
        <w:rPr>
          <w:sz w:val="22"/>
          <w:szCs w:val="22"/>
        </w:rPr>
        <w:t>padalyti į lygias dozes.</w:t>
      </w:r>
    </w:p>
    <w:p w:rsidR="001F5325" w:rsidRPr="00C326B9" w:rsidRDefault="001F5325" w:rsidP="001F5325">
      <w:pPr>
        <w:rPr>
          <w:sz w:val="22"/>
          <w:szCs w:val="22"/>
          <w:lang w:val="lt-LT"/>
        </w:rPr>
      </w:pPr>
      <w:r w:rsidRPr="00C326B9">
        <w:rPr>
          <w:sz w:val="22"/>
          <w:szCs w:val="22"/>
          <w:lang w:val="lt-LT"/>
        </w:rPr>
        <w:t>ZOLAFREN 10 mg tabletės yra apvalios, geltonos, abipusiai išgaubtos.</w:t>
      </w:r>
    </w:p>
    <w:p w:rsidR="001F5325" w:rsidRPr="00C326B9" w:rsidRDefault="001F5325" w:rsidP="001F5325">
      <w:pPr>
        <w:autoSpaceDE w:val="0"/>
        <w:autoSpaceDN w:val="0"/>
        <w:adjustRightInd w:val="0"/>
        <w:rPr>
          <w:sz w:val="22"/>
          <w:szCs w:val="22"/>
          <w:lang w:val="lt-LT"/>
        </w:rPr>
      </w:pP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ZOLAFREN pakuotėje yra 28 arba 56 tabletės. </w:t>
      </w:r>
    </w:p>
    <w:p w:rsidR="001F5325" w:rsidRPr="00C326B9" w:rsidRDefault="001F5325" w:rsidP="001F5325">
      <w:pPr>
        <w:autoSpaceDE w:val="0"/>
        <w:autoSpaceDN w:val="0"/>
        <w:adjustRightInd w:val="0"/>
        <w:rPr>
          <w:sz w:val="22"/>
          <w:szCs w:val="22"/>
          <w:lang w:val="lt-LT"/>
        </w:rPr>
      </w:pPr>
      <w:r w:rsidRPr="00C326B9">
        <w:rPr>
          <w:sz w:val="22"/>
          <w:szCs w:val="22"/>
          <w:lang w:val="lt-LT"/>
        </w:rPr>
        <w:t>Gali būti tiekiamos ne visų dydžių pakuotės.</w:t>
      </w:r>
    </w:p>
    <w:p w:rsidR="00272D2E" w:rsidRDefault="00272D2E" w:rsidP="001F5325">
      <w:pPr>
        <w:autoSpaceDE w:val="0"/>
        <w:autoSpaceDN w:val="0"/>
        <w:adjustRightInd w:val="0"/>
        <w:rPr>
          <w:b/>
          <w:sz w:val="22"/>
          <w:szCs w:val="22"/>
          <w:lang w:val="lt-LT"/>
        </w:rPr>
      </w:pPr>
    </w:p>
    <w:p w:rsidR="001F5325" w:rsidRPr="00C326B9" w:rsidRDefault="00272D2E" w:rsidP="001F5325">
      <w:pPr>
        <w:autoSpaceDE w:val="0"/>
        <w:autoSpaceDN w:val="0"/>
        <w:adjustRightInd w:val="0"/>
        <w:rPr>
          <w:b/>
          <w:sz w:val="22"/>
          <w:szCs w:val="22"/>
          <w:lang w:val="lt-LT"/>
        </w:rPr>
      </w:pPr>
      <w:r>
        <w:rPr>
          <w:b/>
          <w:sz w:val="22"/>
          <w:szCs w:val="22"/>
          <w:lang w:val="lt-LT"/>
        </w:rPr>
        <w:t>Registruotojas</w:t>
      </w:r>
      <w:r w:rsidRPr="00C326B9">
        <w:rPr>
          <w:b/>
          <w:sz w:val="22"/>
          <w:szCs w:val="22"/>
          <w:lang w:val="lt-LT"/>
        </w:rPr>
        <w:t xml:space="preserve"> </w:t>
      </w:r>
      <w:r>
        <w:rPr>
          <w:b/>
          <w:sz w:val="22"/>
          <w:szCs w:val="22"/>
          <w:lang w:val="lt-LT"/>
        </w:rPr>
        <w:t>ir gamintoja</w:t>
      </w:r>
      <w:r w:rsidR="0058353B">
        <w:rPr>
          <w:b/>
          <w:sz w:val="22"/>
          <w:szCs w:val="22"/>
          <w:lang w:val="lt-LT"/>
        </w:rPr>
        <w:t>i</w:t>
      </w:r>
    </w:p>
    <w:p w:rsidR="00272D2E" w:rsidRDefault="00272D2E" w:rsidP="001F5325">
      <w:pPr>
        <w:autoSpaceDE w:val="0"/>
        <w:autoSpaceDN w:val="0"/>
        <w:adjustRightInd w:val="0"/>
        <w:rPr>
          <w:sz w:val="22"/>
          <w:szCs w:val="22"/>
          <w:lang w:val="lt-LT"/>
        </w:rPr>
      </w:pPr>
    </w:p>
    <w:p w:rsidR="001F5325" w:rsidRPr="0058353B" w:rsidRDefault="00272D2E" w:rsidP="001F5325">
      <w:pPr>
        <w:autoSpaceDE w:val="0"/>
        <w:autoSpaceDN w:val="0"/>
        <w:adjustRightInd w:val="0"/>
        <w:rPr>
          <w:i/>
          <w:sz w:val="22"/>
          <w:szCs w:val="22"/>
          <w:lang w:val="lt-LT"/>
        </w:rPr>
      </w:pPr>
      <w:r w:rsidRPr="0058353B">
        <w:rPr>
          <w:i/>
          <w:sz w:val="22"/>
          <w:szCs w:val="22"/>
          <w:lang w:val="lt-LT"/>
        </w:rPr>
        <w:t>Registruotojas</w:t>
      </w:r>
      <w:r w:rsidR="001F5325" w:rsidRPr="0058353B">
        <w:rPr>
          <w:i/>
          <w:sz w:val="22"/>
          <w:szCs w:val="22"/>
          <w:lang w:val="lt-LT"/>
        </w:rPr>
        <w:t xml:space="preserve"> </w:t>
      </w:r>
    </w:p>
    <w:p w:rsidR="001F5325" w:rsidRPr="00C326B9" w:rsidRDefault="001F5325" w:rsidP="001F5325">
      <w:pPr>
        <w:autoSpaceDE w:val="0"/>
        <w:autoSpaceDN w:val="0"/>
        <w:adjustRightInd w:val="0"/>
        <w:rPr>
          <w:sz w:val="22"/>
          <w:szCs w:val="22"/>
          <w:lang w:val="lt-LT"/>
        </w:rPr>
      </w:pPr>
      <w:r w:rsidRPr="00C326B9">
        <w:rPr>
          <w:sz w:val="22"/>
          <w:szCs w:val="22"/>
          <w:lang w:val="lt-LT"/>
        </w:rPr>
        <w:t xml:space="preserve">Adamed Sp. z  o. o. </w:t>
      </w:r>
    </w:p>
    <w:p w:rsidR="001F5325" w:rsidRPr="00C326B9" w:rsidRDefault="001F5325" w:rsidP="001F5325">
      <w:pPr>
        <w:autoSpaceDE w:val="0"/>
        <w:autoSpaceDN w:val="0"/>
        <w:adjustRightInd w:val="0"/>
        <w:rPr>
          <w:rFonts w:eastAsia="Arial Unicode MS"/>
          <w:sz w:val="22"/>
          <w:szCs w:val="22"/>
          <w:lang w:val="lt-LT"/>
        </w:rPr>
      </w:pPr>
      <w:r w:rsidRPr="00C326B9">
        <w:rPr>
          <w:rFonts w:eastAsia="Arial Unicode MS"/>
          <w:sz w:val="22"/>
          <w:szCs w:val="22"/>
          <w:lang w:val="lt-LT"/>
        </w:rPr>
        <w:t>Pieńków 149</w:t>
      </w:r>
    </w:p>
    <w:p w:rsidR="001F5325" w:rsidRPr="00C326B9" w:rsidRDefault="001F5325" w:rsidP="001F5325">
      <w:pPr>
        <w:autoSpaceDE w:val="0"/>
        <w:autoSpaceDN w:val="0"/>
        <w:adjustRightInd w:val="0"/>
        <w:rPr>
          <w:rFonts w:eastAsia="Arial Unicode MS"/>
          <w:sz w:val="22"/>
          <w:szCs w:val="22"/>
          <w:lang w:val="lt-LT"/>
        </w:rPr>
      </w:pPr>
      <w:r w:rsidRPr="00C326B9">
        <w:rPr>
          <w:sz w:val="22"/>
          <w:szCs w:val="22"/>
          <w:lang w:val="lt-LT"/>
        </w:rPr>
        <w:t>05-152 Czosnów</w:t>
      </w:r>
    </w:p>
    <w:p w:rsidR="001F5325" w:rsidRPr="00C326B9" w:rsidRDefault="001F5325" w:rsidP="001F5325">
      <w:pPr>
        <w:rPr>
          <w:rFonts w:eastAsia="Arial Unicode MS"/>
          <w:sz w:val="22"/>
          <w:szCs w:val="22"/>
          <w:lang w:val="lt-LT"/>
        </w:rPr>
      </w:pPr>
      <w:r w:rsidRPr="00C326B9">
        <w:rPr>
          <w:rFonts w:eastAsia="Arial Unicode MS"/>
          <w:sz w:val="22"/>
          <w:szCs w:val="22"/>
          <w:lang w:val="lt-LT"/>
        </w:rPr>
        <w:t>Lenkija</w:t>
      </w:r>
    </w:p>
    <w:p w:rsidR="001F5325" w:rsidRPr="00C326B9" w:rsidRDefault="001F5325" w:rsidP="001F5325">
      <w:pPr>
        <w:rPr>
          <w:b/>
          <w:sz w:val="22"/>
          <w:szCs w:val="22"/>
          <w:lang w:val="lt-LT"/>
        </w:rPr>
      </w:pPr>
    </w:p>
    <w:p w:rsidR="001F5325" w:rsidRPr="0058353B" w:rsidRDefault="001F5325" w:rsidP="001F5325">
      <w:pPr>
        <w:rPr>
          <w:i/>
          <w:sz w:val="22"/>
          <w:szCs w:val="22"/>
          <w:lang w:val="lt-LT"/>
        </w:rPr>
      </w:pPr>
      <w:r w:rsidRPr="0058353B">
        <w:rPr>
          <w:i/>
          <w:sz w:val="22"/>
          <w:szCs w:val="22"/>
          <w:lang w:val="lt-LT"/>
        </w:rPr>
        <w:t xml:space="preserve">Gamintojai: </w:t>
      </w:r>
    </w:p>
    <w:p w:rsidR="001F5325" w:rsidRDefault="001F5325" w:rsidP="001F5325">
      <w:pPr>
        <w:rPr>
          <w:color w:val="000000"/>
          <w:sz w:val="22"/>
          <w:szCs w:val="22"/>
          <w:lang w:val="lt-LT"/>
        </w:rPr>
      </w:pPr>
      <w:r w:rsidRPr="004A4A30">
        <w:rPr>
          <w:sz w:val="22"/>
          <w:szCs w:val="22"/>
          <w:lang w:val="lt-LT" w:eastAsia="lt-LT"/>
        </w:rPr>
        <w:t>Adamed Sp. z o. o.</w:t>
      </w:r>
      <w:r>
        <w:rPr>
          <w:sz w:val="22"/>
          <w:szCs w:val="22"/>
          <w:lang w:val="lt-LT" w:eastAsia="lt-LT"/>
        </w:rPr>
        <w:t xml:space="preserve">, </w:t>
      </w:r>
      <w:r w:rsidRPr="004A4A30">
        <w:rPr>
          <w:sz w:val="22"/>
          <w:szCs w:val="22"/>
          <w:lang w:val="lt-LT" w:eastAsia="lt-LT"/>
        </w:rPr>
        <w:t>Pieńków 149</w:t>
      </w:r>
      <w:r>
        <w:rPr>
          <w:sz w:val="22"/>
          <w:szCs w:val="22"/>
          <w:lang w:val="lt-LT" w:eastAsia="lt-LT"/>
        </w:rPr>
        <w:t xml:space="preserve">, </w:t>
      </w:r>
      <w:r w:rsidRPr="004A4A30">
        <w:rPr>
          <w:sz w:val="22"/>
          <w:szCs w:val="22"/>
          <w:lang w:val="lt-LT" w:eastAsia="lt-LT"/>
        </w:rPr>
        <w:t>05-152 Czosnów</w:t>
      </w:r>
      <w:r>
        <w:rPr>
          <w:sz w:val="22"/>
          <w:szCs w:val="22"/>
          <w:lang w:val="lt-LT" w:eastAsia="lt-LT"/>
        </w:rPr>
        <w:t xml:space="preserve">, </w:t>
      </w:r>
      <w:r w:rsidRPr="004A4A30">
        <w:rPr>
          <w:sz w:val="22"/>
          <w:szCs w:val="22"/>
          <w:lang w:val="lt-LT" w:eastAsia="lt-LT"/>
        </w:rPr>
        <w:t>Lenkija</w:t>
      </w:r>
      <w:r w:rsidRPr="00C326B9">
        <w:rPr>
          <w:color w:val="000000"/>
          <w:sz w:val="22"/>
          <w:szCs w:val="22"/>
          <w:lang w:val="lt-LT"/>
        </w:rPr>
        <w:t xml:space="preserve"> </w:t>
      </w:r>
    </w:p>
    <w:p w:rsidR="001F5325" w:rsidRPr="00C326B9" w:rsidRDefault="001F5325" w:rsidP="001F5325">
      <w:pPr>
        <w:rPr>
          <w:color w:val="000000"/>
          <w:sz w:val="22"/>
          <w:szCs w:val="22"/>
          <w:lang w:val="lt-LT"/>
        </w:rPr>
      </w:pPr>
      <w:r w:rsidRPr="00C326B9">
        <w:rPr>
          <w:color w:val="000000"/>
          <w:sz w:val="22"/>
          <w:szCs w:val="22"/>
          <w:lang w:val="lt-LT"/>
        </w:rPr>
        <w:t>Pabianickie Zakłady Farmaceutyczne Polfa S.A, ul. 5 Marszałka J. Piłsudskiego,95-200 Pabianice,</w:t>
      </w:r>
      <w:r w:rsidRPr="00C326B9">
        <w:rPr>
          <w:sz w:val="22"/>
          <w:szCs w:val="22"/>
          <w:lang w:val="lt-LT"/>
        </w:rPr>
        <w:t xml:space="preserve"> Lenkija</w:t>
      </w:r>
    </w:p>
    <w:p w:rsidR="001F5325" w:rsidRPr="00C326B9" w:rsidRDefault="001F5325" w:rsidP="001F5325">
      <w:pPr>
        <w:autoSpaceDE w:val="0"/>
        <w:autoSpaceDN w:val="0"/>
        <w:adjustRightInd w:val="0"/>
        <w:rPr>
          <w:sz w:val="22"/>
          <w:szCs w:val="22"/>
          <w:lang w:val="lt-LT"/>
        </w:rPr>
      </w:pPr>
    </w:p>
    <w:p w:rsidR="001F5325" w:rsidRPr="004819BB" w:rsidRDefault="00272D2E" w:rsidP="001F5325">
      <w:pPr>
        <w:autoSpaceDE w:val="0"/>
        <w:autoSpaceDN w:val="0"/>
        <w:adjustRightInd w:val="0"/>
        <w:rPr>
          <w:b/>
          <w:sz w:val="22"/>
          <w:szCs w:val="22"/>
          <w:lang w:val="lt-LT"/>
        </w:rPr>
      </w:pPr>
      <w:r w:rsidRPr="004819BB">
        <w:rPr>
          <w:b/>
          <w:sz w:val="22"/>
          <w:szCs w:val="22"/>
          <w:lang w:val="lt-LT"/>
        </w:rPr>
        <w:t xml:space="preserve">Šis vaistas </w:t>
      </w:r>
      <w:r w:rsidR="001F5325" w:rsidRPr="004819BB">
        <w:rPr>
          <w:b/>
          <w:sz w:val="22"/>
          <w:szCs w:val="22"/>
          <w:lang w:val="lt-LT"/>
        </w:rPr>
        <w:t xml:space="preserve">EEE valstybėse </w:t>
      </w:r>
      <w:r w:rsidRPr="004819BB">
        <w:rPr>
          <w:b/>
          <w:sz w:val="22"/>
          <w:szCs w:val="22"/>
          <w:lang w:val="lt-LT"/>
        </w:rPr>
        <w:t>registruotas</w:t>
      </w:r>
      <w:r w:rsidRPr="004819BB" w:rsidDel="00272D2E">
        <w:rPr>
          <w:b/>
          <w:sz w:val="22"/>
          <w:szCs w:val="22"/>
          <w:lang w:val="lt-LT"/>
        </w:rPr>
        <w:t xml:space="preserve"> </w:t>
      </w:r>
      <w:r w:rsidR="001F5325" w:rsidRPr="004819BB">
        <w:rPr>
          <w:b/>
          <w:sz w:val="22"/>
          <w:szCs w:val="22"/>
          <w:lang w:val="lt-LT"/>
        </w:rPr>
        <w:t>tokiais pavadinimais:</w:t>
      </w:r>
    </w:p>
    <w:p w:rsidR="001F5325" w:rsidRPr="004819BB" w:rsidRDefault="001F5325" w:rsidP="001F5325">
      <w:pPr>
        <w:autoSpaceDE w:val="0"/>
        <w:autoSpaceDN w:val="0"/>
        <w:adjustRightInd w:val="0"/>
        <w:rPr>
          <w:sz w:val="22"/>
          <w:szCs w:val="22"/>
          <w:lang w:val="lt-LT"/>
        </w:rPr>
      </w:pPr>
    </w:p>
    <w:p w:rsidR="001F5325" w:rsidRPr="004819BB" w:rsidRDefault="001F5325" w:rsidP="001F5325">
      <w:pPr>
        <w:numPr>
          <w:ilvl w:val="12"/>
          <w:numId w:val="0"/>
        </w:numPr>
        <w:ind w:right="-2"/>
        <w:outlineLvl w:val="0"/>
        <w:rPr>
          <w:noProof/>
          <w:sz w:val="22"/>
          <w:szCs w:val="22"/>
          <w:lang w:val="lt-LT"/>
        </w:rPr>
      </w:pPr>
      <w:r w:rsidRPr="004819BB">
        <w:rPr>
          <w:noProof/>
          <w:sz w:val="22"/>
          <w:szCs w:val="22"/>
          <w:lang w:val="lt-LT"/>
        </w:rPr>
        <w:t>Lenkija – Ranofren</w:t>
      </w:r>
    </w:p>
    <w:p w:rsidR="001F5325" w:rsidRPr="004819BB" w:rsidRDefault="001F5325" w:rsidP="001F5325">
      <w:pPr>
        <w:numPr>
          <w:ilvl w:val="12"/>
          <w:numId w:val="0"/>
        </w:numPr>
        <w:ind w:right="-2"/>
        <w:outlineLvl w:val="0"/>
        <w:rPr>
          <w:noProof/>
          <w:sz w:val="22"/>
          <w:szCs w:val="22"/>
          <w:lang w:val="lt-LT"/>
        </w:rPr>
      </w:pPr>
      <w:r w:rsidRPr="004819BB">
        <w:rPr>
          <w:noProof/>
          <w:sz w:val="22"/>
          <w:szCs w:val="22"/>
          <w:lang w:val="lt-LT"/>
        </w:rPr>
        <w:t>Estijoje – Zolafren</w:t>
      </w:r>
    </w:p>
    <w:p w:rsidR="001F5325" w:rsidRPr="004819BB" w:rsidRDefault="001F5325" w:rsidP="001F5325">
      <w:pPr>
        <w:numPr>
          <w:ilvl w:val="12"/>
          <w:numId w:val="0"/>
        </w:numPr>
        <w:ind w:right="-2"/>
        <w:outlineLvl w:val="0"/>
        <w:rPr>
          <w:noProof/>
          <w:sz w:val="22"/>
          <w:szCs w:val="22"/>
          <w:lang w:val="lt-LT"/>
        </w:rPr>
      </w:pPr>
      <w:r w:rsidRPr="004819BB">
        <w:rPr>
          <w:noProof/>
          <w:sz w:val="22"/>
          <w:szCs w:val="22"/>
          <w:lang w:val="lt-LT"/>
        </w:rPr>
        <w:t>Graikija – Caprilon</w:t>
      </w:r>
    </w:p>
    <w:p w:rsidR="001F5325" w:rsidRPr="004819BB" w:rsidRDefault="001F5325" w:rsidP="001F5325">
      <w:pPr>
        <w:numPr>
          <w:ilvl w:val="12"/>
          <w:numId w:val="0"/>
        </w:numPr>
        <w:ind w:right="-2"/>
        <w:outlineLvl w:val="0"/>
        <w:rPr>
          <w:noProof/>
          <w:sz w:val="22"/>
          <w:szCs w:val="22"/>
          <w:lang w:val="lt-LT"/>
        </w:rPr>
      </w:pPr>
      <w:r w:rsidRPr="004819BB">
        <w:rPr>
          <w:noProof/>
          <w:sz w:val="22"/>
          <w:szCs w:val="22"/>
          <w:lang w:val="lt-LT"/>
        </w:rPr>
        <w:t>Ispanija – Zolafren</w:t>
      </w:r>
    </w:p>
    <w:p w:rsidR="001F5325" w:rsidRPr="004819BB" w:rsidRDefault="001F5325" w:rsidP="001F5325">
      <w:pPr>
        <w:numPr>
          <w:ilvl w:val="12"/>
          <w:numId w:val="0"/>
        </w:numPr>
        <w:ind w:right="-2"/>
        <w:outlineLvl w:val="0"/>
        <w:rPr>
          <w:noProof/>
          <w:sz w:val="22"/>
          <w:szCs w:val="22"/>
          <w:lang w:val="lt-LT"/>
        </w:rPr>
      </w:pPr>
      <w:r w:rsidRPr="004819BB">
        <w:rPr>
          <w:noProof/>
          <w:sz w:val="22"/>
          <w:szCs w:val="22"/>
          <w:lang w:val="lt-LT"/>
        </w:rPr>
        <w:lastRenderedPageBreak/>
        <w:t>Lietuva – Zolafren</w:t>
      </w:r>
    </w:p>
    <w:p w:rsidR="001F5325" w:rsidRPr="004819BB" w:rsidRDefault="001F5325" w:rsidP="001F5325">
      <w:pPr>
        <w:numPr>
          <w:ilvl w:val="12"/>
          <w:numId w:val="0"/>
        </w:numPr>
        <w:ind w:right="-2"/>
        <w:outlineLvl w:val="0"/>
        <w:rPr>
          <w:noProof/>
          <w:sz w:val="22"/>
          <w:szCs w:val="22"/>
          <w:lang w:val="lt-LT"/>
        </w:rPr>
      </w:pPr>
      <w:r w:rsidRPr="004819BB">
        <w:rPr>
          <w:noProof/>
          <w:sz w:val="22"/>
          <w:szCs w:val="22"/>
          <w:lang w:val="lt-LT"/>
        </w:rPr>
        <w:t>Čekijos Respublika – Zolafren</w:t>
      </w:r>
    </w:p>
    <w:p w:rsidR="001F5325" w:rsidRPr="004819BB" w:rsidRDefault="001F5325" w:rsidP="001F5325">
      <w:pPr>
        <w:numPr>
          <w:ilvl w:val="12"/>
          <w:numId w:val="0"/>
        </w:numPr>
        <w:ind w:right="-2"/>
        <w:outlineLvl w:val="0"/>
        <w:rPr>
          <w:noProof/>
          <w:sz w:val="22"/>
          <w:szCs w:val="22"/>
          <w:lang w:val="lt-LT"/>
        </w:rPr>
      </w:pPr>
      <w:r w:rsidRPr="004819BB">
        <w:rPr>
          <w:noProof/>
          <w:sz w:val="22"/>
          <w:szCs w:val="22"/>
          <w:lang w:val="lt-LT"/>
        </w:rPr>
        <w:t>Bulgarija – Zolafren</w:t>
      </w:r>
    </w:p>
    <w:p w:rsidR="001F5325" w:rsidRPr="004819BB" w:rsidRDefault="001F5325" w:rsidP="001F5325">
      <w:pPr>
        <w:numPr>
          <w:ilvl w:val="12"/>
          <w:numId w:val="0"/>
        </w:numPr>
        <w:ind w:right="-2"/>
        <w:outlineLvl w:val="0"/>
        <w:rPr>
          <w:noProof/>
          <w:sz w:val="22"/>
          <w:szCs w:val="22"/>
          <w:lang w:val="lt-LT"/>
        </w:rPr>
      </w:pPr>
      <w:r w:rsidRPr="004819BB">
        <w:rPr>
          <w:noProof/>
          <w:sz w:val="22"/>
          <w:szCs w:val="22"/>
          <w:lang w:val="lt-LT"/>
        </w:rPr>
        <w:t>Latvija – Zolafren</w:t>
      </w:r>
    </w:p>
    <w:p w:rsidR="001F5325" w:rsidRPr="004819BB" w:rsidRDefault="001F5325" w:rsidP="001F5325">
      <w:pPr>
        <w:numPr>
          <w:ilvl w:val="12"/>
          <w:numId w:val="0"/>
        </w:numPr>
        <w:ind w:right="-2"/>
        <w:outlineLvl w:val="0"/>
        <w:rPr>
          <w:noProof/>
          <w:sz w:val="22"/>
          <w:szCs w:val="22"/>
          <w:lang w:val="lt-LT"/>
        </w:rPr>
      </w:pPr>
      <w:r w:rsidRPr="004819BB">
        <w:rPr>
          <w:noProof/>
          <w:sz w:val="22"/>
          <w:szCs w:val="22"/>
          <w:lang w:val="lt-LT"/>
        </w:rPr>
        <w:t>Rumunija – Zolafren</w:t>
      </w:r>
    </w:p>
    <w:p w:rsidR="001F5325" w:rsidRPr="004819BB" w:rsidRDefault="001F5325" w:rsidP="001F5325">
      <w:pPr>
        <w:numPr>
          <w:ilvl w:val="12"/>
          <w:numId w:val="0"/>
        </w:numPr>
        <w:ind w:right="-2"/>
        <w:outlineLvl w:val="0"/>
        <w:rPr>
          <w:noProof/>
          <w:sz w:val="22"/>
          <w:szCs w:val="22"/>
          <w:lang w:val="lt-LT"/>
        </w:rPr>
      </w:pPr>
      <w:r w:rsidRPr="004819BB">
        <w:rPr>
          <w:noProof/>
          <w:sz w:val="22"/>
          <w:szCs w:val="22"/>
          <w:lang w:val="lt-LT"/>
        </w:rPr>
        <w:t>Slovakijos Respublika – Zolafren</w:t>
      </w:r>
    </w:p>
    <w:p w:rsidR="001F5325" w:rsidRPr="004819BB" w:rsidRDefault="001F5325" w:rsidP="001F5325">
      <w:pPr>
        <w:autoSpaceDE w:val="0"/>
        <w:autoSpaceDN w:val="0"/>
        <w:adjustRightInd w:val="0"/>
        <w:rPr>
          <w:sz w:val="22"/>
          <w:szCs w:val="22"/>
          <w:lang w:val="lt-LT"/>
        </w:rPr>
      </w:pPr>
    </w:p>
    <w:p w:rsidR="001F5325" w:rsidRPr="004819BB" w:rsidRDefault="001F5325" w:rsidP="001F5325">
      <w:pPr>
        <w:widowControl w:val="0"/>
        <w:rPr>
          <w:b/>
          <w:sz w:val="22"/>
          <w:szCs w:val="22"/>
        </w:rPr>
      </w:pPr>
      <w:r w:rsidRPr="004819BB">
        <w:rPr>
          <w:b/>
          <w:bCs/>
          <w:sz w:val="22"/>
          <w:szCs w:val="22"/>
          <w:lang w:val="lt-LT"/>
        </w:rPr>
        <w:t>Šis pakuotės</w:t>
      </w:r>
      <w:r w:rsidRPr="004819BB">
        <w:rPr>
          <w:b/>
          <w:sz w:val="22"/>
          <w:szCs w:val="22"/>
          <w:lang w:val="lt-LT"/>
        </w:rPr>
        <w:t xml:space="preserve"> lapelis paskutinį kartą </w:t>
      </w:r>
      <w:r w:rsidRPr="004819BB">
        <w:rPr>
          <w:b/>
          <w:bCs/>
          <w:sz w:val="22"/>
          <w:szCs w:val="22"/>
          <w:lang w:val="lt-LT"/>
        </w:rPr>
        <w:t xml:space="preserve">peržiūrėtas </w:t>
      </w:r>
      <w:r w:rsidR="00537E35" w:rsidRPr="004819BB">
        <w:rPr>
          <w:b/>
          <w:sz w:val="22"/>
          <w:szCs w:val="22"/>
        </w:rPr>
        <w:t>2016-10-19</w:t>
      </w:r>
    </w:p>
    <w:p w:rsidR="001F5325" w:rsidRPr="004819BB" w:rsidRDefault="001F5325" w:rsidP="001F5325">
      <w:pPr>
        <w:autoSpaceDE w:val="0"/>
        <w:autoSpaceDN w:val="0"/>
        <w:adjustRightInd w:val="0"/>
        <w:rPr>
          <w:b/>
          <w:sz w:val="22"/>
          <w:szCs w:val="22"/>
          <w:lang w:val="lt-LT"/>
        </w:rPr>
      </w:pPr>
    </w:p>
    <w:p w:rsidR="001F5325" w:rsidRPr="004819BB" w:rsidRDefault="001F5325" w:rsidP="001F5325">
      <w:pPr>
        <w:autoSpaceDE w:val="0"/>
        <w:autoSpaceDN w:val="0"/>
        <w:adjustRightInd w:val="0"/>
        <w:rPr>
          <w:b/>
          <w:sz w:val="22"/>
          <w:szCs w:val="22"/>
          <w:lang w:val="lt-LT"/>
        </w:rPr>
      </w:pPr>
    </w:p>
    <w:p w:rsidR="001F5325" w:rsidRPr="004819BB" w:rsidRDefault="001F5325" w:rsidP="001F5325">
      <w:pPr>
        <w:pStyle w:val="BTEMEASMCA"/>
      </w:pPr>
      <w:r w:rsidRPr="004819BB">
        <w:t>Išsami informacija apie šį vaistą pateikiama Valstybinės vaistų kontrolės tarnybos prie Lietuvos Respublikos  sveikatos apsaugos ministerijos tinklalapyje</w:t>
      </w:r>
      <w:r w:rsidRPr="004819BB">
        <w:rPr>
          <w:i/>
        </w:rPr>
        <w:t xml:space="preserve"> </w:t>
      </w:r>
      <w:hyperlink r:id="rId13" w:history="1">
        <w:r w:rsidRPr="004819BB">
          <w:rPr>
            <w:rStyle w:val="Hipersaitas"/>
          </w:rPr>
          <w:t>http://www.vvkt.lt</w:t>
        </w:r>
      </w:hyperlink>
    </w:p>
    <w:p w:rsidR="00C867E1" w:rsidRPr="00CE5E79" w:rsidRDefault="00C867E1" w:rsidP="00537E35">
      <w:pPr>
        <w:widowControl w:val="0"/>
        <w:autoSpaceDE w:val="0"/>
        <w:autoSpaceDN w:val="0"/>
        <w:adjustRightInd w:val="0"/>
        <w:ind w:right="-20"/>
        <w:outlineLvl w:val="0"/>
        <w:rPr>
          <w:sz w:val="22"/>
        </w:rPr>
      </w:pPr>
      <w:bookmarkStart w:id="0" w:name="_GoBack"/>
      <w:bookmarkEnd w:id="0"/>
      <w:permStart w:id="2035443661" w:edGrp="everyone"/>
      <w:permEnd w:id="2035443661"/>
    </w:p>
    <w:sectPr w:rsidR="00C867E1" w:rsidRPr="00CE5E79">
      <w:footerReference w:type="default" r:id="rId14"/>
      <w:type w:val="continuous"/>
      <w:pgSz w:w="11920" w:h="16840"/>
      <w:pgMar w:top="1580" w:right="1680" w:bottom="700" w:left="1300" w:header="708" w:footer="708" w:gutter="0"/>
      <w:cols w:space="708" w:equalWidth="0">
        <w:col w:w="89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381" w:rsidRDefault="000F1381">
      <w:r>
        <w:separator/>
      </w:r>
    </w:p>
  </w:endnote>
  <w:endnote w:type="continuationSeparator" w:id="0">
    <w:p w:rsidR="000F1381" w:rsidRDefault="000F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0"/>
    <w:family w:val="auto"/>
    <w:notTrueType/>
    <w:pitch w:val="default"/>
    <w:sig w:usb0="00000000"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ahoma">
    <w:altName w:val="Verdan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456" w:rsidRDefault="007B5763">
    <w:pPr>
      <w:widowControl w:val="0"/>
      <w:autoSpaceDE w:val="0"/>
      <w:autoSpaceDN w:val="0"/>
      <w:adjustRightInd w:val="0"/>
      <w:spacing w:line="10" w:lineRule="exact"/>
      <w:rPr>
        <w:sz w:val="2"/>
        <w:szCs w:val="2"/>
      </w:rPr>
    </w:pPr>
    <w:r>
      <w:rPr>
        <w:noProof/>
        <w:lang w:val="lt-LT" w:eastAsia="lt-LT"/>
      </w:rPr>
      <mc:AlternateContent>
        <mc:Choice Requires="wps">
          <w:drawing>
            <wp:anchor distT="0" distB="0" distL="114300" distR="114300" simplePos="0" relativeHeight="251657728" behindDoc="1" locked="0" layoutInCell="0" allowOverlap="1">
              <wp:simplePos x="0" y="0"/>
              <wp:positionH relativeFrom="page">
                <wp:posOffset>3667760</wp:posOffset>
              </wp:positionH>
              <wp:positionV relativeFrom="page">
                <wp:posOffset>10107295</wp:posOffset>
              </wp:positionV>
              <wp:extent cx="16383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456" w:rsidRDefault="00F30456">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819BB">
                            <w:rPr>
                              <w:rFonts w:ascii="Arial" w:hAnsi="Arial" w:cs="Arial"/>
                              <w:noProof/>
                              <w:sz w:val="16"/>
                              <w:szCs w:val="16"/>
                            </w:rPr>
                            <w:t>28</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RHrA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" o:allowincell="f" filled="f" stroked="f">
              <v:textbox inset="0,0,0,0">
                <w:txbxContent>
                  <w:p w:rsidR="00F30456" w:rsidRDefault="00F30456">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819BB">
                      <w:rPr>
                        <w:rFonts w:ascii="Arial" w:hAnsi="Arial" w:cs="Arial"/>
                        <w:noProof/>
                        <w:sz w:val="16"/>
                        <w:szCs w:val="16"/>
                      </w:rPr>
                      <w:t>28</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381" w:rsidRDefault="000F1381">
      <w:r>
        <w:separator/>
      </w:r>
    </w:p>
  </w:footnote>
  <w:footnote w:type="continuationSeparator" w:id="0">
    <w:p w:rsidR="000F1381" w:rsidRDefault="000F13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1"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5E96817"/>
    <w:multiLevelType w:val="multilevel"/>
    <w:tmpl w:val="866AFF5C"/>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70E5F"/>
    <w:multiLevelType w:val="hybridMultilevel"/>
    <w:tmpl w:val="263629B0"/>
    <w:lvl w:ilvl="0" w:tplc="B36CE70E">
      <w:start w:val="1"/>
      <w:numFmt w:val="bullet"/>
      <w:lvlText w:val=""/>
      <w:lvlJc w:val="left"/>
      <w:pPr>
        <w:tabs>
          <w:tab w:val="num" w:pos="967"/>
        </w:tabs>
        <w:ind w:left="967" w:hanging="607"/>
      </w:pPr>
      <w:rPr>
        <w:rFonts w:ascii="Symbol" w:hAnsi="Symbol" w:hint="default"/>
        <w:color w:val="auto"/>
        <w:sz w:val="16"/>
        <w:szCs w:val="16"/>
      </w:rPr>
    </w:lvl>
    <w:lvl w:ilvl="1" w:tplc="1F740402"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7B05"/>
    <w:multiLevelType w:val="hybridMultilevel"/>
    <w:tmpl w:val="837808FA"/>
    <w:lvl w:ilvl="0" w:tplc="B36CE70E">
      <w:start w:val="1"/>
      <w:numFmt w:val="bullet"/>
      <w:lvlText w:val=""/>
      <w:lvlJc w:val="left"/>
      <w:pPr>
        <w:tabs>
          <w:tab w:val="num" w:pos="720"/>
        </w:tabs>
        <w:ind w:left="720" w:hanging="360"/>
      </w:pPr>
      <w:rPr>
        <w:rFonts w:ascii="Symbol" w:hAnsi="Symbol" w:hint="default"/>
      </w:rPr>
    </w:lvl>
    <w:lvl w:ilvl="1" w:tplc="1F740402"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82EFC"/>
    <w:multiLevelType w:val="hybridMultilevel"/>
    <w:tmpl w:val="33301500"/>
    <w:lvl w:ilvl="0" w:tplc="733C4680">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50B36"/>
    <w:multiLevelType w:val="hybridMultilevel"/>
    <w:tmpl w:val="8E609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FC3680"/>
    <w:multiLevelType w:val="hybridMultilevel"/>
    <w:tmpl w:val="04D4A5D0"/>
    <w:lvl w:ilvl="0" w:tplc="04150001">
      <w:start w:val="7"/>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84F67962"/>
    <w:lvl w:ilvl="0" w:tplc="04270005">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46BCD"/>
    <w:multiLevelType w:val="hybridMultilevel"/>
    <w:tmpl w:val="E6829522"/>
    <w:lvl w:ilvl="0" w:tplc="249E3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384664B"/>
    <w:multiLevelType w:val="hybridMultilevel"/>
    <w:tmpl w:val="325C755E"/>
    <w:lvl w:ilvl="0" w:tplc="988A5F38">
      <w:start w:val="1"/>
      <w:numFmt w:val="bullet"/>
      <w:lvlText w:val=""/>
      <w:lvlJc w:val="left"/>
      <w:pPr>
        <w:tabs>
          <w:tab w:val="num" w:pos="967"/>
        </w:tabs>
        <w:ind w:left="967" w:hanging="607"/>
      </w:pPr>
      <w:rPr>
        <w:rFonts w:ascii="Symbol" w:hAnsi="Symbol"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C933F6"/>
    <w:multiLevelType w:val="hybridMultilevel"/>
    <w:tmpl w:val="394ED088"/>
    <w:lvl w:ilvl="0" w:tplc="28886C2C">
      <w:start w:val="1"/>
      <w:numFmt w:val="bullet"/>
      <w:lvlText w:val=""/>
      <w:lvlJc w:val="left"/>
      <w:pPr>
        <w:tabs>
          <w:tab w:val="num" w:pos="720"/>
        </w:tabs>
        <w:ind w:left="720" w:hanging="360"/>
      </w:pPr>
      <w:rPr>
        <w:rFonts w:ascii="Wingdings" w:hAnsi="Wingdings"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B745C"/>
    <w:multiLevelType w:val="hybridMultilevel"/>
    <w:tmpl w:val="E558218E"/>
    <w:lvl w:ilvl="0" w:tplc="733C4680">
      <w:start w:val="1"/>
      <w:numFmt w:val="bullet"/>
      <w:lvlText w:val=""/>
      <w:lvlJc w:val="left"/>
      <w:pPr>
        <w:tabs>
          <w:tab w:val="num" w:pos="967"/>
        </w:tabs>
        <w:ind w:left="967" w:hanging="607"/>
      </w:pPr>
      <w:rPr>
        <w:rFonts w:ascii="Symbol" w:hAnsi="Symbol" w:hint="default"/>
        <w:color w:val="auto"/>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22875"/>
    <w:multiLevelType w:val="hybridMultilevel"/>
    <w:tmpl w:val="866AFF5C"/>
    <w:lvl w:ilvl="0" w:tplc="B36CE70E">
      <w:start w:val="1"/>
      <w:numFmt w:val="bullet"/>
      <w:lvlText w:val="-"/>
      <w:legacy w:legacy="1" w:legacySpace="0" w:legacyIndent="360"/>
      <w:lvlJc w:val="left"/>
      <w:pPr>
        <w:ind w:left="360" w:hanging="360"/>
      </w:p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900DBE"/>
    <w:multiLevelType w:val="hybridMultilevel"/>
    <w:tmpl w:val="B43C0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F137944"/>
    <w:multiLevelType w:val="hybridMultilevel"/>
    <w:tmpl w:val="C1D0CF92"/>
    <w:lvl w:ilvl="0" w:tplc="04150001">
      <w:start w:val="1"/>
      <w:numFmt w:val="bullet"/>
      <w:lvlText w:val=""/>
      <w:lvlJc w:val="left"/>
      <w:pPr>
        <w:ind w:left="720" w:hanging="360"/>
      </w:pPr>
      <w:rPr>
        <w:rFonts w:ascii="Symbol" w:hAnsi="Symbol" w:hint="default"/>
      </w:rPr>
    </w:lvl>
    <w:lvl w:ilvl="1" w:tplc="B3A07714">
      <w:numFmt w:val="bullet"/>
      <w:lvlText w:val="•"/>
      <w:lvlJc w:val="left"/>
      <w:pPr>
        <w:ind w:left="1440" w:hanging="360"/>
      </w:pPr>
      <w:rPr>
        <w:rFonts w:ascii="SymbolMT" w:eastAsia="SymbolMT" w:hAnsi="TimesNewRomanPSMT" w:cs="SymbolMT" w:hint="eastAsia"/>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FBB2993"/>
    <w:multiLevelType w:val="hybridMultilevel"/>
    <w:tmpl w:val="F286A5CA"/>
    <w:lvl w:ilvl="0" w:tplc="733C4680">
      <w:start w:val="1"/>
      <w:numFmt w:val="upperLetter"/>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8" w15:restartNumberingAfterBreak="0">
    <w:nsid w:val="7C51038B"/>
    <w:multiLevelType w:val="hybridMultilevel"/>
    <w:tmpl w:val="35C8C69C"/>
    <w:lvl w:ilvl="0" w:tplc="FFFFFFFF">
      <w:start w:val="1"/>
      <w:numFmt w:val="bullet"/>
      <w:lvlText w:val=""/>
      <w:lvlJc w:val="left"/>
      <w:pPr>
        <w:tabs>
          <w:tab w:val="num" w:pos="720"/>
        </w:tabs>
        <w:ind w:left="720" w:hanging="360"/>
      </w:pPr>
      <w:rPr>
        <w:rFonts w:ascii="Wingdings" w:hAnsi="Wingdings"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17"/>
  </w:num>
  <w:num w:numId="6">
    <w:abstractNumId w:val="8"/>
  </w:num>
  <w:num w:numId="7">
    <w:abstractNumId w:val="12"/>
  </w:num>
  <w:num w:numId="8">
    <w:abstractNumId w:val="18"/>
  </w:num>
  <w:num w:numId="9">
    <w:abstractNumId w:val="14"/>
  </w:num>
  <w:num w:numId="10">
    <w:abstractNumId w:val="3"/>
  </w:num>
  <w:num w:numId="11">
    <w:abstractNumId w:val="6"/>
  </w:num>
  <w:num w:numId="12">
    <w:abstractNumId w:val="4"/>
  </w:num>
  <w:num w:numId="13">
    <w:abstractNumId w:val="13"/>
  </w:num>
  <w:num w:numId="14">
    <w:abstractNumId w:val="11"/>
  </w:num>
  <w:num w:numId="15">
    <w:abstractNumId w:val="9"/>
  </w:num>
  <w:num w:numId="16">
    <w:abstractNumId w:val="10"/>
  </w:num>
  <w:num w:numId="17">
    <w:abstractNumId w:val="7"/>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fPwZCKzdEMq3uQf8wFOIgGEyj8ikDpsDvEmzYlgvxHlA4JWrxx2o1kFLTZ+0ybvDdXb7M+s/57rTHHXATdumw==" w:salt="YcmNxAOE90JgvNxTHwiT8Q=="/>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62"/>
    <w:rsid w:val="000011CE"/>
    <w:rsid w:val="00012BCE"/>
    <w:rsid w:val="0004205F"/>
    <w:rsid w:val="000507CB"/>
    <w:rsid w:val="00053B33"/>
    <w:rsid w:val="000752F9"/>
    <w:rsid w:val="00075C41"/>
    <w:rsid w:val="0008075E"/>
    <w:rsid w:val="00085952"/>
    <w:rsid w:val="00087031"/>
    <w:rsid w:val="000C702E"/>
    <w:rsid w:val="000D7185"/>
    <w:rsid w:val="000E523B"/>
    <w:rsid w:val="000F0AB1"/>
    <w:rsid w:val="000F1381"/>
    <w:rsid w:val="00100A00"/>
    <w:rsid w:val="00104CA1"/>
    <w:rsid w:val="00111351"/>
    <w:rsid w:val="001405E4"/>
    <w:rsid w:val="001479AA"/>
    <w:rsid w:val="00162D06"/>
    <w:rsid w:val="0017315E"/>
    <w:rsid w:val="001A26BA"/>
    <w:rsid w:val="001A6D2F"/>
    <w:rsid w:val="001B5223"/>
    <w:rsid w:val="001C2B9A"/>
    <w:rsid w:val="001D055C"/>
    <w:rsid w:val="001D2E87"/>
    <w:rsid w:val="001E003D"/>
    <w:rsid w:val="001F5325"/>
    <w:rsid w:val="00210C56"/>
    <w:rsid w:val="002341EC"/>
    <w:rsid w:val="0023672E"/>
    <w:rsid w:val="00245DD0"/>
    <w:rsid w:val="00266F87"/>
    <w:rsid w:val="00272D2E"/>
    <w:rsid w:val="00273F1D"/>
    <w:rsid w:val="002937CC"/>
    <w:rsid w:val="00294F89"/>
    <w:rsid w:val="002950E4"/>
    <w:rsid w:val="002A22FE"/>
    <w:rsid w:val="002B4D89"/>
    <w:rsid w:val="002C319F"/>
    <w:rsid w:val="002D1B1D"/>
    <w:rsid w:val="002E004A"/>
    <w:rsid w:val="002E15AA"/>
    <w:rsid w:val="002E7B79"/>
    <w:rsid w:val="002F061B"/>
    <w:rsid w:val="00307343"/>
    <w:rsid w:val="003240F7"/>
    <w:rsid w:val="003347DF"/>
    <w:rsid w:val="00355EF5"/>
    <w:rsid w:val="003620F9"/>
    <w:rsid w:val="00385D9E"/>
    <w:rsid w:val="003A5102"/>
    <w:rsid w:val="003B5B4E"/>
    <w:rsid w:val="003D48E0"/>
    <w:rsid w:val="003D5E22"/>
    <w:rsid w:val="00400A79"/>
    <w:rsid w:val="004071DA"/>
    <w:rsid w:val="0043251B"/>
    <w:rsid w:val="0045705C"/>
    <w:rsid w:val="00465092"/>
    <w:rsid w:val="00465BFA"/>
    <w:rsid w:val="004819BB"/>
    <w:rsid w:val="004871A7"/>
    <w:rsid w:val="00497FF2"/>
    <w:rsid w:val="004F1F65"/>
    <w:rsid w:val="00535040"/>
    <w:rsid w:val="00537E35"/>
    <w:rsid w:val="005403FF"/>
    <w:rsid w:val="00543419"/>
    <w:rsid w:val="00547BD7"/>
    <w:rsid w:val="00560DE2"/>
    <w:rsid w:val="0058353B"/>
    <w:rsid w:val="00587240"/>
    <w:rsid w:val="005B05AD"/>
    <w:rsid w:val="005B6C6E"/>
    <w:rsid w:val="005B7125"/>
    <w:rsid w:val="005C4230"/>
    <w:rsid w:val="005E3B0F"/>
    <w:rsid w:val="00602BA1"/>
    <w:rsid w:val="0062176C"/>
    <w:rsid w:val="00621E5D"/>
    <w:rsid w:val="00641A80"/>
    <w:rsid w:val="0066651E"/>
    <w:rsid w:val="00666BA9"/>
    <w:rsid w:val="00694449"/>
    <w:rsid w:val="006A3162"/>
    <w:rsid w:val="006B304B"/>
    <w:rsid w:val="006C4B27"/>
    <w:rsid w:val="00717A5B"/>
    <w:rsid w:val="00736F2C"/>
    <w:rsid w:val="00753C31"/>
    <w:rsid w:val="007579D2"/>
    <w:rsid w:val="007B5763"/>
    <w:rsid w:val="007D51C9"/>
    <w:rsid w:val="007F066D"/>
    <w:rsid w:val="00824308"/>
    <w:rsid w:val="00830738"/>
    <w:rsid w:val="00852BC1"/>
    <w:rsid w:val="00870224"/>
    <w:rsid w:val="00886CDC"/>
    <w:rsid w:val="008E18D3"/>
    <w:rsid w:val="00901105"/>
    <w:rsid w:val="00922FC4"/>
    <w:rsid w:val="009361F1"/>
    <w:rsid w:val="00950BB6"/>
    <w:rsid w:val="00950BD5"/>
    <w:rsid w:val="009632AC"/>
    <w:rsid w:val="0096509E"/>
    <w:rsid w:val="00965C13"/>
    <w:rsid w:val="00984877"/>
    <w:rsid w:val="009A1F4D"/>
    <w:rsid w:val="009B5265"/>
    <w:rsid w:val="009E1402"/>
    <w:rsid w:val="009F3AA1"/>
    <w:rsid w:val="00A00728"/>
    <w:rsid w:val="00A236E2"/>
    <w:rsid w:val="00A278F4"/>
    <w:rsid w:val="00A36164"/>
    <w:rsid w:val="00A37DA5"/>
    <w:rsid w:val="00A52370"/>
    <w:rsid w:val="00A765AC"/>
    <w:rsid w:val="00A81EF7"/>
    <w:rsid w:val="00AA3ECB"/>
    <w:rsid w:val="00AA7623"/>
    <w:rsid w:val="00AD7B11"/>
    <w:rsid w:val="00AF7772"/>
    <w:rsid w:val="00B36B6B"/>
    <w:rsid w:val="00B45CCB"/>
    <w:rsid w:val="00B51E3F"/>
    <w:rsid w:val="00B82DDF"/>
    <w:rsid w:val="00B97B75"/>
    <w:rsid w:val="00BB132D"/>
    <w:rsid w:val="00BB3FF4"/>
    <w:rsid w:val="00BE37EF"/>
    <w:rsid w:val="00BE420E"/>
    <w:rsid w:val="00BF5365"/>
    <w:rsid w:val="00C00092"/>
    <w:rsid w:val="00C43F52"/>
    <w:rsid w:val="00C563E5"/>
    <w:rsid w:val="00C70FE1"/>
    <w:rsid w:val="00C71202"/>
    <w:rsid w:val="00C736CE"/>
    <w:rsid w:val="00C867E1"/>
    <w:rsid w:val="00CA32F3"/>
    <w:rsid w:val="00CB3861"/>
    <w:rsid w:val="00CC1B27"/>
    <w:rsid w:val="00CC7953"/>
    <w:rsid w:val="00CD60D8"/>
    <w:rsid w:val="00CE5E79"/>
    <w:rsid w:val="00D04FA9"/>
    <w:rsid w:val="00D23E7A"/>
    <w:rsid w:val="00D2494D"/>
    <w:rsid w:val="00D32EC6"/>
    <w:rsid w:val="00D44202"/>
    <w:rsid w:val="00D44C37"/>
    <w:rsid w:val="00D760BA"/>
    <w:rsid w:val="00D92E3E"/>
    <w:rsid w:val="00DA6F9C"/>
    <w:rsid w:val="00DB1413"/>
    <w:rsid w:val="00DC5EEF"/>
    <w:rsid w:val="00DC624A"/>
    <w:rsid w:val="00DD5376"/>
    <w:rsid w:val="00E454BC"/>
    <w:rsid w:val="00E50479"/>
    <w:rsid w:val="00E523BA"/>
    <w:rsid w:val="00E82D06"/>
    <w:rsid w:val="00EA24DC"/>
    <w:rsid w:val="00EA77F4"/>
    <w:rsid w:val="00F0261E"/>
    <w:rsid w:val="00F06D17"/>
    <w:rsid w:val="00F07569"/>
    <w:rsid w:val="00F246A8"/>
    <w:rsid w:val="00F30456"/>
    <w:rsid w:val="00F4278A"/>
    <w:rsid w:val="00F6427D"/>
    <w:rsid w:val="00FA4090"/>
    <w:rsid w:val="00FC3215"/>
    <w:rsid w:val="00FC3BB7"/>
    <w:rsid w:val="00FD0F7D"/>
    <w:rsid w:val="00FD1A47"/>
    <w:rsid w:val="00FE0AE8"/>
    <w:rsid w:val="00FE3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t-EE" w:eastAsia="et-EE"/>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Debesliotekstas">
    <w:name w:val="Balloon Text"/>
    <w:basedOn w:val="prastasis"/>
    <w:link w:val="DebesliotekstasDiagrama"/>
    <w:semiHidden/>
    <w:rsid w:val="006A3162"/>
    <w:rPr>
      <w:rFonts w:ascii="Tahoma" w:hAnsi="Tahoma" w:cs="Tahoma"/>
      <w:sz w:val="16"/>
      <w:szCs w:val="16"/>
    </w:rPr>
  </w:style>
  <w:style w:type="character" w:customStyle="1" w:styleId="DebesliotekstasDiagrama">
    <w:name w:val="Debesėlio tekstas Diagrama"/>
    <w:link w:val="Debesliotekstas"/>
    <w:semiHidden/>
    <w:locked/>
    <w:rPr>
      <w:rFonts w:ascii="Tahoma" w:hAnsi="Tahoma" w:cs="Tahoma"/>
      <w:sz w:val="16"/>
      <w:szCs w:val="16"/>
      <w:lang w:val="et-EE" w:eastAsia="et-EE"/>
    </w:rPr>
  </w:style>
  <w:style w:type="paragraph" w:styleId="Antrats">
    <w:name w:val="header"/>
    <w:basedOn w:val="prastasis"/>
    <w:link w:val="AntratsDiagrama"/>
    <w:rsid w:val="00D04FA9"/>
    <w:pPr>
      <w:tabs>
        <w:tab w:val="center" w:pos="4153"/>
        <w:tab w:val="right" w:pos="8306"/>
      </w:tabs>
    </w:pPr>
  </w:style>
  <w:style w:type="character" w:customStyle="1" w:styleId="AntratsDiagrama">
    <w:name w:val="Antraštės Diagrama"/>
    <w:link w:val="Antrats"/>
    <w:locked/>
    <w:rsid w:val="00D04FA9"/>
    <w:rPr>
      <w:rFonts w:cs="Times New Roman"/>
      <w:sz w:val="24"/>
      <w:szCs w:val="24"/>
      <w:lang w:val="et-EE" w:eastAsia="et-EE"/>
    </w:rPr>
  </w:style>
  <w:style w:type="paragraph" w:styleId="Porat">
    <w:name w:val="footer"/>
    <w:basedOn w:val="prastasis"/>
    <w:link w:val="PoratDiagrama"/>
    <w:rsid w:val="00D04FA9"/>
    <w:pPr>
      <w:tabs>
        <w:tab w:val="center" w:pos="4153"/>
        <w:tab w:val="right" w:pos="8306"/>
      </w:tabs>
    </w:pPr>
  </w:style>
  <w:style w:type="character" w:customStyle="1" w:styleId="PoratDiagrama">
    <w:name w:val="Poraštė Diagrama"/>
    <w:link w:val="Porat"/>
    <w:locked/>
    <w:rsid w:val="00D04FA9"/>
    <w:rPr>
      <w:rFonts w:cs="Times New Roman"/>
      <w:sz w:val="24"/>
      <w:szCs w:val="24"/>
      <w:lang w:val="et-EE" w:eastAsia="et-EE"/>
    </w:rPr>
  </w:style>
  <w:style w:type="paragraph" w:customStyle="1" w:styleId="Default">
    <w:name w:val="Default"/>
    <w:rsid w:val="003A5102"/>
    <w:pPr>
      <w:autoSpaceDE w:val="0"/>
      <w:autoSpaceDN w:val="0"/>
      <w:adjustRightInd w:val="0"/>
    </w:pPr>
    <w:rPr>
      <w:rFonts w:ascii="Verdana" w:hAnsi="Verdana" w:cs="Verdana"/>
      <w:color w:val="000000"/>
      <w:sz w:val="24"/>
      <w:szCs w:val="24"/>
      <w:lang w:val="el-GR" w:eastAsia="el-GR"/>
    </w:rPr>
  </w:style>
  <w:style w:type="character" w:styleId="Komentaronuoroda">
    <w:name w:val="annotation reference"/>
    <w:rsid w:val="00641A80"/>
    <w:rPr>
      <w:sz w:val="16"/>
      <w:szCs w:val="16"/>
    </w:rPr>
  </w:style>
  <w:style w:type="paragraph" w:styleId="Komentarotekstas">
    <w:name w:val="annotation text"/>
    <w:basedOn w:val="prastasis"/>
    <w:link w:val="KomentarotekstasDiagrama"/>
    <w:rsid w:val="00641A80"/>
    <w:rPr>
      <w:sz w:val="20"/>
      <w:szCs w:val="20"/>
    </w:rPr>
  </w:style>
  <w:style w:type="character" w:customStyle="1" w:styleId="KomentarotekstasDiagrama">
    <w:name w:val="Komentaro tekstas Diagrama"/>
    <w:link w:val="Komentarotekstas"/>
    <w:rsid w:val="00641A80"/>
    <w:rPr>
      <w:lang w:val="et-EE" w:eastAsia="et-EE"/>
    </w:rPr>
  </w:style>
  <w:style w:type="paragraph" w:styleId="Komentarotema">
    <w:name w:val="annotation subject"/>
    <w:basedOn w:val="Komentarotekstas"/>
    <w:next w:val="Komentarotekstas"/>
    <w:link w:val="KomentarotemaDiagrama"/>
    <w:rsid w:val="00641A80"/>
    <w:rPr>
      <w:b/>
      <w:bCs/>
    </w:rPr>
  </w:style>
  <w:style w:type="character" w:customStyle="1" w:styleId="KomentarotemaDiagrama">
    <w:name w:val="Komentaro tema Diagrama"/>
    <w:link w:val="Komentarotema"/>
    <w:rsid w:val="00641A80"/>
    <w:rPr>
      <w:b/>
      <w:bCs/>
      <w:lang w:val="et-EE" w:eastAsia="et-EE"/>
    </w:rPr>
  </w:style>
  <w:style w:type="paragraph" w:customStyle="1" w:styleId="Redaktsioon">
    <w:name w:val="Redaktsioon"/>
    <w:hidden/>
    <w:uiPriority w:val="99"/>
    <w:semiHidden/>
    <w:rsid w:val="00641A80"/>
    <w:rPr>
      <w:sz w:val="24"/>
      <w:szCs w:val="24"/>
      <w:lang w:val="et-EE" w:eastAsia="et-EE"/>
    </w:rPr>
  </w:style>
  <w:style w:type="paragraph" w:styleId="Dokumentostruktra">
    <w:name w:val="Document Map"/>
    <w:basedOn w:val="prastasis"/>
    <w:semiHidden/>
    <w:rsid w:val="009A1F4D"/>
    <w:pPr>
      <w:shd w:val="clear" w:color="auto" w:fill="000080"/>
    </w:pPr>
    <w:rPr>
      <w:rFonts w:ascii="Tahoma" w:hAnsi="Tahoma" w:cs="Tahoma"/>
      <w:sz w:val="20"/>
      <w:szCs w:val="20"/>
    </w:rPr>
  </w:style>
  <w:style w:type="character" w:styleId="Hipersaitas">
    <w:name w:val="Hyperlink"/>
    <w:uiPriority w:val="99"/>
    <w:rsid w:val="00736F2C"/>
    <w:rPr>
      <w:color w:val="0000FF"/>
      <w:u w:val="single"/>
    </w:rPr>
  </w:style>
  <w:style w:type="character" w:customStyle="1" w:styleId="Puslapionumeris1">
    <w:name w:val="Puslapio numeris1"/>
    <w:rsid w:val="00736F2C"/>
  </w:style>
  <w:style w:type="paragraph" w:customStyle="1" w:styleId="Sraopastraipa1">
    <w:name w:val="Sąrašo pastraipa1"/>
    <w:basedOn w:val="prastasis"/>
    <w:rsid w:val="00736F2C"/>
    <w:pPr>
      <w:suppressAutoHyphens/>
      <w:ind w:left="720"/>
      <w:contextualSpacing/>
    </w:pPr>
    <w:rPr>
      <w:rFonts w:eastAsia="Calibri"/>
      <w:kern w:val="1"/>
      <w:lang w:val="lt-LT" w:eastAsia="en-US"/>
    </w:rPr>
  </w:style>
  <w:style w:type="table" w:styleId="Lentelstinklelis">
    <w:name w:val="Table Grid"/>
    <w:basedOn w:val="prastojilentel"/>
    <w:locked/>
    <w:rsid w:val="001F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1F5325"/>
  </w:style>
  <w:style w:type="paragraph" w:styleId="Pagrindinistekstas2">
    <w:name w:val="Body Text 2"/>
    <w:basedOn w:val="prastasis"/>
    <w:link w:val="Pagrindinistekstas2Diagrama"/>
    <w:rsid w:val="001F5325"/>
    <w:rPr>
      <w:szCs w:val="20"/>
      <w:lang w:val="pl-PL" w:eastAsia="pl-PL"/>
    </w:rPr>
  </w:style>
  <w:style w:type="character" w:customStyle="1" w:styleId="Pagrindinistekstas2Diagrama">
    <w:name w:val="Pagrindinis tekstas 2 Diagrama"/>
    <w:link w:val="Pagrindinistekstas2"/>
    <w:rsid w:val="001F5325"/>
    <w:rPr>
      <w:sz w:val="24"/>
      <w:lang w:val="pl-PL" w:eastAsia="pl-PL"/>
    </w:rPr>
  </w:style>
  <w:style w:type="character" w:customStyle="1" w:styleId="rvts9">
    <w:name w:val="rvts9"/>
    <w:rsid w:val="001F5325"/>
    <w:rPr>
      <w:rFonts w:ascii="Times New Roman" w:hAnsi="Times New Roman" w:cs="Times New Roman" w:hint="default"/>
      <w:b/>
      <w:bCs/>
      <w:sz w:val="24"/>
      <w:szCs w:val="24"/>
    </w:rPr>
  </w:style>
  <w:style w:type="paragraph" w:styleId="Pagrindiniotekstotrauka2">
    <w:name w:val="Body Text Indent 2"/>
    <w:basedOn w:val="prastasis"/>
    <w:link w:val="Pagrindiniotekstotrauka2Diagrama"/>
    <w:rsid w:val="001F5325"/>
    <w:pPr>
      <w:spacing w:after="120" w:line="480" w:lineRule="auto"/>
      <w:ind w:left="283"/>
    </w:pPr>
    <w:rPr>
      <w:lang w:val="pl-PL" w:eastAsia="pl-PL"/>
    </w:rPr>
  </w:style>
  <w:style w:type="character" w:customStyle="1" w:styleId="Pagrindiniotekstotrauka2Diagrama">
    <w:name w:val="Pagrindinio teksto įtrauka 2 Diagrama"/>
    <w:link w:val="Pagrindiniotekstotrauka2"/>
    <w:rsid w:val="001F5325"/>
    <w:rPr>
      <w:sz w:val="24"/>
      <w:szCs w:val="24"/>
      <w:lang w:val="pl-PL" w:eastAsia="pl-PL"/>
    </w:rPr>
  </w:style>
  <w:style w:type="paragraph" w:customStyle="1" w:styleId="BTEMEASMCA">
    <w:name w:val="BT EMEA_SMCA"/>
    <w:basedOn w:val="prastasis"/>
    <w:link w:val="BTEMEASMCAChar"/>
    <w:autoRedefine/>
    <w:rsid w:val="001F5325"/>
    <w:pPr>
      <w:keepNext/>
      <w:tabs>
        <w:tab w:val="left" w:pos="540"/>
      </w:tabs>
    </w:pPr>
    <w:rPr>
      <w:noProof/>
      <w:sz w:val="22"/>
      <w:szCs w:val="22"/>
      <w:lang w:val="lt-LT" w:eastAsia="en-US"/>
    </w:rPr>
  </w:style>
  <w:style w:type="character" w:customStyle="1" w:styleId="BTEMEASMCAChar">
    <w:name w:val="BT EMEA_SMCA Char"/>
    <w:link w:val="BTEMEASMCA"/>
    <w:rsid w:val="001F5325"/>
    <w:rPr>
      <w:noProof/>
      <w:sz w:val="22"/>
      <w:szCs w:val="22"/>
      <w:lang w:eastAsia="en-US"/>
    </w:rPr>
  </w:style>
  <w:style w:type="paragraph" w:styleId="Pagrindinistekstas">
    <w:name w:val="Body Text"/>
    <w:basedOn w:val="prastasis"/>
    <w:link w:val="PagrindinistekstasDiagrama"/>
    <w:rsid w:val="001F5325"/>
    <w:pPr>
      <w:spacing w:after="120"/>
    </w:pPr>
    <w:rPr>
      <w:lang w:val="pl-PL" w:eastAsia="pl-PL"/>
    </w:rPr>
  </w:style>
  <w:style w:type="character" w:customStyle="1" w:styleId="PagrindinistekstasDiagrama">
    <w:name w:val="Pagrindinis tekstas Diagrama"/>
    <w:link w:val="Pagrindinistekstas"/>
    <w:rsid w:val="001F5325"/>
    <w:rPr>
      <w:sz w:val="24"/>
      <w:szCs w:val="24"/>
      <w:lang w:val="pl-PL" w:eastAsia="pl-PL"/>
    </w:rPr>
  </w:style>
  <w:style w:type="paragraph" w:customStyle="1" w:styleId="BT-EMEASMCA">
    <w:name w:val="BT- EMEA_SMCA"/>
    <w:basedOn w:val="BTEMEASMCA"/>
    <w:autoRedefine/>
    <w:rsid w:val="001F5325"/>
    <w:pPr>
      <w:keepNext w:val="0"/>
      <w:numPr>
        <w:numId w:val="15"/>
      </w:numPr>
      <w:tabs>
        <w:tab w:val="clear" w:pos="363"/>
        <w:tab w:val="clear" w:pos="540"/>
        <w:tab w:val="num" w:pos="360"/>
        <w:tab w:val="num" w:pos="967"/>
      </w:tabs>
      <w:ind w:left="0" w:hanging="360"/>
    </w:pPr>
    <w:rPr>
      <w:bCs/>
      <w:noProof w:val="0"/>
    </w:rPr>
  </w:style>
  <w:style w:type="paragraph" w:styleId="Paprastasistekstas">
    <w:name w:val="Plain Text"/>
    <w:basedOn w:val="prastasis"/>
    <w:link w:val="PaprastasistekstasDiagrama"/>
    <w:rsid w:val="001F5325"/>
    <w:rPr>
      <w:rFonts w:ascii="Courier New" w:eastAsia="SimSun" w:hAnsi="Courier New"/>
      <w:sz w:val="20"/>
      <w:szCs w:val="20"/>
      <w:lang w:val="en-US" w:eastAsia="en-US"/>
    </w:rPr>
  </w:style>
  <w:style w:type="character" w:customStyle="1" w:styleId="PaprastasistekstasDiagrama">
    <w:name w:val="Paprastasis tekstas Diagrama"/>
    <w:link w:val="Paprastasistekstas"/>
    <w:rsid w:val="001F5325"/>
    <w:rPr>
      <w:rFonts w:ascii="Courier New" w:eastAsia="SimSun" w:hAnsi="Courier New"/>
      <w:lang w:val="en-US" w:eastAsia="en-US"/>
    </w:rPr>
  </w:style>
  <w:style w:type="paragraph" w:styleId="Pataisymai">
    <w:name w:val="Revision"/>
    <w:hidden/>
    <w:uiPriority w:val="99"/>
    <w:semiHidden/>
    <w:rsid w:val="0058353B"/>
    <w:rPr>
      <w:sz w:val="24"/>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03594">
      <w:bodyDiv w:val="1"/>
      <w:marLeft w:val="0"/>
      <w:marRight w:val="0"/>
      <w:marTop w:val="0"/>
      <w:marBottom w:val="0"/>
      <w:divBdr>
        <w:top w:val="none" w:sz="0" w:space="0" w:color="auto"/>
        <w:left w:val="none" w:sz="0" w:space="0" w:color="auto"/>
        <w:bottom w:val="none" w:sz="0" w:space="0" w:color="auto"/>
        <w:right w:val="none" w:sz="0" w:space="0" w:color="auto"/>
      </w:divBdr>
    </w:div>
    <w:div w:id="1279949680">
      <w:bodyDiv w:val="1"/>
      <w:marLeft w:val="0"/>
      <w:marRight w:val="0"/>
      <w:marTop w:val="0"/>
      <w:marBottom w:val="0"/>
      <w:divBdr>
        <w:top w:val="none" w:sz="0" w:space="0" w:color="auto"/>
        <w:left w:val="none" w:sz="0" w:space="0" w:color="auto"/>
        <w:bottom w:val="none" w:sz="0" w:space="0" w:color="auto"/>
        <w:right w:val="none" w:sz="0" w:space="0" w:color="auto"/>
      </w:divBdr>
    </w:div>
    <w:div w:id="202127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7487</Words>
  <Characters>54305</Characters>
  <Application>Microsoft Office Word</Application>
  <DocSecurity>8</DocSecurity>
  <Lines>452</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PAKENDI INFOLEHT: INFORMATSIOON KASUTAJALE</vt:lpstr>
      <vt:lpstr>PAKENDI INFOLEHT: INFORMATSIOON KASUTAJALE</vt:lpstr>
    </vt:vector>
  </TitlesOfParts>
  <LinksUpToDate>false</LinksUpToDate>
  <CharactersWithSpaces>61669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PAKENDI INFOLEHT: INFORMATSIOON KASUTAJALE</dc:title>
  <dc:subject/>
  <dc:creator/>
  <cp:keywords/>
  <cp:lastModifiedBy/>
  <cp:revision>1</cp:revision>
  <dcterms:created xsi:type="dcterms:W3CDTF">2016-10-19T05:45:00Z</dcterms:created>
  <dcterms:modified xsi:type="dcterms:W3CDTF">2016-10-19T05:46:00Z</dcterms:modified>
</cp:coreProperties>
</file>