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6F26D" w14:textId="77777777" w:rsidR="00E850F6" w:rsidRPr="00D600DA" w:rsidRDefault="00E850F6" w:rsidP="00E850F6">
      <w:pPr>
        <w:rPr>
          <w:lang w:eastAsia="ja-JP"/>
        </w:rPr>
      </w:pPr>
    </w:p>
    <w:p w14:paraId="270F3337" w14:textId="77777777" w:rsidR="00E850F6" w:rsidRPr="00D600DA" w:rsidRDefault="00E850F6" w:rsidP="00E850F6">
      <w:pPr>
        <w:spacing w:after="0" w:line="240" w:lineRule="auto"/>
        <w:ind w:left="567" w:hanging="567"/>
        <w:jc w:val="center"/>
        <w:rPr>
          <w:rFonts w:ascii="Times New Roman" w:hAnsi="Times New Roman"/>
          <w:lang w:eastAsia="ja-JP"/>
        </w:rPr>
      </w:pPr>
    </w:p>
    <w:p w14:paraId="0D2C82F3" w14:textId="77777777" w:rsidR="00E850F6" w:rsidRPr="00D600DA" w:rsidRDefault="00E850F6" w:rsidP="00E850F6">
      <w:pPr>
        <w:spacing w:after="0" w:line="240" w:lineRule="auto"/>
        <w:ind w:left="567" w:hanging="567"/>
        <w:jc w:val="center"/>
        <w:rPr>
          <w:rFonts w:ascii="Times New Roman" w:hAnsi="Times New Roman"/>
          <w:lang w:eastAsia="ja-JP"/>
        </w:rPr>
      </w:pPr>
    </w:p>
    <w:p w14:paraId="7FA86011" w14:textId="77777777" w:rsidR="00E850F6" w:rsidRPr="00D600DA" w:rsidRDefault="00E850F6" w:rsidP="00E850F6">
      <w:pPr>
        <w:spacing w:after="0" w:line="240" w:lineRule="auto"/>
        <w:ind w:left="567" w:hanging="567"/>
        <w:jc w:val="center"/>
        <w:rPr>
          <w:rFonts w:ascii="Times New Roman" w:hAnsi="Times New Roman"/>
          <w:lang w:eastAsia="ja-JP"/>
        </w:rPr>
      </w:pPr>
    </w:p>
    <w:p w14:paraId="797A6A6D" w14:textId="77777777" w:rsidR="00E850F6" w:rsidRPr="00D600DA" w:rsidRDefault="00E850F6" w:rsidP="00E850F6">
      <w:pPr>
        <w:spacing w:after="0" w:line="240" w:lineRule="auto"/>
        <w:ind w:left="567" w:hanging="567"/>
        <w:jc w:val="center"/>
        <w:rPr>
          <w:rFonts w:ascii="Times New Roman" w:hAnsi="Times New Roman"/>
          <w:lang w:eastAsia="ja-JP"/>
        </w:rPr>
      </w:pPr>
    </w:p>
    <w:p w14:paraId="6851DA58" w14:textId="77777777" w:rsidR="00E850F6" w:rsidRPr="00D600DA" w:rsidRDefault="00E850F6" w:rsidP="00E850F6">
      <w:pPr>
        <w:spacing w:after="0" w:line="240" w:lineRule="auto"/>
        <w:ind w:left="567" w:hanging="567"/>
        <w:jc w:val="center"/>
        <w:rPr>
          <w:rFonts w:ascii="Times New Roman" w:hAnsi="Times New Roman"/>
          <w:lang w:eastAsia="ja-JP"/>
        </w:rPr>
      </w:pPr>
    </w:p>
    <w:p w14:paraId="273260D3" w14:textId="77777777" w:rsidR="00E850F6" w:rsidRPr="00D600DA" w:rsidRDefault="00E850F6" w:rsidP="00E850F6">
      <w:pPr>
        <w:spacing w:after="0" w:line="240" w:lineRule="auto"/>
        <w:ind w:left="567" w:hanging="567"/>
        <w:jc w:val="center"/>
        <w:rPr>
          <w:rFonts w:ascii="Times New Roman" w:hAnsi="Times New Roman"/>
          <w:lang w:eastAsia="ja-JP"/>
        </w:rPr>
      </w:pPr>
    </w:p>
    <w:p w14:paraId="52B945FC" w14:textId="77777777" w:rsidR="00E850F6" w:rsidRPr="00D600DA" w:rsidRDefault="00E850F6" w:rsidP="00E850F6">
      <w:pPr>
        <w:spacing w:after="0" w:line="240" w:lineRule="auto"/>
        <w:ind w:left="567" w:hanging="567"/>
        <w:jc w:val="center"/>
        <w:rPr>
          <w:rFonts w:ascii="Times New Roman" w:hAnsi="Times New Roman"/>
          <w:lang w:eastAsia="ja-JP"/>
        </w:rPr>
      </w:pPr>
    </w:p>
    <w:p w14:paraId="28BEAB64" w14:textId="77777777" w:rsidR="00E850F6" w:rsidRPr="00D600DA" w:rsidRDefault="00E850F6" w:rsidP="00E850F6">
      <w:pPr>
        <w:spacing w:after="0" w:line="240" w:lineRule="auto"/>
        <w:ind w:left="567" w:hanging="567"/>
        <w:jc w:val="center"/>
        <w:rPr>
          <w:rFonts w:ascii="Times New Roman" w:hAnsi="Times New Roman"/>
          <w:lang w:eastAsia="ja-JP"/>
        </w:rPr>
      </w:pPr>
    </w:p>
    <w:p w14:paraId="35C1E2D0" w14:textId="77777777" w:rsidR="00E850F6" w:rsidRPr="00D600DA" w:rsidRDefault="00E850F6" w:rsidP="00E850F6">
      <w:pPr>
        <w:spacing w:after="0" w:line="240" w:lineRule="auto"/>
        <w:ind w:left="567" w:hanging="567"/>
        <w:jc w:val="center"/>
        <w:rPr>
          <w:rFonts w:ascii="Times New Roman" w:hAnsi="Times New Roman"/>
          <w:lang w:eastAsia="ja-JP"/>
        </w:rPr>
      </w:pPr>
    </w:p>
    <w:p w14:paraId="6A2703FA" w14:textId="77777777" w:rsidR="00E850F6" w:rsidRPr="00D600DA" w:rsidRDefault="00E850F6" w:rsidP="00E850F6">
      <w:pPr>
        <w:spacing w:after="0" w:line="240" w:lineRule="auto"/>
        <w:ind w:left="567" w:hanging="567"/>
        <w:jc w:val="center"/>
        <w:rPr>
          <w:rFonts w:ascii="Times New Roman" w:hAnsi="Times New Roman"/>
          <w:lang w:eastAsia="ja-JP"/>
        </w:rPr>
      </w:pPr>
    </w:p>
    <w:p w14:paraId="75D0736C" w14:textId="77777777" w:rsidR="00E850F6" w:rsidRPr="00D600DA" w:rsidRDefault="00E850F6" w:rsidP="00E850F6">
      <w:pPr>
        <w:spacing w:after="0" w:line="240" w:lineRule="auto"/>
        <w:ind w:left="567" w:hanging="567"/>
        <w:jc w:val="center"/>
        <w:rPr>
          <w:rFonts w:ascii="Times New Roman" w:hAnsi="Times New Roman"/>
          <w:lang w:eastAsia="ja-JP"/>
        </w:rPr>
      </w:pPr>
    </w:p>
    <w:p w14:paraId="58E8DBC3" w14:textId="77777777" w:rsidR="00E850F6" w:rsidRPr="00D600DA" w:rsidRDefault="00E850F6" w:rsidP="00E850F6">
      <w:pPr>
        <w:spacing w:after="0" w:line="240" w:lineRule="auto"/>
        <w:ind w:left="567" w:hanging="567"/>
        <w:jc w:val="center"/>
        <w:rPr>
          <w:rFonts w:ascii="Times New Roman" w:hAnsi="Times New Roman"/>
          <w:lang w:eastAsia="ja-JP"/>
        </w:rPr>
      </w:pPr>
    </w:p>
    <w:p w14:paraId="7843A679" w14:textId="77777777" w:rsidR="00E850F6" w:rsidRPr="00D600DA" w:rsidRDefault="00E850F6" w:rsidP="00E850F6">
      <w:pPr>
        <w:spacing w:after="0" w:line="240" w:lineRule="auto"/>
        <w:ind w:left="567" w:hanging="567"/>
        <w:jc w:val="center"/>
        <w:rPr>
          <w:rFonts w:ascii="Times New Roman" w:hAnsi="Times New Roman"/>
          <w:lang w:eastAsia="ja-JP"/>
        </w:rPr>
      </w:pPr>
    </w:p>
    <w:p w14:paraId="5656599B" w14:textId="77777777" w:rsidR="00E850F6" w:rsidRPr="00D600DA" w:rsidRDefault="00E850F6" w:rsidP="00E850F6">
      <w:pPr>
        <w:spacing w:after="0" w:line="240" w:lineRule="auto"/>
        <w:ind w:left="567" w:hanging="567"/>
        <w:jc w:val="center"/>
        <w:rPr>
          <w:rFonts w:ascii="Times New Roman" w:hAnsi="Times New Roman"/>
          <w:lang w:eastAsia="ja-JP"/>
        </w:rPr>
      </w:pPr>
    </w:p>
    <w:p w14:paraId="49B86DA5" w14:textId="77777777" w:rsidR="00E850F6" w:rsidRPr="00D600DA" w:rsidRDefault="00E850F6" w:rsidP="00E850F6">
      <w:pPr>
        <w:spacing w:after="0" w:line="240" w:lineRule="auto"/>
        <w:ind w:left="567" w:hanging="567"/>
        <w:jc w:val="center"/>
        <w:rPr>
          <w:rFonts w:ascii="Times New Roman" w:hAnsi="Times New Roman"/>
          <w:lang w:eastAsia="ja-JP"/>
        </w:rPr>
      </w:pPr>
    </w:p>
    <w:p w14:paraId="435320B8" w14:textId="77777777" w:rsidR="00E850F6" w:rsidRPr="00D600DA" w:rsidRDefault="00E850F6" w:rsidP="00E850F6">
      <w:pPr>
        <w:spacing w:after="0" w:line="240" w:lineRule="auto"/>
        <w:ind w:left="567" w:hanging="567"/>
        <w:jc w:val="center"/>
        <w:rPr>
          <w:rFonts w:ascii="Times New Roman" w:hAnsi="Times New Roman"/>
          <w:lang w:eastAsia="ja-JP"/>
        </w:rPr>
      </w:pPr>
    </w:p>
    <w:p w14:paraId="671AFB26" w14:textId="77777777" w:rsidR="00E850F6" w:rsidRPr="00D600DA" w:rsidRDefault="00E850F6" w:rsidP="00E850F6">
      <w:pPr>
        <w:spacing w:after="0" w:line="240" w:lineRule="auto"/>
        <w:ind w:left="567" w:hanging="567"/>
        <w:jc w:val="center"/>
        <w:rPr>
          <w:rFonts w:ascii="Times New Roman" w:hAnsi="Times New Roman"/>
          <w:lang w:eastAsia="ja-JP"/>
        </w:rPr>
      </w:pPr>
    </w:p>
    <w:p w14:paraId="1121C583" w14:textId="77777777" w:rsidR="00E850F6" w:rsidRPr="00D600DA" w:rsidRDefault="00E850F6" w:rsidP="00E850F6">
      <w:pPr>
        <w:spacing w:after="0" w:line="240" w:lineRule="auto"/>
        <w:ind w:left="567" w:hanging="567"/>
        <w:jc w:val="center"/>
        <w:rPr>
          <w:rFonts w:ascii="Times New Roman" w:hAnsi="Times New Roman"/>
          <w:lang w:eastAsia="ja-JP"/>
        </w:rPr>
      </w:pPr>
    </w:p>
    <w:p w14:paraId="57A2EADC" w14:textId="77777777" w:rsidR="00E850F6" w:rsidRPr="00D600DA" w:rsidRDefault="00E850F6" w:rsidP="00E850F6">
      <w:pPr>
        <w:spacing w:after="0" w:line="240" w:lineRule="auto"/>
        <w:ind w:left="567" w:hanging="567"/>
        <w:jc w:val="center"/>
        <w:rPr>
          <w:rFonts w:ascii="Times New Roman" w:hAnsi="Times New Roman"/>
          <w:lang w:eastAsia="ja-JP"/>
        </w:rPr>
      </w:pPr>
    </w:p>
    <w:p w14:paraId="2018E393" w14:textId="77777777" w:rsidR="00E850F6" w:rsidRPr="00D600DA" w:rsidRDefault="00E850F6" w:rsidP="00E850F6">
      <w:pPr>
        <w:spacing w:after="0" w:line="240" w:lineRule="auto"/>
        <w:ind w:left="567" w:hanging="567"/>
        <w:jc w:val="center"/>
        <w:rPr>
          <w:rFonts w:ascii="Times New Roman" w:hAnsi="Times New Roman"/>
          <w:lang w:eastAsia="ja-JP"/>
        </w:rPr>
      </w:pPr>
    </w:p>
    <w:p w14:paraId="75DF3639" w14:textId="77777777" w:rsidR="00E850F6" w:rsidRPr="00D600DA" w:rsidRDefault="00E850F6" w:rsidP="00E850F6">
      <w:pPr>
        <w:spacing w:after="0" w:line="240" w:lineRule="auto"/>
        <w:ind w:left="567" w:hanging="567"/>
        <w:jc w:val="center"/>
        <w:rPr>
          <w:rFonts w:ascii="Times New Roman" w:hAnsi="Times New Roman"/>
          <w:lang w:eastAsia="ja-JP"/>
        </w:rPr>
      </w:pPr>
    </w:p>
    <w:p w14:paraId="0F300EEA" w14:textId="77777777" w:rsidR="00E850F6" w:rsidRPr="00D600DA" w:rsidRDefault="00E850F6" w:rsidP="00E850F6">
      <w:pPr>
        <w:spacing w:after="0" w:line="240" w:lineRule="auto"/>
        <w:ind w:left="567" w:hanging="567"/>
        <w:jc w:val="center"/>
        <w:rPr>
          <w:rFonts w:ascii="Times New Roman" w:hAnsi="Times New Roman"/>
          <w:lang w:eastAsia="ja-JP"/>
        </w:rPr>
      </w:pPr>
    </w:p>
    <w:p w14:paraId="41B8D131" w14:textId="77777777" w:rsidR="00E850F6" w:rsidRPr="00D600DA" w:rsidRDefault="00E850F6" w:rsidP="00E850F6">
      <w:pPr>
        <w:spacing w:after="0" w:line="240" w:lineRule="auto"/>
        <w:ind w:left="567" w:hanging="567"/>
        <w:jc w:val="center"/>
        <w:rPr>
          <w:rFonts w:ascii="Times New Roman" w:hAnsi="Times New Roman"/>
          <w:lang w:eastAsia="ja-JP"/>
        </w:rPr>
      </w:pPr>
      <w:r w:rsidRPr="00D600DA">
        <w:rPr>
          <w:rFonts w:ascii="Times New Roman" w:hAnsi="Times New Roman"/>
          <w:b/>
          <w:lang w:eastAsia="ja-JP"/>
        </w:rPr>
        <w:t>I PRIEDAS</w:t>
      </w:r>
    </w:p>
    <w:p w14:paraId="6A3E28C1" w14:textId="77777777" w:rsidR="00E850F6" w:rsidRPr="00D600DA" w:rsidRDefault="00E850F6" w:rsidP="00E850F6">
      <w:pPr>
        <w:spacing w:after="0" w:line="240" w:lineRule="auto"/>
        <w:ind w:left="567" w:hanging="567"/>
        <w:jc w:val="center"/>
        <w:rPr>
          <w:rFonts w:ascii="Times New Roman" w:hAnsi="Times New Roman"/>
          <w:b/>
          <w:lang w:eastAsia="ja-JP"/>
        </w:rPr>
      </w:pPr>
    </w:p>
    <w:p w14:paraId="6DAE59CA" w14:textId="77777777" w:rsidR="00E850F6" w:rsidRPr="00D600DA" w:rsidRDefault="00E850F6" w:rsidP="00E850F6">
      <w:pPr>
        <w:spacing w:after="0" w:line="240" w:lineRule="auto"/>
        <w:ind w:left="567" w:hanging="567"/>
        <w:jc w:val="center"/>
        <w:rPr>
          <w:rFonts w:ascii="Times New Roman" w:hAnsi="Times New Roman"/>
          <w:b/>
          <w:lang w:eastAsia="ja-JP"/>
        </w:rPr>
      </w:pPr>
      <w:r w:rsidRPr="00D600DA">
        <w:rPr>
          <w:rFonts w:ascii="Times New Roman" w:hAnsi="Times New Roman"/>
          <w:b/>
          <w:lang w:eastAsia="ja-JP"/>
        </w:rPr>
        <w:t>PREPARATO CHARAKTERISTIKŲ SANTRAUKA</w:t>
      </w:r>
    </w:p>
    <w:p w14:paraId="54B786E1" w14:textId="77777777" w:rsidR="00E850F6" w:rsidRPr="00D600DA" w:rsidRDefault="00E850F6" w:rsidP="00E850F6">
      <w:pPr>
        <w:spacing w:after="0" w:line="240" w:lineRule="auto"/>
        <w:ind w:left="567" w:hanging="567"/>
        <w:jc w:val="center"/>
        <w:rPr>
          <w:rFonts w:ascii="Times New Roman" w:hAnsi="Times New Roman"/>
          <w:b/>
          <w:lang w:eastAsia="ja-JP"/>
        </w:rPr>
      </w:pPr>
    </w:p>
    <w:p w14:paraId="1FBE402E" w14:textId="77777777" w:rsidR="00E850F6" w:rsidRPr="00D600DA" w:rsidRDefault="00E850F6" w:rsidP="00E850F6">
      <w:pPr>
        <w:spacing w:after="0" w:line="240" w:lineRule="auto"/>
        <w:ind w:left="567" w:hanging="567"/>
        <w:rPr>
          <w:rFonts w:ascii="Times New Roman" w:hAnsi="Times New Roman"/>
          <w:b/>
          <w:lang w:eastAsia="ja-JP"/>
        </w:rPr>
      </w:pPr>
      <w:r w:rsidRPr="00D600DA">
        <w:rPr>
          <w:rFonts w:ascii="Times New Roman" w:hAnsi="Times New Roman"/>
          <w:lang w:eastAsia="ja-JP"/>
        </w:rPr>
        <w:br w:type="page"/>
      </w:r>
      <w:r w:rsidRPr="00D600DA">
        <w:rPr>
          <w:rFonts w:ascii="Times New Roman" w:hAnsi="Times New Roman"/>
          <w:b/>
          <w:lang w:eastAsia="ja-JP"/>
        </w:rPr>
        <w:lastRenderedPageBreak/>
        <w:t>1.</w:t>
      </w:r>
      <w:r w:rsidRPr="00D600DA">
        <w:rPr>
          <w:rFonts w:ascii="Times New Roman" w:hAnsi="Times New Roman"/>
          <w:b/>
          <w:lang w:eastAsia="ja-JP"/>
        </w:rPr>
        <w:tab/>
        <w:t>VAISTINIO PREPARATO PAVADINIMAS</w:t>
      </w:r>
    </w:p>
    <w:p w14:paraId="60B0E167" w14:textId="77777777" w:rsidR="00E850F6" w:rsidRPr="00D600DA" w:rsidRDefault="00E850F6" w:rsidP="00E850F6">
      <w:pPr>
        <w:spacing w:after="0" w:line="240" w:lineRule="auto"/>
        <w:rPr>
          <w:rFonts w:ascii="Times New Roman" w:hAnsi="Times New Roman"/>
          <w:lang w:eastAsia="ja-JP"/>
        </w:rPr>
      </w:pPr>
    </w:p>
    <w:p w14:paraId="7CC40B33"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Valcyte 50 mg/ml milteliai geriamajam tirpalui</w:t>
      </w:r>
    </w:p>
    <w:p w14:paraId="07EE9B1E" w14:textId="77777777" w:rsidR="00E850F6" w:rsidRPr="00D600DA" w:rsidRDefault="00E850F6" w:rsidP="00E850F6">
      <w:pPr>
        <w:spacing w:after="0" w:line="240" w:lineRule="auto"/>
        <w:rPr>
          <w:rFonts w:ascii="Times New Roman" w:hAnsi="Times New Roman"/>
          <w:lang w:eastAsia="ja-JP"/>
        </w:rPr>
      </w:pPr>
    </w:p>
    <w:p w14:paraId="67C17D7A" w14:textId="77777777" w:rsidR="00E850F6" w:rsidRPr="00D600DA" w:rsidRDefault="00E850F6" w:rsidP="00E850F6">
      <w:pPr>
        <w:spacing w:after="0" w:line="240" w:lineRule="auto"/>
        <w:rPr>
          <w:rFonts w:ascii="Times New Roman" w:hAnsi="Times New Roman"/>
          <w:lang w:eastAsia="ja-JP"/>
        </w:rPr>
      </w:pPr>
    </w:p>
    <w:p w14:paraId="04F79847" w14:textId="77777777" w:rsidR="00E850F6" w:rsidRPr="00D600DA" w:rsidRDefault="00E850F6" w:rsidP="00E850F6">
      <w:pPr>
        <w:spacing w:after="0" w:line="240" w:lineRule="auto"/>
        <w:ind w:left="567" w:hanging="567"/>
        <w:outlineLvl w:val="0"/>
        <w:rPr>
          <w:rFonts w:ascii="Times New Roman" w:hAnsi="Times New Roman"/>
          <w:b/>
          <w:caps/>
          <w:kern w:val="28"/>
          <w:lang w:eastAsia="ja-JP"/>
        </w:rPr>
      </w:pPr>
      <w:r w:rsidRPr="00D600DA">
        <w:rPr>
          <w:rFonts w:ascii="Times New Roman" w:hAnsi="Times New Roman"/>
          <w:b/>
          <w:caps/>
          <w:kern w:val="28"/>
          <w:lang w:eastAsia="ja-JP"/>
        </w:rPr>
        <w:t>2.</w:t>
      </w:r>
      <w:r w:rsidRPr="00D600DA">
        <w:rPr>
          <w:rFonts w:ascii="Times New Roman" w:hAnsi="Times New Roman"/>
          <w:b/>
          <w:caps/>
          <w:kern w:val="28"/>
          <w:lang w:eastAsia="ja-JP"/>
        </w:rPr>
        <w:tab/>
        <w:t>KOKYBINĖ IR KIEKYBINĖ SUDĖTIS</w:t>
      </w:r>
    </w:p>
    <w:p w14:paraId="29997EF0" w14:textId="77777777" w:rsidR="00E850F6" w:rsidRPr="00D600DA" w:rsidRDefault="00E850F6" w:rsidP="00E850F6">
      <w:pPr>
        <w:spacing w:after="0" w:line="240" w:lineRule="auto"/>
        <w:rPr>
          <w:rFonts w:ascii="Times New Roman" w:hAnsi="Times New Roman"/>
          <w:i/>
          <w:lang w:eastAsia="ja-JP"/>
        </w:rPr>
      </w:pPr>
    </w:p>
    <w:p w14:paraId="00A777EF"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Kiekviename buteliuke yra </w:t>
      </w:r>
      <w:smartTag w:uri="schemas-tilde-lv/tildestengine" w:element="metric2">
        <w:smartTagPr>
          <w:attr w:name="ProductID" w:val="12 g"/>
        </w:smartTagPr>
        <w:r w:rsidRPr="00D600DA">
          <w:rPr>
            <w:rFonts w:ascii="Times New Roman" w:hAnsi="Times New Roman"/>
            <w:lang w:eastAsia="ja-JP"/>
          </w:rPr>
          <w:t>12 g</w:t>
        </w:r>
      </w:smartTag>
      <w:r w:rsidRPr="00D600DA">
        <w:rPr>
          <w:rFonts w:ascii="Times New Roman" w:hAnsi="Times New Roman"/>
          <w:lang w:eastAsia="ja-JP"/>
        </w:rPr>
        <w:t xml:space="preserve"> miltelių geriamajam tirpalui, kuriuose yra 5,5 g valgancikloviro hidrochlorido.</w:t>
      </w:r>
    </w:p>
    <w:p w14:paraId="33B0CEE3"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1 ml paruošto tirpalo yra 50 mg valgancikloviro (hidrochlorido pavidalu).</w:t>
      </w:r>
    </w:p>
    <w:p w14:paraId="20FDA3C0" w14:textId="77777777" w:rsidR="00E850F6" w:rsidRPr="00D600DA" w:rsidRDefault="00E850F6" w:rsidP="00E850F6">
      <w:pPr>
        <w:spacing w:after="0" w:line="240" w:lineRule="auto"/>
        <w:rPr>
          <w:rFonts w:ascii="Times New Roman" w:hAnsi="Times New Roman"/>
          <w:lang w:eastAsia="ja-JP"/>
        </w:rPr>
      </w:pPr>
    </w:p>
    <w:p w14:paraId="3D7FAE17" w14:textId="77777777" w:rsidR="00111951" w:rsidRDefault="00E850F6" w:rsidP="00E850F6">
      <w:pPr>
        <w:spacing w:after="0" w:line="240" w:lineRule="auto"/>
        <w:rPr>
          <w:rFonts w:ascii="Times New Roman" w:hAnsi="Times New Roman"/>
          <w:lang w:eastAsia="ja-JP"/>
        </w:rPr>
      </w:pPr>
      <w:r w:rsidRPr="00D600DA">
        <w:rPr>
          <w:rFonts w:ascii="Times New Roman" w:hAnsi="Times New Roman"/>
          <w:lang w:eastAsia="ja-JP"/>
        </w:rPr>
        <w:t>Pagalbinė medžiaga, kurios poveikis žinomas</w:t>
      </w:r>
      <w:r w:rsidR="00111951">
        <w:rPr>
          <w:rFonts w:ascii="Times New Roman" w:hAnsi="Times New Roman"/>
          <w:lang w:eastAsia="ja-JP"/>
        </w:rPr>
        <w:t>:</w:t>
      </w:r>
    </w:p>
    <w:p w14:paraId="6646866D" w14:textId="77777777" w:rsidR="004026D6" w:rsidRPr="004026D6" w:rsidRDefault="004026D6" w:rsidP="004026D6">
      <w:pPr>
        <w:rPr>
          <w:rFonts w:ascii="Times New Roman" w:hAnsi="Times New Roman"/>
          <w:lang w:eastAsia="ja-JP"/>
        </w:rPr>
      </w:pPr>
      <w:r w:rsidRPr="004026D6">
        <w:rPr>
          <w:rFonts w:ascii="Times New Roman" w:hAnsi="Times New Roman"/>
          <w:lang w:eastAsia="ja-JP"/>
        </w:rPr>
        <w:t>Šiame vaistiniame preparate yra 1 mg / ml natrio benzoato, o iš viso jame yra 0,188 mg/ml natrio (natrio benzoato ir natrio sacharato pavidalu), vartojimui paruoštame (praktiškai jame natrio nėra).</w:t>
      </w:r>
    </w:p>
    <w:p w14:paraId="3A9FF27E"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Visos pagalbinės medžiagos išvardytos 6.1 skyriuje.</w:t>
      </w:r>
    </w:p>
    <w:p w14:paraId="25269F05" w14:textId="77777777" w:rsidR="00E850F6" w:rsidRPr="00D600DA" w:rsidRDefault="00E850F6" w:rsidP="00E850F6">
      <w:pPr>
        <w:spacing w:after="0" w:line="240" w:lineRule="auto"/>
        <w:rPr>
          <w:rFonts w:ascii="Times New Roman" w:hAnsi="Times New Roman"/>
          <w:lang w:eastAsia="ja-JP"/>
        </w:rPr>
      </w:pPr>
    </w:p>
    <w:p w14:paraId="55AF5516" w14:textId="77777777" w:rsidR="00E850F6" w:rsidRPr="00D600DA" w:rsidRDefault="00E850F6" w:rsidP="00E850F6">
      <w:pPr>
        <w:spacing w:after="0" w:line="240" w:lineRule="auto"/>
        <w:rPr>
          <w:rFonts w:ascii="Times New Roman" w:hAnsi="Times New Roman"/>
          <w:lang w:eastAsia="ja-JP"/>
        </w:rPr>
      </w:pPr>
    </w:p>
    <w:p w14:paraId="426017C4" w14:textId="77777777" w:rsidR="00E850F6" w:rsidRPr="00D600DA" w:rsidRDefault="00E850F6" w:rsidP="00E850F6">
      <w:pPr>
        <w:spacing w:after="0" w:line="240" w:lineRule="auto"/>
        <w:ind w:left="567" w:hanging="567"/>
        <w:outlineLvl w:val="0"/>
        <w:rPr>
          <w:rFonts w:ascii="Times New Roman" w:hAnsi="Times New Roman"/>
          <w:b/>
          <w:kern w:val="28"/>
          <w:lang w:eastAsia="ja-JP"/>
        </w:rPr>
      </w:pPr>
      <w:r w:rsidRPr="00D600DA">
        <w:rPr>
          <w:rFonts w:ascii="Times New Roman" w:hAnsi="Times New Roman"/>
          <w:b/>
          <w:caps/>
          <w:kern w:val="28"/>
          <w:lang w:eastAsia="ja-JP"/>
        </w:rPr>
        <w:t>3.</w:t>
      </w:r>
      <w:r w:rsidRPr="00D600DA">
        <w:rPr>
          <w:rFonts w:ascii="Times New Roman" w:hAnsi="Times New Roman"/>
          <w:b/>
          <w:caps/>
          <w:kern w:val="28"/>
          <w:lang w:eastAsia="ja-JP"/>
        </w:rPr>
        <w:tab/>
        <w:t xml:space="preserve">FARMACINĖ </w:t>
      </w:r>
      <w:r w:rsidRPr="00D600DA">
        <w:rPr>
          <w:rFonts w:ascii="Times New Roman" w:hAnsi="Times New Roman"/>
          <w:b/>
          <w:kern w:val="28"/>
          <w:lang w:eastAsia="ja-JP"/>
        </w:rPr>
        <w:t>FORMA</w:t>
      </w:r>
    </w:p>
    <w:p w14:paraId="7B7C8DD2" w14:textId="77777777" w:rsidR="00E850F6" w:rsidRPr="00D600DA" w:rsidRDefault="00E850F6" w:rsidP="00E850F6">
      <w:pPr>
        <w:spacing w:after="0" w:line="240" w:lineRule="auto"/>
        <w:rPr>
          <w:rFonts w:ascii="Times New Roman" w:hAnsi="Times New Roman"/>
          <w:lang w:eastAsia="ja-JP"/>
        </w:rPr>
      </w:pPr>
    </w:p>
    <w:p w14:paraId="7459A666" w14:textId="77777777" w:rsidR="00E850F6" w:rsidRPr="00D600DA" w:rsidRDefault="00E850F6" w:rsidP="00E850F6">
      <w:pPr>
        <w:spacing w:after="0" w:line="240" w:lineRule="auto"/>
        <w:jc w:val="both"/>
        <w:rPr>
          <w:rFonts w:ascii="Times New Roman" w:hAnsi="Times New Roman"/>
          <w:lang w:eastAsia="ja-JP"/>
        </w:rPr>
      </w:pPr>
      <w:r w:rsidRPr="00D600DA">
        <w:rPr>
          <w:rFonts w:ascii="Times New Roman" w:hAnsi="Times New Roman"/>
          <w:lang w:eastAsia="ja-JP"/>
        </w:rPr>
        <w:t>Milteliai geriamajam tirpalui.</w:t>
      </w:r>
    </w:p>
    <w:p w14:paraId="2E5193A9" w14:textId="77777777" w:rsidR="00E850F6" w:rsidRPr="00D600DA" w:rsidRDefault="00E850F6" w:rsidP="00E850F6">
      <w:pPr>
        <w:spacing w:after="0" w:line="240" w:lineRule="auto"/>
        <w:jc w:val="both"/>
        <w:rPr>
          <w:rFonts w:ascii="Times New Roman" w:hAnsi="Times New Roman"/>
          <w:i/>
          <w:lang w:eastAsia="ja-JP"/>
        </w:rPr>
      </w:pPr>
    </w:p>
    <w:p w14:paraId="0A9A96EF"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Milteliai yra baltas arba gelsvas granuliatas.</w:t>
      </w:r>
    </w:p>
    <w:p w14:paraId="679D0ED0"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Miltelius ištirpinus susidaro skaidrus tirpalas – nuo bespalvio iki rudo.</w:t>
      </w:r>
    </w:p>
    <w:p w14:paraId="0F4E200D" w14:textId="77777777" w:rsidR="00E850F6" w:rsidRPr="00D600DA" w:rsidRDefault="00E850F6" w:rsidP="00E850F6">
      <w:pPr>
        <w:spacing w:after="0" w:line="240" w:lineRule="auto"/>
        <w:rPr>
          <w:rFonts w:ascii="Times New Roman" w:hAnsi="Times New Roman"/>
          <w:lang w:eastAsia="ja-JP"/>
        </w:rPr>
      </w:pPr>
    </w:p>
    <w:p w14:paraId="43304812" w14:textId="77777777" w:rsidR="00E850F6" w:rsidRPr="00D600DA" w:rsidRDefault="00E850F6" w:rsidP="00E850F6">
      <w:pPr>
        <w:spacing w:after="0" w:line="240" w:lineRule="auto"/>
        <w:rPr>
          <w:rFonts w:ascii="Times New Roman" w:hAnsi="Times New Roman"/>
          <w:lang w:eastAsia="ja-JP"/>
        </w:rPr>
      </w:pPr>
    </w:p>
    <w:p w14:paraId="2E49C0F8" w14:textId="77777777" w:rsidR="00E850F6" w:rsidRPr="00D600DA" w:rsidRDefault="00E850F6" w:rsidP="00E850F6">
      <w:pPr>
        <w:spacing w:after="0" w:line="240" w:lineRule="auto"/>
        <w:ind w:left="567" w:hanging="567"/>
        <w:outlineLvl w:val="0"/>
        <w:rPr>
          <w:rFonts w:ascii="Times New Roman" w:hAnsi="Times New Roman"/>
          <w:b/>
          <w:caps/>
          <w:kern w:val="28"/>
          <w:lang w:eastAsia="ja-JP"/>
        </w:rPr>
      </w:pPr>
      <w:r w:rsidRPr="00D600DA">
        <w:rPr>
          <w:rFonts w:ascii="Times New Roman" w:hAnsi="Times New Roman"/>
          <w:b/>
          <w:caps/>
          <w:kern w:val="28"/>
          <w:lang w:eastAsia="ja-JP"/>
        </w:rPr>
        <w:t>4.</w:t>
      </w:r>
      <w:r w:rsidRPr="00D600DA">
        <w:rPr>
          <w:rFonts w:ascii="Times New Roman" w:hAnsi="Times New Roman"/>
          <w:b/>
          <w:caps/>
          <w:kern w:val="28"/>
          <w:lang w:eastAsia="ja-JP"/>
        </w:rPr>
        <w:tab/>
        <w:t>KliniKINĖ informacija</w:t>
      </w:r>
    </w:p>
    <w:p w14:paraId="5E7CA92F" w14:textId="77777777" w:rsidR="00E850F6" w:rsidRPr="00D600DA" w:rsidRDefault="00E850F6" w:rsidP="00E850F6">
      <w:pPr>
        <w:spacing w:after="0" w:line="240" w:lineRule="auto"/>
        <w:rPr>
          <w:rFonts w:ascii="Times New Roman" w:hAnsi="Times New Roman"/>
          <w:lang w:eastAsia="ja-JP"/>
        </w:rPr>
      </w:pPr>
    </w:p>
    <w:p w14:paraId="6F7347AA" w14:textId="77777777" w:rsidR="00E850F6" w:rsidRPr="00D600DA" w:rsidRDefault="00E850F6" w:rsidP="00E850F6">
      <w:pPr>
        <w:spacing w:after="0" w:line="240" w:lineRule="auto"/>
        <w:ind w:left="567" w:hanging="567"/>
        <w:outlineLvl w:val="1"/>
        <w:rPr>
          <w:rFonts w:ascii="Times New Roman" w:hAnsi="Times New Roman"/>
          <w:b/>
          <w:kern w:val="28"/>
          <w:lang w:eastAsia="ja-JP"/>
        </w:rPr>
      </w:pPr>
      <w:r w:rsidRPr="00D600DA">
        <w:rPr>
          <w:rFonts w:ascii="Times New Roman" w:hAnsi="Times New Roman"/>
          <w:b/>
          <w:kern w:val="28"/>
          <w:lang w:eastAsia="ja-JP"/>
        </w:rPr>
        <w:t>4.1</w:t>
      </w:r>
      <w:r w:rsidRPr="00D600DA">
        <w:rPr>
          <w:rFonts w:ascii="Times New Roman" w:hAnsi="Times New Roman"/>
          <w:b/>
          <w:kern w:val="28"/>
          <w:lang w:eastAsia="ja-JP"/>
        </w:rPr>
        <w:tab/>
        <w:t>Terapinės indikacijos</w:t>
      </w:r>
    </w:p>
    <w:p w14:paraId="34912B8F" w14:textId="77777777" w:rsidR="00E850F6" w:rsidRPr="00D600DA" w:rsidRDefault="00E850F6" w:rsidP="00E850F6">
      <w:pPr>
        <w:spacing w:after="0" w:line="240" w:lineRule="auto"/>
        <w:rPr>
          <w:rFonts w:ascii="Times New Roman" w:hAnsi="Times New Roman"/>
          <w:lang w:eastAsia="ja-JP"/>
        </w:rPr>
      </w:pPr>
    </w:p>
    <w:p w14:paraId="4040EEE1"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Valcyte </w:t>
      </w:r>
      <w:r w:rsidRPr="00D600DA">
        <w:rPr>
          <w:rFonts w:ascii="Times New Roman" w:eastAsia="Times New Roman" w:hAnsi="Times New Roman"/>
          <w:lang w:eastAsia="ja-JP"/>
        </w:rPr>
        <w:t xml:space="preserve">yra skirtas </w:t>
      </w:r>
      <w:r w:rsidRPr="00D600DA">
        <w:rPr>
          <w:rFonts w:ascii="Times New Roman" w:hAnsi="Times New Roman"/>
          <w:lang w:eastAsia="ja-JP"/>
        </w:rPr>
        <w:t>įgyto imunodeficito sindromu (AIDS)</w:t>
      </w:r>
      <w:r w:rsidRPr="00D600DA">
        <w:rPr>
          <w:rFonts w:ascii="Times New Roman" w:eastAsia="Times New Roman" w:hAnsi="Times New Roman"/>
          <w:lang w:eastAsia="ja-JP"/>
        </w:rPr>
        <w:t xml:space="preserve"> sergantiems suaugusiems pacientams</w:t>
      </w:r>
      <w:r w:rsidRPr="00D600DA">
        <w:rPr>
          <w:rFonts w:ascii="Times New Roman" w:hAnsi="Times New Roman"/>
          <w:lang w:eastAsia="ja-JP"/>
        </w:rPr>
        <w:t xml:space="preserve"> citomegalo viruso (CMV) sukelto retinito pradiniam ir palaikomajam gydymui.</w:t>
      </w:r>
    </w:p>
    <w:p w14:paraId="16191717" w14:textId="77777777" w:rsidR="00E850F6" w:rsidRPr="00D600DA" w:rsidRDefault="00E850F6" w:rsidP="00E850F6">
      <w:pPr>
        <w:spacing w:after="0" w:line="240" w:lineRule="auto"/>
        <w:rPr>
          <w:rFonts w:ascii="Times New Roman" w:hAnsi="Times New Roman"/>
          <w:lang w:eastAsia="ja-JP"/>
        </w:rPr>
      </w:pPr>
    </w:p>
    <w:p w14:paraId="5B978FAA"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Valcyte</w:t>
      </w:r>
      <w:r w:rsidRPr="00D600DA">
        <w:rPr>
          <w:rFonts w:ascii="Times New Roman" w:hAnsi="Times New Roman"/>
          <w:bCs/>
          <w:iCs/>
          <w:lang w:eastAsia="ja-JP"/>
        </w:rPr>
        <w:t xml:space="preserve"> </w:t>
      </w:r>
      <w:r w:rsidRPr="00D600DA">
        <w:rPr>
          <w:rFonts w:ascii="Times New Roman" w:eastAsia="Times New Roman" w:hAnsi="Times New Roman"/>
          <w:lang w:eastAsia="ja-JP"/>
        </w:rPr>
        <w:t>yra skirtas</w:t>
      </w:r>
      <w:r w:rsidRPr="00D600DA">
        <w:rPr>
          <w:rFonts w:ascii="Times New Roman" w:hAnsi="Times New Roman"/>
          <w:lang w:eastAsia="ja-JP"/>
        </w:rPr>
        <w:t xml:space="preserve"> CMV sukeltos infekcinės ligos profilaktikai </w:t>
      </w:r>
      <w:r w:rsidRPr="00D600DA">
        <w:rPr>
          <w:rFonts w:ascii="Times New Roman" w:eastAsia="Times New Roman" w:hAnsi="Times New Roman"/>
          <w:lang w:eastAsia="ja-JP"/>
        </w:rPr>
        <w:t>suaugusiesiems ir vaikams nuo gimimo iki 18 metų amžiaus)</w:t>
      </w:r>
      <w:r w:rsidRPr="00D600DA">
        <w:rPr>
          <w:rFonts w:ascii="Times New Roman" w:hAnsi="Times New Roman"/>
          <w:lang w:eastAsia="ja-JP"/>
        </w:rPr>
        <w:t>, kurie neužsikrėtę CMV, tačiau turi persodintą CMV infekuoto donoro solidinį organą.</w:t>
      </w:r>
    </w:p>
    <w:p w14:paraId="606F6371" w14:textId="77777777" w:rsidR="00E850F6" w:rsidRPr="00D600DA" w:rsidRDefault="00E850F6" w:rsidP="00E850F6">
      <w:pPr>
        <w:spacing w:after="0" w:line="240" w:lineRule="auto"/>
        <w:rPr>
          <w:rFonts w:ascii="Times New Roman" w:hAnsi="Times New Roman"/>
          <w:lang w:eastAsia="ja-JP"/>
        </w:rPr>
      </w:pPr>
    </w:p>
    <w:p w14:paraId="2C46DB77" w14:textId="77777777" w:rsidR="00E850F6" w:rsidRPr="00D600DA" w:rsidRDefault="00E850F6" w:rsidP="00E850F6">
      <w:pPr>
        <w:spacing w:after="0" w:line="240" w:lineRule="auto"/>
        <w:ind w:left="567" w:hanging="567"/>
        <w:outlineLvl w:val="1"/>
        <w:rPr>
          <w:rFonts w:ascii="Times New Roman" w:hAnsi="Times New Roman"/>
          <w:b/>
          <w:kern w:val="28"/>
          <w:lang w:eastAsia="ja-JP"/>
        </w:rPr>
      </w:pPr>
      <w:r w:rsidRPr="00D600DA">
        <w:rPr>
          <w:rFonts w:ascii="Times New Roman" w:hAnsi="Times New Roman"/>
          <w:b/>
          <w:kern w:val="28"/>
          <w:lang w:eastAsia="ja-JP"/>
        </w:rPr>
        <w:t>4.2</w:t>
      </w:r>
      <w:r w:rsidRPr="00D600DA">
        <w:rPr>
          <w:rFonts w:ascii="Times New Roman" w:hAnsi="Times New Roman"/>
          <w:b/>
          <w:kern w:val="28"/>
          <w:lang w:eastAsia="ja-JP"/>
        </w:rPr>
        <w:tab/>
        <w:t>Dozavimas ir vartojimo metodas</w:t>
      </w:r>
    </w:p>
    <w:p w14:paraId="355E2FE9" w14:textId="77777777" w:rsidR="00E850F6" w:rsidRPr="00D600DA" w:rsidRDefault="00E850F6" w:rsidP="00E850F6">
      <w:pPr>
        <w:spacing w:after="0" w:line="240" w:lineRule="auto"/>
        <w:rPr>
          <w:rFonts w:ascii="Times New Roman" w:hAnsi="Times New Roman"/>
          <w:lang w:eastAsia="ja-JP"/>
        </w:rPr>
      </w:pPr>
    </w:p>
    <w:p w14:paraId="7960C2A6" w14:textId="77777777" w:rsidR="00E850F6" w:rsidRPr="00D600DA" w:rsidRDefault="00E850F6" w:rsidP="00E850F6">
      <w:pPr>
        <w:spacing w:after="0" w:line="240" w:lineRule="auto"/>
        <w:rPr>
          <w:rFonts w:ascii="Times New Roman" w:eastAsia="Times New Roman" w:hAnsi="Times New Roman"/>
          <w:u w:val="single"/>
          <w:lang w:eastAsia="ja-JP"/>
        </w:rPr>
      </w:pPr>
      <w:r w:rsidRPr="00D600DA">
        <w:rPr>
          <w:rFonts w:ascii="Times New Roman" w:eastAsia="Times New Roman" w:hAnsi="Times New Roman"/>
          <w:u w:val="single"/>
          <w:lang w:eastAsia="ja-JP"/>
        </w:rPr>
        <w:t>Dozavimas</w:t>
      </w:r>
    </w:p>
    <w:p w14:paraId="101865AD" w14:textId="77777777" w:rsidR="00E850F6" w:rsidRPr="00D600DA" w:rsidRDefault="00E850F6" w:rsidP="00E850F6">
      <w:pPr>
        <w:spacing w:after="0" w:line="240" w:lineRule="auto"/>
        <w:rPr>
          <w:rFonts w:ascii="Times New Roman" w:hAnsi="Times New Roman"/>
          <w:lang w:eastAsia="ja-JP"/>
        </w:rPr>
      </w:pPr>
    </w:p>
    <w:p w14:paraId="13014BA2" w14:textId="77777777" w:rsidR="00E850F6" w:rsidRPr="00D600DA" w:rsidRDefault="00E850F6" w:rsidP="00E850F6">
      <w:pPr>
        <w:spacing w:after="0" w:line="240" w:lineRule="auto"/>
        <w:rPr>
          <w:rFonts w:ascii="Times New Roman" w:hAnsi="Times New Roman"/>
          <w:b/>
          <w:lang w:eastAsia="ja-JP"/>
        </w:rPr>
      </w:pPr>
      <w:r w:rsidRPr="00D600DA">
        <w:rPr>
          <w:rFonts w:ascii="Times New Roman" w:hAnsi="Times New Roman"/>
          <w:b/>
          <w:lang w:eastAsia="ja-JP"/>
        </w:rPr>
        <w:t>Dėmesio! Kad vaisto nebūtų perdozuota, būtina griežtai laikytis dozavimo rekomendacijų (žr. 4.4 ir 4.9 skyrius).</w:t>
      </w:r>
    </w:p>
    <w:p w14:paraId="33BF38A7" w14:textId="77777777" w:rsidR="00E850F6" w:rsidRPr="00D600DA" w:rsidRDefault="00E850F6" w:rsidP="00E850F6">
      <w:pPr>
        <w:spacing w:after="0" w:line="240" w:lineRule="auto"/>
        <w:rPr>
          <w:rFonts w:ascii="Times New Roman" w:hAnsi="Times New Roman"/>
          <w:u w:val="single"/>
          <w:lang w:eastAsia="ja-JP"/>
        </w:rPr>
      </w:pPr>
    </w:p>
    <w:p w14:paraId="49ED3E5A"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Išgertas valgancikloviras greitai ir gausiai metabolizuojamas į ganciklovirą. Geriamojo valgancikloviro 900 mg dukart per parą dozė gydomuoju poveikiu atitinka 5 mg/kg dukart per parą į veną leidžiamo gancikloviro. Išgėrus 900 mg valgancikloviro tirpalo bendroji ekspozicija ganciklovirui būna tokia pati, kaip išgėrus 900 mg valgancikloviro tablečių.</w:t>
      </w:r>
    </w:p>
    <w:p w14:paraId="2D7DDAD0" w14:textId="77777777" w:rsidR="00E850F6" w:rsidRPr="00D600DA" w:rsidRDefault="00E850F6" w:rsidP="00E850F6">
      <w:pPr>
        <w:spacing w:after="0" w:line="240" w:lineRule="auto"/>
        <w:jc w:val="both"/>
        <w:rPr>
          <w:rFonts w:ascii="Times New Roman" w:hAnsi="Times New Roman"/>
          <w:lang w:eastAsia="ja-JP"/>
        </w:rPr>
      </w:pPr>
    </w:p>
    <w:p w14:paraId="5040286A" w14:textId="77777777" w:rsidR="00E850F6" w:rsidRPr="00404D15" w:rsidRDefault="00E850F6" w:rsidP="00E850F6">
      <w:pPr>
        <w:spacing w:after="0" w:line="240" w:lineRule="auto"/>
        <w:rPr>
          <w:rFonts w:ascii="Times New Roman" w:eastAsia="Times New Roman" w:hAnsi="Times New Roman"/>
          <w:lang w:eastAsia="ja-JP"/>
        </w:rPr>
      </w:pPr>
      <w:r w:rsidRPr="00404D15">
        <w:rPr>
          <w:rFonts w:ascii="Times New Roman" w:eastAsia="Times New Roman" w:hAnsi="Times New Roman"/>
          <w:lang w:eastAsia="ja-JP"/>
        </w:rPr>
        <w:t>Citomegaloviruso (CMV) sukelto retinito gydymas</w:t>
      </w:r>
    </w:p>
    <w:p w14:paraId="485B55F4" w14:textId="77777777" w:rsidR="00E850F6" w:rsidRPr="00D600DA" w:rsidRDefault="00E850F6" w:rsidP="00E850F6">
      <w:pPr>
        <w:spacing w:after="0" w:line="240" w:lineRule="auto"/>
        <w:rPr>
          <w:rFonts w:ascii="Times New Roman" w:eastAsia="Times New Roman" w:hAnsi="Times New Roman"/>
          <w:i/>
          <w:u w:val="single"/>
          <w:lang w:eastAsia="ja-JP"/>
        </w:rPr>
      </w:pPr>
    </w:p>
    <w:p w14:paraId="72FD5D9C" w14:textId="77777777" w:rsidR="00E850F6" w:rsidRPr="00D600DA" w:rsidRDefault="00E850F6" w:rsidP="00E850F6">
      <w:pPr>
        <w:spacing w:after="0" w:line="240" w:lineRule="auto"/>
        <w:rPr>
          <w:rFonts w:ascii="Times New Roman" w:eastAsia="Times New Roman" w:hAnsi="Times New Roman"/>
          <w:i/>
          <w:lang w:eastAsia="ja-JP"/>
        </w:rPr>
      </w:pPr>
      <w:r w:rsidRPr="00D600DA">
        <w:rPr>
          <w:rFonts w:ascii="Times New Roman" w:eastAsia="Times New Roman" w:hAnsi="Times New Roman"/>
          <w:i/>
          <w:lang w:eastAsia="ja-JP"/>
        </w:rPr>
        <w:t>Suaugusieji</w:t>
      </w:r>
    </w:p>
    <w:p w14:paraId="7CFD200E" w14:textId="77777777" w:rsidR="00E850F6" w:rsidRPr="00D600DA" w:rsidRDefault="00E850F6" w:rsidP="00E850F6">
      <w:pPr>
        <w:spacing w:after="0" w:line="240" w:lineRule="auto"/>
        <w:jc w:val="both"/>
        <w:rPr>
          <w:rFonts w:ascii="Times New Roman" w:hAnsi="Times New Roman"/>
          <w:i/>
          <w:lang w:eastAsia="ja-JP"/>
        </w:rPr>
      </w:pPr>
      <w:r w:rsidRPr="00D600DA">
        <w:rPr>
          <w:rFonts w:ascii="Times New Roman" w:hAnsi="Times New Roman"/>
          <w:i/>
          <w:lang w:eastAsia="ja-JP"/>
        </w:rPr>
        <w:t>CMV sukelto retinito pradinis gydymas</w:t>
      </w:r>
    </w:p>
    <w:p w14:paraId="15C3B8FE"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Aktyviu CMV retinitu sergantiems pacientams rekomenduojamoji dozė yra 900 mg valgancikloviro du kartus per parą 21 parą. Ilgesnis </w:t>
      </w:r>
      <w:r w:rsidRPr="00D600DA">
        <w:rPr>
          <w:rFonts w:ascii="Times New Roman" w:hAnsi="Times New Roman"/>
          <w:iCs/>
          <w:lang w:eastAsia="ja-JP"/>
        </w:rPr>
        <w:t xml:space="preserve">pradinis </w:t>
      </w:r>
      <w:r w:rsidRPr="00D600DA">
        <w:rPr>
          <w:rFonts w:ascii="Times New Roman" w:hAnsi="Times New Roman"/>
          <w:lang w:eastAsia="ja-JP"/>
        </w:rPr>
        <w:t>gydymas gali padidinti toksinio poveikio kaulų čiulpams pavojų (žr. 4.4 skyrių).</w:t>
      </w:r>
    </w:p>
    <w:p w14:paraId="109C9E26" w14:textId="77777777" w:rsidR="00E850F6" w:rsidRPr="00D600DA" w:rsidRDefault="00E850F6" w:rsidP="00E850F6">
      <w:pPr>
        <w:spacing w:after="0" w:line="240" w:lineRule="auto"/>
        <w:rPr>
          <w:rFonts w:ascii="Times New Roman" w:hAnsi="Times New Roman"/>
          <w:lang w:eastAsia="ja-JP"/>
        </w:rPr>
      </w:pPr>
    </w:p>
    <w:p w14:paraId="636BE248" w14:textId="77777777" w:rsidR="00E850F6" w:rsidRPr="00D600DA" w:rsidRDefault="00E850F6" w:rsidP="00E850F6">
      <w:pPr>
        <w:keepNext/>
        <w:spacing w:after="0" w:line="240" w:lineRule="auto"/>
        <w:rPr>
          <w:rFonts w:ascii="Times New Roman" w:hAnsi="Times New Roman"/>
          <w:i/>
          <w:lang w:eastAsia="ja-JP"/>
        </w:rPr>
      </w:pPr>
      <w:r w:rsidRPr="00D600DA">
        <w:rPr>
          <w:rFonts w:ascii="Times New Roman" w:hAnsi="Times New Roman"/>
          <w:i/>
          <w:lang w:eastAsia="ja-JP"/>
        </w:rPr>
        <w:lastRenderedPageBreak/>
        <w:t>Palaikomasis CMV retinito gydymas</w:t>
      </w:r>
    </w:p>
    <w:p w14:paraId="3CD4D320" w14:textId="77777777" w:rsidR="00E850F6" w:rsidRPr="00D600DA" w:rsidRDefault="00E850F6" w:rsidP="00E850F6">
      <w:pPr>
        <w:keepNext/>
        <w:spacing w:after="0" w:line="240" w:lineRule="auto"/>
        <w:rPr>
          <w:rFonts w:ascii="Times New Roman" w:hAnsi="Times New Roman"/>
          <w:lang w:eastAsia="ja-JP"/>
        </w:rPr>
      </w:pPr>
      <w:r w:rsidRPr="00D600DA">
        <w:rPr>
          <w:rFonts w:ascii="Times New Roman" w:hAnsi="Times New Roman"/>
          <w:lang w:eastAsia="ja-JP"/>
        </w:rPr>
        <w:t>Po pradinio gydymo arba gydant neaktyvų CMV retinitą rekomenduojamoji dozė yra 900 mg valgancikloviro kartą per parą. Jei retinitas blogėja, galima kartoti pradinį gydymą, tačiau reikia atsižvelgti į tai, kad virusas gali pasidaryti atsparus vaistui.</w:t>
      </w:r>
    </w:p>
    <w:p w14:paraId="4BB44CD7" w14:textId="77777777" w:rsidR="00E850F6" w:rsidRDefault="00E850F6" w:rsidP="00E850F6">
      <w:pPr>
        <w:tabs>
          <w:tab w:val="left" w:pos="567"/>
        </w:tabs>
        <w:spacing w:after="0" w:line="260" w:lineRule="exact"/>
        <w:rPr>
          <w:rFonts w:ascii="Times New Roman" w:hAnsi="Times New Roman"/>
          <w:i/>
        </w:rPr>
      </w:pPr>
    </w:p>
    <w:p w14:paraId="5EF4A241" w14:textId="77777777" w:rsidR="00E850F6" w:rsidRDefault="00E850F6" w:rsidP="00E850F6">
      <w:pPr>
        <w:spacing w:after="0" w:line="240" w:lineRule="auto"/>
        <w:rPr>
          <w:rFonts w:ascii="Times New Roman" w:eastAsia="Times New Roman" w:hAnsi="Times New Roman"/>
          <w:lang w:eastAsia="ja-JP"/>
        </w:rPr>
      </w:pPr>
      <w:r>
        <w:rPr>
          <w:rFonts w:ascii="Times New Roman" w:eastAsia="Times New Roman" w:hAnsi="Times New Roman"/>
          <w:lang w:eastAsia="ja-JP"/>
        </w:rPr>
        <w:t>Palaikomojo gydymo trukmė kiekvienu atveju turi būti nustatoma individualiai.</w:t>
      </w:r>
    </w:p>
    <w:p w14:paraId="6A0182C2" w14:textId="77777777" w:rsidR="00E850F6" w:rsidRPr="00D600DA" w:rsidRDefault="00E850F6" w:rsidP="00E850F6">
      <w:pPr>
        <w:tabs>
          <w:tab w:val="left" w:pos="567"/>
        </w:tabs>
        <w:spacing w:after="0" w:line="260" w:lineRule="exact"/>
        <w:rPr>
          <w:rFonts w:ascii="Times New Roman" w:hAnsi="Times New Roman"/>
          <w:i/>
        </w:rPr>
      </w:pPr>
    </w:p>
    <w:p w14:paraId="570242F0" w14:textId="77777777" w:rsidR="00E850F6" w:rsidRPr="00D600DA" w:rsidRDefault="00E850F6" w:rsidP="00E850F6">
      <w:pPr>
        <w:tabs>
          <w:tab w:val="left" w:pos="567"/>
        </w:tabs>
        <w:spacing w:after="0" w:line="260" w:lineRule="exact"/>
        <w:rPr>
          <w:rFonts w:ascii="Times New Roman" w:eastAsia="Times New Roman" w:hAnsi="Times New Roman"/>
          <w:i/>
          <w:snapToGrid w:val="0"/>
        </w:rPr>
      </w:pPr>
      <w:r w:rsidRPr="00D600DA">
        <w:rPr>
          <w:rFonts w:ascii="Times New Roman" w:eastAsia="Times New Roman" w:hAnsi="Times New Roman"/>
          <w:i/>
          <w:noProof/>
          <w:snapToGrid w:val="0"/>
        </w:rPr>
        <w:t>Vaikų populiacija</w:t>
      </w:r>
    </w:p>
    <w:p w14:paraId="0CCED1B3" w14:textId="77777777" w:rsidR="00E850F6" w:rsidRPr="00D600DA" w:rsidRDefault="00E850F6" w:rsidP="00E850F6">
      <w:pPr>
        <w:tabs>
          <w:tab w:val="left" w:pos="567"/>
        </w:tabs>
        <w:spacing w:after="0" w:line="260" w:lineRule="exact"/>
        <w:rPr>
          <w:rFonts w:ascii="Times New Roman" w:eastAsia="Times New Roman" w:hAnsi="Times New Roman"/>
          <w:i/>
          <w:snapToGrid w:val="0"/>
        </w:rPr>
      </w:pPr>
    </w:p>
    <w:p w14:paraId="754F71B4" w14:textId="77777777" w:rsidR="00E850F6" w:rsidRPr="00D600DA" w:rsidRDefault="00E850F6" w:rsidP="00E850F6">
      <w:pPr>
        <w:tabs>
          <w:tab w:val="left" w:pos="567"/>
        </w:tabs>
        <w:spacing w:after="0" w:line="260" w:lineRule="exact"/>
        <w:rPr>
          <w:rFonts w:ascii="Times New Roman" w:eastAsia="Times New Roman" w:hAnsi="Times New Roman"/>
          <w:snapToGrid w:val="0"/>
        </w:rPr>
      </w:pPr>
      <w:r w:rsidRPr="00D600DA">
        <w:rPr>
          <w:rFonts w:ascii="Times New Roman" w:eastAsia="Times New Roman" w:hAnsi="Times New Roman"/>
          <w:lang w:eastAsia="ja-JP"/>
        </w:rPr>
        <w:t xml:space="preserve">Pakankamais ir gerai kontroliuotais klinikiniais tyrimais </w:t>
      </w:r>
      <w:r w:rsidRPr="00D600DA">
        <w:rPr>
          <w:rFonts w:ascii="Times New Roman" w:eastAsia="Times New Roman" w:hAnsi="Times New Roman"/>
          <w:noProof/>
          <w:snapToGrid w:val="0"/>
        </w:rPr>
        <w:t xml:space="preserve">su vaikais Valcyte saugumas ir veiksmingumas gydant </w:t>
      </w:r>
      <w:r w:rsidRPr="00D600DA">
        <w:rPr>
          <w:rFonts w:ascii="Times New Roman" w:hAnsi="Times New Roman"/>
        </w:rPr>
        <w:t xml:space="preserve">CMV </w:t>
      </w:r>
      <w:r w:rsidRPr="00D600DA">
        <w:rPr>
          <w:rFonts w:ascii="Times New Roman" w:eastAsia="Times New Roman" w:hAnsi="Times New Roman"/>
          <w:noProof/>
          <w:snapToGrid w:val="0"/>
        </w:rPr>
        <w:t>sukeltą retinitą neištirti.</w:t>
      </w:r>
    </w:p>
    <w:p w14:paraId="03C9F0A5" w14:textId="77777777" w:rsidR="00E850F6" w:rsidRPr="00D600DA" w:rsidRDefault="00E850F6" w:rsidP="00E850F6">
      <w:pPr>
        <w:spacing w:after="0" w:line="240" w:lineRule="auto"/>
        <w:rPr>
          <w:rFonts w:ascii="Times New Roman" w:eastAsia="Times New Roman" w:hAnsi="Times New Roman"/>
          <w:lang w:eastAsia="ja-JP"/>
        </w:rPr>
      </w:pPr>
    </w:p>
    <w:p w14:paraId="75218CEE" w14:textId="77777777" w:rsidR="00E850F6" w:rsidRPr="00D600DA" w:rsidRDefault="00E850F6" w:rsidP="00E850F6">
      <w:pPr>
        <w:spacing w:after="0" w:line="240" w:lineRule="auto"/>
        <w:rPr>
          <w:rFonts w:ascii="Times New Roman" w:eastAsia="Times New Roman" w:hAnsi="Times New Roman"/>
          <w:b/>
          <w:lang w:eastAsia="ja-JP"/>
        </w:rPr>
      </w:pPr>
      <w:r w:rsidRPr="00D600DA">
        <w:rPr>
          <w:rFonts w:ascii="Times New Roman" w:eastAsia="Times New Roman" w:hAnsi="Times New Roman"/>
          <w:b/>
          <w:lang w:eastAsia="ja-JP"/>
        </w:rPr>
        <w:t xml:space="preserve">CMV sukelto </w:t>
      </w:r>
      <w:r w:rsidRPr="00D600DA">
        <w:rPr>
          <w:rFonts w:ascii="Times New Roman" w:hAnsi="Times New Roman"/>
          <w:b/>
        </w:rPr>
        <w:t xml:space="preserve">ligos profilaktika </w:t>
      </w:r>
      <w:r w:rsidRPr="00D600DA">
        <w:rPr>
          <w:rFonts w:ascii="Times New Roman" w:eastAsia="Times New Roman" w:hAnsi="Times New Roman"/>
          <w:b/>
          <w:lang w:eastAsia="ja-JP"/>
        </w:rPr>
        <w:t>persodinus solidinį organą</w:t>
      </w:r>
    </w:p>
    <w:p w14:paraId="23287FFF" w14:textId="77777777" w:rsidR="00E850F6" w:rsidRPr="00D600DA" w:rsidRDefault="00E850F6" w:rsidP="00E850F6">
      <w:pPr>
        <w:spacing w:after="0" w:line="240" w:lineRule="auto"/>
        <w:rPr>
          <w:rFonts w:ascii="Times New Roman" w:eastAsia="Times New Roman" w:hAnsi="Times New Roman"/>
          <w:lang w:eastAsia="ja-JP"/>
        </w:rPr>
      </w:pPr>
    </w:p>
    <w:p w14:paraId="63C32516" w14:textId="77777777" w:rsidR="00E850F6" w:rsidRPr="00D600DA" w:rsidRDefault="00E850F6" w:rsidP="00E850F6">
      <w:pPr>
        <w:spacing w:after="0" w:line="240" w:lineRule="auto"/>
        <w:rPr>
          <w:rFonts w:ascii="Times New Roman" w:eastAsia="Times New Roman" w:hAnsi="Times New Roman"/>
          <w:i/>
          <w:lang w:eastAsia="ja-JP"/>
        </w:rPr>
      </w:pPr>
      <w:r w:rsidRPr="00D600DA">
        <w:rPr>
          <w:rFonts w:ascii="Times New Roman" w:eastAsia="Times New Roman" w:hAnsi="Times New Roman"/>
          <w:i/>
          <w:lang w:eastAsia="ja-JP"/>
        </w:rPr>
        <w:t>Suaugusieji</w:t>
      </w:r>
    </w:p>
    <w:p w14:paraId="5072B9D2" w14:textId="77777777" w:rsidR="00E850F6" w:rsidRPr="00D600DA" w:rsidRDefault="00E850F6" w:rsidP="00E850F6">
      <w:pPr>
        <w:spacing w:after="0" w:line="240" w:lineRule="auto"/>
        <w:rPr>
          <w:rFonts w:ascii="Times New Roman" w:hAnsi="Times New Roman"/>
        </w:rPr>
      </w:pPr>
    </w:p>
    <w:p w14:paraId="5C4F9EA7" w14:textId="77777777" w:rsidR="00E850F6" w:rsidRPr="00D600DA" w:rsidRDefault="00E850F6" w:rsidP="00E850F6">
      <w:pPr>
        <w:keepNext/>
        <w:keepLines/>
        <w:spacing w:after="0" w:line="240" w:lineRule="auto"/>
        <w:rPr>
          <w:rFonts w:ascii="Times New Roman" w:hAnsi="Times New Roman"/>
          <w:lang w:eastAsia="ja-JP"/>
        </w:rPr>
      </w:pPr>
      <w:r w:rsidRPr="00D600DA">
        <w:rPr>
          <w:rFonts w:ascii="Times New Roman" w:hAnsi="Times New Roman"/>
          <w:lang w:eastAsia="ja-JP"/>
        </w:rPr>
        <w:t>Pacientams, kuriems persodintas inkstas, rekomenduojamoji dozė yra 900 mg kartą per parą, pradedant pirmosiomis 10 parų po transplantacijos ir tęsiant iki šimtosios paros po transplantacijos. Profilaktika gali būti tęsiama iki 200 parų po transplantacijos (žr. 4.4, 4.8 ir 5.1 skyrius).</w:t>
      </w:r>
    </w:p>
    <w:p w14:paraId="7586660D" w14:textId="77777777" w:rsidR="00E850F6" w:rsidRPr="00D600DA" w:rsidRDefault="00E850F6" w:rsidP="00E850F6">
      <w:pPr>
        <w:spacing w:after="0" w:line="240" w:lineRule="auto"/>
        <w:rPr>
          <w:rFonts w:ascii="Times New Roman" w:hAnsi="Times New Roman"/>
          <w:lang w:eastAsia="ja-JP"/>
        </w:rPr>
      </w:pPr>
    </w:p>
    <w:p w14:paraId="4005E474"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Pacientams, kuriems persodintas kitoks parenchiminis organas nei inkstas, rekomenduojamoji dozė yra 900 mg kartą per parą, pradedant pirmosiomis 10 parų po transplantacijos ir baigiant šimtąja para po transplantacijos.</w:t>
      </w:r>
    </w:p>
    <w:p w14:paraId="3D1A06FD" w14:textId="77777777" w:rsidR="00E850F6" w:rsidRPr="00D600DA" w:rsidRDefault="00E850F6" w:rsidP="00E850F6">
      <w:pPr>
        <w:spacing w:after="0" w:line="240" w:lineRule="auto"/>
        <w:rPr>
          <w:rFonts w:ascii="Times New Roman" w:hAnsi="Times New Roman"/>
          <w:i/>
        </w:rPr>
      </w:pPr>
    </w:p>
    <w:p w14:paraId="2A8AF160" w14:textId="77777777" w:rsidR="00E850F6" w:rsidRPr="00D600DA" w:rsidRDefault="00E850F6" w:rsidP="00E850F6">
      <w:pPr>
        <w:spacing w:after="0" w:line="240" w:lineRule="auto"/>
        <w:rPr>
          <w:rFonts w:ascii="Times New Roman" w:eastAsia="Times New Roman" w:hAnsi="Times New Roman"/>
          <w:i/>
          <w:lang w:eastAsia="ja-JP"/>
        </w:rPr>
      </w:pPr>
      <w:r w:rsidRPr="00D600DA">
        <w:rPr>
          <w:rFonts w:ascii="Times New Roman" w:eastAsia="Times New Roman" w:hAnsi="Times New Roman"/>
          <w:i/>
          <w:lang w:eastAsia="ja-JP"/>
        </w:rPr>
        <w:t>Vaikų populiacija</w:t>
      </w:r>
    </w:p>
    <w:p w14:paraId="2F5AC512" w14:textId="77777777" w:rsidR="00E850F6" w:rsidRPr="00D600DA" w:rsidRDefault="00E850F6" w:rsidP="00E850F6">
      <w:pPr>
        <w:spacing w:after="0" w:line="240" w:lineRule="auto"/>
        <w:rPr>
          <w:rFonts w:ascii="Times New Roman" w:eastAsia="PMingLiU" w:hAnsi="Times New Roman"/>
          <w:noProof/>
          <w:lang w:eastAsia="zh-CN"/>
        </w:rPr>
      </w:pPr>
    </w:p>
    <w:p w14:paraId="48470B2C" w14:textId="77777777" w:rsidR="00E850F6" w:rsidRPr="00D600DA" w:rsidRDefault="00E850F6" w:rsidP="00E850F6">
      <w:pPr>
        <w:spacing w:after="0" w:line="240" w:lineRule="auto"/>
        <w:rPr>
          <w:rFonts w:ascii="Times New Roman" w:eastAsia="PMingLiU" w:hAnsi="Times New Roman"/>
          <w:lang w:eastAsia="zh-CN"/>
        </w:rPr>
      </w:pPr>
      <w:r w:rsidRPr="00D600DA">
        <w:rPr>
          <w:rFonts w:ascii="Times New Roman" w:eastAsia="PMingLiU" w:hAnsi="Times New Roman"/>
          <w:lang w:eastAsia="zh-CN"/>
        </w:rPr>
        <w:t>Persodintą solidinį organą turintiems vaikams (nuo gimimo), kuriems yra grėsmė susirgti CMV sukelta liga, rekomenduojamoji vieną kartą per parą Valcyte dozė priklauso nuo kūno paviršiaus ploto (KPP) ir kreatinino klirenso (KK), gautų pagal Schwartz‘o formulę (KrKlS) ir apskaičiuojama pagal šią lygtį:</w:t>
      </w:r>
    </w:p>
    <w:p w14:paraId="68846356" w14:textId="77777777" w:rsidR="00E850F6" w:rsidRPr="00D600DA" w:rsidRDefault="00E850F6" w:rsidP="00E850F6">
      <w:pPr>
        <w:spacing w:after="0" w:line="240" w:lineRule="auto"/>
        <w:rPr>
          <w:rFonts w:ascii="Times New Roman" w:eastAsia="PMingLiU" w:hAnsi="Times New Roman"/>
          <w:lang w:eastAsia="zh-CN"/>
        </w:rPr>
      </w:pPr>
    </w:p>
    <w:p w14:paraId="39E3B79B" w14:textId="77777777" w:rsidR="00E850F6" w:rsidRPr="00D600DA" w:rsidRDefault="00E850F6" w:rsidP="00E850F6">
      <w:pPr>
        <w:spacing w:after="0" w:line="240" w:lineRule="auto"/>
        <w:rPr>
          <w:rFonts w:ascii="Times New Roman" w:eastAsia="PMingLiU" w:hAnsi="Times New Roman"/>
          <w:lang w:eastAsia="zh-CN"/>
        </w:rPr>
      </w:pPr>
      <w:r w:rsidRPr="00D600DA">
        <w:rPr>
          <w:rFonts w:ascii="Times New Roman" w:eastAsia="PMingLiU" w:hAnsi="Times New Roman"/>
          <w:lang w:eastAsia="zh-CN"/>
        </w:rPr>
        <w:t>Dozė vaikui (mg) = 7 x KPP x KrKlS (žiūrėkite žemiau pateiktas Mosteller’io KPP bei Schwartz’o Kreatinino Klirenso formules).</w:t>
      </w:r>
    </w:p>
    <w:p w14:paraId="70077538" w14:textId="77777777" w:rsidR="00E850F6" w:rsidRPr="00D600DA" w:rsidRDefault="00E850F6" w:rsidP="00E850F6">
      <w:pPr>
        <w:spacing w:after="0" w:line="240" w:lineRule="auto"/>
        <w:rPr>
          <w:rFonts w:ascii="Times New Roman" w:eastAsia="PMingLiU" w:hAnsi="Times New Roman"/>
          <w:lang w:eastAsia="zh-CN"/>
        </w:rPr>
      </w:pPr>
    </w:p>
    <w:p w14:paraId="6928E339" w14:textId="77777777" w:rsidR="00E850F6" w:rsidRPr="00D600DA" w:rsidRDefault="00E850F6" w:rsidP="00E850F6">
      <w:pPr>
        <w:spacing w:after="0" w:line="240" w:lineRule="auto"/>
        <w:rPr>
          <w:rFonts w:ascii="Times New Roman" w:eastAsia="PMingLiU" w:hAnsi="Times New Roman"/>
          <w:lang w:eastAsia="zh-CN"/>
        </w:rPr>
      </w:pPr>
      <w:r w:rsidRPr="00D600DA">
        <w:rPr>
          <w:rFonts w:ascii="Times New Roman" w:eastAsia="PMingLiU" w:hAnsi="Times New Roman"/>
          <w:lang w:eastAsia="zh-CN"/>
        </w:rPr>
        <w:t>Jeigu pagal Schwartz’o formulę apskaičiuotas kreatinino klirensas yra didesnis nei 150 ml/min/1,73 m</w:t>
      </w:r>
      <w:r w:rsidRPr="00D600DA">
        <w:rPr>
          <w:rFonts w:ascii="Times New Roman" w:eastAsia="PMingLiU" w:hAnsi="Times New Roman"/>
          <w:vertAlign w:val="superscript"/>
          <w:lang w:eastAsia="zh-CN"/>
        </w:rPr>
        <w:t>2</w:t>
      </w:r>
      <w:r w:rsidRPr="00D600DA">
        <w:rPr>
          <w:rFonts w:ascii="Times New Roman" w:eastAsia="PMingLiU" w:hAnsi="Times New Roman"/>
          <w:lang w:eastAsia="zh-CN"/>
        </w:rPr>
        <w:t>, tuomet lygtyje reikia naudoti maksimalią reikšmę 150 ml/min/1,73 m</w:t>
      </w:r>
      <w:r w:rsidRPr="00D600DA">
        <w:rPr>
          <w:rFonts w:ascii="Times New Roman" w:eastAsia="PMingLiU" w:hAnsi="Times New Roman"/>
          <w:vertAlign w:val="superscript"/>
          <w:lang w:eastAsia="zh-CN"/>
        </w:rPr>
        <w:t>2</w:t>
      </w:r>
      <w:r w:rsidRPr="00D600DA">
        <w:rPr>
          <w:rFonts w:ascii="Times New Roman" w:eastAsia="PMingLiU" w:hAnsi="Times New Roman"/>
          <w:lang w:eastAsia="zh-CN"/>
        </w:rPr>
        <w:t>.</w:t>
      </w:r>
    </w:p>
    <w:p w14:paraId="60A1E18A" w14:textId="77777777" w:rsidR="00E850F6" w:rsidRPr="00D600DA" w:rsidRDefault="00CB1E19" w:rsidP="00E850F6">
      <w:pPr>
        <w:spacing w:after="0" w:line="240" w:lineRule="auto"/>
        <w:rPr>
          <w:rFonts w:ascii="Times New Roman" w:eastAsia="PMingLiU" w:hAnsi="Times New Roman"/>
          <w:lang w:eastAsia="zh-CN"/>
        </w:rPr>
      </w:pPr>
      <w:r>
        <w:rPr>
          <w:noProof/>
        </w:rPr>
        <w:drawing>
          <wp:anchor distT="0" distB="0" distL="114300" distR="114300" simplePos="0" relativeHeight="251657216" behindDoc="1" locked="0" layoutInCell="1" allowOverlap="1" wp14:anchorId="672EE9B9" wp14:editId="0DC94A55">
            <wp:simplePos x="0" y="0"/>
            <wp:positionH relativeFrom="column">
              <wp:posOffset>1793240</wp:posOffset>
            </wp:positionH>
            <wp:positionV relativeFrom="paragraph">
              <wp:posOffset>62865</wp:posOffset>
            </wp:positionV>
            <wp:extent cx="2291715" cy="688975"/>
            <wp:effectExtent l="0" t="0" r="0" b="0"/>
            <wp:wrapSquare wrapText="bothSides"/>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1715" cy="688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65130" w14:textId="77777777" w:rsidR="00E850F6" w:rsidRPr="00D600DA" w:rsidRDefault="00E850F6" w:rsidP="00E850F6">
      <w:pPr>
        <w:spacing w:after="0" w:line="240" w:lineRule="auto"/>
        <w:rPr>
          <w:rFonts w:ascii="Times New Roman" w:eastAsia="PMingLiU" w:hAnsi="Times New Roman"/>
          <w:lang w:eastAsia="zh-CN"/>
        </w:rPr>
      </w:pPr>
      <w:r w:rsidRPr="00D600DA">
        <w:rPr>
          <w:rFonts w:ascii="Times New Roman" w:eastAsia="PMingLiU" w:hAnsi="Times New Roman"/>
          <w:lang w:eastAsia="zh-CN"/>
        </w:rPr>
        <w:t>Mosteller’io lygtis</w:t>
      </w:r>
    </w:p>
    <w:p w14:paraId="3375610D" w14:textId="77777777" w:rsidR="00E850F6" w:rsidRPr="00DD4483" w:rsidRDefault="00E850F6" w:rsidP="00E850F6">
      <w:pPr>
        <w:spacing w:after="0" w:line="240" w:lineRule="auto"/>
        <w:rPr>
          <w:rFonts w:ascii="Times New Roman" w:hAnsi="Times New Roman"/>
        </w:rPr>
      </w:pPr>
    </w:p>
    <w:p w14:paraId="3918F58E" w14:textId="77777777" w:rsidR="00E850F6" w:rsidRPr="00DD4483" w:rsidRDefault="00E850F6" w:rsidP="00E850F6">
      <w:pPr>
        <w:spacing w:after="0" w:line="240" w:lineRule="auto"/>
        <w:rPr>
          <w:rFonts w:ascii="Times New Roman" w:hAnsi="Times New Roman"/>
        </w:rPr>
      </w:pPr>
    </w:p>
    <w:p w14:paraId="0D912D85" w14:textId="77777777" w:rsidR="00E850F6" w:rsidRPr="00DD4483" w:rsidRDefault="00E850F6" w:rsidP="00E850F6">
      <w:pPr>
        <w:spacing w:after="0" w:line="240" w:lineRule="auto"/>
        <w:rPr>
          <w:rFonts w:ascii="Times New Roman" w:hAnsi="Times New Roman"/>
        </w:rPr>
      </w:pPr>
    </w:p>
    <w:p w14:paraId="158BEE22" w14:textId="77777777" w:rsidR="00E850F6" w:rsidRPr="00DD4483" w:rsidRDefault="00E850F6" w:rsidP="00E850F6">
      <w:pPr>
        <w:spacing w:after="0" w:line="240" w:lineRule="auto"/>
        <w:rPr>
          <w:rFonts w:ascii="Times New Roman" w:hAnsi="Times New Roman"/>
        </w:rPr>
      </w:pPr>
      <w:r w:rsidRPr="00DD4483">
        <w:rPr>
          <w:rFonts w:ascii="Times New Roman" w:hAnsi="Times New Roman"/>
        </w:rPr>
        <w:t xml:space="preserve">KrKl </w:t>
      </w:r>
      <w:r w:rsidRPr="00D600DA">
        <w:rPr>
          <w:rFonts w:ascii="Times New Roman" w:eastAsia="PMingLiU" w:hAnsi="Times New Roman"/>
          <w:lang w:eastAsia="zh-CN"/>
        </w:rPr>
        <w:t>apskaičiuojamas naudojant Schwartz’o lygtį:</w:t>
      </w:r>
    </w:p>
    <w:p w14:paraId="343B4546" w14:textId="77777777" w:rsidR="00E850F6" w:rsidRPr="00D600DA" w:rsidRDefault="00CB1E19" w:rsidP="00E850F6">
      <w:pPr>
        <w:spacing w:after="0" w:line="240" w:lineRule="auto"/>
        <w:jc w:val="center"/>
        <w:rPr>
          <w:rFonts w:ascii="Times New Roman" w:eastAsia="Times New Roman" w:hAnsi="Times New Roman"/>
          <w:lang w:val="fi-FI"/>
        </w:rPr>
      </w:pPr>
      <w:r w:rsidRPr="00E850F6">
        <w:rPr>
          <w:rFonts w:ascii="Times New Roman" w:eastAsia="Times New Roman" w:hAnsi="Times New Roman"/>
          <w:noProof/>
        </w:rPr>
        <w:drawing>
          <wp:inline distT="0" distB="0" distL="0" distR="0" wp14:anchorId="7E355679" wp14:editId="5F43579E">
            <wp:extent cx="4924425" cy="4286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4425" cy="428625"/>
                    </a:xfrm>
                    <a:prstGeom prst="rect">
                      <a:avLst/>
                    </a:prstGeom>
                    <a:noFill/>
                    <a:ln>
                      <a:noFill/>
                    </a:ln>
                  </pic:spPr>
                </pic:pic>
              </a:graphicData>
            </a:graphic>
          </wp:inline>
        </w:drawing>
      </w:r>
    </w:p>
    <w:p w14:paraId="60DD6DBD" w14:textId="77777777" w:rsidR="00E850F6" w:rsidRPr="00D600DA" w:rsidRDefault="00E850F6" w:rsidP="00E850F6">
      <w:pPr>
        <w:spacing w:after="0" w:line="240" w:lineRule="auto"/>
        <w:jc w:val="center"/>
        <w:rPr>
          <w:rFonts w:ascii="Times New Roman" w:eastAsia="Times New Roman" w:hAnsi="Times New Roman"/>
          <w:lang w:val="en-US" w:eastAsia="ja-JP"/>
        </w:rPr>
      </w:pPr>
    </w:p>
    <w:p w14:paraId="29C7C74D" w14:textId="77777777" w:rsidR="00E850F6" w:rsidRPr="00D600DA" w:rsidRDefault="00E850F6" w:rsidP="00E850F6">
      <w:pPr>
        <w:spacing w:after="0" w:line="240" w:lineRule="auto"/>
        <w:rPr>
          <w:rFonts w:ascii="Times New Roman" w:eastAsia="PMingLiU" w:hAnsi="Times New Roman"/>
          <w:lang w:eastAsia="zh-CN"/>
        </w:rPr>
      </w:pPr>
      <w:r w:rsidRPr="00D600DA">
        <w:rPr>
          <w:rFonts w:ascii="Times New Roman" w:eastAsia="PMingLiU" w:hAnsi="Times New Roman"/>
          <w:lang w:eastAsia="zh-CN"/>
        </w:rPr>
        <w:t>kur k = 0,45* jaunesniems nei 2 metų pacientams, 0,55 - nuo 2 iki &lt; 13 metų berniukams ir nuo 2 iki 16 metų mergaitėms bei 0,7 - nuo 13 iki 16 metų berniukams. Vyresniems nei 16 metų pacientams reikia dozuoti kaip suaugusiesiems.</w:t>
      </w:r>
    </w:p>
    <w:p w14:paraId="70358E11" w14:textId="77777777" w:rsidR="00E850F6" w:rsidRPr="00D600DA" w:rsidRDefault="00E850F6" w:rsidP="00E850F6">
      <w:pPr>
        <w:spacing w:after="0" w:line="240" w:lineRule="auto"/>
        <w:rPr>
          <w:rFonts w:ascii="Times New Roman" w:eastAsia="PMingLiU" w:hAnsi="Times New Roman"/>
          <w:lang w:eastAsia="zh-CN"/>
        </w:rPr>
      </w:pPr>
    </w:p>
    <w:p w14:paraId="51980BC0" w14:textId="77777777" w:rsidR="00E850F6" w:rsidRPr="00D600DA" w:rsidRDefault="00E850F6" w:rsidP="00E850F6">
      <w:pPr>
        <w:spacing w:after="0" w:line="240" w:lineRule="auto"/>
        <w:rPr>
          <w:rFonts w:ascii="Times New Roman" w:eastAsia="PMingLiU" w:hAnsi="Times New Roman"/>
          <w:lang w:eastAsia="zh-CN"/>
        </w:rPr>
      </w:pPr>
      <w:r w:rsidRPr="00D600DA">
        <w:rPr>
          <w:rFonts w:ascii="Times New Roman" w:eastAsia="PMingLiU" w:hAnsi="Times New Roman"/>
          <w:lang w:eastAsia="zh-CN"/>
        </w:rPr>
        <w:t>Pateiktos koeficiento k reikšmės yra pagrįstos kreatinino kiekio serume matavimais Jaffe metodu, o naudojant fermentinius metodus jas gali reikėti koreguoti.</w:t>
      </w:r>
    </w:p>
    <w:p w14:paraId="51079C0A" w14:textId="77777777" w:rsidR="00E850F6" w:rsidRPr="00D600DA" w:rsidRDefault="00E850F6" w:rsidP="00E850F6">
      <w:pPr>
        <w:spacing w:after="0" w:line="240" w:lineRule="auto"/>
        <w:rPr>
          <w:rFonts w:ascii="Times New Roman" w:eastAsia="PMingLiU" w:hAnsi="Times New Roman"/>
          <w:lang w:eastAsia="zh-CN"/>
        </w:rPr>
      </w:pPr>
    </w:p>
    <w:p w14:paraId="2BFA1CED" w14:textId="77777777" w:rsidR="00E850F6" w:rsidRPr="00D600DA" w:rsidRDefault="00E850F6" w:rsidP="00E850F6">
      <w:pPr>
        <w:spacing w:after="0" w:line="240" w:lineRule="auto"/>
        <w:rPr>
          <w:rFonts w:ascii="Times New Roman" w:eastAsia="PMingLiU" w:hAnsi="Times New Roman"/>
          <w:lang w:eastAsia="zh-CN"/>
        </w:rPr>
      </w:pPr>
      <w:r w:rsidRPr="00D600DA">
        <w:rPr>
          <w:rFonts w:ascii="Times New Roman" w:eastAsia="PMingLiU" w:hAnsi="Times New Roman"/>
          <w:lang w:eastAsia="zh-CN"/>
        </w:rPr>
        <w:t>* tam tikriems pogrupiams k reikšmę taip pat gali reikėti sumažinti (pvz., mažos kūno masės vaikams).</w:t>
      </w:r>
    </w:p>
    <w:p w14:paraId="35347C27" w14:textId="77777777" w:rsidR="00E850F6" w:rsidRPr="00D600DA" w:rsidRDefault="00E850F6" w:rsidP="00E850F6">
      <w:pPr>
        <w:spacing w:after="0" w:line="240" w:lineRule="auto"/>
        <w:rPr>
          <w:rFonts w:ascii="Times New Roman" w:eastAsia="PMingLiU" w:hAnsi="Times New Roman"/>
          <w:lang w:eastAsia="zh-CN"/>
        </w:rPr>
      </w:pPr>
    </w:p>
    <w:p w14:paraId="398BA5A8" w14:textId="77777777" w:rsidR="00E850F6" w:rsidRPr="00D600DA" w:rsidRDefault="00E850F6" w:rsidP="00E850F6">
      <w:pPr>
        <w:spacing w:after="0" w:line="240" w:lineRule="auto"/>
        <w:rPr>
          <w:rFonts w:ascii="Times New Roman" w:eastAsia="PMingLiU" w:hAnsi="Times New Roman"/>
          <w:lang w:eastAsia="zh-CN"/>
        </w:rPr>
      </w:pPr>
      <w:r w:rsidRPr="00D600DA">
        <w:rPr>
          <w:rFonts w:ascii="Times New Roman" w:eastAsia="PMingLiU" w:hAnsi="Times New Roman"/>
          <w:lang w:eastAsia="zh-CN"/>
        </w:rPr>
        <w:lastRenderedPageBreak/>
        <w:t>Persodintą inkstą turintiems vaikams rekomenduojamąją vieną kartą per parą dozę mg (7 x KPP x KrKlS) reikia pradėti vartoti per 10 dienų po transplantacijos ir tęsti iki 200</w:t>
      </w:r>
      <w:r w:rsidRPr="00D600DA">
        <w:rPr>
          <w:rFonts w:ascii="Times New Roman" w:eastAsia="PMingLiU" w:hAnsi="Times New Roman"/>
          <w:lang w:eastAsia="zh-CN"/>
        </w:rPr>
        <w:noBreakHyphen/>
        <w:t>osios dienos po transplantacijos.</w:t>
      </w:r>
    </w:p>
    <w:p w14:paraId="3D5EEE6E" w14:textId="77777777" w:rsidR="00E850F6" w:rsidRPr="00D600DA" w:rsidRDefault="00E850F6" w:rsidP="00E850F6">
      <w:pPr>
        <w:spacing w:after="0" w:line="240" w:lineRule="auto"/>
        <w:rPr>
          <w:rFonts w:ascii="Times New Roman" w:eastAsia="PMingLiU" w:hAnsi="Times New Roman"/>
          <w:lang w:eastAsia="zh-CN"/>
        </w:rPr>
      </w:pPr>
    </w:p>
    <w:p w14:paraId="7DEDC7FA" w14:textId="77777777" w:rsidR="00E850F6" w:rsidRPr="00D600DA" w:rsidRDefault="00E850F6" w:rsidP="00E850F6">
      <w:pPr>
        <w:spacing w:after="0" w:line="240" w:lineRule="auto"/>
        <w:rPr>
          <w:rFonts w:ascii="Times New Roman" w:eastAsia="PMingLiU" w:hAnsi="Times New Roman"/>
          <w:lang w:eastAsia="zh-CN"/>
        </w:rPr>
      </w:pPr>
      <w:r w:rsidRPr="00D600DA">
        <w:rPr>
          <w:rFonts w:ascii="Times New Roman" w:eastAsia="PMingLiU" w:hAnsi="Times New Roman"/>
          <w:lang w:eastAsia="zh-CN"/>
        </w:rPr>
        <w:t>Vaikams ir paaugliams, turintiems persodintą solidinį organą ne inkstą, rekomenduojamąją vieną kartą per parą dozę mg (7 x KPP x KrKlS) reikia pradėti vartoti per 10 dienų po transplantacijos ir tęsti iki 100</w:t>
      </w:r>
      <w:r w:rsidRPr="00D600DA">
        <w:rPr>
          <w:rFonts w:ascii="Times New Roman" w:eastAsia="PMingLiU" w:hAnsi="Times New Roman"/>
          <w:lang w:eastAsia="zh-CN"/>
        </w:rPr>
        <w:noBreakHyphen/>
        <w:t>osios dienos po transplantacijos.</w:t>
      </w:r>
    </w:p>
    <w:p w14:paraId="261DAFBE" w14:textId="77777777" w:rsidR="00E850F6" w:rsidRPr="00D600DA" w:rsidRDefault="00E850F6" w:rsidP="00C107D1">
      <w:pPr>
        <w:spacing w:after="0" w:line="240" w:lineRule="auto"/>
        <w:rPr>
          <w:rFonts w:ascii="Times New Roman" w:eastAsia="PMingLiU" w:hAnsi="Times New Roman"/>
          <w:lang w:eastAsia="zh-CN"/>
        </w:rPr>
      </w:pPr>
    </w:p>
    <w:p w14:paraId="5BEBD17B" w14:textId="77777777" w:rsidR="00C107D1" w:rsidRPr="00C107D1" w:rsidRDefault="00E850F6" w:rsidP="00C107D1">
      <w:pPr>
        <w:spacing w:after="0" w:line="240" w:lineRule="auto"/>
        <w:rPr>
          <w:rFonts w:ascii="Times New Roman" w:eastAsia="PMingLiU" w:hAnsi="Times New Roman"/>
          <w:lang w:eastAsia="zh-CN"/>
        </w:rPr>
      </w:pPr>
      <w:r w:rsidRPr="00D600DA">
        <w:rPr>
          <w:rFonts w:ascii="Times New Roman" w:eastAsia="PMingLiU" w:hAnsi="Times New Roman"/>
          <w:lang w:eastAsia="zh-CN"/>
        </w:rPr>
        <w:t xml:space="preserve">Visas apskaičiuotas dozes reikia suapvalinti į viršų iki artimiausios 25 mg dalies, kad atitiktų faktiškai tiekiamą dozę. </w:t>
      </w:r>
      <w:r w:rsidR="00C107D1">
        <w:rPr>
          <w:rFonts w:ascii="Times New Roman" w:eastAsia="PMingLiU" w:hAnsi="Times New Roman"/>
          <w:lang w:eastAsia="zh-CN"/>
        </w:rPr>
        <w:t>Geriam</w:t>
      </w:r>
      <w:r w:rsidR="00021013">
        <w:rPr>
          <w:rFonts w:ascii="Times New Roman" w:eastAsia="PMingLiU" w:hAnsi="Times New Roman"/>
          <w:lang w:eastAsia="zh-CN"/>
        </w:rPr>
        <w:t>asis švirkštas</w:t>
      </w:r>
      <w:r w:rsidR="00C107D1">
        <w:rPr>
          <w:rFonts w:ascii="Times New Roman" w:eastAsia="PMingLiU" w:hAnsi="Times New Roman"/>
          <w:lang w:eastAsia="zh-CN"/>
        </w:rPr>
        <w:t xml:space="preserve"> yra su</w:t>
      </w:r>
      <w:r w:rsidR="00C107D1" w:rsidRPr="00C107D1">
        <w:rPr>
          <w:rFonts w:ascii="Times New Roman" w:eastAsia="PMingLiU" w:hAnsi="Times New Roman"/>
          <w:lang w:eastAsia="zh-CN"/>
        </w:rPr>
        <w:t>gradu</w:t>
      </w:r>
      <w:r w:rsidR="00C107D1">
        <w:rPr>
          <w:rFonts w:ascii="Times New Roman" w:eastAsia="PMingLiU" w:hAnsi="Times New Roman"/>
          <w:lang w:eastAsia="zh-CN"/>
        </w:rPr>
        <w:t>otas</w:t>
      </w:r>
      <w:r w:rsidR="00C107D1" w:rsidRPr="00C107D1">
        <w:rPr>
          <w:rFonts w:ascii="Times New Roman" w:eastAsia="PMingLiU" w:hAnsi="Times New Roman"/>
          <w:lang w:eastAsia="zh-CN"/>
        </w:rPr>
        <w:t xml:space="preserve"> m</w:t>
      </w:r>
      <w:r w:rsidR="00C107D1">
        <w:rPr>
          <w:rFonts w:ascii="Times New Roman" w:eastAsia="PMingLiU" w:hAnsi="Times New Roman"/>
          <w:lang w:eastAsia="zh-CN"/>
        </w:rPr>
        <w:t>i</w:t>
      </w:r>
      <w:r w:rsidR="00C107D1" w:rsidRPr="00C107D1">
        <w:rPr>
          <w:rFonts w:ascii="Times New Roman" w:eastAsia="PMingLiU" w:hAnsi="Times New Roman"/>
          <w:lang w:eastAsia="zh-CN"/>
        </w:rPr>
        <w:t>l</w:t>
      </w:r>
      <w:r w:rsidR="00C107D1">
        <w:rPr>
          <w:rFonts w:ascii="Times New Roman" w:eastAsia="PMingLiU" w:hAnsi="Times New Roman"/>
          <w:lang w:eastAsia="zh-CN"/>
        </w:rPr>
        <w:t>ilitrais</w:t>
      </w:r>
      <w:r w:rsidR="00C107D1" w:rsidRPr="00C107D1">
        <w:rPr>
          <w:rFonts w:ascii="Times New Roman" w:eastAsia="PMingLiU" w:hAnsi="Times New Roman"/>
          <w:lang w:eastAsia="zh-CN"/>
        </w:rPr>
        <w:t>. 50</w:t>
      </w:r>
      <w:r w:rsidR="00C107D1">
        <w:rPr>
          <w:rFonts w:ascii="Times New Roman" w:eastAsia="PMingLiU" w:hAnsi="Times New Roman"/>
          <w:lang w:eastAsia="zh-CN"/>
        </w:rPr>
        <w:t> </w:t>
      </w:r>
      <w:r w:rsidR="00C107D1" w:rsidRPr="00C107D1">
        <w:rPr>
          <w:rFonts w:ascii="Times New Roman" w:eastAsia="PMingLiU" w:hAnsi="Times New Roman"/>
          <w:lang w:eastAsia="zh-CN"/>
        </w:rPr>
        <w:t>mg do</w:t>
      </w:r>
      <w:r w:rsidR="00C107D1">
        <w:rPr>
          <w:rFonts w:ascii="Times New Roman" w:eastAsia="PMingLiU" w:hAnsi="Times New Roman"/>
          <w:lang w:eastAsia="zh-CN"/>
        </w:rPr>
        <w:t>zė atitinka</w:t>
      </w:r>
      <w:r w:rsidR="00C107D1" w:rsidRPr="00C107D1">
        <w:rPr>
          <w:rFonts w:ascii="Times New Roman" w:eastAsia="PMingLiU" w:hAnsi="Times New Roman"/>
          <w:lang w:eastAsia="zh-CN"/>
        </w:rPr>
        <w:t xml:space="preserve"> 1</w:t>
      </w:r>
      <w:r w:rsidR="00C107D1">
        <w:rPr>
          <w:rFonts w:ascii="Times New Roman" w:eastAsia="PMingLiU" w:hAnsi="Times New Roman"/>
          <w:lang w:eastAsia="zh-CN"/>
        </w:rPr>
        <w:t> </w:t>
      </w:r>
      <w:r w:rsidR="00C107D1" w:rsidRPr="00C107D1">
        <w:rPr>
          <w:rFonts w:ascii="Times New Roman" w:eastAsia="PMingLiU" w:hAnsi="Times New Roman"/>
          <w:lang w:eastAsia="zh-CN"/>
        </w:rPr>
        <w:t>ml:</w:t>
      </w:r>
    </w:p>
    <w:p w14:paraId="00D04423" w14:textId="77777777" w:rsidR="00C107D1" w:rsidRPr="00C107D1" w:rsidRDefault="00C107D1" w:rsidP="00C107D1">
      <w:pPr>
        <w:spacing w:after="0" w:line="240" w:lineRule="auto"/>
        <w:rPr>
          <w:rFonts w:ascii="Times New Roman" w:eastAsia="PMingLiU" w:hAnsi="Times New Roman"/>
          <w:lang w:eastAsia="zh-CN"/>
        </w:rPr>
      </w:pPr>
    </w:p>
    <w:tbl>
      <w:tblPr>
        <w:tblW w:w="5000" w:type="pct"/>
        <w:shd w:val="clear" w:color="auto" w:fill="FFFFFF"/>
        <w:tblCellMar>
          <w:left w:w="0" w:type="dxa"/>
          <w:right w:w="0" w:type="dxa"/>
        </w:tblCellMar>
        <w:tblLook w:val="04A0" w:firstRow="1" w:lastRow="0" w:firstColumn="1" w:lastColumn="0" w:noHBand="0" w:noVBand="1"/>
      </w:tblPr>
      <w:tblGrid>
        <w:gridCol w:w="4532"/>
        <w:gridCol w:w="4518"/>
      </w:tblGrid>
      <w:tr w:rsidR="00C107D1" w:rsidRPr="00C107D1" w14:paraId="21D4C444" w14:textId="77777777" w:rsidTr="00021013">
        <w:tc>
          <w:tcPr>
            <w:tcW w:w="2504"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D2AE22" w14:textId="77777777" w:rsidR="00C107D1" w:rsidRPr="00C107D1" w:rsidRDefault="00C107D1" w:rsidP="00C107D1">
            <w:pPr>
              <w:spacing w:after="0" w:line="240" w:lineRule="auto"/>
              <w:rPr>
                <w:rFonts w:ascii="Times New Roman" w:eastAsia="Times New Roman" w:hAnsi="Times New Roman"/>
                <w:szCs w:val="20"/>
                <w:lang w:val="en-US" w:eastAsia="ja-JP"/>
              </w:rPr>
            </w:pPr>
            <w:proofErr w:type="spellStart"/>
            <w:r>
              <w:rPr>
                <w:rFonts w:ascii="Times New Roman" w:eastAsia="Times New Roman" w:hAnsi="Times New Roman"/>
                <w:szCs w:val="20"/>
                <w:lang w:val="en-US" w:eastAsia="ja-JP"/>
              </w:rPr>
              <w:t>V</w:t>
            </w:r>
            <w:r w:rsidRPr="00C107D1">
              <w:rPr>
                <w:rFonts w:ascii="Times New Roman" w:eastAsia="Times New Roman" w:hAnsi="Times New Roman"/>
                <w:szCs w:val="20"/>
                <w:lang w:val="en-US" w:eastAsia="ja-JP"/>
              </w:rPr>
              <w:t>alganci</w:t>
            </w:r>
            <w:r>
              <w:rPr>
                <w:rFonts w:ascii="Times New Roman" w:eastAsia="Times New Roman" w:hAnsi="Times New Roman"/>
                <w:szCs w:val="20"/>
                <w:lang w:val="en-US" w:eastAsia="ja-JP"/>
              </w:rPr>
              <w:t>k</w:t>
            </w:r>
            <w:r w:rsidRPr="00C107D1">
              <w:rPr>
                <w:rFonts w:ascii="Times New Roman" w:eastAsia="Times New Roman" w:hAnsi="Times New Roman"/>
                <w:szCs w:val="20"/>
                <w:lang w:val="en-US" w:eastAsia="ja-JP"/>
              </w:rPr>
              <w:t>lovir</w:t>
            </w:r>
            <w:r>
              <w:rPr>
                <w:rFonts w:ascii="Times New Roman" w:eastAsia="Times New Roman" w:hAnsi="Times New Roman"/>
                <w:szCs w:val="20"/>
                <w:lang w:val="en-US" w:eastAsia="ja-JP"/>
              </w:rPr>
              <w:t>o</w:t>
            </w:r>
            <w:proofErr w:type="spellEnd"/>
            <w:r w:rsidRPr="00C107D1">
              <w:rPr>
                <w:rFonts w:ascii="Times New Roman" w:eastAsia="Times New Roman" w:hAnsi="Times New Roman"/>
                <w:szCs w:val="20"/>
                <w:lang w:val="en-US" w:eastAsia="ja-JP"/>
              </w:rPr>
              <w:t xml:space="preserve"> </w:t>
            </w:r>
            <w:proofErr w:type="spellStart"/>
            <w:r w:rsidRPr="00C107D1">
              <w:rPr>
                <w:rFonts w:ascii="Times New Roman" w:eastAsia="Times New Roman" w:hAnsi="Times New Roman"/>
                <w:szCs w:val="20"/>
                <w:lang w:val="en-US" w:eastAsia="ja-JP"/>
              </w:rPr>
              <w:t>do</w:t>
            </w:r>
            <w:r>
              <w:rPr>
                <w:rFonts w:ascii="Times New Roman" w:eastAsia="Times New Roman" w:hAnsi="Times New Roman"/>
                <w:szCs w:val="20"/>
                <w:lang w:val="en-US" w:eastAsia="ja-JP"/>
              </w:rPr>
              <w:t>zė</w:t>
            </w:r>
            <w:proofErr w:type="spellEnd"/>
          </w:p>
        </w:tc>
        <w:tc>
          <w:tcPr>
            <w:tcW w:w="249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D6F29C4" w14:textId="77777777" w:rsidR="00C107D1" w:rsidRPr="00DD4483" w:rsidRDefault="00C107D1" w:rsidP="00C107D1">
            <w:pPr>
              <w:spacing w:after="0" w:line="240" w:lineRule="auto"/>
              <w:rPr>
                <w:rFonts w:ascii="Times New Roman" w:hAnsi="Times New Roman"/>
                <w:lang w:val="pt-PT"/>
              </w:rPr>
            </w:pPr>
            <w:r w:rsidRPr="00DD4483">
              <w:rPr>
                <w:rFonts w:ascii="Times New Roman" w:hAnsi="Times New Roman"/>
                <w:lang w:val="pt-PT"/>
              </w:rPr>
              <w:t>Valcyte geriamasis tirpalas</w:t>
            </w:r>
          </w:p>
          <w:p w14:paraId="6CA21A38" w14:textId="77777777" w:rsidR="00C107D1" w:rsidRPr="00DD4483" w:rsidRDefault="00C107D1" w:rsidP="00C107D1">
            <w:pPr>
              <w:spacing w:after="0" w:line="240" w:lineRule="auto"/>
              <w:rPr>
                <w:rFonts w:ascii="Times New Roman" w:hAnsi="Times New Roman"/>
                <w:lang w:val="pt-PT"/>
              </w:rPr>
            </w:pPr>
            <w:r w:rsidRPr="00DD4483">
              <w:rPr>
                <w:rFonts w:ascii="Times New Roman" w:hAnsi="Times New Roman"/>
                <w:lang w:val="pt-PT"/>
              </w:rPr>
              <w:t>Kiek paskirti</w:t>
            </w:r>
          </w:p>
        </w:tc>
      </w:tr>
      <w:tr w:rsidR="00C107D1" w:rsidRPr="00C107D1" w14:paraId="75E0C4E6" w14:textId="77777777" w:rsidTr="00021013">
        <w:tc>
          <w:tcPr>
            <w:tcW w:w="250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7A2A29" w14:textId="77777777" w:rsidR="00C107D1" w:rsidRPr="00C107D1" w:rsidRDefault="00C107D1" w:rsidP="00C107D1">
            <w:pPr>
              <w:spacing w:after="0" w:line="240" w:lineRule="auto"/>
              <w:rPr>
                <w:rFonts w:ascii="Times New Roman" w:eastAsia="Times New Roman" w:hAnsi="Times New Roman"/>
                <w:szCs w:val="20"/>
                <w:lang w:val="en-US" w:eastAsia="ja-JP"/>
              </w:rPr>
            </w:pPr>
            <w:r w:rsidRPr="00C107D1">
              <w:rPr>
                <w:rFonts w:ascii="Times New Roman" w:eastAsia="Times New Roman" w:hAnsi="Times New Roman"/>
                <w:szCs w:val="20"/>
                <w:lang w:val="en-US" w:eastAsia="ja-JP"/>
              </w:rPr>
              <w:t>50</w:t>
            </w:r>
            <w:r>
              <w:rPr>
                <w:rFonts w:ascii="Times New Roman" w:eastAsia="Times New Roman" w:hAnsi="Times New Roman"/>
                <w:szCs w:val="20"/>
                <w:lang w:val="en-US" w:eastAsia="ja-JP"/>
              </w:rPr>
              <w:t> </w:t>
            </w:r>
            <w:r w:rsidRPr="00C107D1">
              <w:rPr>
                <w:rFonts w:ascii="Times New Roman" w:eastAsia="Times New Roman" w:hAnsi="Times New Roman"/>
                <w:szCs w:val="20"/>
                <w:lang w:val="en-US" w:eastAsia="ja-JP"/>
              </w:rPr>
              <w:t>mg</w:t>
            </w:r>
          </w:p>
        </w:tc>
        <w:tc>
          <w:tcPr>
            <w:tcW w:w="24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B04F58" w14:textId="77777777" w:rsidR="00C107D1" w:rsidRPr="00C107D1" w:rsidRDefault="00C107D1" w:rsidP="00C107D1">
            <w:pPr>
              <w:spacing w:after="0" w:line="240" w:lineRule="auto"/>
              <w:rPr>
                <w:rFonts w:ascii="Times New Roman" w:eastAsia="Times New Roman" w:hAnsi="Times New Roman"/>
                <w:szCs w:val="20"/>
                <w:lang w:val="en-US" w:eastAsia="ja-JP"/>
              </w:rPr>
            </w:pPr>
            <w:r w:rsidRPr="00C107D1">
              <w:rPr>
                <w:rFonts w:ascii="Times New Roman" w:eastAsia="Times New Roman" w:hAnsi="Times New Roman"/>
                <w:szCs w:val="20"/>
                <w:lang w:val="en-US" w:eastAsia="ja-JP"/>
              </w:rPr>
              <w:t>1</w:t>
            </w:r>
            <w:r>
              <w:rPr>
                <w:rFonts w:ascii="Times New Roman" w:eastAsia="Times New Roman" w:hAnsi="Times New Roman"/>
                <w:szCs w:val="20"/>
                <w:lang w:val="en-US" w:eastAsia="ja-JP"/>
              </w:rPr>
              <w:t> </w:t>
            </w:r>
            <w:r w:rsidRPr="00C107D1">
              <w:rPr>
                <w:rFonts w:ascii="Times New Roman" w:eastAsia="Times New Roman" w:hAnsi="Times New Roman"/>
                <w:szCs w:val="20"/>
                <w:lang w:val="en-US" w:eastAsia="ja-JP"/>
              </w:rPr>
              <w:t>ml</w:t>
            </w:r>
          </w:p>
        </w:tc>
      </w:tr>
      <w:tr w:rsidR="00C107D1" w:rsidRPr="00C107D1" w14:paraId="6DE73948" w14:textId="77777777" w:rsidTr="00021013">
        <w:tc>
          <w:tcPr>
            <w:tcW w:w="250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EE94E7" w14:textId="77777777" w:rsidR="00C107D1" w:rsidRPr="00C107D1" w:rsidRDefault="00C107D1" w:rsidP="00C107D1">
            <w:pPr>
              <w:spacing w:after="0" w:line="240" w:lineRule="auto"/>
              <w:rPr>
                <w:rFonts w:ascii="Times New Roman" w:eastAsia="Times New Roman" w:hAnsi="Times New Roman"/>
                <w:szCs w:val="20"/>
                <w:lang w:val="en-US" w:eastAsia="ja-JP"/>
              </w:rPr>
            </w:pPr>
            <w:r w:rsidRPr="00C107D1">
              <w:rPr>
                <w:rFonts w:ascii="Times New Roman" w:eastAsia="Times New Roman" w:hAnsi="Times New Roman"/>
                <w:szCs w:val="20"/>
                <w:lang w:val="en-US" w:eastAsia="ja-JP"/>
              </w:rPr>
              <w:t>75</w:t>
            </w:r>
            <w:r>
              <w:rPr>
                <w:rFonts w:ascii="Times New Roman" w:eastAsia="Times New Roman" w:hAnsi="Times New Roman"/>
                <w:szCs w:val="20"/>
                <w:lang w:val="en-US" w:eastAsia="ja-JP"/>
              </w:rPr>
              <w:t> </w:t>
            </w:r>
            <w:r w:rsidRPr="00C107D1">
              <w:rPr>
                <w:rFonts w:ascii="Times New Roman" w:eastAsia="Times New Roman" w:hAnsi="Times New Roman"/>
                <w:szCs w:val="20"/>
                <w:lang w:val="en-US" w:eastAsia="ja-JP"/>
              </w:rPr>
              <w:t>mg</w:t>
            </w:r>
          </w:p>
        </w:tc>
        <w:tc>
          <w:tcPr>
            <w:tcW w:w="24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D34ABE" w14:textId="77777777" w:rsidR="00C107D1" w:rsidRPr="00C107D1" w:rsidRDefault="00C107D1" w:rsidP="00C107D1">
            <w:pPr>
              <w:spacing w:after="0" w:line="240" w:lineRule="auto"/>
              <w:rPr>
                <w:rFonts w:ascii="Times New Roman" w:eastAsia="Times New Roman" w:hAnsi="Times New Roman"/>
                <w:szCs w:val="20"/>
                <w:lang w:val="en-US" w:eastAsia="ja-JP"/>
              </w:rPr>
            </w:pPr>
            <w:r w:rsidRPr="00C107D1">
              <w:rPr>
                <w:rFonts w:ascii="Times New Roman" w:eastAsia="Times New Roman" w:hAnsi="Times New Roman"/>
                <w:szCs w:val="20"/>
                <w:lang w:val="en-US" w:eastAsia="ja-JP"/>
              </w:rPr>
              <w:t>1</w:t>
            </w:r>
            <w:r>
              <w:rPr>
                <w:rFonts w:ascii="Times New Roman" w:eastAsia="Times New Roman" w:hAnsi="Times New Roman"/>
                <w:szCs w:val="20"/>
                <w:lang w:val="en-US" w:eastAsia="ja-JP"/>
              </w:rPr>
              <w:t>,</w:t>
            </w:r>
            <w:r w:rsidRPr="00C107D1">
              <w:rPr>
                <w:rFonts w:ascii="Times New Roman" w:eastAsia="Times New Roman" w:hAnsi="Times New Roman"/>
                <w:szCs w:val="20"/>
                <w:lang w:val="en-US" w:eastAsia="ja-JP"/>
              </w:rPr>
              <w:t>5</w:t>
            </w:r>
            <w:r>
              <w:rPr>
                <w:rFonts w:ascii="Times New Roman" w:eastAsia="Times New Roman" w:hAnsi="Times New Roman"/>
                <w:szCs w:val="20"/>
                <w:lang w:val="en-US" w:eastAsia="ja-JP"/>
              </w:rPr>
              <w:t> </w:t>
            </w:r>
            <w:r w:rsidRPr="00C107D1">
              <w:rPr>
                <w:rFonts w:ascii="Times New Roman" w:eastAsia="Times New Roman" w:hAnsi="Times New Roman"/>
                <w:szCs w:val="20"/>
                <w:lang w:val="en-US" w:eastAsia="ja-JP"/>
              </w:rPr>
              <w:t>ml</w:t>
            </w:r>
          </w:p>
        </w:tc>
      </w:tr>
      <w:tr w:rsidR="00C107D1" w:rsidRPr="00C107D1" w14:paraId="4DBE47C0" w14:textId="77777777" w:rsidTr="00021013">
        <w:tc>
          <w:tcPr>
            <w:tcW w:w="250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8D6C53" w14:textId="77777777" w:rsidR="00C107D1" w:rsidRPr="00C107D1" w:rsidRDefault="00C107D1" w:rsidP="00C107D1">
            <w:pPr>
              <w:spacing w:after="0" w:line="240" w:lineRule="auto"/>
              <w:rPr>
                <w:rFonts w:ascii="Times New Roman" w:eastAsia="Times New Roman" w:hAnsi="Times New Roman"/>
                <w:szCs w:val="20"/>
                <w:lang w:val="en-US" w:eastAsia="ja-JP"/>
              </w:rPr>
            </w:pPr>
            <w:r w:rsidRPr="00C107D1">
              <w:rPr>
                <w:rFonts w:ascii="Times New Roman" w:eastAsia="Times New Roman" w:hAnsi="Times New Roman"/>
                <w:szCs w:val="20"/>
                <w:lang w:val="en-US" w:eastAsia="ja-JP"/>
              </w:rPr>
              <w:t>100</w:t>
            </w:r>
            <w:r>
              <w:rPr>
                <w:rFonts w:ascii="Times New Roman" w:eastAsia="Times New Roman" w:hAnsi="Times New Roman"/>
                <w:szCs w:val="20"/>
                <w:lang w:val="en-US" w:eastAsia="ja-JP"/>
              </w:rPr>
              <w:t> </w:t>
            </w:r>
            <w:r w:rsidRPr="00C107D1">
              <w:rPr>
                <w:rFonts w:ascii="Times New Roman" w:eastAsia="Times New Roman" w:hAnsi="Times New Roman"/>
                <w:szCs w:val="20"/>
                <w:lang w:val="en-US" w:eastAsia="ja-JP"/>
              </w:rPr>
              <w:t>mg</w:t>
            </w:r>
          </w:p>
        </w:tc>
        <w:tc>
          <w:tcPr>
            <w:tcW w:w="24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819F04" w14:textId="77777777" w:rsidR="00C107D1" w:rsidRPr="00C107D1" w:rsidRDefault="00C107D1" w:rsidP="00C107D1">
            <w:pPr>
              <w:spacing w:after="0" w:line="240" w:lineRule="auto"/>
              <w:rPr>
                <w:rFonts w:ascii="Times New Roman" w:eastAsia="Times New Roman" w:hAnsi="Times New Roman"/>
                <w:szCs w:val="20"/>
                <w:lang w:val="en-US" w:eastAsia="ja-JP"/>
              </w:rPr>
            </w:pPr>
            <w:r w:rsidRPr="00C107D1">
              <w:rPr>
                <w:rFonts w:ascii="Times New Roman" w:eastAsia="Times New Roman" w:hAnsi="Times New Roman"/>
                <w:szCs w:val="20"/>
                <w:lang w:val="en-US" w:eastAsia="ja-JP"/>
              </w:rPr>
              <w:t>2</w:t>
            </w:r>
            <w:r>
              <w:rPr>
                <w:rFonts w:ascii="Times New Roman" w:eastAsia="Times New Roman" w:hAnsi="Times New Roman"/>
                <w:szCs w:val="20"/>
                <w:lang w:val="en-US" w:eastAsia="ja-JP"/>
              </w:rPr>
              <w:t> </w:t>
            </w:r>
            <w:r w:rsidRPr="00C107D1">
              <w:rPr>
                <w:rFonts w:ascii="Times New Roman" w:eastAsia="Times New Roman" w:hAnsi="Times New Roman"/>
                <w:szCs w:val="20"/>
                <w:lang w:val="en-US" w:eastAsia="ja-JP"/>
              </w:rPr>
              <w:t>ml</w:t>
            </w:r>
          </w:p>
        </w:tc>
      </w:tr>
      <w:tr w:rsidR="00C107D1" w:rsidRPr="00C107D1" w14:paraId="3994E24F" w14:textId="77777777" w:rsidTr="00021013">
        <w:tc>
          <w:tcPr>
            <w:tcW w:w="250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D36ECA" w14:textId="77777777" w:rsidR="00C107D1" w:rsidRPr="00C107D1" w:rsidRDefault="00C107D1" w:rsidP="00C107D1">
            <w:pPr>
              <w:spacing w:after="0" w:line="240" w:lineRule="auto"/>
              <w:rPr>
                <w:rFonts w:ascii="Times New Roman" w:eastAsia="Times New Roman" w:hAnsi="Times New Roman"/>
                <w:szCs w:val="20"/>
                <w:lang w:val="en-US" w:eastAsia="ja-JP"/>
              </w:rPr>
            </w:pPr>
            <w:r w:rsidRPr="00C107D1">
              <w:rPr>
                <w:rFonts w:ascii="Times New Roman" w:eastAsia="Times New Roman" w:hAnsi="Times New Roman"/>
                <w:szCs w:val="20"/>
                <w:lang w:val="en-US" w:eastAsia="ja-JP"/>
              </w:rPr>
              <w:t>500</w:t>
            </w:r>
            <w:r>
              <w:rPr>
                <w:rFonts w:ascii="Times New Roman" w:eastAsia="Times New Roman" w:hAnsi="Times New Roman"/>
                <w:szCs w:val="20"/>
                <w:lang w:val="en-US" w:eastAsia="ja-JP"/>
              </w:rPr>
              <w:t> </w:t>
            </w:r>
            <w:r w:rsidRPr="00C107D1">
              <w:rPr>
                <w:rFonts w:ascii="Times New Roman" w:eastAsia="Times New Roman" w:hAnsi="Times New Roman"/>
                <w:szCs w:val="20"/>
                <w:lang w:val="en-US" w:eastAsia="ja-JP"/>
              </w:rPr>
              <w:t>mg</w:t>
            </w:r>
          </w:p>
        </w:tc>
        <w:tc>
          <w:tcPr>
            <w:tcW w:w="24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4DED49" w14:textId="77777777" w:rsidR="00C107D1" w:rsidRPr="00C107D1" w:rsidRDefault="00C107D1" w:rsidP="00C107D1">
            <w:pPr>
              <w:spacing w:after="0" w:line="240" w:lineRule="auto"/>
              <w:rPr>
                <w:rFonts w:ascii="Times New Roman" w:eastAsia="Times New Roman" w:hAnsi="Times New Roman"/>
                <w:szCs w:val="20"/>
                <w:lang w:val="en-US" w:eastAsia="ja-JP"/>
              </w:rPr>
            </w:pPr>
            <w:r w:rsidRPr="00C107D1">
              <w:rPr>
                <w:rFonts w:ascii="Times New Roman" w:eastAsia="Times New Roman" w:hAnsi="Times New Roman"/>
                <w:szCs w:val="20"/>
                <w:lang w:val="en-US" w:eastAsia="ja-JP"/>
              </w:rPr>
              <w:t>10</w:t>
            </w:r>
            <w:r>
              <w:rPr>
                <w:rFonts w:ascii="Times New Roman" w:eastAsia="Times New Roman" w:hAnsi="Times New Roman"/>
                <w:szCs w:val="20"/>
                <w:lang w:val="en-US" w:eastAsia="ja-JP"/>
              </w:rPr>
              <w:t> </w:t>
            </w:r>
            <w:r w:rsidRPr="00C107D1">
              <w:rPr>
                <w:rFonts w:ascii="Times New Roman" w:eastAsia="Times New Roman" w:hAnsi="Times New Roman"/>
                <w:szCs w:val="20"/>
                <w:lang w:val="en-US" w:eastAsia="ja-JP"/>
              </w:rPr>
              <w:t>ml</w:t>
            </w:r>
          </w:p>
        </w:tc>
      </w:tr>
    </w:tbl>
    <w:p w14:paraId="1FBAD3E8" w14:textId="77777777" w:rsidR="00C107D1" w:rsidRDefault="00C107D1" w:rsidP="00E850F6">
      <w:pPr>
        <w:spacing w:after="0" w:line="240" w:lineRule="auto"/>
        <w:rPr>
          <w:rFonts w:ascii="Times New Roman" w:eastAsia="PMingLiU" w:hAnsi="Times New Roman"/>
          <w:lang w:eastAsia="zh-CN"/>
        </w:rPr>
      </w:pPr>
    </w:p>
    <w:p w14:paraId="5D6031A3" w14:textId="77777777" w:rsidR="00E850F6" w:rsidRPr="00D600DA" w:rsidRDefault="00E850F6" w:rsidP="00E850F6">
      <w:pPr>
        <w:spacing w:after="0" w:line="240" w:lineRule="auto"/>
        <w:rPr>
          <w:rFonts w:ascii="Times New Roman" w:eastAsia="PMingLiU" w:hAnsi="Times New Roman"/>
          <w:lang w:eastAsia="zh-CN"/>
        </w:rPr>
      </w:pPr>
      <w:r w:rsidRPr="00D600DA">
        <w:rPr>
          <w:rFonts w:ascii="Times New Roman" w:eastAsia="PMingLiU" w:hAnsi="Times New Roman"/>
          <w:lang w:eastAsia="zh-CN"/>
        </w:rPr>
        <w:t>Jeigu apskaičiuotoji dozė viršija 900 mg</w:t>
      </w:r>
      <w:r w:rsidR="00AE1C27">
        <w:rPr>
          <w:rFonts w:ascii="Times New Roman" w:eastAsia="PMingLiU" w:hAnsi="Times New Roman"/>
          <w:lang w:eastAsia="zh-CN"/>
        </w:rPr>
        <w:t xml:space="preserve"> (2 x 9 ml)</w:t>
      </w:r>
      <w:r w:rsidRPr="00D600DA">
        <w:rPr>
          <w:rFonts w:ascii="Times New Roman" w:eastAsia="PMingLiU" w:hAnsi="Times New Roman"/>
          <w:lang w:eastAsia="zh-CN"/>
        </w:rPr>
        <w:t>, tuomet reikia skirti didžiausią paros dozę 900 mg</w:t>
      </w:r>
      <w:r w:rsidR="00AE1C27">
        <w:rPr>
          <w:rFonts w:ascii="Times New Roman" w:eastAsia="PMingLiU" w:hAnsi="Times New Roman"/>
          <w:lang w:eastAsia="zh-CN"/>
        </w:rPr>
        <w:t xml:space="preserve"> (2 x 9 ml)</w:t>
      </w:r>
      <w:r w:rsidRPr="00D600DA">
        <w:rPr>
          <w:rFonts w:ascii="Times New Roman" w:eastAsia="PMingLiU" w:hAnsi="Times New Roman"/>
          <w:lang w:eastAsia="zh-CN"/>
        </w:rPr>
        <w:t>. Tinkamesnė farmacinė forma yra geriamasis tirpalas, nes tai suteikia galimybę paskirti pagal aukščiau pateiktą formulę apskaičiuotą dozę. Vis dėlto Valcyte plėvele dengtas tabletes paskirti galima, jeigu apskaičiuotos dozės nesiskiria daugiau kaip 10 % nuo turimų tablečių dozės, o pacientas geba tabletes nuryti. Pavyzdžiui, jeigu apskaičiuota dozė yra tarp 405 mg ir 495 mg, tuomet gali būti skiriama viena 450 mg stiprumo tabletė.</w:t>
      </w:r>
    </w:p>
    <w:p w14:paraId="4E5D298F" w14:textId="77777777" w:rsidR="00E850F6" w:rsidRPr="00D600DA" w:rsidRDefault="00E850F6" w:rsidP="00E850F6">
      <w:pPr>
        <w:spacing w:after="0" w:line="240" w:lineRule="auto"/>
        <w:rPr>
          <w:rFonts w:ascii="Times New Roman" w:eastAsia="PMingLiU" w:hAnsi="Times New Roman"/>
          <w:lang w:eastAsia="zh-CN"/>
        </w:rPr>
      </w:pPr>
    </w:p>
    <w:p w14:paraId="671029A4" w14:textId="77777777" w:rsidR="00E850F6" w:rsidRPr="00D600DA" w:rsidRDefault="00E850F6" w:rsidP="00E850F6">
      <w:pPr>
        <w:spacing w:after="0" w:line="240" w:lineRule="auto"/>
        <w:rPr>
          <w:rFonts w:ascii="Times New Roman" w:eastAsia="PMingLiU" w:hAnsi="Times New Roman"/>
          <w:lang w:eastAsia="zh-CN"/>
        </w:rPr>
      </w:pPr>
      <w:r w:rsidRPr="00D600DA">
        <w:rPr>
          <w:rFonts w:ascii="Times New Roman" w:eastAsia="PMingLiU" w:hAnsi="Times New Roman"/>
          <w:lang w:eastAsia="zh-CN"/>
        </w:rPr>
        <w:t>Profilaktikos taikymo laikotarpiu rekomenduojama reguliariai stebėti kreatinino koncentraciją serume, atkreipti dėmesį į ūgio ir kūno masės pokyčius bei atitinkamai pritaikyti dozę.</w:t>
      </w:r>
    </w:p>
    <w:p w14:paraId="721A587C" w14:textId="77777777" w:rsidR="00E850F6" w:rsidRPr="00D600DA" w:rsidRDefault="00E850F6" w:rsidP="00E850F6">
      <w:pPr>
        <w:spacing w:after="0" w:line="240" w:lineRule="auto"/>
        <w:rPr>
          <w:rFonts w:ascii="Times New Roman" w:hAnsi="Times New Roman"/>
          <w:lang w:eastAsia="ja-JP"/>
        </w:rPr>
      </w:pPr>
    </w:p>
    <w:p w14:paraId="77C17A11" w14:textId="77777777" w:rsidR="00E850F6" w:rsidRPr="00D600DA" w:rsidRDefault="00E850F6" w:rsidP="00E850F6">
      <w:pPr>
        <w:spacing w:after="0" w:line="240" w:lineRule="auto"/>
        <w:rPr>
          <w:rFonts w:ascii="Times New Roman" w:hAnsi="Times New Roman"/>
          <w:u w:val="single"/>
          <w:lang w:eastAsia="ja-JP"/>
        </w:rPr>
      </w:pPr>
      <w:r w:rsidRPr="00D600DA">
        <w:rPr>
          <w:rFonts w:ascii="Times New Roman" w:hAnsi="Times New Roman"/>
          <w:u w:val="single"/>
          <w:lang w:eastAsia="ja-JP"/>
        </w:rPr>
        <w:t>Specialios dozavimo instrukcijos</w:t>
      </w:r>
    </w:p>
    <w:p w14:paraId="5474C31A" w14:textId="77777777" w:rsidR="00E850F6" w:rsidRPr="00402217" w:rsidRDefault="00E850F6" w:rsidP="00E850F6">
      <w:pPr>
        <w:spacing w:after="0" w:line="240" w:lineRule="auto"/>
        <w:jc w:val="both"/>
        <w:rPr>
          <w:rFonts w:ascii="Times New Roman" w:hAnsi="Times New Roman"/>
          <w:u w:val="single"/>
        </w:rPr>
      </w:pPr>
    </w:p>
    <w:p w14:paraId="1E6DB010" w14:textId="77777777" w:rsidR="00E850F6" w:rsidRPr="00F36DBF" w:rsidRDefault="00E850F6" w:rsidP="00E850F6">
      <w:pPr>
        <w:spacing w:after="0" w:line="240" w:lineRule="auto"/>
        <w:rPr>
          <w:rFonts w:ascii="Times New Roman" w:eastAsia="Times New Roman" w:hAnsi="Times New Roman"/>
          <w:i/>
          <w:lang w:eastAsia="ja-JP"/>
        </w:rPr>
      </w:pPr>
      <w:r w:rsidRPr="00F36DBF">
        <w:rPr>
          <w:rFonts w:ascii="Times New Roman" w:eastAsia="Times New Roman" w:hAnsi="Times New Roman"/>
          <w:i/>
          <w:lang w:eastAsia="ja-JP"/>
        </w:rPr>
        <w:t>Vaikų populiacija</w:t>
      </w:r>
    </w:p>
    <w:p w14:paraId="710813B3" w14:textId="77777777" w:rsidR="00E850F6" w:rsidRPr="00F36DBF" w:rsidRDefault="00E850F6" w:rsidP="00E850F6">
      <w:pPr>
        <w:spacing w:after="0" w:line="240" w:lineRule="auto"/>
        <w:rPr>
          <w:rFonts w:ascii="Times New Roman" w:eastAsia="Times New Roman" w:hAnsi="Times New Roman"/>
          <w:b/>
          <w:lang w:eastAsia="ja-JP"/>
        </w:rPr>
      </w:pPr>
      <w:r w:rsidRPr="00F36DBF">
        <w:rPr>
          <w:rFonts w:ascii="Times New Roman" w:eastAsia="Times New Roman" w:hAnsi="Times New Roman"/>
          <w:lang w:eastAsia="ja-JP"/>
        </w:rPr>
        <w:t>Dozavimas vaikams, turintiems persodintą solidinį organą, turi būti individual</w:t>
      </w:r>
      <w:r>
        <w:rPr>
          <w:rFonts w:ascii="Times New Roman" w:eastAsia="Times New Roman" w:hAnsi="Times New Roman"/>
          <w:lang w:eastAsia="ja-JP"/>
        </w:rPr>
        <w:t>iai</w:t>
      </w:r>
      <w:r w:rsidRPr="00F36DBF">
        <w:rPr>
          <w:rFonts w:ascii="Times New Roman" w:eastAsia="Times New Roman" w:hAnsi="Times New Roman"/>
          <w:lang w:eastAsia="ja-JP"/>
        </w:rPr>
        <w:t xml:space="preserve"> pagrįstas paciento inkstų veiklos bei </w:t>
      </w:r>
      <w:r>
        <w:rPr>
          <w:rFonts w:ascii="Times New Roman" w:eastAsia="Times New Roman" w:hAnsi="Times New Roman"/>
          <w:lang w:eastAsia="ja-JP"/>
        </w:rPr>
        <w:t>kūno paviršiaus ploto</w:t>
      </w:r>
      <w:r w:rsidRPr="00F36DBF">
        <w:rPr>
          <w:rFonts w:ascii="Times New Roman" w:eastAsia="Times New Roman" w:hAnsi="Times New Roman"/>
          <w:lang w:eastAsia="ja-JP"/>
        </w:rPr>
        <w:t xml:space="preserve"> rodmenimis.</w:t>
      </w:r>
    </w:p>
    <w:p w14:paraId="5DE8BB94" w14:textId="77777777" w:rsidR="00E850F6" w:rsidRPr="00402217" w:rsidRDefault="00E850F6" w:rsidP="00E850F6">
      <w:pPr>
        <w:spacing w:after="0" w:line="240" w:lineRule="auto"/>
        <w:rPr>
          <w:rFonts w:ascii="Times New Roman" w:hAnsi="Times New Roman"/>
        </w:rPr>
      </w:pPr>
    </w:p>
    <w:p w14:paraId="4470F8DA" w14:textId="77777777" w:rsidR="00E850F6" w:rsidRPr="00F36DBF" w:rsidRDefault="00E850F6" w:rsidP="00E850F6">
      <w:pPr>
        <w:spacing w:after="0" w:line="240" w:lineRule="auto"/>
        <w:rPr>
          <w:rFonts w:ascii="Times New Roman" w:eastAsia="Times New Roman" w:hAnsi="Times New Roman"/>
          <w:i/>
          <w:lang w:eastAsia="ja-JP"/>
        </w:rPr>
      </w:pPr>
      <w:r w:rsidRPr="00F36DBF">
        <w:rPr>
          <w:rFonts w:ascii="Times New Roman" w:eastAsia="Times New Roman" w:hAnsi="Times New Roman"/>
          <w:i/>
          <w:lang w:eastAsia="ja-JP"/>
        </w:rPr>
        <w:t>Senyviems pacientams</w:t>
      </w:r>
    </w:p>
    <w:p w14:paraId="3D07A61A" w14:textId="77777777" w:rsidR="00E850F6" w:rsidRPr="00F36DBF" w:rsidRDefault="00E850F6" w:rsidP="00E850F6">
      <w:pPr>
        <w:spacing w:after="0" w:line="240" w:lineRule="auto"/>
        <w:rPr>
          <w:rFonts w:ascii="Times New Roman" w:eastAsia="Times New Roman" w:hAnsi="Times New Roman"/>
          <w:lang w:eastAsia="ja-JP"/>
        </w:rPr>
      </w:pPr>
      <w:r>
        <w:rPr>
          <w:rFonts w:ascii="Times New Roman" w:eastAsia="Times New Roman" w:hAnsi="Times New Roman"/>
          <w:lang w:eastAsia="ja-JP"/>
        </w:rPr>
        <w:t>S</w:t>
      </w:r>
      <w:r w:rsidRPr="00F36DBF">
        <w:rPr>
          <w:rFonts w:ascii="Times New Roman" w:eastAsia="Times New Roman" w:hAnsi="Times New Roman"/>
          <w:lang w:eastAsia="ja-JP"/>
        </w:rPr>
        <w:t xml:space="preserve">augumas ir veiksmingumas </w:t>
      </w:r>
      <w:r>
        <w:rPr>
          <w:rFonts w:ascii="Times New Roman" w:eastAsia="Times New Roman" w:hAnsi="Times New Roman"/>
          <w:lang w:eastAsia="ja-JP"/>
        </w:rPr>
        <w:t xml:space="preserve">šiai pacientų populiacijai </w:t>
      </w:r>
      <w:r w:rsidRPr="00F36DBF">
        <w:rPr>
          <w:rFonts w:ascii="Times New Roman" w:eastAsia="Times New Roman" w:hAnsi="Times New Roman"/>
          <w:lang w:eastAsia="ja-JP"/>
        </w:rPr>
        <w:t>ne</w:t>
      </w:r>
      <w:r>
        <w:rPr>
          <w:rFonts w:ascii="Times New Roman" w:eastAsia="Times New Roman" w:hAnsi="Times New Roman"/>
          <w:lang w:eastAsia="ja-JP"/>
        </w:rPr>
        <w:t>iš</w:t>
      </w:r>
      <w:r w:rsidRPr="00F36DBF">
        <w:rPr>
          <w:rFonts w:ascii="Times New Roman" w:eastAsia="Times New Roman" w:hAnsi="Times New Roman"/>
          <w:lang w:eastAsia="ja-JP"/>
        </w:rPr>
        <w:t>tirt</w:t>
      </w:r>
      <w:r>
        <w:rPr>
          <w:rFonts w:ascii="Times New Roman" w:eastAsia="Times New Roman" w:hAnsi="Times New Roman"/>
          <w:lang w:eastAsia="ja-JP"/>
        </w:rPr>
        <w:t>i</w:t>
      </w:r>
      <w:r w:rsidRPr="00F36DBF">
        <w:rPr>
          <w:rFonts w:ascii="Times New Roman" w:eastAsia="Times New Roman" w:hAnsi="Times New Roman"/>
          <w:lang w:eastAsia="ja-JP"/>
        </w:rPr>
        <w:t>.</w:t>
      </w:r>
      <w:r>
        <w:rPr>
          <w:rFonts w:ascii="Times New Roman" w:eastAsia="Times New Roman" w:hAnsi="Times New Roman"/>
          <w:lang w:eastAsia="ja-JP"/>
        </w:rPr>
        <w:t xml:space="preserve"> Su vyresniais kaip 65 metų suaugusiaisiai</w:t>
      </w:r>
      <w:r w:rsidRPr="00195F6B">
        <w:rPr>
          <w:rFonts w:ascii="Times New Roman" w:eastAsia="Times New Roman" w:hAnsi="Times New Roman"/>
          <w:lang w:eastAsia="ja-JP"/>
        </w:rPr>
        <w:t xml:space="preserve">s </w:t>
      </w:r>
      <w:r>
        <w:rPr>
          <w:rFonts w:ascii="Times New Roman" w:eastAsia="Times New Roman" w:hAnsi="Times New Roman"/>
          <w:lang w:eastAsia="ja-JP"/>
        </w:rPr>
        <w:t>klinikinių</w:t>
      </w:r>
      <w:r w:rsidRPr="00195F6B">
        <w:rPr>
          <w:rFonts w:ascii="Times New Roman" w:eastAsia="Times New Roman" w:hAnsi="Times New Roman"/>
          <w:lang w:eastAsia="ja-JP"/>
        </w:rPr>
        <w:t xml:space="preserve"> tyrimų neatlikta. </w:t>
      </w:r>
      <w:r>
        <w:rPr>
          <w:rFonts w:ascii="Times New Roman" w:eastAsia="Times New Roman" w:hAnsi="Times New Roman"/>
          <w:lang w:eastAsia="ja-JP"/>
        </w:rPr>
        <w:t>Kadangi</w:t>
      </w:r>
      <w:r w:rsidRPr="00195F6B">
        <w:rPr>
          <w:rFonts w:ascii="Times New Roman" w:eastAsia="Times New Roman" w:hAnsi="Times New Roman"/>
          <w:lang w:eastAsia="ja-JP"/>
        </w:rPr>
        <w:t xml:space="preserve"> inkstų klirensas mažėja su amžiumi, senyvo amžiaus pacientams </w:t>
      </w:r>
      <w:r>
        <w:rPr>
          <w:rFonts w:ascii="Times New Roman" w:eastAsia="Times New Roman" w:hAnsi="Times New Roman"/>
          <w:lang w:eastAsia="ja-JP"/>
        </w:rPr>
        <w:t xml:space="preserve">skiriant </w:t>
      </w:r>
      <w:r w:rsidRPr="00195F6B">
        <w:rPr>
          <w:rFonts w:ascii="Times New Roman" w:eastAsia="Times New Roman" w:hAnsi="Times New Roman"/>
          <w:lang w:eastAsia="ja-JP"/>
        </w:rPr>
        <w:t xml:space="preserve">Valcyte </w:t>
      </w:r>
      <w:r>
        <w:rPr>
          <w:rFonts w:ascii="Times New Roman" w:eastAsia="Times New Roman" w:hAnsi="Times New Roman"/>
          <w:lang w:eastAsia="ja-JP"/>
        </w:rPr>
        <w:t xml:space="preserve">reikia </w:t>
      </w:r>
      <w:r w:rsidRPr="00195F6B">
        <w:rPr>
          <w:rFonts w:ascii="Times New Roman" w:eastAsia="Times New Roman" w:hAnsi="Times New Roman"/>
          <w:lang w:eastAsia="ja-JP"/>
        </w:rPr>
        <w:t xml:space="preserve">ypatingą dėmesį </w:t>
      </w:r>
      <w:r>
        <w:rPr>
          <w:rFonts w:ascii="Times New Roman" w:eastAsia="Times New Roman" w:hAnsi="Times New Roman"/>
          <w:lang w:eastAsia="ja-JP"/>
        </w:rPr>
        <w:t xml:space="preserve">atkreipti į </w:t>
      </w:r>
      <w:r w:rsidRPr="00195F6B">
        <w:rPr>
          <w:rFonts w:ascii="Times New Roman" w:eastAsia="Times New Roman" w:hAnsi="Times New Roman"/>
          <w:lang w:eastAsia="ja-JP"/>
        </w:rPr>
        <w:t>jų inkstų būklę (žr</w:t>
      </w:r>
      <w:r>
        <w:rPr>
          <w:rFonts w:ascii="Times New Roman" w:eastAsia="Times New Roman" w:hAnsi="Times New Roman"/>
          <w:lang w:eastAsia="ja-JP"/>
        </w:rPr>
        <w:t>. lentelę žemiau).</w:t>
      </w:r>
    </w:p>
    <w:p w14:paraId="697C044A" w14:textId="77777777" w:rsidR="00E850F6" w:rsidRPr="00D600DA" w:rsidRDefault="00E850F6" w:rsidP="00E850F6">
      <w:pPr>
        <w:spacing w:after="0" w:line="240" w:lineRule="auto"/>
        <w:rPr>
          <w:rFonts w:ascii="Times New Roman" w:hAnsi="Times New Roman"/>
          <w:lang w:eastAsia="ja-JP"/>
        </w:rPr>
      </w:pPr>
    </w:p>
    <w:p w14:paraId="55BD8AB6" w14:textId="77777777" w:rsidR="00E850F6" w:rsidRPr="00D600DA" w:rsidRDefault="00E850F6" w:rsidP="00E850F6">
      <w:pPr>
        <w:spacing w:after="0" w:line="240" w:lineRule="auto"/>
        <w:rPr>
          <w:rFonts w:ascii="Times New Roman" w:hAnsi="Times New Roman"/>
          <w:i/>
          <w:lang w:eastAsia="ja-JP"/>
        </w:rPr>
      </w:pPr>
      <w:r w:rsidRPr="00D600DA">
        <w:rPr>
          <w:rFonts w:ascii="Times New Roman" w:hAnsi="Times New Roman"/>
          <w:i/>
          <w:lang w:eastAsia="ja-JP"/>
        </w:rPr>
        <w:t>Pacientams, kurių inkstų veikla sutrikusi</w:t>
      </w:r>
    </w:p>
    <w:p w14:paraId="637F3D4F"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Reikia </w:t>
      </w:r>
      <w:r>
        <w:rPr>
          <w:rFonts w:ascii="Times New Roman" w:eastAsia="Times New Roman" w:hAnsi="Times New Roman"/>
          <w:lang w:eastAsia="ja-JP"/>
        </w:rPr>
        <w:t>kruopšč</w:t>
      </w:r>
      <w:r w:rsidRPr="00F36DBF">
        <w:rPr>
          <w:rFonts w:ascii="Times New Roman" w:eastAsia="Times New Roman" w:hAnsi="Times New Roman"/>
          <w:lang w:eastAsia="ja-JP"/>
        </w:rPr>
        <w:t xml:space="preserve">iai </w:t>
      </w:r>
      <w:r>
        <w:rPr>
          <w:rFonts w:ascii="Times New Roman" w:eastAsia="Times New Roman" w:hAnsi="Times New Roman"/>
          <w:lang w:eastAsia="ja-JP"/>
        </w:rPr>
        <w:t>stebė</w:t>
      </w:r>
      <w:r w:rsidRPr="00F36DBF">
        <w:rPr>
          <w:rFonts w:ascii="Times New Roman" w:eastAsia="Times New Roman" w:hAnsi="Times New Roman"/>
          <w:lang w:eastAsia="ja-JP"/>
        </w:rPr>
        <w:t>ti kreatinino koncentraciją serume arba</w:t>
      </w:r>
      <w:r>
        <w:rPr>
          <w:rFonts w:ascii="Times New Roman" w:eastAsia="Times New Roman" w:hAnsi="Times New Roman"/>
          <w:lang w:eastAsia="ja-JP"/>
        </w:rPr>
        <w:t xml:space="preserve"> apytikriai apskaičiuoti</w:t>
      </w:r>
      <w:r w:rsidRPr="00F36DBF">
        <w:rPr>
          <w:rFonts w:ascii="Times New Roman" w:eastAsia="Times New Roman" w:hAnsi="Times New Roman"/>
          <w:lang w:eastAsia="ja-JP"/>
        </w:rPr>
        <w:t xml:space="preserve"> </w:t>
      </w:r>
      <w:r w:rsidRPr="00D600DA">
        <w:rPr>
          <w:rFonts w:ascii="Times New Roman" w:hAnsi="Times New Roman"/>
          <w:lang w:eastAsia="ja-JP"/>
        </w:rPr>
        <w:t>kreatinino klirensą. Atsižvelgiant į kreatinino klirenso tyrimo rezultatus reguliuojama vaisto dozė, kaip parodyta toliau lentelėje (žr. 4.4 ir 5.2 skyrių).</w:t>
      </w:r>
    </w:p>
    <w:p w14:paraId="235FEDB2" w14:textId="77777777" w:rsidR="00E850F6" w:rsidRPr="00D600DA" w:rsidRDefault="00E850F6" w:rsidP="00E850F6">
      <w:pPr>
        <w:spacing w:after="0" w:line="240" w:lineRule="auto"/>
        <w:rPr>
          <w:rFonts w:ascii="Times New Roman" w:hAnsi="Times New Roman"/>
          <w:lang w:eastAsia="ja-JP"/>
        </w:rPr>
      </w:pPr>
    </w:p>
    <w:p w14:paraId="322E9204"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Žinant kreatinino koncentraciją serume kreatinino klirensą (ml/min.) galima </w:t>
      </w:r>
      <w:r>
        <w:rPr>
          <w:rFonts w:ascii="Times New Roman" w:hAnsi="Times New Roman"/>
          <w:lang w:eastAsia="ja-JP"/>
        </w:rPr>
        <w:t xml:space="preserve">apytikriai </w:t>
      </w:r>
      <w:r w:rsidRPr="00D600DA">
        <w:rPr>
          <w:rFonts w:ascii="Times New Roman" w:hAnsi="Times New Roman"/>
          <w:lang w:eastAsia="ja-JP"/>
        </w:rPr>
        <w:t>apskaičiuoti pagal formulę:</w:t>
      </w:r>
    </w:p>
    <w:tbl>
      <w:tblPr>
        <w:tblW w:w="0" w:type="auto"/>
        <w:tblCellMar>
          <w:left w:w="0" w:type="dxa"/>
        </w:tblCellMar>
        <w:tblLook w:val="0000" w:firstRow="0" w:lastRow="0" w:firstColumn="0" w:lastColumn="0" w:noHBand="0" w:noVBand="0"/>
      </w:tblPr>
      <w:tblGrid>
        <w:gridCol w:w="792"/>
        <w:gridCol w:w="4500"/>
      </w:tblGrid>
      <w:tr w:rsidR="00E850F6" w:rsidRPr="00B71670" w14:paraId="6F5DBC9F" w14:textId="77777777" w:rsidTr="00636DA1">
        <w:trPr>
          <w:trHeight w:val="428"/>
        </w:trPr>
        <w:tc>
          <w:tcPr>
            <w:tcW w:w="792" w:type="dxa"/>
            <w:vMerge w:val="restart"/>
            <w:vAlign w:val="center"/>
          </w:tcPr>
          <w:p w14:paraId="3FA480D0" w14:textId="77777777" w:rsidR="00E850F6" w:rsidRPr="00D600DA" w:rsidRDefault="00E850F6" w:rsidP="00636DA1">
            <w:pPr>
              <w:spacing w:after="0" w:line="240" w:lineRule="auto"/>
              <w:rPr>
                <w:rFonts w:ascii="Times New Roman" w:hAnsi="Times New Roman"/>
                <w:lang w:eastAsia="ja-JP"/>
              </w:rPr>
            </w:pPr>
            <w:r w:rsidRPr="00D600DA">
              <w:rPr>
                <w:rFonts w:ascii="Times New Roman" w:hAnsi="Times New Roman"/>
                <w:lang w:eastAsia="ja-JP"/>
              </w:rPr>
              <w:t>Vyrų =</w:t>
            </w:r>
          </w:p>
        </w:tc>
        <w:tc>
          <w:tcPr>
            <w:tcW w:w="4500" w:type="dxa"/>
            <w:tcBorders>
              <w:top w:val="nil"/>
              <w:left w:val="nil"/>
              <w:bottom w:val="single" w:sz="4" w:space="0" w:color="auto"/>
              <w:right w:val="nil"/>
            </w:tcBorders>
            <w:vAlign w:val="bottom"/>
          </w:tcPr>
          <w:p w14:paraId="24EE91D7" w14:textId="77777777" w:rsidR="00E850F6" w:rsidRPr="00D600DA" w:rsidRDefault="00E850F6" w:rsidP="00636DA1">
            <w:pPr>
              <w:spacing w:after="0" w:line="240" w:lineRule="auto"/>
              <w:jc w:val="center"/>
              <w:rPr>
                <w:rFonts w:ascii="Times New Roman" w:hAnsi="Times New Roman"/>
                <w:lang w:eastAsia="ja-JP"/>
              </w:rPr>
            </w:pPr>
            <w:r w:rsidRPr="00D600DA">
              <w:rPr>
                <w:rFonts w:ascii="Times New Roman" w:hAnsi="Times New Roman"/>
                <w:lang w:eastAsia="ja-JP"/>
              </w:rPr>
              <w:t xml:space="preserve">140 – amžius [metais]) </w:t>
            </w:r>
            <w:r w:rsidRPr="00D600DA">
              <w:rPr>
                <w:rFonts w:ascii="Times New Roman" w:hAnsi="Times New Roman"/>
                <w:lang w:eastAsia="ja-JP"/>
              </w:rPr>
              <w:sym w:font="Symbol" w:char="F0B4"/>
            </w:r>
            <w:r w:rsidRPr="00D600DA">
              <w:rPr>
                <w:rFonts w:ascii="Times New Roman" w:hAnsi="Times New Roman"/>
                <w:lang w:eastAsia="ja-JP"/>
              </w:rPr>
              <w:t xml:space="preserve"> (kūno svoris [kg])</w:t>
            </w:r>
          </w:p>
        </w:tc>
      </w:tr>
      <w:tr w:rsidR="00E850F6" w:rsidRPr="00B71670" w14:paraId="136A2FFD" w14:textId="77777777" w:rsidTr="00636DA1">
        <w:trPr>
          <w:trHeight w:val="429"/>
        </w:trPr>
        <w:tc>
          <w:tcPr>
            <w:tcW w:w="0" w:type="auto"/>
            <w:vMerge/>
            <w:vAlign w:val="center"/>
          </w:tcPr>
          <w:p w14:paraId="7A19FF97" w14:textId="77777777" w:rsidR="00E850F6" w:rsidRPr="00D600DA" w:rsidRDefault="00E850F6" w:rsidP="00636DA1">
            <w:pPr>
              <w:spacing w:after="0" w:line="240" w:lineRule="auto"/>
              <w:rPr>
                <w:rFonts w:ascii="Times New Roman" w:hAnsi="Times New Roman"/>
                <w:lang w:eastAsia="ja-JP"/>
              </w:rPr>
            </w:pPr>
          </w:p>
        </w:tc>
        <w:tc>
          <w:tcPr>
            <w:tcW w:w="4500" w:type="dxa"/>
            <w:tcBorders>
              <w:top w:val="single" w:sz="4" w:space="0" w:color="auto"/>
              <w:left w:val="nil"/>
              <w:bottom w:val="nil"/>
              <w:right w:val="nil"/>
            </w:tcBorders>
          </w:tcPr>
          <w:p w14:paraId="526F5058" w14:textId="77777777" w:rsidR="00E850F6" w:rsidRPr="00D600DA" w:rsidRDefault="00E850F6" w:rsidP="00636DA1">
            <w:pPr>
              <w:spacing w:after="0" w:line="240" w:lineRule="auto"/>
              <w:jc w:val="center"/>
              <w:rPr>
                <w:rFonts w:ascii="Times New Roman" w:hAnsi="Times New Roman"/>
                <w:lang w:eastAsia="ja-JP"/>
              </w:rPr>
            </w:pPr>
            <w:r w:rsidRPr="00D600DA">
              <w:rPr>
                <w:rFonts w:ascii="Times New Roman" w:hAnsi="Times New Roman"/>
                <w:lang w:eastAsia="ja-JP"/>
              </w:rPr>
              <w:t xml:space="preserve">(72) </w:t>
            </w:r>
            <w:r w:rsidRPr="00D600DA">
              <w:rPr>
                <w:rFonts w:ascii="Times New Roman" w:hAnsi="Times New Roman"/>
                <w:lang w:eastAsia="ja-JP"/>
              </w:rPr>
              <w:sym w:font="Symbol" w:char="F0B4"/>
            </w:r>
            <w:r w:rsidRPr="00D600DA">
              <w:rPr>
                <w:rFonts w:ascii="Times New Roman" w:hAnsi="Times New Roman"/>
                <w:lang w:eastAsia="ja-JP"/>
              </w:rPr>
              <w:t xml:space="preserve"> (0,011 </w:t>
            </w:r>
            <w:r w:rsidRPr="00D600DA">
              <w:rPr>
                <w:rFonts w:ascii="Times New Roman" w:hAnsi="Times New Roman"/>
                <w:lang w:eastAsia="ja-JP"/>
              </w:rPr>
              <w:sym w:font="Symbol" w:char="F0B4"/>
            </w:r>
            <w:r w:rsidRPr="00D600DA">
              <w:rPr>
                <w:rFonts w:ascii="Times New Roman" w:hAnsi="Times New Roman"/>
                <w:lang w:eastAsia="ja-JP"/>
              </w:rPr>
              <w:t xml:space="preserve"> serumo kreatininas [mikromol/l])</w:t>
            </w:r>
          </w:p>
        </w:tc>
      </w:tr>
    </w:tbl>
    <w:p w14:paraId="6BBFC597" w14:textId="77777777" w:rsidR="00E850F6" w:rsidRPr="00D600DA" w:rsidRDefault="00E850F6" w:rsidP="00E850F6">
      <w:pPr>
        <w:spacing w:after="0" w:line="240" w:lineRule="auto"/>
        <w:rPr>
          <w:rFonts w:ascii="Times New Roman" w:hAnsi="Times New Roman"/>
          <w:lang w:eastAsia="ja-JP"/>
        </w:rPr>
      </w:pPr>
    </w:p>
    <w:p w14:paraId="370C130A"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Moterų = 0,85 </w:t>
      </w:r>
      <w:r w:rsidRPr="00D600DA">
        <w:rPr>
          <w:rFonts w:ascii="Times New Roman" w:hAnsi="Times New Roman"/>
          <w:lang w:eastAsia="ja-JP"/>
        </w:rPr>
        <w:sym w:font="Symbol" w:char="F0B4"/>
      </w:r>
      <w:r w:rsidRPr="00D600DA">
        <w:rPr>
          <w:rFonts w:ascii="Times New Roman" w:hAnsi="Times New Roman"/>
          <w:lang w:eastAsia="ja-JP"/>
        </w:rPr>
        <w:t xml:space="preserve"> vyrų klirenso reikšmė</w:t>
      </w:r>
    </w:p>
    <w:p w14:paraId="654330BC" w14:textId="77777777" w:rsidR="00E850F6" w:rsidRPr="00D600DA" w:rsidRDefault="00E850F6" w:rsidP="00E850F6">
      <w:pPr>
        <w:spacing w:after="0" w:line="240" w:lineRule="auto"/>
        <w:rPr>
          <w:rFonts w:ascii="Times New Roman" w:hAnsi="Times New Roman"/>
          <w:lang w:eastAsia="ja-JP"/>
        </w:rPr>
      </w:pPr>
    </w:p>
    <w:tbl>
      <w:tblPr>
        <w:tblW w:w="5000" w:type="pct"/>
        <w:tblLook w:val="0000" w:firstRow="0" w:lastRow="0" w:firstColumn="0" w:lastColumn="0" w:noHBand="0" w:noVBand="0"/>
      </w:tblPr>
      <w:tblGrid>
        <w:gridCol w:w="1926"/>
        <w:gridCol w:w="3572"/>
        <w:gridCol w:w="3572"/>
      </w:tblGrid>
      <w:tr w:rsidR="00E850F6" w:rsidRPr="00B71670" w14:paraId="0EDBF526" w14:textId="77777777" w:rsidTr="00636DA1">
        <w:tc>
          <w:tcPr>
            <w:tcW w:w="1062" w:type="pct"/>
            <w:tcBorders>
              <w:top w:val="single" w:sz="4" w:space="0" w:color="auto"/>
              <w:left w:val="nil"/>
              <w:bottom w:val="single" w:sz="4" w:space="0" w:color="auto"/>
              <w:right w:val="nil"/>
            </w:tcBorders>
          </w:tcPr>
          <w:p w14:paraId="5DB18EC9" w14:textId="77777777" w:rsidR="00E850F6" w:rsidRPr="00D600DA" w:rsidRDefault="00E850F6" w:rsidP="00636DA1">
            <w:pPr>
              <w:spacing w:before="80" w:after="80" w:line="240" w:lineRule="auto"/>
              <w:jc w:val="center"/>
              <w:rPr>
                <w:rFonts w:ascii="Times New Roman" w:hAnsi="Times New Roman"/>
                <w:lang w:eastAsia="ja-JP"/>
              </w:rPr>
            </w:pPr>
            <w:r w:rsidRPr="00D600DA">
              <w:rPr>
                <w:rFonts w:ascii="Times New Roman" w:hAnsi="Times New Roman"/>
                <w:lang w:eastAsia="ja-JP"/>
              </w:rPr>
              <w:t>Kreatinino klirensas (ml/min)</w:t>
            </w:r>
          </w:p>
        </w:tc>
        <w:tc>
          <w:tcPr>
            <w:tcW w:w="1969" w:type="pct"/>
            <w:tcBorders>
              <w:top w:val="single" w:sz="4" w:space="0" w:color="auto"/>
              <w:left w:val="single" w:sz="4" w:space="0" w:color="auto"/>
              <w:bottom w:val="single" w:sz="4" w:space="0" w:color="auto"/>
              <w:right w:val="single" w:sz="4" w:space="0" w:color="auto"/>
            </w:tcBorders>
          </w:tcPr>
          <w:p w14:paraId="7FBFA3D6" w14:textId="77777777" w:rsidR="00E850F6" w:rsidRPr="00D600DA" w:rsidRDefault="00E850F6" w:rsidP="00636DA1">
            <w:pPr>
              <w:spacing w:before="80" w:after="80" w:line="240" w:lineRule="auto"/>
              <w:jc w:val="center"/>
              <w:rPr>
                <w:rFonts w:ascii="Times New Roman" w:hAnsi="Times New Roman"/>
                <w:lang w:eastAsia="ja-JP"/>
              </w:rPr>
            </w:pPr>
            <w:r w:rsidRPr="00D600DA">
              <w:rPr>
                <w:rFonts w:ascii="Times New Roman" w:hAnsi="Times New Roman"/>
                <w:lang w:eastAsia="ja-JP"/>
              </w:rPr>
              <w:t>Pradinė valgancikloviro dozė</w:t>
            </w:r>
          </w:p>
        </w:tc>
        <w:tc>
          <w:tcPr>
            <w:tcW w:w="1969" w:type="pct"/>
            <w:tcBorders>
              <w:top w:val="single" w:sz="4" w:space="0" w:color="auto"/>
              <w:left w:val="nil"/>
              <w:bottom w:val="single" w:sz="4" w:space="0" w:color="auto"/>
              <w:right w:val="nil"/>
            </w:tcBorders>
          </w:tcPr>
          <w:p w14:paraId="75FD3B61" w14:textId="77777777" w:rsidR="00E850F6" w:rsidRPr="00D600DA" w:rsidRDefault="00E850F6" w:rsidP="00636DA1">
            <w:pPr>
              <w:spacing w:before="80" w:after="80" w:line="240" w:lineRule="auto"/>
              <w:jc w:val="center"/>
              <w:rPr>
                <w:rFonts w:ascii="Times New Roman" w:hAnsi="Times New Roman"/>
                <w:lang w:eastAsia="ja-JP"/>
              </w:rPr>
            </w:pPr>
            <w:r w:rsidRPr="00D600DA">
              <w:rPr>
                <w:rFonts w:ascii="Times New Roman" w:hAnsi="Times New Roman"/>
                <w:lang w:eastAsia="ja-JP"/>
              </w:rPr>
              <w:t>Palaikomoji arba profilaktinė valgancikloviro dozė</w:t>
            </w:r>
          </w:p>
        </w:tc>
      </w:tr>
      <w:tr w:rsidR="00E850F6" w:rsidRPr="00B71670" w14:paraId="0126E5EC" w14:textId="77777777" w:rsidTr="00636DA1">
        <w:tc>
          <w:tcPr>
            <w:tcW w:w="1062" w:type="pct"/>
            <w:tcBorders>
              <w:top w:val="single" w:sz="4" w:space="0" w:color="auto"/>
              <w:left w:val="nil"/>
              <w:bottom w:val="nil"/>
              <w:right w:val="nil"/>
            </w:tcBorders>
          </w:tcPr>
          <w:p w14:paraId="27585E7D" w14:textId="77777777" w:rsidR="00E850F6" w:rsidRPr="00D600DA" w:rsidRDefault="00E850F6" w:rsidP="00636DA1">
            <w:pPr>
              <w:spacing w:before="80" w:after="80" w:line="240" w:lineRule="auto"/>
              <w:jc w:val="both"/>
              <w:rPr>
                <w:rFonts w:ascii="Times New Roman" w:hAnsi="Times New Roman"/>
                <w:lang w:eastAsia="ja-JP"/>
              </w:rPr>
            </w:pPr>
            <w:r w:rsidRPr="00D600DA">
              <w:rPr>
                <w:rFonts w:ascii="Times New Roman" w:hAnsi="Times New Roman"/>
                <w:lang w:eastAsia="ja-JP"/>
              </w:rPr>
              <w:lastRenderedPageBreak/>
              <w:sym w:font="Symbol" w:char="F0B3"/>
            </w:r>
            <w:r w:rsidRPr="00D600DA">
              <w:rPr>
                <w:rFonts w:ascii="Times New Roman" w:hAnsi="Times New Roman"/>
                <w:lang w:eastAsia="ja-JP"/>
              </w:rPr>
              <w:t xml:space="preserve"> 60</w:t>
            </w:r>
          </w:p>
        </w:tc>
        <w:tc>
          <w:tcPr>
            <w:tcW w:w="1969" w:type="pct"/>
            <w:tcBorders>
              <w:top w:val="single" w:sz="4" w:space="0" w:color="auto"/>
              <w:left w:val="single" w:sz="4" w:space="0" w:color="auto"/>
              <w:bottom w:val="nil"/>
              <w:right w:val="single" w:sz="4" w:space="0" w:color="auto"/>
            </w:tcBorders>
          </w:tcPr>
          <w:p w14:paraId="042DB748" w14:textId="77777777" w:rsidR="00E850F6" w:rsidRPr="00D600DA" w:rsidRDefault="00E850F6" w:rsidP="00636DA1">
            <w:pPr>
              <w:spacing w:before="80" w:after="80" w:line="240" w:lineRule="auto"/>
              <w:rPr>
                <w:rFonts w:ascii="Times New Roman" w:hAnsi="Times New Roman"/>
                <w:lang w:eastAsia="ja-JP"/>
              </w:rPr>
            </w:pPr>
            <w:r w:rsidRPr="00D600DA">
              <w:rPr>
                <w:rFonts w:ascii="Times New Roman" w:hAnsi="Times New Roman"/>
                <w:lang w:eastAsia="ja-JP"/>
              </w:rPr>
              <w:t>900 mg dukart per parą</w:t>
            </w:r>
          </w:p>
        </w:tc>
        <w:tc>
          <w:tcPr>
            <w:tcW w:w="1969" w:type="pct"/>
            <w:tcBorders>
              <w:top w:val="single" w:sz="4" w:space="0" w:color="auto"/>
              <w:left w:val="nil"/>
              <w:bottom w:val="nil"/>
              <w:right w:val="nil"/>
            </w:tcBorders>
          </w:tcPr>
          <w:p w14:paraId="68DCFEC6" w14:textId="77777777" w:rsidR="00E850F6" w:rsidRPr="00D600DA" w:rsidRDefault="00E850F6" w:rsidP="00636DA1">
            <w:pPr>
              <w:spacing w:before="80" w:after="80" w:line="240" w:lineRule="auto"/>
              <w:rPr>
                <w:rFonts w:ascii="Times New Roman" w:hAnsi="Times New Roman"/>
                <w:lang w:eastAsia="ja-JP"/>
              </w:rPr>
            </w:pPr>
            <w:r w:rsidRPr="00D600DA">
              <w:rPr>
                <w:rFonts w:ascii="Times New Roman" w:hAnsi="Times New Roman"/>
                <w:lang w:eastAsia="ja-JP"/>
              </w:rPr>
              <w:t>900 mg kartą per parą</w:t>
            </w:r>
          </w:p>
        </w:tc>
      </w:tr>
      <w:tr w:rsidR="00E850F6" w:rsidRPr="00B71670" w14:paraId="0B1A5587" w14:textId="77777777" w:rsidTr="00636DA1">
        <w:tc>
          <w:tcPr>
            <w:tcW w:w="1062" w:type="pct"/>
          </w:tcPr>
          <w:p w14:paraId="4C4F491A" w14:textId="77777777" w:rsidR="00E850F6" w:rsidRPr="00D600DA" w:rsidRDefault="00E850F6" w:rsidP="00636DA1">
            <w:pPr>
              <w:spacing w:before="80" w:after="80" w:line="240" w:lineRule="auto"/>
              <w:jc w:val="both"/>
              <w:rPr>
                <w:rFonts w:ascii="Times New Roman" w:hAnsi="Times New Roman"/>
                <w:lang w:eastAsia="ja-JP"/>
              </w:rPr>
            </w:pPr>
            <w:r w:rsidRPr="00D600DA">
              <w:rPr>
                <w:rFonts w:ascii="Times New Roman" w:hAnsi="Times New Roman"/>
                <w:lang w:eastAsia="ja-JP"/>
              </w:rPr>
              <w:t>40–59</w:t>
            </w:r>
          </w:p>
        </w:tc>
        <w:tc>
          <w:tcPr>
            <w:tcW w:w="1969" w:type="pct"/>
            <w:tcBorders>
              <w:top w:val="nil"/>
              <w:left w:val="single" w:sz="4" w:space="0" w:color="auto"/>
              <w:bottom w:val="nil"/>
              <w:right w:val="single" w:sz="4" w:space="0" w:color="auto"/>
            </w:tcBorders>
          </w:tcPr>
          <w:p w14:paraId="18B45765" w14:textId="77777777" w:rsidR="00E850F6" w:rsidRPr="00D600DA" w:rsidRDefault="00E850F6" w:rsidP="00636DA1">
            <w:pPr>
              <w:spacing w:before="80" w:after="80" w:line="240" w:lineRule="auto"/>
              <w:rPr>
                <w:rFonts w:ascii="Times New Roman" w:hAnsi="Times New Roman"/>
                <w:lang w:eastAsia="ja-JP"/>
              </w:rPr>
            </w:pPr>
            <w:r w:rsidRPr="00D600DA">
              <w:rPr>
                <w:rFonts w:ascii="Times New Roman" w:hAnsi="Times New Roman"/>
                <w:lang w:eastAsia="ja-JP"/>
              </w:rPr>
              <w:t>450 mg dukart per parą</w:t>
            </w:r>
          </w:p>
        </w:tc>
        <w:tc>
          <w:tcPr>
            <w:tcW w:w="1969" w:type="pct"/>
          </w:tcPr>
          <w:p w14:paraId="598980AD" w14:textId="77777777" w:rsidR="00E850F6" w:rsidRPr="00D600DA" w:rsidRDefault="00E850F6" w:rsidP="00636DA1">
            <w:pPr>
              <w:spacing w:before="80" w:after="80" w:line="240" w:lineRule="auto"/>
              <w:rPr>
                <w:rFonts w:ascii="Times New Roman" w:hAnsi="Times New Roman"/>
                <w:lang w:eastAsia="ja-JP"/>
              </w:rPr>
            </w:pPr>
            <w:r w:rsidRPr="00D600DA">
              <w:rPr>
                <w:rFonts w:ascii="Times New Roman" w:hAnsi="Times New Roman"/>
                <w:lang w:eastAsia="ja-JP"/>
              </w:rPr>
              <w:t>450 mg kartą per parą</w:t>
            </w:r>
          </w:p>
        </w:tc>
      </w:tr>
      <w:tr w:rsidR="00E850F6" w:rsidRPr="00B71670" w14:paraId="119F6799" w14:textId="77777777" w:rsidTr="00636DA1">
        <w:tc>
          <w:tcPr>
            <w:tcW w:w="1062" w:type="pct"/>
          </w:tcPr>
          <w:p w14:paraId="0C4FC602" w14:textId="77777777" w:rsidR="00E850F6" w:rsidRPr="00D600DA" w:rsidRDefault="00E850F6" w:rsidP="00636DA1">
            <w:pPr>
              <w:spacing w:before="80" w:after="80" w:line="240" w:lineRule="auto"/>
              <w:jc w:val="both"/>
              <w:rPr>
                <w:rFonts w:ascii="Times New Roman" w:hAnsi="Times New Roman"/>
                <w:lang w:eastAsia="ja-JP"/>
              </w:rPr>
            </w:pPr>
            <w:r w:rsidRPr="00D600DA">
              <w:rPr>
                <w:rFonts w:ascii="Times New Roman" w:hAnsi="Times New Roman"/>
                <w:lang w:eastAsia="ja-JP"/>
              </w:rPr>
              <w:t>25–39</w:t>
            </w:r>
          </w:p>
        </w:tc>
        <w:tc>
          <w:tcPr>
            <w:tcW w:w="1969" w:type="pct"/>
            <w:tcBorders>
              <w:top w:val="nil"/>
              <w:left w:val="single" w:sz="4" w:space="0" w:color="auto"/>
              <w:bottom w:val="nil"/>
              <w:right w:val="single" w:sz="4" w:space="0" w:color="auto"/>
            </w:tcBorders>
          </w:tcPr>
          <w:p w14:paraId="6B6BE369" w14:textId="77777777" w:rsidR="00E850F6" w:rsidRPr="00D600DA" w:rsidRDefault="00E850F6" w:rsidP="00636DA1">
            <w:pPr>
              <w:spacing w:before="80" w:after="80" w:line="240" w:lineRule="auto"/>
              <w:rPr>
                <w:rFonts w:ascii="Times New Roman" w:hAnsi="Times New Roman"/>
                <w:lang w:eastAsia="ja-JP"/>
              </w:rPr>
            </w:pPr>
            <w:r w:rsidRPr="00D600DA">
              <w:rPr>
                <w:rFonts w:ascii="Times New Roman" w:hAnsi="Times New Roman"/>
                <w:lang w:eastAsia="ja-JP"/>
              </w:rPr>
              <w:t>450 mg kartą per parą</w:t>
            </w:r>
          </w:p>
        </w:tc>
        <w:tc>
          <w:tcPr>
            <w:tcW w:w="1969" w:type="pct"/>
          </w:tcPr>
          <w:p w14:paraId="25002530" w14:textId="77777777" w:rsidR="00E850F6" w:rsidRPr="00D600DA" w:rsidRDefault="00E850F6" w:rsidP="00636DA1">
            <w:pPr>
              <w:spacing w:before="80" w:after="80" w:line="240" w:lineRule="auto"/>
              <w:rPr>
                <w:rFonts w:ascii="Times New Roman" w:hAnsi="Times New Roman"/>
                <w:lang w:eastAsia="ja-JP"/>
              </w:rPr>
            </w:pPr>
            <w:r w:rsidRPr="00D600DA">
              <w:rPr>
                <w:rFonts w:ascii="Times New Roman" w:hAnsi="Times New Roman"/>
                <w:lang w:eastAsia="ja-JP"/>
              </w:rPr>
              <w:t>225 mg kartą per parą</w:t>
            </w:r>
          </w:p>
        </w:tc>
      </w:tr>
      <w:tr w:rsidR="00E850F6" w:rsidRPr="00B71670" w14:paraId="073F4359" w14:textId="77777777" w:rsidTr="00636DA1">
        <w:tc>
          <w:tcPr>
            <w:tcW w:w="1062" w:type="pct"/>
            <w:tcBorders>
              <w:top w:val="nil"/>
              <w:left w:val="nil"/>
              <w:bottom w:val="single" w:sz="4" w:space="0" w:color="auto"/>
              <w:right w:val="nil"/>
            </w:tcBorders>
          </w:tcPr>
          <w:p w14:paraId="2B562529" w14:textId="77777777" w:rsidR="00E850F6" w:rsidRPr="00D600DA" w:rsidRDefault="00E850F6" w:rsidP="00636DA1">
            <w:pPr>
              <w:spacing w:before="80" w:after="80" w:line="240" w:lineRule="auto"/>
              <w:jc w:val="both"/>
              <w:rPr>
                <w:rFonts w:ascii="Times New Roman" w:hAnsi="Times New Roman"/>
                <w:lang w:eastAsia="ja-JP"/>
              </w:rPr>
            </w:pPr>
            <w:r w:rsidRPr="00D600DA">
              <w:rPr>
                <w:rFonts w:ascii="Times New Roman" w:hAnsi="Times New Roman"/>
                <w:lang w:eastAsia="ja-JP"/>
              </w:rPr>
              <w:t>10–24</w:t>
            </w:r>
          </w:p>
          <w:p w14:paraId="22DC61CD" w14:textId="77777777" w:rsidR="00E850F6" w:rsidRPr="00D600DA" w:rsidRDefault="00E850F6" w:rsidP="00636DA1">
            <w:pPr>
              <w:spacing w:before="80" w:after="80" w:line="240" w:lineRule="auto"/>
              <w:jc w:val="both"/>
              <w:rPr>
                <w:rFonts w:ascii="Times New Roman" w:hAnsi="Times New Roman"/>
                <w:lang w:eastAsia="ja-JP"/>
              </w:rPr>
            </w:pPr>
            <w:r w:rsidRPr="00D600DA">
              <w:rPr>
                <w:rFonts w:ascii="Times New Roman" w:hAnsi="Times New Roman"/>
                <w:lang w:eastAsia="ja-JP"/>
              </w:rPr>
              <w:t>&lt; 10</w:t>
            </w:r>
          </w:p>
        </w:tc>
        <w:tc>
          <w:tcPr>
            <w:tcW w:w="1969" w:type="pct"/>
            <w:tcBorders>
              <w:top w:val="nil"/>
              <w:left w:val="single" w:sz="4" w:space="0" w:color="auto"/>
              <w:bottom w:val="single" w:sz="4" w:space="0" w:color="auto"/>
              <w:right w:val="single" w:sz="4" w:space="0" w:color="auto"/>
            </w:tcBorders>
          </w:tcPr>
          <w:p w14:paraId="7BA0A905" w14:textId="77777777" w:rsidR="00E850F6" w:rsidRPr="00D600DA" w:rsidRDefault="00E850F6" w:rsidP="00636DA1">
            <w:pPr>
              <w:spacing w:before="80" w:after="80" w:line="240" w:lineRule="auto"/>
              <w:rPr>
                <w:rFonts w:ascii="Times New Roman" w:hAnsi="Times New Roman"/>
                <w:lang w:eastAsia="ja-JP"/>
              </w:rPr>
            </w:pPr>
            <w:r w:rsidRPr="00D600DA">
              <w:rPr>
                <w:rFonts w:ascii="Times New Roman" w:hAnsi="Times New Roman"/>
                <w:lang w:eastAsia="ja-JP"/>
              </w:rPr>
              <w:t>225 mg kartą per parą</w:t>
            </w:r>
          </w:p>
          <w:p w14:paraId="5D8123D2" w14:textId="77777777" w:rsidR="00E850F6" w:rsidRPr="00D600DA" w:rsidRDefault="00E850F6" w:rsidP="00636DA1">
            <w:pPr>
              <w:spacing w:before="80" w:after="80" w:line="240" w:lineRule="auto"/>
              <w:rPr>
                <w:rFonts w:ascii="Times New Roman" w:hAnsi="Times New Roman"/>
                <w:lang w:eastAsia="ja-JP"/>
              </w:rPr>
            </w:pPr>
            <w:r w:rsidRPr="00D600DA">
              <w:rPr>
                <w:rFonts w:ascii="Times New Roman" w:hAnsi="Times New Roman"/>
                <w:lang w:eastAsia="ja-JP"/>
              </w:rPr>
              <w:t>200 mg triskart per savaitę po dializės</w:t>
            </w:r>
          </w:p>
        </w:tc>
        <w:tc>
          <w:tcPr>
            <w:tcW w:w="1969" w:type="pct"/>
            <w:tcBorders>
              <w:top w:val="nil"/>
              <w:left w:val="nil"/>
              <w:bottom w:val="single" w:sz="4" w:space="0" w:color="auto"/>
              <w:right w:val="nil"/>
            </w:tcBorders>
          </w:tcPr>
          <w:p w14:paraId="3E4804A2" w14:textId="77777777" w:rsidR="00E850F6" w:rsidRPr="00D600DA" w:rsidRDefault="00E850F6" w:rsidP="00636DA1">
            <w:pPr>
              <w:spacing w:before="80" w:after="80" w:line="240" w:lineRule="auto"/>
              <w:rPr>
                <w:rFonts w:ascii="Times New Roman" w:hAnsi="Times New Roman"/>
                <w:lang w:eastAsia="ja-JP"/>
              </w:rPr>
            </w:pPr>
            <w:r w:rsidRPr="00D600DA">
              <w:rPr>
                <w:rFonts w:ascii="Times New Roman" w:hAnsi="Times New Roman"/>
                <w:lang w:eastAsia="ja-JP"/>
              </w:rPr>
              <w:t>125 mg kartą per parą</w:t>
            </w:r>
          </w:p>
          <w:p w14:paraId="6BE6906B" w14:textId="77777777" w:rsidR="00E850F6" w:rsidRPr="00D600DA" w:rsidRDefault="00E850F6" w:rsidP="00636DA1">
            <w:pPr>
              <w:spacing w:before="80" w:after="80" w:line="240" w:lineRule="auto"/>
              <w:rPr>
                <w:rFonts w:ascii="Times New Roman" w:hAnsi="Times New Roman"/>
                <w:lang w:eastAsia="ja-JP"/>
              </w:rPr>
            </w:pPr>
            <w:r w:rsidRPr="00D600DA">
              <w:rPr>
                <w:rFonts w:ascii="Times New Roman" w:hAnsi="Times New Roman"/>
                <w:lang w:eastAsia="ja-JP"/>
              </w:rPr>
              <w:t>100 mg triskart per savaitę po dializės</w:t>
            </w:r>
          </w:p>
        </w:tc>
      </w:tr>
    </w:tbl>
    <w:p w14:paraId="21076528" w14:textId="77777777" w:rsidR="00E850F6" w:rsidRPr="00D600DA" w:rsidRDefault="00E850F6" w:rsidP="00E850F6">
      <w:pPr>
        <w:spacing w:after="0" w:line="240" w:lineRule="auto"/>
        <w:rPr>
          <w:rFonts w:ascii="Times New Roman" w:hAnsi="Times New Roman"/>
          <w:lang w:eastAsia="ja-JP"/>
        </w:rPr>
      </w:pPr>
    </w:p>
    <w:p w14:paraId="33C06F5F" w14:textId="77777777" w:rsidR="00102552" w:rsidRDefault="00102552" w:rsidP="00E850F6">
      <w:pPr>
        <w:keepNext/>
        <w:spacing w:after="0" w:line="240" w:lineRule="auto"/>
        <w:rPr>
          <w:rFonts w:ascii="Times New Roman" w:hAnsi="Times New Roman"/>
          <w:lang w:eastAsia="ja-JP"/>
        </w:rPr>
      </w:pPr>
      <w:r>
        <w:rPr>
          <w:rFonts w:ascii="Times New Roman" w:hAnsi="Times New Roman"/>
          <w:lang w:eastAsia="ja-JP"/>
        </w:rPr>
        <w:t xml:space="preserve">Dozavimo instrukcija </w:t>
      </w:r>
      <w:r w:rsidRPr="00102552">
        <w:rPr>
          <w:rFonts w:ascii="Times New Roman" w:hAnsi="Times New Roman"/>
          <w:lang w:eastAsia="ja-JP"/>
        </w:rPr>
        <w:t>p</w:t>
      </w:r>
      <w:r w:rsidRPr="00561AEC">
        <w:rPr>
          <w:rFonts w:ascii="Times New Roman" w:hAnsi="Times New Roman"/>
          <w:lang w:eastAsia="ja-JP"/>
        </w:rPr>
        <w:t>acientams, kurių inkstų veikla sutrikusi</w:t>
      </w:r>
      <w:r>
        <w:rPr>
          <w:rFonts w:ascii="Times New Roman" w:hAnsi="Times New Roman"/>
          <w:lang w:eastAsia="ja-JP"/>
        </w:rPr>
        <w:t>:</w:t>
      </w:r>
    </w:p>
    <w:p w14:paraId="787D600E" w14:textId="77777777" w:rsidR="00102552" w:rsidRPr="00561AEC" w:rsidRDefault="00102552" w:rsidP="00E850F6">
      <w:pPr>
        <w:keepNext/>
        <w:spacing w:after="0" w:line="240" w:lineRule="auto"/>
        <w:rPr>
          <w:rFonts w:ascii="Times New Roman" w:hAnsi="Times New Roman"/>
          <w:lang w:eastAsia="ja-JP"/>
        </w:rPr>
      </w:pPr>
    </w:p>
    <w:tbl>
      <w:tblPr>
        <w:tblW w:w="5000" w:type="pct"/>
        <w:shd w:val="clear" w:color="auto" w:fill="FFFFFF"/>
        <w:tblCellMar>
          <w:left w:w="0" w:type="dxa"/>
          <w:right w:w="0" w:type="dxa"/>
        </w:tblCellMar>
        <w:tblLook w:val="04A0" w:firstRow="1" w:lastRow="0" w:firstColumn="1" w:lastColumn="0" w:noHBand="0" w:noVBand="1"/>
      </w:tblPr>
      <w:tblGrid>
        <w:gridCol w:w="4532"/>
        <w:gridCol w:w="4518"/>
      </w:tblGrid>
      <w:tr w:rsidR="00102552" w:rsidRPr="00C107D1" w14:paraId="6301E925" w14:textId="77777777" w:rsidTr="005B76D4">
        <w:tc>
          <w:tcPr>
            <w:tcW w:w="2504"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DB0366" w14:textId="77777777" w:rsidR="00102552" w:rsidRPr="00C107D1" w:rsidRDefault="00102552" w:rsidP="005B76D4">
            <w:pPr>
              <w:spacing w:after="0" w:line="240" w:lineRule="auto"/>
              <w:rPr>
                <w:rFonts w:ascii="Times New Roman" w:eastAsia="Times New Roman" w:hAnsi="Times New Roman"/>
                <w:szCs w:val="20"/>
                <w:lang w:val="en-US" w:eastAsia="ja-JP"/>
              </w:rPr>
            </w:pPr>
            <w:proofErr w:type="spellStart"/>
            <w:r>
              <w:rPr>
                <w:rFonts w:ascii="Times New Roman" w:eastAsia="Times New Roman" w:hAnsi="Times New Roman"/>
                <w:szCs w:val="20"/>
                <w:lang w:val="en-US" w:eastAsia="ja-JP"/>
              </w:rPr>
              <w:t>V</w:t>
            </w:r>
            <w:r w:rsidRPr="00C107D1">
              <w:rPr>
                <w:rFonts w:ascii="Times New Roman" w:eastAsia="Times New Roman" w:hAnsi="Times New Roman"/>
                <w:szCs w:val="20"/>
                <w:lang w:val="en-US" w:eastAsia="ja-JP"/>
              </w:rPr>
              <w:t>alganci</w:t>
            </w:r>
            <w:r>
              <w:rPr>
                <w:rFonts w:ascii="Times New Roman" w:eastAsia="Times New Roman" w:hAnsi="Times New Roman"/>
                <w:szCs w:val="20"/>
                <w:lang w:val="en-US" w:eastAsia="ja-JP"/>
              </w:rPr>
              <w:t>k</w:t>
            </w:r>
            <w:r w:rsidRPr="00C107D1">
              <w:rPr>
                <w:rFonts w:ascii="Times New Roman" w:eastAsia="Times New Roman" w:hAnsi="Times New Roman"/>
                <w:szCs w:val="20"/>
                <w:lang w:val="en-US" w:eastAsia="ja-JP"/>
              </w:rPr>
              <w:t>lovir</w:t>
            </w:r>
            <w:r>
              <w:rPr>
                <w:rFonts w:ascii="Times New Roman" w:eastAsia="Times New Roman" w:hAnsi="Times New Roman"/>
                <w:szCs w:val="20"/>
                <w:lang w:val="en-US" w:eastAsia="ja-JP"/>
              </w:rPr>
              <w:t>o</w:t>
            </w:r>
            <w:proofErr w:type="spellEnd"/>
            <w:r w:rsidRPr="00C107D1">
              <w:rPr>
                <w:rFonts w:ascii="Times New Roman" w:eastAsia="Times New Roman" w:hAnsi="Times New Roman"/>
                <w:szCs w:val="20"/>
                <w:lang w:val="en-US" w:eastAsia="ja-JP"/>
              </w:rPr>
              <w:t xml:space="preserve"> </w:t>
            </w:r>
            <w:proofErr w:type="spellStart"/>
            <w:r w:rsidRPr="00C107D1">
              <w:rPr>
                <w:rFonts w:ascii="Times New Roman" w:eastAsia="Times New Roman" w:hAnsi="Times New Roman"/>
                <w:szCs w:val="20"/>
                <w:lang w:val="en-US" w:eastAsia="ja-JP"/>
              </w:rPr>
              <w:t>do</w:t>
            </w:r>
            <w:r>
              <w:rPr>
                <w:rFonts w:ascii="Times New Roman" w:eastAsia="Times New Roman" w:hAnsi="Times New Roman"/>
                <w:szCs w:val="20"/>
                <w:lang w:val="en-US" w:eastAsia="ja-JP"/>
              </w:rPr>
              <w:t>zė</w:t>
            </w:r>
            <w:proofErr w:type="spellEnd"/>
          </w:p>
        </w:tc>
        <w:tc>
          <w:tcPr>
            <w:tcW w:w="249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91E6C3E" w14:textId="77777777" w:rsidR="00102552" w:rsidRPr="00DD4483" w:rsidRDefault="00102552" w:rsidP="005B76D4">
            <w:pPr>
              <w:spacing w:after="0" w:line="240" w:lineRule="auto"/>
              <w:rPr>
                <w:rFonts w:ascii="Times New Roman" w:hAnsi="Times New Roman"/>
                <w:lang w:val="pt-PT"/>
              </w:rPr>
            </w:pPr>
            <w:r w:rsidRPr="00DD4483">
              <w:rPr>
                <w:rFonts w:ascii="Times New Roman" w:hAnsi="Times New Roman"/>
                <w:lang w:val="pt-PT"/>
              </w:rPr>
              <w:t>Valcyte geriamasis tirpalas</w:t>
            </w:r>
          </w:p>
          <w:p w14:paraId="1F2B8109" w14:textId="77777777" w:rsidR="00102552" w:rsidRPr="00DD4483" w:rsidRDefault="00102552" w:rsidP="005B76D4">
            <w:pPr>
              <w:spacing w:after="0" w:line="240" w:lineRule="auto"/>
              <w:rPr>
                <w:rFonts w:ascii="Times New Roman" w:hAnsi="Times New Roman"/>
                <w:lang w:val="pt-PT"/>
              </w:rPr>
            </w:pPr>
            <w:r w:rsidRPr="00DD4483">
              <w:rPr>
                <w:rFonts w:ascii="Times New Roman" w:hAnsi="Times New Roman"/>
                <w:lang w:val="pt-PT"/>
              </w:rPr>
              <w:t>Kiek paskirti</w:t>
            </w:r>
          </w:p>
        </w:tc>
      </w:tr>
      <w:tr w:rsidR="00102552" w:rsidRPr="00C107D1" w14:paraId="45DE82B5" w14:textId="77777777" w:rsidTr="005B76D4">
        <w:tc>
          <w:tcPr>
            <w:tcW w:w="250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5A1718" w14:textId="77777777" w:rsidR="00102552" w:rsidRPr="00C107D1" w:rsidRDefault="00102552" w:rsidP="005B76D4">
            <w:pPr>
              <w:spacing w:after="0" w:line="240" w:lineRule="auto"/>
              <w:rPr>
                <w:rFonts w:ascii="Times New Roman" w:eastAsia="Times New Roman" w:hAnsi="Times New Roman"/>
                <w:szCs w:val="20"/>
                <w:lang w:val="en-US" w:eastAsia="ja-JP"/>
              </w:rPr>
            </w:pPr>
            <w:r>
              <w:rPr>
                <w:rFonts w:ascii="Times New Roman" w:eastAsia="Times New Roman" w:hAnsi="Times New Roman"/>
                <w:szCs w:val="20"/>
                <w:lang w:val="en-US" w:eastAsia="ja-JP"/>
              </w:rPr>
              <w:t>12</w:t>
            </w:r>
            <w:r w:rsidRPr="00C107D1">
              <w:rPr>
                <w:rFonts w:ascii="Times New Roman" w:eastAsia="Times New Roman" w:hAnsi="Times New Roman"/>
                <w:szCs w:val="20"/>
                <w:lang w:val="en-US" w:eastAsia="ja-JP"/>
              </w:rPr>
              <w:t>5</w:t>
            </w:r>
            <w:r>
              <w:rPr>
                <w:rFonts w:ascii="Times New Roman" w:eastAsia="Times New Roman" w:hAnsi="Times New Roman"/>
                <w:szCs w:val="20"/>
                <w:lang w:val="en-US" w:eastAsia="ja-JP"/>
              </w:rPr>
              <w:t> </w:t>
            </w:r>
            <w:r w:rsidRPr="00C107D1">
              <w:rPr>
                <w:rFonts w:ascii="Times New Roman" w:eastAsia="Times New Roman" w:hAnsi="Times New Roman"/>
                <w:szCs w:val="20"/>
                <w:lang w:val="en-US" w:eastAsia="ja-JP"/>
              </w:rPr>
              <w:t>mg</w:t>
            </w:r>
          </w:p>
        </w:tc>
        <w:tc>
          <w:tcPr>
            <w:tcW w:w="24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34C7B7" w14:textId="77777777" w:rsidR="00102552" w:rsidRPr="00C107D1" w:rsidRDefault="00102552" w:rsidP="005B76D4">
            <w:pPr>
              <w:spacing w:after="0" w:line="240" w:lineRule="auto"/>
              <w:rPr>
                <w:rFonts w:ascii="Times New Roman" w:eastAsia="Times New Roman" w:hAnsi="Times New Roman"/>
                <w:szCs w:val="20"/>
                <w:lang w:val="en-US" w:eastAsia="ja-JP"/>
              </w:rPr>
            </w:pPr>
            <w:r>
              <w:rPr>
                <w:rFonts w:ascii="Times New Roman" w:eastAsia="Times New Roman" w:hAnsi="Times New Roman"/>
                <w:szCs w:val="20"/>
                <w:lang w:val="en-US" w:eastAsia="ja-JP"/>
              </w:rPr>
              <w:t>2,</w:t>
            </w:r>
            <w:r w:rsidRPr="00C107D1">
              <w:rPr>
                <w:rFonts w:ascii="Times New Roman" w:eastAsia="Times New Roman" w:hAnsi="Times New Roman"/>
                <w:szCs w:val="20"/>
                <w:lang w:val="en-US" w:eastAsia="ja-JP"/>
              </w:rPr>
              <w:t>5</w:t>
            </w:r>
            <w:r>
              <w:rPr>
                <w:rFonts w:ascii="Times New Roman" w:eastAsia="Times New Roman" w:hAnsi="Times New Roman"/>
                <w:szCs w:val="20"/>
                <w:lang w:val="en-US" w:eastAsia="ja-JP"/>
              </w:rPr>
              <w:t> </w:t>
            </w:r>
            <w:r w:rsidRPr="00C107D1">
              <w:rPr>
                <w:rFonts w:ascii="Times New Roman" w:eastAsia="Times New Roman" w:hAnsi="Times New Roman"/>
                <w:szCs w:val="20"/>
                <w:lang w:val="en-US" w:eastAsia="ja-JP"/>
              </w:rPr>
              <w:t>ml</w:t>
            </w:r>
          </w:p>
        </w:tc>
      </w:tr>
      <w:tr w:rsidR="00102552" w:rsidRPr="00C107D1" w14:paraId="30830AAA" w14:textId="77777777" w:rsidTr="005B76D4">
        <w:tc>
          <w:tcPr>
            <w:tcW w:w="250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4941AF" w14:textId="77777777" w:rsidR="00102552" w:rsidRPr="00C107D1" w:rsidRDefault="00102552" w:rsidP="005B76D4">
            <w:pPr>
              <w:spacing w:after="0" w:line="240" w:lineRule="auto"/>
              <w:rPr>
                <w:rFonts w:ascii="Times New Roman" w:eastAsia="Times New Roman" w:hAnsi="Times New Roman"/>
                <w:szCs w:val="20"/>
                <w:lang w:val="en-US" w:eastAsia="ja-JP"/>
              </w:rPr>
            </w:pPr>
            <w:r>
              <w:rPr>
                <w:rFonts w:ascii="Times New Roman" w:eastAsia="Times New Roman" w:hAnsi="Times New Roman"/>
                <w:szCs w:val="20"/>
                <w:lang w:val="en-US" w:eastAsia="ja-JP"/>
              </w:rPr>
              <w:t>225 </w:t>
            </w:r>
            <w:r w:rsidRPr="00C107D1">
              <w:rPr>
                <w:rFonts w:ascii="Times New Roman" w:eastAsia="Times New Roman" w:hAnsi="Times New Roman"/>
                <w:szCs w:val="20"/>
                <w:lang w:val="en-US" w:eastAsia="ja-JP"/>
              </w:rPr>
              <w:t>mg</w:t>
            </w:r>
          </w:p>
        </w:tc>
        <w:tc>
          <w:tcPr>
            <w:tcW w:w="24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698795" w14:textId="77777777" w:rsidR="00102552" w:rsidRPr="00C107D1" w:rsidRDefault="00102552" w:rsidP="005B76D4">
            <w:pPr>
              <w:spacing w:after="0" w:line="240" w:lineRule="auto"/>
              <w:rPr>
                <w:rFonts w:ascii="Times New Roman" w:eastAsia="Times New Roman" w:hAnsi="Times New Roman"/>
                <w:szCs w:val="20"/>
                <w:lang w:val="en-US" w:eastAsia="ja-JP"/>
              </w:rPr>
            </w:pPr>
            <w:r>
              <w:rPr>
                <w:rFonts w:ascii="Times New Roman" w:eastAsia="Times New Roman" w:hAnsi="Times New Roman"/>
                <w:szCs w:val="20"/>
                <w:lang w:val="en-US" w:eastAsia="ja-JP"/>
              </w:rPr>
              <w:t>4,5 </w:t>
            </w:r>
            <w:r w:rsidRPr="00C107D1">
              <w:rPr>
                <w:rFonts w:ascii="Times New Roman" w:eastAsia="Times New Roman" w:hAnsi="Times New Roman"/>
                <w:szCs w:val="20"/>
                <w:lang w:val="en-US" w:eastAsia="ja-JP"/>
              </w:rPr>
              <w:t>ml</w:t>
            </w:r>
          </w:p>
        </w:tc>
      </w:tr>
      <w:tr w:rsidR="00102552" w:rsidRPr="00C107D1" w14:paraId="6B6D7B22" w14:textId="77777777" w:rsidTr="005B76D4">
        <w:tc>
          <w:tcPr>
            <w:tcW w:w="250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3CE3B1" w14:textId="77777777" w:rsidR="00102552" w:rsidRPr="00C107D1" w:rsidRDefault="00102552" w:rsidP="005B76D4">
            <w:pPr>
              <w:spacing w:after="0" w:line="240" w:lineRule="auto"/>
              <w:rPr>
                <w:rFonts w:ascii="Times New Roman" w:eastAsia="Times New Roman" w:hAnsi="Times New Roman"/>
                <w:szCs w:val="20"/>
                <w:lang w:val="en-US" w:eastAsia="ja-JP"/>
              </w:rPr>
            </w:pPr>
            <w:r>
              <w:rPr>
                <w:rFonts w:ascii="Times New Roman" w:eastAsia="Times New Roman" w:hAnsi="Times New Roman"/>
                <w:szCs w:val="20"/>
                <w:lang w:val="en-US" w:eastAsia="ja-JP"/>
              </w:rPr>
              <w:t>45</w:t>
            </w:r>
            <w:r w:rsidRPr="00C107D1">
              <w:rPr>
                <w:rFonts w:ascii="Times New Roman" w:eastAsia="Times New Roman" w:hAnsi="Times New Roman"/>
                <w:szCs w:val="20"/>
                <w:lang w:val="en-US" w:eastAsia="ja-JP"/>
              </w:rPr>
              <w:t>0</w:t>
            </w:r>
            <w:r>
              <w:rPr>
                <w:rFonts w:ascii="Times New Roman" w:eastAsia="Times New Roman" w:hAnsi="Times New Roman"/>
                <w:szCs w:val="20"/>
                <w:lang w:val="en-US" w:eastAsia="ja-JP"/>
              </w:rPr>
              <w:t> </w:t>
            </w:r>
            <w:r w:rsidRPr="00C107D1">
              <w:rPr>
                <w:rFonts w:ascii="Times New Roman" w:eastAsia="Times New Roman" w:hAnsi="Times New Roman"/>
                <w:szCs w:val="20"/>
                <w:lang w:val="en-US" w:eastAsia="ja-JP"/>
              </w:rPr>
              <w:t>mg</w:t>
            </w:r>
          </w:p>
        </w:tc>
        <w:tc>
          <w:tcPr>
            <w:tcW w:w="24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F7BF29" w14:textId="77777777" w:rsidR="00102552" w:rsidRPr="00C107D1" w:rsidRDefault="00102552" w:rsidP="005B76D4">
            <w:pPr>
              <w:spacing w:after="0" w:line="240" w:lineRule="auto"/>
              <w:rPr>
                <w:rFonts w:ascii="Times New Roman" w:eastAsia="Times New Roman" w:hAnsi="Times New Roman"/>
                <w:szCs w:val="20"/>
                <w:lang w:val="en-US" w:eastAsia="ja-JP"/>
              </w:rPr>
            </w:pPr>
            <w:r>
              <w:rPr>
                <w:rFonts w:ascii="Times New Roman" w:eastAsia="Times New Roman" w:hAnsi="Times New Roman"/>
                <w:szCs w:val="20"/>
                <w:lang w:val="en-US" w:eastAsia="ja-JP"/>
              </w:rPr>
              <w:t>9 </w:t>
            </w:r>
            <w:r w:rsidRPr="00C107D1">
              <w:rPr>
                <w:rFonts w:ascii="Times New Roman" w:eastAsia="Times New Roman" w:hAnsi="Times New Roman"/>
                <w:szCs w:val="20"/>
                <w:lang w:val="en-US" w:eastAsia="ja-JP"/>
              </w:rPr>
              <w:t>ml</w:t>
            </w:r>
          </w:p>
        </w:tc>
      </w:tr>
    </w:tbl>
    <w:p w14:paraId="6219AF46" w14:textId="77777777" w:rsidR="00102552" w:rsidRDefault="00102552" w:rsidP="00E850F6">
      <w:pPr>
        <w:keepNext/>
        <w:spacing w:after="0" w:line="240" w:lineRule="auto"/>
        <w:rPr>
          <w:rFonts w:ascii="Times New Roman" w:hAnsi="Times New Roman"/>
          <w:i/>
          <w:lang w:eastAsia="ja-JP"/>
        </w:rPr>
      </w:pPr>
    </w:p>
    <w:p w14:paraId="0E660E3D" w14:textId="77777777" w:rsidR="00102552" w:rsidRDefault="00102552" w:rsidP="00E850F6">
      <w:pPr>
        <w:keepNext/>
        <w:spacing w:after="0" w:line="240" w:lineRule="auto"/>
        <w:rPr>
          <w:rFonts w:ascii="Times New Roman" w:hAnsi="Times New Roman"/>
          <w:i/>
          <w:lang w:eastAsia="ja-JP"/>
        </w:rPr>
      </w:pPr>
    </w:p>
    <w:p w14:paraId="7C3CECA9" w14:textId="77777777" w:rsidR="00E850F6" w:rsidRPr="00D600DA" w:rsidRDefault="00E850F6" w:rsidP="00E850F6">
      <w:pPr>
        <w:keepNext/>
        <w:spacing w:after="0" w:line="240" w:lineRule="auto"/>
        <w:rPr>
          <w:rFonts w:ascii="Times New Roman" w:hAnsi="Times New Roman"/>
          <w:i/>
          <w:lang w:eastAsia="ja-JP"/>
        </w:rPr>
      </w:pPr>
      <w:r w:rsidRPr="00D600DA">
        <w:rPr>
          <w:rFonts w:ascii="Times New Roman" w:hAnsi="Times New Roman"/>
          <w:i/>
          <w:lang w:eastAsia="ja-JP"/>
        </w:rPr>
        <w:t>Pacientams, kuriems atliekamos hemodializės</w:t>
      </w:r>
    </w:p>
    <w:p w14:paraId="484FF991"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Pacientams, kuriems atliekamos hemodializės (kreatinino klirensas &lt; 10 ml/min.), būtina koreguoti dozę (žr. 4.4 ir 5.2 skyrių); rekomenduojamos dozės pateikiamos aukščiau lentelėje.</w:t>
      </w:r>
    </w:p>
    <w:p w14:paraId="3F26185A" w14:textId="77777777" w:rsidR="00E850F6" w:rsidRPr="00D600DA" w:rsidRDefault="00E850F6" w:rsidP="00E850F6">
      <w:pPr>
        <w:spacing w:after="0" w:line="240" w:lineRule="auto"/>
        <w:rPr>
          <w:rFonts w:ascii="Times New Roman" w:hAnsi="Times New Roman"/>
          <w:lang w:eastAsia="ja-JP"/>
        </w:rPr>
      </w:pPr>
    </w:p>
    <w:p w14:paraId="33810505" w14:textId="77777777" w:rsidR="00E850F6" w:rsidRPr="00F36DBF" w:rsidRDefault="00E850F6" w:rsidP="00E850F6">
      <w:pPr>
        <w:spacing w:after="0" w:line="240" w:lineRule="auto"/>
        <w:rPr>
          <w:rFonts w:ascii="Times New Roman" w:eastAsia="Times New Roman" w:hAnsi="Times New Roman"/>
          <w:i/>
          <w:lang w:eastAsia="ja-JP"/>
        </w:rPr>
      </w:pPr>
      <w:r w:rsidRPr="00F36DBF">
        <w:rPr>
          <w:rFonts w:ascii="Times New Roman" w:eastAsia="Times New Roman" w:hAnsi="Times New Roman"/>
          <w:i/>
          <w:lang w:eastAsia="ja-JP"/>
        </w:rPr>
        <w:t>Pacientams, kurių kepenų funkcija sutrikusi</w:t>
      </w:r>
    </w:p>
    <w:p w14:paraId="77AA5FDD" w14:textId="77777777" w:rsidR="00E850F6" w:rsidRDefault="00E850F6" w:rsidP="00E850F6">
      <w:pPr>
        <w:spacing w:after="0" w:line="240" w:lineRule="auto"/>
        <w:rPr>
          <w:rFonts w:ascii="Times New Roman" w:eastAsia="Times New Roman" w:hAnsi="Times New Roman"/>
          <w:lang w:eastAsia="ja-JP"/>
        </w:rPr>
      </w:pPr>
      <w:r w:rsidRPr="00F36DBF">
        <w:rPr>
          <w:rFonts w:ascii="Times New Roman" w:eastAsia="Times New Roman" w:hAnsi="Times New Roman"/>
          <w:lang w:eastAsia="ja-JP"/>
        </w:rPr>
        <w:t>Ligonių, kurių kepenų veikla sutrikusi, gydymo Valcyte tabletėmis saugumas ir veiksmingumas ne</w:t>
      </w:r>
      <w:r>
        <w:rPr>
          <w:rFonts w:ascii="Times New Roman" w:eastAsia="Times New Roman" w:hAnsi="Times New Roman"/>
          <w:lang w:eastAsia="ja-JP"/>
        </w:rPr>
        <w:t>iš</w:t>
      </w:r>
      <w:r w:rsidRPr="00F36DBF">
        <w:rPr>
          <w:rFonts w:ascii="Times New Roman" w:eastAsia="Times New Roman" w:hAnsi="Times New Roman"/>
          <w:lang w:eastAsia="ja-JP"/>
        </w:rPr>
        <w:t>tirtas (žr. 5.2</w:t>
      </w:r>
      <w:r>
        <w:rPr>
          <w:rFonts w:ascii="Times New Roman" w:eastAsia="Times New Roman" w:hAnsi="Times New Roman"/>
          <w:lang w:eastAsia="ja-JP"/>
        </w:rPr>
        <w:t> </w:t>
      </w:r>
      <w:r w:rsidRPr="00F36DBF">
        <w:rPr>
          <w:rFonts w:ascii="Times New Roman" w:eastAsia="Times New Roman" w:hAnsi="Times New Roman"/>
          <w:lang w:eastAsia="ja-JP"/>
        </w:rPr>
        <w:t>skyrių).</w:t>
      </w:r>
    </w:p>
    <w:p w14:paraId="5E2C9353" w14:textId="77777777" w:rsidR="00E850F6" w:rsidRPr="00402217" w:rsidRDefault="00E850F6" w:rsidP="00E850F6">
      <w:pPr>
        <w:spacing w:after="0" w:line="240" w:lineRule="auto"/>
        <w:rPr>
          <w:rFonts w:ascii="Times New Roman" w:hAnsi="Times New Roman"/>
        </w:rPr>
      </w:pPr>
    </w:p>
    <w:p w14:paraId="6F1CC2AC" w14:textId="77777777" w:rsidR="00E850F6" w:rsidRPr="00F36DBF" w:rsidRDefault="00E850F6" w:rsidP="00E850F6">
      <w:pPr>
        <w:spacing w:after="0" w:line="240" w:lineRule="auto"/>
        <w:rPr>
          <w:rFonts w:ascii="Times New Roman" w:eastAsia="Times New Roman" w:hAnsi="Times New Roman"/>
          <w:lang w:eastAsia="ja-JP"/>
        </w:rPr>
      </w:pPr>
      <w:r w:rsidRPr="00F36DBF">
        <w:rPr>
          <w:rFonts w:ascii="Times New Roman" w:eastAsia="Times New Roman" w:hAnsi="Times New Roman"/>
          <w:i/>
          <w:lang w:eastAsia="ja-JP"/>
        </w:rPr>
        <w:t>Pacientams, kuriems yra sunki leukopenija, neutropenija, anemija, trombocitopenija ir pancitopenija</w:t>
      </w:r>
      <w:r w:rsidRPr="00F36DBF">
        <w:rPr>
          <w:rFonts w:ascii="Times New Roman" w:eastAsia="Times New Roman" w:hAnsi="Times New Roman"/>
          <w:lang w:eastAsia="ja-JP"/>
        </w:rPr>
        <w:t xml:space="preserve"> Prieš pradedant gydyti reikia atsižvelgti į 4.4 skyriuje pateiktus nurodymus.</w:t>
      </w:r>
      <w:r>
        <w:rPr>
          <w:rFonts w:ascii="Times New Roman" w:eastAsia="Times New Roman" w:hAnsi="Times New Roman"/>
          <w:lang w:eastAsia="ja-JP"/>
        </w:rPr>
        <w:t xml:space="preserve"> </w:t>
      </w:r>
      <w:r w:rsidRPr="00F36DBF">
        <w:rPr>
          <w:rFonts w:ascii="Times New Roman" w:eastAsia="Times New Roman" w:hAnsi="Times New Roman"/>
          <w:lang w:eastAsia="ja-JP"/>
        </w:rPr>
        <w:t>Jei</w:t>
      </w:r>
      <w:r>
        <w:rPr>
          <w:rFonts w:ascii="Times New Roman" w:eastAsia="Times New Roman" w:hAnsi="Times New Roman"/>
          <w:lang w:eastAsia="ja-JP"/>
        </w:rPr>
        <w:t>gu</w:t>
      </w:r>
      <w:r w:rsidRPr="00F36DBF">
        <w:rPr>
          <w:rFonts w:ascii="Times New Roman" w:eastAsia="Times New Roman" w:hAnsi="Times New Roman"/>
          <w:lang w:eastAsia="ja-JP"/>
        </w:rPr>
        <w:t xml:space="preserve"> gydant Valcyte tabletėmis labai kinta kraujo ląstelių skaičius, reikia spręsti, ar gydyti kraujo ląstelių augimo faktoriais, ir (arba) nutraukti gydymą šiuo vaistu (žr. 4.4</w:t>
      </w:r>
      <w:r>
        <w:rPr>
          <w:rFonts w:ascii="Times New Roman" w:eastAsia="Times New Roman" w:hAnsi="Times New Roman"/>
          <w:lang w:eastAsia="ja-JP"/>
        </w:rPr>
        <w:t> </w:t>
      </w:r>
      <w:r w:rsidRPr="00F36DBF">
        <w:rPr>
          <w:rFonts w:ascii="Times New Roman" w:eastAsia="Times New Roman" w:hAnsi="Times New Roman"/>
          <w:lang w:eastAsia="ja-JP"/>
        </w:rPr>
        <w:t>skyrių).</w:t>
      </w:r>
    </w:p>
    <w:p w14:paraId="3D65336D" w14:textId="77777777" w:rsidR="00E850F6" w:rsidRPr="00D600DA" w:rsidRDefault="00E850F6" w:rsidP="00E850F6">
      <w:pPr>
        <w:spacing w:after="0" w:line="240" w:lineRule="auto"/>
        <w:rPr>
          <w:rFonts w:ascii="Times New Roman" w:hAnsi="Times New Roman"/>
          <w:lang w:eastAsia="ja-JP"/>
        </w:rPr>
      </w:pPr>
    </w:p>
    <w:p w14:paraId="6E72A8A6" w14:textId="77777777" w:rsidR="00E850F6" w:rsidRPr="00D600DA" w:rsidRDefault="00E850F6" w:rsidP="00E850F6">
      <w:pPr>
        <w:spacing w:after="0" w:line="240" w:lineRule="auto"/>
        <w:rPr>
          <w:rFonts w:ascii="Times New Roman" w:hAnsi="Times New Roman"/>
          <w:u w:val="single"/>
          <w:lang w:eastAsia="ja-JP"/>
        </w:rPr>
      </w:pPr>
      <w:r w:rsidRPr="00D600DA">
        <w:rPr>
          <w:rFonts w:ascii="Times New Roman" w:hAnsi="Times New Roman"/>
          <w:u w:val="single"/>
          <w:lang w:eastAsia="ja-JP"/>
        </w:rPr>
        <w:t>Vartojimo metodas</w:t>
      </w:r>
    </w:p>
    <w:p w14:paraId="3FBCD028" w14:textId="77777777" w:rsidR="00E850F6" w:rsidRPr="00D600DA" w:rsidRDefault="00E850F6" w:rsidP="00E850F6">
      <w:pPr>
        <w:spacing w:after="0" w:line="240" w:lineRule="auto"/>
        <w:rPr>
          <w:rFonts w:ascii="Times New Roman" w:hAnsi="Times New Roman"/>
          <w:lang w:eastAsia="ja-JP"/>
        </w:rPr>
      </w:pPr>
    </w:p>
    <w:p w14:paraId="498A5F14"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Valcyte vartojamas per burną, jeigu tik galima – valgant (žr. 5.2 skyrių).</w:t>
      </w:r>
    </w:p>
    <w:p w14:paraId="5C6E6638" w14:textId="77777777" w:rsidR="00E850F6" w:rsidRPr="00D600DA" w:rsidRDefault="00E850F6" w:rsidP="00E850F6">
      <w:pPr>
        <w:spacing w:after="0" w:line="240" w:lineRule="auto"/>
        <w:rPr>
          <w:rFonts w:ascii="Times New Roman" w:hAnsi="Times New Roman"/>
          <w:lang w:eastAsia="ja-JP"/>
        </w:rPr>
      </w:pPr>
    </w:p>
    <w:p w14:paraId="12545806" w14:textId="77777777" w:rsidR="00E850F6" w:rsidRPr="00D600DA" w:rsidRDefault="00E850F6" w:rsidP="00E850F6">
      <w:pPr>
        <w:spacing w:after="0" w:line="240" w:lineRule="auto"/>
        <w:rPr>
          <w:rFonts w:ascii="Times New Roman" w:hAnsi="Times New Roman"/>
          <w:i/>
          <w:lang w:eastAsia="ja-JP"/>
        </w:rPr>
      </w:pPr>
      <w:r w:rsidRPr="00D600DA">
        <w:rPr>
          <w:rFonts w:ascii="Times New Roman" w:hAnsi="Times New Roman"/>
          <w:i/>
          <w:lang w:eastAsia="ja-JP"/>
        </w:rPr>
        <w:t>Atsargumo priemonės, prieš ruošiant ar vartojant šį vaistinį preparatą</w:t>
      </w:r>
    </w:p>
    <w:p w14:paraId="48C1A450"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Prieš geriant, Valcyte miltelius geriamajam tirpalui reikia ištirpinti. </w:t>
      </w:r>
      <w:r w:rsidR="008D4449" w:rsidRPr="00D600DA">
        <w:rPr>
          <w:rFonts w:ascii="Times New Roman" w:hAnsi="Times New Roman"/>
          <w:lang w:eastAsia="ja-JP"/>
        </w:rPr>
        <w:t>Tiekiam</w:t>
      </w:r>
      <w:r w:rsidR="008D4449">
        <w:rPr>
          <w:rFonts w:ascii="Times New Roman" w:hAnsi="Times New Roman"/>
          <w:lang w:eastAsia="ja-JP"/>
        </w:rPr>
        <w:t>i du</w:t>
      </w:r>
      <w:r w:rsidR="008D4449" w:rsidRPr="00D600DA">
        <w:rPr>
          <w:rFonts w:ascii="Times New Roman" w:hAnsi="Times New Roman"/>
          <w:lang w:eastAsia="ja-JP"/>
        </w:rPr>
        <w:t xml:space="preserve"> geriam</w:t>
      </w:r>
      <w:r w:rsidR="008D4449">
        <w:rPr>
          <w:rFonts w:ascii="Times New Roman" w:hAnsi="Times New Roman"/>
          <w:lang w:eastAsia="ja-JP"/>
        </w:rPr>
        <w:t>ieji</w:t>
      </w:r>
      <w:r w:rsidR="008D4449" w:rsidRPr="00D600DA">
        <w:rPr>
          <w:rFonts w:ascii="Times New Roman" w:hAnsi="Times New Roman"/>
          <w:lang w:eastAsia="ja-JP"/>
        </w:rPr>
        <w:t xml:space="preserve"> švirkšta</w:t>
      </w:r>
      <w:r w:rsidR="008D4449">
        <w:rPr>
          <w:rFonts w:ascii="Times New Roman" w:hAnsi="Times New Roman"/>
          <w:lang w:eastAsia="ja-JP"/>
        </w:rPr>
        <w:t>i,</w:t>
      </w:r>
      <w:r w:rsidR="008D4449" w:rsidRPr="00D600DA">
        <w:rPr>
          <w:rFonts w:ascii="Times New Roman" w:hAnsi="Times New Roman"/>
          <w:lang w:eastAsia="ja-JP"/>
        </w:rPr>
        <w:t xml:space="preserve"> su</w:t>
      </w:r>
      <w:r w:rsidR="008D4449">
        <w:rPr>
          <w:rFonts w:ascii="Times New Roman" w:hAnsi="Times New Roman"/>
          <w:lang w:eastAsia="ja-JP"/>
        </w:rPr>
        <w:t>graduoti iki 10 ml (500 mg), 0,5 ml</w:t>
      </w:r>
      <w:r w:rsidR="008D4449" w:rsidRPr="00D600DA">
        <w:rPr>
          <w:rFonts w:ascii="Times New Roman" w:hAnsi="Times New Roman"/>
          <w:lang w:eastAsia="ja-JP"/>
        </w:rPr>
        <w:t xml:space="preserve"> </w:t>
      </w:r>
      <w:r w:rsidR="008D4449">
        <w:rPr>
          <w:rFonts w:ascii="Times New Roman" w:hAnsi="Times New Roman"/>
          <w:lang w:eastAsia="ja-JP"/>
        </w:rPr>
        <w:t>(</w:t>
      </w:r>
      <w:r w:rsidR="008D4449" w:rsidRPr="00D600DA">
        <w:rPr>
          <w:rFonts w:ascii="Times New Roman" w:hAnsi="Times New Roman"/>
          <w:lang w:eastAsia="ja-JP"/>
        </w:rPr>
        <w:t>25 mg</w:t>
      </w:r>
      <w:r w:rsidR="008D4449">
        <w:rPr>
          <w:rFonts w:ascii="Times New Roman" w:hAnsi="Times New Roman"/>
          <w:lang w:eastAsia="ja-JP"/>
        </w:rPr>
        <w:t xml:space="preserve">) </w:t>
      </w:r>
      <w:r w:rsidRPr="00D600DA">
        <w:rPr>
          <w:rFonts w:ascii="Times New Roman" w:hAnsi="Times New Roman"/>
          <w:lang w:eastAsia="ja-JP"/>
        </w:rPr>
        <w:t>padalomis. Pacientams rekomenduojama naudotis geriamuoju švirkštu. Vaistinio preparato skiedimo prieš vartojant instrukcija pateikiama 4.4 ir 6.6 skyriuose.</w:t>
      </w:r>
    </w:p>
    <w:p w14:paraId="47C96B80" w14:textId="77777777" w:rsidR="00E850F6" w:rsidRPr="00D600DA" w:rsidRDefault="00E850F6" w:rsidP="00E850F6">
      <w:pPr>
        <w:spacing w:after="0" w:line="240" w:lineRule="auto"/>
        <w:rPr>
          <w:rFonts w:ascii="Times New Roman" w:hAnsi="Times New Roman"/>
          <w:lang w:eastAsia="ja-JP"/>
        </w:rPr>
      </w:pPr>
    </w:p>
    <w:p w14:paraId="152DF08F" w14:textId="77777777" w:rsidR="00E850F6" w:rsidRPr="00D600DA" w:rsidRDefault="00E850F6" w:rsidP="00E850F6">
      <w:pPr>
        <w:spacing w:after="0" w:line="240" w:lineRule="auto"/>
        <w:ind w:left="567" w:hanging="567"/>
        <w:outlineLvl w:val="1"/>
        <w:rPr>
          <w:rFonts w:ascii="Times New Roman" w:hAnsi="Times New Roman"/>
          <w:b/>
          <w:kern w:val="28"/>
          <w:lang w:eastAsia="ja-JP"/>
        </w:rPr>
      </w:pPr>
      <w:r w:rsidRPr="00D600DA">
        <w:rPr>
          <w:rFonts w:ascii="Times New Roman" w:hAnsi="Times New Roman"/>
          <w:b/>
          <w:kern w:val="28"/>
          <w:lang w:eastAsia="ja-JP"/>
        </w:rPr>
        <w:t>4.3</w:t>
      </w:r>
      <w:r w:rsidRPr="00D600DA">
        <w:rPr>
          <w:rFonts w:ascii="Times New Roman" w:hAnsi="Times New Roman"/>
          <w:b/>
          <w:kern w:val="28"/>
          <w:lang w:eastAsia="ja-JP"/>
        </w:rPr>
        <w:tab/>
        <w:t>Kontraindikacijos</w:t>
      </w:r>
    </w:p>
    <w:p w14:paraId="1E72565F" w14:textId="77777777" w:rsidR="00E850F6" w:rsidRPr="00D600DA" w:rsidRDefault="00E850F6" w:rsidP="00E850F6">
      <w:pPr>
        <w:spacing w:after="0" w:line="240" w:lineRule="auto"/>
        <w:rPr>
          <w:rFonts w:ascii="Times New Roman" w:hAnsi="Times New Roman"/>
          <w:lang w:eastAsia="ja-JP"/>
        </w:rPr>
      </w:pPr>
    </w:p>
    <w:p w14:paraId="23684BBC" w14:textId="77777777" w:rsidR="00E850F6" w:rsidRPr="00D600DA" w:rsidRDefault="00E850F6" w:rsidP="00E850F6">
      <w:pPr>
        <w:spacing w:after="0" w:line="240" w:lineRule="auto"/>
        <w:rPr>
          <w:rFonts w:ascii="Times New Roman" w:hAnsi="Times New Roman"/>
          <w:spacing w:val="-2"/>
          <w:lang w:eastAsia="ja-JP"/>
        </w:rPr>
      </w:pPr>
      <w:r w:rsidRPr="00D600DA">
        <w:rPr>
          <w:rFonts w:ascii="Times New Roman" w:hAnsi="Times New Roman"/>
          <w:lang w:eastAsia="ja-JP"/>
        </w:rPr>
        <w:t>Valcyte negalima skirti pacientams, kurių jautrumas valganciklovirui, ganciklovirui ar bet kuriai 6.1 skyriuje nurodytai pagalbinei medžiagai yra padidėjęs.</w:t>
      </w:r>
    </w:p>
    <w:p w14:paraId="732E413D" w14:textId="77777777" w:rsidR="00E850F6" w:rsidRPr="00402217" w:rsidRDefault="00E850F6" w:rsidP="00E850F6">
      <w:pPr>
        <w:spacing w:after="0" w:line="240" w:lineRule="auto"/>
        <w:rPr>
          <w:rFonts w:ascii="Times New Roman" w:hAnsi="Times New Roman"/>
        </w:rPr>
      </w:pPr>
    </w:p>
    <w:p w14:paraId="5089A81C" w14:textId="77777777" w:rsidR="00E850F6" w:rsidRPr="00D600DA" w:rsidRDefault="00E850F6" w:rsidP="00E850F6">
      <w:pPr>
        <w:spacing w:after="0" w:line="240" w:lineRule="auto"/>
        <w:rPr>
          <w:rFonts w:ascii="Times New Roman" w:hAnsi="Times New Roman"/>
          <w:b/>
          <w:lang w:eastAsia="ja-JP"/>
        </w:rPr>
      </w:pPr>
      <w:r w:rsidRPr="00D600DA">
        <w:rPr>
          <w:rFonts w:ascii="Times New Roman" w:hAnsi="Times New Roman"/>
          <w:lang w:eastAsia="ja-JP"/>
        </w:rPr>
        <w:t>Valcyte skirti žindyvėms draudžiama (žr. 4.6 skyrių)</w:t>
      </w:r>
      <w:r w:rsidRPr="00D600DA">
        <w:rPr>
          <w:rFonts w:ascii="Times New Roman" w:hAnsi="Times New Roman"/>
          <w:b/>
          <w:lang w:eastAsia="ja-JP"/>
        </w:rPr>
        <w:t>.</w:t>
      </w:r>
    </w:p>
    <w:p w14:paraId="4C032A30" w14:textId="77777777" w:rsidR="00E850F6" w:rsidRPr="00D600DA" w:rsidRDefault="00E850F6" w:rsidP="00E850F6">
      <w:pPr>
        <w:spacing w:after="0" w:line="240" w:lineRule="auto"/>
        <w:rPr>
          <w:rFonts w:ascii="Times New Roman" w:hAnsi="Times New Roman"/>
          <w:lang w:eastAsia="ja-JP"/>
        </w:rPr>
      </w:pPr>
    </w:p>
    <w:p w14:paraId="3076627C" w14:textId="77777777" w:rsidR="00E850F6" w:rsidRPr="00D600DA" w:rsidRDefault="00E850F6" w:rsidP="00E850F6">
      <w:pPr>
        <w:spacing w:after="0" w:line="240" w:lineRule="auto"/>
        <w:ind w:left="567" w:hanging="567"/>
        <w:outlineLvl w:val="1"/>
        <w:rPr>
          <w:rFonts w:ascii="Times New Roman" w:hAnsi="Times New Roman"/>
          <w:b/>
          <w:kern w:val="28"/>
          <w:lang w:eastAsia="ja-JP"/>
        </w:rPr>
      </w:pPr>
      <w:r w:rsidRPr="00D600DA">
        <w:rPr>
          <w:rFonts w:ascii="Times New Roman" w:hAnsi="Times New Roman"/>
          <w:b/>
          <w:kern w:val="28"/>
          <w:lang w:eastAsia="ja-JP"/>
        </w:rPr>
        <w:t>4.4</w:t>
      </w:r>
      <w:r w:rsidRPr="00D600DA">
        <w:rPr>
          <w:rFonts w:ascii="Times New Roman" w:hAnsi="Times New Roman"/>
          <w:b/>
          <w:kern w:val="28"/>
          <w:lang w:eastAsia="ja-JP"/>
        </w:rPr>
        <w:tab/>
        <w:t>Specialūs įspėjimai ir atsargumo priemonės</w:t>
      </w:r>
    </w:p>
    <w:p w14:paraId="48ACE9DE" w14:textId="77777777" w:rsidR="00E850F6" w:rsidRPr="00D600DA" w:rsidRDefault="00E850F6" w:rsidP="00E850F6">
      <w:pPr>
        <w:spacing w:after="0" w:line="240" w:lineRule="auto"/>
        <w:rPr>
          <w:rFonts w:ascii="Times New Roman" w:hAnsi="Times New Roman"/>
          <w:lang w:eastAsia="ja-JP"/>
        </w:rPr>
      </w:pPr>
    </w:p>
    <w:p w14:paraId="2C94B3AE" w14:textId="77777777" w:rsidR="00E850F6" w:rsidRPr="00DB660C" w:rsidRDefault="00E850F6" w:rsidP="00E850F6">
      <w:pPr>
        <w:spacing w:after="0" w:line="240" w:lineRule="auto"/>
        <w:rPr>
          <w:rFonts w:ascii="Times New Roman" w:eastAsia="Times New Roman" w:hAnsi="Times New Roman"/>
          <w:u w:val="single"/>
          <w:lang w:eastAsia="ja-JP"/>
        </w:rPr>
      </w:pPr>
      <w:r w:rsidRPr="00DB660C">
        <w:rPr>
          <w:rFonts w:ascii="Times New Roman" w:eastAsia="Times New Roman" w:hAnsi="Times New Roman"/>
          <w:u w:val="single"/>
          <w:lang w:eastAsia="ja-JP"/>
        </w:rPr>
        <w:t>Kryžminis padidėjęs jautrumas</w:t>
      </w:r>
    </w:p>
    <w:p w14:paraId="5FBDDF5E" w14:textId="77777777" w:rsidR="00E850F6" w:rsidRPr="00F36DBF" w:rsidRDefault="00E850F6" w:rsidP="00E850F6">
      <w:pPr>
        <w:spacing w:after="0" w:line="240" w:lineRule="auto"/>
        <w:rPr>
          <w:rFonts w:ascii="Times New Roman" w:eastAsia="Times New Roman" w:hAnsi="Times New Roman"/>
          <w:i/>
          <w:u w:val="single"/>
          <w:lang w:eastAsia="ja-JP"/>
        </w:rPr>
      </w:pPr>
      <w:r w:rsidRPr="00F36DBF">
        <w:rPr>
          <w:rFonts w:ascii="Times New Roman" w:eastAsia="Times New Roman" w:hAnsi="Times New Roman"/>
          <w:lang w:eastAsia="ja-JP"/>
        </w:rPr>
        <w:t xml:space="preserve">Kadangi cheminė gancikloviro struktūra yra panaši į acikloviro ir </w:t>
      </w:r>
      <w:r>
        <w:rPr>
          <w:rFonts w:ascii="Times New Roman" w:eastAsia="Times New Roman" w:hAnsi="Times New Roman"/>
          <w:lang w:eastAsia="ja-JP"/>
        </w:rPr>
        <w:t>pen</w:t>
      </w:r>
      <w:r w:rsidRPr="00F36DBF">
        <w:rPr>
          <w:rFonts w:ascii="Times New Roman" w:eastAsia="Times New Roman" w:hAnsi="Times New Roman"/>
          <w:lang w:eastAsia="ja-JP"/>
        </w:rPr>
        <w:t>cikloviro, gali būti kryžminė padidėjusio jautrumo reakcija į šiuos vaistus. Taigi pacientams, kurių</w:t>
      </w:r>
      <w:r>
        <w:rPr>
          <w:rFonts w:ascii="Times New Roman" w:eastAsia="Times New Roman" w:hAnsi="Times New Roman"/>
          <w:lang w:eastAsia="ja-JP"/>
        </w:rPr>
        <w:t xml:space="preserve"> padidėjęs</w:t>
      </w:r>
      <w:r w:rsidRPr="00F36DBF">
        <w:rPr>
          <w:rFonts w:ascii="Times New Roman" w:eastAsia="Times New Roman" w:hAnsi="Times New Roman"/>
          <w:lang w:eastAsia="ja-JP"/>
        </w:rPr>
        <w:t xml:space="preserve"> jautrumas aciklovirui </w:t>
      </w:r>
      <w:r>
        <w:rPr>
          <w:rFonts w:ascii="Times New Roman" w:eastAsia="Times New Roman" w:hAnsi="Times New Roman"/>
          <w:lang w:eastAsia="ja-JP"/>
        </w:rPr>
        <w:t>a</w:t>
      </w:r>
      <w:r w:rsidRPr="00F36DBF">
        <w:rPr>
          <w:rFonts w:ascii="Times New Roman" w:eastAsia="Times New Roman" w:hAnsi="Times New Roman"/>
          <w:lang w:eastAsia="ja-JP"/>
        </w:rPr>
        <w:t xml:space="preserve">r </w:t>
      </w:r>
      <w:r>
        <w:rPr>
          <w:rFonts w:ascii="Times New Roman" w:eastAsia="Times New Roman" w:hAnsi="Times New Roman"/>
          <w:lang w:eastAsia="ja-JP"/>
        </w:rPr>
        <w:t>pen</w:t>
      </w:r>
      <w:r w:rsidRPr="00F36DBF">
        <w:rPr>
          <w:rFonts w:ascii="Times New Roman" w:eastAsia="Times New Roman" w:hAnsi="Times New Roman"/>
          <w:lang w:eastAsia="ja-JP"/>
        </w:rPr>
        <w:t>ciklovirui</w:t>
      </w:r>
      <w:r>
        <w:rPr>
          <w:rFonts w:ascii="Times New Roman" w:eastAsia="Times New Roman" w:hAnsi="Times New Roman"/>
          <w:lang w:eastAsia="ja-JP"/>
        </w:rPr>
        <w:t xml:space="preserve"> (arba jų provaistams, atitinkamai, valganciklovirui ar famciklovirui)</w:t>
      </w:r>
      <w:r w:rsidRPr="00F36DBF">
        <w:rPr>
          <w:rFonts w:ascii="Times New Roman" w:eastAsia="Times New Roman" w:hAnsi="Times New Roman"/>
          <w:lang w:eastAsia="ja-JP"/>
        </w:rPr>
        <w:t xml:space="preserve"> yra </w:t>
      </w:r>
      <w:r>
        <w:rPr>
          <w:rFonts w:ascii="Times New Roman" w:eastAsia="Times New Roman" w:hAnsi="Times New Roman"/>
          <w:lang w:eastAsia="ja-JP"/>
        </w:rPr>
        <w:t>žinoma</w:t>
      </w:r>
      <w:r w:rsidRPr="00F36DBF">
        <w:rPr>
          <w:rFonts w:ascii="Times New Roman" w:eastAsia="Times New Roman" w:hAnsi="Times New Roman"/>
          <w:lang w:eastAsia="ja-JP"/>
        </w:rPr>
        <w:t>s</w:t>
      </w:r>
      <w:r>
        <w:rPr>
          <w:rFonts w:ascii="Times New Roman" w:eastAsia="Times New Roman" w:hAnsi="Times New Roman"/>
          <w:lang w:eastAsia="ja-JP"/>
        </w:rPr>
        <w:t>,</w:t>
      </w:r>
      <w:r w:rsidRPr="00117D95">
        <w:rPr>
          <w:rFonts w:ascii="Times New Roman" w:eastAsia="Times New Roman" w:hAnsi="Times New Roman"/>
          <w:lang w:eastAsia="ja-JP"/>
        </w:rPr>
        <w:t xml:space="preserve"> </w:t>
      </w:r>
      <w:r w:rsidRPr="00F36DBF">
        <w:rPr>
          <w:rFonts w:ascii="Times New Roman" w:eastAsia="Times New Roman" w:hAnsi="Times New Roman"/>
          <w:lang w:eastAsia="ja-JP"/>
        </w:rPr>
        <w:t xml:space="preserve">Valcyte </w:t>
      </w:r>
      <w:r>
        <w:rPr>
          <w:rFonts w:ascii="Times New Roman" w:eastAsia="Times New Roman" w:hAnsi="Times New Roman"/>
          <w:lang w:eastAsia="ja-JP"/>
        </w:rPr>
        <w:t>skir</w:t>
      </w:r>
      <w:r w:rsidRPr="00F36DBF">
        <w:rPr>
          <w:rFonts w:ascii="Times New Roman" w:eastAsia="Times New Roman" w:hAnsi="Times New Roman"/>
          <w:lang w:eastAsia="ja-JP"/>
        </w:rPr>
        <w:t>ti</w:t>
      </w:r>
      <w:r>
        <w:rPr>
          <w:rFonts w:ascii="Times New Roman" w:eastAsia="Times New Roman" w:hAnsi="Times New Roman"/>
          <w:lang w:eastAsia="ja-JP"/>
        </w:rPr>
        <w:t xml:space="preserve"> reikia atsargiai</w:t>
      </w:r>
      <w:r w:rsidRPr="00F36DBF">
        <w:rPr>
          <w:rFonts w:ascii="Times New Roman" w:eastAsia="Times New Roman" w:hAnsi="Times New Roman"/>
          <w:lang w:eastAsia="ja-JP"/>
        </w:rPr>
        <w:t>.</w:t>
      </w:r>
    </w:p>
    <w:p w14:paraId="122F0C17" w14:textId="77777777" w:rsidR="00E850F6" w:rsidRDefault="00E850F6" w:rsidP="00E850F6">
      <w:pPr>
        <w:spacing w:after="0" w:line="240" w:lineRule="auto"/>
        <w:rPr>
          <w:rFonts w:ascii="Times New Roman" w:eastAsia="Times New Roman" w:hAnsi="Times New Roman"/>
          <w:lang w:eastAsia="ja-JP"/>
        </w:rPr>
      </w:pPr>
    </w:p>
    <w:p w14:paraId="31EF9A42" w14:textId="77777777" w:rsidR="00E850F6" w:rsidRPr="00923E43" w:rsidRDefault="00E850F6" w:rsidP="00E850F6">
      <w:pPr>
        <w:spacing w:after="0" w:line="240" w:lineRule="auto"/>
        <w:rPr>
          <w:rFonts w:ascii="Times New Roman" w:eastAsia="Times New Roman" w:hAnsi="Times New Roman"/>
          <w:u w:val="single"/>
          <w:lang w:eastAsia="ja-JP"/>
        </w:rPr>
      </w:pPr>
      <w:r w:rsidRPr="00923E43">
        <w:rPr>
          <w:rFonts w:ascii="Times New Roman" w:eastAsia="Times New Roman" w:hAnsi="Times New Roman"/>
          <w:u w:val="single"/>
          <w:lang w:eastAsia="ja-JP"/>
        </w:rPr>
        <w:t xml:space="preserve">Atsargumo priemonės prieš </w:t>
      </w:r>
      <w:r>
        <w:rPr>
          <w:rFonts w:ascii="Times New Roman" w:eastAsia="Times New Roman" w:hAnsi="Times New Roman"/>
          <w:u w:val="single"/>
          <w:lang w:eastAsia="ja-JP"/>
        </w:rPr>
        <w:t>ruošiant vaistinį preparatą</w:t>
      </w:r>
    </w:p>
    <w:p w14:paraId="4FFDAFE4"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lastRenderedPageBreak/>
        <w:t>Kadangi Valcyte turi teratogeninių savybių, elgtis su jo milteliais ir tirpalu reikia atsargiai. Reikia vengti jų įkvėpti. Miltelių ar tirpalo patekus ant odos, ją reikia kruopščiai nuplauti vandeniu ir muilu. Tirpalo patekus į akį, ją nedelsiant reikia gerai išplauti vandeniu</w:t>
      </w:r>
      <w:r>
        <w:rPr>
          <w:rFonts w:ascii="Times New Roman" w:hAnsi="Times New Roman"/>
          <w:lang w:eastAsia="ja-JP"/>
        </w:rPr>
        <w:t xml:space="preserve"> </w:t>
      </w:r>
      <w:r w:rsidRPr="00D600DA">
        <w:rPr>
          <w:rFonts w:ascii="Times New Roman" w:hAnsi="Times New Roman"/>
          <w:lang w:eastAsia="ja-JP"/>
        </w:rPr>
        <w:t>(žr. 4.6 skyrių).</w:t>
      </w:r>
    </w:p>
    <w:p w14:paraId="52519678" w14:textId="77777777" w:rsidR="00E850F6" w:rsidRPr="00D600DA" w:rsidRDefault="00E850F6" w:rsidP="00E850F6">
      <w:pPr>
        <w:spacing w:after="0" w:line="240" w:lineRule="auto"/>
        <w:rPr>
          <w:rFonts w:ascii="Times New Roman" w:hAnsi="Times New Roman"/>
          <w:lang w:eastAsia="ja-JP"/>
        </w:rPr>
      </w:pPr>
    </w:p>
    <w:p w14:paraId="1F064EDD" w14:textId="77777777" w:rsidR="00E850F6" w:rsidRPr="00DB660C" w:rsidRDefault="00E850F6" w:rsidP="00E850F6">
      <w:pPr>
        <w:keepNext/>
        <w:spacing w:after="0" w:line="240" w:lineRule="auto"/>
        <w:rPr>
          <w:rFonts w:ascii="Times New Roman" w:eastAsia="Times New Roman" w:hAnsi="Times New Roman"/>
          <w:u w:val="single"/>
          <w:lang w:eastAsia="ja-JP"/>
        </w:rPr>
      </w:pPr>
      <w:r w:rsidRPr="00DB660C">
        <w:rPr>
          <w:rFonts w:ascii="Times New Roman" w:eastAsia="Times New Roman" w:hAnsi="Times New Roman"/>
          <w:u w:val="single"/>
          <w:lang w:eastAsia="ja-JP"/>
        </w:rPr>
        <w:t>Mutagenini</w:t>
      </w:r>
      <w:r>
        <w:rPr>
          <w:rFonts w:ascii="Times New Roman" w:eastAsia="Times New Roman" w:hAnsi="Times New Roman"/>
          <w:u w:val="single"/>
          <w:lang w:eastAsia="ja-JP"/>
        </w:rPr>
        <w:t>s</w:t>
      </w:r>
      <w:r w:rsidRPr="00DB660C">
        <w:rPr>
          <w:rFonts w:ascii="Times New Roman" w:eastAsia="Times New Roman" w:hAnsi="Times New Roman"/>
          <w:u w:val="single"/>
          <w:lang w:eastAsia="ja-JP"/>
        </w:rPr>
        <w:t>, te</w:t>
      </w:r>
      <w:r w:rsidRPr="00117D95">
        <w:rPr>
          <w:rFonts w:ascii="Times New Roman" w:eastAsia="Times New Roman" w:hAnsi="Times New Roman"/>
          <w:u w:val="single"/>
          <w:lang w:eastAsia="ja-JP"/>
        </w:rPr>
        <w:t>ratogeninis ir</w:t>
      </w:r>
      <w:r w:rsidRPr="00DB660C">
        <w:rPr>
          <w:rFonts w:ascii="Times New Roman" w:eastAsia="Times New Roman" w:hAnsi="Times New Roman"/>
          <w:u w:val="single"/>
          <w:lang w:eastAsia="ja-JP"/>
        </w:rPr>
        <w:t xml:space="preserve"> kancerogenini</w:t>
      </w:r>
      <w:r>
        <w:rPr>
          <w:rFonts w:ascii="Times New Roman" w:eastAsia="Times New Roman" w:hAnsi="Times New Roman"/>
          <w:u w:val="single"/>
          <w:lang w:eastAsia="ja-JP"/>
        </w:rPr>
        <w:t xml:space="preserve">s </w:t>
      </w:r>
      <w:r w:rsidRPr="004E3885">
        <w:rPr>
          <w:rFonts w:ascii="Times New Roman" w:eastAsia="Times New Roman" w:hAnsi="Times New Roman"/>
          <w:u w:val="single"/>
          <w:lang w:eastAsia="ja-JP"/>
        </w:rPr>
        <w:t>poveiki</w:t>
      </w:r>
      <w:r>
        <w:rPr>
          <w:rFonts w:ascii="Times New Roman" w:eastAsia="Times New Roman" w:hAnsi="Times New Roman"/>
          <w:u w:val="single"/>
          <w:lang w:eastAsia="ja-JP"/>
        </w:rPr>
        <w:t>ai</w:t>
      </w:r>
      <w:r w:rsidRPr="00117D95">
        <w:rPr>
          <w:rFonts w:ascii="Times New Roman" w:eastAsia="Times New Roman" w:hAnsi="Times New Roman"/>
          <w:u w:val="single"/>
          <w:lang w:eastAsia="ja-JP"/>
        </w:rPr>
        <w:t>, vaisingumas ir kontracepcija</w:t>
      </w:r>
    </w:p>
    <w:p w14:paraId="500C42E2"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Prieš pradedant gydyti valgancikloviru, pacientą reikia įspėti apie galimą pavojų vaisiui. Eksperimentuojant su gyvūnais pasireiškė mutageninis, teratogeninis ir kancerogeninis gancikloviro poveikis; </w:t>
      </w:r>
      <w:r w:rsidR="00EF744D">
        <w:rPr>
          <w:rFonts w:ascii="Times New Roman" w:hAnsi="Times New Roman"/>
          <w:lang w:eastAsia="ja-JP"/>
        </w:rPr>
        <w:t>ji</w:t>
      </w:r>
      <w:r w:rsidRPr="00D600DA">
        <w:rPr>
          <w:rFonts w:ascii="Times New Roman" w:hAnsi="Times New Roman"/>
          <w:lang w:eastAsia="ja-JP"/>
        </w:rPr>
        <w:t xml:space="preserve">s taip pat slopino vaisingumą. Taigi Valcyte reikia laikyti potencialiu žmogaus teratogenu ir kancerogenu, galinčiu sukelti apsigimimus ir vėžį (žr. 5.3 skyrių). </w:t>
      </w:r>
      <w:r w:rsidR="008F424A">
        <w:rPr>
          <w:rFonts w:ascii="Times New Roman" w:hAnsi="Times New Roman"/>
          <w:lang w:eastAsia="ja-JP"/>
        </w:rPr>
        <w:t>Be to, r</w:t>
      </w:r>
      <w:r w:rsidR="00636DA1">
        <w:rPr>
          <w:rFonts w:ascii="Times New Roman" w:hAnsi="Times New Roman"/>
          <w:lang w:eastAsia="ja-JP"/>
        </w:rPr>
        <w:t>emiantis klinikiniais ir ikiklinikiniais tyrimais</w:t>
      </w:r>
      <w:r w:rsidRPr="00D600DA">
        <w:rPr>
          <w:rFonts w:ascii="Times New Roman" w:hAnsi="Times New Roman"/>
          <w:lang w:eastAsia="ja-JP"/>
        </w:rPr>
        <w:t xml:space="preserve"> manoma, kad Valcyte gali laikinai arba negrįžtamai nuslopinti spermatogenezę. </w:t>
      </w:r>
      <w:r>
        <w:rPr>
          <w:rFonts w:ascii="Times New Roman" w:hAnsi="Times New Roman"/>
          <w:lang w:eastAsia="ja-JP"/>
        </w:rPr>
        <w:t>Vaisingoms moterims</w:t>
      </w:r>
      <w:r w:rsidRPr="00D600DA">
        <w:rPr>
          <w:rFonts w:ascii="Times New Roman" w:hAnsi="Times New Roman"/>
          <w:lang w:eastAsia="ja-JP"/>
        </w:rPr>
        <w:t xml:space="preserve"> reikia patarti imtis veiksmingų kontracepcijos priemonių</w:t>
      </w:r>
      <w:r w:rsidRPr="00742EBA">
        <w:rPr>
          <w:rFonts w:ascii="Times New Roman" w:hAnsi="Times New Roman"/>
          <w:lang w:eastAsia="ja-JP"/>
        </w:rPr>
        <w:t xml:space="preserve"> </w:t>
      </w:r>
      <w:r>
        <w:rPr>
          <w:rFonts w:ascii="Times New Roman" w:hAnsi="Times New Roman"/>
          <w:lang w:eastAsia="ja-JP"/>
        </w:rPr>
        <w:t>visą gydymo laiką ir bent 3</w:t>
      </w:r>
      <w:r w:rsidRPr="00D600DA">
        <w:rPr>
          <w:rFonts w:ascii="Times New Roman" w:hAnsi="Times New Roman"/>
          <w:lang w:eastAsia="ja-JP"/>
        </w:rPr>
        <w:t>0 parų po gydymo, o vyrams – naudotis mechaninėmis kontracepcijos priemonėmis visą gydymo laiką ir bent 90 parų po gydymo, jei nėra tikra, kad partnerė negali pastoti (žr. 4.6, 4.8 ir 5.3 skyrių).</w:t>
      </w:r>
    </w:p>
    <w:p w14:paraId="016EC6B3" w14:textId="77777777" w:rsidR="00E850F6" w:rsidRPr="00D600DA" w:rsidRDefault="00E850F6" w:rsidP="00E850F6">
      <w:pPr>
        <w:spacing w:after="0" w:line="240" w:lineRule="auto"/>
        <w:rPr>
          <w:rFonts w:ascii="Times New Roman" w:hAnsi="Times New Roman"/>
          <w:lang w:eastAsia="ja-JP"/>
        </w:rPr>
      </w:pPr>
    </w:p>
    <w:p w14:paraId="11C97867" w14:textId="77777777" w:rsidR="00E850F6" w:rsidRPr="00D600DA" w:rsidRDefault="00E850F6" w:rsidP="00E850F6">
      <w:pPr>
        <w:spacing w:after="0" w:line="240" w:lineRule="auto"/>
        <w:rPr>
          <w:rFonts w:ascii="Times New Roman" w:hAnsi="Times New Roman"/>
          <w:i/>
          <w:lang w:eastAsia="ja-JP"/>
        </w:rPr>
      </w:pPr>
      <w:r w:rsidRPr="00D600DA">
        <w:rPr>
          <w:rFonts w:ascii="Times New Roman" w:hAnsi="Times New Roman"/>
          <w:lang w:eastAsia="ja-JP"/>
        </w:rPr>
        <w:t>Valgancikloviro kancerogeninis poveikis ir toksinis poveikis vaisingumui gali pasireikšti po ilgo laiko.</w:t>
      </w:r>
    </w:p>
    <w:p w14:paraId="791CC3CF" w14:textId="77777777" w:rsidR="00E850F6" w:rsidRPr="00D600DA" w:rsidRDefault="00E850F6" w:rsidP="00E850F6">
      <w:pPr>
        <w:spacing w:after="0" w:line="240" w:lineRule="auto"/>
        <w:rPr>
          <w:rFonts w:ascii="Times New Roman" w:hAnsi="Times New Roman"/>
          <w:lang w:eastAsia="ja-JP"/>
        </w:rPr>
      </w:pPr>
    </w:p>
    <w:p w14:paraId="5F90D0F9" w14:textId="77777777" w:rsidR="00E850F6" w:rsidRPr="00DB660C" w:rsidRDefault="00E850F6" w:rsidP="00E850F6">
      <w:pPr>
        <w:keepNext/>
        <w:keepLines/>
        <w:spacing w:after="0" w:line="240" w:lineRule="auto"/>
        <w:rPr>
          <w:rFonts w:ascii="Times New Roman" w:eastAsia="Times New Roman" w:hAnsi="Times New Roman"/>
          <w:u w:val="single"/>
          <w:lang w:eastAsia="ja-JP"/>
        </w:rPr>
      </w:pPr>
      <w:r w:rsidRPr="00DB660C">
        <w:rPr>
          <w:rFonts w:ascii="Times New Roman" w:eastAsia="Times New Roman" w:hAnsi="Times New Roman"/>
          <w:u w:val="single"/>
          <w:lang w:eastAsia="ja-JP"/>
        </w:rPr>
        <w:t>Kaulų čiulpų slopinimas</w:t>
      </w:r>
    </w:p>
    <w:p w14:paraId="51ADD0EC"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Pacientams, gydytiems Valcyte (ir gancikloviru), pasitaikė didelio laipsnio leukopenija, neutropenija, anemija, trombocitopenija, pancitopenija, kaulų čiulpų </w:t>
      </w:r>
      <w:r>
        <w:rPr>
          <w:rFonts w:ascii="Times New Roman" w:hAnsi="Times New Roman"/>
          <w:lang w:eastAsia="ja-JP"/>
        </w:rPr>
        <w:t>nepakankamu</w:t>
      </w:r>
      <w:r w:rsidRPr="00D600DA">
        <w:rPr>
          <w:rFonts w:ascii="Times New Roman" w:hAnsi="Times New Roman"/>
          <w:lang w:eastAsia="ja-JP"/>
        </w:rPr>
        <w:t>mas ir aplazinė anemija. Jei absoliutus neutrofilų skaičius mažesnis kaip 500/mkl, trombocitų skaičius mažesnis kaip 25 000/mkl arba hemoglobino kiekis mažesnis kaip 80 g/l, šiuo preparatu pradėti gydyti negalima (žr. 4.2 ir 4.8 skyrių).</w:t>
      </w:r>
    </w:p>
    <w:p w14:paraId="1434E03A" w14:textId="77777777" w:rsidR="00E850F6" w:rsidRPr="00D600DA" w:rsidRDefault="00E850F6" w:rsidP="00E850F6">
      <w:pPr>
        <w:spacing w:after="0" w:line="240" w:lineRule="auto"/>
        <w:rPr>
          <w:rFonts w:ascii="Times New Roman" w:hAnsi="Times New Roman"/>
          <w:lang w:eastAsia="ja-JP"/>
        </w:rPr>
      </w:pPr>
    </w:p>
    <w:p w14:paraId="4B8AD987"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Kai profilaktika tęsiama ilgiau nei 100 parų, reikia pagalvoti apie galimą leukopenijos ir neutropenijos riziką (žr. 4.2, 4.8 ir 5.1 skyrius).</w:t>
      </w:r>
    </w:p>
    <w:p w14:paraId="28C7DC52" w14:textId="77777777" w:rsidR="00E850F6" w:rsidRPr="00D600DA" w:rsidRDefault="00E850F6" w:rsidP="00E850F6">
      <w:pPr>
        <w:spacing w:after="0" w:line="240" w:lineRule="auto"/>
        <w:rPr>
          <w:rFonts w:ascii="Times New Roman" w:hAnsi="Times New Roman"/>
          <w:lang w:eastAsia="ja-JP"/>
        </w:rPr>
      </w:pPr>
    </w:p>
    <w:p w14:paraId="165C0C2F"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Atsargiai reikia gydyti pacientus, kurių kraujo ląstelių skaičius yra sumažėjęs arba anksčiau buvo sumažėjęs nuo vaistų, taip pat pacientus, kuriems taikoma radioterapija.</w:t>
      </w:r>
    </w:p>
    <w:p w14:paraId="644C2B1B" w14:textId="77777777" w:rsidR="00E850F6" w:rsidRPr="00D600DA" w:rsidRDefault="00E850F6" w:rsidP="00E850F6">
      <w:pPr>
        <w:spacing w:after="0" w:line="240" w:lineRule="auto"/>
        <w:rPr>
          <w:rFonts w:ascii="Times New Roman" w:hAnsi="Times New Roman"/>
          <w:lang w:eastAsia="ja-JP"/>
        </w:rPr>
      </w:pPr>
    </w:p>
    <w:p w14:paraId="591EA850"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Gydymo metu rekomenduojama reguliariai tirti visų kraujo ląstelių ir trombocitų skaičių. Pacientų, kurių inkstų veikla sutrikusi, bei vaikų kraują gali būti tikslinga tirti dažniau </w:t>
      </w:r>
      <w:r w:rsidRPr="00D600DA">
        <w:rPr>
          <w:rFonts w:ascii="Times New Roman" w:eastAsia="Times New Roman" w:hAnsi="Times New Roman"/>
          <w:lang w:eastAsia="ja-JP"/>
        </w:rPr>
        <w:t>(bent jau kiekvieno apsilankymo transplantologijos klinikoje metu)</w:t>
      </w:r>
      <w:r w:rsidRPr="00D600DA">
        <w:rPr>
          <w:rFonts w:ascii="Times New Roman" w:hAnsi="Times New Roman"/>
          <w:lang w:eastAsia="ja-JP"/>
        </w:rPr>
        <w:t>.</w:t>
      </w:r>
      <w:r w:rsidRPr="00D600DA">
        <w:rPr>
          <w:rFonts w:ascii="Times New Roman" w:hAnsi="Times New Roman"/>
          <w:b/>
          <w:lang w:eastAsia="ja-JP"/>
        </w:rPr>
        <w:t xml:space="preserve"> </w:t>
      </w:r>
      <w:r w:rsidRPr="00D600DA">
        <w:rPr>
          <w:rFonts w:ascii="Times New Roman" w:hAnsi="Times New Roman"/>
          <w:lang w:eastAsia="ja-JP"/>
        </w:rPr>
        <w:t>Jeigu pasireiškia didelio laipsnio leukopenija, neutropenija, anemija ir (arba) trombocitopenija, rekomenduojama gydyti kraujo ląstelių augimo faktoriais ir (arba) nutraukti gydymą Valcyte (žr. 4.2 ir 4.8 skyrių).</w:t>
      </w:r>
    </w:p>
    <w:p w14:paraId="082BE86C" w14:textId="77777777" w:rsidR="00E850F6" w:rsidRPr="00D600DA" w:rsidRDefault="00E850F6" w:rsidP="00E850F6">
      <w:pPr>
        <w:spacing w:after="0" w:line="240" w:lineRule="auto"/>
        <w:rPr>
          <w:rFonts w:ascii="Times New Roman" w:hAnsi="Times New Roman"/>
          <w:lang w:eastAsia="ja-JP"/>
        </w:rPr>
      </w:pPr>
    </w:p>
    <w:p w14:paraId="1780252B" w14:textId="77777777" w:rsidR="00E850F6" w:rsidRPr="00DB660C" w:rsidRDefault="00E850F6" w:rsidP="00E850F6">
      <w:pPr>
        <w:spacing w:after="0" w:line="240" w:lineRule="auto"/>
        <w:rPr>
          <w:rFonts w:ascii="Times New Roman" w:eastAsia="Times New Roman" w:hAnsi="Times New Roman"/>
          <w:u w:val="single"/>
          <w:lang w:eastAsia="ja-JP"/>
        </w:rPr>
      </w:pPr>
      <w:r w:rsidRPr="00DB660C">
        <w:rPr>
          <w:rFonts w:ascii="Times New Roman" w:eastAsia="Times New Roman" w:hAnsi="Times New Roman"/>
          <w:u w:val="single"/>
          <w:lang w:eastAsia="ja-JP"/>
        </w:rPr>
        <w:t>Inkstų veiklos sutrikimas</w:t>
      </w:r>
    </w:p>
    <w:p w14:paraId="2A1EA35C"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Pacientams, kurių inkstų veikla sutrikusi, dozę reikia nustatyti atsižvelgiant į kreatinino klirensą (žr. 4.2 ir 5.2 skyrių).</w:t>
      </w:r>
    </w:p>
    <w:p w14:paraId="746DD7DC" w14:textId="77777777" w:rsidR="00E850F6" w:rsidRPr="00D600DA" w:rsidRDefault="00E850F6" w:rsidP="00E850F6">
      <w:pPr>
        <w:spacing w:after="0" w:line="240" w:lineRule="auto"/>
        <w:rPr>
          <w:rFonts w:ascii="Times New Roman" w:hAnsi="Times New Roman"/>
          <w:lang w:eastAsia="ja-JP"/>
        </w:rPr>
      </w:pPr>
    </w:p>
    <w:p w14:paraId="34FF1227" w14:textId="77777777" w:rsidR="00E850F6" w:rsidRPr="00DB660C" w:rsidRDefault="00E850F6" w:rsidP="00E850F6">
      <w:pPr>
        <w:spacing w:after="0" w:line="240" w:lineRule="auto"/>
        <w:rPr>
          <w:rFonts w:ascii="Times New Roman" w:eastAsia="Times New Roman" w:hAnsi="Times New Roman"/>
          <w:u w:val="single"/>
          <w:lang w:eastAsia="ja-JP"/>
        </w:rPr>
      </w:pPr>
      <w:r w:rsidRPr="00DB660C">
        <w:rPr>
          <w:rFonts w:ascii="Times New Roman" w:eastAsia="Times New Roman" w:hAnsi="Times New Roman"/>
          <w:u w:val="single"/>
          <w:lang w:eastAsia="ja-JP"/>
        </w:rPr>
        <w:t>Vartojimas kartu su kitais vaistiniais preparatais</w:t>
      </w:r>
    </w:p>
    <w:p w14:paraId="38682621"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Esama pranešimų apie traukulius pacientams, gydomiems imipenemu-cilastatinu ir gancikloviru. Valcyte negalima vartoti kartu su imipenemu-cilastatinu, jei gydymas nėra svarbesnis už galimą pavojų (žr. 4.5 skyrių).</w:t>
      </w:r>
    </w:p>
    <w:p w14:paraId="0E8B902A" w14:textId="77777777" w:rsidR="00E850F6" w:rsidRPr="00D600DA" w:rsidRDefault="00E850F6" w:rsidP="00E850F6">
      <w:pPr>
        <w:spacing w:after="0" w:line="240" w:lineRule="auto"/>
        <w:rPr>
          <w:rFonts w:ascii="Times New Roman" w:hAnsi="Times New Roman"/>
          <w:lang w:eastAsia="ja-JP"/>
        </w:rPr>
      </w:pPr>
    </w:p>
    <w:p w14:paraId="1B265C60" w14:textId="77777777" w:rsidR="00E850F6" w:rsidRPr="00D600DA" w:rsidRDefault="00E850F6" w:rsidP="00E850F6">
      <w:pPr>
        <w:spacing w:after="0" w:line="240" w:lineRule="auto"/>
        <w:rPr>
          <w:rFonts w:ascii="Times New Roman" w:hAnsi="Times New Roman"/>
          <w:lang w:eastAsia="ja-JP"/>
        </w:rPr>
      </w:pPr>
      <w:r>
        <w:rPr>
          <w:rFonts w:ascii="Times New Roman" w:hAnsi="Times New Roman"/>
          <w:lang w:eastAsia="ja-JP"/>
        </w:rPr>
        <w:t>V</w:t>
      </w:r>
      <w:r w:rsidRPr="00D600DA">
        <w:rPr>
          <w:rFonts w:ascii="Times New Roman" w:hAnsi="Times New Roman"/>
          <w:lang w:eastAsia="ja-JP"/>
        </w:rPr>
        <w:t>ienu metu gyd</w:t>
      </w:r>
      <w:r>
        <w:rPr>
          <w:rFonts w:ascii="Times New Roman" w:hAnsi="Times New Roman"/>
          <w:lang w:eastAsia="ja-JP"/>
        </w:rPr>
        <w:t>ant</w:t>
      </w:r>
      <w:r w:rsidRPr="00D600DA">
        <w:rPr>
          <w:rFonts w:ascii="Times New Roman" w:hAnsi="Times New Roman"/>
          <w:lang w:eastAsia="ja-JP"/>
        </w:rPr>
        <w:t xml:space="preserve"> Valcyte ir didanozinu, kaulų čiulpus slopinančiais vaistais (pvz., zidovudinu) arba inkstų</w:t>
      </w:r>
      <w:r w:rsidRPr="00D600DA">
        <w:rPr>
          <w:rFonts w:ascii="Times New Roman" w:hAnsi="Times New Roman"/>
          <w:color w:val="000000"/>
          <w:lang w:eastAsia="ja-JP"/>
        </w:rPr>
        <w:t xml:space="preserve"> funkciją veikiančiais vaistais, </w:t>
      </w:r>
      <w:r>
        <w:rPr>
          <w:rFonts w:ascii="Times New Roman" w:hAnsi="Times New Roman"/>
          <w:color w:val="000000"/>
          <w:lang w:eastAsia="ja-JP"/>
        </w:rPr>
        <w:t xml:space="preserve">pacientą </w:t>
      </w:r>
      <w:r w:rsidRPr="00D600DA">
        <w:rPr>
          <w:rFonts w:ascii="Times New Roman" w:hAnsi="Times New Roman"/>
          <w:color w:val="000000"/>
          <w:lang w:eastAsia="ja-JP"/>
        </w:rPr>
        <w:t>reikia dažnai stebėti</w:t>
      </w:r>
      <w:r>
        <w:rPr>
          <w:rFonts w:ascii="Times New Roman" w:eastAsia="Times New Roman" w:hAnsi="Times New Roman"/>
          <w:color w:val="000000"/>
          <w:lang w:eastAsia="ja-JP"/>
        </w:rPr>
        <w:t>, ar neatsiras papildomo toksinio</w:t>
      </w:r>
      <w:r w:rsidRPr="00F36DBF">
        <w:rPr>
          <w:rFonts w:ascii="Times New Roman" w:eastAsia="Times New Roman" w:hAnsi="Times New Roman"/>
          <w:color w:val="000000"/>
          <w:lang w:eastAsia="ja-JP"/>
        </w:rPr>
        <w:t xml:space="preserve"> poveiki</w:t>
      </w:r>
      <w:r>
        <w:rPr>
          <w:rFonts w:ascii="Times New Roman" w:eastAsia="Times New Roman" w:hAnsi="Times New Roman"/>
          <w:color w:val="000000"/>
          <w:lang w:eastAsia="ja-JP"/>
        </w:rPr>
        <w:t>o požymių</w:t>
      </w:r>
      <w:r w:rsidRPr="00D600DA">
        <w:rPr>
          <w:rFonts w:ascii="Times New Roman" w:hAnsi="Times New Roman"/>
          <w:color w:val="000000"/>
          <w:lang w:eastAsia="ja-JP"/>
        </w:rPr>
        <w:t xml:space="preserve"> </w:t>
      </w:r>
      <w:r w:rsidRPr="00D600DA">
        <w:rPr>
          <w:rFonts w:ascii="Times New Roman" w:hAnsi="Times New Roman"/>
          <w:lang w:eastAsia="ja-JP"/>
        </w:rPr>
        <w:t>(žr. 4.5 skyrių).</w:t>
      </w:r>
    </w:p>
    <w:p w14:paraId="29B27C6F" w14:textId="77777777" w:rsidR="00E850F6" w:rsidRPr="00D600DA" w:rsidRDefault="00E850F6" w:rsidP="00E850F6">
      <w:pPr>
        <w:spacing w:after="0" w:line="240" w:lineRule="auto"/>
        <w:rPr>
          <w:rFonts w:ascii="Times New Roman" w:hAnsi="Times New Roman"/>
          <w:lang w:eastAsia="ja-JP"/>
        </w:rPr>
      </w:pPr>
    </w:p>
    <w:p w14:paraId="3F5C7296"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Atliekant pacientų, kuriems persodinami organai, CMV infekcijos profilaktinio gydymo valgancikloviru (aprašyto 5.1 skyriuje) kontroliuojamuosius klinikinius tyrimus, netirti pacientai, kuriems buvo persodinami plaučiai ir žarnos. Taigi šių pacientų gydymo patirtis maža.</w:t>
      </w:r>
    </w:p>
    <w:p w14:paraId="58A4AA2D" w14:textId="77777777" w:rsidR="00E850F6" w:rsidRPr="00D600DA" w:rsidRDefault="00E850F6" w:rsidP="00E850F6">
      <w:pPr>
        <w:spacing w:after="0" w:line="240" w:lineRule="auto"/>
        <w:rPr>
          <w:rFonts w:ascii="Times New Roman" w:hAnsi="Times New Roman"/>
          <w:lang w:eastAsia="ja-JP"/>
        </w:rPr>
      </w:pPr>
    </w:p>
    <w:p w14:paraId="40215757" w14:textId="77777777" w:rsidR="00E850F6" w:rsidRPr="00923E43" w:rsidRDefault="00E850F6" w:rsidP="00E850F6">
      <w:pPr>
        <w:spacing w:after="0" w:line="240" w:lineRule="auto"/>
        <w:rPr>
          <w:rFonts w:ascii="Times New Roman" w:hAnsi="Times New Roman"/>
          <w:u w:val="single"/>
          <w:lang w:eastAsia="ja-JP"/>
        </w:rPr>
      </w:pPr>
      <w:r w:rsidRPr="00923E43">
        <w:rPr>
          <w:rFonts w:ascii="Times New Roman" w:hAnsi="Times New Roman"/>
          <w:u w:val="single"/>
          <w:lang w:eastAsia="ja-JP"/>
        </w:rPr>
        <w:t>Apribota dieta</w:t>
      </w:r>
    </w:p>
    <w:p w14:paraId="5A207A06"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Pacientams, kurie riboja natrio kiekį maiste, žinotina, kad šiame vaistiniame preparate yra 0,188 mg/ml natrio</w:t>
      </w:r>
      <w:r w:rsidR="00021013">
        <w:rPr>
          <w:rFonts w:ascii="Times New Roman" w:hAnsi="Times New Roman"/>
          <w:lang w:eastAsia="ja-JP"/>
        </w:rPr>
        <w:t xml:space="preserve"> (praktiškai natrio jame nėra)</w:t>
      </w:r>
      <w:r w:rsidRPr="00D600DA">
        <w:rPr>
          <w:rFonts w:ascii="Times New Roman" w:hAnsi="Times New Roman"/>
          <w:lang w:eastAsia="ja-JP"/>
        </w:rPr>
        <w:t>.</w:t>
      </w:r>
    </w:p>
    <w:p w14:paraId="2AF614B8" w14:textId="77777777" w:rsidR="00E850F6" w:rsidRDefault="00E850F6" w:rsidP="00E850F6">
      <w:pPr>
        <w:spacing w:after="0" w:line="240" w:lineRule="auto"/>
        <w:rPr>
          <w:rFonts w:ascii="Times New Roman" w:hAnsi="Times New Roman"/>
          <w:lang w:eastAsia="ja-JP"/>
        </w:rPr>
      </w:pPr>
    </w:p>
    <w:p w14:paraId="3D8596D5" w14:textId="77777777" w:rsidR="007621D0" w:rsidRPr="00FB6095" w:rsidRDefault="007621D0" w:rsidP="007621D0">
      <w:pPr>
        <w:spacing w:after="0" w:line="240" w:lineRule="auto"/>
        <w:rPr>
          <w:rFonts w:ascii="Times New Roman" w:hAnsi="Times New Roman"/>
          <w:u w:val="single"/>
          <w:lang w:eastAsia="ja-JP"/>
        </w:rPr>
      </w:pPr>
      <w:r w:rsidRPr="00FB6095">
        <w:rPr>
          <w:rFonts w:ascii="Times New Roman" w:hAnsi="Times New Roman"/>
          <w:u w:val="single"/>
          <w:lang w:eastAsia="ja-JP"/>
        </w:rPr>
        <w:lastRenderedPageBreak/>
        <w:t>Benzoinė rūgštis ir benzoatai (natrio benzoatas)</w:t>
      </w:r>
    </w:p>
    <w:p w14:paraId="48F847DD" w14:textId="31A89E17" w:rsidR="007621D0" w:rsidRDefault="007621D0" w:rsidP="007621D0">
      <w:pPr>
        <w:spacing w:after="0" w:line="240" w:lineRule="auto"/>
        <w:rPr>
          <w:rFonts w:ascii="Times New Roman" w:hAnsi="Times New Roman"/>
          <w:lang w:eastAsia="ja-JP"/>
        </w:rPr>
      </w:pPr>
      <w:r w:rsidRPr="007621D0">
        <w:rPr>
          <w:rFonts w:ascii="Times New Roman" w:hAnsi="Times New Roman"/>
          <w:lang w:eastAsia="ja-JP"/>
        </w:rPr>
        <w:t xml:space="preserve">Kiekviename </w:t>
      </w:r>
      <w:r w:rsidR="00ED6B6E">
        <w:rPr>
          <w:rFonts w:ascii="Times New Roman" w:hAnsi="Times New Roman"/>
          <w:lang w:eastAsia="ja-JP"/>
        </w:rPr>
        <w:t>šio vaist</w:t>
      </w:r>
      <w:r w:rsidR="00ED6FE3">
        <w:rPr>
          <w:rFonts w:ascii="Times New Roman" w:hAnsi="Times New Roman"/>
          <w:lang w:eastAsia="ja-JP"/>
        </w:rPr>
        <w:t xml:space="preserve">inio preparato </w:t>
      </w:r>
      <w:r w:rsidRPr="007621D0">
        <w:rPr>
          <w:rFonts w:ascii="Times New Roman" w:hAnsi="Times New Roman"/>
          <w:lang w:eastAsia="ja-JP"/>
        </w:rPr>
        <w:t>12</w:t>
      </w:r>
      <w:r w:rsidR="00950884">
        <w:rPr>
          <w:rFonts w:ascii="Times New Roman" w:hAnsi="Times New Roman"/>
          <w:lang w:eastAsia="ja-JP"/>
        </w:rPr>
        <w:t> </w:t>
      </w:r>
      <w:r w:rsidRPr="007621D0">
        <w:rPr>
          <w:rFonts w:ascii="Times New Roman" w:hAnsi="Times New Roman"/>
          <w:lang w:eastAsia="ja-JP"/>
        </w:rPr>
        <w:t>g buteliuke yra 100</w:t>
      </w:r>
      <w:r w:rsidR="00950884">
        <w:rPr>
          <w:rFonts w:ascii="Times New Roman" w:hAnsi="Times New Roman"/>
          <w:lang w:eastAsia="ja-JP"/>
        </w:rPr>
        <w:t> </w:t>
      </w:r>
      <w:r w:rsidRPr="007621D0">
        <w:rPr>
          <w:rFonts w:ascii="Times New Roman" w:hAnsi="Times New Roman"/>
          <w:lang w:eastAsia="ja-JP"/>
        </w:rPr>
        <w:t xml:space="preserve">mg natrio benzoato, </w:t>
      </w:r>
      <w:r w:rsidR="00ED6FE3">
        <w:rPr>
          <w:rFonts w:ascii="Times New Roman" w:hAnsi="Times New Roman"/>
          <w:lang w:eastAsia="ja-JP"/>
        </w:rPr>
        <w:t>tai</w:t>
      </w:r>
      <w:r w:rsidRPr="007621D0">
        <w:rPr>
          <w:rFonts w:ascii="Times New Roman" w:hAnsi="Times New Roman"/>
          <w:lang w:eastAsia="ja-JP"/>
        </w:rPr>
        <w:t xml:space="preserve"> atitinka 1</w:t>
      </w:r>
      <w:r w:rsidR="00950884">
        <w:rPr>
          <w:rFonts w:ascii="Times New Roman" w:hAnsi="Times New Roman"/>
          <w:lang w:eastAsia="ja-JP"/>
        </w:rPr>
        <w:t> </w:t>
      </w:r>
      <w:r w:rsidRPr="007621D0">
        <w:rPr>
          <w:rFonts w:ascii="Times New Roman" w:hAnsi="Times New Roman"/>
          <w:lang w:eastAsia="ja-JP"/>
        </w:rPr>
        <w:t xml:space="preserve">mg /ml po ištirpinimo. Benzoato druska </w:t>
      </w:r>
      <w:r w:rsidR="00F515EC">
        <w:rPr>
          <w:rFonts w:ascii="Times New Roman" w:hAnsi="Times New Roman"/>
          <w:lang w:eastAsia="ja-JP"/>
        </w:rPr>
        <w:t xml:space="preserve"> </w:t>
      </w:r>
      <w:r w:rsidRPr="007621D0">
        <w:rPr>
          <w:rFonts w:ascii="Times New Roman" w:hAnsi="Times New Roman"/>
          <w:lang w:eastAsia="ja-JP"/>
        </w:rPr>
        <w:t>naujagimi</w:t>
      </w:r>
      <w:r w:rsidR="00F515EC">
        <w:rPr>
          <w:rFonts w:ascii="Times New Roman" w:hAnsi="Times New Roman"/>
          <w:lang w:eastAsia="ja-JP"/>
        </w:rPr>
        <w:t>ams</w:t>
      </w:r>
      <w:r w:rsidRPr="007621D0">
        <w:rPr>
          <w:rFonts w:ascii="Times New Roman" w:hAnsi="Times New Roman"/>
          <w:lang w:eastAsia="ja-JP"/>
        </w:rPr>
        <w:t xml:space="preserve"> (iki 4 savaičių amžiaus) </w:t>
      </w:r>
      <w:r w:rsidR="00F515EC">
        <w:rPr>
          <w:rFonts w:ascii="Times New Roman" w:hAnsi="Times New Roman"/>
          <w:lang w:eastAsia="ja-JP"/>
        </w:rPr>
        <w:t xml:space="preserve">gali sunkinti </w:t>
      </w:r>
      <w:r w:rsidRPr="007621D0">
        <w:rPr>
          <w:rFonts w:ascii="Times New Roman" w:hAnsi="Times New Roman"/>
          <w:lang w:eastAsia="ja-JP"/>
        </w:rPr>
        <w:t>gelt</w:t>
      </w:r>
      <w:r w:rsidR="00950884">
        <w:rPr>
          <w:rFonts w:ascii="Times New Roman" w:hAnsi="Times New Roman"/>
          <w:lang w:eastAsia="ja-JP"/>
        </w:rPr>
        <w:t>ą</w:t>
      </w:r>
      <w:r w:rsidRPr="007621D0">
        <w:rPr>
          <w:rFonts w:ascii="Times New Roman" w:hAnsi="Times New Roman"/>
          <w:lang w:eastAsia="ja-JP"/>
        </w:rPr>
        <w:t xml:space="preserve"> (odos ir akių pageltimą).</w:t>
      </w:r>
    </w:p>
    <w:p w14:paraId="5E375110" w14:textId="77777777" w:rsidR="007621D0" w:rsidRPr="00D600DA" w:rsidRDefault="007621D0" w:rsidP="007621D0">
      <w:pPr>
        <w:spacing w:after="0" w:line="240" w:lineRule="auto"/>
        <w:rPr>
          <w:rFonts w:ascii="Times New Roman" w:hAnsi="Times New Roman"/>
          <w:lang w:eastAsia="ja-JP"/>
        </w:rPr>
      </w:pPr>
    </w:p>
    <w:p w14:paraId="0B2DB858" w14:textId="77777777" w:rsidR="00E850F6" w:rsidRPr="00D600DA" w:rsidRDefault="00E850F6" w:rsidP="00E850F6">
      <w:pPr>
        <w:spacing w:after="0" w:line="240" w:lineRule="auto"/>
        <w:ind w:left="567" w:hanging="567"/>
        <w:outlineLvl w:val="1"/>
        <w:rPr>
          <w:rFonts w:ascii="Times New Roman" w:hAnsi="Times New Roman"/>
          <w:b/>
          <w:kern w:val="28"/>
          <w:lang w:eastAsia="ja-JP"/>
        </w:rPr>
      </w:pPr>
      <w:r w:rsidRPr="00D600DA">
        <w:rPr>
          <w:rFonts w:ascii="Times New Roman" w:hAnsi="Times New Roman"/>
          <w:b/>
          <w:kern w:val="28"/>
          <w:lang w:eastAsia="ja-JP"/>
        </w:rPr>
        <w:t>4.5</w:t>
      </w:r>
      <w:r w:rsidRPr="00D600DA">
        <w:rPr>
          <w:rFonts w:ascii="Times New Roman" w:hAnsi="Times New Roman"/>
          <w:b/>
          <w:kern w:val="28"/>
          <w:lang w:eastAsia="ja-JP"/>
        </w:rPr>
        <w:tab/>
        <w:t>Sąveika su kitais vaistiniais preparatais ir kitokia sąveika</w:t>
      </w:r>
    </w:p>
    <w:p w14:paraId="7405C02A" w14:textId="77777777" w:rsidR="00E850F6" w:rsidRDefault="00E850F6" w:rsidP="00E850F6">
      <w:pPr>
        <w:spacing w:after="0" w:line="240" w:lineRule="auto"/>
        <w:rPr>
          <w:rFonts w:ascii="Times New Roman" w:eastAsia="Times New Roman" w:hAnsi="Times New Roman"/>
          <w:u w:val="single"/>
          <w:lang w:eastAsia="ja-JP"/>
        </w:rPr>
      </w:pPr>
    </w:p>
    <w:p w14:paraId="1BA9EDF1" w14:textId="77777777" w:rsidR="00E850F6" w:rsidRPr="00F36DBF" w:rsidRDefault="00E850F6" w:rsidP="00E850F6">
      <w:pPr>
        <w:spacing w:after="0" w:line="240" w:lineRule="auto"/>
        <w:rPr>
          <w:rFonts w:ascii="Times New Roman" w:eastAsia="Times New Roman" w:hAnsi="Times New Roman"/>
          <w:u w:val="single"/>
          <w:lang w:eastAsia="ja-JP"/>
        </w:rPr>
      </w:pPr>
      <w:r w:rsidRPr="00F36DBF">
        <w:rPr>
          <w:rFonts w:ascii="Times New Roman" w:eastAsia="Times New Roman" w:hAnsi="Times New Roman"/>
          <w:u w:val="single"/>
          <w:lang w:eastAsia="ja-JP"/>
        </w:rPr>
        <w:t>Vaistų sąveika su valgancikloviru</w:t>
      </w:r>
    </w:p>
    <w:p w14:paraId="6119F291" w14:textId="77777777" w:rsidR="00E850F6" w:rsidRPr="00402217" w:rsidRDefault="00E850F6" w:rsidP="00E850F6">
      <w:pPr>
        <w:spacing w:after="0" w:line="240" w:lineRule="auto"/>
        <w:rPr>
          <w:rFonts w:ascii="Times New Roman" w:hAnsi="Times New Roman"/>
          <w:i/>
        </w:rPr>
      </w:pPr>
    </w:p>
    <w:p w14:paraId="3B7B9179" w14:textId="77777777" w:rsidR="00E850F6" w:rsidRPr="00F36DBF" w:rsidRDefault="00E850F6" w:rsidP="00E850F6">
      <w:pPr>
        <w:spacing w:after="0" w:line="240" w:lineRule="auto"/>
        <w:rPr>
          <w:rFonts w:ascii="Times New Roman" w:eastAsia="Times New Roman" w:hAnsi="Times New Roman"/>
          <w:lang w:eastAsia="ja-JP"/>
        </w:rPr>
      </w:pPr>
      <w:r w:rsidRPr="00F36DBF">
        <w:rPr>
          <w:rFonts w:ascii="Times New Roman" w:eastAsia="Times New Roman" w:hAnsi="Times New Roman"/>
          <w:i/>
          <w:lang w:eastAsia="ja-JP"/>
        </w:rPr>
        <w:t>In vivo</w:t>
      </w:r>
      <w:r w:rsidRPr="00F36DBF">
        <w:rPr>
          <w:rFonts w:ascii="Times New Roman" w:eastAsia="Times New Roman" w:hAnsi="Times New Roman"/>
          <w:lang w:eastAsia="ja-JP"/>
        </w:rPr>
        <w:t xml:space="preserve"> vaistų sąveika su Valcyte netirta. Kadangi valgancikloviras gausiai ir greitai metabolizuojamas į ganciklovirą, reikia manyti, kad vaistų sąveika su valgancikloviru yra tokia pati, kaip su gancikloviru.</w:t>
      </w:r>
    </w:p>
    <w:p w14:paraId="0E889EE9" w14:textId="77777777" w:rsidR="00E850F6" w:rsidRPr="00F36DBF" w:rsidRDefault="00E850F6" w:rsidP="00E850F6">
      <w:pPr>
        <w:spacing w:after="0" w:line="240" w:lineRule="auto"/>
        <w:rPr>
          <w:rFonts w:ascii="Times New Roman" w:eastAsia="Times New Roman" w:hAnsi="Times New Roman"/>
          <w:lang w:eastAsia="ja-JP"/>
        </w:rPr>
      </w:pPr>
    </w:p>
    <w:p w14:paraId="2A44FCDB" w14:textId="77777777" w:rsidR="00E850F6" w:rsidRPr="00F36DBF" w:rsidRDefault="00E850F6" w:rsidP="00E850F6">
      <w:pPr>
        <w:spacing w:after="0" w:line="240" w:lineRule="auto"/>
        <w:rPr>
          <w:rFonts w:ascii="Times New Roman" w:eastAsia="Times New Roman" w:hAnsi="Times New Roman"/>
          <w:u w:val="single"/>
          <w:lang w:eastAsia="ja-JP"/>
        </w:rPr>
      </w:pPr>
      <w:r w:rsidRPr="00F36DBF">
        <w:rPr>
          <w:rFonts w:ascii="Times New Roman" w:eastAsia="Times New Roman" w:hAnsi="Times New Roman"/>
          <w:u w:val="single"/>
          <w:lang w:eastAsia="ja-JP"/>
        </w:rPr>
        <w:t>Vaistų sąveika su gancikloviru</w:t>
      </w:r>
    </w:p>
    <w:p w14:paraId="33A5177B" w14:textId="77777777" w:rsidR="00E850F6" w:rsidRPr="00FA3307" w:rsidRDefault="00E850F6" w:rsidP="00E850F6">
      <w:pPr>
        <w:spacing w:after="0" w:line="240" w:lineRule="auto"/>
        <w:rPr>
          <w:rFonts w:ascii="Times New Roman" w:eastAsia="Times New Roman" w:hAnsi="Times New Roman"/>
          <w:i/>
          <w:u w:val="single"/>
          <w:lang w:eastAsia="ja-JP"/>
        </w:rPr>
      </w:pPr>
      <w:r w:rsidRPr="00FA3307">
        <w:rPr>
          <w:rFonts w:ascii="Times New Roman" w:eastAsia="Times New Roman" w:hAnsi="Times New Roman"/>
          <w:i/>
          <w:u w:val="single"/>
          <w:lang w:eastAsia="ja-JP"/>
        </w:rPr>
        <w:t>Farmakokinetinės sąveikos</w:t>
      </w:r>
    </w:p>
    <w:p w14:paraId="5F828CD1" w14:textId="77777777" w:rsidR="00E850F6" w:rsidRPr="00F36DBF" w:rsidRDefault="00E850F6" w:rsidP="00E850F6">
      <w:pPr>
        <w:spacing w:after="0" w:line="240" w:lineRule="auto"/>
        <w:rPr>
          <w:rFonts w:ascii="Times New Roman" w:eastAsia="Times New Roman" w:hAnsi="Times New Roman"/>
          <w:i/>
          <w:lang w:eastAsia="ja-JP"/>
        </w:rPr>
      </w:pPr>
      <w:r w:rsidRPr="00F36DBF">
        <w:rPr>
          <w:rFonts w:ascii="Times New Roman" w:eastAsia="Times New Roman" w:hAnsi="Times New Roman"/>
          <w:i/>
          <w:lang w:eastAsia="ja-JP"/>
        </w:rPr>
        <w:t>Probenecidas</w:t>
      </w:r>
    </w:p>
    <w:p w14:paraId="2E61248A" w14:textId="77777777" w:rsidR="00E850F6" w:rsidRPr="00F36DBF" w:rsidRDefault="00E850F6" w:rsidP="00E850F6">
      <w:pPr>
        <w:spacing w:after="0" w:line="240" w:lineRule="auto"/>
        <w:rPr>
          <w:rFonts w:ascii="Times New Roman" w:eastAsia="Times New Roman" w:hAnsi="Times New Roman"/>
          <w:lang w:eastAsia="ja-JP"/>
        </w:rPr>
      </w:pPr>
      <w:r w:rsidRPr="00F36DBF">
        <w:rPr>
          <w:rFonts w:ascii="Times New Roman" w:eastAsia="Times New Roman" w:hAnsi="Times New Roman"/>
          <w:lang w:eastAsia="ja-JP"/>
        </w:rPr>
        <w:t xml:space="preserve">Geriamąjį ganciklovirą vartojant kartu su probenecidu statistiškai reikšmingai (20 %) mažėja gancikloviro klirensas, todėl statistiškai reikšmingai (40 %) didėja jo poveikis organizmui. Šie pokyčiai priklauso nuo vaistų konkurencinės sąveikos vykstant jų sekrecijai inkstų kanalėliuose. Taigi pacientus, gydomus probenecidu ir </w:t>
      </w:r>
      <w:r>
        <w:rPr>
          <w:rFonts w:ascii="Times New Roman" w:eastAsia="Times New Roman" w:hAnsi="Times New Roman"/>
          <w:lang w:eastAsia="ja-JP"/>
        </w:rPr>
        <w:t>valgancikloviru</w:t>
      </w:r>
      <w:r w:rsidRPr="00F36DBF">
        <w:rPr>
          <w:rFonts w:ascii="Times New Roman" w:eastAsia="Times New Roman" w:hAnsi="Times New Roman"/>
          <w:lang w:eastAsia="ja-JP"/>
        </w:rPr>
        <w:t>, reikia dažnai tirti, ar nepasireiškia toksinis gancikloviro poveikis.</w:t>
      </w:r>
    </w:p>
    <w:p w14:paraId="5FC38A36" w14:textId="77777777" w:rsidR="00E850F6" w:rsidRPr="00F36DBF" w:rsidRDefault="00E850F6" w:rsidP="00E850F6">
      <w:pPr>
        <w:spacing w:after="0" w:line="240" w:lineRule="auto"/>
        <w:rPr>
          <w:rFonts w:ascii="Times New Roman" w:eastAsia="Times New Roman" w:hAnsi="Times New Roman"/>
          <w:lang w:eastAsia="ja-JP"/>
        </w:rPr>
      </w:pPr>
    </w:p>
    <w:p w14:paraId="6B9A2FC7" w14:textId="77777777" w:rsidR="00E850F6" w:rsidRPr="00F36DBF" w:rsidRDefault="00E850F6" w:rsidP="00E850F6">
      <w:pPr>
        <w:spacing w:after="0" w:line="240" w:lineRule="auto"/>
        <w:rPr>
          <w:rFonts w:ascii="Times New Roman" w:eastAsia="Times New Roman" w:hAnsi="Times New Roman"/>
          <w:i/>
          <w:lang w:eastAsia="ja-JP"/>
        </w:rPr>
      </w:pPr>
      <w:r w:rsidRPr="00F36DBF">
        <w:rPr>
          <w:rFonts w:ascii="Times New Roman" w:eastAsia="Times New Roman" w:hAnsi="Times New Roman"/>
          <w:i/>
          <w:lang w:eastAsia="ja-JP"/>
        </w:rPr>
        <w:t>Didanozinas</w:t>
      </w:r>
    </w:p>
    <w:p w14:paraId="1527D04B" w14:textId="77777777" w:rsidR="00E850F6" w:rsidRPr="00F36DBF" w:rsidRDefault="00E850F6" w:rsidP="00E850F6">
      <w:pPr>
        <w:spacing w:after="0" w:line="240" w:lineRule="auto"/>
        <w:rPr>
          <w:rFonts w:ascii="Times New Roman" w:eastAsia="Times New Roman" w:hAnsi="Times New Roman"/>
          <w:lang w:eastAsia="ja-JP"/>
        </w:rPr>
      </w:pPr>
      <w:r w:rsidRPr="00F36DBF">
        <w:rPr>
          <w:rFonts w:ascii="Times New Roman" w:eastAsia="Times New Roman" w:hAnsi="Times New Roman"/>
          <w:lang w:eastAsia="ja-JP"/>
        </w:rPr>
        <w:t>Nustatyta, kad kartu su leidžiamuoju į veną gancikloviru vartoto didanozino koncentracija plazmoje visada buvo didesnė. Yra stebėta, kad leidžiant ganciklovirą į veną po 5 mg/kg ir 10 mg/kg dozėmis per parą, didanozino AUC padidėja nuo 38 % iki 67 %</w:t>
      </w:r>
      <w:r>
        <w:rPr>
          <w:rFonts w:ascii="Times New Roman" w:eastAsia="Times New Roman" w:hAnsi="Times New Roman"/>
          <w:lang w:eastAsia="ja-JP"/>
        </w:rPr>
        <w:t>, o tai patvirtina šiuos vaistinius preparatus vartojant kartu vykstančią farmakokinetinę sąveiką</w:t>
      </w:r>
      <w:r w:rsidRPr="00F36DBF">
        <w:rPr>
          <w:rFonts w:ascii="Times New Roman" w:eastAsia="Times New Roman" w:hAnsi="Times New Roman"/>
          <w:lang w:eastAsia="ja-JP"/>
        </w:rPr>
        <w:t>. Gancikloviro koncentracija kliniškai reikšmingai nepakito. Pacientus reikia atidžiai stebėti, ar nepasireiškia didanozino toksinis poveikis</w:t>
      </w:r>
      <w:r>
        <w:rPr>
          <w:rFonts w:ascii="Times New Roman" w:eastAsia="Times New Roman" w:hAnsi="Times New Roman"/>
          <w:lang w:eastAsia="ja-JP"/>
        </w:rPr>
        <w:t>, pvz., pankreatitas</w:t>
      </w:r>
      <w:r w:rsidRPr="00F36DBF">
        <w:rPr>
          <w:rFonts w:ascii="Times New Roman" w:eastAsia="Times New Roman" w:hAnsi="Times New Roman"/>
          <w:lang w:eastAsia="ja-JP"/>
        </w:rPr>
        <w:t xml:space="preserve"> (žr. 4.4 skyrių).</w:t>
      </w:r>
    </w:p>
    <w:p w14:paraId="336E8F69" w14:textId="77777777" w:rsidR="00E850F6" w:rsidRPr="00402217" w:rsidRDefault="00E850F6" w:rsidP="00E850F6">
      <w:pPr>
        <w:spacing w:after="0" w:line="240" w:lineRule="auto"/>
        <w:rPr>
          <w:rFonts w:ascii="Times New Roman" w:hAnsi="Times New Roman"/>
          <w:b/>
        </w:rPr>
      </w:pPr>
    </w:p>
    <w:p w14:paraId="33807188" w14:textId="77777777" w:rsidR="00E850F6" w:rsidRPr="00402217" w:rsidRDefault="00E850F6" w:rsidP="00E850F6">
      <w:pPr>
        <w:spacing w:after="0" w:line="240" w:lineRule="auto"/>
        <w:rPr>
          <w:rFonts w:ascii="Times New Roman" w:hAnsi="Times New Roman"/>
        </w:rPr>
      </w:pPr>
      <w:r w:rsidRPr="00F36DBF">
        <w:rPr>
          <w:rFonts w:ascii="Times New Roman" w:eastAsia="Times New Roman" w:hAnsi="Times New Roman"/>
          <w:i/>
          <w:lang w:eastAsia="ja-JP"/>
        </w:rPr>
        <w:t>Kiti antiretrovirusiniai vaistai</w:t>
      </w:r>
    </w:p>
    <w:p w14:paraId="619045B2" w14:textId="77777777" w:rsidR="00E850F6" w:rsidRDefault="00E850F6" w:rsidP="00E850F6">
      <w:pPr>
        <w:spacing w:after="0" w:line="240" w:lineRule="auto"/>
        <w:rPr>
          <w:rFonts w:ascii="Times New Roman" w:eastAsia="Times New Roman" w:hAnsi="Times New Roman"/>
          <w:lang w:eastAsia="ja-JP"/>
        </w:rPr>
      </w:pPr>
      <w:r w:rsidRPr="00F650C8">
        <w:rPr>
          <w:rFonts w:ascii="Times New Roman" w:eastAsia="Times New Roman" w:hAnsi="Times New Roman"/>
          <w:lang w:eastAsia="ja-JP"/>
        </w:rPr>
        <w:t>Citochromo P450 izofermentai gancikloviro farmakokinetikai</w:t>
      </w:r>
      <w:r>
        <w:rPr>
          <w:rFonts w:ascii="Times New Roman" w:eastAsia="Times New Roman" w:hAnsi="Times New Roman"/>
          <w:lang w:eastAsia="ja-JP"/>
        </w:rPr>
        <w:t xml:space="preserve"> jokios įtakos neturi</w:t>
      </w:r>
      <w:r w:rsidRPr="00F650C8">
        <w:rPr>
          <w:rFonts w:ascii="Times New Roman" w:eastAsia="Times New Roman" w:hAnsi="Times New Roman"/>
          <w:lang w:eastAsia="ja-JP"/>
        </w:rPr>
        <w:t xml:space="preserve">. </w:t>
      </w:r>
      <w:r>
        <w:rPr>
          <w:rFonts w:ascii="Times New Roman" w:eastAsia="Times New Roman" w:hAnsi="Times New Roman"/>
          <w:lang w:eastAsia="ja-JP"/>
        </w:rPr>
        <w:t>Taigi,</w:t>
      </w:r>
      <w:r w:rsidRPr="00F650C8">
        <w:rPr>
          <w:rFonts w:ascii="Times New Roman" w:eastAsia="Times New Roman" w:hAnsi="Times New Roman"/>
          <w:lang w:eastAsia="ja-JP"/>
        </w:rPr>
        <w:t xml:space="preserve"> farmakokinetinės sąveikos su proteazių inhibitoriais ir ne nukleozidų atvirkštinės transkriptazės inhibitoriais nesitikima</w:t>
      </w:r>
      <w:r w:rsidRPr="00F36DBF">
        <w:rPr>
          <w:rFonts w:ascii="Times New Roman" w:eastAsia="Times New Roman" w:hAnsi="Times New Roman"/>
          <w:lang w:eastAsia="ja-JP"/>
        </w:rPr>
        <w:t>.</w:t>
      </w:r>
    </w:p>
    <w:p w14:paraId="76CEAEF4" w14:textId="77777777" w:rsidR="00E850F6" w:rsidRPr="00F36DBF" w:rsidRDefault="00E850F6" w:rsidP="00E850F6">
      <w:pPr>
        <w:spacing w:after="0" w:line="240" w:lineRule="auto"/>
        <w:rPr>
          <w:rFonts w:ascii="Times New Roman" w:eastAsia="Times New Roman" w:hAnsi="Times New Roman"/>
          <w:lang w:eastAsia="ja-JP"/>
        </w:rPr>
      </w:pPr>
    </w:p>
    <w:p w14:paraId="721AB90E" w14:textId="77777777" w:rsidR="00E850F6" w:rsidRPr="00923E43" w:rsidRDefault="00E850F6" w:rsidP="00E850F6">
      <w:pPr>
        <w:spacing w:after="0" w:line="240" w:lineRule="auto"/>
        <w:rPr>
          <w:rFonts w:ascii="Times New Roman" w:eastAsia="Times New Roman" w:hAnsi="Times New Roman"/>
          <w:i/>
          <w:u w:val="single"/>
          <w:lang w:eastAsia="ja-JP"/>
        </w:rPr>
      </w:pPr>
      <w:r w:rsidRPr="00923E43">
        <w:rPr>
          <w:rFonts w:ascii="Times New Roman" w:eastAsia="Times New Roman" w:hAnsi="Times New Roman"/>
          <w:i/>
          <w:u w:val="single"/>
          <w:lang w:eastAsia="ja-JP"/>
        </w:rPr>
        <w:t>Farmakodinaminė sąveika</w:t>
      </w:r>
    </w:p>
    <w:p w14:paraId="063A3604" w14:textId="77777777" w:rsidR="00E850F6" w:rsidRPr="00F36DBF" w:rsidRDefault="00E850F6" w:rsidP="00E850F6">
      <w:pPr>
        <w:spacing w:after="0" w:line="240" w:lineRule="auto"/>
        <w:rPr>
          <w:rFonts w:ascii="Times New Roman" w:eastAsia="Times New Roman" w:hAnsi="Times New Roman"/>
          <w:i/>
          <w:lang w:eastAsia="ja-JP"/>
        </w:rPr>
      </w:pPr>
      <w:r w:rsidRPr="00F36DBF">
        <w:rPr>
          <w:rFonts w:ascii="Times New Roman" w:eastAsia="Times New Roman" w:hAnsi="Times New Roman"/>
          <w:i/>
          <w:lang w:eastAsia="ja-JP"/>
        </w:rPr>
        <w:t>Imipenemas-cilastatinas</w:t>
      </w:r>
    </w:p>
    <w:p w14:paraId="0236E889" w14:textId="77777777" w:rsidR="00E850F6" w:rsidRPr="00F36DBF" w:rsidRDefault="00E850F6" w:rsidP="00E850F6">
      <w:pPr>
        <w:spacing w:after="0" w:line="240" w:lineRule="auto"/>
        <w:rPr>
          <w:rFonts w:ascii="Times New Roman" w:eastAsia="Times New Roman" w:hAnsi="Times New Roman"/>
          <w:strike/>
          <w:lang w:eastAsia="ja-JP"/>
        </w:rPr>
      </w:pPr>
      <w:r w:rsidRPr="00F36DBF">
        <w:rPr>
          <w:rFonts w:ascii="Times New Roman" w:eastAsia="Times New Roman" w:hAnsi="Times New Roman"/>
          <w:lang w:eastAsia="ja-JP"/>
        </w:rPr>
        <w:t>Pacientams, vienu metu gydomiems imipenemu-cilastatinu ir gancikloviru, pasitaiko traukulių</w:t>
      </w:r>
      <w:r>
        <w:rPr>
          <w:rFonts w:ascii="Times New Roman" w:eastAsia="Times New Roman" w:hAnsi="Times New Roman"/>
          <w:lang w:eastAsia="ja-JP"/>
        </w:rPr>
        <w:t>, todėl šių dviejų vaistinių preparatų farmakodinaminės sąveikos atmesti negalima</w:t>
      </w:r>
      <w:r w:rsidRPr="00F36DBF">
        <w:rPr>
          <w:rFonts w:ascii="Times New Roman" w:eastAsia="Times New Roman" w:hAnsi="Times New Roman"/>
          <w:lang w:eastAsia="ja-JP"/>
        </w:rPr>
        <w:t>. Šių vaistų negalima vartoti kartu, jei gydymas nėra svarbesnis už galimą pavojų (žr. 4.4</w:t>
      </w:r>
      <w:r>
        <w:rPr>
          <w:rFonts w:ascii="Times New Roman" w:eastAsia="Times New Roman" w:hAnsi="Times New Roman"/>
          <w:lang w:eastAsia="ja-JP"/>
        </w:rPr>
        <w:t> </w:t>
      </w:r>
      <w:r w:rsidRPr="00F36DBF">
        <w:rPr>
          <w:rFonts w:ascii="Times New Roman" w:eastAsia="Times New Roman" w:hAnsi="Times New Roman"/>
          <w:lang w:eastAsia="ja-JP"/>
        </w:rPr>
        <w:t>skyrių).</w:t>
      </w:r>
    </w:p>
    <w:p w14:paraId="0F838246" w14:textId="77777777" w:rsidR="00E850F6" w:rsidRPr="00402217" w:rsidRDefault="00E850F6" w:rsidP="00E850F6">
      <w:pPr>
        <w:spacing w:after="0" w:line="240" w:lineRule="auto"/>
        <w:rPr>
          <w:rFonts w:ascii="Times New Roman" w:hAnsi="Times New Roman"/>
        </w:rPr>
      </w:pPr>
    </w:p>
    <w:p w14:paraId="43297B3E" w14:textId="77777777" w:rsidR="00E850F6" w:rsidRPr="00F36DBF" w:rsidRDefault="00E850F6" w:rsidP="00E850F6">
      <w:pPr>
        <w:spacing w:after="0" w:line="240" w:lineRule="auto"/>
        <w:rPr>
          <w:rFonts w:ascii="Times New Roman" w:eastAsia="Times New Roman" w:hAnsi="Times New Roman"/>
          <w:i/>
          <w:lang w:eastAsia="ja-JP"/>
        </w:rPr>
      </w:pPr>
      <w:r w:rsidRPr="00F36DBF">
        <w:rPr>
          <w:rFonts w:ascii="Times New Roman" w:eastAsia="Times New Roman" w:hAnsi="Times New Roman"/>
          <w:i/>
          <w:lang w:eastAsia="ja-JP"/>
        </w:rPr>
        <w:t>Zidovudinas</w:t>
      </w:r>
    </w:p>
    <w:p w14:paraId="2969D2C4" w14:textId="77777777" w:rsidR="00E850F6" w:rsidRPr="00F36DBF" w:rsidRDefault="00E850F6" w:rsidP="00E850F6">
      <w:pPr>
        <w:spacing w:after="0" w:line="240" w:lineRule="auto"/>
        <w:rPr>
          <w:rFonts w:ascii="Times New Roman" w:eastAsia="Times New Roman" w:hAnsi="Times New Roman"/>
          <w:lang w:eastAsia="ja-JP"/>
        </w:rPr>
      </w:pPr>
      <w:r>
        <w:rPr>
          <w:rFonts w:ascii="Times New Roman" w:eastAsia="Times New Roman" w:hAnsi="Times New Roman"/>
          <w:lang w:eastAsia="ja-JP"/>
        </w:rPr>
        <w:t>I</w:t>
      </w:r>
      <w:r w:rsidRPr="00F36DBF">
        <w:rPr>
          <w:rFonts w:ascii="Times New Roman" w:eastAsia="Times New Roman" w:hAnsi="Times New Roman"/>
          <w:lang w:eastAsia="ja-JP"/>
        </w:rPr>
        <w:t>r zidovudinas, ir gancikloviras gali sukelti neutropeniją ir anemiją</w:t>
      </w:r>
      <w:r>
        <w:rPr>
          <w:rFonts w:ascii="Times New Roman" w:eastAsia="Times New Roman" w:hAnsi="Times New Roman"/>
          <w:lang w:eastAsia="ja-JP"/>
        </w:rPr>
        <w:t>. Šiuos vaistinius preparatus vartojant kartu gali pasireikšti farmakodinaminė sąveika. K</w:t>
      </w:r>
      <w:r w:rsidRPr="00F36DBF">
        <w:rPr>
          <w:rFonts w:ascii="Times New Roman" w:eastAsia="Times New Roman" w:hAnsi="Times New Roman"/>
          <w:lang w:eastAsia="ja-JP"/>
        </w:rPr>
        <w:t>ai kurie pacientai gydymo nesumažintomis šių abiejų vaistinių preparatų dozėmis gali netoleruoti (žr. 4.4 skyrių).</w:t>
      </w:r>
    </w:p>
    <w:p w14:paraId="5BC7697D" w14:textId="77777777" w:rsidR="00E850F6" w:rsidRDefault="00E850F6" w:rsidP="00E850F6">
      <w:pPr>
        <w:spacing w:after="0" w:line="240" w:lineRule="auto"/>
        <w:rPr>
          <w:rFonts w:ascii="Times New Roman" w:eastAsia="Times New Roman" w:hAnsi="Times New Roman"/>
          <w:lang w:eastAsia="ja-JP"/>
        </w:rPr>
      </w:pPr>
    </w:p>
    <w:p w14:paraId="0C26DAC6" w14:textId="77777777" w:rsidR="00E850F6" w:rsidRPr="00F36DBF" w:rsidRDefault="00E850F6" w:rsidP="00E850F6">
      <w:pPr>
        <w:spacing w:after="0" w:line="240" w:lineRule="auto"/>
        <w:rPr>
          <w:rFonts w:ascii="Times New Roman" w:eastAsia="Times New Roman" w:hAnsi="Times New Roman"/>
          <w:i/>
          <w:lang w:eastAsia="ja-JP"/>
        </w:rPr>
      </w:pPr>
      <w:r w:rsidRPr="00F36DBF">
        <w:rPr>
          <w:rFonts w:ascii="Times New Roman" w:eastAsia="Times New Roman" w:hAnsi="Times New Roman"/>
          <w:i/>
          <w:lang w:eastAsia="ja-JP"/>
        </w:rPr>
        <w:t>Kitos galimos vaistų sąveikos</w:t>
      </w:r>
    </w:p>
    <w:p w14:paraId="49A382CB" w14:textId="77777777" w:rsidR="00E850F6" w:rsidRPr="00F36DBF" w:rsidRDefault="00E850F6" w:rsidP="00E850F6">
      <w:pPr>
        <w:spacing w:after="0" w:line="240" w:lineRule="auto"/>
        <w:rPr>
          <w:rFonts w:ascii="Times New Roman" w:eastAsia="Times New Roman" w:hAnsi="Times New Roman"/>
          <w:u w:val="single"/>
          <w:lang w:eastAsia="ja-JP"/>
        </w:rPr>
      </w:pPr>
      <w:r w:rsidRPr="00F36DBF">
        <w:rPr>
          <w:rFonts w:ascii="Times New Roman" w:eastAsia="Times New Roman" w:hAnsi="Times New Roman"/>
          <w:lang w:eastAsia="ja-JP"/>
        </w:rPr>
        <w:t xml:space="preserve">Kai </w:t>
      </w:r>
      <w:r>
        <w:rPr>
          <w:rFonts w:ascii="Times New Roman" w:eastAsia="Times New Roman" w:hAnsi="Times New Roman"/>
          <w:lang w:eastAsia="ja-JP"/>
        </w:rPr>
        <w:t xml:space="preserve">gancikloviras ar </w:t>
      </w:r>
      <w:r w:rsidRPr="00F36DBF">
        <w:rPr>
          <w:rFonts w:ascii="Times New Roman" w:eastAsia="Times New Roman" w:hAnsi="Times New Roman"/>
          <w:lang w:eastAsia="ja-JP"/>
        </w:rPr>
        <w:t xml:space="preserve">valgancikloviras vartojamas kartu </w:t>
      </w:r>
      <w:r>
        <w:rPr>
          <w:rFonts w:ascii="Times New Roman" w:eastAsia="Times New Roman" w:hAnsi="Times New Roman"/>
          <w:lang w:eastAsia="ja-JP"/>
        </w:rPr>
        <w:t>su</w:t>
      </w:r>
      <w:r w:rsidRPr="00F36DBF">
        <w:rPr>
          <w:rFonts w:ascii="Times New Roman" w:eastAsia="Times New Roman" w:hAnsi="Times New Roman"/>
          <w:lang w:eastAsia="ja-JP"/>
        </w:rPr>
        <w:t xml:space="preserve"> kit</w:t>
      </w:r>
      <w:r>
        <w:rPr>
          <w:rFonts w:ascii="Times New Roman" w:eastAsia="Times New Roman" w:hAnsi="Times New Roman"/>
          <w:lang w:eastAsia="ja-JP"/>
        </w:rPr>
        <w:t>ais</w:t>
      </w:r>
      <w:r w:rsidRPr="00F36DBF">
        <w:rPr>
          <w:rFonts w:ascii="Times New Roman" w:eastAsia="Times New Roman" w:hAnsi="Times New Roman"/>
          <w:lang w:eastAsia="ja-JP"/>
        </w:rPr>
        <w:t xml:space="preserve"> vaist</w:t>
      </w:r>
      <w:r>
        <w:rPr>
          <w:rFonts w:ascii="Times New Roman" w:eastAsia="Times New Roman" w:hAnsi="Times New Roman"/>
          <w:lang w:eastAsia="ja-JP"/>
        </w:rPr>
        <w:t>iniais preparatais</w:t>
      </w:r>
      <w:r w:rsidRPr="00F36DBF">
        <w:rPr>
          <w:rFonts w:ascii="Times New Roman" w:eastAsia="Times New Roman" w:hAnsi="Times New Roman"/>
          <w:lang w:eastAsia="ja-JP"/>
        </w:rPr>
        <w:t xml:space="preserve">, </w:t>
      </w:r>
      <w:r>
        <w:rPr>
          <w:rFonts w:ascii="Times New Roman" w:eastAsia="Times New Roman" w:hAnsi="Times New Roman"/>
          <w:lang w:eastAsia="ja-JP"/>
        </w:rPr>
        <w:t xml:space="preserve">žinomai </w:t>
      </w:r>
      <w:r w:rsidRPr="00F36DBF">
        <w:rPr>
          <w:rFonts w:ascii="Times New Roman" w:eastAsia="Times New Roman" w:hAnsi="Times New Roman"/>
          <w:lang w:eastAsia="ja-JP"/>
        </w:rPr>
        <w:t>slopinanči</w:t>
      </w:r>
      <w:r>
        <w:rPr>
          <w:rFonts w:ascii="Times New Roman" w:eastAsia="Times New Roman" w:hAnsi="Times New Roman"/>
          <w:lang w:eastAsia="ja-JP"/>
        </w:rPr>
        <w:t>ais</w:t>
      </w:r>
      <w:r w:rsidRPr="00F36DBF">
        <w:rPr>
          <w:rFonts w:ascii="Times New Roman" w:eastAsia="Times New Roman" w:hAnsi="Times New Roman"/>
          <w:lang w:eastAsia="ja-JP"/>
        </w:rPr>
        <w:t xml:space="preserve"> </w:t>
      </w:r>
      <w:r>
        <w:rPr>
          <w:rFonts w:ascii="Times New Roman" w:eastAsia="Times New Roman" w:hAnsi="Times New Roman"/>
          <w:lang w:eastAsia="ja-JP"/>
        </w:rPr>
        <w:t>kaulų čiulpus arba bloginančiais inkstų veiklą</w:t>
      </w:r>
      <w:r w:rsidRPr="00F36DBF">
        <w:rPr>
          <w:rFonts w:ascii="Times New Roman" w:eastAsia="Times New Roman" w:hAnsi="Times New Roman"/>
          <w:lang w:eastAsia="ja-JP"/>
        </w:rPr>
        <w:t>, toksinis poveikis</w:t>
      </w:r>
      <w:r w:rsidRPr="00D46FEE">
        <w:rPr>
          <w:rFonts w:ascii="Times New Roman" w:eastAsia="Times New Roman" w:hAnsi="Times New Roman"/>
          <w:lang w:eastAsia="ja-JP"/>
        </w:rPr>
        <w:t xml:space="preserve"> </w:t>
      </w:r>
      <w:r w:rsidRPr="00F36DBF">
        <w:rPr>
          <w:rFonts w:ascii="Times New Roman" w:eastAsia="Times New Roman" w:hAnsi="Times New Roman"/>
          <w:lang w:eastAsia="ja-JP"/>
        </w:rPr>
        <w:t xml:space="preserve">gali </w:t>
      </w:r>
      <w:r>
        <w:rPr>
          <w:rFonts w:ascii="Times New Roman" w:eastAsia="Times New Roman" w:hAnsi="Times New Roman"/>
          <w:lang w:eastAsia="ja-JP"/>
        </w:rPr>
        <w:t>sustipr</w:t>
      </w:r>
      <w:r w:rsidRPr="00F36DBF">
        <w:rPr>
          <w:rFonts w:ascii="Times New Roman" w:eastAsia="Times New Roman" w:hAnsi="Times New Roman"/>
          <w:lang w:eastAsia="ja-JP"/>
        </w:rPr>
        <w:t xml:space="preserve">ėti. Tokie vaistai yra </w:t>
      </w:r>
      <w:r w:rsidRPr="00790B93">
        <w:rPr>
          <w:rFonts w:ascii="Times New Roman" w:eastAsia="Times New Roman" w:hAnsi="Times New Roman"/>
          <w:lang w:eastAsia="ja-JP"/>
        </w:rPr>
        <w:t>nukleozidų (pvz., zidovudinas, didanozinas, stavudinas) ir nukleotidų analogai (pvz., tenofoviras, adefoviras), imunosupresantai (pvz., ciklospori</w:t>
      </w:r>
      <w:r w:rsidRPr="00F36DBF">
        <w:rPr>
          <w:rFonts w:ascii="Times New Roman" w:eastAsia="Times New Roman" w:hAnsi="Times New Roman"/>
          <w:lang w:eastAsia="ja-JP"/>
        </w:rPr>
        <w:t xml:space="preserve">nas, </w:t>
      </w:r>
      <w:r>
        <w:rPr>
          <w:rFonts w:ascii="Times New Roman" w:eastAsia="Times New Roman" w:hAnsi="Times New Roman"/>
          <w:lang w:eastAsia="ja-JP"/>
        </w:rPr>
        <w:t>takrolimuzas, mikofenolato mofetil</w:t>
      </w:r>
      <w:r w:rsidRPr="00F36DBF">
        <w:rPr>
          <w:rFonts w:ascii="Times New Roman" w:eastAsia="Times New Roman" w:hAnsi="Times New Roman"/>
          <w:lang w:eastAsia="ja-JP"/>
        </w:rPr>
        <w:t>as</w:t>
      </w:r>
      <w:r>
        <w:rPr>
          <w:rFonts w:ascii="Times New Roman" w:eastAsia="Times New Roman" w:hAnsi="Times New Roman"/>
          <w:lang w:eastAsia="ja-JP"/>
        </w:rPr>
        <w:t>)</w:t>
      </w:r>
      <w:r w:rsidRPr="00F36DBF">
        <w:rPr>
          <w:rFonts w:ascii="Times New Roman" w:eastAsia="Times New Roman" w:hAnsi="Times New Roman"/>
          <w:lang w:eastAsia="ja-JP"/>
        </w:rPr>
        <w:t xml:space="preserve">, </w:t>
      </w:r>
      <w:r>
        <w:rPr>
          <w:rFonts w:ascii="Times New Roman" w:eastAsia="Times New Roman" w:hAnsi="Times New Roman"/>
          <w:lang w:eastAsia="ja-JP"/>
        </w:rPr>
        <w:t>priešvėžiniai preparatai (pvz., doksorubic</w:t>
      </w:r>
      <w:r w:rsidRPr="00F36DBF">
        <w:rPr>
          <w:rFonts w:ascii="Times New Roman" w:eastAsia="Times New Roman" w:hAnsi="Times New Roman"/>
          <w:lang w:eastAsia="ja-JP"/>
        </w:rPr>
        <w:t xml:space="preserve">inas, vinblastinas, </w:t>
      </w:r>
      <w:r>
        <w:rPr>
          <w:rFonts w:ascii="Times New Roman" w:eastAsia="Times New Roman" w:hAnsi="Times New Roman"/>
          <w:lang w:eastAsia="ja-JP"/>
        </w:rPr>
        <w:t>vinkristinas</w:t>
      </w:r>
      <w:r w:rsidRPr="00F36DBF">
        <w:rPr>
          <w:rFonts w:ascii="Times New Roman" w:eastAsia="Times New Roman" w:hAnsi="Times New Roman"/>
          <w:lang w:eastAsia="ja-JP"/>
        </w:rPr>
        <w:t>, hidroksikarbamidas</w:t>
      </w:r>
      <w:r>
        <w:rPr>
          <w:rFonts w:ascii="Times New Roman" w:eastAsia="Times New Roman" w:hAnsi="Times New Roman"/>
          <w:lang w:eastAsia="ja-JP"/>
        </w:rPr>
        <w:t>) ir antiinfekciniai preparatai (</w:t>
      </w:r>
      <w:r w:rsidRPr="00F36DBF">
        <w:rPr>
          <w:rFonts w:ascii="Times New Roman" w:eastAsia="Times New Roman" w:hAnsi="Times New Roman"/>
          <w:lang w:eastAsia="ja-JP"/>
        </w:rPr>
        <w:t xml:space="preserve">trimetoprimo ir sulfonamidų deriniai, </w:t>
      </w:r>
      <w:r>
        <w:rPr>
          <w:rFonts w:ascii="Times New Roman" w:eastAsia="Times New Roman" w:hAnsi="Times New Roman"/>
          <w:lang w:eastAsia="ja-JP"/>
        </w:rPr>
        <w:t>dapso</w:t>
      </w:r>
      <w:r w:rsidRPr="00F36DBF">
        <w:rPr>
          <w:rFonts w:ascii="Times New Roman" w:eastAsia="Times New Roman" w:hAnsi="Times New Roman"/>
          <w:lang w:eastAsia="ja-JP"/>
        </w:rPr>
        <w:t xml:space="preserve">nas, amfotericinas B, </w:t>
      </w:r>
      <w:r>
        <w:rPr>
          <w:rFonts w:ascii="Times New Roman" w:eastAsia="Times New Roman" w:hAnsi="Times New Roman"/>
          <w:lang w:eastAsia="ja-JP"/>
        </w:rPr>
        <w:t>flucitozinas, pentamid</w:t>
      </w:r>
      <w:r w:rsidRPr="00F36DBF">
        <w:rPr>
          <w:rFonts w:ascii="Times New Roman" w:eastAsia="Times New Roman" w:hAnsi="Times New Roman"/>
          <w:lang w:eastAsia="ja-JP"/>
        </w:rPr>
        <w:t>inas).</w:t>
      </w:r>
      <w:r>
        <w:rPr>
          <w:rFonts w:ascii="Times New Roman" w:eastAsia="Times New Roman" w:hAnsi="Times New Roman"/>
          <w:lang w:eastAsia="ja-JP"/>
        </w:rPr>
        <w:t xml:space="preserve"> Taigi, k</w:t>
      </w:r>
      <w:r w:rsidRPr="00F36DBF">
        <w:rPr>
          <w:rFonts w:ascii="Times New Roman" w:eastAsia="Times New Roman" w:hAnsi="Times New Roman"/>
          <w:lang w:eastAsia="ja-JP"/>
        </w:rPr>
        <w:t>artu su minėtais vaistiniais preparatais skirti valgancikloviro galima tik tada, jeigu manoma, kad galima gydymo nauda bus didesnė už galimą pavojų (žr. 4.4 skyrių).</w:t>
      </w:r>
    </w:p>
    <w:p w14:paraId="20DD8DAD" w14:textId="77777777" w:rsidR="00E850F6" w:rsidRPr="00F36DBF" w:rsidRDefault="00E850F6" w:rsidP="00E850F6">
      <w:pPr>
        <w:spacing w:after="0" w:line="240" w:lineRule="auto"/>
        <w:rPr>
          <w:rFonts w:ascii="Times New Roman" w:eastAsia="Times New Roman" w:hAnsi="Times New Roman"/>
          <w:lang w:eastAsia="ja-JP"/>
        </w:rPr>
      </w:pPr>
    </w:p>
    <w:p w14:paraId="6E90D6D9" w14:textId="77777777" w:rsidR="00E850F6" w:rsidRPr="00F36DBF" w:rsidRDefault="00E850F6" w:rsidP="00E850F6">
      <w:pPr>
        <w:keepNext/>
        <w:spacing w:after="0" w:line="240" w:lineRule="auto"/>
        <w:ind w:left="567" w:hanging="567"/>
        <w:outlineLvl w:val="1"/>
        <w:rPr>
          <w:rFonts w:ascii="Times New Roman" w:eastAsia="Times New Roman" w:hAnsi="Times New Roman"/>
          <w:b/>
          <w:kern w:val="28"/>
          <w:lang w:eastAsia="ja-JP"/>
        </w:rPr>
      </w:pPr>
      <w:r w:rsidRPr="00F36DBF">
        <w:rPr>
          <w:rFonts w:ascii="Times New Roman" w:eastAsia="Times New Roman" w:hAnsi="Times New Roman"/>
          <w:b/>
          <w:kern w:val="28"/>
          <w:lang w:eastAsia="ja-JP"/>
        </w:rPr>
        <w:lastRenderedPageBreak/>
        <w:t>4.6</w:t>
      </w:r>
      <w:r w:rsidRPr="00F36DBF">
        <w:rPr>
          <w:rFonts w:ascii="Times New Roman" w:eastAsia="Times New Roman" w:hAnsi="Times New Roman"/>
          <w:b/>
          <w:kern w:val="28"/>
          <w:lang w:eastAsia="ja-JP"/>
        </w:rPr>
        <w:tab/>
        <w:t>Vaisingumas, nėštumo ir žindymo laikotarpis</w:t>
      </w:r>
    </w:p>
    <w:p w14:paraId="458F3B18" w14:textId="77777777" w:rsidR="00E850F6" w:rsidRPr="00F36DBF" w:rsidRDefault="00E850F6" w:rsidP="00E850F6">
      <w:pPr>
        <w:keepNext/>
        <w:spacing w:after="0" w:line="240" w:lineRule="auto"/>
        <w:rPr>
          <w:rFonts w:ascii="Times New Roman" w:eastAsia="Times New Roman" w:hAnsi="Times New Roman"/>
          <w:lang w:eastAsia="ja-JP"/>
        </w:rPr>
      </w:pPr>
    </w:p>
    <w:p w14:paraId="22DACFBA" w14:textId="77777777" w:rsidR="00E850F6" w:rsidRPr="00F36DBF" w:rsidRDefault="00E850F6" w:rsidP="00E850F6">
      <w:pPr>
        <w:keepNext/>
        <w:spacing w:after="0" w:line="240" w:lineRule="auto"/>
        <w:rPr>
          <w:rFonts w:ascii="Times New Roman" w:eastAsia="Times New Roman" w:hAnsi="Times New Roman"/>
          <w:u w:val="single"/>
          <w:lang w:eastAsia="ja-JP"/>
        </w:rPr>
      </w:pPr>
      <w:r w:rsidRPr="00F36DBF">
        <w:rPr>
          <w:rFonts w:ascii="Times New Roman" w:eastAsia="Times New Roman" w:hAnsi="Times New Roman"/>
          <w:u w:val="single"/>
          <w:lang w:eastAsia="ja-JP"/>
        </w:rPr>
        <w:t>Kontracepcija vyrams ir moterims</w:t>
      </w:r>
    </w:p>
    <w:p w14:paraId="3F5FDB67" w14:textId="77777777" w:rsidR="00E850F6" w:rsidRDefault="00E850F6" w:rsidP="00E850F6">
      <w:pPr>
        <w:pStyle w:val="Default"/>
        <w:rPr>
          <w:sz w:val="22"/>
          <w:szCs w:val="22"/>
        </w:rPr>
      </w:pPr>
      <w:r>
        <w:rPr>
          <w:sz w:val="22"/>
          <w:szCs w:val="22"/>
        </w:rPr>
        <w:t>Dėl galimo toksinio ir teratogeninio poveikio vaisingoms moterims būtina pasiūlyti, kad gydymo metu ir dar mažiausiai 30 dienų po gydymo pabaigos naudotųsi veiksminga kontracepcija. Pacientams vyrams būtina patarti, kad jis naudotų barjerines kontracepcijos priemones gydymo metu ir ne mažiau kaip 90 dienų po jo, nebent jis yra užtikrintas, kad jo partnerei tikimybės pastoti nėra (žr. 4.4 ir 5.3 skyrių).</w:t>
      </w:r>
    </w:p>
    <w:p w14:paraId="5B70C72C" w14:textId="77777777" w:rsidR="00E850F6" w:rsidRPr="00F36DBF" w:rsidRDefault="00E850F6" w:rsidP="00E850F6">
      <w:pPr>
        <w:spacing w:after="0" w:line="240" w:lineRule="auto"/>
        <w:rPr>
          <w:rFonts w:ascii="Times New Roman" w:eastAsia="Times New Roman" w:hAnsi="Times New Roman"/>
          <w:lang w:eastAsia="ja-JP"/>
        </w:rPr>
      </w:pPr>
    </w:p>
    <w:p w14:paraId="1095CB23" w14:textId="77777777" w:rsidR="00E850F6" w:rsidRPr="00F36DBF" w:rsidRDefault="00E850F6" w:rsidP="00E850F6">
      <w:pPr>
        <w:spacing w:after="0" w:line="240" w:lineRule="auto"/>
        <w:rPr>
          <w:rFonts w:ascii="Times New Roman" w:eastAsia="Times New Roman" w:hAnsi="Times New Roman"/>
          <w:u w:val="single"/>
          <w:lang w:eastAsia="ja-JP"/>
        </w:rPr>
      </w:pPr>
      <w:r w:rsidRPr="00F36DBF">
        <w:rPr>
          <w:rFonts w:ascii="Times New Roman" w:eastAsia="Times New Roman" w:hAnsi="Times New Roman"/>
          <w:u w:val="single"/>
          <w:lang w:eastAsia="ja-JP"/>
        </w:rPr>
        <w:t>Nėštumas</w:t>
      </w:r>
    </w:p>
    <w:p w14:paraId="5D9EC39F" w14:textId="77777777" w:rsidR="00E850F6" w:rsidRPr="00F36DBF" w:rsidRDefault="00E850F6" w:rsidP="00E850F6">
      <w:pPr>
        <w:spacing w:after="0" w:line="240" w:lineRule="auto"/>
        <w:rPr>
          <w:rFonts w:ascii="Times New Roman" w:eastAsia="Times New Roman" w:hAnsi="Times New Roman"/>
          <w:lang w:eastAsia="ja-JP"/>
        </w:rPr>
      </w:pPr>
      <w:r w:rsidRPr="00F36DBF">
        <w:rPr>
          <w:rFonts w:ascii="Times New Roman" w:eastAsia="Times New Roman" w:hAnsi="Times New Roman"/>
          <w:lang w:eastAsia="ja-JP"/>
        </w:rPr>
        <w:t xml:space="preserve">Valcyte </w:t>
      </w:r>
      <w:r>
        <w:rPr>
          <w:rFonts w:ascii="Times New Roman" w:eastAsia="Times New Roman" w:hAnsi="Times New Roman"/>
          <w:lang w:eastAsia="ja-JP"/>
        </w:rPr>
        <w:t xml:space="preserve">saugumas </w:t>
      </w:r>
      <w:r w:rsidRPr="00F36DBF">
        <w:rPr>
          <w:rFonts w:ascii="Times New Roman" w:eastAsia="Times New Roman" w:hAnsi="Times New Roman"/>
          <w:lang w:eastAsia="ja-JP"/>
        </w:rPr>
        <w:t>nėštumo metu n</w:t>
      </w:r>
      <w:r>
        <w:rPr>
          <w:rFonts w:ascii="Times New Roman" w:eastAsia="Times New Roman" w:hAnsi="Times New Roman"/>
          <w:lang w:eastAsia="ja-JP"/>
        </w:rPr>
        <w:t>eištirtas</w:t>
      </w:r>
      <w:r w:rsidRPr="00F36DBF">
        <w:rPr>
          <w:rFonts w:ascii="Times New Roman" w:eastAsia="Times New Roman" w:hAnsi="Times New Roman"/>
          <w:lang w:eastAsia="ja-JP"/>
        </w:rPr>
        <w:t>. Veiklusis metabolitas gancikloviras lengvai prasiskverbia per žmogaus placentą. Atsižvelgiant į farmakologinį veikimo būdą ir tyrimuose su gyvūnais nustatytą gancikloviro toksinį poveikį reprodukcijai (žr. 5.3</w:t>
      </w:r>
      <w:r>
        <w:rPr>
          <w:rFonts w:ascii="Times New Roman" w:eastAsia="Times New Roman" w:hAnsi="Times New Roman"/>
          <w:lang w:eastAsia="ja-JP"/>
        </w:rPr>
        <w:t> </w:t>
      </w:r>
      <w:r w:rsidRPr="00F36DBF">
        <w:rPr>
          <w:rFonts w:ascii="Times New Roman" w:eastAsia="Times New Roman" w:hAnsi="Times New Roman"/>
          <w:lang w:eastAsia="ja-JP"/>
        </w:rPr>
        <w:t>skyrių), teoriškai vaistas gali būti teratogeniškas žmogui.</w:t>
      </w:r>
    </w:p>
    <w:p w14:paraId="2EC396A9" w14:textId="77777777" w:rsidR="00E850F6" w:rsidRPr="00F36DBF" w:rsidRDefault="00E850F6" w:rsidP="00E850F6">
      <w:pPr>
        <w:spacing w:after="0" w:line="240" w:lineRule="auto"/>
        <w:rPr>
          <w:rFonts w:ascii="Times New Roman" w:eastAsia="Times New Roman" w:hAnsi="Times New Roman"/>
          <w:lang w:eastAsia="ja-JP"/>
        </w:rPr>
      </w:pPr>
    </w:p>
    <w:p w14:paraId="20779A74" w14:textId="77777777" w:rsidR="00E850F6" w:rsidRPr="00F36DBF" w:rsidRDefault="00E850F6" w:rsidP="00E850F6">
      <w:pPr>
        <w:spacing w:after="0" w:line="240" w:lineRule="auto"/>
        <w:rPr>
          <w:rFonts w:ascii="Times New Roman" w:eastAsia="Times New Roman" w:hAnsi="Times New Roman"/>
          <w:lang w:eastAsia="ja-JP"/>
        </w:rPr>
      </w:pPr>
      <w:r w:rsidRPr="00F36DBF">
        <w:rPr>
          <w:rFonts w:ascii="Times New Roman" w:eastAsia="Times New Roman" w:hAnsi="Times New Roman"/>
          <w:lang w:eastAsia="ja-JP"/>
        </w:rPr>
        <w:t>Valcyte negalima vartoti nėštumo metu, jei moters gydymo svarba nėra didesnė už galimą teratogeninį poveikį vaisiui.</w:t>
      </w:r>
    </w:p>
    <w:p w14:paraId="276D0B71" w14:textId="77777777" w:rsidR="00E850F6" w:rsidRPr="00F36DBF" w:rsidRDefault="00E850F6" w:rsidP="00E850F6">
      <w:pPr>
        <w:spacing w:after="0" w:line="240" w:lineRule="auto"/>
        <w:rPr>
          <w:rFonts w:ascii="Times New Roman" w:eastAsia="Times New Roman" w:hAnsi="Times New Roman"/>
          <w:lang w:eastAsia="ja-JP"/>
        </w:rPr>
      </w:pPr>
    </w:p>
    <w:p w14:paraId="1D5CA37A" w14:textId="77777777" w:rsidR="00E850F6" w:rsidRPr="00402217" w:rsidRDefault="00E850F6" w:rsidP="00E850F6">
      <w:pPr>
        <w:keepNext/>
        <w:spacing w:after="0" w:line="240" w:lineRule="auto"/>
        <w:rPr>
          <w:rFonts w:ascii="Times New Roman" w:hAnsi="Times New Roman"/>
        </w:rPr>
      </w:pPr>
      <w:r w:rsidRPr="00F36DBF">
        <w:rPr>
          <w:rFonts w:ascii="Times New Roman" w:eastAsia="Times New Roman" w:hAnsi="Times New Roman"/>
          <w:u w:val="single"/>
          <w:lang w:eastAsia="ja-JP"/>
        </w:rPr>
        <w:t>Žindymas</w:t>
      </w:r>
    </w:p>
    <w:p w14:paraId="05F8465B" w14:textId="77777777" w:rsidR="00E850F6" w:rsidRPr="00F36DBF" w:rsidRDefault="00E850F6" w:rsidP="00E850F6">
      <w:pPr>
        <w:spacing w:after="0" w:line="240" w:lineRule="auto"/>
        <w:rPr>
          <w:rFonts w:ascii="Times New Roman" w:eastAsia="Times New Roman" w:hAnsi="Times New Roman"/>
          <w:spacing w:val="-2"/>
          <w:lang w:eastAsia="ja-JP"/>
        </w:rPr>
      </w:pPr>
      <w:r w:rsidRPr="00F36DBF">
        <w:rPr>
          <w:rFonts w:ascii="Times New Roman" w:eastAsia="Times New Roman" w:hAnsi="Times New Roman"/>
          <w:snapToGrid w:val="0"/>
          <w:lang w:eastAsia="ja-JP"/>
        </w:rPr>
        <w:t>Nežinoma, ar gancikloviras p</w:t>
      </w:r>
      <w:r>
        <w:rPr>
          <w:rFonts w:ascii="Times New Roman" w:eastAsia="Times New Roman" w:hAnsi="Times New Roman"/>
          <w:snapToGrid w:val="0"/>
          <w:lang w:eastAsia="ja-JP"/>
        </w:rPr>
        <w:t>atenka</w:t>
      </w:r>
      <w:r w:rsidRPr="00F36DBF">
        <w:rPr>
          <w:rFonts w:ascii="Times New Roman" w:eastAsia="Times New Roman" w:hAnsi="Times New Roman"/>
          <w:snapToGrid w:val="0"/>
          <w:lang w:eastAsia="ja-JP"/>
        </w:rPr>
        <w:t xml:space="preserve"> į moters pieną, bet į tokią galimybę ir sunkų šalutinį poveikį žindomam kūdikiui reikia atsižvelgti. </w:t>
      </w:r>
      <w:r>
        <w:rPr>
          <w:rFonts w:ascii="Times New Roman" w:eastAsia="Times New Roman" w:hAnsi="Times New Roman"/>
          <w:snapToGrid w:val="0"/>
          <w:lang w:eastAsia="ja-JP"/>
        </w:rPr>
        <w:t xml:space="preserve">Tyrimų su gyvūnais duomenys rodo, kad gancikloviras patenka į laktuojančių žiurkių patelių pieną. </w:t>
      </w:r>
      <w:r w:rsidRPr="00F36DBF">
        <w:rPr>
          <w:rFonts w:ascii="Times New Roman" w:eastAsia="Times New Roman" w:hAnsi="Times New Roman"/>
          <w:spacing w:val="-2"/>
          <w:lang w:eastAsia="ja-JP"/>
        </w:rPr>
        <w:t>Taigi</w:t>
      </w:r>
      <w:r>
        <w:rPr>
          <w:rFonts w:ascii="Times New Roman" w:eastAsia="Times New Roman" w:hAnsi="Times New Roman"/>
          <w:spacing w:val="-2"/>
          <w:lang w:eastAsia="ja-JP"/>
        </w:rPr>
        <w:t>, gydymo valgancikloviru metu</w:t>
      </w:r>
      <w:r w:rsidRPr="00F36DBF">
        <w:rPr>
          <w:rFonts w:ascii="Times New Roman" w:eastAsia="Times New Roman" w:hAnsi="Times New Roman"/>
          <w:spacing w:val="-2"/>
          <w:lang w:eastAsia="ja-JP"/>
        </w:rPr>
        <w:t xml:space="preserve"> kūdikio žindymą reikia nutraukti </w:t>
      </w:r>
      <w:r w:rsidRPr="00402217">
        <w:rPr>
          <w:rFonts w:ascii="Times New Roman" w:hAnsi="Times New Roman"/>
        </w:rPr>
        <w:t>(žr. 4.3 </w:t>
      </w:r>
      <w:r>
        <w:rPr>
          <w:rFonts w:ascii="Times New Roman" w:eastAsia="Times New Roman" w:hAnsi="Times New Roman"/>
          <w:lang w:eastAsia="ja-JP"/>
        </w:rPr>
        <w:t>ir 5.3 </w:t>
      </w:r>
      <w:r w:rsidRPr="00F36DBF">
        <w:rPr>
          <w:rFonts w:ascii="Times New Roman" w:eastAsia="Times New Roman" w:hAnsi="Times New Roman"/>
          <w:lang w:eastAsia="ja-JP"/>
        </w:rPr>
        <w:t>skyri</w:t>
      </w:r>
      <w:r>
        <w:rPr>
          <w:rFonts w:ascii="Times New Roman" w:eastAsia="Times New Roman" w:hAnsi="Times New Roman"/>
          <w:lang w:eastAsia="ja-JP"/>
        </w:rPr>
        <w:t>us</w:t>
      </w:r>
      <w:r w:rsidRPr="00402217">
        <w:rPr>
          <w:rFonts w:ascii="Times New Roman" w:hAnsi="Times New Roman"/>
        </w:rPr>
        <w:t>)</w:t>
      </w:r>
      <w:r w:rsidRPr="00F36DBF">
        <w:rPr>
          <w:rFonts w:ascii="Times New Roman" w:eastAsia="Times New Roman" w:hAnsi="Times New Roman"/>
          <w:spacing w:val="-2"/>
          <w:lang w:eastAsia="ja-JP"/>
        </w:rPr>
        <w:t>.</w:t>
      </w:r>
    </w:p>
    <w:p w14:paraId="20AFCC08" w14:textId="77777777" w:rsidR="00E850F6" w:rsidRPr="00402217" w:rsidRDefault="00E850F6" w:rsidP="00E850F6">
      <w:pPr>
        <w:spacing w:after="0" w:line="240" w:lineRule="auto"/>
        <w:rPr>
          <w:rFonts w:ascii="Times New Roman" w:hAnsi="Times New Roman"/>
        </w:rPr>
      </w:pPr>
    </w:p>
    <w:p w14:paraId="13330083" w14:textId="77777777" w:rsidR="00E850F6" w:rsidRPr="00F36DBF" w:rsidRDefault="00E850F6" w:rsidP="00E850F6">
      <w:pPr>
        <w:spacing w:after="0" w:line="240" w:lineRule="auto"/>
        <w:rPr>
          <w:rFonts w:ascii="Times New Roman" w:eastAsia="Times New Roman" w:hAnsi="Times New Roman"/>
          <w:u w:val="single"/>
          <w:lang w:eastAsia="ja-JP"/>
        </w:rPr>
      </w:pPr>
      <w:r w:rsidRPr="00F36DBF">
        <w:rPr>
          <w:rFonts w:ascii="Times New Roman" w:eastAsia="Times New Roman" w:hAnsi="Times New Roman"/>
          <w:u w:val="single"/>
          <w:lang w:eastAsia="ja-JP"/>
        </w:rPr>
        <w:t>Vaisingumas</w:t>
      </w:r>
    </w:p>
    <w:p w14:paraId="26A75E82" w14:textId="77777777" w:rsidR="00636DA1" w:rsidRPr="00636DA1" w:rsidRDefault="001E72BA" w:rsidP="00636DA1">
      <w:pPr>
        <w:spacing w:after="0" w:line="240" w:lineRule="auto"/>
        <w:rPr>
          <w:rFonts w:ascii="Times New Roman" w:eastAsia="Times New Roman" w:hAnsi="Times New Roman"/>
          <w:lang w:eastAsia="ja-JP"/>
        </w:rPr>
      </w:pPr>
      <w:r>
        <w:rPr>
          <w:rFonts w:ascii="Times New Roman" w:eastAsia="Times New Roman" w:hAnsi="Times New Roman"/>
          <w:lang w:eastAsia="ja-JP"/>
        </w:rPr>
        <w:t>Nedideliu</w:t>
      </w:r>
      <w:r w:rsidR="00636DA1" w:rsidRPr="00636DA1">
        <w:rPr>
          <w:rFonts w:ascii="Times New Roman" w:eastAsia="Times New Roman" w:hAnsi="Times New Roman"/>
          <w:lang w:eastAsia="ja-JP"/>
        </w:rPr>
        <w:t xml:space="preserve"> klinikini</w:t>
      </w:r>
      <w:r>
        <w:rPr>
          <w:rFonts w:ascii="Times New Roman" w:eastAsia="Times New Roman" w:hAnsi="Times New Roman"/>
          <w:lang w:eastAsia="ja-JP"/>
        </w:rPr>
        <w:t>u</w:t>
      </w:r>
      <w:r w:rsidR="00636DA1" w:rsidRPr="00636DA1">
        <w:rPr>
          <w:rFonts w:ascii="Times New Roman" w:eastAsia="Times New Roman" w:hAnsi="Times New Roman"/>
          <w:lang w:eastAsia="ja-JP"/>
        </w:rPr>
        <w:t xml:space="preserve"> tyrim</w:t>
      </w:r>
      <w:r>
        <w:rPr>
          <w:rFonts w:ascii="Times New Roman" w:eastAsia="Times New Roman" w:hAnsi="Times New Roman"/>
          <w:lang w:eastAsia="ja-JP"/>
        </w:rPr>
        <w:t>u</w:t>
      </w:r>
      <w:r w:rsidR="00636DA1" w:rsidRPr="00636DA1">
        <w:rPr>
          <w:rFonts w:ascii="Times New Roman" w:eastAsia="Times New Roman" w:hAnsi="Times New Roman"/>
          <w:lang w:eastAsia="ja-JP"/>
        </w:rPr>
        <w:t>, kuriame dalyvav</w:t>
      </w:r>
      <w:r w:rsidR="006C2B48">
        <w:rPr>
          <w:rFonts w:ascii="Times New Roman" w:eastAsia="Times New Roman" w:hAnsi="Times New Roman"/>
          <w:lang w:eastAsia="ja-JP"/>
        </w:rPr>
        <w:t>usiems</w:t>
      </w:r>
      <w:r w:rsidR="00636DA1" w:rsidRPr="00636DA1">
        <w:rPr>
          <w:rFonts w:ascii="Times New Roman" w:eastAsia="Times New Roman" w:hAnsi="Times New Roman"/>
          <w:lang w:eastAsia="ja-JP"/>
        </w:rPr>
        <w:t xml:space="preserve"> </w:t>
      </w:r>
      <w:r w:rsidR="006C2B48">
        <w:rPr>
          <w:rFonts w:ascii="Times New Roman" w:eastAsia="Times New Roman" w:hAnsi="Times New Roman"/>
          <w:lang w:eastAsia="ja-JP"/>
        </w:rPr>
        <w:t>persodintą</w:t>
      </w:r>
      <w:r w:rsidR="00636DA1" w:rsidRPr="00636DA1">
        <w:rPr>
          <w:rFonts w:ascii="Times New Roman" w:eastAsia="Times New Roman" w:hAnsi="Times New Roman"/>
          <w:lang w:eastAsia="ja-JP"/>
        </w:rPr>
        <w:t xml:space="preserve"> </w:t>
      </w:r>
      <w:r w:rsidR="006C2B48" w:rsidRPr="00636DA1">
        <w:rPr>
          <w:rFonts w:ascii="Times New Roman" w:eastAsia="Times New Roman" w:hAnsi="Times New Roman"/>
          <w:lang w:eastAsia="ja-JP"/>
        </w:rPr>
        <w:t>inkst</w:t>
      </w:r>
      <w:r w:rsidR="006C2B48">
        <w:rPr>
          <w:rFonts w:ascii="Times New Roman" w:eastAsia="Times New Roman" w:hAnsi="Times New Roman"/>
          <w:lang w:eastAsia="ja-JP"/>
        </w:rPr>
        <w:t>ą turintiems</w:t>
      </w:r>
      <w:r w:rsidR="006C2B48" w:rsidRPr="00636DA1">
        <w:rPr>
          <w:rFonts w:ascii="Times New Roman" w:eastAsia="Times New Roman" w:hAnsi="Times New Roman"/>
          <w:lang w:eastAsia="ja-JP"/>
        </w:rPr>
        <w:t xml:space="preserve"> pacienta</w:t>
      </w:r>
      <w:r w:rsidR="006C2B48">
        <w:rPr>
          <w:rFonts w:ascii="Times New Roman" w:eastAsia="Times New Roman" w:hAnsi="Times New Roman"/>
          <w:lang w:eastAsia="ja-JP"/>
        </w:rPr>
        <w:t xml:space="preserve">ms </w:t>
      </w:r>
      <w:r w:rsidR="00636DA1" w:rsidRPr="00636DA1">
        <w:rPr>
          <w:rFonts w:ascii="Times New Roman" w:eastAsia="Times New Roman" w:hAnsi="Times New Roman"/>
          <w:lang w:eastAsia="ja-JP"/>
        </w:rPr>
        <w:t xml:space="preserve">buvo </w:t>
      </w:r>
      <w:r w:rsidR="006C2B48">
        <w:rPr>
          <w:rFonts w:ascii="Times New Roman" w:eastAsia="Times New Roman" w:hAnsi="Times New Roman"/>
          <w:lang w:eastAsia="ja-JP"/>
        </w:rPr>
        <w:t xml:space="preserve">taikyta </w:t>
      </w:r>
      <w:r w:rsidR="006C2B48" w:rsidRPr="00636DA1">
        <w:rPr>
          <w:rFonts w:ascii="Times New Roman" w:eastAsia="Times New Roman" w:hAnsi="Times New Roman"/>
          <w:lang w:eastAsia="ja-JP"/>
        </w:rPr>
        <w:t>iki 200 dienų</w:t>
      </w:r>
      <w:r w:rsidR="006C2B48">
        <w:rPr>
          <w:rFonts w:ascii="Times New Roman" w:eastAsia="Times New Roman" w:hAnsi="Times New Roman"/>
          <w:lang w:eastAsia="ja-JP"/>
        </w:rPr>
        <w:t xml:space="preserve"> trukmės</w:t>
      </w:r>
      <w:r w:rsidR="006C2B48" w:rsidRPr="00636DA1">
        <w:rPr>
          <w:rFonts w:ascii="Times New Roman" w:eastAsia="Times New Roman" w:hAnsi="Times New Roman"/>
          <w:lang w:eastAsia="ja-JP"/>
        </w:rPr>
        <w:t xml:space="preserve"> CMV profilaktik</w:t>
      </w:r>
      <w:r w:rsidR="006C2B48">
        <w:rPr>
          <w:rFonts w:ascii="Times New Roman" w:eastAsia="Times New Roman" w:hAnsi="Times New Roman"/>
          <w:lang w:eastAsia="ja-JP"/>
        </w:rPr>
        <w:t>a</w:t>
      </w:r>
      <w:r w:rsidR="00636DA1" w:rsidRPr="00636DA1">
        <w:rPr>
          <w:rFonts w:ascii="Times New Roman" w:eastAsia="Times New Roman" w:hAnsi="Times New Roman"/>
          <w:lang w:eastAsia="ja-JP"/>
        </w:rPr>
        <w:t xml:space="preserve"> Valcyte,</w:t>
      </w:r>
      <w:r>
        <w:rPr>
          <w:rFonts w:ascii="Times New Roman" w:eastAsia="Times New Roman" w:hAnsi="Times New Roman"/>
          <w:lang w:eastAsia="ja-JP"/>
        </w:rPr>
        <w:t xml:space="preserve"> buvo</w:t>
      </w:r>
      <w:r w:rsidR="00636DA1" w:rsidRPr="00636DA1">
        <w:rPr>
          <w:rFonts w:ascii="Times New Roman" w:eastAsia="Times New Roman" w:hAnsi="Times New Roman"/>
          <w:lang w:eastAsia="ja-JP"/>
        </w:rPr>
        <w:t xml:space="preserve"> </w:t>
      </w:r>
      <w:r w:rsidR="006C2B48">
        <w:rPr>
          <w:rFonts w:ascii="Times New Roman" w:eastAsia="Times New Roman" w:hAnsi="Times New Roman"/>
          <w:lang w:eastAsia="ja-JP"/>
        </w:rPr>
        <w:t>į</w:t>
      </w:r>
      <w:r w:rsidR="00636DA1" w:rsidRPr="00636DA1">
        <w:rPr>
          <w:rFonts w:ascii="Times New Roman" w:eastAsia="Times New Roman" w:hAnsi="Times New Roman"/>
          <w:lang w:eastAsia="ja-JP"/>
        </w:rPr>
        <w:t>rod</w:t>
      </w:r>
      <w:r>
        <w:rPr>
          <w:rFonts w:ascii="Times New Roman" w:eastAsia="Times New Roman" w:hAnsi="Times New Roman"/>
          <w:lang w:eastAsia="ja-JP"/>
        </w:rPr>
        <w:t>ytas</w:t>
      </w:r>
      <w:r w:rsidR="00636DA1" w:rsidRPr="00636DA1">
        <w:rPr>
          <w:rFonts w:ascii="Times New Roman" w:eastAsia="Times New Roman" w:hAnsi="Times New Roman"/>
          <w:lang w:eastAsia="ja-JP"/>
        </w:rPr>
        <w:t xml:space="preserve"> valgancikloviro poveik</w:t>
      </w:r>
      <w:r>
        <w:rPr>
          <w:rFonts w:ascii="Times New Roman" w:eastAsia="Times New Roman" w:hAnsi="Times New Roman"/>
          <w:lang w:eastAsia="ja-JP"/>
        </w:rPr>
        <w:t>is</w:t>
      </w:r>
      <w:r w:rsidR="00636DA1" w:rsidRPr="00636DA1">
        <w:rPr>
          <w:rFonts w:ascii="Times New Roman" w:eastAsia="Times New Roman" w:hAnsi="Times New Roman"/>
          <w:lang w:eastAsia="ja-JP"/>
        </w:rPr>
        <w:t xml:space="preserve"> spermatogenezei, </w:t>
      </w:r>
      <w:r w:rsidR="006C2B48">
        <w:rPr>
          <w:rFonts w:ascii="Times New Roman" w:eastAsia="Times New Roman" w:hAnsi="Times New Roman"/>
          <w:lang w:eastAsia="ja-JP"/>
        </w:rPr>
        <w:t xml:space="preserve">t. y., </w:t>
      </w:r>
      <w:r w:rsidR="008F424A">
        <w:rPr>
          <w:rFonts w:ascii="Times New Roman" w:eastAsia="Times New Roman" w:hAnsi="Times New Roman"/>
          <w:lang w:eastAsia="ja-JP"/>
        </w:rPr>
        <w:t>baigus</w:t>
      </w:r>
      <w:r w:rsidR="006C2B48" w:rsidRPr="00636DA1">
        <w:rPr>
          <w:rFonts w:ascii="Times New Roman" w:eastAsia="Times New Roman" w:hAnsi="Times New Roman"/>
          <w:lang w:eastAsia="ja-JP"/>
        </w:rPr>
        <w:t xml:space="preserve"> gydym</w:t>
      </w:r>
      <w:r w:rsidR="008F424A">
        <w:rPr>
          <w:rFonts w:ascii="Times New Roman" w:eastAsia="Times New Roman" w:hAnsi="Times New Roman"/>
          <w:lang w:eastAsia="ja-JP"/>
        </w:rPr>
        <w:t>ą</w:t>
      </w:r>
      <w:r w:rsidR="006C2B48" w:rsidRPr="00636DA1">
        <w:rPr>
          <w:rFonts w:ascii="Times New Roman" w:eastAsia="Times New Roman" w:hAnsi="Times New Roman"/>
          <w:lang w:eastAsia="ja-JP"/>
        </w:rPr>
        <w:t xml:space="preserve"> </w:t>
      </w:r>
      <w:r>
        <w:rPr>
          <w:rFonts w:ascii="Times New Roman" w:eastAsia="Times New Roman" w:hAnsi="Times New Roman"/>
          <w:lang w:eastAsia="ja-JP"/>
        </w:rPr>
        <w:t xml:space="preserve">buvo </w:t>
      </w:r>
      <w:r w:rsidR="006C2B48">
        <w:rPr>
          <w:rFonts w:ascii="Times New Roman" w:eastAsia="Times New Roman" w:hAnsi="Times New Roman"/>
          <w:lang w:eastAsia="ja-JP"/>
        </w:rPr>
        <w:t xml:space="preserve">išmatuotas </w:t>
      </w:r>
      <w:r w:rsidRPr="00636DA1">
        <w:rPr>
          <w:rFonts w:ascii="Times New Roman" w:eastAsia="Times New Roman" w:hAnsi="Times New Roman"/>
          <w:lang w:eastAsia="ja-JP"/>
        </w:rPr>
        <w:t>sumažėj</w:t>
      </w:r>
      <w:r>
        <w:rPr>
          <w:rFonts w:ascii="Times New Roman" w:eastAsia="Times New Roman" w:hAnsi="Times New Roman"/>
          <w:lang w:eastAsia="ja-JP"/>
        </w:rPr>
        <w:t>ę</w:t>
      </w:r>
      <w:r w:rsidRPr="00636DA1">
        <w:rPr>
          <w:rFonts w:ascii="Times New Roman" w:eastAsia="Times New Roman" w:hAnsi="Times New Roman"/>
          <w:lang w:eastAsia="ja-JP"/>
        </w:rPr>
        <w:t>s</w:t>
      </w:r>
      <w:r>
        <w:rPr>
          <w:rFonts w:ascii="Times New Roman" w:eastAsia="Times New Roman" w:hAnsi="Times New Roman"/>
          <w:lang w:eastAsia="ja-JP"/>
        </w:rPr>
        <w:t xml:space="preserve"> </w:t>
      </w:r>
      <w:r w:rsidR="006C2B48">
        <w:rPr>
          <w:rFonts w:ascii="Times New Roman" w:eastAsia="Times New Roman" w:hAnsi="Times New Roman"/>
          <w:lang w:eastAsia="ja-JP"/>
        </w:rPr>
        <w:t xml:space="preserve">spermos tankis ir </w:t>
      </w:r>
      <w:r w:rsidR="00636DA1" w:rsidRPr="00636DA1">
        <w:rPr>
          <w:rFonts w:ascii="Times New Roman" w:eastAsia="Times New Roman" w:hAnsi="Times New Roman"/>
          <w:lang w:eastAsia="ja-JP"/>
        </w:rPr>
        <w:t>spermatozoid</w:t>
      </w:r>
      <w:r w:rsidR="006C2B48">
        <w:rPr>
          <w:rFonts w:ascii="Times New Roman" w:eastAsia="Times New Roman" w:hAnsi="Times New Roman"/>
          <w:lang w:eastAsia="ja-JP"/>
        </w:rPr>
        <w:t>ų</w:t>
      </w:r>
      <w:r w:rsidR="00636DA1" w:rsidRPr="00636DA1">
        <w:rPr>
          <w:rFonts w:ascii="Times New Roman" w:eastAsia="Times New Roman" w:hAnsi="Times New Roman"/>
          <w:lang w:eastAsia="ja-JP"/>
        </w:rPr>
        <w:t xml:space="preserve"> jud</w:t>
      </w:r>
      <w:r w:rsidR="006C2B48">
        <w:rPr>
          <w:rFonts w:ascii="Times New Roman" w:eastAsia="Times New Roman" w:hAnsi="Times New Roman"/>
          <w:lang w:eastAsia="ja-JP"/>
        </w:rPr>
        <w:t>rumas</w:t>
      </w:r>
      <w:r w:rsidR="00636DA1" w:rsidRPr="00636DA1">
        <w:rPr>
          <w:rFonts w:ascii="Times New Roman" w:eastAsia="Times New Roman" w:hAnsi="Times New Roman"/>
          <w:lang w:eastAsia="ja-JP"/>
        </w:rPr>
        <w:t>. Atrodo, kad šis poveikis yra grįžtamas</w:t>
      </w:r>
      <w:r w:rsidR="006C2B48">
        <w:rPr>
          <w:rFonts w:ascii="Times New Roman" w:eastAsia="Times New Roman" w:hAnsi="Times New Roman"/>
          <w:lang w:eastAsia="ja-JP"/>
        </w:rPr>
        <w:t>,</w:t>
      </w:r>
      <w:r w:rsidR="00636DA1" w:rsidRPr="00636DA1">
        <w:rPr>
          <w:rFonts w:ascii="Times New Roman" w:eastAsia="Times New Roman" w:hAnsi="Times New Roman"/>
          <w:lang w:eastAsia="ja-JP"/>
        </w:rPr>
        <w:t xml:space="preserve"> ir praėjus maždaug šešiems mėnesiams po gydymo Valcyte nutraukimo vidutinis spermos tankis ir </w:t>
      </w:r>
      <w:r w:rsidR="006C2B48">
        <w:rPr>
          <w:rFonts w:ascii="Times New Roman" w:eastAsia="Times New Roman" w:hAnsi="Times New Roman"/>
          <w:lang w:eastAsia="ja-JP"/>
        </w:rPr>
        <w:t>spermatozoidų judrumas</w:t>
      </w:r>
      <w:r w:rsidR="00636DA1" w:rsidRPr="00636DA1">
        <w:rPr>
          <w:rFonts w:ascii="Times New Roman" w:eastAsia="Times New Roman" w:hAnsi="Times New Roman"/>
          <w:lang w:eastAsia="ja-JP"/>
        </w:rPr>
        <w:t xml:space="preserve"> atsi</w:t>
      </w:r>
      <w:r w:rsidR="006C2B48">
        <w:rPr>
          <w:rFonts w:ascii="Times New Roman" w:eastAsia="Times New Roman" w:hAnsi="Times New Roman"/>
          <w:lang w:eastAsia="ja-JP"/>
        </w:rPr>
        <w:t>statė</w:t>
      </w:r>
      <w:r w:rsidR="00636DA1" w:rsidRPr="00636DA1">
        <w:rPr>
          <w:rFonts w:ascii="Times New Roman" w:eastAsia="Times New Roman" w:hAnsi="Times New Roman"/>
          <w:lang w:eastAsia="ja-JP"/>
        </w:rPr>
        <w:t xml:space="preserve"> iki tokio lygio, kuris buvo steb</w:t>
      </w:r>
      <w:r w:rsidR="006C2B48">
        <w:rPr>
          <w:rFonts w:ascii="Times New Roman" w:eastAsia="Times New Roman" w:hAnsi="Times New Roman"/>
          <w:lang w:eastAsia="ja-JP"/>
        </w:rPr>
        <w:t>ėta</w:t>
      </w:r>
      <w:r w:rsidR="00636DA1" w:rsidRPr="00636DA1">
        <w:rPr>
          <w:rFonts w:ascii="Times New Roman" w:eastAsia="Times New Roman" w:hAnsi="Times New Roman"/>
          <w:lang w:eastAsia="ja-JP"/>
        </w:rPr>
        <w:t>s ne</w:t>
      </w:r>
      <w:r w:rsidR="006C2B48">
        <w:rPr>
          <w:rFonts w:ascii="Times New Roman" w:eastAsia="Times New Roman" w:hAnsi="Times New Roman"/>
          <w:lang w:eastAsia="ja-JP"/>
        </w:rPr>
        <w:t>gydytiems</w:t>
      </w:r>
      <w:r w:rsidR="00636DA1" w:rsidRPr="00636DA1">
        <w:rPr>
          <w:rFonts w:ascii="Times New Roman" w:eastAsia="Times New Roman" w:hAnsi="Times New Roman"/>
          <w:lang w:eastAsia="ja-JP"/>
        </w:rPr>
        <w:t xml:space="preserve"> kontrol</w:t>
      </w:r>
      <w:r w:rsidR="006C2B48">
        <w:rPr>
          <w:rFonts w:ascii="Times New Roman" w:eastAsia="Times New Roman" w:hAnsi="Times New Roman"/>
          <w:lang w:eastAsia="ja-JP"/>
        </w:rPr>
        <w:t>ės grupės tiriamiesiems</w:t>
      </w:r>
      <w:r w:rsidR="00636DA1" w:rsidRPr="00636DA1">
        <w:rPr>
          <w:rFonts w:ascii="Times New Roman" w:eastAsia="Times New Roman" w:hAnsi="Times New Roman"/>
          <w:lang w:eastAsia="ja-JP"/>
        </w:rPr>
        <w:t>.</w:t>
      </w:r>
    </w:p>
    <w:p w14:paraId="7DE16E8D" w14:textId="77777777" w:rsidR="00636DA1" w:rsidRPr="00636DA1" w:rsidRDefault="00636DA1" w:rsidP="00636DA1">
      <w:pPr>
        <w:spacing w:after="0" w:line="240" w:lineRule="auto"/>
        <w:rPr>
          <w:rFonts w:ascii="Times New Roman" w:eastAsia="Times New Roman" w:hAnsi="Times New Roman"/>
          <w:lang w:eastAsia="ja-JP"/>
        </w:rPr>
      </w:pPr>
    </w:p>
    <w:p w14:paraId="4C5B0272" w14:textId="77777777" w:rsidR="00636DA1" w:rsidRPr="00636DA1" w:rsidRDefault="00636DA1" w:rsidP="00636DA1">
      <w:pPr>
        <w:spacing w:after="0" w:line="240" w:lineRule="auto"/>
        <w:rPr>
          <w:rFonts w:ascii="Times New Roman" w:eastAsia="Times New Roman" w:hAnsi="Times New Roman"/>
          <w:lang w:eastAsia="ja-JP"/>
        </w:rPr>
      </w:pPr>
      <w:r w:rsidRPr="00636DA1">
        <w:rPr>
          <w:rFonts w:ascii="Times New Roman" w:eastAsia="Times New Roman" w:hAnsi="Times New Roman"/>
          <w:lang w:eastAsia="ja-JP"/>
        </w:rPr>
        <w:t>Tyrimų su gyvūnais metu gancikloviras sumažino pel</w:t>
      </w:r>
      <w:r w:rsidR="006C2B48">
        <w:rPr>
          <w:rFonts w:ascii="Times New Roman" w:eastAsia="Times New Roman" w:hAnsi="Times New Roman"/>
          <w:lang w:eastAsia="ja-JP"/>
        </w:rPr>
        <w:t>ių patelių ir patinėlių</w:t>
      </w:r>
      <w:r w:rsidRPr="00636DA1">
        <w:rPr>
          <w:rFonts w:ascii="Times New Roman" w:eastAsia="Times New Roman" w:hAnsi="Times New Roman"/>
          <w:lang w:eastAsia="ja-JP"/>
        </w:rPr>
        <w:t xml:space="preserve"> vaisingumą</w:t>
      </w:r>
      <w:r w:rsidR="001E72BA">
        <w:rPr>
          <w:rFonts w:ascii="Times New Roman" w:eastAsia="Times New Roman" w:hAnsi="Times New Roman"/>
          <w:lang w:eastAsia="ja-JP"/>
        </w:rPr>
        <w:t>, o su</w:t>
      </w:r>
      <w:r w:rsidR="006C2B48" w:rsidRPr="00636DA1">
        <w:rPr>
          <w:rFonts w:ascii="Times New Roman" w:eastAsia="Times New Roman" w:hAnsi="Times New Roman"/>
          <w:lang w:eastAsia="ja-JP"/>
        </w:rPr>
        <w:t xml:space="preserve"> kliniškai reikšmingo</w:t>
      </w:r>
      <w:r w:rsidR="001E72BA">
        <w:rPr>
          <w:rFonts w:ascii="Times New Roman" w:eastAsia="Times New Roman" w:hAnsi="Times New Roman"/>
          <w:lang w:eastAsia="ja-JP"/>
        </w:rPr>
        <w:t>mi</w:t>
      </w:r>
      <w:r w:rsidR="006C2B48" w:rsidRPr="00636DA1">
        <w:rPr>
          <w:rFonts w:ascii="Times New Roman" w:eastAsia="Times New Roman" w:hAnsi="Times New Roman"/>
          <w:lang w:eastAsia="ja-JP"/>
        </w:rPr>
        <w:t>s</w:t>
      </w:r>
      <w:r w:rsidR="001E72BA">
        <w:rPr>
          <w:rFonts w:ascii="Times New Roman" w:eastAsia="Times New Roman" w:hAnsi="Times New Roman"/>
          <w:lang w:eastAsia="ja-JP"/>
        </w:rPr>
        <w:t xml:space="preserve"> dozėmis</w:t>
      </w:r>
      <w:r w:rsidR="006C2B48">
        <w:rPr>
          <w:rFonts w:ascii="Times New Roman" w:eastAsia="Times New Roman" w:hAnsi="Times New Roman"/>
          <w:lang w:eastAsia="ja-JP"/>
        </w:rPr>
        <w:t xml:space="preserve"> įrodyta</w:t>
      </w:r>
      <w:r w:rsidRPr="00636DA1">
        <w:rPr>
          <w:rFonts w:ascii="Times New Roman" w:eastAsia="Times New Roman" w:hAnsi="Times New Roman"/>
          <w:lang w:eastAsia="ja-JP"/>
        </w:rPr>
        <w:t xml:space="preserve">, kad jis slopina </w:t>
      </w:r>
      <w:r w:rsidR="001E72BA" w:rsidRPr="00636DA1">
        <w:rPr>
          <w:rFonts w:ascii="Times New Roman" w:eastAsia="Times New Roman" w:hAnsi="Times New Roman"/>
          <w:lang w:eastAsia="ja-JP"/>
        </w:rPr>
        <w:t>pel</w:t>
      </w:r>
      <w:r w:rsidR="001E72BA">
        <w:rPr>
          <w:rFonts w:ascii="Times New Roman" w:eastAsia="Times New Roman" w:hAnsi="Times New Roman"/>
          <w:lang w:eastAsia="ja-JP"/>
        </w:rPr>
        <w:t>ių</w:t>
      </w:r>
      <w:r w:rsidR="001E72BA" w:rsidRPr="00636DA1">
        <w:rPr>
          <w:rFonts w:ascii="Times New Roman" w:eastAsia="Times New Roman" w:hAnsi="Times New Roman"/>
          <w:lang w:eastAsia="ja-JP"/>
        </w:rPr>
        <w:t>, žiurk</w:t>
      </w:r>
      <w:r w:rsidR="001E72BA">
        <w:rPr>
          <w:rFonts w:ascii="Times New Roman" w:eastAsia="Times New Roman" w:hAnsi="Times New Roman"/>
          <w:lang w:eastAsia="ja-JP"/>
        </w:rPr>
        <w:t>ių</w:t>
      </w:r>
      <w:r w:rsidR="001E72BA" w:rsidRPr="00636DA1">
        <w:rPr>
          <w:rFonts w:ascii="Times New Roman" w:eastAsia="Times New Roman" w:hAnsi="Times New Roman"/>
          <w:lang w:eastAsia="ja-JP"/>
        </w:rPr>
        <w:t xml:space="preserve"> ir šun</w:t>
      </w:r>
      <w:r w:rsidR="001E72BA">
        <w:rPr>
          <w:rFonts w:ascii="Times New Roman" w:eastAsia="Times New Roman" w:hAnsi="Times New Roman"/>
          <w:lang w:eastAsia="ja-JP"/>
        </w:rPr>
        <w:t>ų</w:t>
      </w:r>
      <w:r w:rsidR="001E72BA" w:rsidRPr="006C2B48">
        <w:rPr>
          <w:rFonts w:ascii="Times New Roman" w:eastAsia="Times New Roman" w:hAnsi="Times New Roman"/>
          <w:lang w:eastAsia="ja-JP"/>
        </w:rPr>
        <w:t xml:space="preserve"> </w:t>
      </w:r>
      <w:r w:rsidRPr="00636DA1">
        <w:rPr>
          <w:rFonts w:ascii="Times New Roman" w:eastAsia="Times New Roman" w:hAnsi="Times New Roman"/>
          <w:lang w:eastAsia="ja-JP"/>
        </w:rPr>
        <w:t xml:space="preserve">spermatogenezę ir sukelia </w:t>
      </w:r>
      <w:r w:rsidR="006C2B48" w:rsidRPr="00636DA1">
        <w:rPr>
          <w:rFonts w:ascii="Times New Roman" w:eastAsia="Times New Roman" w:hAnsi="Times New Roman"/>
          <w:lang w:eastAsia="ja-JP"/>
        </w:rPr>
        <w:t>sėklidžių atrofiją</w:t>
      </w:r>
      <w:r w:rsidRPr="00636DA1">
        <w:rPr>
          <w:rFonts w:ascii="Times New Roman" w:eastAsia="Times New Roman" w:hAnsi="Times New Roman"/>
          <w:lang w:eastAsia="ja-JP"/>
        </w:rPr>
        <w:t>.</w:t>
      </w:r>
    </w:p>
    <w:p w14:paraId="5A79A68E" w14:textId="77777777" w:rsidR="00636DA1" w:rsidRPr="00636DA1" w:rsidRDefault="00636DA1" w:rsidP="00636DA1">
      <w:pPr>
        <w:spacing w:after="0" w:line="240" w:lineRule="auto"/>
        <w:rPr>
          <w:rFonts w:ascii="Times New Roman" w:eastAsia="Times New Roman" w:hAnsi="Times New Roman"/>
          <w:lang w:eastAsia="ja-JP"/>
        </w:rPr>
      </w:pPr>
    </w:p>
    <w:p w14:paraId="07F778F2" w14:textId="77777777" w:rsidR="00E850F6" w:rsidRPr="00F36DBF" w:rsidRDefault="00636DA1" w:rsidP="00636DA1">
      <w:pPr>
        <w:spacing w:after="0" w:line="240" w:lineRule="auto"/>
        <w:rPr>
          <w:rFonts w:ascii="Times New Roman" w:eastAsia="Times New Roman" w:hAnsi="Times New Roman"/>
          <w:lang w:eastAsia="ja-JP"/>
        </w:rPr>
      </w:pPr>
      <w:r w:rsidRPr="00636DA1">
        <w:rPr>
          <w:rFonts w:ascii="Times New Roman" w:eastAsia="Times New Roman" w:hAnsi="Times New Roman"/>
          <w:lang w:eastAsia="ja-JP"/>
        </w:rPr>
        <w:t xml:space="preserve">Remiantis klinikiniais ir </w:t>
      </w:r>
      <w:r w:rsidR="006C2B48">
        <w:rPr>
          <w:rFonts w:ascii="Times New Roman" w:eastAsia="Times New Roman" w:hAnsi="Times New Roman"/>
          <w:lang w:eastAsia="ja-JP"/>
        </w:rPr>
        <w:t>iki</w:t>
      </w:r>
      <w:r w:rsidRPr="00636DA1">
        <w:rPr>
          <w:rFonts w:ascii="Times New Roman" w:eastAsia="Times New Roman" w:hAnsi="Times New Roman"/>
          <w:lang w:eastAsia="ja-JP"/>
        </w:rPr>
        <w:t xml:space="preserve">klinikiniais tyrimais manoma, kad gancikloviras (ir valgancikloviras) gali </w:t>
      </w:r>
      <w:r w:rsidR="006C2B48" w:rsidRPr="00636DA1">
        <w:rPr>
          <w:rFonts w:ascii="Times New Roman" w:eastAsia="Times New Roman" w:hAnsi="Times New Roman"/>
          <w:lang w:eastAsia="ja-JP"/>
        </w:rPr>
        <w:t>žmog</w:t>
      </w:r>
      <w:r w:rsidR="006C2B48">
        <w:rPr>
          <w:rFonts w:ascii="Times New Roman" w:eastAsia="Times New Roman" w:hAnsi="Times New Roman"/>
          <w:lang w:eastAsia="ja-JP"/>
        </w:rPr>
        <w:t>ui</w:t>
      </w:r>
      <w:r w:rsidRPr="00636DA1">
        <w:rPr>
          <w:rFonts w:ascii="Times New Roman" w:eastAsia="Times New Roman" w:hAnsi="Times New Roman"/>
          <w:lang w:eastAsia="ja-JP"/>
        </w:rPr>
        <w:t xml:space="preserve"> laikin</w:t>
      </w:r>
      <w:r w:rsidR="006C2B48">
        <w:rPr>
          <w:rFonts w:ascii="Times New Roman" w:eastAsia="Times New Roman" w:hAnsi="Times New Roman"/>
          <w:lang w:eastAsia="ja-JP"/>
        </w:rPr>
        <w:t>ai</w:t>
      </w:r>
      <w:r w:rsidRPr="00636DA1">
        <w:rPr>
          <w:rFonts w:ascii="Times New Roman" w:eastAsia="Times New Roman" w:hAnsi="Times New Roman"/>
          <w:lang w:eastAsia="ja-JP"/>
        </w:rPr>
        <w:t xml:space="preserve"> ar nuolat</w:t>
      </w:r>
      <w:r w:rsidR="006C2B48">
        <w:rPr>
          <w:rFonts w:ascii="Times New Roman" w:eastAsia="Times New Roman" w:hAnsi="Times New Roman"/>
          <w:lang w:eastAsia="ja-JP"/>
        </w:rPr>
        <w:t xml:space="preserve"> </w:t>
      </w:r>
      <w:r w:rsidR="001E72BA">
        <w:rPr>
          <w:rFonts w:ascii="Times New Roman" w:eastAsia="Times New Roman" w:hAnsi="Times New Roman"/>
          <w:lang w:eastAsia="ja-JP"/>
        </w:rPr>
        <w:t>nu</w:t>
      </w:r>
      <w:r w:rsidR="006C2B48">
        <w:rPr>
          <w:rFonts w:ascii="Times New Roman" w:eastAsia="Times New Roman" w:hAnsi="Times New Roman"/>
          <w:lang w:eastAsia="ja-JP"/>
        </w:rPr>
        <w:t>slopinti</w:t>
      </w:r>
      <w:r w:rsidRPr="00636DA1">
        <w:rPr>
          <w:rFonts w:ascii="Times New Roman" w:eastAsia="Times New Roman" w:hAnsi="Times New Roman"/>
          <w:lang w:eastAsia="ja-JP"/>
        </w:rPr>
        <w:t xml:space="preserve"> spermatogenez</w:t>
      </w:r>
      <w:r w:rsidR="006C2B48">
        <w:rPr>
          <w:rFonts w:ascii="Times New Roman" w:eastAsia="Times New Roman" w:hAnsi="Times New Roman"/>
          <w:lang w:eastAsia="ja-JP"/>
        </w:rPr>
        <w:t>ę</w:t>
      </w:r>
      <w:r w:rsidR="00E850F6" w:rsidRPr="00F36DBF">
        <w:rPr>
          <w:rFonts w:ascii="Times New Roman" w:eastAsia="Times New Roman" w:hAnsi="Times New Roman"/>
          <w:lang w:eastAsia="ja-JP"/>
        </w:rPr>
        <w:t xml:space="preserve"> (žr. </w:t>
      </w:r>
      <w:r>
        <w:rPr>
          <w:rFonts w:ascii="Times New Roman" w:eastAsia="Times New Roman" w:hAnsi="Times New Roman"/>
          <w:lang w:eastAsia="ja-JP"/>
        </w:rPr>
        <w:t xml:space="preserve">4.4 ir </w:t>
      </w:r>
      <w:r w:rsidR="00E850F6" w:rsidRPr="00F36DBF">
        <w:rPr>
          <w:rFonts w:ascii="Times New Roman" w:eastAsia="Times New Roman" w:hAnsi="Times New Roman"/>
          <w:lang w:eastAsia="ja-JP"/>
        </w:rPr>
        <w:t>5.3</w:t>
      </w:r>
      <w:r w:rsidR="00E850F6">
        <w:rPr>
          <w:rFonts w:ascii="Times New Roman" w:eastAsia="Times New Roman" w:hAnsi="Times New Roman"/>
          <w:lang w:eastAsia="ja-JP"/>
        </w:rPr>
        <w:t> </w:t>
      </w:r>
      <w:r w:rsidR="00E850F6" w:rsidRPr="00F36DBF">
        <w:rPr>
          <w:rFonts w:ascii="Times New Roman" w:eastAsia="Times New Roman" w:hAnsi="Times New Roman"/>
          <w:lang w:eastAsia="ja-JP"/>
        </w:rPr>
        <w:t>skyri</w:t>
      </w:r>
      <w:r>
        <w:rPr>
          <w:rFonts w:ascii="Times New Roman" w:eastAsia="Times New Roman" w:hAnsi="Times New Roman"/>
          <w:lang w:eastAsia="ja-JP"/>
        </w:rPr>
        <w:t>us</w:t>
      </w:r>
      <w:r w:rsidR="00E850F6" w:rsidRPr="00F36DBF">
        <w:rPr>
          <w:rFonts w:ascii="Times New Roman" w:eastAsia="Times New Roman" w:hAnsi="Times New Roman"/>
          <w:lang w:eastAsia="ja-JP"/>
        </w:rPr>
        <w:t>).</w:t>
      </w:r>
    </w:p>
    <w:p w14:paraId="3BE789D8" w14:textId="77777777" w:rsidR="00E850F6" w:rsidRPr="00F36DBF" w:rsidRDefault="00E850F6" w:rsidP="00E850F6">
      <w:pPr>
        <w:spacing w:after="0" w:line="240" w:lineRule="auto"/>
        <w:rPr>
          <w:rFonts w:ascii="Times New Roman" w:eastAsia="Times New Roman" w:hAnsi="Times New Roman"/>
          <w:lang w:eastAsia="ja-JP"/>
        </w:rPr>
      </w:pPr>
    </w:p>
    <w:p w14:paraId="3CA00A92" w14:textId="77777777" w:rsidR="00E850F6" w:rsidRPr="00F36DBF" w:rsidRDefault="00E850F6" w:rsidP="00E850F6">
      <w:pPr>
        <w:spacing w:after="0" w:line="240" w:lineRule="auto"/>
        <w:ind w:left="567" w:hanging="567"/>
        <w:outlineLvl w:val="1"/>
        <w:rPr>
          <w:rFonts w:ascii="Times New Roman" w:eastAsia="Times New Roman" w:hAnsi="Times New Roman"/>
          <w:b/>
          <w:kern w:val="28"/>
          <w:lang w:eastAsia="ja-JP"/>
        </w:rPr>
      </w:pPr>
      <w:r w:rsidRPr="00F36DBF">
        <w:rPr>
          <w:rFonts w:ascii="Times New Roman" w:eastAsia="Times New Roman" w:hAnsi="Times New Roman"/>
          <w:b/>
          <w:kern w:val="28"/>
          <w:lang w:eastAsia="ja-JP"/>
        </w:rPr>
        <w:t>4.7</w:t>
      </w:r>
      <w:r w:rsidRPr="00F36DBF">
        <w:rPr>
          <w:rFonts w:ascii="Times New Roman" w:eastAsia="Times New Roman" w:hAnsi="Times New Roman"/>
          <w:b/>
          <w:kern w:val="28"/>
          <w:lang w:eastAsia="ja-JP"/>
        </w:rPr>
        <w:tab/>
        <w:t>Poveikis gebėjimui vairuoti ir valdyti mechanizmus</w:t>
      </w:r>
    </w:p>
    <w:p w14:paraId="62C25A7B" w14:textId="77777777" w:rsidR="00E850F6" w:rsidRPr="00F36DBF" w:rsidRDefault="00E850F6" w:rsidP="00E850F6">
      <w:pPr>
        <w:spacing w:after="0" w:line="240" w:lineRule="auto"/>
        <w:rPr>
          <w:rFonts w:ascii="Times New Roman" w:eastAsia="Times New Roman" w:hAnsi="Times New Roman"/>
          <w:lang w:eastAsia="ja-JP"/>
        </w:rPr>
      </w:pPr>
    </w:p>
    <w:p w14:paraId="5515F98C" w14:textId="77777777" w:rsidR="00E850F6" w:rsidRPr="00F36DBF" w:rsidRDefault="00E850F6" w:rsidP="00E850F6">
      <w:pPr>
        <w:spacing w:after="0" w:line="240" w:lineRule="auto"/>
        <w:rPr>
          <w:rFonts w:ascii="Times New Roman" w:eastAsia="Times New Roman" w:hAnsi="Times New Roman"/>
          <w:lang w:eastAsia="ja-JP"/>
        </w:rPr>
      </w:pPr>
      <w:r w:rsidRPr="00F36DBF">
        <w:rPr>
          <w:rFonts w:ascii="Times New Roman" w:eastAsia="Times New Roman" w:hAnsi="Times New Roman"/>
          <w:lang w:eastAsia="ja-JP"/>
        </w:rPr>
        <w:t>Poveikis gebėjimui vairuoti ir valdyti mechanizmus netirtas.</w:t>
      </w:r>
    </w:p>
    <w:p w14:paraId="47135A08" w14:textId="77777777" w:rsidR="00E850F6" w:rsidRPr="00F36DBF" w:rsidRDefault="00E850F6" w:rsidP="00E850F6">
      <w:pPr>
        <w:spacing w:after="0" w:line="240" w:lineRule="auto"/>
        <w:jc w:val="both"/>
        <w:rPr>
          <w:rFonts w:ascii="Times New Roman" w:eastAsia="Times New Roman" w:hAnsi="Times New Roman"/>
          <w:lang w:eastAsia="ja-JP"/>
        </w:rPr>
      </w:pPr>
    </w:p>
    <w:p w14:paraId="4C71CD81" w14:textId="77777777" w:rsidR="00E850F6" w:rsidRPr="00F36DBF" w:rsidRDefault="00E850F6" w:rsidP="00E850F6">
      <w:pPr>
        <w:spacing w:after="0" w:line="240" w:lineRule="auto"/>
        <w:rPr>
          <w:rFonts w:ascii="Times New Roman" w:eastAsia="Times New Roman" w:hAnsi="Times New Roman"/>
          <w:lang w:eastAsia="ja-JP"/>
        </w:rPr>
      </w:pPr>
      <w:r w:rsidRPr="00F36DBF">
        <w:rPr>
          <w:rFonts w:ascii="Times New Roman" w:eastAsia="Times New Roman" w:hAnsi="Times New Roman"/>
          <w:lang w:eastAsia="ja-JP"/>
        </w:rPr>
        <w:t xml:space="preserve">Valcyte ir </w:t>
      </w:r>
      <w:r w:rsidR="006C2B48">
        <w:rPr>
          <w:rFonts w:ascii="Times New Roman" w:eastAsia="Times New Roman" w:hAnsi="Times New Roman"/>
          <w:lang w:eastAsia="ja-JP"/>
        </w:rPr>
        <w:t xml:space="preserve">(arba) </w:t>
      </w:r>
      <w:r w:rsidRPr="00F36DBF">
        <w:rPr>
          <w:rFonts w:ascii="Times New Roman" w:eastAsia="Times New Roman" w:hAnsi="Times New Roman"/>
          <w:lang w:eastAsia="ja-JP"/>
        </w:rPr>
        <w:t xml:space="preserve">gancikloviras gali sukelti </w:t>
      </w:r>
      <w:r w:rsidR="006C2B48">
        <w:rPr>
          <w:rFonts w:ascii="Times New Roman" w:eastAsia="Times New Roman" w:hAnsi="Times New Roman"/>
          <w:lang w:eastAsia="ja-JP"/>
        </w:rPr>
        <w:t xml:space="preserve">nepageidaujamas reakcijas, tokias kaip </w:t>
      </w:r>
      <w:r w:rsidRPr="00F36DBF">
        <w:rPr>
          <w:rFonts w:ascii="Times New Roman" w:eastAsia="Times New Roman" w:hAnsi="Times New Roman"/>
          <w:lang w:eastAsia="ja-JP"/>
        </w:rPr>
        <w:t>traukuli</w:t>
      </w:r>
      <w:r w:rsidR="006C2B48">
        <w:rPr>
          <w:rFonts w:ascii="Times New Roman" w:eastAsia="Times New Roman" w:hAnsi="Times New Roman"/>
          <w:lang w:eastAsia="ja-JP"/>
        </w:rPr>
        <w:t>ai</w:t>
      </w:r>
      <w:r w:rsidRPr="00F36DBF">
        <w:rPr>
          <w:rFonts w:ascii="Times New Roman" w:eastAsia="Times New Roman" w:hAnsi="Times New Roman"/>
          <w:lang w:eastAsia="ja-JP"/>
        </w:rPr>
        <w:t>,</w:t>
      </w:r>
      <w:r w:rsidR="001E72BA">
        <w:rPr>
          <w:rFonts w:ascii="Times New Roman" w:eastAsia="Times New Roman" w:hAnsi="Times New Roman"/>
          <w:lang w:eastAsia="ja-JP"/>
        </w:rPr>
        <w:t xml:space="preserve"> </w:t>
      </w:r>
      <w:r w:rsidRPr="00F36DBF">
        <w:rPr>
          <w:rFonts w:ascii="Times New Roman" w:eastAsia="Times New Roman" w:hAnsi="Times New Roman"/>
          <w:lang w:eastAsia="ja-JP"/>
        </w:rPr>
        <w:t>svaigul</w:t>
      </w:r>
      <w:r w:rsidR="006C2B48">
        <w:rPr>
          <w:rFonts w:ascii="Times New Roman" w:eastAsia="Times New Roman" w:hAnsi="Times New Roman"/>
          <w:lang w:eastAsia="ja-JP"/>
        </w:rPr>
        <w:t>ys ar sumišimas</w:t>
      </w:r>
      <w:r w:rsidRPr="00F36DBF">
        <w:rPr>
          <w:rFonts w:ascii="Times New Roman" w:eastAsia="Times New Roman" w:hAnsi="Times New Roman"/>
          <w:lang w:eastAsia="ja-JP"/>
        </w:rPr>
        <w:t xml:space="preserve">. Dėl to gali </w:t>
      </w:r>
      <w:r w:rsidR="001E72BA">
        <w:rPr>
          <w:rFonts w:ascii="Times New Roman" w:eastAsia="Times New Roman" w:hAnsi="Times New Roman"/>
          <w:lang w:eastAsia="ja-JP"/>
        </w:rPr>
        <w:t>pakisti paciento gebėjimai</w:t>
      </w:r>
      <w:r w:rsidRPr="00F36DBF">
        <w:rPr>
          <w:rFonts w:ascii="Times New Roman" w:eastAsia="Times New Roman" w:hAnsi="Times New Roman"/>
          <w:lang w:eastAsia="ja-JP"/>
        </w:rPr>
        <w:t xml:space="preserve"> vairuoti ir valdyti veikiančius įrenginius.</w:t>
      </w:r>
    </w:p>
    <w:p w14:paraId="44E5BD95" w14:textId="77777777" w:rsidR="00E850F6" w:rsidRPr="00F36DBF" w:rsidRDefault="00E850F6" w:rsidP="00E850F6">
      <w:pPr>
        <w:spacing w:after="0" w:line="240" w:lineRule="auto"/>
        <w:ind w:left="567" w:hanging="567"/>
        <w:outlineLvl w:val="1"/>
        <w:rPr>
          <w:rFonts w:ascii="Times New Roman" w:eastAsia="Times New Roman" w:hAnsi="Times New Roman"/>
          <w:b/>
          <w:kern w:val="28"/>
          <w:lang w:eastAsia="ja-JP"/>
        </w:rPr>
      </w:pPr>
    </w:p>
    <w:p w14:paraId="3CA6D04D" w14:textId="77777777" w:rsidR="00E850F6" w:rsidRPr="00F36DBF" w:rsidRDefault="00E850F6" w:rsidP="00E850F6">
      <w:pPr>
        <w:keepNext/>
        <w:spacing w:after="0" w:line="240" w:lineRule="auto"/>
        <w:ind w:left="567" w:hanging="567"/>
        <w:outlineLvl w:val="1"/>
        <w:rPr>
          <w:rFonts w:ascii="Times New Roman" w:eastAsia="Times New Roman" w:hAnsi="Times New Roman"/>
          <w:b/>
          <w:kern w:val="28"/>
          <w:lang w:eastAsia="ja-JP"/>
        </w:rPr>
      </w:pPr>
      <w:r w:rsidRPr="00F36DBF">
        <w:rPr>
          <w:rFonts w:ascii="Times New Roman" w:eastAsia="Times New Roman" w:hAnsi="Times New Roman"/>
          <w:b/>
          <w:kern w:val="28"/>
          <w:lang w:eastAsia="ja-JP"/>
        </w:rPr>
        <w:t>4.8</w:t>
      </w:r>
      <w:r w:rsidRPr="00F36DBF">
        <w:rPr>
          <w:rFonts w:ascii="Times New Roman" w:eastAsia="Times New Roman" w:hAnsi="Times New Roman"/>
          <w:b/>
          <w:kern w:val="28"/>
          <w:lang w:eastAsia="ja-JP"/>
        </w:rPr>
        <w:tab/>
        <w:t>Nepageidaujamas poveikis</w:t>
      </w:r>
    </w:p>
    <w:p w14:paraId="6691E546" w14:textId="77777777" w:rsidR="00E850F6" w:rsidRPr="00F36DBF" w:rsidRDefault="00E850F6" w:rsidP="00E850F6">
      <w:pPr>
        <w:keepNext/>
        <w:spacing w:after="0" w:line="240" w:lineRule="auto"/>
        <w:ind w:left="567" w:hanging="567"/>
        <w:rPr>
          <w:rFonts w:ascii="Times New Roman" w:eastAsia="Times New Roman" w:hAnsi="Times New Roman"/>
          <w:lang w:eastAsia="ja-JP"/>
        </w:rPr>
      </w:pPr>
    </w:p>
    <w:p w14:paraId="06159D54" w14:textId="77777777" w:rsidR="00E850F6" w:rsidRPr="00F36DBF" w:rsidRDefault="00E850F6" w:rsidP="00E850F6">
      <w:pPr>
        <w:keepNext/>
        <w:numPr>
          <w:ilvl w:val="0"/>
          <w:numId w:val="33"/>
        </w:numPr>
        <w:spacing w:after="0" w:line="240" w:lineRule="auto"/>
        <w:ind w:left="567" w:hanging="567"/>
        <w:rPr>
          <w:rFonts w:ascii="Times New Roman" w:eastAsia="Times New Roman" w:hAnsi="Times New Roman"/>
          <w:b/>
          <w:i/>
          <w:lang w:eastAsia="ja-JP"/>
        </w:rPr>
      </w:pPr>
      <w:r w:rsidRPr="00F36DBF">
        <w:rPr>
          <w:rFonts w:ascii="Times New Roman" w:eastAsia="Times New Roman" w:hAnsi="Times New Roman"/>
          <w:b/>
          <w:i/>
          <w:lang w:eastAsia="ja-JP"/>
        </w:rPr>
        <w:t>Saugumo duomenų santrauka</w:t>
      </w:r>
    </w:p>
    <w:p w14:paraId="06414C67" w14:textId="77777777" w:rsidR="00E850F6" w:rsidRPr="00F36DBF" w:rsidRDefault="00E850F6" w:rsidP="00E850F6">
      <w:pPr>
        <w:keepNext/>
        <w:spacing w:after="0" w:line="240" w:lineRule="auto"/>
        <w:ind w:left="567" w:hanging="567"/>
        <w:rPr>
          <w:rFonts w:ascii="Times New Roman" w:eastAsia="Times New Roman" w:hAnsi="Times New Roman"/>
          <w:lang w:eastAsia="ja-JP"/>
        </w:rPr>
      </w:pPr>
    </w:p>
    <w:p w14:paraId="121CB754" w14:textId="77777777" w:rsidR="00E850F6" w:rsidRPr="00F36DBF" w:rsidRDefault="00E850F6" w:rsidP="00E850F6">
      <w:pPr>
        <w:keepNext/>
        <w:spacing w:after="0" w:line="240" w:lineRule="auto"/>
        <w:rPr>
          <w:rFonts w:ascii="Times New Roman" w:eastAsia="Times New Roman" w:hAnsi="Times New Roman"/>
          <w:lang w:eastAsia="ja-JP"/>
        </w:rPr>
      </w:pPr>
      <w:r w:rsidRPr="00F36DBF">
        <w:rPr>
          <w:rFonts w:ascii="Times New Roman" w:eastAsia="Times New Roman" w:hAnsi="Times New Roman"/>
          <w:lang w:eastAsia="ja-JP"/>
        </w:rPr>
        <w:t>Išgertas valgancikloviras greitai ir gausiai metabolizuojamas į ganciklovirą, taigi valgancikloviras yra gancikloviro pirmtakas. Nepageidaujamu poveikiu, kurį sukelia gancikloviras, gali pasižymėti ir valgancikloviras. Vis</w:t>
      </w:r>
      <w:r>
        <w:rPr>
          <w:rFonts w:ascii="Times New Roman" w:eastAsia="Times New Roman" w:hAnsi="Times New Roman"/>
          <w:lang w:eastAsia="ja-JP"/>
        </w:rPr>
        <w:t>os</w:t>
      </w:r>
      <w:r w:rsidRPr="00F36DBF">
        <w:rPr>
          <w:rFonts w:ascii="Times New Roman" w:eastAsia="Times New Roman" w:hAnsi="Times New Roman"/>
          <w:lang w:eastAsia="ja-JP"/>
        </w:rPr>
        <w:t xml:space="preserve"> nepageidaujam</w:t>
      </w:r>
      <w:r>
        <w:rPr>
          <w:rFonts w:ascii="Times New Roman" w:eastAsia="Times New Roman" w:hAnsi="Times New Roman"/>
          <w:lang w:eastAsia="ja-JP"/>
        </w:rPr>
        <w:t>os</w:t>
      </w:r>
      <w:r w:rsidRPr="00F36DBF">
        <w:rPr>
          <w:rFonts w:ascii="Times New Roman" w:eastAsia="Times New Roman" w:hAnsi="Times New Roman"/>
          <w:lang w:eastAsia="ja-JP"/>
        </w:rPr>
        <w:t xml:space="preserve"> re</w:t>
      </w:r>
      <w:r>
        <w:rPr>
          <w:rFonts w:ascii="Times New Roman" w:eastAsia="Times New Roman" w:hAnsi="Times New Roman"/>
          <w:lang w:eastAsia="ja-JP"/>
        </w:rPr>
        <w:t>akcijos į vaistą</w:t>
      </w:r>
      <w:r w:rsidRPr="00F36DBF">
        <w:rPr>
          <w:rFonts w:ascii="Times New Roman" w:eastAsia="Times New Roman" w:hAnsi="Times New Roman"/>
          <w:lang w:eastAsia="ja-JP"/>
        </w:rPr>
        <w:t>, nustatyt</w:t>
      </w:r>
      <w:r>
        <w:rPr>
          <w:rFonts w:ascii="Times New Roman" w:eastAsia="Times New Roman" w:hAnsi="Times New Roman"/>
          <w:lang w:eastAsia="ja-JP"/>
        </w:rPr>
        <w:t>os</w:t>
      </w:r>
      <w:r w:rsidRPr="00F36DBF">
        <w:rPr>
          <w:rFonts w:ascii="Times New Roman" w:eastAsia="Times New Roman" w:hAnsi="Times New Roman"/>
          <w:lang w:eastAsia="ja-JP"/>
        </w:rPr>
        <w:t xml:space="preserve"> atliekant klinikinius valgancikloviro tyrimus, anksčiau buvo pastebėt</w:t>
      </w:r>
      <w:r>
        <w:rPr>
          <w:rFonts w:ascii="Times New Roman" w:eastAsia="Times New Roman" w:hAnsi="Times New Roman"/>
          <w:lang w:eastAsia="ja-JP"/>
        </w:rPr>
        <w:t>os</w:t>
      </w:r>
      <w:r w:rsidRPr="00F36DBF">
        <w:rPr>
          <w:rFonts w:ascii="Times New Roman" w:eastAsia="Times New Roman" w:hAnsi="Times New Roman"/>
          <w:lang w:eastAsia="ja-JP"/>
        </w:rPr>
        <w:t xml:space="preserve"> vartojant ganciklovirą. </w:t>
      </w:r>
      <w:r w:rsidRPr="004938FE">
        <w:rPr>
          <w:rFonts w:ascii="Times New Roman" w:eastAsia="Times New Roman" w:hAnsi="Times New Roman"/>
          <w:lang w:eastAsia="ja-JP"/>
        </w:rPr>
        <w:t>T</w:t>
      </w:r>
      <w:r>
        <w:rPr>
          <w:rFonts w:ascii="Times New Roman" w:eastAsia="Times New Roman" w:hAnsi="Times New Roman"/>
          <w:lang w:eastAsia="ja-JP"/>
        </w:rPr>
        <w:t>aigi</w:t>
      </w:r>
      <w:r w:rsidRPr="004938FE">
        <w:rPr>
          <w:rFonts w:ascii="Times New Roman" w:eastAsia="Times New Roman" w:hAnsi="Times New Roman"/>
          <w:lang w:eastAsia="ja-JP"/>
        </w:rPr>
        <w:t>, nepageidaujamos reakcijos</w:t>
      </w:r>
      <w:r>
        <w:rPr>
          <w:rFonts w:ascii="Times New Roman" w:eastAsia="Times New Roman" w:hAnsi="Times New Roman"/>
          <w:lang w:eastAsia="ja-JP"/>
        </w:rPr>
        <w:t xml:space="preserve"> į vaistą</w:t>
      </w:r>
      <w:r w:rsidRPr="004938FE">
        <w:rPr>
          <w:rFonts w:ascii="Times New Roman" w:eastAsia="Times New Roman" w:hAnsi="Times New Roman"/>
          <w:lang w:eastAsia="ja-JP"/>
        </w:rPr>
        <w:t xml:space="preserve">, </w:t>
      </w:r>
      <w:r>
        <w:rPr>
          <w:rFonts w:ascii="Times New Roman" w:eastAsia="Times New Roman" w:hAnsi="Times New Roman"/>
          <w:lang w:eastAsia="ja-JP"/>
        </w:rPr>
        <w:t>pastebėtos vartojant leidžiamą į veną ganciklovirą, geriamąjį ganciklovirą</w:t>
      </w:r>
      <w:r w:rsidRPr="004938FE">
        <w:rPr>
          <w:rFonts w:ascii="Times New Roman" w:eastAsia="Times New Roman" w:hAnsi="Times New Roman"/>
          <w:lang w:eastAsia="ja-JP"/>
        </w:rPr>
        <w:t xml:space="preserve"> (</w:t>
      </w:r>
      <w:r>
        <w:rPr>
          <w:rFonts w:ascii="Times New Roman" w:eastAsia="Times New Roman" w:hAnsi="Times New Roman"/>
          <w:lang w:eastAsia="ja-JP"/>
        </w:rPr>
        <w:t xml:space="preserve">ši </w:t>
      </w:r>
      <w:r>
        <w:rPr>
          <w:rFonts w:ascii="Times New Roman" w:eastAsia="Times New Roman" w:hAnsi="Times New Roman"/>
          <w:lang w:eastAsia="ja-JP"/>
        </w:rPr>
        <w:lastRenderedPageBreak/>
        <w:t xml:space="preserve">farmacinė forma nebetiekiama) arba </w:t>
      </w:r>
      <w:r w:rsidRPr="004938FE">
        <w:rPr>
          <w:rFonts w:ascii="Times New Roman" w:eastAsia="Times New Roman" w:hAnsi="Times New Roman"/>
          <w:lang w:eastAsia="ja-JP"/>
        </w:rPr>
        <w:t>valganciklovirą</w:t>
      </w:r>
      <w:r>
        <w:rPr>
          <w:rFonts w:ascii="Times New Roman" w:eastAsia="Times New Roman" w:hAnsi="Times New Roman"/>
          <w:lang w:eastAsia="ja-JP"/>
        </w:rPr>
        <w:t>, yra įtrauktos</w:t>
      </w:r>
      <w:r w:rsidRPr="004938FE">
        <w:rPr>
          <w:rFonts w:ascii="Times New Roman" w:eastAsia="Times New Roman" w:hAnsi="Times New Roman"/>
          <w:lang w:eastAsia="ja-JP"/>
        </w:rPr>
        <w:t xml:space="preserve"> į žemiau </w:t>
      </w:r>
      <w:r>
        <w:rPr>
          <w:rFonts w:ascii="Times New Roman" w:eastAsia="Times New Roman" w:hAnsi="Times New Roman"/>
          <w:lang w:eastAsia="ja-JP"/>
        </w:rPr>
        <w:t>pateiktą nepageidaujamų reakcijų lentelę</w:t>
      </w:r>
      <w:r w:rsidRPr="00402217">
        <w:rPr>
          <w:rFonts w:ascii="Times New Roman" w:hAnsi="Times New Roman"/>
        </w:rPr>
        <w:t>.</w:t>
      </w:r>
    </w:p>
    <w:p w14:paraId="72B1D5EC" w14:textId="77777777" w:rsidR="00E850F6" w:rsidRPr="00F36DBF" w:rsidRDefault="00E850F6" w:rsidP="00E850F6">
      <w:pPr>
        <w:spacing w:after="0" w:line="240" w:lineRule="auto"/>
        <w:rPr>
          <w:rFonts w:ascii="Times New Roman" w:eastAsia="Times New Roman" w:hAnsi="Times New Roman"/>
          <w:lang w:eastAsia="ja-JP"/>
        </w:rPr>
      </w:pPr>
    </w:p>
    <w:p w14:paraId="2B68B8B8" w14:textId="77777777" w:rsidR="00E850F6" w:rsidRDefault="00E850F6" w:rsidP="00E850F6">
      <w:pPr>
        <w:pStyle w:val="Default"/>
        <w:rPr>
          <w:sz w:val="22"/>
          <w:szCs w:val="22"/>
        </w:rPr>
      </w:pPr>
      <w:r>
        <w:rPr>
          <w:sz w:val="22"/>
          <w:szCs w:val="22"/>
        </w:rPr>
        <w:t>Gancikloviru ar valgancikloviru gydytiems pacientams sunkiausios ir dažniausios nepageidaujamos reakcijos į vaistą buvo hematologinės reakcijos, tokios kaip neutropenija, anemija ir trombocitopenija (žr. 4.4 skyrių).</w:t>
      </w:r>
    </w:p>
    <w:p w14:paraId="6B833997" w14:textId="77777777" w:rsidR="00E850F6" w:rsidRDefault="00E850F6" w:rsidP="00E850F6">
      <w:pPr>
        <w:pStyle w:val="Default"/>
        <w:rPr>
          <w:sz w:val="22"/>
          <w:szCs w:val="22"/>
        </w:rPr>
      </w:pPr>
    </w:p>
    <w:p w14:paraId="24455263" w14:textId="77777777" w:rsidR="00E850F6" w:rsidRDefault="00E850F6" w:rsidP="00E850F6">
      <w:pPr>
        <w:pStyle w:val="Default"/>
        <w:rPr>
          <w:sz w:val="22"/>
          <w:szCs w:val="22"/>
        </w:rPr>
      </w:pPr>
      <w:r>
        <w:rPr>
          <w:sz w:val="22"/>
          <w:szCs w:val="22"/>
        </w:rPr>
        <w:t>L</w:t>
      </w:r>
      <w:r w:rsidRPr="004E54AB">
        <w:rPr>
          <w:sz w:val="22"/>
          <w:szCs w:val="22"/>
        </w:rPr>
        <w:t xml:space="preserve">entelėje </w:t>
      </w:r>
      <w:r>
        <w:rPr>
          <w:sz w:val="22"/>
          <w:szCs w:val="22"/>
        </w:rPr>
        <w:t>pateikti</w:t>
      </w:r>
      <w:r w:rsidRPr="004E54AB">
        <w:rPr>
          <w:sz w:val="22"/>
          <w:szCs w:val="22"/>
        </w:rPr>
        <w:t xml:space="preserve"> nepageidaujamų reakcijų dažniai yra </w:t>
      </w:r>
      <w:r>
        <w:rPr>
          <w:sz w:val="22"/>
          <w:szCs w:val="22"/>
        </w:rPr>
        <w:t xml:space="preserve">nustatyti sukauptojoje </w:t>
      </w:r>
      <w:r w:rsidRPr="004E54AB">
        <w:rPr>
          <w:sz w:val="22"/>
          <w:szCs w:val="22"/>
        </w:rPr>
        <w:t>ŽIV infekuotų pacientų populiacijo</w:t>
      </w:r>
      <w:r>
        <w:rPr>
          <w:sz w:val="22"/>
          <w:szCs w:val="22"/>
        </w:rPr>
        <w:t>je</w:t>
      </w:r>
      <w:r w:rsidRPr="004E54AB">
        <w:rPr>
          <w:sz w:val="22"/>
          <w:szCs w:val="22"/>
        </w:rPr>
        <w:t xml:space="preserve"> (n = 1704), </w:t>
      </w:r>
      <w:r>
        <w:rPr>
          <w:sz w:val="22"/>
          <w:szCs w:val="22"/>
        </w:rPr>
        <w:t>kuriems taikyta palaikomoji terapija gancikloviru arba valgancikloviru</w:t>
      </w:r>
      <w:r w:rsidRPr="004E54AB">
        <w:rPr>
          <w:sz w:val="22"/>
          <w:szCs w:val="22"/>
        </w:rPr>
        <w:t xml:space="preserve">. </w:t>
      </w:r>
      <w:r>
        <w:rPr>
          <w:sz w:val="22"/>
          <w:szCs w:val="22"/>
        </w:rPr>
        <w:t>I</w:t>
      </w:r>
      <w:r w:rsidRPr="004E54AB">
        <w:rPr>
          <w:sz w:val="22"/>
          <w:szCs w:val="22"/>
        </w:rPr>
        <w:t>šimtis</w:t>
      </w:r>
      <w:r>
        <w:rPr>
          <w:sz w:val="22"/>
          <w:szCs w:val="22"/>
        </w:rPr>
        <w:t xml:space="preserve"> yra padaryta dėl a</w:t>
      </w:r>
      <w:r w:rsidRPr="004E54AB">
        <w:rPr>
          <w:sz w:val="22"/>
          <w:szCs w:val="22"/>
        </w:rPr>
        <w:t>g</w:t>
      </w:r>
      <w:r>
        <w:rPr>
          <w:sz w:val="22"/>
          <w:szCs w:val="22"/>
        </w:rPr>
        <w:t>ranulocitozės, granulocitopenijos</w:t>
      </w:r>
      <w:r w:rsidRPr="004E54AB">
        <w:rPr>
          <w:sz w:val="22"/>
          <w:szCs w:val="22"/>
        </w:rPr>
        <w:t xml:space="preserve"> ir anafilaksin</w:t>
      </w:r>
      <w:r>
        <w:rPr>
          <w:sz w:val="22"/>
          <w:szCs w:val="22"/>
        </w:rPr>
        <w:t>ės reakcijos, kurių</w:t>
      </w:r>
      <w:r w:rsidRPr="004E54AB">
        <w:rPr>
          <w:sz w:val="22"/>
          <w:szCs w:val="22"/>
        </w:rPr>
        <w:t xml:space="preserve"> dažniai </w:t>
      </w:r>
      <w:r>
        <w:rPr>
          <w:sz w:val="22"/>
          <w:szCs w:val="22"/>
        </w:rPr>
        <w:t>yra gauti vaistui jau esant rinkoje</w:t>
      </w:r>
      <w:r w:rsidRPr="004E54AB">
        <w:rPr>
          <w:sz w:val="22"/>
          <w:szCs w:val="22"/>
        </w:rPr>
        <w:t xml:space="preserve">. Nepageidaujamos reakcijos </w:t>
      </w:r>
      <w:r>
        <w:rPr>
          <w:sz w:val="22"/>
          <w:szCs w:val="22"/>
        </w:rPr>
        <w:t xml:space="preserve">yra </w:t>
      </w:r>
      <w:r w:rsidRPr="004E54AB">
        <w:rPr>
          <w:sz w:val="22"/>
          <w:szCs w:val="22"/>
        </w:rPr>
        <w:t xml:space="preserve">išvardytos pagal MedDRA organų sistemų klases. Dažnis </w:t>
      </w:r>
      <w:r>
        <w:rPr>
          <w:sz w:val="22"/>
          <w:szCs w:val="22"/>
        </w:rPr>
        <w:t xml:space="preserve">yra </w:t>
      </w:r>
      <w:r w:rsidRPr="004E54AB">
        <w:rPr>
          <w:sz w:val="22"/>
          <w:szCs w:val="22"/>
        </w:rPr>
        <w:t>apib</w:t>
      </w:r>
      <w:r>
        <w:rPr>
          <w:sz w:val="22"/>
          <w:szCs w:val="22"/>
        </w:rPr>
        <w:t>rėžtas naudojant tokį sutarimą: labai dažni (≥ 1/10), dažni (nuo ≥ </w:t>
      </w:r>
      <w:r w:rsidRPr="004E54AB">
        <w:rPr>
          <w:sz w:val="22"/>
          <w:szCs w:val="22"/>
        </w:rPr>
        <w:t>1/100 iki &lt;</w:t>
      </w:r>
      <w:r>
        <w:rPr>
          <w:sz w:val="22"/>
          <w:szCs w:val="22"/>
        </w:rPr>
        <w:t> 1/10), nedažni (nuo ≥ 1/1</w:t>
      </w:r>
      <w:r w:rsidRPr="004E54AB">
        <w:rPr>
          <w:sz w:val="22"/>
          <w:szCs w:val="22"/>
        </w:rPr>
        <w:t>000 iki &lt;</w:t>
      </w:r>
      <w:r>
        <w:rPr>
          <w:sz w:val="22"/>
          <w:szCs w:val="22"/>
        </w:rPr>
        <w:t> 1/100), reti (nuo ≥ 1/</w:t>
      </w:r>
      <w:r w:rsidRPr="004E54AB">
        <w:rPr>
          <w:sz w:val="22"/>
          <w:szCs w:val="22"/>
        </w:rPr>
        <w:t>10000 iki &lt;</w:t>
      </w:r>
      <w:r>
        <w:rPr>
          <w:sz w:val="22"/>
          <w:szCs w:val="22"/>
        </w:rPr>
        <w:t> 1/1</w:t>
      </w:r>
      <w:r w:rsidRPr="004E54AB">
        <w:rPr>
          <w:sz w:val="22"/>
          <w:szCs w:val="22"/>
        </w:rPr>
        <w:t>000) ir labai reti (&lt;</w:t>
      </w:r>
      <w:r>
        <w:rPr>
          <w:sz w:val="22"/>
          <w:szCs w:val="22"/>
        </w:rPr>
        <w:t> 1/10</w:t>
      </w:r>
      <w:r w:rsidRPr="004E54AB">
        <w:rPr>
          <w:sz w:val="22"/>
          <w:szCs w:val="22"/>
        </w:rPr>
        <w:t>000).</w:t>
      </w:r>
    </w:p>
    <w:p w14:paraId="1276759C" w14:textId="77777777" w:rsidR="00E850F6" w:rsidRPr="00402217" w:rsidRDefault="00E850F6" w:rsidP="00E850F6">
      <w:pPr>
        <w:pStyle w:val="Default"/>
      </w:pPr>
    </w:p>
    <w:p w14:paraId="658AACC0" w14:textId="77777777" w:rsidR="00E850F6" w:rsidRDefault="00E850F6" w:rsidP="00E850F6">
      <w:pPr>
        <w:pStyle w:val="Default"/>
        <w:rPr>
          <w:sz w:val="22"/>
          <w:szCs w:val="22"/>
        </w:rPr>
      </w:pPr>
      <w:r w:rsidRPr="001E041F">
        <w:t>Bendras</w:t>
      </w:r>
      <w:r w:rsidRPr="0085588B">
        <w:t>is</w:t>
      </w:r>
      <w:r w:rsidRPr="00402217">
        <w:rPr>
          <w:rFonts w:ascii="Calibri" w:hAnsi="Calibri"/>
        </w:rPr>
        <w:t xml:space="preserve"> </w:t>
      </w:r>
      <w:r>
        <w:rPr>
          <w:sz w:val="22"/>
          <w:szCs w:val="22"/>
        </w:rPr>
        <w:t>gancikloviro / valgancikloviro</w:t>
      </w:r>
      <w:r w:rsidRPr="004E54AB">
        <w:rPr>
          <w:sz w:val="22"/>
          <w:szCs w:val="22"/>
        </w:rPr>
        <w:t xml:space="preserve"> </w:t>
      </w:r>
      <w:r>
        <w:rPr>
          <w:sz w:val="22"/>
          <w:szCs w:val="22"/>
        </w:rPr>
        <w:t>saugumo p</w:t>
      </w:r>
      <w:r w:rsidRPr="004E54AB">
        <w:rPr>
          <w:sz w:val="22"/>
          <w:szCs w:val="22"/>
        </w:rPr>
        <w:t>o</w:t>
      </w:r>
      <w:r>
        <w:rPr>
          <w:sz w:val="22"/>
          <w:szCs w:val="22"/>
        </w:rPr>
        <w:t>būd</w:t>
      </w:r>
      <w:r w:rsidRPr="004E54AB">
        <w:rPr>
          <w:sz w:val="22"/>
          <w:szCs w:val="22"/>
        </w:rPr>
        <w:t xml:space="preserve">is ŽIV </w:t>
      </w:r>
      <w:r>
        <w:rPr>
          <w:sz w:val="22"/>
          <w:szCs w:val="22"/>
        </w:rPr>
        <w:t xml:space="preserve">užsikrėtusių </w:t>
      </w:r>
      <w:r w:rsidRPr="004E54AB">
        <w:rPr>
          <w:sz w:val="22"/>
          <w:szCs w:val="22"/>
        </w:rPr>
        <w:t xml:space="preserve">ir </w:t>
      </w:r>
      <w:r>
        <w:rPr>
          <w:sz w:val="22"/>
          <w:szCs w:val="22"/>
        </w:rPr>
        <w:t xml:space="preserve">persodintą organą turinčių pacientų populiacijose sutampa, </w:t>
      </w:r>
      <w:r w:rsidRPr="004E54AB">
        <w:rPr>
          <w:sz w:val="22"/>
          <w:szCs w:val="22"/>
        </w:rPr>
        <w:t>išskyrus</w:t>
      </w:r>
      <w:r>
        <w:rPr>
          <w:sz w:val="22"/>
          <w:szCs w:val="22"/>
        </w:rPr>
        <w:t xml:space="preserve"> tai, kad tinklainės atšoka buvo p</w:t>
      </w:r>
      <w:r w:rsidRPr="004E54AB">
        <w:rPr>
          <w:sz w:val="22"/>
          <w:szCs w:val="22"/>
        </w:rPr>
        <w:t>a</w:t>
      </w:r>
      <w:r>
        <w:rPr>
          <w:sz w:val="22"/>
          <w:szCs w:val="22"/>
        </w:rPr>
        <w:t>stebė</w:t>
      </w:r>
      <w:r w:rsidRPr="004E54AB">
        <w:rPr>
          <w:sz w:val="22"/>
          <w:szCs w:val="22"/>
        </w:rPr>
        <w:t>ta</w:t>
      </w:r>
      <w:r>
        <w:rPr>
          <w:sz w:val="22"/>
          <w:szCs w:val="22"/>
        </w:rPr>
        <w:t xml:space="preserve"> tik</w:t>
      </w:r>
      <w:r w:rsidRPr="004E54AB">
        <w:rPr>
          <w:sz w:val="22"/>
          <w:szCs w:val="22"/>
        </w:rPr>
        <w:t xml:space="preserve"> ŽIV </w:t>
      </w:r>
      <w:r>
        <w:rPr>
          <w:sz w:val="22"/>
          <w:szCs w:val="22"/>
        </w:rPr>
        <w:t>infekuotiems ir</w:t>
      </w:r>
      <w:r w:rsidRPr="004E54AB">
        <w:rPr>
          <w:sz w:val="22"/>
          <w:szCs w:val="22"/>
        </w:rPr>
        <w:t xml:space="preserve"> CMV </w:t>
      </w:r>
      <w:r>
        <w:rPr>
          <w:sz w:val="22"/>
          <w:szCs w:val="22"/>
        </w:rPr>
        <w:t xml:space="preserve">sukeltu </w:t>
      </w:r>
      <w:r w:rsidRPr="004E54AB">
        <w:rPr>
          <w:sz w:val="22"/>
          <w:szCs w:val="22"/>
        </w:rPr>
        <w:t>retinitu</w:t>
      </w:r>
      <w:r>
        <w:rPr>
          <w:sz w:val="22"/>
          <w:szCs w:val="22"/>
        </w:rPr>
        <w:t xml:space="preserve"> sirgusiems pacientams</w:t>
      </w:r>
      <w:r w:rsidRPr="004E54AB">
        <w:rPr>
          <w:sz w:val="22"/>
          <w:szCs w:val="22"/>
        </w:rPr>
        <w:t xml:space="preserve">. </w:t>
      </w:r>
      <w:r>
        <w:rPr>
          <w:sz w:val="22"/>
          <w:szCs w:val="22"/>
        </w:rPr>
        <w:t>Vis dėlto</w:t>
      </w:r>
      <w:r w:rsidRPr="004E54AB">
        <w:rPr>
          <w:sz w:val="22"/>
          <w:szCs w:val="22"/>
        </w:rPr>
        <w:t xml:space="preserve"> yra keletas tam tikrų reakcijų dažnio skirtumų. Į veną</w:t>
      </w:r>
      <w:r>
        <w:rPr>
          <w:sz w:val="22"/>
          <w:szCs w:val="22"/>
        </w:rPr>
        <w:t xml:space="preserve"> leidžiamas</w:t>
      </w:r>
      <w:r w:rsidRPr="004E54AB">
        <w:rPr>
          <w:sz w:val="22"/>
          <w:szCs w:val="22"/>
        </w:rPr>
        <w:t xml:space="preserve"> gan</w:t>
      </w:r>
      <w:r>
        <w:rPr>
          <w:sz w:val="22"/>
          <w:szCs w:val="22"/>
        </w:rPr>
        <w:t>cikloviras</w:t>
      </w:r>
      <w:r w:rsidRPr="004E54AB">
        <w:rPr>
          <w:sz w:val="22"/>
          <w:szCs w:val="22"/>
        </w:rPr>
        <w:t xml:space="preserve"> yra susijęs su mažesne viduriavim</w:t>
      </w:r>
      <w:r>
        <w:rPr>
          <w:sz w:val="22"/>
          <w:szCs w:val="22"/>
        </w:rPr>
        <w:t>o</w:t>
      </w:r>
      <w:r w:rsidRPr="00AF6782">
        <w:rPr>
          <w:sz w:val="22"/>
          <w:szCs w:val="22"/>
        </w:rPr>
        <w:t xml:space="preserve"> </w:t>
      </w:r>
      <w:r>
        <w:rPr>
          <w:sz w:val="22"/>
          <w:szCs w:val="22"/>
        </w:rPr>
        <w:t xml:space="preserve">rizika, </w:t>
      </w:r>
      <w:r w:rsidRPr="004E54AB">
        <w:rPr>
          <w:sz w:val="22"/>
          <w:szCs w:val="22"/>
        </w:rPr>
        <w:t>lygin</w:t>
      </w:r>
      <w:r>
        <w:rPr>
          <w:sz w:val="22"/>
          <w:szCs w:val="22"/>
        </w:rPr>
        <w:t>ant</w:t>
      </w:r>
      <w:r w:rsidRPr="004E54AB">
        <w:rPr>
          <w:sz w:val="22"/>
          <w:szCs w:val="22"/>
        </w:rPr>
        <w:t xml:space="preserve"> su geriam</w:t>
      </w:r>
      <w:r>
        <w:rPr>
          <w:sz w:val="22"/>
          <w:szCs w:val="22"/>
        </w:rPr>
        <w:t>uoju valgancikloviru</w:t>
      </w:r>
      <w:r w:rsidRPr="004E54AB">
        <w:rPr>
          <w:sz w:val="22"/>
          <w:szCs w:val="22"/>
        </w:rPr>
        <w:t>. ŽIV</w:t>
      </w:r>
      <w:r>
        <w:rPr>
          <w:sz w:val="22"/>
          <w:szCs w:val="22"/>
        </w:rPr>
        <w:t xml:space="preserve"> infekuotiems</w:t>
      </w:r>
      <w:r w:rsidRPr="004E54AB">
        <w:rPr>
          <w:sz w:val="22"/>
          <w:szCs w:val="22"/>
        </w:rPr>
        <w:t xml:space="preserve"> pacientams dažniau pasireiškė </w:t>
      </w:r>
      <w:r>
        <w:rPr>
          <w:sz w:val="22"/>
          <w:szCs w:val="22"/>
        </w:rPr>
        <w:t>k</w:t>
      </w:r>
      <w:r w:rsidRPr="004E54AB">
        <w:rPr>
          <w:sz w:val="22"/>
          <w:szCs w:val="22"/>
        </w:rPr>
        <w:t xml:space="preserve">arščiavimas, </w:t>
      </w:r>
      <w:r w:rsidRPr="00B5111C">
        <w:rPr>
          <w:i/>
          <w:sz w:val="22"/>
          <w:szCs w:val="22"/>
        </w:rPr>
        <w:t>candida</w:t>
      </w:r>
      <w:r w:rsidRPr="004E54AB">
        <w:rPr>
          <w:sz w:val="22"/>
          <w:szCs w:val="22"/>
        </w:rPr>
        <w:t xml:space="preserve"> infekcija, depresija, sunki neutropenija (ANS &lt;</w:t>
      </w:r>
      <w:r>
        <w:rPr>
          <w:sz w:val="22"/>
          <w:szCs w:val="22"/>
        </w:rPr>
        <w:t> 500 mkl</w:t>
      </w:r>
      <w:r w:rsidRPr="004E54AB">
        <w:rPr>
          <w:sz w:val="22"/>
          <w:szCs w:val="22"/>
        </w:rPr>
        <w:t xml:space="preserve">) ir odos reakcijos. Inkstų ir kepenų </w:t>
      </w:r>
      <w:r>
        <w:rPr>
          <w:sz w:val="22"/>
          <w:szCs w:val="22"/>
        </w:rPr>
        <w:t xml:space="preserve">veikla dažniau sutriko </w:t>
      </w:r>
      <w:r w:rsidRPr="004E54AB">
        <w:rPr>
          <w:sz w:val="22"/>
          <w:szCs w:val="22"/>
        </w:rPr>
        <w:t>persodin</w:t>
      </w:r>
      <w:r>
        <w:rPr>
          <w:sz w:val="22"/>
          <w:szCs w:val="22"/>
        </w:rPr>
        <w:t xml:space="preserve">tą </w:t>
      </w:r>
      <w:r w:rsidRPr="004E54AB">
        <w:rPr>
          <w:sz w:val="22"/>
          <w:szCs w:val="22"/>
        </w:rPr>
        <w:t>o</w:t>
      </w:r>
      <w:r>
        <w:rPr>
          <w:sz w:val="22"/>
          <w:szCs w:val="22"/>
        </w:rPr>
        <w:t>rganą turintiems pacientams.</w:t>
      </w:r>
    </w:p>
    <w:p w14:paraId="14121BBE" w14:textId="77777777" w:rsidR="00E850F6" w:rsidRDefault="00E850F6" w:rsidP="00E850F6">
      <w:pPr>
        <w:pStyle w:val="Default"/>
        <w:rPr>
          <w:sz w:val="22"/>
          <w:szCs w:val="22"/>
        </w:rPr>
      </w:pPr>
    </w:p>
    <w:p w14:paraId="15BF0146" w14:textId="77777777" w:rsidR="00E850F6" w:rsidRPr="00923E43" w:rsidRDefault="00E850F6" w:rsidP="00E850F6">
      <w:pPr>
        <w:spacing w:after="0" w:line="240" w:lineRule="auto"/>
        <w:rPr>
          <w:rFonts w:ascii="Times New Roman" w:hAnsi="Times New Roman"/>
        </w:rPr>
      </w:pPr>
      <w:r w:rsidRPr="00923E43">
        <w:rPr>
          <w:rFonts w:ascii="Times New Roman" w:hAnsi="Times New Roman"/>
          <w:u w:val="single"/>
        </w:rPr>
        <w:t>Nepageidaujamų reakcijų sąrašas lentelėje</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2"/>
        <w:gridCol w:w="2186"/>
      </w:tblGrid>
      <w:tr w:rsidR="00E850F6" w:rsidRPr="008132C1" w14:paraId="779EEA4C" w14:textId="77777777" w:rsidTr="00636DA1">
        <w:trPr>
          <w:cantSplit/>
          <w:trHeight w:val="340"/>
          <w:tblHeader/>
        </w:trPr>
        <w:tc>
          <w:tcPr>
            <w:tcW w:w="3788" w:type="pct"/>
            <w:tcBorders>
              <w:bottom w:val="single" w:sz="4" w:space="0" w:color="auto"/>
            </w:tcBorders>
          </w:tcPr>
          <w:p w14:paraId="5BA08536" w14:textId="77777777" w:rsidR="00E850F6" w:rsidRPr="008132C1" w:rsidRDefault="00E850F6" w:rsidP="00636DA1">
            <w:pPr>
              <w:widowControl w:val="0"/>
              <w:spacing w:after="0" w:line="240" w:lineRule="auto"/>
              <w:rPr>
                <w:rFonts w:ascii="Times New Roman" w:hAnsi="Times New Roman"/>
                <w:b/>
                <w:iCs/>
              </w:rPr>
            </w:pPr>
            <w:r w:rsidRPr="008132C1">
              <w:rPr>
                <w:rFonts w:ascii="Times New Roman" w:hAnsi="Times New Roman"/>
                <w:b/>
                <w:iCs/>
              </w:rPr>
              <w:t>NRV</w:t>
            </w:r>
          </w:p>
          <w:p w14:paraId="38235DF5" w14:textId="77777777" w:rsidR="00E850F6" w:rsidRPr="008132C1" w:rsidRDefault="00E850F6" w:rsidP="00636DA1">
            <w:pPr>
              <w:widowControl w:val="0"/>
              <w:spacing w:after="0" w:line="240" w:lineRule="auto"/>
              <w:rPr>
                <w:rFonts w:ascii="Times New Roman" w:hAnsi="Times New Roman"/>
                <w:b/>
                <w:iCs/>
              </w:rPr>
            </w:pPr>
            <w:r w:rsidRPr="008132C1">
              <w:rPr>
                <w:rFonts w:ascii="Times New Roman" w:hAnsi="Times New Roman"/>
                <w:b/>
                <w:iCs/>
              </w:rPr>
              <w:t>(MedDRA)</w:t>
            </w:r>
          </w:p>
          <w:p w14:paraId="3FD844B7" w14:textId="77777777" w:rsidR="00E850F6" w:rsidRPr="008132C1" w:rsidRDefault="00E850F6" w:rsidP="00636DA1">
            <w:pPr>
              <w:widowControl w:val="0"/>
              <w:spacing w:after="0" w:line="240" w:lineRule="auto"/>
              <w:rPr>
                <w:rFonts w:ascii="Times New Roman" w:hAnsi="Times New Roman"/>
                <w:b/>
                <w:iCs/>
              </w:rPr>
            </w:pPr>
            <w:r w:rsidRPr="008132C1">
              <w:rPr>
                <w:rFonts w:ascii="Times New Roman" w:hAnsi="Times New Roman"/>
                <w:b/>
                <w:iCs/>
              </w:rPr>
              <w:t>Organų sistemų klasė</w:t>
            </w:r>
          </w:p>
        </w:tc>
        <w:tc>
          <w:tcPr>
            <w:tcW w:w="1212" w:type="pct"/>
          </w:tcPr>
          <w:p w14:paraId="66D0E99C" w14:textId="77777777" w:rsidR="00E850F6" w:rsidRPr="008132C1" w:rsidRDefault="00E850F6" w:rsidP="00636DA1">
            <w:pPr>
              <w:widowControl w:val="0"/>
              <w:spacing w:after="0" w:line="240" w:lineRule="auto"/>
              <w:rPr>
                <w:rFonts w:ascii="Times New Roman" w:hAnsi="Times New Roman"/>
                <w:b/>
                <w:iCs/>
              </w:rPr>
            </w:pPr>
            <w:r w:rsidRPr="008132C1">
              <w:rPr>
                <w:rFonts w:ascii="Times New Roman" w:hAnsi="Times New Roman"/>
                <w:b/>
                <w:iCs/>
              </w:rPr>
              <w:t>Dažnio kategorija</w:t>
            </w:r>
          </w:p>
        </w:tc>
      </w:tr>
      <w:tr w:rsidR="00E850F6" w:rsidRPr="008132C1" w14:paraId="65EE5222" w14:textId="77777777" w:rsidTr="00636DA1">
        <w:trPr>
          <w:cantSplit/>
          <w:trHeight w:val="340"/>
        </w:trPr>
        <w:tc>
          <w:tcPr>
            <w:tcW w:w="5000" w:type="pct"/>
            <w:gridSpan w:val="2"/>
          </w:tcPr>
          <w:p w14:paraId="268F63A4" w14:textId="77777777" w:rsidR="00E850F6" w:rsidRPr="008132C1" w:rsidRDefault="00E850F6" w:rsidP="00636DA1">
            <w:pPr>
              <w:widowControl w:val="0"/>
              <w:spacing w:after="0" w:line="240" w:lineRule="auto"/>
              <w:rPr>
                <w:rFonts w:ascii="Times New Roman" w:hAnsi="Times New Roman"/>
                <w:b/>
                <w:iCs/>
              </w:rPr>
            </w:pPr>
            <w:r w:rsidRPr="008132C1">
              <w:rPr>
                <w:rFonts w:ascii="Times New Roman" w:hAnsi="Times New Roman"/>
                <w:b/>
                <w:iCs/>
              </w:rPr>
              <w:br w:type="page"/>
            </w:r>
            <w:r w:rsidRPr="008132C1">
              <w:rPr>
                <w:rFonts w:ascii="Times New Roman" w:hAnsi="Times New Roman"/>
                <w:b/>
                <w:iCs/>
              </w:rPr>
              <w:br w:type="page"/>
            </w:r>
            <w:r w:rsidRPr="008132C1">
              <w:rPr>
                <w:rFonts w:ascii="Times New Roman" w:hAnsi="Times New Roman"/>
                <w:b/>
                <w:i/>
                <w:iCs/>
              </w:rPr>
              <w:t>Infekcijos ir infestacijos</w:t>
            </w:r>
          </w:p>
        </w:tc>
      </w:tr>
      <w:tr w:rsidR="00E850F6" w:rsidRPr="008132C1" w14:paraId="35BD5838" w14:textId="77777777" w:rsidTr="00636DA1">
        <w:trPr>
          <w:cantSplit/>
          <w:trHeight w:val="340"/>
        </w:trPr>
        <w:tc>
          <w:tcPr>
            <w:tcW w:w="3788" w:type="pct"/>
            <w:tcBorders>
              <w:bottom w:val="single" w:sz="4" w:space="0" w:color="auto"/>
            </w:tcBorders>
          </w:tcPr>
          <w:p w14:paraId="02D1CE1A"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
              </w:rPr>
              <w:t>Candida</w:t>
            </w:r>
            <w:r w:rsidRPr="008132C1">
              <w:rPr>
                <w:rFonts w:ascii="Times New Roman" w:hAnsi="Times New Roman"/>
              </w:rPr>
              <w:t xml:space="preserve"> infekcijos, įskaitant burnos kandidozę</w:t>
            </w:r>
          </w:p>
        </w:tc>
        <w:tc>
          <w:tcPr>
            <w:tcW w:w="1212" w:type="pct"/>
            <w:vMerge w:val="restart"/>
          </w:tcPr>
          <w:p w14:paraId="45DC7690"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Labai dažni</w:t>
            </w:r>
          </w:p>
        </w:tc>
      </w:tr>
      <w:tr w:rsidR="00E850F6" w:rsidRPr="008132C1" w14:paraId="2FF29D71" w14:textId="77777777" w:rsidTr="00636DA1">
        <w:trPr>
          <w:cantSplit/>
          <w:trHeight w:val="340"/>
        </w:trPr>
        <w:tc>
          <w:tcPr>
            <w:tcW w:w="3788" w:type="pct"/>
            <w:tcBorders>
              <w:bottom w:val="single" w:sz="4" w:space="0" w:color="auto"/>
            </w:tcBorders>
          </w:tcPr>
          <w:p w14:paraId="3BEE2806"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Viršutinių kvėpavimo takų infekcija</w:t>
            </w:r>
          </w:p>
        </w:tc>
        <w:tc>
          <w:tcPr>
            <w:tcW w:w="1212" w:type="pct"/>
            <w:vMerge/>
          </w:tcPr>
          <w:p w14:paraId="3A823330"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18213D34" w14:textId="77777777" w:rsidTr="00636DA1">
        <w:trPr>
          <w:cantSplit/>
          <w:trHeight w:val="340"/>
        </w:trPr>
        <w:tc>
          <w:tcPr>
            <w:tcW w:w="3788" w:type="pct"/>
            <w:tcBorders>
              <w:bottom w:val="single" w:sz="4" w:space="0" w:color="auto"/>
            </w:tcBorders>
          </w:tcPr>
          <w:p w14:paraId="098ECC33"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Sepsis</w:t>
            </w:r>
          </w:p>
        </w:tc>
        <w:tc>
          <w:tcPr>
            <w:tcW w:w="1212" w:type="pct"/>
            <w:vMerge w:val="restart"/>
          </w:tcPr>
          <w:p w14:paraId="463C7354"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Dažni</w:t>
            </w:r>
          </w:p>
        </w:tc>
      </w:tr>
      <w:tr w:rsidR="00E850F6" w:rsidRPr="008132C1" w14:paraId="2753D832" w14:textId="77777777" w:rsidTr="00636DA1">
        <w:trPr>
          <w:cantSplit/>
          <w:trHeight w:val="340"/>
        </w:trPr>
        <w:tc>
          <w:tcPr>
            <w:tcW w:w="3788" w:type="pct"/>
            <w:tcBorders>
              <w:bottom w:val="single" w:sz="4" w:space="0" w:color="auto"/>
            </w:tcBorders>
          </w:tcPr>
          <w:p w14:paraId="4E35A5A4"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Gripas</w:t>
            </w:r>
          </w:p>
        </w:tc>
        <w:tc>
          <w:tcPr>
            <w:tcW w:w="1212" w:type="pct"/>
            <w:vMerge/>
          </w:tcPr>
          <w:p w14:paraId="7B2075CB"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2731BFF7" w14:textId="77777777" w:rsidTr="00636DA1">
        <w:trPr>
          <w:cantSplit/>
          <w:trHeight w:val="340"/>
        </w:trPr>
        <w:tc>
          <w:tcPr>
            <w:tcW w:w="3788" w:type="pct"/>
            <w:tcBorders>
              <w:bottom w:val="single" w:sz="4" w:space="0" w:color="auto"/>
            </w:tcBorders>
          </w:tcPr>
          <w:p w14:paraId="5699BBEC"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rPr>
              <w:t>Šlapimo takų infekcija</w:t>
            </w:r>
          </w:p>
        </w:tc>
        <w:tc>
          <w:tcPr>
            <w:tcW w:w="1212" w:type="pct"/>
            <w:vMerge/>
          </w:tcPr>
          <w:p w14:paraId="62CB2AB1"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55223701" w14:textId="77777777" w:rsidTr="00636DA1">
        <w:trPr>
          <w:cantSplit/>
          <w:trHeight w:val="340"/>
        </w:trPr>
        <w:tc>
          <w:tcPr>
            <w:tcW w:w="3788" w:type="pct"/>
            <w:tcBorders>
              <w:bottom w:val="single" w:sz="4" w:space="0" w:color="auto"/>
            </w:tcBorders>
          </w:tcPr>
          <w:p w14:paraId="3A9E1D47"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Celiulitas</w:t>
            </w:r>
          </w:p>
        </w:tc>
        <w:tc>
          <w:tcPr>
            <w:tcW w:w="1212" w:type="pct"/>
            <w:vMerge/>
          </w:tcPr>
          <w:p w14:paraId="5ED60F9F"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00D5851A" w14:textId="77777777" w:rsidTr="00636DA1">
        <w:trPr>
          <w:cantSplit/>
          <w:trHeight w:val="340"/>
        </w:trPr>
        <w:tc>
          <w:tcPr>
            <w:tcW w:w="5000" w:type="pct"/>
            <w:gridSpan w:val="2"/>
          </w:tcPr>
          <w:p w14:paraId="1CA4FEF4" w14:textId="77777777" w:rsidR="00E850F6" w:rsidRPr="008132C1" w:rsidRDefault="00E850F6" w:rsidP="00636DA1">
            <w:pPr>
              <w:widowControl w:val="0"/>
              <w:spacing w:after="0" w:line="240" w:lineRule="auto"/>
              <w:rPr>
                <w:rFonts w:ascii="Times New Roman" w:hAnsi="Times New Roman"/>
                <w:b/>
                <w:iCs/>
              </w:rPr>
            </w:pPr>
            <w:r w:rsidRPr="008132C1">
              <w:rPr>
                <w:rFonts w:ascii="Times New Roman" w:hAnsi="Times New Roman"/>
                <w:b/>
                <w:i/>
                <w:iCs/>
              </w:rPr>
              <w:t>Kraujo ir limfinės sistemos sutrikimai</w:t>
            </w:r>
          </w:p>
        </w:tc>
      </w:tr>
      <w:tr w:rsidR="00E850F6" w:rsidRPr="008132C1" w14:paraId="10016C1B" w14:textId="77777777" w:rsidTr="00636DA1">
        <w:trPr>
          <w:cantSplit/>
          <w:trHeight w:val="340"/>
        </w:trPr>
        <w:tc>
          <w:tcPr>
            <w:tcW w:w="3788" w:type="pct"/>
          </w:tcPr>
          <w:p w14:paraId="1A5FDB3D"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Neutropenija</w:t>
            </w:r>
          </w:p>
        </w:tc>
        <w:tc>
          <w:tcPr>
            <w:tcW w:w="1212" w:type="pct"/>
            <w:vMerge w:val="restart"/>
          </w:tcPr>
          <w:p w14:paraId="6A6A6DC1"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Labai dažni</w:t>
            </w:r>
          </w:p>
        </w:tc>
      </w:tr>
      <w:tr w:rsidR="00E850F6" w:rsidRPr="008132C1" w14:paraId="2572E6E6" w14:textId="77777777" w:rsidTr="00636DA1">
        <w:trPr>
          <w:cantSplit/>
          <w:trHeight w:val="340"/>
        </w:trPr>
        <w:tc>
          <w:tcPr>
            <w:tcW w:w="3788" w:type="pct"/>
          </w:tcPr>
          <w:p w14:paraId="219D01A8"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Anemija</w:t>
            </w:r>
          </w:p>
        </w:tc>
        <w:tc>
          <w:tcPr>
            <w:tcW w:w="1212" w:type="pct"/>
            <w:vMerge/>
          </w:tcPr>
          <w:p w14:paraId="1F554633"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22CC6AA3" w14:textId="77777777" w:rsidTr="00636DA1">
        <w:trPr>
          <w:cantSplit/>
          <w:trHeight w:val="340"/>
        </w:trPr>
        <w:tc>
          <w:tcPr>
            <w:tcW w:w="3788" w:type="pct"/>
            <w:tcBorders>
              <w:bottom w:val="nil"/>
            </w:tcBorders>
          </w:tcPr>
          <w:p w14:paraId="4410CD43"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Trombocitopenija</w:t>
            </w:r>
          </w:p>
        </w:tc>
        <w:tc>
          <w:tcPr>
            <w:tcW w:w="1212" w:type="pct"/>
            <w:vMerge w:val="restart"/>
          </w:tcPr>
          <w:p w14:paraId="539F56A9"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Dažni</w:t>
            </w:r>
          </w:p>
        </w:tc>
      </w:tr>
      <w:tr w:rsidR="00E850F6" w:rsidRPr="008132C1" w14:paraId="5003B226" w14:textId="77777777" w:rsidTr="00636DA1">
        <w:trPr>
          <w:cantSplit/>
          <w:trHeight w:val="340"/>
        </w:trPr>
        <w:tc>
          <w:tcPr>
            <w:tcW w:w="3788" w:type="pct"/>
            <w:tcBorders>
              <w:bottom w:val="nil"/>
            </w:tcBorders>
          </w:tcPr>
          <w:p w14:paraId="1723AF82"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Leukopenija</w:t>
            </w:r>
          </w:p>
        </w:tc>
        <w:tc>
          <w:tcPr>
            <w:tcW w:w="1212" w:type="pct"/>
            <w:vMerge/>
          </w:tcPr>
          <w:p w14:paraId="4F10BBDB"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56703FDE" w14:textId="77777777" w:rsidTr="00636DA1">
        <w:trPr>
          <w:cantSplit/>
          <w:trHeight w:val="340"/>
        </w:trPr>
        <w:tc>
          <w:tcPr>
            <w:tcW w:w="3788" w:type="pct"/>
          </w:tcPr>
          <w:p w14:paraId="38D643BB" w14:textId="77777777" w:rsidR="00E850F6" w:rsidRPr="008132C1" w:rsidRDefault="00E850F6" w:rsidP="00636DA1">
            <w:pPr>
              <w:widowControl w:val="0"/>
              <w:spacing w:after="0" w:line="240" w:lineRule="auto"/>
              <w:rPr>
                <w:rFonts w:ascii="Times New Roman" w:hAnsi="Times New Roman"/>
                <w:iCs/>
                <w:lang w:val="en-GB"/>
              </w:rPr>
            </w:pPr>
            <w:r w:rsidRPr="008132C1">
              <w:rPr>
                <w:rFonts w:ascii="Times New Roman" w:hAnsi="Times New Roman"/>
                <w:iCs/>
              </w:rPr>
              <w:t>Pancitopenija</w:t>
            </w:r>
          </w:p>
        </w:tc>
        <w:tc>
          <w:tcPr>
            <w:tcW w:w="1212" w:type="pct"/>
            <w:vMerge/>
            <w:tcBorders>
              <w:bottom w:val="single" w:sz="4" w:space="0" w:color="auto"/>
            </w:tcBorders>
          </w:tcPr>
          <w:p w14:paraId="0EF1344E"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514FED2B" w14:textId="77777777" w:rsidTr="00636DA1">
        <w:trPr>
          <w:cantSplit/>
          <w:trHeight w:val="340"/>
        </w:trPr>
        <w:tc>
          <w:tcPr>
            <w:tcW w:w="3788" w:type="pct"/>
          </w:tcPr>
          <w:p w14:paraId="2B4F15F2"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Kaulų čiulpų nepakankamumas</w:t>
            </w:r>
          </w:p>
        </w:tc>
        <w:tc>
          <w:tcPr>
            <w:tcW w:w="1212" w:type="pct"/>
          </w:tcPr>
          <w:p w14:paraId="1409A6C7"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Nedažni</w:t>
            </w:r>
          </w:p>
        </w:tc>
      </w:tr>
      <w:tr w:rsidR="00E850F6" w:rsidRPr="008132C1" w14:paraId="6F9B7B2F" w14:textId="77777777" w:rsidTr="00636DA1">
        <w:trPr>
          <w:cantSplit/>
          <w:trHeight w:val="340"/>
        </w:trPr>
        <w:tc>
          <w:tcPr>
            <w:tcW w:w="3788" w:type="pct"/>
          </w:tcPr>
          <w:p w14:paraId="024A7267"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Aplastinė anaemija</w:t>
            </w:r>
          </w:p>
        </w:tc>
        <w:tc>
          <w:tcPr>
            <w:tcW w:w="1212" w:type="pct"/>
            <w:vMerge w:val="restart"/>
          </w:tcPr>
          <w:p w14:paraId="7D137C7B"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Reti</w:t>
            </w:r>
          </w:p>
        </w:tc>
      </w:tr>
      <w:tr w:rsidR="00E850F6" w:rsidRPr="008132C1" w14:paraId="34F61726" w14:textId="77777777" w:rsidTr="00636DA1">
        <w:trPr>
          <w:cantSplit/>
          <w:trHeight w:val="340"/>
        </w:trPr>
        <w:tc>
          <w:tcPr>
            <w:tcW w:w="3788" w:type="pct"/>
          </w:tcPr>
          <w:p w14:paraId="3AD1BE9F" w14:textId="77777777" w:rsidR="00E850F6" w:rsidRPr="008132C1" w:rsidRDefault="00E850F6" w:rsidP="00636DA1">
            <w:pPr>
              <w:widowControl w:val="0"/>
              <w:spacing w:after="0" w:line="240" w:lineRule="auto"/>
              <w:rPr>
                <w:rFonts w:ascii="Times New Roman" w:hAnsi="Times New Roman"/>
                <w:iCs/>
                <w:lang w:val="en-GB"/>
              </w:rPr>
            </w:pPr>
            <w:r w:rsidRPr="008132C1">
              <w:rPr>
                <w:rFonts w:ascii="Times New Roman" w:hAnsi="Times New Roman"/>
                <w:iCs/>
              </w:rPr>
              <w:t>Agranuliocitozė*</w:t>
            </w:r>
          </w:p>
        </w:tc>
        <w:tc>
          <w:tcPr>
            <w:tcW w:w="1212" w:type="pct"/>
            <w:vMerge/>
          </w:tcPr>
          <w:p w14:paraId="1B8AC00B"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675F8CAD" w14:textId="77777777" w:rsidTr="00636DA1">
        <w:trPr>
          <w:cantSplit/>
          <w:trHeight w:val="340"/>
        </w:trPr>
        <w:tc>
          <w:tcPr>
            <w:tcW w:w="3788" w:type="pct"/>
          </w:tcPr>
          <w:p w14:paraId="5FE2ECA3"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Granuliocitopenija*</w:t>
            </w:r>
          </w:p>
        </w:tc>
        <w:tc>
          <w:tcPr>
            <w:tcW w:w="1212" w:type="pct"/>
            <w:vMerge/>
          </w:tcPr>
          <w:p w14:paraId="1F9D0F45"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64C24BEC" w14:textId="77777777" w:rsidTr="00636DA1">
        <w:trPr>
          <w:cantSplit/>
          <w:trHeight w:val="340"/>
        </w:trPr>
        <w:tc>
          <w:tcPr>
            <w:tcW w:w="5000" w:type="pct"/>
            <w:gridSpan w:val="2"/>
          </w:tcPr>
          <w:p w14:paraId="57A4B50B" w14:textId="77777777" w:rsidR="00E850F6" w:rsidRPr="008132C1" w:rsidRDefault="00E850F6" w:rsidP="00636DA1">
            <w:pPr>
              <w:widowControl w:val="0"/>
              <w:spacing w:after="0" w:line="240" w:lineRule="auto"/>
              <w:rPr>
                <w:rFonts w:ascii="Times New Roman" w:hAnsi="Times New Roman"/>
                <w:b/>
                <w:i/>
                <w:iCs/>
              </w:rPr>
            </w:pPr>
            <w:r w:rsidRPr="008132C1">
              <w:rPr>
                <w:rFonts w:ascii="Times New Roman" w:hAnsi="Times New Roman"/>
                <w:b/>
                <w:i/>
                <w:iCs/>
              </w:rPr>
              <w:t>Imuninės sistemos sutrikimai</w:t>
            </w:r>
          </w:p>
        </w:tc>
      </w:tr>
      <w:tr w:rsidR="00E850F6" w:rsidRPr="008132C1" w14:paraId="71200DC9" w14:textId="77777777" w:rsidTr="00636DA1">
        <w:trPr>
          <w:cantSplit/>
          <w:trHeight w:val="340"/>
        </w:trPr>
        <w:tc>
          <w:tcPr>
            <w:tcW w:w="3788" w:type="pct"/>
            <w:tcBorders>
              <w:bottom w:val="single" w:sz="4" w:space="0" w:color="auto"/>
            </w:tcBorders>
          </w:tcPr>
          <w:p w14:paraId="0CE79047"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Padidėjęs jautrumas</w:t>
            </w:r>
          </w:p>
        </w:tc>
        <w:tc>
          <w:tcPr>
            <w:tcW w:w="1212" w:type="pct"/>
          </w:tcPr>
          <w:p w14:paraId="2A96AAB8"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Dažni</w:t>
            </w:r>
          </w:p>
        </w:tc>
      </w:tr>
      <w:tr w:rsidR="00E850F6" w:rsidRPr="008132C1" w14:paraId="36A933F3" w14:textId="77777777" w:rsidTr="00636DA1">
        <w:trPr>
          <w:cantSplit/>
          <w:trHeight w:val="340"/>
        </w:trPr>
        <w:tc>
          <w:tcPr>
            <w:tcW w:w="3788" w:type="pct"/>
            <w:tcBorders>
              <w:bottom w:val="single" w:sz="4" w:space="0" w:color="auto"/>
            </w:tcBorders>
          </w:tcPr>
          <w:p w14:paraId="75BDDA04"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rPr>
              <w:t>Anafilaksinė reakcija</w:t>
            </w:r>
            <w:r w:rsidRPr="008132C1">
              <w:rPr>
                <w:rFonts w:ascii="Times New Roman" w:hAnsi="Times New Roman"/>
                <w:iCs/>
              </w:rPr>
              <w:t>*</w:t>
            </w:r>
          </w:p>
        </w:tc>
        <w:tc>
          <w:tcPr>
            <w:tcW w:w="1212" w:type="pct"/>
            <w:tcBorders>
              <w:bottom w:val="single" w:sz="4" w:space="0" w:color="auto"/>
            </w:tcBorders>
          </w:tcPr>
          <w:p w14:paraId="0F61D15A"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Reti</w:t>
            </w:r>
          </w:p>
        </w:tc>
      </w:tr>
      <w:tr w:rsidR="00E850F6" w:rsidRPr="008132C1" w14:paraId="2E97AF2F" w14:textId="77777777" w:rsidTr="00636DA1">
        <w:trPr>
          <w:cantSplit/>
          <w:trHeight w:val="340"/>
        </w:trPr>
        <w:tc>
          <w:tcPr>
            <w:tcW w:w="5000" w:type="pct"/>
            <w:gridSpan w:val="2"/>
          </w:tcPr>
          <w:p w14:paraId="143ACB58" w14:textId="77777777" w:rsidR="00E850F6" w:rsidRPr="008132C1" w:rsidRDefault="00E850F6" w:rsidP="00636DA1">
            <w:pPr>
              <w:widowControl w:val="0"/>
              <w:spacing w:after="0" w:line="240" w:lineRule="auto"/>
              <w:rPr>
                <w:rFonts w:ascii="Times New Roman" w:hAnsi="Times New Roman"/>
                <w:b/>
                <w:i/>
                <w:iCs/>
              </w:rPr>
            </w:pPr>
            <w:r w:rsidRPr="008132C1">
              <w:rPr>
                <w:rFonts w:ascii="Times New Roman" w:hAnsi="Times New Roman"/>
                <w:b/>
                <w:i/>
                <w:iCs/>
              </w:rPr>
              <w:t>Metabolizmo ir mitybos sutrikimai</w:t>
            </w:r>
          </w:p>
        </w:tc>
      </w:tr>
      <w:tr w:rsidR="00E850F6" w:rsidRPr="008132C1" w14:paraId="22AFBA4D" w14:textId="77777777" w:rsidTr="00636DA1">
        <w:trPr>
          <w:cantSplit/>
          <w:trHeight w:val="340"/>
        </w:trPr>
        <w:tc>
          <w:tcPr>
            <w:tcW w:w="3788" w:type="pct"/>
          </w:tcPr>
          <w:p w14:paraId="0C286B1B"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lastRenderedPageBreak/>
              <w:t>Sumažėjęs apetitas</w:t>
            </w:r>
          </w:p>
        </w:tc>
        <w:tc>
          <w:tcPr>
            <w:tcW w:w="1212" w:type="pct"/>
          </w:tcPr>
          <w:p w14:paraId="05A193CC"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Labai dažni</w:t>
            </w:r>
          </w:p>
        </w:tc>
      </w:tr>
      <w:tr w:rsidR="00E850F6" w:rsidRPr="008132C1" w14:paraId="65A01FA2" w14:textId="77777777" w:rsidTr="00636DA1">
        <w:trPr>
          <w:cantSplit/>
          <w:trHeight w:val="340"/>
        </w:trPr>
        <w:tc>
          <w:tcPr>
            <w:tcW w:w="3788" w:type="pct"/>
          </w:tcPr>
          <w:p w14:paraId="4A8AD07F"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Kūno masės sumažėjimas</w:t>
            </w:r>
          </w:p>
        </w:tc>
        <w:tc>
          <w:tcPr>
            <w:tcW w:w="1212" w:type="pct"/>
          </w:tcPr>
          <w:p w14:paraId="4A6D7EA3"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Dažni</w:t>
            </w:r>
          </w:p>
        </w:tc>
      </w:tr>
      <w:tr w:rsidR="00E850F6" w:rsidRPr="008132C1" w14:paraId="21CAB7C1" w14:textId="77777777" w:rsidTr="00636DA1">
        <w:trPr>
          <w:cantSplit/>
          <w:trHeight w:val="340"/>
        </w:trPr>
        <w:tc>
          <w:tcPr>
            <w:tcW w:w="5000" w:type="pct"/>
            <w:gridSpan w:val="2"/>
          </w:tcPr>
          <w:p w14:paraId="4AEA83AF" w14:textId="77777777" w:rsidR="00E850F6" w:rsidRPr="008132C1" w:rsidRDefault="00E850F6" w:rsidP="00636DA1">
            <w:pPr>
              <w:widowControl w:val="0"/>
              <w:spacing w:after="0" w:line="240" w:lineRule="auto"/>
              <w:rPr>
                <w:rFonts w:ascii="Times New Roman" w:hAnsi="Times New Roman"/>
                <w:b/>
                <w:iCs/>
              </w:rPr>
            </w:pPr>
            <w:r w:rsidRPr="008132C1">
              <w:rPr>
                <w:rFonts w:ascii="Times New Roman" w:hAnsi="Times New Roman"/>
                <w:b/>
                <w:i/>
                <w:iCs/>
              </w:rPr>
              <w:t>Psichikos sutrikimai</w:t>
            </w:r>
          </w:p>
        </w:tc>
      </w:tr>
      <w:tr w:rsidR="00E850F6" w:rsidRPr="008132C1" w14:paraId="0CB323D7" w14:textId="77777777" w:rsidTr="00636DA1">
        <w:trPr>
          <w:cantSplit/>
          <w:trHeight w:val="340"/>
        </w:trPr>
        <w:tc>
          <w:tcPr>
            <w:tcW w:w="3788" w:type="pct"/>
          </w:tcPr>
          <w:p w14:paraId="78F81F28"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Depresija</w:t>
            </w:r>
          </w:p>
        </w:tc>
        <w:tc>
          <w:tcPr>
            <w:tcW w:w="1212" w:type="pct"/>
            <w:vMerge w:val="restart"/>
          </w:tcPr>
          <w:p w14:paraId="61D03CA3"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Dažni</w:t>
            </w:r>
          </w:p>
        </w:tc>
      </w:tr>
      <w:tr w:rsidR="00E850F6" w:rsidRPr="008132C1" w14:paraId="3BDFB84B" w14:textId="77777777" w:rsidTr="00636DA1">
        <w:trPr>
          <w:cantSplit/>
          <w:trHeight w:val="340"/>
        </w:trPr>
        <w:tc>
          <w:tcPr>
            <w:tcW w:w="3788" w:type="pct"/>
          </w:tcPr>
          <w:p w14:paraId="4F72B4CA"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Sumišimo būklė</w:t>
            </w:r>
          </w:p>
        </w:tc>
        <w:tc>
          <w:tcPr>
            <w:tcW w:w="1212" w:type="pct"/>
            <w:vMerge/>
          </w:tcPr>
          <w:p w14:paraId="7E8E805F"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29396736" w14:textId="77777777" w:rsidTr="00636DA1">
        <w:trPr>
          <w:cantSplit/>
          <w:trHeight w:val="340"/>
        </w:trPr>
        <w:tc>
          <w:tcPr>
            <w:tcW w:w="3788" w:type="pct"/>
          </w:tcPr>
          <w:p w14:paraId="10ADF1C9"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Nerimas</w:t>
            </w:r>
          </w:p>
        </w:tc>
        <w:tc>
          <w:tcPr>
            <w:tcW w:w="1212" w:type="pct"/>
            <w:vMerge/>
          </w:tcPr>
          <w:p w14:paraId="7C216C01"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3D9246E5" w14:textId="77777777" w:rsidTr="00636DA1">
        <w:trPr>
          <w:cantSplit/>
          <w:trHeight w:val="340"/>
        </w:trPr>
        <w:tc>
          <w:tcPr>
            <w:tcW w:w="3788" w:type="pct"/>
          </w:tcPr>
          <w:p w14:paraId="1A395E68"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Sujaudinimas</w:t>
            </w:r>
          </w:p>
        </w:tc>
        <w:tc>
          <w:tcPr>
            <w:tcW w:w="1212" w:type="pct"/>
            <w:vMerge w:val="restart"/>
          </w:tcPr>
          <w:p w14:paraId="25E782D1"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Nedažni</w:t>
            </w:r>
          </w:p>
        </w:tc>
      </w:tr>
      <w:tr w:rsidR="00E850F6" w:rsidRPr="008132C1" w14:paraId="2B4544E4" w14:textId="77777777" w:rsidTr="00636DA1">
        <w:trPr>
          <w:cantSplit/>
          <w:trHeight w:val="340"/>
        </w:trPr>
        <w:tc>
          <w:tcPr>
            <w:tcW w:w="3788" w:type="pct"/>
          </w:tcPr>
          <w:p w14:paraId="2FB69729"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Psichozinis sutrikimas</w:t>
            </w:r>
          </w:p>
        </w:tc>
        <w:tc>
          <w:tcPr>
            <w:tcW w:w="1212" w:type="pct"/>
            <w:vMerge/>
          </w:tcPr>
          <w:p w14:paraId="0AD1BCD1"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1B3CF8C1" w14:textId="77777777" w:rsidTr="00636DA1">
        <w:trPr>
          <w:cantSplit/>
          <w:trHeight w:val="340"/>
        </w:trPr>
        <w:tc>
          <w:tcPr>
            <w:tcW w:w="3788" w:type="pct"/>
          </w:tcPr>
          <w:p w14:paraId="1B70A3B1"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Nenormalus mąstymas</w:t>
            </w:r>
          </w:p>
        </w:tc>
        <w:tc>
          <w:tcPr>
            <w:tcW w:w="1212" w:type="pct"/>
            <w:vMerge/>
          </w:tcPr>
          <w:p w14:paraId="4B446E01"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4BB55182" w14:textId="77777777" w:rsidTr="00636DA1">
        <w:trPr>
          <w:cantSplit/>
          <w:trHeight w:val="340"/>
        </w:trPr>
        <w:tc>
          <w:tcPr>
            <w:tcW w:w="3788" w:type="pct"/>
          </w:tcPr>
          <w:p w14:paraId="0D1FB62B"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Haliucinacijos</w:t>
            </w:r>
          </w:p>
        </w:tc>
        <w:tc>
          <w:tcPr>
            <w:tcW w:w="1212" w:type="pct"/>
            <w:vMerge/>
          </w:tcPr>
          <w:p w14:paraId="149C4FFD"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0286F5F8" w14:textId="77777777" w:rsidTr="00636DA1">
        <w:trPr>
          <w:cantSplit/>
          <w:trHeight w:val="340"/>
        </w:trPr>
        <w:tc>
          <w:tcPr>
            <w:tcW w:w="5000" w:type="pct"/>
            <w:gridSpan w:val="2"/>
          </w:tcPr>
          <w:p w14:paraId="0604D5B3" w14:textId="77777777" w:rsidR="00E850F6" w:rsidRPr="008132C1" w:rsidRDefault="00E850F6" w:rsidP="00636DA1">
            <w:pPr>
              <w:widowControl w:val="0"/>
              <w:spacing w:after="0" w:line="240" w:lineRule="auto"/>
              <w:rPr>
                <w:rFonts w:ascii="Times New Roman" w:hAnsi="Times New Roman"/>
                <w:b/>
                <w:iCs/>
              </w:rPr>
            </w:pPr>
            <w:r w:rsidRPr="008132C1">
              <w:rPr>
                <w:rFonts w:ascii="Times New Roman" w:hAnsi="Times New Roman"/>
                <w:b/>
                <w:i/>
                <w:iCs/>
              </w:rPr>
              <w:t>Nervų sistemos sutrikimai</w:t>
            </w:r>
          </w:p>
        </w:tc>
      </w:tr>
      <w:tr w:rsidR="00E850F6" w:rsidRPr="008132C1" w14:paraId="1F881742" w14:textId="77777777" w:rsidTr="00636DA1">
        <w:trPr>
          <w:cantSplit/>
          <w:trHeight w:val="340"/>
        </w:trPr>
        <w:tc>
          <w:tcPr>
            <w:tcW w:w="3788" w:type="pct"/>
          </w:tcPr>
          <w:p w14:paraId="0E96D894" w14:textId="77777777" w:rsidR="00E850F6" w:rsidRPr="008132C1" w:rsidRDefault="00E850F6" w:rsidP="00636DA1">
            <w:pPr>
              <w:widowControl w:val="0"/>
              <w:spacing w:after="0" w:line="240" w:lineRule="auto"/>
              <w:rPr>
                <w:rFonts w:ascii="Times New Roman" w:hAnsi="Times New Roman"/>
                <w:iCs/>
                <w:lang w:val="it-IT"/>
              </w:rPr>
            </w:pPr>
            <w:r w:rsidRPr="008132C1">
              <w:rPr>
                <w:rFonts w:ascii="Times New Roman" w:hAnsi="Times New Roman"/>
                <w:iCs/>
                <w:lang w:val="it-IT"/>
              </w:rPr>
              <w:t>Galvos skausmas</w:t>
            </w:r>
          </w:p>
        </w:tc>
        <w:tc>
          <w:tcPr>
            <w:tcW w:w="1212" w:type="pct"/>
          </w:tcPr>
          <w:p w14:paraId="4BFF630F"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Labai dažni</w:t>
            </w:r>
          </w:p>
        </w:tc>
      </w:tr>
      <w:tr w:rsidR="00E850F6" w:rsidRPr="008132C1" w14:paraId="58467FE7" w14:textId="77777777" w:rsidTr="00636DA1">
        <w:trPr>
          <w:cantSplit/>
          <w:trHeight w:val="340"/>
        </w:trPr>
        <w:tc>
          <w:tcPr>
            <w:tcW w:w="3788" w:type="pct"/>
          </w:tcPr>
          <w:p w14:paraId="42F10C87" w14:textId="77777777" w:rsidR="00E850F6" w:rsidRPr="008132C1" w:rsidRDefault="00E850F6" w:rsidP="00636DA1">
            <w:pPr>
              <w:widowControl w:val="0"/>
              <w:spacing w:after="0" w:line="240" w:lineRule="auto"/>
              <w:rPr>
                <w:rFonts w:ascii="Times New Roman" w:hAnsi="Times New Roman"/>
                <w:iCs/>
                <w:lang w:val="it-IT"/>
              </w:rPr>
            </w:pPr>
            <w:r w:rsidRPr="008132C1">
              <w:rPr>
                <w:rFonts w:ascii="Times New Roman" w:hAnsi="Times New Roman"/>
                <w:iCs/>
                <w:lang w:val="it-IT"/>
              </w:rPr>
              <w:t>Nemiga</w:t>
            </w:r>
          </w:p>
        </w:tc>
        <w:tc>
          <w:tcPr>
            <w:tcW w:w="1212" w:type="pct"/>
            <w:vMerge w:val="restart"/>
          </w:tcPr>
          <w:p w14:paraId="347A70CF"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Dažni</w:t>
            </w:r>
          </w:p>
        </w:tc>
      </w:tr>
      <w:tr w:rsidR="00E850F6" w:rsidRPr="008132C1" w14:paraId="72548DD5" w14:textId="77777777" w:rsidTr="00636DA1">
        <w:trPr>
          <w:cantSplit/>
          <w:trHeight w:val="340"/>
        </w:trPr>
        <w:tc>
          <w:tcPr>
            <w:tcW w:w="3788" w:type="pct"/>
          </w:tcPr>
          <w:p w14:paraId="23A59E6E" w14:textId="77777777" w:rsidR="00E850F6" w:rsidRPr="008132C1" w:rsidRDefault="00E850F6" w:rsidP="00636DA1">
            <w:pPr>
              <w:widowControl w:val="0"/>
              <w:spacing w:after="0" w:line="240" w:lineRule="auto"/>
              <w:rPr>
                <w:rFonts w:ascii="Times New Roman" w:hAnsi="Times New Roman"/>
                <w:iCs/>
                <w:lang w:val="it-IT"/>
              </w:rPr>
            </w:pPr>
            <w:r w:rsidRPr="008132C1">
              <w:rPr>
                <w:rFonts w:ascii="Times New Roman" w:hAnsi="Times New Roman"/>
                <w:iCs/>
                <w:lang w:val="it-IT"/>
              </w:rPr>
              <w:t>Periferinė neuropatija</w:t>
            </w:r>
          </w:p>
        </w:tc>
        <w:tc>
          <w:tcPr>
            <w:tcW w:w="1212" w:type="pct"/>
            <w:vMerge/>
          </w:tcPr>
          <w:p w14:paraId="23BBAFD0"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48C460E4" w14:textId="77777777" w:rsidTr="00636DA1">
        <w:trPr>
          <w:cantSplit/>
          <w:trHeight w:val="340"/>
        </w:trPr>
        <w:tc>
          <w:tcPr>
            <w:tcW w:w="3788" w:type="pct"/>
          </w:tcPr>
          <w:p w14:paraId="30D22B53" w14:textId="77777777" w:rsidR="00E850F6" w:rsidRPr="008132C1" w:rsidRDefault="00E850F6" w:rsidP="00636DA1">
            <w:pPr>
              <w:widowControl w:val="0"/>
              <w:spacing w:after="0" w:line="240" w:lineRule="auto"/>
              <w:rPr>
                <w:rFonts w:ascii="Times New Roman" w:hAnsi="Times New Roman"/>
                <w:iCs/>
                <w:lang w:val="it-IT"/>
              </w:rPr>
            </w:pPr>
            <w:r w:rsidRPr="008132C1">
              <w:rPr>
                <w:rFonts w:ascii="Times New Roman" w:hAnsi="Times New Roman"/>
                <w:iCs/>
                <w:lang w:val="it-IT"/>
              </w:rPr>
              <w:t>Svaigulys</w:t>
            </w:r>
          </w:p>
        </w:tc>
        <w:tc>
          <w:tcPr>
            <w:tcW w:w="1212" w:type="pct"/>
            <w:vMerge/>
          </w:tcPr>
          <w:p w14:paraId="09D4EE3D"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0F9F9BE6" w14:textId="77777777" w:rsidTr="00636DA1">
        <w:trPr>
          <w:cantSplit/>
          <w:trHeight w:val="340"/>
        </w:trPr>
        <w:tc>
          <w:tcPr>
            <w:tcW w:w="3788" w:type="pct"/>
          </w:tcPr>
          <w:p w14:paraId="30C5F6A7" w14:textId="77777777" w:rsidR="00E850F6" w:rsidRPr="008132C1" w:rsidRDefault="00E850F6" w:rsidP="00636DA1">
            <w:pPr>
              <w:widowControl w:val="0"/>
              <w:spacing w:after="0" w:line="240" w:lineRule="auto"/>
              <w:rPr>
                <w:rFonts w:ascii="Times New Roman" w:hAnsi="Times New Roman"/>
                <w:iCs/>
                <w:lang w:val="it-IT"/>
              </w:rPr>
            </w:pPr>
            <w:r w:rsidRPr="008132C1">
              <w:rPr>
                <w:rFonts w:ascii="Times New Roman" w:hAnsi="Times New Roman"/>
                <w:iCs/>
                <w:lang w:val="it-IT"/>
              </w:rPr>
              <w:t>Parestezija</w:t>
            </w:r>
          </w:p>
        </w:tc>
        <w:tc>
          <w:tcPr>
            <w:tcW w:w="1212" w:type="pct"/>
            <w:vMerge/>
          </w:tcPr>
          <w:p w14:paraId="359426C1"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0F96F4F0" w14:textId="77777777" w:rsidTr="00636DA1">
        <w:trPr>
          <w:cantSplit/>
          <w:trHeight w:val="340"/>
        </w:trPr>
        <w:tc>
          <w:tcPr>
            <w:tcW w:w="3788" w:type="pct"/>
          </w:tcPr>
          <w:p w14:paraId="792C7B9A" w14:textId="77777777" w:rsidR="00E850F6" w:rsidRPr="008132C1" w:rsidRDefault="00E850F6" w:rsidP="00636DA1">
            <w:pPr>
              <w:widowControl w:val="0"/>
              <w:spacing w:after="0" w:line="240" w:lineRule="auto"/>
              <w:rPr>
                <w:rFonts w:ascii="Times New Roman" w:hAnsi="Times New Roman"/>
                <w:iCs/>
                <w:lang w:val="it-IT"/>
              </w:rPr>
            </w:pPr>
            <w:r w:rsidRPr="008132C1">
              <w:rPr>
                <w:rFonts w:ascii="Times New Roman" w:hAnsi="Times New Roman"/>
                <w:iCs/>
                <w:lang w:val="it-IT"/>
              </w:rPr>
              <w:t>Hipoestezija</w:t>
            </w:r>
          </w:p>
        </w:tc>
        <w:tc>
          <w:tcPr>
            <w:tcW w:w="1212" w:type="pct"/>
            <w:vMerge/>
          </w:tcPr>
          <w:p w14:paraId="3A8EB3DD"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22469BA7" w14:textId="77777777" w:rsidTr="00636DA1">
        <w:trPr>
          <w:cantSplit/>
          <w:trHeight w:val="340"/>
        </w:trPr>
        <w:tc>
          <w:tcPr>
            <w:tcW w:w="3788" w:type="pct"/>
          </w:tcPr>
          <w:p w14:paraId="2D3F51E3" w14:textId="77777777" w:rsidR="00E850F6" w:rsidRPr="008132C1" w:rsidRDefault="00E850F6" w:rsidP="00636DA1">
            <w:pPr>
              <w:widowControl w:val="0"/>
              <w:spacing w:after="0" w:line="240" w:lineRule="auto"/>
              <w:rPr>
                <w:rFonts w:ascii="Times New Roman" w:hAnsi="Times New Roman"/>
                <w:iCs/>
                <w:lang w:val="it-IT"/>
              </w:rPr>
            </w:pPr>
            <w:r w:rsidRPr="008132C1">
              <w:rPr>
                <w:rFonts w:ascii="Times New Roman" w:hAnsi="Times New Roman"/>
                <w:iCs/>
                <w:lang w:val="it-IT"/>
              </w:rPr>
              <w:t>Traukuliai</w:t>
            </w:r>
          </w:p>
        </w:tc>
        <w:tc>
          <w:tcPr>
            <w:tcW w:w="1212" w:type="pct"/>
            <w:vMerge/>
          </w:tcPr>
          <w:p w14:paraId="71353BDE"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0975DD5E" w14:textId="77777777" w:rsidTr="00636DA1">
        <w:trPr>
          <w:cantSplit/>
          <w:trHeight w:val="340"/>
        </w:trPr>
        <w:tc>
          <w:tcPr>
            <w:tcW w:w="3788" w:type="pct"/>
          </w:tcPr>
          <w:p w14:paraId="09CE0DA5"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lang w:val="it-IT"/>
              </w:rPr>
              <w:t>Dizgeuzija (skonio jutimo sutrikimai)</w:t>
            </w:r>
          </w:p>
        </w:tc>
        <w:tc>
          <w:tcPr>
            <w:tcW w:w="1212" w:type="pct"/>
            <w:vMerge/>
          </w:tcPr>
          <w:p w14:paraId="40EE1A5B"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53EF46A5" w14:textId="77777777" w:rsidTr="00636DA1">
        <w:trPr>
          <w:cantSplit/>
          <w:trHeight w:val="340"/>
        </w:trPr>
        <w:tc>
          <w:tcPr>
            <w:tcW w:w="3788" w:type="pct"/>
            <w:tcBorders>
              <w:bottom w:val="single" w:sz="4" w:space="0" w:color="auto"/>
            </w:tcBorders>
          </w:tcPr>
          <w:p w14:paraId="09BA1D7E" w14:textId="77777777" w:rsidR="00E850F6" w:rsidRPr="008132C1" w:rsidRDefault="00E850F6" w:rsidP="00636DA1">
            <w:pPr>
              <w:widowControl w:val="0"/>
              <w:spacing w:after="0" w:line="240" w:lineRule="auto"/>
              <w:rPr>
                <w:rFonts w:ascii="Times New Roman" w:hAnsi="Times New Roman"/>
                <w:iCs/>
                <w:lang w:val="it-IT"/>
              </w:rPr>
            </w:pPr>
            <w:r w:rsidRPr="008132C1">
              <w:rPr>
                <w:rFonts w:ascii="Times New Roman" w:hAnsi="Times New Roman"/>
                <w:iCs/>
              </w:rPr>
              <w:t>Tremoras</w:t>
            </w:r>
          </w:p>
        </w:tc>
        <w:tc>
          <w:tcPr>
            <w:tcW w:w="1212" w:type="pct"/>
          </w:tcPr>
          <w:p w14:paraId="440A230B"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Nedažni</w:t>
            </w:r>
          </w:p>
        </w:tc>
      </w:tr>
      <w:tr w:rsidR="00E850F6" w:rsidRPr="008132C1" w14:paraId="53D5DFD4" w14:textId="77777777" w:rsidTr="00636DA1">
        <w:trPr>
          <w:cantSplit/>
          <w:trHeight w:val="340"/>
        </w:trPr>
        <w:tc>
          <w:tcPr>
            <w:tcW w:w="5000" w:type="pct"/>
            <w:gridSpan w:val="2"/>
          </w:tcPr>
          <w:p w14:paraId="1D760621"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b/>
                <w:i/>
                <w:iCs/>
              </w:rPr>
              <w:t>Akių sutrikimai</w:t>
            </w:r>
          </w:p>
        </w:tc>
      </w:tr>
      <w:tr w:rsidR="00E850F6" w:rsidRPr="008132C1" w14:paraId="05D40662" w14:textId="77777777" w:rsidTr="00636DA1">
        <w:trPr>
          <w:cantSplit/>
          <w:trHeight w:val="340"/>
        </w:trPr>
        <w:tc>
          <w:tcPr>
            <w:tcW w:w="3788" w:type="pct"/>
          </w:tcPr>
          <w:p w14:paraId="4EF89890"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rPr>
              <w:t>Regėjimo sutrikimas</w:t>
            </w:r>
          </w:p>
        </w:tc>
        <w:tc>
          <w:tcPr>
            <w:tcW w:w="1212" w:type="pct"/>
            <w:vMerge w:val="restart"/>
            <w:tcBorders>
              <w:left w:val="nil"/>
            </w:tcBorders>
          </w:tcPr>
          <w:p w14:paraId="3201B045" w14:textId="77777777" w:rsidR="00E850F6" w:rsidRPr="008132C1" w:rsidRDefault="00E850F6" w:rsidP="00636DA1">
            <w:pPr>
              <w:widowControl w:val="0"/>
              <w:spacing w:after="0" w:line="240" w:lineRule="auto"/>
              <w:rPr>
                <w:rFonts w:ascii="Times New Roman" w:hAnsi="Times New Roman"/>
                <w:b/>
                <w:iCs/>
              </w:rPr>
            </w:pPr>
            <w:r w:rsidRPr="008132C1">
              <w:rPr>
                <w:rFonts w:ascii="Times New Roman" w:hAnsi="Times New Roman"/>
                <w:iCs/>
              </w:rPr>
              <w:t>Dažni</w:t>
            </w:r>
          </w:p>
        </w:tc>
      </w:tr>
      <w:tr w:rsidR="00E850F6" w:rsidRPr="008132C1" w14:paraId="1CB8385B" w14:textId="77777777" w:rsidTr="00636DA1">
        <w:trPr>
          <w:cantSplit/>
          <w:trHeight w:val="340"/>
        </w:trPr>
        <w:tc>
          <w:tcPr>
            <w:tcW w:w="3788" w:type="pct"/>
          </w:tcPr>
          <w:p w14:paraId="3205A3BC"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rPr>
              <w:t>Tinklainės atšoka</w:t>
            </w:r>
            <w:r>
              <w:rPr>
                <w:rFonts w:ascii="Times New Roman" w:hAnsi="Times New Roman"/>
              </w:rPr>
              <w:t>**</w:t>
            </w:r>
          </w:p>
        </w:tc>
        <w:tc>
          <w:tcPr>
            <w:tcW w:w="1212" w:type="pct"/>
            <w:vMerge/>
            <w:tcBorders>
              <w:left w:val="nil"/>
            </w:tcBorders>
          </w:tcPr>
          <w:p w14:paraId="1D673DBD" w14:textId="77777777" w:rsidR="00E850F6" w:rsidRPr="008132C1" w:rsidRDefault="00E850F6" w:rsidP="00636DA1">
            <w:pPr>
              <w:widowControl w:val="0"/>
              <w:spacing w:after="0" w:line="240" w:lineRule="auto"/>
              <w:rPr>
                <w:rFonts w:ascii="Times New Roman" w:hAnsi="Times New Roman"/>
                <w:b/>
                <w:iCs/>
              </w:rPr>
            </w:pPr>
          </w:p>
        </w:tc>
      </w:tr>
      <w:tr w:rsidR="00E850F6" w:rsidRPr="008132C1" w14:paraId="5E1D0839" w14:textId="77777777" w:rsidTr="00636DA1">
        <w:trPr>
          <w:cantSplit/>
          <w:trHeight w:val="340"/>
        </w:trPr>
        <w:tc>
          <w:tcPr>
            <w:tcW w:w="3788" w:type="pct"/>
          </w:tcPr>
          <w:p w14:paraId="6256B37A"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rPr>
              <w:t>Plaukiojantys svetimkūniai stiklakūnyje</w:t>
            </w:r>
          </w:p>
        </w:tc>
        <w:tc>
          <w:tcPr>
            <w:tcW w:w="1212" w:type="pct"/>
            <w:vMerge/>
            <w:tcBorders>
              <w:left w:val="nil"/>
            </w:tcBorders>
          </w:tcPr>
          <w:p w14:paraId="333046E8" w14:textId="77777777" w:rsidR="00E850F6" w:rsidRPr="008132C1" w:rsidRDefault="00E850F6" w:rsidP="00636DA1">
            <w:pPr>
              <w:widowControl w:val="0"/>
              <w:spacing w:after="0" w:line="240" w:lineRule="auto"/>
              <w:rPr>
                <w:rFonts w:ascii="Times New Roman" w:hAnsi="Times New Roman"/>
                <w:b/>
                <w:iCs/>
              </w:rPr>
            </w:pPr>
          </w:p>
        </w:tc>
      </w:tr>
      <w:tr w:rsidR="00E850F6" w:rsidRPr="008132C1" w14:paraId="244365AA" w14:textId="77777777" w:rsidTr="00636DA1">
        <w:trPr>
          <w:cantSplit/>
          <w:trHeight w:val="340"/>
        </w:trPr>
        <w:tc>
          <w:tcPr>
            <w:tcW w:w="3788" w:type="pct"/>
          </w:tcPr>
          <w:p w14:paraId="1AD159A9"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rPr>
              <w:t>Akies skausmas</w:t>
            </w:r>
          </w:p>
        </w:tc>
        <w:tc>
          <w:tcPr>
            <w:tcW w:w="1212" w:type="pct"/>
            <w:vMerge/>
            <w:tcBorders>
              <w:left w:val="nil"/>
            </w:tcBorders>
          </w:tcPr>
          <w:p w14:paraId="6C6971E6" w14:textId="77777777" w:rsidR="00E850F6" w:rsidRPr="008132C1" w:rsidRDefault="00E850F6" w:rsidP="00636DA1">
            <w:pPr>
              <w:widowControl w:val="0"/>
              <w:spacing w:after="0" w:line="240" w:lineRule="auto"/>
              <w:rPr>
                <w:rFonts w:ascii="Times New Roman" w:hAnsi="Times New Roman"/>
                <w:b/>
                <w:iCs/>
              </w:rPr>
            </w:pPr>
          </w:p>
        </w:tc>
      </w:tr>
      <w:tr w:rsidR="00E850F6" w:rsidRPr="008132C1" w14:paraId="76665F3D" w14:textId="77777777" w:rsidTr="00636DA1">
        <w:trPr>
          <w:cantSplit/>
          <w:trHeight w:val="340"/>
        </w:trPr>
        <w:tc>
          <w:tcPr>
            <w:tcW w:w="3788" w:type="pct"/>
          </w:tcPr>
          <w:p w14:paraId="489FEDD2" w14:textId="77777777" w:rsidR="00E850F6" w:rsidRPr="008132C1" w:rsidRDefault="00E850F6" w:rsidP="00636DA1">
            <w:pPr>
              <w:widowControl w:val="0"/>
              <w:spacing w:after="0" w:line="240" w:lineRule="auto"/>
              <w:rPr>
                <w:rFonts w:ascii="Times New Roman" w:hAnsi="Times New Roman"/>
                <w:b/>
                <w:iCs/>
              </w:rPr>
            </w:pPr>
            <w:r w:rsidRPr="008132C1">
              <w:rPr>
                <w:rFonts w:ascii="Times New Roman" w:hAnsi="Times New Roman"/>
              </w:rPr>
              <w:t>Konjunktyvitas</w:t>
            </w:r>
          </w:p>
        </w:tc>
        <w:tc>
          <w:tcPr>
            <w:tcW w:w="1212" w:type="pct"/>
            <w:vMerge/>
            <w:tcBorders>
              <w:left w:val="nil"/>
            </w:tcBorders>
          </w:tcPr>
          <w:p w14:paraId="3A735A92" w14:textId="77777777" w:rsidR="00E850F6" w:rsidRPr="008132C1" w:rsidRDefault="00E850F6" w:rsidP="00636DA1">
            <w:pPr>
              <w:widowControl w:val="0"/>
              <w:spacing w:after="0" w:line="240" w:lineRule="auto"/>
              <w:rPr>
                <w:rFonts w:ascii="Times New Roman" w:hAnsi="Times New Roman"/>
                <w:b/>
                <w:iCs/>
              </w:rPr>
            </w:pPr>
          </w:p>
        </w:tc>
      </w:tr>
      <w:tr w:rsidR="00E850F6" w:rsidRPr="008132C1" w14:paraId="1C6F1F18" w14:textId="77777777" w:rsidTr="00636DA1">
        <w:trPr>
          <w:cantSplit/>
          <w:trHeight w:val="340"/>
        </w:trPr>
        <w:tc>
          <w:tcPr>
            <w:tcW w:w="3788" w:type="pct"/>
          </w:tcPr>
          <w:p w14:paraId="50609CF2"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rPr>
              <w:t>Makulos edema</w:t>
            </w:r>
          </w:p>
        </w:tc>
        <w:tc>
          <w:tcPr>
            <w:tcW w:w="1212" w:type="pct"/>
            <w:vMerge/>
            <w:tcBorders>
              <w:left w:val="nil"/>
            </w:tcBorders>
          </w:tcPr>
          <w:p w14:paraId="2571DE6F" w14:textId="77777777" w:rsidR="00E850F6" w:rsidRPr="008132C1" w:rsidRDefault="00E850F6" w:rsidP="00636DA1">
            <w:pPr>
              <w:widowControl w:val="0"/>
              <w:spacing w:after="0" w:line="240" w:lineRule="auto"/>
              <w:rPr>
                <w:rFonts w:ascii="Times New Roman" w:hAnsi="Times New Roman"/>
                <w:b/>
                <w:iCs/>
              </w:rPr>
            </w:pPr>
          </w:p>
        </w:tc>
      </w:tr>
      <w:tr w:rsidR="00E850F6" w:rsidRPr="008132C1" w14:paraId="5B5E6C55" w14:textId="77777777" w:rsidTr="00636DA1">
        <w:trPr>
          <w:cantSplit/>
          <w:trHeight w:val="340"/>
        </w:trPr>
        <w:tc>
          <w:tcPr>
            <w:tcW w:w="5000" w:type="pct"/>
            <w:gridSpan w:val="2"/>
          </w:tcPr>
          <w:p w14:paraId="6E089C3B"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b/>
                <w:i/>
                <w:iCs/>
              </w:rPr>
              <w:t>Ausų ir labirintų sutrikimai</w:t>
            </w:r>
          </w:p>
        </w:tc>
      </w:tr>
      <w:tr w:rsidR="00E850F6" w:rsidRPr="008132C1" w14:paraId="1780B6BA" w14:textId="77777777" w:rsidTr="00636DA1">
        <w:trPr>
          <w:cantSplit/>
          <w:trHeight w:val="340"/>
        </w:trPr>
        <w:tc>
          <w:tcPr>
            <w:tcW w:w="3788" w:type="pct"/>
          </w:tcPr>
          <w:p w14:paraId="506EDE1B" w14:textId="77777777" w:rsidR="00E850F6" w:rsidRPr="008132C1" w:rsidRDefault="00E850F6" w:rsidP="00636DA1">
            <w:pPr>
              <w:widowControl w:val="0"/>
              <w:spacing w:after="0" w:line="240" w:lineRule="auto"/>
              <w:rPr>
                <w:rFonts w:ascii="Times New Roman" w:hAnsi="Times New Roman"/>
                <w:b/>
                <w:iCs/>
              </w:rPr>
            </w:pPr>
            <w:r w:rsidRPr="008132C1">
              <w:rPr>
                <w:rFonts w:ascii="Times New Roman" w:hAnsi="Times New Roman"/>
                <w:iCs/>
              </w:rPr>
              <w:t>Ausies skausmas</w:t>
            </w:r>
          </w:p>
        </w:tc>
        <w:tc>
          <w:tcPr>
            <w:tcW w:w="1212" w:type="pct"/>
            <w:tcBorders>
              <w:left w:val="nil"/>
            </w:tcBorders>
          </w:tcPr>
          <w:p w14:paraId="484B9ADC"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Dažni</w:t>
            </w:r>
          </w:p>
        </w:tc>
      </w:tr>
      <w:tr w:rsidR="00E850F6" w:rsidRPr="008132C1" w14:paraId="247BE321" w14:textId="77777777" w:rsidTr="00636DA1">
        <w:trPr>
          <w:cantSplit/>
          <w:trHeight w:val="340"/>
        </w:trPr>
        <w:tc>
          <w:tcPr>
            <w:tcW w:w="3788" w:type="pct"/>
          </w:tcPr>
          <w:p w14:paraId="3FEEB804"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Prikurtimas</w:t>
            </w:r>
          </w:p>
        </w:tc>
        <w:tc>
          <w:tcPr>
            <w:tcW w:w="1212" w:type="pct"/>
          </w:tcPr>
          <w:p w14:paraId="44163F01"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Nedažni</w:t>
            </w:r>
          </w:p>
        </w:tc>
      </w:tr>
      <w:tr w:rsidR="00E850F6" w:rsidRPr="008132C1" w14:paraId="0B5CEAD1" w14:textId="77777777" w:rsidTr="00636DA1">
        <w:trPr>
          <w:cantSplit/>
          <w:trHeight w:val="340"/>
        </w:trPr>
        <w:tc>
          <w:tcPr>
            <w:tcW w:w="5000" w:type="pct"/>
            <w:gridSpan w:val="2"/>
          </w:tcPr>
          <w:p w14:paraId="3FC533B1"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b/>
                <w:i/>
                <w:iCs/>
              </w:rPr>
              <w:t>Širdies sutrikimai</w:t>
            </w:r>
          </w:p>
        </w:tc>
      </w:tr>
      <w:tr w:rsidR="00E850F6" w:rsidRPr="008132C1" w14:paraId="77D9393C" w14:textId="77777777" w:rsidTr="00636DA1">
        <w:trPr>
          <w:cantSplit/>
          <w:trHeight w:val="340"/>
        </w:trPr>
        <w:tc>
          <w:tcPr>
            <w:tcW w:w="3788" w:type="pct"/>
          </w:tcPr>
          <w:p w14:paraId="06A8FB6B" w14:textId="77777777" w:rsidR="00E850F6" w:rsidRPr="008132C1" w:rsidRDefault="00E850F6" w:rsidP="00636DA1">
            <w:pPr>
              <w:widowControl w:val="0"/>
              <w:spacing w:after="0" w:line="240" w:lineRule="auto"/>
              <w:rPr>
                <w:rFonts w:ascii="Times New Roman" w:hAnsi="Times New Roman"/>
                <w:i/>
                <w:iCs/>
              </w:rPr>
            </w:pPr>
            <w:r w:rsidRPr="008132C1">
              <w:rPr>
                <w:rFonts w:ascii="Times New Roman" w:hAnsi="Times New Roman"/>
                <w:iCs/>
              </w:rPr>
              <w:t>Aritmijos</w:t>
            </w:r>
          </w:p>
        </w:tc>
        <w:tc>
          <w:tcPr>
            <w:tcW w:w="1212" w:type="pct"/>
          </w:tcPr>
          <w:p w14:paraId="1BC1E0C9"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Nedažni</w:t>
            </w:r>
          </w:p>
        </w:tc>
      </w:tr>
      <w:tr w:rsidR="00E850F6" w:rsidRPr="008132C1" w14:paraId="185FA255" w14:textId="77777777" w:rsidTr="00636DA1">
        <w:trPr>
          <w:cantSplit/>
          <w:trHeight w:val="340"/>
        </w:trPr>
        <w:tc>
          <w:tcPr>
            <w:tcW w:w="3788" w:type="pct"/>
          </w:tcPr>
          <w:p w14:paraId="6375B82B"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b/>
                <w:i/>
                <w:iCs/>
              </w:rPr>
              <w:t>Kraujagyslių sutrikimai</w:t>
            </w:r>
          </w:p>
        </w:tc>
        <w:tc>
          <w:tcPr>
            <w:tcW w:w="1212" w:type="pct"/>
          </w:tcPr>
          <w:p w14:paraId="36272FC0"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0E56B48D" w14:textId="77777777" w:rsidTr="00636DA1">
        <w:trPr>
          <w:cantSplit/>
          <w:trHeight w:val="340"/>
        </w:trPr>
        <w:tc>
          <w:tcPr>
            <w:tcW w:w="3788" w:type="pct"/>
            <w:tcBorders>
              <w:bottom w:val="single" w:sz="4" w:space="0" w:color="auto"/>
            </w:tcBorders>
          </w:tcPr>
          <w:p w14:paraId="27E35898"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Hipotenzija</w:t>
            </w:r>
          </w:p>
        </w:tc>
        <w:tc>
          <w:tcPr>
            <w:tcW w:w="1212" w:type="pct"/>
          </w:tcPr>
          <w:p w14:paraId="57CA7E28"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Dažni</w:t>
            </w:r>
          </w:p>
        </w:tc>
      </w:tr>
      <w:tr w:rsidR="00E850F6" w:rsidRPr="008132C1" w14:paraId="100E781A" w14:textId="77777777" w:rsidTr="00636DA1">
        <w:trPr>
          <w:cantSplit/>
          <w:trHeight w:val="340"/>
        </w:trPr>
        <w:tc>
          <w:tcPr>
            <w:tcW w:w="5000" w:type="pct"/>
            <w:gridSpan w:val="2"/>
          </w:tcPr>
          <w:p w14:paraId="2F594DE8"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b/>
                <w:i/>
                <w:iCs/>
              </w:rPr>
              <w:t>Kvėpavimo sistemos, krūtinės ląstos ir tarpuplaučio sutrikimai</w:t>
            </w:r>
          </w:p>
        </w:tc>
      </w:tr>
      <w:tr w:rsidR="00E850F6" w:rsidRPr="008132C1" w14:paraId="39A9B343" w14:textId="77777777" w:rsidTr="00636DA1">
        <w:trPr>
          <w:cantSplit/>
          <w:trHeight w:val="340"/>
        </w:trPr>
        <w:tc>
          <w:tcPr>
            <w:tcW w:w="3788" w:type="pct"/>
          </w:tcPr>
          <w:p w14:paraId="1622477A"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Kosulys</w:t>
            </w:r>
          </w:p>
        </w:tc>
        <w:tc>
          <w:tcPr>
            <w:tcW w:w="1212" w:type="pct"/>
            <w:vMerge w:val="restart"/>
            <w:tcBorders>
              <w:left w:val="nil"/>
            </w:tcBorders>
          </w:tcPr>
          <w:p w14:paraId="3C1CD87B"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Labai dažni</w:t>
            </w:r>
          </w:p>
        </w:tc>
      </w:tr>
      <w:tr w:rsidR="00E850F6" w:rsidRPr="008132C1" w14:paraId="43953A54" w14:textId="77777777" w:rsidTr="00636DA1">
        <w:trPr>
          <w:cantSplit/>
          <w:trHeight w:val="340"/>
        </w:trPr>
        <w:tc>
          <w:tcPr>
            <w:tcW w:w="3788" w:type="pct"/>
          </w:tcPr>
          <w:p w14:paraId="3E4EDD3E" w14:textId="77777777" w:rsidR="00E850F6" w:rsidRPr="008132C1" w:rsidRDefault="00E850F6" w:rsidP="00636DA1">
            <w:pPr>
              <w:widowControl w:val="0"/>
              <w:spacing w:after="0" w:line="240" w:lineRule="auto"/>
              <w:rPr>
                <w:rFonts w:ascii="Times New Roman" w:hAnsi="Times New Roman"/>
                <w:b/>
                <w:i/>
                <w:iCs/>
              </w:rPr>
            </w:pPr>
            <w:r w:rsidRPr="008132C1">
              <w:rPr>
                <w:rFonts w:ascii="Times New Roman" w:hAnsi="Times New Roman"/>
                <w:iCs/>
              </w:rPr>
              <w:t>Dusulys</w:t>
            </w:r>
          </w:p>
        </w:tc>
        <w:tc>
          <w:tcPr>
            <w:tcW w:w="1212" w:type="pct"/>
            <w:vMerge/>
            <w:tcBorders>
              <w:left w:val="nil"/>
            </w:tcBorders>
          </w:tcPr>
          <w:p w14:paraId="728A6D6F"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3B48367E" w14:textId="77777777" w:rsidTr="00636DA1">
        <w:trPr>
          <w:cantSplit/>
          <w:trHeight w:val="340"/>
        </w:trPr>
        <w:tc>
          <w:tcPr>
            <w:tcW w:w="5000" w:type="pct"/>
            <w:gridSpan w:val="2"/>
          </w:tcPr>
          <w:p w14:paraId="4EEB7DDC"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b/>
                <w:i/>
                <w:iCs/>
              </w:rPr>
              <w:t>Virškinimo trakto sutrikimai</w:t>
            </w:r>
          </w:p>
        </w:tc>
      </w:tr>
      <w:tr w:rsidR="00E850F6" w:rsidRPr="008132C1" w14:paraId="4339DDDA" w14:textId="77777777" w:rsidTr="00636DA1">
        <w:trPr>
          <w:cantSplit/>
          <w:trHeight w:val="340"/>
        </w:trPr>
        <w:tc>
          <w:tcPr>
            <w:tcW w:w="3788" w:type="pct"/>
          </w:tcPr>
          <w:p w14:paraId="5C5F43E2" w14:textId="77777777" w:rsidR="00E850F6" w:rsidRPr="008132C1" w:rsidRDefault="00E850F6" w:rsidP="00636DA1">
            <w:pPr>
              <w:widowControl w:val="0"/>
              <w:spacing w:after="0" w:line="240" w:lineRule="auto"/>
              <w:rPr>
                <w:rFonts w:ascii="Times New Roman" w:hAnsi="Times New Roman"/>
                <w:b/>
                <w:i/>
                <w:iCs/>
              </w:rPr>
            </w:pPr>
            <w:r w:rsidRPr="008132C1">
              <w:rPr>
                <w:rFonts w:ascii="Times New Roman" w:hAnsi="Times New Roman"/>
                <w:iCs/>
              </w:rPr>
              <w:t>Viduriavimas</w:t>
            </w:r>
          </w:p>
        </w:tc>
        <w:tc>
          <w:tcPr>
            <w:tcW w:w="1212" w:type="pct"/>
            <w:vMerge w:val="restart"/>
            <w:tcBorders>
              <w:left w:val="nil"/>
            </w:tcBorders>
          </w:tcPr>
          <w:p w14:paraId="4DBC1336" w14:textId="77777777" w:rsidR="00E850F6" w:rsidRPr="008132C1" w:rsidRDefault="00E850F6" w:rsidP="00636DA1">
            <w:pPr>
              <w:widowControl w:val="0"/>
              <w:spacing w:after="0" w:line="240" w:lineRule="auto"/>
              <w:rPr>
                <w:rFonts w:ascii="Times New Roman" w:hAnsi="Times New Roman"/>
                <w:b/>
                <w:i/>
                <w:iCs/>
              </w:rPr>
            </w:pPr>
            <w:r w:rsidRPr="008132C1">
              <w:rPr>
                <w:rFonts w:ascii="Times New Roman" w:hAnsi="Times New Roman"/>
                <w:iCs/>
              </w:rPr>
              <w:t>Labai dažni</w:t>
            </w:r>
          </w:p>
        </w:tc>
      </w:tr>
      <w:tr w:rsidR="00E850F6" w:rsidRPr="008132C1" w14:paraId="294F6C7C" w14:textId="77777777" w:rsidTr="00636DA1">
        <w:trPr>
          <w:cantSplit/>
          <w:trHeight w:val="340"/>
        </w:trPr>
        <w:tc>
          <w:tcPr>
            <w:tcW w:w="3788" w:type="pct"/>
          </w:tcPr>
          <w:p w14:paraId="1E00C8DE"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lastRenderedPageBreak/>
              <w:t>Pykinimas</w:t>
            </w:r>
          </w:p>
        </w:tc>
        <w:tc>
          <w:tcPr>
            <w:tcW w:w="1212" w:type="pct"/>
            <w:vMerge/>
          </w:tcPr>
          <w:p w14:paraId="1F26A9DE"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0AF746CC" w14:textId="77777777" w:rsidTr="00636DA1">
        <w:trPr>
          <w:cantSplit/>
          <w:trHeight w:val="340"/>
        </w:trPr>
        <w:tc>
          <w:tcPr>
            <w:tcW w:w="3788" w:type="pct"/>
          </w:tcPr>
          <w:p w14:paraId="6701ABC8" w14:textId="77777777" w:rsidR="00E850F6" w:rsidRPr="008132C1" w:rsidDel="003E2D7D" w:rsidRDefault="00E850F6" w:rsidP="00636DA1">
            <w:pPr>
              <w:widowControl w:val="0"/>
              <w:spacing w:after="0" w:line="240" w:lineRule="auto"/>
              <w:rPr>
                <w:rFonts w:ascii="Times New Roman" w:hAnsi="Times New Roman"/>
                <w:iCs/>
              </w:rPr>
            </w:pPr>
            <w:r w:rsidRPr="008132C1">
              <w:rPr>
                <w:rFonts w:ascii="Times New Roman" w:hAnsi="Times New Roman"/>
                <w:iCs/>
              </w:rPr>
              <w:t>Vėmimas</w:t>
            </w:r>
          </w:p>
        </w:tc>
        <w:tc>
          <w:tcPr>
            <w:tcW w:w="1212" w:type="pct"/>
            <w:vMerge/>
          </w:tcPr>
          <w:p w14:paraId="46281696"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217B0009" w14:textId="77777777" w:rsidTr="00636DA1">
        <w:trPr>
          <w:cantSplit/>
          <w:trHeight w:val="340"/>
        </w:trPr>
        <w:tc>
          <w:tcPr>
            <w:tcW w:w="3788" w:type="pct"/>
          </w:tcPr>
          <w:p w14:paraId="4B63AC77" w14:textId="77777777" w:rsidR="00E850F6" w:rsidRPr="008132C1" w:rsidDel="003E2D7D" w:rsidRDefault="00E850F6" w:rsidP="00636DA1">
            <w:pPr>
              <w:widowControl w:val="0"/>
              <w:spacing w:after="0" w:line="240" w:lineRule="auto"/>
              <w:rPr>
                <w:rFonts w:ascii="Times New Roman" w:hAnsi="Times New Roman"/>
                <w:iCs/>
              </w:rPr>
            </w:pPr>
            <w:r w:rsidRPr="008132C1">
              <w:rPr>
                <w:rFonts w:ascii="Times New Roman" w:hAnsi="Times New Roman"/>
                <w:iCs/>
              </w:rPr>
              <w:t>Pilvo skausmas</w:t>
            </w:r>
          </w:p>
        </w:tc>
        <w:tc>
          <w:tcPr>
            <w:tcW w:w="1212" w:type="pct"/>
            <w:vMerge/>
          </w:tcPr>
          <w:p w14:paraId="49DC3F73"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288C8AC3" w14:textId="77777777" w:rsidTr="00636DA1">
        <w:trPr>
          <w:cantSplit/>
          <w:trHeight w:val="340"/>
        </w:trPr>
        <w:tc>
          <w:tcPr>
            <w:tcW w:w="3788" w:type="pct"/>
          </w:tcPr>
          <w:p w14:paraId="06BD2A45"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Nevirškinimas</w:t>
            </w:r>
          </w:p>
        </w:tc>
        <w:tc>
          <w:tcPr>
            <w:tcW w:w="1212" w:type="pct"/>
            <w:vMerge w:val="restart"/>
          </w:tcPr>
          <w:p w14:paraId="220B5A1B"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Dažni</w:t>
            </w:r>
          </w:p>
        </w:tc>
      </w:tr>
      <w:tr w:rsidR="00E850F6" w:rsidRPr="008132C1" w14:paraId="05F1FEF8" w14:textId="77777777" w:rsidTr="00636DA1">
        <w:trPr>
          <w:cantSplit/>
          <w:trHeight w:val="340"/>
        </w:trPr>
        <w:tc>
          <w:tcPr>
            <w:tcW w:w="3788" w:type="pct"/>
          </w:tcPr>
          <w:p w14:paraId="32B42339"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Pilvo pūtimas</w:t>
            </w:r>
          </w:p>
        </w:tc>
        <w:tc>
          <w:tcPr>
            <w:tcW w:w="1212" w:type="pct"/>
            <w:vMerge/>
          </w:tcPr>
          <w:p w14:paraId="43B80704"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3C119CE4" w14:textId="77777777" w:rsidTr="00636DA1">
        <w:trPr>
          <w:cantSplit/>
          <w:trHeight w:val="340"/>
        </w:trPr>
        <w:tc>
          <w:tcPr>
            <w:tcW w:w="3788" w:type="pct"/>
          </w:tcPr>
          <w:p w14:paraId="2FCF33C1"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Viršutinio pilvo aukšto skausmas</w:t>
            </w:r>
          </w:p>
        </w:tc>
        <w:tc>
          <w:tcPr>
            <w:tcW w:w="1212" w:type="pct"/>
            <w:vMerge/>
          </w:tcPr>
          <w:p w14:paraId="3B014DC7"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13C38EF7" w14:textId="77777777" w:rsidTr="00636DA1">
        <w:trPr>
          <w:cantSplit/>
          <w:trHeight w:val="340"/>
        </w:trPr>
        <w:tc>
          <w:tcPr>
            <w:tcW w:w="3788" w:type="pct"/>
          </w:tcPr>
          <w:p w14:paraId="0ABCA941"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Vidurių užkietėjimas</w:t>
            </w:r>
          </w:p>
        </w:tc>
        <w:tc>
          <w:tcPr>
            <w:tcW w:w="1212" w:type="pct"/>
            <w:vMerge/>
          </w:tcPr>
          <w:p w14:paraId="02B5CE9A"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62E9AFDF" w14:textId="77777777" w:rsidTr="00636DA1">
        <w:trPr>
          <w:cantSplit/>
          <w:trHeight w:val="340"/>
        </w:trPr>
        <w:tc>
          <w:tcPr>
            <w:tcW w:w="3788" w:type="pct"/>
          </w:tcPr>
          <w:p w14:paraId="505042DE"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Burnos išopėjimas</w:t>
            </w:r>
          </w:p>
        </w:tc>
        <w:tc>
          <w:tcPr>
            <w:tcW w:w="1212" w:type="pct"/>
            <w:vMerge/>
          </w:tcPr>
          <w:p w14:paraId="322224C7"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0B2E9044" w14:textId="77777777" w:rsidTr="00636DA1">
        <w:trPr>
          <w:cantSplit/>
          <w:trHeight w:val="340"/>
        </w:trPr>
        <w:tc>
          <w:tcPr>
            <w:tcW w:w="3788" w:type="pct"/>
          </w:tcPr>
          <w:p w14:paraId="3A0CE616"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Rijimo sutrikimas</w:t>
            </w:r>
          </w:p>
        </w:tc>
        <w:tc>
          <w:tcPr>
            <w:tcW w:w="1212" w:type="pct"/>
            <w:vMerge/>
          </w:tcPr>
          <w:p w14:paraId="1BE3BF4C"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55D58A0C" w14:textId="77777777" w:rsidTr="00636DA1">
        <w:trPr>
          <w:cantSplit/>
          <w:trHeight w:val="340"/>
        </w:trPr>
        <w:tc>
          <w:tcPr>
            <w:tcW w:w="3788" w:type="pct"/>
            <w:tcBorders>
              <w:bottom w:val="single" w:sz="4" w:space="0" w:color="auto"/>
            </w:tcBorders>
          </w:tcPr>
          <w:p w14:paraId="14614963"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Pilvo tempimas</w:t>
            </w:r>
          </w:p>
        </w:tc>
        <w:tc>
          <w:tcPr>
            <w:tcW w:w="1212" w:type="pct"/>
            <w:vMerge/>
          </w:tcPr>
          <w:p w14:paraId="734915C8"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4BFB0243" w14:textId="77777777" w:rsidTr="00636DA1">
        <w:trPr>
          <w:cantSplit/>
          <w:trHeight w:val="340"/>
        </w:trPr>
        <w:tc>
          <w:tcPr>
            <w:tcW w:w="3788" w:type="pct"/>
            <w:tcBorders>
              <w:bottom w:val="single" w:sz="4" w:space="0" w:color="auto"/>
            </w:tcBorders>
          </w:tcPr>
          <w:p w14:paraId="7C1DD9E1" w14:textId="77777777" w:rsidR="00E850F6" w:rsidRPr="008132C1" w:rsidDel="003E2D7D" w:rsidRDefault="00E850F6" w:rsidP="00636DA1">
            <w:pPr>
              <w:widowControl w:val="0"/>
              <w:spacing w:after="0" w:line="240" w:lineRule="auto"/>
              <w:rPr>
                <w:rFonts w:ascii="Times New Roman" w:hAnsi="Times New Roman"/>
                <w:iCs/>
              </w:rPr>
            </w:pPr>
            <w:r w:rsidRPr="008132C1">
              <w:rPr>
                <w:rFonts w:ascii="Times New Roman" w:hAnsi="Times New Roman"/>
                <w:iCs/>
              </w:rPr>
              <w:t>Pankreatitas</w:t>
            </w:r>
          </w:p>
        </w:tc>
        <w:tc>
          <w:tcPr>
            <w:tcW w:w="1212" w:type="pct"/>
            <w:vMerge/>
          </w:tcPr>
          <w:p w14:paraId="203C7FAE"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50E4A433" w14:textId="77777777" w:rsidTr="00636DA1">
        <w:trPr>
          <w:cantSplit/>
          <w:trHeight w:val="340"/>
        </w:trPr>
        <w:tc>
          <w:tcPr>
            <w:tcW w:w="5000" w:type="pct"/>
            <w:gridSpan w:val="2"/>
          </w:tcPr>
          <w:p w14:paraId="7792AC30"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b/>
                <w:i/>
                <w:iCs/>
              </w:rPr>
              <w:t>Kepenų, tulžies pūslės ir latakų sutrikimai</w:t>
            </w:r>
          </w:p>
        </w:tc>
      </w:tr>
      <w:tr w:rsidR="00E850F6" w:rsidRPr="008132C1" w14:paraId="2F2FB026" w14:textId="77777777" w:rsidTr="00636DA1">
        <w:trPr>
          <w:cantSplit/>
          <w:trHeight w:val="340"/>
        </w:trPr>
        <w:tc>
          <w:tcPr>
            <w:tcW w:w="3788" w:type="pct"/>
          </w:tcPr>
          <w:p w14:paraId="6E7C0E9E"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rPr>
              <w:t>Padidėjusi šarminės fosfatazės koncentracija kraujyje</w:t>
            </w:r>
          </w:p>
        </w:tc>
        <w:tc>
          <w:tcPr>
            <w:tcW w:w="1212" w:type="pct"/>
            <w:vMerge w:val="restart"/>
          </w:tcPr>
          <w:p w14:paraId="2849B84A" w14:textId="77777777" w:rsidR="00E850F6" w:rsidRPr="008132C1" w:rsidRDefault="00E850F6" w:rsidP="00636DA1">
            <w:pPr>
              <w:widowControl w:val="0"/>
              <w:spacing w:after="0" w:line="240" w:lineRule="auto"/>
              <w:rPr>
                <w:rFonts w:ascii="Times New Roman" w:hAnsi="Times New Roman"/>
                <w:i/>
                <w:iCs/>
              </w:rPr>
            </w:pPr>
            <w:r w:rsidRPr="008132C1">
              <w:rPr>
                <w:rFonts w:ascii="Times New Roman" w:hAnsi="Times New Roman"/>
                <w:iCs/>
              </w:rPr>
              <w:t>Dažni</w:t>
            </w:r>
          </w:p>
        </w:tc>
      </w:tr>
      <w:tr w:rsidR="00E850F6" w:rsidRPr="008132C1" w14:paraId="79A0ECB4" w14:textId="77777777" w:rsidTr="00636DA1">
        <w:trPr>
          <w:cantSplit/>
          <w:trHeight w:val="340"/>
        </w:trPr>
        <w:tc>
          <w:tcPr>
            <w:tcW w:w="3788" w:type="pct"/>
          </w:tcPr>
          <w:p w14:paraId="53855D4C"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rPr>
              <w:t>Nenormali kepenų funkcija</w:t>
            </w:r>
          </w:p>
        </w:tc>
        <w:tc>
          <w:tcPr>
            <w:tcW w:w="1212" w:type="pct"/>
            <w:vMerge/>
          </w:tcPr>
          <w:p w14:paraId="3E590EFE" w14:textId="77777777" w:rsidR="00E850F6" w:rsidRPr="008132C1" w:rsidRDefault="00E850F6" w:rsidP="00636DA1">
            <w:pPr>
              <w:widowControl w:val="0"/>
              <w:spacing w:after="0" w:line="240" w:lineRule="auto"/>
              <w:rPr>
                <w:rFonts w:ascii="Times New Roman" w:hAnsi="Times New Roman"/>
                <w:i/>
                <w:iCs/>
              </w:rPr>
            </w:pPr>
          </w:p>
        </w:tc>
      </w:tr>
      <w:tr w:rsidR="00E850F6" w:rsidRPr="008132C1" w14:paraId="1C1D9F86" w14:textId="77777777" w:rsidTr="00636DA1">
        <w:trPr>
          <w:cantSplit/>
          <w:trHeight w:val="340"/>
        </w:trPr>
        <w:tc>
          <w:tcPr>
            <w:tcW w:w="3788" w:type="pct"/>
          </w:tcPr>
          <w:p w14:paraId="2DA5ABB4"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rPr>
              <w:t>Padidėjusi aspartato aminotransferazės koncentracija</w:t>
            </w:r>
          </w:p>
        </w:tc>
        <w:tc>
          <w:tcPr>
            <w:tcW w:w="1212" w:type="pct"/>
            <w:vMerge/>
          </w:tcPr>
          <w:p w14:paraId="47B8EB09" w14:textId="77777777" w:rsidR="00E850F6" w:rsidRPr="008132C1" w:rsidRDefault="00E850F6" w:rsidP="00636DA1">
            <w:pPr>
              <w:widowControl w:val="0"/>
              <w:spacing w:after="0" w:line="240" w:lineRule="auto"/>
              <w:rPr>
                <w:rFonts w:ascii="Times New Roman" w:hAnsi="Times New Roman"/>
                <w:i/>
                <w:iCs/>
              </w:rPr>
            </w:pPr>
          </w:p>
        </w:tc>
      </w:tr>
      <w:tr w:rsidR="00E850F6" w:rsidRPr="008132C1" w14:paraId="08570A72" w14:textId="77777777" w:rsidTr="00636DA1">
        <w:trPr>
          <w:cantSplit/>
          <w:trHeight w:val="340"/>
        </w:trPr>
        <w:tc>
          <w:tcPr>
            <w:tcW w:w="3788" w:type="pct"/>
            <w:tcBorders>
              <w:bottom w:val="single" w:sz="4" w:space="0" w:color="auto"/>
            </w:tcBorders>
          </w:tcPr>
          <w:p w14:paraId="377D96B2"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rPr>
              <w:t>Padidėjusi alanino aminotransferazės koncentracija</w:t>
            </w:r>
          </w:p>
        </w:tc>
        <w:tc>
          <w:tcPr>
            <w:tcW w:w="1212" w:type="pct"/>
            <w:vMerge/>
          </w:tcPr>
          <w:p w14:paraId="680AFB49"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2691912E" w14:textId="77777777" w:rsidTr="00636DA1">
        <w:trPr>
          <w:cantSplit/>
          <w:trHeight w:val="340"/>
        </w:trPr>
        <w:tc>
          <w:tcPr>
            <w:tcW w:w="5000" w:type="pct"/>
            <w:gridSpan w:val="2"/>
          </w:tcPr>
          <w:p w14:paraId="0E38729C"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b/>
                <w:i/>
                <w:iCs/>
              </w:rPr>
              <w:t>Odos ir poodinio audinio sutrikimai</w:t>
            </w:r>
          </w:p>
        </w:tc>
      </w:tr>
      <w:tr w:rsidR="00E850F6" w:rsidRPr="008132C1" w14:paraId="489BF5D8" w14:textId="77777777" w:rsidTr="00636DA1">
        <w:trPr>
          <w:cantSplit/>
          <w:trHeight w:val="340"/>
        </w:trPr>
        <w:tc>
          <w:tcPr>
            <w:tcW w:w="3788" w:type="pct"/>
          </w:tcPr>
          <w:p w14:paraId="397B68A1"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Dermatitas</w:t>
            </w:r>
          </w:p>
        </w:tc>
        <w:tc>
          <w:tcPr>
            <w:tcW w:w="1212" w:type="pct"/>
          </w:tcPr>
          <w:p w14:paraId="4E69B6F0"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Labai dažni</w:t>
            </w:r>
          </w:p>
        </w:tc>
      </w:tr>
      <w:tr w:rsidR="00E850F6" w:rsidRPr="008132C1" w14:paraId="16DBE131" w14:textId="77777777" w:rsidTr="00636DA1">
        <w:trPr>
          <w:cantSplit/>
          <w:trHeight w:val="340"/>
        </w:trPr>
        <w:tc>
          <w:tcPr>
            <w:tcW w:w="3788" w:type="pct"/>
          </w:tcPr>
          <w:p w14:paraId="22334573"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Naktinis prakaitavimas</w:t>
            </w:r>
          </w:p>
        </w:tc>
        <w:tc>
          <w:tcPr>
            <w:tcW w:w="1212" w:type="pct"/>
            <w:vMerge w:val="restart"/>
          </w:tcPr>
          <w:p w14:paraId="23FC086C"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Dažni</w:t>
            </w:r>
          </w:p>
        </w:tc>
      </w:tr>
      <w:tr w:rsidR="00E850F6" w:rsidRPr="008132C1" w14:paraId="78465DFB" w14:textId="77777777" w:rsidTr="00636DA1">
        <w:trPr>
          <w:cantSplit/>
          <w:trHeight w:val="340"/>
        </w:trPr>
        <w:tc>
          <w:tcPr>
            <w:tcW w:w="3788" w:type="pct"/>
          </w:tcPr>
          <w:p w14:paraId="0C5AD2FF"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Niežulys</w:t>
            </w:r>
          </w:p>
        </w:tc>
        <w:tc>
          <w:tcPr>
            <w:tcW w:w="1212" w:type="pct"/>
            <w:vMerge/>
          </w:tcPr>
          <w:p w14:paraId="135D2AF9"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10DFC23B" w14:textId="77777777" w:rsidTr="00636DA1">
        <w:trPr>
          <w:cantSplit/>
          <w:trHeight w:val="340"/>
        </w:trPr>
        <w:tc>
          <w:tcPr>
            <w:tcW w:w="3788" w:type="pct"/>
          </w:tcPr>
          <w:p w14:paraId="3E9069FC"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Išbėrimas</w:t>
            </w:r>
          </w:p>
        </w:tc>
        <w:tc>
          <w:tcPr>
            <w:tcW w:w="1212" w:type="pct"/>
            <w:vMerge/>
          </w:tcPr>
          <w:p w14:paraId="453EAF81"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2852D589" w14:textId="77777777" w:rsidTr="00636DA1">
        <w:trPr>
          <w:cantSplit/>
          <w:trHeight w:val="340"/>
        </w:trPr>
        <w:tc>
          <w:tcPr>
            <w:tcW w:w="3788" w:type="pct"/>
          </w:tcPr>
          <w:p w14:paraId="732B0728"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Nuplikimas</w:t>
            </w:r>
          </w:p>
        </w:tc>
        <w:tc>
          <w:tcPr>
            <w:tcW w:w="1212" w:type="pct"/>
            <w:vMerge/>
          </w:tcPr>
          <w:p w14:paraId="54BE6C70"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0F2473E8" w14:textId="77777777" w:rsidTr="00636DA1">
        <w:trPr>
          <w:cantSplit/>
          <w:trHeight w:val="340"/>
        </w:trPr>
        <w:tc>
          <w:tcPr>
            <w:tcW w:w="3788" w:type="pct"/>
          </w:tcPr>
          <w:p w14:paraId="0CD6C23D" w14:textId="77777777" w:rsidR="00E850F6" w:rsidRPr="008132C1" w:rsidRDefault="00E850F6" w:rsidP="00636DA1">
            <w:pPr>
              <w:widowControl w:val="0"/>
              <w:spacing w:after="0" w:line="240" w:lineRule="auto"/>
              <w:rPr>
                <w:rFonts w:ascii="Times New Roman" w:hAnsi="Times New Roman"/>
                <w:b/>
                <w:iCs/>
              </w:rPr>
            </w:pPr>
            <w:r w:rsidRPr="008132C1">
              <w:rPr>
                <w:rFonts w:ascii="Times New Roman" w:hAnsi="Times New Roman"/>
                <w:iCs/>
              </w:rPr>
              <w:t>Odos sausmė</w:t>
            </w:r>
          </w:p>
        </w:tc>
        <w:tc>
          <w:tcPr>
            <w:tcW w:w="1212" w:type="pct"/>
            <w:vMerge w:val="restart"/>
            <w:tcBorders>
              <w:left w:val="nil"/>
            </w:tcBorders>
          </w:tcPr>
          <w:p w14:paraId="25E64CFE"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Nedažni</w:t>
            </w:r>
          </w:p>
        </w:tc>
      </w:tr>
      <w:tr w:rsidR="00E850F6" w:rsidRPr="008132C1" w14:paraId="6F2160E4" w14:textId="77777777" w:rsidTr="00636DA1">
        <w:trPr>
          <w:cantSplit/>
          <w:trHeight w:val="340"/>
        </w:trPr>
        <w:tc>
          <w:tcPr>
            <w:tcW w:w="3788" w:type="pct"/>
          </w:tcPr>
          <w:p w14:paraId="047F57A3"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Dilgėlinė</w:t>
            </w:r>
          </w:p>
        </w:tc>
        <w:tc>
          <w:tcPr>
            <w:tcW w:w="1212" w:type="pct"/>
            <w:vMerge/>
            <w:tcBorders>
              <w:left w:val="nil"/>
            </w:tcBorders>
          </w:tcPr>
          <w:p w14:paraId="2451BF37"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004DE797" w14:textId="77777777" w:rsidTr="00636DA1">
        <w:trPr>
          <w:cantSplit/>
          <w:trHeight w:val="340"/>
        </w:trPr>
        <w:tc>
          <w:tcPr>
            <w:tcW w:w="5000" w:type="pct"/>
            <w:gridSpan w:val="2"/>
          </w:tcPr>
          <w:p w14:paraId="6E8F08B5"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b/>
                <w:i/>
                <w:iCs/>
              </w:rPr>
              <w:t>Skeleto, raumenų ir jungiamojo audinio sutrikimai</w:t>
            </w:r>
          </w:p>
        </w:tc>
      </w:tr>
      <w:tr w:rsidR="00E850F6" w:rsidRPr="008132C1" w14:paraId="3658EC11" w14:textId="77777777" w:rsidTr="00636DA1">
        <w:trPr>
          <w:cantSplit/>
          <w:trHeight w:val="340"/>
        </w:trPr>
        <w:tc>
          <w:tcPr>
            <w:tcW w:w="3788" w:type="pct"/>
            <w:tcBorders>
              <w:bottom w:val="single" w:sz="4" w:space="0" w:color="auto"/>
            </w:tcBorders>
          </w:tcPr>
          <w:p w14:paraId="47BA4B9F"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Nugaros skausmas</w:t>
            </w:r>
          </w:p>
        </w:tc>
        <w:tc>
          <w:tcPr>
            <w:tcW w:w="1212" w:type="pct"/>
            <w:vMerge w:val="restart"/>
          </w:tcPr>
          <w:p w14:paraId="50F3DC58"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Dažni</w:t>
            </w:r>
          </w:p>
        </w:tc>
      </w:tr>
      <w:tr w:rsidR="00E850F6" w:rsidRPr="008132C1" w14:paraId="06D0064A" w14:textId="77777777" w:rsidTr="00636DA1">
        <w:trPr>
          <w:cantSplit/>
          <w:trHeight w:val="340"/>
        </w:trPr>
        <w:tc>
          <w:tcPr>
            <w:tcW w:w="3788" w:type="pct"/>
            <w:tcBorders>
              <w:bottom w:val="single" w:sz="4" w:space="0" w:color="auto"/>
            </w:tcBorders>
          </w:tcPr>
          <w:p w14:paraId="0C6528B0"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Raumenų skausmas</w:t>
            </w:r>
          </w:p>
        </w:tc>
        <w:tc>
          <w:tcPr>
            <w:tcW w:w="1212" w:type="pct"/>
            <w:vMerge/>
          </w:tcPr>
          <w:p w14:paraId="1FD6999E"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6A3CA561" w14:textId="77777777" w:rsidTr="00636DA1">
        <w:trPr>
          <w:cantSplit/>
          <w:trHeight w:val="340"/>
        </w:trPr>
        <w:tc>
          <w:tcPr>
            <w:tcW w:w="3788" w:type="pct"/>
            <w:tcBorders>
              <w:bottom w:val="single" w:sz="4" w:space="0" w:color="auto"/>
            </w:tcBorders>
          </w:tcPr>
          <w:p w14:paraId="758DE7B9"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Sąnarių skausmas</w:t>
            </w:r>
          </w:p>
        </w:tc>
        <w:tc>
          <w:tcPr>
            <w:tcW w:w="1212" w:type="pct"/>
            <w:vMerge/>
          </w:tcPr>
          <w:p w14:paraId="5FFF8FCD"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56086CF2" w14:textId="77777777" w:rsidTr="00636DA1">
        <w:trPr>
          <w:cantSplit/>
          <w:trHeight w:val="340"/>
        </w:trPr>
        <w:tc>
          <w:tcPr>
            <w:tcW w:w="3788" w:type="pct"/>
            <w:tcBorders>
              <w:bottom w:val="single" w:sz="4" w:space="0" w:color="auto"/>
            </w:tcBorders>
          </w:tcPr>
          <w:p w14:paraId="33A16862"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Raumenų spazmai</w:t>
            </w:r>
          </w:p>
        </w:tc>
        <w:tc>
          <w:tcPr>
            <w:tcW w:w="1212" w:type="pct"/>
            <w:vMerge/>
            <w:tcBorders>
              <w:bottom w:val="single" w:sz="4" w:space="0" w:color="auto"/>
            </w:tcBorders>
          </w:tcPr>
          <w:p w14:paraId="522E51E4"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20A1FC07" w14:textId="77777777" w:rsidTr="00636DA1">
        <w:trPr>
          <w:cantSplit/>
          <w:trHeight w:val="340"/>
        </w:trPr>
        <w:tc>
          <w:tcPr>
            <w:tcW w:w="5000" w:type="pct"/>
            <w:gridSpan w:val="2"/>
          </w:tcPr>
          <w:p w14:paraId="1C4866F1" w14:textId="77777777" w:rsidR="00E850F6" w:rsidRPr="008132C1" w:rsidRDefault="00E850F6" w:rsidP="00636DA1">
            <w:pPr>
              <w:widowControl w:val="0"/>
              <w:spacing w:after="0" w:line="240" w:lineRule="auto"/>
              <w:rPr>
                <w:rFonts w:ascii="Times New Roman" w:hAnsi="Times New Roman"/>
                <w:b/>
                <w:iCs/>
              </w:rPr>
            </w:pPr>
            <w:r w:rsidRPr="008132C1">
              <w:rPr>
                <w:rFonts w:ascii="Times New Roman" w:hAnsi="Times New Roman"/>
                <w:b/>
                <w:i/>
                <w:iCs/>
              </w:rPr>
              <w:t>Inkstų ir šlapimo takų sutrikimai</w:t>
            </w:r>
          </w:p>
        </w:tc>
      </w:tr>
      <w:tr w:rsidR="00E850F6" w:rsidRPr="008132C1" w14:paraId="12B64D36" w14:textId="77777777" w:rsidTr="00636DA1">
        <w:trPr>
          <w:cantSplit/>
          <w:trHeight w:val="340"/>
        </w:trPr>
        <w:tc>
          <w:tcPr>
            <w:tcW w:w="3788" w:type="pct"/>
          </w:tcPr>
          <w:p w14:paraId="014E4F2B"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rPr>
              <w:t>Inkstų funkcijos sutrikimas</w:t>
            </w:r>
          </w:p>
        </w:tc>
        <w:tc>
          <w:tcPr>
            <w:tcW w:w="1212" w:type="pct"/>
            <w:vMerge w:val="restart"/>
          </w:tcPr>
          <w:p w14:paraId="343FE80F"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Dažni</w:t>
            </w:r>
          </w:p>
        </w:tc>
      </w:tr>
      <w:tr w:rsidR="00E850F6" w:rsidRPr="008132C1" w14:paraId="03117A0A" w14:textId="77777777" w:rsidTr="00636DA1">
        <w:trPr>
          <w:cantSplit/>
          <w:trHeight w:val="340"/>
        </w:trPr>
        <w:tc>
          <w:tcPr>
            <w:tcW w:w="3788" w:type="pct"/>
          </w:tcPr>
          <w:p w14:paraId="76BCD3B6"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rPr>
              <w:t>Sumažėjęs inkstų kreatinino klirensas</w:t>
            </w:r>
          </w:p>
        </w:tc>
        <w:tc>
          <w:tcPr>
            <w:tcW w:w="1212" w:type="pct"/>
            <w:vMerge/>
          </w:tcPr>
          <w:p w14:paraId="4512F36D"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06AB2C87" w14:textId="77777777" w:rsidTr="00636DA1">
        <w:trPr>
          <w:cantSplit/>
          <w:trHeight w:val="340"/>
        </w:trPr>
        <w:tc>
          <w:tcPr>
            <w:tcW w:w="3788" w:type="pct"/>
          </w:tcPr>
          <w:p w14:paraId="50837227"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rPr>
              <w:t>Padidėjusi kreatinino koncentracija kraujyje</w:t>
            </w:r>
          </w:p>
        </w:tc>
        <w:tc>
          <w:tcPr>
            <w:tcW w:w="1212" w:type="pct"/>
            <w:vMerge/>
            <w:tcBorders>
              <w:bottom w:val="single" w:sz="4" w:space="0" w:color="auto"/>
            </w:tcBorders>
          </w:tcPr>
          <w:p w14:paraId="5DBF1590"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795ACEEB" w14:textId="77777777" w:rsidTr="00636DA1">
        <w:trPr>
          <w:cantSplit/>
          <w:trHeight w:val="340"/>
        </w:trPr>
        <w:tc>
          <w:tcPr>
            <w:tcW w:w="3788" w:type="pct"/>
            <w:tcBorders>
              <w:bottom w:val="single" w:sz="4" w:space="0" w:color="auto"/>
            </w:tcBorders>
          </w:tcPr>
          <w:p w14:paraId="6FD7EA24"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rPr>
              <w:t>Inkstų veiklos nepakankamumas</w:t>
            </w:r>
          </w:p>
        </w:tc>
        <w:tc>
          <w:tcPr>
            <w:tcW w:w="1212" w:type="pct"/>
            <w:vMerge w:val="restart"/>
            <w:tcBorders>
              <w:left w:val="nil"/>
            </w:tcBorders>
          </w:tcPr>
          <w:p w14:paraId="493E62A2"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Nedažni</w:t>
            </w:r>
          </w:p>
        </w:tc>
      </w:tr>
      <w:tr w:rsidR="00E850F6" w:rsidRPr="008132C1" w14:paraId="3D2CBFCE" w14:textId="77777777" w:rsidTr="00636DA1">
        <w:trPr>
          <w:cantSplit/>
          <w:trHeight w:val="340"/>
        </w:trPr>
        <w:tc>
          <w:tcPr>
            <w:tcW w:w="3788" w:type="pct"/>
            <w:tcBorders>
              <w:bottom w:val="single" w:sz="4" w:space="0" w:color="auto"/>
            </w:tcBorders>
          </w:tcPr>
          <w:p w14:paraId="2BC1070E"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Hematurija</w:t>
            </w:r>
          </w:p>
        </w:tc>
        <w:tc>
          <w:tcPr>
            <w:tcW w:w="1212" w:type="pct"/>
            <w:vMerge/>
            <w:tcBorders>
              <w:left w:val="nil"/>
            </w:tcBorders>
          </w:tcPr>
          <w:p w14:paraId="27387D54" w14:textId="77777777" w:rsidR="00E850F6" w:rsidRPr="008132C1" w:rsidRDefault="00E850F6" w:rsidP="00636DA1">
            <w:pPr>
              <w:widowControl w:val="0"/>
              <w:spacing w:after="0" w:line="240" w:lineRule="auto"/>
              <w:rPr>
                <w:rFonts w:ascii="Times New Roman" w:hAnsi="Times New Roman"/>
                <w:b/>
                <w:iCs/>
              </w:rPr>
            </w:pPr>
          </w:p>
        </w:tc>
      </w:tr>
      <w:tr w:rsidR="00E850F6" w:rsidRPr="008132C1" w14:paraId="089D579C" w14:textId="77777777" w:rsidTr="00636DA1">
        <w:trPr>
          <w:cantSplit/>
          <w:trHeight w:val="340"/>
        </w:trPr>
        <w:tc>
          <w:tcPr>
            <w:tcW w:w="5000" w:type="pct"/>
            <w:gridSpan w:val="2"/>
          </w:tcPr>
          <w:p w14:paraId="78C715D4"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b/>
                <w:i/>
                <w:iCs/>
              </w:rPr>
              <w:t>Lytinės sistemos ir krūties sutrikimai</w:t>
            </w:r>
          </w:p>
        </w:tc>
      </w:tr>
      <w:tr w:rsidR="00E850F6" w:rsidRPr="008132C1" w14:paraId="5622E327" w14:textId="77777777" w:rsidTr="00636DA1">
        <w:trPr>
          <w:cantSplit/>
          <w:trHeight w:val="340"/>
        </w:trPr>
        <w:tc>
          <w:tcPr>
            <w:tcW w:w="3788" w:type="pct"/>
            <w:tcBorders>
              <w:bottom w:val="single" w:sz="4" w:space="0" w:color="auto"/>
            </w:tcBorders>
          </w:tcPr>
          <w:p w14:paraId="1736BD3D"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Vyrų nevaisingumas</w:t>
            </w:r>
          </w:p>
        </w:tc>
        <w:tc>
          <w:tcPr>
            <w:tcW w:w="1212" w:type="pct"/>
            <w:tcBorders>
              <w:bottom w:val="single" w:sz="4" w:space="0" w:color="auto"/>
            </w:tcBorders>
          </w:tcPr>
          <w:p w14:paraId="2A067E2A"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Nedažni</w:t>
            </w:r>
          </w:p>
        </w:tc>
      </w:tr>
      <w:tr w:rsidR="00E850F6" w:rsidRPr="008132C1" w14:paraId="7A4FC017" w14:textId="77777777" w:rsidTr="00636DA1">
        <w:trPr>
          <w:cantSplit/>
          <w:trHeight w:val="340"/>
        </w:trPr>
        <w:tc>
          <w:tcPr>
            <w:tcW w:w="5000" w:type="pct"/>
            <w:gridSpan w:val="2"/>
            <w:tcBorders>
              <w:top w:val="single" w:sz="4" w:space="0" w:color="auto"/>
              <w:left w:val="single" w:sz="4" w:space="0" w:color="auto"/>
              <w:bottom w:val="single" w:sz="4" w:space="0" w:color="auto"/>
            </w:tcBorders>
          </w:tcPr>
          <w:p w14:paraId="13713D77" w14:textId="77777777" w:rsidR="00E850F6" w:rsidRPr="008132C1" w:rsidRDefault="00E850F6" w:rsidP="00636DA1">
            <w:pPr>
              <w:widowControl w:val="0"/>
              <w:spacing w:after="0" w:line="240" w:lineRule="auto"/>
              <w:rPr>
                <w:rFonts w:ascii="Times New Roman" w:hAnsi="Times New Roman"/>
                <w:b/>
                <w:iCs/>
              </w:rPr>
            </w:pPr>
            <w:r w:rsidRPr="008132C1">
              <w:rPr>
                <w:rFonts w:ascii="Times New Roman" w:hAnsi="Times New Roman"/>
                <w:b/>
                <w:i/>
                <w:iCs/>
              </w:rPr>
              <w:t>Bendrieji sutrikimai ir vartojimo vietos pažeidimai</w:t>
            </w:r>
          </w:p>
        </w:tc>
      </w:tr>
      <w:tr w:rsidR="00E850F6" w:rsidRPr="008132C1" w14:paraId="6A0202CE" w14:textId="77777777" w:rsidTr="00636DA1">
        <w:trPr>
          <w:cantSplit/>
          <w:trHeight w:val="340"/>
        </w:trPr>
        <w:tc>
          <w:tcPr>
            <w:tcW w:w="3788" w:type="pct"/>
            <w:tcBorders>
              <w:top w:val="single" w:sz="4" w:space="0" w:color="auto"/>
            </w:tcBorders>
          </w:tcPr>
          <w:p w14:paraId="60892598" w14:textId="77777777" w:rsidR="00E850F6" w:rsidRPr="008132C1" w:rsidRDefault="00E850F6" w:rsidP="00636DA1">
            <w:pPr>
              <w:widowControl w:val="0"/>
              <w:spacing w:after="0" w:line="240" w:lineRule="auto"/>
              <w:rPr>
                <w:rFonts w:ascii="Times New Roman" w:hAnsi="Times New Roman"/>
                <w:iCs/>
                <w:lang w:val="fr-CH"/>
              </w:rPr>
            </w:pPr>
            <w:proofErr w:type="spellStart"/>
            <w:r w:rsidRPr="008132C1">
              <w:rPr>
                <w:rFonts w:ascii="Times New Roman" w:hAnsi="Times New Roman"/>
                <w:iCs/>
                <w:lang w:val="fr-CH"/>
              </w:rPr>
              <w:t>Karščiavimas</w:t>
            </w:r>
            <w:proofErr w:type="spellEnd"/>
          </w:p>
        </w:tc>
        <w:tc>
          <w:tcPr>
            <w:tcW w:w="1212" w:type="pct"/>
            <w:vMerge w:val="restart"/>
            <w:tcBorders>
              <w:top w:val="single" w:sz="4" w:space="0" w:color="auto"/>
            </w:tcBorders>
          </w:tcPr>
          <w:p w14:paraId="08742026" w14:textId="77777777" w:rsidR="00E850F6" w:rsidRPr="008132C1" w:rsidRDefault="00E850F6" w:rsidP="00636DA1">
            <w:pPr>
              <w:widowControl w:val="0"/>
              <w:spacing w:after="0" w:line="240" w:lineRule="auto"/>
              <w:rPr>
                <w:rFonts w:ascii="Times New Roman" w:hAnsi="Times New Roman"/>
                <w:iCs/>
              </w:rPr>
            </w:pPr>
            <w:r w:rsidRPr="008132C1">
              <w:rPr>
                <w:rFonts w:ascii="Times New Roman" w:hAnsi="Times New Roman"/>
                <w:iCs/>
              </w:rPr>
              <w:t>Labai dažni</w:t>
            </w:r>
          </w:p>
        </w:tc>
      </w:tr>
      <w:tr w:rsidR="00E850F6" w:rsidRPr="008132C1" w14:paraId="49D93F51" w14:textId="77777777" w:rsidTr="00636DA1">
        <w:trPr>
          <w:cantSplit/>
          <w:trHeight w:val="340"/>
        </w:trPr>
        <w:tc>
          <w:tcPr>
            <w:tcW w:w="3788" w:type="pct"/>
            <w:tcBorders>
              <w:top w:val="single" w:sz="4" w:space="0" w:color="auto"/>
            </w:tcBorders>
          </w:tcPr>
          <w:p w14:paraId="6A329118" w14:textId="77777777" w:rsidR="00E850F6" w:rsidRPr="008132C1" w:rsidRDefault="00E850F6" w:rsidP="00636DA1">
            <w:pPr>
              <w:widowControl w:val="0"/>
              <w:spacing w:after="0" w:line="240" w:lineRule="auto"/>
              <w:rPr>
                <w:rFonts w:ascii="Times New Roman" w:hAnsi="Times New Roman"/>
                <w:iCs/>
                <w:lang w:val="fr-CH"/>
              </w:rPr>
            </w:pPr>
            <w:proofErr w:type="spellStart"/>
            <w:r w:rsidRPr="008132C1">
              <w:rPr>
                <w:rFonts w:ascii="Times New Roman" w:hAnsi="Times New Roman"/>
                <w:iCs/>
                <w:lang w:val="fr-CH"/>
              </w:rPr>
              <w:lastRenderedPageBreak/>
              <w:t>Nuovargis</w:t>
            </w:r>
            <w:proofErr w:type="spellEnd"/>
          </w:p>
        </w:tc>
        <w:tc>
          <w:tcPr>
            <w:tcW w:w="1212" w:type="pct"/>
            <w:vMerge/>
          </w:tcPr>
          <w:p w14:paraId="30F53404" w14:textId="77777777" w:rsidR="00E850F6" w:rsidRPr="008132C1" w:rsidRDefault="00E850F6" w:rsidP="00636DA1">
            <w:pPr>
              <w:widowControl w:val="0"/>
              <w:spacing w:after="0" w:line="240" w:lineRule="auto"/>
              <w:rPr>
                <w:rFonts w:ascii="Times New Roman" w:hAnsi="Times New Roman"/>
                <w:iCs/>
              </w:rPr>
            </w:pPr>
          </w:p>
        </w:tc>
      </w:tr>
      <w:tr w:rsidR="00E850F6" w:rsidRPr="008132C1" w14:paraId="6B0B472D" w14:textId="77777777" w:rsidTr="00636DA1">
        <w:trPr>
          <w:cantSplit/>
          <w:trHeight w:val="297"/>
        </w:trPr>
        <w:tc>
          <w:tcPr>
            <w:tcW w:w="3788" w:type="pct"/>
            <w:tcBorders>
              <w:top w:val="single" w:sz="4" w:space="0" w:color="auto"/>
            </w:tcBorders>
          </w:tcPr>
          <w:p w14:paraId="2E5ED34E" w14:textId="77777777" w:rsidR="00E850F6" w:rsidRPr="008132C1" w:rsidRDefault="00E850F6" w:rsidP="00636DA1">
            <w:pPr>
              <w:widowControl w:val="0"/>
              <w:spacing w:after="0" w:line="240" w:lineRule="auto"/>
              <w:rPr>
                <w:rFonts w:ascii="Times New Roman" w:hAnsi="Times New Roman"/>
                <w:iCs/>
                <w:lang w:val="fr-CH"/>
              </w:rPr>
            </w:pPr>
            <w:proofErr w:type="spellStart"/>
            <w:r w:rsidRPr="008132C1">
              <w:rPr>
                <w:rFonts w:ascii="Times New Roman" w:hAnsi="Times New Roman"/>
                <w:iCs/>
                <w:lang w:val="fr-CH"/>
              </w:rPr>
              <w:t>Skausmas</w:t>
            </w:r>
            <w:proofErr w:type="spellEnd"/>
          </w:p>
        </w:tc>
        <w:tc>
          <w:tcPr>
            <w:tcW w:w="1212" w:type="pct"/>
            <w:vMerge w:val="restart"/>
          </w:tcPr>
          <w:p w14:paraId="06DD18C1" w14:textId="77777777" w:rsidR="00E850F6" w:rsidRPr="008132C1" w:rsidRDefault="00E850F6" w:rsidP="00636DA1">
            <w:pPr>
              <w:widowControl w:val="0"/>
              <w:spacing w:after="0" w:line="240" w:lineRule="auto"/>
              <w:rPr>
                <w:rFonts w:ascii="Times New Roman" w:hAnsi="Times New Roman"/>
                <w:iCs/>
                <w:lang w:val="fr-CH"/>
              </w:rPr>
            </w:pPr>
            <w:r w:rsidRPr="008132C1">
              <w:rPr>
                <w:rFonts w:ascii="Times New Roman" w:hAnsi="Times New Roman"/>
                <w:iCs/>
              </w:rPr>
              <w:t>Dažni</w:t>
            </w:r>
          </w:p>
        </w:tc>
      </w:tr>
      <w:tr w:rsidR="00E850F6" w:rsidRPr="008132C1" w14:paraId="3D032D04" w14:textId="77777777" w:rsidTr="00636DA1">
        <w:trPr>
          <w:cantSplit/>
          <w:trHeight w:val="340"/>
        </w:trPr>
        <w:tc>
          <w:tcPr>
            <w:tcW w:w="3788" w:type="pct"/>
            <w:tcBorders>
              <w:top w:val="single" w:sz="4" w:space="0" w:color="auto"/>
            </w:tcBorders>
          </w:tcPr>
          <w:p w14:paraId="2AB689DA" w14:textId="77777777" w:rsidR="00E850F6" w:rsidRPr="008132C1" w:rsidRDefault="00E850F6" w:rsidP="00636DA1">
            <w:pPr>
              <w:widowControl w:val="0"/>
              <w:spacing w:after="0" w:line="240" w:lineRule="auto"/>
              <w:rPr>
                <w:rFonts w:ascii="Times New Roman" w:hAnsi="Times New Roman"/>
                <w:iCs/>
                <w:lang w:val="fr-CH"/>
              </w:rPr>
            </w:pPr>
            <w:proofErr w:type="spellStart"/>
            <w:r w:rsidRPr="008132C1">
              <w:rPr>
                <w:rFonts w:ascii="Times New Roman" w:hAnsi="Times New Roman"/>
                <w:iCs/>
                <w:lang w:val="fr-CH"/>
              </w:rPr>
              <w:t>Šaltkrėtis</w:t>
            </w:r>
            <w:proofErr w:type="spellEnd"/>
          </w:p>
        </w:tc>
        <w:tc>
          <w:tcPr>
            <w:tcW w:w="1212" w:type="pct"/>
            <w:vMerge/>
          </w:tcPr>
          <w:p w14:paraId="37D33774" w14:textId="77777777" w:rsidR="00E850F6" w:rsidRPr="008132C1" w:rsidRDefault="00E850F6" w:rsidP="00636DA1">
            <w:pPr>
              <w:widowControl w:val="0"/>
              <w:spacing w:after="0" w:line="240" w:lineRule="auto"/>
              <w:rPr>
                <w:rFonts w:ascii="Times New Roman" w:hAnsi="Times New Roman"/>
                <w:iCs/>
                <w:lang w:val="fr-CH"/>
              </w:rPr>
            </w:pPr>
          </w:p>
        </w:tc>
      </w:tr>
      <w:tr w:rsidR="00E850F6" w:rsidRPr="008132C1" w14:paraId="686CBB88" w14:textId="77777777" w:rsidTr="00636DA1">
        <w:trPr>
          <w:cantSplit/>
          <w:trHeight w:val="340"/>
        </w:trPr>
        <w:tc>
          <w:tcPr>
            <w:tcW w:w="3788" w:type="pct"/>
            <w:tcBorders>
              <w:top w:val="single" w:sz="4" w:space="0" w:color="auto"/>
            </w:tcBorders>
          </w:tcPr>
          <w:p w14:paraId="3DE2BE0E" w14:textId="77777777" w:rsidR="00E850F6" w:rsidRPr="008132C1" w:rsidRDefault="00E850F6" w:rsidP="00636DA1">
            <w:pPr>
              <w:widowControl w:val="0"/>
              <w:spacing w:after="0" w:line="240" w:lineRule="auto"/>
              <w:rPr>
                <w:rFonts w:ascii="Times New Roman" w:hAnsi="Times New Roman"/>
                <w:iCs/>
                <w:lang w:val="fr-CH"/>
              </w:rPr>
            </w:pPr>
            <w:proofErr w:type="spellStart"/>
            <w:r w:rsidRPr="008132C1">
              <w:rPr>
                <w:rFonts w:ascii="Times New Roman" w:hAnsi="Times New Roman"/>
                <w:iCs/>
                <w:lang w:val="fr-CH"/>
              </w:rPr>
              <w:t>Negalavimas</w:t>
            </w:r>
            <w:proofErr w:type="spellEnd"/>
          </w:p>
        </w:tc>
        <w:tc>
          <w:tcPr>
            <w:tcW w:w="1212" w:type="pct"/>
            <w:vMerge/>
          </w:tcPr>
          <w:p w14:paraId="3EA2037E" w14:textId="77777777" w:rsidR="00E850F6" w:rsidRPr="008132C1" w:rsidRDefault="00E850F6" w:rsidP="00636DA1">
            <w:pPr>
              <w:widowControl w:val="0"/>
              <w:spacing w:after="0" w:line="240" w:lineRule="auto"/>
              <w:rPr>
                <w:rFonts w:ascii="Times New Roman" w:hAnsi="Times New Roman"/>
                <w:iCs/>
                <w:lang w:val="fr-CH"/>
              </w:rPr>
            </w:pPr>
          </w:p>
        </w:tc>
      </w:tr>
      <w:tr w:rsidR="00E850F6" w:rsidRPr="008132C1" w14:paraId="606E8236" w14:textId="77777777" w:rsidTr="00636DA1">
        <w:trPr>
          <w:cantSplit/>
          <w:trHeight w:val="340"/>
        </w:trPr>
        <w:tc>
          <w:tcPr>
            <w:tcW w:w="3788" w:type="pct"/>
            <w:tcBorders>
              <w:top w:val="single" w:sz="4" w:space="0" w:color="auto"/>
            </w:tcBorders>
          </w:tcPr>
          <w:p w14:paraId="2E634A8A" w14:textId="77777777" w:rsidR="00E850F6" w:rsidRPr="008132C1" w:rsidRDefault="00E850F6" w:rsidP="00636DA1">
            <w:pPr>
              <w:widowControl w:val="0"/>
              <w:spacing w:after="0" w:line="240" w:lineRule="auto"/>
              <w:rPr>
                <w:rFonts w:ascii="Times New Roman" w:hAnsi="Times New Roman"/>
                <w:iCs/>
                <w:lang w:val="fr-CH"/>
              </w:rPr>
            </w:pPr>
            <w:proofErr w:type="spellStart"/>
            <w:r w:rsidRPr="008132C1">
              <w:rPr>
                <w:rFonts w:ascii="Times New Roman" w:hAnsi="Times New Roman"/>
                <w:iCs/>
                <w:lang w:val="fr-CH"/>
              </w:rPr>
              <w:t>Astenija</w:t>
            </w:r>
            <w:proofErr w:type="spellEnd"/>
          </w:p>
        </w:tc>
        <w:tc>
          <w:tcPr>
            <w:tcW w:w="1212" w:type="pct"/>
            <w:vMerge/>
          </w:tcPr>
          <w:p w14:paraId="322F6CD2" w14:textId="77777777" w:rsidR="00E850F6" w:rsidRPr="008132C1" w:rsidRDefault="00E850F6" w:rsidP="00636DA1">
            <w:pPr>
              <w:widowControl w:val="0"/>
              <w:spacing w:after="0" w:line="240" w:lineRule="auto"/>
              <w:rPr>
                <w:rFonts w:ascii="Times New Roman" w:hAnsi="Times New Roman"/>
                <w:iCs/>
                <w:lang w:val="fr-CH"/>
              </w:rPr>
            </w:pPr>
          </w:p>
        </w:tc>
      </w:tr>
      <w:tr w:rsidR="00E850F6" w:rsidRPr="008132C1" w14:paraId="3C2CFA01" w14:textId="77777777" w:rsidTr="00636DA1">
        <w:trPr>
          <w:cantSplit/>
          <w:trHeight w:val="340"/>
        </w:trPr>
        <w:tc>
          <w:tcPr>
            <w:tcW w:w="3788" w:type="pct"/>
            <w:tcBorders>
              <w:top w:val="single" w:sz="4" w:space="0" w:color="auto"/>
            </w:tcBorders>
          </w:tcPr>
          <w:p w14:paraId="0A864E3A" w14:textId="77777777" w:rsidR="00E850F6" w:rsidRPr="008132C1" w:rsidRDefault="00E850F6" w:rsidP="00636DA1">
            <w:pPr>
              <w:widowControl w:val="0"/>
              <w:spacing w:after="0" w:line="240" w:lineRule="auto"/>
              <w:rPr>
                <w:rFonts w:ascii="Times New Roman" w:hAnsi="Times New Roman"/>
                <w:iCs/>
                <w:lang w:val="fr-CH"/>
              </w:rPr>
            </w:pPr>
            <w:proofErr w:type="spellStart"/>
            <w:r w:rsidRPr="008132C1">
              <w:rPr>
                <w:rFonts w:ascii="Times New Roman" w:hAnsi="Times New Roman"/>
                <w:iCs/>
                <w:lang w:val="fr-CH"/>
              </w:rPr>
              <w:t>Krūtinės</w:t>
            </w:r>
            <w:proofErr w:type="spellEnd"/>
            <w:r w:rsidRPr="008132C1">
              <w:rPr>
                <w:rFonts w:ascii="Times New Roman" w:hAnsi="Times New Roman"/>
                <w:iCs/>
                <w:lang w:val="fr-CH"/>
              </w:rPr>
              <w:t xml:space="preserve"> </w:t>
            </w:r>
            <w:proofErr w:type="spellStart"/>
            <w:r w:rsidRPr="008132C1">
              <w:rPr>
                <w:rFonts w:ascii="Times New Roman" w:hAnsi="Times New Roman"/>
                <w:iCs/>
                <w:lang w:val="fr-CH"/>
              </w:rPr>
              <w:t>skausmas</w:t>
            </w:r>
            <w:proofErr w:type="spellEnd"/>
          </w:p>
        </w:tc>
        <w:tc>
          <w:tcPr>
            <w:tcW w:w="1212" w:type="pct"/>
          </w:tcPr>
          <w:p w14:paraId="5D73BD2B" w14:textId="77777777" w:rsidR="00E850F6" w:rsidRPr="008132C1" w:rsidRDefault="00E850F6" w:rsidP="00636DA1">
            <w:pPr>
              <w:widowControl w:val="0"/>
              <w:spacing w:after="0" w:line="240" w:lineRule="auto"/>
              <w:rPr>
                <w:rFonts w:ascii="Times New Roman" w:hAnsi="Times New Roman"/>
                <w:iCs/>
                <w:lang w:val="fr-CH"/>
              </w:rPr>
            </w:pPr>
            <w:r w:rsidRPr="008132C1">
              <w:rPr>
                <w:rFonts w:ascii="Times New Roman" w:hAnsi="Times New Roman"/>
                <w:iCs/>
              </w:rPr>
              <w:t>Nedažni</w:t>
            </w:r>
          </w:p>
        </w:tc>
      </w:tr>
    </w:tbl>
    <w:p w14:paraId="247FDAF9" w14:textId="77777777" w:rsidR="00E850F6" w:rsidRDefault="00E850F6" w:rsidP="00E850F6">
      <w:pPr>
        <w:spacing w:after="0" w:line="240" w:lineRule="auto"/>
      </w:pPr>
    </w:p>
    <w:p w14:paraId="5800376E" w14:textId="77777777" w:rsidR="00E850F6" w:rsidRDefault="00E850F6" w:rsidP="00E850F6">
      <w:pPr>
        <w:pStyle w:val="Default"/>
        <w:rPr>
          <w:i/>
          <w:iCs/>
          <w:sz w:val="20"/>
          <w:szCs w:val="20"/>
        </w:rPr>
      </w:pPr>
      <w:r>
        <w:rPr>
          <w:i/>
          <w:iCs/>
          <w:sz w:val="20"/>
          <w:szCs w:val="20"/>
        </w:rPr>
        <w:t>* Šių nepageidaujamų reakcijų dažnis yra nustatytas vaistą vartojant jam jau esant rinkoje, o visos kitos dažnių kategorijos yra paremtos klinikinių tyrimų metu nustatytu dažniu.</w:t>
      </w:r>
    </w:p>
    <w:p w14:paraId="1B5B60E9" w14:textId="77777777" w:rsidR="00E850F6" w:rsidRDefault="00E850F6" w:rsidP="00E850F6">
      <w:pPr>
        <w:pStyle w:val="Default"/>
        <w:rPr>
          <w:sz w:val="20"/>
          <w:szCs w:val="20"/>
        </w:rPr>
      </w:pPr>
      <w:r>
        <w:rPr>
          <w:i/>
          <w:iCs/>
          <w:sz w:val="20"/>
          <w:szCs w:val="20"/>
        </w:rPr>
        <w:t xml:space="preserve">** - </w:t>
      </w:r>
      <w:r w:rsidRPr="00210416">
        <w:rPr>
          <w:i/>
          <w:iCs/>
          <w:sz w:val="20"/>
          <w:szCs w:val="20"/>
        </w:rPr>
        <w:t xml:space="preserve">tinklainės atšoka buvo pastebėta tik </w:t>
      </w:r>
      <w:r w:rsidR="0032225B">
        <w:rPr>
          <w:i/>
          <w:iCs/>
          <w:sz w:val="20"/>
          <w:szCs w:val="20"/>
        </w:rPr>
        <w:t>ŽIV užsikrėt</w:t>
      </w:r>
      <w:r>
        <w:rPr>
          <w:i/>
          <w:iCs/>
          <w:sz w:val="20"/>
          <w:szCs w:val="20"/>
        </w:rPr>
        <w:t>us</w:t>
      </w:r>
      <w:r w:rsidRPr="00210416">
        <w:rPr>
          <w:i/>
          <w:iCs/>
          <w:sz w:val="20"/>
          <w:szCs w:val="20"/>
        </w:rPr>
        <w:t xml:space="preserve">iems ir </w:t>
      </w:r>
      <w:r>
        <w:rPr>
          <w:i/>
          <w:iCs/>
          <w:sz w:val="20"/>
          <w:szCs w:val="20"/>
        </w:rPr>
        <w:t xml:space="preserve">nuo </w:t>
      </w:r>
      <w:r w:rsidRPr="00210416">
        <w:rPr>
          <w:i/>
          <w:iCs/>
          <w:sz w:val="20"/>
          <w:szCs w:val="20"/>
        </w:rPr>
        <w:t xml:space="preserve">CMV </w:t>
      </w:r>
      <w:r>
        <w:rPr>
          <w:i/>
          <w:iCs/>
          <w:sz w:val="20"/>
          <w:szCs w:val="20"/>
        </w:rPr>
        <w:t>sukelto</w:t>
      </w:r>
      <w:r w:rsidRPr="00210416">
        <w:rPr>
          <w:i/>
          <w:iCs/>
          <w:sz w:val="20"/>
          <w:szCs w:val="20"/>
        </w:rPr>
        <w:t xml:space="preserve"> </w:t>
      </w:r>
      <w:r>
        <w:rPr>
          <w:i/>
          <w:iCs/>
          <w:sz w:val="20"/>
          <w:szCs w:val="20"/>
        </w:rPr>
        <w:t>retinito</w:t>
      </w:r>
      <w:r w:rsidRPr="00210416">
        <w:rPr>
          <w:i/>
          <w:iCs/>
          <w:sz w:val="20"/>
          <w:szCs w:val="20"/>
        </w:rPr>
        <w:t xml:space="preserve"> </w:t>
      </w:r>
      <w:r>
        <w:rPr>
          <w:i/>
          <w:iCs/>
          <w:sz w:val="20"/>
          <w:szCs w:val="20"/>
        </w:rPr>
        <w:t>gydyt</w:t>
      </w:r>
      <w:r w:rsidRPr="00210416">
        <w:rPr>
          <w:i/>
          <w:iCs/>
          <w:sz w:val="20"/>
          <w:szCs w:val="20"/>
        </w:rPr>
        <w:t>iems pacientams</w:t>
      </w:r>
      <w:r>
        <w:rPr>
          <w:i/>
          <w:iCs/>
          <w:sz w:val="20"/>
          <w:szCs w:val="20"/>
        </w:rPr>
        <w:t>.</w:t>
      </w:r>
    </w:p>
    <w:p w14:paraId="1BA19E58" w14:textId="77777777" w:rsidR="00E850F6" w:rsidRDefault="00E850F6" w:rsidP="00E850F6">
      <w:pPr>
        <w:pStyle w:val="Default"/>
        <w:rPr>
          <w:sz w:val="22"/>
          <w:szCs w:val="22"/>
          <w:u w:val="single"/>
        </w:rPr>
      </w:pPr>
    </w:p>
    <w:p w14:paraId="22444553" w14:textId="77777777" w:rsidR="00E850F6" w:rsidRPr="00561AEC" w:rsidRDefault="00E850F6" w:rsidP="00E850F6">
      <w:pPr>
        <w:pStyle w:val="Default"/>
        <w:rPr>
          <w:i/>
          <w:sz w:val="20"/>
          <w:szCs w:val="20"/>
        </w:rPr>
      </w:pPr>
      <w:r w:rsidRPr="00561AEC">
        <w:rPr>
          <w:i/>
          <w:sz w:val="22"/>
          <w:szCs w:val="22"/>
        </w:rPr>
        <w:t>Atrinktų nepageidaujamų reakcijų aprašymas</w:t>
      </w:r>
    </w:p>
    <w:p w14:paraId="30245333" w14:textId="77777777" w:rsidR="00E850F6" w:rsidRDefault="00E850F6" w:rsidP="00E850F6">
      <w:pPr>
        <w:pStyle w:val="Default"/>
        <w:rPr>
          <w:i/>
          <w:iCs/>
          <w:sz w:val="22"/>
          <w:szCs w:val="22"/>
        </w:rPr>
      </w:pPr>
    </w:p>
    <w:p w14:paraId="7C98A164" w14:textId="77777777" w:rsidR="00E850F6" w:rsidRDefault="00E850F6" w:rsidP="00E850F6">
      <w:pPr>
        <w:pStyle w:val="Default"/>
        <w:rPr>
          <w:sz w:val="22"/>
          <w:szCs w:val="22"/>
        </w:rPr>
      </w:pPr>
      <w:r>
        <w:rPr>
          <w:i/>
          <w:iCs/>
          <w:sz w:val="22"/>
          <w:szCs w:val="22"/>
        </w:rPr>
        <w:t>Neutropenija</w:t>
      </w:r>
    </w:p>
    <w:p w14:paraId="06747FAE" w14:textId="77777777" w:rsidR="00E850F6" w:rsidRDefault="00E850F6" w:rsidP="00E850F6">
      <w:pPr>
        <w:pStyle w:val="Default"/>
        <w:rPr>
          <w:sz w:val="22"/>
          <w:szCs w:val="22"/>
        </w:rPr>
      </w:pPr>
      <w:r>
        <w:rPr>
          <w:sz w:val="22"/>
          <w:szCs w:val="22"/>
        </w:rPr>
        <w:t>Pagal prieš pradedant gydymą nustatytą neutrofilų kiekį neutropenijos rizikos numatyti negalima. Įprastai neutropenija atsiranda pirmąją arba antrąją pradinio gydymo savaitę bei sulašinus sukauptąją ≤ 200 mg / kg kūno masės dozę. Nutraukus gydymą arba sumažus vaisto dozę ląstelių kiekis įprastai normalizuojasi per 2 - 5 dienas (žr. 4.4 skyrių).</w:t>
      </w:r>
    </w:p>
    <w:p w14:paraId="3E52DD8C" w14:textId="77777777" w:rsidR="00E850F6" w:rsidRDefault="00E850F6" w:rsidP="00E850F6">
      <w:pPr>
        <w:pStyle w:val="Default"/>
        <w:rPr>
          <w:sz w:val="22"/>
          <w:szCs w:val="22"/>
        </w:rPr>
      </w:pPr>
    </w:p>
    <w:p w14:paraId="0C0A2B90" w14:textId="77777777" w:rsidR="00E850F6" w:rsidRDefault="00E850F6" w:rsidP="00E850F6">
      <w:pPr>
        <w:pStyle w:val="Default"/>
        <w:rPr>
          <w:sz w:val="22"/>
          <w:szCs w:val="22"/>
        </w:rPr>
      </w:pPr>
      <w:r>
        <w:rPr>
          <w:i/>
          <w:iCs/>
          <w:sz w:val="22"/>
          <w:szCs w:val="22"/>
        </w:rPr>
        <w:t>Trombocitopenija</w:t>
      </w:r>
    </w:p>
    <w:p w14:paraId="7D35F5C5" w14:textId="77777777" w:rsidR="00E850F6" w:rsidRDefault="00E850F6" w:rsidP="00E850F6">
      <w:pPr>
        <w:pStyle w:val="Default"/>
        <w:rPr>
          <w:sz w:val="22"/>
          <w:szCs w:val="22"/>
        </w:rPr>
      </w:pPr>
      <w:r>
        <w:rPr>
          <w:sz w:val="22"/>
          <w:szCs w:val="22"/>
        </w:rPr>
        <w:t>Mažai trombocitų (&lt; 100000 / mkl) turintiems pacientams rizika susirgti trombocitopenija yra padidėjusi. Pacientams, kuriems yra jatrogeninė imunosupresija dėl gydymo imunosupresantais, trombocitopenijos rizika yra didesnė, negu AIDS sergantiems pacientams (žr. 4.4 skyrių). Sunki trombocitopenija gali būti susijusi su gyvybei potencialiai pavojingu kraujavimu.</w:t>
      </w:r>
    </w:p>
    <w:p w14:paraId="1A228B31" w14:textId="77777777" w:rsidR="00E850F6" w:rsidRPr="00AD446B" w:rsidRDefault="00E850F6" w:rsidP="00E850F6">
      <w:pPr>
        <w:pStyle w:val="Default"/>
        <w:rPr>
          <w:i/>
          <w:sz w:val="22"/>
          <w:szCs w:val="22"/>
        </w:rPr>
      </w:pPr>
    </w:p>
    <w:p w14:paraId="3A429DC2" w14:textId="77777777" w:rsidR="00E850F6" w:rsidRPr="00AD446B" w:rsidRDefault="00E850F6" w:rsidP="00E850F6">
      <w:pPr>
        <w:pStyle w:val="Default"/>
        <w:rPr>
          <w:sz w:val="22"/>
          <w:szCs w:val="22"/>
        </w:rPr>
      </w:pPr>
      <w:r w:rsidRPr="00AD446B">
        <w:rPr>
          <w:i/>
          <w:sz w:val="22"/>
          <w:szCs w:val="22"/>
        </w:rPr>
        <w:t>Gydymo trukmės ar indikacijos poveikis nepageidauj</w:t>
      </w:r>
      <w:r w:rsidR="0032225B" w:rsidRPr="00AD446B">
        <w:rPr>
          <w:i/>
          <w:sz w:val="22"/>
          <w:szCs w:val="22"/>
        </w:rPr>
        <w:t>a</w:t>
      </w:r>
      <w:r w:rsidRPr="00AD446B">
        <w:rPr>
          <w:i/>
          <w:sz w:val="22"/>
          <w:szCs w:val="22"/>
        </w:rPr>
        <w:t>moms reakcijoms</w:t>
      </w:r>
    </w:p>
    <w:p w14:paraId="28AAF5D8" w14:textId="77777777" w:rsidR="00E850F6" w:rsidRDefault="00E850F6" w:rsidP="00E850F6">
      <w:pPr>
        <w:pStyle w:val="Default"/>
        <w:rPr>
          <w:sz w:val="22"/>
          <w:szCs w:val="22"/>
        </w:rPr>
      </w:pPr>
      <w:r w:rsidRPr="00AD446B">
        <w:rPr>
          <w:sz w:val="22"/>
          <w:szCs w:val="22"/>
        </w:rPr>
        <w:t xml:space="preserve">Sunki neutropenija </w:t>
      </w:r>
      <w:r w:rsidRPr="00D660E2">
        <w:rPr>
          <w:sz w:val="22"/>
          <w:szCs w:val="22"/>
        </w:rPr>
        <w:t xml:space="preserve">(ANS &lt; 500/mkl) </w:t>
      </w:r>
      <w:r w:rsidRPr="00AD446B">
        <w:rPr>
          <w:sz w:val="22"/>
          <w:szCs w:val="22"/>
        </w:rPr>
        <w:t>dažniau buvo pastebėta CMV sukeltu retinitu sirgusiems pacientams</w:t>
      </w:r>
      <w:r w:rsidRPr="001E72BA">
        <w:rPr>
          <w:sz w:val="22"/>
          <w:szCs w:val="22"/>
        </w:rPr>
        <w:t xml:space="preserve"> (14 %)</w:t>
      </w:r>
      <w:r w:rsidRPr="00326FC5">
        <w:rPr>
          <w:sz w:val="22"/>
          <w:szCs w:val="22"/>
        </w:rPr>
        <w:t>, kuriems buvo taikyta palaikomoji terapija valgancikloviru arba geriamuoju ar į veną vartotu gancikloviru, negu pacientams, kurie persodinus organą buvo gydyti valgancikloviru arba geriamuoju gancikloviru.</w:t>
      </w:r>
      <w:r w:rsidRPr="00A51788">
        <w:rPr>
          <w:sz w:val="22"/>
          <w:szCs w:val="22"/>
        </w:rPr>
        <w:t xml:space="preserve"> Valgancikloviru arba geriamuoju gancikloviru iki 100</w:t>
      </w:r>
      <w:r w:rsidRPr="00A51788">
        <w:rPr>
          <w:sz w:val="22"/>
          <w:szCs w:val="22"/>
        </w:rPr>
        <w:noBreakHyphen/>
        <w:t>osios dienos po</w:t>
      </w:r>
      <w:r w:rsidRPr="00F7125A">
        <w:rPr>
          <w:sz w:val="22"/>
          <w:szCs w:val="22"/>
        </w:rPr>
        <w:t xml:space="preserve"> </w:t>
      </w:r>
      <w:r>
        <w:rPr>
          <w:sz w:val="22"/>
          <w:szCs w:val="22"/>
        </w:rPr>
        <w:t>transplantavimo operacijos</w:t>
      </w:r>
      <w:r w:rsidRPr="00BB5FD8">
        <w:rPr>
          <w:sz w:val="22"/>
          <w:szCs w:val="22"/>
        </w:rPr>
        <w:t xml:space="preserve"> </w:t>
      </w:r>
      <w:r>
        <w:rPr>
          <w:sz w:val="22"/>
          <w:szCs w:val="22"/>
        </w:rPr>
        <w:t>gydytiems</w:t>
      </w:r>
      <w:r w:rsidRPr="00F7125A">
        <w:rPr>
          <w:sz w:val="22"/>
          <w:szCs w:val="22"/>
        </w:rPr>
        <w:t xml:space="preserve"> pacienta</w:t>
      </w:r>
      <w:r>
        <w:rPr>
          <w:sz w:val="22"/>
          <w:szCs w:val="22"/>
        </w:rPr>
        <w:t>m</w:t>
      </w:r>
      <w:r w:rsidRPr="00F7125A">
        <w:rPr>
          <w:sz w:val="22"/>
          <w:szCs w:val="22"/>
        </w:rPr>
        <w:t>s sunki</w:t>
      </w:r>
      <w:r>
        <w:rPr>
          <w:sz w:val="22"/>
          <w:szCs w:val="22"/>
        </w:rPr>
        <w:t>os neutropenijos dažnis buvo,</w:t>
      </w:r>
      <w:r w:rsidRPr="00F7125A">
        <w:rPr>
          <w:sz w:val="22"/>
          <w:szCs w:val="22"/>
        </w:rPr>
        <w:t xml:space="preserve"> atitinkamai</w:t>
      </w:r>
      <w:r>
        <w:rPr>
          <w:sz w:val="22"/>
          <w:szCs w:val="22"/>
        </w:rPr>
        <w:t>,</w:t>
      </w:r>
      <w:r w:rsidRPr="00F7125A">
        <w:rPr>
          <w:sz w:val="22"/>
          <w:szCs w:val="22"/>
        </w:rPr>
        <w:t xml:space="preserve"> 5</w:t>
      </w:r>
      <w:r>
        <w:rPr>
          <w:sz w:val="22"/>
          <w:szCs w:val="22"/>
        </w:rPr>
        <w:t> </w:t>
      </w:r>
      <w:r w:rsidRPr="00F7125A">
        <w:rPr>
          <w:sz w:val="22"/>
          <w:szCs w:val="22"/>
        </w:rPr>
        <w:t>% ir 3</w:t>
      </w:r>
      <w:r>
        <w:rPr>
          <w:sz w:val="22"/>
          <w:szCs w:val="22"/>
        </w:rPr>
        <w:t> </w:t>
      </w:r>
      <w:r w:rsidRPr="00F7125A">
        <w:rPr>
          <w:sz w:val="22"/>
          <w:szCs w:val="22"/>
        </w:rPr>
        <w:t xml:space="preserve">%, o </w:t>
      </w:r>
      <w:r>
        <w:rPr>
          <w:sz w:val="22"/>
          <w:szCs w:val="22"/>
        </w:rPr>
        <w:t>v</w:t>
      </w:r>
      <w:r w:rsidRPr="00F7125A">
        <w:rPr>
          <w:sz w:val="22"/>
          <w:szCs w:val="22"/>
        </w:rPr>
        <w:t>algancik</w:t>
      </w:r>
      <w:r>
        <w:rPr>
          <w:sz w:val="22"/>
          <w:szCs w:val="22"/>
        </w:rPr>
        <w:t>loviru</w:t>
      </w:r>
      <w:r w:rsidRPr="00F7125A">
        <w:rPr>
          <w:sz w:val="22"/>
          <w:szCs w:val="22"/>
        </w:rPr>
        <w:t xml:space="preserve"> iki </w:t>
      </w:r>
      <w:r>
        <w:rPr>
          <w:sz w:val="22"/>
          <w:szCs w:val="22"/>
        </w:rPr>
        <w:t>200</w:t>
      </w:r>
      <w:r>
        <w:rPr>
          <w:sz w:val="22"/>
          <w:szCs w:val="22"/>
        </w:rPr>
        <w:noBreakHyphen/>
        <w:t>osios d</w:t>
      </w:r>
      <w:r w:rsidRPr="00F7125A">
        <w:rPr>
          <w:sz w:val="22"/>
          <w:szCs w:val="22"/>
        </w:rPr>
        <w:t>ien</w:t>
      </w:r>
      <w:r>
        <w:rPr>
          <w:sz w:val="22"/>
          <w:szCs w:val="22"/>
        </w:rPr>
        <w:t>os</w:t>
      </w:r>
      <w:r w:rsidRPr="00F7125A">
        <w:rPr>
          <w:sz w:val="22"/>
          <w:szCs w:val="22"/>
        </w:rPr>
        <w:t xml:space="preserve"> po </w:t>
      </w:r>
      <w:r>
        <w:rPr>
          <w:sz w:val="22"/>
          <w:szCs w:val="22"/>
        </w:rPr>
        <w:t>transplantavimo operacijos</w:t>
      </w:r>
      <w:r w:rsidRPr="00BB5FD8">
        <w:rPr>
          <w:sz w:val="22"/>
          <w:szCs w:val="22"/>
        </w:rPr>
        <w:t xml:space="preserve"> </w:t>
      </w:r>
      <w:r>
        <w:rPr>
          <w:sz w:val="22"/>
          <w:szCs w:val="22"/>
        </w:rPr>
        <w:t>gydytiems</w:t>
      </w:r>
      <w:r w:rsidRPr="00F7125A">
        <w:rPr>
          <w:sz w:val="22"/>
          <w:szCs w:val="22"/>
        </w:rPr>
        <w:t xml:space="preserve"> pacienta</w:t>
      </w:r>
      <w:r>
        <w:rPr>
          <w:sz w:val="22"/>
          <w:szCs w:val="22"/>
        </w:rPr>
        <w:t>m</w:t>
      </w:r>
      <w:r w:rsidRPr="00F7125A">
        <w:rPr>
          <w:sz w:val="22"/>
          <w:szCs w:val="22"/>
        </w:rPr>
        <w:t>s sunki</w:t>
      </w:r>
      <w:r>
        <w:rPr>
          <w:sz w:val="22"/>
          <w:szCs w:val="22"/>
        </w:rPr>
        <w:t xml:space="preserve">os neutropenijos dažnis </w:t>
      </w:r>
      <w:r w:rsidRPr="00F7125A">
        <w:rPr>
          <w:sz w:val="22"/>
          <w:szCs w:val="22"/>
        </w:rPr>
        <w:t>buvo 10</w:t>
      </w:r>
      <w:r>
        <w:rPr>
          <w:sz w:val="22"/>
          <w:szCs w:val="22"/>
        </w:rPr>
        <w:t> </w:t>
      </w:r>
      <w:r w:rsidRPr="00F7125A">
        <w:rPr>
          <w:sz w:val="22"/>
          <w:szCs w:val="22"/>
        </w:rPr>
        <w:t>%.</w:t>
      </w:r>
    </w:p>
    <w:p w14:paraId="41A61531" w14:textId="77777777" w:rsidR="00E850F6" w:rsidRPr="001E72BA" w:rsidRDefault="00E850F6" w:rsidP="00E850F6">
      <w:pPr>
        <w:pStyle w:val="Default"/>
        <w:rPr>
          <w:sz w:val="22"/>
          <w:szCs w:val="22"/>
        </w:rPr>
      </w:pPr>
    </w:p>
    <w:p w14:paraId="1B87DBB5" w14:textId="77777777" w:rsidR="00E850F6" w:rsidRPr="00D660E2" w:rsidRDefault="00E850F6" w:rsidP="00E850F6">
      <w:pPr>
        <w:pStyle w:val="Default"/>
        <w:rPr>
          <w:iCs/>
          <w:sz w:val="22"/>
          <w:szCs w:val="22"/>
        </w:rPr>
      </w:pPr>
      <w:r w:rsidRPr="00D660E2">
        <w:rPr>
          <w:iCs/>
          <w:sz w:val="22"/>
          <w:szCs w:val="22"/>
        </w:rPr>
        <w:t>Pacientų su persodintu solidiniu organu, iki 100</w:t>
      </w:r>
      <w:r w:rsidRPr="00D660E2">
        <w:rPr>
          <w:iCs/>
          <w:sz w:val="22"/>
          <w:szCs w:val="22"/>
        </w:rPr>
        <w:noBreakHyphen/>
        <w:t>osios arba 200</w:t>
      </w:r>
      <w:r w:rsidRPr="00D660E2">
        <w:rPr>
          <w:iCs/>
          <w:sz w:val="22"/>
          <w:szCs w:val="22"/>
        </w:rPr>
        <w:noBreakHyphen/>
        <w:t>osios dienos po transplantacijos gydytų tiek valgancikloviru, tiek geriamuoju gancikloviro, serume kreatinino kiekio padidėjimas buvo didesnis, lyginant su CMV retinitu sirgusiais pacientais. Vis dėlto inkstų veiklos sutrikimas yra bendras persodintą solidinį organą turinčių pacientų bruožas.</w:t>
      </w:r>
    </w:p>
    <w:p w14:paraId="46047F9A" w14:textId="77777777" w:rsidR="00E850F6" w:rsidRPr="00D660E2" w:rsidRDefault="00E850F6" w:rsidP="00E850F6">
      <w:pPr>
        <w:pStyle w:val="Default"/>
        <w:rPr>
          <w:iCs/>
          <w:sz w:val="22"/>
          <w:szCs w:val="22"/>
        </w:rPr>
      </w:pPr>
    </w:p>
    <w:p w14:paraId="35A01069" w14:textId="77777777" w:rsidR="00E850F6" w:rsidRPr="00D660E2" w:rsidRDefault="00E850F6" w:rsidP="00E850F6">
      <w:pPr>
        <w:pStyle w:val="Default"/>
      </w:pPr>
      <w:r w:rsidRPr="00D660E2">
        <w:rPr>
          <w:iCs/>
          <w:sz w:val="22"/>
          <w:szCs w:val="22"/>
        </w:rPr>
        <w:t xml:space="preserve">Profilaktiką </w:t>
      </w:r>
      <w:r w:rsidRPr="00D660E2">
        <w:rPr>
          <w:sz w:val="22"/>
        </w:rPr>
        <w:t>suaugusiems pacientams</w:t>
      </w:r>
      <w:r w:rsidRPr="00D660E2">
        <w:rPr>
          <w:iCs/>
          <w:sz w:val="22"/>
          <w:szCs w:val="22"/>
        </w:rPr>
        <w:t xml:space="preserve"> su persodintu inkstu</w:t>
      </w:r>
      <w:r w:rsidRPr="00D660E2">
        <w:rPr>
          <w:sz w:val="22"/>
        </w:rPr>
        <w:t>, kuriems buvo didelė rizika, pratęsus iki 200 dienų, Valcyte bendrasis saugumo pobūdis nepakito. Leukopenija buvo pastebėta šiek tiek dažniau 200 dienų pogrupyje, o neutropenijos, anemijos ir trombocitopenijos dažniai abiejose grupėse buvo panašūs.</w:t>
      </w:r>
    </w:p>
    <w:p w14:paraId="58A26156" w14:textId="77777777" w:rsidR="00E850F6" w:rsidRPr="001E72BA" w:rsidRDefault="00E850F6" w:rsidP="00E850F6">
      <w:pPr>
        <w:spacing w:after="0" w:line="240" w:lineRule="auto"/>
        <w:rPr>
          <w:rFonts w:ascii="Times New Roman" w:hAnsi="Times New Roman"/>
          <w:i/>
        </w:rPr>
      </w:pPr>
    </w:p>
    <w:p w14:paraId="687D0E3C" w14:textId="77777777" w:rsidR="00E850F6" w:rsidRPr="00561AEC" w:rsidRDefault="00E850F6" w:rsidP="00E850F6">
      <w:pPr>
        <w:keepNext/>
        <w:keepLines/>
        <w:numPr>
          <w:ilvl w:val="0"/>
          <w:numId w:val="33"/>
        </w:numPr>
        <w:spacing w:after="0" w:line="240" w:lineRule="auto"/>
        <w:ind w:left="567" w:hanging="567"/>
        <w:rPr>
          <w:rFonts w:ascii="Times New Roman" w:hAnsi="Times New Roman"/>
          <w:b/>
          <w:i/>
          <w:u w:val="single"/>
        </w:rPr>
      </w:pPr>
      <w:r w:rsidRPr="00561AEC">
        <w:rPr>
          <w:rFonts w:ascii="Times New Roman" w:hAnsi="Times New Roman"/>
          <w:b/>
          <w:i/>
          <w:u w:val="single"/>
        </w:rPr>
        <w:t>Vaikų populiacija</w:t>
      </w:r>
    </w:p>
    <w:p w14:paraId="20980684" w14:textId="77777777" w:rsidR="00E850F6" w:rsidRPr="00F36DBF" w:rsidRDefault="00E850F6" w:rsidP="00E850F6">
      <w:pPr>
        <w:keepNext/>
        <w:keepLines/>
        <w:autoSpaceDE w:val="0"/>
        <w:autoSpaceDN w:val="0"/>
        <w:adjustRightInd w:val="0"/>
        <w:spacing w:after="0" w:line="240" w:lineRule="auto"/>
        <w:rPr>
          <w:rFonts w:ascii="Times New Roman" w:eastAsia="Times New Roman" w:hAnsi="Times New Roman"/>
          <w:lang w:eastAsia="ja-JP"/>
        </w:rPr>
      </w:pPr>
    </w:p>
    <w:p w14:paraId="033EACF4" w14:textId="77777777" w:rsidR="00E850F6" w:rsidRPr="00F36DBF" w:rsidRDefault="00E850F6" w:rsidP="00E850F6">
      <w:pPr>
        <w:keepNext/>
        <w:keepLines/>
        <w:autoSpaceDE w:val="0"/>
        <w:autoSpaceDN w:val="0"/>
        <w:adjustRightInd w:val="0"/>
        <w:spacing w:after="0" w:line="240" w:lineRule="auto"/>
        <w:rPr>
          <w:rFonts w:ascii="Times New Roman" w:eastAsia="Times New Roman" w:hAnsi="Times New Roman"/>
          <w:lang w:eastAsia="ja-JP"/>
        </w:rPr>
      </w:pPr>
      <w:r w:rsidRPr="00F36DBF">
        <w:rPr>
          <w:rFonts w:ascii="Times New Roman" w:eastAsia="Times New Roman" w:hAnsi="Times New Roman"/>
          <w:lang w:eastAsia="ja-JP"/>
        </w:rPr>
        <w:t>Valcyte yra tirtas su 179 vaikais (nuo 3 savaičių iki 16 metų amžiaus), turinčiais persodintą solidinį organą, kuriems buvo iškilęs pavojus susirgti CMV sukeliama liga, bei 133 naujagimiais (nuo 2 iki 31 dienos amžiaus), sergančiais simptomine įgimta CMV sukelta liga, kai gydymo gancikloviru trukmė buvo nuo 2 iki 200 dienų.</w:t>
      </w:r>
    </w:p>
    <w:p w14:paraId="167DCC8F" w14:textId="77777777" w:rsidR="00E850F6" w:rsidRPr="00F36DBF" w:rsidRDefault="00E850F6" w:rsidP="00E850F6">
      <w:pPr>
        <w:autoSpaceDE w:val="0"/>
        <w:autoSpaceDN w:val="0"/>
        <w:adjustRightInd w:val="0"/>
        <w:spacing w:after="0" w:line="240" w:lineRule="auto"/>
        <w:rPr>
          <w:rFonts w:ascii="Times New Roman" w:eastAsia="Times New Roman" w:hAnsi="Times New Roman"/>
          <w:lang w:eastAsia="ja-JP"/>
        </w:rPr>
      </w:pPr>
    </w:p>
    <w:p w14:paraId="731D3B1A" w14:textId="77777777" w:rsidR="00E850F6" w:rsidRPr="00F36DBF" w:rsidRDefault="00E850F6" w:rsidP="00E850F6">
      <w:pPr>
        <w:autoSpaceDE w:val="0"/>
        <w:autoSpaceDN w:val="0"/>
        <w:adjustRightInd w:val="0"/>
        <w:spacing w:after="0" w:line="240" w:lineRule="auto"/>
        <w:rPr>
          <w:rFonts w:ascii="Times New Roman" w:eastAsia="Times New Roman" w:hAnsi="Times New Roman"/>
          <w:lang w:eastAsia="ja-JP"/>
        </w:rPr>
      </w:pPr>
      <w:r w:rsidRPr="00F36DBF">
        <w:rPr>
          <w:rFonts w:ascii="Times New Roman" w:eastAsia="Times New Roman" w:hAnsi="Times New Roman"/>
          <w:lang w:eastAsia="ja-JP"/>
        </w:rPr>
        <w:lastRenderedPageBreak/>
        <w:t>Klinikinių tyrimų su vaikais metu dažniausios nepageidaujamos reakcijos į gydymą buvo viduriavimas, pykinimas, neutropenija, leukopenija ir anemija.</w:t>
      </w:r>
    </w:p>
    <w:p w14:paraId="43714B48" w14:textId="77777777" w:rsidR="00E850F6" w:rsidRPr="00F36DBF" w:rsidRDefault="00E850F6" w:rsidP="00E850F6">
      <w:pPr>
        <w:autoSpaceDE w:val="0"/>
        <w:autoSpaceDN w:val="0"/>
        <w:adjustRightInd w:val="0"/>
        <w:spacing w:after="0" w:line="240" w:lineRule="auto"/>
        <w:rPr>
          <w:rFonts w:ascii="Times New Roman" w:eastAsia="Times New Roman" w:hAnsi="Times New Roman"/>
          <w:lang w:eastAsia="ja-JP"/>
        </w:rPr>
      </w:pPr>
    </w:p>
    <w:p w14:paraId="6C61E64A" w14:textId="77777777" w:rsidR="00E850F6" w:rsidRPr="00F36DBF" w:rsidRDefault="00E850F6" w:rsidP="00E850F6">
      <w:pPr>
        <w:autoSpaceDE w:val="0"/>
        <w:autoSpaceDN w:val="0"/>
        <w:adjustRightInd w:val="0"/>
        <w:spacing w:after="0" w:line="240" w:lineRule="auto"/>
        <w:rPr>
          <w:rFonts w:ascii="Times New Roman" w:eastAsia="Times New Roman" w:hAnsi="Times New Roman"/>
          <w:lang w:eastAsia="ja-JP"/>
        </w:rPr>
      </w:pPr>
      <w:r w:rsidRPr="00F36DBF">
        <w:rPr>
          <w:rFonts w:ascii="Times New Roman" w:eastAsia="Times New Roman" w:hAnsi="Times New Roman"/>
          <w:lang w:eastAsia="ja-JP"/>
        </w:rPr>
        <w:t xml:space="preserve">Persodintą solidinį organą turinčių pacientų atveju, bendrasis saugumo pobūdis vaikams ir suaugusiesiems buvo panašus. </w:t>
      </w:r>
      <w:r>
        <w:rPr>
          <w:rFonts w:ascii="Times New Roman" w:eastAsia="Times New Roman" w:hAnsi="Times New Roman"/>
          <w:lang w:eastAsia="ja-JP"/>
        </w:rPr>
        <w:t>D</w:t>
      </w:r>
      <w:r w:rsidRPr="00F36DBF">
        <w:rPr>
          <w:rFonts w:ascii="Times New Roman" w:eastAsia="Times New Roman" w:hAnsi="Times New Roman"/>
          <w:lang w:eastAsia="ja-JP"/>
        </w:rPr>
        <w:t>viejų atliktų klinikinių tyrimų su persodintą solidinį organą turinčiais vaikais metu neutropenija pasireiškė šiek tiek dažniau, palyginus su suaugusiųjų klinikiniais tyrimais, tačiau ryšio tarp neutropenijos ir infekcinių nepageidaujamų reiškinių vaikų populiacijoje nebuvo.</w:t>
      </w:r>
      <w:r w:rsidR="0032225B" w:rsidRPr="0032225B">
        <w:t xml:space="preserve"> </w:t>
      </w:r>
      <w:r w:rsidR="0032225B" w:rsidRPr="0032225B">
        <w:rPr>
          <w:rFonts w:ascii="Times New Roman" w:eastAsia="Times New Roman" w:hAnsi="Times New Roman"/>
          <w:lang w:eastAsia="ja-JP"/>
        </w:rPr>
        <w:t>Didesnė citopenijų rizika naujagimiams ir kūdikiams reikalauja kruopš</w:t>
      </w:r>
      <w:r w:rsidR="0032225B">
        <w:rPr>
          <w:rFonts w:ascii="Times New Roman" w:eastAsia="Times New Roman" w:hAnsi="Times New Roman"/>
          <w:lang w:eastAsia="ja-JP"/>
        </w:rPr>
        <w:t>čiai stebėti</w:t>
      </w:r>
      <w:r w:rsidR="0032225B" w:rsidRPr="0032225B">
        <w:rPr>
          <w:rFonts w:ascii="Times New Roman" w:eastAsia="Times New Roman" w:hAnsi="Times New Roman"/>
          <w:lang w:eastAsia="ja-JP"/>
        </w:rPr>
        <w:t xml:space="preserve"> </w:t>
      </w:r>
      <w:r w:rsidR="00AD446B" w:rsidRPr="0032225B">
        <w:rPr>
          <w:rFonts w:ascii="Times New Roman" w:eastAsia="Times New Roman" w:hAnsi="Times New Roman"/>
          <w:lang w:eastAsia="ja-JP"/>
        </w:rPr>
        <w:t>ši</w:t>
      </w:r>
      <w:r w:rsidR="00AD446B">
        <w:rPr>
          <w:rFonts w:ascii="Times New Roman" w:eastAsia="Times New Roman" w:hAnsi="Times New Roman"/>
          <w:lang w:eastAsia="ja-JP"/>
        </w:rPr>
        <w:t>ų</w:t>
      </w:r>
      <w:r w:rsidR="00AD446B" w:rsidRPr="0032225B">
        <w:rPr>
          <w:rFonts w:ascii="Times New Roman" w:eastAsia="Times New Roman" w:hAnsi="Times New Roman"/>
          <w:lang w:eastAsia="ja-JP"/>
        </w:rPr>
        <w:t xml:space="preserve"> amžiaus grup</w:t>
      </w:r>
      <w:r w:rsidR="00AD446B">
        <w:rPr>
          <w:rFonts w:ascii="Times New Roman" w:eastAsia="Times New Roman" w:hAnsi="Times New Roman"/>
          <w:lang w:eastAsia="ja-JP"/>
        </w:rPr>
        <w:t>ių pacientų</w:t>
      </w:r>
      <w:r w:rsidR="00AD446B" w:rsidRPr="0032225B">
        <w:rPr>
          <w:rFonts w:ascii="Times New Roman" w:eastAsia="Times New Roman" w:hAnsi="Times New Roman"/>
          <w:lang w:eastAsia="ja-JP"/>
        </w:rPr>
        <w:t xml:space="preserve"> </w:t>
      </w:r>
      <w:r w:rsidR="0032225B" w:rsidRPr="0032225B">
        <w:rPr>
          <w:rFonts w:ascii="Times New Roman" w:eastAsia="Times New Roman" w:hAnsi="Times New Roman"/>
          <w:lang w:eastAsia="ja-JP"/>
        </w:rPr>
        <w:t xml:space="preserve">kraujo </w:t>
      </w:r>
      <w:r w:rsidR="0032225B">
        <w:rPr>
          <w:rFonts w:ascii="Times New Roman" w:eastAsia="Times New Roman" w:hAnsi="Times New Roman"/>
          <w:lang w:eastAsia="ja-JP"/>
        </w:rPr>
        <w:t xml:space="preserve">ląstelių </w:t>
      </w:r>
      <w:r w:rsidR="0032225B" w:rsidRPr="0032225B">
        <w:rPr>
          <w:rFonts w:ascii="Times New Roman" w:eastAsia="Times New Roman" w:hAnsi="Times New Roman"/>
          <w:lang w:eastAsia="ja-JP"/>
        </w:rPr>
        <w:t>skaiči</w:t>
      </w:r>
      <w:r w:rsidR="0032225B">
        <w:rPr>
          <w:rFonts w:ascii="Times New Roman" w:eastAsia="Times New Roman" w:hAnsi="Times New Roman"/>
          <w:lang w:eastAsia="ja-JP"/>
        </w:rPr>
        <w:t>ų</w:t>
      </w:r>
      <w:r w:rsidR="00A51788">
        <w:rPr>
          <w:rFonts w:ascii="Times New Roman" w:eastAsia="Times New Roman" w:hAnsi="Times New Roman"/>
          <w:lang w:eastAsia="ja-JP"/>
        </w:rPr>
        <w:t xml:space="preserve"> </w:t>
      </w:r>
      <w:r w:rsidR="00A51788" w:rsidRPr="00A51788">
        <w:rPr>
          <w:rFonts w:ascii="Times New Roman" w:eastAsia="Times New Roman" w:hAnsi="Times New Roman"/>
          <w:lang w:eastAsia="ja-JP"/>
        </w:rPr>
        <w:t>(žr. 4.4 skyrių</w:t>
      </w:r>
      <w:r w:rsidR="00A51788">
        <w:rPr>
          <w:rFonts w:ascii="Times New Roman" w:eastAsia="Times New Roman" w:hAnsi="Times New Roman"/>
          <w:lang w:eastAsia="ja-JP"/>
        </w:rPr>
        <w:t>)</w:t>
      </w:r>
      <w:r w:rsidR="0032225B" w:rsidRPr="0032225B">
        <w:rPr>
          <w:rFonts w:ascii="Times New Roman" w:eastAsia="Times New Roman" w:hAnsi="Times New Roman"/>
          <w:lang w:eastAsia="ja-JP"/>
        </w:rPr>
        <w:t>.</w:t>
      </w:r>
    </w:p>
    <w:p w14:paraId="02CC9C9F" w14:textId="77777777" w:rsidR="00E850F6" w:rsidRPr="00F36DBF" w:rsidRDefault="00E850F6" w:rsidP="00E850F6">
      <w:pPr>
        <w:autoSpaceDE w:val="0"/>
        <w:autoSpaceDN w:val="0"/>
        <w:adjustRightInd w:val="0"/>
        <w:spacing w:after="0" w:line="240" w:lineRule="auto"/>
        <w:rPr>
          <w:rFonts w:ascii="Times New Roman" w:eastAsia="Times New Roman" w:hAnsi="Times New Roman"/>
          <w:lang w:eastAsia="ja-JP"/>
        </w:rPr>
      </w:pPr>
    </w:p>
    <w:p w14:paraId="7EA13D6D" w14:textId="77777777" w:rsidR="00E850F6" w:rsidRPr="00F36DBF" w:rsidRDefault="00E850F6" w:rsidP="00E850F6">
      <w:pPr>
        <w:autoSpaceDE w:val="0"/>
        <w:autoSpaceDN w:val="0"/>
        <w:adjustRightInd w:val="0"/>
        <w:spacing w:after="0" w:line="240" w:lineRule="auto"/>
        <w:rPr>
          <w:rFonts w:ascii="Times New Roman" w:eastAsia="MS Mincho" w:hAnsi="Times New Roman"/>
          <w:lang w:eastAsia="zh-CN"/>
        </w:rPr>
      </w:pPr>
      <w:r w:rsidRPr="00F36DBF">
        <w:rPr>
          <w:rFonts w:ascii="Times New Roman" w:eastAsia="Times New Roman" w:hAnsi="Times New Roman"/>
          <w:lang w:eastAsia="ja-JP"/>
        </w:rPr>
        <w:t>Persodintą inkstą turinčių vaikų gydymo valgancikloviru pratęsimas iki 200 dienų nebuvo susijęs su bendruoju nepageidaujamų reiškinių dažnio padidėjimu. Sunkios neutropenijos (AN</w:t>
      </w:r>
      <w:r>
        <w:rPr>
          <w:rFonts w:ascii="Times New Roman" w:eastAsia="Times New Roman" w:hAnsi="Times New Roman"/>
          <w:lang w:eastAsia="ja-JP"/>
        </w:rPr>
        <w:t>S</w:t>
      </w:r>
      <w:r w:rsidRPr="00F36DBF">
        <w:rPr>
          <w:rFonts w:ascii="Times New Roman" w:eastAsia="Times New Roman" w:hAnsi="Times New Roman"/>
          <w:lang w:eastAsia="ja-JP"/>
        </w:rPr>
        <w:t xml:space="preserve"> &lt; 500/mkl) dažnis buvo didesnis persodintą inkstą turintiems vaikams, gydytiems iki 200</w:t>
      </w:r>
      <w:r w:rsidRPr="00F36DBF">
        <w:rPr>
          <w:rFonts w:ascii="Times New Roman" w:eastAsia="Times New Roman" w:hAnsi="Times New Roman"/>
          <w:lang w:eastAsia="ja-JP"/>
        </w:rPr>
        <w:noBreakHyphen/>
        <w:t>osios dienos, palygintus su gydytais vaikais iki 100</w:t>
      </w:r>
      <w:r w:rsidRPr="00F36DBF">
        <w:rPr>
          <w:rFonts w:ascii="Times New Roman" w:eastAsia="Times New Roman" w:hAnsi="Times New Roman"/>
          <w:lang w:eastAsia="ja-JP"/>
        </w:rPr>
        <w:noBreakHyphen/>
        <w:t>osios dienos ir palyginus su persodintą inkstą turinčiais suaugusiais pacientais, gydytais iki 100</w:t>
      </w:r>
      <w:r w:rsidRPr="00F36DBF">
        <w:rPr>
          <w:rFonts w:ascii="Times New Roman" w:eastAsia="Times New Roman" w:hAnsi="Times New Roman"/>
          <w:lang w:eastAsia="ja-JP"/>
        </w:rPr>
        <w:noBreakHyphen/>
        <w:t>osios dienos arba 200</w:t>
      </w:r>
      <w:r w:rsidRPr="00F36DBF">
        <w:rPr>
          <w:rFonts w:ascii="Times New Roman" w:eastAsia="Times New Roman" w:hAnsi="Times New Roman"/>
          <w:lang w:eastAsia="ja-JP"/>
        </w:rPr>
        <w:noBreakHyphen/>
        <w:t>osios dienos (žr. 4.4 skyrių)</w:t>
      </w:r>
      <w:r w:rsidRPr="00F36DBF">
        <w:rPr>
          <w:rFonts w:ascii="Times New Roman" w:eastAsia="MS Mincho" w:hAnsi="Times New Roman"/>
          <w:lang w:eastAsia="zh-CN"/>
        </w:rPr>
        <w:t>.</w:t>
      </w:r>
    </w:p>
    <w:p w14:paraId="0ABE6B40" w14:textId="77777777" w:rsidR="00E850F6" w:rsidRPr="00F36DBF" w:rsidRDefault="00E850F6" w:rsidP="00E850F6">
      <w:pPr>
        <w:autoSpaceDE w:val="0"/>
        <w:autoSpaceDN w:val="0"/>
        <w:adjustRightInd w:val="0"/>
        <w:spacing w:after="0" w:line="240" w:lineRule="auto"/>
        <w:rPr>
          <w:rFonts w:ascii="Times New Roman" w:eastAsia="Times New Roman" w:hAnsi="Times New Roman"/>
          <w:lang w:eastAsia="ja-JP"/>
        </w:rPr>
      </w:pPr>
    </w:p>
    <w:p w14:paraId="462528FA" w14:textId="77777777" w:rsidR="00E850F6" w:rsidRPr="00F36DBF" w:rsidRDefault="00E850F6" w:rsidP="00AD446B">
      <w:pPr>
        <w:spacing w:after="0" w:line="240" w:lineRule="auto"/>
        <w:rPr>
          <w:rFonts w:ascii="Times New Roman" w:eastAsia="Times New Roman" w:hAnsi="Times New Roman"/>
          <w:lang w:eastAsia="ja-JP"/>
        </w:rPr>
      </w:pPr>
      <w:r w:rsidRPr="00F36DBF">
        <w:rPr>
          <w:rFonts w:ascii="Times New Roman" w:eastAsia="Times New Roman" w:hAnsi="Times New Roman"/>
          <w:lang w:eastAsia="ja-JP"/>
        </w:rPr>
        <w:t>Duomenų apie naujagimių ar kūdikių, sergančių simptomine įgimta CMV infekcija, gydymą Valcyte yra labai nedaug, tačiau atrodo, kad jo saugumas atitinka žinomą valgancikloviro ir gancikloviro saugumo pobūdį.</w:t>
      </w:r>
    </w:p>
    <w:p w14:paraId="1AA1D78A" w14:textId="77777777" w:rsidR="00E850F6" w:rsidRPr="00F36DBF" w:rsidRDefault="00E850F6" w:rsidP="00AD446B">
      <w:pPr>
        <w:spacing w:after="0" w:line="240" w:lineRule="auto"/>
        <w:rPr>
          <w:rFonts w:ascii="Times New Roman" w:eastAsia="Times New Roman" w:hAnsi="Times New Roman"/>
          <w:u w:val="single"/>
          <w:lang w:eastAsia="ja-JP"/>
        </w:rPr>
      </w:pPr>
    </w:p>
    <w:p w14:paraId="4DD67F01" w14:textId="77777777" w:rsidR="00E850F6" w:rsidRPr="00F36DBF" w:rsidRDefault="00E850F6" w:rsidP="00AD446B">
      <w:pPr>
        <w:keepNext/>
        <w:autoSpaceDE w:val="0"/>
        <w:autoSpaceDN w:val="0"/>
        <w:adjustRightInd w:val="0"/>
        <w:spacing w:after="0" w:line="240" w:lineRule="auto"/>
        <w:jc w:val="both"/>
        <w:rPr>
          <w:rFonts w:ascii="Times New Roman" w:eastAsia="Times New Roman" w:hAnsi="Times New Roman"/>
          <w:u w:val="single"/>
          <w:lang w:eastAsia="ja-JP"/>
        </w:rPr>
      </w:pPr>
      <w:r w:rsidRPr="00F36DBF">
        <w:rPr>
          <w:rFonts w:ascii="Times New Roman" w:eastAsia="Times New Roman" w:hAnsi="Times New Roman"/>
          <w:u w:val="single"/>
          <w:lang w:eastAsia="ja-JP"/>
        </w:rPr>
        <w:t>Pranešimas apie įtariamas nepageidaujamas reakcijas</w:t>
      </w:r>
    </w:p>
    <w:p w14:paraId="38D33A35" w14:textId="77777777" w:rsidR="00E850F6" w:rsidRPr="0085588B" w:rsidRDefault="00E850F6" w:rsidP="00AD446B">
      <w:pPr>
        <w:spacing w:after="0" w:line="240" w:lineRule="auto"/>
        <w:rPr>
          <w:rFonts w:ascii="Times New Roman" w:eastAsia="Times New Roman" w:hAnsi="Times New Roman"/>
          <w:lang w:eastAsia="ja-JP"/>
        </w:rPr>
      </w:pPr>
      <w:r w:rsidRPr="0016398F">
        <w:rPr>
          <w:rFonts w:ascii="Times New Roman" w:eastAsia="Times New Roman" w:hAnsi="Times New Roman"/>
          <w:lang w:eastAsia="ja-JP"/>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1A6CCBDD" w14:textId="77777777" w:rsidR="001C673E" w:rsidRDefault="001C673E" w:rsidP="00AD446B">
      <w:pPr>
        <w:keepNext/>
        <w:keepLines/>
        <w:tabs>
          <w:tab w:val="left" w:pos="567"/>
        </w:tabs>
        <w:spacing w:after="0" w:line="240" w:lineRule="auto"/>
        <w:rPr>
          <w:rFonts w:ascii="Times New Roman" w:eastAsia="Times New Roman" w:hAnsi="Times New Roman"/>
          <w:b/>
          <w:lang w:eastAsia="ja-JP"/>
        </w:rPr>
      </w:pPr>
    </w:p>
    <w:p w14:paraId="5AD59122" w14:textId="77777777" w:rsidR="00E850F6" w:rsidRPr="0085588B" w:rsidRDefault="00E850F6" w:rsidP="00AD446B">
      <w:pPr>
        <w:keepNext/>
        <w:keepLines/>
        <w:tabs>
          <w:tab w:val="left" w:pos="567"/>
        </w:tabs>
        <w:spacing w:after="0" w:line="240" w:lineRule="auto"/>
        <w:rPr>
          <w:rFonts w:ascii="Times New Roman" w:eastAsia="Times New Roman" w:hAnsi="Times New Roman"/>
          <w:b/>
          <w:lang w:eastAsia="ja-JP"/>
        </w:rPr>
      </w:pPr>
      <w:r w:rsidRPr="0085588B">
        <w:rPr>
          <w:rFonts w:ascii="Times New Roman" w:eastAsia="Times New Roman" w:hAnsi="Times New Roman"/>
          <w:b/>
          <w:lang w:eastAsia="ja-JP"/>
        </w:rPr>
        <w:t>4.9</w:t>
      </w:r>
      <w:r w:rsidRPr="0085588B">
        <w:rPr>
          <w:rFonts w:ascii="Times New Roman" w:eastAsia="Times New Roman" w:hAnsi="Times New Roman"/>
          <w:b/>
          <w:lang w:eastAsia="ja-JP"/>
        </w:rPr>
        <w:tab/>
        <w:t>Perdozavimas</w:t>
      </w:r>
    </w:p>
    <w:p w14:paraId="4E2DB9DD" w14:textId="77777777" w:rsidR="00E850F6" w:rsidRPr="00F36DBF" w:rsidRDefault="00E850F6" w:rsidP="00E850F6">
      <w:pPr>
        <w:keepNext/>
        <w:keepLines/>
        <w:spacing w:after="0" w:line="240" w:lineRule="auto"/>
        <w:rPr>
          <w:rFonts w:ascii="Times New Roman" w:eastAsia="Times New Roman" w:hAnsi="Times New Roman"/>
          <w:lang w:eastAsia="ja-JP"/>
        </w:rPr>
      </w:pPr>
    </w:p>
    <w:p w14:paraId="4B403E6F" w14:textId="77777777" w:rsidR="00E850F6" w:rsidRPr="00F36DBF" w:rsidRDefault="00E850F6" w:rsidP="00E850F6">
      <w:pPr>
        <w:keepNext/>
        <w:keepLines/>
        <w:spacing w:after="0" w:line="240" w:lineRule="auto"/>
        <w:rPr>
          <w:rFonts w:ascii="Times New Roman" w:eastAsia="Times New Roman" w:hAnsi="Times New Roman"/>
          <w:u w:val="single"/>
          <w:lang w:eastAsia="ja-JP"/>
        </w:rPr>
      </w:pPr>
      <w:r w:rsidRPr="00F36DBF">
        <w:rPr>
          <w:rFonts w:ascii="Times New Roman" w:eastAsia="Times New Roman" w:hAnsi="Times New Roman"/>
          <w:u w:val="single"/>
          <w:lang w:eastAsia="ja-JP"/>
        </w:rPr>
        <w:t xml:space="preserve">Valgancikloviro </w:t>
      </w:r>
      <w:r>
        <w:rPr>
          <w:rFonts w:ascii="Times New Roman" w:eastAsia="Times New Roman" w:hAnsi="Times New Roman"/>
          <w:u w:val="single"/>
          <w:lang w:eastAsia="ja-JP"/>
        </w:rPr>
        <w:t>ir į</w:t>
      </w:r>
      <w:r w:rsidRPr="00F36DBF">
        <w:rPr>
          <w:rFonts w:ascii="Times New Roman" w:eastAsia="Times New Roman" w:hAnsi="Times New Roman"/>
          <w:u w:val="single"/>
          <w:lang w:eastAsia="ja-JP"/>
        </w:rPr>
        <w:t xml:space="preserve"> veną leidžiamo gancikloviro perdozavimas</w:t>
      </w:r>
    </w:p>
    <w:p w14:paraId="7AA7F86B" w14:textId="77777777" w:rsidR="00E850F6" w:rsidRPr="00F36DBF" w:rsidRDefault="00E850F6" w:rsidP="00E850F6">
      <w:pPr>
        <w:spacing w:after="0" w:line="240" w:lineRule="auto"/>
        <w:rPr>
          <w:rFonts w:ascii="Times New Roman" w:eastAsia="Times New Roman" w:hAnsi="Times New Roman"/>
          <w:lang w:eastAsia="ja-JP"/>
        </w:rPr>
      </w:pPr>
      <w:r w:rsidRPr="00F36DBF">
        <w:rPr>
          <w:rFonts w:ascii="Times New Roman" w:eastAsia="Times New Roman" w:hAnsi="Times New Roman"/>
          <w:lang w:eastAsia="ja-JP"/>
        </w:rPr>
        <w:t>Manoma, kad perdozavus valgancikloviro gal</w:t>
      </w:r>
      <w:r>
        <w:rPr>
          <w:rFonts w:ascii="Times New Roman" w:eastAsia="Times New Roman" w:hAnsi="Times New Roman"/>
          <w:lang w:eastAsia="ja-JP"/>
        </w:rPr>
        <w:t>ėtų</w:t>
      </w:r>
      <w:r w:rsidRPr="00F36DBF">
        <w:rPr>
          <w:rFonts w:ascii="Times New Roman" w:eastAsia="Times New Roman" w:hAnsi="Times New Roman"/>
          <w:lang w:eastAsia="ja-JP"/>
        </w:rPr>
        <w:t xml:space="preserve"> padidėti toksinis poveikis inkstams (žr. 4.2 ir 4.4 skyrius).</w:t>
      </w:r>
    </w:p>
    <w:p w14:paraId="18F227BF" w14:textId="77777777" w:rsidR="00E850F6" w:rsidRPr="00F36DBF" w:rsidRDefault="00E850F6" w:rsidP="00E850F6">
      <w:pPr>
        <w:spacing w:after="0" w:line="240" w:lineRule="auto"/>
        <w:rPr>
          <w:rFonts w:ascii="Times New Roman" w:eastAsia="Times New Roman" w:hAnsi="Times New Roman"/>
          <w:lang w:eastAsia="ja-JP"/>
        </w:rPr>
      </w:pPr>
    </w:p>
    <w:p w14:paraId="1CEB7C11" w14:textId="77777777" w:rsidR="00E850F6" w:rsidRPr="00F36DBF" w:rsidRDefault="00E850F6" w:rsidP="00E850F6">
      <w:pPr>
        <w:spacing w:after="0" w:line="240" w:lineRule="auto"/>
        <w:rPr>
          <w:rFonts w:ascii="Times New Roman" w:eastAsia="Times New Roman" w:hAnsi="Times New Roman"/>
          <w:lang w:eastAsia="ja-JP"/>
        </w:rPr>
      </w:pPr>
      <w:r w:rsidRPr="00F36DBF">
        <w:rPr>
          <w:rFonts w:ascii="Times New Roman" w:eastAsia="Times New Roman" w:hAnsi="Times New Roman"/>
          <w:lang w:eastAsia="ja-JP"/>
        </w:rPr>
        <w:t>Pranešimų apie į veną leidžiamo gancikloviro perdozavimą</w:t>
      </w:r>
      <w:r>
        <w:rPr>
          <w:rFonts w:ascii="Times New Roman" w:eastAsia="Times New Roman" w:hAnsi="Times New Roman"/>
          <w:lang w:eastAsia="ja-JP"/>
        </w:rPr>
        <w:t>, kai kuriais atvejais pasibaigusį mirtimi,</w:t>
      </w:r>
      <w:r w:rsidRPr="00F36DBF">
        <w:rPr>
          <w:rFonts w:ascii="Times New Roman" w:eastAsia="Times New Roman" w:hAnsi="Times New Roman"/>
          <w:lang w:eastAsia="ja-JP"/>
        </w:rPr>
        <w:t xml:space="preserve"> gauta atliekant klinikinius tyrimus ir vaistui jau patekus į rinką. Kartais jokio šalutinio poveikio nepastebėta. Daugumai pacientų pasireiškė vienas ar daugiau iš toliau išvardytų šalutinių reiškinių:</w:t>
      </w:r>
    </w:p>
    <w:p w14:paraId="11035C10" w14:textId="77777777" w:rsidR="00E850F6" w:rsidRPr="00F36DBF" w:rsidRDefault="00E850F6" w:rsidP="00E850F6">
      <w:pPr>
        <w:spacing w:after="0" w:line="240" w:lineRule="auto"/>
        <w:rPr>
          <w:rFonts w:ascii="Times New Roman" w:eastAsia="Times New Roman" w:hAnsi="Times New Roman"/>
          <w:lang w:eastAsia="ja-JP"/>
        </w:rPr>
      </w:pPr>
    </w:p>
    <w:p w14:paraId="48EF9B04" w14:textId="77777777" w:rsidR="00E850F6" w:rsidRPr="00F36DBF" w:rsidRDefault="00E850F6" w:rsidP="00E850F6">
      <w:pPr>
        <w:numPr>
          <w:ilvl w:val="0"/>
          <w:numId w:val="1"/>
        </w:numPr>
        <w:spacing w:after="0" w:line="240" w:lineRule="auto"/>
        <w:rPr>
          <w:rFonts w:ascii="Times New Roman" w:eastAsia="Times New Roman" w:hAnsi="Times New Roman"/>
          <w:lang w:eastAsia="ja-JP"/>
        </w:rPr>
      </w:pPr>
      <w:r w:rsidRPr="00F36DBF">
        <w:rPr>
          <w:rFonts w:ascii="Times New Roman" w:eastAsia="Times New Roman" w:hAnsi="Times New Roman"/>
          <w:i/>
          <w:lang w:eastAsia="ja-JP"/>
        </w:rPr>
        <w:t>Toksinis poveikis kraujui:</w:t>
      </w:r>
      <w:r w:rsidRPr="00402217">
        <w:rPr>
          <w:rFonts w:ascii="Times New Roman" w:hAnsi="Times New Roman"/>
        </w:rPr>
        <w:t xml:space="preserve"> </w:t>
      </w:r>
      <w:r>
        <w:rPr>
          <w:rFonts w:ascii="Times New Roman" w:eastAsia="Times New Roman" w:hAnsi="Times New Roman"/>
          <w:lang w:eastAsia="ja-JP"/>
        </w:rPr>
        <w:t xml:space="preserve">kaulų čiulpų slopinimas, įskaitant </w:t>
      </w:r>
      <w:r w:rsidRPr="00F36DBF">
        <w:rPr>
          <w:rFonts w:ascii="Times New Roman" w:eastAsia="Times New Roman" w:hAnsi="Times New Roman"/>
          <w:lang w:eastAsia="ja-JP"/>
        </w:rPr>
        <w:t>pancitopenij</w:t>
      </w:r>
      <w:r>
        <w:rPr>
          <w:rFonts w:ascii="Times New Roman" w:eastAsia="Times New Roman" w:hAnsi="Times New Roman"/>
          <w:lang w:eastAsia="ja-JP"/>
        </w:rPr>
        <w:t>ą</w:t>
      </w:r>
      <w:r w:rsidRPr="00F36DBF">
        <w:rPr>
          <w:rFonts w:ascii="Times New Roman" w:eastAsia="Times New Roman" w:hAnsi="Times New Roman"/>
          <w:lang w:eastAsia="ja-JP"/>
        </w:rPr>
        <w:t xml:space="preserve">, kaulų čiulpų </w:t>
      </w:r>
      <w:r w:rsidR="00A51788">
        <w:rPr>
          <w:rFonts w:ascii="Times New Roman" w:eastAsia="Times New Roman" w:hAnsi="Times New Roman"/>
          <w:lang w:eastAsia="ja-JP"/>
        </w:rPr>
        <w:t>nepakankamumas</w:t>
      </w:r>
      <w:r w:rsidRPr="00F36DBF">
        <w:rPr>
          <w:rFonts w:ascii="Times New Roman" w:eastAsia="Times New Roman" w:hAnsi="Times New Roman"/>
          <w:lang w:eastAsia="ja-JP"/>
        </w:rPr>
        <w:t>, leukopenija, neutropenija, granulocitopenija.</w:t>
      </w:r>
    </w:p>
    <w:p w14:paraId="2B1AD40D" w14:textId="77777777" w:rsidR="00E850F6" w:rsidRPr="00F36DBF" w:rsidRDefault="00E850F6" w:rsidP="00E850F6">
      <w:pPr>
        <w:numPr>
          <w:ilvl w:val="0"/>
          <w:numId w:val="1"/>
        </w:numPr>
        <w:spacing w:after="0" w:line="240" w:lineRule="auto"/>
        <w:rPr>
          <w:rFonts w:ascii="Times New Roman" w:eastAsia="Times New Roman" w:hAnsi="Times New Roman"/>
          <w:lang w:eastAsia="ja-JP"/>
        </w:rPr>
      </w:pPr>
      <w:r w:rsidRPr="00F36DBF">
        <w:rPr>
          <w:rFonts w:ascii="Times New Roman" w:eastAsia="Times New Roman" w:hAnsi="Times New Roman"/>
          <w:i/>
          <w:lang w:eastAsia="ja-JP"/>
        </w:rPr>
        <w:t>Toksinis poveikis kepenims</w:t>
      </w:r>
      <w:r w:rsidRPr="00F36DBF">
        <w:rPr>
          <w:rFonts w:ascii="Times New Roman" w:eastAsia="Times New Roman" w:hAnsi="Times New Roman"/>
          <w:lang w:eastAsia="ja-JP"/>
        </w:rPr>
        <w:t>: hepatitas, kepenų veiklos sutrikimas.</w:t>
      </w:r>
    </w:p>
    <w:p w14:paraId="3F45CA45" w14:textId="77777777" w:rsidR="00E850F6" w:rsidRPr="00F36DBF" w:rsidRDefault="00E850F6" w:rsidP="00E850F6">
      <w:pPr>
        <w:numPr>
          <w:ilvl w:val="0"/>
          <w:numId w:val="1"/>
        </w:numPr>
        <w:spacing w:after="0" w:line="240" w:lineRule="auto"/>
        <w:rPr>
          <w:rFonts w:ascii="Times New Roman" w:eastAsia="Times New Roman" w:hAnsi="Times New Roman"/>
          <w:lang w:eastAsia="ja-JP"/>
        </w:rPr>
      </w:pPr>
      <w:r w:rsidRPr="00F36DBF">
        <w:rPr>
          <w:rFonts w:ascii="Times New Roman" w:eastAsia="Times New Roman" w:hAnsi="Times New Roman"/>
          <w:i/>
          <w:lang w:eastAsia="ja-JP"/>
        </w:rPr>
        <w:t>Toksinis poveikis inkstams</w:t>
      </w:r>
      <w:r w:rsidRPr="00F36DBF">
        <w:rPr>
          <w:rFonts w:ascii="Times New Roman" w:eastAsia="Times New Roman" w:hAnsi="Times New Roman"/>
          <w:lang w:eastAsia="ja-JP"/>
        </w:rPr>
        <w:t>: pacientų, sergančių inkstų liga, hematurijos padidėjimas, ūmin</w:t>
      </w:r>
      <w:r w:rsidR="0032225B">
        <w:rPr>
          <w:rFonts w:ascii="Times New Roman" w:eastAsia="Times New Roman" w:hAnsi="Times New Roman"/>
          <w:lang w:eastAsia="ja-JP"/>
        </w:rPr>
        <w:t>ė</w:t>
      </w:r>
      <w:r w:rsidRPr="00F36DBF">
        <w:rPr>
          <w:rFonts w:ascii="Times New Roman" w:eastAsia="Times New Roman" w:hAnsi="Times New Roman"/>
          <w:lang w:eastAsia="ja-JP"/>
        </w:rPr>
        <w:t xml:space="preserve"> inkstų </w:t>
      </w:r>
      <w:r w:rsidR="0032225B">
        <w:rPr>
          <w:rFonts w:ascii="Times New Roman" w:eastAsia="Times New Roman" w:hAnsi="Times New Roman"/>
          <w:lang w:eastAsia="ja-JP"/>
        </w:rPr>
        <w:t>pažaida</w:t>
      </w:r>
      <w:r w:rsidRPr="00F36DBF">
        <w:rPr>
          <w:rFonts w:ascii="Times New Roman" w:eastAsia="Times New Roman" w:hAnsi="Times New Roman"/>
          <w:lang w:eastAsia="ja-JP"/>
        </w:rPr>
        <w:t>, kreatinino koncentracijos padidėjimas.</w:t>
      </w:r>
    </w:p>
    <w:p w14:paraId="736D80D8" w14:textId="77777777" w:rsidR="00E850F6" w:rsidRPr="00F36DBF" w:rsidRDefault="00E850F6" w:rsidP="00E850F6">
      <w:pPr>
        <w:numPr>
          <w:ilvl w:val="0"/>
          <w:numId w:val="1"/>
        </w:numPr>
        <w:spacing w:after="0" w:line="240" w:lineRule="auto"/>
        <w:rPr>
          <w:rFonts w:ascii="Times New Roman" w:eastAsia="Times New Roman" w:hAnsi="Times New Roman"/>
          <w:lang w:eastAsia="ja-JP"/>
        </w:rPr>
      </w:pPr>
      <w:r w:rsidRPr="00F36DBF">
        <w:rPr>
          <w:rFonts w:ascii="Times New Roman" w:eastAsia="Times New Roman" w:hAnsi="Times New Roman"/>
          <w:i/>
          <w:lang w:eastAsia="ja-JP"/>
        </w:rPr>
        <w:t>Toksinis poveikis virškinimo traktui</w:t>
      </w:r>
      <w:r w:rsidRPr="00F36DBF">
        <w:rPr>
          <w:rFonts w:ascii="Times New Roman" w:eastAsia="Times New Roman" w:hAnsi="Times New Roman"/>
          <w:lang w:eastAsia="ja-JP"/>
        </w:rPr>
        <w:t>: pilvo skausmas, viduriavimas, vėmimas.</w:t>
      </w:r>
    </w:p>
    <w:p w14:paraId="4AF4DF1F" w14:textId="77777777" w:rsidR="00E850F6" w:rsidRPr="00F36DBF" w:rsidRDefault="00E850F6" w:rsidP="00E850F6">
      <w:pPr>
        <w:numPr>
          <w:ilvl w:val="0"/>
          <w:numId w:val="1"/>
        </w:numPr>
        <w:spacing w:after="0" w:line="240" w:lineRule="auto"/>
        <w:rPr>
          <w:rFonts w:ascii="Times New Roman" w:eastAsia="Times New Roman" w:hAnsi="Times New Roman"/>
          <w:lang w:eastAsia="ja-JP"/>
        </w:rPr>
      </w:pPr>
      <w:r w:rsidRPr="00F36DBF">
        <w:rPr>
          <w:rFonts w:ascii="Times New Roman" w:eastAsia="Times New Roman" w:hAnsi="Times New Roman"/>
          <w:i/>
          <w:lang w:eastAsia="ja-JP"/>
        </w:rPr>
        <w:t>Toksinis poveikis nervų sistemai</w:t>
      </w:r>
      <w:r w:rsidRPr="00F36DBF">
        <w:rPr>
          <w:rFonts w:ascii="Times New Roman" w:eastAsia="Times New Roman" w:hAnsi="Times New Roman"/>
          <w:lang w:eastAsia="ja-JP"/>
        </w:rPr>
        <w:t>: išplitęs tremoras, traukuliai.</w:t>
      </w:r>
    </w:p>
    <w:p w14:paraId="2F207D75" w14:textId="77777777" w:rsidR="00E850F6" w:rsidRPr="00F36DBF" w:rsidRDefault="00E850F6" w:rsidP="00E850F6">
      <w:pPr>
        <w:spacing w:after="0" w:line="240" w:lineRule="auto"/>
        <w:rPr>
          <w:rFonts w:ascii="Times New Roman" w:eastAsia="Times New Roman" w:hAnsi="Times New Roman"/>
          <w:lang w:eastAsia="ja-JP"/>
        </w:rPr>
      </w:pPr>
    </w:p>
    <w:p w14:paraId="0C79B924" w14:textId="77777777" w:rsidR="00E850F6" w:rsidRPr="00F36DBF" w:rsidRDefault="00E850F6" w:rsidP="00E850F6">
      <w:pPr>
        <w:spacing w:after="0" w:line="240" w:lineRule="auto"/>
        <w:rPr>
          <w:rFonts w:ascii="Times New Roman" w:eastAsia="Times New Roman" w:hAnsi="Times New Roman"/>
          <w:lang w:eastAsia="ja-JP"/>
        </w:rPr>
      </w:pPr>
      <w:r w:rsidRPr="00F36DBF">
        <w:rPr>
          <w:rFonts w:ascii="Times New Roman" w:eastAsia="Times New Roman" w:hAnsi="Times New Roman"/>
          <w:lang w:eastAsia="ja-JP"/>
        </w:rPr>
        <w:t>Perdozuoto valgancikloviro koncentraciją kraujo plazmoje gali sumažinti hemodializė ir hidracija (žr. 5.2 skyrių).</w:t>
      </w:r>
    </w:p>
    <w:p w14:paraId="34C04011" w14:textId="77777777" w:rsidR="00E850F6" w:rsidRPr="00F36DBF" w:rsidRDefault="00E850F6" w:rsidP="00E850F6">
      <w:pPr>
        <w:spacing w:after="0" w:line="240" w:lineRule="auto"/>
        <w:rPr>
          <w:rFonts w:ascii="Times New Roman" w:eastAsia="Times New Roman" w:hAnsi="Times New Roman"/>
          <w:lang w:eastAsia="ja-JP"/>
        </w:rPr>
      </w:pPr>
    </w:p>
    <w:p w14:paraId="4E66A989" w14:textId="77777777" w:rsidR="00E850F6" w:rsidRPr="00F36DBF" w:rsidRDefault="00E850F6" w:rsidP="00E850F6">
      <w:pPr>
        <w:spacing w:after="0" w:line="240" w:lineRule="auto"/>
        <w:rPr>
          <w:rFonts w:ascii="Times New Roman" w:eastAsia="Times New Roman" w:hAnsi="Times New Roman"/>
          <w:lang w:eastAsia="ja-JP"/>
        </w:rPr>
      </w:pPr>
    </w:p>
    <w:p w14:paraId="5382D30C" w14:textId="77777777" w:rsidR="00E850F6" w:rsidRPr="00D600DA" w:rsidRDefault="00E850F6" w:rsidP="00E850F6">
      <w:pPr>
        <w:keepNext/>
        <w:keepLines/>
        <w:spacing w:after="0" w:line="240" w:lineRule="auto"/>
        <w:ind w:left="567" w:hanging="567"/>
        <w:outlineLvl w:val="0"/>
        <w:rPr>
          <w:rFonts w:ascii="Times New Roman" w:hAnsi="Times New Roman"/>
          <w:b/>
          <w:caps/>
          <w:kern w:val="28"/>
          <w:lang w:eastAsia="ja-JP"/>
        </w:rPr>
      </w:pPr>
      <w:r w:rsidRPr="00D600DA">
        <w:rPr>
          <w:rFonts w:ascii="Times New Roman" w:hAnsi="Times New Roman"/>
          <w:b/>
          <w:caps/>
          <w:kern w:val="28"/>
          <w:lang w:eastAsia="ja-JP"/>
        </w:rPr>
        <w:lastRenderedPageBreak/>
        <w:t>5.</w:t>
      </w:r>
      <w:r w:rsidRPr="00D600DA">
        <w:rPr>
          <w:rFonts w:ascii="Times New Roman" w:hAnsi="Times New Roman"/>
          <w:b/>
          <w:caps/>
          <w:kern w:val="28"/>
          <w:lang w:eastAsia="ja-JP"/>
        </w:rPr>
        <w:tab/>
      </w:r>
      <w:r w:rsidRPr="00D600DA">
        <w:rPr>
          <w:rFonts w:ascii="Times New Roman" w:hAnsi="Times New Roman"/>
          <w:b/>
          <w:kern w:val="28"/>
          <w:lang w:eastAsia="ja-JP"/>
        </w:rPr>
        <w:t>FARMAKOLOGINĖS SAVYBĖS</w:t>
      </w:r>
    </w:p>
    <w:p w14:paraId="5CE74AE0" w14:textId="77777777" w:rsidR="00E850F6" w:rsidRPr="00D600DA" w:rsidRDefault="00E850F6" w:rsidP="00E850F6">
      <w:pPr>
        <w:keepNext/>
        <w:keepLines/>
        <w:spacing w:after="0" w:line="240" w:lineRule="auto"/>
        <w:rPr>
          <w:rFonts w:ascii="Times New Roman" w:hAnsi="Times New Roman"/>
          <w:b/>
          <w:lang w:eastAsia="ja-JP"/>
        </w:rPr>
      </w:pPr>
    </w:p>
    <w:p w14:paraId="30305336" w14:textId="77777777" w:rsidR="00E850F6" w:rsidRPr="00D600DA" w:rsidRDefault="00E850F6" w:rsidP="00E850F6">
      <w:pPr>
        <w:keepNext/>
        <w:keepLines/>
        <w:spacing w:after="0" w:line="240" w:lineRule="auto"/>
        <w:ind w:left="567" w:hanging="567"/>
        <w:outlineLvl w:val="1"/>
        <w:rPr>
          <w:rFonts w:ascii="Times New Roman" w:hAnsi="Times New Roman"/>
          <w:b/>
          <w:kern w:val="28"/>
          <w:lang w:eastAsia="ja-JP"/>
        </w:rPr>
      </w:pPr>
      <w:r w:rsidRPr="00D600DA">
        <w:rPr>
          <w:rFonts w:ascii="Times New Roman" w:hAnsi="Times New Roman"/>
          <w:b/>
          <w:kern w:val="28"/>
          <w:lang w:eastAsia="ja-JP"/>
        </w:rPr>
        <w:t>5.1</w:t>
      </w:r>
      <w:r w:rsidRPr="00D600DA">
        <w:rPr>
          <w:rFonts w:ascii="Times New Roman" w:hAnsi="Times New Roman"/>
          <w:b/>
          <w:kern w:val="28"/>
          <w:lang w:eastAsia="ja-JP"/>
        </w:rPr>
        <w:tab/>
        <w:t>Farmakodinaminės savybės</w:t>
      </w:r>
    </w:p>
    <w:p w14:paraId="48F4FE4E" w14:textId="77777777" w:rsidR="00E850F6" w:rsidRPr="00D600DA" w:rsidRDefault="00E850F6" w:rsidP="00E850F6">
      <w:pPr>
        <w:keepNext/>
        <w:keepLines/>
        <w:spacing w:after="0" w:line="240" w:lineRule="auto"/>
        <w:rPr>
          <w:rFonts w:ascii="Times New Roman" w:hAnsi="Times New Roman"/>
          <w:lang w:eastAsia="ja-JP"/>
        </w:rPr>
      </w:pPr>
    </w:p>
    <w:p w14:paraId="79CCDF4F" w14:textId="77777777" w:rsidR="00E850F6" w:rsidRPr="00D600DA" w:rsidRDefault="00E850F6" w:rsidP="00E850F6">
      <w:pPr>
        <w:keepNext/>
        <w:keepLines/>
        <w:spacing w:after="0" w:line="240" w:lineRule="auto"/>
        <w:rPr>
          <w:rFonts w:ascii="Times New Roman" w:hAnsi="Times New Roman"/>
          <w:lang w:eastAsia="ja-JP"/>
        </w:rPr>
      </w:pPr>
      <w:r w:rsidRPr="00D600DA">
        <w:rPr>
          <w:rFonts w:ascii="Times New Roman" w:hAnsi="Times New Roman"/>
          <w:lang w:eastAsia="ja-JP"/>
        </w:rPr>
        <w:t xml:space="preserve">Farmakoterapinė grupė: </w:t>
      </w:r>
      <w:r w:rsidRPr="00D600DA">
        <w:rPr>
          <w:rFonts w:ascii="Times New Roman" w:eastAsia="Times New Roman" w:hAnsi="Times New Roman"/>
          <w:lang w:eastAsia="ja-JP"/>
        </w:rPr>
        <w:t xml:space="preserve">sisteminio poveikio antivirusiniai vaistai, </w:t>
      </w:r>
      <w:r w:rsidRPr="00D600DA">
        <w:rPr>
          <w:rFonts w:ascii="Times New Roman" w:hAnsi="Times New Roman"/>
          <w:lang w:eastAsia="ja-JP"/>
        </w:rPr>
        <w:t>nukleozidai ir nukleotidai, išskyrus atvirkštinės transkriptazės inhibitorius, ATC kodas – J05A B14.</w:t>
      </w:r>
    </w:p>
    <w:p w14:paraId="439FC5E5" w14:textId="77777777" w:rsidR="00E850F6" w:rsidRPr="00D600DA" w:rsidRDefault="00E850F6" w:rsidP="00E850F6">
      <w:pPr>
        <w:spacing w:after="0" w:line="240" w:lineRule="auto"/>
        <w:rPr>
          <w:rFonts w:ascii="Times New Roman" w:hAnsi="Times New Roman"/>
          <w:u w:val="single"/>
          <w:lang w:eastAsia="ja-JP"/>
        </w:rPr>
      </w:pPr>
    </w:p>
    <w:p w14:paraId="6377C71E" w14:textId="77777777" w:rsidR="00E850F6" w:rsidRPr="00D600DA" w:rsidRDefault="00E850F6" w:rsidP="00E850F6">
      <w:pPr>
        <w:keepNext/>
        <w:spacing w:after="0" w:line="240" w:lineRule="auto"/>
        <w:rPr>
          <w:rFonts w:ascii="Times New Roman" w:hAnsi="Times New Roman"/>
          <w:u w:val="single"/>
          <w:lang w:eastAsia="ja-JP"/>
        </w:rPr>
      </w:pPr>
      <w:r w:rsidRPr="00D600DA">
        <w:rPr>
          <w:rFonts w:ascii="Times New Roman" w:hAnsi="Times New Roman"/>
          <w:u w:val="single"/>
          <w:lang w:eastAsia="ja-JP"/>
        </w:rPr>
        <w:t>Veikimo mechanizmas</w:t>
      </w:r>
    </w:p>
    <w:p w14:paraId="051EBD71" w14:textId="77777777" w:rsidR="00E850F6" w:rsidRPr="00D600DA" w:rsidRDefault="00E850F6" w:rsidP="00E850F6">
      <w:pPr>
        <w:keepNext/>
        <w:spacing w:after="0" w:line="240" w:lineRule="auto"/>
        <w:rPr>
          <w:rFonts w:ascii="Times New Roman" w:hAnsi="Times New Roman"/>
          <w:lang w:eastAsia="ja-JP"/>
        </w:rPr>
      </w:pPr>
    </w:p>
    <w:p w14:paraId="07564EFA" w14:textId="77777777" w:rsidR="00E850F6" w:rsidRPr="00D600DA" w:rsidRDefault="00E850F6" w:rsidP="00E850F6">
      <w:pPr>
        <w:keepNext/>
        <w:spacing w:after="0" w:line="240" w:lineRule="auto"/>
        <w:rPr>
          <w:rFonts w:ascii="Times New Roman" w:hAnsi="Times New Roman"/>
          <w:i/>
          <w:u w:val="single"/>
          <w:lang w:eastAsia="ja-JP"/>
        </w:rPr>
      </w:pPr>
      <w:r w:rsidRPr="00D600DA">
        <w:rPr>
          <w:rFonts w:ascii="Times New Roman" w:hAnsi="Times New Roman"/>
          <w:lang w:eastAsia="ja-JP"/>
        </w:rPr>
        <w:t xml:space="preserve">Valgancikloviras yra gancikloviro L-valilo esteris (vaisto pirmtakas). Išgertą valganciklovirą žarnų ir kepenų esterazės greitai ir gausiai metabolizuoja į ganciklovirą. Gancikloviras yra sintetinis 2’-deoksiguanozino analogas; </w:t>
      </w:r>
      <w:r w:rsidRPr="00D600DA">
        <w:rPr>
          <w:rFonts w:ascii="Times New Roman" w:hAnsi="Times New Roman"/>
          <w:i/>
          <w:lang w:eastAsia="ja-JP"/>
        </w:rPr>
        <w:t>in vitro</w:t>
      </w:r>
      <w:r w:rsidRPr="00D600DA">
        <w:rPr>
          <w:rFonts w:ascii="Times New Roman" w:hAnsi="Times New Roman"/>
          <w:lang w:eastAsia="ja-JP"/>
        </w:rPr>
        <w:t xml:space="preserve"> ir </w:t>
      </w:r>
      <w:r w:rsidRPr="00D600DA">
        <w:rPr>
          <w:rFonts w:ascii="Times New Roman" w:hAnsi="Times New Roman"/>
          <w:i/>
          <w:lang w:eastAsia="ja-JP"/>
        </w:rPr>
        <w:t>in vivo</w:t>
      </w:r>
      <w:r w:rsidRPr="00D600DA">
        <w:rPr>
          <w:rFonts w:ascii="Times New Roman" w:hAnsi="Times New Roman"/>
          <w:lang w:eastAsia="ja-JP"/>
        </w:rPr>
        <w:t xml:space="preserve"> jis slopina </w:t>
      </w:r>
      <w:r w:rsidRPr="00D600DA">
        <w:rPr>
          <w:rFonts w:ascii="Times New Roman" w:hAnsi="Times New Roman"/>
          <w:i/>
          <w:lang w:eastAsia="ja-JP"/>
        </w:rPr>
        <w:t>herpes</w:t>
      </w:r>
      <w:r w:rsidRPr="00D600DA">
        <w:rPr>
          <w:rFonts w:ascii="Times New Roman" w:hAnsi="Times New Roman"/>
          <w:lang w:eastAsia="ja-JP"/>
        </w:rPr>
        <w:t xml:space="preserve"> virusų replikaciją. Jam jautrūs šie žmonių virusai: žmogaus citomegalo virusas (HCMV), </w:t>
      </w:r>
      <w:r w:rsidRPr="00D600DA">
        <w:rPr>
          <w:rFonts w:ascii="Times New Roman" w:hAnsi="Times New Roman"/>
          <w:i/>
          <w:lang w:eastAsia="ja-JP"/>
        </w:rPr>
        <w:t>herpes simplex</w:t>
      </w:r>
      <w:r w:rsidRPr="00D600DA">
        <w:rPr>
          <w:rFonts w:ascii="Times New Roman" w:hAnsi="Times New Roman"/>
          <w:lang w:eastAsia="ja-JP"/>
        </w:rPr>
        <w:t xml:space="preserve"> virusas 1 ir 2 (HSV-1 ir HSV-2), žmogaus </w:t>
      </w:r>
      <w:r w:rsidRPr="00D600DA">
        <w:rPr>
          <w:rFonts w:ascii="Times New Roman" w:hAnsi="Times New Roman"/>
          <w:i/>
          <w:lang w:eastAsia="ja-JP"/>
        </w:rPr>
        <w:t>herpes</w:t>
      </w:r>
      <w:r w:rsidRPr="00D600DA">
        <w:rPr>
          <w:rFonts w:ascii="Times New Roman" w:hAnsi="Times New Roman"/>
          <w:lang w:eastAsia="ja-JP"/>
        </w:rPr>
        <w:t xml:space="preserve"> virusai 6, 7 ir 8 (HHV-6, HHV-7, HHV-8), Epšteino-Baro</w:t>
      </w:r>
      <w:r w:rsidRPr="00D600DA">
        <w:rPr>
          <w:rFonts w:ascii="Times New Roman" w:hAnsi="Times New Roman"/>
          <w:i/>
          <w:lang w:eastAsia="ja-JP"/>
        </w:rPr>
        <w:t xml:space="preserve"> (</w:t>
      </w:r>
      <w:r w:rsidRPr="00D600DA">
        <w:rPr>
          <w:rFonts w:ascii="Times New Roman" w:hAnsi="Times New Roman"/>
          <w:i/>
          <w:iCs/>
          <w:lang w:eastAsia="ja-JP"/>
        </w:rPr>
        <w:t>Epstein-Barr</w:t>
      </w:r>
      <w:r w:rsidRPr="00D600DA">
        <w:rPr>
          <w:rFonts w:ascii="Times New Roman" w:hAnsi="Times New Roman"/>
          <w:i/>
          <w:lang w:eastAsia="ja-JP"/>
        </w:rPr>
        <w:t xml:space="preserve">) </w:t>
      </w:r>
      <w:r w:rsidRPr="00D600DA">
        <w:rPr>
          <w:rFonts w:ascii="Times New Roman" w:hAnsi="Times New Roman"/>
          <w:lang w:eastAsia="ja-JP"/>
        </w:rPr>
        <w:t xml:space="preserve">virusas (EBV), </w:t>
      </w:r>
      <w:r w:rsidRPr="00D600DA">
        <w:rPr>
          <w:rFonts w:ascii="Times New Roman" w:hAnsi="Times New Roman"/>
          <w:i/>
          <w:lang w:eastAsia="ja-JP"/>
        </w:rPr>
        <w:t>varicella</w:t>
      </w:r>
      <w:r w:rsidRPr="00D600DA">
        <w:rPr>
          <w:rFonts w:ascii="Times New Roman" w:hAnsi="Times New Roman"/>
          <w:lang w:eastAsia="ja-JP"/>
        </w:rPr>
        <w:t>-</w:t>
      </w:r>
      <w:r w:rsidRPr="00D600DA">
        <w:rPr>
          <w:rFonts w:ascii="Times New Roman" w:hAnsi="Times New Roman"/>
          <w:i/>
          <w:lang w:eastAsia="ja-JP"/>
        </w:rPr>
        <w:t>zoster</w:t>
      </w:r>
      <w:r w:rsidRPr="00D600DA">
        <w:rPr>
          <w:rFonts w:ascii="Times New Roman" w:hAnsi="Times New Roman"/>
          <w:lang w:eastAsia="ja-JP"/>
        </w:rPr>
        <w:t xml:space="preserve"> virusas (VZV) ir hepatito B virusas (HBV).</w:t>
      </w:r>
    </w:p>
    <w:p w14:paraId="152085C5" w14:textId="77777777" w:rsidR="00E850F6" w:rsidRPr="00D600DA" w:rsidRDefault="00E850F6" w:rsidP="00E850F6">
      <w:pPr>
        <w:tabs>
          <w:tab w:val="left" w:pos="708"/>
          <w:tab w:val="center" w:pos="4153"/>
          <w:tab w:val="right" w:pos="8306"/>
        </w:tabs>
        <w:spacing w:after="0" w:line="240" w:lineRule="auto"/>
        <w:rPr>
          <w:rFonts w:ascii="Times New Roman" w:hAnsi="Times New Roman"/>
          <w:lang w:eastAsia="ja-JP"/>
        </w:rPr>
      </w:pPr>
    </w:p>
    <w:p w14:paraId="1BB88BD8"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CMV infekuotose ląstelėse virusų proteinkinazė pUL97 iš pradžių ganciklovirą fosforilina į gancikloviro monofosfatą. Toliau jį fosforilina ląstelių kinazės; susidaro gancikloviro trifosfatas, kuris paskui ląstelėse lėtai metabolizuojamas. Nustatyta, kad </w:t>
      </w:r>
      <w:r w:rsidRPr="00D600DA">
        <w:rPr>
          <w:rFonts w:ascii="Times New Roman" w:hAnsi="Times New Roman"/>
          <w:snapToGrid w:val="0"/>
          <w:lang w:eastAsia="ja-JP"/>
        </w:rPr>
        <w:t xml:space="preserve">vykstant </w:t>
      </w:r>
      <w:r w:rsidRPr="00D600DA">
        <w:rPr>
          <w:rFonts w:ascii="Times New Roman" w:hAnsi="Times New Roman"/>
          <w:lang w:eastAsia="ja-JP"/>
        </w:rPr>
        <w:t>gancikloviro trifosfato</w:t>
      </w:r>
      <w:r w:rsidRPr="00D600DA">
        <w:rPr>
          <w:rFonts w:ascii="Times New Roman" w:hAnsi="Times New Roman"/>
          <w:snapToGrid w:val="0"/>
          <w:lang w:eastAsia="ja-JP"/>
        </w:rPr>
        <w:t xml:space="preserve"> metabolizmui HSV ir HCMV infekuotose ląstelėse jo pusinės eliminacijos periodas yra atitinkamai 18 valandų ir nuo 6 iki 24 valandų po gancikloviro pasišalinimo iš tarpląstelinio tarpo</w:t>
      </w:r>
      <w:r w:rsidRPr="00D600DA">
        <w:rPr>
          <w:rFonts w:ascii="Times New Roman" w:hAnsi="Times New Roman"/>
          <w:lang w:eastAsia="ja-JP"/>
        </w:rPr>
        <w:t>. Kadangi fosforilinimas daugiausia priklauso nuo virusų kinazės, gancikloviras daugiausia fosforilinamas virusų infekuotose ląstelėse.</w:t>
      </w:r>
    </w:p>
    <w:p w14:paraId="11D99691" w14:textId="77777777" w:rsidR="00E850F6" w:rsidRPr="00D600DA" w:rsidRDefault="00E850F6" w:rsidP="00E850F6">
      <w:pPr>
        <w:spacing w:after="0" w:line="240" w:lineRule="auto"/>
        <w:rPr>
          <w:rFonts w:ascii="Times New Roman" w:hAnsi="Times New Roman"/>
          <w:lang w:eastAsia="ja-JP"/>
        </w:rPr>
      </w:pPr>
    </w:p>
    <w:p w14:paraId="6371FBE2"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Gancikloviras veikia virusus slopindamas jų DNR sintezę. Tai vyksta tokiu būdu: a) konkurentiniu būdu slopinamas viruso DNR polimerazės atliekamas deoksiguanozino trifosfato įjungimas į DNR, b) gancikloviro trifosfatas įsijungia į viruso DNR, dėl to nutrūksta viruso DNR ilgėjimas (elongacija) arba jis vyksta labai mažai.</w:t>
      </w:r>
    </w:p>
    <w:p w14:paraId="26D90AAF" w14:textId="77777777" w:rsidR="00E850F6" w:rsidRPr="00D600DA" w:rsidRDefault="00E850F6" w:rsidP="00E850F6">
      <w:pPr>
        <w:spacing w:after="0" w:line="240" w:lineRule="auto"/>
        <w:rPr>
          <w:rFonts w:ascii="Times New Roman" w:hAnsi="Times New Roman"/>
          <w:lang w:eastAsia="ja-JP"/>
        </w:rPr>
      </w:pPr>
    </w:p>
    <w:p w14:paraId="6F7B9F88" w14:textId="77777777" w:rsidR="00E850F6" w:rsidRPr="00D600DA" w:rsidRDefault="00E850F6" w:rsidP="00E850F6">
      <w:pPr>
        <w:spacing w:after="0" w:line="240" w:lineRule="auto"/>
        <w:rPr>
          <w:rFonts w:ascii="Times New Roman" w:hAnsi="Times New Roman"/>
          <w:u w:val="single"/>
          <w:lang w:eastAsia="ja-JP"/>
        </w:rPr>
      </w:pPr>
      <w:r w:rsidRPr="00D600DA">
        <w:rPr>
          <w:rFonts w:ascii="Times New Roman" w:hAnsi="Times New Roman"/>
          <w:u w:val="single"/>
          <w:lang w:eastAsia="ja-JP"/>
        </w:rPr>
        <w:t>Antivirusinis veiksmingumas</w:t>
      </w:r>
    </w:p>
    <w:p w14:paraId="74A41AF1" w14:textId="77777777" w:rsidR="00E850F6" w:rsidRPr="00D600DA" w:rsidRDefault="00E850F6" w:rsidP="00E850F6">
      <w:pPr>
        <w:spacing w:after="0" w:line="240" w:lineRule="auto"/>
        <w:rPr>
          <w:rFonts w:ascii="Times New Roman" w:hAnsi="Times New Roman"/>
          <w:i/>
          <w:lang w:eastAsia="ja-JP"/>
        </w:rPr>
      </w:pPr>
    </w:p>
    <w:p w14:paraId="56AA772D"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i/>
          <w:lang w:eastAsia="ja-JP"/>
        </w:rPr>
        <w:t>In vitro</w:t>
      </w:r>
      <w:r w:rsidRPr="00D600DA">
        <w:rPr>
          <w:rFonts w:ascii="Times New Roman" w:hAnsi="Times New Roman"/>
          <w:lang w:eastAsia="ja-JP"/>
        </w:rPr>
        <w:t xml:space="preserve"> gancikloviro antivirusinis veiksmingumas, vertinant pagal IC</w:t>
      </w:r>
      <w:r w:rsidRPr="00D600DA">
        <w:rPr>
          <w:rFonts w:ascii="Times New Roman" w:hAnsi="Times New Roman"/>
          <w:vertAlign w:val="subscript"/>
          <w:lang w:eastAsia="ja-JP"/>
        </w:rPr>
        <w:t>50</w:t>
      </w:r>
      <w:r w:rsidRPr="00D600DA">
        <w:rPr>
          <w:rFonts w:ascii="Times New Roman" w:hAnsi="Times New Roman"/>
          <w:lang w:eastAsia="ja-JP"/>
        </w:rPr>
        <w:t xml:space="preserve"> CMV atžvilgiu, svyruoja nuo </w:t>
      </w:r>
      <w:r w:rsidRPr="00D600DA">
        <w:rPr>
          <w:rFonts w:ascii="Times New Roman" w:hAnsi="Times New Roman"/>
          <w:snapToGrid w:val="0"/>
          <w:lang w:eastAsia="ja-JP"/>
        </w:rPr>
        <w:t>0,08 </w:t>
      </w:r>
      <w:r w:rsidRPr="00D600DA">
        <w:rPr>
          <w:rFonts w:ascii="Times New Roman" w:hAnsi="Times New Roman"/>
          <w:lang w:val="en-GB"/>
        </w:rPr>
        <w:sym w:font="Symbol" w:char="F06D"/>
      </w:r>
      <w:r w:rsidRPr="00D600DA">
        <w:rPr>
          <w:rFonts w:ascii="Times New Roman" w:hAnsi="Times New Roman"/>
          <w:snapToGrid w:val="0"/>
          <w:lang w:eastAsia="ja-JP"/>
        </w:rPr>
        <w:t>M (0,02 µg/ml) iki 14 </w:t>
      </w:r>
      <w:r w:rsidRPr="00D600DA">
        <w:rPr>
          <w:rFonts w:ascii="Times New Roman" w:hAnsi="Times New Roman"/>
          <w:lang w:val="en-GB"/>
        </w:rPr>
        <w:sym w:font="Symbol" w:char="F06D"/>
      </w:r>
      <w:r w:rsidRPr="00D600DA">
        <w:rPr>
          <w:rFonts w:ascii="Times New Roman" w:hAnsi="Times New Roman"/>
          <w:snapToGrid w:val="0"/>
          <w:lang w:eastAsia="ja-JP"/>
        </w:rPr>
        <w:t>M (3,5 µg/ml)</w:t>
      </w:r>
      <w:r w:rsidRPr="00D600DA">
        <w:rPr>
          <w:rFonts w:ascii="Times New Roman" w:hAnsi="Times New Roman"/>
          <w:lang w:eastAsia="ja-JP"/>
        </w:rPr>
        <w:t>.</w:t>
      </w:r>
    </w:p>
    <w:p w14:paraId="64AADB47" w14:textId="77777777" w:rsidR="00E850F6" w:rsidRPr="00D600DA" w:rsidRDefault="00E850F6" w:rsidP="00E850F6">
      <w:pPr>
        <w:spacing w:after="0" w:line="240" w:lineRule="auto"/>
        <w:rPr>
          <w:rFonts w:ascii="Times New Roman" w:hAnsi="Times New Roman"/>
          <w:lang w:eastAsia="ja-JP"/>
        </w:rPr>
      </w:pPr>
    </w:p>
    <w:p w14:paraId="09AB1C25"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Klinikinis antivirusinis Valcyte veiksmingumas nustatytas gydant AIDS sergančius pacientus, kuriems neseniai buvo diagnozuotas CMV retinitas. CMV išsiskyrimas su šlapimu sumažėjo nuo 46 % (32 iš 69 pacientų) tyrimo pradžioje iki 7 % (4 iš 55 pacientų) po keturių savaičių gydymo.</w:t>
      </w:r>
    </w:p>
    <w:p w14:paraId="046379C2" w14:textId="77777777" w:rsidR="00E850F6" w:rsidRPr="00D600DA" w:rsidRDefault="00E850F6" w:rsidP="00E850F6">
      <w:pPr>
        <w:spacing w:after="0" w:line="240" w:lineRule="auto"/>
        <w:rPr>
          <w:rFonts w:ascii="Times New Roman" w:hAnsi="Times New Roman"/>
          <w:lang w:eastAsia="ja-JP"/>
        </w:rPr>
      </w:pPr>
    </w:p>
    <w:p w14:paraId="7742B16F" w14:textId="77777777" w:rsidR="00E850F6" w:rsidRPr="00D600DA" w:rsidRDefault="00E850F6" w:rsidP="00E850F6">
      <w:pPr>
        <w:spacing w:after="0" w:line="240" w:lineRule="auto"/>
        <w:rPr>
          <w:rFonts w:ascii="Times New Roman" w:hAnsi="Times New Roman"/>
          <w:u w:val="single"/>
          <w:lang w:eastAsia="ja-JP"/>
        </w:rPr>
      </w:pPr>
      <w:r w:rsidRPr="00D600DA">
        <w:rPr>
          <w:rFonts w:ascii="Times New Roman" w:hAnsi="Times New Roman"/>
          <w:u w:val="single"/>
          <w:lang w:eastAsia="ja-JP"/>
        </w:rPr>
        <w:t>Klinikinis veiksmingumas ir saugumas</w:t>
      </w:r>
    </w:p>
    <w:p w14:paraId="549DE4BC" w14:textId="77777777" w:rsidR="00E850F6" w:rsidRPr="00D600DA" w:rsidRDefault="00E850F6" w:rsidP="00E850F6">
      <w:pPr>
        <w:spacing w:after="0" w:line="240" w:lineRule="auto"/>
        <w:rPr>
          <w:rFonts w:ascii="Times New Roman" w:hAnsi="Times New Roman"/>
          <w:lang w:eastAsia="ja-JP"/>
        </w:rPr>
      </w:pPr>
    </w:p>
    <w:p w14:paraId="485CF26A" w14:textId="77777777" w:rsidR="00E850F6" w:rsidRPr="00D600DA" w:rsidRDefault="00E850F6" w:rsidP="00E850F6">
      <w:pPr>
        <w:spacing w:after="0" w:line="240" w:lineRule="auto"/>
        <w:rPr>
          <w:rFonts w:ascii="Times New Roman" w:eastAsia="Times New Roman" w:hAnsi="Times New Roman"/>
          <w:u w:val="single"/>
          <w:lang w:eastAsia="ja-JP"/>
        </w:rPr>
      </w:pPr>
      <w:r w:rsidRPr="00D600DA">
        <w:rPr>
          <w:rFonts w:ascii="Times New Roman" w:eastAsia="Times New Roman" w:hAnsi="Times New Roman"/>
          <w:u w:val="single"/>
          <w:lang w:eastAsia="ja-JP"/>
        </w:rPr>
        <w:t>Suaugusieji</w:t>
      </w:r>
    </w:p>
    <w:p w14:paraId="30CC987D" w14:textId="77777777" w:rsidR="00E850F6" w:rsidRPr="00D600DA" w:rsidRDefault="00E850F6" w:rsidP="00E850F6">
      <w:pPr>
        <w:spacing w:after="0" w:line="240" w:lineRule="auto"/>
        <w:rPr>
          <w:rFonts w:ascii="Times New Roman" w:hAnsi="Times New Roman"/>
          <w:lang w:eastAsia="ja-JP"/>
        </w:rPr>
      </w:pPr>
    </w:p>
    <w:p w14:paraId="3402ADEE" w14:textId="77777777" w:rsidR="00E850F6" w:rsidRPr="00D600DA" w:rsidRDefault="00E850F6" w:rsidP="00E850F6">
      <w:pPr>
        <w:spacing w:after="0" w:line="240" w:lineRule="auto"/>
        <w:rPr>
          <w:rFonts w:ascii="Times New Roman" w:hAnsi="Times New Roman"/>
          <w:i/>
          <w:lang w:eastAsia="ja-JP"/>
        </w:rPr>
      </w:pPr>
      <w:r w:rsidRPr="00D600DA">
        <w:rPr>
          <w:rFonts w:ascii="Times New Roman" w:hAnsi="Times New Roman"/>
          <w:i/>
          <w:lang w:eastAsia="ja-JP"/>
        </w:rPr>
        <w:t>CMV sukelto retinito gydymas</w:t>
      </w:r>
    </w:p>
    <w:p w14:paraId="65D757FA"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Pacientai, kuriems neseniai buvo nustatytas CMV retinitas, atsitiktiniu būdu suskirstyti į pradinio gydymo grupes: gydomi Valcyte po 900 mg (dukart per parą) arba į veną leidžiamu gancikloviru po 5 mg/kg (dukart per parą). Pacientų, kuriems CMV retinitas po keturių savaičių progresavo (nustatyta fotografiniu būdu), skaičius abiejose gydymo grupėse buvo panašus – 7 iš 70 intraveniniu gancikloviru ir 7 iš 71 valgancikloviru gydytų pacientų.</w:t>
      </w:r>
    </w:p>
    <w:p w14:paraId="11570DD4" w14:textId="77777777" w:rsidR="00E850F6" w:rsidRPr="00D600DA" w:rsidRDefault="00E850F6" w:rsidP="00E850F6">
      <w:pPr>
        <w:spacing w:after="0" w:line="240" w:lineRule="auto"/>
        <w:rPr>
          <w:rFonts w:ascii="Times New Roman" w:hAnsi="Times New Roman"/>
          <w:lang w:eastAsia="ja-JP"/>
        </w:rPr>
      </w:pPr>
    </w:p>
    <w:p w14:paraId="53BA4918"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Po pradinio gydymo visiems šiame tyrime dalyvavusiems pacientams buvo tęsiamas palaikomasis gydymas Valcyte po 900 mg per parą. Laiko nuo randomizacijos iki CMV retinito progresavimo vidurkis (mediana) pradinio ir palaikomojo gydymo Valcyte grupėje buvo 226 (160) paros, o pradinio gydymo intraveniniu gancikloviru ir palaikomojo gydymo Valcyte grupėje – 219 (125) parų.</w:t>
      </w:r>
    </w:p>
    <w:p w14:paraId="2C92F7B6" w14:textId="77777777" w:rsidR="00E850F6" w:rsidRPr="00D600DA" w:rsidRDefault="00E850F6" w:rsidP="00E850F6">
      <w:pPr>
        <w:spacing w:after="0" w:line="240" w:lineRule="auto"/>
        <w:rPr>
          <w:rFonts w:ascii="Times New Roman" w:hAnsi="Times New Roman"/>
          <w:u w:val="single"/>
          <w:lang w:eastAsia="ja-JP"/>
        </w:rPr>
      </w:pPr>
    </w:p>
    <w:p w14:paraId="1D35BA5D" w14:textId="77777777" w:rsidR="00E850F6" w:rsidRPr="00D600DA" w:rsidRDefault="00E850F6" w:rsidP="00E850F6">
      <w:pPr>
        <w:spacing w:after="0" w:line="240" w:lineRule="auto"/>
        <w:rPr>
          <w:rFonts w:ascii="Times New Roman" w:hAnsi="Times New Roman"/>
          <w:i/>
          <w:lang w:eastAsia="ja-JP"/>
        </w:rPr>
      </w:pPr>
      <w:r w:rsidRPr="00D600DA">
        <w:rPr>
          <w:rFonts w:ascii="Times New Roman" w:hAnsi="Times New Roman"/>
          <w:i/>
          <w:lang w:eastAsia="ja-JP"/>
        </w:rPr>
        <w:t>CMV infekcijos profilaktika po transplantacijos</w:t>
      </w:r>
    </w:p>
    <w:p w14:paraId="313B52EF"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Dvigubai koduotu būdu, lyginant su kliniškai aktyviu vaistu, tirti pacientai, kuriems buvo atliekama širdies, kepenų arba inkstų transplantacija (pacientai, kuriems buvo atliekama plaučių arba virškinimo </w:t>
      </w:r>
      <w:r w:rsidRPr="00D600DA">
        <w:rPr>
          <w:rFonts w:ascii="Times New Roman" w:hAnsi="Times New Roman"/>
          <w:lang w:eastAsia="ja-JP"/>
        </w:rPr>
        <w:lastRenderedPageBreak/>
        <w:t>trakto transplantacija, į šį tyrimą neįtraukti) ir kuriems buvo didelė CMV ligos rizika (D+/R-). Pacientams buvo duodama arba Valcyte (po 900 mg kartą per parą), arba geriamojo gancikloviro (po 1000 mg triskart per parą), pradedant pirmosiomis 10 parų po transplantacijos ir baigiant šimtąja para po transplantacijos. CMV ligos (CMV sindromo + invazinės audinių ligos) dažnumas per pirmuosius 6 mėnesius po transplantacijos buvo 12,1 % Valcyte vartojusių pacientų grupėje (n = 239) ir 15,2 % ganciklovirą gėrusių pacientų grupėje (n = 125). Dauguma pacientų susirgo baigus profilaktiką (po šimtosios paros); profilaktikos valgancikloviru grupėje tai įvyko vėliau negu profilaktikos geriamuoju gancikloviru grupėje. Ūminio atmetimo dažnumas per pirmuosius 6 mėnesius buvo 29,7 % valgancikloviro grupėje, palyginti su 36,0 % geriamojo gancikloviro grupėje; transplantatą prarado tiek pat, t. y. po 0,8 %, abiejų grupių pacientų.</w:t>
      </w:r>
    </w:p>
    <w:p w14:paraId="4BE969CC" w14:textId="77777777" w:rsidR="00E850F6" w:rsidRPr="00D600DA" w:rsidRDefault="00E850F6" w:rsidP="00E850F6">
      <w:pPr>
        <w:spacing w:after="0" w:line="240" w:lineRule="auto"/>
        <w:rPr>
          <w:rFonts w:ascii="Times New Roman" w:hAnsi="Times New Roman"/>
          <w:lang w:eastAsia="ja-JP"/>
        </w:rPr>
      </w:pPr>
    </w:p>
    <w:p w14:paraId="548CA22E"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Dvigubai koduotu, placebu kontroliuojamu būdu tirti 326 pacientai, kuriems persodintas inkstas ir kuriems grėsė didelė CMV ligos rizika (D+/R-), siekiant įvertinti pratęstos nuo 100 iki 200 parų po transplantacijos CMV profilaktikos Valcyte preparatu veiksmingumą ir saugumą. Pacientai atsitiktiniu būdu buvo suskirstyti (1:1) į vartojančius Valcyte (po 900 mg kartą per parą) pradedant pirmosiomis 10 parų po transplantacijos ir baigiant 200-tąja para po organo persodinimo, arba baigiant 100-tąja diena po transplantacijos toliau tiems pacientams 100 parų skiriant placebo.</w:t>
      </w:r>
    </w:p>
    <w:p w14:paraId="3236AE35"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Pacientų, kurie susirgo CMV liga per pirmuosius 12 mėnesių po organo persodinimo, skaičius nurodytas toliau lentelėje.</w:t>
      </w:r>
    </w:p>
    <w:p w14:paraId="76C5E584" w14:textId="77777777" w:rsidR="00E850F6" w:rsidRPr="00D600DA" w:rsidRDefault="00E850F6" w:rsidP="00E850F6">
      <w:pPr>
        <w:spacing w:after="0" w:line="240" w:lineRule="auto"/>
        <w:rPr>
          <w:rFonts w:ascii="Times New Roman" w:hAnsi="Times New Roman"/>
          <w:lang w:eastAsia="ja-JP"/>
        </w:rPr>
      </w:pPr>
    </w:p>
    <w:p w14:paraId="2102F6FC" w14:textId="77777777" w:rsidR="00E850F6" w:rsidRPr="00D600DA" w:rsidRDefault="00E850F6" w:rsidP="00E850F6">
      <w:pPr>
        <w:spacing w:after="0" w:line="240" w:lineRule="auto"/>
        <w:rPr>
          <w:rFonts w:ascii="Times New Roman" w:eastAsia="PMingLiU" w:hAnsi="Times New Roman"/>
          <w:b/>
          <w:lang w:eastAsia="ja-JP"/>
        </w:rPr>
      </w:pPr>
      <w:r w:rsidRPr="00D600DA">
        <w:rPr>
          <w:rFonts w:ascii="Times New Roman" w:eastAsia="PMingLiU" w:hAnsi="Times New Roman"/>
          <w:b/>
          <w:lang w:eastAsia="ja-JP"/>
        </w:rPr>
        <w:t>Numatytų gydyti pacientų, kurie po inksto persodinimo per 12 mėnesių</w:t>
      </w:r>
      <w:r w:rsidRPr="00D600DA">
        <w:rPr>
          <w:rFonts w:ascii="Times New Roman" w:eastAsia="PMingLiU" w:hAnsi="Times New Roman"/>
          <w:b/>
          <w:vertAlign w:val="superscript"/>
          <w:lang w:eastAsia="ja-JP"/>
        </w:rPr>
        <w:t xml:space="preserve"> A</w:t>
      </w:r>
      <w:r w:rsidRPr="00D600DA">
        <w:rPr>
          <w:rFonts w:ascii="Times New Roman" w:eastAsia="PMingLiU" w:hAnsi="Times New Roman"/>
          <w:b/>
          <w:lang w:eastAsia="ja-JP"/>
        </w:rPr>
        <w:t xml:space="preserve"> susirgo CMV liga</w:t>
      </w:r>
      <w:r w:rsidRPr="00D600DA">
        <w:rPr>
          <w:rFonts w:ascii="Times New Roman" w:eastAsia="PMingLiU" w:hAnsi="Times New Roman"/>
          <w:b/>
          <w:vertAlign w:val="superscript"/>
          <w:lang w:eastAsia="ja-JP"/>
        </w:rPr>
        <w:t>1</w:t>
      </w:r>
      <w:r w:rsidRPr="00D600DA">
        <w:rPr>
          <w:rFonts w:ascii="Times New Roman" w:eastAsia="PMingLiU" w:hAnsi="Times New Roman"/>
          <w:b/>
          <w:lang w:eastAsia="ja-JP"/>
        </w:rPr>
        <w:t>, procentas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8"/>
        <w:gridCol w:w="1948"/>
        <w:gridCol w:w="1948"/>
        <w:gridCol w:w="1946"/>
      </w:tblGrid>
      <w:tr w:rsidR="00E850F6" w:rsidRPr="00B71670" w14:paraId="2EC2EC56" w14:textId="77777777" w:rsidTr="00636DA1">
        <w:tc>
          <w:tcPr>
            <w:tcW w:w="1776" w:type="pct"/>
          </w:tcPr>
          <w:p w14:paraId="09C9E91B" w14:textId="77777777" w:rsidR="00E850F6" w:rsidRPr="00D600DA" w:rsidRDefault="00E850F6" w:rsidP="00636DA1">
            <w:pPr>
              <w:keepNext/>
              <w:spacing w:after="0" w:line="240" w:lineRule="auto"/>
              <w:rPr>
                <w:rFonts w:ascii="Times New Roman" w:eastAsia="PMingLiU" w:hAnsi="Times New Roman"/>
                <w:lang w:eastAsia="ja-JP"/>
              </w:rPr>
            </w:pPr>
          </w:p>
        </w:tc>
        <w:tc>
          <w:tcPr>
            <w:tcW w:w="1075" w:type="pct"/>
          </w:tcPr>
          <w:p w14:paraId="22007632" w14:textId="77777777" w:rsidR="00E850F6" w:rsidRPr="00D600DA" w:rsidDel="00B04AF0" w:rsidRDefault="00E850F6" w:rsidP="00636DA1">
            <w:pPr>
              <w:spacing w:after="0" w:line="240" w:lineRule="auto"/>
              <w:rPr>
                <w:rFonts w:ascii="Times New Roman" w:eastAsia="PMingLiU" w:hAnsi="Times New Roman"/>
                <w:b/>
                <w:lang w:eastAsia="ja-JP"/>
              </w:rPr>
            </w:pPr>
            <w:r w:rsidRPr="00D600DA">
              <w:rPr>
                <w:rFonts w:ascii="Times New Roman" w:hAnsi="Times New Roman"/>
                <w:b/>
                <w:lang w:eastAsia="ja-JP"/>
              </w:rPr>
              <w:t>Valganciklovir</w:t>
            </w:r>
            <w:r w:rsidRPr="00D600DA">
              <w:rPr>
                <w:rFonts w:ascii="Times New Roman" w:eastAsia="PMingLiU" w:hAnsi="Times New Roman"/>
                <w:b/>
                <w:lang w:eastAsia="ja-JP"/>
              </w:rPr>
              <w:t>as</w:t>
            </w:r>
          </w:p>
          <w:p w14:paraId="06C31749" w14:textId="77777777" w:rsidR="00E850F6" w:rsidRPr="00D600DA" w:rsidRDefault="00E850F6" w:rsidP="00636DA1">
            <w:pPr>
              <w:spacing w:after="0" w:line="240" w:lineRule="auto"/>
              <w:rPr>
                <w:rFonts w:ascii="Times New Roman" w:eastAsia="PMingLiU" w:hAnsi="Times New Roman"/>
                <w:b/>
                <w:lang w:eastAsia="ja-JP"/>
              </w:rPr>
            </w:pPr>
          </w:p>
          <w:p w14:paraId="05610B10" w14:textId="77777777" w:rsidR="00E850F6" w:rsidRPr="00D600DA" w:rsidRDefault="00E850F6" w:rsidP="00636DA1">
            <w:pPr>
              <w:spacing w:after="0" w:line="240" w:lineRule="auto"/>
              <w:rPr>
                <w:rFonts w:ascii="Times New Roman" w:eastAsia="PMingLiU" w:hAnsi="Times New Roman"/>
                <w:b/>
                <w:lang w:eastAsia="ja-JP"/>
              </w:rPr>
            </w:pPr>
            <w:r w:rsidRPr="00D600DA">
              <w:rPr>
                <w:rFonts w:ascii="Times New Roman" w:eastAsia="PMingLiU" w:hAnsi="Times New Roman"/>
                <w:b/>
                <w:lang w:eastAsia="ja-JP"/>
              </w:rPr>
              <w:t>900 mg kartą per parą 100 dienų</w:t>
            </w:r>
          </w:p>
          <w:p w14:paraId="76F2197C" w14:textId="77777777" w:rsidR="00E850F6" w:rsidRPr="00D600DA" w:rsidRDefault="00E850F6" w:rsidP="00636DA1">
            <w:pPr>
              <w:spacing w:after="0" w:line="240" w:lineRule="auto"/>
              <w:rPr>
                <w:rFonts w:ascii="Times New Roman" w:eastAsia="PMingLiU" w:hAnsi="Times New Roman"/>
                <w:b/>
                <w:lang w:val="pt-BR" w:eastAsia="ja-JP"/>
              </w:rPr>
            </w:pPr>
            <w:r w:rsidRPr="00D600DA">
              <w:rPr>
                <w:rFonts w:ascii="Times New Roman" w:eastAsia="PMingLiU" w:hAnsi="Times New Roman"/>
                <w:b/>
                <w:lang w:val="pt-BR" w:eastAsia="ja-JP"/>
              </w:rPr>
              <w:t>(N = 163)</w:t>
            </w:r>
          </w:p>
        </w:tc>
        <w:tc>
          <w:tcPr>
            <w:tcW w:w="1075" w:type="pct"/>
          </w:tcPr>
          <w:p w14:paraId="40C89E7C" w14:textId="77777777" w:rsidR="00E850F6" w:rsidRPr="00D600DA" w:rsidDel="00B04AF0" w:rsidRDefault="00E850F6" w:rsidP="00636DA1">
            <w:pPr>
              <w:spacing w:after="0" w:line="240" w:lineRule="auto"/>
              <w:rPr>
                <w:rFonts w:ascii="Times New Roman" w:eastAsia="PMingLiU" w:hAnsi="Times New Roman"/>
                <w:b/>
                <w:lang w:eastAsia="ja-JP"/>
              </w:rPr>
            </w:pPr>
            <w:r w:rsidRPr="00D600DA">
              <w:rPr>
                <w:rFonts w:ascii="Times New Roman" w:hAnsi="Times New Roman"/>
                <w:b/>
                <w:lang w:eastAsia="ja-JP"/>
              </w:rPr>
              <w:t>Valgancikloviras</w:t>
            </w:r>
          </w:p>
          <w:p w14:paraId="6B74DF60" w14:textId="77777777" w:rsidR="00E850F6" w:rsidRPr="00D600DA" w:rsidRDefault="00E850F6" w:rsidP="00636DA1">
            <w:pPr>
              <w:spacing w:after="0" w:line="240" w:lineRule="auto"/>
              <w:rPr>
                <w:rFonts w:ascii="Times New Roman" w:eastAsia="PMingLiU" w:hAnsi="Times New Roman"/>
                <w:b/>
                <w:lang w:eastAsia="ja-JP"/>
              </w:rPr>
            </w:pPr>
          </w:p>
          <w:p w14:paraId="7DAA4807" w14:textId="77777777" w:rsidR="00E850F6" w:rsidRPr="00D600DA" w:rsidRDefault="00E850F6" w:rsidP="00636DA1">
            <w:pPr>
              <w:spacing w:after="0" w:line="240" w:lineRule="auto"/>
              <w:rPr>
                <w:rFonts w:ascii="Times New Roman" w:eastAsia="PMingLiU" w:hAnsi="Times New Roman"/>
                <w:b/>
                <w:lang w:eastAsia="ja-JP"/>
              </w:rPr>
            </w:pPr>
            <w:r w:rsidRPr="00D600DA">
              <w:rPr>
                <w:rFonts w:ascii="Times New Roman" w:eastAsia="PMingLiU" w:hAnsi="Times New Roman"/>
                <w:b/>
                <w:lang w:eastAsia="ja-JP"/>
              </w:rPr>
              <w:t>900 mg kartą per parą 200 dienų</w:t>
            </w:r>
          </w:p>
          <w:p w14:paraId="089A32F3" w14:textId="77777777" w:rsidR="00E850F6" w:rsidRPr="00D600DA" w:rsidRDefault="00E850F6" w:rsidP="00636DA1">
            <w:pPr>
              <w:spacing w:after="0" w:line="240" w:lineRule="auto"/>
              <w:rPr>
                <w:rFonts w:ascii="Times New Roman" w:eastAsia="PMingLiU" w:hAnsi="Times New Roman"/>
                <w:b/>
                <w:lang w:eastAsia="ja-JP"/>
              </w:rPr>
            </w:pPr>
            <w:r w:rsidRPr="00D600DA">
              <w:rPr>
                <w:rFonts w:ascii="Times New Roman" w:eastAsia="PMingLiU" w:hAnsi="Times New Roman"/>
                <w:b/>
                <w:lang w:eastAsia="ja-JP"/>
              </w:rPr>
              <w:t xml:space="preserve"> (N = 155)</w:t>
            </w:r>
          </w:p>
        </w:tc>
        <w:tc>
          <w:tcPr>
            <w:tcW w:w="1075" w:type="pct"/>
          </w:tcPr>
          <w:p w14:paraId="1EA1583D" w14:textId="77777777" w:rsidR="00E850F6" w:rsidRPr="00D600DA" w:rsidRDefault="00E850F6" w:rsidP="00636DA1">
            <w:pPr>
              <w:spacing w:after="0" w:line="240" w:lineRule="auto"/>
              <w:rPr>
                <w:rFonts w:ascii="Times New Roman" w:hAnsi="Times New Roman"/>
                <w:b/>
                <w:lang w:eastAsia="ja-JP"/>
              </w:rPr>
            </w:pPr>
            <w:r w:rsidRPr="00D600DA">
              <w:rPr>
                <w:rFonts w:ascii="Times New Roman" w:hAnsi="Times New Roman"/>
                <w:b/>
                <w:lang w:eastAsia="ja-JP"/>
              </w:rPr>
              <w:t>Skirtumas tarp gydomųjų grupių</w:t>
            </w:r>
          </w:p>
        </w:tc>
      </w:tr>
      <w:tr w:rsidR="00E850F6" w:rsidRPr="00B71670" w14:paraId="1C0885E0" w14:textId="77777777" w:rsidTr="00636DA1">
        <w:tc>
          <w:tcPr>
            <w:tcW w:w="1776" w:type="pct"/>
          </w:tcPr>
          <w:p w14:paraId="06F1605C" w14:textId="77777777" w:rsidR="00E850F6" w:rsidRPr="00D600DA" w:rsidRDefault="00E850F6" w:rsidP="00636DA1">
            <w:pPr>
              <w:spacing w:after="0" w:line="240" w:lineRule="auto"/>
              <w:rPr>
                <w:rFonts w:ascii="Times New Roman" w:eastAsia="PMingLiU" w:hAnsi="Times New Roman"/>
                <w:lang w:eastAsia="ja-JP"/>
              </w:rPr>
            </w:pPr>
            <w:r w:rsidRPr="00D600DA">
              <w:rPr>
                <w:rFonts w:ascii="Times New Roman" w:eastAsia="PMingLiU" w:hAnsi="Times New Roman"/>
                <w:lang w:eastAsia="ja-JP"/>
              </w:rPr>
              <w:t>Pacientai, kuriems patvirtinta arba įtariama CMV liga</w:t>
            </w:r>
            <w:r w:rsidRPr="00D600DA">
              <w:rPr>
                <w:rFonts w:ascii="Times New Roman" w:eastAsia="PMingLiU" w:hAnsi="Times New Roman"/>
                <w:vertAlign w:val="superscript"/>
                <w:lang w:eastAsia="ja-JP"/>
              </w:rPr>
              <w:t>2</w:t>
            </w:r>
          </w:p>
        </w:tc>
        <w:tc>
          <w:tcPr>
            <w:tcW w:w="1075" w:type="pct"/>
          </w:tcPr>
          <w:p w14:paraId="750A56FA" w14:textId="77777777" w:rsidR="00E850F6" w:rsidRPr="00D600DA" w:rsidRDefault="00E850F6" w:rsidP="00636DA1">
            <w:pPr>
              <w:spacing w:after="0" w:line="240" w:lineRule="auto"/>
              <w:rPr>
                <w:rFonts w:ascii="Times New Roman" w:eastAsia="PMingLiU" w:hAnsi="Times New Roman"/>
                <w:lang w:eastAsia="ja-JP"/>
              </w:rPr>
            </w:pPr>
            <w:r w:rsidRPr="00D600DA">
              <w:rPr>
                <w:rFonts w:ascii="Times New Roman" w:eastAsia="PMingLiU" w:hAnsi="Times New Roman"/>
                <w:lang w:eastAsia="ja-JP"/>
              </w:rPr>
              <w:t>71 (43,6 %)</w:t>
            </w:r>
          </w:p>
          <w:p w14:paraId="28B79F72" w14:textId="77777777" w:rsidR="00E850F6" w:rsidRPr="00D600DA" w:rsidRDefault="00E850F6" w:rsidP="00636DA1">
            <w:pPr>
              <w:spacing w:after="0" w:line="240" w:lineRule="auto"/>
              <w:rPr>
                <w:rFonts w:ascii="Times New Roman" w:eastAsia="PMingLiU" w:hAnsi="Times New Roman"/>
                <w:lang w:eastAsia="ja-JP"/>
              </w:rPr>
            </w:pPr>
            <w:r w:rsidRPr="00D600DA">
              <w:rPr>
                <w:rFonts w:ascii="Times New Roman" w:eastAsia="PMingLiU" w:hAnsi="Times New Roman"/>
                <w:lang w:eastAsia="ja-JP"/>
              </w:rPr>
              <w:t>[35,8 %; 51,5 %]</w:t>
            </w:r>
          </w:p>
        </w:tc>
        <w:tc>
          <w:tcPr>
            <w:tcW w:w="1075" w:type="pct"/>
          </w:tcPr>
          <w:p w14:paraId="276C9E2D" w14:textId="77777777" w:rsidR="00E850F6" w:rsidRPr="00D600DA" w:rsidRDefault="00E850F6" w:rsidP="00636DA1">
            <w:pPr>
              <w:spacing w:after="0" w:line="240" w:lineRule="auto"/>
              <w:rPr>
                <w:rFonts w:ascii="Times New Roman" w:eastAsia="PMingLiU" w:hAnsi="Times New Roman"/>
                <w:lang w:eastAsia="ja-JP"/>
              </w:rPr>
            </w:pPr>
            <w:r w:rsidRPr="00D600DA">
              <w:rPr>
                <w:rFonts w:ascii="Times New Roman" w:eastAsia="PMingLiU" w:hAnsi="Times New Roman"/>
                <w:lang w:eastAsia="ja-JP"/>
              </w:rPr>
              <w:t>36 (23,2 %)</w:t>
            </w:r>
          </w:p>
          <w:p w14:paraId="0CFCDBF3" w14:textId="77777777" w:rsidR="00E850F6" w:rsidRPr="00D600DA" w:rsidRDefault="00E850F6" w:rsidP="00636DA1">
            <w:pPr>
              <w:spacing w:after="0" w:line="240" w:lineRule="auto"/>
              <w:rPr>
                <w:rFonts w:ascii="Times New Roman" w:eastAsia="PMingLiU" w:hAnsi="Times New Roman"/>
                <w:lang w:eastAsia="ja-JP"/>
              </w:rPr>
            </w:pPr>
            <w:r w:rsidRPr="00D600DA">
              <w:rPr>
                <w:rFonts w:ascii="Times New Roman" w:eastAsia="PMingLiU" w:hAnsi="Times New Roman"/>
                <w:lang w:eastAsia="ja-JP"/>
              </w:rPr>
              <w:t>[16,8 %; 30,7 %]</w:t>
            </w:r>
          </w:p>
        </w:tc>
        <w:tc>
          <w:tcPr>
            <w:tcW w:w="1075" w:type="pct"/>
          </w:tcPr>
          <w:p w14:paraId="5B8EA436" w14:textId="77777777" w:rsidR="00E850F6" w:rsidRPr="00D600DA" w:rsidRDefault="00E850F6" w:rsidP="00636DA1">
            <w:pPr>
              <w:spacing w:after="0" w:line="240" w:lineRule="auto"/>
              <w:rPr>
                <w:rFonts w:ascii="Times New Roman" w:eastAsia="PMingLiU" w:hAnsi="Times New Roman"/>
                <w:lang w:eastAsia="zh-TW"/>
              </w:rPr>
            </w:pPr>
            <w:r w:rsidRPr="00D600DA">
              <w:rPr>
                <w:rFonts w:ascii="Times New Roman" w:eastAsia="PMingLiU" w:hAnsi="Times New Roman"/>
                <w:lang w:eastAsia="zh-TW"/>
              </w:rPr>
              <w:t>20,3 %</w:t>
            </w:r>
          </w:p>
          <w:p w14:paraId="0A3E8888" w14:textId="77777777" w:rsidR="00E850F6" w:rsidRPr="00D600DA" w:rsidRDefault="00E850F6" w:rsidP="00636DA1">
            <w:pPr>
              <w:spacing w:after="0" w:line="240" w:lineRule="auto"/>
              <w:rPr>
                <w:rFonts w:ascii="Times New Roman" w:eastAsia="PMingLiU" w:hAnsi="Times New Roman"/>
                <w:lang w:eastAsia="ja-JP"/>
              </w:rPr>
            </w:pPr>
            <w:r w:rsidRPr="00D600DA">
              <w:rPr>
                <w:rFonts w:ascii="Times New Roman" w:eastAsia="PMingLiU" w:hAnsi="Times New Roman"/>
                <w:lang w:eastAsia="zh-TW"/>
              </w:rPr>
              <w:t>[9,9 %; 30,8 %]</w:t>
            </w:r>
          </w:p>
        </w:tc>
      </w:tr>
      <w:tr w:rsidR="00E850F6" w:rsidRPr="00B71670" w14:paraId="6CDDB64B" w14:textId="77777777" w:rsidTr="00636DA1">
        <w:tc>
          <w:tcPr>
            <w:tcW w:w="1776" w:type="pct"/>
          </w:tcPr>
          <w:p w14:paraId="0E04AC42" w14:textId="77777777" w:rsidR="00E850F6" w:rsidRPr="00D600DA" w:rsidRDefault="00E850F6" w:rsidP="00636DA1">
            <w:pPr>
              <w:spacing w:after="0" w:line="240" w:lineRule="auto"/>
              <w:rPr>
                <w:rFonts w:ascii="Times New Roman" w:eastAsia="PMingLiU" w:hAnsi="Times New Roman"/>
                <w:lang w:eastAsia="ja-JP"/>
              </w:rPr>
            </w:pPr>
            <w:r w:rsidRPr="00D600DA">
              <w:rPr>
                <w:rFonts w:ascii="Times New Roman" w:eastAsia="PMingLiU" w:hAnsi="Times New Roman"/>
                <w:lang w:eastAsia="ja-JP"/>
              </w:rPr>
              <w:t>Pacientai, kuriems patvirtinta CMV liga</w:t>
            </w:r>
          </w:p>
        </w:tc>
        <w:tc>
          <w:tcPr>
            <w:tcW w:w="1075" w:type="pct"/>
          </w:tcPr>
          <w:p w14:paraId="64511732" w14:textId="77777777" w:rsidR="00E850F6" w:rsidRPr="00D600DA" w:rsidRDefault="00E850F6" w:rsidP="00636DA1">
            <w:pPr>
              <w:spacing w:after="0" w:line="240" w:lineRule="auto"/>
              <w:rPr>
                <w:rFonts w:ascii="Times New Roman" w:eastAsia="PMingLiU" w:hAnsi="Times New Roman"/>
                <w:lang w:eastAsia="ja-JP"/>
              </w:rPr>
            </w:pPr>
            <w:r w:rsidRPr="00D600DA">
              <w:rPr>
                <w:rFonts w:ascii="Times New Roman" w:eastAsia="PMingLiU" w:hAnsi="Times New Roman"/>
                <w:lang w:eastAsia="ja-JP"/>
              </w:rPr>
              <w:t>60 (36,8 %)</w:t>
            </w:r>
          </w:p>
          <w:p w14:paraId="15F3D459" w14:textId="77777777" w:rsidR="00E850F6" w:rsidRPr="00D600DA" w:rsidRDefault="00E850F6" w:rsidP="00636DA1">
            <w:pPr>
              <w:spacing w:after="0" w:line="240" w:lineRule="auto"/>
              <w:rPr>
                <w:rFonts w:ascii="Times New Roman" w:eastAsia="PMingLiU" w:hAnsi="Times New Roman"/>
                <w:lang w:eastAsia="ja-JP"/>
              </w:rPr>
            </w:pPr>
            <w:r w:rsidRPr="00D600DA">
              <w:rPr>
                <w:rFonts w:ascii="Times New Roman" w:eastAsia="PMingLiU" w:hAnsi="Times New Roman"/>
                <w:lang w:eastAsia="ja-JP"/>
              </w:rPr>
              <w:t>[29,4 %; 44,7 %]</w:t>
            </w:r>
          </w:p>
        </w:tc>
        <w:tc>
          <w:tcPr>
            <w:tcW w:w="1075" w:type="pct"/>
          </w:tcPr>
          <w:p w14:paraId="4626257C" w14:textId="77777777" w:rsidR="00E850F6" w:rsidRPr="00D600DA" w:rsidRDefault="00E850F6" w:rsidP="00636DA1">
            <w:pPr>
              <w:spacing w:after="0" w:line="240" w:lineRule="auto"/>
              <w:rPr>
                <w:rFonts w:ascii="Times New Roman" w:eastAsia="PMingLiU" w:hAnsi="Times New Roman"/>
                <w:lang w:eastAsia="ja-JP"/>
              </w:rPr>
            </w:pPr>
            <w:r w:rsidRPr="00D600DA">
              <w:rPr>
                <w:rFonts w:ascii="Times New Roman" w:eastAsia="PMingLiU" w:hAnsi="Times New Roman"/>
                <w:lang w:eastAsia="ja-JP"/>
              </w:rPr>
              <w:t>25 (16,1 %)</w:t>
            </w:r>
          </w:p>
          <w:p w14:paraId="4078E701" w14:textId="77777777" w:rsidR="00E850F6" w:rsidRPr="00D600DA" w:rsidRDefault="00E850F6" w:rsidP="00636DA1">
            <w:pPr>
              <w:spacing w:after="0" w:line="240" w:lineRule="auto"/>
              <w:rPr>
                <w:rFonts w:ascii="Times New Roman" w:eastAsia="PMingLiU" w:hAnsi="Times New Roman"/>
                <w:lang w:eastAsia="ja-JP"/>
              </w:rPr>
            </w:pPr>
            <w:r w:rsidRPr="00D600DA">
              <w:rPr>
                <w:rFonts w:ascii="Times New Roman" w:eastAsia="PMingLiU" w:hAnsi="Times New Roman"/>
                <w:lang w:eastAsia="ja-JP"/>
              </w:rPr>
              <w:t>[10,7 %; 22,9 %]</w:t>
            </w:r>
          </w:p>
        </w:tc>
        <w:tc>
          <w:tcPr>
            <w:tcW w:w="1075" w:type="pct"/>
          </w:tcPr>
          <w:p w14:paraId="7942ECD9" w14:textId="77777777" w:rsidR="00E850F6" w:rsidRPr="00D600DA" w:rsidRDefault="00E850F6" w:rsidP="00636DA1">
            <w:pPr>
              <w:spacing w:after="0" w:line="240" w:lineRule="auto"/>
              <w:rPr>
                <w:rFonts w:ascii="Times New Roman" w:eastAsia="PMingLiU" w:hAnsi="Times New Roman"/>
                <w:lang w:eastAsia="zh-TW"/>
              </w:rPr>
            </w:pPr>
            <w:r w:rsidRPr="00D600DA">
              <w:rPr>
                <w:rFonts w:ascii="Times New Roman" w:eastAsia="PMingLiU" w:hAnsi="Times New Roman"/>
                <w:lang w:eastAsia="zh-TW"/>
              </w:rPr>
              <w:t>20,7 %</w:t>
            </w:r>
          </w:p>
          <w:p w14:paraId="178538B8" w14:textId="77777777" w:rsidR="00E850F6" w:rsidRPr="00D600DA" w:rsidRDefault="00E850F6" w:rsidP="00636DA1">
            <w:pPr>
              <w:spacing w:after="0" w:line="240" w:lineRule="auto"/>
              <w:rPr>
                <w:rFonts w:ascii="Times New Roman" w:eastAsia="PMingLiU" w:hAnsi="Times New Roman"/>
                <w:lang w:eastAsia="ja-JP"/>
              </w:rPr>
            </w:pPr>
            <w:r w:rsidRPr="00D600DA">
              <w:rPr>
                <w:rFonts w:ascii="Times New Roman" w:eastAsia="PMingLiU" w:hAnsi="Times New Roman"/>
                <w:lang w:eastAsia="zh-TW"/>
              </w:rPr>
              <w:t>[10,9 %; 30,4 %]</w:t>
            </w:r>
          </w:p>
        </w:tc>
      </w:tr>
    </w:tbl>
    <w:p w14:paraId="10A75814" w14:textId="77777777" w:rsidR="00E850F6" w:rsidRPr="00404D15" w:rsidRDefault="00E850F6" w:rsidP="00E850F6">
      <w:pPr>
        <w:spacing w:after="0" w:line="240" w:lineRule="auto"/>
        <w:rPr>
          <w:rFonts w:ascii="Times New Roman" w:eastAsia="PMingLiU" w:hAnsi="Times New Roman"/>
          <w:sz w:val="20"/>
          <w:lang w:eastAsia="ja-JP"/>
        </w:rPr>
      </w:pPr>
      <w:r w:rsidRPr="00404D15">
        <w:rPr>
          <w:rFonts w:ascii="Times New Roman" w:eastAsia="PMingLiU" w:hAnsi="Times New Roman"/>
          <w:sz w:val="20"/>
          <w:vertAlign w:val="superscript"/>
          <w:lang w:eastAsia="ja-JP"/>
        </w:rPr>
        <w:t xml:space="preserve">1 </w:t>
      </w:r>
      <w:r w:rsidRPr="00404D15">
        <w:rPr>
          <w:rFonts w:ascii="Times New Roman" w:eastAsia="PMingLiU" w:hAnsi="Times New Roman"/>
          <w:sz w:val="20"/>
          <w:lang w:eastAsia="ja-JP"/>
        </w:rPr>
        <w:t>CMV liga apibūdinama kaip CMV sindromas arba kaip CMV invazija į audinius.</w:t>
      </w:r>
    </w:p>
    <w:p w14:paraId="7EEAC26A" w14:textId="77777777" w:rsidR="00E850F6" w:rsidRPr="00404D15" w:rsidRDefault="00E850F6" w:rsidP="00E850F6">
      <w:pPr>
        <w:spacing w:after="0" w:line="240" w:lineRule="auto"/>
        <w:rPr>
          <w:rFonts w:ascii="Times New Roman" w:hAnsi="Times New Roman"/>
          <w:sz w:val="20"/>
          <w:lang w:eastAsia="ja-JP"/>
        </w:rPr>
      </w:pPr>
      <w:r w:rsidRPr="00404D15">
        <w:rPr>
          <w:rFonts w:ascii="Times New Roman" w:hAnsi="Times New Roman"/>
          <w:sz w:val="20"/>
          <w:vertAlign w:val="superscript"/>
          <w:lang w:eastAsia="ja-JP"/>
        </w:rPr>
        <w:t>2</w:t>
      </w:r>
      <w:r w:rsidRPr="00404D15">
        <w:rPr>
          <w:rFonts w:ascii="Times New Roman" w:hAnsi="Times New Roman"/>
          <w:sz w:val="20"/>
          <w:lang w:eastAsia="ja-JP"/>
        </w:rPr>
        <w:t xml:space="preserve"> Patvirtinta CMV – tai kliniškai patvirtintas CMV ligos atvejis. Pacientams CMV liga buvo įtariama, jei 52</w:t>
      </w:r>
      <w:r w:rsidRPr="00404D15">
        <w:rPr>
          <w:rFonts w:ascii="Times New Roman" w:hAnsi="Times New Roman"/>
          <w:sz w:val="20"/>
          <w:lang w:eastAsia="ja-JP"/>
        </w:rPr>
        <w:noBreakHyphen/>
        <w:t>ąją savaitę nebuvo atliktas vertinimas ir CMV liga nebuvo patvirtinta iki šio laiko.</w:t>
      </w:r>
    </w:p>
    <w:p w14:paraId="0F3163D5" w14:textId="77777777" w:rsidR="00E850F6" w:rsidRPr="00404D15" w:rsidRDefault="00E850F6" w:rsidP="00E850F6">
      <w:pPr>
        <w:spacing w:after="0" w:line="240" w:lineRule="auto"/>
        <w:rPr>
          <w:rFonts w:ascii="Times New Roman" w:hAnsi="Times New Roman"/>
          <w:sz w:val="20"/>
          <w:lang w:eastAsia="ja-JP"/>
        </w:rPr>
      </w:pPr>
      <w:r w:rsidRPr="00404D15">
        <w:rPr>
          <w:rFonts w:ascii="Times New Roman" w:hAnsi="Times New Roman"/>
          <w:sz w:val="20"/>
          <w:vertAlign w:val="superscript"/>
          <w:lang w:eastAsia="ja-JP"/>
        </w:rPr>
        <w:t>A</w:t>
      </w:r>
      <w:r w:rsidRPr="00404D15">
        <w:rPr>
          <w:rFonts w:ascii="Times New Roman" w:hAnsi="Times New Roman"/>
          <w:sz w:val="20"/>
          <w:lang w:eastAsia="ja-JP"/>
        </w:rPr>
        <w:t xml:space="preserve"> Rezultatai, nustatyti tiriant iki 24 mėnesių, atitiko rezultatus, gautus tiriant iki 12 mėnesių. Patvirtinta arba įtariama CMV liga sirgo 48,5 % pacientų, gydytų 100 parų, palyginti su 34,2 % pacientų, gydytų 200 parų; skirtumas tarp gydomųjų grupių buvo 14,3 % (3,2 %; 25,3 %).</w:t>
      </w:r>
    </w:p>
    <w:p w14:paraId="74CF97A6" w14:textId="77777777" w:rsidR="00E850F6" w:rsidRPr="00D600DA" w:rsidRDefault="00E850F6" w:rsidP="00E850F6">
      <w:pPr>
        <w:spacing w:after="0" w:line="240" w:lineRule="auto"/>
        <w:rPr>
          <w:rFonts w:ascii="Times New Roman" w:hAnsi="Times New Roman"/>
          <w:lang w:eastAsia="ja-JP"/>
        </w:rPr>
      </w:pPr>
    </w:p>
    <w:p w14:paraId="5AF9C120" w14:textId="77777777" w:rsidR="00E850F6" w:rsidRDefault="00E850F6" w:rsidP="00E850F6">
      <w:pPr>
        <w:spacing w:after="0" w:line="240" w:lineRule="auto"/>
        <w:rPr>
          <w:rFonts w:ascii="Times New Roman" w:hAnsi="Times New Roman"/>
          <w:lang w:eastAsia="ja-JP"/>
        </w:rPr>
      </w:pPr>
      <w:r w:rsidRPr="00D600DA">
        <w:rPr>
          <w:rFonts w:ascii="Times New Roman" w:hAnsi="Times New Roman"/>
          <w:lang w:eastAsia="ja-JP"/>
        </w:rPr>
        <w:t>Pacientams, po inksto persodinimo profilaktiškai vartojusiems Valcyte iki 200-osios paros po transplantacijos, buvo ryškiai mažesnė rizika susirgti CMV liga negu pacientams, CMV profilaktiką Valcyte preparatu baigė šimtąja para po transplantacijos.</w:t>
      </w:r>
    </w:p>
    <w:p w14:paraId="3A72D259" w14:textId="77777777" w:rsidR="00E850F6" w:rsidRPr="00D600DA" w:rsidRDefault="00E850F6" w:rsidP="00E850F6">
      <w:pPr>
        <w:spacing w:after="0" w:line="240" w:lineRule="auto"/>
        <w:rPr>
          <w:rFonts w:ascii="Times New Roman" w:hAnsi="Times New Roman"/>
          <w:lang w:eastAsia="ja-JP"/>
        </w:rPr>
      </w:pPr>
    </w:p>
    <w:p w14:paraId="61FC857C"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Transplantato išlikimo kaip ir biopsija patvirtinto ūminio jo atmetimo dažnis abiejose grupėse buvo panašus. Transplantato išlikimo procentas 12-ąjį mėnesį po organo persodinimo buvo </w:t>
      </w:r>
      <w:r w:rsidRPr="00D600DA">
        <w:rPr>
          <w:rFonts w:ascii="Times New Roman" w:eastAsia="PMingLiU" w:hAnsi="Times New Roman"/>
          <w:lang w:eastAsia="zh-TW"/>
        </w:rPr>
        <w:t>98,2 % (160 iš 163) skiriant profilaktiką 100 parų ir 98,1 % (152 iš 155), kai profilaktika tęsėsi 200 parų. Gauta pranešimų, kad iki 24 mėnesių po organo persodinimo įvyko keturi papildomi transplantato netekimo atvejai – visi 100 parų vaisto vartojusiųjų grupėje. Biopsija patvirtintų ūminių atmetimų dažnis 12-ąjį mėnesį po transplantacijos taikant profilaktiką 100 parų buvo 17,2 % (28 iš 163) ir 11,0 % (17 iš 155) – 200 parų. 200 parų gydytųjų grupėje iki 24 mėnesio po transplantacijos įvyko vienas papildomas transplantato netekimo atvejis.</w:t>
      </w:r>
    </w:p>
    <w:p w14:paraId="2F99C821" w14:textId="77777777" w:rsidR="00E850F6" w:rsidRPr="00D600DA" w:rsidRDefault="00E850F6" w:rsidP="00E850F6">
      <w:pPr>
        <w:spacing w:after="0" w:line="240" w:lineRule="auto"/>
        <w:rPr>
          <w:rFonts w:ascii="Times New Roman" w:hAnsi="Times New Roman"/>
          <w:lang w:eastAsia="ja-JP"/>
        </w:rPr>
      </w:pPr>
    </w:p>
    <w:p w14:paraId="399F6AE9" w14:textId="77777777" w:rsidR="00E850F6" w:rsidRPr="00D600DA" w:rsidRDefault="00E850F6" w:rsidP="00E850F6">
      <w:pPr>
        <w:spacing w:after="0" w:line="240" w:lineRule="auto"/>
        <w:rPr>
          <w:rFonts w:ascii="Times New Roman" w:hAnsi="Times New Roman"/>
          <w:u w:val="single"/>
          <w:lang w:eastAsia="ja-JP"/>
        </w:rPr>
      </w:pPr>
      <w:r w:rsidRPr="00D600DA">
        <w:rPr>
          <w:rFonts w:ascii="Times New Roman" w:hAnsi="Times New Roman"/>
          <w:u w:val="single"/>
          <w:lang w:eastAsia="ja-JP"/>
        </w:rPr>
        <w:t>Virusų atsparumas</w:t>
      </w:r>
    </w:p>
    <w:p w14:paraId="33D54D14" w14:textId="77777777" w:rsidR="00E850F6" w:rsidRPr="00D600DA" w:rsidRDefault="00E850F6" w:rsidP="00E850F6">
      <w:pPr>
        <w:spacing w:after="0" w:line="240" w:lineRule="auto"/>
        <w:rPr>
          <w:rFonts w:ascii="Times New Roman" w:hAnsi="Times New Roman"/>
          <w:lang w:eastAsia="ja-JP"/>
        </w:rPr>
      </w:pPr>
    </w:p>
    <w:p w14:paraId="18FAC957"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Ilgai vartojant valganciklovirą virusai gali pasidaryti atsparūs ganciklovirui įvykus virusų kinazės geno (UL97), lemiančio gancikloviro monofosforilinimą, mutacijų ir (arba) virusų polimerazės geno (UL54) mutacijų selekcijai. </w:t>
      </w:r>
      <w:r w:rsidRPr="00D600DA">
        <w:rPr>
          <w:rFonts w:ascii="Times New Roman" w:hAnsi="Times New Roman"/>
          <w:color w:val="222222"/>
          <w:shd w:val="clear" w:color="auto" w:fill="FFFFFF"/>
        </w:rPr>
        <w:t xml:space="preserve">Klinikinėje praktikoje gautuose viruso izoliatuose dažniausiai pastebėtos su atsparumu ganciklovirui susijusios pakaitos yra septynios kanoninės UL97 pakaitos: M460V/I, </w:t>
      </w:r>
      <w:r w:rsidRPr="00D600DA">
        <w:rPr>
          <w:rFonts w:ascii="Times New Roman" w:hAnsi="Times New Roman"/>
          <w:color w:val="222222"/>
          <w:shd w:val="clear" w:color="auto" w:fill="FFFFFF"/>
        </w:rPr>
        <w:lastRenderedPageBreak/>
        <w:t xml:space="preserve">H520Q, C592G, A594V, L595S ir C603W. </w:t>
      </w:r>
      <w:r w:rsidRPr="00D600DA">
        <w:rPr>
          <w:rFonts w:ascii="Times New Roman" w:hAnsi="Times New Roman"/>
          <w:lang w:eastAsia="ja-JP"/>
        </w:rPr>
        <w:t>Virusai, kuriuose yra UL97 geno mutacijų, būna atsparūs tik ganciklovirui, o virusai, kuriuose yra UL54 geno mutacijų, būna atsparūs ganciklovirui, tačiau gali būti kryžmiškai atsparūs ir kitiems antivirusiniams vaistams, veikiantiems virusų polimerazę.</w:t>
      </w:r>
    </w:p>
    <w:p w14:paraId="680AD69C" w14:textId="77777777" w:rsidR="00E850F6" w:rsidRPr="00D600DA" w:rsidRDefault="00E850F6" w:rsidP="00E850F6">
      <w:pPr>
        <w:spacing w:after="0" w:line="240" w:lineRule="auto"/>
        <w:rPr>
          <w:rFonts w:ascii="Times New Roman" w:hAnsi="Times New Roman"/>
          <w:lang w:eastAsia="ja-JP"/>
        </w:rPr>
      </w:pPr>
    </w:p>
    <w:p w14:paraId="02D80DDF" w14:textId="77777777" w:rsidR="00E850F6" w:rsidRPr="00D600DA" w:rsidRDefault="00E850F6" w:rsidP="00E850F6">
      <w:pPr>
        <w:keepNext/>
        <w:keepLines/>
        <w:spacing w:after="0" w:line="240" w:lineRule="auto"/>
        <w:rPr>
          <w:rFonts w:ascii="Times New Roman" w:hAnsi="Times New Roman"/>
          <w:i/>
          <w:lang w:eastAsia="ja-JP"/>
        </w:rPr>
      </w:pPr>
      <w:r w:rsidRPr="00D600DA">
        <w:rPr>
          <w:rFonts w:ascii="Times New Roman" w:hAnsi="Times New Roman"/>
          <w:i/>
          <w:lang w:eastAsia="ja-JP"/>
        </w:rPr>
        <w:t>CMV retinito gydymas</w:t>
      </w:r>
    </w:p>
    <w:p w14:paraId="3598C668"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CMV, išskirtų iš viename klinikiniame tyrime dalyvavusių CMV retinitu sergančių 148 pacientų daugiabranduolių leukocitų (PMNL), genotipo analizės duomenimis, po 3, 6, 12 ir 18 gydymo valgancikloviru mėnesių atitinkamai 2,2 %, 6,5 %, 12,8 % ir 15,3 % virusų turėjo UL97 mutacijų.</w:t>
      </w:r>
    </w:p>
    <w:p w14:paraId="41004592" w14:textId="77777777" w:rsidR="00E850F6" w:rsidRPr="00D600DA" w:rsidRDefault="00E850F6" w:rsidP="00E850F6">
      <w:pPr>
        <w:suppressAutoHyphens/>
        <w:spacing w:after="0" w:line="240" w:lineRule="auto"/>
        <w:rPr>
          <w:rFonts w:ascii="Times New Roman" w:hAnsi="Times New Roman"/>
          <w:i/>
          <w:lang w:eastAsia="ja-JP"/>
        </w:rPr>
      </w:pPr>
    </w:p>
    <w:p w14:paraId="4279CEF3" w14:textId="77777777" w:rsidR="00E850F6" w:rsidRPr="00D600DA" w:rsidRDefault="00E850F6" w:rsidP="00E850F6">
      <w:pPr>
        <w:keepNext/>
        <w:spacing w:after="0" w:line="240" w:lineRule="auto"/>
        <w:rPr>
          <w:rFonts w:ascii="Times New Roman" w:hAnsi="Times New Roman"/>
          <w:u w:val="single"/>
          <w:lang w:eastAsia="ja-JP"/>
        </w:rPr>
      </w:pPr>
      <w:r w:rsidRPr="00D600DA">
        <w:rPr>
          <w:rFonts w:ascii="Times New Roman" w:hAnsi="Times New Roman"/>
          <w:i/>
        </w:rPr>
        <w:t>CMV ligos profilaktika po transplantacijos</w:t>
      </w:r>
    </w:p>
    <w:p w14:paraId="5605231B" w14:textId="77777777" w:rsidR="00E850F6" w:rsidRPr="00D600DA" w:rsidRDefault="00E850F6" w:rsidP="00E850F6">
      <w:pPr>
        <w:keepNext/>
        <w:spacing w:after="0" w:line="240" w:lineRule="auto"/>
        <w:rPr>
          <w:rFonts w:ascii="Times New Roman" w:hAnsi="Times New Roman"/>
          <w:u w:val="single"/>
        </w:rPr>
      </w:pPr>
      <w:r w:rsidRPr="00D600DA">
        <w:rPr>
          <w:rFonts w:ascii="Times New Roman" w:hAnsi="Times New Roman"/>
          <w:u w:val="single"/>
        </w:rPr>
        <w:t>Aktyvaus palyginamojo preparato vartojimas</w:t>
      </w:r>
    </w:p>
    <w:p w14:paraId="1E20B30E" w14:textId="77777777" w:rsidR="00E850F6" w:rsidRPr="00D600DA" w:rsidRDefault="00E850F6" w:rsidP="00E850F6">
      <w:pPr>
        <w:keepNext/>
        <w:spacing w:after="0" w:line="240" w:lineRule="auto"/>
        <w:rPr>
          <w:rFonts w:ascii="Times New Roman" w:hAnsi="Times New Roman"/>
          <w:lang w:eastAsia="ja-JP"/>
        </w:rPr>
      </w:pPr>
      <w:r w:rsidRPr="00D600DA">
        <w:rPr>
          <w:rFonts w:ascii="Times New Roman" w:hAnsi="Times New Roman"/>
          <w:lang w:eastAsia="ja-JP"/>
        </w:rPr>
        <w:t>Genotipo analizės būdu tirtas daugiabranduoliuose leukocituose esančių CMV atsparumas. Vienais atvejais bandiniai rinkti šimtąją parą (profilaktikos tiriamuoju vaistu pabaigoje), kitais – įtarus CMV ligą iki 6 mėnesių po transplantacijos. Iš 245 pacientų, pagal randomizaciją vartojusių valganciklovirą, šimtąją parą tyrimui buvo surinkti 198 bandiniai; atsparumo ganciklovirui mutacijų nenustatyta. Tai nesiskiria nuo atsparumo ganciklovirui mutacijų dažnumo po profilaktikos geriamuoju gancikloviru: šioje grupėje mutacijų nustatyta dviejuose iš 103 (1,9 %) tirtų bandinių.</w:t>
      </w:r>
    </w:p>
    <w:p w14:paraId="6781D74E" w14:textId="77777777" w:rsidR="00E850F6" w:rsidRPr="00D600DA" w:rsidRDefault="00E850F6" w:rsidP="00E850F6">
      <w:pPr>
        <w:spacing w:after="0" w:line="240" w:lineRule="auto"/>
        <w:rPr>
          <w:rFonts w:ascii="Times New Roman" w:hAnsi="Times New Roman"/>
          <w:lang w:eastAsia="ja-JP"/>
        </w:rPr>
      </w:pPr>
    </w:p>
    <w:p w14:paraId="7B2DC684" w14:textId="77777777" w:rsidR="00E850F6" w:rsidRPr="00D600DA" w:rsidRDefault="00E850F6" w:rsidP="00E850F6">
      <w:pPr>
        <w:spacing w:after="0" w:line="240" w:lineRule="auto"/>
        <w:rPr>
          <w:rFonts w:ascii="Times New Roman" w:hAnsi="Times New Roman"/>
          <w:b/>
          <w:i/>
          <w:lang w:eastAsia="ja-JP"/>
        </w:rPr>
      </w:pPr>
      <w:r w:rsidRPr="00D600DA">
        <w:rPr>
          <w:rFonts w:ascii="Times New Roman" w:hAnsi="Times New Roman"/>
          <w:lang w:eastAsia="ja-JP"/>
        </w:rPr>
        <w:t>Iš 245 pacientų, pagal randomizaciją vartojusių valganciklovirą, ištirti 50 pacientų bandiniai įtarus CMV ligą; atsparumo mutacijų nenustatyta. Iš 127 pacientų, pagal randomizaciją vartojusių ganciklovirą, ištirti 29 pacientų bandiniai įtarus CMV ligą; dviejuose bandiniuose nustatyta mutacijų, taigi atsparumo dažnumas – 6,9 %.</w:t>
      </w:r>
    </w:p>
    <w:p w14:paraId="2625A779" w14:textId="77777777" w:rsidR="00E850F6" w:rsidRPr="00D600DA" w:rsidRDefault="00E850F6" w:rsidP="00E850F6">
      <w:pPr>
        <w:spacing w:after="0" w:line="240" w:lineRule="auto"/>
        <w:rPr>
          <w:rFonts w:ascii="Times New Roman" w:hAnsi="Times New Roman"/>
          <w:lang w:eastAsia="ja-JP"/>
        </w:rPr>
      </w:pPr>
    </w:p>
    <w:p w14:paraId="0D9687A1" w14:textId="77777777" w:rsidR="00E850F6" w:rsidRPr="00D600DA" w:rsidRDefault="00E850F6" w:rsidP="00E850F6">
      <w:pPr>
        <w:spacing w:after="0" w:line="240" w:lineRule="auto"/>
        <w:rPr>
          <w:rFonts w:ascii="Times New Roman" w:hAnsi="Times New Roman"/>
          <w:u w:val="single"/>
        </w:rPr>
      </w:pPr>
      <w:r w:rsidRPr="00D600DA">
        <w:rPr>
          <w:rFonts w:ascii="Times New Roman" w:hAnsi="Times New Roman"/>
          <w:u w:val="single"/>
        </w:rPr>
        <w:t>Pratęstos profilaktikos nuo 100 iki 200 dienų po transplantacijos tyrimas</w:t>
      </w:r>
    </w:p>
    <w:p w14:paraId="62DDE794" w14:textId="77777777" w:rsidR="00E850F6" w:rsidRPr="00D600DA" w:rsidRDefault="00E850F6" w:rsidP="00E850F6">
      <w:pPr>
        <w:spacing w:after="0" w:line="240" w:lineRule="auto"/>
        <w:rPr>
          <w:rFonts w:ascii="Times New Roman" w:hAnsi="Times New Roman"/>
          <w:iCs/>
          <w:lang w:eastAsia="ja-JP"/>
        </w:rPr>
      </w:pPr>
      <w:r w:rsidRPr="00D600DA">
        <w:rPr>
          <w:rFonts w:ascii="Times New Roman" w:hAnsi="Times New Roman"/>
          <w:lang w:eastAsia="ja-JP"/>
        </w:rPr>
        <w:t>Buvo atlikta genotipinė analizė, naudojant UL54 ir UL97 genus, išskirtus iš virusų, ekstrahuotų iš 72 pacientų, kurie atitiko atsparumo analizių kriterijus: tai pacientai, kurie turėjo teigiamą viremiją (</w:t>
      </w:r>
      <w:r w:rsidRPr="00D600DA">
        <w:rPr>
          <w:rFonts w:ascii="Times New Roman" w:hAnsi="Times New Roman"/>
          <w:iCs/>
          <w:lang w:eastAsia="ja-JP"/>
        </w:rPr>
        <w:t>&gt;600 kopijų/ml) baigus profilaktiką ir (arba) pacientai, kuriems patvirtinta CMV liga iki 12 mėnesio (52 savaičių) po transplantacijos. Trys pacientai turėjo žinomą atsparumo ganciklovirui mutaciją.</w:t>
      </w:r>
    </w:p>
    <w:p w14:paraId="760A0C87" w14:textId="77777777" w:rsidR="00E850F6" w:rsidRPr="00D600DA" w:rsidRDefault="00E850F6" w:rsidP="00E850F6">
      <w:pPr>
        <w:spacing w:after="0" w:line="240" w:lineRule="auto"/>
        <w:rPr>
          <w:rFonts w:ascii="Times New Roman" w:hAnsi="Times New Roman"/>
          <w:iCs/>
          <w:lang w:eastAsia="ja-JP"/>
        </w:rPr>
      </w:pPr>
    </w:p>
    <w:p w14:paraId="7A8F893B" w14:textId="77777777" w:rsidR="00E850F6" w:rsidRPr="00D600DA" w:rsidRDefault="00E850F6" w:rsidP="00E850F6">
      <w:pPr>
        <w:spacing w:after="0" w:line="240" w:lineRule="auto"/>
        <w:rPr>
          <w:rFonts w:ascii="Times New Roman" w:hAnsi="Times New Roman"/>
          <w:u w:val="single"/>
        </w:rPr>
      </w:pPr>
      <w:r w:rsidRPr="00D600DA">
        <w:rPr>
          <w:rFonts w:ascii="Times New Roman" w:hAnsi="Times New Roman"/>
          <w:u w:val="single"/>
        </w:rPr>
        <w:t>Vaikų populiacija</w:t>
      </w:r>
    </w:p>
    <w:p w14:paraId="6F9095BD" w14:textId="77777777" w:rsidR="00E850F6" w:rsidRPr="00D600DA" w:rsidRDefault="00E850F6" w:rsidP="00E850F6">
      <w:pPr>
        <w:spacing w:after="0" w:line="240" w:lineRule="auto"/>
        <w:rPr>
          <w:rFonts w:ascii="Times New Roman" w:eastAsia="Times New Roman" w:hAnsi="Times New Roman"/>
          <w:i/>
          <w:lang w:eastAsia="ja-JP"/>
        </w:rPr>
      </w:pPr>
    </w:p>
    <w:p w14:paraId="18CD76DD" w14:textId="77777777" w:rsidR="00E850F6" w:rsidRPr="00D600DA" w:rsidRDefault="00E850F6" w:rsidP="00E850F6">
      <w:pPr>
        <w:spacing w:after="0" w:line="240" w:lineRule="auto"/>
        <w:rPr>
          <w:rFonts w:ascii="Times New Roman" w:eastAsia="Times New Roman" w:hAnsi="Times New Roman"/>
          <w:i/>
          <w:lang w:eastAsia="ja-JP"/>
        </w:rPr>
      </w:pPr>
      <w:r w:rsidRPr="00D600DA">
        <w:rPr>
          <w:rFonts w:ascii="Times New Roman" w:eastAsia="Times New Roman" w:hAnsi="Times New Roman"/>
          <w:i/>
          <w:lang w:eastAsia="ja-JP"/>
        </w:rPr>
        <w:t>CMV sukelto retinito gydymas</w:t>
      </w:r>
    </w:p>
    <w:p w14:paraId="1D55B1DD" w14:textId="77777777" w:rsidR="00E850F6" w:rsidRPr="00D600DA" w:rsidRDefault="00E850F6" w:rsidP="00E850F6">
      <w:pPr>
        <w:spacing w:after="0" w:line="240" w:lineRule="auto"/>
        <w:rPr>
          <w:rFonts w:ascii="Times New Roman" w:eastAsia="Times New Roman" w:hAnsi="Times New Roman"/>
          <w:iCs/>
          <w:lang w:eastAsia="ja-JP"/>
        </w:rPr>
      </w:pPr>
      <w:r w:rsidRPr="00D600DA">
        <w:rPr>
          <w:rFonts w:ascii="Times New Roman" w:eastAsia="Times New Roman" w:hAnsi="Times New Roman"/>
          <w:iCs/>
          <w:lang w:eastAsia="ja-JP"/>
        </w:rPr>
        <w:t>Europos vaistų agentūra atleido nuo įpareigojimo pateikti Valcyte tyrimų su visais vaikų populiacijos pogrupiais duomenis apie CMV infekcijos gydymą pacientams, kurių imuninė sistema yra susilpnėjusi (vartojimo vaikams informacija pateikiama 4.2 skyriuje).</w:t>
      </w:r>
    </w:p>
    <w:p w14:paraId="7B9519E3" w14:textId="77777777" w:rsidR="00E850F6" w:rsidRPr="00D600DA" w:rsidRDefault="00E850F6" w:rsidP="00E850F6">
      <w:pPr>
        <w:spacing w:after="0" w:line="240" w:lineRule="auto"/>
        <w:rPr>
          <w:rFonts w:ascii="Times New Roman" w:eastAsia="Times New Roman" w:hAnsi="Times New Roman"/>
          <w:iCs/>
          <w:lang w:eastAsia="ja-JP"/>
        </w:rPr>
      </w:pPr>
    </w:p>
    <w:p w14:paraId="220F18EC" w14:textId="77777777" w:rsidR="00E850F6" w:rsidRPr="00D600DA" w:rsidRDefault="00E850F6" w:rsidP="00E850F6">
      <w:pPr>
        <w:spacing w:after="0" w:line="240" w:lineRule="auto"/>
        <w:rPr>
          <w:rFonts w:ascii="Times New Roman" w:eastAsia="Times New Roman" w:hAnsi="Times New Roman"/>
          <w:i/>
          <w:lang w:eastAsia="ja-JP"/>
        </w:rPr>
      </w:pPr>
      <w:r w:rsidRPr="00D600DA">
        <w:rPr>
          <w:rFonts w:ascii="Times New Roman" w:eastAsia="Times New Roman" w:hAnsi="Times New Roman"/>
          <w:i/>
          <w:lang w:eastAsia="ja-JP"/>
        </w:rPr>
        <w:t>CMV sukeltos ligos profilaktika po transplantacijos</w:t>
      </w:r>
    </w:p>
    <w:p w14:paraId="383BC829" w14:textId="77777777" w:rsidR="00E850F6" w:rsidRPr="00D600DA" w:rsidRDefault="00E850F6" w:rsidP="00E850F6">
      <w:pPr>
        <w:spacing w:after="0" w:line="240" w:lineRule="auto"/>
        <w:rPr>
          <w:rFonts w:ascii="Times New Roman" w:hAnsi="Times New Roman"/>
          <w:iCs/>
          <w:lang w:eastAsia="ja-JP"/>
        </w:rPr>
      </w:pPr>
      <w:r w:rsidRPr="00D600DA">
        <w:rPr>
          <w:rFonts w:ascii="Times New Roman" w:hAnsi="Times New Roman"/>
          <w:iCs/>
          <w:lang w:eastAsia="ja-JP"/>
        </w:rPr>
        <w:t xml:space="preserve">II fazės farmakokinetikos ir saugumo klinikiniame tyrime, kuriame dalyvavusiems vaikams (nuo 4 mėnesių iki 16 metų amžiaus, n = 63) su persodintu solidiniu organu vartojant valganciklovirą vieną kartą per parą iki 100 parų pagal dozavimo vaikams algoritmą </w:t>
      </w:r>
      <w:r w:rsidRPr="00D600DA">
        <w:rPr>
          <w:rFonts w:ascii="Times New Roman" w:eastAsia="Times New Roman" w:hAnsi="Times New Roman"/>
          <w:iCs/>
          <w:lang w:eastAsia="ja-JP"/>
        </w:rPr>
        <w:t>(žr. 4.2 skyrių)</w:t>
      </w:r>
      <w:r w:rsidRPr="00D600DA">
        <w:rPr>
          <w:rFonts w:ascii="Times New Roman" w:hAnsi="Times New Roman"/>
          <w:iCs/>
          <w:lang w:eastAsia="ja-JP"/>
        </w:rPr>
        <w:t xml:space="preserve">, susidarė panaši ekspozicija, kaip ir suaugusiųjų organizme (žr. 5.2 skyrių). Stebėsena po gydymo truko 12 savaičių. CMV D/R serologinė būklė prieš pradedant tyrimą buvo: 40 % atvejų D+/R-, 38 % - D+/R+, 19 % - D-/R+ ir 3 % - D-/R-. CMV virusas buvo nustatytas 7 pacientams. Stebėtos nepageidaujamos reakcijos į vaistą buvo panašios kilmės, kaip ir suaugusiems pacientams (žr. 4.8 skyrių). </w:t>
      </w:r>
    </w:p>
    <w:p w14:paraId="687AB019" w14:textId="77777777" w:rsidR="00E850F6" w:rsidRPr="00D600DA" w:rsidRDefault="00E850F6" w:rsidP="00E850F6">
      <w:pPr>
        <w:spacing w:after="0" w:line="240" w:lineRule="auto"/>
        <w:rPr>
          <w:rFonts w:ascii="Times New Roman" w:hAnsi="Times New Roman"/>
          <w:iCs/>
          <w:lang w:eastAsia="ja-JP"/>
        </w:rPr>
      </w:pPr>
    </w:p>
    <w:p w14:paraId="45C29BCE" w14:textId="77777777" w:rsidR="00E850F6" w:rsidRPr="00D600DA" w:rsidRDefault="00E850F6" w:rsidP="00E850F6">
      <w:pPr>
        <w:spacing w:after="0" w:line="240" w:lineRule="auto"/>
        <w:rPr>
          <w:rFonts w:ascii="Times New Roman" w:eastAsia="Times New Roman" w:hAnsi="Times New Roman"/>
          <w:iCs/>
          <w:lang w:eastAsia="ja-JP"/>
        </w:rPr>
      </w:pPr>
      <w:r w:rsidRPr="00D600DA">
        <w:rPr>
          <w:rFonts w:ascii="Times New Roman" w:eastAsia="Times New Roman" w:hAnsi="Times New Roman"/>
          <w:iCs/>
          <w:lang w:eastAsia="ja-JP"/>
        </w:rPr>
        <w:t>IV fazės toleravimo klinikinio tyrimo su persodintą inkstą turinčiais vaikais (nuo 1 iki 16 metų amžiaus, n = 57), vartojusiais valgancikloviro vieną kartą per parą dozę ne ilgiau kaip 200 dienų pagal dozavimo algoritmą (žr. 4.2 skyrių), metu CMV infekcijos dažnis buvo mažas. Stebėsena po gydymo truko 24 savaites. CMV D/R serologinė būklė prieš pradedant tyrimą buvo tokia: D+ / R+ - 45 %, D+ / R- - 39 %, D- / R+ - 7 %, D- / R- - 7 %, o ND / R+ - 2 % visų atvejų. CMV viremija buvo nustatyta 3 pacientams, o vienam pacientui CMV sindromas buvo įtartas, tačiau nepatvirtintas CMV PGR centrinėje laboratorijoje. Pastebėtos nepageidaujamos reakcijos buvo panašios prigimties, kaip ir suaugusiems pacientams (žr. 4.8 skyrių).</w:t>
      </w:r>
    </w:p>
    <w:p w14:paraId="55DFF6D1" w14:textId="77777777" w:rsidR="00E850F6" w:rsidRPr="00D600DA" w:rsidRDefault="00E850F6" w:rsidP="00E850F6">
      <w:pPr>
        <w:spacing w:after="0" w:line="240" w:lineRule="auto"/>
        <w:rPr>
          <w:rFonts w:ascii="Times New Roman" w:eastAsia="Times New Roman" w:hAnsi="Times New Roman"/>
          <w:iCs/>
          <w:lang w:eastAsia="ja-JP"/>
        </w:rPr>
      </w:pPr>
    </w:p>
    <w:p w14:paraId="0C0C869F" w14:textId="77777777" w:rsidR="00E850F6" w:rsidRPr="00D600DA" w:rsidRDefault="00E850F6" w:rsidP="00E850F6">
      <w:pPr>
        <w:spacing w:after="0" w:line="240" w:lineRule="auto"/>
        <w:rPr>
          <w:rFonts w:ascii="Times New Roman" w:eastAsia="Times New Roman" w:hAnsi="Times New Roman"/>
          <w:iCs/>
          <w:lang w:eastAsia="ja-JP"/>
        </w:rPr>
      </w:pPr>
      <w:r w:rsidRPr="00D600DA">
        <w:rPr>
          <w:rFonts w:ascii="Times New Roman" w:eastAsia="Times New Roman" w:hAnsi="Times New Roman"/>
          <w:iCs/>
          <w:lang w:eastAsia="ja-JP"/>
        </w:rPr>
        <w:t>Šie duomenys pagrindžia veiksmingumo suaugusiesiems duomenų ekstrapoliaciją vaikams ir pateikia rekomendacijas dėl dozavimo vaikams.</w:t>
      </w:r>
    </w:p>
    <w:p w14:paraId="57953B4E" w14:textId="77777777" w:rsidR="00E850F6" w:rsidRPr="00D600DA" w:rsidRDefault="00E850F6" w:rsidP="00E850F6">
      <w:pPr>
        <w:spacing w:after="0" w:line="240" w:lineRule="auto"/>
        <w:rPr>
          <w:rFonts w:ascii="Times New Roman" w:eastAsia="Times New Roman" w:hAnsi="Times New Roman"/>
          <w:iCs/>
          <w:lang w:eastAsia="ja-JP"/>
        </w:rPr>
      </w:pPr>
    </w:p>
    <w:p w14:paraId="13110C5C" w14:textId="77777777" w:rsidR="00E850F6" w:rsidRPr="00D600DA" w:rsidRDefault="00E850F6" w:rsidP="00E850F6">
      <w:pPr>
        <w:spacing w:after="0" w:line="240" w:lineRule="auto"/>
        <w:rPr>
          <w:rFonts w:ascii="Times New Roman" w:eastAsia="Times New Roman" w:hAnsi="Times New Roman"/>
          <w:iCs/>
          <w:lang w:eastAsia="ja-JP"/>
        </w:rPr>
      </w:pPr>
      <w:r w:rsidRPr="00D600DA">
        <w:rPr>
          <w:rFonts w:ascii="Times New Roman" w:eastAsia="Times New Roman" w:hAnsi="Times New Roman"/>
          <w:iCs/>
          <w:lang w:eastAsia="ja-JP"/>
        </w:rPr>
        <w:lastRenderedPageBreak/>
        <w:t>I fazės farmakokinetikos ir saugumo klinikiniame tyrime dalyvavusių pacientų (nuo 3 savaičių iki 125 parų amžiaus, n = 14), turinčių persodintą širdį, kurie 2 dienas iš eilės gavo vienkartinę valgancikloviro paros dozę pagal dozavimo vaikams algoritmą (žr. 4.2 skyrių), organizme susidarė panaši ekspozicija, kaip ir suaugusių pacientų organizme (žr. 5.2 skyrių). Saugumo pobūdis atitiko kitų klinikinių tyrimų su vaikais ir suaugusiaisiais metu nustatytą saugumo pobūdį, nors pacientų skaičius ir ekspozicija valgancikloviru šio klinikinio tyrimo metu buvo riboti.</w:t>
      </w:r>
    </w:p>
    <w:p w14:paraId="1013E3EA" w14:textId="77777777" w:rsidR="00E850F6" w:rsidRPr="00D600DA" w:rsidRDefault="00E850F6" w:rsidP="00E850F6">
      <w:pPr>
        <w:spacing w:after="0" w:line="240" w:lineRule="auto"/>
        <w:rPr>
          <w:rFonts w:ascii="Times New Roman" w:eastAsia="Times New Roman" w:hAnsi="Times New Roman"/>
          <w:iCs/>
          <w:lang w:eastAsia="ja-JP"/>
        </w:rPr>
      </w:pPr>
    </w:p>
    <w:p w14:paraId="661B4E37" w14:textId="77777777" w:rsidR="00E850F6" w:rsidRPr="00D600DA" w:rsidRDefault="00E850F6" w:rsidP="00E850F6">
      <w:pPr>
        <w:keepNext/>
        <w:spacing w:after="0" w:line="240" w:lineRule="auto"/>
        <w:rPr>
          <w:rFonts w:ascii="Times New Roman" w:eastAsia="Times New Roman" w:hAnsi="Times New Roman"/>
          <w:i/>
          <w:iCs/>
          <w:lang w:eastAsia="ja-JP"/>
        </w:rPr>
      </w:pPr>
      <w:r w:rsidRPr="00D600DA">
        <w:rPr>
          <w:rFonts w:ascii="Times New Roman" w:eastAsia="Times New Roman" w:hAnsi="Times New Roman"/>
          <w:i/>
          <w:iCs/>
          <w:lang w:eastAsia="ja-JP"/>
        </w:rPr>
        <w:t>Įgimta CMV infekcija</w:t>
      </w:r>
    </w:p>
    <w:p w14:paraId="40947563" w14:textId="77777777" w:rsidR="00E850F6" w:rsidRPr="00D600DA" w:rsidRDefault="00E850F6" w:rsidP="00E850F6">
      <w:pPr>
        <w:keepNext/>
        <w:spacing w:after="0" w:line="240" w:lineRule="auto"/>
        <w:rPr>
          <w:rFonts w:ascii="Times New Roman" w:eastAsia="Times New Roman" w:hAnsi="Times New Roman"/>
          <w:iCs/>
          <w:lang w:eastAsia="ja-JP"/>
        </w:rPr>
      </w:pPr>
      <w:r w:rsidRPr="00D600DA">
        <w:rPr>
          <w:rFonts w:ascii="Times New Roman" w:eastAsia="Times New Roman" w:hAnsi="Times New Roman"/>
          <w:iCs/>
          <w:lang w:eastAsia="ja-JP"/>
        </w:rPr>
        <w:t>Gancikloviro ir (arba) valgancikloviro veiksmingumas ir saugumas buvo tirtas dviejų klinikinių tyrimų su naujagimiais ir kūdikiais, sirgusiais įgimta simptomine CMV infekcija, metu.</w:t>
      </w:r>
    </w:p>
    <w:p w14:paraId="1A6835E7" w14:textId="77777777" w:rsidR="00E850F6" w:rsidRPr="00D600DA" w:rsidRDefault="00E850F6" w:rsidP="00E850F6">
      <w:pPr>
        <w:spacing w:after="0" w:line="240" w:lineRule="auto"/>
        <w:rPr>
          <w:rFonts w:ascii="Times New Roman" w:hAnsi="Times New Roman"/>
          <w:iCs/>
          <w:lang w:eastAsia="ja-JP"/>
        </w:rPr>
      </w:pPr>
    </w:p>
    <w:p w14:paraId="2AE897B7" w14:textId="77777777" w:rsidR="00E850F6" w:rsidRPr="00D600DA" w:rsidRDefault="00E850F6" w:rsidP="00E850F6">
      <w:pPr>
        <w:spacing w:after="0" w:line="240" w:lineRule="auto"/>
        <w:rPr>
          <w:rFonts w:ascii="Times New Roman" w:eastAsia="Times New Roman" w:hAnsi="Times New Roman"/>
          <w:iCs/>
          <w:lang w:eastAsia="ja-JP"/>
        </w:rPr>
      </w:pPr>
      <w:r w:rsidRPr="00D600DA">
        <w:rPr>
          <w:rFonts w:ascii="Times New Roman" w:eastAsia="Times New Roman" w:hAnsi="Times New Roman"/>
          <w:iCs/>
          <w:lang w:eastAsia="ja-JP"/>
        </w:rPr>
        <w:t xml:space="preserve">Pirmojo tyrimo metu </w:t>
      </w:r>
      <w:r w:rsidRPr="00D600DA">
        <w:rPr>
          <w:rFonts w:ascii="Times New Roman" w:hAnsi="Times New Roman"/>
          <w:iCs/>
          <w:lang w:eastAsia="ja-JP"/>
        </w:rPr>
        <w:t xml:space="preserve">vienkartinės valgancikloviro dozės (14-16-20 mg/kg dozių) farmakokinetika ir saugumas buvo tirtas su 24 naujagimiais (nuo 8 iki 34 parų amžiaus), sirgusiais simptomine įgimta CMV liga (žr. 5.2 skyrių). Antivirusinis gydymas naujagimiams buvo taikytas 6 savaites, o 19 iš 24 pacientų 4 savaites buvo taikytas gydymas geriamuoju valgancikloviru, o likusias 2 savaites jie buvo gydyti gancikloviru į veną. Kitiems 5 pacientams beveik visą tyrimo laiką buvo taikytas gydymas gancikloviru į veną. </w:t>
      </w:r>
      <w:r w:rsidRPr="00D600DA">
        <w:rPr>
          <w:rFonts w:ascii="Times New Roman" w:eastAsia="Times New Roman" w:hAnsi="Times New Roman"/>
          <w:iCs/>
          <w:lang w:eastAsia="ja-JP"/>
        </w:rPr>
        <w:t>Antrojo tyrimo metu buvo palygintas šešių savaičių trukmės gydymo valgancikloviru veiksmingumas ir saugumas su gydymu šešis mėnesius naujagimiams ir kūdikiams nuo 2 iki 30 parų amžiaus, sirgusiems įgimta simptomine CMV liga. Visi kūdikiai 6 savaites vartojo geriamojo valgancikloviro 16 mg/kg dozes du kartus per parą. Norint užbaigti 6 mėnesių trukmės gydymo kursą, po 6 gydymo savaičių šiems kūdikiams atsitiktine tvarka santykiu 1:1 buvo paskirta arba tęsti gydymą tokia pačia valganicikloviro doze, arba vartoti priderintą placebą.</w:t>
      </w:r>
    </w:p>
    <w:p w14:paraId="3811152F" w14:textId="77777777" w:rsidR="00E850F6" w:rsidRPr="00D600DA" w:rsidRDefault="00E850F6" w:rsidP="00E850F6">
      <w:pPr>
        <w:spacing w:after="0" w:line="240" w:lineRule="auto"/>
        <w:rPr>
          <w:rFonts w:ascii="Times New Roman" w:hAnsi="Times New Roman"/>
          <w:iCs/>
          <w:lang w:eastAsia="ja-JP"/>
        </w:rPr>
      </w:pPr>
    </w:p>
    <w:p w14:paraId="02666D6A" w14:textId="77777777" w:rsidR="00E850F6" w:rsidRPr="00D600DA" w:rsidRDefault="00E850F6" w:rsidP="00E850F6">
      <w:pPr>
        <w:spacing w:after="0" w:line="240" w:lineRule="auto"/>
        <w:rPr>
          <w:rFonts w:ascii="Times New Roman" w:hAnsi="Times New Roman"/>
          <w:iCs/>
          <w:lang w:eastAsia="ja-JP"/>
        </w:rPr>
      </w:pPr>
      <w:r w:rsidRPr="00D600DA">
        <w:rPr>
          <w:rFonts w:ascii="Times New Roman" w:hAnsi="Times New Roman"/>
          <w:iCs/>
          <w:lang w:eastAsia="ja-JP"/>
        </w:rPr>
        <w:t>Pagal tirtąją indikaciją šiuo metu skirti valganciklovirą nerekomenduojama. Išvadų apie valgancikloviro saugumą ir veiksmingumą padarymui minėtų tyrimų sandara ir gauti rezultatai buvo pernelyg riboti.</w:t>
      </w:r>
    </w:p>
    <w:p w14:paraId="2E803DF8" w14:textId="77777777" w:rsidR="00E850F6" w:rsidRPr="00D600DA" w:rsidRDefault="00E850F6" w:rsidP="00E850F6">
      <w:pPr>
        <w:spacing w:after="0" w:line="240" w:lineRule="auto"/>
        <w:rPr>
          <w:rFonts w:ascii="Times New Roman" w:hAnsi="Times New Roman"/>
          <w:lang w:eastAsia="ja-JP"/>
        </w:rPr>
      </w:pPr>
    </w:p>
    <w:p w14:paraId="08D6315C" w14:textId="77777777" w:rsidR="00E850F6" w:rsidRPr="00D600DA" w:rsidRDefault="00E850F6" w:rsidP="00E850F6">
      <w:pPr>
        <w:spacing w:after="0" w:line="240" w:lineRule="auto"/>
        <w:ind w:left="567" w:hanging="567"/>
        <w:outlineLvl w:val="1"/>
        <w:rPr>
          <w:rFonts w:ascii="Times New Roman" w:hAnsi="Times New Roman"/>
          <w:b/>
          <w:kern w:val="28"/>
          <w:lang w:eastAsia="ja-JP"/>
        </w:rPr>
      </w:pPr>
      <w:r w:rsidRPr="00D600DA">
        <w:rPr>
          <w:rFonts w:ascii="Times New Roman" w:hAnsi="Times New Roman"/>
          <w:b/>
          <w:kern w:val="28"/>
          <w:lang w:eastAsia="ja-JP"/>
        </w:rPr>
        <w:t>5.2</w:t>
      </w:r>
      <w:r w:rsidRPr="00D600DA">
        <w:rPr>
          <w:rFonts w:ascii="Times New Roman" w:hAnsi="Times New Roman"/>
          <w:b/>
          <w:kern w:val="28"/>
          <w:lang w:eastAsia="ja-JP"/>
        </w:rPr>
        <w:tab/>
        <w:t>Farmakokinetinės savybės</w:t>
      </w:r>
    </w:p>
    <w:p w14:paraId="1C304DDF" w14:textId="77777777" w:rsidR="00E850F6" w:rsidRPr="00D600DA" w:rsidRDefault="00E850F6" w:rsidP="00E850F6">
      <w:pPr>
        <w:spacing w:after="0" w:line="240" w:lineRule="auto"/>
        <w:rPr>
          <w:rFonts w:ascii="Times New Roman" w:hAnsi="Times New Roman"/>
          <w:lang w:eastAsia="ja-JP"/>
        </w:rPr>
      </w:pPr>
    </w:p>
    <w:p w14:paraId="04282760"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Farmakokinetinės valgancikloviro savybės nustatytos tiriant pacientus, kuriems buvo teigiamos ŽIV ir CMV serologinės reakcijos, AIDS ir CMV retinitu sergančius pacientus, taip pat pacientus, kuriems persodinti parenchiminiai organai.</w:t>
      </w:r>
    </w:p>
    <w:p w14:paraId="137B4CAB" w14:textId="77777777" w:rsidR="00E850F6" w:rsidRDefault="00E850F6" w:rsidP="00E850F6">
      <w:pPr>
        <w:spacing w:after="0" w:line="240" w:lineRule="auto"/>
        <w:rPr>
          <w:rFonts w:ascii="Times New Roman" w:eastAsia="Times New Roman" w:hAnsi="Times New Roman"/>
          <w:lang w:eastAsia="ja-JP"/>
        </w:rPr>
      </w:pPr>
    </w:p>
    <w:p w14:paraId="7C38F7D6" w14:textId="77777777" w:rsidR="00E850F6" w:rsidRDefault="00E850F6" w:rsidP="00E850F6">
      <w:pPr>
        <w:spacing w:after="0" w:line="240" w:lineRule="auto"/>
        <w:rPr>
          <w:rFonts w:ascii="Times New Roman" w:eastAsia="Times New Roman" w:hAnsi="Times New Roman"/>
          <w:lang w:eastAsia="ja-JP"/>
        </w:rPr>
      </w:pPr>
      <w:r w:rsidRPr="00F36DBF">
        <w:rPr>
          <w:rFonts w:ascii="Times New Roman" w:eastAsia="Times New Roman" w:hAnsi="Times New Roman"/>
          <w:lang w:eastAsia="ja-JP"/>
        </w:rPr>
        <w:t>Gancikloviro AUC buvo proporcinga valgancikloviro dozei (nuo 450 iki 2625 mg) tik jei vaistas vartojamas su maistu.</w:t>
      </w:r>
    </w:p>
    <w:p w14:paraId="3088C407" w14:textId="77777777" w:rsidR="00E850F6" w:rsidRPr="00D600DA" w:rsidRDefault="00E850F6" w:rsidP="00E850F6">
      <w:pPr>
        <w:spacing w:after="0" w:line="240" w:lineRule="auto"/>
        <w:rPr>
          <w:rFonts w:ascii="Times New Roman" w:hAnsi="Times New Roman"/>
          <w:lang w:eastAsia="ja-JP"/>
        </w:rPr>
      </w:pPr>
    </w:p>
    <w:p w14:paraId="09D520FB" w14:textId="77777777" w:rsidR="00E850F6" w:rsidRPr="00D600DA" w:rsidRDefault="00E850F6" w:rsidP="00E850F6">
      <w:pPr>
        <w:spacing w:after="0" w:line="240" w:lineRule="auto"/>
        <w:rPr>
          <w:rFonts w:ascii="Times New Roman" w:hAnsi="Times New Roman"/>
          <w:u w:val="single"/>
          <w:lang w:eastAsia="ja-JP"/>
        </w:rPr>
      </w:pPr>
      <w:r w:rsidRPr="00D600DA">
        <w:rPr>
          <w:rFonts w:ascii="Times New Roman" w:hAnsi="Times New Roman"/>
          <w:u w:val="single"/>
          <w:lang w:eastAsia="ja-JP"/>
        </w:rPr>
        <w:t>Absorbcija</w:t>
      </w:r>
    </w:p>
    <w:p w14:paraId="505EE7E4" w14:textId="77777777" w:rsidR="00E850F6" w:rsidRPr="00D600DA" w:rsidRDefault="00E850F6" w:rsidP="00E850F6">
      <w:pPr>
        <w:spacing w:after="0" w:line="240" w:lineRule="auto"/>
        <w:rPr>
          <w:rFonts w:ascii="Times New Roman" w:hAnsi="Times New Roman"/>
          <w:lang w:eastAsia="ja-JP"/>
        </w:rPr>
      </w:pPr>
    </w:p>
    <w:p w14:paraId="63F30432"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Valgancikloviras yra gancikloviro pirmtakas. Jis gerai absorbuojasi iš virškinimo trakto ir žarnų sienelėse bei kepenyse greitai ir gausiai metabolizuojamas į ganciklovirą. Į organizmą valgancikloviro patenka nedaug ir trumpam laikui. Gancikloviro biologinis pasisavinimas iš geriamojo valgancikloviro pagal visų pacientų grupių tyrimo rezultatus yra apie 60 %; organizmo ekspozicija ganciklovirui būna panaši kaip ir jo suleidus į veną (žr. toliau).</w:t>
      </w:r>
    </w:p>
    <w:p w14:paraId="7CF4E15B" w14:textId="77777777" w:rsidR="00E850F6" w:rsidRPr="00D600DA" w:rsidRDefault="00E850F6" w:rsidP="00E850F6">
      <w:pPr>
        <w:spacing w:after="0" w:line="240" w:lineRule="auto"/>
        <w:rPr>
          <w:rFonts w:ascii="Times New Roman" w:hAnsi="Times New Roman"/>
          <w:lang w:eastAsia="ja-JP"/>
        </w:rPr>
      </w:pPr>
    </w:p>
    <w:p w14:paraId="59764F2D" w14:textId="77777777" w:rsidR="00E850F6" w:rsidRPr="00D600DA" w:rsidRDefault="00E850F6" w:rsidP="00E850F6">
      <w:pPr>
        <w:keepNext/>
        <w:spacing w:after="0" w:line="240" w:lineRule="auto"/>
        <w:rPr>
          <w:rFonts w:ascii="Times New Roman" w:hAnsi="Times New Roman"/>
          <w:i/>
          <w:lang w:eastAsia="ja-JP"/>
        </w:rPr>
      </w:pPr>
      <w:r w:rsidRPr="00D600DA">
        <w:rPr>
          <w:rFonts w:ascii="Times New Roman" w:hAnsi="Times New Roman"/>
          <w:i/>
          <w:lang w:eastAsia="ja-JP"/>
        </w:rPr>
        <w:t>Valgancikloviras ŽIV+ ir CMV+ pacientų organizme</w:t>
      </w:r>
    </w:p>
    <w:p w14:paraId="2AC85993"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Bendroji ŽIV+ ir CMV+ pacientų organizmo ekspozicija ganciklovirui ir valganciklovirui po vienos savaitės gydymo (dukart per parą):</w:t>
      </w:r>
    </w:p>
    <w:p w14:paraId="63212947" w14:textId="77777777" w:rsidR="00E850F6" w:rsidRPr="00D600DA" w:rsidRDefault="00E850F6" w:rsidP="00E850F6">
      <w:pPr>
        <w:spacing w:after="0" w:line="240" w:lineRule="auto"/>
        <w:rPr>
          <w:rFonts w:ascii="Times New Roman" w:hAnsi="Times New Roman"/>
          <w:lang w:eastAsia="ja-JP"/>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2"/>
        <w:gridCol w:w="2015"/>
        <w:gridCol w:w="2163"/>
        <w:gridCol w:w="2044"/>
      </w:tblGrid>
      <w:tr w:rsidR="00E850F6" w:rsidRPr="00B71670" w14:paraId="3278E665" w14:textId="77777777" w:rsidTr="00636DA1">
        <w:trPr>
          <w:cantSplit/>
        </w:trPr>
        <w:tc>
          <w:tcPr>
            <w:tcW w:w="1579" w:type="pct"/>
            <w:vMerge w:val="restart"/>
            <w:vAlign w:val="center"/>
          </w:tcPr>
          <w:p w14:paraId="0A397092" w14:textId="77777777" w:rsidR="00E850F6" w:rsidRPr="00D600DA" w:rsidRDefault="00E850F6" w:rsidP="00636DA1">
            <w:pPr>
              <w:spacing w:before="80" w:after="0" w:line="240" w:lineRule="auto"/>
              <w:jc w:val="center"/>
              <w:rPr>
                <w:rFonts w:ascii="Times New Roman" w:hAnsi="Times New Roman"/>
                <w:lang w:eastAsia="ja-JP"/>
              </w:rPr>
            </w:pPr>
            <w:r w:rsidRPr="00D600DA">
              <w:rPr>
                <w:rFonts w:ascii="Times New Roman" w:hAnsi="Times New Roman"/>
                <w:lang w:eastAsia="ja-JP"/>
              </w:rPr>
              <w:t>Rodikliai</w:t>
            </w:r>
          </w:p>
        </w:tc>
        <w:tc>
          <w:tcPr>
            <w:tcW w:w="1108" w:type="pct"/>
            <w:vMerge w:val="restart"/>
            <w:vAlign w:val="center"/>
          </w:tcPr>
          <w:p w14:paraId="58A05A78" w14:textId="77777777" w:rsidR="00E850F6" w:rsidRPr="00D600DA" w:rsidRDefault="00E850F6" w:rsidP="00636DA1">
            <w:pPr>
              <w:spacing w:before="80" w:after="0" w:line="240" w:lineRule="auto"/>
              <w:jc w:val="center"/>
              <w:rPr>
                <w:rFonts w:ascii="Times New Roman" w:hAnsi="Times New Roman"/>
                <w:lang w:eastAsia="ja-JP"/>
              </w:rPr>
            </w:pPr>
            <w:r w:rsidRPr="00D600DA">
              <w:rPr>
                <w:rFonts w:ascii="Times New Roman" w:hAnsi="Times New Roman"/>
                <w:lang w:eastAsia="ja-JP"/>
              </w:rPr>
              <w:t>Gancikloviras</w:t>
            </w:r>
          </w:p>
          <w:p w14:paraId="1ABB87BC" w14:textId="77777777" w:rsidR="00E850F6" w:rsidRPr="00D600DA" w:rsidRDefault="00E850F6" w:rsidP="00636DA1">
            <w:pPr>
              <w:spacing w:before="80" w:after="0" w:line="240" w:lineRule="auto"/>
              <w:jc w:val="center"/>
              <w:rPr>
                <w:rFonts w:ascii="Times New Roman" w:hAnsi="Times New Roman"/>
                <w:lang w:eastAsia="ja-JP"/>
              </w:rPr>
            </w:pPr>
            <w:r w:rsidRPr="00D600DA">
              <w:rPr>
                <w:rFonts w:ascii="Times New Roman" w:hAnsi="Times New Roman"/>
                <w:lang w:eastAsia="ja-JP"/>
              </w:rPr>
              <w:t>(5 mg/kg į veną)</w:t>
            </w:r>
          </w:p>
          <w:p w14:paraId="2752FE7B" w14:textId="77777777" w:rsidR="00E850F6" w:rsidRPr="00D600DA" w:rsidRDefault="00E850F6" w:rsidP="00636DA1">
            <w:pPr>
              <w:spacing w:after="0" w:line="240" w:lineRule="auto"/>
              <w:jc w:val="center"/>
              <w:rPr>
                <w:rFonts w:ascii="Times New Roman" w:hAnsi="Times New Roman"/>
                <w:lang w:eastAsia="ja-JP"/>
              </w:rPr>
            </w:pPr>
            <w:r w:rsidRPr="00D600DA">
              <w:rPr>
                <w:rFonts w:ascii="Times New Roman" w:hAnsi="Times New Roman"/>
                <w:lang w:eastAsia="ja-JP"/>
              </w:rPr>
              <w:t>n = 18</w:t>
            </w:r>
          </w:p>
        </w:tc>
        <w:tc>
          <w:tcPr>
            <w:tcW w:w="2314" w:type="pct"/>
            <w:gridSpan w:val="2"/>
            <w:vAlign w:val="center"/>
          </w:tcPr>
          <w:p w14:paraId="35F97D97" w14:textId="77777777" w:rsidR="00E850F6" w:rsidRPr="00D600DA" w:rsidRDefault="00E850F6" w:rsidP="00636DA1">
            <w:pPr>
              <w:spacing w:before="80" w:after="0" w:line="240" w:lineRule="auto"/>
              <w:jc w:val="center"/>
              <w:rPr>
                <w:rFonts w:ascii="Times New Roman" w:hAnsi="Times New Roman"/>
                <w:lang w:eastAsia="ja-JP"/>
              </w:rPr>
            </w:pPr>
            <w:r w:rsidRPr="00D600DA">
              <w:rPr>
                <w:rFonts w:ascii="Times New Roman" w:hAnsi="Times New Roman"/>
                <w:lang w:eastAsia="ja-JP"/>
              </w:rPr>
              <w:t>Geriamasis valgancikloviras</w:t>
            </w:r>
          </w:p>
          <w:p w14:paraId="3F53D994" w14:textId="77777777" w:rsidR="00E850F6" w:rsidRPr="00D600DA" w:rsidRDefault="00E850F6" w:rsidP="00636DA1">
            <w:pPr>
              <w:spacing w:before="80" w:after="0" w:line="240" w:lineRule="auto"/>
              <w:jc w:val="center"/>
              <w:rPr>
                <w:rFonts w:ascii="Times New Roman" w:hAnsi="Times New Roman"/>
                <w:lang w:eastAsia="ja-JP"/>
              </w:rPr>
            </w:pPr>
            <w:r w:rsidRPr="00D600DA">
              <w:rPr>
                <w:rFonts w:ascii="Times New Roman" w:hAnsi="Times New Roman"/>
                <w:lang w:eastAsia="ja-JP"/>
              </w:rPr>
              <w:t>(900 mg)</w:t>
            </w:r>
          </w:p>
          <w:p w14:paraId="0ECEE6CC" w14:textId="77777777" w:rsidR="00E850F6" w:rsidRPr="00D600DA" w:rsidRDefault="00E850F6" w:rsidP="00636DA1">
            <w:pPr>
              <w:spacing w:after="80" w:line="240" w:lineRule="auto"/>
              <w:jc w:val="center"/>
              <w:rPr>
                <w:rFonts w:ascii="Times New Roman" w:hAnsi="Times New Roman"/>
                <w:lang w:eastAsia="ja-JP"/>
              </w:rPr>
            </w:pPr>
            <w:r w:rsidRPr="00D600DA">
              <w:rPr>
                <w:rFonts w:ascii="Times New Roman" w:hAnsi="Times New Roman"/>
                <w:lang w:eastAsia="ja-JP"/>
              </w:rPr>
              <w:t>n = 25</w:t>
            </w:r>
          </w:p>
        </w:tc>
      </w:tr>
      <w:tr w:rsidR="00E850F6" w:rsidRPr="00B71670" w14:paraId="34D19864" w14:textId="77777777" w:rsidTr="00636DA1">
        <w:trPr>
          <w:cantSplit/>
          <w:trHeight w:val="74"/>
        </w:trPr>
        <w:tc>
          <w:tcPr>
            <w:tcW w:w="1579" w:type="pct"/>
            <w:vMerge/>
            <w:tcBorders>
              <w:bottom w:val="dashSmallGap" w:sz="4" w:space="0" w:color="auto"/>
            </w:tcBorders>
            <w:vAlign w:val="center"/>
          </w:tcPr>
          <w:p w14:paraId="632B72B4" w14:textId="77777777" w:rsidR="00E850F6" w:rsidRPr="00D600DA" w:rsidRDefault="00E850F6" w:rsidP="00636DA1">
            <w:pPr>
              <w:spacing w:after="0" w:line="240" w:lineRule="auto"/>
              <w:rPr>
                <w:rFonts w:ascii="Times New Roman" w:hAnsi="Times New Roman"/>
                <w:lang w:eastAsia="ja-JP"/>
              </w:rPr>
            </w:pPr>
          </w:p>
        </w:tc>
        <w:tc>
          <w:tcPr>
            <w:tcW w:w="1108" w:type="pct"/>
            <w:vMerge/>
            <w:tcBorders>
              <w:bottom w:val="dashSmallGap" w:sz="4" w:space="0" w:color="auto"/>
            </w:tcBorders>
            <w:vAlign w:val="center"/>
          </w:tcPr>
          <w:p w14:paraId="14DC3E35" w14:textId="77777777" w:rsidR="00E850F6" w:rsidRPr="00D600DA" w:rsidRDefault="00E850F6" w:rsidP="00636DA1">
            <w:pPr>
              <w:spacing w:after="0" w:line="240" w:lineRule="auto"/>
              <w:rPr>
                <w:rFonts w:ascii="Times New Roman" w:hAnsi="Times New Roman"/>
                <w:lang w:eastAsia="ja-JP"/>
              </w:rPr>
            </w:pPr>
          </w:p>
        </w:tc>
        <w:tc>
          <w:tcPr>
            <w:tcW w:w="1189" w:type="pct"/>
            <w:tcBorders>
              <w:bottom w:val="dashSmallGap" w:sz="4" w:space="0" w:color="auto"/>
            </w:tcBorders>
            <w:vAlign w:val="center"/>
          </w:tcPr>
          <w:p w14:paraId="604B306C" w14:textId="77777777" w:rsidR="00E850F6" w:rsidRPr="00D600DA" w:rsidRDefault="00E850F6" w:rsidP="00636DA1">
            <w:pPr>
              <w:spacing w:before="80" w:after="80" w:line="240" w:lineRule="auto"/>
              <w:jc w:val="center"/>
              <w:rPr>
                <w:rFonts w:ascii="Times New Roman" w:hAnsi="Times New Roman"/>
                <w:lang w:eastAsia="ja-JP"/>
              </w:rPr>
            </w:pPr>
            <w:r w:rsidRPr="00D600DA">
              <w:rPr>
                <w:rFonts w:ascii="Times New Roman" w:hAnsi="Times New Roman"/>
                <w:lang w:eastAsia="ja-JP"/>
              </w:rPr>
              <w:t>Gancikloviras</w:t>
            </w:r>
          </w:p>
        </w:tc>
        <w:tc>
          <w:tcPr>
            <w:tcW w:w="1125" w:type="pct"/>
            <w:tcBorders>
              <w:bottom w:val="dashSmallGap" w:sz="4" w:space="0" w:color="auto"/>
            </w:tcBorders>
            <w:vAlign w:val="center"/>
          </w:tcPr>
          <w:p w14:paraId="3F8D8FC7" w14:textId="77777777" w:rsidR="00E850F6" w:rsidRPr="00D600DA" w:rsidRDefault="00E850F6" w:rsidP="00636DA1">
            <w:pPr>
              <w:spacing w:before="80" w:after="0" w:line="240" w:lineRule="auto"/>
              <w:jc w:val="center"/>
              <w:rPr>
                <w:rFonts w:ascii="Times New Roman" w:hAnsi="Times New Roman"/>
                <w:lang w:eastAsia="ja-JP"/>
              </w:rPr>
            </w:pPr>
            <w:r w:rsidRPr="00D600DA">
              <w:rPr>
                <w:rFonts w:ascii="Times New Roman" w:hAnsi="Times New Roman"/>
                <w:lang w:eastAsia="ja-JP"/>
              </w:rPr>
              <w:t>Valgancikloviras</w:t>
            </w:r>
          </w:p>
        </w:tc>
      </w:tr>
      <w:tr w:rsidR="00E850F6" w:rsidRPr="00B71670" w14:paraId="0B71B9E8" w14:textId="77777777" w:rsidTr="00636DA1">
        <w:trPr>
          <w:cantSplit/>
        </w:trPr>
        <w:tc>
          <w:tcPr>
            <w:tcW w:w="1579" w:type="pct"/>
            <w:tcBorders>
              <w:top w:val="dashSmallGap" w:sz="4" w:space="0" w:color="auto"/>
              <w:left w:val="dashSmallGap" w:sz="4" w:space="0" w:color="auto"/>
              <w:bottom w:val="dashSmallGap" w:sz="4" w:space="0" w:color="auto"/>
              <w:right w:val="dashSmallGap" w:sz="4" w:space="0" w:color="auto"/>
            </w:tcBorders>
            <w:vAlign w:val="center"/>
          </w:tcPr>
          <w:p w14:paraId="67CFF8A9" w14:textId="77777777" w:rsidR="00E850F6" w:rsidRPr="00D600DA" w:rsidRDefault="00E850F6" w:rsidP="00636DA1">
            <w:pPr>
              <w:spacing w:before="80" w:after="0" w:line="240" w:lineRule="auto"/>
              <w:jc w:val="both"/>
              <w:rPr>
                <w:rFonts w:ascii="Times New Roman" w:hAnsi="Times New Roman"/>
                <w:lang w:eastAsia="ja-JP"/>
              </w:rPr>
            </w:pPr>
            <w:r w:rsidRPr="00D600DA">
              <w:rPr>
                <w:rFonts w:ascii="Times New Roman" w:hAnsi="Times New Roman"/>
                <w:lang w:eastAsia="ja-JP"/>
              </w:rPr>
              <w:t xml:space="preserve">AUC </w:t>
            </w:r>
            <w:r w:rsidRPr="00D600DA">
              <w:rPr>
                <w:rFonts w:ascii="Times New Roman" w:hAnsi="Times New Roman"/>
                <w:vertAlign w:val="subscript"/>
              </w:rPr>
              <w:t>(0–12 val.)</w:t>
            </w:r>
            <w:r w:rsidRPr="00D600DA">
              <w:rPr>
                <w:rFonts w:ascii="Times New Roman" w:hAnsi="Times New Roman"/>
                <w:lang w:eastAsia="ja-JP"/>
              </w:rPr>
              <w:t xml:space="preserve"> (</w:t>
            </w:r>
            <w:r w:rsidRPr="00D600DA">
              <w:rPr>
                <w:rFonts w:ascii="Times New Roman" w:hAnsi="Times New Roman"/>
                <w:lang w:val="en-GB"/>
              </w:rPr>
              <w:sym w:font="Symbol" w:char="F06D"/>
            </w:r>
            <w:r w:rsidRPr="00D600DA">
              <w:rPr>
                <w:rFonts w:ascii="Times New Roman" w:hAnsi="Times New Roman"/>
                <w:lang w:eastAsia="ja-JP"/>
              </w:rPr>
              <w:t>g</w:t>
            </w:r>
            <w:r w:rsidRPr="00D600DA">
              <w:rPr>
                <w:rFonts w:ascii="Times New Roman" w:hAnsi="Times New Roman"/>
                <w:lang w:eastAsia="ja-JP"/>
              </w:rPr>
              <w:sym w:font="Wingdings" w:char="F09F"/>
            </w:r>
            <w:r w:rsidRPr="00D600DA">
              <w:rPr>
                <w:rFonts w:ascii="Times New Roman" w:hAnsi="Times New Roman"/>
                <w:lang w:eastAsia="ja-JP"/>
              </w:rPr>
              <w:t>h/ml)</w:t>
            </w:r>
          </w:p>
        </w:tc>
        <w:tc>
          <w:tcPr>
            <w:tcW w:w="1108" w:type="pct"/>
            <w:tcBorders>
              <w:top w:val="dashSmallGap" w:sz="4" w:space="0" w:color="auto"/>
              <w:left w:val="dashSmallGap" w:sz="4" w:space="0" w:color="auto"/>
              <w:bottom w:val="dashSmallGap" w:sz="4" w:space="0" w:color="auto"/>
              <w:right w:val="dashSmallGap" w:sz="4" w:space="0" w:color="auto"/>
            </w:tcBorders>
            <w:vAlign w:val="center"/>
          </w:tcPr>
          <w:p w14:paraId="30835E69" w14:textId="77777777" w:rsidR="00E850F6" w:rsidRPr="00D600DA" w:rsidRDefault="00E850F6" w:rsidP="00636DA1">
            <w:pPr>
              <w:spacing w:before="80" w:after="0" w:line="240" w:lineRule="auto"/>
              <w:jc w:val="center"/>
              <w:rPr>
                <w:rFonts w:ascii="Times New Roman" w:hAnsi="Times New Roman"/>
                <w:lang w:eastAsia="ja-JP"/>
              </w:rPr>
            </w:pPr>
            <w:r w:rsidRPr="00D600DA">
              <w:rPr>
                <w:rFonts w:ascii="Times New Roman" w:hAnsi="Times New Roman"/>
                <w:lang w:eastAsia="ja-JP"/>
              </w:rPr>
              <w:t xml:space="preserve">28,6 </w:t>
            </w:r>
            <w:r w:rsidRPr="00D600DA">
              <w:rPr>
                <w:rFonts w:ascii="Times New Roman" w:hAnsi="Times New Roman"/>
                <w:lang w:eastAsia="ja-JP"/>
              </w:rPr>
              <w:sym w:font="Symbol" w:char="F0B1"/>
            </w:r>
            <w:r w:rsidRPr="00D600DA">
              <w:rPr>
                <w:rFonts w:ascii="Times New Roman" w:hAnsi="Times New Roman"/>
                <w:lang w:eastAsia="ja-JP"/>
              </w:rPr>
              <w:t> 9,0</w:t>
            </w:r>
          </w:p>
        </w:tc>
        <w:tc>
          <w:tcPr>
            <w:tcW w:w="1189" w:type="pct"/>
            <w:tcBorders>
              <w:top w:val="dashSmallGap" w:sz="4" w:space="0" w:color="auto"/>
              <w:left w:val="dashSmallGap" w:sz="4" w:space="0" w:color="auto"/>
              <w:bottom w:val="dashSmallGap" w:sz="4" w:space="0" w:color="auto"/>
              <w:right w:val="dashSmallGap" w:sz="4" w:space="0" w:color="auto"/>
            </w:tcBorders>
            <w:vAlign w:val="center"/>
          </w:tcPr>
          <w:p w14:paraId="3AC9B504" w14:textId="77777777" w:rsidR="00E850F6" w:rsidRPr="00D600DA" w:rsidRDefault="00E850F6" w:rsidP="00636DA1">
            <w:pPr>
              <w:spacing w:before="80" w:after="0" w:line="240" w:lineRule="auto"/>
              <w:jc w:val="center"/>
              <w:rPr>
                <w:rFonts w:ascii="Times New Roman" w:hAnsi="Times New Roman"/>
                <w:lang w:eastAsia="ja-JP"/>
              </w:rPr>
            </w:pPr>
            <w:r w:rsidRPr="00D600DA">
              <w:rPr>
                <w:rFonts w:ascii="Times New Roman" w:hAnsi="Times New Roman"/>
                <w:lang w:eastAsia="ja-JP"/>
              </w:rPr>
              <w:t xml:space="preserve">32,8 </w:t>
            </w:r>
            <w:r w:rsidRPr="00D600DA">
              <w:rPr>
                <w:rFonts w:ascii="Times New Roman" w:hAnsi="Times New Roman"/>
                <w:lang w:eastAsia="ja-JP"/>
              </w:rPr>
              <w:sym w:font="Symbol" w:char="F0B1"/>
            </w:r>
            <w:r w:rsidRPr="00D600DA">
              <w:rPr>
                <w:rFonts w:ascii="Times New Roman" w:hAnsi="Times New Roman"/>
                <w:lang w:eastAsia="ja-JP"/>
              </w:rPr>
              <w:t> 10,1</w:t>
            </w:r>
          </w:p>
        </w:tc>
        <w:tc>
          <w:tcPr>
            <w:tcW w:w="1125" w:type="pct"/>
            <w:tcBorders>
              <w:top w:val="dashSmallGap" w:sz="4" w:space="0" w:color="auto"/>
              <w:left w:val="dashSmallGap" w:sz="4" w:space="0" w:color="auto"/>
              <w:bottom w:val="dashSmallGap" w:sz="4" w:space="0" w:color="auto"/>
              <w:right w:val="dashSmallGap" w:sz="4" w:space="0" w:color="auto"/>
            </w:tcBorders>
            <w:vAlign w:val="center"/>
          </w:tcPr>
          <w:p w14:paraId="6732303E" w14:textId="77777777" w:rsidR="00E850F6" w:rsidRPr="00D600DA" w:rsidRDefault="00E850F6" w:rsidP="00636DA1">
            <w:pPr>
              <w:spacing w:before="80" w:after="80" w:line="240" w:lineRule="auto"/>
              <w:jc w:val="center"/>
              <w:rPr>
                <w:rFonts w:ascii="Times New Roman" w:hAnsi="Times New Roman"/>
                <w:lang w:eastAsia="ja-JP"/>
              </w:rPr>
            </w:pPr>
            <w:r w:rsidRPr="00D600DA">
              <w:rPr>
                <w:rFonts w:ascii="Times New Roman" w:hAnsi="Times New Roman"/>
                <w:lang w:eastAsia="ja-JP"/>
              </w:rPr>
              <w:t xml:space="preserve">0,37 </w:t>
            </w:r>
            <w:r w:rsidRPr="00D600DA">
              <w:rPr>
                <w:rFonts w:ascii="Times New Roman" w:hAnsi="Times New Roman"/>
                <w:lang w:eastAsia="ja-JP"/>
              </w:rPr>
              <w:sym w:font="Symbol" w:char="F0B1"/>
            </w:r>
            <w:r w:rsidRPr="00D600DA">
              <w:rPr>
                <w:rFonts w:ascii="Times New Roman" w:hAnsi="Times New Roman"/>
                <w:lang w:eastAsia="ja-JP"/>
              </w:rPr>
              <w:t> 0,22</w:t>
            </w:r>
          </w:p>
        </w:tc>
      </w:tr>
      <w:tr w:rsidR="00E850F6" w:rsidRPr="00B71670" w14:paraId="02D06B1B" w14:textId="77777777" w:rsidTr="00636DA1">
        <w:trPr>
          <w:cantSplit/>
        </w:trPr>
        <w:tc>
          <w:tcPr>
            <w:tcW w:w="1579" w:type="pct"/>
            <w:tcBorders>
              <w:top w:val="dashSmallGap" w:sz="4" w:space="0" w:color="auto"/>
              <w:left w:val="dashSmallGap" w:sz="4" w:space="0" w:color="auto"/>
              <w:bottom w:val="dashSmallGap" w:sz="4" w:space="0" w:color="auto"/>
              <w:right w:val="dashSmallGap" w:sz="4" w:space="0" w:color="auto"/>
            </w:tcBorders>
            <w:vAlign w:val="center"/>
          </w:tcPr>
          <w:p w14:paraId="24F5A4AB" w14:textId="77777777" w:rsidR="00E850F6" w:rsidRPr="00D600DA" w:rsidRDefault="00E850F6" w:rsidP="00636DA1">
            <w:pPr>
              <w:spacing w:before="80" w:after="0" w:line="240" w:lineRule="auto"/>
              <w:jc w:val="both"/>
              <w:rPr>
                <w:rFonts w:ascii="Times New Roman" w:hAnsi="Times New Roman"/>
                <w:lang w:eastAsia="ja-JP"/>
              </w:rPr>
            </w:pPr>
            <w:r w:rsidRPr="00D600DA">
              <w:rPr>
                <w:rFonts w:ascii="Times New Roman" w:hAnsi="Times New Roman"/>
                <w:lang w:eastAsia="ja-JP"/>
              </w:rPr>
              <w:t>C</w:t>
            </w:r>
            <w:r w:rsidRPr="00D600DA">
              <w:rPr>
                <w:rFonts w:ascii="Times New Roman" w:hAnsi="Times New Roman"/>
                <w:vertAlign w:val="subscript"/>
                <w:lang w:eastAsia="ja-JP"/>
              </w:rPr>
              <w:t>max</w:t>
            </w:r>
            <w:r w:rsidRPr="00D600DA">
              <w:rPr>
                <w:rFonts w:ascii="Times New Roman" w:hAnsi="Times New Roman"/>
                <w:lang w:eastAsia="ja-JP"/>
              </w:rPr>
              <w:t xml:space="preserve"> (</w:t>
            </w:r>
            <w:r w:rsidRPr="00D600DA">
              <w:rPr>
                <w:rFonts w:ascii="Times New Roman" w:hAnsi="Times New Roman"/>
                <w:lang w:val="en-GB"/>
              </w:rPr>
              <w:sym w:font="Symbol" w:char="F06D"/>
            </w:r>
            <w:r w:rsidRPr="00D600DA">
              <w:rPr>
                <w:rFonts w:ascii="Times New Roman" w:hAnsi="Times New Roman"/>
                <w:lang w:eastAsia="ja-JP"/>
              </w:rPr>
              <w:t>g/ml)</w:t>
            </w:r>
          </w:p>
        </w:tc>
        <w:tc>
          <w:tcPr>
            <w:tcW w:w="1108" w:type="pct"/>
            <w:tcBorders>
              <w:top w:val="dashSmallGap" w:sz="4" w:space="0" w:color="auto"/>
              <w:left w:val="dashSmallGap" w:sz="4" w:space="0" w:color="auto"/>
              <w:bottom w:val="dashSmallGap" w:sz="4" w:space="0" w:color="auto"/>
              <w:right w:val="dashSmallGap" w:sz="4" w:space="0" w:color="auto"/>
            </w:tcBorders>
            <w:vAlign w:val="center"/>
          </w:tcPr>
          <w:p w14:paraId="7EBAEE1D" w14:textId="77777777" w:rsidR="00E850F6" w:rsidRPr="00D600DA" w:rsidRDefault="00E850F6" w:rsidP="00636DA1">
            <w:pPr>
              <w:spacing w:before="80" w:after="0" w:line="240" w:lineRule="auto"/>
              <w:jc w:val="center"/>
              <w:rPr>
                <w:rFonts w:ascii="Times New Roman" w:hAnsi="Times New Roman"/>
                <w:lang w:eastAsia="ja-JP"/>
              </w:rPr>
            </w:pPr>
            <w:r w:rsidRPr="00D600DA">
              <w:rPr>
                <w:rFonts w:ascii="Times New Roman" w:hAnsi="Times New Roman"/>
                <w:lang w:eastAsia="ja-JP"/>
              </w:rPr>
              <w:t xml:space="preserve">10,4 </w:t>
            </w:r>
            <w:r w:rsidRPr="00D600DA">
              <w:rPr>
                <w:rFonts w:ascii="Times New Roman" w:hAnsi="Times New Roman"/>
                <w:lang w:eastAsia="ja-JP"/>
              </w:rPr>
              <w:sym w:font="Symbol" w:char="F0B1"/>
            </w:r>
            <w:r w:rsidRPr="00D600DA">
              <w:rPr>
                <w:rFonts w:ascii="Times New Roman" w:hAnsi="Times New Roman"/>
                <w:lang w:eastAsia="ja-JP"/>
              </w:rPr>
              <w:t> 4,9</w:t>
            </w:r>
          </w:p>
        </w:tc>
        <w:tc>
          <w:tcPr>
            <w:tcW w:w="1189" w:type="pct"/>
            <w:tcBorders>
              <w:top w:val="dashSmallGap" w:sz="4" w:space="0" w:color="auto"/>
              <w:left w:val="dashSmallGap" w:sz="4" w:space="0" w:color="auto"/>
              <w:bottom w:val="dashSmallGap" w:sz="4" w:space="0" w:color="auto"/>
              <w:right w:val="dashSmallGap" w:sz="4" w:space="0" w:color="auto"/>
            </w:tcBorders>
            <w:vAlign w:val="center"/>
          </w:tcPr>
          <w:p w14:paraId="644DBF00" w14:textId="77777777" w:rsidR="00E850F6" w:rsidRPr="00D600DA" w:rsidRDefault="00E850F6" w:rsidP="00636DA1">
            <w:pPr>
              <w:spacing w:before="80" w:after="0" w:line="240" w:lineRule="auto"/>
              <w:jc w:val="center"/>
              <w:rPr>
                <w:rFonts w:ascii="Times New Roman" w:hAnsi="Times New Roman"/>
                <w:lang w:eastAsia="ja-JP"/>
              </w:rPr>
            </w:pPr>
            <w:r w:rsidRPr="00D600DA">
              <w:rPr>
                <w:rFonts w:ascii="Times New Roman" w:hAnsi="Times New Roman"/>
                <w:lang w:eastAsia="ja-JP"/>
              </w:rPr>
              <w:t xml:space="preserve">6,7 </w:t>
            </w:r>
            <w:r w:rsidRPr="00D600DA">
              <w:rPr>
                <w:rFonts w:ascii="Times New Roman" w:hAnsi="Times New Roman"/>
                <w:lang w:eastAsia="ja-JP"/>
              </w:rPr>
              <w:sym w:font="Symbol" w:char="F0B1"/>
            </w:r>
            <w:r w:rsidRPr="00D600DA">
              <w:rPr>
                <w:rFonts w:ascii="Times New Roman" w:hAnsi="Times New Roman"/>
                <w:lang w:eastAsia="ja-JP"/>
              </w:rPr>
              <w:t> 2,1</w:t>
            </w:r>
          </w:p>
        </w:tc>
        <w:tc>
          <w:tcPr>
            <w:tcW w:w="1125" w:type="pct"/>
            <w:tcBorders>
              <w:top w:val="dashSmallGap" w:sz="4" w:space="0" w:color="auto"/>
              <w:left w:val="dashSmallGap" w:sz="4" w:space="0" w:color="auto"/>
              <w:bottom w:val="dashSmallGap" w:sz="4" w:space="0" w:color="auto"/>
              <w:right w:val="dashSmallGap" w:sz="4" w:space="0" w:color="auto"/>
            </w:tcBorders>
            <w:vAlign w:val="center"/>
          </w:tcPr>
          <w:p w14:paraId="15A55591" w14:textId="77777777" w:rsidR="00E850F6" w:rsidRPr="00D600DA" w:rsidRDefault="00E850F6" w:rsidP="00636DA1">
            <w:pPr>
              <w:spacing w:before="80" w:after="80" w:line="240" w:lineRule="auto"/>
              <w:jc w:val="center"/>
              <w:rPr>
                <w:rFonts w:ascii="Times New Roman" w:hAnsi="Times New Roman"/>
                <w:lang w:eastAsia="ja-JP"/>
              </w:rPr>
            </w:pPr>
            <w:r w:rsidRPr="00D600DA">
              <w:rPr>
                <w:rFonts w:ascii="Times New Roman" w:hAnsi="Times New Roman"/>
                <w:lang w:eastAsia="ja-JP"/>
              </w:rPr>
              <w:t xml:space="preserve">0,18 </w:t>
            </w:r>
            <w:r w:rsidRPr="00D600DA">
              <w:rPr>
                <w:rFonts w:ascii="Times New Roman" w:hAnsi="Times New Roman"/>
                <w:lang w:eastAsia="ja-JP"/>
              </w:rPr>
              <w:sym w:font="Symbol" w:char="F0B1"/>
            </w:r>
            <w:r w:rsidRPr="00D600DA">
              <w:rPr>
                <w:rFonts w:ascii="Times New Roman" w:hAnsi="Times New Roman"/>
                <w:lang w:eastAsia="ja-JP"/>
              </w:rPr>
              <w:t> 0,06</w:t>
            </w:r>
          </w:p>
        </w:tc>
      </w:tr>
    </w:tbl>
    <w:p w14:paraId="10A98C9B" w14:textId="77777777" w:rsidR="00E850F6" w:rsidRPr="00D600DA" w:rsidRDefault="00E850F6" w:rsidP="00E850F6">
      <w:pPr>
        <w:spacing w:after="0" w:line="240" w:lineRule="auto"/>
        <w:rPr>
          <w:rFonts w:ascii="Times New Roman" w:hAnsi="Times New Roman"/>
          <w:lang w:eastAsia="ja-JP"/>
        </w:rPr>
      </w:pPr>
    </w:p>
    <w:p w14:paraId="5383C6B7"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Nustatyta, kad gancikloviro veiksmingumas atitolinant CMV retinito progresavimo laiką koreliuoja su bendrąja ekspozicija (AUC).</w:t>
      </w:r>
    </w:p>
    <w:p w14:paraId="016B3200" w14:textId="77777777" w:rsidR="00E850F6" w:rsidRPr="00D600DA" w:rsidRDefault="00E850F6" w:rsidP="00E850F6">
      <w:pPr>
        <w:spacing w:after="0" w:line="240" w:lineRule="auto"/>
        <w:rPr>
          <w:rFonts w:ascii="Times New Roman" w:hAnsi="Times New Roman"/>
          <w:lang w:eastAsia="ja-JP"/>
        </w:rPr>
      </w:pPr>
    </w:p>
    <w:p w14:paraId="0869E379" w14:textId="77777777" w:rsidR="00E850F6" w:rsidRPr="00D600DA" w:rsidRDefault="00E850F6" w:rsidP="00E850F6">
      <w:pPr>
        <w:keepNext/>
        <w:keepLines/>
        <w:spacing w:after="0" w:line="240" w:lineRule="auto"/>
        <w:rPr>
          <w:rFonts w:ascii="Times New Roman" w:hAnsi="Times New Roman"/>
          <w:i/>
          <w:lang w:eastAsia="ja-JP"/>
        </w:rPr>
      </w:pPr>
      <w:r w:rsidRPr="00D600DA">
        <w:rPr>
          <w:rFonts w:ascii="Times New Roman" w:hAnsi="Times New Roman"/>
          <w:i/>
          <w:lang w:eastAsia="ja-JP"/>
        </w:rPr>
        <w:t>Valgancikloviras po parenchiminių organų transplantacijos</w:t>
      </w:r>
    </w:p>
    <w:p w14:paraId="614858A5" w14:textId="77777777" w:rsidR="00E850F6" w:rsidRPr="00D600DA" w:rsidRDefault="00E850F6" w:rsidP="00E850F6">
      <w:pPr>
        <w:keepNext/>
        <w:keepLines/>
        <w:spacing w:after="0" w:line="240" w:lineRule="auto"/>
        <w:rPr>
          <w:rFonts w:ascii="Times New Roman" w:hAnsi="Times New Roman"/>
          <w:lang w:eastAsia="ja-JP"/>
        </w:rPr>
      </w:pPr>
      <w:r w:rsidRPr="00D600DA">
        <w:rPr>
          <w:rFonts w:ascii="Times New Roman" w:hAnsi="Times New Roman"/>
          <w:lang w:eastAsia="ja-JP"/>
        </w:rPr>
        <w:t>Po parenchiminių organų persodinimo pacientų organizmo bendroji ekspozicija ganciklovirui kasdien vartojant geriamuosius ganciklovirą ir valganciklovirą (nusistovėjus koncentracijai):</w:t>
      </w:r>
    </w:p>
    <w:p w14:paraId="2F7DA66B" w14:textId="77777777" w:rsidR="00E850F6" w:rsidRPr="00D600DA" w:rsidRDefault="00E850F6" w:rsidP="00E850F6">
      <w:pPr>
        <w:spacing w:after="0" w:line="240" w:lineRule="auto"/>
        <w:rPr>
          <w:rFonts w:ascii="Times New Roman" w:hAnsi="Times New Roman"/>
          <w:lang w:eastAsia="ja-JP"/>
        </w:rPr>
      </w:pPr>
    </w:p>
    <w:tbl>
      <w:tblPr>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2062"/>
        <w:gridCol w:w="2794"/>
        <w:gridCol w:w="4204"/>
      </w:tblGrid>
      <w:tr w:rsidR="00E850F6" w:rsidRPr="00B71670" w14:paraId="7C1237C2" w14:textId="77777777" w:rsidTr="00636DA1">
        <w:trPr>
          <w:cantSplit/>
        </w:trPr>
        <w:tc>
          <w:tcPr>
            <w:tcW w:w="1138" w:type="pct"/>
            <w:vMerge w:val="restart"/>
            <w:vAlign w:val="center"/>
          </w:tcPr>
          <w:p w14:paraId="02662B65" w14:textId="77777777" w:rsidR="00E850F6" w:rsidRPr="00D600DA" w:rsidRDefault="00E850F6" w:rsidP="00636DA1">
            <w:pPr>
              <w:keepNext/>
              <w:spacing w:before="80" w:after="0" w:line="240" w:lineRule="auto"/>
              <w:jc w:val="center"/>
              <w:rPr>
                <w:rFonts w:ascii="Times New Roman" w:hAnsi="Times New Roman"/>
                <w:lang w:eastAsia="ja-JP"/>
              </w:rPr>
            </w:pPr>
            <w:r w:rsidRPr="00D600DA">
              <w:rPr>
                <w:rFonts w:ascii="Times New Roman" w:hAnsi="Times New Roman"/>
                <w:lang w:eastAsia="ja-JP"/>
              </w:rPr>
              <w:t>Rodikliai</w:t>
            </w:r>
          </w:p>
        </w:tc>
        <w:tc>
          <w:tcPr>
            <w:tcW w:w="1542" w:type="pct"/>
            <w:vMerge w:val="restart"/>
            <w:vAlign w:val="center"/>
          </w:tcPr>
          <w:p w14:paraId="249B70F9" w14:textId="77777777" w:rsidR="00E850F6" w:rsidRPr="00D600DA" w:rsidRDefault="00E850F6" w:rsidP="00636DA1">
            <w:pPr>
              <w:keepNext/>
              <w:spacing w:after="0" w:line="240" w:lineRule="auto"/>
              <w:jc w:val="center"/>
              <w:rPr>
                <w:rFonts w:ascii="Times New Roman" w:hAnsi="Times New Roman"/>
                <w:lang w:eastAsia="ja-JP"/>
              </w:rPr>
            </w:pPr>
            <w:r w:rsidRPr="00D600DA">
              <w:rPr>
                <w:rFonts w:ascii="Times New Roman" w:hAnsi="Times New Roman"/>
                <w:lang w:eastAsia="ja-JP"/>
              </w:rPr>
              <w:t>Gancikloviras</w:t>
            </w:r>
            <w:r w:rsidRPr="00D600DA">
              <w:rPr>
                <w:rFonts w:ascii="Times New Roman" w:hAnsi="Times New Roman"/>
                <w:lang w:eastAsia="ja-JP"/>
              </w:rPr>
              <w:br/>
              <w:t>(1000 mg triskart per parą)</w:t>
            </w:r>
            <w:r w:rsidRPr="00D600DA">
              <w:rPr>
                <w:rFonts w:ascii="Times New Roman" w:hAnsi="Times New Roman"/>
                <w:lang w:eastAsia="ja-JP"/>
              </w:rPr>
              <w:br/>
              <w:t>n = 82</w:t>
            </w:r>
          </w:p>
        </w:tc>
        <w:tc>
          <w:tcPr>
            <w:tcW w:w="2320" w:type="pct"/>
            <w:vAlign w:val="center"/>
          </w:tcPr>
          <w:p w14:paraId="7A49CB89" w14:textId="77777777" w:rsidR="00E850F6" w:rsidRPr="00D600DA" w:rsidRDefault="00E850F6" w:rsidP="00636DA1">
            <w:pPr>
              <w:keepNext/>
              <w:spacing w:after="80" w:line="240" w:lineRule="auto"/>
              <w:jc w:val="center"/>
              <w:rPr>
                <w:rFonts w:ascii="Times New Roman" w:hAnsi="Times New Roman"/>
                <w:lang w:eastAsia="ja-JP"/>
              </w:rPr>
            </w:pPr>
            <w:r w:rsidRPr="00D600DA">
              <w:rPr>
                <w:rFonts w:ascii="Times New Roman" w:hAnsi="Times New Roman"/>
                <w:lang w:eastAsia="ja-JP"/>
              </w:rPr>
              <w:t>Valgancikloviras (900 mg kartą per parą)</w:t>
            </w:r>
            <w:r w:rsidRPr="00D600DA">
              <w:rPr>
                <w:rFonts w:ascii="Times New Roman" w:hAnsi="Times New Roman"/>
                <w:lang w:eastAsia="ja-JP"/>
              </w:rPr>
              <w:br/>
              <w:t>n = 161</w:t>
            </w:r>
          </w:p>
        </w:tc>
      </w:tr>
      <w:tr w:rsidR="00E850F6" w:rsidRPr="00B71670" w14:paraId="262A10F8" w14:textId="77777777" w:rsidTr="00636DA1">
        <w:trPr>
          <w:cantSplit/>
        </w:trPr>
        <w:tc>
          <w:tcPr>
            <w:tcW w:w="1138" w:type="pct"/>
            <w:vMerge/>
            <w:vAlign w:val="center"/>
          </w:tcPr>
          <w:p w14:paraId="61F20A61" w14:textId="77777777" w:rsidR="00E850F6" w:rsidRPr="00D600DA" w:rsidRDefault="00E850F6" w:rsidP="00636DA1">
            <w:pPr>
              <w:keepNext/>
              <w:spacing w:after="0" w:line="240" w:lineRule="auto"/>
              <w:rPr>
                <w:rFonts w:ascii="Times New Roman" w:hAnsi="Times New Roman"/>
                <w:lang w:eastAsia="ja-JP"/>
              </w:rPr>
            </w:pPr>
          </w:p>
        </w:tc>
        <w:tc>
          <w:tcPr>
            <w:tcW w:w="1542" w:type="pct"/>
            <w:vMerge/>
            <w:vAlign w:val="center"/>
          </w:tcPr>
          <w:p w14:paraId="1D8523A7" w14:textId="77777777" w:rsidR="00E850F6" w:rsidRPr="00D600DA" w:rsidRDefault="00E850F6" w:rsidP="00636DA1">
            <w:pPr>
              <w:keepNext/>
              <w:spacing w:after="0" w:line="240" w:lineRule="auto"/>
              <w:rPr>
                <w:rFonts w:ascii="Times New Roman" w:hAnsi="Times New Roman"/>
                <w:lang w:eastAsia="ja-JP"/>
              </w:rPr>
            </w:pPr>
          </w:p>
        </w:tc>
        <w:tc>
          <w:tcPr>
            <w:tcW w:w="2320" w:type="pct"/>
            <w:vAlign w:val="center"/>
          </w:tcPr>
          <w:p w14:paraId="17B56D2D" w14:textId="77777777" w:rsidR="00E850F6" w:rsidRPr="00D600DA" w:rsidRDefault="00E850F6" w:rsidP="00636DA1">
            <w:pPr>
              <w:keepNext/>
              <w:spacing w:before="80" w:after="0" w:line="240" w:lineRule="auto"/>
              <w:jc w:val="center"/>
              <w:rPr>
                <w:rFonts w:ascii="Times New Roman" w:hAnsi="Times New Roman"/>
                <w:lang w:eastAsia="ja-JP"/>
              </w:rPr>
            </w:pPr>
            <w:r w:rsidRPr="00D600DA">
              <w:rPr>
                <w:rFonts w:ascii="Times New Roman" w:hAnsi="Times New Roman"/>
                <w:lang w:eastAsia="ja-JP"/>
              </w:rPr>
              <w:t>Gancikloviras</w:t>
            </w:r>
          </w:p>
        </w:tc>
      </w:tr>
      <w:tr w:rsidR="00E850F6" w:rsidRPr="00B71670" w14:paraId="5E670637" w14:textId="77777777" w:rsidTr="00636DA1">
        <w:trPr>
          <w:cantSplit/>
        </w:trPr>
        <w:tc>
          <w:tcPr>
            <w:tcW w:w="1138" w:type="pct"/>
            <w:vAlign w:val="center"/>
          </w:tcPr>
          <w:p w14:paraId="36D9C7B8" w14:textId="77777777" w:rsidR="00E850F6" w:rsidRPr="00D600DA" w:rsidRDefault="00E850F6" w:rsidP="00636DA1">
            <w:pPr>
              <w:keepNext/>
              <w:spacing w:before="80" w:after="0" w:line="240" w:lineRule="auto"/>
              <w:rPr>
                <w:rFonts w:ascii="Times New Roman" w:hAnsi="Times New Roman"/>
                <w:lang w:eastAsia="ja-JP"/>
              </w:rPr>
            </w:pPr>
            <w:r w:rsidRPr="00D600DA">
              <w:rPr>
                <w:rFonts w:ascii="Times New Roman" w:hAnsi="Times New Roman"/>
                <w:lang w:eastAsia="ja-JP"/>
              </w:rPr>
              <w:t>AUC (0 – 24 val.) (µg</w:t>
            </w:r>
            <w:r w:rsidRPr="00D600DA">
              <w:rPr>
                <w:rFonts w:ascii="Times New Roman" w:hAnsi="Times New Roman"/>
                <w:lang w:eastAsia="ja-JP"/>
              </w:rPr>
              <w:sym w:font="Wingdings" w:char="F09F"/>
            </w:r>
            <w:r w:rsidRPr="00D600DA">
              <w:rPr>
                <w:rFonts w:ascii="Times New Roman" w:hAnsi="Times New Roman"/>
                <w:lang w:eastAsia="ja-JP"/>
              </w:rPr>
              <w:t>h/ml)</w:t>
            </w:r>
          </w:p>
        </w:tc>
        <w:tc>
          <w:tcPr>
            <w:tcW w:w="1542" w:type="pct"/>
            <w:vAlign w:val="center"/>
          </w:tcPr>
          <w:p w14:paraId="5BCFBE93" w14:textId="77777777" w:rsidR="00E850F6" w:rsidRPr="00D600DA" w:rsidRDefault="00E850F6" w:rsidP="00636DA1">
            <w:pPr>
              <w:keepNext/>
              <w:spacing w:before="80" w:after="0" w:line="240" w:lineRule="auto"/>
              <w:jc w:val="center"/>
              <w:rPr>
                <w:rFonts w:ascii="Times New Roman" w:hAnsi="Times New Roman"/>
                <w:lang w:eastAsia="ja-JP"/>
              </w:rPr>
            </w:pPr>
            <w:r w:rsidRPr="00D600DA">
              <w:rPr>
                <w:rFonts w:ascii="Times New Roman" w:hAnsi="Times New Roman"/>
                <w:lang w:eastAsia="ja-JP"/>
              </w:rPr>
              <w:t xml:space="preserve">28,0 </w:t>
            </w:r>
            <w:r w:rsidRPr="00D600DA">
              <w:rPr>
                <w:rFonts w:ascii="Times New Roman" w:hAnsi="Times New Roman"/>
                <w:lang w:eastAsia="ja-JP"/>
              </w:rPr>
              <w:sym w:font="Symbol" w:char="F0B1"/>
            </w:r>
            <w:r w:rsidRPr="00D600DA">
              <w:rPr>
                <w:rFonts w:ascii="Times New Roman" w:hAnsi="Times New Roman"/>
                <w:lang w:eastAsia="ja-JP"/>
              </w:rPr>
              <w:t> 10,9</w:t>
            </w:r>
          </w:p>
        </w:tc>
        <w:tc>
          <w:tcPr>
            <w:tcW w:w="2320" w:type="pct"/>
            <w:vAlign w:val="center"/>
          </w:tcPr>
          <w:p w14:paraId="4BCEFA59" w14:textId="77777777" w:rsidR="00E850F6" w:rsidRPr="00D600DA" w:rsidRDefault="00E850F6" w:rsidP="00636DA1">
            <w:pPr>
              <w:keepNext/>
              <w:spacing w:before="80" w:after="80" w:line="240" w:lineRule="auto"/>
              <w:jc w:val="center"/>
              <w:rPr>
                <w:rFonts w:ascii="Times New Roman" w:hAnsi="Times New Roman"/>
                <w:lang w:eastAsia="ja-JP"/>
              </w:rPr>
            </w:pPr>
            <w:r w:rsidRPr="00D600DA">
              <w:rPr>
                <w:rFonts w:ascii="Times New Roman" w:hAnsi="Times New Roman"/>
                <w:lang w:eastAsia="ja-JP"/>
              </w:rPr>
              <w:t xml:space="preserve">46,3 </w:t>
            </w:r>
            <w:r w:rsidRPr="00D600DA">
              <w:rPr>
                <w:rFonts w:ascii="Times New Roman" w:hAnsi="Times New Roman"/>
                <w:lang w:eastAsia="ja-JP"/>
              </w:rPr>
              <w:sym w:font="Symbol" w:char="F0B1"/>
            </w:r>
            <w:r w:rsidRPr="00D600DA">
              <w:rPr>
                <w:rFonts w:ascii="Times New Roman" w:hAnsi="Times New Roman"/>
                <w:lang w:eastAsia="ja-JP"/>
              </w:rPr>
              <w:t> 15,2</w:t>
            </w:r>
          </w:p>
        </w:tc>
      </w:tr>
      <w:tr w:rsidR="00E850F6" w:rsidRPr="00B71670" w14:paraId="05BA368D" w14:textId="77777777" w:rsidTr="00636DA1">
        <w:trPr>
          <w:cantSplit/>
        </w:trPr>
        <w:tc>
          <w:tcPr>
            <w:tcW w:w="1138" w:type="pct"/>
            <w:vAlign w:val="center"/>
          </w:tcPr>
          <w:p w14:paraId="31665CAD" w14:textId="77777777" w:rsidR="00E850F6" w:rsidRPr="00D600DA" w:rsidRDefault="00E850F6" w:rsidP="00636DA1">
            <w:pPr>
              <w:keepNext/>
              <w:spacing w:before="80" w:after="0" w:line="240" w:lineRule="auto"/>
              <w:jc w:val="both"/>
              <w:rPr>
                <w:rFonts w:ascii="Times New Roman" w:hAnsi="Times New Roman"/>
                <w:lang w:eastAsia="ja-JP"/>
              </w:rPr>
            </w:pPr>
            <w:r w:rsidRPr="00D600DA">
              <w:rPr>
                <w:rFonts w:ascii="Times New Roman" w:hAnsi="Times New Roman"/>
                <w:lang w:eastAsia="ja-JP"/>
              </w:rPr>
              <w:t>C</w:t>
            </w:r>
            <w:r w:rsidRPr="00D600DA">
              <w:rPr>
                <w:rFonts w:ascii="Times New Roman" w:hAnsi="Times New Roman"/>
                <w:vertAlign w:val="subscript"/>
                <w:lang w:eastAsia="ja-JP"/>
              </w:rPr>
              <w:t>max</w:t>
            </w:r>
            <w:r w:rsidRPr="00D600DA">
              <w:rPr>
                <w:rFonts w:ascii="Times New Roman" w:hAnsi="Times New Roman"/>
                <w:lang w:eastAsia="ja-JP"/>
              </w:rPr>
              <w:t xml:space="preserve"> (µg/ml)</w:t>
            </w:r>
          </w:p>
        </w:tc>
        <w:tc>
          <w:tcPr>
            <w:tcW w:w="1542" w:type="pct"/>
            <w:vAlign w:val="center"/>
          </w:tcPr>
          <w:p w14:paraId="3EFE1384" w14:textId="77777777" w:rsidR="00E850F6" w:rsidRPr="00D600DA" w:rsidRDefault="00E850F6" w:rsidP="00636DA1">
            <w:pPr>
              <w:keepNext/>
              <w:spacing w:before="80" w:after="0" w:line="240" w:lineRule="auto"/>
              <w:jc w:val="center"/>
              <w:rPr>
                <w:rFonts w:ascii="Times New Roman" w:hAnsi="Times New Roman"/>
                <w:lang w:eastAsia="ja-JP"/>
              </w:rPr>
            </w:pPr>
            <w:r w:rsidRPr="00D600DA">
              <w:rPr>
                <w:rFonts w:ascii="Times New Roman" w:hAnsi="Times New Roman"/>
                <w:lang w:eastAsia="ja-JP"/>
              </w:rPr>
              <w:t xml:space="preserve">1,4 </w:t>
            </w:r>
            <w:r w:rsidRPr="00D600DA">
              <w:rPr>
                <w:rFonts w:ascii="Times New Roman" w:hAnsi="Times New Roman"/>
                <w:lang w:eastAsia="ja-JP"/>
              </w:rPr>
              <w:sym w:font="Symbol" w:char="F0B1"/>
            </w:r>
            <w:r w:rsidRPr="00D600DA">
              <w:rPr>
                <w:rFonts w:ascii="Times New Roman" w:hAnsi="Times New Roman"/>
                <w:lang w:eastAsia="ja-JP"/>
              </w:rPr>
              <w:t> 0,5</w:t>
            </w:r>
          </w:p>
        </w:tc>
        <w:tc>
          <w:tcPr>
            <w:tcW w:w="2320" w:type="pct"/>
            <w:vAlign w:val="center"/>
          </w:tcPr>
          <w:p w14:paraId="343F9169" w14:textId="77777777" w:rsidR="00E850F6" w:rsidRPr="00D600DA" w:rsidRDefault="00E850F6" w:rsidP="00636DA1">
            <w:pPr>
              <w:keepNext/>
              <w:spacing w:before="80" w:after="80" w:line="240" w:lineRule="auto"/>
              <w:jc w:val="center"/>
              <w:rPr>
                <w:rFonts w:ascii="Times New Roman" w:hAnsi="Times New Roman"/>
                <w:lang w:eastAsia="ja-JP"/>
              </w:rPr>
            </w:pPr>
            <w:r w:rsidRPr="00D600DA">
              <w:rPr>
                <w:rFonts w:ascii="Times New Roman" w:hAnsi="Times New Roman"/>
                <w:lang w:eastAsia="ja-JP"/>
              </w:rPr>
              <w:t xml:space="preserve">5,3 </w:t>
            </w:r>
            <w:r w:rsidRPr="00D600DA">
              <w:rPr>
                <w:rFonts w:ascii="Times New Roman" w:hAnsi="Times New Roman"/>
                <w:lang w:eastAsia="ja-JP"/>
              </w:rPr>
              <w:sym w:font="Symbol" w:char="F0B1"/>
            </w:r>
            <w:r w:rsidRPr="00D600DA">
              <w:rPr>
                <w:rFonts w:ascii="Times New Roman" w:hAnsi="Times New Roman"/>
                <w:lang w:eastAsia="ja-JP"/>
              </w:rPr>
              <w:t> 1,5</w:t>
            </w:r>
          </w:p>
        </w:tc>
      </w:tr>
    </w:tbl>
    <w:p w14:paraId="53CB64B0" w14:textId="77777777" w:rsidR="00E850F6" w:rsidRPr="00D600DA" w:rsidRDefault="00E850F6" w:rsidP="00E850F6">
      <w:pPr>
        <w:spacing w:after="0" w:line="240" w:lineRule="auto"/>
        <w:rPr>
          <w:rFonts w:ascii="Times New Roman" w:hAnsi="Times New Roman"/>
          <w:lang w:eastAsia="ja-JP"/>
        </w:rPr>
      </w:pPr>
    </w:p>
    <w:p w14:paraId="3CE286E2"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Širdies, inkstų ir kepenų transplantatų recipientų, gydytų valgancikloviru atsižvelgiant į inkstų veiklos nepakankamumą, organizmo bendroji ekspozicija ganciklovirui buvo panaši.</w:t>
      </w:r>
    </w:p>
    <w:p w14:paraId="595D68DD" w14:textId="77777777" w:rsidR="00E850F6" w:rsidRPr="00D600DA" w:rsidRDefault="00E850F6" w:rsidP="00E850F6">
      <w:pPr>
        <w:spacing w:after="0" w:line="240" w:lineRule="auto"/>
        <w:rPr>
          <w:rFonts w:ascii="Times New Roman" w:hAnsi="Times New Roman"/>
          <w:lang w:eastAsia="ja-JP"/>
        </w:rPr>
      </w:pPr>
    </w:p>
    <w:p w14:paraId="6F8CBB2D"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Vartojant valgancikloviro geriamąjį tirpalą, bendroji ekspozicija ganciklovirui buvo panaši, kaip ir vartojant tabletes.</w:t>
      </w:r>
    </w:p>
    <w:p w14:paraId="04F5A5D6" w14:textId="77777777" w:rsidR="00E850F6" w:rsidRPr="00D600DA" w:rsidRDefault="00E850F6" w:rsidP="00E850F6">
      <w:pPr>
        <w:spacing w:after="0" w:line="240" w:lineRule="auto"/>
        <w:rPr>
          <w:rFonts w:ascii="Times New Roman" w:hAnsi="Times New Roman"/>
          <w:lang w:eastAsia="ja-JP"/>
        </w:rPr>
      </w:pPr>
    </w:p>
    <w:p w14:paraId="5EE7B937" w14:textId="77777777" w:rsidR="00E850F6" w:rsidRPr="00D600DA" w:rsidRDefault="00E850F6" w:rsidP="00E850F6">
      <w:pPr>
        <w:spacing w:after="0" w:line="240" w:lineRule="auto"/>
        <w:rPr>
          <w:rFonts w:ascii="Times New Roman" w:hAnsi="Times New Roman"/>
          <w:i/>
          <w:lang w:eastAsia="ja-JP"/>
        </w:rPr>
      </w:pPr>
      <w:r w:rsidRPr="00D600DA">
        <w:rPr>
          <w:rFonts w:ascii="Times New Roman" w:hAnsi="Times New Roman"/>
          <w:i/>
          <w:lang w:eastAsia="ja-JP"/>
        </w:rPr>
        <w:t>Maisto poveikis</w:t>
      </w:r>
    </w:p>
    <w:p w14:paraId="7AB94ED7"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Vartojant rekomenduojamąją valgancikloviro 900 mg dozę su maistu, vidutinės gancikloviro AUC ir C</w:t>
      </w:r>
      <w:r w:rsidRPr="00D600DA">
        <w:rPr>
          <w:rFonts w:ascii="Times New Roman" w:hAnsi="Times New Roman"/>
          <w:vertAlign w:val="subscript"/>
          <w:lang w:eastAsia="ja-JP"/>
        </w:rPr>
        <w:t>max</w:t>
      </w:r>
      <w:r w:rsidRPr="00D600DA">
        <w:rPr>
          <w:rFonts w:ascii="Times New Roman" w:hAnsi="Times New Roman"/>
          <w:lang w:eastAsia="ja-JP"/>
        </w:rPr>
        <w:t xml:space="preserve"> reikšmės buvo didesnės, negu vartojant vaistą nevalgius (atitinkamai apie 30 % ir 14 %). Kai Valcyte vartojamas su maistu, mažesni ir ekspozicijos ganciklovirui individualūs svyravimai. Atliekant klinikinius tyrimus, Valcyte buvo vartojamas tik su maistu. Tokia yra ir Valcyte vartojimo rekomendacija (žr. 4.2 skyrių).</w:t>
      </w:r>
    </w:p>
    <w:p w14:paraId="32128278" w14:textId="77777777" w:rsidR="00E850F6" w:rsidRPr="00D600DA" w:rsidRDefault="00E850F6" w:rsidP="00E850F6">
      <w:pPr>
        <w:spacing w:after="0" w:line="240" w:lineRule="auto"/>
        <w:rPr>
          <w:rFonts w:ascii="Times New Roman" w:hAnsi="Times New Roman"/>
          <w:lang w:eastAsia="ja-JP"/>
        </w:rPr>
      </w:pPr>
    </w:p>
    <w:p w14:paraId="0B2412E2" w14:textId="77777777" w:rsidR="00E850F6" w:rsidRPr="00402217" w:rsidRDefault="00E850F6" w:rsidP="00D660E2">
      <w:pPr>
        <w:keepNext/>
        <w:keepLines/>
        <w:spacing w:after="0" w:line="240" w:lineRule="auto"/>
        <w:rPr>
          <w:rFonts w:ascii="Times New Roman" w:hAnsi="Times New Roman"/>
          <w:u w:val="single"/>
        </w:rPr>
      </w:pPr>
      <w:r w:rsidRPr="00F36DBF">
        <w:rPr>
          <w:rFonts w:ascii="Times New Roman" w:eastAsia="Times New Roman" w:hAnsi="Times New Roman"/>
          <w:u w:val="single"/>
          <w:lang w:eastAsia="ja-JP"/>
        </w:rPr>
        <w:t>Pasiskirstymas</w:t>
      </w:r>
    </w:p>
    <w:p w14:paraId="01F5210D" w14:textId="77777777" w:rsidR="00E850F6" w:rsidRPr="00F36DBF" w:rsidRDefault="00E850F6" w:rsidP="00E850F6">
      <w:pPr>
        <w:spacing w:after="0" w:line="240" w:lineRule="auto"/>
        <w:rPr>
          <w:rFonts w:ascii="Times New Roman" w:eastAsia="Times New Roman" w:hAnsi="Times New Roman"/>
          <w:lang w:eastAsia="ja-JP"/>
        </w:rPr>
      </w:pPr>
      <w:r w:rsidRPr="00F36DBF">
        <w:rPr>
          <w:rFonts w:ascii="Times New Roman" w:eastAsia="Times New Roman" w:hAnsi="Times New Roman"/>
          <w:lang w:eastAsia="ja-JP"/>
        </w:rPr>
        <w:t xml:space="preserve">Kadangi valgancikloviras greitai virsta gancikloviru, valgancikloviro jungimasis su baltymais netirtas. Į veną leidžiamo gancikloviro pasiskirstymo tūris </w:t>
      </w:r>
      <w:r w:rsidRPr="00F36DBF">
        <w:rPr>
          <w:rFonts w:ascii="Times New Roman" w:eastAsia="Times New Roman" w:hAnsi="Times New Roman"/>
          <w:lang w:eastAsia="en-US"/>
        </w:rPr>
        <w:t>(V</w:t>
      </w:r>
      <w:r w:rsidRPr="00F36DBF">
        <w:rPr>
          <w:rFonts w:ascii="Times New Roman" w:eastAsia="Times New Roman" w:hAnsi="Times New Roman"/>
          <w:vertAlign w:val="subscript"/>
          <w:lang w:eastAsia="en-US"/>
        </w:rPr>
        <w:t>d</w:t>
      </w:r>
      <w:r w:rsidRPr="00F36DBF">
        <w:rPr>
          <w:rFonts w:ascii="Times New Roman" w:eastAsia="Times New Roman" w:hAnsi="Times New Roman"/>
          <w:lang w:eastAsia="en-US"/>
        </w:rPr>
        <w:t xml:space="preserve">) </w:t>
      </w:r>
      <w:r w:rsidRPr="00F36DBF">
        <w:rPr>
          <w:rFonts w:ascii="Times New Roman" w:eastAsia="Times New Roman" w:hAnsi="Times New Roman"/>
          <w:lang w:eastAsia="ja-JP"/>
        </w:rPr>
        <w:t xml:space="preserve">esant jo pusiausvyrinei koncentracijai yra 0,680 </w:t>
      </w:r>
      <w:r w:rsidRPr="00F36DBF">
        <w:rPr>
          <w:rFonts w:ascii="Times New Roman" w:eastAsia="Times New Roman" w:hAnsi="Times New Roman"/>
          <w:lang w:eastAsia="ja-JP"/>
        </w:rPr>
        <w:sym w:font="Symbol" w:char="F0B1"/>
      </w:r>
      <w:r w:rsidRPr="00F36DBF">
        <w:rPr>
          <w:rFonts w:ascii="Times New Roman" w:eastAsia="Times New Roman" w:hAnsi="Times New Roman"/>
          <w:lang w:eastAsia="ja-JP"/>
        </w:rPr>
        <w:t xml:space="preserve"> 0,161</w:t>
      </w:r>
      <w:r>
        <w:rPr>
          <w:rFonts w:ascii="Times New Roman" w:eastAsia="Times New Roman" w:hAnsi="Times New Roman"/>
          <w:lang w:eastAsia="ja-JP"/>
        </w:rPr>
        <w:t> </w:t>
      </w:r>
      <w:r w:rsidRPr="00F36DBF">
        <w:rPr>
          <w:rFonts w:ascii="Times New Roman" w:eastAsia="Times New Roman" w:hAnsi="Times New Roman"/>
          <w:lang w:eastAsia="ja-JP"/>
        </w:rPr>
        <w:t>l/kg (n</w:t>
      </w:r>
      <w:r>
        <w:rPr>
          <w:rFonts w:ascii="Times New Roman" w:eastAsia="Times New Roman" w:hAnsi="Times New Roman"/>
          <w:lang w:eastAsia="ja-JP"/>
        </w:rPr>
        <w:t xml:space="preserve"> </w:t>
      </w:r>
      <w:r w:rsidRPr="00F36DBF">
        <w:rPr>
          <w:rFonts w:ascii="Times New Roman" w:eastAsia="Times New Roman" w:hAnsi="Times New Roman"/>
          <w:lang w:eastAsia="ja-JP"/>
        </w:rPr>
        <w:t>=</w:t>
      </w:r>
      <w:r>
        <w:rPr>
          <w:rFonts w:ascii="Times New Roman" w:eastAsia="Times New Roman" w:hAnsi="Times New Roman"/>
          <w:lang w:eastAsia="ja-JP"/>
        </w:rPr>
        <w:t xml:space="preserve"> </w:t>
      </w:r>
      <w:r w:rsidRPr="00F36DBF">
        <w:rPr>
          <w:rFonts w:ascii="Times New Roman" w:eastAsia="Times New Roman" w:hAnsi="Times New Roman"/>
          <w:lang w:eastAsia="ja-JP"/>
        </w:rPr>
        <w:t>114).</w:t>
      </w:r>
      <w:r w:rsidRPr="0026286F">
        <w:rPr>
          <w:rFonts w:ascii="Times New Roman" w:eastAsia="Times New Roman" w:hAnsi="Times New Roman"/>
          <w:lang w:eastAsia="ja-JP"/>
        </w:rPr>
        <w:t xml:space="preserve"> </w:t>
      </w:r>
      <w:r>
        <w:rPr>
          <w:rFonts w:ascii="Times New Roman" w:eastAsia="Times New Roman" w:hAnsi="Times New Roman"/>
          <w:lang w:eastAsia="ja-JP"/>
        </w:rPr>
        <w:t xml:space="preserve">Gancikloviro suleidus į veną, jo pasiskirstymo tūris koreliuoja su kūno mase, nusistovėjus pusiausvyrai pasiskirstymo tūris svyruoja nuo 0,54 iki 0,87 l/kg. Gancikloviras prasiskverbia į smegenų skystį. </w:t>
      </w:r>
      <w:r w:rsidRPr="00F36DBF">
        <w:rPr>
          <w:rFonts w:ascii="Times New Roman" w:eastAsia="Times New Roman" w:hAnsi="Times New Roman"/>
          <w:lang w:eastAsia="ja-JP"/>
        </w:rPr>
        <w:t>Kai gancikloviro koncentracija nuo 0,5 iki 51</w:t>
      </w:r>
      <w:r>
        <w:rPr>
          <w:rFonts w:ascii="Times New Roman" w:eastAsia="Times New Roman" w:hAnsi="Times New Roman"/>
          <w:lang w:eastAsia="ja-JP"/>
        </w:rPr>
        <w:t> mk</w:t>
      </w:r>
      <w:r w:rsidRPr="00F36DBF">
        <w:rPr>
          <w:rFonts w:ascii="Times New Roman" w:eastAsia="Times New Roman" w:hAnsi="Times New Roman"/>
          <w:lang w:eastAsia="ja-JP"/>
        </w:rPr>
        <w:t>g/ml, susijungusio su plazmos baltymais jo būna nuo 1 % iki 2 %.</w:t>
      </w:r>
    </w:p>
    <w:p w14:paraId="3401A4FF" w14:textId="77777777" w:rsidR="00E850F6" w:rsidRPr="00F36DBF" w:rsidRDefault="00E850F6" w:rsidP="00E850F6">
      <w:pPr>
        <w:spacing w:after="0" w:line="240" w:lineRule="auto"/>
        <w:rPr>
          <w:rFonts w:ascii="Times New Roman" w:eastAsia="Times New Roman" w:hAnsi="Times New Roman"/>
          <w:lang w:eastAsia="ja-JP"/>
        </w:rPr>
      </w:pPr>
    </w:p>
    <w:p w14:paraId="3E23AA19" w14:textId="77777777" w:rsidR="00E850F6" w:rsidRPr="00402217" w:rsidRDefault="00E850F6" w:rsidP="00E850F6">
      <w:pPr>
        <w:spacing w:after="0" w:line="240" w:lineRule="auto"/>
        <w:rPr>
          <w:rFonts w:ascii="Times New Roman" w:hAnsi="Times New Roman"/>
          <w:u w:val="single"/>
        </w:rPr>
      </w:pPr>
      <w:r w:rsidRPr="00F36DBF">
        <w:rPr>
          <w:rFonts w:ascii="Times New Roman" w:eastAsia="Times New Roman" w:hAnsi="Times New Roman"/>
          <w:u w:val="single"/>
          <w:lang w:eastAsia="ja-JP"/>
        </w:rPr>
        <w:t>Biotransformacija</w:t>
      </w:r>
    </w:p>
    <w:p w14:paraId="79415B4B" w14:textId="77777777" w:rsidR="00E850F6" w:rsidRPr="00F36DBF" w:rsidRDefault="00E850F6" w:rsidP="00E850F6">
      <w:pPr>
        <w:spacing w:after="0" w:line="240" w:lineRule="auto"/>
        <w:rPr>
          <w:rFonts w:ascii="Times New Roman" w:eastAsia="Times New Roman" w:hAnsi="Times New Roman"/>
          <w:lang w:eastAsia="ja-JP"/>
        </w:rPr>
      </w:pPr>
      <w:r w:rsidRPr="00F36DBF">
        <w:rPr>
          <w:rFonts w:ascii="Times New Roman" w:eastAsia="Times New Roman" w:hAnsi="Times New Roman"/>
          <w:lang w:eastAsia="ja-JP"/>
        </w:rPr>
        <w:t xml:space="preserve">Valgancikloviras greitai ir gausiai metabolizuojamas į ganciklovirą; kitokių metabolitų nenustatyta. </w:t>
      </w:r>
      <w:r>
        <w:rPr>
          <w:rFonts w:ascii="Times New Roman" w:eastAsia="Times New Roman" w:hAnsi="Times New Roman"/>
          <w:lang w:eastAsia="ja-JP"/>
        </w:rPr>
        <w:t>Pats gancikloviras metabolizuojamas nereikšmingai.</w:t>
      </w:r>
    </w:p>
    <w:p w14:paraId="5B5840C2" w14:textId="77777777" w:rsidR="00E850F6" w:rsidRPr="00D600DA" w:rsidRDefault="00E850F6" w:rsidP="00E850F6">
      <w:pPr>
        <w:spacing w:after="0" w:line="240" w:lineRule="auto"/>
        <w:rPr>
          <w:rFonts w:ascii="Times New Roman" w:hAnsi="Times New Roman"/>
          <w:u w:val="single"/>
          <w:lang w:eastAsia="ja-JP"/>
        </w:rPr>
      </w:pPr>
    </w:p>
    <w:p w14:paraId="63B93DB2" w14:textId="77777777" w:rsidR="00E850F6" w:rsidRPr="00D600DA" w:rsidRDefault="00E850F6" w:rsidP="00E850F6">
      <w:pPr>
        <w:keepNext/>
        <w:keepLines/>
        <w:spacing w:after="0" w:line="240" w:lineRule="auto"/>
        <w:rPr>
          <w:rFonts w:ascii="Times New Roman" w:hAnsi="Times New Roman"/>
          <w:lang w:eastAsia="ja-JP"/>
        </w:rPr>
      </w:pPr>
      <w:r w:rsidRPr="00D600DA">
        <w:rPr>
          <w:rFonts w:ascii="Times New Roman" w:hAnsi="Times New Roman"/>
          <w:u w:val="single"/>
          <w:lang w:eastAsia="ja-JP"/>
        </w:rPr>
        <w:t>Eliminacija</w:t>
      </w:r>
    </w:p>
    <w:p w14:paraId="5480D318" w14:textId="77777777" w:rsidR="00E850F6" w:rsidRPr="00D600DA" w:rsidRDefault="00E850F6" w:rsidP="00E850F6">
      <w:pPr>
        <w:spacing w:after="0" w:line="240" w:lineRule="auto"/>
        <w:rPr>
          <w:rFonts w:ascii="Times New Roman" w:hAnsi="Times New Roman"/>
          <w:lang w:eastAsia="ja-JP"/>
        </w:rPr>
      </w:pPr>
      <w:r>
        <w:rPr>
          <w:rFonts w:ascii="Times New Roman" w:eastAsia="Times New Roman" w:hAnsi="Times New Roman"/>
          <w:lang w:eastAsia="ja-JP"/>
        </w:rPr>
        <w:t>Išgertas</w:t>
      </w:r>
      <w:r w:rsidRPr="0026286F">
        <w:rPr>
          <w:rFonts w:ascii="Times New Roman" w:eastAsia="Times New Roman" w:hAnsi="Times New Roman"/>
          <w:lang w:eastAsia="ja-JP"/>
        </w:rPr>
        <w:t xml:space="preserve"> valgancikloviras greitai hidrolizuojamas </w:t>
      </w:r>
      <w:r>
        <w:rPr>
          <w:rFonts w:ascii="Times New Roman" w:eastAsia="Times New Roman" w:hAnsi="Times New Roman"/>
          <w:lang w:eastAsia="ja-JP"/>
        </w:rPr>
        <w:t>ir tampa gancikloviru</w:t>
      </w:r>
      <w:r w:rsidRPr="0026286F">
        <w:rPr>
          <w:rFonts w:ascii="Times New Roman" w:eastAsia="Times New Roman" w:hAnsi="Times New Roman"/>
          <w:lang w:eastAsia="ja-JP"/>
        </w:rPr>
        <w:t>. Ganciklovir</w:t>
      </w:r>
      <w:r>
        <w:rPr>
          <w:rFonts w:ascii="Times New Roman" w:eastAsia="Times New Roman" w:hAnsi="Times New Roman"/>
          <w:lang w:eastAsia="ja-JP"/>
        </w:rPr>
        <w:t>as</w:t>
      </w:r>
      <w:r w:rsidRPr="0026286F">
        <w:rPr>
          <w:rFonts w:ascii="Times New Roman" w:eastAsia="Times New Roman" w:hAnsi="Times New Roman"/>
          <w:lang w:eastAsia="ja-JP"/>
        </w:rPr>
        <w:t xml:space="preserve"> iš sisteminės kraujotakos </w:t>
      </w:r>
      <w:r>
        <w:rPr>
          <w:rFonts w:ascii="Times New Roman" w:eastAsia="Times New Roman" w:hAnsi="Times New Roman"/>
          <w:lang w:eastAsia="ja-JP"/>
        </w:rPr>
        <w:t xml:space="preserve">yra </w:t>
      </w:r>
      <w:r w:rsidRPr="0026286F">
        <w:rPr>
          <w:rFonts w:ascii="Times New Roman" w:eastAsia="Times New Roman" w:hAnsi="Times New Roman"/>
          <w:lang w:eastAsia="ja-JP"/>
        </w:rPr>
        <w:t xml:space="preserve">šalinamas glomerulų filtracijos ir aktyvios sekrecijos </w:t>
      </w:r>
      <w:r>
        <w:rPr>
          <w:rFonts w:ascii="Times New Roman" w:eastAsia="Times New Roman" w:hAnsi="Times New Roman"/>
          <w:lang w:eastAsia="ja-JP"/>
        </w:rPr>
        <w:t>kanalėliuose</w:t>
      </w:r>
      <w:r w:rsidRPr="0026286F">
        <w:rPr>
          <w:rFonts w:ascii="Times New Roman" w:eastAsia="Times New Roman" w:hAnsi="Times New Roman"/>
          <w:lang w:eastAsia="ja-JP"/>
        </w:rPr>
        <w:t xml:space="preserve"> </w:t>
      </w:r>
      <w:r>
        <w:rPr>
          <w:rFonts w:ascii="Times New Roman" w:eastAsia="Times New Roman" w:hAnsi="Times New Roman"/>
          <w:lang w:eastAsia="ja-JP"/>
        </w:rPr>
        <w:t>būdais</w:t>
      </w:r>
      <w:r w:rsidRPr="0026286F">
        <w:rPr>
          <w:rFonts w:ascii="Times New Roman" w:eastAsia="Times New Roman" w:hAnsi="Times New Roman"/>
          <w:lang w:eastAsia="ja-JP"/>
        </w:rPr>
        <w:t xml:space="preserve">. </w:t>
      </w:r>
      <w:r>
        <w:rPr>
          <w:rFonts w:ascii="Times New Roman" w:eastAsia="Times New Roman" w:hAnsi="Times New Roman"/>
          <w:lang w:eastAsia="ja-JP"/>
        </w:rPr>
        <w:t>Pacientų, kurių inkstų veikl</w:t>
      </w:r>
      <w:r w:rsidRPr="0026286F">
        <w:rPr>
          <w:rFonts w:ascii="Times New Roman" w:eastAsia="Times New Roman" w:hAnsi="Times New Roman"/>
          <w:lang w:eastAsia="ja-JP"/>
        </w:rPr>
        <w:t>a normali</w:t>
      </w:r>
      <w:r>
        <w:rPr>
          <w:rFonts w:ascii="Times New Roman" w:eastAsia="Times New Roman" w:hAnsi="Times New Roman"/>
          <w:lang w:eastAsia="ja-JP"/>
        </w:rPr>
        <w:t>,</w:t>
      </w:r>
      <w:r w:rsidRPr="0026286F">
        <w:rPr>
          <w:rFonts w:ascii="Times New Roman" w:eastAsia="Times New Roman" w:hAnsi="Times New Roman"/>
          <w:lang w:eastAsia="ja-JP"/>
        </w:rPr>
        <w:t xml:space="preserve"> šlapime per 24 valandas buvo aptikta d</w:t>
      </w:r>
      <w:r>
        <w:rPr>
          <w:rFonts w:ascii="Times New Roman" w:eastAsia="Times New Roman" w:hAnsi="Times New Roman"/>
          <w:lang w:eastAsia="ja-JP"/>
        </w:rPr>
        <w:t>augiau kaip</w:t>
      </w:r>
      <w:r w:rsidRPr="0026286F">
        <w:rPr>
          <w:rFonts w:ascii="Times New Roman" w:eastAsia="Times New Roman" w:hAnsi="Times New Roman"/>
          <w:lang w:eastAsia="ja-JP"/>
        </w:rPr>
        <w:t xml:space="preserve"> 90</w:t>
      </w:r>
      <w:r>
        <w:rPr>
          <w:rFonts w:ascii="Times New Roman" w:eastAsia="Times New Roman" w:hAnsi="Times New Roman"/>
          <w:lang w:eastAsia="ja-JP"/>
        </w:rPr>
        <w:t> </w:t>
      </w:r>
      <w:r w:rsidRPr="0026286F">
        <w:rPr>
          <w:rFonts w:ascii="Times New Roman" w:eastAsia="Times New Roman" w:hAnsi="Times New Roman"/>
          <w:lang w:eastAsia="ja-JP"/>
        </w:rPr>
        <w:t xml:space="preserve">% </w:t>
      </w:r>
      <w:r>
        <w:rPr>
          <w:rFonts w:ascii="Times New Roman" w:eastAsia="Times New Roman" w:hAnsi="Times New Roman"/>
          <w:lang w:eastAsia="ja-JP"/>
        </w:rPr>
        <w:t>ne</w:t>
      </w:r>
      <w:r w:rsidRPr="0026286F">
        <w:rPr>
          <w:rFonts w:ascii="Times New Roman" w:eastAsia="Times New Roman" w:hAnsi="Times New Roman"/>
          <w:lang w:eastAsia="ja-JP"/>
        </w:rPr>
        <w:t>metabolizuo</w:t>
      </w:r>
      <w:r>
        <w:rPr>
          <w:rFonts w:ascii="Times New Roman" w:eastAsia="Times New Roman" w:hAnsi="Times New Roman"/>
          <w:lang w:eastAsia="ja-JP"/>
        </w:rPr>
        <w:t>to į veną suleisto</w:t>
      </w:r>
      <w:r w:rsidRPr="0026286F">
        <w:rPr>
          <w:rFonts w:ascii="Times New Roman" w:eastAsia="Times New Roman" w:hAnsi="Times New Roman"/>
          <w:lang w:eastAsia="ja-JP"/>
        </w:rPr>
        <w:t xml:space="preserve"> gancikloviro</w:t>
      </w:r>
      <w:r>
        <w:rPr>
          <w:rFonts w:ascii="Times New Roman" w:eastAsia="Times New Roman" w:hAnsi="Times New Roman"/>
          <w:lang w:eastAsia="ja-JP"/>
        </w:rPr>
        <w:t>. Pacientų, kurių inkstų veikl</w:t>
      </w:r>
      <w:r w:rsidRPr="0026286F">
        <w:rPr>
          <w:rFonts w:ascii="Times New Roman" w:eastAsia="Times New Roman" w:hAnsi="Times New Roman"/>
          <w:lang w:eastAsia="ja-JP"/>
        </w:rPr>
        <w:t xml:space="preserve">a normali, </w:t>
      </w:r>
      <w:r>
        <w:rPr>
          <w:rFonts w:ascii="Times New Roman" w:eastAsia="Times New Roman" w:hAnsi="Times New Roman"/>
          <w:lang w:eastAsia="ja-JP"/>
        </w:rPr>
        <w:t xml:space="preserve">organizme </w:t>
      </w:r>
      <w:r w:rsidRPr="0026286F">
        <w:rPr>
          <w:rFonts w:ascii="Times New Roman" w:eastAsia="Times New Roman" w:hAnsi="Times New Roman"/>
          <w:lang w:eastAsia="ja-JP"/>
        </w:rPr>
        <w:t>gancikloviro</w:t>
      </w:r>
      <w:r>
        <w:rPr>
          <w:rFonts w:ascii="Times New Roman" w:eastAsia="Times New Roman" w:hAnsi="Times New Roman"/>
          <w:lang w:eastAsia="ja-JP"/>
        </w:rPr>
        <w:t xml:space="preserve"> po didžiausios</w:t>
      </w:r>
      <w:r w:rsidRPr="0026286F">
        <w:rPr>
          <w:rFonts w:ascii="Times New Roman" w:eastAsia="Times New Roman" w:hAnsi="Times New Roman"/>
          <w:lang w:eastAsia="ja-JP"/>
        </w:rPr>
        <w:t xml:space="preserve"> koncentracija plazmoje p</w:t>
      </w:r>
      <w:r>
        <w:rPr>
          <w:rFonts w:ascii="Times New Roman" w:eastAsia="Times New Roman" w:hAnsi="Times New Roman"/>
          <w:lang w:eastAsia="ja-JP"/>
        </w:rPr>
        <w:t>avartojus valgancikloviro</w:t>
      </w:r>
      <w:r w:rsidRPr="0026286F">
        <w:rPr>
          <w:rFonts w:ascii="Times New Roman" w:eastAsia="Times New Roman" w:hAnsi="Times New Roman"/>
          <w:lang w:eastAsia="ja-JP"/>
        </w:rPr>
        <w:t xml:space="preserve"> mažėja</w:t>
      </w:r>
      <w:r>
        <w:rPr>
          <w:rFonts w:ascii="Times New Roman" w:eastAsia="Times New Roman" w:hAnsi="Times New Roman"/>
          <w:lang w:eastAsia="ja-JP"/>
        </w:rPr>
        <w:t>,</w:t>
      </w:r>
      <w:r w:rsidRPr="0026286F">
        <w:rPr>
          <w:rFonts w:ascii="Times New Roman" w:eastAsia="Times New Roman" w:hAnsi="Times New Roman"/>
          <w:lang w:eastAsia="ja-JP"/>
        </w:rPr>
        <w:t xml:space="preserve"> pus</w:t>
      </w:r>
      <w:r>
        <w:rPr>
          <w:rFonts w:ascii="Times New Roman" w:eastAsia="Times New Roman" w:hAnsi="Times New Roman"/>
          <w:lang w:eastAsia="ja-JP"/>
        </w:rPr>
        <w:t>inio gyvavimo laikui kintant nuo</w:t>
      </w:r>
      <w:r w:rsidRPr="0026286F">
        <w:rPr>
          <w:rFonts w:ascii="Times New Roman" w:eastAsia="Times New Roman" w:hAnsi="Times New Roman"/>
          <w:lang w:eastAsia="ja-JP"/>
        </w:rPr>
        <w:t xml:space="preserve"> 0,4 </w:t>
      </w:r>
      <w:r>
        <w:rPr>
          <w:rFonts w:ascii="Times New Roman" w:eastAsia="Times New Roman" w:hAnsi="Times New Roman"/>
          <w:lang w:eastAsia="ja-JP"/>
        </w:rPr>
        <w:t xml:space="preserve">valandos </w:t>
      </w:r>
      <w:r w:rsidRPr="0026286F">
        <w:rPr>
          <w:rFonts w:ascii="Times New Roman" w:eastAsia="Times New Roman" w:hAnsi="Times New Roman"/>
          <w:lang w:eastAsia="ja-JP"/>
        </w:rPr>
        <w:t xml:space="preserve">iki 2,0 </w:t>
      </w:r>
      <w:r>
        <w:rPr>
          <w:rFonts w:ascii="Times New Roman" w:eastAsia="Times New Roman" w:hAnsi="Times New Roman"/>
          <w:lang w:eastAsia="ja-JP"/>
        </w:rPr>
        <w:t>valandų</w:t>
      </w:r>
      <w:r w:rsidRPr="00F36DBF">
        <w:rPr>
          <w:rFonts w:ascii="Times New Roman" w:eastAsia="Times New Roman" w:hAnsi="Times New Roman"/>
          <w:lang w:eastAsia="ja-JP"/>
        </w:rPr>
        <w:t>.</w:t>
      </w:r>
    </w:p>
    <w:p w14:paraId="6D2F1C1A" w14:textId="77777777" w:rsidR="00E850F6" w:rsidRPr="00D600DA" w:rsidRDefault="00E850F6" w:rsidP="00E850F6">
      <w:pPr>
        <w:spacing w:after="0" w:line="240" w:lineRule="auto"/>
        <w:rPr>
          <w:rFonts w:ascii="Times New Roman" w:hAnsi="Times New Roman"/>
          <w:lang w:eastAsia="ja-JP"/>
        </w:rPr>
      </w:pPr>
    </w:p>
    <w:p w14:paraId="43561039" w14:textId="77777777" w:rsidR="00E850F6" w:rsidRPr="00D600DA" w:rsidRDefault="00E850F6" w:rsidP="00E850F6">
      <w:pPr>
        <w:spacing w:after="0" w:line="240" w:lineRule="auto"/>
        <w:rPr>
          <w:rFonts w:ascii="Times New Roman" w:hAnsi="Times New Roman"/>
          <w:u w:val="single"/>
          <w:lang w:eastAsia="ja-JP"/>
        </w:rPr>
      </w:pPr>
      <w:r w:rsidRPr="00D600DA">
        <w:rPr>
          <w:rFonts w:ascii="Times New Roman" w:hAnsi="Times New Roman"/>
          <w:u w:val="single"/>
          <w:lang w:eastAsia="ja-JP"/>
        </w:rPr>
        <w:t>Farmakokinetika ypatingomis klinikinėmis aplinkybėmis</w:t>
      </w:r>
    </w:p>
    <w:p w14:paraId="57B9416F" w14:textId="77777777" w:rsidR="00E850F6" w:rsidRPr="00D600DA" w:rsidRDefault="00E850F6" w:rsidP="00E850F6">
      <w:pPr>
        <w:spacing w:after="0" w:line="240" w:lineRule="auto"/>
        <w:rPr>
          <w:rFonts w:ascii="Times New Roman" w:hAnsi="Times New Roman"/>
          <w:lang w:eastAsia="ja-JP"/>
        </w:rPr>
      </w:pPr>
    </w:p>
    <w:p w14:paraId="79101A49" w14:textId="77777777" w:rsidR="00E850F6" w:rsidRPr="00D600DA" w:rsidRDefault="00E850F6" w:rsidP="00E850F6">
      <w:pPr>
        <w:spacing w:after="0" w:line="240" w:lineRule="auto"/>
        <w:rPr>
          <w:rFonts w:ascii="Times New Roman" w:hAnsi="Times New Roman"/>
          <w:i/>
          <w:lang w:eastAsia="ja-JP"/>
        </w:rPr>
      </w:pPr>
      <w:r w:rsidRPr="00D600DA">
        <w:rPr>
          <w:rFonts w:ascii="Times New Roman" w:hAnsi="Times New Roman"/>
          <w:i/>
          <w:lang w:eastAsia="ja-JP"/>
        </w:rPr>
        <w:t>Vaikų populiacija</w:t>
      </w:r>
    </w:p>
    <w:p w14:paraId="79CD4FFD"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iCs/>
          <w:lang w:eastAsia="ja-JP"/>
        </w:rPr>
        <w:t>II fazės farmakokinetikos ir saugumo klinikiniame tyrime dalyvavę vaikai (nuo 4 mėnesių iki 16 metų amžiaus, n = 63) su persodintu parenchiminiu organu valganciklovirą vartojo vieną kartą per parą iki 100 dienų. F</w:t>
      </w:r>
      <w:r w:rsidRPr="00D600DA">
        <w:rPr>
          <w:rFonts w:ascii="Times New Roman" w:hAnsi="Times New Roman"/>
          <w:lang w:eastAsia="ja-JP"/>
        </w:rPr>
        <w:t>armakokinetikos parametrai pagal organo tipą ir amžiaus grupes buvo panašūs ir palygintini su suaugusių tiriamųjų</w:t>
      </w:r>
      <w:r w:rsidRPr="00D600DA">
        <w:rPr>
          <w:rFonts w:ascii="Times New Roman" w:eastAsia="PMingLiU" w:hAnsi="Times New Roman"/>
          <w:lang w:eastAsia="ja-JP"/>
        </w:rPr>
        <w:t xml:space="preserve">. </w:t>
      </w:r>
      <w:r w:rsidRPr="00D600DA">
        <w:rPr>
          <w:rFonts w:ascii="Times New Roman" w:hAnsi="Times New Roman"/>
          <w:lang w:eastAsia="ja-JP"/>
        </w:rPr>
        <w:t xml:space="preserve">Populiacijos farmakokinetikos modeliavimas rodo, kad biologinis </w:t>
      </w:r>
      <w:r w:rsidRPr="00D600DA">
        <w:rPr>
          <w:rFonts w:ascii="Times New Roman" w:hAnsi="Times New Roman"/>
          <w:lang w:eastAsia="ja-JP"/>
        </w:rPr>
        <w:lastRenderedPageBreak/>
        <w:t xml:space="preserve">prieinamumas buvo maždaug 60 %. Tiek kūno paviršiaus plotas, tiek inkstų veikla turėjo teigiamą poveikį klirensui. </w:t>
      </w:r>
    </w:p>
    <w:p w14:paraId="54828549" w14:textId="77777777" w:rsidR="00E850F6" w:rsidRPr="00D600DA" w:rsidRDefault="00E850F6" w:rsidP="00E850F6">
      <w:pPr>
        <w:spacing w:after="0" w:line="240" w:lineRule="auto"/>
        <w:rPr>
          <w:rFonts w:ascii="Times New Roman" w:hAnsi="Times New Roman"/>
          <w:lang w:eastAsia="ja-JP"/>
        </w:rPr>
      </w:pPr>
    </w:p>
    <w:p w14:paraId="2E401C69" w14:textId="77777777" w:rsidR="00E850F6" w:rsidRPr="00D600DA" w:rsidRDefault="00E850F6" w:rsidP="00E850F6">
      <w:pPr>
        <w:spacing w:after="0" w:line="240" w:lineRule="auto"/>
        <w:rPr>
          <w:rFonts w:ascii="Times New Roman" w:eastAsia="Times New Roman" w:hAnsi="Times New Roman"/>
          <w:lang w:eastAsia="ja-JP"/>
        </w:rPr>
      </w:pPr>
      <w:r w:rsidRPr="00D600DA">
        <w:rPr>
          <w:rFonts w:ascii="Times New Roman" w:eastAsia="Times New Roman" w:hAnsi="Times New Roman"/>
          <w:lang w:eastAsia="ja-JP"/>
        </w:rPr>
        <w:t>I fazės farmakokinetikos ir saugumo klinikiniame tyrime dalyvavę vaikai (nuo 3 savaičių iki 125 parų amžiaus, n = 14), turintys persodintą širdį, valganciklovirą vartojo dvi tyrimo dienas vieną kartą per parą. Remiantis populiacijos farmakokinetika apskaičiuota, kad vidutinis biologinis prieinamumas buvo 64 %.</w:t>
      </w:r>
    </w:p>
    <w:p w14:paraId="6C8EA848" w14:textId="77777777" w:rsidR="00E850F6" w:rsidRPr="00D600DA" w:rsidRDefault="00E850F6" w:rsidP="00E850F6">
      <w:pPr>
        <w:spacing w:after="0" w:line="240" w:lineRule="auto"/>
        <w:rPr>
          <w:rFonts w:ascii="Times New Roman" w:eastAsia="Times New Roman" w:hAnsi="Times New Roman"/>
          <w:lang w:eastAsia="ja-JP"/>
        </w:rPr>
      </w:pPr>
    </w:p>
    <w:p w14:paraId="37DABE94" w14:textId="77777777" w:rsidR="00E850F6" w:rsidRPr="00D600DA" w:rsidRDefault="00E850F6" w:rsidP="00E850F6">
      <w:pPr>
        <w:spacing w:after="0" w:line="240" w:lineRule="auto"/>
        <w:rPr>
          <w:rFonts w:ascii="Times New Roman" w:hAnsi="Times New Roman"/>
          <w:lang w:eastAsia="ja-JP"/>
        </w:rPr>
      </w:pPr>
      <w:r w:rsidRPr="00D600DA">
        <w:rPr>
          <w:rFonts w:ascii="Times New Roman" w:eastAsia="Times New Roman" w:hAnsi="Times New Roman"/>
          <w:lang w:eastAsia="ja-JP"/>
        </w:rPr>
        <w:t>Šių dviejų klinikinių tyrimų ir suaugusiųjų populiacijos farmakokinetikos duomenų palyginimas rodo, kad visose amžiaus grupėse, įskaitant suaugusiuosius, AUC</w:t>
      </w:r>
      <w:r w:rsidRPr="00D600DA">
        <w:rPr>
          <w:rFonts w:ascii="Times New Roman" w:eastAsia="Times New Roman" w:hAnsi="Times New Roman"/>
          <w:vertAlign w:val="subscript"/>
          <w:lang w:eastAsia="ja-JP"/>
        </w:rPr>
        <w:t>0-24h</w:t>
      </w:r>
      <w:r w:rsidRPr="00D600DA">
        <w:rPr>
          <w:rFonts w:ascii="Times New Roman" w:eastAsia="Times New Roman" w:hAnsi="Times New Roman"/>
          <w:lang w:eastAsia="ja-JP"/>
        </w:rPr>
        <w:t xml:space="preserve"> intervalai buvo labai panašūs. Vidutinės AUC</w:t>
      </w:r>
      <w:r w:rsidRPr="00D600DA">
        <w:rPr>
          <w:rFonts w:ascii="Times New Roman" w:eastAsia="Times New Roman" w:hAnsi="Times New Roman"/>
          <w:vertAlign w:val="subscript"/>
          <w:lang w:eastAsia="ja-JP"/>
        </w:rPr>
        <w:t>0</w:t>
      </w:r>
      <w:r w:rsidRPr="00D600DA">
        <w:rPr>
          <w:rFonts w:ascii="Times New Roman" w:eastAsia="Times New Roman" w:hAnsi="Times New Roman"/>
          <w:vertAlign w:val="subscript"/>
          <w:lang w:eastAsia="ja-JP"/>
        </w:rPr>
        <w:noBreakHyphen/>
        <w:t>24h</w:t>
      </w:r>
      <w:r w:rsidRPr="00D600DA">
        <w:rPr>
          <w:rFonts w:ascii="Times New Roman" w:eastAsia="Times New Roman" w:hAnsi="Times New Roman"/>
          <w:lang w:eastAsia="ja-JP"/>
        </w:rPr>
        <w:t xml:space="preserve"> ir C</w:t>
      </w:r>
      <w:r w:rsidRPr="00D600DA">
        <w:rPr>
          <w:rFonts w:ascii="Times New Roman" w:eastAsia="Times New Roman" w:hAnsi="Times New Roman"/>
          <w:vertAlign w:val="subscript"/>
          <w:lang w:eastAsia="ja-JP"/>
        </w:rPr>
        <w:t>max</w:t>
      </w:r>
      <w:r w:rsidRPr="00D600DA">
        <w:rPr>
          <w:rFonts w:ascii="Times New Roman" w:eastAsia="Times New Roman" w:hAnsi="Times New Roman"/>
          <w:lang w:eastAsia="ja-JP"/>
        </w:rPr>
        <w:t xml:space="preserve"> vertės taip pat buvo panašios visose jaunesnių nei 12 metų amžiaus vaikų amžiaus grupėse, nors per visas vaikų amžiaus grupes buvo vidutinių AUC</w:t>
      </w:r>
      <w:r w:rsidRPr="00D600DA">
        <w:rPr>
          <w:rFonts w:ascii="Times New Roman" w:eastAsia="Times New Roman" w:hAnsi="Times New Roman"/>
          <w:vertAlign w:val="subscript"/>
          <w:lang w:eastAsia="ja-JP"/>
        </w:rPr>
        <w:t>0-24h</w:t>
      </w:r>
      <w:r w:rsidRPr="00D600DA">
        <w:rPr>
          <w:rFonts w:ascii="Times New Roman" w:eastAsia="Times New Roman" w:hAnsi="Times New Roman"/>
          <w:lang w:eastAsia="ja-JP"/>
        </w:rPr>
        <w:t xml:space="preserve"> ir C</w:t>
      </w:r>
      <w:r w:rsidRPr="00D600DA">
        <w:rPr>
          <w:rFonts w:ascii="Times New Roman" w:eastAsia="Times New Roman" w:hAnsi="Times New Roman"/>
          <w:vertAlign w:val="subscript"/>
          <w:lang w:eastAsia="ja-JP"/>
        </w:rPr>
        <w:t>max</w:t>
      </w:r>
      <w:r w:rsidRPr="00D600DA">
        <w:rPr>
          <w:rFonts w:ascii="Times New Roman" w:eastAsia="Times New Roman" w:hAnsi="Times New Roman"/>
          <w:lang w:eastAsia="ja-JP"/>
        </w:rPr>
        <w:t xml:space="preserve"> verčių mažėjimo tendencija, kuri, pasirodė, koreliuoja su amžiaus didėjimu. Ši tendencija buvo dar akivaizdesnė klirenso ir pusinio gyvavimo laiko (t</w:t>
      </w:r>
      <w:r w:rsidRPr="00D600DA">
        <w:rPr>
          <w:rFonts w:ascii="Times New Roman" w:eastAsia="Times New Roman" w:hAnsi="Times New Roman"/>
          <w:vertAlign w:val="subscript"/>
          <w:lang w:eastAsia="ja-JP"/>
        </w:rPr>
        <w:t>1/2</w:t>
      </w:r>
      <w:r w:rsidRPr="00D600DA">
        <w:rPr>
          <w:rFonts w:ascii="Times New Roman" w:eastAsia="Times New Roman" w:hAnsi="Times New Roman"/>
          <w:lang w:eastAsia="ja-JP"/>
        </w:rPr>
        <w:t>) vidurkiams, tačiau to galima tikėtis, nes klirensas priklauso nuo kūno masės, ūgio ir inkstų veikos pokyčių, susijusių su pacientų augimu, kaip nurodo populiacijos farmakokinetikos modeliavimas.</w:t>
      </w:r>
    </w:p>
    <w:p w14:paraId="5DCE074F" w14:textId="77777777" w:rsidR="00E850F6" w:rsidRPr="00D600DA" w:rsidRDefault="00E850F6" w:rsidP="00E850F6">
      <w:pPr>
        <w:spacing w:after="0" w:line="240" w:lineRule="auto"/>
        <w:rPr>
          <w:rFonts w:ascii="Times New Roman" w:hAnsi="Times New Roman"/>
          <w:lang w:eastAsia="ja-JP"/>
        </w:rPr>
      </w:pPr>
    </w:p>
    <w:p w14:paraId="43FB4FD8" w14:textId="77777777" w:rsidR="00E850F6" w:rsidRPr="00D600DA" w:rsidRDefault="00E850F6" w:rsidP="00E850F6">
      <w:pPr>
        <w:spacing w:after="0" w:line="240" w:lineRule="auto"/>
        <w:rPr>
          <w:rFonts w:ascii="Times New Roman" w:eastAsia="Times New Roman" w:hAnsi="Times New Roman"/>
          <w:iCs/>
          <w:lang w:eastAsia="ja-JP"/>
        </w:rPr>
      </w:pPr>
      <w:r w:rsidRPr="00D600DA">
        <w:rPr>
          <w:rFonts w:ascii="Times New Roman" w:eastAsia="Times New Roman" w:hAnsi="Times New Roman"/>
          <w:lang w:eastAsia="ja-JP"/>
        </w:rPr>
        <w:t>Pagal šiuos du klinikinius tyrimus modeliavimu apytikriai apskaičiuotas gancikloviro AUC</w:t>
      </w:r>
      <w:r w:rsidRPr="00D600DA">
        <w:rPr>
          <w:rFonts w:ascii="Times New Roman" w:eastAsia="Times New Roman" w:hAnsi="Times New Roman"/>
          <w:vertAlign w:val="subscript"/>
          <w:lang w:eastAsia="ja-JP"/>
        </w:rPr>
        <w:t>0-24h</w:t>
      </w:r>
      <w:r w:rsidRPr="00D600DA">
        <w:rPr>
          <w:rFonts w:ascii="Times New Roman" w:eastAsia="Times New Roman" w:hAnsi="Times New Roman"/>
          <w:lang w:eastAsia="ja-JP"/>
        </w:rPr>
        <w:t xml:space="preserve"> intervalas, taip pat AUC</w:t>
      </w:r>
      <w:r w:rsidRPr="00D600DA">
        <w:rPr>
          <w:rFonts w:ascii="Times New Roman" w:eastAsia="Times New Roman" w:hAnsi="Times New Roman"/>
          <w:vertAlign w:val="subscript"/>
          <w:lang w:eastAsia="ja-JP"/>
        </w:rPr>
        <w:t>0-24h</w:t>
      </w:r>
      <w:r w:rsidRPr="00D600DA">
        <w:rPr>
          <w:rFonts w:ascii="Times New Roman" w:eastAsia="Times New Roman" w:hAnsi="Times New Roman"/>
          <w:lang w:eastAsia="ja-JP"/>
        </w:rPr>
        <w:t>, C</w:t>
      </w:r>
      <w:r w:rsidRPr="00D600DA">
        <w:rPr>
          <w:rFonts w:ascii="Times New Roman" w:eastAsia="Times New Roman" w:hAnsi="Times New Roman"/>
          <w:vertAlign w:val="subscript"/>
          <w:lang w:eastAsia="ja-JP"/>
        </w:rPr>
        <w:t>max</w:t>
      </w:r>
      <w:r w:rsidRPr="00D600DA">
        <w:rPr>
          <w:rFonts w:ascii="Times New Roman" w:eastAsia="Times New Roman" w:hAnsi="Times New Roman"/>
          <w:lang w:eastAsia="ja-JP"/>
        </w:rPr>
        <w:t>, Kl ir t ½ vidurkiai ir standartiniai nuokrypiai atitinkamose vaikų amžiaus grupėse, lyginant su suaugusiųjų duomenimis, yra apibendrinti žemiau pateiktoje lentelėje.</w:t>
      </w:r>
    </w:p>
    <w:p w14:paraId="1B32EBC3" w14:textId="77777777" w:rsidR="00E850F6" w:rsidRPr="00D600DA" w:rsidRDefault="00E850F6" w:rsidP="00E850F6">
      <w:pPr>
        <w:spacing w:after="0" w:line="240" w:lineRule="auto"/>
        <w:rPr>
          <w:rFonts w:ascii="Times New Roman" w:hAnsi="Times New Roman"/>
          <w:lang w:val="fi-FI"/>
        </w:rPr>
      </w:pPr>
    </w:p>
    <w:tbl>
      <w:tblPr>
        <w:tblW w:w="5019"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788"/>
        <w:gridCol w:w="1415"/>
        <w:gridCol w:w="1350"/>
        <w:gridCol w:w="1512"/>
        <w:gridCol w:w="1344"/>
        <w:gridCol w:w="1685"/>
      </w:tblGrid>
      <w:tr w:rsidR="00E850F6" w:rsidRPr="00B71670" w14:paraId="72B83F8E" w14:textId="77777777" w:rsidTr="00636DA1">
        <w:trPr>
          <w:tblHeader/>
        </w:trPr>
        <w:tc>
          <w:tcPr>
            <w:tcW w:w="987" w:type="pct"/>
            <w:tcBorders>
              <w:right w:val="single" w:sz="4" w:space="0" w:color="auto"/>
            </w:tcBorders>
            <w:shd w:val="clear" w:color="auto" w:fill="auto"/>
          </w:tcPr>
          <w:p w14:paraId="0B8B4699" w14:textId="77777777" w:rsidR="00E850F6" w:rsidRPr="00D600DA" w:rsidRDefault="00E850F6" w:rsidP="00636DA1">
            <w:pPr>
              <w:spacing w:after="0" w:line="240" w:lineRule="auto"/>
              <w:jc w:val="center"/>
              <w:rPr>
                <w:rFonts w:ascii="Times New Roman" w:hAnsi="Times New Roman"/>
                <w:b/>
              </w:rPr>
            </w:pPr>
            <w:r w:rsidRPr="00D600DA">
              <w:rPr>
                <w:rFonts w:ascii="Times New Roman" w:hAnsi="Times New Roman"/>
                <w:b/>
              </w:rPr>
              <w:t>FK parametras</w:t>
            </w:r>
          </w:p>
        </w:tc>
        <w:tc>
          <w:tcPr>
            <w:tcW w:w="759" w:type="pct"/>
            <w:tcBorders>
              <w:left w:val="single" w:sz="4" w:space="0" w:color="auto"/>
              <w:right w:val="single" w:sz="4" w:space="0" w:color="auto"/>
            </w:tcBorders>
            <w:shd w:val="clear" w:color="auto" w:fill="auto"/>
          </w:tcPr>
          <w:p w14:paraId="79201C3E" w14:textId="77777777" w:rsidR="00E850F6" w:rsidRPr="00D600DA" w:rsidRDefault="00E850F6" w:rsidP="00636DA1">
            <w:pPr>
              <w:spacing w:after="0" w:line="240" w:lineRule="auto"/>
              <w:jc w:val="center"/>
              <w:rPr>
                <w:rFonts w:ascii="Times New Roman" w:hAnsi="Times New Roman"/>
                <w:b/>
              </w:rPr>
            </w:pPr>
            <w:r w:rsidRPr="00D600DA">
              <w:rPr>
                <w:rFonts w:ascii="Times New Roman" w:hAnsi="Times New Roman"/>
                <w:b/>
              </w:rPr>
              <w:t>Suaugusieji*</w:t>
            </w:r>
          </w:p>
        </w:tc>
        <w:tc>
          <w:tcPr>
            <w:tcW w:w="3254" w:type="pct"/>
            <w:gridSpan w:val="4"/>
            <w:tcBorders>
              <w:left w:val="single" w:sz="4" w:space="0" w:color="auto"/>
            </w:tcBorders>
            <w:shd w:val="clear" w:color="auto" w:fill="auto"/>
          </w:tcPr>
          <w:p w14:paraId="5FE86D5C" w14:textId="77777777" w:rsidR="00E850F6" w:rsidRPr="00D600DA" w:rsidRDefault="00E850F6" w:rsidP="00636DA1">
            <w:pPr>
              <w:spacing w:after="0" w:line="240" w:lineRule="auto"/>
              <w:jc w:val="center"/>
              <w:rPr>
                <w:rFonts w:ascii="Times New Roman" w:hAnsi="Times New Roman"/>
                <w:b/>
              </w:rPr>
            </w:pPr>
            <w:r w:rsidRPr="00D600DA">
              <w:rPr>
                <w:rFonts w:ascii="Times New Roman" w:hAnsi="Times New Roman"/>
                <w:b/>
              </w:rPr>
              <w:t>Vaikai</w:t>
            </w:r>
          </w:p>
        </w:tc>
      </w:tr>
      <w:tr w:rsidR="00E850F6" w:rsidRPr="00B71670" w14:paraId="3313ECA6" w14:textId="77777777" w:rsidTr="00636DA1">
        <w:trPr>
          <w:tblHeader/>
        </w:trPr>
        <w:tc>
          <w:tcPr>
            <w:tcW w:w="987" w:type="pct"/>
            <w:tcBorders>
              <w:right w:val="single" w:sz="4" w:space="0" w:color="auto"/>
            </w:tcBorders>
            <w:shd w:val="clear" w:color="auto" w:fill="auto"/>
          </w:tcPr>
          <w:p w14:paraId="216B2253" w14:textId="77777777" w:rsidR="00E850F6" w:rsidRPr="00D600DA" w:rsidRDefault="00E850F6" w:rsidP="00636DA1">
            <w:pPr>
              <w:spacing w:after="0" w:line="240" w:lineRule="auto"/>
              <w:jc w:val="center"/>
              <w:rPr>
                <w:rFonts w:ascii="Times New Roman" w:hAnsi="Times New Roman"/>
                <w:b/>
              </w:rPr>
            </w:pPr>
          </w:p>
        </w:tc>
        <w:tc>
          <w:tcPr>
            <w:tcW w:w="759" w:type="pct"/>
            <w:tcBorders>
              <w:left w:val="single" w:sz="4" w:space="0" w:color="auto"/>
              <w:right w:val="single" w:sz="4" w:space="0" w:color="auto"/>
            </w:tcBorders>
            <w:shd w:val="clear" w:color="auto" w:fill="auto"/>
          </w:tcPr>
          <w:p w14:paraId="261087D2" w14:textId="77777777" w:rsidR="00E850F6" w:rsidRPr="00D600DA" w:rsidRDefault="00E850F6" w:rsidP="00636DA1">
            <w:pPr>
              <w:spacing w:after="0" w:line="240" w:lineRule="auto"/>
              <w:jc w:val="center"/>
              <w:rPr>
                <w:rFonts w:ascii="Times New Roman" w:eastAsia="Times New Roman" w:hAnsi="Times New Roman"/>
                <w:b/>
                <w:lang w:eastAsia="ja-JP"/>
              </w:rPr>
            </w:pPr>
            <w:r w:rsidRPr="00D600DA">
              <w:rPr>
                <w:rFonts w:ascii="Times New Roman" w:hAnsi="Times New Roman"/>
                <w:b/>
              </w:rPr>
              <w:t>≥ 18</w:t>
            </w:r>
            <w:r w:rsidRPr="00D600DA">
              <w:rPr>
                <w:rFonts w:ascii="Times New Roman" w:eastAsia="Times New Roman" w:hAnsi="Times New Roman"/>
                <w:b/>
                <w:lang w:eastAsia="ja-JP"/>
              </w:rPr>
              <w:t> </w:t>
            </w:r>
            <w:r w:rsidRPr="00D600DA">
              <w:rPr>
                <w:rFonts w:ascii="Times New Roman" w:hAnsi="Times New Roman"/>
                <w:b/>
              </w:rPr>
              <w:t>metų</w:t>
            </w:r>
          </w:p>
          <w:p w14:paraId="63374992" w14:textId="77777777" w:rsidR="00E850F6" w:rsidRPr="00D600DA" w:rsidRDefault="00E850F6" w:rsidP="00636DA1">
            <w:pPr>
              <w:spacing w:after="0" w:line="240" w:lineRule="auto"/>
              <w:jc w:val="center"/>
              <w:rPr>
                <w:rFonts w:ascii="Times New Roman" w:hAnsi="Times New Roman"/>
                <w:b/>
              </w:rPr>
            </w:pPr>
            <w:r w:rsidRPr="00D600DA">
              <w:rPr>
                <w:rFonts w:ascii="Times New Roman" w:hAnsi="Times New Roman"/>
                <w:b/>
              </w:rPr>
              <w:t>(n = 160)</w:t>
            </w:r>
          </w:p>
        </w:tc>
        <w:tc>
          <w:tcPr>
            <w:tcW w:w="746" w:type="pct"/>
            <w:tcBorders>
              <w:left w:val="single" w:sz="4" w:space="0" w:color="auto"/>
            </w:tcBorders>
            <w:shd w:val="clear" w:color="auto" w:fill="auto"/>
          </w:tcPr>
          <w:p w14:paraId="5B0E4E6A" w14:textId="77777777" w:rsidR="00E850F6" w:rsidRPr="00D600DA" w:rsidRDefault="00E850F6" w:rsidP="00636DA1">
            <w:pPr>
              <w:spacing w:after="0" w:line="240" w:lineRule="auto"/>
              <w:jc w:val="center"/>
              <w:rPr>
                <w:rFonts w:ascii="Times New Roman" w:eastAsia="SimSun" w:hAnsi="Times New Roman"/>
                <w:b/>
                <w:lang w:eastAsia="ja-JP"/>
              </w:rPr>
            </w:pPr>
            <w:r w:rsidRPr="00D600DA">
              <w:rPr>
                <w:rFonts w:ascii="Times New Roman" w:eastAsia="SimSun" w:hAnsi="Times New Roman"/>
                <w:b/>
                <w:lang w:eastAsia="ja-JP"/>
              </w:rPr>
              <w:t>&lt; 4 mėnesiai</w:t>
            </w:r>
          </w:p>
          <w:p w14:paraId="4EE31352" w14:textId="77777777" w:rsidR="00E850F6" w:rsidRPr="00D600DA" w:rsidRDefault="00E850F6" w:rsidP="00636DA1">
            <w:pPr>
              <w:spacing w:after="0" w:line="240" w:lineRule="auto"/>
              <w:jc w:val="center"/>
              <w:rPr>
                <w:rFonts w:ascii="Times New Roman" w:eastAsia="SimSun" w:hAnsi="Times New Roman"/>
                <w:b/>
                <w:lang w:eastAsia="ja-JP"/>
              </w:rPr>
            </w:pPr>
            <w:r w:rsidRPr="00D600DA">
              <w:rPr>
                <w:rFonts w:ascii="Times New Roman" w:eastAsia="SimSun" w:hAnsi="Times New Roman"/>
                <w:b/>
                <w:lang w:eastAsia="ja-JP"/>
              </w:rPr>
              <w:t>(n = 14)</w:t>
            </w:r>
          </w:p>
        </w:tc>
        <w:tc>
          <w:tcPr>
            <w:tcW w:w="835" w:type="pct"/>
            <w:shd w:val="clear" w:color="auto" w:fill="auto"/>
          </w:tcPr>
          <w:p w14:paraId="78691052" w14:textId="77777777" w:rsidR="00E850F6" w:rsidRPr="00D600DA" w:rsidRDefault="00E850F6" w:rsidP="00636DA1">
            <w:pPr>
              <w:spacing w:after="0" w:line="240" w:lineRule="auto"/>
              <w:jc w:val="center"/>
              <w:rPr>
                <w:rFonts w:ascii="Times New Roman" w:eastAsia="Times New Roman" w:hAnsi="Times New Roman"/>
                <w:b/>
                <w:lang w:eastAsia="ja-JP"/>
              </w:rPr>
            </w:pPr>
            <w:r w:rsidRPr="00D600DA">
              <w:rPr>
                <w:rFonts w:ascii="Times New Roman" w:eastAsia="Times New Roman" w:hAnsi="Times New Roman"/>
                <w:b/>
                <w:lang w:eastAsia="ja-JP"/>
              </w:rPr>
              <w:t xml:space="preserve">4 mėn - </w:t>
            </w:r>
            <w:r w:rsidRPr="00D600DA">
              <w:rPr>
                <w:rFonts w:ascii="Times New Roman" w:hAnsi="Times New Roman"/>
                <w:b/>
              </w:rPr>
              <w:t>≤ 2</w:t>
            </w:r>
            <w:r w:rsidRPr="00D600DA">
              <w:rPr>
                <w:rFonts w:ascii="Times New Roman" w:eastAsia="Times New Roman" w:hAnsi="Times New Roman"/>
                <w:b/>
                <w:lang w:eastAsia="ja-JP"/>
              </w:rPr>
              <w:t> metai</w:t>
            </w:r>
          </w:p>
          <w:p w14:paraId="71A40A54" w14:textId="77777777" w:rsidR="00E850F6" w:rsidRPr="00D600DA" w:rsidRDefault="00E850F6" w:rsidP="00636DA1">
            <w:pPr>
              <w:spacing w:after="0" w:line="240" w:lineRule="auto"/>
              <w:jc w:val="center"/>
              <w:rPr>
                <w:rFonts w:ascii="Times New Roman" w:hAnsi="Times New Roman"/>
                <w:b/>
              </w:rPr>
            </w:pPr>
            <w:r w:rsidRPr="00D600DA">
              <w:rPr>
                <w:rFonts w:ascii="Times New Roman" w:hAnsi="Times New Roman"/>
                <w:b/>
              </w:rPr>
              <w:t>(n</w:t>
            </w:r>
            <w:r w:rsidRPr="00D600DA">
              <w:rPr>
                <w:rFonts w:ascii="Times New Roman" w:eastAsia="Times New Roman" w:hAnsi="Times New Roman"/>
                <w:b/>
                <w:lang w:eastAsia="ja-JP"/>
              </w:rPr>
              <w:t xml:space="preserve"> = </w:t>
            </w:r>
            <w:r w:rsidRPr="00D600DA">
              <w:rPr>
                <w:rFonts w:ascii="Times New Roman" w:hAnsi="Times New Roman"/>
                <w:b/>
              </w:rPr>
              <w:t>17)</w:t>
            </w:r>
          </w:p>
        </w:tc>
        <w:tc>
          <w:tcPr>
            <w:tcW w:w="743" w:type="pct"/>
            <w:shd w:val="clear" w:color="auto" w:fill="auto"/>
          </w:tcPr>
          <w:p w14:paraId="3D2D3220" w14:textId="77777777" w:rsidR="00E850F6" w:rsidRPr="00D600DA" w:rsidRDefault="00E850F6" w:rsidP="00636DA1">
            <w:pPr>
              <w:spacing w:after="0" w:line="240" w:lineRule="auto"/>
              <w:jc w:val="center"/>
              <w:rPr>
                <w:rFonts w:ascii="Times New Roman" w:eastAsia="Times New Roman" w:hAnsi="Times New Roman"/>
                <w:b/>
                <w:lang w:eastAsia="ja-JP"/>
              </w:rPr>
            </w:pPr>
            <w:r w:rsidRPr="00D600DA">
              <w:rPr>
                <w:rFonts w:ascii="Times New Roman" w:hAnsi="Times New Roman"/>
                <w:b/>
              </w:rPr>
              <w:t>&gt; 2 - &lt; 12</w:t>
            </w:r>
            <w:r w:rsidRPr="00D600DA">
              <w:rPr>
                <w:rFonts w:ascii="Times New Roman" w:eastAsia="Times New Roman" w:hAnsi="Times New Roman"/>
                <w:b/>
                <w:lang w:eastAsia="ja-JP"/>
              </w:rPr>
              <w:t> </w:t>
            </w:r>
            <w:r w:rsidRPr="00D600DA">
              <w:rPr>
                <w:rFonts w:ascii="Times New Roman" w:hAnsi="Times New Roman"/>
                <w:b/>
              </w:rPr>
              <w:t>metų</w:t>
            </w:r>
          </w:p>
          <w:p w14:paraId="09E8C7FA" w14:textId="77777777" w:rsidR="00E850F6" w:rsidRPr="00D600DA" w:rsidRDefault="00E850F6" w:rsidP="00636DA1">
            <w:pPr>
              <w:spacing w:after="0" w:line="240" w:lineRule="auto"/>
              <w:jc w:val="center"/>
              <w:rPr>
                <w:rFonts w:ascii="Times New Roman" w:hAnsi="Times New Roman"/>
                <w:b/>
              </w:rPr>
            </w:pPr>
            <w:r w:rsidRPr="00D600DA">
              <w:rPr>
                <w:rFonts w:ascii="Times New Roman" w:hAnsi="Times New Roman"/>
                <w:b/>
              </w:rPr>
              <w:t>(n = 21)</w:t>
            </w:r>
          </w:p>
        </w:tc>
        <w:tc>
          <w:tcPr>
            <w:tcW w:w="930" w:type="pct"/>
            <w:shd w:val="clear" w:color="auto" w:fill="auto"/>
          </w:tcPr>
          <w:p w14:paraId="424C66D6" w14:textId="77777777" w:rsidR="00E850F6" w:rsidRPr="00D600DA" w:rsidRDefault="00E850F6" w:rsidP="00636DA1">
            <w:pPr>
              <w:spacing w:after="0" w:line="240" w:lineRule="auto"/>
              <w:jc w:val="center"/>
              <w:rPr>
                <w:rFonts w:ascii="Times New Roman" w:eastAsia="Times New Roman" w:hAnsi="Times New Roman"/>
                <w:b/>
                <w:lang w:eastAsia="ja-JP"/>
              </w:rPr>
            </w:pPr>
            <w:r w:rsidRPr="00D600DA">
              <w:rPr>
                <w:rFonts w:ascii="Times New Roman" w:hAnsi="Times New Roman"/>
                <w:b/>
              </w:rPr>
              <w:t>≥ 12</w:t>
            </w:r>
            <w:r w:rsidRPr="00D600DA">
              <w:rPr>
                <w:rFonts w:ascii="Times New Roman" w:eastAsia="Times New Roman" w:hAnsi="Times New Roman"/>
                <w:b/>
                <w:lang w:eastAsia="ja-JP"/>
              </w:rPr>
              <w:t> </w:t>
            </w:r>
            <w:r w:rsidRPr="00D600DA">
              <w:rPr>
                <w:rFonts w:ascii="Times New Roman" w:hAnsi="Times New Roman"/>
                <w:b/>
              </w:rPr>
              <w:t>metų</w:t>
            </w:r>
            <w:r w:rsidRPr="00D600DA">
              <w:rPr>
                <w:rFonts w:ascii="Times New Roman" w:eastAsia="Times New Roman" w:hAnsi="Times New Roman"/>
                <w:b/>
                <w:lang w:eastAsia="ja-JP"/>
              </w:rPr>
              <w:t xml:space="preserve"> – 16 metų</w:t>
            </w:r>
          </w:p>
          <w:p w14:paraId="0811EF3F" w14:textId="77777777" w:rsidR="00E850F6" w:rsidRPr="00D600DA" w:rsidRDefault="00E850F6" w:rsidP="00636DA1">
            <w:pPr>
              <w:spacing w:after="0" w:line="240" w:lineRule="auto"/>
              <w:jc w:val="center"/>
              <w:rPr>
                <w:rFonts w:ascii="Times New Roman" w:hAnsi="Times New Roman"/>
                <w:b/>
              </w:rPr>
            </w:pPr>
            <w:r w:rsidRPr="00D600DA">
              <w:rPr>
                <w:rFonts w:ascii="Times New Roman" w:hAnsi="Times New Roman"/>
                <w:b/>
              </w:rPr>
              <w:t>(n = 25)</w:t>
            </w:r>
          </w:p>
        </w:tc>
      </w:tr>
      <w:tr w:rsidR="00E850F6" w:rsidRPr="00B71670" w14:paraId="5CF3E33B" w14:textId="77777777" w:rsidTr="00636DA1">
        <w:tc>
          <w:tcPr>
            <w:tcW w:w="987" w:type="pct"/>
            <w:tcBorders>
              <w:right w:val="single" w:sz="4" w:space="0" w:color="auto"/>
            </w:tcBorders>
            <w:shd w:val="clear" w:color="auto" w:fill="auto"/>
          </w:tcPr>
          <w:p w14:paraId="1E6A6EF4" w14:textId="77777777" w:rsidR="00E850F6" w:rsidRPr="00D600DA" w:rsidRDefault="00E850F6" w:rsidP="00636DA1">
            <w:pPr>
              <w:spacing w:after="0" w:line="240" w:lineRule="auto"/>
              <w:rPr>
                <w:rFonts w:ascii="Times New Roman" w:hAnsi="Times New Roman"/>
                <w:b/>
              </w:rPr>
            </w:pPr>
            <w:r w:rsidRPr="00D600DA">
              <w:rPr>
                <w:rFonts w:ascii="Times New Roman" w:hAnsi="Times New Roman"/>
                <w:b/>
              </w:rPr>
              <w:t>AUC</w:t>
            </w:r>
            <w:r w:rsidRPr="00D600DA">
              <w:rPr>
                <w:rFonts w:ascii="Times New Roman" w:hAnsi="Times New Roman"/>
                <w:b/>
                <w:vertAlign w:val="subscript"/>
              </w:rPr>
              <w:t xml:space="preserve">0-24h </w:t>
            </w:r>
            <w:r w:rsidRPr="00D600DA">
              <w:rPr>
                <w:rFonts w:ascii="Times New Roman" w:eastAsia="Times New Roman" w:hAnsi="Times New Roman"/>
                <w:b/>
                <w:lang w:eastAsia="ja-JP"/>
              </w:rPr>
              <w:t>(mkg</w:t>
            </w:r>
            <w:r w:rsidRPr="00D600DA">
              <w:rPr>
                <w:rFonts w:ascii="Times New Roman" w:eastAsia="Times New Roman" w:hAnsi="Times New Roman"/>
                <w:b/>
                <w:vertAlign w:val="superscript"/>
                <w:lang w:eastAsia="ja-JP"/>
              </w:rPr>
              <w:t>.</w:t>
            </w:r>
            <w:r w:rsidRPr="00D600DA">
              <w:rPr>
                <w:rFonts w:ascii="Times New Roman" w:eastAsia="Times New Roman" w:hAnsi="Times New Roman"/>
                <w:b/>
                <w:lang w:eastAsia="ja-JP"/>
              </w:rPr>
              <w:t>h</w:t>
            </w:r>
            <w:r w:rsidRPr="00D600DA">
              <w:rPr>
                <w:rFonts w:ascii="Times New Roman" w:hAnsi="Times New Roman"/>
                <w:b/>
              </w:rPr>
              <w:t>/ml)</w:t>
            </w:r>
          </w:p>
        </w:tc>
        <w:tc>
          <w:tcPr>
            <w:tcW w:w="759" w:type="pct"/>
            <w:tcBorders>
              <w:left w:val="single" w:sz="4" w:space="0" w:color="auto"/>
              <w:right w:val="single" w:sz="4" w:space="0" w:color="auto"/>
            </w:tcBorders>
            <w:shd w:val="clear" w:color="auto" w:fill="auto"/>
          </w:tcPr>
          <w:p w14:paraId="742F4787" w14:textId="77777777" w:rsidR="00E850F6" w:rsidRPr="00D600DA" w:rsidRDefault="00E850F6" w:rsidP="00636DA1">
            <w:pPr>
              <w:spacing w:after="0" w:line="240" w:lineRule="auto"/>
              <w:jc w:val="center"/>
              <w:rPr>
                <w:rFonts w:ascii="Times New Roman" w:hAnsi="Times New Roman"/>
              </w:rPr>
            </w:pPr>
            <w:r w:rsidRPr="00D600DA">
              <w:rPr>
                <w:rFonts w:ascii="Times New Roman" w:hAnsi="Times New Roman"/>
              </w:rPr>
              <w:t xml:space="preserve">46,3 </w:t>
            </w:r>
            <w:r w:rsidRPr="00D600DA">
              <w:rPr>
                <w:rFonts w:ascii="Times New Roman" w:hAnsi="Times New Roman"/>
              </w:rPr>
              <w:sym w:font="Symbol" w:char="F0B1"/>
            </w:r>
            <w:r w:rsidRPr="00D600DA">
              <w:rPr>
                <w:rFonts w:ascii="Times New Roman" w:hAnsi="Times New Roman"/>
              </w:rPr>
              <w:t> 15,2</w:t>
            </w:r>
          </w:p>
        </w:tc>
        <w:tc>
          <w:tcPr>
            <w:tcW w:w="746" w:type="pct"/>
            <w:tcBorders>
              <w:left w:val="single" w:sz="4" w:space="0" w:color="auto"/>
            </w:tcBorders>
            <w:shd w:val="clear" w:color="auto" w:fill="auto"/>
          </w:tcPr>
          <w:p w14:paraId="54D7EB6C" w14:textId="77777777" w:rsidR="00E850F6" w:rsidRPr="00D600DA" w:rsidRDefault="00E850F6" w:rsidP="00636DA1">
            <w:pPr>
              <w:spacing w:after="0" w:line="240" w:lineRule="auto"/>
              <w:jc w:val="center"/>
              <w:rPr>
                <w:rFonts w:ascii="Times New Roman" w:eastAsia="SimSun" w:hAnsi="Times New Roman"/>
                <w:lang w:eastAsia="ja-JP"/>
              </w:rPr>
            </w:pPr>
            <w:r w:rsidRPr="00D600DA">
              <w:rPr>
                <w:rFonts w:ascii="Times New Roman" w:eastAsia="Times New Roman" w:hAnsi="Times New Roman"/>
                <w:lang w:eastAsia="ja-JP"/>
              </w:rPr>
              <w:t>68,1 ± 19,8</w:t>
            </w:r>
          </w:p>
        </w:tc>
        <w:tc>
          <w:tcPr>
            <w:tcW w:w="835" w:type="pct"/>
            <w:shd w:val="clear" w:color="auto" w:fill="auto"/>
          </w:tcPr>
          <w:p w14:paraId="7A6F5EEE" w14:textId="77777777" w:rsidR="00E850F6" w:rsidRPr="00D600DA" w:rsidRDefault="00E850F6" w:rsidP="00636DA1">
            <w:pPr>
              <w:spacing w:after="0" w:line="240" w:lineRule="auto"/>
              <w:jc w:val="center"/>
              <w:rPr>
                <w:rFonts w:ascii="Times New Roman" w:hAnsi="Times New Roman"/>
              </w:rPr>
            </w:pPr>
            <w:r w:rsidRPr="00D600DA">
              <w:rPr>
                <w:rFonts w:ascii="Times New Roman" w:hAnsi="Times New Roman"/>
              </w:rPr>
              <w:t>64,3 ± 29,2</w:t>
            </w:r>
          </w:p>
        </w:tc>
        <w:tc>
          <w:tcPr>
            <w:tcW w:w="743" w:type="pct"/>
            <w:shd w:val="clear" w:color="auto" w:fill="auto"/>
          </w:tcPr>
          <w:p w14:paraId="1D99C25B" w14:textId="77777777" w:rsidR="00E850F6" w:rsidRPr="00D600DA" w:rsidRDefault="00E850F6" w:rsidP="00636DA1">
            <w:pPr>
              <w:spacing w:after="0" w:line="240" w:lineRule="auto"/>
              <w:jc w:val="center"/>
              <w:rPr>
                <w:rFonts w:ascii="Times New Roman" w:hAnsi="Times New Roman"/>
              </w:rPr>
            </w:pPr>
            <w:r w:rsidRPr="00D600DA">
              <w:rPr>
                <w:rFonts w:ascii="Times New Roman" w:hAnsi="Times New Roman"/>
              </w:rPr>
              <w:t>59,2 ± 15,1</w:t>
            </w:r>
          </w:p>
        </w:tc>
        <w:tc>
          <w:tcPr>
            <w:tcW w:w="930" w:type="pct"/>
            <w:shd w:val="clear" w:color="auto" w:fill="auto"/>
          </w:tcPr>
          <w:p w14:paraId="2EC1D422" w14:textId="77777777" w:rsidR="00E850F6" w:rsidRPr="00D600DA" w:rsidRDefault="00E850F6" w:rsidP="00636DA1">
            <w:pPr>
              <w:spacing w:after="0" w:line="240" w:lineRule="auto"/>
              <w:jc w:val="center"/>
              <w:rPr>
                <w:rFonts w:ascii="Times New Roman" w:hAnsi="Times New Roman"/>
              </w:rPr>
            </w:pPr>
            <w:r w:rsidRPr="00D600DA">
              <w:rPr>
                <w:rFonts w:ascii="Times New Roman" w:hAnsi="Times New Roman"/>
              </w:rPr>
              <w:t xml:space="preserve">50,3 ± </w:t>
            </w:r>
            <w:r w:rsidRPr="00D600DA">
              <w:rPr>
                <w:rFonts w:ascii="Times New Roman" w:eastAsia="Times New Roman" w:hAnsi="Times New Roman"/>
                <w:lang w:eastAsia="ja-JP"/>
              </w:rPr>
              <w:t>15,0</w:t>
            </w:r>
          </w:p>
        </w:tc>
      </w:tr>
      <w:tr w:rsidR="00E850F6" w:rsidRPr="00B71670" w14:paraId="05EE98E2" w14:textId="77777777" w:rsidTr="00636DA1">
        <w:tc>
          <w:tcPr>
            <w:tcW w:w="987" w:type="pct"/>
            <w:tcBorders>
              <w:right w:val="single" w:sz="4" w:space="0" w:color="auto"/>
            </w:tcBorders>
            <w:shd w:val="clear" w:color="auto" w:fill="auto"/>
          </w:tcPr>
          <w:p w14:paraId="13614832" w14:textId="77777777" w:rsidR="00E850F6" w:rsidRPr="00D600DA" w:rsidRDefault="00E850F6" w:rsidP="00636DA1">
            <w:pPr>
              <w:spacing w:after="0" w:line="240" w:lineRule="auto"/>
              <w:rPr>
                <w:rFonts w:ascii="Times New Roman" w:eastAsia="SimSun" w:hAnsi="Times New Roman"/>
                <w:b/>
                <w:lang w:eastAsia="ja-JP"/>
              </w:rPr>
            </w:pPr>
            <w:r w:rsidRPr="00D600DA">
              <w:rPr>
                <w:rFonts w:ascii="Times New Roman" w:eastAsia="SimSun" w:hAnsi="Times New Roman"/>
                <w:b/>
                <w:lang w:eastAsia="ja-JP"/>
              </w:rPr>
              <w:t>AUC</w:t>
            </w:r>
            <w:r w:rsidRPr="00D600DA">
              <w:rPr>
                <w:rFonts w:ascii="Times New Roman" w:eastAsia="SimSun" w:hAnsi="Times New Roman"/>
                <w:b/>
                <w:vertAlign w:val="subscript"/>
                <w:lang w:eastAsia="ja-JP"/>
              </w:rPr>
              <w:t>0-24h</w:t>
            </w:r>
            <w:r w:rsidRPr="00D600DA">
              <w:rPr>
                <w:rFonts w:ascii="Times New Roman" w:eastAsia="SimSun" w:hAnsi="Times New Roman"/>
                <w:b/>
                <w:lang w:eastAsia="ja-JP"/>
              </w:rPr>
              <w:t xml:space="preserve"> intervalas</w:t>
            </w:r>
          </w:p>
        </w:tc>
        <w:tc>
          <w:tcPr>
            <w:tcW w:w="759" w:type="pct"/>
            <w:tcBorders>
              <w:left w:val="single" w:sz="4" w:space="0" w:color="auto"/>
              <w:right w:val="single" w:sz="4" w:space="0" w:color="auto"/>
            </w:tcBorders>
            <w:shd w:val="clear" w:color="auto" w:fill="auto"/>
          </w:tcPr>
          <w:p w14:paraId="161B6003" w14:textId="77777777" w:rsidR="00E850F6" w:rsidRPr="00D600DA" w:rsidRDefault="00E850F6" w:rsidP="00636DA1">
            <w:pPr>
              <w:spacing w:after="0" w:line="240" w:lineRule="auto"/>
              <w:jc w:val="center"/>
              <w:rPr>
                <w:rFonts w:ascii="Times New Roman" w:eastAsia="SimSun" w:hAnsi="Times New Roman"/>
                <w:lang w:eastAsia="ja-JP"/>
              </w:rPr>
            </w:pPr>
            <w:r w:rsidRPr="00D600DA">
              <w:rPr>
                <w:rFonts w:ascii="Times New Roman" w:eastAsia="SimSun" w:hAnsi="Times New Roman"/>
                <w:lang w:eastAsia="zh-CN"/>
              </w:rPr>
              <w:t>15,4 – 116,1</w:t>
            </w:r>
          </w:p>
        </w:tc>
        <w:tc>
          <w:tcPr>
            <w:tcW w:w="746" w:type="pct"/>
            <w:tcBorders>
              <w:left w:val="single" w:sz="4" w:space="0" w:color="auto"/>
            </w:tcBorders>
            <w:shd w:val="clear" w:color="auto" w:fill="auto"/>
          </w:tcPr>
          <w:p w14:paraId="333F0F42" w14:textId="77777777" w:rsidR="00E850F6" w:rsidRPr="00D600DA" w:rsidRDefault="00E850F6" w:rsidP="00636DA1">
            <w:pPr>
              <w:spacing w:after="0" w:line="240" w:lineRule="auto"/>
              <w:jc w:val="center"/>
              <w:rPr>
                <w:rFonts w:ascii="Times New Roman" w:eastAsia="SimSun" w:hAnsi="Times New Roman"/>
                <w:lang w:eastAsia="ja-JP"/>
              </w:rPr>
            </w:pPr>
            <w:r w:rsidRPr="00D600DA">
              <w:rPr>
                <w:rFonts w:ascii="Times New Roman" w:eastAsia="Times New Roman" w:hAnsi="Times New Roman"/>
                <w:lang w:eastAsia="ja-JP"/>
              </w:rPr>
              <w:t>34 - 124</w:t>
            </w:r>
          </w:p>
        </w:tc>
        <w:tc>
          <w:tcPr>
            <w:tcW w:w="835" w:type="pct"/>
            <w:shd w:val="clear" w:color="auto" w:fill="auto"/>
          </w:tcPr>
          <w:p w14:paraId="15392B59" w14:textId="77777777" w:rsidR="00E850F6" w:rsidRPr="00D600DA" w:rsidRDefault="00E850F6" w:rsidP="00636DA1">
            <w:pPr>
              <w:spacing w:after="0" w:line="240" w:lineRule="auto"/>
              <w:jc w:val="center"/>
              <w:rPr>
                <w:rFonts w:ascii="Times New Roman" w:eastAsia="SimSun" w:hAnsi="Times New Roman"/>
                <w:lang w:eastAsia="ja-JP"/>
              </w:rPr>
            </w:pPr>
            <w:r w:rsidRPr="00D600DA">
              <w:rPr>
                <w:rFonts w:ascii="Times New Roman" w:eastAsia="Times New Roman" w:hAnsi="Times New Roman"/>
                <w:lang w:eastAsia="ja-JP"/>
              </w:rPr>
              <w:t>34 - 152</w:t>
            </w:r>
          </w:p>
        </w:tc>
        <w:tc>
          <w:tcPr>
            <w:tcW w:w="743" w:type="pct"/>
            <w:shd w:val="clear" w:color="auto" w:fill="auto"/>
          </w:tcPr>
          <w:p w14:paraId="4D40BD0A" w14:textId="77777777" w:rsidR="00E850F6" w:rsidRPr="00D600DA" w:rsidRDefault="00E850F6" w:rsidP="00636DA1">
            <w:pPr>
              <w:spacing w:after="0" w:line="240" w:lineRule="auto"/>
              <w:jc w:val="center"/>
              <w:rPr>
                <w:rFonts w:ascii="Times New Roman" w:eastAsia="SimSun" w:hAnsi="Times New Roman"/>
                <w:lang w:eastAsia="ja-JP"/>
              </w:rPr>
            </w:pPr>
            <w:r w:rsidRPr="00D600DA">
              <w:rPr>
                <w:rFonts w:ascii="Times New Roman" w:eastAsia="Times New Roman" w:hAnsi="Times New Roman"/>
                <w:lang w:eastAsia="ja-JP"/>
              </w:rPr>
              <w:t>36 – 108</w:t>
            </w:r>
          </w:p>
        </w:tc>
        <w:tc>
          <w:tcPr>
            <w:tcW w:w="930" w:type="pct"/>
            <w:shd w:val="clear" w:color="auto" w:fill="auto"/>
          </w:tcPr>
          <w:p w14:paraId="47A0FBF4" w14:textId="77777777" w:rsidR="00E850F6" w:rsidRPr="00D600DA" w:rsidRDefault="00E850F6" w:rsidP="00636DA1">
            <w:pPr>
              <w:spacing w:after="0" w:line="240" w:lineRule="auto"/>
              <w:jc w:val="center"/>
              <w:rPr>
                <w:rFonts w:ascii="Times New Roman" w:eastAsia="SimSun" w:hAnsi="Times New Roman"/>
                <w:lang w:eastAsia="ja-JP"/>
              </w:rPr>
            </w:pPr>
            <w:r w:rsidRPr="00D600DA">
              <w:rPr>
                <w:rFonts w:ascii="Times New Roman" w:eastAsia="Times New Roman" w:hAnsi="Times New Roman"/>
                <w:lang w:eastAsia="ja-JP"/>
              </w:rPr>
              <w:t>22 – 93</w:t>
            </w:r>
          </w:p>
        </w:tc>
      </w:tr>
      <w:tr w:rsidR="00E850F6" w:rsidRPr="00B71670" w14:paraId="0FE2521D" w14:textId="77777777" w:rsidTr="00636DA1">
        <w:tc>
          <w:tcPr>
            <w:tcW w:w="987" w:type="pct"/>
            <w:tcBorders>
              <w:right w:val="single" w:sz="4" w:space="0" w:color="auto"/>
            </w:tcBorders>
            <w:shd w:val="clear" w:color="auto" w:fill="auto"/>
          </w:tcPr>
          <w:p w14:paraId="2D6BD664" w14:textId="77777777" w:rsidR="00E850F6" w:rsidRPr="00D600DA" w:rsidRDefault="00E850F6" w:rsidP="00636DA1">
            <w:pPr>
              <w:spacing w:after="0" w:line="240" w:lineRule="auto"/>
              <w:rPr>
                <w:rFonts w:ascii="Times New Roman" w:hAnsi="Times New Roman"/>
                <w:b/>
              </w:rPr>
            </w:pPr>
            <w:r w:rsidRPr="00D600DA">
              <w:rPr>
                <w:rFonts w:ascii="Times New Roman" w:hAnsi="Times New Roman"/>
                <w:b/>
              </w:rPr>
              <w:t>C</w:t>
            </w:r>
            <w:r w:rsidRPr="00D600DA">
              <w:rPr>
                <w:rFonts w:ascii="Times New Roman" w:hAnsi="Times New Roman"/>
                <w:b/>
                <w:vertAlign w:val="subscript"/>
              </w:rPr>
              <w:t>max</w:t>
            </w:r>
            <w:r w:rsidRPr="00D600DA">
              <w:rPr>
                <w:rFonts w:ascii="Times New Roman" w:hAnsi="Times New Roman"/>
                <w:b/>
              </w:rPr>
              <w:t xml:space="preserve"> </w:t>
            </w:r>
            <w:r w:rsidRPr="00D600DA">
              <w:rPr>
                <w:rFonts w:ascii="Times New Roman" w:eastAsia="Times New Roman" w:hAnsi="Times New Roman"/>
                <w:b/>
                <w:lang w:eastAsia="ja-JP"/>
              </w:rPr>
              <w:t>(mkg</w:t>
            </w:r>
            <w:r w:rsidRPr="00D600DA">
              <w:rPr>
                <w:rFonts w:ascii="Times New Roman" w:hAnsi="Times New Roman"/>
                <w:b/>
              </w:rPr>
              <w:t>/ml)</w:t>
            </w:r>
          </w:p>
        </w:tc>
        <w:tc>
          <w:tcPr>
            <w:tcW w:w="759" w:type="pct"/>
            <w:tcBorders>
              <w:left w:val="single" w:sz="4" w:space="0" w:color="auto"/>
              <w:right w:val="single" w:sz="4" w:space="0" w:color="auto"/>
            </w:tcBorders>
            <w:shd w:val="clear" w:color="auto" w:fill="auto"/>
          </w:tcPr>
          <w:p w14:paraId="1D0C8E53" w14:textId="77777777" w:rsidR="00E850F6" w:rsidRPr="00D600DA" w:rsidRDefault="00E850F6" w:rsidP="00636DA1">
            <w:pPr>
              <w:spacing w:after="0" w:line="240" w:lineRule="auto"/>
              <w:jc w:val="center"/>
              <w:rPr>
                <w:rFonts w:ascii="Times New Roman" w:hAnsi="Times New Roman"/>
              </w:rPr>
            </w:pPr>
            <w:r w:rsidRPr="00D600DA">
              <w:rPr>
                <w:rFonts w:ascii="Times New Roman" w:hAnsi="Times New Roman"/>
              </w:rPr>
              <w:t xml:space="preserve">5,3 </w:t>
            </w:r>
            <w:r w:rsidRPr="00D600DA">
              <w:rPr>
                <w:rFonts w:ascii="Times New Roman" w:hAnsi="Times New Roman"/>
              </w:rPr>
              <w:sym w:font="Symbol" w:char="F0B1"/>
            </w:r>
            <w:r w:rsidRPr="00D600DA">
              <w:rPr>
                <w:rFonts w:ascii="Times New Roman" w:hAnsi="Times New Roman"/>
              </w:rPr>
              <w:t> 1,5</w:t>
            </w:r>
          </w:p>
        </w:tc>
        <w:tc>
          <w:tcPr>
            <w:tcW w:w="746" w:type="pct"/>
            <w:tcBorders>
              <w:left w:val="single" w:sz="4" w:space="0" w:color="auto"/>
            </w:tcBorders>
            <w:shd w:val="clear" w:color="auto" w:fill="auto"/>
          </w:tcPr>
          <w:p w14:paraId="05BCD162" w14:textId="77777777" w:rsidR="00E850F6" w:rsidRPr="00D600DA" w:rsidRDefault="00E850F6" w:rsidP="00636DA1">
            <w:pPr>
              <w:spacing w:after="0" w:line="240" w:lineRule="auto"/>
              <w:jc w:val="center"/>
              <w:rPr>
                <w:rFonts w:ascii="Times New Roman" w:eastAsia="SimSun" w:hAnsi="Times New Roman"/>
                <w:lang w:eastAsia="ja-JP"/>
              </w:rPr>
            </w:pPr>
            <w:r w:rsidRPr="00D600DA">
              <w:rPr>
                <w:rFonts w:ascii="Times New Roman" w:eastAsia="SimSun" w:hAnsi="Times New Roman"/>
                <w:lang w:eastAsia="ja-JP"/>
              </w:rPr>
              <w:t xml:space="preserve">10,5 </w:t>
            </w:r>
            <w:r w:rsidRPr="00D600DA">
              <w:rPr>
                <w:rFonts w:ascii="Times New Roman" w:eastAsia="Times New Roman" w:hAnsi="Times New Roman"/>
                <w:lang w:eastAsia="ja-JP"/>
              </w:rPr>
              <w:t>±</w:t>
            </w:r>
            <w:r w:rsidRPr="00D600DA">
              <w:rPr>
                <w:rFonts w:ascii="Times New Roman" w:eastAsia="SimSun" w:hAnsi="Times New Roman"/>
                <w:lang w:eastAsia="ja-JP"/>
              </w:rPr>
              <w:t xml:space="preserve"> 3,36</w:t>
            </w:r>
          </w:p>
        </w:tc>
        <w:tc>
          <w:tcPr>
            <w:tcW w:w="835" w:type="pct"/>
            <w:shd w:val="clear" w:color="auto" w:fill="auto"/>
          </w:tcPr>
          <w:p w14:paraId="37B95E2A" w14:textId="77777777" w:rsidR="00E850F6" w:rsidRPr="00D600DA" w:rsidRDefault="00E850F6" w:rsidP="00636DA1">
            <w:pPr>
              <w:spacing w:after="0" w:line="240" w:lineRule="auto"/>
              <w:jc w:val="center"/>
              <w:rPr>
                <w:rFonts w:ascii="Times New Roman" w:hAnsi="Times New Roman"/>
              </w:rPr>
            </w:pPr>
            <w:r w:rsidRPr="00D600DA">
              <w:rPr>
                <w:rFonts w:ascii="Times New Roman" w:hAnsi="Times New Roman"/>
              </w:rPr>
              <w:t>10,3 ± 3,3</w:t>
            </w:r>
          </w:p>
        </w:tc>
        <w:tc>
          <w:tcPr>
            <w:tcW w:w="743" w:type="pct"/>
            <w:shd w:val="clear" w:color="auto" w:fill="auto"/>
          </w:tcPr>
          <w:p w14:paraId="5D5E489F" w14:textId="77777777" w:rsidR="00E850F6" w:rsidRPr="00D600DA" w:rsidRDefault="00E850F6" w:rsidP="00636DA1">
            <w:pPr>
              <w:spacing w:after="0" w:line="240" w:lineRule="auto"/>
              <w:jc w:val="center"/>
              <w:rPr>
                <w:rFonts w:ascii="Times New Roman" w:hAnsi="Times New Roman"/>
              </w:rPr>
            </w:pPr>
            <w:r w:rsidRPr="00D600DA">
              <w:rPr>
                <w:rFonts w:ascii="Times New Roman" w:hAnsi="Times New Roman"/>
              </w:rPr>
              <w:t>9,4 ± 2,7</w:t>
            </w:r>
          </w:p>
        </w:tc>
        <w:tc>
          <w:tcPr>
            <w:tcW w:w="930" w:type="pct"/>
            <w:shd w:val="clear" w:color="auto" w:fill="auto"/>
          </w:tcPr>
          <w:p w14:paraId="0514F407" w14:textId="77777777" w:rsidR="00E850F6" w:rsidRPr="00D600DA" w:rsidRDefault="00E850F6" w:rsidP="00636DA1">
            <w:pPr>
              <w:spacing w:after="0" w:line="240" w:lineRule="auto"/>
              <w:jc w:val="center"/>
              <w:rPr>
                <w:rFonts w:ascii="Times New Roman" w:hAnsi="Times New Roman"/>
              </w:rPr>
            </w:pPr>
            <w:r w:rsidRPr="00D600DA">
              <w:rPr>
                <w:rFonts w:ascii="Times New Roman" w:hAnsi="Times New Roman"/>
              </w:rPr>
              <w:t>8,0 ± 2,4</w:t>
            </w:r>
          </w:p>
        </w:tc>
      </w:tr>
      <w:tr w:rsidR="00E850F6" w:rsidRPr="00B71670" w14:paraId="4D820ACD" w14:textId="77777777" w:rsidTr="00636DA1">
        <w:tc>
          <w:tcPr>
            <w:tcW w:w="987" w:type="pct"/>
            <w:tcBorders>
              <w:right w:val="single" w:sz="4" w:space="0" w:color="auto"/>
            </w:tcBorders>
            <w:shd w:val="clear" w:color="auto" w:fill="auto"/>
          </w:tcPr>
          <w:p w14:paraId="7874E465" w14:textId="77777777" w:rsidR="00E850F6" w:rsidRPr="00D600DA" w:rsidRDefault="00E850F6" w:rsidP="00636DA1">
            <w:pPr>
              <w:spacing w:after="0" w:line="240" w:lineRule="auto"/>
              <w:rPr>
                <w:rFonts w:ascii="Times New Roman" w:hAnsi="Times New Roman"/>
                <w:b/>
              </w:rPr>
            </w:pPr>
            <w:r w:rsidRPr="00D600DA">
              <w:rPr>
                <w:rFonts w:ascii="Times New Roman" w:hAnsi="Times New Roman"/>
                <w:b/>
              </w:rPr>
              <w:t>Klirensas (l/val)</w:t>
            </w:r>
          </w:p>
        </w:tc>
        <w:tc>
          <w:tcPr>
            <w:tcW w:w="759" w:type="pct"/>
            <w:tcBorders>
              <w:left w:val="single" w:sz="4" w:space="0" w:color="auto"/>
              <w:right w:val="single" w:sz="4" w:space="0" w:color="auto"/>
            </w:tcBorders>
            <w:shd w:val="clear" w:color="auto" w:fill="auto"/>
          </w:tcPr>
          <w:p w14:paraId="376AE9EF" w14:textId="77777777" w:rsidR="00E850F6" w:rsidRPr="00D600DA" w:rsidRDefault="00E850F6" w:rsidP="00636DA1">
            <w:pPr>
              <w:spacing w:after="0" w:line="240" w:lineRule="auto"/>
              <w:jc w:val="center"/>
              <w:rPr>
                <w:rFonts w:ascii="Times New Roman" w:hAnsi="Times New Roman"/>
              </w:rPr>
            </w:pPr>
            <w:r w:rsidRPr="00D600DA">
              <w:rPr>
                <w:rFonts w:ascii="Times New Roman" w:hAnsi="Times New Roman"/>
              </w:rPr>
              <w:t>12,7 ± 4,5</w:t>
            </w:r>
          </w:p>
        </w:tc>
        <w:tc>
          <w:tcPr>
            <w:tcW w:w="746" w:type="pct"/>
            <w:tcBorders>
              <w:left w:val="single" w:sz="4" w:space="0" w:color="auto"/>
            </w:tcBorders>
            <w:shd w:val="clear" w:color="auto" w:fill="auto"/>
          </w:tcPr>
          <w:p w14:paraId="1B9D3764" w14:textId="77777777" w:rsidR="00E850F6" w:rsidRPr="00D600DA" w:rsidRDefault="00E850F6" w:rsidP="00636DA1">
            <w:pPr>
              <w:spacing w:after="0" w:line="240" w:lineRule="auto"/>
              <w:jc w:val="center"/>
              <w:rPr>
                <w:rFonts w:ascii="Times New Roman" w:eastAsia="SimSun" w:hAnsi="Times New Roman"/>
                <w:lang w:eastAsia="ja-JP"/>
              </w:rPr>
            </w:pPr>
            <w:r w:rsidRPr="00D600DA">
              <w:rPr>
                <w:rFonts w:ascii="Times New Roman" w:eastAsia="SimSun" w:hAnsi="Times New Roman"/>
                <w:lang w:eastAsia="ja-JP"/>
              </w:rPr>
              <w:t xml:space="preserve">1,25 </w:t>
            </w:r>
            <w:r w:rsidRPr="00D600DA">
              <w:rPr>
                <w:rFonts w:ascii="Times New Roman" w:eastAsia="Times New Roman" w:hAnsi="Times New Roman"/>
                <w:lang w:eastAsia="ja-JP"/>
              </w:rPr>
              <w:t>±</w:t>
            </w:r>
            <w:r w:rsidRPr="00D600DA">
              <w:rPr>
                <w:rFonts w:ascii="Times New Roman" w:eastAsia="SimSun" w:hAnsi="Times New Roman"/>
                <w:lang w:eastAsia="ja-JP"/>
              </w:rPr>
              <w:t xml:space="preserve"> 0,473</w:t>
            </w:r>
          </w:p>
        </w:tc>
        <w:tc>
          <w:tcPr>
            <w:tcW w:w="835" w:type="pct"/>
            <w:shd w:val="clear" w:color="auto" w:fill="auto"/>
          </w:tcPr>
          <w:p w14:paraId="7962A854" w14:textId="77777777" w:rsidR="00E850F6" w:rsidRPr="00D600DA" w:rsidRDefault="00E850F6" w:rsidP="00636DA1">
            <w:pPr>
              <w:spacing w:after="0" w:line="240" w:lineRule="auto"/>
              <w:jc w:val="center"/>
              <w:rPr>
                <w:rFonts w:ascii="Times New Roman" w:hAnsi="Times New Roman"/>
              </w:rPr>
            </w:pPr>
            <w:r w:rsidRPr="00D600DA">
              <w:rPr>
                <w:rFonts w:ascii="Times New Roman" w:hAnsi="Times New Roman"/>
              </w:rPr>
              <w:t>2,5 ± 2,4</w:t>
            </w:r>
          </w:p>
        </w:tc>
        <w:tc>
          <w:tcPr>
            <w:tcW w:w="743" w:type="pct"/>
            <w:shd w:val="clear" w:color="auto" w:fill="auto"/>
          </w:tcPr>
          <w:p w14:paraId="58E096C6" w14:textId="77777777" w:rsidR="00E850F6" w:rsidRPr="00D600DA" w:rsidRDefault="00E850F6" w:rsidP="00636DA1">
            <w:pPr>
              <w:spacing w:after="0" w:line="240" w:lineRule="auto"/>
              <w:jc w:val="center"/>
              <w:rPr>
                <w:rFonts w:ascii="Times New Roman" w:hAnsi="Times New Roman"/>
              </w:rPr>
            </w:pPr>
            <w:r w:rsidRPr="00D600DA">
              <w:rPr>
                <w:rFonts w:ascii="Times New Roman" w:hAnsi="Times New Roman"/>
              </w:rPr>
              <w:t>4,5 ± 2,9</w:t>
            </w:r>
          </w:p>
        </w:tc>
        <w:tc>
          <w:tcPr>
            <w:tcW w:w="930" w:type="pct"/>
            <w:shd w:val="clear" w:color="auto" w:fill="auto"/>
          </w:tcPr>
          <w:p w14:paraId="3B05184D" w14:textId="77777777" w:rsidR="00E850F6" w:rsidRPr="00D600DA" w:rsidRDefault="00E850F6" w:rsidP="00636DA1">
            <w:pPr>
              <w:spacing w:after="0" w:line="240" w:lineRule="auto"/>
              <w:jc w:val="center"/>
              <w:rPr>
                <w:rFonts w:ascii="Times New Roman" w:hAnsi="Times New Roman"/>
              </w:rPr>
            </w:pPr>
            <w:r w:rsidRPr="00D600DA">
              <w:rPr>
                <w:rFonts w:ascii="Times New Roman" w:hAnsi="Times New Roman"/>
              </w:rPr>
              <w:t>6,4 ± 2,9</w:t>
            </w:r>
          </w:p>
        </w:tc>
      </w:tr>
      <w:tr w:rsidR="00E850F6" w:rsidRPr="00B71670" w14:paraId="054B4FEE" w14:textId="77777777" w:rsidTr="00636DA1">
        <w:tc>
          <w:tcPr>
            <w:tcW w:w="987" w:type="pct"/>
            <w:tcBorders>
              <w:right w:val="single" w:sz="4" w:space="0" w:color="auto"/>
            </w:tcBorders>
            <w:shd w:val="clear" w:color="auto" w:fill="auto"/>
          </w:tcPr>
          <w:p w14:paraId="10E54998" w14:textId="77777777" w:rsidR="00E850F6" w:rsidRPr="00D600DA" w:rsidRDefault="00E850F6" w:rsidP="00636DA1">
            <w:pPr>
              <w:spacing w:after="0" w:line="240" w:lineRule="auto"/>
              <w:rPr>
                <w:rFonts w:ascii="Times New Roman" w:hAnsi="Times New Roman"/>
                <w:b/>
              </w:rPr>
            </w:pPr>
            <w:r w:rsidRPr="00D600DA">
              <w:rPr>
                <w:rFonts w:ascii="Times New Roman" w:hAnsi="Times New Roman"/>
                <w:b/>
              </w:rPr>
              <w:t>t</w:t>
            </w:r>
            <w:r w:rsidRPr="00D600DA">
              <w:rPr>
                <w:rFonts w:ascii="Times New Roman" w:hAnsi="Times New Roman"/>
                <w:b/>
                <w:vertAlign w:val="subscript"/>
              </w:rPr>
              <w:t>1/2</w:t>
            </w:r>
            <w:r w:rsidRPr="00D600DA">
              <w:rPr>
                <w:rFonts w:ascii="Times New Roman" w:hAnsi="Times New Roman"/>
                <w:b/>
              </w:rPr>
              <w:t xml:space="preserve"> (val</w:t>
            </w:r>
            <w:r w:rsidRPr="00D600DA">
              <w:rPr>
                <w:rFonts w:ascii="Times New Roman" w:eastAsia="Times New Roman" w:hAnsi="Times New Roman"/>
                <w:b/>
                <w:lang w:eastAsia="ja-JP"/>
              </w:rPr>
              <w:t>.)</w:t>
            </w:r>
          </w:p>
        </w:tc>
        <w:tc>
          <w:tcPr>
            <w:tcW w:w="759" w:type="pct"/>
            <w:tcBorders>
              <w:left w:val="single" w:sz="4" w:space="0" w:color="auto"/>
              <w:right w:val="single" w:sz="4" w:space="0" w:color="auto"/>
            </w:tcBorders>
            <w:shd w:val="clear" w:color="auto" w:fill="auto"/>
          </w:tcPr>
          <w:p w14:paraId="47450E01" w14:textId="77777777" w:rsidR="00E850F6" w:rsidRPr="00D600DA" w:rsidRDefault="00E850F6" w:rsidP="00636DA1">
            <w:pPr>
              <w:spacing w:after="0" w:line="240" w:lineRule="auto"/>
              <w:jc w:val="center"/>
              <w:rPr>
                <w:rFonts w:ascii="Times New Roman" w:hAnsi="Times New Roman"/>
              </w:rPr>
            </w:pPr>
            <w:r w:rsidRPr="00D600DA">
              <w:rPr>
                <w:rFonts w:ascii="Times New Roman" w:hAnsi="Times New Roman"/>
              </w:rPr>
              <w:t>6,5 ± 1,4</w:t>
            </w:r>
          </w:p>
        </w:tc>
        <w:tc>
          <w:tcPr>
            <w:tcW w:w="746" w:type="pct"/>
            <w:tcBorders>
              <w:left w:val="single" w:sz="4" w:space="0" w:color="auto"/>
            </w:tcBorders>
            <w:shd w:val="clear" w:color="auto" w:fill="auto"/>
          </w:tcPr>
          <w:p w14:paraId="3F3728A3" w14:textId="77777777" w:rsidR="00E850F6" w:rsidRPr="00D600DA" w:rsidRDefault="00E850F6" w:rsidP="00636DA1">
            <w:pPr>
              <w:spacing w:after="0" w:line="240" w:lineRule="auto"/>
              <w:jc w:val="center"/>
              <w:rPr>
                <w:rFonts w:ascii="Times New Roman" w:eastAsia="SimSun" w:hAnsi="Times New Roman"/>
                <w:lang w:eastAsia="ja-JP"/>
              </w:rPr>
            </w:pPr>
            <w:r w:rsidRPr="00D600DA">
              <w:rPr>
                <w:rFonts w:ascii="Times New Roman" w:eastAsia="SimSun" w:hAnsi="Times New Roman"/>
                <w:lang w:eastAsia="ja-JP"/>
              </w:rPr>
              <w:t xml:space="preserve">1,97 </w:t>
            </w:r>
            <w:r w:rsidRPr="00D600DA">
              <w:rPr>
                <w:rFonts w:ascii="Times New Roman" w:eastAsia="Times New Roman" w:hAnsi="Times New Roman"/>
                <w:lang w:eastAsia="ja-JP"/>
              </w:rPr>
              <w:t>±</w:t>
            </w:r>
            <w:r w:rsidRPr="00D600DA">
              <w:rPr>
                <w:rFonts w:ascii="Times New Roman" w:eastAsia="SimSun" w:hAnsi="Times New Roman"/>
                <w:lang w:eastAsia="ja-JP"/>
              </w:rPr>
              <w:t xml:space="preserve"> 0,185</w:t>
            </w:r>
          </w:p>
        </w:tc>
        <w:tc>
          <w:tcPr>
            <w:tcW w:w="835" w:type="pct"/>
            <w:shd w:val="clear" w:color="auto" w:fill="auto"/>
          </w:tcPr>
          <w:p w14:paraId="421EBAC0" w14:textId="77777777" w:rsidR="00E850F6" w:rsidRPr="00D600DA" w:rsidRDefault="00E850F6" w:rsidP="00636DA1">
            <w:pPr>
              <w:spacing w:after="0" w:line="240" w:lineRule="auto"/>
              <w:jc w:val="center"/>
              <w:rPr>
                <w:rFonts w:ascii="Times New Roman" w:hAnsi="Times New Roman"/>
              </w:rPr>
            </w:pPr>
            <w:r w:rsidRPr="00D600DA">
              <w:rPr>
                <w:rFonts w:ascii="Times New Roman" w:hAnsi="Times New Roman"/>
              </w:rPr>
              <w:t>3,1 ±1,4</w:t>
            </w:r>
          </w:p>
        </w:tc>
        <w:tc>
          <w:tcPr>
            <w:tcW w:w="743" w:type="pct"/>
            <w:shd w:val="clear" w:color="auto" w:fill="auto"/>
          </w:tcPr>
          <w:p w14:paraId="2FEF20CE" w14:textId="77777777" w:rsidR="00E850F6" w:rsidRPr="00D600DA" w:rsidRDefault="00E850F6" w:rsidP="00636DA1">
            <w:pPr>
              <w:spacing w:after="0" w:line="240" w:lineRule="auto"/>
              <w:jc w:val="center"/>
              <w:rPr>
                <w:rFonts w:ascii="Times New Roman" w:hAnsi="Times New Roman"/>
              </w:rPr>
            </w:pPr>
            <w:r w:rsidRPr="00D600DA">
              <w:rPr>
                <w:rFonts w:ascii="Times New Roman" w:hAnsi="Times New Roman"/>
              </w:rPr>
              <w:t xml:space="preserve">4,1 ± </w:t>
            </w:r>
            <w:r w:rsidRPr="00D600DA">
              <w:rPr>
                <w:rFonts w:ascii="Times New Roman" w:eastAsia="Times New Roman" w:hAnsi="Times New Roman"/>
                <w:lang w:eastAsia="ja-JP"/>
              </w:rPr>
              <w:t>1,3</w:t>
            </w:r>
          </w:p>
        </w:tc>
        <w:tc>
          <w:tcPr>
            <w:tcW w:w="930" w:type="pct"/>
            <w:shd w:val="clear" w:color="auto" w:fill="auto"/>
          </w:tcPr>
          <w:p w14:paraId="03CA5C80" w14:textId="77777777" w:rsidR="00E850F6" w:rsidRPr="00D600DA" w:rsidRDefault="00E850F6" w:rsidP="00636DA1">
            <w:pPr>
              <w:spacing w:after="0" w:line="240" w:lineRule="auto"/>
              <w:jc w:val="center"/>
              <w:rPr>
                <w:rFonts w:ascii="Times New Roman" w:hAnsi="Times New Roman"/>
              </w:rPr>
            </w:pPr>
            <w:r w:rsidRPr="00D600DA">
              <w:rPr>
                <w:rFonts w:ascii="Times New Roman" w:hAnsi="Times New Roman"/>
              </w:rPr>
              <w:t>5,5 ± 1,1</w:t>
            </w:r>
          </w:p>
        </w:tc>
      </w:tr>
    </w:tbl>
    <w:p w14:paraId="3545FE21" w14:textId="77777777" w:rsidR="00E850F6" w:rsidRPr="00404D15" w:rsidRDefault="00E850F6" w:rsidP="00E850F6">
      <w:pPr>
        <w:spacing w:after="0" w:line="240" w:lineRule="auto"/>
        <w:rPr>
          <w:rFonts w:ascii="Times New Roman" w:hAnsi="Times New Roman"/>
          <w:sz w:val="20"/>
        </w:rPr>
      </w:pPr>
      <w:r w:rsidRPr="00404D15">
        <w:rPr>
          <w:rFonts w:ascii="Times New Roman" w:hAnsi="Times New Roman"/>
          <w:sz w:val="20"/>
        </w:rPr>
        <w:t xml:space="preserve">* </w:t>
      </w:r>
      <w:r w:rsidRPr="00404D15">
        <w:rPr>
          <w:rFonts w:ascii="Times New Roman" w:eastAsia="Times New Roman" w:hAnsi="Times New Roman"/>
          <w:sz w:val="20"/>
          <w:lang w:eastAsia="ja-JP"/>
        </w:rPr>
        <w:t>paimta</w:t>
      </w:r>
      <w:r w:rsidRPr="00404D15">
        <w:rPr>
          <w:rFonts w:ascii="Times New Roman" w:hAnsi="Times New Roman"/>
          <w:sz w:val="20"/>
        </w:rPr>
        <w:t xml:space="preserve"> iš klinikinio tyrimo PV 16000 ataskaitos</w:t>
      </w:r>
    </w:p>
    <w:p w14:paraId="59331952" w14:textId="77777777" w:rsidR="00E850F6" w:rsidRPr="00D600DA" w:rsidRDefault="00E850F6" w:rsidP="00E850F6">
      <w:pPr>
        <w:autoSpaceDE w:val="0"/>
        <w:autoSpaceDN w:val="0"/>
        <w:adjustRightInd w:val="0"/>
        <w:spacing w:after="0" w:line="240" w:lineRule="auto"/>
        <w:rPr>
          <w:rFonts w:ascii="Times New Roman" w:eastAsia="SimSun" w:hAnsi="Times New Roman"/>
          <w:lang w:val="fi-FI" w:eastAsia="zh-CN"/>
        </w:rPr>
      </w:pPr>
    </w:p>
    <w:p w14:paraId="185F36C2" w14:textId="77777777" w:rsidR="00E850F6" w:rsidRPr="00D600DA" w:rsidRDefault="00E850F6" w:rsidP="00E850F6">
      <w:pPr>
        <w:spacing w:after="0" w:line="240" w:lineRule="auto"/>
        <w:rPr>
          <w:rFonts w:ascii="Times New Roman" w:hAnsi="Times New Roman"/>
          <w:lang w:val="fi-FI"/>
        </w:rPr>
      </w:pPr>
      <w:r w:rsidRPr="00D600DA">
        <w:rPr>
          <w:rFonts w:ascii="Times New Roman" w:eastAsia="Times New Roman" w:hAnsi="Times New Roman"/>
          <w:lang w:val="fi-FI" w:eastAsia="ja-JP"/>
        </w:rPr>
        <w:t>Valcyte dozavimas vieną kartą per parą abiejų aukščiau aprašytų klinikinių tyrimų metu buvo pagrįstas kūno paviršiaus ploto (KPP) ir kreatinino klirenso (KK) rodmenimis, gautais pagal modifikuotą Schwartz’o formulę, ir buvo apskaičiuotas naudojant 4.</w:t>
      </w:r>
      <w:r w:rsidRPr="00D600DA">
        <w:rPr>
          <w:rFonts w:ascii="Times New Roman" w:hAnsi="Times New Roman"/>
          <w:lang w:val="fi-FI"/>
        </w:rPr>
        <w:t xml:space="preserve">2 </w:t>
      </w:r>
      <w:r w:rsidRPr="00D600DA">
        <w:rPr>
          <w:rFonts w:ascii="Times New Roman" w:eastAsia="Times New Roman" w:hAnsi="Times New Roman"/>
          <w:lang w:val="fi-FI" w:eastAsia="ja-JP"/>
        </w:rPr>
        <w:t>skyriuje pateiktą</w:t>
      </w:r>
      <w:r w:rsidRPr="00D600DA">
        <w:rPr>
          <w:rFonts w:ascii="Times New Roman" w:hAnsi="Times New Roman"/>
          <w:lang w:val="fi-FI"/>
        </w:rPr>
        <w:t xml:space="preserve"> dozavimo </w:t>
      </w:r>
      <w:r w:rsidRPr="00D600DA">
        <w:rPr>
          <w:rFonts w:ascii="Times New Roman" w:eastAsia="Times New Roman" w:hAnsi="Times New Roman"/>
          <w:lang w:val="fi-FI" w:eastAsia="ja-JP"/>
        </w:rPr>
        <w:t>algoritmą.</w:t>
      </w:r>
    </w:p>
    <w:p w14:paraId="17C46D65" w14:textId="77777777" w:rsidR="00E850F6" w:rsidRPr="00D600DA" w:rsidRDefault="00E850F6" w:rsidP="00E850F6">
      <w:pPr>
        <w:autoSpaceDE w:val="0"/>
        <w:autoSpaceDN w:val="0"/>
        <w:adjustRightInd w:val="0"/>
        <w:spacing w:after="0" w:line="240" w:lineRule="auto"/>
        <w:rPr>
          <w:rFonts w:ascii="Times New Roman" w:eastAsia="SimSun" w:hAnsi="Times New Roman"/>
          <w:lang w:eastAsia="zh-CN"/>
        </w:rPr>
      </w:pPr>
    </w:p>
    <w:p w14:paraId="65A58904"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Be to, gancikloviro farmakokinetika </w:t>
      </w:r>
      <w:r w:rsidRPr="00D600DA">
        <w:rPr>
          <w:rFonts w:ascii="Times New Roman" w:eastAsia="Times New Roman" w:hAnsi="Times New Roman"/>
          <w:lang w:eastAsia="ja-JP"/>
        </w:rPr>
        <w:t xml:space="preserve">vartojant valgancikloviro </w:t>
      </w:r>
      <w:r w:rsidRPr="00D600DA">
        <w:rPr>
          <w:rFonts w:ascii="Times New Roman" w:hAnsi="Times New Roman"/>
          <w:lang w:eastAsia="ja-JP"/>
        </w:rPr>
        <w:t xml:space="preserve">buvo vertinta </w:t>
      </w:r>
      <w:r w:rsidRPr="00D600DA">
        <w:rPr>
          <w:rFonts w:ascii="Times New Roman" w:eastAsia="Times New Roman" w:hAnsi="Times New Roman"/>
          <w:iCs/>
          <w:lang w:eastAsia="ja-JP"/>
        </w:rPr>
        <w:t xml:space="preserve">dviejų klinikinių tyrimų su naujagimiais ir kūdikiais, sirgusiais įgimta simptomine CMV infekcija, metu. </w:t>
      </w:r>
      <w:r w:rsidRPr="00D600DA">
        <w:rPr>
          <w:rFonts w:ascii="Times New Roman" w:eastAsia="Times New Roman" w:hAnsi="Times New Roman"/>
          <w:lang w:eastAsia="ja-JP"/>
        </w:rPr>
        <w:t xml:space="preserve">Pirmojo tyrimo metu </w:t>
      </w:r>
      <w:r w:rsidRPr="00D600DA">
        <w:rPr>
          <w:rFonts w:ascii="Times New Roman" w:hAnsi="Times New Roman"/>
          <w:lang w:eastAsia="ja-JP"/>
        </w:rPr>
        <w:t xml:space="preserve"> 24 simptomine įgimta CMV liga sirgusiems nuo 8 iki 34 parų amžiaus naujagimiams buvo švirkščiamos 6 mg/kg gancikloviro dozės į veną du kartus per parą. Po to pacientai buvo gydyti geriamuoju valgancikloviru, kuomet valgancikloviro miltelių geriamajam tirpalui dozė buvo nuo 14 mg/kg iki 20 mg/kg du kartus per parą</w:t>
      </w:r>
      <w:r w:rsidRPr="00D600DA">
        <w:rPr>
          <w:rFonts w:ascii="Times New Roman" w:eastAsia="Times New Roman" w:hAnsi="Times New Roman"/>
          <w:lang w:eastAsia="ja-JP"/>
        </w:rPr>
        <w:t>, o bendroji gydymo trukmė buvo 6 savaitės</w:t>
      </w:r>
      <w:r w:rsidRPr="00D600DA">
        <w:rPr>
          <w:rFonts w:ascii="Times New Roman" w:hAnsi="Times New Roman"/>
          <w:lang w:eastAsia="ja-JP"/>
        </w:rPr>
        <w:t xml:space="preserve">. 16 mg/kg du kartus per parą valgancikloviro miltelių geriamajam tirpalui dozė naujagimiams sąlygojo tokią pačią ekspoziciją gancikloviru, kaip ir 6 mg/kg du kartus per parą gancikloviro dozė į veną, o taip pat pasiekė panašią ekspoziciją gancikloviru, kokia susidaro suaugusių pacientų organizme vartojant veiksmingą 5 mg/kg dozę į veną. </w:t>
      </w:r>
    </w:p>
    <w:p w14:paraId="1A8649AE" w14:textId="77777777" w:rsidR="00E850F6" w:rsidRPr="00D600DA" w:rsidRDefault="00E850F6" w:rsidP="00E850F6">
      <w:pPr>
        <w:spacing w:after="0" w:line="240" w:lineRule="auto"/>
        <w:rPr>
          <w:rFonts w:ascii="Times New Roman" w:hAnsi="Times New Roman"/>
          <w:lang w:eastAsia="ja-JP"/>
        </w:rPr>
      </w:pPr>
    </w:p>
    <w:p w14:paraId="2CC548EA" w14:textId="77777777" w:rsidR="00E850F6" w:rsidRPr="00D600DA" w:rsidRDefault="00E850F6" w:rsidP="00E850F6">
      <w:pPr>
        <w:spacing w:after="0" w:line="240" w:lineRule="auto"/>
        <w:rPr>
          <w:rFonts w:ascii="Times New Roman" w:hAnsi="Times New Roman"/>
          <w:lang w:eastAsia="ja-JP"/>
        </w:rPr>
      </w:pPr>
      <w:r w:rsidRPr="00D600DA">
        <w:rPr>
          <w:rFonts w:ascii="Times New Roman" w:eastAsia="Times New Roman" w:hAnsi="Times New Roman"/>
          <w:lang w:eastAsia="ja-JP"/>
        </w:rPr>
        <w:t>Antrojo klinikinio tyrimo metu 109 naujagimiai nuo 2 iki 30 parų amžiaus 6 savaites vartojo 16 mg/kg kūno masės valganciklovirą miltelių geriamajam tirpalui dozę du kartus per parą, o po to 96 iš 109 įtrauktų pacientų atsitiktine tvarka buvo paskirta 6 mėnesius toliau vartoti arba valgancikloviro, arba placebo. Vis dėlto AUC</w:t>
      </w:r>
      <w:r w:rsidRPr="00D600DA">
        <w:rPr>
          <w:rFonts w:ascii="Times New Roman" w:eastAsia="Times New Roman" w:hAnsi="Times New Roman"/>
          <w:vertAlign w:val="subscript"/>
          <w:lang w:eastAsia="ja-JP"/>
        </w:rPr>
        <w:t>0-12h</w:t>
      </w:r>
      <w:r w:rsidRPr="00D600DA">
        <w:rPr>
          <w:rFonts w:ascii="Times New Roman" w:eastAsia="Times New Roman" w:hAnsi="Times New Roman"/>
          <w:lang w:eastAsia="ja-JP"/>
        </w:rPr>
        <w:t xml:space="preserve"> vidurkis buvo mažesnis, palyginus su vidutinėmis AUC</w:t>
      </w:r>
      <w:r w:rsidRPr="00D600DA">
        <w:rPr>
          <w:rFonts w:ascii="Times New Roman" w:eastAsia="Times New Roman" w:hAnsi="Times New Roman"/>
          <w:vertAlign w:val="subscript"/>
          <w:lang w:eastAsia="ja-JP"/>
        </w:rPr>
        <w:t>0-12h</w:t>
      </w:r>
      <w:r w:rsidRPr="00D600DA">
        <w:rPr>
          <w:rFonts w:ascii="Times New Roman" w:eastAsia="Times New Roman" w:hAnsi="Times New Roman"/>
          <w:lang w:eastAsia="ja-JP"/>
        </w:rPr>
        <w:t xml:space="preserve"> reikšmėmis pirmajame tyrime.</w:t>
      </w:r>
      <w:r w:rsidRPr="00D600DA">
        <w:rPr>
          <w:rFonts w:ascii="Times New Roman" w:hAnsi="Times New Roman"/>
          <w:lang w:eastAsia="ja-JP"/>
        </w:rPr>
        <w:t>Žemiau pateiktoje lentelėje pateikti AUC, C</w:t>
      </w:r>
      <w:r w:rsidRPr="00D600DA">
        <w:rPr>
          <w:rFonts w:ascii="Times New Roman" w:hAnsi="Times New Roman"/>
          <w:vertAlign w:val="subscript"/>
          <w:lang w:eastAsia="ja-JP"/>
        </w:rPr>
        <w:t>max</w:t>
      </w:r>
      <w:r w:rsidRPr="00D600DA">
        <w:rPr>
          <w:rFonts w:ascii="Times New Roman" w:hAnsi="Times New Roman"/>
          <w:lang w:eastAsia="ja-JP"/>
        </w:rPr>
        <w:t>, ir t ½ vidurkiai ir jų standartiniai nuokrypiai, lyginant su suaugusių pacientų duomenimis.</w:t>
      </w:r>
    </w:p>
    <w:p w14:paraId="278B1565" w14:textId="77777777" w:rsidR="00E850F6" w:rsidRPr="00D600DA" w:rsidRDefault="00E850F6" w:rsidP="00E850F6">
      <w:pPr>
        <w:spacing w:after="0" w:line="240" w:lineRule="auto"/>
        <w:rPr>
          <w:rFonts w:ascii="Times New Roman" w:hAnsi="Times New Roman"/>
          <w:lang w:eastAsia="ja-JP"/>
        </w:rPr>
      </w:pP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376"/>
        <w:gridCol w:w="1479"/>
        <w:gridCol w:w="203"/>
        <w:gridCol w:w="1596"/>
        <w:gridCol w:w="64"/>
        <w:gridCol w:w="1757"/>
        <w:gridCol w:w="1961"/>
      </w:tblGrid>
      <w:tr w:rsidR="00E850F6" w:rsidRPr="00B71670" w14:paraId="5E709B67" w14:textId="77777777" w:rsidTr="00636DA1">
        <w:trPr>
          <w:cantSplit/>
        </w:trPr>
        <w:tc>
          <w:tcPr>
            <w:tcW w:w="822" w:type="pct"/>
            <w:tcBorders>
              <w:left w:val="nil"/>
              <w:right w:val="nil"/>
            </w:tcBorders>
          </w:tcPr>
          <w:p w14:paraId="1DC09C1C" w14:textId="77777777" w:rsidR="00E850F6" w:rsidRPr="00D600DA" w:rsidRDefault="00E850F6" w:rsidP="00636DA1">
            <w:pPr>
              <w:keepNext/>
              <w:keepLines/>
              <w:spacing w:after="0" w:line="240" w:lineRule="auto"/>
              <w:jc w:val="center"/>
              <w:rPr>
                <w:rFonts w:ascii="Times New Roman" w:hAnsi="Times New Roman"/>
                <w:b/>
                <w:lang w:val="en-US"/>
              </w:rPr>
            </w:pPr>
            <w:r w:rsidRPr="00D600DA">
              <w:rPr>
                <w:rFonts w:ascii="Times New Roman" w:hAnsi="Times New Roman"/>
                <w:b/>
                <w:lang w:val="en-US"/>
              </w:rPr>
              <w:lastRenderedPageBreak/>
              <w:t xml:space="preserve">FK </w:t>
            </w:r>
            <w:proofErr w:type="spellStart"/>
            <w:r w:rsidRPr="00D600DA">
              <w:rPr>
                <w:rFonts w:ascii="Times New Roman" w:hAnsi="Times New Roman"/>
                <w:b/>
                <w:lang w:val="en-US"/>
              </w:rPr>
              <w:t>parametras</w:t>
            </w:r>
            <w:proofErr w:type="spellEnd"/>
          </w:p>
        </w:tc>
        <w:tc>
          <w:tcPr>
            <w:tcW w:w="1042" w:type="pct"/>
            <w:gridSpan w:val="2"/>
            <w:tcBorders>
              <w:left w:val="nil"/>
              <w:right w:val="nil"/>
            </w:tcBorders>
          </w:tcPr>
          <w:p w14:paraId="01319E8A" w14:textId="77777777" w:rsidR="00E850F6" w:rsidRPr="00D600DA" w:rsidRDefault="00E850F6" w:rsidP="00636DA1">
            <w:pPr>
              <w:keepNext/>
              <w:keepLines/>
              <w:spacing w:after="0" w:line="240" w:lineRule="auto"/>
              <w:jc w:val="center"/>
              <w:rPr>
                <w:rFonts w:ascii="Times New Roman" w:hAnsi="Times New Roman"/>
                <w:b/>
                <w:lang w:val="en-US"/>
              </w:rPr>
            </w:pPr>
            <w:proofErr w:type="spellStart"/>
            <w:r w:rsidRPr="00D600DA">
              <w:rPr>
                <w:rFonts w:ascii="Times New Roman" w:hAnsi="Times New Roman"/>
                <w:b/>
                <w:lang w:val="en-US"/>
              </w:rPr>
              <w:t>Suaugusieji</w:t>
            </w:r>
            <w:proofErr w:type="spellEnd"/>
          </w:p>
        </w:tc>
        <w:tc>
          <w:tcPr>
            <w:tcW w:w="3136" w:type="pct"/>
            <w:gridSpan w:val="5"/>
            <w:tcBorders>
              <w:left w:val="nil"/>
              <w:right w:val="nil"/>
            </w:tcBorders>
          </w:tcPr>
          <w:p w14:paraId="679BC8BB" w14:textId="77777777" w:rsidR="00E850F6" w:rsidRPr="00D600DA" w:rsidRDefault="00E850F6" w:rsidP="00636DA1">
            <w:pPr>
              <w:keepNext/>
              <w:keepLines/>
              <w:spacing w:after="0" w:line="240" w:lineRule="auto"/>
              <w:jc w:val="center"/>
              <w:rPr>
                <w:rFonts w:ascii="Times New Roman" w:hAnsi="Times New Roman"/>
                <w:b/>
                <w:lang w:val="en-US"/>
              </w:rPr>
            </w:pPr>
            <w:proofErr w:type="spellStart"/>
            <w:r w:rsidRPr="00D600DA">
              <w:rPr>
                <w:rFonts w:ascii="Times New Roman" w:eastAsia="MS Mincho" w:hAnsi="Times New Roman"/>
                <w:b/>
                <w:lang w:val="en-US" w:eastAsia="ja-JP"/>
              </w:rPr>
              <w:t>Vaikai</w:t>
            </w:r>
            <w:proofErr w:type="spellEnd"/>
            <w:r w:rsidRPr="00D600DA">
              <w:rPr>
                <w:rFonts w:ascii="Times New Roman" w:eastAsia="MS Mincho" w:hAnsi="Times New Roman"/>
                <w:b/>
                <w:lang w:val="en-US" w:eastAsia="ja-JP"/>
              </w:rPr>
              <w:t xml:space="preserve"> (</w:t>
            </w:r>
            <w:proofErr w:type="spellStart"/>
            <w:r w:rsidRPr="00D600DA">
              <w:rPr>
                <w:rFonts w:ascii="Times New Roman" w:eastAsia="MS Mincho" w:hAnsi="Times New Roman"/>
                <w:b/>
                <w:lang w:val="en-US" w:eastAsia="ja-JP"/>
              </w:rPr>
              <w:t>naujagimiai</w:t>
            </w:r>
            <w:proofErr w:type="spellEnd"/>
            <w:r w:rsidRPr="00D600DA">
              <w:rPr>
                <w:rFonts w:ascii="Times New Roman" w:eastAsia="MS Mincho" w:hAnsi="Times New Roman"/>
                <w:b/>
                <w:lang w:val="en-US" w:eastAsia="ja-JP"/>
              </w:rPr>
              <w:t xml:space="preserve"> </w:t>
            </w:r>
            <w:proofErr w:type="spellStart"/>
            <w:r w:rsidRPr="00D600DA">
              <w:rPr>
                <w:rFonts w:ascii="Times New Roman" w:eastAsia="MS Mincho" w:hAnsi="Times New Roman"/>
                <w:b/>
                <w:lang w:val="en-US" w:eastAsia="ja-JP"/>
              </w:rPr>
              <w:t>ir</w:t>
            </w:r>
            <w:proofErr w:type="spellEnd"/>
            <w:r w:rsidRPr="00D600DA">
              <w:rPr>
                <w:rFonts w:ascii="Times New Roman" w:eastAsia="MS Mincho" w:hAnsi="Times New Roman"/>
                <w:b/>
                <w:lang w:val="en-US" w:eastAsia="ja-JP"/>
              </w:rPr>
              <w:t xml:space="preserve"> </w:t>
            </w:r>
            <w:proofErr w:type="spellStart"/>
            <w:r w:rsidRPr="00D600DA">
              <w:rPr>
                <w:rFonts w:ascii="Times New Roman" w:eastAsia="MS Mincho" w:hAnsi="Times New Roman"/>
                <w:b/>
                <w:lang w:val="en-US" w:eastAsia="ja-JP"/>
              </w:rPr>
              <w:t>kūdikiai</w:t>
            </w:r>
            <w:proofErr w:type="spellEnd"/>
            <w:r w:rsidRPr="00D600DA">
              <w:rPr>
                <w:rFonts w:ascii="Times New Roman" w:eastAsia="MS Mincho" w:hAnsi="Times New Roman"/>
                <w:b/>
                <w:lang w:val="en-US" w:eastAsia="ja-JP"/>
              </w:rPr>
              <w:t>)</w:t>
            </w:r>
          </w:p>
        </w:tc>
      </w:tr>
      <w:tr w:rsidR="00E850F6" w:rsidRPr="00B71670" w14:paraId="1E263966" w14:textId="77777777" w:rsidTr="00636DA1">
        <w:trPr>
          <w:cantSplit/>
        </w:trPr>
        <w:tc>
          <w:tcPr>
            <w:tcW w:w="822" w:type="pct"/>
            <w:tcBorders>
              <w:left w:val="nil"/>
              <w:bottom w:val="single" w:sz="4" w:space="0" w:color="auto"/>
              <w:right w:val="nil"/>
            </w:tcBorders>
          </w:tcPr>
          <w:p w14:paraId="2106B22F" w14:textId="77777777" w:rsidR="00E850F6" w:rsidRPr="00D600DA" w:rsidRDefault="00E850F6" w:rsidP="00636DA1">
            <w:pPr>
              <w:keepNext/>
              <w:keepLines/>
              <w:spacing w:after="0" w:line="240" w:lineRule="auto"/>
              <w:jc w:val="both"/>
              <w:rPr>
                <w:rFonts w:ascii="Times New Roman" w:hAnsi="Times New Roman"/>
                <w:b/>
                <w:lang w:val="en-US"/>
              </w:rPr>
            </w:pPr>
          </w:p>
        </w:tc>
        <w:tc>
          <w:tcPr>
            <w:tcW w:w="1042" w:type="pct"/>
            <w:gridSpan w:val="2"/>
            <w:tcBorders>
              <w:left w:val="nil"/>
              <w:bottom w:val="single" w:sz="4" w:space="0" w:color="auto"/>
              <w:right w:val="nil"/>
            </w:tcBorders>
          </w:tcPr>
          <w:p w14:paraId="18EE80E8" w14:textId="77777777" w:rsidR="00E850F6" w:rsidRPr="00DD4483" w:rsidRDefault="00E850F6" w:rsidP="00636DA1">
            <w:pPr>
              <w:keepNext/>
              <w:keepLines/>
              <w:spacing w:after="0" w:line="240" w:lineRule="auto"/>
              <w:jc w:val="center"/>
              <w:rPr>
                <w:rFonts w:ascii="Times New Roman" w:hAnsi="Times New Roman"/>
                <w:b/>
                <w:lang w:val="en-US"/>
              </w:rPr>
            </w:pPr>
            <w:r w:rsidRPr="00DD4483">
              <w:rPr>
                <w:rFonts w:ascii="Times New Roman" w:hAnsi="Times New Roman"/>
                <w:b/>
                <w:lang w:val="en-US"/>
              </w:rPr>
              <w:t>5 mg/kg GAN</w:t>
            </w:r>
          </w:p>
          <w:p w14:paraId="10D3F0DE" w14:textId="77777777" w:rsidR="00E850F6" w:rsidRPr="00DD4483" w:rsidRDefault="00E850F6" w:rsidP="00636DA1">
            <w:pPr>
              <w:keepNext/>
              <w:keepLines/>
              <w:spacing w:after="0" w:line="240" w:lineRule="auto"/>
              <w:jc w:val="center"/>
              <w:rPr>
                <w:rFonts w:ascii="Times New Roman" w:hAnsi="Times New Roman"/>
                <w:b/>
                <w:lang w:val="en-US"/>
              </w:rPr>
            </w:pPr>
            <w:proofErr w:type="spellStart"/>
            <w:r w:rsidRPr="00DD4483">
              <w:rPr>
                <w:rFonts w:ascii="Times New Roman" w:hAnsi="Times New Roman"/>
                <w:b/>
                <w:lang w:val="en-US"/>
              </w:rPr>
              <w:t>Vienkartinė</w:t>
            </w:r>
            <w:proofErr w:type="spellEnd"/>
            <w:r w:rsidRPr="00DD4483">
              <w:rPr>
                <w:rFonts w:ascii="Times New Roman" w:hAnsi="Times New Roman"/>
                <w:b/>
                <w:lang w:val="en-US"/>
              </w:rPr>
              <w:t xml:space="preserve"> </w:t>
            </w:r>
            <w:proofErr w:type="spellStart"/>
            <w:r w:rsidRPr="00DD4483">
              <w:rPr>
                <w:rFonts w:ascii="Times New Roman" w:hAnsi="Times New Roman"/>
                <w:b/>
                <w:lang w:val="en-US"/>
              </w:rPr>
              <w:t>dozė</w:t>
            </w:r>
            <w:proofErr w:type="spellEnd"/>
            <w:r w:rsidRPr="00DD4483">
              <w:rPr>
                <w:rFonts w:ascii="Times New Roman" w:hAnsi="Times New Roman"/>
                <w:b/>
                <w:lang w:val="en-US"/>
              </w:rPr>
              <w:br/>
              <w:t>(n = 8)</w:t>
            </w:r>
          </w:p>
        </w:tc>
        <w:tc>
          <w:tcPr>
            <w:tcW w:w="1011" w:type="pct"/>
            <w:gridSpan w:val="2"/>
            <w:tcBorders>
              <w:left w:val="nil"/>
              <w:bottom w:val="single" w:sz="4" w:space="0" w:color="auto"/>
              <w:right w:val="nil"/>
            </w:tcBorders>
          </w:tcPr>
          <w:p w14:paraId="2DCC2B0C" w14:textId="77777777" w:rsidR="00E850F6" w:rsidRPr="00D600DA" w:rsidRDefault="00E850F6" w:rsidP="00636DA1">
            <w:pPr>
              <w:keepNext/>
              <w:keepLines/>
              <w:spacing w:after="0" w:line="240" w:lineRule="auto"/>
              <w:jc w:val="center"/>
              <w:rPr>
                <w:rFonts w:ascii="Times New Roman" w:hAnsi="Times New Roman"/>
                <w:b/>
                <w:lang w:val="de-DE"/>
              </w:rPr>
            </w:pPr>
            <w:r w:rsidRPr="00D600DA">
              <w:rPr>
                <w:rFonts w:ascii="Times New Roman" w:hAnsi="Times New Roman"/>
                <w:b/>
                <w:lang w:val="de-DE"/>
              </w:rPr>
              <w:t>6 mg/kg GAN</w:t>
            </w:r>
          </w:p>
          <w:p w14:paraId="0C9C4042" w14:textId="77777777" w:rsidR="00E850F6" w:rsidRPr="00D600DA" w:rsidRDefault="00E850F6" w:rsidP="00636DA1">
            <w:pPr>
              <w:keepNext/>
              <w:keepLines/>
              <w:spacing w:after="0" w:line="240" w:lineRule="auto"/>
              <w:jc w:val="center"/>
              <w:rPr>
                <w:rFonts w:ascii="Times New Roman" w:hAnsi="Times New Roman"/>
                <w:b/>
                <w:lang w:val="de-DE"/>
              </w:rPr>
            </w:pPr>
            <w:r w:rsidRPr="00D600DA">
              <w:rPr>
                <w:rFonts w:ascii="Times New Roman" w:hAnsi="Times New Roman"/>
                <w:b/>
                <w:lang w:val="de-DE"/>
              </w:rPr>
              <w:t xml:space="preserve">du </w:t>
            </w:r>
            <w:proofErr w:type="spellStart"/>
            <w:r w:rsidRPr="00D600DA">
              <w:rPr>
                <w:rFonts w:ascii="Times New Roman" w:hAnsi="Times New Roman"/>
                <w:b/>
                <w:lang w:val="de-DE"/>
              </w:rPr>
              <w:t>kartus</w:t>
            </w:r>
            <w:proofErr w:type="spellEnd"/>
            <w:r w:rsidRPr="00D600DA">
              <w:rPr>
                <w:rFonts w:ascii="Times New Roman" w:hAnsi="Times New Roman"/>
                <w:b/>
                <w:lang w:val="de-DE"/>
              </w:rPr>
              <w:t xml:space="preserve"> per </w:t>
            </w:r>
            <w:proofErr w:type="spellStart"/>
            <w:r w:rsidRPr="00D600DA">
              <w:rPr>
                <w:rFonts w:ascii="Times New Roman" w:hAnsi="Times New Roman"/>
                <w:b/>
                <w:lang w:val="de-DE"/>
              </w:rPr>
              <w:t>parą</w:t>
            </w:r>
            <w:proofErr w:type="spellEnd"/>
            <w:r w:rsidRPr="00D600DA">
              <w:rPr>
                <w:rFonts w:ascii="Times New Roman" w:hAnsi="Times New Roman"/>
                <w:b/>
                <w:lang w:val="de-DE"/>
              </w:rPr>
              <w:br/>
              <w:t>(n = 19)</w:t>
            </w:r>
          </w:p>
        </w:tc>
        <w:tc>
          <w:tcPr>
            <w:tcW w:w="1023" w:type="pct"/>
            <w:gridSpan w:val="2"/>
            <w:tcBorders>
              <w:left w:val="nil"/>
              <w:bottom w:val="single" w:sz="4" w:space="0" w:color="auto"/>
              <w:right w:val="nil"/>
            </w:tcBorders>
          </w:tcPr>
          <w:p w14:paraId="6159CFBC" w14:textId="77777777" w:rsidR="00E850F6" w:rsidRPr="00D600DA" w:rsidRDefault="00E850F6" w:rsidP="00636DA1">
            <w:pPr>
              <w:keepNext/>
              <w:keepLines/>
              <w:spacing w:after="0" w:line="240" w:lineRule="auto"/>
              <w:jc w:val="center"/>
              <w:rPr>
                <w:rFonts w:ascii="Times New Roman" w:hAnsi="Times New Roman"/>
                <w:b/>
                <w:lang w:val="fr-FR"/>
              </w:rPr>
            </w:pPr>
            <w:r w:rsidRPr="00D600DA">
              <w:rPr>
                <w:rFonts w:ascii="Times New Roman" w:hAnsi="Times New Roman"/>
                <w:b/>
                <w:lang w:val="fr-FR"/>
              </w:rPr>
              <w:t>16 mg/kg VAL</w:t>
            </w:r>
          </w:p>
          <w:p w14:paraId="4D833C22" w14:textId="77777777" w:rsidR="00E850F6" w:rsidRPr="00D600DA" w:rsidRDefault="00E850F6" w:rsidP="00636DA1">
            <w:pPr>
              <w:keepNext/>
              <w:keepLines/>
              <w:spacing w:after="0" w:line="240" w:lineRule="auto"/>
              <w:jc w:val="center"/>
              <w:rPr>
                <w:rFonts w:ascii="Times New Roman" w:hAnsi="Times New Roman"/>
                <w:b/>
                <w:lang w:val="fr-FR"/>
              </w:rPr>
            </w:pPr>
            <w:r w:rsidRPr="00D600DA">
              <w:rPr>
                <w:rFonts w:ascii="Times New Roman" w:hAnsi="Times New Roman"/>
                <w:b/>
                <w:lang w:val="fr-FR"/>
              </w:rPr>
              <w:t xml:space="preserve">du </w:t>
            </w:r>
            <w:proofErr w:type="spellStart"/>
            <w:r w:rsidRPr="00D600DA">
              <w:rPr>
                <w:rFonts w:ascii="Times New Roman" w:hAnsi="Times New Roman"/>
                <w:b/>
                <w:lang w:val="fr-FR"/>
              </w:rPr>
              <w:t>kartus</w:t>
            </w:r>
            <w:proofErr w:type="spellEnd"/>
            <w:r w:rsidRPr="00D600DA">
              <w:rPr>
                <w:rFonts w:ascii="Times New Roman" w:hAnsi="Times New Roman"/>
                <w:b/>
                <w:lang w:val="fr-FR"/>
              </w:rPr>
              <w:t xml:space="preserve"> per </w:t>
            </w:r>
            <w:proofErr w:type="spellStart"/>
            <w:r w:rsidRPr="00D600DA">
              <w:rPr>
                <w:rFonts w:ascii="Times New Roman" w:hAnsi="Times New Roman"/>
                <w:b/>
                <w:lang w:val="fr-FR"/>
              </w:rPr>
              <w:t>parą</w:t>
            </w:r>
            <w:proofErr w:type="spellEnd"/>
            <w:r w:rsidRPr="00D600DA">
              <w:rPr>
                <w:rFonts w:ascii="Times New Roman" w:hAnsi="Times New Roman"/>
                <w:b/>
                <w:lang w:val="fr-FR"/>
              </w:rPr>
              <w:br/>
              <w:t>(n = 19)</w:t>
            </w:r>
          </w:p>
        </w:tc>
        <w:tc>
          <w:tcPr>
            <w:tcW w:w="1102" w:type="pct"/>
            <w:tcBorders>
              <w:left w:val="nil"/>
              <w:bottom w:val="single" w:sz="4" w:space="0" w:color="auto"/>
              <w:right w:val="nil"/>
            </w:tcBorders>
          </w:tcPr>
          <w:p w14:paraId="3EA6C037" w14:textId="77777777" w:rsidR="00E850F6" w:rsidRPr="00D600DA" w:rsidRDefault="00E850F6" w:rsidP="00636DA1">
            <w:pPr>
              <w:keepNext/>
              <w:keepLines/>
              <w:spacing w:after="0" w:line="240" w:lineRule="auto"/>
              <w:jc w:val="center"/>
              <w:rPr>
                <w:rFonts w:ascii="Times New Roman" w:eastAsia="MS Mincho" w:hAnsi="Times New Roman"/>
                <w:b/>
                <w:lang w:val="fr-FR" w:eastAsia="ja-JP"/>
              </w:rPr>
            </w:pPr>
            <w:r w:rsidRPr="00D600DA">
              <w:rPr>
                <w:rFonts w:ascii="Times New Roman" w:eastAsia="MS Mincho" w:hAnsi="Times New Roman"/>
                <w:b/>
                <w:lang w:val="fr-FR" w:eastAsia="ja-JP"/>
              </w:rPr>
              <w:t>16 mg/kg VAL</w:t>
            </w:r>
          </w:p>
          <w:p w14:paraId="1E28CBFC" w14:textId="77777777" w:rsidR="00E850F6" w:rsidRPr="00D600DA" w:rsidRDefault="00E850F6" w:rsidP="00636DA1">
            <w:pPr>
              <w:keepNext/>
              <w:keepLines/>
              <w:spacing w:after="0" w:line="240" w:lineRule="auto"/>
              <w:jc w:val="center"/>
              <w:rPr>
                <w:rFonts w:ascii="Times New Roman" w:eastAsia="MS Mincho" w:hAnsi="Times New Roman"/>
                <w:b/>
                <w:lang w:val="fr-FR" w:eastAsia="ja-JP"/>
              </w:rPr>
            </w:pPr>
            <w:r w:rsidRPr="00D600DA">
              <w:rPr>
                <w:rFonts w:ascii="Times New Roman" w:eastAsia="MS Mincho" w:hAnsi="Times New Roman"/>
                <w:b/>
                <w:lang w:val="fr-FR" w:eastAsia="ja-JP"/>
              </w:rPr>
              <w:t xml:space="preserve">du </w:t>
            </w:r>
            <w:proofErr w:type="spellStart"/>
            <w:r w:rsidRPr="00D600DA">
              <w:rPr>
                <w:rFonts w:ascii="Times New Roman" w:eastAsia="MS Mincho" w:hAnsi="Times New Roman"/>
                <w:b/>
                <w:lang w:val="fr-FR" w:eastAsia="ja-JP"/>
              </w:rPr>
              <w:t>kartus</w:t>
            </w:r>
            <w:proofErr w:type="spellEnd"/>
            <w:r w:rsidRPr="00D600DA">
              <w:rPr>
                <w:rFonts w:ascii="Times New Roman" w:eastAsia="MS Mincho" w:hAnsi="Times New Roman"/>
                <w:b/>
                <w:lang w:val="fr-FR" w:eastAsia="ja-JP"/>
              </w:rPr>
              <w:t xml:space="preserve"> per </w:t>
            </w:r>
            <w:proofErr w:type="spellStart"/>
            <w:r w:rsidRPr="00D600DA">
              <w:rPr>
                <w:rFonts w:ascii="Times New Roman" w:eastAsia="MS Mincho" w:hAnsi="Times New Roman"/>
                <w:b/>
                <w:lang w:val="fr-FR" w:eastAsia="ja-JP"/>
              </w:rPr>
              <w:t>parą</w:t>
            </w:r>
            <w:proofErr w:type="spellEnd"/>
            <w:r w:rsidRPr="00D600DA">
              <w:rPr>
                <w:rFonts w:ascii="Times New Roman" w:eastAsia="MS Mincho" w:hAnsi="Times New Roman"/>
                <w:b/>
                <w:lang w:val="fr-FR" w:eastAsia="ja-JP"/>
              </w:rPr>
              <w:br/>
              <w:t>(n = 100)</w:t>
            </w:r>
          </w:p>
        </w:tc>
      </w:tr>
      <w:tr w:rsidR="00E850F6" w:rsidRPr="00B71670" w14:paraId="2536F5C9" w14:textId="77777777" w:rsidTr="00636DA1">
        <w:trPr>
          <w:cantSplit/>
        </w:trPr>
        <w:tc>
          <w:tcPr>
            <w:tcW w:w="1033" w:type="pct"/>
            <w:gridSpan w:val="2"/>
            <w:tcBorders>
              <w:top w:val="single" w:sz="4" w:space="0" w:color="auto"/>
              <w:left w:val="nil"/>
              <w:bottom w:val="single" w:sz="4" w:space="0" w:color="auto"/>
              <w:right w:val="nil"/>
            </w:tcBorders>
          </w:tcPr>
          <w:p w14:paraId="3B74B008" w14:textId="77777777" w:rsidR="00E850F6" w:rsidRPr="00D600DA" w:rsidRDefault="00E850F6" w:rsidP="00636DA1">
            <w:pPr>
              <w:keepNext/>
              <w:keepLines/>
              <w:spacing w:after="0" w:line="240" w:lineRule="auto"/>
              <w:rPr>
                <w:rFonts w:ascii="Times New Roman" w:hAnsi="Times New Roman"/>
                <w:b/>
                <w:lang w:val="pt-BR"/>
              </w:rPr>
            </w:pPr>
            <w:r w:rsidRPr="00D600DA">
              <w:rPr>
                <w:rFonts w:ascii="Times New Roman" w:hAnsi="Times New Roman"/>
                <w:b/>
                <w:lang w:val="pt-BR"/>
              </w:rPr>
              <w:t>AUC0-∞ (mg.val/l)</w:t>
            </w:r>
          </w:p>
        </w:tc>
        <w:tc>
          <w:tcPr>
            <w:tcW w:w="945" w:type="pct"/>
            <w:gridSpan w:val="2"/>
            <w:tcBorders>
              <w:top w:val="single" w:sz="4" w:space="0" w:color="auto"/>
              <w:left w:val="nil"/>
              <w:bottom w:val="single" w:sz="4" w:space="0" w:color="auto"/>
              <w:right w:val="nil"/>
            </w:tcBorders>
          </w:tcPr>
          <w:p w14:paraId="069202AB" w14:textId="77777777" w:rsidR="00E850F6" w:rsidRPr="00D600DA" w:rsidRDefault="00E850F6" w:rsidP="00636DA1">
            <w:pPr>
              <w:keepNext/>
              <w:keepLines/>
              <w:spacing w:after="0" w:line="240" w:lineRule="auto"/>
              <w:jc w:val="center"/>
              <w:rPr>
                <w:rFonts w:ascii="Times New Roman" w:hAnsi="Times New Roman"/>
                <w:lang w:val="pt-BR"/>
              </w:rPr>
            </w:pPr>
            <w:r w:rsidRPr="00D600DA">
              <w:rPr>
                <w:rFonts w:ascii="Times New Roman" w:hAnsi="Times New Roman"/>
                <w:lang w:val="pt-BR"/>
              </w:rPr>
              <w:t xml:space="preserve">25,4 </w:t>
            </w:r>
            <w:r w:rsidRPr="00D600DA">
              <w:rPr>
                <w:rFonts w:ascii="Times New Roman" w:hAnsi="Times New Roman"/>
                <w:lang w:val="en-US"/>
              </w:rPr>
              <w:t>± 4,32</w:t>
            </w:r>
          </w:p>
        </w:tc>
        <w:tc>
          <w:tcPr>
            <w:tcW w:w="933" w:type="pct"/>
            <w:gridSpan w:val="2"/>
            <w:tcBorders>
              <w:top w:val="single" w:sz="4" w:space="0" w:color="auto"/>
              <w:left w:val="nil"/>
              <w:bottom w:val="single" w:sz="4" w:space="0" w:color="auto"/>
              <w:right w:val="nil"/>
            </w:tcBorders>
          </w:tcPr>
          <w:p w14:paraId="2A7D12D8" w14:textId="77777777" w:rsidR="00E850F6" w:rsidRPr="00D600DA" w:rsidRDefault="00E850F6" w:rsidP="00636DA1">
            <w:pPr>
              <w:keepNext/>
              <w:keepLines/>
              <w:spacing w:after="0" w:line="240" w:lineRule="auto"/>
              <w:jc w:val="center"/>
              <w:rPr>
                <w:rFonts w:ascii="Times New Roman" w:hAnsi="Times New Roman"/>
                <w:lang w:val="en-US"/>
              </w:rPr>
            </w:pPr>
            <w:r w:rsidRPr="00D600DA">
              <w:rPr>
                <w:rFonts w:ascii="Times New Roman" w:hAnsi="Times New Roman"/>
                <w:lang w:val="en-US"/>
              </w:rPr>
              <w:t>-</w:t>
            </w:r>
          </w:p>
        </w:tc>
        <w:tc>
          <w:tcPr>
            <w:tcW w:w="986" w:type="pct"/>
            <w:tcBorders>
              <w:top w:val="single" w:sz="4" w:space="0" w:color="auto"/>
              <w:left w:val="nil"/>
              <w:bottom w:val="single" w:sz="4" w:space="0" w:color="auto"/>
              <w:right w:val="nil"/>
            </w:tcBorders>
          </w:tcPr>
          <w:p w14:paraId="1B48AF34" w14:textId="77777777" w:rsidR="00E850F6" w:rsidRPr="00D600DA" w:rsidRDefault="00E850F6" w:rsidP="00636DA1">
            <w:pPr>
              <w:keepNext/>
              <w:keepLines/>
              <w:spacing w:after="0" w:line="240" w:lineRule="auto"/>
              <w:jc w:val="center"/>
              <w:rPr>
                <w:rFonts w:ascii="Times New Roman" w:hAnsi="Times New Roman"/>
                <w:lang w:val="en-US"/>
              </w:rPr>
            </w:pPr>
            <w:r w:rsidRPr="00D600DA">
              <w:rPr>
                <w:rFonts w:ascii="Times New Roman" w:hAnsi="Times New Roman"/>
                <w:lang w:val="en-US"/>
              </w:rPr>
              <w:t>-</w:t>
            </w:r>
          </w:p>
        </w:tc>
        <w:tc>
          <w:tcPr>
            <w:tcW w:w="1102" w:type="pct"/>
            <w:tcBorders>
              <w:top w:val="single" w:sz="4" w:space="0" w:color="auto"/>
              <w:left w:val="nil"/>
              <w:bottom w:val="single" w:sz="4" w:space="0" w:color="auto"/>
              <w:right w:val="nil"/>
            </w:tcBorders>
          </w:tcPr>
          <w:p w14:paraId="4E762359" w14:textId="77777777" w:rsidR="00E850F6" w:rsidRPr="00D600DA" w:rsidRDefault="00E850F6" w:rsidP="00636DA1">
            <w:pPr>
              <w:keepNext/>
              <w:keepLines/>
              <w:spacing w:after="0" w:line="240" w:lineRule="auto"/>
              <w:jc w:val="center"/>
              <w:rPr>
                <w:rFonts w:ascii="Times New Roman" w:eastAsia="MS Mincho" w:hAnsi="Times New Roman"/>
                <w:lang w:val="en-US" w:eastAsia="ja-JP"/>
              </w:rPr>
            </w:pPr>
            <w:r w:rsidRPr="00D600DA">
              <w:rPr>
                <w:rFonts w:ascii="Times New Roman" w:hAnsi="Times New Roman"/>
              </w:rPr>
              <w:t>-</w:t>
            </w:r>
          </w:p>
        </w:tc>
      </w:tr>
      <w:tr w:rsidR="00E850F6" w:rsidRPr="00B71670" w14:paraId="42F4238D" w14:textId="77777777" w:rsidTr="00636DA1">
        <w:trPr>
          <w:cantSplit/>
        </w:trPr>
        <w:tc>
          <w:tcPr>
            <w:tcW w:w="1033" w:type="pct"/>
            <w:gridSpan w:val="2"/>
            <w:tcBorders>
              <w:top w:val="single" w:sz="4" w:space="0" w:color="auto"/>
              <w:left w:val="nil"/>
              <w:bottom w:val="single" w:sz="4" w:space="0" w:color="auto"/>
              <w:right w:val="nil"/>
            </w:tcBorders>
          </w:tcPr>
          <w:p w14:paraId="487FDB70" w14:textId="77777777" w:rsidR="00E850F6" w:rsidRPr="00D600DA" w:rsidRDefault="00E850F6" w:rsidP="00636DA1">
            <w:pPr>
              <w:keepNext/>
              <w:keepLines/>
              <w:spacing w:after="0" w:line="240" w:lineRule="auto"/>
              <w:rPr>
                <w:rFonts w:ascii="Times New Roman" w:hAnsi="Times New Roman"/>
                <w:b/>
                <w:lang w:val="pt-BR"/>
              </w:rPr>
            </w:pPr>
            <w:r w:rsidRPr="00D600DA">
              <w:rPr>
                <w:rFonts w:ascii="Times New Roman" w:hAnsi="Times New Roman"/>
                <w:b/>
                <w:lang w:val="pt-BR"/>
              </w:rPr>
              <w:t>AUC</w:t>
            </w:r>
            <w:r w:rsidRPr="00D600DA">
              <w:rPr>
                <w:rFonts w:ascii="Times New Roman" w:hAnsi="Times New Roman"/>
                <w:b/>
                <w:vertAlign w:val="subscript"/>
                <w:lang w:val="pt-BR"/>
              </w:rPr>
              <w:t xml:space="preserve">12h </w:t>
            </w:r>
            <w:r w:rsidRPr="00D600DA">
              <w:rPr>
                <w:rFonts w:ascii="Times New Roman" w:hAnsi="Times New Roman"/>
                <w:b/>
                <w:lang w:val="pt-BR"/>
              </w:rPr>
              <w:t>(</w:t>
            </w:r>
            <w:r w:rsidRPr="00D600DA">
              <w:rPr>
                <w:rFonts w:ascii="Times New Roman" w:hAnsi="Times New Roman"/>
                <w:b/>
                <w:lang w:val="en-US"/>
              </w:rPr>
              <w:t>m</w:t>
            </w:r>
            <w:r w:rsidRPr="00D600DA">
              <w:rPr>
                <w:rFonts w:ascii="Times New Roman" w:hAnsi="Times New Roman"/>
                <w:b/>
                <w:lang w:val="pt-BR"/>
              </w:rPr>
              <w:t>g</w:t>
            </w:r>
            <w:r w:rsidRPr="00D600DA">
              <w:rPr>
                <w:rFonts w:ascii="Times New Roman" w:hAnsi="Times New Roman"/>
                <w:b/>
                <w:vertAlign w:val="superscript"/>
                <w:lang w:val="pt-BR"/>
              </w:rPr>
              <w:t>.</w:t>
            </w:r>
            <w:r w:rsidRPr="00D600DA">
              <w:rPr>
                <w:rFonts w:ascii="Times New Roman" w:hAnsi="Times New Roman"/>
                <w:b/>
                <w:lang w:val="pt-BR"/>
              </w:rPr>
              <w:t>val/l)</w:t>
            </w:r>
          </w:p>
        </w:tc>
        <w:tc>
          <w:tcPr>
            <w:tcW w:w="945" w:type="pct"/>
            <w:gridSpan w:val="2"/>
            <w:tcBorders>
              <w:top w:val="single" w:sz="4" w:space="0" w:color="auto"/>
              <w:left w:val="nil"/>
              <w:bottom w:val="single" w:sz="4" w:space="0" w:color="auto"/>
              <w:right w:val="nil"/>
            </w:tcBorders>
          </w:tcPr>
          <w:p w14:paraId="6C123319" w14:textId="77777777" w:rsidR="00E850F6" w:rsidRPr="00D600DA" w:rsidRDefault="00E850F6" w:rsidP="00636DA1">
            <w:pPr>
              <w:keepNext/>
              <w:keepLines/>
              <w:spacing w:after="0" w:line="240" w:lineRule="auto"/>
              <w:jc w:val="center"/>
              <w:rPr>
                <w:rFonts w:ascii="Times New Roman" w:hAnsi="Times New Roman"/>
                <w:lang w:val="pt-BR"/>
              </w:rPr>
            </w:pPr>
            <w:r w:rsidRPr="00D600DA">
              <w:rPr>
                <w:rFonts w:ascii="Times New Roman" w:hAnsi="Times New Roman"/>
                <w:lang w:val="pt-BR"/>
              </w:rPr>
              <w:t>-</w:t>
            </w:r>
          </w:p>
        </w:tc>
        <w:tc>
          <w:tcPr>
            <w:tcW w:w="933" w:type="pct"/>
            <w:gridSpan w:val="2"/>
            <w:tcBorders>
              <w:top w:val="single" w:sz="4" w:space="0" w:color="auto"/>
              <w:left w:val="nil"/>
              <w:bottom w:val="single" w:sz="4" w:space="0" w:color="auto"/>
              <w:right w:val="nil"/>
            </w:tcBorders>
          </w:tcPr>
          <w:p w14:paraId="113F3701" w14:textId="77777777" w:rsidR="00E850F6" w:rsidRPr="00D600DA" w:rsidRDefault="00E850F6" w:rsidP="00636DA1">
            <w:pPr>
              <w:keepNext/>
              <w:keepLines/>
              <w:spacing w:after="0" w:line="240" w:lineRule="auto"/>
              <w:jc w:val="center"/>
              <w:rPr>
                <w:rFonts w:ascii="Times New Roman" w:hAnsi="Times New Roman"/>
                <w:lang w:val="pt-BR"/>
              </w:rPr>
            </w:pPr>
            <w:r w:rsidRPr="00D600DA">
              <w:rPr>
                <w:rFonts w:ascii="Times New Roman" w:hAnsi="Times New Roman"/>
                <w:lang w:val="en-US"/>
              </w:rPr>
              <w:t>38,2 ± 42,7</w:t>
            </w:r>
          </w:p>
        </w:tc>
        <w:tc>
          <w:tcPr>
            <w:tcW w:w="986" w:type="pct"/>
            <w:tcBorders>
              <w:top w:val="single" w:sz="4" w:space="0" w:color="auto"/>
              <w:left w:val="nil"/>
              <w:bottom w:val="single" w:sz="4" w:space="0" w:color="auto"/>
              <w:right w:val="nil"/>
            </w:tcBorders>
          </w:tcPr>
          <w:p w14:paraId="412DCAA6" w14:textId="77777777" w:rsidR="00E850F6" w:rsidRPr="00D600DA" w:rsidRDefault="00E850F6" w:rsidP="00636DA1">
            <w:pPr>
              <w:keepNext/>
              <w:keepLines/>
              <w:spacing w:after="0" w:line="240" w:lineRule="auto"/>
              <w:jc w:val="center"/>
              <w:rPr>
                <w:rFonts w:ascii="Times New Roman" w:hAnsi="Times New Roman"/>
                <w:lang w:val="de-CH"/>
              </w:rPr>
            </w:pPr>
            <w:r w:rsidRPr="00D600DA">
              <w:rPr>
                <w:rFonts w:ascii="Times New Roman" w:hAnsi="Times New Roman"/>
                <w:lang w:val="de-CH"/>
              </w:rPr>
              <w:t>30,1 ± 15,1</w:t>
            </w:r>
          </w:p>
        </w:tc>
        <w:tc>
          <w:tcPr>
            <w:tcW w:w="1102" w:type="pct"/>
            <w:tcBorders>
              <w:top w:val="single" w:sz="4" w:space="0" w:color="auto"/>
              <w:left w:val="nil"/>
              <w:bottom w:val="single" w:sz="4" w:space="0" w:color="auto"/>
              <w:right w:val="nil"/>
            </w:tcBorders>
          </w:tcPr>
          <w:p w14:paraId="14C41F5E" w14:textId="77777777" w:rsidR="00E850F6" w:rsidRPr="00D600DA" w:rsidRDefault="00E850F6" w:rsidP="00636DA1">
            <w:pPr>
              <w:keepNext/>
              <w:keepLines/>
              <w:spacing w:after="0" w:line="240" w:lineRule="auto"/>
              <w:jc w:val="center"/>
              <w:rPr>
                <w:rFonts w:ascii="Times New Roman" w:eastAsia="MS Mincho" w:hAnsi="Times New Roman"/>
                <w:lang w:val="de-CH" w:eastAsia="ja-JP"/>
              </w:rPr>
            </w:pPr>
            <w:r w:rsidRPr="00D600DA">
              <w:rPr>
                <w:rFonts w:ascii="Times New Roman" w:hAnsi="Times New Roman"/>
              </w:rPr>
              <w:t xml:space="preserve">20,85 </w:t>
            </w:r>
            <w:r w:rsidRPr="00D600DA">
              <w:rPr>
                <w:rFonts w:ascii="Times New Roman" w:hAnsi="Times New Roman"/>
                <w:lang w:val="de-CH"/>
              </w:rPr>
              <w:t>±</w:t>
            </w:r>
            <w:r w:rsidRPr="00D600DA">
              <w:rPr>
                <w:rFonts w:ascii="Times New Roman" w:hAnsi="Times New Roman"/>
              </w:rPr>
              <w:t xml:space="preserve"> 5,40</w:t>
            </w:r>
          </w:p>
        </w:tc>
      </w:tr>
      <w:tr w:rsidR="00E850F6" w:rsidRPr="00B71670" w14:paraId="0A64C6EB" w14:textId="77777777" w:rsidTr="00636DA1">
        <w:trPr>
          <w:cantSplit/>
        </w:trPr>
        <w:tc>
          <w:tcPr>
            <w:tcW w:w="1033" w:type="pct"/>
            <w:gridSpan w:val="2"/>
            <w:tcBorders>
              <w:top w:val="single" w:sz="4" w:space="0" w:color="auto"/>
              <w:left w:val="nil"/>
              <w:bottom w:val="single" w:sz="4" w:space="0" w:color="auto"/>
              <w:right w:val="nil"/>
            </w:tcBorders>
          </w:tcPr>
          <w:p w14:paraId="2B04C03A" w14:textId="77777777" w:rsidR="00E850F6" w:rsidRPr="00D600DA" w:rsidRDefault="00E850F6" w:rsidP="00636DA1">
            <w:pPr>
              <w:keepNext/>
              <w:keepLines/>
              <w:spacing w:after="0" w:line="240" w:lineRule="auto"/>
              <w:rPr>
                <w:rFonts w:ascii="Times New Roman" w:hAnsi="Times New Roman"/>
                <w:b/>
                <w:lang w:val="de-CH"/>
              </w:rPr>
            </w:pPr>
            <w:proofErr w:type="spellStart"/>
            <w:r w:rsidRPr="00D600DA">
              <w:rPr>
                <w:rFonts w:ascii="Times New Roman" w:hAnsi="Times New Roman"/>
                <w:b/>
                <w:lang w:val="de-CH"/>
              </w:rPr>
              <w:t>C</w:t>
            </w:r>
            <w:r w:rsidRPr="00D600DA">
              <w:rPr>
                <w:rFonts w:ascii="Times New Roman" w:hAnsi="Times New Roman"/>
                <w:b/>
                <w:vertAlign w:val="subscript"/>
                <w:lang w:val="de-CH"/>
              </w:rPr>
              <w:t>max</w:t>
            </w:r>
            <w:proofErr w:type="spellEnd"/>
            <w:r w:rsidRPr="00D600DA">
              <w:rPr>
                <w:rFonts w:ascii="Times New Roman" w:hAnsi="Times New Roman"/>
                <w:b/>
                <w:lang w:val="de-CH"/>
              </w:rPr>
              <w:t xml:space="preserve"> (</w:t>
            </w:r>
            <w:proofErr w:type="spellStart"/>
            <w:r w:rsidRPr="00D600DA">
              <w:rPr>
                <w:rFonts w:ascii="Times New Roman" w:eastAsia="MS Mincho" w:hAnsi="Times New Roman"/>
                <w:b/>
                <w:lang w:val="en-US" w:eastAsia="ja-JP"/>
              </w:rPr>
              <w:t>mk</w:t>
            </w:r>
            <w:proofErr w:type="spellEnd"/>
            <w:r w:rsidRPr="00D600DA">
              <w:rPr>
                <w:rFonts w:ascii="Times New Roman" w:eastAsia="MS Mincho" w:hAnsi="Times New Roman"/>
                <w:b/>
                <w:lang w:val="de-CH" w:eastAsia="ja-JP"/>
              </w:rPr>
              <w:t>g</w:t>
            </w:r>
            <w:r w:rsidRPr="00D600DA">
              <w:rPr>
                <w:rFonts w:ascii="Times New Roman" w:hAnsi="Times New Roman"/>
                <w:b/>
                <w:lang w:val="de-CH"/>
              </w:rPr>
              <w:t>/ml)</w:t>
            </w:r>
          </w:p>
        </w:tc>
        <w:tc>
          <w:tcPr>
            <w:tcW w:w="945" w:type="pct"/>
            <w:gridSpan w:val="2"/>
            <w:tcBorders>
              <w:top w:val="single" w:sz="4" w:space="0" w:color="auto"/>
              <w:left w:val="nil"/>
              <w:bottom w:val="single" w:sz="4" w:space="0" w:color="auto"/>
              <w:right w:val="nil"/>
            </w:tcBorders>
          </w:tcPr>
          <w:p w14:paraId="704F290A" w14:textId="77777777" w:rsidR="00E850F6" w:rsidRPr="00D600DA" w:rsidRDefault="00E850F6" w:rsidP="00636DA1">
            <w:pPr>
              <w:keepNext/>
              <w:keepLines/>
              <w:spacing w:after="0" w:line="240" w:lineRule="auto"/>
              <w:jc w:val="center"/>
              <w:rPr>
                <w:rFonts w:ascii="Times New Roman" w:hAnsi="Times New Roman"/>
                <w:lang w:val="de-CH"/>
              </w:rPr>
            </w:pPr>
            <w:r w:rsidRPr="00D600DA">
              <w:rPr>
                <w:rFonts w:ascii="Times New Roman" w:hAnsi="Times New Roman"/>
                <w:lang w:val="de-CH"/>
              </w:rPr>
              <w:t>9,03 ± 1,26</w:t>
            </w:r>
          </w:p>
        </w:tc>
        <w:tc>
          <w:tcPr>
            <w:tcW w:w="933" w:type="pct"/>
            <w:gridSpan w:val="2"/>
            <w:tcBorders>
              <w:top w:val="single" w:sz="4" w:space="0" w:color="auto"/>
              <w:left w:val="nil"/>
              <w:bottom w:val="single" w:sz="4" w:space="0" w:color="auto"/>
              <w:right w:val="nil"/>
            </w:tcBorders>
          </w:tcPr>
          <w:p w14:paraId="27E658C6" w14:textId="77777777" w:rsidR="00E850F6" w:rsidRPr="00D600DA" w:rsidRDefault="00E850F6" w:rsidP="00636DA1">
            <w:pPr>
              <w:keepNext/>
              <w:keepLines/>
              <w:spacing w:after="0" w:line="240" w:lineRule="auto"/>
              <w:jc w:val="center"/>
              <w:rPr>
                <w:rFonts w:ascii="Times New Roman" w:hAnsi="Times New Roman"/>
                <w:lang w:val="de-CH"/>
              </w:rPr>
            </w:pPr>
            <w:r w:rsidRPr="00D600DA">
              <w:rPr>
                <w:rFonts w:ascii="Times New Roman" w:hAnsi="Times New Roman"/>
                <w:lang w:val="de-CH"/>
              </w:rPr>
              <w:t>12,9 ± 21,5</w:t>
            </w:r>
          </w:p>
        </w:tc>
        <w:tc>
          <w:tcPr>
            <w:tcW w:w="986" w:type="pct"/>
            <w:tcBorders>
              <w:top w:val="single" w:sz="4" w:space="0" w:color="auto"/>
              <w:left w:val="nil"/>
              <w:bottom w:val="single" w:sz="4" w:space="0" w:color="auto"/>
              <w:right w:val="nil"/>
            </w:tcBorders>
          </w:tcPr>
          <w:p w14:paraId="4AE86C63" w14:textId="77777777" w:rsidR="00E850F6" w:rsidRPr="00D600DA" w:rsidRDefault="00E850F6" w:rsidP="00636DA1">
            <w:pPr>
              <w:keepNext/>
              <w:keepLines/>
              <w:spacing w:after="0" w:line="240" w:lineRule="auto"/>
              <w:jc w:val="center"/>
              <w:rPr>
                <w:rFonts w:ascii="Times New Roman" w:hAnsi="Times New Roman"/>
                <w:lang w:val="pt-BR"/>
              </w:rPr>
            </w:pPr>
            <w:r w:rsidRPr="00D600DA">
              <w:rPr>
                <w:rFonts w:ascii="Times New Roman" w:hAnsi="Times New Roman"/>
                <w:lang w:val="pt-BR"/>
              </w:rPr>
              <w:t>5,44 ± 4,0</w:t>
            </w:r>
          </w:p>
        </w:tc>
        <w:tc>
          <w:tcPr>
            <w:tcW w:w="1102" w:type="pct"/>
            <w:tcBorders>
              <w:top w:val="single" w:sz="4" w:space="0" w:color="auto"/>
              <w:left w:val="nil"/>
              <w:bottom w:val="single" w:sz="4" w:space="0" w:color="auto"/>
              <w:right w:val="nil"/>
            </w:tcBorders>
          </w:tcPr>
          <w:p w14:paraId="5192DE3E" w14:textId="77777777" w:rsidR="00E850F6" w:rsidRPr="00D600DA" w:rsidRDefault="00E850F6" w:rsidP="00636DA1">
            <w:pPr>
              <w:keepNext/>
              <w:keepLines/>
              <w:spacing w:after="0" w:line="240" w:lineRule="auto"/>
              <w:jc w:val="center"/>
              <w:rPr>
                <w:rFonts w:ascii="Times New Roman" w:eastAsia="MS Mincho" w:hAnsi="Times New Roman"/>
                <w:lang w:val="pt-BR" w:eastAsia="ja-JP"/>
              </w:rPr>
            </w:pPr>
            <w:r w:rsidRPr="00D600DA">
              <w:rPr>
                <w:rFonts w:ascii="Times New Roman" w:hAnsi="Times New Roman"/>
              </w:rPr>
              <w:t>-</w:t>
            </w:r>
          </w:p>
        </w:tc>
      </w:tr>
      <w:tr w:rsidR="00E850F6" w:rsidRPr="00B71670" w14:paraId="34ACD439" w14:textId="77777777" w:rsidTr="00636DA1">
        <w:trPr>
          <w:cantSplit/>
        </w:trPr>
        <w:tc>
          <w:tcPr>
            <w:tcW w:w="1033" w:type="pct"/>
            <w:gridSpan w:val="2"/>
            <w:tcBorders>
              <w:top w:val="single" w:sz="4" w:space="0" w:color="auto"/>
              <w:left w:val="nil"/>
              <w:bottom w:val="single" w:sz="4" w:space="0" w:color="auto"/>
              <w:right w:val="nil"/>
            </w:tcBorders>
          </w:tcPr>
          <w:p w14:paraId="572FE968" w14:textId="77777777" w:rsidR="00E850F6" w:rsidRPr="00D600DA" w:rsidRDefault="00E850F6" w:rsidP="00636DA1">
            <w:pPr>
              <w:keepNext/>
              <w:keepLines/>
              <w:spacing w:after="0" w:line="280" w:lineRule="atLeast"/>
              <w:rPr>
                <w:rFonts w:ascii="Times New Roman" w:hAnsi="Times New Roman"/>
                <w:b/>
                <w:lang w:val="pt-BR"/>
              </w:rPr>
            </w:pPr>
            <w:r w:rsidRPr="00D600DA">
              <w:rPr>
                <w:rFonts w:ascii="Times New Roman" w:hAnsi="Times New Roman"/>
                <w:b/>
                <w:lang w:val="pt-BR"/>
              </w:rPr>
              <w:t>t</w:t>
            </w:r>
            <w:r w:rsidRPr="00D600DA">
              <w:rPr>
                <w:rFonts w:ascii="Times New Roman" w:hAnsi="Times New Roman"/>
                <w:b/>
                <w:vertAlign w:val="subscript"/>
                <w:lang w:val="pt-BR"/>
              </w:rPr>
              <w:t>1/2</w:t>
            </w:r>
            <w:r w:rsidRPr="00D600DA">
              <w:rPr>
                <w:rFonts w:ascii="Times New Roman" w:hAnsi="Times New Roman"/>
                <w:b/>
                <w:lang w:val="pt-BR"/>
              </w:rPr>
              <w:t xml:space="preserve"> (val)</w:t>
            </w:r>
          </w:p>
        </w:tc>
        <w:tc>
          <w:tcPr>
            <w:tcW w:w="945" w:type="pct"/>
            <w:gridSpan w:val="2"/>
            <w:tcBorders>
              <w:top w:val="single" w:sz="4" w:space="0" w:color="auto"/>
              <w:left w:val="nil"/>
              <w:bottom w:val="single" w:sz="4" w:space="0" w:color="auto"/>
              <w:right w:val="nil"/>
            </w:tcBorders>
          </w:tcPr>
          <w:p w14:paraId="641A11EC" w14:textId="77777777" w:rsidR="00E850F6" w:rsidRPr="00D600DA" w:rsidRDefault="00E850F6" w:rsidP="00636DA1">
            <w:pPr>
              <w:keepNext/>
              <w:keepLines/>
              <w:spacing w:after="0" w:line="240" w:lineRule="auto"/>
              <w:jc w:val="center"/>
              <w:rPr>
                <w:rFonts w:ascii="Times New Roman" w:hAnsi="Times New Roman"/>
                <w:lang w:val="pt-BR"/>
              </w:rPr>
            </w:pPr>
            <w:r w:rsidRPr="00D600DA">
              <w:rPr>
                <w:rFonts w:ascii="Times New Roman" w:hAnsi="Times New Roman"/>
                <w:lang w:val="pt-BR"/>
              </w:rPr>
              <w:t>3,32 ± 0,47</w:t>
            </w:r>
          </w:p>
        </w:tc>
        <w:tc>
          <w:tcPr>
            <w:tcW w:w="933" w:type="pct"/>
            <w:gridSpan w:val="2"/>
            <w:tcBorders>
              <w:top w:val="single" w:sz="4" w:space="0" w:color="auto"/>
              <w:left w:val="nil"/>
              <w:bottom w:val="single" w:sz="4" w:space="0" w:color="auto"/>
              <w:right w:val="nil"/>
            </w:tcBorders>
          </w:tcPr>
          <w:p w14:paraId="572E6E17" w14:textId="77777777" w:rsidR="00E850F6" w:rsidRPr="00D600DA" w:rsidRDefault="00E850F6" w:rsidP="00636DA1">
            <w:pPr>
              <w:keepNext/>
              <w:keepLines/>
              <w:spacing w:after="0" w:line="240" w:lineRule="auto"/>
              <w:jc w:val="center"/>
              <w:rPr>
                <w:rFonts w:ascii="Times New Roman" w:hAnsi="Times New Roman"/>
                <w:lang w:val="pt-BR"/>
              </w:rPr>
            </w:pPr>
            <w:r w:rsidRPr="00D600DA">
              <w:rPr>
                <w:rFonts w:ascii="Times New Roman" w:hAnsi="Times New Roman"/>
                <w:lang w:val="pt-BR"/>
              </w:rPr>
              <w:t>2,52 ± 0,55</w:t>
            </w:r>
          </w:p>
        </w:tc>
        <w:tc>
          <w:tcPr>
            <w:tcW w:w="986" w:type="pct"/>
            <w:tcBorders>
              <w:top w:val="single" w:sz="4" w:space="0" w:color="auto"/>
              <w:left w:val="nil"/>
              <w:bottom w:val="single" w:sz="4" w:space="0" w:color="auto"/>
              <w:right w:val="nil"/>
            </w:tcBorders>
          </w:tcPr>
          <w:p w14:paraId="2B423CA7" w14:textId="77777777" w:rsidR="00E850F6" w:rsidRPr="00D600DA" w:rsidRDefault="00E850F6" w:rsidP="00636DA1">
            <w:pPr>
              <w:keepNext/>
              <w:keepLines/>
              <w:spacing w:after="0" w:line="240" w:lineRule="auto"/>
              <w:jc w:val="center"/>
              <w:rPr>
                <w:rFonts w:ascii="Times New Roman" w:hAnsi="Times New Roman"/>
                <w:lang w:val="en-US"/>
              </w:rPr>
            </w:pPr>
            <w:r w:rsidRPr="00D600DA">
              <w:rPr>
                <w:rFonts w:ascii="Times New Roman" w:hAnsi="Times New Roman"/>
                <w:lang w:val="en-US"/>
              </w:rPr>
              <w:t>2,98 ± 1,26</w:t>
            </w:r>
          </w:p>
        </w:tc>
        <w:tc>
          <w:tcPr>
            <w:tcW w:w="1102" w:type="pct"/>
            <w:tcBorders>
              <w:top w:val="single" w:sz="4" w:space="0" w:color="auto"/>
              <w:left w:val="nil"/>
              <w:bottom w:val="single" w:sz="4" w:space="0" w:color="auto"/>
              <w:right w:val="nil"/>
            </w:tcBorders>
          </w:tcPr>
          <w:p w14:paraId="271D9368" w14:textId="77777777" w:rsidR="00E850F6" w:rsidRPr="00D600DA" w:rsidRDefault="00E850F6" w:rsidP="00636DA1">
            <w:pPr>
              <w:keepNext/>
              <w:keepLines/>
              <w:spacing w:after="0" w:line="240" w:lineRule="auto"/>
              <w:jc w:val="center"/>
              <w:rPr>
                <w:rFonts w:ascii="Times New Roman" w:eastAsia="MS Mincho" w:hAnsi="Times New Roman"/>
                <w:lang w:val="en-US" w:eastAsia="ja-JP"/>
              </w:rPr>
            </w:pPr>
            <w:r w:rsidRPr="00D600DA">
              <w:rPr>
                <w:rFonts w:ascii="Times New Roman" w:hAnsi="Times New Roman"/>
              </w:rPr>
              <w:t>2,98 ± 1,12</w:t>
            </w:r>
          </w:p>
        </w:tc>
      </w:tr>
    </w:tbl>
    <w:p w14:paraId="65566792" w14:textId="77777777" w:rsidR="00E850F6" w:rsidRPr="00D600DA" w:rsidRDefault="00E850F6" w:rsidP="00E850F6">
      <w:pPr>
        <w:spacing w:after="0" w:line="240" w:lineRule="auto"/>
        <w:rPr>
          <w:rFonts w:ascii="Times New Roman" w:hAnsi="Times New Roman"/>
          <w:lang w:val="es-ES_tradnl"/>
        </w:rPr>
      </w:pPr>
      <w:r w:rsidRPr="00D600DA">
        <w:rPr>
          <w:rFonts w:ascii="Times New Roman" w:hAnsi="Times New Roman"/>
          <w:lang w:val="es-ES_tradnl"/>
        </w:rPr>
        <w:t>GAN = Gancikloviras, vartotas į veną.</w:t>
      </w:r>
      <w:r w:rsidRPr="00D600DA">
        <w:rPr>
          <w:rFonts w:ascii="Times New Roman" w:eastAsia="SimSun" w:hAnsi="Times New Roman"/>
          <w:lang w:val="es-ES_tradnl" w:eastAsia="ja-JP"/>
        </w:rPr>
        <w:t xml:space="preserve"> </w:t>
      </w:r>
      <w:r w:rsidRPr="00D600DA">
        <w:rPr>
          <w:rFonts w:ascii="Times New Roman" w:hAnsi="Times New Roman"/>
          <w:lang w:val="es-ES_tradnl"/>
        </w:rPr>
        <w:t>VAL = Valgancikloviras, geriamasis.</w:t>
      </w:r>
    </w:p>
    <w:p w14:paraId="3ED03636" w14:textId="77777777" w:rsidR="00E850F6" w:rsidRPr="00D600DA" w:rsidRDefault="00E850F6" w:rsidP="00E850F6">
      <w:pPr>
        <w:spacing w:after="0" w:line="240" w:lineRule="auto"/>
        <w:rPr>
          <w:rFonts w:ascii="Times New Roman" w:hAnsi="Times New Roman"/>
          <w:lang w:eastAsia="ja-JP"/>
        </w:rPr>
      </w:pPr>
    </w:p>
    <w:p w14:paraId="54BC9E37"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Išvadoms apie veiksmingumą arba dozavimo rekomendacijoms įgimta CMV infekcija sergantiems vaikams pateikti šių duomenų yra per mažai</w:t>
      </w:r>
      <w:r w:rsidRPr="00D600DA">
        <w:rPr>
          <w:rFonts w:ascii="Times New Roman" w:hAnsi="Times New Roman"/>
          <w:iCs/>
          <w:lang w:eastAsia="ja-JP"/>
        </w:rPr>
        <w:t>.</w:t>
      </w:r>
    </w:p>
    <w:p w14:paraId="630E93B2" w14:textId="77777777" w:rsidR="00E850F6" w:rsidRDefault="00E850F6" w:rsidP="00E850F6">
      <w:pPr>
        <w:spacing w:after="0" w:line="240" w:lineRule="auto"/>
        <w:rPr>
          <w:rFonts w:ascii="Times New Roman" w:eastAsia="Times New Roman" w:hAnsi="Times New Roman"/>
          <w:lang w:eastAsia="ja-JP"/>
        </w:rPr>
      </w:pPr>
    </w:p>
    <w:p w14:paraId="41450D33" w14:textId="77777777" w:rsidR="00E850F6" w:rsidRPr="00923E43" w:rsidRDefault="00E850F6" w:rsidP="00E850F6">
      <w:pPr>
        <w:spacing w:after="0" w:line="240" w:lineRule="auto"/>
        <w:rPr>
          <w:rFonts w:ascii="Times New Roman" w:eastAsia="Times New Roman" w:hAnsi="Times New Roman"/>
          <w:i/>
          <w:lang w:eastAsia="ja-JP"/>
        </w:rPr>
      </w:pPr>
      <w:r w:rsidRPr="00923E43">
        <w:rPr>
          <w:rFonts w:ascii="Times New Roman" w:eastAsia="Times New Roman" w:hAnsi="Times New Roman"/>
          <w:i/>
          <w:lang w:eastAsia="ja-JP"/>
        </w:rPr>
        <w:t>Senyvi pacientai</w:t>
      </w:r>
    </w:p>
    <w:p w14:paraId="111828D5" w14:textId="77777777" w:rsidR="00E850F6" w:rsidRDefault="00E850F6" w:rsidP="00E850F6">
      <w:pPr>
        <w:spacing w:after="0" w:line="240" w:lineRule="auto"/>
        <w:rPr>
          <w:rFonts w:ascii="Times New Roman" w:eastAsia="Times New Roman" w:hAnsi="Times New Roman"/>
          <w:lang w:eastAsia="ja-JP"/>
        </w:rPr>
      </w:pPr>
      <w:r>
        <w:rPr>
          <w:rFonts w:ascii="Times New Roman" w:eastAsia="Times New Roman" w:hAnsi="Times New Roman"/>
          <w:lang w:eastAsia="ja-JP"/>
        </w:rPr>
        <w:t>Valgancikloviro ar gancikloviro farmakokinetikos tyrimų su vyresniais kaip 65 metų suaugusiaisiais neatlikta (žr. 4.2 </w:t>
      </w:r>
      <w:r w:rsidRPr="00F36DBF">
        <w:rPr>
          <w:rFonts w:ascii="Times New Roman" w:eastAsia="Times New Roman" w:hAnsi="Times New Roman"/>
          <w:lang w:eastAsia="ja-JP"/>
        </w:rPr>
        <w:t>skyrių)</w:t>
      </w:r>
      <w:r>
        <w:rPr>
          <w:rFonts w:ascii="Times New Roman" w:eastAsia="Times New Roman" w:hAnsi="Times New Roman"/>
          <w:lang w:eastAsia="ja-JP"/>
        </w:rPr>
        <w:t>.</w:t>
      </w:r>
    </w:p>
    <w:p w14:paraId="66E33BE8" w14:textId="77777777" w:rsidR="00E850F6" w:rsidRPr="00D600DA" w:rsidRDefault="00E850F6" w:rsidP="00E850F6">
      <w:pPr>
        <w:spacing w:after="0" w:line="240" w:lineRule="auto"/>
        <w:rPr>
          <w:rFonts w:ascii="Times New Roman" w:hAnsi="Times New Roman"/>
          <w:lang w:eastAsia="ja-JP"/>
        </w:rPr>
      </w:pPr>
    </w:p>
    <w:p w14:paraId="367E2CE4" w14:textId="77777777" w:rsidR="00E850F6" w:rsidRPr="00F36DBF" w:rsidRDefault="00E850F6" w:rsidP="00E850F6">
      <w:pPr>
        <w:spacing w:after="0" w:line="240" w:lineRule="auto"/>
        <w:rPr>
          <w:rFonts w:ascii="Times New Roman" w:eastAsia="Times New Roman" w:hAnsi="Times New Roman"/>
          <w:i/>
          <w:lang w:eastAsia="ja-JP"/>
        </w:rPr>
      </w:pPr>
      <w:r w:rsidRPr="00F36DBF">
        <w:rPr>
          <w:rFonts w:ascii="Times New Roman" w:eastAsia="Times New Roman" w:hAnsi="Times New Roman"/>
          <w:i/>
          <w:lang w:eastAsia="ja-JP"/>
        </w:rPr>
        <w:t>Pacientams, kurių inkstų funkcija sutrikusi</w:t>
      </w:r>
    </w:p>
    <w:p w14:paraId="218CF91A" w14:textId="77777777" w:rsidR="00E850F6" w:rsidRPr="00FA0F74" w:rsidRDefault="00E850F6" w:rsidP="00E850F6">
      <w:pPr>
        <w:spacing w:after="0" w:line="240" w:lineRule="auto"/>
        <w:rPr>
          <w:rFonts w:ascii="Times New Roman" w:eastAsia="Times New Roman" w:hAnsi="Times New Roman"/>
          <w:lang w:eastAsia="ja-JP"/>
        </w:rPr>
      </w:pPr>
      <w:r>
        <w:rPr>
          <w:rFonts w:ascii="Times New Roman" w:eastAsia="Times New Roman" w:hAnsi="Times New Roman"/>
          <w:lang w:eastAsia="ja-JP"/>
        </w:rPr>
        <w:t>G</w:t>
      </w:r>
      <w:r w:rsidRPr="00FA0F74">
        <w:rPr>
          <w:rFonts w:ascii="Times New Roman" w:eastAsia="Times New Roman" w:hAnsi="Times New Roman"/>
          <w:lang w:eastAsia="ja-JP"/>
        </w:rPr>
        <w:t>ancikloviro</w:t>
      </w:r>
      <w:r>
        <w:rPr>
          <w:rFonts w:ascii="Times New Roman" w:eastAsia="Times New Roman" w:hAnsi="Times New Roman"/>
          <w:lang w:eastAsia="ja-JP"/>
        </w:rPr>
        <w:t>, susidariusio</w:t>
      </w:r>
      <w:r w:rsidRPr="00FA0F74">
        <w:rPr>
          <w:rFonts w:ascii="Times New Roman" w:eastAsia="Times New Roman" w:hAnsi="Times New Roman"/>
          <w:lang w:eastAsia="ja-JP"/>
        </w:rPr>
        <w:t xml:space="preserve"> iš vieno</w:t>
      </w:r>
      <w:r>
        <w:rPr>
          <w:rFonts w:ascii="Times New Roman" w:eastAsia="Times New Roman" w:hAnsi="Times New Roman"/>
          <w:lang w:eastAsia="ja-JP"/>
        </w:rPr>
        <w:t>s</w:t>
      </w:r>
      <w:r w:rsidRPr="00FA0F74">
        <w:rPr>
          <w:rFonts w:ascii="Times New Roman" w:eastAsia="Times New Roman" w:hAnsi="Times New Roman"/>
          <w:lang w:eastAsia="ja-JP"/>
        </w:rPr>
        <w:t xml:space="preserve"> išgert</w:t>
      </w:r>
      <w:r>
        <w:rPr>
          <w:rFonts w:ascii="Times New Roman" w:eastAsia="Times New Roman" w:hAnsi="Times New Roman"/>
          <w:lang w:eastAsia="ja-JP"/>
        </w:rPr>
        <w:t>os 900 mg valgancikloviro dozės, farmakokinetika</w:t>
      </w:r>
      <w:r w:rsidRPr="00FA0F74">
        <w:rPr>
          <w:rFonts w:ascii="Times New Roman" w:eastAsia="Times New Roman" w:hAnsi="Times New Roman"/>
          <w:lang w:eastAsia="ja-JP"/>
        </w:rPr>
        <w:t xml:space="preserve"> </w:t>
      </w:r>
      <w:r>
        <w:rPr>
          <w:rFonts w:ascii="Times New Roman" w:eastAsia="Times New Roman" w:hAnsi="Times New Roman"/>
          <w:lang w:eastAsia="ja-JP"/>
        </w:rPr>
        <w:t xml:space="preserve">buvo </w:t>
      </w:r>
      <w:r w:rsidRPr="00FA0F74">
        <w:rPr>
          <w:rFonts w:ascii="Times New Roman" w:eastAsia="Times New Roman" w:hAnsi="Times New Roman"/>
          <w:lang w:eastAsia="ja-JP"/>
        </w:rPr>
        <w:t>vertinta</w:t>
      </w:r>
      <w:r>
        <w:rPr>
          <w:rFonts w:ascii="Times New Roman" w:eastAsia="Times New Roman" w:hAnsi="Times New Roman"/>
          <w:lang w:eastAsia="ja-JP"/>
        </w:rPr>
        <w:t xml:space="preserve"> </w:t>
      </w:r>
      <w:r w:rsidRPr="00FA0F74">
        <w:rPr>
          <w:rFonts w:ascii="Times New Roman" w:eastAsia="Times New Roman" w:hAnsi="Times New Roman"/>
          <w:lang w:eastAsia="ja-JP"/>
        </w:rPr>
        <w:t>s</w:t>
      </w:r>
      <w:r>
        <w:rPr>
          <w:rFonts w:ascii="Times New Roman" w:eastAsia="Times New Roman" w:hAnsi="Times New Roman"/>
          <w:lang w:eastAsia="ja-JP"/>
        </w:rPr>
        <w:t>u</w:t>
      </w:r>
      <w:r w:rsidRPr="00FA0F74">
        <w:rPr>
          <w:rFonts w:ascii="Times New Roman" w:eastAsia="Times New Roman" w:hAnsi="Times New Roman"/>
          <w:lang w:eastAsia="ja-JP"/>
        </w:rPr>
        <w:t xml:space="preserve"> 24 </w:t>
      </w:r>
      <w:r>
        <w:rPr>
          <w:rFonts w:ascii="Times New Roman" w:eastAsia="Times New Roman" w:hAnsi="Times New Roman"/>
          <w:lang w:eastAsia="ja-JP"/>
        </w:rPr>
        <w:t>savanoriais</w:t>
      </w:r>
      <w:r w:rsidRPr="00FA0F74">
        <w:rPr>
          <w:rFonts w:ascii="Times New Roman" w:eastAsia="Times New Roman" w:hAnsi="Times New Roman"/>
          <w:lang w:eastAsia="ja-JP"/>
        </w:rPr>
        <w:t xml:space="preserve">, kurių </w:t>
      </w:r>
      <w:r>
        <w:rPr>
          <w:rFonts w:ascii="Times New Roman" w:eastAsia="Times New Roman" w:hAnsi="Times New Roman"/>
          <w:lang w:eastAsia="ja-JP"/>
        </w:rPr>
        <w:t xml:space="preserve">tik </w:t>
      </w:r>
      <w:r w:rsidRPr="00FA0F74">
        <w:rPr>
          <w:rFonts w:ascii="Times New Roman" w:eastAsia="Times New Roman" w:hAnsi="Times New Roman"/>
          <w:lang w:eastAsia="ja-JP"/>
        </w:rPr>
        <w:t xml:space="preserve">inkstų </w:t>
      </w:r>
      <w:r>
        <w:rPr>
          <w:rFonts w:ascii="Times New Roman" w:eastAsia="Times New Roman" w:hAnsi="Times New Roman"/>
          <w:lang w:eastAsia="ja-JP"/>
        </w:rPr>
        <w:t>veikla buvo</w:t>
      </w:r>
      <w:r w:rsidRPr="00FA0F74">
        <w:rPr>
          <w:rFonts w:ascii="Times New Roman" w:eastAsia="Times New Roman" w:hAnsi="Times New Roman"/>
          <w:lang w:eastAsia="ja-JP"/>
        </w:rPr>
        <w:t xml:space="preserve"> sutrikusi.</w:t>
      </w:r>
    </w:p>
    <w:p w14:paraId="383D1EDB" w14:textId="77777777" w:rsidR="00E850F6" w:rsidRPr="00FA0F74" w:rsidRDefault="00E850F6" w:rsidP="00E850F6">
      <w:pPr>
        <w:spacing w:after="0" w:line="240" w:lineRule="auto"/>
        <w:rPr>
          <w:rFonts w:ascii="Times New Roman" w:eastAsia="Times New Roman" w:hAnsi="Times New Roman"/>
          <w:lang w:eastAsia="ja-JP"/>
        </w:rPr>
      </w:pPr>
    </w:p>
    <w:p w14:paraId="1BD58B2E" w14:textId="77777777" w:rsidR="00E850F6" w:rsidRDefault="00E850F6" w:rsidP="00E850F6">
      <w:pPr>
        <w:spacing w:after="0" w:line="240" w:lineRule="auto"/>
        <w:rPr>
          <w:rFonts w:ascii="Times New Roman" w:eastAsia="Times New Roman" w:hAnsi="Times New Roman"/>
          <w:lang w:eastAsia="ja-JP"/>
        </w:rPr>
      </w:pPr>
      <w:r>
        <w:rPr>
          <w:rFonts w:ascii="Times New Roman" w:eastAsia="Times New Roman" w:hAnsi="Times New Roman"/>
          <w:lang w:eastAsia="ja-JP"/>
        </w:rPr>
        <w:t>G</w:t>
      </w:r>
      <w:r w:rsidRPr="00FA0F74">
        <w:rPr>
          <w:rFonts w:ascii="Times New Roman" w:eastAsia="Times New Roman" w:hAnsi="Times New Roman"/>
          <w:lang w:eastAsia="ja-JP"/>
        </w:rPr>
        <w:t>ancikloviro</w:t>
      </w:r>
      <w:r>
        <w:rPr>
          <w:rFonts w:ascii="Times New Roman" w:eastAsia="Times New Roman" w:hAnsi="Times New Roman"/>
          <w:lang w:eastAsia="ja-JP"/>
        </w:rPr>
        <w:t>, susidariusio</w:t>
      </w:r>
      <w:r w:rsidRPr="00FA0F74">
        <w:rPr>
          <w:rFonts w:ascii="Times New Roman" w:eastAsia="Times New Roman" w:hAnsi="Times New Roman"/>
          <w:lang w:eastAsia="ja-JP"/>
        </w:rPr>
        <w:t xml:space="preserve"> iš vieno</w:t>
      </w:r>
      <w:r>
        <w:rPr>
          <w:rFonts w:ascii="Times New Roman" w:eastAsia="Times New Roman" w:hAnsi="Times New Roman"/>
          <w:lang w:eastAsia="ja-JP"/>
        </w:rPr>
        <w:t>s</w:t>
      </w:r>
      <w:r w:rsidRPr="00FA0F74">
        <w:rPr>
          <w:rFonts w:ascii="Times New Roman" w:eastAsia="Times New Roman" w:hAnsi="Times New Roman"/>
          <w:lang w:eastAsia="ja-JP"/>
        </w:rPr>
        <w:t xml:space="preserve"> išgert</w:t>
      </w:r>
      <w:r>
        <w:rPr>
          <w:rFonts w:ascii="Times New Roman" w:eastAsia="Times New Roman" w:hAnsi="Times New Roman"/>
          <w:lang w:eastAsia="ja-JP"/>
        </w:rPr>
        <w:t>os 900 mg Valcyte tablečių dozės, f</w:t>
      </w:r>
      <w:r w:rsidRPr="00FA0F74">
        <w:rPr>
          <w:rFonts w:ascii="Times New Roman" w:eastAsia="Times New Roman" w:hAnsi="Times New Roman"/>
          <w:lang w:eastAsia="ja-JP"/>
        </w:rPr>
        <w:t>armakokineti</w:t>
      </w:r>
      <w:r>
        <w:rPr>
          <w:rFonts w:ascii="Times New Roman" w:eastAsia="Times New Roman" w:hAnsi="Times New Roman"/>
          <w:lang w:eastAsia="ja-JP"/>
        </w:rPr>
        <w:t>kos</w:t>
      </w:r>
      <w:r w:rsidRPr="00FA0F74">
        <w:rPr>
          <w:rFonts w:ascii="Times New Roman" w:eastAsia="Times New Roman" w:hAnsi="Times New Roman"/>
          <w:lang w:eastAsia="ja-JP"/>
        </w:rPr>
        <w:t xml:space="preserve"> parametrai pacient</w:t>
      </w:r>
      <w:r>
        <w:rPr>
          <w:rFonts w:ascii="Times New Roman" w:eastAsia="Times New Roman" w:hAnsi="Times New Roman"/>
          <w:lang w:eastAsia="ja-JP"/>
        </w:rPr>
        <w:t>ų</w:t>
      </w:r>
      <w:r w:rsidRPr="00FA0F74">
        <w:rPr>
          <w:rFonts w:ascii="Times New Roman" w:eastAsia="Times New Roman" w:hAnsi="Times New Roman"/>
          <w:lang w:eastAsia="ja-JP"/>
        </w:rPr>
        <w:t>, sergan</w:t>
      </w:r>
      <w:r>
        <w:rPr>
          <w:rFonts w:ascii="Times New Roman" w:eastAsia="Times New Roman" w:hAnsi="Times New Roman"/>
          <w:lang w:eastAsia="ja-JP"/>
        </w:rPr>
        <w:t>čių</w:t>
      </w:r>
      <w:r w:rsidRPr="00FA0F74">
        <w:rPr>
          <w:rFonts w:ascii="Times New Roman" w:eastAsia="Times New Roman" w:hAnsi="Times New Roman"/>
          <w:lang w:eastAsia="ja-JP"/>
        </w:rPr>
        <w:t xml:space="preserve"> įvairaus laipsnio inkstų </w:t>
      </w:r>
      <w:r>
        <w:rPr>
          <w:rFonts w:ascii="Times New Roman" w:eastAsia="Times New Roman" w:hAnsi="Times New Roman"/>
          <w:lang w:eastAsia="ja-JP"/>
        </w:rPr>
        <w:t>veiklos sutrikimu.</w:t>
      </w:r>
    </w:p>
    <w:p w14:paraId="6A493275" w14:textId="77777777" w:rsidR="00E850F6" w:rsidRDefault="00E850F6" w:rsidP="00E850F6">
      <w:pPr>
        <w:spacing w:after="0" w:line="240" w:lineRule="auto"/>
        <w:rPr>
          <w:rFonts w:ascii="Times New Roman" w:eastAsia="Times New Roman" w:hAnsi="Times New Roman"/>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76"/>
        <w:gridCol w:w="2165"/>
        <w:gridCol w:w="2029"/>
        <w:gridCol w:w="2299"/>
      </w:tblGrid>
      <w:tr w:rsidR="00E850F6" w:rsidRPr="0056661E" w14:paraId="2260C45B" w14:textId="77777777" w:rsidTr="00636DA1">
        <w:tc>
          <w:tcPr>
            <w:tcW w:w="1043" w:type="pct"/>
            <w:shd w:val="clear" w:color="auto" w:fill="auto"/>
          </w:tcPr>
          <w:p w14:paraId="1521AF0A" w14:textId="77777777" w:rsidR="00E850F6" w:rsidRPr="00DD4483" w:rsidRDefault="00E850F6" w:rsidP="00636DA1">
            <w:pPr>
              <w:spacing w:after="0" w:line="240" w:lineRule="auto"/>
              <w:rPr>
                <w:rFonts w:ascii="Times New Roman" w:hAnsi="Times New Roman"/>
                <w:lang w:val="pt-PT"/>
              </w:rPr>
            </w:pPr>
            <w:r w:rsidRPr="00DD4483">
              <w:rPr>
                <w:rFonts w:ascii="Times New Roman" w:hAnsi="Times New Roman"/>
                <w:b/>
                <w:lang w:val="pt-PT"/>
              </w:rPr>
              <w:t>Apytikriai apskaičiuotas kreatinino klirensas (ml/min)</w:t>
            </w:r>
          </w:p>
        </w:tc>
        <w:tc>
          <w:tcPr>
            <w:tcW w:w="373" w:type="pct"/>
            <w:shd w:val="clear" w:color="auto" w:fill="auto"/>
          </w:tcPr>
          <w:p w14:paraId="4844C1C3" w14:textId="77777777" w:rsidR="00E850F6" w:rsidRPr="0056661E" w:rsidRDefault="00E850F6" w:rsidP="00636DA1">
            <w:pPr>
              <w:spacing w:after="0" w:line="240" w:lineRule="auto"/>
              <w:rPr>
                <w:rFonts w:ascii="Times New Roman" w:eastAsia="Times New Roman" w:hAnsi="Times New Roman"/>
                <w:b/>
                <w:lang w:val="en-US" w:eastAsia="ja-JP"/>
              </w:rPr>
            </w:pPr>
            <w:r w:rsidRPr="0056661E">
              <w:rPr>
                <w:rFonts w:ascii="Times New Roman" w:eastAsia="Times New Roman" w:hAnsi="Times New Roman"/>
                <w:b/>
                <w:lang w:val="en-GB" w:eastAsia="ja-JP"/>
              </w:rPr>
              <w:t>N</w:t>
            </w:r>
          </w:p>
        </w:tc>
        <w:tc>
          <w:tcPr>
            <w:tcW w:w="1195" w:type="pct"/>
            <w:shd w:val="clear" w:color="auto" w:fill="auto"/>
          </w:tcPr>
          <w:p w14:paraId="10CA3959" w14:textId="77777777" w:rsidR="00E850F6" w:rsidRPr="00DD4483" w:rsidRDefault="00E850F6" w:rsidP="00636DA1">
            <w:pPr>
              <w:spacing w:after="0" w:line="240" w:lineRule="auto"/>
              <w:rPr>
                <w:rFonts w:ascii="Times New Roman" w:hAnsi="Times New Roman"/>
                <w:b/>
                <w:lang w:val="de-DE"/>
              </w:rPr>
            </w:pPr>
            <w:proofErr w:type="spellStart"/>
            <w:r w:rsidRPr="00DD4483">
              <w:rPr>
                <w:rFonts w:ascii="Times New Roman" w:hAnsi="Times New Roman"/>
                <w:b/>
                <w:lang w:val="de-DE"/>
              </w:rPr>
              <w:t>Menamasis</w:t>
            </w:r>
            <w:proofErr w:type="spellEnd"/>
            <w:r w:rsidRPr="00DD4483">
              <w:rPr>
                <w:rFonts w:ascii="Times New Roman" w:hAnsi="Times New Roman"/>
                <w:b/>
                <w:lang w:val="de-DE"/>
              </w:rPr>
              <w:t xml:space="preserve"> </w:t>
            </w:r>
            <w:proofErr w:type="spellStart"/>
            <w:r w:rsidRPr="00DD4483">
              <w:rPr>
                <w:rFonts w:ascii="Times New Roman" w:hAnsi="Times New Roman"/>
                <w:b/>
                <w:lang w:val="de-DE"/>
              </w:rPr>
              <w:t>klirensas</w:t>
            </w:r>
            <w:proofErr w:type="spellEnd"/>
            <w:r w:rsidRPr="00DD4483">
              <w:rPr>
                <w:rFonts w:ascii="Times New Roman" w:hAnsi="Times New Roman"/>
                <w:b/>
                <w:lang w:val="de-DE"/>
              </w:rPr>
              <w:t xml:space="preserve"> (</w:t>
            </w:r>
            <w:proofErr w:type="spellStart"/>
            <w:r w:rsidRPr="00DD4483">
              <w:rPr>
                <w:rFonts w:ascii="Times New Roman" w:hAnsi="Times New Roman"/>
                <w:b/>
                <w:lang w:val="de-DE"/>
              </w:rPr>
              <w:t>mL</w:t>
            </w:r>
            <w:proofErr w:type="spellEnd"/>
            <w:r w:rsidRPr="00DD4483">
              <w:rPr>
                <w:rFonts w:ascii="Times New Roman" w:hAnsi="Times New Roman"/>
                <w:b/>
                <w:lang w:val="de-DE"/>
              </w:rPr>
              <w:t xml:space="preserve">/min) </w:t>
            </w:r>
          </w:p>
          <w:p w14:paraId="3906C733" w14:textId="77777777" w:rsidR="00E850F6" w:rsidRPr="00DD4483" w:rsidRDefault="00E850F6" w:rsidP="00636DA1">
            <w:pPr>
              <w:spacing w:after="0" w:line="240" w:lineRule="auto"/>
              <w:rPr>
                <w:rFonts w:ascii="Times New Roman" w:hAnsi="Times New Roman"/>
                <w:lang w:val="de-DE"/>
              </w:rPr>
            </w:pPr>
            <w:proofErr w:type="spellStart"/>
            <w:r w:rsidRPr="00DD4483">
              <w:rPr>
                <w:rFonts w:ascii="Times New Roman" w:hAnsi="Times New Roman"/>
                <w:b/>
                <w:lang w:val="de-DE"/>
              </w:rPr>
              <w:t>Vidurkis</w:t>
            </w:r>
            <w:proofErr w:type="spellEnd"/>
            <w:r w:rsidRPr="00DD4483">
              <w:rPr>
                <w:rFonts w:ascii="Times New Roman" w:hAnsi="Times New Roman"/>
                <w:b/>
                <w:lang w:val="de-DE"/>
              </w:rPr>
              <w:t xml:space="preserve"> </w:t>
            </w:r>
            <w:r w:rsidRPr="00B35F46">
              <w:rPr>
                <w:rFonts w:ascii="Symbol" w:hAnsi="Symbol" w:cs="Symbol"/>
                <w:lang w:val="en-US"/>
              </w:rPr>
              <w:t></w:t>
            </w:r>
            <w:r>
              <w:rPr>
                <w:rFonts w:ascii="Symbol" w:hAnsi="Symbol" w:cs="Symbol"/>
                <w:lang w:val="en-US"/>
              </w:rPr>
              <w:t></w:t>
            </w:r>
            <w:r w:rsidRPr="00DD4483">
              <w:rPr>
                <w:rFonts w:ascii="Times New Roman" w:hAnsi="Times New Roman"/>
                <w:b/>
                <w:lang w:val="de-DE"/>
              </w:rPr>
              <w:t>SN</w:t>
            </w:r>
          </w:p>
        </w:tc>
        <w:tc>
          <w:tcPr>
            <w:tcW w:w="1120" w:type="pct"/>
            <w:shd w:val="clear" w:color="auto" w:fill="auto"/>
          </w:tcPr>
          <w:p w14:paraId="5414CE63" w14:textId="77777777" w:rsidR="00E850F6" w:rsidRPr="00DD4483" w:rsidRDefault="00E850F6" w:rsidP="00636DA1">
            <w:pPr>
              <w:spacing w:after="0" w:line="240" w:lineRule="auto"/>
              <w:rPr>
                <w:rFonts w:ascii="Times New Roman" w:hAnsi="Times New Roman"/>
                <w:lang w:val="de-DE"/>
              </w:rPr>
            </w:pPr>
            <w:proofErr w:type="spellStart"/>
            <w:r w:rsidRPr="00DD4483">
              <w:rPr>
                <w:rFonts w:ascii="Times New Roman" w:hAnsi="Times New Roman"/>
                <w:b/>
                <w:lang w:val="de-DE"/>
              </w:rPr>
              <w:t>AUC</w:t>
            </w:r>
            <w:r w:rsidRPr="00DD4483">
              <w:rPr>
                <w:rFonts w:ascii="Times New Roman" w:hAnsi="Times New Roman"/>
                <w:b/>
                <w:vertAlign w:val="subscript"/>
                <w:lang w:val="de-DE"/>
              </w:rPr>
              <w:t>pask</w:t>
            </w:r>
            <w:proofErr w:type="spellEnd"/>
            <w:r w:rsidRPr="00DD4483">
              <w:rPr>
                <w:rFonts w:ascii="Times New Roman" w:hAnsi="Times New Roman"/>
                <w:b/>
                <w:lang w:val="de-DE"/>
              </w:rPr>
              <w:t xml:space="preserve"> (</w:t>
            </w:r>
            <w:proofErr w:type="spellStart"/>
            <w:r w:rsidRPr="00DD4483">
              <w:rPr>
                <w:rFonts w:ascii="Times New Roman" w:hAnsi="Times New Roman"/>
                <w:b/>
                <w:lang w:val="de-DE"/>
              </w:rPr>
              <w:t>mkg∙val</w:t>
            </w:r>
            <w:proofErr w:type="spellEnd"/>
            <w:r w:rsidRPr="00DD4483">
              <w:rPr>
                <w:rFonts w:ascii="Times New Roman" w:hAnsi="Times New Roman"/>
                <w:b/>
                <w:lang w:val="de-DE"/>
              </w:rPr>
              <w:t xml:space="preserve">/mm) </w:t>
            </w:r>
            <w:proofErr w:type="spellStart"/>
            <w:r w:rsidRPr="00DD4483">
              <w:rPr>
                <w:rFonts w:ascii="Times New Roman" w:hAnsi="Times New Roman"/>
                <w:b/>
                <w:lang w:val="de-DE"/>
              </w:rPr>
              <w:t>Vidurkis</w:t>
            </w:r>
            <w:proofErr w:type="spellEnd"/>
            <w:r w:rsidRPr="00DD4483">
              <w:rPr>
                <w:rFonts w:ascii="Times New Roman" w:hAnsi="Times New Roman"/>
                <w:b/>
                <w:lang w:val="de-DE"/>
              </w:rPr>
              <w:t xml:space="preserve"> </w:t>
            </w:r>
            <w:r w:rsidRPr="00B35F46">
              <w:rPr>
                <w:rFonts w:ascii="Symbol" w:hAnsi="Symbol" w:cs="Symbol"/>
                <w:lang w:val="en-US"/>
              </w:rPr>
              <w:t></w:t>
            </w:r>
            <w:r>
              <w:rPr>
                <w:rFonts w:ascii="Symbol" w:hAnsi="Symbol" w:cs="Symbol"/>
                <w:lang w:val="en-US"/>
              </w:rPr>
              <w:t></w:t>
            </w:r>
            <w:r w:rsidRPr="00DD4483">
              <w:rPr>
                <w:rFonts w:ascii="Times New Roman" w:hAnsi="Times New Roman"/>
                <w:b/>
                <w:lang w:val="de-DE"/>
              </w:rPr>
              <w:t>SN</w:t>
            </w:r>
          </w:p>
        </w:tc>
        <w:tc>
          <w:tcPr>
            <w:tcW w:w="1269" w:type="pct"/>
            <w:shd w:val="clear" w:color="auto" w:fill="auto"/>
          </w:tcPr>
          <w:p w14:paraId="3D3E8428" w14:textId="77777777" w:rsidR="00E850F6" w:rsidRPr="0056661E" w:rsidRDefault="00E850F6" w:rsidP="00636DA1">
            <w:pPr>
              <w:spacing w:after="0" w:line="240" w:lineRule="auto"/>
              <w:rPr>
                <w:rFonts w:ascii="Times New Roman" w:eastAsia="Times New Roman" w:hAnsi="Times New Roman"/>
                <w:lang w:val="en-US" w:eastAsia="ja-JP"/>
              </w:rPr>
            </w:pPr>
            <w:proofErr w:type="spellStart"/>
            <w:r>
              <w:rPr>
                <w:rFonts w:ascii="Times New Roman" w:eastAsia="Times New Roman" w:hAnsi="Times New Roman"/>
                <w:b/>
                <w:bCs/>
                <w:lang w:val="en-US" w:eastAsia="ja-JP"/>
              </w:rPr>
              <w:t>Pusinis</w:t>
            </w:r>
            <w:proofErr w:type="spellEnd"/>
            <w:r>
              <w:rPr>
                <w:rFonts w:ascii="Times New Roman" w:eastAsia="Times New Roman" w:hAnsi="Times New Roman"/>
                <w:b/>
                <w:bCs/>
                <w:lang w:val="en-US" w:eastAsia="ja-JP"/>
              </w:rPr>
              <w:t xml:space="preserve"> </w:t>
            </w:r>
            <w:proofErr w:type="spellStart"/>
            <w:r>
              <w:rPr>
                <w:rFonts w:ascii="Times New Roman" w:eastAsia="Times New Roman" w:hAnsi="Times New Roman"/>
                <w:b/>
                <w:bCs/>
                <w:lang w:val="en-US" w:eastAsia="ja-JP"/>
              </w:rPr>
              <w:t>gyvavimo</w:t>
            </w:r>
            <w:proofErr w:type="spellEnd"/>
            <w:r>
              <w:rPr>
                <w:rFonts w:ascii="Times New Roman" w:eastAsia="Times New Roman" w:hAnsi="Times New Roman"/>
                <w:b/>
                <w:bCs/>
                <w:lang w:val="en-US" w:eastAsia="ja-JP"/>
              </w:rPr>
              <w:t xml:space="preserve"> </w:t>
            </w:r>
            <w:proofErr w:type="spellStart"/>
            <w:r>
              <w:rPr>
                <w:rFonts w:ascii="Times New Roman" w:eastAsia="Times New Roman" w:hAnsi="Times New Roman"/>
                <w:b/>
                <w:bCs/>
                <w:lang w:val="en-US" w:eastAsia="ja-JP"/>
              </w:rPr>
              <w:t>laikas</w:t>
            </w:r>
            <w:proofErr w:type="spellEnd"/>
            <w:r w:rsidRPr="0056661E">
              <w:rPr>
                <w:rFonts w:ascii="Times New Roman" w:eastAsia="Times New Roman" w:hAnsi="Times New Roman"/>
                <w:b/>
                <w:bCs/>
                <w:lang w:val="en-US" w:eastAsia="ja-JP"/>
              </w:rPr>
              <w:t xml:space="preserve"> (</w:t>
            </w:r>
            <w:proofErr w:type="spellStart"/>
            <w:r>
              <w:rPr>
                <w:rFonts w:ascii="Times New Roman" w:eastAsia="Times New Roman" w:hAnsi="Times New Roman"/>
                <w:b/>
                <w:bCs/>
                <w:lang w:val="en-US" w:eastAsia="ja-JP"/>
              </w:rPr>
              <w:t>valandomi</w:t>
            </w:r>
            <w:r w:rsidRPr="0056661E">
              <w:rPr>
                <w:rFonts w:ascii="Times New Roman" w:eastAsia="Times New Roman" w:hAnsi="Times New Roman"/>
                <w:b/>
                <w:bCs/>
                <w:lang w:val="en-US" w:eastAsia="ja-JP"/>
              </w:rPr>
              <w:t>s</w:t>
            </w:r>
            <w:proofErr w:type="spellEnd"/>
            <w:r w:rsidRPr="0056661E">
              <w:rPr>
                <w:rFonts w:ascii="Times New Roman" w:eastAsia="Times New Roman" w:hAnsi="Times New Roman"/>
                <w:b/>
                <w:bCs/>
                <w:lang w:val="en-US" w:eastAsia="ja-JP"/>
              </w:rPr>
              <w:t xml:space="preserve">) </w:t>
            </w:r>
            <w:proofErr w:type="spellStart"/>
            <w:r>
              <w:rPr>
                <w:rFonts w:ascii="Times New Roman" w:eastAsia="Times New Roman" w:hAnsi="Times New Roman"/>
                <w:b/>
                <w:bCs/>
                <w:lang w:val="en-US" w:eastAsia="ja-JP"/>
              </w:rPr>
              <w:t>Vidurkis</w:t>
            </w:r>
            <w:proofErr w:type="spellEnd"/>
            <w:r>
              <w:rPr>
                <w:rFonts w:ascii="Times New Roman" w:eastAsia="Times New Roman" w:hAnsi="Times New Roman"/>
                <w:b/>
                <w:bCs/>
                <w:lang w:val="en-US" w:eastAsia="ja-JP"/>
              </w:rPr>
              <w:t xml:space="preserve"> </w:t>
            </w:r>
            <w:r w:rsidRPr="00B35F46">
              <w:rPr>
                <w:rFonts w:ascii="Symbol" w:hAnsi="Symbol" w:cs="Symbol"/>
                <w:lang w:val="en-US"/>
              </w:rPr>
              <w:t></w:t>
            </w:r>
            <w:r>
              <w:rPr>
                <w:rFonts w:ascii="Symbol" w:hAnsi="Symbol" w:cs="Symbol"/>
                <w:lang w:val="en-US"/>
              </w:rPr>
              <w:t></w:t>
            </w:r>
            <w:r>
              <w:rPr>
                <w:rFonts w:ascii="Times New Roman" w:eastAsia="Times New Roman" w:hAnsi="Times New Roman"/>
                <w:b/>
                <w:bCs/>
                <w:lang w:val="en-US" w:eastAsia="ja-JP"/>
              </w:rPr>
              <w:t>SN</w:t>
            </w:r>
          </w:p>
        </w:tc>
      </w:tr>
      <w:tr w:rsidR="00E850F6" w:rsidRPr="0056661E" w14:paraId="239B7D68" w14:textId="77777777" w:rsidTr="00636DA1">
        <w:tc>
          <w:tcPr>
            <w:tcW w:w="1043" w:type="pct"/>
            <w:shd w:val="clear" w:color="auto" w:fill="auto"/>
          </w:tcPr>
          <w:p w14:paraId="75599805" w14:textId="77777777" w:rsidR="00E850F6" w:rsidRPr="0056661E" w:rsidRDefault="00E850F6" w:rsidP="00636DA1">
            <w:pPr>
              <w:spacing w:after="0" w:line="240" w:lineRule="auto"/>
              <w:rPr>
                <w:rFonts w:ascii="Times New Roman" w:eastAsia="Times New Roman" w:hAnsi="Times New Roman"/>
                <w:lang w:val="en-GB" w:eastAsia="ja-JP"/>
              </w:rPr>
            </w:pPr>
            <w:r>
              <w:rPr>
                <w:rFonts w:ascii="Times New Roman" w:eastAsia="Times New Roman" w:hAnsi="Times New Roman"/>
                <w:lang w:val="en-GB" w:eastAsia="ja-JP"/>
              </w:rPr>
              <w:t>51 - 70</w:t>
            </w:r>
          </w:p>
        </w:tc>
        <w:tc>
          <w:tcPr>
            <w:tcW w:w="373" w:type="pct"/>
            <w:shd w:val="clear" w:color="auto" w:fill="auto"/>
          </w:tcPr>
          <w:p w14:paraId="0929E42B" w14:textId="77777777" w:rsidR="00E850F6" w:rsidRPr="0056661E" w:rsidRDefault="00E850F6" w:rsidP="00636DA1">
            <w:pPr>
              <w:spacing w:after="0" w:line="240" w:lineRule="auto"/>
              <w:rPr>
                <w:rFonts w:ascii="Times New Roman" w:eastAsia="Times New Roman" w:hAnsi="Times New Roman"/>
                <w:lang w:val="en-GB" w:eastAsia="ja-JP"/>
              </w:rPr>
            </w:pPr>
            <w:r w:rsidRPr="0056661E">
              <w:rPr>
                <w:rFonts w:ascii="Times New Roman" w:eastAsia="Times New Roman" w:hAnsi="Times New Roman"/>
                <w:lang w:val="en-GB" w:eastAsia="ja-JP"/>
              </w:rPr>
              <w:t xml:space="preserve">6 </w:t>
            </w:r>
          </w:p>
        </w:tc>
        <w:tc>
          <w:tcPr>
            <w:tcW w:w="1195" w:type="pct"/>
            <w:shd w:val="clear" w:color="auto" w:fill="auto"/>
          </w:tcPr>
          <w:p w14:paraId="2722EBE9" w14:textId="77777777" w:rsidR="00E850F6" w:rsidRPr="0056661E" w:rsidRDefault="00E850F6" w:rsidP="00636DA1">
            <w:pPr>
              <w:spacing w:after="0" w:line="240" w:lineRule="auto"/>
              <w:rPr>
                <w:rFonts w:ascii="Times New Roman" w:eastAsia="Times New Roman" w:hAnsi="Times New Roman"/>
                <w:lang w:val="en-GB" w:eastAsia="ja-JP"/>
              </w:rPr>
            </w:pPr>
            <w:r w:rsidRPr="0056661E">
              <w:rPr>
                <w:rFonts w:ascii="Times New Roman" w:eastAsia="Times New Roman" w:hAnsi="Times New Roman"/>
                <w:lang w:val="en-GB" w:eastAsia="ja-JP"/>
              </w:rPr>
              <w:t xml:space="preserve">249 </w:t>
            </w:r>
            <w:r w:rsidRPr="00B35F46">
              <w:rPr>
                <w:rFonts w:ascii="Symbol" w:hAnsi="Symbol" w:cs="Symbol"/>
                <w:lang w:val="en-US"/>
              </w:rPr>
              <w:t></w:t>
            </w:r>
            <w:r>
              <w:rPr>
                <w:rFonts w:ascii="Symbol" w:hAnsi="Symbol" w:cs="Symbol"/>
                <w:lang w:val="en-US"/>
              </w:rPr>
              <w:t></w:t>
            </w:r>
            <w:r>
              <w:rPr>
                <w:rFonts w:ascii="Times New Roman" w:eastAsia="Times New Roman" w:hAnsi="Times New Roman"/>
                <w:lang w:val="en-GB" w:eastAsia="ja-JP"/>
              </w:rPr>
              <w:t>99</w:t>
            </w:r>
          </w:p>
        </w:tc>
        <w:tc>
          <w:tcPr>
            <w:tcW w:w="1120" w:type="pct"/>
            <w:shd w:val="clear" w:color="auto" w:fill="auto"/>
          </w:tcPr>
          <w:p w14:paraId="01C11C85" w14:textId="77777777" w:rsidR="00E850F6" w:rsidRPr="0056661E" w:rsidRDefault="00E850F6" w:rsidP="00636DA1">
            <w:pPr>
              <w:spacing w:after="0" w:line="240" w:lineRule="auto"/>
              <w:rPr>
                <w:rFonts w:ascii="Times New Roman" w:eastAsia="Times New Roman" w:hAnsi="Times New Roman"/>
                <w:lang w:val="en-GB" w:eastAsia="ja-JP"/>
              </w:rPr>
            </w:pPr>
            <w:r>
              <w:rPr>
                <w:rFonts w:ascii="Times New Roman" w:eastAsia="Times New Roman" w:hAnsi="Times New Roman"/>
                <w:lang w:val="en-GB" w:eastAsia="ja-JP"/>
              </w:rPr>
              <w:t>49,</w:t>
            </w:r>
            <w:r w:rsidRPr="0056661E">
              <w:rPr>
                <w:rFonts w:ascii="Times New Roman" w:eastAsia="Times New Roman" w:hAnsi="Times New Roman"/>
                <w:lang w:val="en-GB" w:eastAsia="ja-JP"/>
              </w:rPr>
              <w:t xml:space="preserve">5 </w:t>
            </w:r>
            <w:r w:rsidRPr="00B35F46">
              <w:rPr>
                <w:rFonts w:ascii="Symbol" w:hAnsi="Symbol" w:cs="Symbol"/>
                <w:lang w:val="en-US"/>
              </w:rPr>
              <w:t></w:t>
            </w:r>
            <w:r>
              <w:rPr>
                <w:rFonts w:ascii="Times New Roman" w:eastAsia="Times New Roman" w:hAnsi="Times New Roman"/>
                <w:lang w:val="en-GB" w:eastAsia="ja-JP"/>
              </w:rPr>
              <w:t>22,4</w:t>
            </w:r>
          </w:p>
        </w:tc>
        <w:tc>
          <w:tcPr>
            <w:tcW w:w="1269" w:type="pct"/>
            <w:shd w:val="clear" w:color="auto" w:fill="auto"/>
          </w:tcPr>
          <w:p w14:paraId="686FC9BE" w14:textId="77777777" w:rsidR="00E850F6" w:rsidRPr="0056661E" w:rsidRDefault="00E850F6" w:rsidP="00636DA1">
            <w:pPr>
              <w:spacing w:after="0" w:line="240" w:lineRule="auto"/>
              <w:rPr>
                <w:rFonts w:ascii="Times New Roman" w:eastAsia="Times New Roman" w:hAnsi="Times New Roman"/>
                <w:lang w:val="en-GB" w:eastAsia="ja-JP"/>
              </w:rPr>
            </w:pPr>
            <w:r>
              <w:rPr>
                <w:rFonts w:ascii="Times New Roman" w:eastAsia="Times New Roman" w:hAnsi="Times New Roman"/>
                <w:lang w:val="en-GB" w:eastAsia="ja-JP"/>
              </w:rPr>
              <w:t>4,</w:t>
            </w:r>
            <w:r w:rsidRPr="0056661E">
              <w:rPr>
                <w:rFonts w:ascii="Times New Roman" w:eastAsia="Times New Roman" w:hAnsi="Times New Roman"/>
                <w:lang w:val="en-GB" w:eastAsia="ja-JP"/>
              </w:rPr>
              <w:t xml:space="preserve">85 </w:t>
            </w:r>
            <w:r w:rsidRPr="00B35F46">
              <w:rPr>
                <w:rFonts w:ascii="Symbol" w:hAnsi="Symbol" w:cs="Symbol"/>
                <w:lang w:val="en-US"/>
              </w:rPr>
              <w:t></w:t>
            </w:r>
            <w:r>
              <w:rPr>
                <w:rFonts w:ascii="Symbol" w:hAnsi="Symbol" w:cs="Symbol"/>
                <w:lang w:val="en-US"/>
              </w:rPr>
              <w:t></w:t>
            </w:r>
            <w:r>
              <w:rPr>
                <w:rFonts w:ascii="Times New Roman" w:eastAsia="Times New Roman" w:hAnsi="Times New Roman"/>
                <w:lang w:val="en-GB" w:eastAsia="ja-JP"/>
              </w:rPr>
              <w:t>1,4</w:t>
            </w:r>
          </w:p>
        </w:tc>
      </w:tr>
      <w:tr w:rsidR="00E850F6" w:rsidRPr="0056661E" w14:paraId="5171767D" w14:textId="77777777" w:rsidTr="00636DA1">
        <w:tc>
          <w:tcPr>
            <w:tcW w:w="1043" w:type="pct"/>
            <w:shd w:val="clear" w:color="auto" w:fill="auto"/>
          </w:tcPr>
          <w:p w14:paraId="1F26C12C" w14:textId="77777777" w:rsidR="00E850F6" w:rsidRPr="0056661E" w:rsidRDefault="00E850F6" w:rsidP="00636DA1">
            <w:pPr>
              <w:spacing w:after="0" w:line="240" w:lineRule="auto"/>
              <w:rPr>
                <w:rFonts w:ascii="Times New Roman" w:eastAsia="Times New Roman" w:hAnsi="Times New Roman"/>
                <w:lang w:val="en-GB" w:eastAsia="ja-JP"/>
              </w:rPr>
            </w:pPr>
            <w:r w:rsidRPr="0056661E">
              <w:rPr>
                <w:rFonts w:ascii="Times New Roman" w:eastAsia="Times New Roman" w:hAnsi="Times New Roman"/>
                <w:lang w:val="en-GB" w:eastAsia="ja-JP"/>
              </w:rPr>
              <w:t>21</w:t>
            </w:r>
            <w:r>
              <w:rPr>
                <w:rFonts w:ascii="Times New Roman" w:eastAsia="Times New Roman" w:hAnsi="Times New Roman"/>
                <w:lang w:val="en-GB" w:eastAsia="ja-JP"/>
              </w:rPr>
              <w:t xml:space="preserve"> – 50</w:t>
            </w:r>
          </w:p>
        </w:tc>
        <w:tc>
          <w:tcPr>
            <w:tcW w:w="373" w:type="pct"/>
            <w:shd w:val="clear" w:color="auto" w:fill="auto"/>
          </w:tcPr>
          <w:p w14:paraId="2CCD65EA" w14:textId="77777777" w:rsidR="00E850F6" w:rsidRPr="0056661E" w:rsidRDefault="00E850F6" w:rsidP="00636DA1">
            <w:pPr>
              <w:spacing w:after="0" w:line="240" w:lineRule="auto"/>
              <w:rPr>
                <w:rFonts w:ascii="Times New Roman" w:eastAsia="Times New Roman" w:hAnsi="Times New Roman"/>
                <w:lang w:val="en-GB" w:eastAsia="ja-JP"/>
              </w:rPr>
            </w:pPr>
            <w:r w:rsidRPr="0056661E">
              <w:rPr>
                <w:rFonts w:ascii="Times New Roman" w:eastAsia="Times New Roman" w:hAnsi="Times New Roman"/>
                <w:lang w:val="en-GB" w:eastAsia="ja-JP"/>
              </w:rPr>
              <w:t xml:space="preserve">6 </w:t>
            </w:r>
          </w:p>
        </w:tc>
        <w:tc>
          <w:tcPr>
            <w:tcW w:w="1195" w:type="pct"/>
            <w:shd w:val="clear" w:color="auto" w:fill="auto"/>
          </w:tcPr>
          <w:p w14:paraId="5ECB8CEF" w14:textId="77777777" w:rsidR="00E850F6" w:rsidRPr="0056661E" w:rsidRDefault="00E850F6" w:rsidP="00636DA1">
            <w:pPr>
              <w:spacing w:after="0" w:line="240" w:lineRule="auto"/>
              <w:rPr>
                <w:rFonts w:ascii="Times New Roman" w:eastAsia="Times New Roman" w:hAnsi="Times New Roman"/>
                <w:lang w:val="en-GB" w:eastAsia="ja-JP"/>
              </w:rPr>
            </w:pPr>
            <w:r w:rsidRPr="0056661E">
              <w:rPr>
                <w:rFonts w:ascii="Times New Roman" w:eastAsia="Times New Roman" w:hAnsi="Times New Roman"/>
                <w:lang w:val="en-GB" w:eastAsia="ja-JP"/>
              </w:rPr>
              <w:t xml:space="preserve">136 </w:t>
            </w:r>
            <w:r w:rsidRPr="00B35F46">
              <w:rPr>
                <w:rFonts w:ascii="Symbol" w:hAnsi="Symbol" w:cs="Symbol"/>
                <w:lang w:val="en-US"/>
              </w:rPr>
              <w:t></w:t>
            </w:r>
            <w:r>
              <w:rPr>
                <w:rFonts w:ascii="Symbol" w:hAnsi="Symbol" w:cs="Symbol"/>
                <w:lang w:val="en-US"/>
              </w:rPr>
              <w:t></w:t>
            </w:r>
            <w:r>
              <w:rPr>
                <w:rFonts w:ascii="Times New Roman" w:eastAsia="Times New Roman" w:hAnsi="Times New Roman"/>
                <w:lang w:val="en-GB" w:eastAsia="ja-JP"/>
              </w:rPr>
              <w:t>64</w:t>
            </w:r>
          </w:p>
        </w:tc>
        <w:tc>
          <w:tcPr>
            <w:tcW w:w="1120" w:type="pct"/>
            <w:shd w:val="clear" w:color="auto" w:fill="auto"/>
          </w:tcPr>
          <w:p w14:paraId="41EA9F3D" w14:textId="77777777" w:rsidR="00E850F6" w:rsidRPr="0056661E" w:rsidRDefault="00E850F6" w:rsidP="00636DA1">
            <w:pPr>
              <w:spacing w:after="0" w:line="240" w:lineRule="auto"/>
              <w:rPr>
                <w:rFonts w:ascii="Times New Roman" w:eastAsia="Times New Roman" w:hAnsi="Times New Roman"/>
                <w:lang w:val="en-GB" w:eastAsia="ja-JP"/>
              </w:rPr>
            </w:pPr>
            <w:r>
              <w:rPr>
                <w:rFonts w:ascii="Times New Roman" w:eastAsia="Times New Roman" w:hAnsi="Times New Roman"/>
                <w:lang w:val="en-GB" w:eastAsia="ja-JP"/>
              </w:rPr>
              <w:t>91,</w:t>
            </w:r>
            <w:r w:rsidRPr="0056661E">
              <w:rPr>
                <w:rFonts w:ascii="Times New Roman" w:eastAsia="Times New Roman" w:hAnsi="Times New Roman"/>
                <w:lang w:val="en-GB" w:eastAsia="ja-JP"/>
              </w:rPr>
              <w:t xml:space="preserve">9 </w:t>
            </w:r>
            <w:r w:rsidRPr="00B35F46">
              <w:rPr>
                <w:rFonts w:ascii="Symbol" w:hAnsi="Symbol" w:cs="Symbol"/>
                <w:lang w:val="en-US"/>
              </w:rPr>
              <w:t></w:t>
            </w:r>
            <w:r>
              <w:rPr>
                <w:rFonts w:ascii="Times New Roman" w:eastAsia="Times New Roman" w:hAnsi="Times New Roman"/>
                <w:lang w:val="en-GB" w:eastAsia="ja-JP"/>
              </w:rPr>
              <w:t>43,9</w:t>
            </w:r>
          </w:p>
        </w:tc>
        <w:tc>
          <w:tcPr>
            <w:tcW w:w="1269" w:type="pct"/>
            <w:shd w:val="clear" w:color="auto" w:fill="auto"/>
          </w:tcPr>
          <w:p w14:paraId="60EBCF02" w14:textId="77777777" w:rsidR="00E850F6" w:rsidRPr="0056661E" w:rsidRDefault="00E850F6" w:rsidP="00636DA1">
            <w:pPr>
              <w:spacing w:after="0" w:line="240" w:lineRule="auto"/>
              <w:rPr>
                <w:rFonts w:ascii="Times New Roman" w:eastAsia="Times New Roman" w:hAnsi="Times New Roman"/>
                <w:lang w:val="en-GB" w:eastAsia="ja-JP"/>
              </w:rPr>
            </w:pPr>
            <w:r>
              <w:rPr>
                <w:rFonts w:ascii="Times New Roman" w:eastAsia="Times New Roman" w:hAnsi="Times New Roman"/>
                <w:lang w:val="en-GB" w:eastAsia="ja-JP"/>
              </w:rPr>
              <w:t>10,</w:t>
            </w:r>
            <w:r w:rsidRPr="0056661E">
              <w:rPr>
                <w:rFonts w:ascii="Times New Roman" w:eastAsia="Times New Roman" w:hAnsi="Times New Roman"/>
                <w:lang w:val="en-GB" w:eastAsia="ja-JP"/>
              </w:rPr>
              <w:t xml:space="preserve">2 </w:t>
            </w:r>
            <w:r w:rsidRPr="00B35F46">
              <w:rPr>
                <w:rFonts w:ascii="Symbol" w:hAnsi="Symbol" w:cs="Symbol"/>
                <w:lang w:val="en-US"/>
              </w:rPr>
              <w:t></w:t>
            </w:r>
            <w:r>
              <w:rPr>
                <w:rFonts w:ascii="Symbol" w:hAnsi="Symbol" w:cs="Symbol"/>
                <w:lang w:val="en-US"/>
              </w:rPr>
              <w:t></w:t>
            </w:r>
            <w:r>
              <w:rPr>
                <w:rFonts w:ascii="Times New Roman" w:eastAsia="Times New Roman" w:hAnsi="Times New Roman"/>
                <w:lang w:val="en-GB" w:eastAsia="ja-JP"/>
              </w:rPr>
              <w:t>4,4</w:t>
            </w:r>
          </w:p>
        </w:tc>
      </w:tr>
      <w:tr w:rsidR="00E850F6" w:rsidRPr="0056661E" w14:paraId="62495306" w14:textId="77777777" w:rsidTr="00636DA1">
        <w:tc>
          <w:tcPr>
            <w:tcW w:w="1043" w:type="pct"/>
            <w:shd w:val="clear" w:color="auto" w:fill="auto"/>
          </w:tcPr>
          <w:p w14:paraId="08DB6F6E" w14:textId="77777777" w:rsidR="00E850F6" w:rsidRPr="0056661E" w:rsidRDefault="00E850F6" w:rsidP="00636DA1">
            <w:pPr>
              <w:spacing w:after="0" w:line="240" w:lineRule="auto"/>
              <w:rPr>
                <w:rFonts w:ascii="Times New Roman" w:eastAsia="Times New Roman" w:hAnsi="Times New Roman"/>
                <w:lang w:val="en-GB" w:eastAsia="ja-JP"/>
              </w:rPr>
            </w:pPr>
            <w:r>
              <w:rPr>
                <w:rFonts w:ascii="Times New Roman" w:eastAsia="Times New Roman" w:hAnsi="Times New Roman"/>
                <w:lang w:val="en-GB" w:eastAsia="ja-JP"/>
              </w:rPr>
              <w:t>11 - 20</w:t>
            </w:r>
          </w:p>
        </w:tc>
        <w:tc>
          <w:tcPr>
            <w:tcW w:w="373" w:type="pct"/>
            <w:shd w:val="clear" w:color="auto" w:fill="auto"/>
          </w:tcPr>
          <w:p w14:paraId="654E9684" w14:textId="77777777" w:rsidR="00E850F6" w:rsidRPr="0056661E" w:rsidRDefault="00E850F6" w:rsidP="00636DA1">
            <w:pPr>
              <w:spacing w:after="0" w:line="240" w:lineRule="auto"/>
              <w:rPr>
                <w:rFonts w:ascii="Times New Roman" w:eastAsia="Times New Roman" w:hAnsi="Times New Roman"/>
                <w:lang w:val="en-GB" w:eastAsia="ja-JP"/>
              </w:rPr>
            </w:pPr>
            <w:r w:rsidRPr="0056661E">
              <w:rPr>
                <w:rFonts w:ascii="Times New Roman" w:eastAsia="Times New Roman" w:hAnsi="Times New Roman"/>
                <w:lang w:val="en-GB" w:eastAsia="ja-JP"/>
              </w:rPr>
              <w:t xml:space="preserve">6 </w:t>
            </w:r>
          </w:p>
        </w:tc>
        <w:tc>
          <w:tcPr>
            <w:tcW w:w="1195" w:type="pct"/>
            <w:shd w:val="clear" w:color="auto" w:fill="auto"/>
          </w:tcPr>
          <w:p w14:paraId="12F131B4" w14:textId="77777777" w:rsidR="00E850F6" w:rsidRPr="0056661E" w:rsidRDefault="00E850F6" w:rsidP="00636DA1">
            <w:pPr>
              <w:spacing w:after="0" w:line="240" w:lineRule="auto"/>
              <w:rPr>
                <w:rFonts w:ascii="Times New Roman" w:eastAsia="Times New Roman" w:hAnsi="Times New Roman"/>
                <w:lang w:val="en-GB" w:eastAsia="ja-JP"/>
              </w:rPr>
            </w:pPr>
            <w:r w:rsidRPr="0056661E">
              <w:rPr>
                <w:rFonts w:ascii="Times New Roman" w:eastAsia="Times New Roman" w:hAnsi="Times New Roman"/>
                <w:lang w:val="en-GB" w:eastAsia="ja-JP"/>
              </w:rPr>
              <w:t xml:space="preserve">45 </w:t>
            </w:r>
            <w:r w:rsidRPr="00B35F46">
              <w:rPr>
                <w:rFonts w:ascii="Symbol" w:hAnsi="Symbol" w:cs="Symbol"/>
                <w:lang w:val="en-US"/>
              </w:rPr>
              <w:t></w:t>
            </w:r>
            <w:r>
              <w:rPr>
                <w:rFonts w:ascii="Symbol" w:hAnsi="Symbol" w:cs="Symbol"/>
                <w:lang w:val="en-US"/>
              </w:rPr>
              <w:t></w:t>
            </w:r>
            <w:r>
              <w:rPr>
                <w:rFonts w:ascii="Times New Roman" w:eastAsia="Times New Roman" w:hAnsi="Times New Roman"/>
                <w:lang w:val="en-GB" w:eastAsia="ja-JP"/>
              </w:rPr>
              <w:t>11</w:t>
            </w:r>
          </w:p>
        </w:tc>
        <w:tc>
          <w:tcPr>
            <w:tcW w:w="1120" w:type="pct"/>
            <w:shd w:val="clear" w:color="auto" w:fill="auto"/>
          </w:tcPr>
          <w:p w14:paraId="4A0C8182" w14:textId="77777777" w:rsidR="00E850F6" w:rsidRPr="0056661E" w:rsidRDefault="00E850F6" w:rsidP="00636DA1">
            <w:pPr>
              <w:spacing w:after="0" w:line="240" w:lineRule="auto"/>
              <w:rPr>
                <w:rFonts w:ascii="Times New Roman" w:eastAsia="Times New Roman" w:hAnsi="Times New Roman"/>
                <w:lang w:val="en-GB" w:eastAsia="ja-JP"/>
              </w:rPr>
            </w:pPr>
            <w:r w:rsidRPr="0056661E">
              <w:rPr>
                <w:rFonts w:ascii="Times New Roman" w:eastAsia="Times New Roman" w:hAnsi="Times New Roman"/>
                <w:lang w:val="en-GB" w:eastAsia="ja-JP"/>
              </w:rPr>
              <w:t xml:space="preserve">223 </w:t>
            </w:r>
            <w:r w:rsidRPr="00B35F46">
              <w:rPr>
                <w:rFonts w:ascii="Symbol" w:hAnsi="Symbol" w:cs="Symbol"/>
                <w:lang w:val="en-US"/>
              </w:rPr>
              <w:t></w:t>
            </w:r>
            <w:r w:rsidRPr="0056661E">
              <w:rPr>
                <w:rFonts w:ascii="Times New Roman" w:eastAsia="Times New Roman" w:hAnsi="Times New Roman"/>
                <w:lang w:val="en-GB" w:eastAsia="ja-JP"/>
              </w:rPr>
              <w:t xml:space="preserve">46 </w:t>
            </w:r>
          </w:p>
        </w:tc>
        <w:tc>
          <w:tcPr>
            <w:tcW w:w="1269" w:type="pct"/>
            <w:shd w:val="clear" w:color="auto" w:fill="auto"/>
          </w:tcPr>
          <w:p w14:paraId="5CD13E21" w14:textId="77777777" w:rsidR="00E850F6" w:rsidRPr="0056661E" w:rsidRDefault="00E850F6" w:rsidP="00636DA1">
            <w:pPr>
              <w:spacing w:after="0" w:line="240" w:lineRule="auto"/>
              <w:rPr>
                <w:rFonts w:ascii="Times New Roman" w:eastAsia="Times New Roman" w:hAnsi="Times New Roman"/>
                <w:lang w:val="en-GB" w:eastAsia="ja-JP"/>
              </w:rPr>
            </w:pPr>
            <w:r>
              <w:rPr>
                <w:rFonts w:ascii="Times New Roman" w:eastAsia="Times New Roman" w:hAnsi="Times New Roman"/>
                <w:lang w:val="en-GB" w:eastAsia="ja-JP"/>
              </w:rPr>
              <w:t>21,</w:t>
            </w:r>
            <w:r w:rsidRPr="0056661E">
              <w:rPr>
                <w:rFonts w:ascii="Times New Roman" w:eastAsia="Times New Roman" w:hAnsi="Times New Roman"/>
                <w:lang w:val="en-GB" w:eastAsia="ja-JP"/>
              </w:rPr>
              <w:t xml:space="preserve">8 </w:t>
            </w:r>
            <w:r w:rsidRPr="00B35F46">
              <w:rPr>
                <w:rFonts w:ascii="Symbol" w:hAnsi="Symbol" w:cs="Symbol"/>
                <w:lang w:val="en-US"/>
              </w:rPr>
              <w:t></w:t>
            </w:r>
            <w:r>
              <w:rPr>
                <w:rFonts w:ascii="Symbol" w:hAnsi="Symbol" w:cs="Symbol"/>
                <w:lang w:val="en-US"/>
              </w:rPr>
              <w:t></w:t>
            </w:r>
            <w:r>
              <w:rPr>
                <w:rFonts w:ascii="Times New Roman" w:eastAsia="Times New Roman" w:hAnsi="Times New Roman"/>
                <w:lang w:val="en-GB" w:eastAsia="ja-JP"/>
              </w:rPr>
              <w:t>5,2</w:t>
            </w:r>
          </w:p>
        </w:tc>
      </w:tr>
      <w:tr w:rsidR="00E850F6" w:rsidRPr="0056661E" w14:paraId="7BE8486B" w14:textId="77777777" w:rsidTr="00636DA1">
        <w:tc>
          <w:tcPr>
            <w:tcW w:w="1043" w:type="pct"/>
            <w:shd w:val="clear" w:color="auto" w:fill="auto"/>
          </w:tcPr>
          <w:p w14:paraId="3203019F" w14:textId="77777777" w:rsidR="00E850F6" w:rsidRPr="0056661E" w:rsidRDefault="00E850F6" w:rsidP="00636DA1">
            <w:pPr>
              <w:spacing w:after="0" w:line="240" w:lineRule="auto"/>
              <w:rPr>
                <w:rFonts w:ascii="Times New Roman" w:eastAsia="Times New Roman" w:hAnsi="Times New Roman"/>
                <w:lang w:val="en-GB" w:eastAsia="ja-JP"/>
              </w:rPr>
            </w:pPr>
            <w:r w:rsidRPr="00B35F46">
              <w:rPr>
                <w:rFonts w:ascii="Symbol" w:hAnsi="Symbol" w:cs="Symbol"/>
              </w:rPr>
              <w:t></w:t>
            </w:r>
            <w:r>
              <w:rPr>
                <w:rFonts w:ascii="Symbol" w:hAnsi="Symbol" w:cs="Symbol"/>
              </w:rPr>
              <w:t></w:t>
            </w:r>
            <w:r>
              <w:rPr>
                <w:rFonts w:ascii="Times New Roman" w:eastAsia="Times New Roman" w:hAnsi="Times New Roman"/>
                <w:lang w:val="en-GB" w:eastAsia="ja-JP"/>
              </w:rPr>
              <w:t>10</w:t>
            </w:r>
          </w:p>
        </w:tc>
        <w:tc>
          <w:tcPr>
            <w:tcW w:w="373" w:type="pct"/>
            <w:shd w:val="clear" w:color="auto" w:fill="auto"/>
          </w:tcPr>
          <w:p w14:paraId="3861EE94" w14:textId="77777777" w:rsidR="00E850F6" w:rsidRPr="0056661E" w:rsidRDefault="00E850F6" w:rsidP="00636DA1">
            <w:pPr>
              <w:spacing w:after="0" w:line="240" w:lineRule="auto"/>
              <w:rPr>
                <w:rFonts w:ascii="Times New Roman" w:eastAsia="Times New Roman" w:hAnsi="Times New Roman"/>
                <w:lang w:val="en-GB" w:eastAsia="ja-JP"/>
              </w:rPr>
            </w:pPr>
            <w:r w:rsidRPr="0056661E">
              <w:rPr>
                <w:rFonts w:ascii="Times New Roman" w:eastAsia="Times New Roman" w:hAnsi="Times New Roman"/>
                <w:lang w:val="en-GB" w:eastAsia="ja-JP"/>
              </w:rPr>
              <w:t xml:space="preserve">6 </w:t>
            </w:r>
          </w:p>
        </w:tc>
        <w:tc>
          <w:tcPr>
            <w:tcW w:w="1195" w:type="pct"/>
            <w:shd w:val="clear" w:color="auto" w:fill="auto"/>
          </w:tcPr>
          <w:p w14:paraId="200A77FD" w14:textId="77777777" w:rsidR="00E850F6" w:rsidRPr="0056661E" w:rsidRDefault="00E850F6" w:rsidP="00636DA1">
            <w:pPr>
              <w:spacing w:after="0" w:line="240" w:lineRule="auto"/>
              <w:rPr>
                <w:rFonts w:ascii="Times New Roman" w:eastAsia="Times New Roman" w:hAnsi="Times New Roman"/>
                <w:lang w:val="en-GB" w:eastAsia="ja-JP"/>
              </w:rPr>
            </w:pPr>
            <w:r>
              <w:rPr>
                <w:rFonts w:ascii="Times New Roman" w:eastAsia="Times New Roman" w:hAnsi="Times New Roman"/>
                <w:lang w:val="en-GB" w:eastAsia="ja-JP"/>
              </w:rPr>
              <w:t>12,</w:t>
            </w:r>
            <w:r w:rsidRPr="0056661E">
              <w:rPr>
                <w:rFonts w:ascii="Times New Roman" w:eastAsia="Times New Roman" w:hAnsi="Times New Roman"/>
                <w:lang w:val="en-GB" w:eastAsia="ja-JP"/>
              </w:rPr>
              <w:t xml:space="preserve">8 </w:t>
            </w:r>
            <w:r w:rsidRPr="00B35F46">
              <w:rPr>
                <w:rFonts w:ascii="Symbol" w:hAnsi="Symbol" w:cs="Symbol"/>
                <w:lang w:val="en-US"/>
              </w:rPr>
              <w:t></w:t>
            </w:r>
            <w:r>
              <w:rPr>
                <w:rFonts w:ascii="Symbol" w:hAnsi="Symbol" w:cs="Symbol"/>
                <w:lang w:val="en-US"/>
              </w:rPr>
              <w:t></w:t>
            </w:r>
            <w:r>
              <w:rPr>
                <w:rFonts w:ascii="Times New Roman" w:eastAsia="Times New Roman" w:hAnsi="Times New Roman"/>
                <w:lang w:val="en-GB" w:eastAsia="ja-JP"/>
              </w:rPr>
              <w:t>8</w:t>
            </w:r>
          </w:p>
        </w:tc>
        <w:tc>
          <w:tcPr>
            <w:tcW w:w="1120" w:type="pct"/>
            <w:shd w:val="clear" w:color="auto" w:fill="auto"/>
          </w:tcPr>
          <w:p w14:paraId="4CA9DEAE" w14:textId="77777777" w:rsidR="00E850F6" w:rsidRPr="0056661E" w:rsidRDefault="00E850F6" w:rsidP="00636DA1">
            <w:pPr>
              <w:spacing w:after="0" w:line="240" w:lineRule="auto"/>
              <w:rPr>
                <w:rFonts w:ascii="Times New Roman" w:eastAsia="Times New Roman" w:hAnsi="Times New Roman"/>
                <w:lang w:val="en-GB" w:eastAsia="ja-JP"/>
              </w:rPr>
            </w:pPr>
            <w:r w:rsidRPr="0056661E">
              <w:rPr>
                <w:rFonts w:ascii="Times New Roman" w:eastAsia="Times New Roman" w:hAnsi="Times New Roman"/>
                <w:lang w:val="en-GB" w:eastAsia="ja-JP"/>
              </w:rPr>
              <w:t xml:space="preserve">366 </w:t>
            </w:r>
            <w:r w:rsidRPr="00B35F46">
              <w:rPr>
                <w:rFonts w:ascii="Symbol" w:hAnsi="Symbol" w:cs="Symbol"/>
                <w:lang w:val="en-US"/>
              </w:rPr>
              <w:t></w:t>
            </w:r>
            <w:r>
              <w:rPr>
                <w:rFonts w:ascii="Times New Roman" w:eastAsia="Times New Roman" w:hAnsi="Times New Roman"/>
                <w:lang w:val="en-GB" w:eastAsia="ja-JP"/>
              </w:rPr>
              <w:t xml:space="preserve"> 66</w:t>
            </w:r>
          </w:p>
        </w:tc>
        <w:tc>
          <w:tcPr>
            <w:tcW w:w="1269" w:type="pct"/>
            <w:shd w:val="clear" w:color="auto" w:fill="auto"/>
          </w:tcPr>
          <w:p w14:paraId="2BD094C6" w14:textId="77777777" w:rsidR="00E850F6" w:rsidRPr="0056661E" w:rsidRDefault="00E850F6" w:rsidP="00636DA1">
            <w:pPr>
              <w:spacing w:after="0" w:line="240" w:lineRule="auto"/>
              <w:rPr>
                <w:rFonts w:ascii="Times New Roman" w:eastAsia="Times New Roman" w:hAnsi="Times New Roman"/>
                <w:lang w:val="en-GB" w:eastAsia="ja-JP"/>
              </w:rPr>
            </w:pPr>
            <w:r>
              <w:rPr>
                <w:rFonts w:ascii="Times New Roman" w:eastAsia="Times New Roman" w:hAnsi="Times New Roman"/>
                <w:lang w:val="en-GB" w:eastAsia="ja-JP"/>
              </w:rPr>
              <w:t>67,</w:t>
            </w:r>
            <w:r w:rsidRPr="0056661E">
              <w:rPr>
                <w:rFonts w:ascii="Times New Roman" w:eastAsia="Times New Roman" w:hAnsi="Times New Roman"/>
                <w:lang w:val="en-GB" w:eastAsia="ja-JP"/>
              </w:rPr>
              <w:t xml:space="preserve">5 </w:t>
            </w:r>
            <w:r w:rsidRPr="00B35F46">
              <w:rPr>
                <w:rFonts w:ascii="Symbol" w:hAnsi="Symbol" w:cs="Symbol"/>
                <w:lang w:val="en-US"/>
              </w:rPr>
              <w:t></w:t>
            </w:r>
            <w:r>
              <w:rPr>
                <w:rFonts w:ascii="Symbol" w:hAnsi="Symbol" w:cs="Symbol"/>
                <w:lang w:val="en-US"/>
              </w:rPr>
              <w:t></w:t>
            </w:r>
            <w:r>
              <w:rPr>
                <w:rFonts w:ascii="Times New Roman" w:eastAsia="Times New Roman" w:hAnsi="Times New Roman"/>
                <w:lang w:val="en-GB" w:eastAsia="ja-JP"/>
              </w:rPr>
              <w:t>34</w:t>
            </w:r>
          </w:p>
        </w:tc>
      </w:tr>
    </w:tbl>
    <w:p w14:paraId="192F1E92" w14:textId="77777777" w:rsidR="00E850F6" w:rsidRPr="00402217" w:rsidRDefault="00E850F6" w:rsidP="00E850F6">
      <w:pPr>
        <w:spacing w:after="0" w:line="240" w:lineRule="auto"/>
        <w:rPr>
          <w:rFonts w:ascii="Times New Roman" w:hAnsi="Times New Roman"/>
        </w:rPr>
      </w:pPr>
    </w:p>
    <w:p w14:paraId="3FB47785" w14:textId="77777777" w:rsidR="00E850F6" w:rsidRPr="00D600DA" w:rsidRDefault="00E850F6" w:rsidP="00E850F6">
      <w:pPr>
        <w:spacing w:after="0" w:line="240" w:lineRule="auto"/>
        <w:rPr>
          <w:rFonts w:ascii="Times New Roman" w:hAnsi="Times New Roman"/>
          <w:i/>
          <w:lang w:eastAsia="ja-JP"/>
        </w:rPr>
      </w:pPr>
      <w:r w:rsidRPr="00D600DA">
        <w:rPr>
          <w:rFonts w:ascii="Times New Roman" w:hAnsi="Times New Roman"/>
          <w:lang w:eastAsia="ja-JP"/>
        </w:rPr>
        <w:t>Silpnėjant inkstų veiklai mažėja iš valgancikloviro susidarančio gancikloviro klirensas ir atitinkamai ilgėja galutinis pusinės eliminacijos laikas. Todėl pacientams, kurių inkstų veikla sutrikusi, dozavimą reikia koreguoti (žr. 4.2 ir 4.4 skyrių).</w:t>
      </w:r>
    </w:p>
    <w:p w14:paraId="0959F0CD" w14:textId="77777777" w:rsidR="00E850F6" w:rsidRPr="00D600DA" w:rsidRDefault="00E850F6" w:rsidP="00E850F6">
      <w:pPr>
        <w:spacing w:after="0" w:line="240" w:lineRule="auto"/>
        <w:rPr>
          <w:rFonts w:ascii="Times New Roman" w:hAnsi="Times New Roman"/>
          <w:lang w:eastAsia="ja-JP"/>
        </w:rPr>
      </w:pPr>
    </w:p>
    <w:p w14:paraId="5A77A6E3" w14:textId="77777777" w:rsidR="00E850F6" w:rsidRPr="00D600DA" w:rsidRDefault="00E850F6" w:rsidP="00E850F6">
      <w:pPr>
        <w:keepNext/>
        <w:spacing w:after="0" w:line="240" w:lineRule="auto"/>
        <w:rPr>
          <w:rFonts w:ascii="Times New Roman" w:hAnsi="Times New Roman"/>
          <w:i/>
          <w:lang w:eastAsia="ja-JP"/>
        </w:rPr>
      </w:pPr>
      <w:r w:rsidRPr="00D600DA">
        <w:rPr>
          <w:rFonts w:ascii="Times New Roman" w:hAnsi="Times New Roman"/>
          <w:i/>
          <w:lang w:eastAsia="ja-JP"/>
        </w:rPr>
        <w:t>Pacientams, kuriems atliekamos hemodializės</w:t>
      </w:r>
    </w:p>
    <w:p w14:paraId="3B4A3811" w14:textId="77777777" w:rsidR="00E850F6" w:rsidRPr="00D600DA" w:rsidRDefault="00E850F6" w:rsidP="00E850F6">
      <w:pPr>
        <w:keepNext/>
        <w:spacing w:after="0" w:line="240" w:lineRule="auto"/>
        <w:rPr>
          <w:rFonts w:ascii="Times New Roman" w:hAnsi="Times New Roman"/>
          <w:lang w:eastAsia="ja-JP"/>
        </w:rPr>
      </w:pPr>
      <w:r w:rsidRPr="00D600DA">
        <w:rPr>
          <w:rFonts w:ascii="Times New Roman" w:hAnsi="Times New Roman"/>
          <w:lang w:eastAsia="ja-JP"/>
        </w:rPr>
        <w:t>Pacientams, kuriems atliekamos hemodializės, rekomenduojama vartoti Valcyte miltelius geriamajam tirpalui, kad būtų galima parinkti individualią dozę (žr. 4.2 ir 4.4 skyrius).</w:t>
      </w:r>
    </w:p>
    <w:p w14:paraId="2955C9B5" w14:textId="77777777" w:rsidR="00E850F6" w:rsidRDefault="00E850F6" w:rsidP="00E850F6">
      <w:pPr>
        <w:spacing w:after="0" w:line="240" w:lineRule="auto"/>
        <w:rPr>
          <w:rFonts w:ascii="Times New Roman" w:eastAsia="Times New Roman" w:hAnsi="Times New Roman"/>
          <w:lang w:eastAsia="ja-JP"/>
        </w:rPr>
      </w:pPr>
    </w:p>
    <w:p w14:paraId="5B27DCF3" w14:textId="77777777" w:rsidR="00E850F6" w:rsidRPr="00923E43" w:rsidRDefault="00E850F6" w:rsidP="00E850F6">
      <w:pPr>
        <w:spacing w:after="0" w:line="240" w:lineRule="auto"/>
        <w:rPr>
          <w:rFonts w:ascii="Times New Roman" w:eastAsia="Times New Roman" w:hAnsi="Times New Roman"/>
          <w:i/>
          <w:lang w:eastAsia="ja-JP"/>
        </w:rPr>
      </w:pPr>
      <w:r w:rsidRPr="00923E43">
        <w:rPr>
          <w:rFonts w:ascii="Times New Roman" w:eastAsia="Times New Roman" w:hAnsi="Times New Roman"/>
          <w:i/>
          <w:lang w:eastAsia="ja-JP"/>
        </w:rPr>
        <w:t>Stabilios būklės pacientai po kepenų transplantacijos</w:t>
      </w:r>
    </w:p>
    <w:p w14:paraId="235438F6" w14:textId="77777777" w:rsidR="00E850F6" w:rsidRDefault="00E850F6" w:rsidP="00E850F6">
      <w:pPr>
        <w:spacing w:after="0" w:line="240" w:lineRule="auto"/>
        <w:rPr>
          <w:rFonts w:ascii="Times New Roman" w:eastAsia="Times New Roman" w:hAnsi="Times New Roman"/>
          <w:lang w:eastAsia="ja-JP"/>
        </w:rPr>
      </w:pPr>
      <w:r w:rsidRPr="00F9490A">
        <w:rPr>
          <w:rFonts w:ascii="Times New Roman" w:eastAsia="Times New Roman" w:hAnsi="Times New Roman"/>
          <w:lang w:eastAsia="ja-JP"/>
        </w:rPr>
        <w:t xml:space="preserve">Iš </w:t>
      </w:r>
      <w:r>
        <w:rPr>
          <w:rFonts w:ascii="Times New Roman" w:eastAsia="Times New Roman" w:hAnsi="Times New Roman"/>
          <w:lang w:eastAsia="ja-JP"/>
        </w:rPr>
        <w:t>valgancikloviro susidariusio</w:t>
      </w:r>
      <w:r w:rsidRPr="00F9490A">
        <w:rPr>
          <w:rFonts w:ascii="Times New Roman" w:eastAsia="Times New Roman" w:hAnsi="Times New Roman"/>
          <w:lang w:eastAsia="ja-JP"/>
        </w:rPr>
        <w:t xml:space="preserve"> gancikloviro farmakokinetika pacient</w:t>
      </w:r>
      <w:r>
        <w:rPr>
          <w:rFonts w:ascii="Times New Roman" w:eastAsia="Times New Roman" w:hAnsi="Times New Roman"/>
          <w:lang w:eastAsia="ja-JP"/>
        </w:rPr>
        <w:t>ų</w:t>
      </w:r>
      <w:r w:rsidRPr="00F9490A">
        <w:rPr>
          <w:rFonts w:ascii="Times New Roman" w:eastAsia="Times New Roman" w:hAnsi="Times New Roman"/>
          <w:lang w:eastAsia="ja-JP"/>
        </w:rPr>
        <w:t xml:space="preserve">, </w:t>
      </w:r>
      <w:r>
        <w:rPr>
          <w:rFonts w:ascii="Times New Roman" w:eastAsia="Times New Roman" w:hAnsi="Times New Roman"/>
          <w:lang w:eastAsia="ja-JP"/>
        </w:rPr>
        <w:t xml:space="preserve">kurių būklė po </w:t>
      </w:r>
      <w:r w:rsidRPr="00F9490A">
        <w:rPr>
          <w:rFonts w:ascii="Times New Roman" w:eastAsia="Times New Roman" w:hAnsi="Times New Roman"/>
          <w:lang w:eastAsia="ja-JP"/>
        </w:rPr>
        <w:t xml:space="preserve">kepenų persodinimo </w:t>
      </w:r>
      <w:r>
        <w:rPr>
          <w:rFonts w:ascii="Times New Roman" w:eastAsia="Times New Roman" w:hAnsi="Times New Roman"/>
          <w:lang w:eastAsia="ja-JP"/>
        </w:rPr>
        <w:t xml:space="preserve">operacijos buvo </w:t>
      </w:r>
      <w:r w:rsidRPr="00F9490A">
        <w:rPr>
          <w:rFonts w:ascii="Times New Roman" w:eastAsia="Times New Roman" w:hAnsi="Times New Roman"/>
          <w:lang w:eastAsia="ja-JP"/>
        </w:rPr>
        <w:t>stabili</w:t>
      </w:r>
      <w:r>
        <w:rPr>
          <w:rFonts w:ascii="Times New Roman" w:eastAsia="Times New Roman" w:hAnsi="Times New Roman"/>
          <w:lang w:eastAsia="ja-JP"/>
        </w:rPr>
        <w:t>, organizme buvo tirta vieno atviro</w:t>
      </w:r>
      <w:r w:rsidRPr="00F9490A">
        <w:rPr>
          <w:rFonts w:ascii="Times New Roman" w:eastAsia="Times New Roman" w:hAnsi="Times New Roman"/>
          <w:lang w:eastAsia="ja-JP"/>
        </w:rPr>
        <w:t xml:space="preserve"> 4 dalių kryžminio</w:t>
      </w:r>
      <w:r>
        <w:rPr>
          <w:rFonts w:ascii="Times New Roman" w:eastAsia="Times New Roman" w:hAnsi="Times New Roman"/>
          <w:lang w:eastAsia="ja-JP"/>
        </w:rPr>
        <w:t xml:space="preserve"> klinikinio</w:t>
      </w:r>
      <w:r w:rsidRPr="00F9490A">
        <w:rPr>
          <w:rFonts w:ascii="Times New Roman" w:eastAsia="Times New Roman" w:hAnsi="Times New Roman"/>
          <w:lang w:eastAsia="ja-JP"/>
        </w:rPr>
        <w:t xml:space="preserve"> tyrimo </w:t>
      </w:r>
      <w:r>
        <w:rPr>
          <w:rFonts w:ascii="Times New Roman" w:eastAsia="Times New Roman" w:hAnsi="Times New Roman"/>
          <w:lang w:eastAsia="ja-JP"/>
        </w:rPr>
        <w:t xml:space="preserve">metu </w:t>
      </w:r>
      <w:r w:rsidRPr="00F9490A">
        <w:rPr>
          <w:rFonts w:ascii="Times New Roman" w:eastAsia="Times New Roman" w:hAnsi="Times New Roman"/>
          <w:lang w:eastAsia="ja-JP"/>
        </w:rPr>
        <w:t>(N = 28). Iš</w:t>
      </w:r>
      <w:r>
        <w:rPr>
          <w:rFonts w:ascii="Times New Roman" w:eastAsia="Times New Roman" w:hAnsi="Times New Roman"/>
          <w:lang w:eastAsia="ja-JP"/>
        </w:rPr>
        <w:t>gėrus vienkartinę 900 mg valgancikloviro dozę po valgio, iš</w:t>
      </w:r>
      <w:r w:rsidRPr="00F9490A">
        <w:rPr>
          <w:rFonts w:ascii="Times New Roman" w:eastAsia="Times New Roman" w:hAnsi="Times New Roman"/>
          <w:lang w:eastAsia="ja-JP"/>
        </w:rPr>
        <w:t xml:space="preserve"> </w:t>
      </w:r>
      <w:r>
        <w:rPr>
          <w:rFonts w:ascii="Times New Roman" w:eastAsia="Times New Roman" w:hAnsi="Times New Roman"/>
          <w:lang w:eastAsia="ja-JP"/>
        </w:rPr>
        <w:t>valgancikloviro susidariusio</w:t>
      </w:r>
      <w:r w:rsidRPr="00F9490A">
        <w:rPr>
          <w:rFonts w:ascii="Times New Roman" w:eastAsia="Times New Roman" w:hAnsi="Times New Roman"/>
          <w:lang w:eastAsia="ja-JP"/>
        </w:rPr>
        <w:t xml:space="preserve"> gancikloviro biologinis </w:t>
      </w:r>
      <w:r>
        <w:rPr>
          <w:rFonts w:ascii="Times New Roman" w:eastAsia="Times New Roman" w:hAnsi="Times New Roman"/>
          <w:lang w:eastAsia="ja-JP"/>
        </w:rPr>
        <w:t xml:space="preserve">prieinamumas </w:t>
      </w:r>
      <w:r w:rsidRPr="00F9490A">
        <w:rPr>
          <w:rFonts w:ascii="Times New Roman" w:eastAsia="Times New Roman" w:hAnsi="Times New Roman"/>
          <w:lang w:eastAsia="ja-JP"/>
        </w:rPr>
        <w:t>buvo maždaug 60</w:t>
      </w:r>
      <w:r>
        <w:rPr>
          <w:rFonts w:ascii="Times New Roman" w:eastAsia="Times New Roman" w:hAnsi="Times New Roman"/>
          <w:lang w:eastAsia="ja-JP"/>
        </w:rPr>
        <w:t> </w:t>
      </w:r>
      <w:r w:rsidRPr="00F9490A">
        <w:rPr>
          <w:rFonts w:ascii="Times New Roman" w:eastAsia="Times New Roman" w:hAnsi="Times New Roman"/>
          <w:lang w:eastAsia="ja-JP"/>
        </w:rPr>
        <w:t>%. Gancikloviro AUC</w:t>
      </w:r>
      <w:r w:rsidRPr="00923E43">
        <w:rPr>
          <w:rFonts w:ascii="Times New Roman" w:eastAsia="Times New Roman" w:hAnsi="Times New Roman"/>
          <w:vertAlign w:val="subscript"/>
          <w:lang w:eastAsia="ja-JP"/>
        </w:rPr>
        <w:t xml:space="preserve">0-24h </w:t>
      </w:r>
      <w:r w:rsidRPr="00F9490A">
        <w:rPr>
          <w:rFonts w:ascii="Times New Roman" w:eastAsia="Times New Roman" w:hAnsi="Times New Roman"/>
          <w:lang w:eastAsia="ja-JP"/>
        </w:rPr>
        <w:t>buvo panaš</w:t>
      </w:r>
      <w:r>
        <w:rPr>
          <w:rFonts w:ascii="Times New Roman" w:eastAsia="Times New Roman" w:hAnsi="Times New Roman"/>
          <w:lang w:eastAsia="ja-JP"/>
        </w:rPr>
        <w:t>i</w:t>
      </w:r>
      <w:r w:rsidRPr="00F9490A">
        <w:rPr>
          <w:rFonts w:ascii="Times New Roman" w:eastAsia="Times New Roman" w:hAnsi="Times New Roman"/>
          <w:lang w:eastAsia="ja-JP"/>
        </w:rPr>
        <w:t xml:space="preserve"> į </w:t>
      </w:r>
      <w:r>
        <w:rPr>
          <w:rFonts w:ascii="Times New Roman" w:eastAsia="Times New Roman" w:hAnsi="Times New Roman"/>
          <w:lang w:eastAsia="ja-JP"/>
        </w:rPr>
        <w:t xml:space="preserve">susidariusią </w:t>
      </w:r>
      <w:r w:rsidRPr="00F9490A">
        <w:rPr>
          <w:rFonts w:ascii="Times New Roman" w:eastAsia="Times New Roman" w:hAnsi="Times New Roman"/>
          <w:lang w:eastAsia="ja-JP"/>
        </w:rPr>
        <w:t xml:space="preserve">į veną </w:t>
      </w:r>
      <w:r>
        <w:rPr>
          <w:rFonts w:ascii="Times New Roman" w:eastAsia="Times New Roman" w:hAnsi="Times New Roman"/>
          <w:lang w:eastAsia="ja-JP"/>
        </w:rPr>
        <w:t>suleidus 5 </w:t>
      </w:r>
      <w:r w:rsidRPr="00F9490A">
        <w:rPr>
          <w:rFonts w:ascii="Times New Roman" w:eastAsia="Times New Roman" w:hAnsi="Times New Roman"/>
          <w:lang w:eastAsia="ja-JP"/>
        </w:rPr>
        <w:t xml:space="preserve">mg / kg gancikloviro </w:t>
      </w:r>
      <w:r>
        <w:rPr>
          <w:rFonts w:ascii="Times New Roman" w:eastAsia="Times New Roman" w:hAnsi="Times New Roman"/>
          <w:lang w:eastAsia="ja-JP"/>
        </w:rPr>
        <w:t xml:space="preserve">dozę </w:t>
      </w:r>
      <w:r w:rsidRPr="00F9490A">
        <w:rPr>
          <w:rFonts w:ascii="Times New Roman" w:eastAsia="Times New Roman" w:hAnsi="Times New Roman"/>
          <w:lang w:eastAsia="ja-JP"/>
        </w:rPr>
        <w:t>p</w:t>
      </w:r>
      <w:r>
        <w:rPr>
          <w:rFonts w:ascii="Times New Roman" w:eastAsia="Times New Roman" w:hAnsi="Times New Roman"/>
          <w:lang w:eastAsia="ja-JP"/>
        </w:rPr>
        <w:t>acientams po</w:t>
      </w:r>
      <w:r w:rsidRPr="00F9490A">
        <w:rPr>
          <w:rFonts w:ascii="Times New Roman" w:eastAsia="Times New Roman" w:hAnsi="Times New Roman"/>
          <w:lang w:eastAsia="ja-JP"/>
        </w:rPr>
        <w:t xml:space="preserve"> kepenų persodinimo</w:t>
      </w:r>
      <w:r>
        <w:rPr>
          <w:rFonts w:ascii="Times New Roman" w:eastAsia="Times New Roman" w:hAnsi="Times New Roman"/>
          <w:lang w:eastAsia="ja-JP"/>
        </w:rPr>
        <w:t xml:space="preserve"> operacijos.</w:t>
      </w:r>
    </w:p>
    <w:p w14:paraId="7119F14F" w14:textId="77777777" w:rsidR="00E850F6" w:rsidRPr="00D600DA" w:rsidRDefault="00E850F6" w:rsidP="00E850F6">
      <w:pPr>
        <w:spacing w:after="0" w:line="240" w:lineRule="auto"/>
        <w:rPr>
          <w:rFonts w:ascii="Times New Roman" w:hAnsi="Times New Roman"/>
          <w:lang w:eastAsia="ja-JP"/>
        </w:rPr>
      </w:pPr>
    </w:p>
    <w:p w14:paraId="0B4B4988" w14:textId="77777777" w:rsidR="00E850F6" w:rsidRPr="00D600DA" w:rsidRDefault="00E850F6" w:rsidP="00E850F6">
      <w:pPr>
        <w:spacing w:after="0" w:line="240" w:lineRule="auto"/>
        <w:rPr>
          <w:rFonts w:ascii="Times New Roman" w:hAnsi="Times New Roman"/>
          <w:i/>
          <w:lang w:eastAsia="ja-JP"/>
        </w:rPr>
      </w:pPr>
      <w:r w:rsidRPr="00D600DA">
        <w:rPr>
          <w:rFonts w:ascii="Times New Roman" w:hAnsi="Times New Roman"/>
          <w:i/>
          <w:lang w:eastAsia="ja-JP"/>
        </w:rPr>
        <w:t>Pacientams, kurių kepenų veikla sutrikusi</w:t>
      </w:r>
    </w:p>
    <w:p w14:paraId="62509430"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lastRenderedPageBreak/>
        <w:t>Pacientų, kurių kepenų veikla sutrikusi, gydymo Valcyte saugumas ir veiksmingumas netirtas. Dėl kepenų nepakankamumo gancikloviro farmakokinetika neturėtų kisti, nes vaistas pasišalina per inkstus, todėl atskirų rekomendacijų šiems pacientams neteikiama.</w:t>
      </w:r>
    </w:p>
    <w:p w14:paraId="4851CE9A" w14:textId="77777777" w:rsidR="00E850F6" w:rsidRPr="00D600DA" w:rsidRDefault="00E850F6" w:rsidP="00E850F6">
      <w:pPr>
        <w:spacing w:after="0" w:line="240" w:lineRule="auto"/>
        <w:rPr>
          <w:rFonts w:ascii="Times New Roman" w:eastAsia="Times New Roman" w:hAnsi="Times New Roman"/>
          <w:lang w:eastAsia="ja-JP"/>
        </w:rPr>
      </w:pPr>
    </w:p>
    <w:p w14:paraId="056FC9A2" w14:textId="77777777" w:rsidR="00E850F6" w:rsidRPr="00D600DA" w:rsidRDefault="00E850F6" w:rsidP="00E850F6">
      <w:pPr>
        <w:spacing w:after="0" w:line="240" w:lineRule="auto"/>
        <w:rPr>
          <w:rFonts w:ascii="Times New Roman" w:eastAsia="Times New Roman" w:hAnsi="Times New Roman"/>
          <w:i/>
          <w:lang w:eastAsia="ja-JP"/>
        </w:rPr>
      </w:pPr>
      <w:r w:rsidRPr="00D600DA">
        <w:rPr>
          <w:rFonts w:ascii="Times New Roman" w:eastAsia="Times New Roman" w:hAnsi="Times New Roman"/>
          <w:i/>
          <w:lang w:eastAsia="ja-JP"/>
        </w:rPr>
        <w:t>Cistine fibroze sergantys pacientai</w:t>
      </w:r>
    </w:p>
    <w:p w14:paraId="2C96FD9B" w14:textId="77777777" w:rsidR="00E850F6" w:rsidRPr="00D600DA" w:rsidRDefault="00E850F6" w:rsidP="00E850F6">
      <w:pPr>
        <w:spacing w:after="0" w:line="240" w:lineRule="auto"/>
        <w:rPr>
          <w:rFonts w:ascii="Times New Roman" w:eastAsia="Times New Roman" w:hAnsi="Times New Roman"/>
          <w:lang w:eastAsia="ja-JP"/>
        </w:rPr>
      </w:pPr>
      <w:r w:rsidRPr="00D600DA">
        <w:rPr>
          <w:rFonts w:ascii="Times New Roman" w:eastAsia="Times New Roman" w:hAnsi="Times New Roman"/>
          <w:lang w:eastAsia="ja-JP"/>
        </w:rPr>
        <w:t>I fazės farmakokinetikos klinikinio tyrimo metu 31 persodintus plaučius turinčiam ir cistine fibroze (CF) sirgusiam arba ja nesirgusiam pacientui (16 CF sirgusių ir 15 CF nesirgusių tiriamųjų) buvo taikyta profilaktika po transplantacijos Valcyte 900 mg doze per parą. Šis tyrimas parodė, kad cistinė fibrozė bendrajai vidutinei sisteminei ekspozicijai gancikloviru persodintus plaučius turinčių pacientų organizme statistiškai reikšmingos įtakos neturėjo. Ekspozicija gancikloviru persodintus plaučius turinčių pacientų organizme buvo panaši į tą, kuri, kaip buvo įrodyta, yra veiksminga CMV sukeltos ligos profilaktikai kitokį persodintą solidinį organą turintiems pacientams.</w:t>
      </w:r>
    </w:p>
    <w:p w14:paraId="378BEE2A" w14:textId="77777777" w:rsidR="00E850F6" w:rsidRPr="00D600DA" w:rsidRDefault="00E850F6" w:rsidP="00E850F6">
      <w:pPr>
        <w:spacing w:after="0" w:line="240" w:lineRule="auto"/>
        <w:rPr>
          <w:rFonts w:ascii="Times New Roman" w:hAnsi="Times New Roman"/>
          <w:lang w:eastAsia="ja-JP"/>
        </w:rPr>
      </w:pPr>
    </w:p>
    <w:p w14:paraId="0E3C8658" w14:textId="77777777" w:rsidR="00E850F6" w:rsidRPr="00D600DA" w:rsidRDefault="00E850F6" w:rsidP="00E850F6">
      <w:pPr>
        <w:spacing w:after="0" w:line="240" w:lineRule="auto"/>
        <w:ind w:left="567" w:hanging="567"/>
        <w:outlineLvl w:val="1"/>
        <w:rPr>
          <w:rFonts w:ascii="Times New Roman" w:hAnsi="Times New Roman"/>
          <w:b/>
          <w:kern w:val="28"/>
          <w:lang w:eastAsia="ja-JP"/>
        </w:rPr>
      </w:pPr>
      <w:r w:rsidRPr="00D600DA">
        <w:rPr>
          <w:rFonts w:ascii="Times New Roman" w:hAnsi="Times New Roman"/>
          <w:b/>
          <w:kern w:val="28"/>
          <w:lang w:eastAsia="ja-JP"/>
        </w:rPr>
        <w:t>5.3</w:t>
      </w:r>
      <w:r w:rsidRPr="00D600DA">
        <w:rPr>
          <w:rFonts w:ascii="Times New Roman" w:hAnsi="Times New Roman"/>
          <w:b/>
          <w:kern w:val="28"/>
          <w:lang w:eastAsia="ja-JP"/>
        </w:rPr>
        <w:tab/>
        <w:t>Ikiklinikinių saugumo tyrimų duomenys</w:t>
      </w:r>
    </w:p>
    <w:p w14:paraId="42FAA394" w14:textId="77777777" w:rsidR="00E850F6" w:rsidRPr="00D600DA" w:rsidRDefault="00E850F6" w:rsidP="00E850F6">
      <w:pPr>
        <w:spacing w:after="0" w:line="240" w:lineRule="auto"/>
        <w:rPr>
          <w:rFonts w:ascii="Times New Roman" w:hAnsi="Times New Roman"/>
          <w:lang w:eastAsia="ja-JP"/>
        </w:rPr>
      </w:pPr>
    </w:p>
    <w:p w14:paraId="246234CB" w14:textId="77777777" w:rsidR="0032225B" w:rsidRPr="0032225B" w:rsidRDefault="00E850F6" w:rsidP="00D660E2">
      <w:pPr>
        <w:spacing w:after="0" w:line="240" w:lineRule="auto"/>
        <w:rPr>
          <w:rFonts w:ascii="Times New Roman" w:hAnsi="Times New Roman"/>
          <w:lang w:eastAsia="ja-JP"/>
        </w:rPr>
      </w:pPr>
      <w:r w:rsidRPr="00D600DA">
        <w:rPr>
          <w:rFonts w:ascii="Times New Roman" w:hAnsi="Times New Roman"/>
          <w:lang w:eastAsia="ja-JP"/>
        </w:rPr>
        <w:t xml:space="preserve">Valgancikloviras yra gancikloviro pirmtakas, todėl tai, kas žinoma apie gancikloviro poveikį, tinka ir valganciklovirui. </w:t>
      </w:r>
      <w:r w:rsidR="0032225B">
        <w:rPr>
          <w:rFonts w:ascii="Times New Roman" w:hAnsi="Times New Roman"/>
          <w:lang w:eastAsia="ja-JP"/>
        </w:rPr>
        <w:t>I</w:t>
      </w:r>
      <w:r w:rsidR="0032225B" w:rsidRPr="0032225B">
        <w:rPr>
          <w:rFonts w:ascii="Times New Roman" w:hAnsi="Times New Roman"/>
          <w:lang w:eastAsia="ja-JP"/>
        </w:rPr>
        <w:t>kiklinikini</w:t>
      </w:r>
      <w:r w:rsidR="0032225B">
        <w:rPr>
          <w:rFonts w:ascii="Times New Roman" w:hAnsi="Times New Roman"/>
          <w:lang w:eastAsia="ja-JP"/>
        </w:rPr>
        <w:t>ų</w:t>
      </w:r>
      <w:r w:rsidR="0032225B" w:rsidRPr="0032225B">
        <w:rPr>
          <w:rFonts w:ascii="Times New Roman" w:hAnsi="Times New Roman"/>
          <w:lang w:eastAsia="ja-JP"/>
        </w:rPr>
        <w:t xml:space="preserve"> saugumo tyrim</w:t>
      </w:r>
      <w:r w:rsidR="0032225B">
        <w:rPr>
          <w:rFonts w:ascii="Times New Roman" w:hAnsi="Times New Roman"/>
          <w:lang w:eastAsia="ja-JP"/>
        </w:rPr>
        <w:t>ų met</w:t>
      </w:r>
      <w:r w:rsidR="0032225B" w:rsidRPr="0032225B">
        <w:rPr>
          <w:rFonts w:ascii="Times New Roman" w:hAnsi="Times New Roman"/>
          <w:lang w:eastAsia="ja-JP"/>
        </w:rPr>
        <w:t xml:space="preserve">u </w:t>
      </w:r>
      <w:r w:rsidR="0032225B">
        <w:rPr>
          <w:rFonts w:ascii="Times New Roman" w:hAnsi="Times New Roman"/>
          <w:lang w:eastAsia="ja-JP"/>
        </w:rPr>
        <w:t>v</w:t>
      </w:r>
      <w:r w:rsidR="0032225B" w:rsidRPr="0032225B">
        <w:rPr>
          <w:rFonts w:ascii="Times New Roman" w:hAnsi="Times New Roman"/>
          <w:lang w:eastAsia="ja-JP"/>
        </w:rPr>
        <w:t>algancikloviro toksinis poveikis buvo toks pat, kaip ir ganciklovir</w:t>
      </w:r>
      <w:r w:rsidR="0032225B">
        <w:rPr>
          <w:rFonts w:ascii="Times New Roman" w:hAnsi="Times New Roman"/>
          <w:lang w:eastAsia="ja-JP"/>
        </w:rPr>
        <w:t>o</w:t>
      </w:r>
      <w:r w:rsidR="0032225B" w:rsidRPr="0032225B">
        <w:rPr>
          <w:rFonts w:ascii="Times New Roman" w:hAnsi="Times New Roman"/>
          <w:lang w:eastAsia="ja-JP"/>
        </w:rPr>
        <w:t xml:space="preserve">, </w:t>
      </w:r>
      <w:r w:rsidR="006149C5">
        <w:rPr>
          <w:rFonts w:ascii="Times New Roman" w:hAnsi="Times New Roman"/>
          <w:lang w:eastAsia="ja-JP"/>
        </w:rPr>
        <w:t>ir p</w:t>
      </w:r>
      <w:r w:rsidR="0032225B">
        <w:rPr>
          <w:rFonts w:ascii="Times New Roman" w:hAnsi="Times New Roman"/>
          <w:lang w:eastAsia="ja-JP"/>
        </w:rPr>
        <w:t>asireik</w:t>
      </w:r>
      <w:r w:rsidR="006149C5">
        <w:rPr>
          <w:rFonts w:ascii="Times New Roman" w:hAnsi="Times New Roman"/>
          <w:lang w:eastAsia="ja-JP"/>
        </w:rPr>
        <w:t>šdavo</w:t>
      </w:r>
      <w:r w:rsidR="0032225B">
        <w:rPr>
          <w:rFonts w:ascii="Times New Roman" w:hAnsi="Times New Roman"/>
          <w:lang w:eastAsia="ja-JP"/>
        </w:rPr>
        <w:t xml:space="preserve">, kai </w:t>
      </w:r>
      <w:r w:rsidR="0032225B" w:rsidRPr="0032225B">
        <w:rPr>
          <w:rFonts w:ascii="Times New Roman" w:hAnsi="Times New Roman"/>
          <w:lang w:eastAsia="ja-JP"/>
        </w:rPr>
        <w:t xml:space="preserve">ekspozicija </w:t>
      </w:r>
      <w:r w:rsidR="0032225B">
        <w:rPr>
          <w:rFonts w:ascii="Times New Roman" w:hAnsi="Times New Roman"/>
          <w:lang w:eastAsia="ja-JP"/>
        </w:rPr>
        <w:t>gancikloviru</w:t>
      </w:r>
      <w:r w:rsidR="0032225B" w:rsidRPr="0032225B">
        <w:rPr>
          <w:rFonts w:ascii="Times New Roman" w:hAnsi="Times New Roman"/>
          <w:lang w:eastAsia="ja-JP"/>
        </w:rPr>
        <w:t xml:space="preserve"> buvo tokia pat ar mažesnė</w:t>
      </w:r>
      <w:r w:rsidR="0032225B">
        <w:rPr>
          <w:rFonts w:ascii="Times New Roman" w:hAnsi="Times New Roman"/>
          <w:lang w:eastAsia="ja-JP"/>
        </w:rPr>
        <w:t>,</w:t>
      </w:r>
      <w:r w:rsidR="0032225B" w:rsidRPr="0032225B">
        <w:rPr>
          <w:rFonts w:ascii="Times New Roman" w:hAnsi="Times New Roman"/>
          <w:lang w:eastAsia="ja-JP"/>
        </w:rPr>
        <w:t xml:space="preserve"> kaip ir </w:t>
      </w:r>
      <w:r w:rsidR="006149C5">
        <w:rPr>
          <w:rFonts w:ascii="Times New Roman" w:hAnsi="Times New Roman"/>
          <w:lang w:eastAsia="ja-JP"/>
        </w:rPr>
        <w:t>žmogui skiriant</w:t>
      </w:r>
      <w:r w:rsidR="006149C5" w:rsidRPr="0032225B">
        <w:rPr>
          <w:rFonts w:ascii="Times New Roman" w:hAnsi="Times New Roman"/>
          <w:lang w:eastAsia="ja-JP"/>
        </w:rPr>
        <w:t xml:space="preserve"> </w:t>
      </w:r>
      <w:r w:rsidR="0032225B" w:rsidRPr="0032225B">
        <w:rPr>
          <w:rFonts w:ascii="Times New Roman" w:hAnsi="Times New Roman"/>
          <w:lang w:eastAsia="ja-JP"/>
        </w:rPr>
        <w:t>indukcin</w:t>
      </w:r>
      <w:r w:rsidR="006149C5">
        <w:rPr>
          <w:rFonts w:ascii="Times New Roman" w:hAnsi="Times New Roman"/>
          <w:lang w:eastAsia="ja-JP"/>
        </w:rPr>
        <w:t>ę</w:t>
      </w:r>
      <w:r w:rsidR="0032225B" w:rsidRPr="0032225B">
        <w:rPr>
          <w:rFonts w:ascii="Times New Roman" w:hAnsi="Times New Roman"/>
          <w:lang w:eastAsia="ja-JP"/>
        </w:rPr>
        <w:t xml:space="preserve"> doz</w:t>
      </w:r>
      <w:r w:rsidR="006149C5">
        <w:rPr>
          <w:rFonts w:ascii="Times New Roman" w:hAnsi="Times New Roman"/>
          <w:lang w:eastAsia="ja-JP"/>
        </w:rPr>
        <w:t>ę</w:t>
      </w:r>
      <w:r w:rsidR="0032225B" w:rsidRPr="0032225B">
        <w:rPr>
          <w:rFonts w:ascii="Times New Roman" w:hAnsi="Times New Roman"/>
          <w:lang w:eastAsia="ja-JP"/>
        </w:rPr>
        <w:t>.</w:t>
      </w:r>
    </w:p>
    <w:p w14:paraId="669002EC" w14:textId="77777777" w:rsidR="0032225B" w:rsidRPr="0032225B" w:rsidRDefault="0032225B" w:rsidP="00D660E2">
      <w:pPr>
        <w:spacing w:after="0" w:line="240" w:lineRule="auto"/>
        <w:rPr>
          <w:rFonts w:ascii="Times New Roman" w:hAnsi="Times New Roman"/>
          <w:lang w:eastAsia="ja-JP"/>
        </w:rPr>
      </w:pPr>
    </w:p>
    <w:p w14:paraId="3DCCF3E6" w14:textId="77777777" w:rsidR="0032225B" w:rsidRDefault="0032225B" w:rsidP="00D660E2">
      <w:pPr>
        <w:spacing w:after="0" w:line="240" w:lineRule="auto"/>
        <w:rPr>
          <w:rFonts w:ascii="Times New Roman" w:hAnsi="Times New Roman"/>
          <w:lang w:eastAsia="ja-JP"/>
        </w:rPr>
      </w:pPr>
      <w:r>
        <w:rPr>
          <w:rFonts w:ascii="Times New Roman" w:hAnsi="Times New Roman"/>
          <w:lang w:eastAsia="ja-JP"/>
        </w:rPr>
        <w:t>Minėti radiniai</w:t>
      </w:r>
      <w:r w:rsidRPr="0032225B">
        <w:rPr>
          <w:rFonts w:ascii="Times New Roman" w:hAnsi="Times New Roman"/>
          <w:lang w:eastAsia="ja-JP"/>
        </w:rPr>
        <w:t xml:space="preserve"> buvo </w:t>
      </w:r>
      <w:r w:rsidR="006149C5">
        <w:rPr>
          <w:rFonts w:ascii="Times New Roman" w:hAnsi="Times New Roman"/>
          <w:lang w:eastAsia="ja-JP"/>
        </w:rPr>
        <w:t>t</w:t>
      </w:r>
      <w:r w:rsidRPr="0032225B">
        <w:rPr>
          <w:rFonts w:ascii="Times New Roman" w:hAnsi="Times New Roman"/>
          <w:lang w:eastAsia="ja-JP"/>
        </w:rPr>
        <w:t>oksi</w:t>
      </w:r>
      <w:r w:rsidR="006149C5">
        <w:rPr>
          <w:rFonts w:ascii="Times New Roman" w:hAnsi="Times New Roman"/>
          <w:lang w:eastAsia="ja-JP"/>
        </w:rPr>
        <w:t>nis poveikis gonadoms</w:t>
      </w:r>
      <w:r w:rsidRPr="0032225B">
        <w:rPr>
          <w:rFonts w:ascii="Times New Roman" w:hAnsi="Times New Roman"/>
          <w:lang w:eastAsia="ja-JP"/>
        </w:rPr>
        <w:t xml:space="preserve"> (sėklidžių ląstelių </w:t>
      </w:r>
      <w:r w:rsidR="006149C5">
        <w:rPr>
          <w:rFonts w:ascii="Times New Roman" w:hAnsi="Times New Roman"/>
          <w:lang w:eastAsia="ja-JP"/>
        </w:rPr>
        <w:t>netekim</w:t>
      </w:r>
      <w:r w:rsidRPr="0032225B">
        <w:rPr>
          <w:rFonts w:ascii="Times New Roman" w:hAnsi="Times New Roman"/>
          <w:lang w:eastAsia="ja-JP"/>
        </w:rPr>
        <w:t>as) ir toksi</w:t>
      </w:r>
      <w:r w:rsidR="006149C5">
        <w:rPr>
          <w:rFonts w:ascii="Times New Roman" w:hAnsi="Times New Roman"/>
          <w:lang w:eastAsia="ja-JP"/>
        </w:rPr>
        <w:t>nis poveikis inkstam</w:t>
      </w:r>
      <w:r w:rsidRPr="0032225B">
        <w:rPr>
          <w:rFonts w:ascii="Times New Roman" w:hAnsi="Times New Roman"/>
          <w:lang w:eastAsia="ja-JP"/>
        </w:rPr>
        <w:t>s (uremija, ląstelių degeneracija), kurie buvo negrįžtami</w:t>
      </w:r>
      <w:r w:rsidR="006149C5">
        <w:rPr>
          <w:rFonts w:ascii="Times New Roman" w:hAnsi="Times New Roman"/>
          <w:lang w:eastAsia="ja-JP"/>
        </w:rPr>
        <w:t>, bei</w:t>
      </w:r>
      <w:r w:rsidRPr="0032225B">
        <w:rPr>
          <w:rFonts w:ascii="Times New Roman" w:hAnsi="Times New Roman"/>
          <w:lang w:eastAsia="ja-JP"/>
        </w:rPr>
        <w:t xml:space="preserve"> </w:t>
      </w:r>
      <w:r w:rsidR="00384AE9">
        <w:rPr>
          <w:rFonts w:ascii="Times New Roman" w:hAnsi="Times New Roman"/>
          <w:lang w:eastAsia="ja-JP"/>
        </w:rPr>
        <w:t>t</w:t>
      </w:r>
      <w:r w:rsidRPr="0032225B">
        <w:rPr>
          <w:rFonts w:ascii="Times New Roman" w:hAnsi="Times New Roman"/>
          <w:lang w:eastAsia="ja-JP"/>
        </w:rPr>
        <w:t>oksi</w:t>
      </w:r>
      <w:r w:rsidR="00384AE9">
        <w:rPr>
          <w:rFonts w:ascii="Times New Roman" w:hAnsi="Times New Roman"/>
          <w:lang w:eastAsia="ja-JP"/>
        </w:rPr>
        <w:t>ni</w:t>
      </w:r>
      <w:r w:rsidRPr="0032225B">
        <w:rPr>
          <w:rFonts w:ascii="Times New Roman" w:hAnsi="Times New Roman"/>
          <w:lang w:eastAsia="ja-JP"/>
        </w:rPr>
        <w:t>s</w:t>
      </w:r>
      <w:r w:rsidR="00384AE9">
        <w:rPr>
          <w:rFonts w:ascii="Times New Roman" w:hAnsi="Times New Roman"/>
          <w:lang w:eastAsia="ja-JP"/>
        </w:rPr>
        <w:t xml:space="preserve"> poveikis kaulų čiulpams</w:t>
      </w:r>
      <w:r w:rsidRPr="0032225B">
        <w:rPr>
          <w:rFonts w:ascii="Times New Roman" w:hAnsi="Times New Roman"/>
          <w:lang w:eastAsia="ja-JP"/>
        </w:rPr>
        <w:t xml:space="preserve"> (anemija, neutropenija, limfocitopenija) ir toksinis poveikis virškinimo trakt</w:t>
      </w:r>
      <w:r w:rsidR="00384AE9">
        <w:rPr>
          <w:rFonts w:ascii="Times New Roman" w:hAnsi="Times New Roman"/>
          <w:lang w:eastAsia="ja-JP"/>
        </w:rPr>
        <w:t>ui</w:t>
      </w:r>
      <w:r w:rsidRPr="0032225B">
        <w:rPr>
          <w:rFonts w:ascii="Times New Roman" w:hAnsi="Times New Roman"/>
          <w:lang w:eastAsia="ja-JP"/>
        </w:rPr>
        <w:t xml:space="preserve"> (gleivinės ląstelių nekrozė), kurie buvo grįžtami.</w:t>
      </w:r>
    </w:p>
    <w:p w14:paraId="7AB58210" w14:textId="77777777" w:rsidR="0032225B" w:rsidRDefault="0032225B" w:rsidP="00D660E2">
      <w:pPr>
        <w:spacing w:after="0" w:line="240" w:lineRule="auto"/>
        <w:rPr>
          <w:rFonts w:ascii="Times New Roman" w:hAnsi="Times New Roman"/>
          <w:lang w:eastAsia="ja-JP"/>
        </w:rPr>
      </w:pPr>
    </w:p>
    <w:p w14:paraId="204B92E8" w14:textId="77777777" w:rsidR="00E850F6" w:rsidRPr="0044356C" w:rsidRDefault="00E850F6" w:rsidP="00D660E2">
      <w:pPr>
        <w:spacing w:after="0" w:line="240" w:lineRule="auto"/>
        <w:rPr>
          <w:rFonts w:ascii="Times New Roman" w:eastAsia="Times New Roman" w:hAnsi="Times New Roman"/>
          <w:lang w:eastAsia="ja-JP"/>
        </w:rPr>
      </w:pPr>
      <w:r w:rsidRPr="0044356C">
        <w:rPr>
          <w:rFonts w:ascii="Times New Roman" w:eastAsia="Times New Roman" w:hAnsi="Times New Roman"/>
          <w:lang w:eastAsia="ja-JP"/>
        </w:rPr>
        <w:t xml:space="preserve">Gancikloviras pasižymi mutageniniu poveikiu pelių </w:t>
      </w:r>
      <w:r w:rsidR="0032225B">
        <w:rPr>
          <w:rFonts w:ascii="Times New Roman" w:eastAsia="Times New Roman" w:hAnsi="Times New Roman"/>
          <w:lang w:eastAsia="ja-JP"/>
        </w:rPr>
        <w:t xml:space="preserve">limfomos </w:t>
      </w:r>
      <w:r w:rsidRPr="0044356C">
        <w:rPr>
          <w:rFonts w:ascii="Times New Roman" w:eastAsia="Times New Roman" w:hAnsi="Times New Roman"/>
          <w:lang w:eastAsia="ja-JP"/>
        </w:rPr>
        <w:t>ląstelėms bei klastogeniniu poveikiu žinduolių ląstelėms. Gancikloviro kancerogeninio poveikio tyrimuose su pelėmis gauti rezultatai yra tokie patys. Gancikloviras laikomas potencialiu kancerogenu.</w:t>
      </w:r>
    </w:p>
    <w:p w14:paraId="0E4F81C3" w14:textId="77777777" w:rsidR="00E850F6" w:rsidRPr="0044356C" w:rsidRDefault="00E850F6" w:rsidP="00D660E2">
      <w:pPr>
        <w:spacing w:after="0" w:line="240" w:lineRule="auto"/>
        <w:rPr>
          <w:rFonts w:ascii="Times New Roman" w:eastAsia="Times New Roman" w:hAnsi="Times New Roman"/>
          <w:lang w:eastAsia="ja-JP"/>
        </w:rPr>
      </w:pPr>
    </w:p>
    <w:p w14:paraId="1B31C127" w14:textId="77777777" w:rsidR="00E850F6" w:rsidRDefault="006149C5" w:rsidP="00D660E2">
      <w:pPr>
        <w:spacing w:after="0" w:line="240" w:lineRule="auto"/>
        <w:rPr>
          <w:rFonts w:ascii="Times New Roman" w:eastAsia="Times New Roman" w:hAnsi="Times New Roman"/>
          <w:lang w:eastAsia="ja-JP"/>
        </w:rPr>
      </w:pPr>
      <w:r>
        <w:rPr>
          <w:rFonts w:ascii="Times New Roman" w:eastAsia="Times New Roman" w:hAnsi="Times New Roman"/>
          <w:lang w:eastAsia="ja-JP"/>
        </w:rPr>
        <w:t>Vėliau atlikti</w:t>
      </w:r>
      <w:r w:rsidR="00384AE9" w:rsidRPr="00384AE9">
        <w:rPr>
          <w:rFonts w:ascii="Times New Roman" w:eastAsia="Times New Roman" w:hAnsi="Times New Roman"/>
          <w:lang w:eastAsia="ja-JP"/>
        </w:rPr>
        <w:t xml:space="preserve"> tyrimai </w:t>
      </w:r>
      <w:r w:rsidR="00384AE9">
        <w:rPr>
          <w:rFonts w:ascii="Times New Roman" w:eastAsia="Times New Roman" w:hAnsi="Times New Roman"/>
          <w:lang w:eastAsia="ja-JP"/>
        </w:rPr>
        <w:t>į</w:t>
      </w:r>
      <w:r w:rsidR="00384AE9" w:rsidRPr="00384AE9">
        <w:rPr>
          <w:rFonts w:ascii="Times New Roman" w:eastAsia="Times New Roman" w:hAnsi="Times New Roman"/>
          <w:lang w:eastAsia="ja-JP"/>
        </w:rPr>
        <w:t>rodė, kad gancikloviras yra teratogeni</w:t>
      </w:r>
      <w:r w:rsidR="00384AE9">
        <w:rPr>
          <w:rFonts w:ascii="Times New Roman" w:eastAsia="Times New Roman" w:hAnsi="Times New Roman"/>
          <w:lang w:eastAsia="ja-JP"/>
        </w:rPr>
        <w:t>ška</w:t>
      </w:r>
      <w:r w:rsidR="00384AE9" w:rsidRPr="00384AE9">
        <w:rPr>
          <w:rFonts w:ascii="Times New Roman" w:eastAsia="Times New Roman" w:hAnsi="Times New Roman"/>
          <w:lang w:eastAsia="ja-JP"/>
        </w:rPr>
        <w:t>s, embriotoksi</w:t>
      </w:r>
      <w:r w:rsidR="00384AE9">
        <w:rPr>
          <w:rFonts w:ascii="Times New Roman" w:eastAsia="Times New Roman" w:hAnsi="Times New Roman"/>
          <w:lang w:eastAsia="ja-JP"/>
        </w:rPr>
        <w:t>ška</w:t>
      </w:r>
      <w:r w:rsidR="00384AE9" w:rsidRPr="00384AE9">
        <w:rPr>
          <w:rFonts w:ascii="Times New Roman" w:eastAsia="Times New Roman" w:hAnsi="Times New Roman"/>
          <w:lang w:eastAsia="ja-JP"/>
        </w:rPr>
        <w:t>s, slopina spermatogenezę (t.</w:t>
      </w:r>
      <w:r>
        <w:rPr>
          <w:rFonts w:ascii="Times New Roman" w:eastAsia="Times New Roman" w:hAnsi="Times New Roman"/>
          <w:lang w:eastAsia="ja-JP"/>
        </w:rPr>
        <w:t xml:space="preserve"> </w:t>
      </w:r>
      <w:r w:rsidR="00384AE9" w:rsidRPr="00384AE9">
        <w:rPr>
          <w:rFonts w:ascii="Times New Roman" w:eastAsia="Times New Roman" w:hAnsi="Times New Roman"/>
          <w:lang w:eastAsia="ja-JP"/>
        </w:rPr>
        <w:t>y., sutrikdo vyrų vaisingumą) ir moterų vaisingumą</w:t>
      </w:r>
      <w:r w:rsidR="00384AE9">
        <w:rPr>
          <w:rFonts w:ascii="Times New Roman" w:eastAsia="Times New Roman" w:hAnsi="Times New Roman"/>
          <w:lang w:eastAsia="ja-JP"/>
        </w:rPr>
        <w:t>.</w:t>
      </w:r>
    </w:p>
    <w:p w14:paraId="5ECBA831" w14:textId="77777777" w:rsidR="00E850F6" w:rsidRDefault="00E850F6" w:rsidP="00D660E2">
      <w:pPr>
        <w:spacing w:after="0" w:line="240" w:lineRule="auto"/>
        <w:rPr>
          <w:rFonts w:ascii="Times New Roman" w:eastAsia="Times New Roman" w:hAnsi="Times New Roman"/>
          <w:lang w:eastAsia="ja-JP"/>
        </w:rPr>
      </w:pPr>
    </w:p>
    <w:p w14:paraId="46005464" w14:textId="77777777" w:rsidR="00E850F6" w:rsidRPr="00D600DA" w:rsidRDefault="00E850F6" w:rsidP="00E850F6">
      <w:pPr>
        <w:spacing w:after="0" w:line="240" w:lineRule="auto"/>
        <w:rPr>
          <w:rFonts w:ascii="Times New Roman" w:hAnsi="Times New Roman"/>
          <w:lang w:eastAsia="ja-JP"/>
        </w:rPr>
      </w:pPr>
      <w:r>
        <w:rPr>
          <w:rFonts w:ascii="Times New Roman" w:eastAsia="Times New Roman" w:hAnsi="Times New Roman"/>
          <w:lang w:eastAsia="ja-JP"/>
        </w:rPr>
        <w:t>Tyrimų su gyvūnais duomenys rodo, kad gancikloviras patenka į žindančių žiurkių pieną</w:t>
      </w:r>
      <w:r w:rsidRPr="00D600DA">
        <w:rPr>
          <w:rFonts w:ascii="Times New Roman" w:hAnsi="Times New Roman"/>
          <w:lang w:eastAsia="ja-JP"/>
        </w:rPr>
        <w:t>.</w:t>
      </w:r>
    </w:p>
    <w:p w14:paraId="15B24C15" w14:textId="77777777" w:rsidR="00E850F6" w:rsidRPr="00D600DA" w:rsidRDefault="00E850F6" w:rsidP="00E850F6">
      <w:pPr>
        <w:spacing w:after="0" w:line="240" w:lineRule="auto"/>
        <w:rPr>
          <w:rFonts w:ascii="Times New Roman" w:hAnsi="Times New Roman"/>
          <w:lang w:eastAsia="ja-JP"/>
        </w:rPr>
      </w:pPr>
    </w:p>
    <w:p w14:paraId="741D8D9A" w14:textId="77777777" w:rsidR="00E850F6" w:rsidRPr="00D600DA" w:rsidRDefault="00E850F6" w:rsidP="00E850F6">
      <w:pPr>
        <w:spacing w:after="0" w:line="240" w:lineRule="auto"/>
        <w:rPr>
          <w:rFonts w:ascii="Times New Roman" w:hAnsi="Times New Roman"/>
          <w:b/>
          <w:lang w:eastAsia="ja-JP"/>
        </w:rPr>
      </w:pPr>
    </w:p>
    <w:p w14:paraId="2CCE5431" w14:textId="77777777" w:rsidR="00E850F6" w:rsidRPr="00D600DA" w:rsidRDefault="00E850F6" w:rsidP="00E850F6">
      <w:pPr>
        <w:keepNext/>
        <w:keepLines/>
        <w:tabs>
          <w:tab w:val="left" w:pos="567"/>
        </w:tabs>
        <w:spacing w:after="0" w:line="240" w:lineRule="auto"/>
        <w:rPr>
          <w:rFonts w:ascii="Times New Roman" w:hAnsi="Times New Roman"/>
          <w:b/>
          <w:lang w:eastAsia="ja-JP"/>
        </w:rPr>
      </w:pPr>
      <w:r w:rsidRPr="00D600DA">
        <w:rPr>
          <w:rFonts w:ascii="Times New Roman" w:hAnsi="Times New Roman"/>
          <w:b/>
          <w:lang w:eastAsia="ja-JP"/>
        </w:rPr>
        <w:t>6.</w:t>
      </w:r>
      <w:r w:rsidRPr="00D600DA">
        <w:rPr>
          <w:rFonts w:ascii="Times New Roman" w:hAnsi="Times New Roman"/>
          <w:b/>
          <w:lang w:eastAsia="ja-JP"/>
        </w:rPr>
        <w:tab/>
        <w:t>FARMACINĖ INFORMACIJA</w:t>
      </w:r>
    </w:p>
    <w:p w14:paraId="0280B066" w14:textId="77777777" w:rsidR="00E850F6" w:rsidRPr="00D600DA" w:rsidRDefault="00E850F6" w:rsidP="00E850F6">
      <w:pPr>
        <w:keepNext/>
        <w:keepLines/>
        <w:spacing w:after="0" w:line="240" w:lineRule="auto"/>
        <w:rPr>
          <w:rFonts w:ascii="Times New Roman" w:hAnsi="Times New Roman"/>
          <w:lang w:eastAsia="ja-JP"/>
        </w:rPr>
      </w:pPr>
    </w:p>
    <w:p w14:paraId="1DFBEF4E" w14:textId="77777777" w:rsidR="00E850F6" w:rsidRPr="00D600DA" w:rsidRDefault="00E850F6" w:rsidP="00E850F6">
      <w:pPr>
        <w:keepNext/>
        <w:keepLines/>
        <w:spacing w:after="0" w:line="240" w:lineRule="auto"/>
        <w:ind w:left="567" w:hanging="567"/>
        <w:outlineLvl w:val="1"/>
        <w:rPr>
          <w:rFonts w:ascii="Times New Roman" w:hAnsi="Times New Roman"/>
          <w:b/>
          <w:kern w:val="28"/>
          <w:lang w:eastAsia="ja-JP"/>
        </w:rPr>
      </w:pPr>
      <w:r w:rsidRPr="00D600DA">
        <w:rPr>
          <w:rFonts w:ascii="Times New Roman" w:hAnsi="Times New Roman"/>
          <w:b/>
          <w:kern w:val="28"/>
          <w:lang w:eastAsia="ja-JP"/>
        </w:rPr>
        <w:t>6.1</w:t>
      </w:r>
      <w:r w:rsidRPr="00D600DA">
        <w:rPr>
          <w:rFonts w:ascii="Times New Roman" w:hAnsi="Times New Roman"/>
          <w:b/>
          <w:kern w:val="28"/>
          <w:lang w:eastAsia="ja-JP"/>
        </w:rPr>
        <w:tab/>
        <w:t>Pagalbinių medžiagų sąrašas</w:t>
      </w:r>
    </w:p>
    <w:p w14:paraId="65184A4B" w14:textId="77777777" w:rsidR="00E850F6" w:rsidRPr="00D600DA" w:rsidRDefault="00E850F6" w:rsidP="00E850F6">
      <w:pPr>
        <w:keepNext/>
        <w:keepLines/>
        <w:spacing w:after="0" w:line="240" w:lineRule="auto"/>
        <w:rPr>
          <w:rFonts w:ascii="Times New Roman" w:hAnsi="Times New Roman"/>
          <w:lang w:eastAsia="ja-JP"/>
        </w:rPr>
      </w:pPr>
    </w:p>
    <w:p w14:paraId="6FE7109C" w14:textId="77777777" w:rsidR="00E850F6" w:rsidRPr="00D600DA" w:rsidRDefault="00E850F6" w:rsidP="00E850F6">
      <w:pPr>
        <w:keepNext/>
        <w:keepLines/>
        <w:tabs>
          <w:tab w:val="left" w:pos="2835"/>
        </w:tabs>
        <w:spacing w:after="0" w:line="240" w:lineRule="auto"/>
        <w:outlineLvl w:val="3"/>
        <w:rPr>
          <w:rFonts w:ascii="Times New Roman" w:hAnsi="Times New Roman"/>
          <w:lang w:eastAsia="ja-JP"/>
        </w:rPr>
      </w:pPr>
      <w:r w:rsidRPr="00D600DA">
        <w:rPr>
          <w:rFonts w:ascii="Times New Roman" w:hAnsi="Times New Roman"/>
          <w:lang w:eastAsia="ja-JP"/>
        </w:rPr>
        <w:t>Povidonas</w:t>
      </w:r>
    </w:p>
    <w:p w14:paraId="0E752A0F" w14:textId="77777777" w:rsidR="00E850F6" w:rsidRPr="00D600DA" w:rsidRDefault="00E850F6" w:rsidP="00E850F6">
      <w:pPr>
        <w:keepNext/>
        <w:tabs>
          <w:tab w:val="left" w:pos="2835"/>
        </w:tabs>
        <w:spacing w:after="0" w:line="240" w:lineRule="auto"/>
        <w:outlineLvl w:val="3"/>
        <w:rPr>
          <w:rFonts w:ascii="Times New Roman" w:hAnsi="Times New Roman"/>
          <w:lang w:eastAsia="ja-JP"/>
        </w:rPr>
      </w:pPr>
      <w:r w:rsidRPr="00D600DA">
        <w:rPr>
          <w:rFonts w:ascii="Times New Roman" w:hAnsi="Times New Roman"/>
          <w:lang w:eastAsia="ja-JP"/>
        </w:rPr>
        <w:t>Fumaro rūgštis</w:t>
      </w:r>
    </w:p>
    <w:p w14:paraId="3FDB3ED1"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Natrio benzoatas (E211)</w:t>
      </w:r>
    </w:p>
    <w:p w14:paraId="5905A8B3"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Sacharino natrio druska</w:t>
      </w:r>
    </w:p>
    <w:p w14:paraId="4925AD86"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Manitolis</w:t>
      </w:r>
    </w:p>
    <w:p w14:paraId="457EC6FF" w14:textId="77777777" w:rsidR="00E850F6" w:rsidRPr="00D600DA" w:rsidRDefault="00E850F6" w:rsidP="00E850F6">
      <w:pPr>
        <w:spacing w:after="0" w:line="240" w:lineRule="auto"/>
        <w:rPr>
          <w:rFonts w:ascii="Times New Roman" w:hAnsi="Times New Roman"/>
          <w:lang w:eastAsia="ja-JP"/>
        </w:rPr>
      </w:pPr>
    </w:p>
    <w:p w14:paraId="2BA4EBE5" w14:textId="77777777" w:rsidR="00E850F6" w:rsidRPr="00D600DA" w:rsidRDefault="00E850F6" w:rsidP="00E850F6">
      <w:pPr>
        <w:tabs>
          <w:tab w:val="left" w:pos="2835"/>
        </w:tabs>
        <w:spacing w:after="0" w:line="240" w:lineRule="auto"/>
        <w:rPr>
          <w:rFonts w:ascii="Times New Roman" w:hAnsi="Times New Roman"/>
          <w:lang w:eastAsia="ja-JP"/>
        </w:rPr>
      </w:pPr>
      <w:r w:rsidRPr="00D600DA">
        <w:rPr>
          <w:rFonts w:ascii="Times New Roman" w:hAnsi="Times New Roman"/>
          <w:i/>
          <w:lang w:eastAsia="ja-JP"/>
        </w:rPr>
        <w:t>Tutti-frutti</w:t>
      </w:r>
      <w:r w:rsidRPr="00D600DA">
        <w:rPr>
          <w:rFonts w:ascii="Times New Roman" w:hAnsi="Times New Roman"/>
          <w:lang w:eastAsia="ja-JP"/>
        </w:rPr>
        <w:t xml:space="preserve"> aromatinė medžiaga:</w:t>
      </w:r>
    </w:p>
    <w:p w14:paraId="70FA8010" w14:textId="77777777" w:rsidR="00E850F6" w:rsidRPr="00D600DA" w:rsidRDefault="00E850F6" w:rsidP="00E850F6">
      <w:pPr>
        <w:tabs>
          <w:tab w:val="left" w:pos="2835"/>
        </w:tabs>
        <w:spacing w:after="0" w:line="240" w:lineRule="auto"/>
        <w:rPr>
          <w:rFonts w:ascii="Times New Roman" w:hAnsi="Times New Roman"/>
          <w:lang w:eastAsia="ja-JP"/>
        </w:rPr>
      </w:pPr>
      <w:r w:rsidRPr="00D600DA">
        <w:rPr>
          <w:rFonts w:ascii="Times New Roman" w:hAnsi="Times New Roman"/>
          <w:lang w:eastAsia="ja-JP"/>
        </w:rPr>
        <w:t>maltodekstrinai (kukurūzų),</w:t>
      </w:r>
    </w:p>
    <w:p w14:paraId="550FD7C7" w14:textId="77777777" w:rsidR="00E850F6" w:rsidRPr="00D600DA" w:rsidRDefault="00E850F6" w:rsidP="00E850F6">
      <w:pPr>
        <w:tabs>
          <w:tab w:val="left" w:pos="2835"/>
        </w:tabs>
        <w:spacing w:after="0" w:line="240" w:lineRule="auto"/>
        <w:rPr>
          <w:rFonts w:ascii="Times New Roman" w:hAnsi="Times New Roman"/>
          <w:lang w:eastAsia="ja-JP"/>
        </w:rPr>
      </w:pPr>
      <w:r w:rsidRPr="00D600DA">
        <w:rPr>
          <w:rFonts w:ascii="Times New Roman" w:hAnsi="Times New Roman"/>
          <w:lang w:eastAsia="ja-JP"/>
        </w:rPr>
        <w:t>propilenglikolis,</w:t>
      </w:r>
    </w:p>
    <w:p w14:paraId="5BD5D1C5" w14:textId="77777777" w:rsidR="00E850F6" w:rsidRPr="00D600DA" w:rsidRDefault="00E850F6" w:rsidP="00E850F6">
      <w:pPr>
        <w:tabs>
          <w:tab w:val="left" w:pos="2835"/>
        </w:tabs>
        <w:spacing w:after="0" w:line="240" w:lineRule="auto"/>
        <w:rPr>
          <w:rFonts w:ascii="Times New Roman" w:hAnsi="Times New Roman"/>
          <w:lang w:eastAsia="ja-JP"/>
        </w:rPr>
      </w:pPr>
      <w:r w:rsidRPr="00D600DA">
        <w:rPr>
          <w:rFonts w:ascii="Times New Roman" w:hAnsi="Times New Roman"/>
          <w:lang w:eastAsia="ja-JP"/>
        </w:rPr>
        <w:t>gumiarabikas E414 ir natūralios aromatinės medžiagos, daugiausia iš bananų, ananasų ir persikų.</w:t>
      </w:r>
    </w:p>
    <w:p w14:paraId="34DD62A9" w14:textId="77777777" w:rsidR="00E850F6" w:rsidRPr="00D600DA" w:rsidRDefault="00E850F6" w:rsidP="00E850F6">
      <w:pPr>
        <w:spacing w:after="0" w:line="240" w:lineRule="auto"/>
        <w:rPr>
          <w:rFonts w:ascii="Times New Roman" w:hAnsi="Times New Roman"/>
          <w:lang w:eastAsia="ja-JP"/>
        </w:rPr>
      </w:pPr>
    </w:p>
    <w:p w14:paraId="2C1EBD0B" w14:textId="77777777" w:rsidR="00E850F6" w:rsidRPr="00D600DA" w:rsidRDefault="00E850F6" w:rsidP="00E850F6">
      <w:pPr>
        <w:spacing w:after="0" w:line="240" w:lineRule="auto"/>
        <w:ind w:left="567" w:hanging="567"/>
        <w:outlineLvl w:val="1"/>
        <w:rPr>
          <w:rFonts w:ascii="Times New Roman" w:hAnsi="Times New Roman"/>
          <w:b/>
          <w:kern w:val="28"/>
          <w:lang w:eastAsia="ja-JP"/>
        </w:rPr>
      </w:pPr>
      <w:r w:rsidRPr="00D600DA">
        <w:rPr>
          <w:rFonts w:ascii="Times New Roman" w:hAnsi="Times New Roman"/>
          <w:b/>
          <w:kern w:val="28"/>
          <w:lang w:eastAsia="ja-JP"/>
        </w:rPr>
        <w:t>6.2</w:t>
      </w:r>
      <w:r w:rsidRPr="00D600DA">
        <w:rPr>
          <w:rFonts w:ascii="Times New Roman" w:hAnsi="Times New Roman"/>
          <w:b/>
          <w:kern w:val="28"/>
          <w:lang w:eastAsia="ja-JP"/>
        </w:rPr>
        <w:tab/>
        <w:t>Nesuderinamumas</w:t>
      </w:r>
    </w:p>
    <w:p w14:paraId="32472C0F" w14:textId="77777777" w:rsidR="00E850F6" w:rsidRPr="00D600DA" w:rsidRDefault="00E850F6" w:rsidP="00E850F6">
      <w:pPr>
        <w:spacing w:after="0" w:line="240" w:lineRule="auto"/>
        <w:rPr>
          <w:rFonts w:ascii="Times New Roman" w:hAnsi="Times New Roman"/>
          <w:lang w:eastAsia="ja-JP"/>
        </w:rPr>
      </w:pPr>
    </w:p>
    <w:p w14:paraId="6F7205DA"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Duomenys nebūtini.</w:t>
      </w:r>
    </w:p>
    <w:p w14:paraId="04576433" w14:textId="77777777" w:rsidR="00E850F6" w:rsidRPr="00D600DA" w:rsidRDefault="00E850F6" w:rsidP="00E850F6">
      <w:pPr>
        <w:spacing w:after="0" w:line="240" w:lineRule="auto"/>
        <w:rPr>
          <w:rFonts w:ascii="Times New Roman" w:hAnsi="Times New Roman"/>
          <w:lang w:eastAsia="ja-JP"/>
        </w:rPr>
      </w:pPr>
    </w:p>
    <w:p w14:paraId="27ABB080" w14:textId="77777777" w:rsidR="00E850F6" w:rsidRPr="00D600DA" w:rsidRDefault="00E850F6" w:rsidP="00E850F6">
      <w:pPr>
        <w:spacing w:after="0" w:line="240" w:lineRule="auto"/>
        <w:ind w:left="567" w:hanging="567"/>
        <w:outlineLvl w:val="1"/>
        <w:rPr>
          <w:rFonts w:ascii="Times New Roman" w:hAnsi="Times New Roman"/>
          <w:b/>
          <w:kern w:val="28"/>
          <w:lang w:eastAsia="ja-JP"/>
        </w:rPr>
      </w:pPr>
      <w:r w:rsidRPr="00D600DA">
        <w:rPr>
          <w:rFonts w:ascii="Times New Roman" w:hAnsi="Times New Roman"/>
          <w:b/>
          <w:kern w:val="28"/>
          <w:lang w:eastAsia="ja-JP"/>
        </w:rPr>
        <w:t>6.3</w:t>
      </w:r>
      <w:r w:rsidRPr="00D600DA">
        <w:rPr>
          <w:rFonts w:ascii="Times New Roman" w:hAnsi="Times New Roman"/>
          <w:b/>
          <w:kern w:val="28"/>
          <w:lang w:eastAsia="ja-JP"/>
        </w:rPr>
        <w:tab/>
        <w:t>Tinkamumo laikas</w:t>
      </w:r>
    </w:p>
    <w:p w14:paraId="009EEC48" w14:textId="77777777" w:rsidR="00E850F6" w:rsidRPr="00D600DA" w:rsidRDefault="00E850F6" w:rsidP="00E850F6">
      <w:pPr>
        <w:spacing w:after="0" w:line="240" w:lineRule="auto"/>
        <w:rPr>
          <w:rFonts w:ascii="Times New Roman" w:hAnsi="Times New Roman"/>
          <w:lang w:eastAsia="ja-JP"/>
        </w:rPr>
      </w:pPr>
    </w:p>
    <w:p w14:paraId="6BDB2819"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Miltelių geriamajam tirpalui: 3 metai.</w:t>
      </w:r>
    </w:p>
    <w:p w14:paraId="519E2BC9"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lastRenderedPageBreak/>
        <w:t xml:space="preserve">Paruošto tirpalo: 49 dienos. Laikyti šaldytuve (2 </w:t>
      </w:r>
      <w:r w:rsidRPr="00D600DA">
        <w:rPr>
          <w:rFonts w:ascii="Times New Roman" w:hAnsi="Times New Roman"/>
          <w:lang w:eastAsia="ja-JP"/>
        </w:rPr>
        <w:sym w:font="Symbol" w:char="F0B0"/>
      </w:r>
      <w:r w:rsidRPr="00D600DA">
        <w:rPr>
          <w:rFonts w:ascii="Times New Roman" w:hAnsi="Times New Roman"/>
          <w:lang w:eastAsia="ja-JP"/>
        </w:rPr>
        <w:t xml:space="preserve">C – 8 </w:t>
      </w:r>
      <w:r w:rsidRPr="00D600DA">
        <w:rPr>
          <w:rFonts w:ascii="Times New Roman" w:hAnsi="Times New Roman"/>
          <w:lang w:eastAsia="ja-JP"/>
        </w:rPr>
        <w:sym w:font="Symbol" w:char="F0B0"/>
      </w:r>
      <w:r w:rsidRPr="00D600DA">
        <w:rPr>
          <w:rFonts w:ascii="Times New Roman" w:hAnsi="Times New Roman"/>
          <w:lang w:eastAsia="ja-JP"/>
        </w:rPr>
        <w:t>C).</w:t>
      </w:r>
    </w:p>
    <w:p w14:paraId="3C02A832" w14:textId="77777777" w:rsidR="00E850F6" w:rsidRPr="00D600DA" w:rsidRDefault="00E850F6" w:rsidP="00E850F6">
      <w:pPr>
        <w:spacing w:after="0" w:line="240" w:lineRule="auto"/>
        <w:rPr>
          <w:rFonts w:ascii="Times New Roman" w:hAnsi="Times New Roman"/>
          <w:lang w:eastAsia="ja-JP"/>
        </w:rPr>
      </w:pPr>
    </w:p>
    <w:p w14:paraId="4CFB4866" w14:textId="77777777" w:rsidR="00E850F6" w:rsidRPr="00D600DA" w:rsidRDefault="00E850F6" w:rsidP="00E850F6">
      <w:pPr>
        <w:keepNext/>
        <w:keepLines/>
        <w:spacing w:after="0" w:line="240" w:lineRule="auto"/>
        <w:ind w:left="567" w:hanging="567"/>
        <w:outlineLvl w:val="1"/>
        <w:rPr>
          <w:rFonts w:ascii="Times New Roman" w:hAnsi="Times New Roman"/>
          <w:b/>
          <w:kern w:val="28"/>
          <w:lang w:eastAsia="ja-JP"/>
        </w:rPr>
      </w:pPr>
      <w:r w:rsidRPr="00D600DA">
        <w:rPr>
          <w:rFonts w:ascii="Times New Roman" w:hAnsi="Times New Roman"/>
          <w:b/>
          <w:kern w:val="28"/>
          <w:lang w:eastAsia="ja-JP"/>
        </w:rPr>
        <w:t>6.4</w:t>
      </w:r>
      <w:r w:rsidRPr="00D600DA">
        <w:rPr>
          <w:rFonts w:ascii="Times New Roman" w:hAnsi="Times New Roman"/>
          <w:b/>
          <w:kern w:val="28"/>
          <w:lang w:eastAsia="ja-JP"/>
        </w:rPr>
        <w:tab/>
        <w:t>Specialios laikymo sąlygos</w:t>
      </w:r>
    </w:p>
    <w:p w14:paraId="5F1560C5" w14:textId="77777777" w:rsidR="00E850F6" w:rsidRPr="00D600DA" w:rsidRDefault="00E850F6" w:rsidP="00E850F6">
      <w:pPr>
        <w:keepNext/>
        <w:keepLines/>
        <w:spacing w:after="0" w:line="240" w:lineRule="auto"/>
        <w:rPr>
          <w:rFonts w:ascii="Times New Roman" w:hAnsi="Times New Roman"/>
          <w:lang w:eastAsia="ja-JP"/>
        </w:rPr>
      </w:pPr>
    </w:p>
    <w:p w14:paraId="522E5F19" w14:textId="77777777" w:rsidR="00E850F6" w:rsidRPr="00D600DA" w:rsidRDefault="00E850F6" w:rsidP="00E850F6">
      <w:pPr>
        <w:keepNext/>
        <w:keepLines/>
        <w:spacing w:after="0" w:line="240" w:lineRule="auto"/>
        <w:rPr>
          <w:rFonts w:ascii="Times New Roman" w:hAnsi="Times New Roman"/>
          <w:lang w:eastAsia="ja-JP"/>
        </w:rPr>
      </w:pPr>
      <w:r w:rsidRPr="00D600DA">
        <w:rPr>
          <w:rFonts w:ascii="Times New Roman" w:hAnsi="Times New Roman"/>
          <w:lang w:eastAsia="ja-JP"/>
        </w:rPr>
        <w:t>Šiam vaistiniam preparatui specialių laikymo sąlygų nereikia.</w:t>
      </w:r>
    </w:p>
    <w:p w14:paraId="580333BF"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Paruošto vaistinio preparato laikymo sąlygos pateikiamos 6.3 skyriuje.</w:t>
      </w:r>
    </w:p>
    <w:p w14:paraId="0DE51549" w14:textId="77777777" w:rsidR="00E850F6" w:rsidRPr="00D600DA" w:rsidRDefault="00E850F6" w:rsidP="00E850F6">
      <w:pPr>
        <w:spacing w:after="0" w:line="240" w:lineRule="auto"/>
        <w:rPr>
          <w:rFonts w:ascii="Times New Roman" w:hAnsi="Times New Roman"/>
          <w:lang w:eastAsia="ja-JP"/>
        </w:rPr>
      </w:pPr>
    </w:p>
    <w:p w14:paraId="286E3E67" w14:textId="77777777" w:rsidR="00E850F6" w:rsidRPr="00D600DA" w:rsidRDefault="00E850F6" w:rsidP="00E850F6">
      <w:pPr>
        <w:spacing w:after="0" w:line="240" w:lineRule="auto"/>
        <w:ind w:left="567" w:hanging="567"/>
        <w:outlineLvl w:val="1"/>
        <w:rPr>
          <w:rFonts w:ascii="Times New Roman" w:hAnsi="Times New Roman"/>
          <w:b/>
          <w:kern w:val="28"/>
          <w:lang w:eastAsia="ja-JP"/>
        </w:rPr>
      </w:pPr>
      <w:r w:rsidRPr="00D600DA">
        <w:rPr>
          <w:rFonts w:ascii="Times New Roman" w:hAnsi="Times New Roman"/>
          <w:b/>
          <w:kern w:val="28"/>
          <w:lang w:eastAsia="ja-JP"/>
        </w:rPr>
        <w:t>6.5</w:t>
      </w:r>
      <w:r w:rsidRPr="00D600DA">
        <w:rPr>
          <w:rFonts w:ascii="Times New Roman" w:hAnsi="Times New Roman"/>
          <w:b/>
          <w:kern w:val="28"/>
          <w:lang w:eastAsia="ja-JP"/>
        </w:rPr>
        <w:tab/>
        <w:t>Talpyklės pobūdis ir jos turinys</w:t>
      </w:r>
    </w:p>
    <w:p w14:paraId="285CC7B1" w14:textId="77777777" w:rsidR="00E850F6" w:rsidRPr="00D600DA" w:rsidRDefault="00E850F6" w:rsidP="00E850F6">
      <w:pPr>
        <w:spacing w:after="0" w:line="240" w:lineRule="auto"/>
        <w:rPr>
          <w:rFonts w:ascii="Times New Roman" w:hAnsi="Times New Roman"/>
          <w:lang w:eastAsia="ja-JP"/>
        </w:rPr>
      </w:pPr>
    </w:p>
    <w:p w14:paraId="0A6595B7"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Kartoninė dėžutė, kurioje yra 100 ml gintaro spalvos stiklinis buteliukas, užsuktas vaikų neatidaromu polipropileno dangteliu su polipropileno įvore, mažo tankio polipropileno buteliuko adapteris ir plastikinis maišelis su dviem polipropileno</w:t>
      </w:r>
      <w:r w:rsidR="00021013">
        <w:rPr>
          <w:rFonts w:ascii="Times New Roman" w:hAnsi="Times New Roman"/>
          <w:lang w:eastAsia="ja-JP"/>
        </w:rPr>
        <w:t xml:space="preserve"> / polietileno</w:t>
      </w:r>
      <w:r w:rsidRPr="00D600DA">
        <w:rPr>
          <w:rFonts w:ascii="Times New Roman" w:hAnsi="Times New Roman"/>
          <w:lang w:eastAsia="ja-JP"/>
        </w:rPr>
        <w:t xml:space="preserve"> </w:t>
      </w:r>
      <w:r w:rsidR="00021013">
        <w:rPr>
          <w:rFonts w:ascii="Times New Roman" w:hAnsi="Times New Roman"/>
          <w:lang w:eastAsia="ja-JP"/>
        </w:rPr>
        <w:t xml:space="preserve">(cilindras / stūmoklis) </w:t>
      </w:r>
      <w:r w:rsidRPr="00D600DA">
        <w:rPr>
          <w:rFonts w:ascii="Times New Roman" w:hAnsi="Times New Roman"/>
          <w:lang w:eastAsia="ja-JP"/>
        </w:rPr>
        <w:t xml:space="preserve">geriamaisiais švirkštais, </w:t>
      </w:r>
      <w:r w:rsidR="00021013">
        <w:rPr>
          <w:rFonts w:ascii="Times New Roman" w:hAnsi="Times New Roman"/>
          <w:lang w:eastAsia="ja-JP"/>
        </w:rPr>
        <w:t xml:space="preserve">sugraduotais </w:t>
      </w:r>
      <w:r w:rsidR="00021013" w:rsidRPr="00D600DA">
        <w:rPr>
          <w:rFonts w:ascii="Times New Roman" w:hAnsi="Times New Roman"/>
          <w:lang w:eastAsia="ja-JP"/>
        </w:rPr>
        <w:t xml:space="preserve">iki </w:t>
      </w:r>
      <w:r w:rsidR="00021013">
        <w:rPr>
          <w:rFonts w:ascii="Times New Roman" w:hAnsi="Times New Roman"/>
          <w:lang w:eastAsia="ja-JP"/>
        </w:rPr>
        <w:t>10 ml (</w:t>
      </w:r>
      <w:r w:rsidR="00021013" w:rsidRPr="00D600DA">
        <w:rPr>
          <w:rFonts w:ascii="Times New Roman" w:hAnsi="Times New Roman"/>
          <w:lang w:eastAsia="ja-JP"/>
        </w:rPr>
        <w:t>500 mg</w:t>
      </w:r>
      <w:r w:rsidR="00021013">
        <w:rPr>
          <w:rFonts w:ascii="Times New Roman" w:hAnsi="Times New Roman"/>
          <w:lang w:eastAsia="ja-JP"/>
        </w:rPr>
        <w:t>),</w:t>
      </w:r>
      <w:r w:rsidR="00021013" w:rsidRPr="00D600DA">
        <w:rPr>
          <w:rFonts w:ascii="Times New Roman" w:hAnsi="Times New Roman"/>
          <w:lang w:eastAsia="ja-JP"/>
        </w:rPr>
        <w:t xml:space="preserve"> </w:t>
      </w:r>
      <w:r w:rsidRPr="00D600DA">
        <w:rPr>
          <w:rFonts w:ascii="Times New Roman" w:hAnsi="Times New Roman"/>
          <w:lang w:eastAsia="ja-JP"/>
        </w:rPr>
        <w:t xml:space="preserve">kuriuose yra </w:t>
      </w:r>
      <w:r w:rsidR="00021013">
        <w:rPr>
          <w:rFonts w:ascii="Times New Roman" w:hAnsi="Times New Roman"/>
          <w:lang w:eastAsia="ja-JP"/>
        </w:rPr>
        <w:t>0,5 ml (</w:t>
      </w:r>
      <w:r w:rsidRPr="00D600DA">
        <w:rPr>
          <w:rFonts w:ascii="Times New Roman" w:hAnsi="Times New Roman"/>
          <w:lang w:eastAsia="ja-JP"/>
        </w:rPr>
        <w:t>25 mg</w:t>
      </w:r>
      <w:r w:rsidR="00021013">
        <w:rPr>
          <w:rFonts w:ascii="Times New Roman" w:hAnsi="Times New Roman"/>
          <w:lang w:eastAsia="ja-JP"/>
        </w:rPr>
        <w:t>)</w:t>
      </w:r>
      <w:r w:rsidRPr="00D600DA">
        <w:rPr>
          <w:rFonts w:ascii="Times New Roman" w:hAnsi="Times New Roman"/>
          <w:lang w:eastAsia="ja-JP"/>
        </w:rPr>
        <w:t xml:space="preserve"> padalos.</w:t>
      </w:r>
    </w:p>
    <w:p w14:paraId="762D3ABC" w14:textId="77777777" w:rsidR="00E850F6" w:rsidRPr="00D600DA" w:rsidRDefault="00E850F6" w:rsidP="00E850F6">
      <w:pPr>
        <w:spacing w:after="0" w:line="240" w:lineRule="auto"/>
        <w:rPr>
          <w:rFonts w:ascii="Times New Roman" w:hAnsi="Times New Roman"/>
          <w:lang w:eastAsia="ja-JP"/>
        </w:rPr>
      </w:pPr>
    </w:p>
    <w:p w14:paraId="40333369"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Kiekviename buteliuke yra 12 g miltelių geriamajam tirpalui. Juos ištirpinus gaunama 100 ml tirpalo, kurio praktiškai suvartoti galima nemažiau kaip 88 ml.</w:t>
      </w:r>
    </w:p>
    <w:p w14:paraId="07481964" w14:textId="77777777" w:rsidR="00E850F6" w:rsidRPr="00D600DA" w:rsidRDefault="00E850F6" w:rsidP="00E850F6">
      <w:pPr>
        <w:spacing w:after="0" w:line="240" w:lineRule="auto"/>
        <w:rPr>
          <w:rFonts w:ascii="Times New Roman" w:hAnsi="Times New Roman"/>
          <w:lang w:eastAsia="ja-JP"/>
        </w:rPr>
      </w:pPr>
    </w:p>
    <w:p w14:paraId="7402C76C"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Pakuotės dydis: viename buteliuke yra 12 gramų miltelių.</w:t>
      </w:r>
    </w:p>
    <w:p w14:paraId="29A97FFC" w14:textId="77777777" w:rsidR="00E850F6" w:rsidRPr="00D600DA" w:rsidRDefault="00E850F6" w:rsidP="00E850F6">
      <w:pPr>
        <w:spacing w:after="0" w:line="240" w:lineRule="auto"/>
        <w:rPr>
          <w:rFonts w:ascii="Times New Roman" w:hAnsi="Times New Roman"/>
          <w:lang w:eastAsia="ja-JP"/>
        </w:rPr>
      </w:pPr>
    </w:p>
    <w:p w14:paraId="669FA2DD" w14:textId="77777777" w:rsidR="00E850F6" w:rsidRPr="00D600DA" w:rsidRDefault="00E850F6" w:rsidP="00E850F6">
      <w:pPr>
        <w:spacing w:after="0" w:line="240" w:lineRule="auto"/>
        <w:ind w:left="567" w:hanging="567"/>
        <w:outlineLvl w:val="1"/>
        <w:rPr>
          <w:rFonts w:ascii="Times New Roman" w:hAnsi="Times New Roman"/>
          <w:b/>
          <w:kern w:val="28"/>
          <w:lang w:eastAsia="ja-JP"/>
        </w:rPr>
      </w:pPr>
      <w:r w:rsidRPr="00D600DA">
        <w:rPr>
          <w:rFonts w:ascii="Times New Roman" w:hAnsi="Times New Roman"/>
          <w:b/>
          <w:kern w:val="28"/>
          <w:lang w:eastAsia="ja-JP"/>
        </w:rPr>
        <w:t>6.6</w:t>
      </w:r>
      <w:r w:rsidRPr="00D600DA">
        <w:rPr>
          <w:rFonts w:ascii="Times New Roman" w:hAnsi="Times New Roman"/>
          <w:b/>
          <w:kern w:val="28"/>
          <w:lang w:eastAsia="ja-JP"/>
        </w:rPr>
        <w:tab/>
        <w:t>Specialūs reikalavimai atliekoms tvarkyti ir vaistiniam preparatui ruošti</w:t>
      </w:r>
    </w:p>
    <w:p w14:paraId="1537DA98" w14:textId="77777777" w:rsidR="00E850F6" w:rsidRPr="00D600DA" w:rsidRDefault="00E850F6" w:rsidP="00E850F6">
      <w:pPr>
        <w:spacing w:after="0" w:line="240" w:lineRule="auto"/>
        <w:rPr>
          <w:rFonts w:ascii="Times New Roman" w:hAnsi="Times New Roman"/>
          <w:lang w:eastAsia="ja-JP"/>
        </w:rPr>
      </w:pPr>
    </w:p>
    <w:p w14:paraId="1AC9B8B0"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Kadangi Valcyte laikomas potencialiu teratogenu ir kancerogenu žmogui, su milteliais ir paruoštu tirpalu reikia dirbti atsargiai (žr. 4.4 skyrių). Vengti miltelių ir tirpalo įkvėpti ir jų tiesioginio sąlyčio su oda ir gleivinėmis. Prisilietus kruopščiai nusiplauti vandeniu ir muilu. Jei miltelių ar tirpalo pateko į akis, jas kruopščiai išsiplauti vandeniu.</w:t>
      </w:r>
    </w:p>
    <w:p w14:paraId="47BEE5A5" w14:textId="77777777" w:rsidR="00E850F6" w:rsidRPr="00D600DA" w:rsidRDefault="00E850F6" w:rsidP="00E850F6">
      <w:pPr>
        <w:spacing w:after="0" w:line="240" w:lineRule="auto"/>
        <w:rPr>
          <w:rFonts w:ascii="Times New Roman" w:hAnsi="Times New Roman"/>
          <w:lang w:eastAsia="ja-JP"/>
        </w:rPr>
      </w:pPr>
    </w:p>
    <w:p w14:paraId="017CBD24"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Rekomenduojama, kad prieš pateikdamas pacientui Valcyte miltelius geriamajam tirpalui tirpintų vaistininkas.</w:t>
      </w:r>
    </w:p>
    <w:p w14:paraId="2970CB85" w14:textId="77777777" w:rsidR="00E850F6" w:rsidRPr="00D600DA" w:rsidRDefault="00E850F6" w:rsidP="00E850F6">
      <w:pPr>
        <w:spacing w:after="0" w:line="240" w:lineRule="auto"/>
        <w:rPr>
          <w:rFonts w:ascii="Times New Roman" w:hAnsi="Times New Roman"/>
          <w:lang w:eastAsia="ja-JP"/>
        </w:rPr>
      </w:pPr>
    </w:p>
    <w:p w14:paraId="673C850E" w14:textId="77777777" w:rsidR="00E850F6" w:rsidRPr="00D600DA" w:rsidRDefault="00E850F6" w:rsidP="00E850F6">
      <w:pPr>
        <w:keepNext/>
        <w:spacing w:after="0" w:line="240" w:lineRule="auto"/>
        <w:rPr>
          <w:rFonts w:ascii="Times New Roman" w:hAnsi="Times New Roman"/>
          <w:u w:val="single"/>
          <w:lang w:eastAsia="ja-JP"/>
        </w:rPr>
      </w:pPr>
      <w:r w:rsidRPr="00D600DA">
        <w:rPr>
          <w:rFonts w:ascii="Times New Roman" w:hAnsi="Times New Roman"/>
          <w:u w:val="single"/>
          <w:lang w:eastAsia="ja-JP"/>
        </w:rPr>
        <w:t>Geriamojo tirpalo gaminimas</w:t>
      </w:r>
    </w:p>
    <w:p w14:paraId="17C96A54" w14:textId="77777777" w:rsidR="00E850F6" w:rsidRPr="00D600DA" w:rsidRDefault="00E850F6" w:rsidP="00E850F6">
      <w:pPr>
        <w:keepNext/>
        <w:spacing w:after="0" w:line="240" w:lineRule="auto"/>
        <w:ind w:left="709" w:hanging="709"/>
        <w:rPr>
          <w:rFonts w:ascii="Times New Roman" w:hAnsi="Times New Roman"/>
          <w:lang w:eastAsia="ja-JP"/>
        </w:rPr>
      </w:pPr>
      <w:r w:rsidRPr="00D600DA">
        <w:rPr>
          <w:rFonts w:ascii="Times New Roman" w:hAnsi="Times New Roman"/>
          <w:lang w:eastAsia="ja-JP"/>
        </w:rPr>
        <w:t>1.</w:t>
      </w:r>
      <w:r w:rsidRPr="00D600DA">
        <w:rPr>
          <w:rFonts w:ascii="Times New Roman" w:hAnsi="Times New Roman"/>
          <w:lang w:eastAsia="ja-JP"/>
        </w:rPr>
        <w:tab/>
        <w:t>Graduotu cilindru pamatuoti 91 ml vandens.</w:t>
      </w:r>
    </w:p>
    <w:p w14:paraId="2500DA74" w14:textId="77777777" w:rsidR="00E850F6" w:rsidRPr="00D600DA" w:rsidRDefault="00E850F6" w:rsidP="00E850F6">
      <w:pPr>
        <w:spacing w:after="0" w:line="240" w:lineRule="auto"/>
        <w:ind w:left="709" w:hanging="709"/>
        <w:rPr>
          <w:rFonts w:ascii="Times New Roman" w:hAnsi="Times New Roman"/>
          <w:lang w:eastAsia="ja-JP"/>
        </w:rPr>
      </w:pPr>
      <w:r w:rsidRPr="00D600DA">
        <w:rPr>
          <w:rFonts w:ascii="Times New Roman" w:hAnsi="Times New Roman"/>
          <w:lang w:eastAsia="ja-JP"/>
        </w:rPr>
        <w:t>2.</w:t>
      </w:r>
      <w:r w:rsidRPr="00D600DA">
        <w:rPr>
          <w:rFonts w:ascii="Times New Roman" w:hAnsi="Times New Roman"/>
          <w:lang w:eastAsia="ja-JP"/>
        </w:rPr>
        <w:tab/>
        <w:t>Nuimti vaikų sunkiai atidaromą dangtelį, supilti vandenį į buteliuką ir vėl užkimšti buteliuką vaikų sunkiai atidaromu dangteliu. Purtyti užkimštą buteliuką, kol milteliai ištirps ir susidarys skaidrus tirpalas (bespalvis arba iki rudos spalvos).</w:t>
      </w:r>
    </w:p>
    <w:p w14:paraId="2CC967FD" w14:textId="77777777" w:rsidR="00E850F6" w:rsidRPr="00D600DA" w:rsidRDefault="00E850F6" w:rsidP="00E850F6">
      <w:pPr>
        <w:spacing w:after="0" w:line="240" w:lineRule="auto"/>
        <w:ind w:left="709" w:hanging="709"/>
        <w:rPr>
          <w:rFonts w:ascii="Times New Roman" w:hAnsi="Times New Roman"/>
          <w:lang w:eastAsia="ja-JP"/>
        </w:rPr>
      </w:pPr>
      <w:r w:rsidRPr="00D600DA">
        <w:rPr>
          <w:rFonts w:ascii="Times New Roman" w:hAnsi="Times New Roman"/>
          <w:lang w:eastAsia="ja-JP"/>
        </w:rPr>
        <w:t>3.</w:t>
      </w:r>
      <w:r w:rsidRPr="00D600DA">
        <w:rPr>
          <w:rFonts w:ascii="Times New Roman" w:hAnsi="Times New Roman"/>
          <w:lang w:eastAsia="ja-JP"/>
        </w:rPr>
        <w:tab/>
        <w:t>Nuimti vaikų sunkiai atidaromą dangtelį ir įkišti buteliuko adapterį į buteliuko kaklelį.</w:t>
      </w:r>
    </w:p>
    <w:p w14:paraId="45A71234" w14:textId="77777777" w:rsidR="00E850F6" w:rsidRPr="00D600DA" w:rsidRDefault="00E850F6" w:rsidP="00E850F6">
      <w:pPr>
        <w:spacing w:after="0" w:line="240" w:lineRule="auto"/>
        <w:ind w:left="709" w:hanging="709"/>
        <w:rPr>
          <w:rFonts w:ascii="Times New Roman" w:hAnsi="Times New Roman"/>
          <w:lang w:eastAsia="ja-JP"/>
        </w:rPr>
      </w:pPr>
      <w:r w:rsidRPr="00D600DA">
        <w:rPr>
          <w:rFonts w:ascii="Times New Roman" w:hAnsi="Times New Roman"/>
          <w:lang w:eastAsia="ja-JP"/>
        </w:rPr>
        <w:t>4.</w:t>
      </w:r>
      <w:r w:rsidRPr="00D600DA">
        <w:rPr>
          <w:rFonts w:ascii="Times New Roman" w:hAnsi="Times New Roman"/>
          <w:lang w:eastAsia="ja-JP"/>
        </w:rPr>
        <w:tab/>
        <w:t>Sandariai užsukti buteliuką vaikų sunkiai atidaromu dangteliu. Tai užtikrins, kad buteliuko adapteris tinkamai laikysis ir dangtelio vaikai negalės nuimti.</w:t>
      </w:r>
    </w:p>
    <w:p w14:paraId="35721EB2" w14:textId="77777777" w:rsidR="00E850F6" w:rsidRPr="00D600DA" w:rsidRDefault="00E850F6" w:rsidP="00E850F6">
      <w:pPr>
        <w:spacing w:after="0" w:line="240" w:lineRule="auto"/>
        <w:ind w:left="709" w:hanging="709"/>
        <w:rPr>
          <w:rFonts w:ascii="Times New Roman" w:hAnsi="Times New Roman"/>
          <w:lang w:eastAsia="ja-JP"/>
        </w:rPr>
      </w:pPr>
      <w:r w:rsidRPr="00D600DA">
        <w:rPr>
          <w:rFonts w:ascii="Times New Roman" w:hAnsi="Times New Roman"/>
          <w:lang w:eastAsia="ja-JP"/>
        </w:rPr>
        <w:t>5.</w:t>
      </w:r>
      <w:r w:rsidRPr="00D600DA">
        <w:rPr>
          <w:rFonts w:ascii="Times New Roman" w:hAnsi="Times New Roman"/>
          <w:lang w:eastAsia="ja-JP"/>
        </w:rPr>
        <w:tab/>
        <w:t>Ant buteliuko etiketės užrašyti tirpalo tinkamumo datą (žr. 6.3 skyrių).</w:t>
      </w:r>
    </w:p>
    <w:p w14:paraId="76106947" w14:textId="77777777" w:rsidR="00E850F6" w:rsidRDefault="00E850F6" w:rsidP="00E850F6">
      <w:pPr>
        <w:spacing w:after="0" w:line="240" w:lineRule="auto"/>
        <w:rPr>
          <w:rFonts w:ascii="Times New Roman" w:hAnsi="Times New Roman"/>
          <w:lang w:eastAsia="ja-JP"/>
        </w:rPr>
      </w:pPr>
    </w:p>
    <w:p w14:paraId="6EA3C818" w14:textId="77777777" w:rsidR="00E850F6" w:rsidRDefault="00E850F6" w:rsidP="00E850F6">
      <w:pPr>
        <w:spacing w:after="0" w:line="240" w:lineRule="auto"/>
        <w:rPr>
          <w:rFonts w:ascii="Times New Roman" w:hAnsi="Times New Roman"/>
          <w:lang w:eastAsia="ja-JP"/>
        </w:rPr>
      </w:pPr>
      <w:r>
        <w:rPr>
          <w:rFonts w:ascii="Times New Roman" w:hAnsi="Times New Roman"/>
          <w:lang w:eastAsia="ja-JP"/>
        </w:rPr>
        <w:t>Tirpinimo metu bei</w:t>
      </w:r>
      <w:r w:rsidRPr="005F04D1">
        <w:rPr>
          <w:rFonts w:ascii="Times New Roman" w:hAnsi="Times New Roman"/>
          <w:lang w:eastAsia="ja-JP"/>
        </w:rPr>
        <w:t xml:space="preserve"> </w:t>
      </w:r>
      <w:r>
        <w:rPr>
          <w:rFonts w:ascii="Times New Roman" w:hAnsi="Times New Roman"/>
          <w:lang w:eastAsia="ja-JP"/>
        </w:rPr>
        <w:t xml:space="preserve">valant </w:t>
      </w:r>
      <w:r w:rsidRPr="005F04D1">
        <w:rPr>
          <w:rFonts w:ascii="Times New Roman" w:hAnsi="Times New Roman"/>
          <w:lang w:eastAsia="ja-JP"/>
        </w:rPr>
        <w:t>aplie</w:t>
      </w:r>
      <w:r>
        <w:rPr>
          <w:rFonts w:ascii="Times New Roman" w:hAnsi="Times New Roman"/>
          <w:lang w:eastAsia="ja-JP"/>
        </w:rPr>
        <w:t>tus</w:t>
      </w:r>
      <w:r w:rsidRPr="005F04D1">
        <w:rPr>
          <w:rFonts w:ascii="Times New Roman" w:hAnsi="Times New Roman"/>
          <w:lang w:eastAsia="ja-JP"/>
        </w:rPr>
        <w:t xml:space="preserve"> išorinį </w:t>
      </w:r>
      <w:r>
        <w:rPr>
          <w:rFonts w:ascii="Times New Roman" w:hAnsi="Times New Roman"/>
          <w:lang w:eastAsia="ja-JP"/>
        </w:rPr>
        <w:t xml:space="preserve">buteliuko </w:t>
      </w:r>
      <w:r w:rsidRPr="005F04D1">
        <w:rPr>
          <w:rFonts w:ascii="Times New Roman" w:hAnsi="Times New Roman"/>
          <w:lang w:eastAsia="ja-JP"/>
        </w:rPr>
        <w:t>paviršių</w:t>
      </w:r>
      <w:r>
        <w:rPr>
          <w:rFonts w:ascii="Times New Roman" w:hAnsi="Times New Roman"/>
          <w:lang w:eastAsia="ja-JP"/>
        </w:rPr>
        <w:t>, dangtelį ar stalą, rekomenduojama mūvėti</w:t>
      </w:r>
      <w:r w:rsidRPr="005F04D1">
        <w:rPr>
          <w:rFonts w:ascii="Times New Roman" w:hAnsi="Times New Roman"/>
          <w:lang w:eastAsia="ja-JP"/>
        </w:rPr>
        <w:t xml:space="preserve"> vienka</w:t>
      </w:r>
      <w:r>
        <w:rPr>
          <w:rFonts w:ascii="Times New Roman" w:hAnsi="Times New Roman"/>
          <w:lang w:eastAsia="ja-JP"/>
        </w:rPr>
        <w:t>rtines pirštines</w:t>
      </w:r>
      <w:r w:rsidRPr="005F04D1">
        <w:rPr>
          <w:rFonts w:ascii="Times New Roman" w:hAnsi="Times New Roman"/>
          <w:lang w:eastAsia="ja-JP"/>
        </w:rPr>
        <w:t>.</w:t>
      </w:r>
    </w:p>
    <w:p w14:paraId="1C4031F0" w14:textId="77777777" w:rsidR="00E850F6" w:rsidRPr="00D600DA" w:rsidRDefault="00E850F6" w:rsidP="00E850F6">
      <w:pPr>
        <w:spacing w:after="0" w:line="240" w:lineRule="auto"/>
        <w:rPr>
          <w:rFonts w:ascii="Times New Roman" w:hAnsi="Times New Roman"/>
          <w:lang w:eastAsia="ja-JP"/>
        </w:rPr>
      </w:pPr>
    </w:p>
    <w:p w14:paraId="65C88958"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Nesuvartotą vaistinį preparatą ar atliekas reikia tvarkyti laikantis vietinių reikalavimų.</w:t>
      </w:r>
    </w:p>
    <w:p w14:paraId="5949E7E8" w14:textId="77777777" w:rsidR="00E850F6" w:rsidRPr="00D600DA" w:rsidRDefault="00E850F6" w:rsidP="00E850F6">
      <w:pPr>
        <w:spacing w:after="0" w:line="240" w:lineRule="auto"/>
        <w:rPr>
          <w:rFonts w:ascii="Times New Roman" w:hAnsi="Times New Roman"/>
          <w:lang w:eastAsia="ja-JP"/>
        </w:rPr>
      </w:pPr>
    </w:p>
    <w:p w14:paraId="0352A18D" w14:textId="77777777" w:rsidR="00E850F6" w:rsidRPr="00D600DA" w:rsidRDefault="00E850F6" w:rsidP="00E850F6">
      <w:pPr>
        <w:spacing w:after="0" w:line="240" w:lineRule="auto"/>
        <w:rPr>
          <w:rFonts w:ascii="Times New Roman" w:hAnsi="Times New Roman"/>
          <w:lang w:eastAsia="ja-JP"/>
        </w:rPr>
      </w:pPr>
    </w:p>
    <w:p w14:paraId="140C51C7" w14:textId="77777777" w:rsidR="00E850F6" w:rsidRPr="00D600DA" w:rsidRDefault="00E850F6" w:rsidP="00E850F6">
      <w:pPr>
        <w:spacing w:after="0" w:line="240" w:lineRule="auto"/>
        <w:ind w:left="567" w:hanging="567"/>
        <w:outlineLvl w:val="0"/>
        <w:rPr>
          <w:rFonts w:ascii="Times New Roman" w:hAnsi="Times New Roman"/>
          <w:b/>
          <w:caps/>
          <w:kern w:val="28"/>
          <w:lang w:eastAsia="ja-JP"/>
        </w:rPr>
      </w:pPr>
      <w:r w:rsidRPr="00D600DA">
        <w:rPr>
          <w:rFonts w:ascii="Times New Roman" w:hAnsi="Times New Roman"/>
          <w:b/>
          <w:caps/>
          <w:kern w:val="28"/>
          <w:lang w:eastAsia="ja-JP"/>
        </w:rPr>
        <w:t>7.</w:t>
      </w:r>
      <w:r w:rsidRPr="00B417C9">
        <w:rPr>
          <w:rFonts w:ascii="Times New Roman" w:hAnsi="Times New Roman"/>
          <w:b/>
          <w:caps/>
          <w:kern w:val="28"/>
          <w:lang w:eastAsia="ja-JP"/>
        </w:rPr>
        <w:t xml:space="preserve"> </w:t>
      </w:r>
      <w:r w:rsidRPr="00D600DA">
        <w:rPr>
          <w:rFonts w:ascii="Times New Roman" w:hAnsi="Times New Roman"/>
          <w:b/>
          <w:caps/>
          <w:kern w:val="28"/>
          <w:lang w:eastAsia="ja-JP"/>
        </w:rPr>
        <w:tab/>
      </w:r>
      <w:r>
        <w:rPr>
          <w:rFonts w:ascii="Times New Roman" w:hAnsi="Times New Roman"/>
          <w:b/>
          <w:caps/>
          <w:kern w:val="28"/>
          <w:lang w:eastAsia="ja-JP"/>
        </w:rPr>
        <w:t>REGISTRUOTOJAS</w:t>
      </w:r>
    </w:p>
    <w:p w14:paraId="37A9F193" w14:textId="77777777" w:rsidR="00E850F6" w:rsidRPr="00D600DA" w:rsidRDefault="00E850F6" w:rsidP="00E850F6">
      <w:pPr>
        <w:spacing w:after="0" w:line="240" w:lineRule="auto"/>
        <w:rPr>
          <w:rFonts w:ascii="Times New Roman" w:hAnsi="Times New Roman"/>
          <w:lang w:eastAsia="ja-JP"/>
        </w:rPr>
      </w:pPr>
    </w:p>
    <w:p w14:paraId="0DA55A50"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UAB „Roche Lietuva“</w:t>
      </w:r>
    </w:p>
    <w:p w14:paraId="1B867499"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J. Jasinskio g. 16</w:t>
      </w:r>
      <w:r>
        <w:rPr>
          <w:rFonts w:ascii="Times New Roman" w:hAnsi="Times New Roman"/>
          <w:lang w:eastAsia="ja-JP"/>
        </w:rPr>
        <w:t>B</w:t>
      </w:r>
    </w:p>
    <w:p w14:paraId="1033DAA4"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LT-01112 Vilnius</w:t>
      </w:r>
    </w:p>
    <w:p w14:paraId="30577CE0"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Lietuva</w:t>
      </w:r>
    </w:p>
    <w:p w14:paraId="275E792A" w14:textId="77777777" w:rsidR="00E850F6" w:rsidRPr="00D600DA" w:rsidRDefault="00E850F6" w:rsidP="00E850F6">
      <w:pPr>
        <w:spacing w:after="0" w:line="240" w:lineRule="auto"/>
        <w:rPr>
          <w:rFonts w:ascii="Times New Roman" w:hAnsi="Times New Roman"/>
          <w:lang w:eastAsia="ja-JP"/>
        </w:rPr>
      </w:pPr>
    </w:p>
    <w:p w14:paraId="6E5B074A" w14:textId="77777777" w:rsidR="00E850F6" w:rsidRPr="00D600DA" w:rsidRDefault="00E850F6" w:rsidP="00E850F6">
      <w:pPr>
        <w:spacing w:after="0" w:line="240" w:lineRule="auto"/>
        <w:rPr>
          <w:rFonts w:ascii="Times New Roman" w:hAnsi="Times New Roman"/>
          <w:lang w:eastAsia="ja-JP"/>
        </w:rPr>
      </w:pPr>
    </w:p>
    <w:p w14:paraId="35338337" w14:textId="77777777" w:rsidR="00E850F6" w:rsidRPr="00D600DA" w:rsidRDefault="00E850F6" w:rsidP="00E850F6">
      <w:pPr>
        <w:spacing w:after="0" w:line="240" w:lineRule="auto"/>
        <w:ind w:left="567" w:hanging="567"/>
        <w:outlineLvl w:val="0"/>
        <w:rPr>
          <w:rFonts w:ascii="Times New Roman" w:hAnsi="Times New Roman"/>
          <w:b/>
          <w:caps/>
          <w:kern w:val="28"/>
          <w:lang w:eastAsia="ja-JP"/>
        </w:rPr>
      </w:pPr>
      <w:r w:rsidRPr="00D600DA">
        <w:rPr>
          <w:rFonts w:ascii="Times New Roman" w:hAnsi="Times New Roman"/>
          <w:b/>
          <w:caps/>
          <w:kern w:val="28"/>
          <w:lang w:eastAsia="ja-JP"/>
        </w:rPr>
        <w:t>8.</w:t>
      </w:r>
      <w:r w:rsidRPr="00D600DA">
        <w:rPr>
          <w:rFonts w:ascii="Times New Roman" w:hAnsi="Times New Roman"/>
          <w:b/>
          <w:caps/>
          <w:kern w:val="28"/>
          <w:lang w:eastAsia="ja-JP"/>
        </w:rPr>
        <w:tab/>
      </w:r>
      <w:r>
        <w:rPr>
          <w:rFonts w:ascii="Times New Roman" w:hAnsi="Times New Roman"/>
          <w:b/>
          <w:caps/>
          <w:kern w:val="28"/>
          <w:lang w:eastAsia="ja-JP"/>
        </w:rPr>
        <w:t>REGISTRACIJOS PAŽYMĖJIMO</w:t>
      </w:r>
      <w:r w:rsidRPr="00D600DA">
        <w:rPr>
          <w:rFonts w:ascii="Times New Roman" w:hAnsi="Times New Roman"/>
          <w:b/>
          <w:caps/>
          <w:kern w:val="28"/>
          <w:lang w:eastAsia="ja-JP"/>
        </w:rPr>
        <w:t xml:space="preserve"> NUMERiS</w:t>
      </w:r>
      <w:r w:rsidDel="00B417C9">
        <w:rPr>
          <w:rFonts w:ascii="Times New Roman" w:hAnsi="Times New Roman"/>
          <w:b/>
          <w:caps/>
          <w:kern w:val="28"/>
          <w:lang w:eastAsia="ja-JP"/>
        </w:rPr>
        <w:t xml:space="preserve"> </w:t>
      </w:r>
    </w:p>
    <w:p w14:paraId="143DAD06" w14:textId="77777777" w:rsidR="00E850F6" w:rsidRPr="00D600DA" w:rsidRDefault="00E850F6" w:rsidP="00E850F6">
      <w:pPr>
        <w:spacing w:after="0" w:line="240" w:lineRule="auto"/>
        <w:outlineLvl w:val="0"/>
        <w:rPr>
          <w:rFonts w:ascii="Times New Roman" w:hAnsi="Times New Roman"/>
          <w:caps/>
          <w:kern w:val="28"/>
          <w:lang w:eastAsia="ja-JP"/>
        </w:rPr>
      </w:pPr>
    </w:p>
    <w:p w14:paraId="1D238311" w14:textId="77777777" w:rsidR="00E850F6" w:rsidRPr="00D600DA" w:rsidRDefault="00E850F6" w:rsidP="00E850F6">
      <w:pPr>
        <w:spacing w:after="0" w:line="240" w:lineRule="auto"/>
        <w:rPr>
          <w:rFonts w:ascii="Times New Roman" w:hAnsi="Times New Roman"/>
          <w:lang w:eastAsia="ja-JP"/>
        </w:rPr>
      </w:pPr>
      <w:r w:rsidRPr="00B417C9">
        <w:rPr>
          <w:rFonts w:ascii="Times New Roman" w:hAnsi="Times New Roman"/>
          <w:lang w:eastAsia="ja-JP"/>
        </w:rPr>
        <w:t>LT/1/08/1131/001</w:t>
      </w:r>
    </w:p>
    <w:p w14:paraId="7667EC61" w14:textId="77777777" w:rsidR="00E850F6" w:rsidRPr="00D600DA" w:rsidRDefault="00E850F6" w:rsidP="00E850F6">
      <w:pPr>
        <w:spacing w:after="0" w:line="240" w:lineRule="auto"/>
        <w:rPr>
          <w:rFonts w:ascii="Times New Roman" w:hAnsi="Times New Roman"/>
          <w:lang w:eastAsia="ja-JP"/>
        </w:rPr>
      </w:pPr>
    </w:p>
    <w:p w14:paraId="0BE430D7" w14:textId="77777777" w:rsidR="00E850F6" w:rsidRPr="00D600DA" w:rsidRDefault="00E850F6" w:rsidP="00E850F6">
      <w:pPr>
        <w:spacing w:after="0" w:line="240" w:lineRule="auto"/>
        <w:rPr>
          <w:rFonts w:ascii="Times New Roman" w:hAnsi="Times New Roman"/>
          <w:lang w:eastAsia="ja-JP"/>
        </w:rPr>
      </w:pPr>
    </w:p>
    <w:p w14:paraId="4C325549" w14:textId="77777777" w:rsidR="00E850F6" w:rsidRPr="00402217" w:rsidRDefault="00E850F6" w:rsidP="00E850F6">
      <w:pPr>
        <w:spacing w:after="0" w:line="240" w:lineRule="auto"/>
        <w:ind w:left="567" w:hanging="567"/>
        <w:outlineLvl w:val="0"/>
        <w:rPr>
          <w:rFonts w:ascii="Times New Roman" w:hAnsi="Times New Roman"/>
        </w:rPr>
      </w:pPr>
      <w:r w:rsidRPr="00D600DA">
        <w:rPr>
          <w:rFonts w:ascii="Times New Roman" w:hAnsi="Times New Roman"/>
          <w:b/>
          <w:caps/>
          <w:kern w:val="28"/>
          <w:lang w:eastAsia="ja-JP"/>
        </w:rPr>
        <w:t>9.</w:t>
      </w:r>
      <w:r w:rsidRPr="00D600DA">
        <w:rPr>
          <w:rFonts w:ascii="Times New Roman" w:hAnsi="Times New Roman"/>
          <w:b/>
          <w:caps/>
          <w:kern w:val="28"/>
          <w:lang w:eastAsia="ja-JP"/>
        </w:rPr>
        <w:tab/>
      </w:r>
      <w:r w:rsidRPr="00913BB6">
        <w:rPr>
          <w:rFonts w:ascii="Times New Roman" w:hAnsi="Times New Roman"/>
          <w:b/>
          <w:caps/>
          <w:kern w:val="28"/>
          <w:lang w:eastAsia="ja-JP"/>
        </w:rPr>
        <w:t>REGISTRAVIMO / PERREGISTRAVIMO DATA</w:t>
      </w:r>
      <w:r w:rsidRPr="00913BB6" w:rsidDel="00913BB6">
        <w:rPr>
          <w:rFonts w:ascii="Times New Roman" w:hAnsi="Times New Roman"/>
          <w:b/>
          <w:caps/>
          <w:kern w:val="28"/>
          <w:lang w:eastAsia="ja-JP"/>
        </w:rPr>
        <w:t xml:space="preserve"> </w:t>
      </w:r>
    </w:p>
    <w:p w14:paraId="41FEBFAA" w14:textId="77777777" w:rsidR="00E850F6" w:rsidRDefault="00E850F6" w:rsidP="00E850F6">
      <w:pPr>
        <w:spacing w:after="0" w:line="240" w:lineRule="auto"/>
        <w:rPr>
          <w:rFonts w:ascii="Times New Roman" w:hAnsi="Times New Roman"/>
          <w:lang w:eastAsia="en-US"/>
        </w:rPr>
      </w:pPr>
    </w:p>
    <w:p w14:paraId="650BB70B" w14:textId="77777777" w:rsidR="00E850F6" w:rsidRPr="00D600DA" w:rsidRDefault="00E850F6" w:rsidP="00E850F6">
      <w:pPr>
        <w:spacing w:after="0" w:line="240" w:lineRule="auto"/>
        <w:rPr>
          <w:rFonts w:ascii="Times New Roman" w:hAnsi="Times New Roman"/>
          <w:caps/>
          <w:kern w:val="28"/>
          <w:lang w:eastAsia="ja-JP"/>
        </w:rPr>
      </w:pPr>
      <w:r w:rsidRPr="00913BB6">
        <w:rPr>
          <w:rFonts w:ascii="Times New Roman" w:hAnsi="Times New Roman"/>
          <w:lang w:eastAsia="en-US"/>
        </w:rPr>
        <w:t xml:space="preserve">Registravimo data </w:t>
      </w:r>
      <w:r w:rsidRPr="00D600DA">
        <w:rPr>
          <w:rFonts w:ascii="Times New Roman" w:hAnsi="Times New Roman"/>
          <w:lang w:eastAsia="en-US"/>
        </w:rPr>
        <w:t>2008 m. gegužės 12 d</w:t>
      </w:r>
      <w:r w:rsidRPr="00D600DA">
        <w:rPr>
          <w:rFonts w:ascii="Times New Roman" w:hAnsi="Times New Roman"/>
        </w:rPr>
        <w:t>.</w:t>
      </w:r>
    </w:p>
    <w:p w14:paraId="0D7A1C7B" w14:textId="77777777" w:rsidR="00E850F6" w:rsidRPr="00D600DA" w:rsidRDefault="00E850F6" w:rsidP="00E850F6">
      <w:pPr>
        <w:spacing w:after="0" w:line="240" w:lineRule="auto"/>
        <w:ind w:left="567" w:hanging="567"/>
        <w:outlineLvl w:val="0"/>
        <w:rPr>
          <w:rFonts w:ascii="Times New Roman" w:hAnsi="Times New Roman"/>
          <w:b/>
          <w:caps/>
          <w:kern w:val="28"/>
          <w:lang w:eastAsia="ja-JP"/>
        </w:rPr>
      </w:pPr>
      <w:r w:rsidRPr="00913BB6">
        <w:rPr>
          <w:rFonts w:ascii="Times New Roman" w:hAnsi="Times New Roman"/>
          <w:lang w:eastAsia="en-US"/>
        </w:rPr>
        <w:t>Paskutinio</w:t>
      </w:r>
      <w:r w:rsidRPr="00B417C9">
        <w:rPr>
          <w:rFonts w:ascii="Times New Roman" w:hAnsi="Times New Roman"/>
          <w:lang w:eastAsia="en-US"/>
        </w:rPr>
        <w:t xml:space="preserve"> </w:t>
      </w:r>
      <w:r w:rsidRPr="00913BB6">
        <w:rPr>
          <w:rFonts w:ascii="Times New Roman" w:hAnsi="Times New Roman"/>
          <w:lang w:eastAsia="en-US"/>
        </w:rPr>
        <w:t xml:space="preserve">perregistravimo data </w:t>
      </w:r>
      <w:r w:rsidRPr="00D600DA">
        <w:rPr>
          <w:rFonts w:ascii="Times New Roman" w:hAnsi="Times New Roman"/>
          <w:lang w:eastAsia="en-US"/>
        </w:rPr>
        <w:t>2013 m. birželio 7 d.</w:t>
      </w:r>
    </w:p>
    <w:p w14:paraId="20A35B59" w14:textId="77777777" w:rsidR="00E850F6" w:rsidRPr="00D600DA" w:rsidRDefault="00E850F6" w:rsidP="00E850F6">
      <w:pPr>
        <w:spacing w:after="0" w:line="240" w:lineRule="auto"/>
        <w:rPr>
          <w:rFonts w:ascii="Times New Roman" w:hAnsi="Times New Roman"/>
          <w:lang w:eastAsia="ja-JP"/>
        </w:rPr>
      </w:pPr>
    </w:p>
    <w:p w14:paraId="35F435CE" w14:textId="77777777" w:rsidR="00E850F6" w:rsidRPr="00D600DA" w:rsidRDefault="00E850F6" w:rsidP="00E850F6">
      <w:pPr>
        <w:spacing w:after="0" w:line="240" w:lineRule="auto"/>
        <w:rPr>
          <w:rFonts w:ascii="Times New Roman" w:hAnsi="Times New Roman"/>
          <w:lang w:eastAsia="ja-JP"/>
        </w:rPr>
      </w:pPr>
    </w:p>
    <w:p w14:paraId="74C0FCD2" w14:textId="77777777" w:rsidR="00E850F6" w:rsidRPr="00D600DA" w:rsidRDefault="00E850F6" w:rsidP="00E850F6">
      <w:pPr>
        <w:spacing w:after="0" w:line="240" w:lineRule="auto"/>
        <w:ind w:left="567" w:hanging="567"/>
        <w:outlineLvl w:val="0"/>
        <w:rPr>
          <w:rFonts w:ascii="Times New Roman" w:hAnsi="Times New Roman"/>
          <w:b/>
          <w:caps/>
          <w:kern w:val="28"/>
          <w:lang w:eastAsia="ja-JP"/>
        </w:rPr>
      </w:pPr>
      <w:r w:rsidRPr="00D600DA">
        <w:rPr>
          <w:rFonts w:ascii="Times New Roman" w:hAnsi="Times New Roman"/>
          <w:b/>
          <w:caps/>
          <w:kern w:val="28"/>
          <w:lang w:eastAsia="ja-JP"/>
        </w:rPr>
        <w:t>10.</w:t>
      </w:r>
      <w:r w:rsidRPr="00D600DA">
        <w:rPr>
          <w:rFonts w:ascii="Times New Roman" w:hAnsi="Times New Roman"/>
          <w:b/>
          <w:caps/>
          <w:kern w:val="28"/>
          <w:lang w:eastAsia="ja-JP"/>
        </w:rPr>
        <w:tab/>
        <w:t>TEKSTO PERŽIŪROS DATA</w:t>
      </w:r>
    </w:p>
    <w:p w14:paraId="2AAFEE17" w14:textId="77777777" w:rsidR="00E850F6" w:rsidRDefault="00E850F6" w:rsidP="00E850F6">
      <w:pPr>
        <w:spacing w:after="0" w:line="240" w:lineRule="auto"/>
        <w:rPr>
          <w:rFonts w:ascii="Times New Roman" w:hAnsi="Times New Roman"/>
          <w:lang w:eastAsia="ja-JP"/>
        </w:rPr>
      </w:pPr>
    </w:p>
    <w:p w14:paraId="3A4DAE1D" w14:textId="2FC3040A" w:rsidR="00561AEC" w:rsidRDefault="005C1DF3" w:rsidP="00E850F6">
      <w:pPr>
        <w:spacing w:after="0" w:line="240" w:lineRule="auto"/>
        <w:rPr>
          <w:rFonts w:ascii="Times New Roman" w:hAnsi="Times New Roman"/>
          <w:lang w:eastAsia="ja-JP"/>
        </w:rPr>
      </w:pPr>
      <w:r>
        <w:rPr>
          <w:rFonts w:ascii="Times New Roman" w:hAnsi="Times New Roman"/>
          <w:lang w:eastAsia="ja-JP"/>
        </w:rPr>
        <w:t>202</w:t>
      </w:r>
      <w:r w:rsidR="00942FB5">
        <w:rPr>
          <w:rFonts w:ascii="Times New Roman" w:hAnsi="Times New Roman"/>
          <w:lang w:eastAsia="ja-JP"/>
        </w:rPr>
        <w:t>0 m. gruodžio 30 d.</w:t>
      </w:r>
    </w:p>
    <w:p w14:paraId="511D6C7F" w14:textId="77777777" w:rsidR="00E850F6" w:rsidRPr="00D600DA" w:rsidRDefault="00E850F6" w:rsidP="00E850F6">
      <w:pPr>
        <w:spacing w:after="0" w:line="240" w:lineRule="auto"/>
        <w:rPr>
          <w:rFonts w:ascii="Times New Roman" w:hAnsi="Times New Roman"/>
          <w:lang w:eastAsia="ja-JP"/>
        </w:rPr>
      </w:pPr>
    </w:p>
    <w:p w14:paraId="70D8156E" w14:textId="7D9C1B32" w:rsidR="00E850F6" w:rsidRPr="00D600DA" w:rsidRDefault="00E850F6" w:rsidP="00E850F6">
      <w:pPr>
        <w:spacing w:after="0" w:line="240" w:lineRule="auto"/>
        <w:rPr>
          <w:rFonts w:ascii="Times New Roman" w:hAnsi="Times New Roman"/>
          <w:lang w:eastAsia="ja-JP"/>
        </w:rPr>
      </w:pPr>
      <w:r w:rsidRPr="00D600DA">
        <w:rPr>
          <w:rFonts w:ascii="Times New Roman" w:eastAsia="SimSun" w:hAnsi="Times New Roman"/>
          <w:lang w:eastAsia="zh-CN"/>
        </w:rPr>
        <w:t xml:space="preserve">Išsami informacija apie šį vaistinį preparatą pateikiama </w:t>
      </w:r>
      <w:r w:rsidRPr="00D600DA">
        <w:rPr>
          <w:rFonts w:ascii="Times New Roman" w:hAnsi="Times New Roman"/>
          <w:lang w:eastAsia="ja-JP"/>
        </w:rPr>
        <w:t>pateikiama</w:t>
      </w:r>
      <w:r w:rsidRPr="00D600DA" w:rsidDel="00D200D0">
        <w:rPr>
          <w:rFonts w:ascii="Times New Roman" w:hAnsi="Times New Roman"/>
          <w:lang w:eastAsia="ja-JP"/>
        </w:rPr>
        <w:t xml:space="preserve"> </w:t>
      </w:r>
      <w:r w:rsidRPr="00D600DA">
        <w:rPr>
          <w:rFonts w:ascii="Times New Roman" w:hAnsi="Times New Roman"/>
          <w:lang w:eastAsia="ja-JP"/>
        </w:rPr>
        <w:t>Valstybinės vaistų kontrolės tarnybos prie Lietuvos Respublikos sveikatos apsaugos ministerijos tinklalapy</w:t>
      </w:r>
      <w:r w:rsidRPr="00D600DA">
        <w:rPr>
          <w:rFonts w:ascii="Times New Roman" w:eastAsia="SimSun" w:hAnsi="Times New Roman"/>
          <w:lang w:eastAsia="zh-CN"/>
        </w:rPr>
        <w:t>je</w:t>
      </w:r>
      <w:r w:rsidRPr="00D600DA" w:rsidDel="00956E04">
        <w:rPr>
          <w:rFonts w:ascii="Times New Roman" w:hAnsi="Times New Roman"/>
          <w:lang w:eastAsia="ja-JP"/>
        </w:rPr>
        <w:t xml:space="preserve"> </w:t>
      </w:r>
      <w:hyperlink r:id="rId9" w:history="1">
        <w:r w:rsidRPr="00D600DA">
          <w:rPr>
            <w:rFonts w:ascii="Times New Roman" w:hAnsi="Times New Roman"/>
            <w:color w:val="0000FF"/>
            <w:u w:val="single"/>
            <w:lang w:eastAsia="ja-JP"/>
          </w:rPr>
          <w:t>http://www.</w:t>
        </w:r>
        <w:bookmarkStart w:id="0" w:name="_Hlt98560650"/>
        <w:bookmarkStart w:id="1" w:name="_Hlt98560651"/>
        <w:r w:rsidRPr="00D600DA">
          <w:rPr>
            <w:rFonts w:ascii="Times New Roman" w:hAnsi="Times New Roman"/>
            <w:color w:val="0000FF"/>
            <w:u w:val="single"/>
            <w:lang w:eastAsia="ja-JP"/>
          </w:rPr>
          <w:t>vvkt</w:t>
        </w:r>
        <w:bookmarkEnd w:id="0"/>
        <w:bookmarkEnd w:id="1"/>
        <w:r w:rsidRPr="00D600DA">
          <w:rPr>
            <w:rFonts w:ascii="Times New Roman" w:hAnsi="Times New Roman"/>
            <w:color w:val="0000FF"/>
            <w:u w:val="single"/>
            <w:lang w:eastAsia="ja-JP"/>
          </w:rPr>
          <w:t>.lt</w:t>
        </w:r>
        <w:bookmarkStart w:id="2" w:name="_Hlt98580098"/>
        <w:bookmarkStart w:id="3" w:name="_Hlt98580099"/>
        <w:r w:rsidRPr="00D600DA">
          <w:rPr>
            <w:rFonts w:ascii="Times New Roman" w:hAnsi="Times New Roman"/>
            <w:color w:val="0000FF"/>
            <w:u w:val="single"/>
            <w:lang w:eastAsia="ja-JP"/>
          </w:rPr>
          <w:t>/</w:t>
        </w:r>
        <w:bookmarkEnd w:id="2"/>
        <w:bookmarkEnd w:id="3"/>
      </w:hyperlink>
    </w:p>
    <w:p w14:paraId="2CBB203D"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br w:type="page"/>
      </w:r>
    </w:p>
    <w:p w14:paraId="21D080A1" w14:textId="77777777" w:rsidR="00E850F6" w:rsidRPr="00D600DA" w:rsidRDefault="00E850F6" w:rsidP="00E850F6">
      <w:pPr>
        <w:spacing w:after="0" w:line="240" w:lineRule="auto"/>
        <w:rPr>
          <w:rFonts w:ascii="Times New Roman" w:hAnsi="Times New Roman"/>
          <w:lang w:eastAsia="ja-JP"/>
        </w:rPr>
      </w:pPr>
    </w:p>
    <w:p w14:paraId="56E36A5E" w14:textId="77777777" w:rsidR="00E850F6" w:rsidRPr="00D600DA" w:rsidRDefault="00E850F6" w:rsidP="00E850F6">
      <w:pPr>
        <w:spacing w:after="0" w:line="240" w:lineRule="auto"/>
        <w:rPr>
          <w:rFonts w:ascii="Times New Roman" w:hAnsi="Times New Roman"/>
          <w:lang w:eastAsia="ja-JP"/>
        </w:rPr>
      </w:pPr>
    </w:p>
    <w:p w14:paraId="6D7475BB" w14:textId="77777777" w:rsidR="00E850F6" w:rsidRPr="00D600DA" w:rsidRDefault="00E850F6" w:rsidP="00E850F6">
      <w:pPr>
        <w:spacing w:after="0" w:line="240" w:lineRule="auto"/>
        <w:rPr>
          <w:rFonts w:ascii="Times New Roman" w:hAnsi="Times New Roman"/>
          <w:lang w:eastAsia="ja-JP"/>
        </w:rPr>
      </w:pPr>
    </w:p>
    <w:p w14:paraId="27D5821E" w14:textId="77777777" w:rsidR="00E850F6" w:rsidRPr="00D600DA" w:rsidRDefault="00E850F6" w:rsidP="00E850F6">
      <w:pPr>
        <w:spacing w:after="0" w:line="240" w:lineRule="auto"/>
        <w:rPr>
          <w:rFonts w:ascii="Times New Roman" w:hAnsi="Times New Roman"/>
          <w:lang w:eastAsia="ja-JP"/>
        </w:rPr>
      </w:pPr>
    </w:p>
    <w:p w14:paraId="44ED840D" w14:textId="77777777" w:rsidR="00E850F6" w:rsidRPr="00D600DA" w:rsidRDefault="00E850F6" w:rsidP="00E850F6">
      <w:pPr>
        <w:spacing w:after="0" w:line="240" w:lineRule="auto"/>
        <w:rPr>
          <w:rFonts w:ascii="Times New Roman" w:hAnsi="Times New Roman"/>
          <w:lang w:eastAsia="ja-JP"/>
        </w:rPr>
      </w:pPr>
    </w:p>
    <w:p w14:paraId="66EFC7AE" w14:textId="77777777" w:rsidR="00E850F6" w:rsidRPr="00D600DA" w:rsidRDefault="00E850F6" w:rsidP="00E850F6">
      <w:pPr>
        <w:spacing w:after="0" w:line="240" w:lineRule="auto"/>
        <w:rPr>
          <w:rFonts w:ascii="Times New Roman" w:hAnsi="Times New Roman"/>
          <w:lang w:eastAsia="ja-JP"/>
        </w:rPr>
      </w:pPr>
    </w:p>
    <w:p w14:paraId="17CC39B3" w14:textId="77777777" w:rsidR="00E850F6" w:rsidRPr="00D600DA" w:rsidRDefault="00E850F6" w:rsidP="00E850F6">
      <w:pPr>
        <w:spacing w:after="0" w:line="240" w:lineRule="auto"/>
        <w:rPr>
          <w:rFonts w:ascii="Times New Roman" w:hAnsi="Times New Roman"/>
          <w:lang w:eastAsia="ja-JP"/>
        </w:rPr>
      </w:pPr>
    </w:p>
    <w:p w14:paraId="10CE598D" w14:textId="77777777" w:rsidR="00E850F6" w:rsidRPr="00D600DA" w:rsidRDefault="00E850F6" w:rsidP="00E850F6">
      <w:pPr>
        <w:spacing w:after="0" w:line="240" w:lineRule="auto"/>
        <w:rPr>
          <w:rFonts w:ascii="Times New Roman" w:hAnsi="Times New Roman"/>
          <w:lang w:eastAsia="ja-JP"/>
        </w:rPr>
      </w:pPr>
    </w:p>
    <w:p w14:paraId="574E41AD" w14:textId="77777777" w:rsidR="00E850F6" w:rsidRPr="00D600DA" w:rsidRDefault="00E850F6" w:rsidP="00E850F6">
      <w:pPr>
        <w:spacing w:after="0" w:line="240" w:lineRule="auto"/>
        <w:rPr>
          <w:rFonts w:ascii="Times New Roman" w:hAnsi="Times New Roman"/>
          <w:lang w:eastAsia="ja-JP"/>
        </w:rPr>
      </w:pPr>
    </w:p>
    <w:p w14:paraId="703A6050" w14:textId="77777777" w:rsidR="00E850F6" w:rsidRPr="00D600DA" w:rsidRDefault="00E850F6" w:rsidP="00E850F6">
      <w:pPr>
        <w:spacing w:after="0" w:line="240" w:lineRule="auto"/>
        <w:rPr>
          <w:rFonts w:ascii="Times New Roman" w:hAnsi="Times New Roman"/>
          <w:lang w:eastAsia="ja-JP"/>
        </w:rPr>
      </w:pPr>
    </w:p>
    <w:p w14:paraId="0A8DCE6F" w14:textId="77777777" w:rsidR="00E850F6" w:rsidRPr="00D600DA" w:rsidRDefault="00E850F6" w:rsidP="00E850F6">
      <w:pPr>
        <w:spacing w:after="0" w:line="240" w:lineRule="auto"/>
        <w:rPr>
          <w:rFonts w:ascii="Times New Roman" w:hAnsi="Times New Roman"/>
          <w:lang w:eastAsia="ja-JP"/>
        </w:rPr>
      </w:pPr>
    </w:p>
    <w:p w14:paraId="7D35250E" w14:textId="77777777" w:rsidR="00E850F6" w:rsidRPr="00D600DA" w:rsidRDefault="00E850F6" w:rsidP="00E850F6">
      <w:pPr>
        <w:spacing w:after="0" w:line="240" w:lineRule="auto"/>
        <w:rPr>
          <w:rFonts w:ascii="Times New Roman" w:hAnsi="Times New Roman"/>
          <w:lang w:eastAsia="ja-JP"/>
        </w:rPr>
      </w:pPr>
    </w:p>
    <w:p w14:paraId="7ADB74C8" w14:textId="77777777" w:rsidR="00E850F6" w:rsidRPr="00D600DA" w:rsidRDefault="00E850F6" w:rsidP="00E850F6">
      <w:pPr>
        <w:spacing w:after="0" w:line="240" w:lineRule="auto"/>
        <w:rPr>
          <w:rFonts w:ascii="Times New Roman" w:hAnsi="Times New Roman"/>
          <w:lang w:eastAsia="ja-JP"/>
        </w:rPr>
      </w:pPr>
    </w:p>
    <w:p w14:paraId="501C0FAC" w14:textId="77777777" w:rsidR="00E850F6" w:rsidRPr="00D600DA" w:rsidRDefault="00E850F6" w:rsidP="00E850F6">
      <w:pPr>
        <w:spacing w:after="0" w:line="240" w:lineRule="auto"/>
        <w:rPr>
          <w:rFonts w:ascii="Times New Roman" w:hAnsi="Times New Roman"/>
          <w:lang w:eastAsia="ja-JP"/>
        </w:rPr>
      </w:pPr>
    </w:p>
    <w:p w14:paraId="5F920C6E" w14:textId="77777777" w:rsidR="00E850F6" w:rsidRPr="00D600DA" w:rsidRDefault="00E850F6" w:rsidP="00E850F6">
      <w:pPr>
        <w:spacing w:after="0" w:line="240" w:lineRule="auto"/>
        <w:rPr>
          <w:rFonts w:ascii="Times New Roman" w:hAnsi="Times New Roman"/>
          <w:lang w:eastAsia="ja-JP"/>
        </w:rPr>
      </w:pPr>
    </w:p>
    <w:p w14:paraId="00F3B4BA" w14:textId="77777777" w:rsidR="00E850F6" w:rsidRPr="00D600DA" w:rsidRDefault="00E850F6" w:rsidP="00E850F6">
      <w:pPr>
        <w:spacing w:after="0" w:line="240" w:lineRule="auto"/>
        <w:rPr>
          <w:rFonts w:ascii="Times New Roman" w:hAnsi="Times New Roman"/>
          <w:lang w:eastAsia="ja-JP"/>
        </w:rPr>
      </w:pPr>
    </w:p>
    <w:p w14:paraId="2068F21A" w14:textId="77777777" w:rsidR="00E850F6" w:rsidRPr="00D600DA" w:rsidRDefault="00E850F6" w:rsidP="00E850F6">
      <w:pPr>
        <w:spacing w:after="0" w:line="240" w:lineRule="auto"/>
        <w:rPr>
          <w:rFonts w:ascii="Times New Roman" w:hAnsi="Times New Roman"/>
          <w:lang w:eastAsia="ja-JP"/>
        </w:rPr>
      </w:pPr>
    </w:p>
    <w:p w14:paraId="751CA191" w14:textId="77777777" w:rsidR="00E850F6" w:rsidRPr="00D600DA" w:rsidRDefault="00E850F6" w:rsidP="00E850F6">
      <w:pPr>
        <w:spacing w:after="0" w:line="240" w:lineRule="auto"/>
        <w:rPr>
          <w:rFonts w:ascii="Times New Roman" w:hAnsi="Times New Roman"/>
          <w:lang w:eastAsia="ja-JP"/>
        </w:rPr>
      </w:pPr>
    </w:p>
    <w:p w14:paraId="666F2003" w14:textId="77777777" w:rsidR="00E850F6" w:rsidRPr="00D600DA" w:rsidRDefault="00E850F6" w:rsidP="00E850F6">
      <w:pPr>
        <w:spacing w:after="0" w:line="240" w:lineRule="auto"/>
        <w:rPr>
          <w:rFonts w:ascii="Times New Roman" w:hAnsi="Times New Roman"/>
          <w:lang w:eastAsia="ja-JP"/>
        </w:rPr>
      </w:pPr>
    </w:p>
    <w:p w14:paraId="502BFDB6" w14:textId="77777777" w:rsidR="00E850F6" w:rsidRPr="00D600DA" w:rsidRDefault="00E850F6" w:rsidP="00E850F6">
      <w:pPr>
        <w:spacing w:after="0" w:line="240" w:lineRule="auto"/>
        <w:rPr>
          <w:rFonts w:ascii="Times New Roman" w:hAnsi="Times New Roman"/>
          <w:lang w:eastAsia="ja-JP"/>
        </w:rPr>
      </w:pPr>
    </w:p>
    <w:p w14:paraId="42B11B2A" w14:textId="77777777" w:rsidR="00E850F6" w:rsidRPr="00D600DA" w:rsidRDefault="00E850F6" w:rsidP="00E850F6">
      <w:pPr>
        <w:spacing w:after="0" w:line="240" w:lineRule="auto"/>
        <w:rPr>
          <w:rFonts w:ascii="Times New Roman" w:hAnsi="Times New Roman"/>
          <w:lang w:eastAsia="ja-JP"/>
        </w:rPr>
      </w:pPr>
    </w:p>
    <w:p w14:paraId="1F6BF140" w14:textId="77777777" w:rsidR="00E850F6" w:rsidRPr="00D600DA" w:rsidRDefault="00E850F6" w:rsidP="00E850F6">
      <w:pPr>
        <w:spacing w:after="0" w:line="240" w:lineRule="auto"/>
        <w:rPr>
          <w:rFonts w:ascii="Times New Roman" w:hAnsi="Times New Roman"/>
          <w:lang w:eastAsia="ja-JP"/>
        </w:rPr>
      </w:pPr>
    </w:p>
    <w:p w14:paraId="0B12F9AC" w14:textId="77777777" w:rsidR="00E850F6" w:rsidRPr="00D600DA" w:rsidRDefault="00E850F6" w:rsidP="00E850F6">
      <w:pPr>
        <w:spacing w:after="0" w:line="240" w:lineRule="auto"/>
        <w:ind w:left="567" w:hanging="567"/>
        <w:jc w:val="center"/>
        <w:rPr>
          <w:rFonts w:ascii="Times New Roman" w:hAnsi="Times New Roman"/>
          <w:b/>
          <w:lang w:eastAsia="ja-JP"/>
        </w:rPr>
      </w:pPr>
    </w:p>
    <w:p w14:paraId="7200F1A8" w14:textId="77777777" w:rsidR="00E850F6" w:rsidRPr="00D600DA" w:rsidRDefault="00E850F6" w:rsidP="00E850F6">
      <w:pPr>
        <w:spacing w:after="0" w:line="240" w:lineRule="auto"/>
        <w:ind w:left="567" w:hanging="567"/>
        <w:jc w:val="center"/>
        <w:rPr>
          <w:rFonts w:ascii="Times New Roman" w:hAnsi="Times New Roman"/>
          <w:b/>
          <w:lang w:eastAsia="ja-JP"/>
        </w:rPr>
      </w:pPr>
      <w:r w:rsidRPr="00D600DA">
        <w:rPr>
          <w:rFonts w:ascii="Times New Roman" w:hAnsi="Times New Roman"/>
          <w:b/>
          <w:lang w:eastAsia="ja-JP"/>
        </w:rPr>
        <w:t>II PRIEDAS</w:t>
      </w:r>
    </w:p>
    <w:p w14:paraId="2943A063" w14:textId="77777777" w:rsidR="00E850F6" w:rsidRPr="00D600DA" w:rsidRDefault="00E850F6" w:rsidP="00E850F6">
      <w:pPr>
        <w:spacing w:after="0" w:line="240" w:lineRule="auto"/>
        <w:ind w:left="1701" w:right="1416" w:hanging="567"/>
        <w:rPr>
          <w:rFonts w:ascii="Times New Roman" w:hAnsi="Times New Roman"/>
          <w:lang w:eastAsia="ja-JP"/>
        </w:rPr>
      </w:pPr>
    </w:p>
    <w:p w14:paraId="226CAE3D" w14:textId="77777777" w:rsidR="00E850F6" w:rsidRPr="00D600DA" w:rsidRDefault="00E850F6" w:rsidP="00E850F6">
      <w:pPr>
        <w:spacing w:after="0"/>
        <w:jc w:val="center"/>
        <w:rPr>
          <w:rFonts w:ascii="Times New Roman" w:hAnsi="Times New Roman"/>
          <w:i/>
          <w:lang w:eastAsia="en-US"/>
        </w:rPr>
      </w:pPr>
      <w:r>
        <w:rPr>
          <w:rFonts w:ascii="Times New Roman" w:hAnsi="Times New Roman"/>
          <w:b/>
          <w:lang w:eastAsia="en-US"/>
        </w:rPr>
        <w:t>REGISTRACIJOS</w:t>
      </w:r>
      <w:r w:rsidRPr="00D600DA">
        <w:rPr>
          <w:rFonts w:ascii="Times New Roman" w:hAnsi="Times New Roman"/>
          <w:b/>
          <w:lang w:eastAsia="en-US"/>
        </w:rPr>
        <w:t xml:space="preserve"> SĄLYGOS</w:t>
      </w:r>
    </w:p>
    <w:p w14:paraId="3E651D72" w14:textId="77777777" w:rsidR="00E850F6" w:rsidRPr="00D600DA" w:rsidRDefault="00E850F6" w:rsidP="00E850F6">
      <w:pPr>
        <w:spacing w:after="0" w:line="240" w:lineRule="auto"/>
        <w:rPr>
          <w:rFonts w:ascii="Times New Roman" w:hAnsi="Times New Roman"/>
          <w:b/>
          <w:i/>
          <w:lang w:eastAsia="ja-JP"/>
        </w:rPr>
      </w:pPr>
    </w:p>
    <w:p w14:paraId="48277C99" w14:textId="77777777" w:rsidR="00E850F6" w:rsidRPr="00D600DA" w:rsidRDefault="00E850F6" w:rsidP="00E850F6">
      <w:pPr>
        <w:spacing w:after="0" w:line="240" w:lineRule="auto"/>
        <w:ind w:left="567" w:hanging="567"/>
        <w:outlineLvl w:val="0"/>
        <w:rPr>
          <w:rFonts w:ascii="Times New Roman" w:hAnsi="Times New Roman"/>
          <w:b/>
          <w:caps/>
          <w:kern w:val="28"/>
          <w:lang w:eastAsia="ja-JP"/>
        </w:rPr>
      </w:pPr>
      <w:r w:rsidRPr="00D600DA">
        <w:rPr>
          <w:rFonts w:ascii="Times New Roman" w:hAnsi="Times New Roman"/>
          <w:b/>
          <w:caps/>
          <w:kern w:val="28"/>
          <w:lang w:eastAsia="ja-JP"/>
        </w:rPr>
        <w:t xml:space="preserve">A. </w:t>
      </w:r>
      <w:r w:rsidRPr="00D600DA">
        <w:rPr>
          <w:rFonts w:ascii="Times New Roman" w:hAnsi="Times New Roman"/>
          <w:b/>
          <w:caps/>
          <w:kern w:val="28"/>
          <w:lang w:eastAsia="ja-JP"/>
        </w:rPr>
        <w:tab/>
        <w:t>GAMINTOJAS, ATSAKINGAS UŽ SERIJŲ IŠLEIDIMĄ</w:t>
      </w:r>
    </w:p>
    <w:p w14:paraId="2DE3DFC9" w14:textId="77777777" w:rsidR="00E850F6" w:rsidRPr="00D600DA" w:rsidRDefault="00E850F6" w:rsidP="00E850F6">
      <w:pPr>
        <w:spacing w:after="0" w:line="240" w:lineRule="auto"/>
        <w:rPr>
          <w:rFonts w:ascii="Times New Roman" w:hAnsi="Times New Roman"/>
          <w:b/>
          <w:i/>
          <w:lang w:eastAsia="ja-JP"/>
        </w:rPr>
      </w:pPr>
    </w:p>
    <w:p w14:paraId="1A0CF292" w14:textId="77777777" w:rsidR="00E850F6" w:rsidRPr="00D600DA" w:rsidRDefault="00E850F6" w:rsidP="00E850F6">
      <w:pPr>
        <w:spacing w:after="0" w:line="240" w:lineRule="auto"/>
        <w:ind w:left="567" w:hanging="567"/>
        <w:outlineLvl w:val="0"/>
        <w:rPr>
          <w:rFonts w:ascii="Times New Roman" w:hAnsi="Times New Roman"/>
          <w:b/>
          <w:caps/>
          <w:kern w:val="28"/>
          <w:lang w:eastAsia="ja-JP"/>
        </w:rPr>
      </w:pPr>
      <w:r w:rsidRPr="00D600DA">
        <w:rPr>
          <w:rFonts w:ascii="Times New Roman" w:hAnsi="Times New Roman"/>
          <w:b/>
          <w:caps/>
          <w:kern w:val="28"/>
          <w:lang w:eastAsia="ja-JP"/>
        </w:rPr>
        <w:t xml:space="preserve">B. </w:t>
      </w:r>
      <w:r w:rsidRPr="00D600DA">
        <w:rPr>
          <w:rFonts w:ascii="Times New Roman" w:hAnsi="Times New Roman"/>
          <w:b/>
          <w:caps/>
          <w:kern w:val="28"/>
          <w:lang w:eastAsia="ja-JP"/>
        </w:rPr>
        <w:tab/>
      </w:r>
      <w:r w:rsidRPr="00D600DA">
        <w:rPr>
          <w:rFonts w:ascii="Times New Roman" w:hAnsi="Times New Roman"/>
          <w:b/>
          <w:lang w:eastAsia="ja-JP"/>
        </w:rPr>
        <w:t>TIEKIMO IR VARTOJIMO SĄLYGOS AR APRIBOJIMAI</w:t>
      </w:r>
    </w:p>
    <w:p w14:paraId="7DC288A0" w14:textId="77777777" w:rsidR="00E850F6" w:rsidRPr="00D600DA" w:rsidRDefault="00E850F6" w:rsidP="00E850F6">
      <w:pPr>
        <w:spacing w:after="0" w:line="240" w:lineRule="auto"/>
        <w:rPr>
          <w:rFonts w:ascii="Times New Roman" w:hAnsi="Times New Roman"/>
          <w:b/>
          <w:i/>
          <w:lang w:eastAsia="ja-JP"/>
        </w:rPr>
      </w:pPr>
    </w:p>
    <w:p w14:paraId="2B006E2B" w14:textId="77777777" w:rsidR="00E850F6" w:rsidRPr="00D600DA" w:rsidRDefault="00E850F6" w:rsidP="00E850F6">
      <w:pPr>
        <w:spacing w:after="0" w:line="240" w:lineRule="auto"/>
        <w:ind w:left="567" w:hanging="567"/>
        <w:rPr>
          <w:rFonts w:ascii="Times New Roman" w:hAnsi="Times New Roman"/>
          <w:b/>
          <w:lang w:eastAsia="ja-JP"/>
        </w:rPr>
      </w:pPr>
      <w:r w:rsidRPr="00D600DA">
        <w:rPr>
          <w:rFonts w:ascii="Times New Roman" w:hAnsi="Times New Roman"/>
          <w:b/>
          <w:i/>
          <w:lang w:eastAsia="ja-JP"/>
        </w:rPr>
        <w:br w:type="page"/>
      </w:r>
      <w:r w:rsidRPr="00D600DA">
        <w:rPr>
          <w:rFonts w:ascii="Times New Roman" w:hAnsi="Times New Roman"/>
          <w:b/>
          <w:lang w:eastAsia="ja-JP"/>
        </w:rPr>
        <w:lastRenderedPageBreak/>
        <w:t xml:space="preserve">A. </w:t>
      </w:r>
      <w:r w:rsidRPr="00D600DA">
        <w:rPr>
          <w:rFonts w:ascii="Times New Roman" w:hAnsi="Times New Roman"/>
          <w:b/>
          <w:lang w:eastAsia="ja-JP"/>
        </w:rPr>
        <w:tab/>
        <w:t>GAMINTOJAS, ATSAKINGAS UŽ SERIJŲ IŠLEIDIMĄ</w:t>
      </w:r>
    </w:p>
    <w:p w14:paraId="4A8F2DD4" w14:textId="77777777" w:rsidR="00E850F6" w:rsidRPr="00D600DA" w:rsidRDefault="00E850F6" w:rsidP="00E850F6">
      <w:pPr>
        <w:spacing w:after="0" w:line="240" w:lineRule="auto"/>
        <w:ind w:left="567" w:hanging="567"/>
        <w:rPr>
          <w:rFonts w:ascii="Times New Roman" w:hAnsi="Times New Roman"/>
          <w:b/>
          <w:lang w:eastAsia="ja-JP"/>
        </w:rPr>
      </w:pPr>
    </w:p>
    <w:p w14:paraId="71DDFF6B" w14:textId="77777777" w:rsidR="00E850F6" w:rsidRPr="00D600DA" w:rsidRDefault="00E850F6" w:rsidP="00E850F6">
      <w:pPr>
        <w:spacing w:after="0" w:line="240" w:lineRule="auto"/>
        <w:rPr>
          <w:rFonts w:ascii="Times New Roman" w:hAnsi="Times New Roman"/>
          <w:u w:val="single"/>
          <w:lang w:eastAsia="ja-JP"/>
        </w:rPr>
      </w:pPr>
      <w:r w:rsidRPr="00D600DA">
        <w:rPr>
          <w:rFonts w:ascii="Times New Roman" w:hAnsi="Times New Roman"/>
          <w:u w:val="single"/>
          <w:lang w:eastAsia="ja-JP"/>
        </w:rPr>
        <w:t>Gamintojo, atsakingo už serijų išleidimą, pavadinimas ir adresas</w:t>
      </w:r>
    </w:p>
    <w:p w14:paraId="6C9CB12B" w14:textId="77777777" w:rsidR="00E850F6" w:rsidRPr="00D600DA" w:rsidRDefault="00E850F6" w:rsidP="00E850F6">
      <w:pPr>
        <w:spacing w:after="0" w:line="240" w:lineRule="auto"/>
        <w:rPr>
          <w:rFonts w:ascii="Times New Roman" w:hAnsi="Times New Roman"/>
          <w:lang w:eastAsia="ja-JP"/>
        </w:rPr>
      </w:pPr>
    </w:p>
    <w:p w14:paraId="52459DDB" w14:textId="77777777" w:rsidR="00E850F6" w:rsidRPr="00D600DA" w:rsidRDefault="00E850F6" w:rsidP="00E850F6">
      <w:pPr>
        <w:spacing w:after="0" w:line="240" w:lineRule="auto"/>
        <w:rPr>
          <w:rFonts w:ascii="Times New Roman" w:hAnsi="Times New Roman"/>
          <w:lang w:eastAsia="de-DE"/>
        </w:rPr>
      </w:pPr>
      <w:r w:rsidRPr="00D600DA">
        <w:rPr>
          <w:rFonts w:ascii="Times New Roman" w:hAnsi="Times New Roman"/>
          <w:lang w:eastAsia="de-DE"/>
        </w:rPr>
        <w:t>Roche Pharma AG</w:t>
      </w:r>
    </w:p>
    <w:p w14:paraId="53C5AF4D" w14:textId="77777777" w:rsidR="00E850F6" w:rsidRPr="00D600DA" w:rsidRDefault="00E850F6" w:rsidP="00E850F6">
      <w:pPr>
        <w:numPr>
          <w:ilvl w:val="12"/>
          <w:numId w:val="0"/>
        </w:numPr>
        <w:spacing w:after="0" w:line="240" w:lineRule="auto"/>
        <w:ind w:right="-2"/>
        <w:rPr>
          <w:rFonts w:ascii="Times New Roman" w:hAnsi="Times New Roman"/>
          <w:lang w:eastAsia="ja-JP"/>
        </w:rPr>
      </w:pPr>
      <w:r w:rsidRPr="00D600DA">
        <w:rPr>
          <w:rFonts w:ascii="Times New Roman" w:hAnsi="Times New Roman"/>
          <w:lang w:eastAsia="ja-JP"/>
        </w:rPr>
        <w:t>Emil-Barell-Strasse 1</w:t>
      </w:r>
    </w:p>
    <w:p w14:paraId="61E30785" w14:textId="77777777" w:rsidR="00E850F6" w:rsidRPr="00D600DA" w:rsidRDefault="00E850F6" w:rsidP="00E850F6">
      <w:pPr>
        <w:numPr>
          <w:ilvl w:val="12"/>
          <w:numId w:val="0"/>
        </w:numPr>
        <w:spacing w:after="0" w:line="240" w:lineRule="auto"/>
        <w:ind w:right="-2"/>
        <w:rPr>
          <w:rFonts w:ascii="Times New Roman" w:hAnsi="Times New Roman"/>
          <w:lang w:eastAsia="ja-JP"/>
        </w:rPr>
      </w:pPr>
      <w:r w:rsidRPr="00D600DA">
        <w:rPr>
          <w:rFonts w:ascii="Times New Roman" w:hAnsi="Times New Roman"/>
          <w:lang w:eastAsia="ja-JP"/>
        </w:rPr>
        <w:t>D-79639 Grenzach-Wyhlen</w:t>
      </w:r>
    </w:p>
    <w:p w14:paraId="5DA45E65" w14:textId="613FC997" w:rsidR="00E850F6" w:rsidRDefault="00E850F6" w:rsidP="00E850F6">
      <w:pPr>
        <w:spacing w:after="0" w:line="240" w:lineRule="auto"/>
        <w:rPr>
          <w:rFonts w:ascii="Times New Roman" w:hAnsi="Times New Roman"/>
          <w:lang w:eastAsia="ja-JP"/>
        </w:rPr>
      </w:pPr>
      <w:r w:rsidRPr="00D600DA">
        <w:rPr>
          <w:rFonts w:ascii="Times New Roman" w:hAnsi="Times New Roman"/>
          <w:lang w:eastAsia="ja-JP"/>
        </w:rPr>
        <w:t>Vokietija</w:t>
      </w:r>
    </w:p>
    <w:p w14:paraId="672599D8" w14:textId="77777777" w:rsidR="008A7D15" w:rsidRPr="00D600DA" w:rsidRDefault="008A7D15" w:rsidP="00E850F6">
      <w:pPr>
        <w:spacing w:after="0" w:line="240" w:lineRule="auto"/>
        <w:rPr>
          <w:rFonts w:ascii="Times New Roman" w:hAnsi="Times New Roman"/>
          <w:noProof/>
          <w:lang w:eastAsia="ja-JP"/>
        </w:rPr>
      </w:pPr>
    </w:p>
    <w:p w14:paraId="6C305F03" w14:textId="77777777" w:rsidR="008A7D15" w:rsidRPr="008A7D15" w:rsidRDefault="008A7D15" w:rsidP="008A7D15">
      <w:pPr>
        <w:spacing w:after="0" w:line="240" w:lineRule="auto"/>
        <w:rPr>
          <w:rFonts w:ascii="Times New Roman" w:hAnsi="Times New Roman"/>
          <w:lang w:eastAsia="ja-JP"/>
        </w:rPr>
      </w:pPr>
      <w:proofErr w:type="spellStart"/>
      <w:r w:rsidRPr="008A7D15">
        <w:rPr>
          <w:rFonts w:ascii="Times New Roman" w:hAnsi="Times New Roman"/>
          <w:lang w:eastAsia="ja-JP"/>
        </w:rPr>
        <w:t>Prestige</w:t>
      </w:r>
      <w:proofErr w:type="spellEnd"/>
      <w:r w:rsidRPr="008A7D15">
        <w:rPr>
          <w:rFonts w:ascii="Times New Roman" w:hAnsi="Times New Roman"/>
          <w:lang w:eastAsia="ja-JP"/>
        </w:rPr>
        <w:t xml:space="preserve"> </w:t>
      </w:r>
      <w:proofErr w:type="spellStart"/>
      <w:r w:rsidRPr="008A7D15">
        <w:rPr>
          <w:rFonts w:ascii="Times New Roman" w:hAnsi="Times New Roman"/>
          <w:lang w:eastAsia="ja-JP"/>
        </w:rPr>
        <w:t>Promotion</w:t>
      </w:r>
      <w:proofErr w:type="spellEnd"/>
      <w:r w:rsidRPr="008A7D15">
        <w:rPr>
          <w:rFonts w:ascii="Times New Roman" w:hAnsi="Times New Roman"/>
          <w:lang w:eastAsia="ja-JP"/>
        </w:rPr>
        <w:t xml:space="preserve"> </w:t>
      </w:r>
      <w:proofErr w:type="spellStart"/>
      <w:r w:rsidRPr="008A7D15">
        <w:rPr>
          <w:rFonts w:ascii="Times New Roman" w:hAnsi="Times New Roman"/>
          <w:lang w:eastAsia="ja-JP"/>
        </w:rPr>
        <w:t>Verkaufsfoerderung</w:t>
      </w:r>
      <w:proofErr w:type="spellEnd"/>
      <w:r w:rsidRPr="008A7D15">
        <w:rPr>
          <w:rFonts w:ascii="Times New Roman" w:hAnsi="Times New Roman"/>
          <w:lang w:eastAsia="ja-JP"/>
        </w:rPr>
        <w:t xml:space="preserve"> &amp; </w:t>
      </w:r>
      <w:proofErr w:type="spellStart"/>
      <w:r w:rsidRPr="008A7D15">
        <w:rPr>
          <w:rFonts w:ascii="Times New Roman" w:hAnsi="Times New Roman"/>
          <w:lang w:eastAsia="ja-JP"/>
        </w:rPr>
        <w:t>Werbeservice</w:t>
      </w:r>
      <w:proofErr w:type="spellEnd"/>
      <w:r w:rsidRPr="008A7D15">
        <w:rPr>
          <w:rFonts w:ascii="Times New Roman" w:hAnsi="Times New Roman"/>
          <w:lang w:eastAsia="ja-JP"/>
        </w:rPr>
        <w:t xml:space="preserve"> </w:t>
      </w:r>
      <w:proofErr w:type="spellStart"/>
      <w:r w:rsidRPr="008A7D15">
        <w:rPr>
          <w:rFonts w:ascii="Times New Roman" w:hAnsi="Times New Roman"/>
          <w:lang w:eastAsia="ja-JP"/>
        </w:rPr>
        <w:t>GmbH</w:t>
      </w:r>
      <w:proofErr w:type="spellEnd"/>
    </w:p>
    <w:p w14:paraId="16B9DD58" w14:textId="77777777" w:rsidR="008A7D15" w:rsidRPr="008A7D15" w:rsidRDefault="008A7D15" w:rsidP="008A7D15">
      <w:pPr>
        <w:spacing w:after="0" w:line="240" w:lineRule="auto"/>
        <w:rPr>
          <w:rFonts w:ascii="Times New Roman" w:hAnsi="Times New Roman"/>
          <w:lang w:eastAsia="ja-JP"/>
        </w:rPr>
      </w:pPr>
      <w:proofErr w:type="spellStart"/>
      <w:r w:rsidRPr="008A7D15">
        <w:rPr>
          <w:rFonts w:ascii="Times New Roman" w:hAnsi="Times New Roman"/>
          <w:lang w:eastAsia="ja-JP"/>
        </w:rPr>
        <w:t>Lindigstrasse</w:t>
      </w:r>
      <w:proofErr w:type="spellEnd"/>
      <w:r w:rsidRPr="008A7D15">
        <w:rPr>
          <w:rFonts w:ascii="Times New Roman" w:hAnsi="Times New Roman"/>
          <w:lang w:eastAsia="ja-JP"/>
        </w:rPr>
        <w:t xml:space="preserve"> 6</w:t>
      </w:r>
    </w:p>
    <w:p w14:paraId="736D3821" w14:textId="77777777" w:rsidR="008A7D15" w:rsidRPr="008A7D15" w:rsidRDefault="008A7D15" w:rsidP="008A7D15">
      <w:pPr>
        <w:spacing w:after="0" w:line="240" w:lineRule="auto"/>
        <w:rPr>
          <w:rFonts w:ascii="Times New Roman" w:hAnsi="Times New Roman"/>
          <w:lang w:eastAsia="ja-JP"/>
        </w:rPr>
      </w:pPr>
      <w:r w:rsidRPr="008A7D15">
        <w:rPr>
          <w:rFonts w:ascii="Times New Roman" w:hAnsi="Times New Roman"/>
          <w:lang w:eastAsia="ja-JP"/>
        </w:rPr>
        <w:t xml:space="preserve">63801 </w:t>
      </w:r>
      <w:proofErr w:type="spellStart"/>
      <w:r w:rsidRPr="008A7D15">
        <w:rPr>
          <w:rFonts w:ascii="Times New Roman" w:hAnsi="Times New Roman"/>
          <w:lang w:eastAsia="ja-JP"/>
        </w:rPr>
        <w:t>Kleinostheim</w:t>
      </w:r>
      <w:proofErr w:type="spellEnd"/>
    </w:p>
    <w:p w14:paraId="400F4EE9" w14:textId="77777777" w:rsidR="008A7D15" w:rsidRPr="008A7D15" w:rsidRDefault="008A7D15" w:rsidP="008A7D15">
      <w:pPr>
        <w:spacing w:after="0" w:line="240" w:lineRule="auto"/>
        <w:rPr>
          <w:rFonts w:ascii="Times New Roman" w:hAnsi="Times New Roman"/>
          <w:lang w:eastAsia="ja-JP"/>
        </w:rPr>
      </w:pPr>
      <w:r w:rsidRPr="008A7D15">
        <w:rPr>
          <w:rFonts w:ascii="Times New Roman" w:hAnsi="Times New Roman"/>
          <w:lang w:eastAsia="ja-JP"/>
        </w:rPr>
        <w:t>Vokietija</w:t>
      </w:r>
    </w:p>
    <w:p w14:paraId="2653237A" w14:textId="77777777" w:rsidR="008A7D15" w:rsidRPr="008A7D15" w:rsidRDefault="008A7D15" w:rsidP="008A7D15">
      <w:pPr>
        <w:spacing w:after="0" w:line="240" w:lineRule="auto"/>
        <w:rPr>
          <w:rFonts w:ascii="Times New Roman" w:hAnsi="Times New Roman"/>
          <w:lang w:eastAsia="ja-JP"/>
        </w:rPr>
      </w:pPr>
    </w:p>
    <w:p w14:paraId="5E84C933" w14:textId="77777777" w:rsidR="008A7D15" w:rsidRPr="008A7D15" w:rsidRDefault="008A7D15" w:rsidP="008A7D15">
      <w:pPr>
        <w:spacing w:after="0" w:line="240" w:lineRule="auto"/>
        <w:rPr>
          <w:rFonts w:ascii="Times New Roman" w:hAnsi="Times New Roman"/>
          <w:lang w:eastAsia="ja-JP"/>
        </w:rPr>
      </w:pPr>
      <w:proofErr w:type="spellStart"/>
      <w:r w:rsidRPr="008A7D15">
        <w:rPr>
          <w:rFonts w:ascii="Times New Roman" w:hAnsi="Times New Roman"/>
          <w:lang w:eastAsia="ja-JP"/>
        </w:rPr>
        <w:t>Prestige</w:t>
      </w:r>
      <w:proofErr w:type="spellEnd"/>
      <w:r w:rsidRPr="008A7D15">
        <w:rPr>
          <w:rFonts w:ascii="Times New Roman" w:hAnsi="Times New Roman"/>
          <w:lang w:eastAsia="ja-JP"/>
        </w:rPr>
        <w:t xml:space="preserve"> </w:t>
      </w:r>
      <w:proofErr w:type="spellStart"/>
      <w:r w:rsidRPr="008A7D15">
        <w:rPr>
          <w:rFonts w:ascii="Times New Roman" w:hAnsi="Times New Roman"/>
          <w:lang w:eastAsia="ja-JP"/>
        </w:rPr>
        <w:t>Promotion</w:t>
      </w:r>
      <w:proofErr w:type="spellEnd"/>
      <w:r w:rsidRPr="008A7D15">
        <w:rPr>
          <w:rFonts w:ascii="Times New Roman" w:hAnsi="Times New Roman"/>
          <w:lang w:eastAsia="ja-JP"/>
        </w:rPr>
        <w:t xml:space="preserve"> </w:t>
      </w:r>
      <w:proofErr w:type="spellStart"/>
      <w:r w:rsidRPr="008A7D15">
        <w:rPr>
          <w:rFonts w:ascii="Times New Roman" w:hAnsi="Times New Roman"/>
          <w:lang w:eastAsia="ja-JP"/>
        </w:rPr>
        <w:t>Verkaufsfoerderung</w:t>
      </w:r>
      <w:proofErr w:type="spellEnd"/>
      <w:r w:rsidRPr="008A7D15">
        <w:rPr>
          <w:rFonts w:ascii="Times New Roman" w:hAnsi="Times New Roman"/>
          <w:lang w:eastAsia="ja-JP"/>
        </w:rPr>
        <w:t xml:space="preserve"> &amp; </w:t>
      </w:r>
      <w:proofErr w:type="spellStart"/>
      <w:r w:rsidRPr="008A7D15">
        <w:rPr>
          <w:rFonts w:ascii="Times New Roman" w:hAnsi="Times New Roman"/>
          <w:lang w:eastAsia="ja-JP"/>
        </w:rPr>
        <w:t>Werbeservice</w:t>
      </w:r>
      <w:proofErr w:type="spellEnd"/>
      <w:r w:rsidRPr="008A7D15">
        <w:rPr>
          <w:rFonts w:ascii="Times New Roman" w:hAnsi="Times New Roman"/>
          <w:lang w:eastAsia="ja-JP"/>
        </w:rPr>
        <w:t xml:space="preserve"> </w:t>
      </w:r>
      <w:proofErr w:type="spellStart"/>
      <w:r w:rsidRPr="008A7D15">
        <w:rPr>
          <w:rFonts w:ascii="Times New Roman" w:hAnsi="Times New Roman"/>
          <w:lang w:eastAsia="ja-JP"/>
        </w:rPr>
        <w:t>GmbH</w:t>
      </w:r>
      <w:proofErr w:type="spellEnd"/>
    </w:p>
    <w:p w14:paraId="2727871D" w14:textId="77777777" w:rsidR="008A7D15" w:rsidRPr="008A7D15" w:rsidRDefault="008A7D15" w:rsidP="008A7D15">
      <w:pPr>
        <w:spacing w:after="0" w:line="240" w:lineRule="auto"/>
        <w:rPr>
          <w:rFonts w:ascii="Times New Roman" w:hAnsi="Times New Roman"/>
          <w:lang w:eastAsia="ja-JP"/>
        </w:rPr>
      </w:pPr>
      <w:proofErr w:type="spellStart"/>
      <w:r w:rsidRPr="008A7D15">
        <w:rPr>
          <w:rFonts w:ascii="Times New Roman" w:hAnsi="Times New Roman"/>
          <w:lang w:eastAsia="ja-JP"/>
        </w:rPr>
        <w:t>Borsigstrasse</w:t>
      </w:r>
      <w:proofErr w:type="spellEnd"/>
      <w:r w:rsidRPr="008A7D15">
        <w:rPr>
          <w:rFonts w:ascii="Times New Roman" w:hAnsi="Times New Roman"/>
          <w:lang w:eastAsia="ja-JP"/>
        </w:rPr>
        <w:t xml:space="preserve"> 2</w:t>
      </w:r>
    </w:p>
    <w:p w14:paraId="3277385B" w14:textId="77777777" w:rsidR="008A7D15" w:rsidRPr="008A7D15" w:rsidRDefault="008A7D15" w:rsidP="008A7D15">
      <w:pPr>
        <w:spacing w:after="0" w:line="240" w:lineRule="auto"/>
        <w:rPr>
          <w:rFonts w:ascii="Times New Roman" w:hAnsi="Times New Roman"/>
          <w:lang w:eastAsia="ja-JP"/>
        </w:rPr>
      </w:pPr>
      <w:r w:rsidRPr="008A7D15">
        <w:rPr>
          <w:rFonts w:ascii="Times New Roman" w:hAnsi="Times New Roman"/>
          <w:lang w:eastAsia="ja-JP"/>
        </w:rPr>
        <w:t xml:space="preserve">63755 </w:t>
      </w:r>
      <w:proofErr w:type="spellStart"/>
      <w:r w:rsidRPr="008A7D15">
        <w:rPr>
          <w:rFonts w:ascii="Times New Roman" w:hAnsi="Times New Roman"/>
          <w:lang w:eastAsia="ja-JP"/>
        </w:rPr>
        <w:t>Alzenau</w:t>
      </w:r>
      <w:proofErr w:type="spellEnd"/>
    </w:p>
    <w:p w14:paraId="22B9C637" w14:textId="77777777" w:rsidR="008A7D15" w:rsidRPr="008A7D15" w:rsidRDefault="008A7D15" w:rsidP="008A7D15">
      <w:pPr>
        <w:spacing w:after="0" w:line="240" w:lineRule="auto"/>
        <w:rPr>
          <w:rFonts w:ascii="Times New Roman" w:hAnsi="Times New Roman"/>
          <w:lang w:eastAsia="ja-JP"/>
        </w:rPr>
      </w:pPr>
      <w:r w:rsidRPr="008A7D15">
        <w:rPr>
          <w:rFonts w:ascii="Times New Roman" w:hAnsi="Times New Roman"/>
          <w:lang w:eastAsia="ja-JP"/>
        </w:rPr>
        <w:t>Vokietija</w:t>
      </w:r>
    </w:p>
    <w:p w14:paraId="05C623CF" w14:textId="77777777" w:rsidR="00E850F6" w:rsidRPr="00D600DA" w:rsidRDefault="00E850F6" w:rsidP="00E850F6">
      <w:pPr>
        <w:spacing w:after="0" w:line="240" w:lineRule="auto"/>
        <w:rPr>
          <w:rFonts w:ascii="Times New Roman" w:hAnsi="Times New Roman"/>
          <w:lang w:eastAsia="ja-JP"/>
        </w:rPr>
      </w:pPr>
    </w:p>
    <w:p w14:paraId="715B2E0D" w14:textId="77777777" w:rsidR="0053231C" w:rsidRPr="0053231C" w:rsidRDefault="0053231C" w:rsidP="0053231C">
      <w:pPr>
        <w:tabs>
          <w:tab w:val="left" w:pos="567"/>
        </w:tabs>
        <w:spacing w:after="0" w:line="240" w:lineRule="auto"/>
        <w:rPr>
          <w:rFonts w:ascii="Times New Roman" w:eastAsia="Times New Roman" w:hAnsi="Times New Roman"/>
          <w:color w:val="000000"/>
          <w:lang w:bidi="lt-LT"/>
        </w:rPr>
      </w:pPr>
      <w:r w:rsidRPr="0053231C">
        <w:rPr>
          <w:rFonts w:ascii="Times New Roman" w:eastAsia="Times New Roman" w:hAnsi="Times New Roman"/>
          <w:color w:val="000000"/>
          <w:lang w:bidi="lt-LT"/>
        </w:rPr>
        <w:t>Su pakuote pateikiamame lapelyje nurodomas gamintojo, atsakingo už konkrečios serijos išleidimą, pavadinimas ir adresas.</w:t>
      </w:r>
    </w:p>
    <w:p w14:paraId="52029C30" w14:textId="77777777" w:rsidR="0053231C" w:rsidRPr="0053231C" w:rsidRDefault="0053231C" w:rsidP="0053231C">
      <w:pPr>
        <w:tabs>
          <w:tab w:val="left" w:pos="567"/>
        </w:tabs>
        <w:spacing w:after="0" w:line="240" w:lineRule="auto"/>
        <w:rPr>
          <w:rFonts w:ascii="Times New Roman" w:eastAsia="Times New Roman" w:hAnsi="Times New Roman"/>
          <w:color w:val="000000"/>
          <w:lang w:bidi="lt-LT"/>
        </w:rPr>
      </w:pPr>
    </w:p>
    <w:p w14:paraId="1D586AE2" w14:textId="77777777" w:rsidR="00E850F6" w:rsidRPr="00D600DA" w:rsidRDefault="00E850F6" w:rsidP="00E850F6">
      <w:pPr>
        <w:spacing w:after="0" w:line="240" w:lineRule="auto"/>
        <w:rPr>
          <w:rFonts w:ascii="Times New Roman" w:hAnsi="Times New Roman"/>
          <w:b/>
          <w:lang w:eastAsia="ja-JP"/>
        </w:rPr>
      </w:pPr>
    </w:p>
    <w:p w14:paraId="640919CB" w14:textId="77777777" w:rsidR="00E850F6" w:rsidRPr="00D600DA" w:rsidRDefault="00E850F6" w:rsidP="00E850F6">
      <w:pPr>
        <w:spacing w:after="0" w:line="240" w:lineRule="auto"/>
        <w:ind w:left="567" w:hanging="567"/>
        <w:rPr>
          <w:rFonts w:ascii="Times New Roman" w:hAnsi="Times New Roman"/>
          <w:b/>
          <w:lang w:eastAsia="ja-JP"/>
        </w:rPr>
      </w:pPr>
      <w:r w:rsidRPr="00D600DA">
        <w:rPr>
          <w:rFonts w:ascii="Times New Roman" w:hAnsi="Times New Roman"/>
          <w:b/>
          <w:lang w:eastAsia="ja-JP"/>
        </w:rPr>
        <w:t xml:space="preserve">B. </w:t>
      </w:r>
      <w:r w:rsidRPr="00D600DA">
        <w:rPr>
          <w:rFonts w:ascii="Times New Roman" w:hAnsi="Times New Roman"/>
          <w:b/>
          <w:lang w:eastAsia="ja-JP"/>
        </w:rPr>
        <w:tab/>
        <w:t>TIEKIMO IR VARTOJIMO SĄLYGOS AR APRIBOJIMAI</w:t>
      </w:r>
    </w:p>
    <w:p w14:paraId="4C2F7BB4" w14:textId="77777777" w:rsidR="00E850F6" w:rsidRPr="00D600DA" w:rsidRDefault="00E850F6" w:rsidP="00E850F6">
      <w:pPr>
        <w:spacing w:after="0" w:line="240" w:lineRule="auto"/>
        <w:rPr>
          <w:rFonts w:ascii="Times New Roman" w:hAnsi="Times New Roman"/>
          <w:b/>
          <w:lang w:eastAsia="ja-JP"/>
        </w:rPr>
      </w:pPr>
    </w:p>
    <w:p w14:paraId="54A98500"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Receptinis vaistinis preparatas.</w:t>
      </w:r>
    </w:p>
    <w:p w14:paraId="06603E53" w14:textId="77777777" w:rsidR="00E850F6" w:rsidRPr="00D600DA" w:rsidRDefault="00E850F6" w:rsidP="00E850F6">
      <w:pPr>
        <w:spacing w:after="0" w:line="240" w:lineRule="auto"/>
        <w:rPr>
          <w:rFonts w:ascii="Times New Roman" w:hAnsi="Times New Roman"/>
          <w:lang w:eastAsia="ja-JP"/>
        </w:rPr>
      </w:pPr>
    </w:p>
    <w:p w14:paraId="3543AA27" w14:textId="77777777" w:rsidR="00E850F6" w:rsidRPr="00D600DA" w:rsidRDefault="00E850F6" w:rsidP="00E850F6">
      <w:pPr>
        <w:spacing w:after="0" w:line="240" w:lineRule="auto"/>
        <w:rPr>
          <w:rFonts w:ascii="Times New Roman" w:hAnsi="Times New Roman"/>
          <w:lang w:eastAsia="ja-JP"/>
        </w:rPr>
      </w:pPr>
    </w:p>
    <w:p w14:paraId="7FE37640" w14:textId="77777777" w:rsidR="00E850F6" w:rsidRPr="00D600DA" w:rsidRDefault="00E850F6" w:rsidP="00E850F6">
      <w:pPr>
        <w:spacing w:after="0" w:line="240" w:lineRule="auto"/>
        <w:ind w:left="567" w:hanging="567"/>
        <w:rPr>
          <w:rFonts w:ascii="Times New Roman" w:hAnsi="Times New Roman"/>
          <w:lang w:eastAsia="ja-JP"/>
        </w:rPr>
      </w:pPr>
      <w:r w:rsidRPr="00D600DA">
        <w:rPr>
          <w:rFonts w:ascii="Times New Roman" w:hAnsi="Times New Roman"/>
          <w:lang w:eastAsia="ja-JP"/>
        </w:rPr>
        <w:br w:type="page"/>
      </w:r>
    </w:p>
    <w:p w14:paraId="543C7E85" w14:textId="77777777" w:rsidR="00E850F6" w:rsidRPr="00D600DA" w:rsidRDefault="00E850F6" w:rsidP="00E850F6">
      <w:pPr>
        <w:spacing w:after="0" w:line="240" w:lineRule="auto"/>
        <w:ind w:left="567" w:hanging="567"/>
        <w:rPr>
          <w:rFonts w:ascii="Times New Roman" w:hAnsi="Times New Roman"/>
          <w:lang w:eastAsia="ja-JP"/>
        </w:rPr>
      </w:pPr>
    </w:p>
    <w:p w14:paraId="2FCE852A" w14:textId="77777777" w:rsidR="00E850F6" w:rsidRPr="00D600DA" w:rsidRDefault="00E850F6" w:rsidP="00E850F6">
      <w:pPr>
        <w:spacing w:after="0" w:line="240" w:lineRule="auto"/>
        <w:ind w:left="567" w:hanging="567"/>
        <w:rPr>
          <w:rFonts w:ascii="Times New Roman" w:hAnsi="Times New Roman"/>
          <w:lang w:eastAsia="ja-JP"/>
        </w:rPr>
      </w:pPr>
    </w:p>
    <w:p w14:paraId="20D775B9" w14:textId="77777777" w:rsidR="00E850F6" w:rsidRPr="00D600DA" w:rsidRDefault="00E850F6" w:rsidP="00E850F6">
      <w:pPr>
        <w:spacing w:after="0" w:line="240" w:lineRule="auto"/>
        <w:ind w:left="567" w:hanging="567"/>
        <w:rPr>
          <w:rFonts w:ascii="Times New Roman" w:hAnsi="Times New Roman"/>
          <w:lang w:eastAsia="ja-JP"/>
        </w:rPr>
      </w:pPr>
    </w:p>
    <w:p w14:paraId="04CC0F68" w14:textId="77777777" w:rsidR="00E850F6" w:rsidRPr="00D600DA" w:rsidRDefault="00E850F6" w:rsidP="00E850F6">
      <w:pPr>
        <w:spacing w:after="0" w:line="240" w:lineRule="auto"/>
        <w:ind w:left="567" w:hanging="567"/>
        <w:rPr>
          <w:rFonts w:ascii="Times New Roman" w:hAnsi="Times New Roman"/>
          <w:lang w:eastAsia="ja-JP"/>
        </w:rPr>
      </w:pPr>
    </w:p>
    <w:p w14:paraId="2377AA0D" w14:textId="77777777" w:rsidR="00E850F6" w:rsidRPr="00D600DA" w:rsidRDefault="00E850F6" w:rsidP="00E850F6">
      <w:pPr>
        <w:spacing w:after="0" w:line="240" w:lineRule="auto"/>
        <w:ind w:left="567" w:hanging="567"/>
        <w:rPr>
          <w:rFonts w:ascii="Times New Roman" w:hAnsi="Times New Roman"/>
          <w:lang w:eastAsia="ja-JP"/>
        </w:rPr>
      </w:pPr>
    </w:p>
    <w:p w14:paraId="40C38113" w14:textId="77777777" w:rsidR="00E850F6" w:rsidRPr="00D600DA" w:rsidRDefault="00E850F6" w:rsidP="00E850F6">
      <w:pPr>
        <w:spacing w:after="0" w:line="240" w:lineRule="auto"/>
        <w:ind w:left="567" w:hanging="567"/>
        <w:rPr>
          <w:rFonts w:ascii="Times New Roman" w:hAnsi="Times New Roman"/>
          <w:lang w:eastAsia="ja-JP"/>
        </w:rPr>
      </w:pPr>
    </w:p>
    <w:p w14:paraId="273B9344" w14:textId="77777777" w:rsidR="00E850F6" w:rsidRPr="00D600DA" w:rsidRDefault="00E850F6" w:rsidP="00E850F6">
      <w:pPr>
        <w:spacing w:after="0" w:line="240" w:lineRule="auto"/>
        <w:ind w:left="567" w:hanging="567"/>
        <w:rPr>
          <w:rFonts w:ascii="Times New Roman" w:hAnsi="Times New Roman"/>
          <w:lang w:eastAsia="ja-JP"/>
        </w:rPr>
      </w:pPr>
    </w:p>
    <w:p w14:paraId="338D579E" w14:textId="77777777" w:rsidR="00E850F6" w:rsidRPr="00D600DA" w:rsidRDefault="00E850F6" w:rsidP="00E850F6">
      <w:pPr>
        <w:spacing w:after="0" w:line="240" w:lineRule="auto"/>
        <w:ind w:left="567" w:hanging="567"/>
        <w:rPr>
          <w:rFonts w:ascii="Times New Roman" w:hAnsi="Times New Roman"/>
          <w:lang w:eastAsia="ja-JP"/>
        </w:rPr>
      </w:pPr>
    </w:p>
    <w:p w14:paraId="50671FEA" w14:textId="77777777" w:rsidR="00E850F6" w:rsidRPr="00D600DA" w:rsidRDefault="00E850F6" w:rsidP="00E850F6">
      <w:pPr>
        <w:spacing w:after="0" w:line="240" w:lineRule="auto"/>
        <w:ind w:left="567" w:hanging="567"/>
        <w:rPr>
          <w:rFonts w:ascii="Times New Roman" w:hAnsi="Times New Roman"/>
          <w:lang w:eastAsia="ja-JP"/>
        </w:rPr>
      </w:pPr>
    </w:p>
    <w:p w14:paraId="1F4033D8" w14:textId="77777777" w:rsidR="00E850F6" w:rsidRPr="00D600DA" w:rsidRDefault="00E850F6" w:rsidP="00E850F6">
      <w:pPr>
        <w:spacing w:after="0" w:line="240" w:lineRule="auto"/>
        <w:ind w:left="567" w:hanging="567"/>
        <w:rPr>
          <w:rFonts w:ascii="Times New Roman" w:hAnsi="Times New Roman"/>
          <w:lang w:eastAsia="ja-JP"/>
        </w:rPr>
      </w:pPr>
    </w:p>
    <w:p w14:paraId="7D11A528" w14:textId="77777777" w:rsidR="00E850F6" w:rsidRPr="00D600DA" w:rsidRDefault="00E850F6" w:rsidP="00E850F6">
      <w:pPr>
        <w:spacing w:after="0" w:line="240" w:lineRule="auto"/>
        <w:ind w:left="567" w:hanging="567"/>
        <w:rPr>
          <w:rFonts w:ascii="Times New Roman" w:hAnsi="Times New Roman"/>
          <w:lang w:eastAsia="ja-JP"/>
        </w:rPr>
      </w:pPr>
    </w:p>
    <w:p w14:paraId="28F9D882" w14:textId="77777777" w:rsidR="00E850F6" w:rsidRPr="00D600DA" w:rsidRDefault="00E850F6" w:rsidP="00E850F6">
      <w:pPr>
        <w:spacing w:after="0" w:line="240" w:lineRule="auto"/>
        <w:ind w:left="567" w:hanging="567"/>
        <w:rPr>
          <w:rFonts w:ascii="Times New Roman" w:hAnsi="Times New Roman"/>
          <w:lang w:eastAsia="ja-JP"/>
        </w:rPr>
      </w:pPr>
    </w:p>
    <w:p w14:paraId="13F3B923" w14:textId="77777777" w:rsidR="00E850F6" w:rsidRPr="00D600DA" w:rsidRDefault="00E850F6" w:rsidP="00E850F6">
      <w:pPr>
        <w:spacing w:after="0" w:line="240" w:lineRule="auto"/>
        <w:ind w:left="567" w:hanging="567"/>
        <w:rPr>
          <w:rFonts w:ascii="Times New Roman" w:hAnsi="Times New Roman"/>
          <w:lang w:eastAsia="ja-JP"/>
        </w:rPr>
      </w:pPr>
    </w:p>
    <w:p w14:paraId="08123941" w14:textId="77777777" w:rsidR="00E850F6" w:rsidRPr="00D600DA" w:rsidRDefault="00E850F6" w:rsidP="00E850F6">
      <w:pPr>
        <w:spacing w:after="0" w:line="240" w:lineRule="auto"/>
        <w:ind w:left="567" w:hanging="567"/>
        <w:rPr>
          <w:rFonts w:ascii="Times New Roman" w:hAnsi="Times New Roman"/>
          <w:lang w:eastAsia="ja-JP"/>
        </w:rPr>
      </w:pPr>
    </w:p>
    <w:p w14:paraId="3E2B154E" w14:textId="77777777" w:rsidR="00E850F6" w:rsidRPr="00D600DA" w:rsidRDefault="00E850F6" w:rsidP="00E850F6">
      <w:pPr>
        <w:spacing w:after="0" w:line="240" w:lineRule="auto"/>
        <w:ind w:left="567" w:hanging="567"/>
        <w:rPr>
          <w:rFonts w:ascii="Times New Roman" w:hAnsi="Times New Roman"/>
          <w:lang w:eastAsia="ja-JP"/>
        </w:rPr>
      </w:pPr>
    </w:p>
    <w:p w14:paraId="15DD2F00" w14:textId="77777777" w:rsidR="00E850F6" w:rsidRPr="00D600DA" w:rsidRDefault="00E850F6" w:rsidP="00E850F6">
      <w:pPr>
        <w:spacing w:after="0" w:line="240" w:lineRule="auto"/>
        <w:ind w:left="567" w:hanging="567"/>
        <w:rPr>
          <w:rFonts w:ascii="Times New Roman" w:hAnsi="Times New Roman"/>
          <w:lang w:eastAsia="ja-JP"/>
        </w:rPr>
      </w:pPr>
    </w:p>
    <w:p w14:paraId="6160C86C" w14:textId="77777777" w:rsidR="00E850F6" w:rsidRPr="00D600DA" w:rsidRDefault="00E850F6" w:rsidP="00E850F6">
      <w:pPr>
        <w:spacing w:after="0" w:line="240" w:lineRule="auto"/>
        <w:ind w:left="567" w:hanging="567"/>
        <w:rPr>
          <w:rFonts w:ascii="Times New Roman" w:hAnsi="Times New Roman"/>
          <w:lang w:eastAsia="ja-JP"/>
        </w:rPr>
      </w:pPr>
    </w:p>
    <w:p w14:paraId="58F5C4A1" w14:textId="77777777" w:rsidR="00E850F6" w:rsidRPr="00D600DA" w:rsidRDefault="00E850F6" w:rsidP="00E850F6">
      <w:pPr>
        <w:spacing w:after="0" w:line="240" w:lineRule="auto"/>
        <w:ind w:left="567" w:hanging="567"/>
        <w:rPr>
          <w:rFonts w:ascii="Times New Roman" w:hAnsi="Times New Roman"/>
          <w:lang w:eastAsia="ja-JP"/>
        </w:rPr>
      </w:pPr>
    </w:p>
    <w:p w14:paraId="678535D1" w14:textId="77777777" w:rsidR="00E850F6" w:rsidRPr="00D600DA" w:rsidRDefault="00E850F6" w:rsidP="00E850F6">
      <w:pPr>
        <w:spacing w:after="0" w:line="240" w:lineRule="auto"/>
        <w:ind w:left="567" w:hanging="567"/>
        <w:rPr>
          <w:rFonts w:ascii="Times New Roman" w:hAnsi="Times New Roman"/>
          <w:lang w:eastAsia="ja-JP"/>
        </w:rPr>
      </w:pPr>
    </w:p>
    <w:p w14:paraId="7C6E9140" w14:textId="77777777" w:rsidR="00E850F6" w:rsidRPr="00D600DA" w:rsidRDefault="00E850F6" w:rsidP="00E850F6">
      <w:pPr>
        <w:spacing w:after="0" w:line="240" w:lineRule="auto"/>
        <w:ind w:left="567" w:hanging="567"/>
        <w:rPr>
          <w:rFonts w:ascii="Times New Roman" w:hAnsi="Times New Roman"/>
          <w:lang w:eastAsia="ja-JP"/>
        </w:rPr>
      </w:pPr>
    </w:p>
    <w:p w14:paraId="38C74DE5" w14:textId="77777777" w:rsidR="00E850F6" w:rsidRPr="00D600DA" w:rsidRDefault="00E850F6" w:rsidP="00E850F6">
      <w:pPr>
        <w:spacing w:after="0" w:line="240" w:lineRule="auto"/>
        <w:ind w:left="567" w:hanging="567"/>
        <w:rPr>
          <w:rFonts w:ascii="Times New Roman" w:hAnsi="Times New Roman"/>
          <w:lang w:eastAsia="ja-JP"/>
        </w:rPr>
      </w:pPr>
    </w:p>
    <w:p w14:paraId="51041797" w14:textId="77777777" w:rsidR="00E850F6" w:rsidRPr="00D600DA" w:rsidRDefault="00E850F6" w:rsidP="00E850F6">
      <w:pPr>
        <w:spacing w:after="0" w:line="240" w:lineRule="auto"/>
        <w:ind w:left="567" w:hanging="567"/>
        <w:rPr>
          <w:rFonts w:ascii="Times New Roman" w:hAnsi="Times New Roman"/>
          <w:lang w:eastAsia="ja-JP"/>
        </w:rPr>
      </w:pPr>
    </w:p>
    <w:p w14:paraId="2509EE0C" w14:textId="77777777" w:rsidR="00E850F6" w:rsidRPr="00D600DA" w:rsidRDefault="00E850F6" w:rsidP="00E850F6">
      <w:pPr>
        <w:spacing w:after="0" w:line="240" w:lineRule="auto"/>
        <w:ind w:left="567" w:hanging="567"/>
        <w:jc w:val="center"/>
        <w:rPr>
          <w:rFonts w:ascii="Times New Roman" w:hAnsi="Times New Roman"/>
          <w:b/>
          <w:lang w:eastAsia="ja-JP"/>
        </w:rPr>
      </w:pPr>
    </w:p>
    <w:p w14:paraId="08FE154F" w14:textId="77777777" w:rsidR="00E850F6" w:rsidRPr="00D600DA" w:rsidRDefault="00E850F6" w:rsidP="00E850F6">
      <w:pPr>
        <w:spacing w:after="0" w:line="240" w:lineRule="auto"/>
        <w:ind w:left="567" w:hanging="567"/>
        <w:jc w:val="center"/>
        <w:rPr>
          <w:rFonts w:ascii="Times New Roman" w:hAnsi="Times New Roman"/>
          <w:b/>
          <w:lang w:eastAsia="ja-JP"/>
        </w:rPr>
      </w:pPr>
      <w:r w:rsidRPr="00D600DA">
        <w:rPr>
          <w:rFonts w:ascii="Times New Roman" w:hAnsi="Times New Roman"/>
          <w:b/>
          <w:lang w:eastAsia="ja-JP"/>
        </w:rPr>
        <w:t>III PRIEDAS</w:t>
      </w:r>
    </w:p>
    <w:p w14:paraId="16842E1A" w14:textId="77777777" w:rsidR="00E850F6" w:rsidRPr="00D600DA" w:rsidRDefault="00E850F6" w:rsidP="00E850F6">
      <w:pPr>
        <w:spacing w:after="0" w:line="240" w:lineRule="auto"/>
        <w:ind w:left="567" w:hanging="567"/>
        <w:jc w:val="center"/>
        <w:rPr>
          <w:rFonts w:ascii="Times New Roman" w:hAnsi="Times New Roman"/>
          <w:b/>
          <w:lang w:eastAsia="ja-JP"/>
        </w:rPr>
      </w:pPr>
    </w:p>
    <w:p w14:paraId="67E949F9" w14:textId="77777777" w:rsidR="00E850F6" w:rsidRPr="00D600DA" w:rsidRDefault="00E850F6" w:rsidP="00E850F6">
      <w:pPr>
        <w:spacing w:after="0" w:line="240" w:lineRule="auto"/>
        <w:ind w:left="567" w:hanging="567"/>
        <w:jc w:val="center"/>
        <w:rPr>
          <w:rFonts w:ascii="Times New Roman" w:hAnsi="Times New Roman"/>
          <w:b/>
          <w:lang w:eastAsia="ja-JP"/>
        </w:rPr>
      </w:pPr>
      <w:r w:rsidRPr="00D600DA">
        <w:rPr>
          <w:rFonts w:ascii="Times New Roman" w:hAnsi="Times New Roman"/>
          <w:b/>
          <w:lang w:eastAsia="ja-JP"/>
        </w:rPr>
        <w:t>ŽENKLINIMAS IR PAKUOTĖS LAPELIS</w:t>
      </w:r>
    </w:p>
    <w:p w14:paraId="7BC7CDF0" w14:textId="77777777" w:rsidR="00E850F6" w:rsidRPr="00D600DA" w:rsidRDefault="00E850F6" w:rsidP="00E850F6">
      <w:pPr>
        <w:spacing w:after="0" w:line="240" w:lineRule="auto"/>
        <w:ind w:left="567" w:hanging="567"/>
        <w:rPr>
          <w:rFonts w:ascii="Times New Roman" w:hAnsi="Times New Roman"/>
          <w:lang w:eastAsia="ja-JP"/>
        </w:rPr>
      </w:pPr>
      <w:r w:rsidRPr="00D600DA">
        <w:rPr>
          <w:rFonts w:ascii="Times New Roman" w:hAnsi="Times New Roman"/>
          <w:lang w:eastAsia="ja-JP"/>
        </w:rPr>
        <w:br w:type="page"/>
      </w:r>
    </w:p>
    <w:p w14:paraId="3B347363" w14:textId="77777777" w:rsidR="00E850F6" w:rsidRPr="00D600DA" w:rsidRDefault="00E850F6" w:rsidP="00E850F6">
      <w:pPr>
        <w:spacing w:after="0" w:line="240" w:lineRule="auto"/>
        <w:ind w:left="567" w:hanging="567"/>
        <w:rPr>
          <w:rFonts w:ascii="Times New Roman" w:hAnsi="Times New Roman"/>
          <w:lang w:eastAsia="ja-JP"/>
        </w:rPr>
      </w:pPr>
    </w:p>
    <w:p w14:paraId="663B78E6" w14:textId="77777777" w:rsidR="00E850F6" w:rsidRPr="00D600DA" w:rsidRDefault="00E850F6" w:rsidP="00E850F6">
      <w:pPr>
        <w:spacing w:after="0" w:line="240" w:lineRule="auto"/>
        <w:ind w:left="567" w:hanging="567"/>
        <w:rPr>
          <w:rFonts w:ascii="Times New Roman" w:hAnsi="Times New Roman"/>
          <w:lang w:eastAsia="ja-JP"/>
        </w:rPr>
      </w:pPr>
    </w:p>
    <w:p w14:paraId="129A0AE4" w14:textId="77777777" w:rsidR="00E850F6" w:rsidRPr="00D600DA" w:rsidRDefault="00E850F6" w:rsidP="00E850F6">
      <w:pPr>
        <w:spacing w:after="0" w:line="240" w:lineRule="auto"/>
        <w:ind w:left="567" w:hanging="567"/>
        <w:rPr>
          <w:rFonts w:ascii="Times New Roman" w:hAnsi="Times New Roman"/>
          <w:lang w:eastAsia="ja-JP"/>
        </w:rPr>
      </w:pPr>
    </w:p>
    <w:p w14:paraId="3AA07F8E" w14:textId="77777777" w:rsidR="00E850F6" w:rsidRPr="00D600DA" w:rsidRDefault="00E850F6" w:rsidP="00E850F6">
      <w:pPr>
        <w:spacing w:after="0" w:line="240" w:lineRule="auto"/>
        <w:ind w:left="567" w:hanging="567"/>
        <w:rPr>
          <w:rFonts w:ascii="Times New Roman" w:hAnsi="Times New Roman"/>
          <w:lang w:eastAsia="ja-JP"/>
        </w:rPr>
      </w:pPr>
    </w:p>
    <w:p w14:paraId="3A4A434D" w14:textId="77777777" w:rsidR="00E850F6" w:rsidRPr="00D600DA" w:rsidRDefault="00E850F6" w:rsidP="00E850F6">
      <w:pPr>
        <w:spacing w:after="0" w:line="240" w:lineRule="auto"/>
        <w:ind w:left="567" w:hanging="567"/>
        <w:rPr>
          <w:rFonts w:ascii="Times New Roman" w:hAnsi="Times New Roman"/>
          <w:lang w:eastAsia="ja-JP"/>
        </w:rPr>
      </w:pPr>
    </w:p>
    <w:p w14:paraId="4E04BD35" w14:textId="77777777" w:rsidR="00E850F6" w:rsidRPr="00D600DA" w:rsidRDefault="00E850F6" w:rsidP="00E850F6">
      <w:pPr>
        <w:spacing w:after="0" w:line="240" w:lineRule="auto"/>
        <w:ind w:left="567" w:hanging="567"/>
        <w:rPr>
          <w:rFonts w:ascii="Times New Roman" w:hAnsi="Times New Roman"/>
          <w:lang w:eastAsia="ja-JP"/>
        </w:rPr>
      </w:pPr>
    </w:p>
    <w:p w14:paraId="26DB8B19" w14:textId="77777777" w:rsidR="00E850F6" w:rsidRPr="00D600DA" w:rsidRDefault="00E850F6" w:rsidP="00E850F6">
      <w:pPr>
        <w:spacing w:after="0" w:line="240" w:lineRule="auto"/>
        <w:ind w:left="567" w:hanging="567"/>
        <w:rPr>
          <w:rFonts w:ascii="Times New Roman" w:hAnsi="Times New Roman"/>
          <w:lang w:eastAsia="ja-JP"/>
        </w:rPr>
      </w:pPr>
    </w:p>
    <w:p w14:paraId="4F7406B0" w14:textId="77777777" w:rsidR="00E850F6" w:rsidRPr="00D600DA" w:rsidRDefault="00E850F6" w:rsidP="00E850F6">
      <w:pPr>
        <w:spacing w:after="0" w:line="240" w:lineRule="auto"/>
        <w:ind w:left="567" w:hanging="567"/>
        <w:rPr>
          <w:rFonts w:ascii="Times New Roman" w:hAnsi="Times New Roman"/>
          <w:lang w:eastAsia="ja-JP"/>
        </w:rPr>
      </w:pPr>
    </w:p>
    <w:p w14:paraId="31316827" w14:textId="77777777" w:rsidR="00E850F6" w:rsidRPr="00D600DA" w:rsidRDefault="00E850F6" w:rsidP="00E850F6">
      <w:pPr>
        <w:spacing w:after="0" w:line="240" w:lineRule="auto"/>
        <w:ind w:left="567" w:hanging="567"/>
        <w:rPr>
          <w:rFonts w:ascii="Times New Roman" w:hAnsi="Times New Roman"/>
          <w:lang w:eastAsia="ja-JP"/>
        </w:rPr>
      </w:pPr>
    </w:p>
    <w:p w14:paraId="4F756E51" w14:textId="77777777" w:rsidR="00E850F6" w:rsidRPr="00D600DA" w:rsidRDefault="00E850F6" w:rsidP="00E850F6">
      <w:pPr>
        <w:spacing w:after="0" w:line="240" w:lineRule="auto"/>
        <w:ind w:left="567" w:hanging="567"/>
        <w:rPr>
          <w:rFonts w:ascii="Times New Roman" w:hAnsi="Times New Roman"/>
          <w:lang w:eastAsia="ja-JP"/>
        </w:rPr>
      </w:pPr>
    </w:p>
    <w:p w14:paraId="67160492" w14:textId="77777777" w:rsidR="00E850F6" w:rsidRPr="00D600DA" w:rsidRDefault="00E850F6" w:rsidP="00E850F6">
      <w:pPr>
        <w:spacing w:after="0" w:line="240" w:lineRule="auto"/>
        <w:ind w:left="567" w:hanging="567"/>
        <w:rPr>
          <w:rFonts w:ascii="Times New Roman" w:hAnsi="Times New Roman"/>
          <w:lang w:eastAsia="ja-JP"/>
        </w:rPr>
      </w:pPr>
    </w:p>
    <w:p w14:paraId="52BA4B80" w14:textId="77777777" w:rsidR="00E850F6" w:rsidRPr="00D600DA" w:rsidRDefault="00E850F6" w:rsidP="00E850F6">
      <w:pPr>
        <w:spacing w:after="0" w:line="240" w:lineRule="auto"/>
        <w:ind w:left="567" w:hanging="567"/>
        <w:rPr>
          <w:rFonts w:ascii="Times New Roman" w:hAnsi="Times New Roman"/>
          <w:lang w:eastAsia="ja-JP"/>
        </w:rPr>
      </w:pPr>
    </w:p>
    <w:p w14:paraId="4FEF4E02" w14:textId="77777777" w:rsidR="00E850F6" w:rsidRPr="00D600DA" w:rsidRDefault="00E850F6" w:rsidP="00E850F6">
      <w:pPr>
        <w:spacing w:after="0" w:line="240" w:lineRule="auto"/>
        <w:ind w:left="567" w:hanging="567"/>
        <w:rPr>
          <w:rFonts w:ascii="Times New Roman" w:hAnsi="Times New Roman"/>
          <w:lang w:eastAsia="ja-JP"/>
        </w:rPr>
      </w:pPr>
    </w:p>
    <w:p w14:paraId="2A907AC5" w14:textId="77777777" w:rsidR="00E850F6" w:rsidRPr="00D600DA" w:rsidRDefault="00E850F6" w:rsidP="00E850F6">
      <w:pPr>
        <w:spacing w:after="0" w:line="240" w:lineRule="auto"/>
        <w:ind w:left="567" w:hanging="567"/>
        <w:rPr>
          <w:rFonts w:ascii="Times New Roman" w:hAnsi="Times New Roman"/>
          <w:lang w:eastAsia="ja-JP"/>
        </w:rPr>
      </w:pPr>
    </w:p>
    <w:p w14:paraId="03C29B75" w14:textId="77777777" w:rsidR="00E850F6" w:rsidRPr="00D600DA" w:rsidRDefault="00E850F6" w:rsidP="00E850F6">
      <w:pPr>
        <w:spacing w:after="0" w:line="240" w:lineRule="auto"/>
        <w:ind w:left="567" w:hanging="567"/>
        <w:rPr>
          <w:rFonts w:ascii="Times New Roman" w:hAnsi="Times New Roman"/>
          <w:lang w:eastAsia="ja-JP"/>
        </w:rPr>
      </w:pPr>
    </w:p>
    <w:p w14:paraId="5BD27A58" w14:textId="77777777" w:rsidR="00E850F6" w:rsidRPr="00D600DA" w:rsidRDefault="00E850F6" w:rsidP="00E850F6">
      <w:pPr>
        <w:spacing w:after="0" w:line="240" w:lineRule="auto"/>
        <w:ind w:left="567" w:hanging="567"/>
        <w:rPr>
          <w:rFonts w:ascii="Times New Roman" w:hAnsi="Times New Roman"/>
          <w:lang w:eastAsia="ja-JP"/>
        </w:rPr>
      </w:pPr>
    </w:p>
    <w:p w14:paraId="34AC6D91" w14:textId="77777777" w:rsidR="00E850F6" w:rsidRPr="00D600DA" w:rsidRDefault="00E850F6" w:rsidP="00E850F6">
      <w:pPr>
        <w:spacing w:after="0" w:line="240" w:lineRule="auto"/>
        <w:ind w:left="567" w:hanging="567"/>
        <w:rPr>
          <w:rFonts w:ascii="Times New Roman" w:hAnsi="Times New Roman"/>
          <w:lang w:eastAsia="ja-JP"/>
        </w:rPr>
      </w:pPr>
    </w:p>
    <w:p w14:paraId="55F42738" w14:textId="77777777" w:rsidR="00E850F6" w:rsidRPr="00D600DA" w:rsidRDefault="00E850F6" w:rsidP="00E850F6">
      <w:pPr>
        <w:spacing w:after="0" w:line="240" w:lineRule="auto"/>
        <w:ind w:left="567" w:hanging="567"/>
        <w:rPr>
          <w:rFonts w:ascii="Times New Roman" w:hAnsi="Times New Roman"/>
          <w:lang w:eastAsia="ja-JP"/>
        </w:rPr>
      </w:pPr>
    </w:p>
    <w:p w14:paraId="12917D7E" w14:textId="77777777" w:rsidR="00E850F6" w:rsidRPr="00D600DA" w:rsidRDefault="00E850F6" w:rsidP="00E850F6">
      <w:pPr>
        <w:spacing w:after="0" w:line="240" w:lineRule="auto"/>
        <w:ind w:left="567" w:hanging="567"/>
        <w:rPr>
          <w:rFonts w:ascii="Times New Roman" w:hAnsi="Times New Roman"/>
          <w:lang w:eastAsia="ja-JP"/>
        </w:rPr>
      </w:pPr>
    </w:p>
    <w:p w14:paraId="7287FEB2" w14:textId="77777777" w:rsidR="00E850F6" w:rsidRPr="00D600DA" w:rsidRDefault="00E850F6" w:rsidP="00E850F6">
      <w:pPr>
        <w:spacing w:after="0" w:line="240" w:lineRule="auto"/>
        <w:ind w:left="567" w:hanging="567"/>
        <w:rPr>
          <w:rFonts w:ascii="Times New Roman" w:hAnsi="Times New Roman"/>
          <w:lang w:eastAsia="ja-JP"/>
        </w:rPr>
      </w:pPr>
    </w:p>
    <w:p w14:paraId="6642EE25" w14:textId="77777777" w:rsidR="00E850F6" w:rsidRPr="00D600DA" w:rsidRDefault="00E850F6" w:rsidP="00E850F6">
      <w:pPr>
        <w:spacing w:after="0" w:line="240" w:lineRule="auto"/>
        <w:ind w:left="567" w:hanging="567"/>
        <w:rPr>
          <w:rFonts w:ascii="Times New Roman" w:hAnsi="Times New Roman"/>
          <w:lang w:eastAsia="ja-JP"/>
        </w:rPr>
      </w:pPr>
    </w:p>
    <w:p w14:paraId="30B6E878" w14:textId="77777777" w:rsidR="00E850F6" w:rsidRPr="00D600DA" w:rsidRDefault="00E850F6" w:rsidP="00E850F6">
      <w:pPr>
        <w:spacing w:after="0" w:line="240" w:lineRule="auto"/>
        <w:ind w:left="567" w:hanging="567"/>
        <w:rPr>
          <w:rFonts w:ascii="Times New Roman" w:hAnsi="Times New Roman"/>
          <w:lang w:eastAsia="ja-JP"/>
        </w:rPr>
      </w:pPr>
    </w:p>
    <w:p w14:paraId="74011410" w14:textId="77777777" w:rsidR="00E850F6" w:rsidRPr="00D600DA" w:rsidRDefault="00E850F6" w:rsidP="00E850F6">
      <w:pPr>
        <w:spacing w:after="0" w:line="240" w:lineRule="auto"/>
        <w:ind w:left="567" w:hanging="567"/>
        <w:jc w:val="center"/>
        <w:rPr>
          <w:rFonts w:ascii="Times New Roman" w:hAnsi="Times New Roman"/>
          <w:b/>
          <w:lang w:eastAsia="ja-JP"/>
        </w:rPr>
      </w:pPr>
    </w:p>
    <w:p w14:paraId="686BAD29" w14:textId="77777777" w:rsidR="00E850F6" w:rsidRPr="00D600DA" w:rsidRDefault="00E850F6" w:rsidP="00E850F6">
      <w:pPr>
        <w:spacing w:after="0" w:line="240" w:lineRule="auto"/>
        <w:ind w:left="567" w:hanging="567"/>
        <w:jc w:val="center"/>
        <w:rPr>
          <w:rFonts w:ascii="Times New Roman" w:hAnsi="Times New Roman"/>
          <w:b/>
          <w:lang w:eastAsia="ja-JP"/>
        </w:rPr>
      </w:pPr>
      <w:r w:rsidRPr="00D600DA">
        <w:rPr>
          <w:rFonts w:ascii="Times New Roman" w:hAnsi="Times New Roman"/>
          <w:b/>
          <w:lang w:eastAsia="ja-JP"/>
        </w:rPr>
        <w:t>A. ŽENKLINIMAS</w:t>
      </w:r>
    </w:p>
    <w:p w14:paraId="05DEE7C6"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eastAsia="ja-JP"/>
        </w:rPr>
      </w:pPr>
      <w:r w:rsidRPr="00D600DA">
        <w:rPr>
          <w:rFonts w:ascii="Times New Roman" w:hAnsi="Times New Roman"/>
          <w:lang w:eastAsia="ja-JP"/>
        </w:rPr>
        <w:br w:type="page"/>
      </w:r>
      <w:r w:rsidRPr="00D600DA">
        <w:rPr>
          <w:rFonts w:ascii="Times New Roman" w:hAnsi="Times New Roman"/>
          <w:b/>
          <w:caps/>
          <w:lang w:eastAsia="ja-JP"/>
        </w:rPr>
        <w:lastRenderedPageBreak/>
        <w:t xml:space="preserve">Informacija ant </w:t>
      </w:r>
      <w:r w:rsidRPr="00D600DA">
        <w:rPr>
          <w:rFonts w:ascii="Times New Roman" w:hAnsi="Times New Roman"/>
          <w:b/>
          <w:bCs/>
          <w:lang w:eastAsia="ja-JP"/>
        </w:rPr>
        <w:t>IŠORINĖS</w:t>
      </w:r>
      <w:r w:rsidRPr="00D600DA">
        <w:rPr>
          <w:rFonts w:ascii="Times New Roman" w:hAnsi="Times New Roman"/>
          <w:lang w:eastAsia="ja-JP"/>
        </w:rPr>
        <w:t xml:space="preserve"> </w:t>
      </w:r>
      <w:r w:rsidRPr="00D600DA">
        <w:rPr>
          <w:rFonts w:ascii="Times New Roman" w:hAnsi="Times New Roman"/>
          <w:b/>
          <w:caps/>
          <w:lang w:eastAsia="ja-JP"/>
        </w:rPr>
        <w:t>pakuotės</w:t>
      </w:r>
    </w:p>
    <w:p w14:paraId="536E3D4B"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eastAsia="ja-JP"/>
        </w:rPr>
      </w:pPr>
    </w:p>
    <w:p w14:paraId="47324016"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lang w:eastAsia="ja-JP"/>
        </w:rPr>
        <w:t>IŠORINĖ KARTONO DĖŽUTĖ</w:t>
      </w:r>
    </w:p>
    <w:p w14:paraId="6DD15DA9" w14:textId="77777777" w:rsidR="00E850F6" w:rsidRPr="00D600DA" w:rsidRDefault="00E850F6" w:rsidP="00E850F6">
      <w:pPr>
        <w:spacing w:after="0" w:line="240" w:lineRule="auto"/>
        <w:ind w:left="567" w:hanging="567"/>
        <w:rPr>
          <w:rFonts w:ascii="Times New Roman" w:hAnsi="Times New Roman"/>
          <w:lang w:eastAsia="ja-JP"/>
        </w:rPr>
      </w:pPr>
    </w:p>
    <w:p w14:paraId="14031C26" w14:textId="77777777" w:rsidR="00E850F6" w:rsidRPr="00D600DA" w:rsidRDefault="00E850F6" w:rsidP="00E850F6">
      <w:pPr>
        <w:spacing w:after="0" w:line="240" w:lineRule="auto"/>
        <w:ind w:left="567" w:hanging="567"/>
        <w:rPr>
          <w:rFonts w:ascii="Times New Roman" w:hAnsi="Times New Roman"/>
          <w:lang w:eastAsia="ja-JP"/>
        </w:rPr>
      </w:pPr>
    </w:p>
    <w:p w14:paraId="565BAC1B"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1.</w:t>
      </w:r>
      <w:r w:rsidRPr="00D600DA">
        <w:rPr>
          <w:rFonts w:ascii="Times New Roman" w:hAnsi="Times New Roman"/>
          <w:b/>
          <w:caps/>
          <w:lang w:eastAsia="ja-JP"/>
        </w:rPr>
        <w:tab/>
        <w:t>vaistinio preparato pavadinimas</w:t>
      </w:r>
    </w:p>
    <w:p w14:paraId="15E65A88" w14:textId="77777777" w:rsidR="00E850F6" w:rsidRPr="00D600DA" w:rsidRDefault="00E850F6" w:rsidP="00E850F6">
      <w:pPr>
        <w:spacing w:after="0" w:line="240" w:lineRule="auto"/>
        <w:ind w:left="567" w:hanging="567"/>
        <w:rPr>
          <w:rFonts w:ascii="Times New Roman" w:hAnsi="Times New Roman"/>
          <w:lang w:eastAsia="ja-JP"/>
        </w:rPr>
      </w:pPr>
    </w:p>
    <w:p w14:paraId="412BDB43"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Valcyte 50 mg/ml milteliai geriamajam tirpalui</w:t>
      </w:r>
    </w:p>
    <w:p w14:paraId="4A877A99" w14:textId="2890ABCB" w:rsidR="00E850F6" w:rsidRPr="00D600DA" w:rsidRDefault="00F17FE9" w:rsidP="00E850F6">
      <w:pPr>
        <w:spacing w:after="0" w:line="240" w:lineRule="auto"/>
        <w:ind w:left="567" w:hanging="567"/>
        <w:rPr>
          <w:rFonts w:ascii="Times New Roman" w:hAnsi="Times New Roman"/>
          <w:lang w:eastAsia="ja-JP"/>
        </w:rPr>
      </w:pPr>
      <w:r>
        <w:rPr>
          <w:rFonts w:ascii="Times New Roman" w:hAnsi="Times New Roman"/>
          <w:lang w:eastAsia="ja-JP"/>
        </w:rPr>
        <w:t>v</w:t>
      </w:r>
      <w:r w:rsidR="00E850F6" w:rsidRPr="00D600DA">
        <w:rPr>
          <w:rFonts w:ascii="Times New Roman" w:hAnsi="Times New Roman"/>
          <w:lang w:eastAsia="ja-JP"/>
        </w:rPr>
        <w:t>algancikloviras</w:t>
      </w:r>
    </w:p>
    <w:p w14:paraId="4A771094" w14:textId="77777777" w:rsidR="00E850F6" w:rsidRPr="00D600DA" w:rsidRDefault="00E850F6" w:rsidP="00E850F6">
      <w:pPr>
        <w:spacing w:after="0" w:line="240" w:lineRule="auto"/>
        <w:ind w:left="567" w:hanging="567"/>
        <w:rPr>
          <w:rFonts w:ascii="Times New Roman" w:hAnsi="Times New Roman"/>
          <w:lang w:eastAsia="ja-JP"/>
        </w:rPr>
      </w:pPr>
    </w:p>
    <w:p w14:paraId="54C3E52A" w14:textId="77777777" w:rsidR="00E850F6" w:rsidRPr="00D600DA" w:rsidRDefault="00E850F6" w:rsidP="00E850F6">
      <w:pPr>
        <w:spacing w:after="0" w:line="240" w:lineRule="auto"/>
        <w:ind w:left="567" w:hanging="567"/>
        <w:rPr>
          <w:rFonts w:ascii="Times New Roman" w:hAnsi="Times New Roman"/>
          <w:lang w:eastAsia="ja-JP"/>
        </w:rPr>
      </w:pPr>
    </w:p>
    <w:p w14:paraId="7A3B6F92"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2.</w:t>
      </w:r>
      <w:r w:rsidRPr="00D600DA">
        <w:rPr>
          <w:rFonts w:ascii="Times New Roman" w:hAnsi="Times New Roman"/>
          <w:b/>
          <w:caps/>
          <w:lang w:eastAsia="ja-JP"/>
        </w:rPr>
        <w:tab/>
        <w:t>veikliOJI medžiagA ir JOS kiekis</w:t>
      </w:r>
    </w:p>
    <w:p w14:paraId="553422C8" w14:textId="77777777" w:rsidR="00E850F6" w:rsidRPr="00D600DA" w:rsidRDefault="00E850F6" w:rsidP="00E850F6">
      <w:pPr>
        <w:spacing w:after="0" w:line="240" w:lineRule="auto"/>
        <w:ind w:left="567" w:hanging="567"/>
        <w:rPr>
          <w:rFonts w:ascii="Times New Roman" w:hAnsi="Times New Roman"/>
          <w:caps/>
          <w:lang w:eastAsia="ja-JP"/>
        </w:rPr>
      </w:pPr>
    </w:p>
    <w:p w14:paraId="4C273E7A" w14:textId="77777777" w:rsidR="00E850F6" w:rsidRPr="00D600DA" w:rsidRDefault="00E850F6" w:rsidP="00E850F6">
      <w:pPr>
        <w:spacing w:after="0" w:line="240" w:lineRule="auto"/>
        <w:rPr>
          <w:rFonts w:ascii="Times New Roman" w:hAnsi="Times New Roman"/>
          <w:lang w:eastAsia="ja-JP"/>
        </w:rPr>
      </w:pPr>
      <w:r w:rsidRPr="00CE6739">
        <w:rPr>
          <w:rFonts w:ascii="Times New Roman" w:hAnsi="Times New Roman"/>
          <w:lang w:eastAsia="ja-JP"/>
        </w:rPr>
        <w:t xml:space="preserve">Ištirpinus pagal rekomendaciją, </w:t>
      </w:r>
      <w:r w:rsidRPr="00D600DA">
        <w:rPr>
          <w:rFonts w:ascii="Times New Roman" w:hAnsi="Times New Roman"/>
          <w:lang w:eastAsia="ja-JP"/>
        </w:rPr>
        <w:t>1 ml tirpalo yra 50 mg valgancikloviro (hidrochlorido pavidalu).</w:t>
      </w:r>
    </w:p>
    <w:p w14:paraId="1894B6C6" w14:textId="77777777" w:rsidR="00E850F6" w:rsidRPr="00D600DA" w:rsidRDefault="00E850F6" w:rsidP="00E850F6">
      <w:pPr>
        <w:spacing w:after="0" w:line="240" w:lineRule="auto"/>
        <w:ind w:left="567" w:hanging="567"/>
        <w:rPr>
          <w:rFonts w:ascii="Times New Roman" w:hAnsi="Times New Roman"/>
          <w:caps/>
          <w:lang w:eastAsia="ja-JP"/>
        </w:rPr>
      </w:pPr>
    </w:p>
    <w:p w14:paraId="1C34855A" w14:textId="77777777" w:rsidR="00E850F6" w:rsidRPr="00D600DA" w:rsidRDefault="00E850F6" w:rsidP="00E850F6">
      <w:pPr>
        <w:spacing w:after="0" w:line="240" w:lineRule="auto"/>
        <w:ind w:left="567" w:hanging="567"/>
        <w:rPr>
          <w:rFonts w:ascii="Times New Roman" w:hAnsi="Times New Roman"/>
          <w:caps/>
          <w:lang w:eastAsia="ja-JP"/>
        </w:rPr>
      </w:pPr>
    </w:p>
    <w:p w14:paraId="25EC82BF"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3.</w:t>
      </w:r>
      <w:r w:rsidRPr="00D600DA">
        <w:rPr>
          <w:rFonts w:ascii="Times New Roman" w:hAnsi="Times New Roman"/>
          <w:b/>
          <w:caps/>
          <w:lang w:eastAsia="ja-JP"/>
        </w:rPr>
        <w:tab/>
        <w:t>pagalbinių medžiagų sąrašas</w:t>
      </w:r>
    </w:p>
    <w:p w14:paraId="7D60A3F0" w14:textId="77777777" w:rsidR="00E850F6" w:rsidRPr="00D600DA" w:rsidRDefault="00E850F6" w:rsidP="00E850F6">
      <w:pPr>
        <w:spacing w:after="0" w:line="240" w:lineRule="auto"/>
        <w:ind w:left="567" w:hanging="567"/>
        <w:rPr>
          <w:rFonts w:ascii="Times New Roman" w:hAnsi="Times New Roman"/>
          <w:caps/>
          <w:lang w:eastAsia="ja-JP"/>
        </w:rPr>
      </w:pPr>
    </w:p>
    <w:p w14:paraId="7F7E241F" w14:textId="77777777" w:rsidR="00E850F6" w:rsidRPr="00D600DA" w:rsidRDefault="00E850F6" w:rsidP="00E850F6">
      <w:pPr>
        <w:spacing w:after="0" w:line="240" w:lineRule="auto"/>
        <w:ind w:left="567" w:hanging="567"/>
        <w:rPr>
          <w:rFonts w:ascii="Times New Roman" w:hAnsi="Times New Roman"/>
          <w:caps/>
          <w:lang w:eastAsia="ja-JP"/>
        </w:rPr>
      </w:pPr>
      <w:r w:rsidRPr="00D600DA">
        <w:rPr>
          <w:rFonts w:ascii="Times New Roman" w:hAnsi="Times New Roman"/>
          <w:lang w:eastAsia="ja-JP"/>
        </w:rPr>
        <w:t xml:space="preserve">Sudėtyje yra </w:t>
      </w:r>
      <w:r w:rsidR="00021013">
        <w:rPr>
          <w:rFonts w:ascii="Times New Roman" w:hAnsi="Times New Roman"/>
          <w:lang w:eastAsia="ja-JP"/>
        </w:rPr>
        <w:t xml:space="preserve">natrio benzoato ir </w:t>
      </w:r>
      <w:r w:rsidRPr="00D600DA">
        <w:rPr>
          <w:rFonts w:ascii="Times New Roman" w:hAnsi="Times New Roman"/>
          <w:lang w:eastAsia="ja-JP"/>
        </w:rPr>
        <w:t>natrio</w:t>
      </w:r>
      <w:r>
        <w:rPr>
          <w:rFonts w:ascii="Times New Roman" w:hAnsi="Times New Roman"/>
          <w:lang w:eastAsia="ja-JP"/>
        </w:rPr>
        <w:t xml:space="preserve">. </w:t>
      </w:r>
      <w:r w:rsidRPr="00CE6739">
        <w:rPr>
          <w:rFonts w:ascii="Times New Roman" w:hAnsi="Times New Roman"/>
          <w:lang w:eastAsia="ja-JP"/>
        </w:rPr>
        <w:t>Daugiau informacijos rasite pakuotės lapelyje.</w:t>
      </w:r>
    </w:p>
    <w:p w14:paraId="253CB5DF" w14:textId="77777777" w:rsidR="00E850F6" w:rsidRPr="00D600DA" w:rsidRDefault="00E850F6" w:rsidP="00E850F6">
      <w:pPr>
        <w:spacing w:after="0" w:line="240" w:lineRule="auto"/>
        <w:ind w:left="567" w:hanging="567"/>
        <w:rPr>
          <w:rFonts w:ascii="Times New Roman" w:hAnsi="Times New Roman"/>
          <w:caps/>
          <w:lang w:eastAsia="ja-JP"/>
        </w:rPr>
      </w:pPr>
    </w:p>
    <w:p w14:paraId="2519E230"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4.</w:t>
      </w:r>
      <w:r w:rsidRPr="00D600DA">
        <w:rPr>
          <w:rFonts w:ascii="Times New Roman" w:hAnsi="Times New Roman"/>
          <w:b/>
          <w:caps/>
          <w:lang w:eastAsia="ja-JP"/>
        </w:rPr>
        <w:tab/>
      </w:r>
      <w:r w:rsidRPr="00D600DA">
        <w:rPr>
          <w:rFonts w:ascii="Times New Roman" w:hAnsi="Times New Roman"/>
          <w:b/>
          <w:lang w:eastAsia="ja-JP"/>
        </w:rPr>
        <w:t>FARMACINĖ</w:t>
      </w:r>
      <w:r w:rsidRPr="00D600DA">
        <w:rPr>
          <w:rFonts w:ascii="Times New Roman" w:hAnsi="Times New Roman"/>
          <w:b/>
          <w:caps/>
          <w:lang w:eastAsia="ja-JP"/>
        </w:rPr>
        <w:t xml:space="preserve"> forma ir KIEKIS PAKUOTĖJE</w:t>
      </w:r>
    </w:p>
    <w:p w14:paraId="6D070B6D" w14:textId="77777777" w:rsidR="00E850F6" w:rsidRPr="00D600DA" w:rsidRDefault="00E850F6" w:rsidP="00E850F6">
      <w:pPr>
        <w:spacing w:after="0" w:line="240" w:lineRule="auto"/>
        <w:ind w:left="567" w:hanging="567"/>
        <w:rPr>
          <w:rFonts w:ascii="Times New Roman" w:hAnsi="Times New Roman"/>
          <w:caps/>
          <w:lang w:eastAsia="ja-JP"/>
        </w:rPr>
      </w:pPr>
    </w:p>
    <w:p w14:paraId="424E3315"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1 buteliukas, kuriame yra 12 g miltelių geriamajam tirpalui, 1 buteliuko adapteris ir 2 geriamieji švirkštai.</w:t>
      </w:r>
    </w:p>
    <w:p w14:paraId="4D0A886A" w14:textId="77777777" w:rsidR="00E850F6" w:rsidRDefault="00E850F6" w:rsidP="00E850F6">
      <w:pPr>
        <w:spacing w:after="0" w:line="240" w:lineRule="auto"/>
        <w:ind w:left="567" w:hanging="567"/>
        <w:rPr>
          <w:rFonts w:ascii="Times New Roman" w:hAnsi="Times New Roman"/>
          <w:lang w:eastAsia="ja-JP"/>
        </w:rPr>
      </w:pPr>
      <w:r w:rsidRPr="00913BB6">
        <w:rPr>
          <w:rFonts w:ascii="Times New Roman" w:hAnsi="Times New Roman"/>
          <w:caps/>
          <w:lang w:eastAsia="ja-JP"/>
        </w:rPr>
        <w:t>M</w:t>
      </w:r>
      <w:r w:rsidRPr="00913BB6">
        <w:rPr>
          <w:rFonts w:ascii="Times New Roman" w:hAnsi="Times New Roman"/>
          <w:lang w:eastAsia="ja-JP"/>
        </w:rPr>
        <w:t>iltelius užpylus 91 ml vandens, paruošto tirpalo tūris yra 100 ml.</w:t>
      </w:r>
    </w:p>
    <w:p w14:paraId="282037E8" w14:textId="77777777" w:rsidR="00021013" w:rsidRPr="00E80527" w:rsidRDefault="00021013" w:rsidP="00E850F6">
      <w:pPr>
        <w:spacing w:after="0" w:line="240" w:lineRule="auto"/>
        <w:ind w:left="567" w:hanging="567"/>
        <w:rPr>
          <w:rFonts w:ascii="Times New Roman" w:hAnsi="Times New Roman"/>
          <w:b/>
          <w:color w:val="FF0000"/>
          <w:lang w:eastAsia="ja-JP"/>
        </w:rPr>
      </w:pPr>
      <w:r w:rsidRPr="00E80527">
        <w:rPr>
          <w:rFonts w:ascii="Times New Roman" w:hAnsi="Times New Roman"/>
          <w:b/>
          <w:color w:val="FF0000"/>
          <w:lang w:eastAsia="ja-JP"/>
        </w:rPr>
        <w:t>Įspėjimas: geriamasis švirkštas yra sugraduotas mililitrais (ml).</w:t>
      </w:r>
    </w:p>
    <w:p w14:paraId="770D7A3F" w14:textId="77777777" w:rsidR="00021013" w:rsidRPr="00D600DA" w:rsidRDefault="00021013" w:rsidP="00E850F6">
      <w:pPr>
        <w:spacing w:after="0" w:line="240" w:lineRule="auto"/>
        <w:ind w:left="567" w:hanging="567"/>
        <w:rPr>
          <w:rFonts w:ascii="Times New Roman" w:hAnsi="Times New Roman"/>
          <w:caps/>
          <w:lang w:eastAsia="ja-JP"/>
        </w:rPr>
      </w:pPr>
    </w:p>
    <w:p w14:paraId="5B17C137" w14:textId="77777777" w:rsidR="00E850F6" w:rsidRPr="00D600DA" w:rsidRDefault="00E850F6" w:rsidP="00E850F6">
      <w:pPr>
        <w:spacing w:after="0" w:line="240" w:lineRule="auto"/>
        <w:ind w:left="567" w:hanging="567"/>
        <w:rPr>
          <w:rFonts w:ascii="Times New Roman" w:hAnsi="Times New Roman"/>
          <w:caps/>
          <w:lang w:eastAsia="ja-JP"/>
        </w:rPr>
      </w:pPr>
    </w:p>
    <w:p w14:paraId="395C3E69"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5.</w:t>
      </w:r>
      <w:r w:rsidRPr="00D600DA">
        <w:rPr>
          <w:rFonts w:ascii="Times New Roman" w:hAnsi="Times New Roman"/>
          <w:b/>
          <w:caps/>
          <w:lang w:eastAsia="ja-JP"/>
        </w:rPr>
        <w:tab/>
        <w:t>vartojimo METODAS IR būdas (-AI)</w:t>
      </w:r>
    </w:p>
    <w:p w14:paraId="22D31D69" w14:textId="77777777" w:rsidR="00E850F6" w:rsidRPr="00D600DA" w:rsidRDefault="00E850F6" w:rsidP="00E850F6">
      <w:pPr>
        <w:spacing w:after="0" w:line="240" w:lineRule="auto"/>
        <w:ind w:left="567" w:hanging="567"/>
        <w:rPr>
          <w:rFonts w:ascii="Times New Roman" w:hAnsi="Times New Roman"/>
          <w:caps/>
          <w:lang w:eastAsia="ja-JP"/>
        </w:rPr>
      </w:pPr>
    </w:p>
    <w:p w14:paraId="181C01C4" w14:textId="77777777" w:rsidR="00E850F6" w:rsidRPr="00D600DA" w:rsidRDefault="00E850F6" w:rsidP="00E850F6">
      <w:pPr>
        <w:spacing w:after="0" w:line="240" w:lineRule="auto"/>
        <w:rPr>
          <w:rFonts w:ascii="Times New Roman" w:eastAsia="PMingLiU" w:hAnsi="Times New Roman"/>
          <w:lang w:eastAsia="en-US"/>
        </w:rPr>
      </w:pPr>
      <w:r w:rsidRPr="00D600DA">
        <w:rPr>
          <w:rFonts w:ascii="Times New Roman" w:eastAsia="PMingLiU" w:hAnsi="Times New Roman"/>
          <w:lang w:eastAsia="en-US"/>
        </w:rPr>
        <w:t>Prieš vartojimą perskaitykite pakuotės lapelį.</w:t>
      </w:r>
    </w:p>
    <w:p w14:paraId="057C6DA9" w14:textId="77777777" w:rsidR="00E850F6" w:rsidRDefault="00E850F6" w:rsidP="00E850F6">
      <w:pPr>
        <w:spacing w:after="0" w:line="240" w:lineRule="auto"/>
        <w:rPr>
          <w:rFonts w:ascii="Times New Roman" w:eastAsia="PMingLiU" w:hAnsi="Times New Roman"/>
          <w:lang w:eastAsia="en-US"/>
        </w:rPr>
      </w:pPr>
    </w:p>
    <w:p w14:paraId="11879B61" w14:textId="77777777" w:rsidR="00E850F6" w:rsidRPr="00D600DA" w:rsidRDefault="00E850F6" w:rsidP="00E850F6">
      <w:pPr>
        <w:spacing w:after="0" w:line="240" w:lineRule="auto"/>
        <w:rPr>
          <w:rFonts w:ascii="Times New Roman" w:eastAsia="PMingLiU" w:hAnsi="Times New Roman"/>
          <w:lang w:eastAsia="en-US"/>
        </w:rPr>
      </w:pPr>
      <w:r w:rsidRPr="00D600DA">
        <w:rPr>
          <w:rFonts w:ascii="Times New Roman" w:eastAsia="PMingLiU" w:hAnsi="Times New Roman"/>
          <w:lang w:eastAsia="en-US"/>
        </w:rPr>
        <w:t>Prieš vart</w:t>
      </w:r>
      <w:r>
        <w:rPr>
          <w:rFonts w:ascii="Times New Roman" w:eastAsia="PMingLiU" w:hAnsi="Times New Roman"/>
          <w:lang w:eastAsia="en-US"/>
        </w:rPr>
        <w:t>odami</w:t>
      </w:r>
      <w:r w:rsidRPr="00D600DA">
        <w:rPr>
          <w:rFonts w:ascii="Times New Roman" w:eastAsia="PMingLiU" w:hAnsi="Times New Roman"/>
          <w:lang w:eastAsia="en-US"/>
        </w:rPr>
        <w:t xml:space="preserve"> paruoškite</w:t>
      </w:r>
      <w:r>
        <w:rPr>
          <w:rFonts w:ascii="Times New Roman" w:eastAsia="PMingLiU" w:hAnsi="Times New Roman"/>
          <w:lang w:eastAsia="en-US"/>
        </w:rPr>
        <w:t xml:space="preserve"> –žr. pakuotės lapelį </w:t>
      </w:r>
      <w:r w:rsidRPr="00D600DA">
        <w:rPr>
          <w:rFonts w:ascii="Times New Roman" w:eastAsia="PMingLiU" w:hAnsi="Times New Roman"/>
          <w:lang w:eastAsia="en-US"/>
        </w:rPr>
        <w:t>.</w:t>
      </w:r>
    </w:p>
    <w:p w14:paraId="1A608772" w14:textId="77777777" w:rsidR="00E850F6" w:rsidRPr="00D600DA" w:rsidRDefault="00E850F6" w:rsidP="00E850F6">
      <w:pPr>
        <w:spacing w:after="0" w:line="240" w:lineRule="auto"/>
        <w:rPr>
          <w:rFonts w:ascii="Times New Roman" w:eastAsia="PMingLiU" w:hAnsi="Times New Roman"/>
          <w:lang w:eastAsia="en-US"/>
        </w:rPr>
      </w:pPr>
      <w:r w:rsidRPr="00D600DA">
        <w:rPr>
          <w:rFonts w:ascii="Times New Roman" w:eastAsia="PMingLiU" w:hAnsi="Times New Roman"/>
          <w:lang w:eastAsia="en-US"/>
        </w:rPr>
        <w:t>Rekomenduojama, kad geriamąjį tirpalą iš miltelių paruoštų vaistininkas.</w:t>
      </w:r>
    </w:p>
    <w:p w14:paraId="0438E487" w14:textId="77777777" w:rsidR="00E850F6" w:rsidRDefault="00E850F6" w:rsidP="00E850F6">
      <w:pPr>
        <w:spacing w:after="0" w:line="240" w:lineRule="auto"/>
        <w:rPr>
          <w:rFonts w:ascii="Times New Roman" w:hAnsi="Times New Roman"/>
          <w:lang w:eastAsia="ja-JP"/>
        </w:rPr>
      </w:pPr>
    </w:p>
    <w:p w14:paraId="15A3C6CB" w14:textId="77777777" w:rsidR="00E850F6" w:rsidRDefault="00E850F6" w:rsidP="00E850F6">
      <w:pPr>
        <w:spacing w:after="0" w:line="240" w:lineRule="auto"/>
        <w:rPr>
          <w:rFonts w:ascii="Times New Roman" w:hAnsi="Times New Roman"/>
          <w:lang w:eastAsia="ja-JP"/>
        </w:rPr>
      </w:pPr>
      <w:r>
        <w:rPr>
          <w:rFonts w:ascii="Times New Roman" w:hAnsi="Times New Roman"/>
          <w:lang w:eastAsia="ja-JP"/>
        </w:rPr>
        <w:t>Paruoštą tirpalą vartoti tik per burną.</w:t>
      </w:r>
    </w:p>
    <w:p w14:paraId="470E129E" w14:textId="77777777" w:rsidR="00E850F6" w:rsidRPr="00D600DA" w:rsidRDefault="00E850F6" w:rsidP="00E850F6">
      <w:pPr>
        <w:spacing w:after="0" w:line="240" w:lineRule="auto"/>
        <w:ind w:left="567" w:hanging="567"/>
        <w:rPr>
          <w:rFonts w:ascii="Times New Roman" w:hAnsi="Times New Roman"/>
          <w:caps/>
          <w:lang w:eastAsia="ja-JP"/>
        </w:rPr>
      </w:pPr>
    </w:p>
    <w:p w14:paraId="01ED0C12" w14:textId="77777777" w:rsidR="00E850F6" w:rsidRPr="00D600DA" w:rsidRDefault="00E850F6" w:rsidP="00E850F6">
      <w:pPr>
        <w:spacing w:after="0" w:line="240" w:lineRule="auto"/>
        <w:ind w:left="567" w:hanging="567"/>
        <w:rPr>
          <w:rFonts w:ascii="Times New Roman" w:hAnsi="Times New Roman"/>
          <w:caps/>
          <w:lang w:eastAsia="ja-JP"/>
        </w:rPr>
      </w:pPr>
    </w:p>
    <w:p w14:paraId="7DF4CBC1"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6.</w:t>
      </w:r>
      <w:r w:rsidRPr="00D600DA">
        <w:rPr>
          <w:rFonts w:ascii="Times New Roman" w:hAnsi="Times New Roman"/>
          <w:b/>
          <w:caps/>
          <w:lang w:eastAsia="ja-JP"/>
        </w:rPr>
        <w:tab/>
        <w:t>SPECIALUS Įspėjimas</w:t>
      </w:r>
      <w:r w:rsidRPr="00D600DA">
        <w:rPr>
          <w:rFonts w:ascii="Times New Roman" w:hAnsi="Times New Roman"/>
          <w:lang w:eastAsia="ja-JP"/>
        </w:rPr>
        <w:t xml:space="preserve">, </w:t>
      </w:r>
      <w:r w:rsidRPr="00D600DA">
        <w:rPr>
          <w:rFonts w:ascii="Times New Roman" w:hAnsi="Times New Roman"/>
          <w:b/>
          <w:bCs/>
          <w:lang w:eastAsia="ja-JP"/>
        </w:rPr>
        <w:t xml:space="preserve">KAD VAISTINĮ PREPARATĄ BŪTINA LAIKYTI </w:t>
      </w:r>
      <w:r w:rsidRPr="00D600DA">
        <w:rPr>
          <w:rFonts w:ascii="Times New Roman" w:hAnsi="Times New Roman"/>
          <w:b/>
          <w:caps/>
          <w:lang w:eastAsia="ja-JP"/>
        </w:rPr>
        <w:t>vaikams nepastebimoje ir nepasiekiamoje vietoje</w:t>
      </w:r>
    </w:p>
    <w:p w14:paraId="33399451" w14:textId="77777777" w:rsidR="00E850F6" w:rsidRPr="00D600DA" w:rsidRDefault="00E850F6" w:rsidP="00E850F6">
      <w:pPr>
        <w:spacing w:after="0" w:line="240" w:lineRule="auto"/>
        <w:ind w:left="567" w:hanging="567"/>
        <w:rPr>
          <w:rFonts w:ascii="Times New Roman" w:hAnsi="Times New Roman"/>
          <w:lang w:eastAsia="ja-JP"/>
        </w:rPr>
      </w:pPr>
    </w:p>
    <w:p w14:paraId="42FBB2E1" w14:textId="77777777" w:rsidR="00E850F6" w:rsidRPr="00D600DA" w:rsidRDefault="00E850F6" w:rsidP="00E850F6">
      <w:pPr>
        <w:spacing w:after="0" w:line="240" w:lineRule="auto"/>
        <w:ind w:left="567" w:hanging="567"/>
        <w:rPr>
          <w:rFonts w:ascii="Times New Roman" w:hAnsi="Times New Roman"/>
          <w:color w:val="000000"/>
          <w:lang w:eastAsia="ja-JP"/>
        </w:rPr>
      </w:pPr>
      <w:r w:rsidRPr="00D600DA">
        <w:rPr>
          <w:rFonts w:ascii="Times New Roman" w:hAnsi="Times New Roman"/>
          <w:color w:val="000000"/>
          <w:lang w:eastAsia="ja-JP"/>
        </w:rPr>
        <w:t>Laikyti vaikams nepastebimoje ir nepasiekiamoje vietoje.</w:t>
      </w:r>
    </w:p>
    <w:p w14:paraId="4D0A3834" w14:textId="77777777" w:rsidR="00E850F6" w:rsidRPr="00D600DA" w:rsidRDefault="00E850F6" w:rsidP="00E850F6">
      <w:pPr>
        <w:spacing w:after="0" w:line="240" w:lineRule="auto"/>
        <w:ind w:left="567" w:hanging="567"/>
        <w:rPr>
          <w:rFonts w:ascii="Times New Roman" w:hAnsi="Times New Roman"/>
          <w:lang w:eastAsia="ja-JP"/>
        </w:rPr>
      </w:pPr>
    </w:p>
    <w:p w14:paraId="1C1B1442" w14:textId="77777777" w:rsidR="00E850F6" w:rsidRPr="00D600DA" w:rsidRDefault="00E850F6" w:rsidP="00E850F6">
      <w:pPr>
        <w:spacing w:after="0" w:line="240" w:lineRule="auto"/>
        <w:ind w:left="567" w:hanging="567"/>
        <w:rPr>
          <w:rFonts w:ascii="Times New Roman" w:hAnsi="Times New Roman"/>
          <w:lang w:eastAsia="ja-JP"/>
        </w:rPr>
      </w:pPr>
    </w:p>
    <w:p w14:paraId="55E4FAFF"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7.</w:t>
      </w:r>
      <w:r w:rsidRPr="00D600DA">
        <w:rPr>
          <w:rFonts w:ascii="Times New Roman" w:hAnsi="Times New Roman"/>
          <w:b/>
          <w:caps/>
          <w:lang w:eastAsia="ja-JP"/>
        </w:rPr>
        <w:tab/>
      </w:r>
      <w:r w:rsidRPr="00D600DA">
        <w:rPr>
          <w:rFonts w:ascii="Times New Roman" w:hAnsi="Times New Roman"/>
          <w:b/>
          <w:lang w:eastAsia="ja-JP"/>
        </w:rPr>
        <w:t>KITAS (-I) SPECIALUS (-ŪS) ĮSPĖJIMAS (-AI) (JEI REIKIA)</w:t>
      </w:r>
    </w:p>
    <w:p w14:paraId="4C7DEC5E" w14:textId="77777777" w:rsidR="00E850F6" w:rsidRPr="00D600DA" w:rsidRDefault="00E850F6" w:rsidP="00E850F6">
      <w:pPr>
        <w:spacing w:after="0" w:line="240" w:lineRule="auto"/>
        <w:ind w:left="567" w:hanging="567"/>
        <w:rPr>
          <w:rFonts w:ascii="Times New Roman" w:hAnsi="Times New Roman"/>
          <w:caps/>
          <w:lang w:eastAsia="ja-JP"/>
        </w:rPr>
      </w:pPr>
    </w:p>
    <w:p w14:paraId="15E1A2ED" w14:textId="77777777" w:rsidR="00E850F6" w:rsidRPr="00D600DA" w:rsidRDefault="00E850F6" w:rsidP="00E850F6">
      <w:pPr>
        <w:spacing w:after="0" w:line="240" w:lineRule="auto"/>
        <w:rPr>
          <w:rFonts w:ascii="Times New Roman" w:eastAsia="PMingLiU" w:hAnsi="Times New Roman"/>
          <w:lang w:eastAsia="en-US"/>
        </w:rPr>
      </w:pPr>
      <w:r w:rsidRPr="00D600DA">
        <w:rPr>
          <w:rFonts w:ascii="Times New Roman" w:eastAsia="PMingLiU" w:hAnsi="Times New Roman"/>
          <w:lang w:eastAsia="en-US"/>
        </w:rPr>
        <w:t>Vengti įkvėpti ir tiesioginio sąlyčio su milteliais ir tirpalu.</w:t>
      </w:r>
    </w:p>
    <w:p w14:paraId="0C340A3C" w14:textId="77777777" w:rsidR="00E850F6" w:rsidRPr="00D600DA" w:rsidRDefault="00E850F6" w:rsidP="00E850F6">
      <w:pPr>
        <w:spacing w:after="0" w:line="240" w:lineRule="auto"/>
        <w:ind w:left="567" w:hanging="567"/>
        <w:rPr>
          <w:rFonts w:ascii="Times New Roman" w:hAnsi="Times New Roman"/>
          <w:caps/>
          <w:lang w:eastAsia="ja-JP"/>
        </w:rPr>
      </w:pPr>
    </w:p>
    <w:p w14:paraId="437952C0" w14:textId="77777777" w:rsidR="00E850F6" w:rsidRPr="00D600DA" w:rsidRDefault="00E850F6" w:rsidP="00E850F6">
      <w:pPr>
        <w:spacing w:after="0" w:line="240" w:lineRule="auto"/>
        <w:ind w:left="567" w:hanging="567"/>
        <w:rPr>
          <w:rFonts w:ascii="Times New Roman" w:hAnsi="Times New Roman"/>
          <w:caps/>
          <w:lang w:eastAsia="ja-JP"/>
        </w:rPr>
      </w:pPr>
    </w:p>
    <w:p w14:paraId="20685702"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8.</w:t>
      </w:r>
      <w:r w:rsidRPr="00D600DA">
        <w:rPr>
          <w:rFonts w:ascii="Times New Roman" w:hAnsi="Times New Roman"/>
          <w:b/>
          <w:caps/>
          <w:lang w:eastAsia="ja-JP"/>
        </w:rPr>
        <w:tab/>
        <w:t>tinkamumo laikas</w:t>
      </w:r>
    </w:p>
    <w:p w14:paraId="5DDEB799" w14:textId="77777777" w:rsidR="00E850F6" w:rsidRPr="00D600DA" w:rsidRDefault="00E850F6" w:rsidP="00E850F6">
      <w:pPr>
        <w:spacing w:after="0" w:line="240" w:lineRule="auto"/>
        <w:ind w:left="567" w:hanging="567"/>
        <w:rPr>
          <w:rFonts w:ascii="Times New Roman" w:hAnsi="Times New Roman"/>
          <w:lang w:eastAsia="ja-JP"/>
        </w:rPr>
      </w:pPr>
    </w:p>
    <w:p w14:paraId="44365A8C" w14:textId="77777777" w:rsidR="00E850F6" w:rsidRPr="00D600DA" w:rsidRDefault="00E850F6" w:rsidP="00E850F6">
      <w:pPr>
        <w:spacing w:after="0" w:line="240" w:lineRule="auto"/>
        <w:rPr>
          <w:rFonts w:ascii="Times New Roman" w:hAnsi="Times New Roman"/>
        </w:rPr>
      </w:pPr>
      <w:r w:rsidRPr="00D600DA">
        <w:rPr>
          <w:rFonts w:ascii="Times New Roman" w:hAnsi="Times New Roman"/>
          <w:lang w:eastAsia="ja-JP"/>
        </w:rPr>
        <w:t xml:space="preserve">Tinka iki </w:t>
      </w:r>
      <w:r w:rsidRPr="00D600DA">
        <w:rPr>
          <w:rFonts w:ascii="Times New Roman" w:hAnsi="Times New Roman"/>
        </w:rPr>
        <w:t>{mm MMMM}</w:t>
      </w:r>
    </w:p>
    <w:p w14:paraId="743C9143" w14:textId="77777777" w:rsidR="00E850F6" w:rsidRPr="00D600DA" w:rsidRDefault="00E850F6" w:rsidP="00E850F6">
      <w:pPr>
        <w:spacing w:after="0" w:line="240" w:lineRule="auto"/>
        <w:ind w:left="567" w:hanging="567"/>
        <w:rPr>
          <w:rFonts w:ascii="Times New Roman" w:hAnsi="Times New Roman"/>
          <w:lang w:eastAsia="ja-JP"/>
        </w:rPr>
      </w:pPr>
    </w:p>
    <w:p w14:paraId="529DA077" w14:textId="77777777" w:rsidR="00E850F6" w:rsidRPr="00D600DA" w:rsidRDefault="00E850F6" w:rsidP="00E850F6">
      <w:pPr>
        <w:spacing w:after="0" w:line="240" w:lineRule="auto"/>
        <w:ind w:left="567" w:hanging="567"/>
        <w:rPr>
          <w:rFonts w:ascii="Times New Roman" w:hAnsi="Times New Roman"/>
          <w:lang w:eastAsia="ja-JP"/>
        </w:rPr>
      </w:pPr>
    </w:p>
    <w:p w14:paraId="0421C914" w14:textId="77777777" w:rsidR="00E850F6" w:rsidRPr="00D600DA" w:rsidRDefault="00E850F6" w:rsidP="00E850F6">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lastRenderedPageBreak/>
        <w:t>9.</w:t>
      </w:r>
      <w:r w:rsidRPr="00D600DA">
        <w:rPr>
          <w:rFonts w:ascii="Times New Roman" w:hAnsi="Times New Roman"/>
          <w:b/>
          <w:caps/>
          <w:lang w:eastAsia="ja-JP"/>
        </w:rPr>
        <w:tab/>
        <w:t>SPECIALIOS laikymo sąlygos</w:t>
      </w:r>
    </w:p>
    <w:p w14:paraId="1F2BC18F" w14:textId="77777777" w:rsidR="00E850F6" w:rsidRPr="00D600DA" w:rsidRDefault="00E850F6" w:rsidP="00E850F6">
      <w:pPr>
        <w:keepNext/>
        <w:keepLines/>
        <w:spacing w:after="0" w:line="240" w:lineRule="auto"/>
        <w:rPr>
          <w:rFonts w:ascii="Times New Roman" w:hAnsi="Times New Roman"/>
          <w:lang w:eastAsia="ja-JP"/>
        </w:rPr>
      </w:pPr>
    </w:p>
    <w:p w14:paraId="6CAD54C0" w14:textId="77777777" w:rsidR="00E850F6" w:rsidRDefault="00E850F6" w:rsidP="00E850F6">
      <w:pPr>
        <w:spacing w:after="0" w:line="240" w:lineRule="auto"/>
        <w:ind w:left="567" w:hanging="567"/>
        <w:rPr>
          <w:rFonts w:ascii="Times New Roman" w:hAnsi="Times New Roman"/>
          <w:lang w:eastAsia="ja-JP"/>
        </w:rPr>
      </w:pPr>
      <w:r>
        <w:rPr>
          <w:rFonts w:ascii="Times New Roman" w:hAnsi="Times New Roman"/>
          <w:lang w:eastAsia="ja-JP"/>
        </w:rPr>
        <w:t>Šiam vaistiniam preparatui specialių laikymo sąlygų nereikia.</w:t>
      </w:r>
    </w:p>
    <w:p w14:paraId="509946BB" w14:textId="77777777" w:rsidR="00E850F6" w:rsidRPr="00D600DA" w:rsidRDefault="00E850F6" w:rsidP="00E850F6">
      <w:pPr>
        <w:spacing w:after="0" w:line="240" w:lineRule="auto"/>
        <w:ind w:left="567" w:hanging="567"/>
        <w:rPr>
          <w:rFonts w:ascii="Times New Roman" w:hAnsi="Times New Roman"/>
          <w:lang w:eastAsia="ja-JP"/>
        </w:rPr>
      </w:pPr>
      <w:r w:rsidRPr="00D600DA">
        <w:rPr>
          <w:rFonts w:ascii="Times New Roman" w:hAnsi="Times New Roman"/>
          <w:lang w:eastAsia="ja-JP"/>
        </w:rPr>
        <w:t xml:space="preserve">Paruoštą tirpalą laikyti šaldytuve (2 </w:t>
      </w:r>
      <w:r w:rsidRPr="00D600DA">
        <w:rPr>
          <w:rFonts w:ascii="Times New Roman" w:hAnsi="Times New Roman"/>
          <w:lang w:eastAsia="ja-JP"/>
        </w:rPr>
        <w:sym w:font="Symbol" w:char="F0B0"/>
      </w:r>
      <w:r w:rsidRPr="00D600DA">
        <w:rPr>
          <w:rFonts w:ascii="Times New Roman" w:hAnsi="Times New Roman"/>
          <w:lang w:eastAsia="ja-JP"/>
        </w:rPr>
        <w:t xml:space="preserve">C – 8 </w:t>
      </w:r>
      <w:r w:rsidRPr="00D600DA">
        <w:rPr>
          <w:rFonts w:ascii="Times New Roman" w:hAnsi="Times New Roman"/>
          <w:lang w:eastAsia="ja-JP"/>
        </w:rPr>
        <w:sym w:font="Symbol" w:char="F0B0"/>
      </w:r>
      <w:r w:rsidRPr="00D600DA">
        <w:rPr>
          <w:rFonts w:ascii="Times New Roman" w:hAnsi="Times New Roman"/>
          <w:lang w:eastAsia="ja-JP"/>
        </w:rPr>
        <w:t>C).</w:t>
      </w:r>
    </w:p>
    <w:p w14:paraId="233B4CE0" w14:textId="77777777" w:rsidR="00E850F6" w:rsidRPr="00D600DA" w:rsidRDefault="00E850F6" w:rsidP="00E850F6">
      <w:pPr>
        <w:spacing w:after="0" w:line="240" w:lineRule="auto"/>
        <w:ind w:left="567" w:hanging="567"/>
        <w:rPr>
          <w:rFonts w:ascii="Times New Roman" w:hAnsi="Times New Roman"/>
          <w:lang w:eastAsia="ja-JP"/>
        </w:rPr>
      </w:pPr>
      <w:r w:rsidRPr="00D600DA">
        <w:rPr>
          <w:rFonts w:ascii="Times New Roman" w:hAnsi="Times New Roman"/>
          <w:lang w:eastAsia="ja-JP"/>
        </w:rPr>
        <w:t>Paruošto tirpalo tinkamumo laikas – 49 dienos.</w:t>
      </w:r>
    </w:p>
    <w:p w14:paraId="3500F828" w14:textId="77777777" w:rsidR="00E850F6" w:rsidRPr="00D600DA" w:rsidRDefault="00E850F6" w:rsidP="00E850F6">
      <w:pPr>
        <w:spacing w:after="0" w:line="240" w:lineRule="auto"/>
        <w:ind w:left="567" w:hanging="567"/>
        <w:rPr>
          <w:rFonts w:ascii="Times New Roman" w:hAnsi="Times New Roman"/>
          <w:lang w:eastAsia="ja-JP"/>
        </w:rPr>
      </w:pPr>
    </w:p>
    <w:p w14:paraId="013CD4A7" w14:textId="77777777" w:rsidR="00E850F6" w:rsidRPr="00D600DA" w:rsidRDefault="00E850F6" w:rsidP="00E850F6">
      <w:pPr>
        <w:spacing w:after="0" w:line="240" w:lineRule="auto"/>
        <w:ind w:left="567" w:hanging="567"/>
        <w:rPr>
          <w:rFonts w:ascii="Times New Roman" w:hAnsi="Times New Roman"/>
          <w:lang w:eastAsia="ja-JP"/>
        </w:rPr>
      </w:pPr>
    </w:p>
    <w:p w14:paraId="15B6AE09"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10.</w:t>
      </w:r>
      <w:r w:rsidRPr="00D600DA">
        <w:rPr>
          <w:rFonts w:ascii="Times New Roman" w:hAnsi="Times New Roman"/>
          <w:b/>
          <w:caps/>
          <w:lang w:eastAsia="ja-JP"/>
        </w:rPr>
        <w:tab/>
      </w:r>
      <w:r w:rsidRPr="00D600DA">
        <w:rPr>
          <w:rFonts w:ascii="Times New Roman" w:hAnsi="Times New Roman"/>
          <w:b/>
          <w:lang w:eastAsia="ja-JP"/>
        </w:rPr>
        <w:t xml:space="preserve">SPECIALIOS ATSARGUMO PRIEMONĖS DĖL NESUVARTOTO </w:t>
      </w:r>
      <w:r w:rsidRPr="00D600DA">
        <w:rPr>
          <w:rFonts w:ascii="Times New Roman" w:hAnsi="Times New Roman"/>
          <w:b/>
          <w:bCs/>
          <w:lang w:eastAsia="ja-JP"/>
        </w:rPr>
        <w:t xml:space="preserve">VAISTINIO PREPARATO AR JO ATLIEKŲ </w:t>
      </w:r>
      <w:r w:rsidRPr="00D600DA">
        <w:rPr>
          <w:rFonts w:ascii="Times New Roman" w:hAnsi="Times New Roman"/>
          <w:b/>
          <w:lang w:eastAsia="ja-JP"/>
        </w:rPr>
        <w:t>TVARKYMO (JEI REIKIA)</w:t>
      </w:r>
    </w:p>
    <w:p w14:paraId="1C3F5EEC" w14:textId="77777777" w:rsidR="00E850F6" w:rsidRPr="00D600DA" w:rsidRDefault="00E850F6" w:rsidP="00E850F6">
      <w:pPr>
        <w:spacing w:after="0" w:line="240" w:lineRule="auto"/>
        <w:ind w:left="567" w:hanging="567"/>
        <w:rPr>
          <w:rFonts w:ascii="Times New Roman" w:hAnsi="Times New Roman"/>
          <w:caps/>
          <w:lang w:eastAsia="ja-JP"/>
        </w:rPr>
      </w:pPr>
    </w:p>
    <w:p w14:paraId="462945EF" w14:textId="77777777" w:rsidR="00E850F6" w:rsidRPr="00D600DA" w:rsidRDefault="00E850F6" w:rsidP="00E850F6">
      <w:pPr>
        <w:spacing w:after="0" w:line="240" w:lineRule="auto"/>
        <w:ind w:left="567" w:hanging="567"/>
        <w:rPr>
          <w:rFonts w:ascii="Times New Roman" w:hAnsi="Times New Roman"/>
          <w:caps/>
          <w:lang w:eastAsia="ja-JP"/>
        </w:rPr>
      </w:pPr>
    </w:p>
    <w:p w14:paraId="386CBAE1"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11.</w:t>
      </w:r>
      <w:r w:rsidRPr="00D600DA">
        <w:rPr>
          <w:rFonts w:ascii="Times New Roman" w:hAnsi="Times New Roman"/>
          <w:b/>
          <w:caps/>
          <w:lang w:eastAsia="ja-JP"/>
        </w:rPr>
        <w:tab/>
      </w:r>
      <w:r>
        <w:rPr>
          <w:rFonts w:ascii="Times New Roman" w:hAnsi="Times New Roman"/>
          <w:b/>
          <w:lang w:eastAsia="ja-JP"/>
        </w:rPr>
        <w:t>REGISTRUOTOJO</w:t>
      </w:r>
      <w:r w:rsidDel="00B417C9">
        <w:rPr>
          <w:rFonts w:ascii="Times New Roman" w:hAnsi="Times New Roman"/>
          <w:b/>
          <w:lang w:eastAsia="ja-JP"/>
        </w:rPr>
        <w:t xml:space="preserve"> </w:t>
      </w:r>
      <w:r w:rsidRPr="00D600DA">
        <w:rPr>
          <w:rFonts w:ascii="Times New Roman" w:hAnsi="Times New Roman"/>
          <w:b/>
          <w:caps/>
          <w:lang w:eastAsia="ja-JP"/>
        </w:rPr>
        <w:t>pavadinimas ir adresas</w:t>
      </w:r>
    </w:p>
    <w:p w14:paraId="3E4A0BD3" w14:textId="77777777" w:rsidR="00E850F6" w:rsidRPr="00D600DA" w:rsidRDefault="00E850F6" w:rsidP="00E850F6">
      <w:pPr>
        <w:spacing w:after="0" w:line="240" w:lineRule="auto"/>
        <w:ind w:left="567" w:hanging="567"/>
        <w:rPr>
          <w:rFonts w:ascii="Times New Roman" w:hAnsi="Times New Roman"/>
          <w:caps/>
          <w:lang w:eastAsia="ja-JP"/>
        </w:rPr>
      </w:pPr>
    </w:p>
    <w:p w14:paraId="39B47F6F"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UAB „Roche Lietuva“</w:t>
      </w:r>
    </w:p>
    <w:p w14:paraId="5C89A0BC"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J. Jasinskio g. 16</w:t>
      </w:r>
      <w:r>
        <w:rPr>
          <w:rFonts w:ascii="Times New Roman" w:hAnsi="Times New Roman"/>
          <w:lang w:eastAsia="ja-JP"/>
        </w:rPr>
        <w:t>B</w:t>
      </w:r>
    </w:p>
    <w:p w14:paraId="26E83D37"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LT-01112 Vilnius</w:t>
      </w:r>
    </w:p>
    <w:p w14:paraId="3681368E"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Lietuva</w:t>
      </w:r>
    </w:p>
    <w:p w14:paraId="1616BBAE" w14:textId="77777777" w:rsidR="00E850F6" w:rsidRPr="00D600DA" w:rsidRDefault="00E850F6" w:rsidP="00E850F6">
      <w:pPr>
        <w:spacing w:after="0" w:line="240" w:lineRule="auto"/>
        <w:ind w:left="567" w:hanging="567"/>
        <w:rPr>
          <w:rFonts w:ascii="Times New Roman" w:hAnsi="Times New Roman"/>
          <w:caps/>
          <w:lang w:eastAsia="ja-JP"/>
        </w:rPr>
      </w:pPr>
    </w:p>
    <w:p w14:paraId="012AD0BD" w14:textId="77777777" w:rsidR="00E850F6" w:rsidRPr="00D600DA" w:rsidRDefault="00E850F6" w:rsidP="00E850F6">
      <w:pPr>
        <w:spacing w:after="0" w:line="240" w:lineRule="auto"/>
        <w:ind w:left="567" w:hanging="567"/>
        <w:rPr>
          <w:rFonts w:ascii="Times New Roman" w:hAnsi="Times New Roman"/>
          <w:caps/>
          <w:lang w:eastAsia="ja-JP"/>
        </w:rPr>
      </w:pPr>
    </w:p>
    <w:p w14:paraId="6296A3EC"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12.</w:t>
      </w:r>
      <w:r w:rsidRPr="00D600DA">
        <w:rPr>
          <w:rFonts w:ascii="Times New Roman" w:hAnsi="Times New Roman"/>
          <w:b/>
          <w:caps/>
          <w:lang w:eastAsia="ja-JP"/>
        </w:rPr>
        <w:tab/>
      </w:r>
      <w:r>
        <w:rPr>
          <w:rFonts w:ascii="Times New Roman" w:hAnsi="Times New Roman"/>
          <w:b/>
          <w:lang w:eastAsia="ja-JP"/>
        </w:rPr>
        <w:t>REGISTRACIJOS PAŽYMĖJIMO</w:t>
      </w:r>
      <w:r w:rsidRPr="00D600DA">
        <w:rPr>
          <w:rFonts w:ascii="Times New Roman" w:hAnsi="Times New Roman"/>
          <w:lang w:eastAsia="ja-JP"/>
        </w:rPr>
        <w:t xml:space="preserve"> </w:t>
      </w:r>
      <w:r w:rsidRPr="00D600DA">
        <w:rPr>
          <w:rFonts w:ascii="Times New Roman" w:hAnsi="Times New Roman"/>
          <w:b/>
          <w:caps/>
          <w:lang w:eastAsia="ja-JP"/>
        </w:rPr>
        <w:t>numeris</w:t>
      </w:r>
    </w:p>
    <w:p w14:paraId="481B7697" w14:textId="77777777" w:rsidR="00E850F6" w:rsidRPr="00D600DA" w:rsidRDefault="00E850F6" w:rsidP="00E850F6">
      <w:pPr>
        <w:spacing w:after="0" w:line="240" w:lineRule="auto"/>
        <w:ind w:left="567" w:hanging="567"/>
        <w:rPr>
          <w:rFonts w:ascii="Times New Roman" w:hAnsi="Times New Roman"/>
          <w:lang w:eastAsia="ja-JP"/>
        </w:rPr>
      </w:pPr>
    </w:p>
    <w:p w14:paraId="60A16CB3"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LT/1/08/1131/001</w:t>
      </w:r>
    </w:p>
    <w:p w14:paraId="2BD3F3CF" w14:textId="77777777" w:rsidR="00E850F6" w:rsidRPr="00D600DA" w:rsidRDefault="00E850F6" w:rsidP="00E850F6">
      <w:pPr>
        <w:spacing w:after="0" w:line="240" w:lineRule="auto"/>
        <w:ind w:left="567" w:hanging="567"/>
        <w:rPr>
          <w:rFonts w:ascii="Times New Roman" w:hAnsi="Times New Roman"/>
          <w:lang w:eastAsia="ja-JP"/>
        </w:rPr>
      </w:pPr>
    </w:p>
    <w:p w14:paraId="7D3D0B6F" w14:textId="77777777" w:rsidR="00E850F6" w:rsidRPr="00D600DA" w:rsidRDefault="00E850F6" w:rsidP="00E850F6">
      <w:pPr>
        <w:spacing w:after="0" w:line="240" w:lineRule="auto"/>
        <w:ind w:left="567" w:hanging="567"/>
        <w:rPr>
          <w:rFonts w:ascii="Times New Roman" w:hAnsi="Times New Roman"/>
          <w:lang w:eastAsia="ja-JP"/>
        </w:rPr>
      </w:pPr>
    </w:p>
    <w:p w14:paraId="29ECAD38"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13.</w:t>
      </w:r>
      <w:r w:rsidRPr="00D600DA">
        <w:rPr>
          <w:rFonts w:ascii="Times New Roman" w:hAnsi="Times New Roman"/>
          <w:b/>
          <w:caps/>
          <w:lang w:eastAsia="ja-JP"/>
        </w:rPr>
        <w:tab/>
        <w:t>serijos numeris</w:t>
      </w:r>
    </w:p>
    <w:p w14:paraId="77BDF59D" w14:textId="77777777" w:rsidR="00E850F6" w:rsidRPr="00D600DA" w:rsidRDefault="00E850F6" w:rsidP="00E850F6">
      <w:pPr>
        <w:spacing w:after="0" w:line="240" w:lineRule="auto"/>
        <w:ind w:left="567" w:hanging="567"/>
        <w:rPr>
          <w:rFonts w:ascii="Times New Roman" w:hAnsi="Times New Roman"/>
          <w:lang w:eastAsia="ja-JP"/>
        </w:rPr>
      </w:pPr>
    </w:p>
    <w:p w14:paraId="4D8471AF" w14:textId="77777777" w:rsidR="00E850F6" w:rsidRPr="00D600DA" w:rsidRDefault="00E850F6" w:rsidP="00E850F6">
      <w:pPr>
        <w:spacing w:after="0" w:line="240" w:lineRule="auto"/>
        <w:ind w:left="567" w:hanging="567"/>
        <w:rPr>
          <w:rFonts w:ascii="Times New Roman" w:hAnsi="Times New Roman"/>
          <w:lang w:eastAsia="ja-JP"/>
        </w:rPr>
      </w:pPr>
      <w:r w:rsidRPr="00D600DA">
        <w:rPr>
          <w:rFonts w:ascii="Times New Roman" w:hAnsi="Times New Roman"/>
          <w:lang w:eastAsia="ja-JP"/>
        </w:rPr>
        <w:t xml:space="preserve">Serija </w:t>
      </w:r>
    </w:p>
    <w:p w14:paraId="6D0A24E8" w14:textId="77777777" w:rsidR="00E850F6" w:rsidRPr="00D600DA" w:rsidRDefault="00E850F6" w:rsidP="00E850F6">
      <w:pPr>
        <w:spacing w:after="0" w:line="240" w:lineRule="auto"/>
        <w:ind w:left="567" w:hanging="567"/>
        <w:rPr>
          <w:rFonts w:ascii="Times New Roman" w:hAnsi="Times New Roman"/>
          <w:lang w:eastAsia="ja-JP"/>
        </w:rPr>
      </w:pPr>
    </w:p>
    <w:p w14:paraId="3936CC6C" w14:textId="77777777" w:rsidR="00E850F6" w:rsidRPr="00D600DA" w:rsidRDefault="00E850F6" w:rsidP="00E850F6">
      <w:pPr>
        <w:spacing w:after="0" w:line="240" w:lineRule="auto"/>
        <w:ind w:left="567" w:hanging="567"/>
        <w:rPr>
          <w:rFonts w:ascii="Times New Roman" w:hAnsi="Times New Roman"/>
          <w:lang w:eastAsia="ja-JP"/>
        </w:rPr>
      </w:pPr>
    </w:p>
    <w:p w14:paraId="064D13B2"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14.</w:t>
      </w:r>
      <w:r w:rsidRPr="00D600DA">
        <w:rPr>
          <w:rFonts w:ascii="Times New Roman" w:hAnsi="Times New Roman"/>
          <w:b/>
          <w:caps/>
          <w:lang w:eastAsia="ja-JP"/>
        </w:rPr>
        <w:tab/>
      </w:r>
      <w:r w:rsidRPr="00D600DA">
        <w:rPr>
          <w:rFonts w:ascii="Times New Roman" w:hAnsi="Times New Roman"/>
          <w:b/>
          <w:lang w:eastAsia="ja-JP"/>
        </w:rPr>
        <w:t>PARDAVIMO (IŠDAVIMO) TVARKA</w:t>
      </w:r>
    </w:p>
    <w:p w14:paraId="55F93994" w14:textId="77777777" w:rsidR="00E850F6" w:rsidRPr="00D600DA" w:rsidRDefault="00E850F6" w:rsidP="00E850F6">
      <w:pPr>
        <w:spacing w:after="0" w:line="240" w:lineRule="auto"/>
        <w:ind w:left="567" w:hanging="567"/>
        <w:rPr>
          <w:rFonts w:ascii="Times New Roman" w:hAnsi="Times New Roman"/>
          <w:lang w:eastAsia="ja-JP"/>
        </w:rPr>
      </w:pPr>
    </w:p>
    <w:p w14:paraId="5522B928" w14:textId="77777777" w:rsidR="00E850F6" w:rsidRPr="00D600DA" w:rsidRDefault="00E850F6" w:rsidP="00E850F6">
      <w:pPr>
        <w:spacing w:after="0" w:line="240" w:lineRule="auto"/>
        <w:ind w:left="567" w:hanging="567"/>
        <w:rPr>
          <w:rFonts w:ascii="Times New Roman" w:hAnsi="Times New Roman"/>
          <w:lang w:eastAsia="ja-JP"/>
        </w:rPr>
      </w:pPr>
      <w:r w:rsidRPr="00D600DA">
        <w:rPr>
          <w:rFonts w:ascii="Times New Roman" w:hAnsi="Times New Roman"/>
          <w:lang w:eastAsia="ja-JP"/>
        </w:rPr>
        <w:t>Receptinis vaistas</w:t>
      </w:r>
    </w:p>
    <w:p w14:paraId="30261DEE" w14:textId="77777777" w:rsidR="00E850F6" w:rsidRPr="00D600DA" w:rsidRDefault="00E850F6" w:rsidP="00E850F6">
      <w:pPr>
        <w:spacing w:after="0" w:line="240" w:lineRule="auto"/>
        <w:ind w:left="567" w:hanging="567"/>
        <w:rPr>
          <w:rFonts w:ascii="Times New Roman" w:hAnsi="Times New Roman"/>
          <w:lang w:eastAsia="ja-JP"/>
        </w:rPr>
      </w:pPr>
    </w:p>
    <w:p w14:paraId="41570A9A" w14:textId="77777777" w:rsidR="00E850F6" w:rsidRPr="00D600DA" w:rsidRDefault="00E850F6" w:rsidP="00E850F6">
      <w:pPr>
        <w:spacing w:after="0" w:line="240" w:lineRule="auto"/>
        <w:ind w:left="567" w:hanging="567"/>
        <w:rPr>
          <w:rFonts w:ascii="Times New Roman" w:hAnsi="Times New Roman"/>
          <w:lang w:eastAsia="ja-JP"/>
        </w:rPr>
      </w:pPr>
    </w:p>
    <w:p w14:paraId="433E994D"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15.</w:t>
      </w:r>
      <w:r w:rsidRPr="00D600DA">
        <w:rPr>
          <w:rFonts w:ascii="Times New Roman" w:hAnsi="Times New Roman"/>
          <w:b/>
          <w:caps/>
          <w:lang w:eastAsia="ja-JP"/>
        </w:rPr>
        <w:tab/>
        <w:t>vartojimo instrukcijA</w:t>
      </w:r>
    </w:p>
    <w:p w14:paraId="538BF344" w14:textId="77777777" w:rsidR="00E850F6" w:rsidRPr="00D600DA" w:rsidRDefault="00E850F6" w:rsidP="00E850F6">
      <w:pPr>
        <w:spacing w:after="0" w:line="240" w:lineRule="auto"/>
        <w:ind w:left="567" w:hanging="567"/>
        <w:rPr>
          <w:rFonts w:ascii="Times New Roman" w:hAnsi="Times New Roman"/>
          <w:lang w:eastAsia="ja-JP"/>
        </w:rPr>
      </w:pPr>
    </w:p>
    <w:p w14:paraId="3B005ECE" w14:textId="77777777" w:rsidR="00E850F6" w:rsidRPr="00D600DA" w:rsidRDefault="00E850F6" w:rsidP="00E850F6">
      <w:pPr>
        <w:spacing w:after="0" w:line="240" w:lineRule="auto"/>
        <w:ind w:left="567" w:hanging="567"/>
        <w:rPr>
          <w:rFonts w:ascii="Times New Roman" w:hAnsi="Times New Roman"/>
          <w:lang w:eastAsia="ja-JP"/>
        </w:rPr>
      </w:pPr>
    </w:p>
    <w:p w14:paraId="1841DC48" w14:textId="77777777" w:rsidR="00E850F6" w:rsidRPr="00D600DA" w:rsidRDefault="00E850F6" w:rsidP="00E850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PMingLiU" w:hAnsi="Times New Roman"/>
          <w:b/>
          <w:lang w:eastAsia="en-US"/>
        </w:rPr>
      </w:pPr>
      <w:r w:rsidRPr="00D600DA">
        <w:rPr>
          <w:rFonts w:ascii="Times New Roman" w:eastAsia="PMingLiU" w:hAnsi="Times New Roman"/>
          <w:b/>
          <w:lang w:eastAsia="en-US"/>
        </w:rPr>
        <w:t>16.</w:t>
      </w:r>
      <w:r w:rsidRPr="00D600DA">
        <w:rPr>
          <w:rFonts w:ascii="Times New Roman" w:eastAsia="PMingLiU" w:hAnsi="Times New Roman"/>
          <w:b/>
          <w:lang w:eastAsia="en-US"/>
        </w:rPr>
        <w:tab/>
        <w:t>INFORMACIJA BRAILIO RAŠTU</w:t>
      </w:r>
    </w:p>
    <w:p w14:paraId="31AC68A9" w14:textId="77777777" w:rsidR="00E850F6" w:rsidRPr="00D600DA" w:rsidRDefault="00E850F6" w:rsidP="00E850F6">
      <w:pPr>
        <w:spacing w:after="0" w:line="240" w:lineRule="auto"/>
        <w:rPr>
          <w:rFonts w:ascii="Times New Roman" w:hAnsi="Times New Roman"/>
          <w:lang w:eastAsia="en-US"/>
        </w:rPr>
      </w:pPr>
    </w:p>
    <w:p w14:paraId="3E37DF34" w14:textId="77777777" w:rsidR="00E850F6" w:rsidRPr="00D600DA" w:rsidRDefault="00E850F6" w:rsidP="00E850F6">
      <w:pPr>
        <w:spacing w:after="0" w:line="240" w:lineRule="auto"/>
        <w:ind w:left="567" w:hanging="567"/>
        <w:rPr>
          <w:rFonts w:ascii="Times New Roman" w:hAnsi="Times New Roman"/>
          <w:lang w:eastAsia="ja-JP"/>
        </w:rPr>
      </w:pPr>
      <w:r w:rsidRPr="00D600DA">
        <w:rPr>
          <w:rFonts w:ascii="Times New Roman" w:hAnsi="Times New Roman"/>
          <w:lang w:eastAsia="ja-JP"/>
        </w:rPr>
        <w:t>valcyte</w:t>
      </w:r>
    </w:p>
    <w:p w14:paraId="007AB67F" w14:textId="77777777" w:rsidR="00E850F6" w:rsidRPr="00D600DA" w:rsidRDefault="00E850F6" w:rsidP="00E850F6">
      <w:pPr>
        <w:spacing w:after="0" w:line="240" w:lineRule="auto"/>
        <w:ind w:left="567" w:hanging="567"/>
        <w:rPr>
          <w:rFonts w:ascii="Times New Roman" w:hAnsi="Times New Roman"/>
          <w:lang w:eastAsia="ja-JP"/>
        </w:rPr>
      </w:pPr>
    </w:p>
    <w:p w14:paraId="7EB7C920" w14:textId="77777777" w:rsidR="00E850F6" w:rsidRPr="006A57D6" w:rsidRDefault="00E850F6" w:rsidP="00E850F6">
      <w:pPr>
        <w:spacing w:after="0" w:line="240" w:lineRule="auto"/>
        <w:rPr>
          <w:rFonts w:ascii="Times New Roman" w:eastAsia="Times New Roman" w:hAnsi="Times New Roman"/>
          <w:noProof/>
          <w:shd w:val="clear" w:color="auto" w:fill="CCCCCC"/>
          <w:lang w:eastAsia="en-US"/>
        </w:rPr>
      </w:pPr>
    </w:p>
    <w:p w14:paraId="6BABCA28" w14:textId="77777777" w:rsidR="00E850F6" w:rsidRPr="006A57D6" w:rsidRDefault="00E850F6" w:rsidP="00E850F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i/>
          <w:noProof/>
          <w:szCs w:val="24"/>
          <w:lang w:eastAsia="en-US"/>
        </w:rPr>
      </w:pPr>
      <w:r w:rsidRPr="006A57D6">
        <w:rPr>
          <w:rFonts w:ascii="Times New Roman" w:eastAsia="Times New Roman" w:hAnsi="Times New Roman"/>
          <w:b/>
          <w:noProof/>
          <w:szCs w:val="24"/>
          <w:lang w:eastAsia="en-US"/>
        </w:rPr>
        <w:t>17.</w:t>
      </w:r>
      <w:r w:rsidRPr="006A57D6">
        <w:rPr>
          <w:rFonts w:ascii="Times New Roman" w:eastAsia="Times New Roman" w:hAnsi="Times New Roman"/>
          <w:b/>
          <w:noProof/>
          <w:szCs w:val="24"/>
          <w:lang w:eastAsia="en-US"/>
        </w:rPr>
        <w:tab/>
        <w:t>UNIKALUS IDENTIFIKATORIUS – 2D BRŪKŠNINIS KODAS</w:t>
      </w:r>
    </w:p>
    <w:p w14:paraId="38775DBD" w14:textId="77777777" w:rsidR="00E850F6" w:rsidRPr="006A57D6" w:rsidRDefault="00E850F6" w:rsidP="00E850F6">
      <w:pPr>
        <w:spacing w:after="0" w:line="240" w:lineRule="auto"/>
        <w:rPr>
          <w:rFonts w:ascii="Times New Roman" w:eastAsia="Times New Roman" w:hAnsi="Times New Roman"/>
          <w:noProof/>
          <w:szCs w:val="24"/>
          <w:lang w:eastAsia="en-US"/>
        </w:rPr>
      </w:pPr>
    </w:p>
    <w:p w14:paraId="5653E337" w14:textId="77777777" w:rsidR="00E850F6" w:rsidRPr="006A57D6" w:rsidRDefault="00E850F6" w:rsidP="00E850F6">
      <w:pPr>
        <w:spacing w:after="0" w:line="240" w:lineRule="auto"/>
        <w:rPr>
          <w:rFonts w:ascii="Times New Roman" w:eastAsia="Times New Roman" w:hAnsi="Times New Roman"/>
          <w:noProof/>
          <w:shd w:val="clear" w:color="auto" w:fill="CCCCCC"/>
          <w:lang w:eastAsia="en-US"/>
        </w:rPr>
      </w:pPr>
      <w:r w:rsidRPr="00E850F6">
        <w:rPr>
          <w:rFonts w:ascii="Times New Roman" w:eastAsia="Times New Roman" w:hAnsi="Times New Roman"/>
          <w:noProof/>
          <w:szCs w:val="24"/>
          <w:highlight w:val="lightGray"/>
          <w:lang w:eastAsia="en-US"/>
        </w:rPr>
        <w:t>2D brūkšninis kodas su nurodytu unikaliu identifikatoriumi.</w:t>
      </w:r>
    </w:p>
    <w:p w14:paraId="6B40A0BA" w14:textId="77777777" w:rsidR="00E850F6" w:rsidRPr="006A57D6" w:rsidRDefault="00E850F6" w:rsidP="00E850F6">
      <w:pPr>
        <w:spacing w:after="0" w:line="240" w:lineRule="auto"/>
        <w:rPr>
          <w:rFonts w:ascii="Times New Roman" w:eastAsia="Times New Roman" w:hAnsi="Times New Roman"/>
          <w:noProof/>
          <w:shd w:val="clear" w:color="auto" w:fill="CCCCCC"/>
          <w:lang w:eastAsia="en-US"/>
        </w:rPr>
      </w:pPr>
    </w:p>
    <w:p w14:paraId="2962E10E" w14:textId="77777777" w:rsidR="00E850F6" w:rsidRPr="006A57D6" w:rsidRDefault="00E850F6" w:rsidP="00E850F6">
      <w:pPr>
        <w:spacing w:after="0" w:line="240" w:lineRule="auto"/>
        <w:rPr>
          <w:rFonts w:ascii="Times New Roman" w:eastAsia="Times New Roman" w:hAnsi="Times New Roman"/>
          <w:noProof/>
          <w:szCs w:val="24"/>
          <w:lang w:eastAsia="en-US"/>
        </w:rPr>
      </w:pPr>
    </w:p>
    <w:p w14:paraId="516095B3" w14:textId="77777777" w:rsidR="00E850F6" w:rsidRPr="006A57D6" w:rsidRDefault="00E850F6" w:rsidP="00E850F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i/>
          <w:noProof/>
          <w:szCs w:val="24"/>
          <w:lang w:eastAsia="en-US"/>
        </w:rPr>
      </w:pPr>
      <w:r w:rsidRPr="006A57D6">
        <w:rPr>
          <w:rFonts w:ascii="Times New Roman" w:eastAsia="Times New Roman" w:hAnsi="Times New Roman"/>
          <w:b/>
          <w:noProof/>
          <w:szCs w:val="24"/>
          <w:lang w:eastAsia="en-US"/>
        </w:rPr>
        <w:t>18.</w:t>
      </w:r>
      <w:r w:rsidRPr="006A57D6">
        <w:rPr>
          <w:rFonts w:ascii="Times New Roman" w:eastAsia="Times New Roman" w:hAnsi="Times New Roman"/>
          <w:b/>
          <w:noProof/>
          <w:szCs w:val="24"/>
          <w:lang w:eastAsia="en-US"/>
        </w:rPr>
        <w:tab/>
        <w:t>UNIKALUS IDENTIFIKATORIUS – ŽMONĖMS SUPRANTAMI DUOMENYS</w:t>
      </w:r>
    </w:p>
    <w:p w14:paraId="015BD60A" w14:textId="77777777" w:rsidR="00E850F6" w:rsidRPr="006A57D6" w:rsidRDefault="00E850F6" w:rsidP="00E850F6">
      <w:pPr>
        <w:spacing w:after="0" w:line="240" w:lineRule="auto"/>
        <w:rPr>
          <w:rFonts w:ascii="Times New Roman" w:eastAsia="Times New Roman" w:hAnsi="Times New Roman"/>
          <w:noProof/>
          <w:szCs w:val="24"/>
          <w:lang w:eastAsia="en-US"/>
        </w:rPr>
      </w:pPr>
    </w:p>
    <w:p w14:paraId="3B2EE139" w14:textId="77777777" w:rsidR="00E850F6" w:rsidRPr="006A57D6" w:rsidRDefault="00E850F6" w:rsidP="00E850F6">
      <w:pPr>
        <w:spacing w:after="0" w:line="240" w:lineRule="auto"/>
        <w:rPr>
          <w:rFonts w:ascii="Times New Roman" w:eastAsia="Times New Roman" w:hAnsi="Times New Roman"/>
          <w:color w:val="008000"/>
          <w:lang w:eastAsia="en-US"/>
        </w:rPr>
      </w:pPr>
      <w:r w:rsidRPr="006A57D6">
        <w:rPr>
          <w:rFonts w:ascii="Times New Roman" w:eastAsia="Times New Roman" w:hAnsi="Times New Roman"/>
          <w:szCs w:val="24"/>
          <w:lang w:eastAsia="en-US"/>
        </w:rPr>
        <w:t>PC</w:t>
      </w:r>
    </w:p>
    <w:p w14:paraId="10832C44" w14:textId="77777777" w:rsidR="00E850F6" w:rsidRPr="006A57D6" w:rsidRDefault="00E850F6" w:rsidP="00E850F6">
      <w:pPr>
        <w:spacing w:after="0" w:line="240" w:lineRule="auto"/>
        <w:rPr>
          <w:rFonts w:ascii="Times New Roman" w:eastAsia="Times New Roman" w:hAnsi="Times New Roman"/>
          <w:lang w:eastAsia="en-US"/>
        </w:rPr>
      </w:pPr>
      <w:r w:rsidRPr="006A57D6">
        <w:rPr>
          <w:rFonts w:ascii="Times New Roman" w:eastAsia="Times New Roman" w:hAnsi="Times New Roman"/>
          <w:szCs w:val="24"/>
          <w:lang w:eastAsia="en-US"/>
        </w:rPr>
        <w:t>SN</w:t>
      </w:r>
    </w:p>
    <w:p w14:paraId="1345E281" w14:textId="77777777" w:rsidR="00E850F6" w:rsidRPr="006A57D6" w:rsidRDefault="00E850F6" w:rsidP="00E850F6">
      <w:pPr>
        <w:spacing w:after="0" w:line="240" w:lineRule="auto"/>
        <w:rPr>
          <w:rFonts w:ascii="Times New Roman" w:eastAsia="Times New Roman" w:hAnsi="Times New Roman"/>
          <w:lang w:eastAsia="en-US"/>
        </w:rPr>
      </w:pPr>
      <w:r w:rsidRPr="006A57D6">
        <w:rPr>
          <w:rFonts w:ascii="Times New Roman" w:eastAsia="Times New Roman" w:hAnsi="Times New Roman"/>
          <w:szCs w:val="24"/>
          <w:lang w:eastAsia="en-US"/>
        </w:rPr>
        <w:t>NN</w:t>
      </w:r>
    </w:p>
    <w:p w14:paraId="7B0F325F" w14:textId="77777777" w:rsidR="00E850F6" w:rsidRPr="006A57D6" w:rsidRDefault="00E850F6" w:rsidP="00E850F6">
      <w:pPr>
        <w:spacing w:after="0" w:line="240" w:lineRule="auto"/>
        <w:ind w:left="567" w:hanging="567"/>
        <w:rPr>
          <w:rFonts w:ascii="Times New Roman" w:hAnsi="Times New Roman"/>
          <w:lang w:eastAsia="ja-JP"/>
        </w:rPr>
      </w:pPr>
    </w:p>
    <w:p w14:paraId="110C599B" w14:textId="77777777" w:rsidR="00E850F6" w:rsidRPr="00D600DA" w:rsidRDefault="00E850F6" w:rsidP="00E850F6">
      <w:pPr>
        <w:spacing w:after="0" w:line="240" w:lineRule="auto"/>
        <w:ind w:left="567" w:hanging="567"/>
        <w:rPr>
          <w:rFonts w:ascii="Times New Roman" w:hAnsi="Times New Roman"/>
          <w:lang w:eastAsia="ja-JP"/>
        </w:rPr>
      </w:pPr>
    </w:p>
    <w:p w14:paraId="21D642C9"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eastAsia="ja-JP"/>
        </w:rPr>
      </w:pPr>
      <w:r w:rsidRPr="00D600DA">
        <w:rPr>
          <w:rFonts w:ascii="Times New Roman" w:hAnsi="Times New Roman"/>
          <w:lang w:eastAsia="ja-JP"/>
        </w:rPr>
        <w:br w:type="page"/>
      </w:r>
      <w:r w:rsidRPr="00D600DA">
        <w:rPr>
          <w:rFonts w:ascii="Times New Roman" w:hAnsi="Times New Roman"/>
          <w:b/>
          <w:caps/>
          <w:lang w:eastAsia="ja-JP"/>
        </w:rPr>
        <w:lastRenderedPageBreak/>
        <w:t xml:space="preserve">Informacija ant </w:t>
      </w:r>
      <w:r w:rsidRPr="00D600DA">
        <w:rPr>
          <w:rFonts w:ascii="Times New Roman" w:hAnsi="Times New Roman"/>
          <w:b/>
          <w:bCs/>
          <w:lang w:eastAsia="ja-JP"/>
        </w:rPr>
        <w:t>VIDINĖS</w:t>
      </w:r>
      <w:r w:rsidRPr="00D600DA">
        <w:rPr>
          <w:rFonts w:ascii="Times New Roman" w:hAnsi="Times New Roman"/>
          <w:b/>
          <w:caps/>
          <w:lang w:eastAsia="ja-JP"/>
        </w:rPr>
        <w:t xml:space="preserve"> pakuotės</w:t>
      </w:r>
    </w:p>
    <w:p w14:paraId="33CCEAB1"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eastAsia="ja-JP"/>
        </w:rPr>
      </w:pPr>
    </w:p>
    <w:p w14:paraId="575461B0"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lang w:eastAsia="ja-JP"/>
        </w:rPr>
        <w:t>BUTELIUKO ETIKETĖ</w:t>
      </w:r>
    </w:p>
    <w:p w14:paraId="5B349186" w14:textId="77777777" w:rsidR="00E850F6" w:rsidRPr="00D600DA" w:rsidRDefault="00E850F6" w:rsidP="00E850F6">
      <w:pPr>
        <w:spacing w:after="0" w:line="240" w:lineRule="auto"/>
        <w:ind w:left="567" w:hanging="567"/>
        <w:rPr>
          <w:rFonts w:ascii="Times New Roman" w:hAnsi="Times New Roman"/>
          <w:lang w:eastAsia="ja-JP"/>
        </w:rPr>
      </w:pPr>
    </w:p>
    <w:p w14:paraId="0ABFB3CD" w14:textId="77777777" w:rsidR="00E850F6" w:rsidRPr="00D600DA" w:rsidRDefault="00E850F6" w:rsidP="00E850F6">
      <w:pPr>
        <w:spacing w:after="0" w:line="240" w:lineRule="auto"/>
        <w:ind w:left="567" w:hanging="567"/>
        <w:rPr>
          <w:rFonts w:ascii="Times New Roman" w:hAnsi="Times New Roman"/>
          <w:lang w:eastAsia="ja-JP"/>
        </w:rPr>
      </w:pPr>
    </w:p>
    <w:p w14:paraId="77616515"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1.</w:t>
      </w:r>
      <w:r w:rsidRPr="00D600DA">
        <w:rPr>
          <w:rFonts w:ascii="Times New Roman" w:hAnsi="Times New Roman"/>
          <w:b/>
          <w:caps/>
          <w:lang w:eastAsia="ja-JP"/>
        </w:rPr>
        <w:tab/>
        <w:t>vaistinio preparato pavadinimas</w:t>
      </w:r>
    </w:p>
    <w:p w14:paraId="6E6FDDDF" w14:textId="77777777" w:rsidR="00E850F6" w:rsidRPr="00D600DA" w:rsidRDefault="00E850F6" w:rsidP="00E850F6">
      <w:pPr>
        <w:spacing w:after="0" w:line="240" w:lineRule="auto"/>
        <w:ind w:left="567" w:hanging="567"/>
        <w:rPr>
          <w:rFonts w:ascii="Times New Roman" w:hAnsi="Times New Roman"/>
          <w:lang w:eastAsia="ja-JP"/>
        </w:rPr>
      </w:pPr>
    </w:p>
    <w:p w14:paraId="549FAEF8"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Valcyte 50 mg/ml milteliai geriamajam tirpalui</w:t>
      </w:r>
    </w:p>
    <w:p w14:paraId="0D083CC9" w14:textId="511B64BC" w:rsidR="00E850F6" w:rsidRPr="00D600DA" w:rsidRDefault="00F17FE9" w:rsidP="00E850F6">
      <w:pPr>
        <w:spacing w:after="0" w:line="240" w:lineRule="auto"/>
        <w:ind w:left="567" w:hanging="567"/>
        <w:rPr>
          <w:rFonts w:ascii="Times New Roman" w:hAnsi="Times New Roman"/>
          <w:lang w:eastAsia="ja-JP"/>
        </w:rPr>
      </w:pPr>
      <w:r>
        <w:rPr>
          <w:rFonts w:ascii="Times New Roman" w:hAnsi="Times New Roman"/>
          <w:lang w:eastAsia="ja-JP"/>
        </w:rPr>
        <w:t>v</w:t>
      </w:r>
      <w:r w:rsidR="00E850F6" w:rsidRPr="00D600DA">
        <w:rPr>
          <w:rFonts w:ascii="Times New Roman" w:hAnsi="Times New Roman"/>
          <w:lang w:eastAsia="ja-JP"/>
        </w:rPr>
        <w:t>algancikloviras</w:t>
      </w:r>
    </w:p>
    <w:p w14:paraId="10109296" w14:textId="77777777" w:rsidR="00E850F6" w:rsidRPr="00D600DA" w:rsidRDefault="00E850F6" w:rsidP="00E850F6">
      <w:pPr>
        <w:spacing w:after="0" w:line="240" w:lineRule="auto"/>
        <w:ind w:left="567" w:hanging="567"/>
        <w:rPr>
          <w:rFonts w:ascii="Times New Roman" w:hAnsi="Times New Roman"/>
          <w:lang w:eastAsia="ja-JP"/>
        </w:rPr>
      </w:pPr>
    </w:p>
    <w:p w14:paraId="66D4345F" w14:textId="77777777" w:rsidR="00E850F6" w:rsidRPr="00D600DA" w:rsidRDefault="00E850F6" w:rsidP="00E850F6">
      <w:pPr>
        <w:spacing w:after="0" w:line="240" w:lineRule="auto"/>
        <w:ind w:left="567" w:hanging="567"/>
        <w:rPr>
          <w:rFonts w:ascii="Times New Roman" w:hAnsi="Times New Roman"/>
          <w:lang w:eastAsia="ja-JP"/>
        </w:rPr>
      </w:pPr>
    </w:p>
    <w:p w14:paraId="75E9FCF8"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2.</w:t>
      </w:r>
      <w:r w:rsidRPr="00D600DA">
        <w:rPr>
          <w:rFonts w:ascii="Times New Roman" w:hAnsi="Times New Roman"/>
          <w:b/>
          <w:caps/>
          <w:lang w:eastAsia="ja-JP"/>
        </w:rPr>
        <w:tab/>
        <w:t>veikliOJI medžiagA ir JOS kiekis</w:t>
      </w:r>
    </w:p>
    <w:p w14:paraId="2C9ABBD8" w14:textId="77777777" w:rsidR="00E850F6" w:rsidRPr="00D600DA" w:rsidRDefault="00E850F6" w:rsidP="00E850F6">
      <w:pPr>
        <w:spacing w:after="0" w:line="240" w:lineRule="auto"/>
        <w:ind w:left="567" w:hanging="567"/>
        <w:rPr>
          <w:rFonts w:ascii="Times New Roman" w:hAnsi="Times New Roman"/>
          <w:caps/>
          <w:lang w:eastAsia="ja-JP"/>
        </w:rPr>
      </w:pPr>
    </w:p>
    <w:p w14:paraId="472509C9" w14:textId="77777777" w:rsidR="00E850F6" w:rsidRPr="00D600DA" w:rsidRDefault="00E850F6" w:rsidP="00E850F6">
      <w:pPr>
        <w:spacing w:after="0" w:line="240" w:lineRule="auto"/>
        <w:rPr>
          <w:rFonts w:ascii="Times New Roman" w:hAnsi="Times New Roman"/>
          <w:lang w:eastAsia="ja-JP"/>
        </w:rPr>
      </w:pPr>
      <w:r w:rsidRPr="00CE6739">
        <w:rPr>
          <w:rFonts w:ascii="Times New Roman" w:hAnsi="Times New Roman"/>
          <w:lang w:eastAsia="ja-JP"/>
        </w:rPr>
        <w:t xml:space="preserve">Ištirpinus </w:t>
      </w:r>
      <w:r w:rsidRPr="00D600DA">
        <w:rPr>
          <w:rFonts w:ascii="Times New Roman" w:hAnsi="Times New Roman"/>
          <w:lang w:eastAsia="ja-JP"/>
        </w:rPr>
        <w:t xml:space="preserve">1 ml </w:t>
      </w:r>
      <w:r>
        <w:rPr>
          <w:rFonts w:ascii="Times New Roman" w:hAnsi="Times New Roman"/>
          <w:lang w:eastAsia="ja-JP"/>
        </w:rPr>
        <w:t xml:space="preserve">paruošto </w:t>
      </w:r>
      <w:r w:rsidRPr="00D600DA">
        <w:rPr>
          <w:rFonts w:ascii="Times New Roman" w:hAnsi="Times New Roman"/>
          <w:lang w:eastAsia="ja-JP"/>
        </w:rPr>
        <w:t>tirpalo yra 50 mg valgancikloviro (hidrochlorido pavidalu).</w:t>
      </w:r>
    </w:p>
    <w:p w14:paraId="72F54653" w14:textId="77777777" w:rsidR="00E850F6" w:rsidRPr="00D600DA" w:rsidRDefault="00E850F6" w:rsidP="00E850F6">
      <w:pPr>
        <w:spacing w:after="0" w:line="240" w:lineRule="auto"/>
        <w:ind w:left="567" w:hanging="567"/>
        <w:rPr>
          <w:rFonts w:ascii="Times New Roman" w:hAnsi="Times New Roman"/>
          <w:caps/>
          <w:lang w:eastAsia="ja-JP"/>
        </w:rPr>
      </w:pPr>
    </w:p>
    <w:p w14:paraId="4697C3FB" w14:textId="77777777" w:rsidR="00E850F6" w:rsidRPr="00D600DA" w:rsidRDefault="00E850F6" w:rsidP="00E850F6">
      <w:pPr>
        <w:spacing w:after="0" w:line="240" w:lineRule="auto"/>
        <w:ind w:left="567" w:hanging="567"/>
        <w:rPr>
          <w:rFonts w:ascii="Times New Roman" w:hAnsi="Times New Roman"/>
          <w:caps/>
          <w:lang w:eastAsia="ja-JP"/>
        </w:rPr>
      </w:pPr>
    </w:p>
    <w:p w14:paraId="47464854"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3.</w:t>
      </w:r>
      <w:r w:rsidRPr="00D600DA">
        <w:rPr>
          <w:rFonts w:ascii="Times New Roman" w:hAnsi="Times New Roman"/>
          <w:b/>
          <w:caps/>
          <w:lang w:eastAsia="ja-JP"/>
        </w:rPr>
        <w:tab/>
        <w:t>pagalbinių medžiagų sąrašas</w:t>
      </w:r>
    </w:p>
    <w:p w14:paraId="6E5197AE" w14:textId="77777777" w:rsidR="00E850F6" w:rsidRPr="00D600DA" w:rsidRDefault="00E850F6" w:rsidP="00E850F6">
      <w:pPr>
        <w:spacing w:after="0" w:line="240" w:lineRule="auto"/>
        <w:ind w:left="567" w:hanging="567"/>
        <w:rPr>
          <w:rFonts w:ascii="Times New Roman" w:hAnsi="Times New Roman"/>
          <w:caps/>
          <w:lang w:eastAsia="ja-JP"/>
        </w:rPr>
      </w:pPr>
    </w:p>
    <w:p w14:paraId="4B34CDE5" w14:textId="77777777" w:rsidR="00E850F6" w:rsidRDefault="00E850F6" w:rsidP="00E850F6">
      <w:pPr>
        <w:spacing w:after="0" w:line="240" w:lineRule="auto"/>
        <w:ind w:left="567" w:hanging="567"/>
        <w:rPr>
          <w:rFonts w:ascii="Times New Roman" w:hAnsi="Times New Roman"/>
          <w:lang w:eastAsia="ja-JP"/>
        </w:rPr>
      </w:pPr>
      <w:r w:rsidRPr="00D600DA">
        <w:rPr>
          <w:rFonts w:ascii="Times New Roman" w:hAnsi="Times New Roman"/>
          <w:lang w:eastAsia="ja-JP"/>
        </w:rPr>
        <w:t xml:space="preserve">Sudėtyje yra </w:t>
      </w:r>
      <w:r w:rsidR="00021013">
        <w:rPr>
          <w:rFonts w:ascii="Times New Roman" w:hAnsi="Times New Roman"/>
          <w:lang w:eastAsia="ja-JP"/>
        </w:rPr>
        <w:t xml:space="preserve">natrio benzoato ir </w:t>
      </w:r>
      <w:r w:rsidRPr="00D600DA">
        <w:rPr>
          <w:rFonts w:ascii="Times New Roman" w:hAnsi="Times New Roman"/>
          <w:lang w:eastAsia="ja-JP"/>
        </w:rPr>
        <w:t>natrio.</w:t>
      </w:r>
    </w:p>
    <w:p w14:paraId="43CBA262" w14:textId="77777777" w:rsidR="00021013" w:rsidRPr="00D600DA" w:rsidRDefault="00021013" w:rsidP="00E850F6">
      <w:pPr>
        <w:spacing w:after="0" w:line="240" w:lineRule="auto"/>
        <w:ind w:left="567" w:hanging="567"/>
        <w:rPr>
          <w:rFonts w:ascii="Times New Roman" w:hAnsi="Times New Roman"/>
          <w:caps/>
          <w:lang w:eastAsia="ja-JP"/>
        </w:rPr>
      </w:pPr>
    </w:p>
    <w:p w14:paraId="76215B6C" w14:textId="77777777" w:rsidR="00E850F6" w:rsidRPr="00D600DA" w:rsidRDefault="00E850F6" w:rsidP="00E850F6">
      <w:pPr>
        <w:spacing w:after="0" w:line="240" w:lineRule="auto"/>
        <w:ind w:left="567" w:hanging="567"/>
        <w:rPr>
          <w:rFonts w:ascii="Times New Roman" w:hAnsi="Times New Roman"/>
          <w:caps/>
          <w:lang w:eastAsia="ja-JP"/>
        </w:rPr>
      </w:pPr>
    </w:p>
    <w:p w14:paraId="78BD258F"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4.</w:t>
      </w:r>
      <w:r w:rsidRPr="00D600DA">
        <w:rPr>
          <w:rFonts w:ascii="Times New Roman" w:hAnsi="Times New Roman"/>
          <w:b/>
          <w:caps/>
          <w:lang w:eastAsia="ja-JP"/>
        </w:rPr>
        <w:tab/>
      </w:r>
      <w:r w:rsidRPr="00D600DA">
        <w:rPr>
          <w:rFonts w:ascii="Times New Roman" w:hAnsi="Times New Roman"/>
          <w:b/>
          <w:lang w:eastAsia="ja-JP"/>
        </w:rPr>
        <w:t>FARMACINĖ</w:t>
      </w:r>
      <w:r w:rsidRPr="00D600DA">
        <w:rPr>
          <w:rFonts w:ascii="Times New Roman" w:hAnsi="Times New Roman"/>
          <w:b/>
          <w:caps/>
          <w:lang w:eastAsia="ja-JP"/>
        </w:rPr>
        <w:t xml:space="preserve"> forma ir KIEKIS PAKUOTĖJE</w:t>
      </w:r>
    </w:p>
    <w:p w14:paraId="0B56CB60" w14:textId="77777777" w:rsidR="00E850F6" w:rsidRPr="00D600DA" w:rsidRDefault="00E850F6" w:rsidP="00E850F6">
      <w:pPr>
        <w:spacing w:after="0" w:line="240" w:lineRule="auto"/>
        <w:ind w:left="567" w:hanging="567"/>
        <w:rPr>
          <w:rFonts w:ascii="Times New Roman" w:hAnsi="Times New Roman"/>
          <w:caps/>
          <w:lang w:eastAsia="ja-JP"/>
        </w:rPr>
      </w:pPr>
    </w:p>
    <w:p w14:paraId="1BC4CF0F" w14:textId="77777777" w:rsidR="00E850F6" w:rsidRPr="00D600DA" w:rsidRDefault="00E850F6" w:rsidP="00E850F6">
      <w:pPr>
        <w:spacing w:after="0" w:line="240" w:lineRule="auto"/>
        <w:rPr>
          <w:rFonts w:ascii="Times New Roman" w:hAnsi="Times New Roman"/>
          <w:caps/>
          <w:lang w:eastAsia="ja-JP"/>
        </w:rPr>
      </w:pPr>
      <w:r w:rsidRPr="00D600DA">
        <w:rPr>
          <w:rFonts w:ascii="Times New Roman" w:hAnsi="Times New Roman"/>
          <w:lang w:eastAsia="ja-JP"/>
        </w:rPr>
        <w:t>1 buteliukas, kuriame yra 12 g miltelių geriamajam tirpalui.</w:t>
      </w:r>
    </w:p>
    <w:p w14:paraId="68483A3A" w14:textId="77777777" w:rsidR="00E850F6" w:rsidRPr="00D600DA" w:rsidRDefault="00E850F6" w:rsidP="00E850F6">
      <w:pPr>
        <w:spacing w:after="0" w:line="240" w:lineRule="auto"/>
        <w:ind w:left="567" w:hanging="567"/>
        <w:rPr>
          <w:rFonts w:ascii="Times New Roman" w:hAnsi="Times New Roman"/>
          <w:caps/>
          <w:lang w:eastAsia="ja-JP"/>
        </w:rPr>
      </w:pPr>
    </w:p>
    <w:p w14:paraId="35EEC3B9" w14:textId="77777777" w:rsidR="00E850F6" w:rsidRPr="00D600DA" w:rsidRDefault="00E850F6" w:rsidP="00E850F6">
      <w:pPr>
        <w:spacing w:after="0" w:line="240" w:lineRule="auto"/>
        <w:ind w:left="567" w:hanging="567"/>
        <w:rPr>
          <w:rFonts w:ascii="Times New Roman" w:hAnsi="Times New Roman"/>
          <w:caps/>
          <w:lang w:eastAsia="ja-JP"/>
        </w:rPr>
      </w:pPr>
    </w:p>
    <w:p w14:paraId="23D76554"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5.</w:t>
      </w:r>
      <w:r w:rsidRPr="00D600DA">
        <w:rPr>
          <w:rFonts w:ascii="Times New Roman" w:hAnsi="Times New Roman"/>
          <w:b/>
          <w:caps/>
          <w:lang w:eastAsia="ja-JP"/>
        </w:rPr>
        <w:tab/>
        <w:t>vartojimo METODAS IR būdas (-Ai)</w:t>
      </w:r>
    </w:p>
    <w:p w14:paraId="1957082E" w14:textId="77777777" w:rsidR="00E850F6" w:rsidRPr="00D600DA" w:rsidRDefault="00E850F6" w:rsidP="00E850F6">
      <w:pPr>
        <w:spacing w:after="0" w:line="240" w:lineRule="auto"/>
        <w:ind w:left="567" w:hanging="567"/>
        <w:rPr>
          <w:rFonts w:ascii="Times New Roman" w:hAnsi="Times New Roman"/>
          <w:caps/>
          <w:lang w:eastAsia="ja-JP"/>
        </w:rPr>
      </w:pPr>
    </w:p>
    <w:p w14:paraId="3AE19D2F" w14:textId="77777777" w:rsidR="00E850F6" w:rsidRDefault="00E850F6" w:rsidP="00E850F6">
      <w:pPr>
        <w:spacing w:after="0" w:line="240" w:lineRule="auto"/>
        <w:rPr>
          <w:rFonts w:ascii="Times New Roman" w:eastAsia="PMingLiU" w:hAnsi="Times New Roman"/>
          <w:lang w:eastAsia="en-US"/>
        </w:rPr>
      </w:pPr>
      <w:r w:rsidRPr="00D600DA">
        <w:rPr>
          <w:rFonts w:ascii="Times New Roman" w:eastAsia="PMingLiU" w:hAnsi="Times New Roman"/>
          <w:lang w:eastAsia="en-US"/>
        </w:rPr>
        <w:t>Prieš vartojimą perskaitykite pakuotės lapelį.</w:t>
      </w:r>
    </w:p>
    <w:p w14:paraId="7C57F10F" w14:textId="77777777" w:rsidR="00E850F6" w:rsidRPr="00D600DA" w:rsidRDefault="00E850F6" w:rsidP="00E850F6">
      <w:pPr>
        <w:spacing w:after="0" w:line="240" w:lineRule="auto"/>
        <w:rPr>
          <w:rFonts w:ascii="Times New Roman" w:eastAsia="PMingLiU" w:hAnsi="Times New Roman"/>
          <w:lang w:eastAsia="en-US"/>
        </w:rPr>
      </w:pPr>
    </w:p>
    <w:p w14:paraId="54C7B63F" w14:textId="77777777" w:rsidR="00E850F6" w:rsidRPr="00D600DA" w:rsidRDefault="00E850F6" w:rsidP="00E850F6">
      <w:pPr>
        <w:spacing w:after="0" w:line="240" w:lineRule="auto"/>
        <w:rPr>
          <w:rFonts w:ascii="Times New Roman" w:eastAsia="PMingLiU" w:hAnsi="Times New Roman"/>
          <w:lang w:eastAsia="en-US"/>
        </w:rPr>
      </w:pPr>
      <w:r>
        <w:rPr>
          <w:rFonts w:ascii="Times New Roman" w:eastAsia="PMingLiU" w:hAnsi="Times New Roman"/>
          <w:lang w:eastAsia="en-US"/>
        </w:rPr>
        <w:t xml:space="preserve">Vartoti per burną. </w:t>
      </w:r>
      <w:r w:rsidRPr="00D600DA">
        <w:rPr>
          <w:rFonts w:ascii="Times New Roman" w:eastAsia="PMingLiU" w:hAnsi="Times New Roman"/>
          <w:lang w:eastAsia="en-US"/>
        </w:rPr>
        <w:t>Prieš vartodami paruoškite.</w:t>
      </w:r>
    </w:p>
    <w:p w14:paraId="0CA77B03" w14:textId="77777777" w:rsidR="00E850F6" w:rsidRPr="00D600DA" w:rsidRDefault="00E850F6" w:rsidP="00E850F6">
      <w:pPr>
        <w:spacing w:after="0" w:line="240" w:lineRule="auto"/>
        <w:rPr>
          <w:rFonts w:ascii="Times New Roman" w:eastAsia="PMingLiU" w:hAnsi="Times New Roman"/>
          <w:lang w:eastAsia="en-US"/>
        </w:rPr>
      </w:pPr>
      <w:r w:rsidRPr="00D600DA">
        <w:rPr>
          <w:rFonts w:ascii="Times New Roman" w:eastAsia="PMingLiU" w:hAnsi="Times New Roman"/>
          <w:lang w:eastAsia="en-US"/>
        </w:rPr>
        <w:t>Rekomenduojama, kad geriamąjį tirpalą iš miltelių paruoštų vaistininkas.</w:t>
      </w:r>
    </w:p>
    <w:p w14:paraId="1026D9B1" w14:textId="77777777" w:rsidR="00E850F6" w:rsidRPr="00D600DA" w:rsidRDefault="00E850F6" w:rsidP="00E850F6">
      <w:pPr>
        <w:spacing w:after="0" w:line="240" w:lineRule="auto"/>
        <w:rPr>
          <w:rFonts w:ascii="Times New Roman" w:hAnsi="Times New Roman"/>
          <w:lang w:eastAsia="ja-JP"/>
        </w:rPr>
      </w:pPr>
    </w:p>
    <w:p w14:paraId="3D7A063C" w14:textId="77777777" w:rsidR="00E850F6" w:rsidRPr="00D600DA" w:rsidRDefault="00E850F6" w:rsidP="00E850F6">
      <w:pPr>
        <w:spacing w:after="0" w:line="240" w:lineRule="auto"/>
        <w:ind w:left="567" w:hanging="567"/>
        <w:rPr>
          <w:rFonts w:ascii="Times New Roman" w:hAnsi="Times New Roman"/>
          <w:lang w:eastAsia="ja-JP"/>
        </w:rPr>
      </w:pPr>
      <w:r w:rsidRPr="00D600DA">
        <w:rPr>
          <w:rFonts w:ascii="Times New Roman" w:hAnsi="Times New Roman"/>
          <w:lang w:eastAsia="ja-JP"/>
        </w:rPr>
        <w:t>Miltelius užpylus 91 ml vandens, paruošto tirpalo tūris yra 100 ml.</w:t>
      </w:r>
    </w:p>
    <w:p w14:paraId="0D4E08B6" w14:textId="77777777" w:rsidR="00E850F6" w:rsidRPr="00D600DA" w:rsidRDefault="00E850F6" w:rsidP="00E850F6">
      <w:pPr>
        <w:spacing w:after="0" w:line="240" w:lineRule="auto"/>
        <w:ind w:left="567" w:hanging="567"/>
        <w:rPr>
          <w:rFonts w:ascii="Times New Roman" w:hAnsi="Times New Roman"/>
          <w:caps/>
          <w:lang w:eastAsia="ja-JP"/>
        </w:rPr>
      </w:pPr>
    </w:p>
    <w:p w14:paraId="05B0EA97" w14:textId="77777777" w:rsidR="00E850F6" w:rsidRPr="00D600DA" w:rsidRDefault="00E850F6" w:rsidP="00E850F6">
      <w:pPr>
        <w:spacing w:after="0" w:line="240" w:lineRule="auto"/>
        <w:ind w:left="567" w:hanging="567"/>
        <w:rPr>
          <w:rFonts w:ascii="Times New Roman" w:hAnsi="Times New Roman"/>
          <w:caps/>
          <w:lang w:eastAsia="ja-JP"/>
        </w:rPr>
      </w:pPr>
    </w:p>
    <w:p w14:paraId="6F24465E"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6.</w:t>
      </w:r>
      <w:r w:rsidRPr="00D600DA">
        <w:rPr>
          <w:rFonts w:ascii="Times New Roman" w:hAnsi="Times New Roman"/>
          <w:b/>
          <w:caps/>
          <w:lang w:eastAsia="ja-JP"/>
        </w:rPr>
        <w:tab/>
        <w:t>SPECIALUS Įspėjimas</w:t>
      </w:r>
      <w:r w:rsidRPr="00D600DA">
        <w:rPr>
          <w:rFonts w:ascii="Times New Roman" w:hAnsi="Times New Roman"/>
          <w:lang w:eastAsia="ja-JP"/>
        </w:rPr>
        <w:t xml:space="preserve">, </w:t>
      </w:r>
      <w:r w:rsidRPr="00D600DA">
        <w:rPr>
          <w:rFonts w:ascii="Times New Roman" w:hAnsi="Times New Roman"/>
          <w:b/>
          <w:bCs/>
          <w:lang w:eastAsia="ja-JP"/>
        </w:rPr>
        <w:t xml:space="preserve">KAD VAISTINĮ PREPARATĄ BŪTINA LAIKYTI </w:t>
      </w:r>
      <w:r w:rsidRPr="00D600DA">
        <w:rPr>
          <w:rFonts w:ascii="Times New Roman" w:hAnsi="Times New Roman"/>
          <w:b/>
          <w:caps/>
          <w:lang w:eastAsia="ja-JP"/>
        </w:rPr>
        <w:t>vaikams nepastebimoje ir nepasiekiamoje vietoje</w:t>
      </w:r>
    </w:p>
    <w:p w14:paraId="5DAC8818" w14:textId="77777777" w:rsidR="00E850F6" w:rsidRPr="00D600DA" w:rsidRDefault="00E850F6" w:rsidP="00E850F6">
      <w:pPr>
        <w:spacing w:after="0" w:line="240" w:lineRule="auto"/>
        <w:ind w:left="567" w:hanging="567"/>
        <w:rPr>
          <w:rFonts w:ascii="Times New Roman" w:hAnsi="Times New Roman"/>
          <w:lang w:eastAsia="ja-JP"/>
        </w:rPr>
      </w:pPr>
    </w:p>
    <w:p w14:paraId="3EEDFBFA" w14:textId="77777777" w:rsidR="00E850F6" w:rsidRPr="00D600DA" w:rsidRDefault="00E850F6" w:rsidP="00E850F6">
      <w:pPr>
        <w:spacing w:after="0" w:line="240" w:lineRule="auto"/>
        <w:ind w:left="567" w:hanging="567"/>
        <w:rPr>
          <w:rFonts w:ascii="Times New Roman" w:hAnsi="Times New Roman"/>
          <w:color w:val="000000"/>
          <w:lang w:eastAsia="ja-JP"/>
        </w:rPr>
      </w:pPr>
      <w:r w:rsidRPr="00D600DA">
        <w:rPr>
          <w:rFonts w:ascii="Times New Roman" w:hAnsi="Times New Roman"/>
          <w:color w:val="000000"/>
          <w:lang w:eastAsia="ja-JP"/>
        </w:rPr>
        <w:t>Laikyti vaikams nepastebimoje ir nepasiekiamoje vietoje.</w:t>
      </w:r>
    </w:p>
    <w:p w14:paraId="4AE877F1" w14:textId="77777777" w:rsidR="00E850F6" w:rsidRPr="00D600DA" w:rsidRDefault="00E850F6" w:rsidP="00E850F6">
      <w:pPr>
        <w:spacing w:after="0" w:line="240" w:lineRule="auto"/>
        <w:ind w:left="567" w:hanging="567"/>
        <w:rPr>
          <w:rFonts w:ascii="Times New Roman" w:hAnsi="Times New Roman"/>
          <w:lang w:eastAsia="ja-JP"/>
        </w:rPr>
      </w:pPr>
    </w:p>
    <w:p w14:paraId="534E3563" w14:textId="77777777" w:rsidR="00E850F6" w:rsidRPr="00D600DA" w:rsidRDefault="00E850F6" w:rsidP="00E850F6">
      <w:pPr>
        <w:spacing w:after="0" w:line="240" w:lineRule="auto"/>
        <w:ind w:left="567" w:hanging="567"/>
        <w:rPr>
          <w:rFonts w:ascii="Times New Roman" w:hAnsi="Times New Roman"/>
          <w:lang w:eastAsia="ja-JP"/>
        </w:rPr>
      </w:pPr>
    </w:p>
    <w:p w14:paraId="7A62F2D3"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7.</w:t>
      </w:r>
      <w:r w:rsidRPr="00D600DA">
        <w:rPr>
          <w:rFonts w:ascii="Times New Roman" w:hAnsi="Times New Roman"/>
          <w:b/>
          <w:caps/>
          <w:lang w:eastAsia="ja-JP"/>
        </w:rPr>
        <w:tab/>
      </w:r>
      <w:r w:rsidRPr="00D600DA">
        <w:rPr>
          <w:rFonts w:ascii="Times New Roman" w:hAnsi="Times New Roman"/>
          <w:b/>
          <w:lang w:eastAsia="ja-JP"/>
        </w:rPr>
        <w:t>KITAS (-I) SPECIALUS (-ŪS) ĮSPĖJIMAS (-AI) (JEI REIKIA)</w:t>
      </w:r>
    </w:p>
    <w:p w14:paraId="410A7D04" w14:textId="77777777" w:rsidR="00E850F6" w:rsidRPr="00D600DA" w:rsidRDefault="00E850F6" w:rsidP="00E850F6">
      <w:pPr>
        <w:spacing w:after="0" w:line="240" w:lineRule="auto"/>
        <w:ind w:left="567" w:hanging="567"/>
        <w:rPr>
          <w:rFonts w:ascii="Times New Roman" w:hAnsi="Times New Roman"/>
          <w:caps/>
          <w:lang w:eastAsia="ja-JP"/>
        </w:rPr>
      </w:pPr>
    </w:p>
    <w:p w14:paraId="4A6ADFBD" w14:textId="77777777" w:rsidR="00E850F6" w:rsidRPr="00D600DA" w:rsidRDefault="00E850F6" w:rsidP="00E850F6">
      <w:pPr>
        <w:spacing w:after="0" w:line="240" w:lineRule="auto"/>
        <w:rPr>
          <w:rFonts w:ascii="Times New Roman" w:eastAsia="PMingLiU" w:hAnsi="Times New Roman"/>
          <w:lang w:eastAsia="en-US"/>
        </w:rPr>
      </w:pPr>
      <w:r w:rsidRPr="00D600DA">
        <w:rPr>
          <w:rFonts w:ascii="Times New Roman" w:eastAsia="PMingLiU" w:hAnsi="Times New Roman"/>
          <w:lang w:eastAsia="en-US"/>
        </w:rPr>
        <w:t>Vengti įkvėpti ir tiesioginio sąlyčio su milteliais ir tirpalu.</w:t>
      </w:r>
    </w:p>
    <w:p w14:paraId="011634F9" w14:textId="77777777" w:rsidR="00E850F6" w:rsidRPr="00D600DA" w:rsidRDefault="00E850F6" w:rsidP="00E850F6">
      <w:pPr>
        <w:spacing w:after="0" w:line="240" w:lineRule="auto"/>
        <w:ind w:left="567" w:hanging="567"/>
        <w:rPr>
          <w:rFonts w:ascii="Times New Roman" w:hAnsi="Times New Roman"/>
          <w:caps/>
          <w:lang w:eastAsia="ja-JP"/>
        </w:rPr>
      </w:pPr>
    </w:p>
    <w:p w14:paraId="4BFAE9BB" w14:textId="77777777" w:rsidR="00E850F6" w:rsidRPr="00D600DA" w:rsidRDefault="00E850F6" w:rsidP="00E850F6">
      <w:pPr>
        <w:spacing w:after="0" w:line="240" w:lineRule="auto"/>
        <w:ind w:left="567" w:hanging="567"/>
        <w:rPr>
          <w:rFonts w:ascii="Times New Roman" w:hAnsi="Times New Roman"/>
          <w:caps/>
          <w:lang w:eastAsia="ja-JP"/>
        </w:rPr>
      </w:pPr>
    </w:p>
    <w:p w14:paraId="73E58A64"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8.</w:t>
      </w:r>
      <w:r w:rsidRPr="00D600DA">
        <w:rPr>
          <w:rFonts w:ascii="Times New Roman" w:hAnsi="Times New Roman"/>
          <w:b/>
          <w:caps/>
          <w:lang w:eastAsia="ja-JP"/>
        </w:rPr>
        <w:tab/>
        <w:t>tinkamumo laikas</w:t>
      </w:r>
    </w:p>
    <w:p w14:paraId="47FB135E" w14:textId="77777777" w:rsidR="00E850F6" w:rsidRPr="00D600DA" w:rsidRDefault="00E850F6" w:rsidP="00E850F6">
      <w:pPr>
        <w:spacing w:after="0" w:line="240" w:lineRule="auto"/>
        <w:ind w:left="567" w:hanging="567"/>
        <w:rPr>
          <w:rFonts w:ascii="Times New Roman" w:hAnsi="Times New Roman"/>
          <w:lang w:eastAsia="ja-JP"/>
        </w:rPr>
      </w:pPr>
    </w:p>
    <w:p w14:paraId="0622CC80" w14:textId="77777777" w:rsidR="00E850F6" w:rsidRPr="00D600DA" w:rsidRDefault="00E850F6" w:rsidP="00E850F6">
      <w:pPr>
        <w:spacing w:after="0" w:line="240" w:lineRule="auto"/>
        <w:rPr>
          <w:rFonts w:ascii="Times New Roman" w:hAnsi="Times New Roman"/>
        </w:rPr>
      </w:pPr>
      <w:r w:rsidRPr="00D600DA">
        <w:rPr>
          <w:rFonts w:ascii="Times New Roman" w:hAnsi="Times New Roman"/>
          <w:lang w:eastAsia="ja-JP"/>
        </w:rPr>
        <w:t xml:space="preserve">Tinka iki </w:t>
      </w:r>
      <w:r w:rsidRPr="00D600DA">
        <w:rPr>
          <w:rFonts w:ascii="Times New Roman" w:hAnsi="Times New Roman"/>
        </w:rPr>
        <w:t>{mm MMMM}</w:t>
      </w:r>
    </w:p>
    <w:p w14:paraId="000C0BB1" w14:textId="77777777" w:rsidR="00E850F6" w:rsidRPr="00D600DA" w:rsidRDefault="00E850F6" w:rsidP="00E850F6">
      <w:pPr>
        <w:spacing w:after="0" w:line="240" w:lineRule="auto"/>
        <w:ind w:left="567" w:hanging="567"/>
        <w:rPr>
          <w:rFonts w:ascii="Times New Roman" w:hAnsi="Times New Roman"/>
          <w:lang w:eastAsia="ja-JP"/>
        </w:rPr>
      </w:pPr>
      <w:r w:rsidRPr="00D600DA">
        <w:rPr>
          <w:rFonts w:ascii="Times New Roman" w:hAnsi="Times New Roman"/>
          <w:lang w:eastAsia="ja-JP"/>
        </w:rPr>
        <w:t>Paruošto tirpalo tinkamumo laikas – 49 dienos.</w:t>
      </w:r>
    </w:p>
    <w:p w14:paraId="692939D3" w14:textId="77777777" w:rsidR="00E850F6" w:rsidRPr="00D600DA" w:rsidRDefault="00E850F6" w:rsidP="00E850F6">
      <w:pPr>
        <w:spacing w:after="0" w:line="240" w:lineRule="auto"/>
        <w:ind w:left="567" w:hanging="567"/>
        <w:rPr>
          <w:rFonts w:ascii="Times New Roman" w:hAnsi="Times New Roman"/>
          <w:lang w:eastAsia="ja-JP"/>
        </w:rPr>
      </w:pPr>
      <w:r w:rsidRPr="00D600DA">
        <w:rPr>
          <w:rFonts w:ascii="Times New Roman" w:hAnsi="Times New Roman"/>
          <w:lang w:eastAsia="ja-JP"/>
        </w:rPr>
        <w:t>Suvartokite iki</w:t>
      </w:r>
    </w:p>
    <w:p w14:paraId="6D9C3A27" w14:textId="77777777" w:rsidR="00E850F6" w:rsidRPr="00D600DA" w:rsidRDefault="00E850F6" w:rsidP="00E850F6">
      <w:pPr>
        <w:spacing w:after="0" w:line="240" w:lineRule="auto"/>
        <w:ind w:left="567" w:hanging="567"/>
        <w:rPr>
          <w:rFonts w:ascii="Times New Roman" w:hAnsi="Times New Roman"/>
          <w:lang w:eastAsia="ja-JP"/>
        </w:rPr>
      </w:pPr>
    </w:p>
    <w:p w14:paraId="1D6FE43B" w14:textId="77777777" w:rsidR="00E850F6" w:rsidRPr="00D600DA" w:rsidRDefault="00E850F6" w:rsidP="00E850F6">
      <w:pPr>
        <w:spacing w:after="0" w:line="240" w:lineRule="auto"/>
        <w:ind w:left="567" w:hanging="567"/>
        <w:rPr>
          <w:rFonts w:ascii="Times New Roman" w:hAnsi="Times New Roman"/>
          <w:lang w:eastAsia="ja-JP"/>
        </w:rPr>
      </w:pPr>
    </w:p>
    <w:p w14:paraId="68935ADC" w14:textId="77777777" w:rsidR="00E850F6" w:rsidRPr="00D600DA" w:rsidRDefault="00E850F6" w:rsidP="00E850F6">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lastRenderedPageBreak/>
        <w:t>9.</w:t>
      </w:r>
      <w:r w:rsidRPr="00D600DA">
        <w:rPr>
          <w:rFonts w:ascii="Times New Roman" w:hAnsi="Times New Roman"/>
          <w:b/>
          <w:caps/>
          <w:lang w:eastAsia="ja-JP"/>
        </w:rPr>
        <w:tab/>
        <w:t>SPECIALIOS laikymo sąlygos</w:t>
      </w:r>
    </w:p>
    <w:p w14:paraId="7811A94C" w14:textId="77777777" w:rsidR="00E850F6" w:rsidRPr="00D600DA" w:rsidRDefault="00E850F6" w:rsidP="00E850F6">
      <w:pPr>
        <w:keepNext/>
        <w:keepLines/>
        <w:spacing w:after="0" w:line="240" w:lineRule="auto"/>
        <w:rPr>
          <w:rFonts w:ascii="Times New Roman" w:hAnsi="Times New Roman"/>
          <w:lang w:eastAsia="ja-JP"/>
        </w:rPr>
      </w:pPr>
    </w:p>
    <w:p w14:paraId="5898C0B8" w14:textId="77777777" w:rsidR="00E850F6" w:rsidRPr="00D600DA" w:rsidRDefault="00E850F6" w:rsidP="00E850F6">
      <w:pPr>
        <w:keepNext/>
        <w:keepLines/>
        <w:spacing w:after="0" w:line="240" w:lineRule="auto"/>
        <w:rPr>
          <w:rFonts w:ascii="Times New Roman" w:hAnsi="Times New Roman"/>
          <w:lang w:eastAsia="ja-JP"/>
        </w:rPr>
      </w:pPr>
    </w:p>
    <w:p w14:paraId="77263346" w14:textId="77777777" w:rsidR="00E850F6" w:rsidRPr="00D600DA" w:rsidRDefault="00E850F6" w:rsidP="00E850F6">
      <w:pPr>
        <w:spacing w:after="0" w:line="240" w:lineRule="auto"/>
        <w:ind w:left="567" w:hanging="567"/>
        <w:rPr>
          <w:rFonts w:ascii="Times New Roman" w:hAnsi="Times New Roman"/>
          <w:lang w:eastAsia="ja-JP"/>
        </w:rPr>
      </w:pPr>
      <w:r w:rsidRPr="00D600DA">
        <w:rPr>
          <w:rFonts w:ascii="Times New Roman" w:hAnsi="Times New Roman"/>
          <w:lang w:eastAsia="ja-JP"/>
        </w:rPr>
        <w:t xml:space="preserve">Paruoštą tirpalą laikyti šaldytuve (2 </w:t>
      </w:r>
      <w:r w:rsidRPr="00D600DA">
        <w:rPr>
          <w:rFonts w:ascii="Times New Roman" w:hAnsi="Times New Roman"/>
          <w:lang w:eastAsia="ja-JP"/>
        </w:rPr>
        <w:sym w:font="Symbol" w:char="F0B0"/>
      </w:r>
      <w:r w:rsidRPr="00D600DA">
        <w:rPr>
          <w:rFonts w:ascii="Times New Roman" w:hAnsi="Times New Roman"/>
          <w:lang w:eastAsia="ja-JP"/>
        </w:rPr>
        <w:t xml:space="preserve">C – 8 </w:t>
      </w:r>
      <w:r w:rsidRPr="00D600DA">
        <w:rPr>
          <w:rFonts w:ascii="Times New Roman" w:hAnsi="Times New Roman"/>
          <w:lang w:eastAsia="ja-JP"/>
        </w:rPr>
        <w:sym w:font="Symbol" w:char="F0B0"/>
      </w:r>
      <w:r w:rsidRPr="00D600DA">
        <w:rPr>
          <w:rFonts w:ascii="Times New Roman" w:hAnsi="Times New Roman"/>
          <w:lang w:eastAsia="ja-JP"/>
        </w:rPr>
        <w:t>C).</w:t>
      </w:r>
    </w:p>
    <w:p w14:paraId="0F89FBDE" w14:textId="77777777" w:rsidR="00E850F6" w:rsidRPr="00D600DA" w:rsidRDefault="00E850F6" w:rsidP="00E850F6">
      <w:pPr>
        <w:spacing w:after="0" w:line="240" w:lineRule="auto"/>
        <w:ind w:left="567" w:hanging="567"/>
        <w:rPr>
          <w:rFonts w:ascii="Times New Roman" w:hAnsi="Times New Roman"/>
          <w:lang w:eastAsia="ja-JP"/>
        </w:rPr>
      </w:pPr>
    </w:p>
    <w:p w14:paraId="3B903BCE" w14:textId="77777777" w:rsidR="00E850F6" w:rsidRPr="00D600DA" w:rsidRDefault="00E850F6" w:rsidP="00E850F6">
      <w:pPr>
        <w:spacing w:after="0" w:line="240" w:lineRule="auto"/>
        <w:ind w:left="567" w:hanging="567"/>
        <w:rPr>
          <w:rFonts w:ascii="Times New Roman" w:hAnsi="Times New Roman"/>
          <w:lang w:eastAsia="ja-JP"/>
        </w:rPr>
      </w:pPr>
    </w:p>
    <w:p w14:paraId="2753249B"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10.</w:t>
      </w:r>
      <w:r w:rsidRPr="00D600DA">
        <w:rPr>
          <w:rFonts w:ascii="Times New Roman" w:hAnsi="Times New Roman"/>
          <w:b/>
          <w:caps/>
          <w:lang w:eastAsia="ja-JP"/>
        </w:rPr>
        <w:tab/>
      </w:r>
      <w:r w:rsidRPr="00D600DA">
        <w:rPr>
          <w:rFonts w:ascii="Times New Roman" w:hAnsi="Times New Roman"/>
          <w:b/>
          <w:lang w:eastAsia="ja-JP"/>
        </w:rPr>
        <w:t xml:space="preserve">SPECIALIOS ATSARGUMO PRIEMONĖS DĖL NESUVARTOTO </w:t>
      </w:r>
      <w:r w:rsidRPr="00D600DA">
        <w:rPr>
          <w:rFonts w:ascii="Times New Roman" w:hAnsi="Times New Roman"/>
          <w:b/>
          <w:bCs/>
          <w:lang w:eastAsia="ja-JP"/>
        </w:rPr>
        <w:t xml:space="preserve">VAISTINIO PREPARATO AR JO ATLIEKŲ </w:t>
      </w:r>
      <w:r w:rsidRPr="00D600DA">
        <w:rPr>
          <w:rFonts w:ascii="Times New Roman" w:hAnsi="Times New Roman"/>
          <w:b/>
          <w:lang w:eastAsia="ja-JP"/>
        </w:rPr>
        <w:t>TVARKYMO (JEI REIKIA)</w:t>
      </w:r>
    </w:p>
    <w:p w14:paraId="3BB00ED3" w14:textId="77777777" w:rsidR="00E850F6" w:rsidRPr="00D600DA" w:rsidRDefault="00E850F6" w:rsidP="00E850F6">
      <w:pPr>
        <w:spacing w:after="0" w:line="240" w:lineRule="auto"/>
        <w:ind w:left="567" w:hanging="567"/>
        <w:rPr>
          <w:rFonts w:ascii="Times New Roman" w:hAnsi="Times New Roman"/>
          <w:caps/>
          <w:lang w:eastAsia="ja-JP"/>
        </w:rPr>
      </w:pPr>
    </w:p>
    <w:p w14:paraId="6C357730" w14:textId="77777777" w:rsidR="00E850F6" w:rsidRPr="00D600DA" w:rsidRDefault="00E850F6" w:rsidP="00E850F6">
      <w:pPr>
        <w:spacing w:after="0" w:line="240" w:lineRule="auto"/>
        <w:ind w:left="567" w:hanging="567"/>
        <w:rPr>
          <w:rFonts w:ascii="Times New Roman" w:hAnsi="Times New Roman"/>
          <w:caps/>
          <w:lang w:eastAsia="ja-JP"/>
        </w:rPr>
      </w:pPr>
    </w:p>
    <w:p w14:paraId="5A2A51AA"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11.</w:t>
      </w:r>
      <w:r w:rsidRPr="00D600DA">
        <w:rPr>
          <w:rFonts w:ascii="Times New Roman" w:hAnsi="Times New Roman"/>
          <w:b/>
          <w:caps/>
          <w:lang w:eastAsia="ja-JP"/>
        </w:rPr>
        <w:tab/>
      </w:r>
      <w:r>
        <w:rPr>
          <w:rFonts w:ascii="Times New Roman" w:hAnsi="Times New Roman"/>
          <w:b/>
          <w:lang w:eastAsia="ja-JP"/>
        </w:rPr>
        <w:t>REGISTRUOTOJO</w:t>
      </w:r>
      <w:r w:rsidRPr="00D600DA">
        <w:rPr>
          <w:rFonts w:ascii="Times New Roman" w:hAnsi="Times New Roman"/>
          <w:b/>
          <w:caps/>
          <w:lang w:eastAsia="ja-JP"/>
        </w:rPr>
        <w:t xml:space="preserve"> pavadinimas ir adresas</w:t>
      </w:r>
    </w:p>
    <w:p w14:paraId="248BCFE2" w14:textId="77777777" w:rsidR="00E850F6" w:rsidRPr="00D600DA" w:rsidRDefault="00E850F6" w:rsidP="00E850F6">
      <w:pPr>
        <w:spacing w:after="0" w:line="240" w:lineRule="auto"/>
        <w:ind w:left="567" w:hanging="567"/>
        <w:rPr>
          <w:rFonts w:ascii="Times New Roman" w:hAnsi="Times New Roman"/>
          <w:caps/>
          <w:lang w:eastAsia="ja-JP"/>
        </w:rPr>
      </w:pPr>
    </w:p>
    <w:p w14:paraId="22B2E4E0"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UAB „Roche Lietuva“</w:t>
      </w:r>
    </w:p>
    <w:p w14:paraId="44031BB3"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J. Jasinskio g. 16</w:t>
      </w:r>
      <w:r>
        <w:rPr>
          <w:rFonts w:ascii="Times New Roman" w:hAnsi="Times New Roman"/>
          <w:lang w:eastAsia="ja-JP"/>
        </w:rPr>
        <w:t>B</w:t>
      </w:r>
    </w:p>
    <w:p w14:paraId="464A6FF4"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LT-01112 Vilnius</w:t>
      </w:r>
    </w:p>
    <w:p w14:paraId="30B5B9E2"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Lietuva</w:t>
      </w:r>
    </w:p>
    <w:p w14:paraId="46A8EF90" w14:textId="77777777" w:rsidR="00E850F6" w:rsidRPr="00D600DA" w:rsidRDefault="00E850F6" w:rsidP="00E850F6">
      <w:pPr>
        <w:spacing w:after="0" w:line="240" w:lineRule="auto"/>
        <w:ind w:left="567" w:hanging="567"/>
        <w:rPr>
          <w:rFonts w:ascii="Times New Roman" w:hAnsi="Times New Roman"/>
          <w:caps/>
          <w:lang w:eastAsia="ja-JP"/>
        </w:rPr>
      </w:pPr>
    </w:p>
    <w:p w14:paraId="59FB46B2" w14:textId="77777777" w:rsidR="00E850F6" w:rsidRPr="00D600DA" w:rsidRDefault="00E850F6" w:rsidP="00E850F6">
      <w:pPr>
        <w:spacing w:after="0" w:line="240" w:lineRule="auto"/>
        <w:ind w:left="567" w:hanging="567"/>
        <w:rPr>
          <w:rFonts w:ascii="Times New Roman" w:hAnsi="Times New Roman"/>
          <w:caps/>
          <w:lang w:eastAsia="ja-JP"/>
        </w:rPr>
      </w:pPr>
    </w:p>
    <w:p w14:paraId="17D3FD46"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12.</w:t>
      </w:r>
      <w:r w:rsidRPr="00D600DA">
        <w:rPr>
          <w:rFonts w:ascii="Times New Roman" w:hAnsi="Times New Roman"/>
          <w:b/>
          <w:caps/>
          <w:lang w:eastAsia="ja-JP"/>
        </w:rPr>
        <w:tab/>
      </w:r>
      <w:r>
        <w:rPr>
          <w:rFonts w:ascii="Times New Roman" w:hAnsi="Times New Roman"/>
          <w:b/>
          <w:lang w:eastAsia="ja-JP"/>
        </w:rPr>
        <w:t>REGISTRACIJOS PAŽYMĖJIMO</w:t>
      </w:r>
      <w:r w:rsidRPr="00D600DA">
        <w:rPr>
          <w:rFonts w:ascii="Times New Roman" w:hAnsi="Times New Roman"/>
          <w:lang w:eastAsia="ja-JP"/>
        </w:rPr>
        <w:t xml:space="preserve"> </w:t>
      </w:r>
      <w:r w:rsidRPr="00D600DA">
        <w:rPr>
          <w:rFonts w:ascii="Times New Roman" w:hAnsi="Times New Roman"/>
          <w:b/>
          <w:caps/>
          <w:lang w:eastAsia="ja-JP"/>
        </w:rPr>
        <w:t>numeris (-iai)</w:t>
      </w:r>
    </w:p>
    <w:p w14:paraId="3AA81B68" w14:textId="77777777" w:rsidR="00E850F6" w:rsidRPr="00D600DA" w:rsidRDefault="00E850F6" w:rsidP="00E850F6">
      <w:pPr>
        <w:spacing w:after="0" w:line="240" w:lineRule="auto"/>
        <w:ind w:left="567" w:hanging="567"/>
        <w:rPr>
          <w:rFonts w:ascii="Times New Roman" w:hAnsi="Times New Roman"/>
          <w:lang w:eastAsia="ja-JP"/>
        </w:rPr>
      </w:pPr>
    </w:p>
    <w:p w14:paraId="5E30285D"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LT/1/08/1131/001</w:t>
      </w:r>
    </w:p>
    <w:p w14:paraId="788971D7" w14:textId="77777777" w:rsidR="00E850F6" w:rsidRPr="00D600DA" w:rsidRDefault="00E850F6" w:rsidP="00E850F6">
      <w:pPr>
        <w:spacing w:after="0" w:line="240" w:lineRule="auto"/>
        <w:ind w:left="567" w:hanging="567"/>
        <w:rPr>
          <w:rFonts w:ascii="Times New Roman" w:hAnsi="Times New Roman"/>
          <w:lang w:eastAsia="ja-JP"/>
        </w:rPr>
      </w:pPr>
    </w:p>
    <w:p w14:paraId="4BE14130" w14:textId="77777777" w:rsidR="00E850F6" w:rsidRPr="00D600DA" w:rsidRDefault="00E850F6" w:rsidP="00E850F6">
      <w:pPr>
        <w:spacing w:after="0" w:line="240" w:lineRule="auto"/>
        <w:ind w:left="567" w:hanging="567"/>
        <w:rPr>
          <w:rFonts w:ascii="Times New Roman" w:hAnsi="Times New Roman"/>
          <w:lang w:eastAsia="ja-JP"/>
        </w:rPr>
      </w:pPr>
    </w:p>
    <w:p w14:paraId="1B8EA07D"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13.</w:t>
      </w:r>
      <w:r w:rsidRPr="00D600DA">
        <w:rPr>
          <w:rFonts w:ascii="Times New Roman" w:hAnsi="Times New Roman"/>
          <w:b/>
          <w:caps/>
          <w:lang w:eastAsia="ja-JP"/>
        </w:rPr>
        <w:tab/>
        <w:t>serijos numeris</w:t>
      </w:r>
    </w:p>
    <w:p w14:paraId="49AF8AEA" w14:textId="77777777" w:rsidR="00E850F6" w:rsidRPr="00D600DA" w:rsidRDefault="00E850F6" w:rsidP="00E850F6">
      <w:pPr>
        <w:spacing w:after="0" w:line="240" w:lineRule="auto"/>
        <w:ind w:left="567" w:hanging="567"/>
        <w:rPr>
          <w:rFonts w:ascii="Times New Roman" w:hAnsi="Times New Roman"/>
          <w:lang w:eastAsia="ja-JP"/>
        </w:rPr>
      </w:pPr>
    </w:p>
    <w:p w14:paraId="6E7112FD" w14:textId="77777777" w:rsidR="00E850F6" w:rsidRPr="00D600DA" w:rsidRDefault="00E850F6" w:rsidP="00E850F6">
      <w:pPr>
        <w:spacing w:after="0" w:line="240" w:lineRule="auto"/>
        <w:ind w:left="567" w:hanging="567"/>
        <w:rPr>
          <w:rFonts w:ascii="Times New Roman" w:hAnsi="Times New Roman"/>
          <w:lang w:eastAsia="ja-JP"/>
        </w:rPr>
      </w:pPr>
      <w:r w:rsidRPr="00D600DA">
        <w:rPr>
          <w:rFonts w:ascii="Times New Roman" w:hAnsi="Times New Roman"/>
          <w:lang w:eastAsia="ja-JP"/>
        </w:rPr>
        <w:t xml:space="preserve">Serija </w:t>
      </w:r>
    </w:p>
    <w:p w14:paraId="02F267E7" w14:textId="77777777" w:rsidR="00E850F6" w:rsidRPr="00D600DA" w:rsidRDefault="00E850F6" w:rsidP="00E850F6">
      <w:pPr>
        <w:spacing w:after="0" w:line="240" w:lineRule="auto"/>
        <w:ind w:left="567" w:hanging="567"/>
        <w:rPr>
          <w:rFonts w:ascii="Times New Roman" w:hAnsi="Times New Roman"/>
          <w:lang w:eastAsia="ja-JP"/>
        </w:rPr>
      </w:pPr>
    </w:p>
    <w:p w14:paraId="2888C34A" w14:textId="77777777" w:rsidR="00E850F6" w:rsidRPr="00D600DA" w:rsidRDefault="00E850F6" w:rsidP="00E850F6">
      <w:pPr>
        <w:spacing w:after="0" w:line="240" w:lineRule="auto"/>
        <w:ind w:left="567" w:hanging="567"/>
        <w:rPr>
          <w:rFonts w:ascii="Times New Roman" w:hAnsi="Times New Roman"/>
          <w:lang w:eastAsia="ja-JP"/>
        </w:rPr>
      </w:pPr>
    </w:p>
    <w:p w14:paraId="21B8B478"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14.</w:t>
      </w:r>
      <w:r w:rsidRPr="00D600DA">
        <w:rPr>
          <w:rFonts w:ascii="Times New Roman" w:hAnsi="Times New Roman"/>
          <w:b/>
          <w:caps/>
          <w:lang w:eastAsia="ja-JP"/>
        </w:rPr>
        <w:tab/>
      </w:r>
      <w:r w:rsidRPr="00D600DA">
        <w:rPr>
          <w:rFonts w:ascii="Times New Roman" w:hAnsi="Times New Roman"/>
          <w:b/>
          <w:lang w:eastAsia="ja-JP"/>
        </w:rPr>
        <w:t>PARDAVIMO (IŠDAVIMO) TVARKA</w:t>
      </w:r>
    </w:p>
    <w:p w14:paraId="45F02E1E" w14:textId="77777777" w:rsidR="00E850F6" w:rsidRPr="00D600DA" w:rsidRDefault="00E850F6" w:rsidP="00E850F6">
      <w:pPr>
        <w:spacing w:after="0" w:line="240" w:lineRule="auto"/>
        <w:ind w:left="567" w:hanging="567"/>
        <w:rPr>
          <w:rFonts w:ascii="Times New Roman" w:hAnsi="Times New Roman"/>
          <w:lang w:eastAsia="ja-JP"/>
        </w:rPr>
      </w:pPr>
    </w:p>
    <w:p w14:paraId="2A261C87" w14:textId="77777777" w:rsidR="00E850F6" w:rsidRPr="00D600DA" w:rsidRDefault="00E850F6" w:rsidP="00E850F6">
      <w:pPr>
        <w:spacing w:after="0" w:line="240" w:lineRule="auto"/>
        <w:ind w:left="567" w:hanging="567"/>
        <w:rPr>
          <w:rFonts w:ascii="Times New Roman" w:hAnsi="Times New Roman"/>
          <w:lang w:eastAsia="ja-JP"/>
        </w:rPr>
      </w:pPr>
      <w:r w:rsidRPr="00D600DA">
        <w:rPr>
          <w:rFonts w:ascii="Times New Roman" w:hAnsi="Times New Roman"/>
          <w:lang w:eastAsia="ja-JP"/>
        </w:rPr>
        <w:t>Receptinis vaistas</w:t>
      </w:r>
    </w:p>
    <w:p w14:paraId="1321228A" w14:textId="77777777" w:rsidR="00E850F6" w:rsidRPr="00D600DA" w:rsidRDefault="00E850F6" w:rsidP="00E850F6">
      <w:pPr>
        <w:spacing w:after="0" w:line="240" w:lineRule="auto"/>
        <w:ind w:left="567" w:hanging="567"/>
        <w:rPr>
          <w:rFonts w:ascii="Times New Roman" w:hAnsi="Times New Roman"/>
          <w:lang w:eastAsia="ja-JP"/>
        </w:rPr>
      </w:pPr>
    </w:p>
    <w:p w14:paraId="7936C426" w14:textId="77777777" w:rsidR="00E850F6" w:rsidRPr="00D600DA" w:rsidRDefault="00E850F6" w:rsidP="00E850F6">
      <w:pPr>
        <w:spacing w:after="0" w:line="240" w:lineRule="auto"/>
        <w:ind w:left="567" w:hanging="567"/>
        <w:rPr>
          <w:rFonts w:ascii="Times New Roman" w:hAnsi="Times New Roman"/>
          <w:lang w:eastAsia="ja-JP"/>
        </w:rPr>
      </w:pPr>
    </w:p>
    <w:p w14:paraId="450FD29A" w14:textId="77777777" w:rsidR="00E850F6" w:rsidRPr="00D600DA" w:rsidRDefault="00E850F6" w:rsidP="00E850F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ja-JP"/>
        </w:rPr>
      </w:pPr>
      <w:r w:rsidRPr="00D600DA">
        <w:rPr>
          <w:rFonts w:ascii="Times New Roman" w:hAnsi="Times New Roman"/>
          <w:b/>
          <w:caps/>
          <w:lang w:eastAsia="ja-JP"/>
        </w:rPr>
        <w:t>15.</w:t>
      </w:r>
      <w:r w:rsidRPr="00D600DA">
        <w:rPr>
          <w:rFonts w:ascii="Times New Roman" w:hAnsi="Times New Roman"/>
          <w:b/>
          <w:caps/>
          <w:lang w:eastAsia="ja-JP"/>
        </w:rPr>
        <w:tab/>
        <w:t>vartojimo instrukcijA</w:t>
      </w:r>
    </w:p>
    <w:p w14:paraId="0B0F2DE6" w14:textId="77777777" w:rsidR="00E850F6" w:rsidRPr="00D600DA" w:rsidRDefault="00E850F6" w:rsidP="00E850F6">
      <w:pPr>
        <w:spacing w:after="0" w:line="240" w:lineRule="auto"/>
        <w:ind w:left="567" w:hanging="567"/>
        <w:rPr>
          <w:rFonts w:ascii="Times New Roman" w:hAnsi="Times New Roman"/>
          <w:lang w:eastAsia="ja-JP"/>
        </w:rPr>
      </w:pPr>
    </w:p>
    <w:p w14:paraId="60607CC3" w14:textId="77777777" w:rsidR="00E850F6" w:rsidRPr="00D600DA" w:rsidRDefault="00E850F6" w:rsidP="00E850F6">
      <w:pPr>
        <w:spacing w:after="0" w:line="240" w:lineRule="auto"/>
        <w:ind w:left="567" w:hanging="567"/>
        <w:rPr>
          <w:rFonts w:ascii="Times New Roman" w:hAnsi="Times New Roman"/>
          <w:lang w:eastAsia="ja-JP"/>
        </w:rPr>
      </w:pPr>
    </w:p>
    <w:p w14:paraId="709F251F" w14:textId="77777777" w:rsidR="00E850F6" w:rsidRPr="00D600DA" w:rsidRDefault="00E850F6" w:rsidP="00E850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PMingLiU" w:hAnsi="Times New Roman"/>
          <w:b/>
          <w:lang w:eastAsia="en-US"/>
        </w:rPr>
      </w:pPr>
      <w:r w:rsidRPr="00D600DA">
        <w:rPr>
          <w:rFonts w:ascii="Times New Roman" w:eastAsia="PMingLiU" w:hAnsi="Times New Roman"/>
          <w:b/>
          <w:lang w:eastAsia="en-US"/>
        </w:rPr>
        <w:t>16.</w:t>
      </w:r>
      <w:r w:rsidRPr="00D600DA">
        <w:rPr>
          <w:rFonts w:ascii="Times New Roman" w:eastAsia="PMingLiU" w:hAnsi="Times New Roman"/>
          <w:b/>
          <w:lang w:eastAsia="en-US"/>
        </w:rPr>
        <w:tab/>
        <w:t>INFORMACIJA BRAILIO RAŠTU</w:t>
      </w:r>
    </w:p>
    <w:p w14:paraId="245FFFC3" w14:textId="77777777" w:rsidR="00E850F6" w:rsidRPr="00D600DA" w:rsidRDefault="00E850F6" w:rsidP="00E850F6">
      <w:pPr>
        <w:spacing w:after="0" w:line="240" w:lineRule="auto"/>
        <w:rPr>
          <w:rFonts w:ascii="Times New Roman" w:hAnsi="Times New Roman"/>
          <w:lang w:eastAsia="en-US"/>
        </w:rPr>
      </w:pPr>
    </w:p>
    <w:p w14:paraId="11E3AC17" w14:textId="77777777" w:rsidR="00E850F6" w:rsidRPr="00D600DA" w:rsidRDefault="00E850F6" w:rsidP="00E850F6">
      <w:pPr>
        <w:spacing w:after="0" w:line="240" w:lineRule="auto"/>
        <w:jc w:val="center"/>
        <w:rPr>
          <w:rFonts w:ascii="Times New Roman" w:hAnsi="Times New Roman"/>
          <w:lang w:eastAsia="ja-JP"/>
        </w:rPr>
      </w:pPr>
      <w:r w:rsidRPr="00D600DA">
        <w:rPr>
          <w:rFonts w:ascii="Times New Roman" w:hAnsi="Times New Roman"/>
          <w:lang w:eastAsia="ja-JP"/>
        </w:rPr>
        <w:br w:type="page"/>
      </w:r>
    </w:p>
    <w:p w14:paraId="664DB66F" w14:textId="77777777" w:rsidR="00E850F6" w:rsidRPr="00D600DA" w:rsidRDefault="00E850F6" w:rsidP="00E850F6">
      <w:pPr>
        <w:spacing w:after="0" w:line="240" w:lineRule="auto"/>
        <w:jc w:val="center"/>
        <w:rPr>
          <w:rFonts w:ascii="Times New Roman" w:hAnsi="Times New Roman"/>
          <w:lang w:eastAsia="ja-JP"/>
        </w:rPr>
      </w:pPr>
    </w:p>
    <w:p w14:paraId="4E5CB67C" w14:textId="77777777" w:rsidR="00E850F6" w:rsidRPr="00D600DA" w:rsidRDefault="00E850F6" w:rsidP="00E850F6">
      <w:pPr>
        <w:spacing w:after="0" w:line="240" w:lineRule="auto"/>
        <w:jc w:val="center"/>
        <w:rPr>
          <w:rFonts w:ascii="Times New Roman" w:hAnsi="Times New Roman"/>
          <w:lang w:eastAsia="ja-JP"/>
        </w:rPr>
      </w:pPr>
    </w:p>
    <w:p w14:paraId="55D19E0B" w14:textId="77777777" w:rsidR="00E850F6" w:rsidRPr="00D600DA" w:rsidRDefault="00E850F6" w:rsidP="00E850F6">
      <w:pPr>
        <w:spacing w:after="0" w:line="240" w:lineRule="auto"/>
        <w:jc w:val="center"/>
        <w:rPr>
          <w:rFonts w:ascii="Times New Roman" w:hAnsi="Times New Roman"/>
          <w:lang w:eastAsia="ja-JP"/>
        </w:rPr>
      </w:pPr>
    </w:p>
    <w:p w14:paraId="65A8F485" w14:textId="77777777" w:rsidR="00E850F6" w:rsidRPr="00D600DA" w:rsidRDefault="00E850F6" w:rsidP="00E850F6">
      <w:pPr>
        <w:spacing w:after="0" w:line="240" w:lineRule="auto"/>
        <w:jc w:val="center"/>
        <w:rPr>
          <w:rFonts w:ascii="Times New Roman" w:hAnsi="Times New Roman"/>
          <w:lang w:eastAsia="ja-JP"/>
        </w:rPr>
      </w:pPr>
    </w:p>
    <w:p w14:paraId="1DB97B12" w14:textId="77777777" w:rsidR="00E850F6" w:rsidRPr="00D600DA" w:rsidRDefault="00E850F6" w:rsidP="00E850F6">
      <w:pPr>
        <w:spacing w:after="0" w:line="240" w:lineRule="auto"/>
        <w:ind w:left="567" w:hanging="567"/>
        <w:jc w:val="center"/>
        <w:rPr>
          <w:rFonts w:ascii="Times New Roman" w:hAnsi="Times New Roman"/>
          <w:caps/>
          <w:lang w:eastAsia="ja-JP"/>
        </w:rPr>
      </w:pPr>
    </w:p>
    <w:p w14:paraId="6FB31277" w14:textId="77777777" w:rsidR="00E850F6" w:rsidRPr="00D600DA" w:rsidRDefault="00E850F6" w:rsidP="00E850F6">
      <w:pPr>
        <w:spacing w:after="0" w:line="240" w:lineRule="auto"/>
        <w:ind w:left="567" w:hanging="567"/>
        <w:jc w:val="center"/>
        <w:rPr>
          <w:rFonts w:ascii="Times New Roman" w:hAnsi="Times New Roman"/>
          <w:caps/>
          <w:lang w:eastAsia="ja-JP"/>
        </w:rPr>
      </w:pPr>
    </w:p>
    <w:p w14:paraId="43D85086" w14:textId="77777777" w:rsidR="00E850F6" w:rsidRPr="00D600DA" w:rsidRDefault="00E850F6" w:rsidP="00E850F6">
      <w:pPr>
        <w:spacing w:after="0" w:line="240" w:lineRule="auto"/>
        <w:ind w:left="567" w:hanging="567"/>
        <w:jc w:val="center"/>
        <w:rPr>
          <w:rFonts w:ascii="Times New Roman" w:hAnsi="Times New Roman"/>
          <w:caps/>
          <w:lang w:eastAsia="ja-JP"/>
        </w:rPr>
      </w:pPr>
    </w:p>
    <w:p w14:paraId="5C95F0BB" w14:textId="77777777" w:rsidR="00E850F6" w:rsidRPr="00D600DA" w:rsidRDefault="00E850F6" w:rsidP="00E850F6">
      <w:pPr>
        <w:spacing w:after="0" w:line="240" w:lineRule="auto"/>
        <w:ind w:left="567" w:hanging="567"/>
        <w:jc w:val="center"/>
        <w:rPr>
          <w:rFonts w:ascii="Times New Roman" w:hAnsi="Times New Roman"/>
          <w:caps/>
          <w:lang w:eastAsia="ja-JP"/>
        </w:rPr>
      </w:pPr>
    </w:p>
    <w:p w14:paraId="7F411DC8" w14:textId="77777777" w:rsidR="00E850F6" w:rsidRPr="00D600DA" w:rsidRDefault="00E850F6" w:rsidP="00E850F6">
      <w:pPr>
        <w:spacing w:after="0" w:line="240" w:lineRule="auto"/>
        <w:ind w:left="567" w:hanging="567"/>
        <w:jc w:val="center"/>
        <w:rPr>
          <w:rFonts w:ascii="Times New Roman" w:hAnsi="Times New Roman"/>
          <w:caps/>
          <w:lang w:eastAsia="ja-JP"/>
        </w:rPr>
      </w:pPr>
    </w:p>
    <w:p w14:paraId="0020786C" w14:textId="77777777" w:rsidR="00E850F6" w:rsidRPr="00D600DA" w:rsidRDefault="00E850F6" w:rsidP="00E850F6">
      <w:pPr>
        <w:spacing w:after="0" w:line="240" w:lineRule="auto"/>
        <w:ind w:left="567" w:hanging="567"/>
        <w:jc w:val="center"/>
        <w:rPr>
          <w:rFonts w:ascii="Times New Roman" w:hAnsi="Times New Roman"/>
          <w:caps/>
          <w:lang w:eastAsia="ja-JP"/>
        </w:rPr>
      </w:pPr>
    </w:p>
    <w:p w14:paraId="78B876F6" w14:textId="77777777" w:rsidR="00E850F6" w:rsidRPr="00D600DA" w:rsidRDefault="00E850F6" w:rsidP="00E850F6">
      <w:pPr>
        <w:spacing w:after="0" w:line="240" w:lineRule="auto"/>
        <w:ind w:left="567" w:hanging="567"/>
        <w:jc w:val="center"/>
        <w:rPr>
          <w:rFonts w:ascii="Times New Roman" w:hAnsi="Times New Roman"/>
          <w:caps/>
          <w:lang w:eastAsia="ja-JP"/>
        </w:rPr>
      </w:pPr>
    </w:p>
    <w:p w14:paraId="57B8B041" w14:textId="77777777" w:rsidR="00E850F6" w:rsidRPr="00D600DA" w:rsidRDefault="00E850F6" w:rsidP="00E850F6">
      <w:pPr>
        <w:spacing w:after="0" w:line="240" w:lineRule="auto"/>
        <w:ind w:left="567" w:hanging="567"/>
        <w:jc w:val="center"/>
        <w:rPr>
          <w:rFonts w:ascii="Times New Roman" w:hAnsi="Times New Roman"/>
          <w:caps/>
          <w:lang w:eastAsia="ja-JP"/>
        </w:rPr>
      </w:pPr>
    </w:p>
    <w:p w14:paraId="634EA3A0" w14:textId="77777777" w:rsidR="00E850F6" w:rsidRPr="00D600DA" w:rsidRDefault="00E850F6" w:rsidP="00E850F6">
      <w:pPr>
        <w:spacing w:after="0" w:line="240" w:lineRule="auto"/>
        <w:ind w:left="567" w:hanging="567"/>
        <w:jc w:val="center"/>
        <w:rPr>
          <w:rFonts w:ascii="Times New Roman" w:hAnsi="Times New Roman"/>
          <w:caps/>
          <w:lang w:eastAsia="ja-JP"/>
        </w:rPr>
      </w:pPr>
    </w:p>
    <w:p w14:paraId="5AE80E2F" w14:textId="77777777" w:rsidR="00E850F6" w:rsidRPr="00D600DA" w:rsidRDefault="00E850F6" w:rsidP="00E850F6">
      <w:pPr>
        <w:spacing w:after="0" w:line="240" w:lineRule="auto"/>
        <w:ind w:left="567" w:hanging="567"/>
        <w:jc w:val="center"/>
        <w:rPr>
          <w:rFonts w:ascii="Times New Roman" w:hAnsi="Times New Roman"/>
          <w:caps/>
          <w:lang w:eastAsia="ja-JP"/>
        </w:rPr>
      </w:pPr>
    </w:p>
    <w:p w14:paraId="137511D8" w14:textId="77777777" w:rsidR="00E850F6" w:rsidRPr="00D600DA" w:rsidRDefault="00E850F6" w:rsidP="00E850F6">
      <w:pPr>
        <w:spacing w:after="0" w:line="240" w:lineRule="auto"/>
        <w:ind w:left="567" w:hanging="567"/>
        <w:jc w:val="center"/>
        <w:rPr>
          <w:rFonts w:ascii="Times New Roman" w:hAnsi="Times New Roman"/>
          <w:caps/>
          <w:lang w:eastAsia="ja-JP"/>
        </w:rPr>
      </w:pPr>
    </w:p>
    <w:p w14:paraId="0D3A4D1C" w14:textId="77777777" w:rsidR="00E850F6" w:rsidRPr="00D600DA" w:rsidRDefault="00E850F6" w:rsidP="00E850F6">
      <w:pPr>
        <w:spacing w:after="0" w:line="240" w:lineRule="auto"/>
        <w:ind w:left="567" w:hanging="567"/>
        <w:jc w:val="center"/>
        <w:rPr>
          <w:rFonts w:ascii="Times New Roman" w:hAnsi="Times New Roman"/>
          <w:caps/>
          <w:lang w:eastAsia="ja-JP"/>
        </w:rPr>
      </w:pPr>
    </w:p>
    <w:p w14:paraId="10ACE326" w14:textId="77777777" w:rsidR="00E850F6" w:rsidRPr="00D600DA" w:rsidRDefault="00E850F6" w:rsidP="00E850F6">
      <w:pPr>
        <w:spacing w:after="0" w:line="240" w:lineRule="auto"/>
        <w:ind w:left="567" w:hanging="567"/>
        <w:jc w:val="center"/>
        <w:rPr>
          <w:rFonts w:ascii="Times New Roman" w:hAnsi="Times New Roman"/>
          <w:caps/>
          <w:lang w:eastAsia="ja-JP"/>
        </w:rPr>
      </w:pPr>
    </w:p>
    <w:p w14:paraId="5392D037" w14:textId="77777777" w:rsidR="00E850F6" w:rsidRPr="00D600DA" w:rsidRDefault="00E850F6" w:rsidP="00E850F6">
      <w:pPr>
        <w:spacing w:after="0" w:line="240" w:lineRule="auto"/>
        <w:ind w:left="567" w:hanging="567"/>
        <w:jc w:val="center"/>
        <w:rPr>
          <w:rFonts w:ascii="Times New Roman" w:hAnsi="Times New Roman"/>
          <w:caps/>
          <w:lang w:eastAsia="ja-JP"/>
        </w:rPr>
      </w:pPr>
    </w:p>
    <w:p w14:paraId="424ABCA6" w14:textId="77777777" w:rsidR="00E850F6" w:rsidRPr="00D600DA" w:rsidRDefault="00E850F6" w:rsidP="00E850F6">
      <w:pPr>
        <w:spacing w:after="0" w:line="240" w:lineRule="auto"/>
        <w:ind w:left="567" w:hanging="567"/>
        <w:jc w:val="center"/>
        <w:rPr>
          <w:rFonts w:ascii="Times New Roman" w:hAnsi="Times New Roman"/>
          <w:caps/>
          <w:lang w:eastAsia="ja-JP"/>
        </w:rPr>
      </w:pPr>
    </w:p>
    <w:p w14:paraId="48341102" w14:textId="77777777" w:rsidR="00E850F6" w:rsidRPr="00D600DA" w:rsidRDefault="00E850F6" w:rsidP="00E850F6">
      <w:pPr>
        <w:spacing w:after="0" w:line="240" w:lineRule="auto"/>
        <w:ind w:left="567" w:hanging="567"/>
        <w:jc w:val="center"/>
        <w:rPr>
          <w:rFonts w:ascii="Times New Roman" w:hAnsi="Times New Roman"/>
          <w:caps/>
          <w:lang w:eastAsia="ja-JP"/>
        </w:rPr>
      </w:pPr>
    </w:p>
    <w:p w14:paraId="107D585D" w14:textId="77777777" w:rsidR="00E850F6" w:rsidRPr="00D600DA" w:rsidRDefault="00E850F6" w:rsidP="00E850F6">
      <w:pPr>
        <w:spacing w:after="0" w:line="240" w:lineRule="auto"/>
        <w:ind w:left="567" w:hanging="567"/>
        <w:jc w:val="center"/>
        <w:rPr>
          <w:rFonts w:ascii="Times New Roman" w:hAnsi="Times New Roman"/>
          <w:caps/>
          <w:lang w:eastAsia="ja-JP"/>
        </w:rPr>
      </w:pPr>
    </w:p>
    <w:p w14:paraId="33B3AB12" w14:textId="77777777" w:rsidR="00E850F6" w:rsidRPr="00D600DA" w:rsidRDefault="00E850F6" w:rsidP="00E850F6">
      <w:pPr>
        <w:spacing w:after="0" w:line="240" w:lineRule="auto"/>
        <w:ind w:left="567" w:hanging="567"/>
        <w:jc w:val="center"/>
        <w:rPr>
          <w:rFonts w:ascii="Times New Roman" w:hAnsi="Times New Roman"/>
          <w:caps/>
          <w:lang w:eastAsia="ja-JP"/>
        </w:rPr>
      </w:pPr>
    </w:p>
    <w:p w14:paraId="0EB6AFBA" w14:textId="77777777" w:rsidR="00E850F6" w:rsidRPr="00D600DA" w:rsidRDefault="00E850F6" w:rsidP="00E850F6">
      <w:pPr>
        <w:spacing w:after="0" w:line="240" w:lineRule="auto"/>
        <w:ind w:left="567" w:hanging="567"/>
        <w:jc w:val="center"/>
        <w:rPr>
          <w:rFonts w:ascii="Times New Roman" w:hAnsi="Times New Roman"/>
          <w:b/>
          <w:caps/>
          <w:lang w:eastAsia="ja-JP"/>
        </w:rPr>
      </w:pPr>
    </w:p>
    <w:p w14:paraId="1180326A" w14:textId="77777777" w:rsidR="00E850F6" w:rsidRPr="00D600DA" w:rsidRDefault="00E850F6" w:rsidP="00E850F6">
      <w:pPr>
        <w:spacing w:after="0" w:line="240" w:lineRule="auto"/>
        <w:ind w:left="567" w:hanging="567"/>
        <w:jc w:val="center"/>
        <w:rPr>
          <w:rFonts w:ascii="Times New Roman" w:hAnsi="Times New Roman"/>
          <w:b/>
          <w:caps/>
          <w:lang w:eastAsia="ja-JP"/>
        </w:rPr>
      </w:pPr>
      <w:r w:rsidRPr="00D600DA">
        <w:rPr>
          <w:rFonts w:ascii="Times New Roman" w:hAnsi="Times New Roman"/>
          <w:b/>
          <w:caps/>
          <w:lang w:eastAsia="ja-JP"/>
        </w:rPr>
        <w:t xml:space="preserve">B. </w:t>
      </w:r>
      <w:r w:rsidRPr="00D600DA">
        <w:rPr>
          <w:rFonts w:ascii="Times New Roman" w:hAnsi="Times New Roman"/>
          <w:b/>
          <w:lang w:eastAsia="ja-JP"/>
        </w:rPr>
        <w:t>PAKUOTĖS</w:t>
      </w:r>
      <w:r w:rsidRPr="00D600DA">
        <w:rPr>
          <w:rFonts w:ascii="Times New Roman" w:hAnsi="Times New Roman"/>
          <w:b/>
          <w:caps/>
          <w:lang w:eastAsia="ja-JP"/>
        </w:rPr>
        <w:t xml:space="preserve"> lapelis</w:t>
      </w:r>
    </w:p>
    <w:p w14:paraId="7E1AB6B0" w14:textId="77777777" w:rsidR="00E850F6" w:rsidRPr="00D600DA" w:rsidRDefault="00E850F6" w:rsidP="00E850F6">
      <w:pPr>
        <w:spacing w:after="0" w:line="240" w:lineRule="auto"/>
        <w:ind w:left="360"/>
        <w:jc w:val="center"/>
        <w:rPr>
          <w:rFonts w:ascii="Times New Roman" w:hAnsi="Times New Roman"/>
          <w:lang w:eastAsia="ja-JP"/>
        </w:rPr>
      </w:pPr>
      <w:r w:rsidRPr="00D600DA">
        <w:rPr>
          <w:rFonts w:ascii="Times New Roman" w:hAnsi="Times New Roman"/>
          <w:lang w:eastAsia="ja-JP"/>
        </w:rPr>
        <w:br w:type="page"/>
      </w:r>
      <w:bookmarkStart w:id="4" w:name="_PictureBullets"/>
      <w:bookmarkEnd w:id="4"/>
    </w:p>
    <w:p w14:paraId="61DF8841" w14:textId="77777777" w:rsidR="00E850F6" w:rsidRPr="00D600DA" w:rsidRDefault="00E850F6" w:rsidP="00E850F6">
      <w:pPr>
        <w:spacing w:after="0" w:line="240" w:lineRule="auto"/>
        <w:jc w:val="center"/>
        <w:rPr>
          <w:rFonts w:ascii="Times New Roman" w:hAnsi="Times New Roman"/>
          <w:b/>
          <w:lang w:eastAsia="ja-JP"/>
        </w:rPr>
      </w:pPr>
      <w:r w:rsidRPr="00D600DA">
        <w:rPr>
          <w:rFonts w:ascii="Times New Roman" w:hAnsi="Times New Roman"/>
          <w:b/>
          <w:lang w:eastAsia="ja-JP"/>
        </w:rPr>
        <w:lastRenderedPageBreak/>
        <w:t>Pakuotės lapelis: informacija vartotojui</w:t>
      </w:r>
    </w:p>
    <w:p w14:paraId="577B0B71" w14:textId="77777777" w:rsidR="00E850F6" w:rsidRPr="00D600DA" w:rsidRDefault="00E850F6" w:rsidP="00E850F6">
      <w:pPr>
        <w:spacing w:after="0" w:line="240" w:lineRule="auto"/>
        <w:jc w:val="center"/>
        <w:rPr>
          <w:rFonts w:ascii="Times New Roman" w:hAnsi="Times New Roman"/>
          <w:b/>
          <w:lang w:eastAsia="ja-JP"/>
        </w:rPr>
      </w:pPr>
    </w:p>
    <w:p w14:paraId="2672C21F" w14:textId="77777777" w:rsidR="00E850F6" w:rsidRPr="00D600DA" w:rsidRDefault="00E850F6" w:rsidP="00E850F6">
      <w:pPr>
        <w:spacing w:after="0" w:line="240" w:lineRule="auto"/>
        <w:jc w:val="center"/>
        <w:rPr>
          <w:rFonts w:ascii="Times New Roman" w:hAnsi="Times New Roman"/>
          <w:b/>
          <w:lang w:eastAsia="ja-JP"/>
        </w:rPr>
      </w:pPr>
      <w:r w:rsidRPr="00D600DA">
        <w:rPr>
          <w:rFonts w:ascii="Times New Roman" w:hAnsi="Times New Roman"/>
          <w:b/>
          <w:lang w:eastAsia="ja-JP"/>
        </w:rPr>
        <w:t>Valcyte 50 mg/ml milteliai geriamajam tirpalui</w:t>
      </w:r>
    </w:p>
    <w:p w14:paraId="1B8DF176" w14:textId="77777777" w:rsidR="008D4449" w:rsidRPr="00D600DA" w:rsidRDefault="008D4449" w:rsidP="008D4449">
      <w:pPr>
        <w:spacing w:after="0" w:line="240" w:lineRule="auto"/>
        <w:jc w:val="center"/>
        <w:rPr>
          <w:rFonts w:ascii="Times New Roman" w:hAnsi="Times New Roman"/>
          <w:lang w:eastAsia="ja-JP"/>
        </w:rPr>
      </w:pPr>
      <w:r>
        <w:rPr>
          <w:rFonts w:ascii="Times New Roman" w:hAnsi="Times New Roman"/>
          <w:lang w:eastAsia="ja-JP"/>
        </w:rPr>
        <w:t>v</w:t>
      </w:r>
      <w:r w:rsidRPr="00D600DA">
        <w:rPr>
          <w:rFonts w:ascii="Times New Roman" w:hAnsi="Times New Roman"/>
          <w:lang w:eastAsia="ja-JP"/>
        </w:rPr>
        <w:t>algancikloviras</w:t>
      </w:r>
    </w:p>
    <w:p w14:paraId="2F74F94F" w14:textId="77777777" w:rsidR="00E850F6" w:rsidRPr="00D600DA" w:rsidRDefault="00E850F6" w:rsidP="00E850F6">
      <w:pPr>
        <w:spacing w:after="0" w:line="240" w:lineRule="auto"/>
        <w:jc w:val="center"/>
        <w:rPr>
          <w:rFonts w:ascii="Times New Roman" w:hAnsi="Times New Roman"/>
          <w:lang w:eastAsia="ja-JP"/>
        </w:rPr>
      </w:pPr>
    </w:p>
    <w:p w14:paraId="358D2371" w14:textId="77777777" w:rsidR="00E850F6" w:rsidRPr="00D600DA" w:rsidRDefault="00E850F6" w:rsidP="00E850F6">
      <w:pPr>
        <w:spacing w:after="0" w:line="240" w:lineRule="auto"/>
        <w:ind w:right="-2"/>
        <w:rPr>
          <w:rFonts w:ascii="Times New Roman" w:hAnsi="Times New Roman"/>
          <w:b/>
          <w:lang w:eastAsia="ja-JP"/>
        </w:rPr>
      </w:pPr>
      <w:r w:rsidRPr="00D600DA">
        <w:rPr>
          <w:rFonts w:ascii="Times New Roman" w:hAnsi="Times New Roman"/>
          <w:b/>
          <w:lang w:eastAsia="ja-JP"/>
        </w:rPr>
        <w:t>Atidžiai perskaitykite visą šį lapelį, prieš pradėdami vartoti vaistą, nes jame pateikiama Jums svarbi informacija.</w:t>
      </w:r>
    </w:p>
    <w:p w14:paraId="0295746E" w14:textId="77777777" w:rsidR="00E850F6" w:rsidRPr="00D600DA" w:rsidRDefault="00E850F6" w:rsidP="00E850F6">
      <w:pPr>
        <w:numPr>
          <w:ilvl w:val="0"/>
          <w:numId w:val="2"/>
        </w:numPr>
        <w:spacing w:after="0" w:line="240" w:lineRule="auto"/>
        <w:rPr>
          <w:rFonts w:ascii="Times New Roman" w:hAnsi="Times New Roman"/>
          <w:lang w:eastAsia="ja-JP"/>
        </w:rPr>
      </w:pPr>
      <w:r w:rsidRPr="00D600DA">
        <w:rPr>
          <w:rFonts w:ascii="Times New Roman" w:hAnsi="Times New Roman"/>
          <w:lang w:eastAsia="ja-JP"/>
        </w:rPr>
        <w:t>Neišmeskite šio lapelio, nes vėl gali prireikti jį perskaityti.</w:t>
      </w:r>
    </w:p>
    <w:p w14:paraId="3AA0534A" w14:textId="77777777" w:rsidR="00E850F6" w:rsidRPr="00D600DA" w:rsidRDefault="00E850F6" w:rsidP="00E850F6">
      <w:pPr>
        <w:numPr>
          <w:ilvl w:val="0"/>
          <w:numId w:val="3"/>
        </w:numPr>
        <w:spacing w:after="0" w:line="240" w:lineRule="auto"/>
        <w:ind w:right="-2"/>
        <w:rPr>
          <w:rFonts w:ascii="Times New Roman" w:hAnsi="Times New Roman"/>
          <w:lang w:eastAsia="ja-JP"/>
        </w:rPr>
      </w:pPr>
      <w:r w:rsidRPr="00D600DA">
        <w:rPr>
          <w:rFonts w:ascii="Times New Roman" w:hAnsi="Times New Roman"/>
          <w:lang w:eastAsia="ja-JP"/>
        </w:rPr>
        <w:t>Jeigu kiltų daugiau klausimų, kreipkitės į gydytoją arba vaistininką.</w:t>
      </w:r>
    </w:p>
    <w:p w14:paraId="33A8019F" w14:textId="77777777" w:rsidR="00E850F6" w:rsidRPr="00D600DA" w:rsidRDefault="00E850F6" w:rsidP="00E850F6">
      <w:pPr>
        <w:numPr>
          <w:ilvl w:val="0"/>
          <w:numId w:val="4"/>
        </w:numPr>
        <w:spacing w:after="0" w:line="240" w:lineRule="auto"/>
        <w:ind w:right="-2"/>
        <w:rPr>
          <w:rFonts w:ascii="Times New Roman" w:hAnsi="Times New Roman"/>
          <w:b/>
          <w:lang w:eastAsia="ja-JP"/>
        </w:rPr>
      </w:pPr>
      <w:r w:rsidRPr="00D600DA">
        <w:rPr>
          <w:rFonts w:ascii="Times New Roman" w:hAnsi="Times New Roman"/>
          <w:lang w:eastAsia="ja-JP"/>
        </w:rPr>
        <w:t>Šis vaistas skirtas tik Jums, todėl kitiems žmonėms jo duoti negalima. Vaistas gali jiems pakenkti (net tiems, kurių ligos požymiai</w:t>
      </w:r>
      <w:r w:rsidRPr="00D600DA" w:rsidDel="00D200D0">
        <w:rPr>
          <w:rFonts w:ascii="Times New Roman" w:hAnsi="Times New Roman"/>
          <w:lang w:eastAsia="ja-JP"/>
        </w:rPr>
        <w:t xml:space="preserve"> </w:t>
      </w:r>
      <w:r w:rsidRPr="00D600DA">
        <w:rPr>
          <w:rFonts w:ascii="Times New Roman" w:hAnsi="Times New Roman"/>
          <w:lang w:eastAsia="ja-JP"/>
        </w:rPr>
        <w:t>yra tokie patys kaip Jūsų).</w:t>
      </w:r>
    </w:p>
    <w:p w14:paraId="4F530308" w14:textId="77777777" w:rsidR="00E850F6" w:rsidRPr="00D600DA" w:rsidRDefault="00E850F6" w:rsidP="00E850F6">
      <w:pPr>
        <w:numPr>
          <w:ilvl w:val="0"/>
          <w:numId w:val="4"/>
        </w:numPr>
        <w:spacing w:after="0" w:line="240" w:lineRule="auto"/>
        <w:ind w:right="-2"/>
        <w:rPr>
          <w:rFonts w:ascii="Times New Roman" w:hAnsi="Times New Roman"/>
          <w:lang w:eastAsia="ja-JP"/>
        </w:rPr>
      </w:pPr>
      <w:r w:rsidRPr="00D600DA">
        <w:rPr>
          <w:rFonts w:ascii="Times New Roman" w:hAnsi="Times New Roman"/>
          <w:lang w:eastAsia="ja-JP"/>
        </w:rPr>
        <w:t>Jeigu pasireiškė šalutinis poveikis (net jeigu jis šiame lapelyje nenurodytas), kreipkitės į gydytoją arba vaistininką.</w:t>
      </w:r>
      <w:r w:rsidRPr="00D600DA">
        <w:rPr>
          <w:rFonts w:ascii="Times New Roman" w:eastAsia="Times New Roman" w:hAnsi="Times New Roman"/>
          <w:noProof/>
          <w:snapToGrid w:val="0"/>
          <w:lang w:eastAsia="en-US"/>
        </w:rPr>
        <w:t xml:space="preserve"> </w:t>
      </w:r>
      <w:proofErr w:type="spellStart"/>
      <w:r w:rsidRPr="00D600DA">
        <w:rPr>
          <w:rFonts w:ascii="Times New Roman" w:hAnsi="Times New Roman"/>
          <w:lang w:val="en-GB" w:eastAsia="ja-JP"/>
        </w:rPr>
        <w:t>Žr</w:t>
      </w:r>
      <w:proofErr w:type="spellEnd"/>
      <w:r w:rsidRPr="00D600DA">
        <w:rPr>
          <w:rFonts w:ascii="Times New Roman" w:hAnsi="Times New Roman"/>
          <w:lang w:val="en-GB" w:eastAsia="ja-JP"/>
        </w:rPr>
        <w:t xml:space="preserve">. 4 </w:t>
      </w:r>
      <w:proofErr w:type="spellStart"/>
      <w:r w:rsidRPr="00D600DA">
        <w:rPr>
          <w:rFonts w:ascii="Times New Roman" w:hAnsi="Times New Roman"/>
          <w:lang w:val="en-GB" w:eastAsia="ja-JP"/>
        </w:rPr>
        <w:t>skyrių</w:t>
      </w:r>
      <w:proofErr w:type="spellEnd"/>
      <w:r w:rsidRPr="00D600DA">
        <w:rPr>
          <w:rFonts w:ascii="Times New Roman" w:hAnsi="Times New Roman"/>
          <w:lang w:val="en-GB" w:eastAsia="ja-JP"/>
        </w:rPr>
        <w:t>.</w:t>
      </w:r>
    </w:p>
    <w:p w14:paraId="3EA834AE" w14:textId="77777777" w:rsidR="00E850F6" w:rsidRPr="00D600DA" w:rsidRDefault="00E850F6" w:rsidP="00E850F6">
      <w:pPr>
        <w:spacing w:after="0" w:line="240" w:lineRule="auto"/>
        <w:ind w:right="-2"/>
        <w:rPr>
          <w:rFonts w:ascii="Times New Roman" w:hAnsi="Times New Roman"/>
          <w:lang w:eastAsia="ja-JP"/>
        </w:rPr>
      </w:pPr>
    </w:p>
    <w:p w14:paraId="55F9CAD4" w14:textId="77777777" w:rsidR="00E850F6" w:rsidRPr="00D600DA" w:rsidRDefault="00E850F6" w:rsidP="00E850F6">
      <w:pPr>
        <w:spacing w:after="0" w:line="240" w:lineRule="auto"/>
        <w:ind w:left="567" w:hanging="567"/>
        <w:rPr>
          <w:rFonts w:ascii="Times New Roman" w:hAnsi="Times New Roman"/>
          <w:b/>
          <w:lang w:eastAsia="ja-JP"/>
        </w:rPr>
      </w:pPr>
      <w:r w:rsidRPr="00D600DA">
        <w:rPr>
          <w:rFonts w:ascii="Times New Roman" w:hAnsi="Times New Roman"/>
          <w:b/>
          <w:lang w:eastAsia="ja-JP"/>
        </w:rPr>
        <w:t>Apie ką rašoma šiame lapelyje?</w:t>
      </w:r>
    </w:p>
    <w:p w14:paraId="6AE71C20" w14:textId="77777777" w:rsidR="00E850F6" w:rsidRPr="00D600DA" w:rsidRDefault="00E850F6" w:rsidP="00E850F6">
      <w:pPr>
        <w:spacing w:after="0" w:line="240" w:lineRule="auto"/>
        <w:ind w:left="567" w:hanging="567"/>
        <w:rPr>
          <w:rFonts w:ascii="Times New Roman" w:hAnsi="Times New Roman"/>
          <w:b/>
          <w:lang w:eastAsia="ja-JP"/>
        </w:rPr>
      </w:pPr>
    </w:p>
    <w:p w14:paraId="3F2EF428" w14:textId="77777777" w:rsidR="00E850F6" w:rsidRPr="00D600DA" w:rsidRDefault="00E850F6" w:rsidP="00E850F6">
      <w:pPr>
        <w:numPr>
          <w:ilvl w:val="0"/>
          <w:numId w:val="5"/>
        </w:numPr>
        <w:spacing w:after="0" w:line="240" w:lineRule="auto"/>
        <w:rPr>
          <w:rFonts w:ascii="Times New Roman" w:hAnsi="Times New Roman"/>
          <w:lang w:eastAsia="ja-JP"/>
        </w:rPr>
      </w:pPr>
      <w:r w:rsidRPr="00D600DA">
        <w:rPr>
          <w:rFonts w:ascii="Times New Roman" w:hAnsi="Times New Roman"/>
          <w:lang w:eastAsia="ja-JP"/>
        </w:rPr>
        <w:t>Kas yra Valcyte ir kam jis vartojamas</w:t>
      </w:r>
    </w:p>
    <w:p w14:paraId="0759782E" w14:textId="77777777" w:rsidR="00E850F6" w:rsidRPr="00D600DA" w:rsidRDefault="00E850F6" w:rsidP="00E850F6">
      <w:pPr>
        <w:numPr>
          <w:ilvl w:val="0"/>
          <w:numId w:val="5"/>
        </w:numPr>
        <w:spacing w:after="0" w:line="240" w:lineRule="auto"/>
        <w:rPr>
          <w:rFonts w:ascii="Times New Roman" w:hAnsi="Times New Roman"/>
          <w:lang w:eastAsia="ja-JP"/>
        </w:rPr>
      </w:pPr>
      <w:r w:rsidRPr="00D600DA">
        <w:rPr>
          <w:rFonts w:ascii="Times New Roman" w:hAnsi="Times New Roman"/>
          <w:lang w:eastAsia="ja-JP"/>
        </w:rPr>
        <w:t>Kas žinotina prieš vartojant Valcyte</w:t>
      </w:r>
    </w:p>
    <w:p w14:paraId="0E64216E" w14:textId="77777777" w:rsidR="00E850F6" w:rsidRPr="00D600DA" w:rsidRDefault="00E850F6" w:rsidP="00E850F6">
      <w:pPr>
        <w:numPr>
          <w:ilvl w:val="0"/>
          <w:numId w:val="5"/>
        </w:numPr>
        <w:spacing w:after="0" w:line="240" w:lineRule="auto"/>
        <w:rPr>
          <w:rFonts w:ascii="Times New Roman" w:hAnsi="Times New Roman"/>
          <w:lang w:eastAsia="ja-JP"/>
        </w:rPr>
      </w:pPr>
      <w:r w:rsidRPr="00D600DA">
        <w:rPr>
          <w:rFonts w:ascii="Times New Roman" w:hAnsi="Times New Roman"/>
          <w:lang w:eastAsia="ja-JP"/>
        </w:rPr>
        <w:t>Kaip vartoti Valcyte</w:t>
      </w:r>
    </w:p>
    <w:p w14:paraId="32632C96" w14:textId="77777777" w:rsidR="00E850F6" w:rsidRPr="00D600DA" w:rsidRDefault="00E850F6" w:rsidP="00E850F6">
      <w:pPr>
        <w:numPr>
          <w:ilvl w:val="0"/>
          <w:numId w:val="5"/>
        </w:numPr>
        <w:spacing w:after="0" w:line="240" w:lineRule="auto"/>
        <w:rPr>
          <w:rFonts w:ascii="Times New Roman" w:hAnsi="Times New Roman"/>
          <w:lang w:eastAsia="ja-JP"/>
        </w:rPr>
      </w:pPr>
      <w:r w:rsidRPr="00D600DA">
        <w:rPr>
          <w:rFonts w:ascii="Times New Roman" w:hAnsi="Times New Roman"/>
          <w:lang w:eastAsia="ja-JP"/>
        </w:rPr>
        <w:t>Galimas šalutinis poveikis</w:t>
      </w:r>
    </w:p>
    <w:p w14:paraId="21B2561A" w14:textId="77777777" w:rsidR="00E850F6" w:rsidRPr="00D600DA" w:rsidRDefault="00E850F6" w:rsidP="00E850F6">
      <w:pPr>
        <w:numPr>
          <w:ilvl w:val="0"/>
          <w:numId w:val="5"/>
        </w:numPr>
        <w:spacing w:after="0" w:line="240" w:lineRule="auto"/>
        <w:rPr>
          <w:rFonts w:ascii="Times New Roman" w:hAnsi="Times New Roman"/>
          <w:lang w:eastAsia="ja-JP"/>
        </w:rPr>
      </w:pPr>
      <w:r w:rsidRPr="00D600DA">
        <w:rPr>
          <w:rFonts w:ascii="Times New Roman" w:hAnsi="Times New Roman"/>
          <w:lang w:eastAsia="ja-JP"/>
        </w:rPr>
        <w:t>Kaip laikyti Valcyte</w:t>
      </w:r>
    </w:p>
    <w:p w14:paraId="519DF498" w14:textId="77777777" w:rsidR="00E850F6" w:rsidRPr="00D600DA" w:rsidRDefault="00E850F6" w:rsidP="00E850F6">
      <w:pPr>
        <w:numPr>
          <w:ilvl w:val="0"/>
          <w:numId w:val="5"/>
        </w:numPr>
        <w:spacing w:after="0" w:line="240" w:lineRule="auto"/>
        <w:rPr>
          <w:rFonts w:ascii="Times New Roman" w:hAnsi="Times New Roman"/>
          <w:lang w:eastAsia="ja-JP"/>
        </w:rPr>
      </w:pPr>
      <w:r w:rsidRPr="00D600DA">
        <w:rPr>
          <w:rFonts w:ascii="Times New Roman" w:hAnsi="Times New Roman"/>
          <w:lang w:eastAsia="ja-JP"/>
        </w:rPr>
        <w:t>Pakuotės turinys ir kita informacija</w:t>
      </w:r>
    </w:p>
    <w:p w14:paraId="33BD3A32" w14:textId="77777777" w:rsidR="00E850F6" w:rsidRPr="00D600DA" w:rsidRDefault="00E850F6" w:rsidP="00E850F6">
      <w:pPr>
        <w:spacing w:after="0" w:line="240" w:lineRule="auto"/>
        <w:ind w:right="-2"/>
        <w:rPr>
          <w:rFonts w:ascii="Times New Roman" w:hAnsi="Times New Roman"/>
          <w:lang w:eastAsia="ja-JP"/>
        </w:rPr>
      </w:pPr>
    </w:p>
    <w:p w14:paraId="7D6E54DF" w14:textId="77777777" w:rsidR="00E850F6" w:rsidRPr="00D600DA" w:rsidRDefault="00E850F6" w:rsidP="00E850F6">
      <w:pPr>
        <w:spacing w:after="0" w:line="240" w:lineRule="auto"/>
        <w:jc w:val="both"/>
        <w:rPr>
          <w:rFonts w:ascii="Times New Roman" w:hAnsi="Times New Roman"/>
          <w:lang w:eastAsia="ja-JP"/>
        </w:rPr>
      </w:pPr>
    </w:p>
    <w:p w14:paraId="0CBADE82" w14:textId="77777777" w:rsidR="00E850F6" w:rsidRPr="00D600DA" w:rsidRDefault="00E850F6" w:rsidP="00E850F6">
      <w:pPr>
        <w:tabs>
          <w:tab w:val="left" w:pos="567"/>
        </w:tabs>
        <w:spacing w:after="0" w:line="240" w:lineRule="auto"/>
        <w:ind w:right="-2"/>
        <w:rPr>
          <w:rFonts w:ascii="Times New Roman" w:hAnsi="Times New Roman"/>
          <w:lang w:eastAsia="ja-JP"/>
        </w:rPr>
      </w:pPr>
      <w:r w:rsidRPr="00D600DA">
        <w:rPr>
          <w:rFonts w:ascii="Times New Roman" w:hAnsi="Times New Roman"/>
          <w:b/>
          <w:lang w:eastAsia="ja-JP"/>
        </w:rPr>
        <w:t>1.</w:t>
      </w:r>
      <w:r w:rsidRPr="00D600DA">
        <w:rPr>
          <w:rFonts w:ascii="Times New Roman" w:hAnsi="Times New Roman"/>
          <w:b/>
          <w:lang w:eastAsia="ja-JP"/>
        </w:rPr>
        <w:tab/>
        <w:t>Kas yra Valcyte ir kam jis vartojamas</w:t>
      </w:r>
    </w:p>
    <w:p w14:paraId="77F6DF7D" w14:textId="77777777" w:rsidR="00E850F6" w:rsidRPr="00D600DA" w:rsidRDefault="00E850F6" w:rsidP="00E850F6">
      <w:pPr>
        <w:spacing w:after="0" w:line="240" w:lineRule="auto"/>
        <w:rPr>
          <w:rFonts w:ascii="Times New Roman" w:hAnsi="Times New Roman"/>
          <w:lang w:eastAsia="ja-JP"/>
        </w:rPr>
      </w:pPr>
    </w:p>
    <w:p w14:paraId="54E8BC70"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Valcyte priklauso grupei vaistų, tiesiogiai neleidžiančių daugintis virusams. Veiklioji miltelių medžiaga valgancikloviras organizme greitai virsta gancikloviru. Pastarasis trukdo virusams, vadinamiems citomegalo virusais (CMV), daugintis ir patekti į sveikas ląsteles. Asmenims, kurių imuninė sistema susilpnėjusi, CMV gali sukelti organų infekciją. Tai gali būti pavojinga gyvybei.</w:t>
      </w:r>
    </w:p>
    <w:p w14:paraId="7F92029B" w14:textId="77777777" w:rsidR="00E850F6" w:rsidRPr="00D600DA" w:rsidRDefault="00E850F6" w:rsidP="00E850F6">
      <w:pPr>
        <w:spacing w:after="0" w:line="240" w:lineRule="auto"/>
        <w:rPr>
          <w:rFonts w:ascii="Times New Roman" w:hAnsi="Times New Roman"/>
          <w:lang w:eastAsia="ja-JP"/>
        </w:rPr>
      </w:pPr>
    </w:p>
    <w:p w14:paraId="1F7AE00F"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Valcyte vartojamas:</w:t>
      </w:r>
    </w:p>
    <w:p w14:paraId="47F25AB8"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suaugusiųjų pacientų, sergančių įgytu imunodeficito sindromu (AIDS), akių tinklainės CMV infekcijai gydyti. Akių tinklainės CMV infekcija gali trikdyti regėjimą ir net sukelti aklumą.</w:t>
      </w:r>
    </w:p>
    <w:p w14:paraId="378F1252"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 CMV infekcijos profilaktikai </w:t>
      </w:r>
      <w:r w:rsidRPr="00D600DA">
        <w:rPr>
          <w:rFonts w:ascii="Times New Roman" w:eastAsia="Times New Roman" w:hAnsi="Times New Roman"/>
          <w:lang w:eastAsia="ja-JP"/>
        </w:rPr>
        <w:t>suaugusiesiems ir vaikams</w:t>
      </w:r>
      <w:r w:rsidRPr="00D600DA">
        <w:rPr>
          <w:rFonts w:ascii="Times New Roman" w:hAnsi="Times New Roman"/>
          <w:lang w:eastAsia="ja-JP"/>
        </w:rPr>
        <w:t>, kurie nėra apsikrėtę CMV, jeigu jiems persodinamas CMV apsikrėtusio asmens organas.</w:t>
      </w:r>
    </w:p>
    <w:p w14:paraId="06BEA697" w14:textId="77777777" w:rsidR="00E850F6" w:rsidRPr="00D600DA" w:rsidRDefault="00E850F6" w:rsidP="00E850F6">
      <w:pPr>
        <w:spacing w:after="0" w:line="240" w:lineRule="auto"/>
        <w:rPr>
          <w:rFonts w:ascii="Times New Roman" w:hAnsi="Times New Roman"/>
          <w:lang w:eastAsia="ja-JP"/>
        </w:rPr>
      </w:pPr>
    </w:p>
    <w:p w14:paraId="5B099751" w14:textId="77777777" w:rsidR="00E850F6" w:rsidRPr="00D600DA" w:rsidRDefault="00E850F6" w:rsidP="00E850F6">
      <w:pPr>
        <w:spacing w:after="0" w:line="240" w:lineRule="auto"/>
        <w:rPr>
          <w:rFonts w:ascii="Times New Roman" w:hAnsi="Times New Roman"/>
          <w:lang w:eastAsia="ja-JP"/>
        </w:rPr>
      </w:pPr>
    </w:p>
    <w:p w14:paraId="19FEDB90" w14:textId="77777777" w:rsidR="00E850F6" w:rsidRPr="00D600DA" w:rsidRDefault="00E850F6" w:rsidP="00E850F6">
      <w:pPr>
        <w:numPr>
          <w:ilvl w:val="0"/>
          <w:numId w:val="6"/>
        </w:numPr>
        <w:spacing w:after="0" w:line="240" w:lineRule="auto"/>
        <w:ind w:right="-2"/>
        <w:rPr>
          <w:rFonts w:ascii="Times New Roman" w:hAnsi="Times New Roman"/>
          <w:lang w:eastAsia="ja-JP"/>
        </w:rPr>
      </w:pPr>
      <w:r w:rsidRPr="00D600DA">
        <w:rPr>
          <w:rFonts w:ascii="Times New Roman" w:hAnsi="Times New Roman"/>
          <w:b/>
          <w:lang w:eastAsia="ja-JP"/>
        </w:rPr>
        <w:t>Kas žinotina prieš vartojant Valcyte</w:t>
      </w:r>
    </w:p>
    <w:p w14:paraId="6139F4AF" w14:textId="77777777" w:rsidR="00E850F6" w:rsidRPr="00D600DA" w:rsidRDefault="00E850F6" w:rsidP="00E850F6">
      <w:pPr>
        <w:spacing w:after="0" w:line="240" w:lineRule="auto"/>
        <w:ind w:right="-2"/>
        <w:rPr>
          <w:rFonts w:ascii="Times New Roman" w:hAnsi="Times New Roman"/>
          <w:lang w:eastAsia="ja-JP"/>
        </w:rPr>
      </w:pPr>
    </w:p>
    <w:p w14:paraId="076CC175" w14:textId="22F45FE8" w:rsidR="00E850F6" w:rsidRPr="00D600DA" w:rsidRDefault="00E850F6" w:rsidP="00E850F6">
      <w:pPr>
        <w:spacing w:after="0" w:line="240" w:lineRule="auto"/>
        <w:ind w:left="567" w:hanging="567"/>
        <w:rPr>
          <w:rFonts w:ascii="Times New Roman" w:hAnsi="Times New Roman"/>
          <w:lang w:eastAsia="ja-JP"/>
        </w:rPr>
      </w:pPr>
      <w:r w:rsidRPr="00D600DA">
        <w:rPr>
          <w:rFonts w:ascii="Times New Roman" w:hAnsi="Times New Roman"/>
          <w:b/>
          <w:lang w:eastAsia="ja-JP"/>
        </w:rPr>
        <w:t>Valcyte</w:t>
      </w:r>
      <w:r w:rsidRPr="00D600DA">
        <w:rPr>
          <w:rFonts w:ascii="Times New Roman" w:hAnsi="Times New Roman"/>
          <w:lang w:eastAsia="ja-JP"/>
        </w:rPr>
        <w:t xml:space="preserve"> </w:t>
      </w:r>
      <w:r w:rsidRPr="00D600DA">
        <w:rPr>
          <w:rFonts w:ascii="Times New Roman" w:hAnsi="Times New Roman"/>
          <w:b/>
          <w:lang w:eastAsia="ja-JP"/>
        </w:rPr>
        <w:t>vartoti negalima</w:t>
      </w:r>
    </w:p>
    <w:p w14:paraId="72465DD9" w14:textId="77777777" w:rsidR="00E850F6" w:rsidRPr="00D600DA" w:rsidRDefault="00E850F6" w:rsidP="00E850F6">
      <w:pPr>
        <w:numPr>
          <w:ilvl w:val="0"/>
          <w:numId w:val="32"/>
        </w:numPr>
        <w:spacing w:after="0" w:line="240" w:lineRule="auto"/>
        <w:ind w:left="567" w:hanging="567"/>
        <w:rPr>
          <w:rFonts w:ascii="Times New Roman" w:hAnsi="Times New Roman"/>
          <w:lang w:eastAsia="ja-JP"/>
        </w:rPr>
      </w:pPr>
      <w:r w:rsidRPr="00D600DA">
        <w:rPr>
          <w:rFonts w:ascii="Times New Roman" w:hAnsi="Times New Roman"/>
          <w:lang w:eastAsia="ja-JP"/>
        </w:rPr>
        <w:t>jeigu yra alergija valganciklovirui</w:t>
      </w:r>
      <w:r>
        <w:rPr>
          <w:rFonts w:ascii="Times New Roman" w:hAnsi="Times New Roman"/>
          <w:lang w:eastAsia="ja-JP"/>
        </w:rPr>
        <w:t>, ganciklovirui</w:t>
      </w:r>
      <w:r w:rsidRPr="00D600DA">
        <w:rPr>
          <w:rFonts w:ascii="Times New Roman" w:hAnsi="Times New Roman"/>
          <w:lang w:eastAsia="ja-JP"/>
        </w:rPr>
        <w:t xml:space="preserve"> arba bet kuriai pagalbinei šio vaisto medžiagai (jos išvardytos 6 skyriuje);</w:t>
      </w:r>
    </w:p>
    <w:p w14:paraId="108B3E74" w14:textId="77777777" w:rsidR="00E850F6" w:rsidRPr="00D600DA" w:rsidRDefault="00E850F6" w:rsidP="00E850F6">
      <w:pPr>
        <w:numPr>
          <w:ilvl w:val="0"/>
          <w:numId w:val="32"/>
        </w:numPr>
        <w:spacing w:after="0" w:line="240" w:lineRule="auto"/>
        <w:ind w:left="567" w:hanging="567"/>
        <w:rPr>
          <w:rFonts w:ascii="Times New Roman" w:hAnsi="Times New Roman"/>
          <w:lang w:eastAsia="ja-JP"/>
        </w:rPr>
      </w:pPr>
      <w:r w:rsidRPr="00D600DA">
        <w:rPr>
          <w:rFonts w:ascii="Times New Roman" w:hAnsi="Times New Roman"/>
          <w:lang w:eastAsia="ja-JP"/>
        </w:rPr>
        <w:t>jeigu žindote kūdikį.</w:t>
      </w:r>
    </w:p>
    <w:p w14:paraId="48E79BEA" w14:textId="77777777" w:rsidR="00E850F6" w:rsidRPr="00D600DA" w:rsidRDefault="00E850F6" w:rsidP="00E850F6">
      <w:pPr>
        <w:spacing w:after="0" w:line="240" w:lineRule="auto"/>
        <w:ind w:left="567" w:hanging="567"/>
        <w:rPr>
          <w:rFonts w:ascii="Times New Roman" w:hAnsi="Times New Roman"/>
          <w:lang w:eastAsia="ja-JP"/>
        </w:rPr>
      </w:pPr>
    </w:p>
    <w:p w14:paraId="78554D8D" w14:textId="77777777" w:rsidR="00E850F6" w:rsidRPr="00D600DA" w:rsidRDefault="00E850F6" w:rsidP="00E850F6">
      <w:pPr>
        <w:numPr>
          <w:ilvl w:val="12"/>
          <w:numId w:val="0"/>
        </w:numPr>
        <w:spacing w:after="0" w:line="240" w:lineRule="auto"/>
        <w:ind w:right="-2"/>
        <w:rPr>
          <w:rFonts w:ascii="Times New Roman" w:hAnsi="Times New Roman"/>
          <w:b/>
          <w:lang w:eastAsia="ja-JP"/>
        </w:rPr>
      </w:pPr>
      <w:r w:rsidRPr="00D600DA">
        <w:rPr>
          <w:rFonts w:ascii="Times New Roman" w:hAnsi="Times New Roman"/>
          <w:b/>
          <w:lang w:eastAsia="ja-JP"/>
        </w:rPr>
        <w:t>Įspėjimai ir atsargumo priemonės</w:t>
      </w:r>
    </w:p>
    <w:p w14:paraId="7B8D097D" w14:textId="77777777" w:rsidR="00E850F6" w:rsidRPr="00D600DA" w:rsidRDefault="00E850F6" w:rsidP="00E850F6">
      <w:pPr>
        <w:numPr>
          <w:ilvl w:val="12"/>
          <w:numId w:val="0"/>
        </w:numPr>
        <w:spacing w:after="0" w:line="240" w:lineRule="auto"/>
        <w:ind w:right="-2"/>
        <w:rPr>
          <w:rFonts w:ascii="Times New Roman" w:hAnsi="Times New Roman"/>
          <w:b/>
          <w:lang w:eastAsia="ja-JP"/>
        </w:rPr>
      </w:pPr>
    </w:p>
    <w:p w14:paraId="6CB1F692" w14:textId="77777777" w:rsidR="00E850F6" w:rsidRPr="00D600DA" w:rsidRDefault="00E850F6" w:rsidP="00E850F6">
      <w:pPr>
        <w:numPr>
          <w:ilvl w:val="12"/>
          <w:numId w:val="0"/>
        </w:numPr>
        <w:spacing w:after="0" w:line="240" w:lineRule="auto"/>
        <w:ind w:right="-2"/>
        <w:rPr>
          <w:rFonts w:ascii="Times New Roman" w:hAnsi="Times New Roman"/>
          <w:lang w:eastAsia="ja-JP"/>
        </w:rPr>
      </w:pPr>
      <w:r w:rsidRPr="00D600DA">
        <w:rPr>
          <w:rFonts w:ascii="Times New Roman" w:hAnsi="Times New Roman"/>
          <w:lang w:eastAsia="ja-JP"/>
        </w:rPr>
        <w:t>Pasitarkite su gydytoju arba vaistininku, prieš pradėdami vartoti Valcyte.</w:t>
      </w:r>
    </w:p>
    <w:p w14:paraId="024D2A1E" w14:textId="77777777" w:rsidR="00E850F6" w:rsidRPr="00F36DBF" w:rsidRDefault="00E850F6" w:rsidP="00E850F6">
      <w:pPr>
        <w:numPr>
          <w:ilvl w:val="0"/>
          <w:numId w:val="34"/>
        </w:numPr>
        <w:spacing w:after="0" w:line="240" w:lineRule="auto"/>
        <w:ind w:left="567" w:hanging="567"/>
        <w:rPr>
          <w:rFonts w:ascii="Times New Roman" w:eastAsia="Times New Roman" w:hAnsi="Times New Roman"/>
          <w:lang w:eastAsia="ja-JP"/>
        </w:rPr>
      </w:pPr>
      <w:r w:rsidRPr="00F36DBF">
        <w:rPr>
          <w:rFonts w:ascii="Times New Roman" w:eastAsia="Times New Roman" w:hAnsi="Times New Roman"/>
          <w:lang w:eastAsia="ja-JP"/>
        </w:rPr>
        <w:t>jeigu yra alergija aciklovirui</w:t>
      </w:r>
      <w:r>
        <w:rPr>
          <w:rFonts w:ascii="Times New Roman" w:eastAsia="Times New Roman" w:hAnsi="Times New Roman"/>
          <w:lang w:eastAsia="ja-JP"/>
        </w:rPr>
        <w:t>,</w:t>
      </w:r>
      <w:r w:rsidRPr="00F36DBF">
        <w:rPr>
          <w:rFonts w:ascii="Times New Roman" w:eastAsia="Times New Roman" w:hAnsi="Times New Roman"/>
          <w:lang w:eastAsia="ja-JP"/>
        </w:rPr>
        <w:t xml:space="preserve"> </w:t>
      </w:r>
      <w:r>
        <w:rPr>
          <w:rFonts w:ascii="Times New Roman" w:eastAsia="Times New Roman" w:hAnsi="Times New Roman"/>
          <w:lang w:eastAsia="ja-JP"/>
        </w:rPr>
        <w:t>penciklovirui,</w:t>
      </w:r>
      <w:r w:rsidRPr="00F36DBF">
        <w:rPr>
          <w:rFonts w:ascii="Times New Roman" w:eastAsia="Times New Roman" w:hAnsi="Times New Roman"/>
          <w:lang w:eastAsia="ja-JP"/>
        </w:rPr>
        <w:t xml:space="preserve"> valaciklovirui</w:t>
      </w:r>
      <w:r>
        <w:rPr>
          <w:rFonts w:ascii="Times New Roman" w:eastAsia="Times New Roman" w:hAnsi="Times New Roman"/>
          <w:lang w:eastAsia="ja-JP"/>
        </w:rPr>
        <w:t xml:space="preserve"> ar famciklovirui. Šiais vaistais</w:t>
      </w:r>
      <w:r w:rsidRPr="00F36DBF">
        <w:rPr>
          <w:rFonts w:ascii="Times New Roman" w:eastAsia="Times New Roman" w:hAnsi="Times New Roman"/>
          <w:lang w:eastAsia="ja-JP"/>
        </w:rPr>
        <w:t xml:space="preserve"> gydomos kitos virusinės infekcijos</w:t>
      </w:r>
      <w:r>
        <w:rPr>
          <w:rFonts w:ascii="Times New Roman" w:eastAsia="Times New Roman" w:hAnsi="Times New Roman"/>
          <w:lang w:eastAsia="ja-JP"/>
        </w:rPr>
        <w:t>.</w:t>
      </w:r>
    </w:p>
    <w:p w14:paraId="655563BD" w14:textId="77777777" w:rsidR="00E850F6" w:rsidRPr="00D600DA" w:rsidRDefault="00E850F6" w:rsidP="00E850F6">
      <w:pPr>
        <w:numPr>
          <w:ilvl w:val="12"/>
          <w:numId w:val="0"/>
        </w:numPr>
        <w:spacing w:after="0" w:line="240" w:lineRule="auto"/>
        <w:ind w:right="-2"/>
        <w:rPr>
          <w:rFonts w:ascii="Times New Roman" w:hAnsi="Times New Roman"/>
          <w:lang w:eastAsia="ja-JP"/>
        </w:rPr>
      </w:pPr>
    </w:p>
    <w:p w14:paraId="17E03543" w14:textId="77777777" w:rsidR="00E850F6" w:rsidRPr="00D600DA" w:rsidRDefault="00E850F6" w:rsidP="00E850F6">
      <w:pPr>
        <w:numPr>
          <w:ilvl w:val="12"/>
          <w:numId w:val="0"/>
        </w:numPr>
        <w:spacing w:after="0" w:line="240" w:lineRule="auto"/>
        <w:ind w:right="-2"/>
        <w:rPr>
          <w:rFonts w:ascii="Times New Roman" w:hAnsi="Times New Roman"/>
          <w:b/>
          <w:lang w:eastAsia="ja-JP"/>
        </w:rPr>
      </w:pPr>
      <w:r w:rsidRPr="00D600DA">
        <w:rPr>
          <w:rFonts w:ascii="Times New Roman" w:hAnsi="Times New Roman"/>
          <w:b/>
          <w:lang w:eastAsia="ja-JP"/>
        </w:rPr>
        <w:t>Vartojant Valcyte, specialių atsargumo priemonių reikia:</w:t>
      </w:r>
    </w:p>
    <w:p w14:paraId="0F680F87" w14:textId="77777777" w:rsidR="00E850F6" w:rsidRPr="00D600DA" w:rsidRDefault="00E850F6" w:rsidP="00E850F6">
      <w:pPr>
        <w:numPr>
          <w:ilvl w:val="0"/>
          <w:numId w:val="7"/>
        </w:numPr>
        <w:spacing w:after="0" w:line="240" w:lineRule="auto"/>
        <w:ind w:left="567" w:hanging="567"/>
        <w:rPr>
          <w:rFonts w:ascii="Times New Roman" w:hAnsi="Times New Roman"/>
          <w:lang w:eastAsia="ja-JP"/>
        </w:rPr>
      </w:pPr>
      <w:r w:rsidRPr="00D600DA">
        <w:rPr>
          <w:rFonts w:ascii="Times New Roman" w:hAnsi="Times New Roman"/>
          <w:lang w:eastAsia="ja-JP"/>
        </w:rPr>
        <w:t>jeigu yra mažas baltųjų kraujo ląstelių (leukocitų), raudonųjų kraujo ląstelių (eritrocitų) arba trombocitų (kraujo plokštelių, padedančių krešėti kraujui) skaičius. Prieš pradedant vartoti Valcyte, gydytojas ištirs Jūsų kraują ir dar daugiau tyrimų bus daroma, kol vartosite šį vaistą;</w:t>
      </w:r>
    </w:p>
    <w:p w14:paraId="26286CC3" w14:textId="77777777" w:rsidR="00E850F6" w:rsidRPr="00D600DA" w:rsidRDefault="00E850F6" w:rsidP="00E850F6">
      <w:pPr>
        <w:numPr>
          <w:ilvl w:val="0"/>
          <w:numId w:val="7"/>
        </w:numPr>
        <w:spacing w:after="0" w:line="240" w:lineRule="auto"/>
        <w:ind w:left="567" w:hanging="567"/>
        <w:rPr>
          <w:rFonts w:ascii="Times New Roman" w:hAnsi="Times New Roman"/>
          <w:lang w:eastAsia="ja-JP"/>
        </w:rPr>
      </w:pPr>
      <w:r w:rsidRPr="00D600DA">
        <w:rPr>
          <w:rFonts w:ascii="Times New Roman" w:hAnsi="Times New Roman"/>
          <w:lang w:eastAsia="ja-JP"/>
        </w:rPr>
        <w:t>jeigu Jums atliekama radioterapija;</w:t>
      </w:r>
    </w:p>
    <w:p w14:paraId="77E12996" w14:textId="77777777" w:rsidR="00E850F6" w:rsidRPr="00D600DA" w:rsidRDefault="00E850F6" w:rsidP="00E850F6">
      <w:pPr>
        <w:numPr>
          <w:ilvl w:val="0"/>
          <w:numId w:val="7"/>
        </w:numPr>
        <w:spacing w:after="0" w:line="240" w:lineRule="auto"/>
        <w:ind w:left="567" w:hanging="567"/>
        <w:rPr>
          <w:rFonts w:ascii="Times New Roman" w:hAnsi="Times New Roman"/>
          <w:lang w:eastAsia="ja-JP"/>
        </w:rPr>
      </w:pPr>
      <w:r w:rsidRPr="00D600DA">
        <w:rPr>
          <w:rFonts w:ascii="Times New Roman" w:hAnsi="Times New Roman"/>
          <w:lang w:eastAsia="ja-JP"/>
        </w:rPr>
        <w:lastRenderedPageBreak/>
        <w:t>jeigu sergate inkstų liga. Gydytojui gali tekti paskirti Jums mažesnę dozę, o gydant gali reikėti dažnai tirti Jūsų kraują.</w:t>
      </w:r>
    </w:p>
    <w:p w14:paraId="14055AE7" w14:textId="77777777" w:rsidR="00E850F6" w:rsidRPr="00D600DA" w:rsidRDefault="00E850F6" w:rsidP="00E850F6">
      <w:pPr>
        <w:spacing w:after="0" w:line="240" w:lineRule="auto"/>
        <w:rPr>
          <w:rFonts w:ascii="Times New Roman" w:hAnsi="Times New Roman"/>
          <w:lang w:eastAsia="ja-JP"/>
        </w:rPr>
      </w:pPr>
    </w:p>
    <w:p w14:paraId="2C7D09B0" w14:textId="77777777" w:rsidR="00E850F6" w:rsidRPr="00D600DA" w:rsidRDefault="00E850F6" w:rsidP="00E850F6">
      <w:pPr>
        <w:spacing w:after="0" w:line="240" w:lineRule="auto"/>
        <w:ind w:right="-2"/>
        <w:rPr>
          <w:rFonts w:ascii="Times New Roman" w:hAnsi="Times New Roman"/>
          <w:lang w:eastAsia="ja-JP"/>
        </w:rPr>
      </w:pPr>
    </w:p>
    <w:p w14:paraId="53E98080" w14:textId="77777777" w:rsidR="00E850F6" w:rsidRPr="00D600DA" w:rsidRDefault="00E850F6" w:rsidP="00E850F6">
      <w:pPr>
        <w:spacing w:after="0" w:line="240" w:lineRule="auto"/>
        <w:jc w:val="both"/>
        <w:rPr>
          <w:rFonts w:ascii="Times New Roman" w:hAnsi="Times New Roman"/>
          <w:lang w:eastAsia="ja-JP"/>
        </w:rPr>
      </w:pPr>
      <w:r w:rsidRPr="00D600DA">
        <w:rPr>
          <w:rFonts w:ascii="Times New Roman" w:hAnsi="Times New Roman"/>
          <w:b/>
          <w:lang w:eastAsia="ja-JP"/>
        </w:rPr>
        <w:t>Kiti vaistai ir Valcyte</w:t>
      </w:r>
    </w:p>
    <w:p w14:paraId="3FF386FE" w14:textId="77777777" w:rsidR="00E850F6" w:rsidRPr="00D600DA" w:rsidRDefault="00E850F6" w:rsidP="00E850F6">
      <w:pPr>
        <w:spacing w:after="0" w:line="240" w:lineRule="auto"/>
        <w:ind w:right="-2"/>
        <w:rPr>
          <w:rFonts w:ascii="Times New Roman" w:hAnsi="Times New Roman"/>
          <w:lang w:eastAsia="ja-JP"/>
        </w:rPr>
      </w:pPr>
      <w:r w:rsidRPr="00D600DA">
        <w:rPr>
          <w:rFonts w:ascii="Times New Roman" w:hAnsi="Times New Roman"/>
          <w:lang w:eastAsia="ja-JP"/>
        </w:rPr>
        <w:t>Jeigu vartojate ar neseniai vartojote kitų vaistų</w:t>
      </w:r>
      <w:r w:rsidRPr="00D600DA">
        <w:rPr>
          <w:rFonts w:ascii="Times New Roman" w:hAnsi="Times New Roman"/>
        </w:rPr>
        <w:t xml:space="preserve"> </w:t>
      </w:r>
      <w:r w:rsidRPr="00D600DA">
        <w:rPr>
          <w:rFonts w:ascii="Times New Roman" w:hAnsi="Times New Roman"/>
          <w:lang w:eastAsia="ja-JP"/>
        </w:rPr>
        <w:t>arba dėl to nesate tikri, apie tai pasakykite gydytojui arba vaistininkui.</w:t>
      </w:r>
    </w:p>
    <w:p w14:paraId="7C8E859A" w14:textId="77777777" w:rsidR="00E850F6" w:rsidRPr="00D600DA" w:rsidRDefault="00E850F6" w:rsidP="00E850F6">
      <w:pPr>
        <w:spacing w:after="0" w:line="240" w:lineRule="auto"/>
        <w:ind w:right="-2"/>
        <w:rPr>
          <w:rFonts w:ascii="Times New Roman" w:hAnsi="Times New Roman"/>
          <w:lang w:eastAsia="ja-JP"/>
        </w:rPr>
      </w:pPr>
    </w:p>
    <w:p w14:paraId="02A86228" w14:textId="77777777" w:rsidR="00E850F6" w:rsidRPr="00D600DA" w:rsidRDefault="00E850F6" w:rsidP="00E850F6">
      <w:pPr>
        <w:spacing w:after="0" w:line="240" w:lineRule="auto"/>
        <w:ind w:right="-2"/>
        <w:rPr>
          <w:rFonts w:ascii="Times New Roman" w:hAnsi="Times New Roman"/>
          <w:lang w:eastAsia="ja-JP"/>
        </w:rPr>
      </w:pPr>
      <w:r w:rsidRPr="00D600DA">
        <w:rPr>
          <w:rFonts w:ascii="Times New Roman" w:hAnsi="Times New Roman"/>
          <w:lang w:eastAsia="ja-JP"/>
        </w:rPr>
        <w:t>Jeigu kartu su Valcyte vartojate kitus vaistus, toks derinys gali paveikti į kraujo apytaką patenkančio vaisto kiekį arba gali sukelti kenksmingą poveikį. Pasakykite gydytojui, jeigu jau vartojate šiuos vaistus:</w:t>
      </w:r>
    </w:p>
    <w:p w14:paraId="10CA39BA" w14:textId="77777777" w:rsidR="00E850F6" w:rsidRPr="00F36DBF" w:rsidRDefault="00E850F6" w:rsidP="00E850F6">
      <w:pPr>
        <w:numPr>
          <w:ilvl w:val="0"/>
          <w:numId w:val="35"/>
        </w:numPr>
        <w:spacing w:after="0" w:line="240" w:lineRule="auto"/>
        <w:ind w:left="567" w:right="-2" w:hanging="425"/>
        <w:rPr>
          <w:rFonts w:ascii="Times New Roman" w:eastAsia="Times New Roman" w:hAnsi="Times New Roman"/>
          <w:lang w:eastAsia="ja-JP"/>
        </w:rPr>
      </w:pPr>
      <w:r w:rsidRPr="00F36DBF">
        <w:rPr>
          <w:rFonts w:ascii="Times New Roman" w:eastAsia="Times New Roman" w:hAnsi="Times New Roman"/>
          <w:lang w:eastAsia="ja-JP"/>
        </w:rPr>
        <w:t>imipenemą-cilastatiną (antibiotiką). Vartojant jį kartu su Valcyte, gali kilti traukuliai;</w:t>
      </w:r>
    </w:p>
    <w:p w14:paraId="391559F5" w14:textId="77777777" w:rsidR="00E850F6" w:rsidRPr="00F36DBF" w:rsidRDefault="00E850F6" w:rsidP="00E850F6">
      <w:pPr>
        <w:numPr>
          <w:ilvl w:val="0"/>
          <w:numId w:val="35"/>
        </w:numPr>
        <w:spacing w:after="0" w:line="240" w:lineRule="auto"/>
        <w:ind w:left="567" w:hanging="425"/>
        <w:rPr>
          <w:rFonts w:ascii="Times New Roman" w:eastAsia="Times New Roman" w:hAnsi="Times New Roman"/>
          <w:lang w:eastAsia="ja-JP"/>
        </w:rPr>
      </w:pPr>
      <w:r w:rsidRPr="00F36DBF">
        <w:rPr>
          <w:rFonts w:ascii="Times New Roman" w:eastAsia="Times New Roman" w:hAnsi="Times New Roman"/>
          <w:lang w:eastAsia="ja-JP"/>
        </w:rPr>
        <w:t xml:space="preserve">zidovudiną, didanoziną, lamivudiną, </w:t>
      </w:r>
      <w:r>
        <w:rPr>
          <w:rFonts w:ascii="Times New Roman" w:eastAsia="Times New Roman" w:hAnsi="Times New Roman"/>
          <w:lang w:eastAsia="ja-JP"/>
        </w:rPr>
        <w:t xml:space="preserve">stavudiną, </w:t>
      </w:r>
      <w:r w:rsidRPr="00F36DBF">
        <w:rPr>
          <w:rFonts w:ascii="Times New Roman" w:eastAsia="Times New Roman" w:hAnsi="Times New Roman"/>
          <w:lang w:eastAsia="ja-JP"/>
        </w:rPr>
        <w:t>tenofovirą, abakavirą, emtricitabiną ar panašius vaistus, vartojamus gydyti AIDS;</w:t>
      </w:r>
    </w:p>
    <w:p w14:paraId="0328DE21" w14:textId="77777777" w:rsidR="00E850F6" w:rsidRPr="00F36DBF" w:rsidRDefault="00E850F6" w:rsidP="00E850F6">
      <w:pPr>
        <w:numPr>
          <w:ilvl w:val="0"/>
          <w:numId w:val="35"/>
        </w:numPr>
        <w:spacing w:after="0" w:line="240" w:lineRule="auto"/>
        <w:ind w:left="567" w:hanging="425"/>
        <w:rPr>
          <w:rFonts w:ascii="Times New Roman" w:eastAsia="Times New Roman" w:hAnsi="Times New Roman"/>
          <w:lang w:eastAsia="ja-JP"/>
        </w:rPr>
      </w:pPr>
      <w:r w:rsidRPr="00F36DBF">
        <w:rPr>
          <w:rFonts w:ascii="Times New Roman" w:eastAsia="Times New Roman" w:hAnsi="Times New Roman"/>
          <w:lang w:eastAsia="ja-JP"/>
        </w:rPr>
        <w:t xml:space="preserve">adefovirą </w:t>
      </w:r>
      <w:r>
        <w:rPr>
          <w:rFonts w:ascii="Times New Roman" w:eastAsia="Times New Roman" w:hAnsi="Times New Roman"/>
          <w:lang w:eastAsia="ja-JP"/>
        </w:rPr>
        <w:t>arba bet kurį kitą vaist</w:t>
      </w:r>
      <w:r w:rsidRPr="00F36DBF">
        <w:rPr>
          <w:rFonts w:ascii="Times New Roman" w:eastAsia="Times New Roman" w:hAnsi="Times New Roman"/>
          <w:lang w:eastAsia="ja-JP"/>
        </w:rPr>
        <w:t>ą, vartojam</w:t>
      </w:r>
      <w:r>
        <w:rPr>
          <w:rFonts w:ascii="Times New Roman" w:eastAsia="Times New Roman" w:hAnsi="Times New Roman"/>
          <w:lang w:eastAsia="ja-JP"/>
        </w:rPr>
        <w:t>ą</w:t>
      </w:r>
      <w:r w:rsidRPr="00F36DBF">
        <w:rPr>
          <w:rFonts w:ascii="Times New Roman" w:eastAsia="Times New Roman" w:hAnsi="Times New Roman"/>
          <w:lang w:eastAsia="ja-JP"/>
        </w:rPr>
        <w:t xml:space="preserve"> hepatit</w:t>
      </w:r>
      <w:r>
        <w:rPr>
          <w:rFonts w:ascii="Times New Roman" w:eastAsia="Times New Roman" w:hAnsi="Times New Roman"/>
          <w:lang w:eastAsia="ja-JP"/>
        </w:rPr>
        <w:t>ui</w:t>
      </w:r>
      <w:r w:rsidRPr="00F36DBF">
        <w:rPr>
          <w:rFonts w:ascii="Times New Roman" w:eastAsia="Times New Roman" w:hAnsi="Times New Roman"/>
          <w:lang w:eastAsia="ja-JP"/>
        </w:rPr>
        <w:t xml:space="preserve"> B </w:t>
      </w:r>
      <w:r>
        <w:rPr>
          <w:rFonts w:ascii="Times New Roman" w:eastAsia="Times New Roman" w:hAnsi="Times New Roman"/>
          <w:lang w:eastAsia="ja-JP"/>
        </w:rPr>
        <w:t>gydyti</w:t>
      </w:r>
      <w:r w:rsidRPr="00F36DBF">
        <w:rPr>
          <w:rFonts w:ascii="Times New Roman" w:eastAsia="Times New Roman" w:hAnsi="Times New Roman"/>
          <w:lang w:eastAsia="ja-JP"/>
        </w:rPr>
        <w:t>;</w:t>
      </w:r>
    </w:p>
    <w:p w14:paraId="51DE4E76" w14:textId="77777777" w:rsidR="00E850F6" w:rsidRPr="00F36DBF" w:rsidRDefault="00E850F6" w:rsidP="00E850F6">
      <w:pPr>
        <w:numPr>
          <w:ilvl w:val="0"/>
          <w:numId w:val="35"/>
        </w:numPr>
        <w:spacing w:after="0" w:line="240" w:lineRule="auto"/>
        <w:ind w:left="567" w:hanging="425"/>
        <w:rPr>
          <w:rFonts w:ascii="Times New Roman" w:eastAsia="Times New Roman" w:hAnsi="Times New Roman"/>
          <w:lang w:eastAsia="ja-JP"/>
        </w:rPr>
      </w:pPr>
      <w:r w:rsidRPr="00F36DBF">
        <w:rPr>
          <w:rFonts w:ascii="Times New Roman" w:eastAsia="Times New Roman" w:hAnsi="Times New Roman"/>
          <w:lang w:eastAsia="ja-JP"/>
        </w:rPr>
        <w:t>probenecidą (vaistą podagrai gydyti). Vartojant probenecidą ir Valcyte tuo pačiu metu, gali padidėti gancikloviro koncentracija kraujyje;</w:t>
      </w:r>
    </w:p>
    <w:p w14:paraId="5874E0BB" w14:textId="77777777" w:rsidR="00E850F6" w:rsidRPr="00F36DBF" w:rsidRDefault="00E850F6" w:rsidP="00E850F6">
      <w:pPr>
        <w:numPr>
          <w:ilvl w:val="0"/>
          <w:numId w:val="35"/>
        </w:numPr>
        <w:spacing w:after="0" w:line="240" w:lineRule="auto"/>
        <w:ind w:left="567" w:right="-2" w:hanging="425"/>
        <w:rPr>
          <w:rFonts w:ascii="Times New Roman" w:eastAsia="Times New Roman" w:hAnsi="Times New Roman"/>
          <w:lang w:eastAsia="ja-JP"/>
        </w:rPr>
      </w:pPr>
      <w:r w:rsidRPr="00F36DBF">
        <w:rPr>
          <w:rFonts w:ascii="Times New Roman" w:eastAsia="Times New Roman" w:hAnsi="Times New Roman"/>
          <w:lang w:eastAsia="ja-JP"/>
        </w:rPr>
        <w:t>mikofenolato mofetilą</w:t>
      </w:r>
      <w:r>
        <w:rPr>
          <w:rFonts w:ascii="Times New Roman" w:eastAsia="Times New Roman" w:hAnsi="Times New Roman"/>
          <w:lang w:eastAsia="ja-JP"/>
        </w:rPr>
        <w:t>, ciklosporiną ar takrolimuzą</w:t>
      </w:r>
      <w:r w:rsidRPr="00F36DBF">
        <w:rPr>
          <w:rFonts w:ascii="Times New Roman" w:eastAsia="Times New Roman" w:hAnsi="Times New Roman"/>
          <w:lang w:eastAsia="ja-JP"/>
        </w:rPr>
        <w:t xml:space="preserve"> (vartojamą po organų persodinimo);</w:t>
      </w:r>
    </w:p>
    <w:p w14:paraId="16DE4AF1" w14:textId="77777777" w:rsidR="00E850F6" w:rsidRPr="00F36DBF" w:rsidRDefault="00E850F6" w:rsidP="00E850F6">
      <w:pPr>
        <w:numPr>
          <w:ilvl w:val="0"/>
          <w:numId w:val="35"/>
        </w:numPr>
        <w:spacing w:after="0" w:line="240" w:lineRule="auto"/>
        <w:ind w:left="567" w:right="-2" w:hanging="425"/>
        <w:rPr>
          <w:rFonts w:ascii="Times New Roman" w:eastAsia="Times New Roman" w:hAnsi="Times New Roman"/>
          <w:lang w:eastAsia="ja-JP"/>
        </w:rPr>
      </w:pPr>
      <w:r w:rsidRPr="00F36DBF">
        <w:rPr>
          <w:rFonts w:ascii="Times New Roman" w:eastAsia="Times New Roman" w:hAnsi="Times New Roman"/>
          <w:lang w:eastAsia="en-US"/>
        </w:rPr>
        <w:t xml:space="preserve">vinkristiną, vinblastiną, </w:t>
      </w:r>
      <w:r>
        <w:rPr>
          <w:rFonts w:ascii="Times New Roman" w:eastAsia="Times New Roman" w:hAnsi="Times New Roman"/>
          <w:lang w:eastAsia="en-US"/>
        </w:rPr>
        <w:t>doksorub</w:t>
      </w:r>
      <w:r w:rsidRPr="00F36DBF">
        <w:rPr>
          <w:rFonts w:ascii="Times New Roman" w:eastAsia="Times New Roman" w:hAnsi="Times New Roman"/>
          <w:lang w:eastAsia="en-US"/>
        </w:rPr>
        <w:t xml:space="preserve">iciną, hidroksiurea ar panašius </w:t>
      </w:r>
      <w:r w:rsidRPr="00F36DBF">
        <w:rPr>
          <w:rFonts w:ascii="Times New Roman" w:eastAsia="Times New Roman" w:hAnsi="Times New Roman"/>
          <w:lang w:eastAsia="ja-JP"/>
        </w:rPr>
        <w:t>vaistus vėžiui gydyti;</w:t>
      </w:r>
    </w:p>
    <w:p w14:paraId="68EDAD54" w14:textId="77777777" w:rsidR="00E850F6" w:rsidRPr="00F36DBF" w:rsidRDefault="00E850F6" w:rsidP="00E850F6">
      <w:pPr>
        <w:numPr>
          <w:ilvl w:val="0"/>
          <w:numId w:val="35"/>
        </w:numPr>
        <w:spacing w:after="0" w:line="240" w:lineRule="auto"/>
        <w:ind w:left="567" w:right="-2" w:hanging="425"/>
        <w:rPr>
          <w:rFonts w:ascii="Times New Roman" w:eastAsia="Times New Roman" w:hAnsi="Times New Roman"/>
          <w:lang w:eastAsia="ja-JP"/>
        </w:rPr>
      </w:pPr>
      <w:r w:rsidRPr="00F36DBF">
        <w:rPr>
          <w:rFonts w:ascii="Times New Roman" w:eastAsia="Times New Roman" w:hAnsi="Times New Roman"/>
          <w:lang w:eastAsia="ja-JP"/>
        </w:rPr>
        <w:t xml:space="preserve">trimetoprimą, </w:t>
      </w:r>
      <w:r w:rsidRPr="00F36DBF">
        <w:rPr>
          <w:rFonts w:ascii="Times New Roman" w:eastAsia="Times New Roman" w:hAnsi="Times New Roman"/>
          <w:lang w:eastAsia="en-US"/>
        </w:rPr>
        <w:t xml:space="preserve">trimetroprimo ir </w:t>
      </w:r>
      <w:r w:rsidRPr="00F36DBF">
        <w:rPr>
          <w:rFonts w:ascii="Times New Roman" w:eastAsia="Times New Roman" w:hAnsi="Times New Roman"/>
          <w:iCs/>
          <w:lang w:eastAsia="en-US"/>
        </w:rPr>
        <w:t xml:space="preserve">sulfonamidų </w:t>
      </w:r>
      <w:r w:rsidRPr="00F36DBF">
        <w:rPr>
          <w:rFonts w:ascii="Times New Roman" w:eastAsia="Times New Roman" w:hAnsi="Times New Roman"/>
          <w:lang w:eastAsia="en-US"/>
        </w:rPr>
        <w:t xml:space="preserve">derinius, dapsoną </w:t>
      </w:r>
      <w:r>
        <w:rPr>
          <w:rFonts w:ascii="Times New Roman" w:eastAsia="Times New Roman" w:hAnsi="Times New Roman"/>
          <w:lang w:eastAsia="ja-JP"/>
        </w:rPr>
        <w:t>(antibiotiką</w:t>
      </w:r>
      <w:r w:rsidRPr="00F36DBF">
        <w:rPr>
          <w:rFonts w:ascii="Times New Roman" w:eastAsia="Times New Roman" w:hAnsi="Times New Roman"/>
          <w:lang w:eastAsia="ja-JP"/>
        </w:rPr>
        <w:t>);</w:t>
      </w:r>
    </w:p>
    <w:p w14:paraId="011F6F0C" w14:textId="77777777" w:rsidR="00E850F6" w:rsidRPr="00F36DBF" w:rsidRDefault="00E850F6" w:rsidP="00E850F6">
      <w:pPr>
        <w:numPr>
          <w:ilvl w:val="0"/>
          <w:numId w:val="35"/>
        </w:numPr>
        <w:spacing w:after="0" w:line="240" w:lineRule="auto"/>
        <w:ind w:left="567" w:right="-2" w:hanging="425"/>
        <w:rPr>
          <w:rFonts w:ascii="Times New Roman" w:eastAsia="Times New Roman" w:hAnsi="Times New Roman"/>
          <w:lang w:eastAsia="ja-JP"/>
        </w:rPr>
      </w:pPr>
      <w:r w:rsidRPr="00F36DBF">
        <w:rPr>
          <w:rFonts w:ascii="Times New Roman" w:eastAsia="Times New Roman" w:hAnsi="Times New Roman"/>
          <w:lang w:eastAsia="en-US"/>
        </w:rPr>
        <w:t>pentamidiną (vaistą parazitų sukeltoms ligoms ar plaučių infekcinėms ligoms gydyti);</w:t>
      </w:r>
    </w:p>
    <w:p w14:paraId="2DF3D8AE" w14:textId="77777777" w:rsidR="00E850F6" w:rsidRPr="00F36DBF" w:rsidRDefault="00E850F6" w:rsidP="00E850F6">
      <w:pPr>
        <w:numPr>
          <w:ilvl w:val="0"/>
          <w:numId w:val="35"/>
        </w:numPr>
        <w:spacing w:after="0" w:line="240" w:lineRule="auto"/>
        <w:ind w:left="567" w:right="-2" w:hanging="425"/>
        <w:rPr>
          <w:rFonts w:ascii="Times New Roman" w:eastAsia="Times New Roman" w:hAnsi="Times New Roman"/>
          <w:lang w:eastAsia="ja-JP"/>
        </w:rPr>
      </w:pPr>
      <w:r w:rsidRPr="00F36DBF">
        <w:rPr>
          <w:rFonts w:ascii="Times New Roman" w:eastAsia="Times New Roman" w:hAnsi="Times New Roman"/>
          <w:lang w:eastAsia="en-US"/>
        </w:rPr>
        <w:t>flucitoziną ar amfotericiną B (priešgrybelinius vaistus).</w:t>
      </w:r>
    </w:p>
    <w:p w14:paraId="7ECC6353" w14:textId="77777777" w:rsidR="00E850F6" w:rsidRPr="00D600DA" w:rsidRDefault="00E850F6" w:rsidP="00E850F6">
      <w:pPr>
        <w:spacing w:after="0" w:line="240" w:lineRule="auto"/>
        <w:ind w:right="-2"/>
        <w:rPr>
          <w:rFonts w:ascii="Times New Roman" w:hAnsi="Times New Roman"/>
          <w:lang w:eastAsia="ja-JP"/>
        </w:rPr>
      </w:pPr>
    </w:p>
    <w:p w14:paraId="020B63E0" w14:textId="77777777" w:rsidR="00E850F6" w:rsidRPr="00D600DA" w:rsidRDefault="00E850F6" w:rsidP="00E850F6">
      <w:pPr>
        <w:spacing w:after="0" w:line="240" w:lineRule="auto"/>
        <w:ind w:right="-2"/>
        <w:rPr>
          <w:rFonts w:ascii="Times New Roman" w:hAnsi="Times New Roman"/>
          <w:b/>
          <w:lang w:eastAsia="ja-JP"/>
        </w:rPr>
      </w:pPr>
      <w:r w:rsidRPr="00D600DA">
        <w:rPr>
          <w:rFonts w:ascii="Times New Roman" w:hAnsi="Times New Roman"/>
          <w:b/>
          <w:lang w:eastAsia="ja-JP"/>
        </w:rPr>
        <w:t>Valcyte vartojimas su maistu ir gėrimais</w:t>
      </w:r>
    </w:p>
    <w:p w14:paraId="0A0335DC" w14:textId="77777777" w:rsidR="00E850F6" w:rsidRPr="00D600DA" w:rsidRDefault="00E850F6" w:rsidP="00E850F6">
      <w:pPr>
        <w:spacing w:after="0" w:line="240" w:lineRule="auto"/>
        <w:ind w:right="-2"/>
        <w:rPr>
          <w:rFonts w:ascii="Times New Roman" w:hAnsi="Times New Roman"/>
          <w:lang w:eastAsia="ja-JP"/>
        </w:rPr>
      </w:pPr>
      <w:r w:rsidRPr="00D600DA">
        <w:rPr>
          <w:rFonts w:ascii="Times New Roman" w:hAnsi="Times New Roman"/>
          <w:lang w:eastAsia="ja-JP"/>
        </w:rPr>
        <w:t>Valcyte reikia vartoti valgant. Jeigu dėl kurių nors priežasčių negalite valgyti, vis tiek įprastu laiku turite vartoti reikiamą Valcyte dozę.</w:t>
      </w:r>
    </w:p>
    <w:p w14:paraId="3835F637" w14:textId="77777777" w:rsidR="00E850F6" w:rsidRPr="00D600DA" w:rsidRDefault="00E850F6" w:rsidP="00E850F6">
      <w:pPr>
        <w:spacing w:after="0" w:line="240" w:lineRule="auto"/>
        <w:ind w:right="-2"/>
        <w:rPr>
          <w:rFonts w:ascii="Times New Roman" w:hAnsi="Times New Roman"/>
          <w:lang w:eastAsia="ja-JP"/>
        </w:rPr>
      </w:pPr>
    </w:p>
    <w:p w14:paraId="09337CC8" w14:textId="77777777" w:rsidR="00E850F6" w:rsidRPr="00D600DA" w:rsidRDefault="00E850F6" w:rsidP="00E850F6">
      <w:pPr>
        <w:spacing w:after="0" w:line="220" w:lineRule="exact"/>
        <w:rPr>
          <w:rFonts w:ascii="Times New Roman" w:hAnsi="Times New Roman"/>
          <w:b/>
          <w:lang w:eastAsia="ja-JP"/>
        </w:rPr>
      </w:pPr>
      <w:r w:rsidRPr="00D600DA">
        <w:rPr>
          <w:rFonts w:ascii="Times New Roman" w:hAnsi="Times New Roman"/>
          <w:b/>
          <w:lang w:eastAsia="ja-JP"/>
        </w:rPr>
        <w:t>Nėštumas, žindymo laikotarpis</w:t>
      </w:r>
      <w:r w:rsidRPr="00D600DA">
        <w:rPr>
          <w:rFonts w:ascii="Times New Roman" w:hAnsi="Times New Roman"/>
        </w:rPr>
        <w:t xml:space="preserve"> </w:t>
      </w:r>
      <w:r w:rsidRPr="00D600DA">
        <w:rPr>
          <w:rFonts w:ascii="Times New Roman" w:hAnsi="Times New Roman"/>
          <w:b/>
          <w:lang w:eastAsia="ja-JP"/>
        </w:rPr>
        <w:t>ir vaisingumas</w:t>
      </w:r>
    </w:p>
    <w:p w14:paraId="1746C2ED" w14:textId="77777777" w:rsidR="00E850F6" w:rsidRPr="00D600DA" w:rsidRDefault="00E850F6" w:rsidP="00E850F6">
      <w:pPr>
        <w:spacing w:after="0" w:line="240" w:lineRule="auto"/>
        <w:ind w:right="-2"/>
        <w:rPr>
          <w:rFonts w:ascii="Times New Roman" w:hAnsi="Times New Roman"/>
          <w:lang w:eastAsia="ja-JP"/>
        </w:rPr>
      </w:pPr>
      <w:r w:rsidRPr="00D600DA">
        <w:rPr>
          <w:rFonts w:ascii="Times New Roman" w:hAnsi="Times New Roman"/>
          <w:lang w:eastAsia="ja-JP"/>
        </w:rPr>
        <w:t>Jeigu esate nėščia, nevartokite Valcyte, nebent gydytojas rekomenduoja jį vartoti. Jei esate nėščia arba ketinate pastoti, pasakykite apie tai gydytojui. Valcyte vartojimas nėštumo metu gali pakenkti negimusiam kūdikiui.</w:t>
      </w:r>
    </w:p>
    <w:p w14:paraId="10B0AF67" w14:textId="77777777" w:rsidR="00E850F6" w:rsidRPr="00D600DA" w:rsidRDefault="00E850F6" w:rsidP="00E850F6">
      <w:pPr>
        <w:spacing w:after="0" w:line="240" w:lineRule="auto"/>
        <w:ind w:right="-2"/>
        <w:rPr>
          <w:rFonts w:ascii="Times New Roman" w:hAnsi="Times New Roman"/>
          <w:lang w:eastAsia="ja-JP"/>
        </w:rPr>
      </w:pPr>
    </w:p>
    <w:p w14:paraId="6545C9D3"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Žindant kūdikį Valcyte vartoti negalima. Jeigu gydytojas nori pradėti Jus gydyti Valcyte, turite nutraukti kūdikio žindymą prieš pradėdama vartoti šį vaistą.</w:t>
      </w:r>
    </w:p>
    <w:p w14:paraId="415C8176" w14:textId="77777777" w:rsidR="00E850F6" w:rsidRPr="00D600DA" w:rsidRDefault="00E850F6" w:rsidP="00E850F6">
      <w:pPr>
        <w:spacing w:after="0" w:line="240" w:lineRule="auto"/>
        <w:rPr>
          <w:rFonts w:ascii="Times New Roman" w:hAnsi="Times New Roman"/>
          <w:lang w:eastAsia="ja-JP"/>
        </w:rPr>
      </w:pPr>
    </w:p>
    <w:p w14:paraId="14DF7598"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Vartodamos Valcyte</w:t>
      </w:r>
      <w:r w:rsidRPr="00D613ED">
        <w:rPr>
          <w:rFonts w:ascii="Times New Roman" w:eastAsia="Times New Roman" w:hAnsi="Times New Roman"/>
          <w:bCs/>
          <w:lang w:eastAsia="ja-JP"/>
        </w:rPr>
        <w:t xml:space="preserve"> </w:t>
      </w:r>
      <w:r>
        <w:rPr>
          <w:rFonts w:ascii="Times New Roman" w:eastAsia="Times New Roman" w:hAnsi="Times New Roman"/>
          <w:bCs/>
          <w:lang w:eastAsia="ja-JP"/>
        </w:rPr>
        <w:t>ir dar 30 dienų po gydymo pabaigos</w:t>
      </w:r>
      <w:r w:rsidRPr="00D600DA">
        <w:rPr>
          <w:rFonts w:ascii="Times New Roman" w:hAnsi="Times New Roman"/>
          <w:lang w:eastAsia="ja-JP"/>
        </w:rPr>
        <w:t xml:space="preserve">, vaisingo amžiaus moterys turi imtis veiksmingų kontracepcijos priemonių. </w:t>
      </w:r>
    </w:p>
    <w:p w14:paraId="5BAF0702" w14:textId="77777777" w:rsidR="00E850F6" w:rsidRPr="00D600DA" w:rsidRDefault="00E850F6" w:rsidP="00E850F6">
      <w:pPr>
        <w:spacing w:after="0" w:line="240" w:lineRule="auto"/>
        <w:rPr>
          <w:rFonts w:ascii="Times New Roman" w:hAnsi="Times New Roman"/>
          <w:lang w:eastAsia="ja-JP"/>
        </w:rPr>
      </w:pPr>
    </w:p>
    <w:p w14:paraId="64ACB9CE"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Vyrai, kurių partnerės gali pastoti, turi naudotis prezervatyvais, kol vartoja Valcyte ir 90 parų po gydymo pabaigos.</w:t>
      </w:r>
    </w:p>
    <w:p w14:paraId="51610B1F" w14:textId="77777777" w:rsidR="00E850F6" w:rsidRPr="00D600DA" w:rsidRDefault="00E850F6" w:rsidP="00E850F6">
      <w:pPr>
        <w:spacing w:after="0" w:line="240" w:lineRule="auto"/>
        <w:rPr>
          <w:rFonts w:ascii="Times New Roman" w:hAnsi="Times New Roman"/>
          <w:lang w:eastAsia="ja-JP"/>
        </w:rPr>
      </w:pPr>
    </w:p>
    <w:p w14:paraId="12F484B3" w14:textId="77777777" w:rsidR="00E850F6" w:rsidRPr="00D600DA" w:rsidRDefault="00E850F6" w:rsidP="00E850F6">
      <w:pPr>
        <w:spacing w:after="0" w:line="240" w:lineRule="auto"/>
        <w:ind w:right="-2"/>
        <w:rPr>
          <w:rFonts w:ascii="Times New Roman" w:hAnsi="Times New Roman"/>
          <w:b/>
          <w:lang w:eastAsia="ja-JP"/>
        </w:rPr>
      </w:pPr>
      <w:r w:rsidRPr="00D600DA">
        <w:rPr>
          <w:rFonts w:ascii="Times New Roman" w:hAnsi="Times New Roman"/>
          <w:b/>
          <w:lang w:eastAsia="ja-JP"/>
        </w:rPr>
        <w:t>Vairavimas ir mechanizmų valdymas</w:t>
      </w:r>
    </w:p>
    <w:p w14:paraId="499371BC" w14:textId="77777777" w:rsidR="00E850F6" w:rsidRPr="00D600DA" w:rsidRDefault="00E850F6" w:rsidP="00E850F6">
      <w:pPr>
        <w:spacing w:after="0" w:line="240" w:lineRule="auto"/>
        <w:ind w:right="-29"/>
        <w:rPr>
          <w:rFonts w:ascii="Times New Roman" w:hAnsi="Times New Roman"/>
          <w:lang w:eastAsia="ja-JP"/>
        </w:rPr>
      </w:pPr>
      <w:r w:rsidRPr="00D600DA">
        <w:rPr>
          <w:rFonts w:ascii="Times New Roman" w:hAnsi="Times New Roman"/>
          <w:lang w:eastAsia="ja-JP"/>
        </w:rPr>
        <w:t xml:space="preserve">Jei vartodami šį vaistą jaučiate svaigulį, nuovargį, netvirtumą ar sumišimą, nevairuokite mašinos ir nedirbkite su mechanizmais. </w:t>
      </w:r>
    </w:p>
    <w:p w14:paraId="387F27AB" w14:textId="77777777" w:rsidR="00E850F6" w:rsidRPr="00D600DA" w:rsidRDefault="00E850F6" w:rsidP="00E850F6">
      <w:pPr>
        <w:spacing w:after="0" w:line="240" w:lineRule="auto"/>
        <w:ind w:right="-29"/>
        <w:rPr>
          <w:rFonts w:ascii="Times New Roman" w:hAnsi="Times New Roman"/>
          <w:lang w:eastAsia="ja-JP"/>
        </w:rPr>
      </w:pPr>
    </w:p>
    <w:p w14:paraId="012193F5"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Prieš vartojant bet kokį vaistą, būtina pasitarti su gydytoju arba vaistininku.</w:t>
      </w:r>
    </w:p>
    <w:p w14:paraId="0035C066" w14:textId="77777777" w:rsidR="00E850F6" w:rsidRPr="00D600DA" w:rsidRDefault="00E850F6" w:rsidP="00E850F6">
      <w:pPr>
        <w:spacing w:after="0" w:line="240" w:lineRule="auto"/>
        <w:ind w:right="-29"/>
        <w:rPr>
          <w:rFonts w:ascii="Times New Roman" w:hAnsi="Times New Roman"/>
          <w:b/>
          <w:bCs/>
          <w:lang w:eastAsia="ja-JP"/>
        </w:rPr>
      </w:pPr>
    </w:p>
    <w:p w14:paraId="2922CAD8" w14:textId="77777777" w:rsidR="00E850F6" w:rsidRPr="00D600DA" w:rsidRDefault="00E850F6" w:rsidP="00E850F6">
      <w:pPr>
        <w:spacing w:after="0" w:line="240" w:lineRule="auto"/>
        <w:ind w:right="-29"/>
        <w:rPr>
          <w:rFonts w:ascii="Times New Roman" w:hAnsi="Times New Roman"/>
          <w:lang w:eastAsia="ja-JP"/>
        </w:rPr>
      </w:pPr>
      <w:r w:rsidRPr="00D600DA">
        <w:rPr>
          <w:rFonts w:ascii="Times New Roman" w:hAnsi="Times New Roman"/>
          <w:b/>
          <w:lang w:eastAsia="ja-JP"/>
        </w:rPr>
        <w:t xml:space="preserve">Valcyte sudėtyje yra </w:t>
      </w:r>
      <w:r w:rsidR="00B874EB" w:rsidRPr="00B874EB">
        <w:rPr>
          <w:rFonts w:ascii="Times New Roman" w:hAnsi="Times New Roman"/>
          <w:b/>
          <w:lang w:eastAsia="ja-JP"/>
        </w:rPr>
        <w:t xml:space="preserve">natrio benzoato ir </w:t>
      </w:r>
      <w:r w:rsidRPr="00D600DA">
        <w:rPr>
          <w:rFonts w:ascii="Times New Roman" w:hAnsi="Times New Roman"/>
          <w:b/>
          <w:lang w:eastAsia="ja-JP"/>
        </w:rPr>
        <w:t>natrio</w:t>
      </w:r>
      <w:r w:rsidR="00B874EB">
        <w:rPr>
          <w:rFonts w:ascii="Times New Roman" w:hAnsi="Times New Roman"/>
          <w:b/>
          <w:lang w:eastAsia="ja-JP"/>
        </w:rPr>
        <w:t xml:space="preserve"> (druskos)</w:t>
      </w:r>
    </w:p>
    <w:p w14:paraId="36CC91E1" w14:textId="6003625B" w:rsidR="00B874EB" w:rsidRDefault="00B874EB" w:rsidP="00E850F6">
      <w:pPr>
        <w:spacing w:after="0" w:line="240" w:lineRule="auto"/>
        <w:ind w:right="-29"/>
        <w:rPr>
          <w:rFonts w:ascii="Times New Roman" w:hAnsi="Times New Roman"/>
          <w:lang w:eastAsia="ja-JP"/>
        </w:rPr>
      </w:pPr>
      <w:r w:rsidRPr="00B874EB">
        <w:rPr>
          <w:rFonts w:ascii="Times New Roman" w:hAnsi="Times New Roman"/>
          <w:lang w:eastAsia="ja-JP"/>
        </w:rPr>
        <w:t>Kiekviename šio vaisto 12</w:t>
      </w:r>
      <w:r>
        <w:rPr>
          <w:rFonts w:ascii="Times New Roman" w:hAnsi="Times New Roman"/>
          <w:lang w:eastAsia="ja-JP"/>
        </w:rPr>
        <w:t> </w:t>
      </w:r>
      <w:r w:rsidRPr="00B874EB">
        <w:rPr>
          <w:rFonts w:ascii="Times New Roman" w:hAnsi="Times New Roman"/>
          <w:lang w:eastAsia="ja-JP"/>
        </w:rPr>
        <w:t>g buteliuke yra 100</w:t>
      </w:r>
      <w:r>
        <w:rPr>
          <w:rFonts w:ascii="Times New Roman" w:hAnsi="Times New Roman"/>
          <w:lang w:eastAsia="ja-JP"/>
        </w:rPr>
        <w:t> </w:t>
      </w:r>
      <w:r w:rsidRPr="00B874EB">
        <w:rPr>
          <w:rFonts w:ascii="Times New Roman" w:hAnsi="Times New Roman"/>
          <w:lang w:eastAsia="ja-JP"/>
        </w:rPr>
        <w:t xml:space="preserve">mg natrio benzoato, </w:t>
      </w:r>
      <w:r w:rsidR="00B5328E">
        <w:rPr>
          <w:rFonts w:ascii="Times New Roman" w:hAnsi="Times New Roman"/>
          <w:lang w:eastAsia="ja-JP"/>
        </w:rPr>
        <w:t xml:space="preserve"> </w:t>
      </w:r>
      <w:r w:rsidRPr="00B874EB">
        <w:rPr>
          <w:rFonts w:ascii="Times New Roman" w:hAnsi="Times New Roman"/>
          <w:lang w:eastAsia="ja-JP"/>
        </w:rPr>
        <w:t>tai a</w:t>
      </w:r>
      <w:r>
        <w:rPr>
          <w:rFonts w:ascii="Times New Roman" w:hAnsi="Times New Roman"/>
          <w:lang w:eastAsia="ja-JP"/>
        </w:rPr>
        <w:t>titinka</w:t>
      </w:r>
      <w:r w:rsidRPr="00B874EB">
        <w:rPr>
          <w:rFonts w:ascii="Times New Roman" w:hAnsi="Times New Roman"/>
          <w:lang w:eastAsia="ja-JP"/>
        </w:rPr>
        <w:t xml:space="preserve"> 1</w:t>
      </w:r>
      <w:r>
        <w:rPr>
          <w:rFonts w:ascii="Times New Roman" w:hAnsi="Times New Roman"/>
          <w:lang w:eastAsia="ja-JP"/>
        </w:rPr>
        <w:t> </w:t>
      </w:r>
      <w:r w:rsidRPr="00B874EB">
        <w:rPr>
          <w:rFonts w:ascii="Times New Roman" w:hAnsi="Times New Roman"/>
          <w:lang w:eastAsia="ja-JP"/>
        </w:rPr>
        <w:t>mg / ml</w:t>
      </w:r>
      <w:r w:rsidR="00B5328E">
        <w:rPr>
          <w:rFonts w:ascii="Times New Roman" w:hAnsi="Times New Roman"/>
          <w:lang w:eastAsia="ja-JP"/>
        </w:rPr>
        <w:t xml:space="preserve"> po ištirpinimo</w:t>
      </w:r>
      <w:r w:rsidRPr="00B874EB">
        <w:rPr>
          <w:rFonts w:ascii="Times New Roman" w:hAnsi="Times New Roman"/>
          <w:lang w:eastAsia="ja-JP"/>
        </w:rPr>
        <w:t xml:space="preserve">. </w:t>
      </w:r>
      <w:r w:rsidR="00622225">
        <w:rPr>
          <w:rFonts w:ascii="Times New Roman" w:hAnsi="Times New Roman"/>
          <w:lang w:eastAsia="ja-JP"/>
        </w:rPr>
        <w:t>B</w:t>
      </w:r>
      <w:r w:rsidR="00622225" w:rsidRPr="00B874EB">
        <w:rPr>
          <w:rFonts w:ascii="Times New Roman" w:hAnsi="Times New Roman"/>
          <w:lang w:eastAsia="ja-JP"/>
        </w:rPr>
        <w:t xml:space="preserve">enzoato druska </w:t>
      </w:r>
      <w:r w:rsidR="00622225">
        <w:rPr>
          <w:rFonts w:ascii="Times New Roman" w:hAnsi="Times New Roman"/>
          <w:lang w:eastAsia="ja-JP"/>
        </w:rPr>
        <w:t>n</w:t>
      </w:r>
      <w:r w:rsidR="00622225" w:rsidRPr="00B874EB">
        <w:rPr>
          <w:rFonts w:ascii="Times New Roman" w:hAnsi="Times New Roman"/>
          <w:lang w:eastAsia="ja-JP"/>
        </w:rPr>
        <w:t xml:space="preserve">aujagimiams </w:t>
      </w:r>
      <w:r w:rsidRPr="00B874EB">
        <w:rPr>
          <w:rFonts w:ascii="Times New Roman" w:hAnsi="Times New Roman"/>
          <w:lang w:eastAsia="ja-JP"/>
        </w:rPr>
        <w:t>(iki 4</w:t>
      </w:r>
      <w:r>
        <w:rPr>
          <w:rFonts w:ascii="Times New Roman" w:hAnsi="Times New Roman"/>
          <w:lang w:eastAsia="ja-JP"/>
        </w:rPr>
        <w:t> </w:t>
      </w:r>
      <w:r w:rsidRPr="00B874EB">
        <w:rPr>
          <w:rFonts w:ascii="Times New Roman" w:hAnsi="Times New Roman"/>
          <w:lang w:eastAsia="ja-JP"/>
        </w:rPr>
        <w:t>savaičių</w:t>
      </w:r>
      <w:r>
        <w:rPr>
          <w:rFonts w:ascii="Times New Roman" w:hAnsi="Times New Roman"/>
          <w:lang w:eastAsia="ja-JP"/>
        </w:rPr>
        <w:t xml:space="preserve"> amžiaus</w:t>
      </w:r>
      <w:r w:rsidRPr="00B874EB">
        <w:rPr>
          <w:rFonts w:ascii="Times New Roman" w:hAnsi="Times New Roman"/>
          <w:lang w:eastAsia="ja-JP"/>
        </w:rPr>
        <w:t>)</w:t>
      </w:r>
      <w:r>
        <w:rPr>
          <w:rFonts w:ascii="Times New Roman" w:hAnsi="Times New Roman"/>
          <w:lang w:eastAsia="ja-JP"/>
        </w:rPr>
        <w:t xml:space="preserve"> </w:t>
      </w:r>
      <w:r w:rsidRPr="00B874EB">
        <w:rPr>
          <w:rFonts w:ascii="Times New Roman" w:hAnsi="Times New Roman"/>
          <w:lang w:eastAsia="ja-JP"/>
        </w:rPr>
        <w:t xml:space="preserve">gali </w:t>
      </w:r>
      <w:r w:rsidR="00B5328E">
        <w:rPr>
          <w:rFonts w:ascii="Times New Roman" w:hAnsi="Times New Roman"/>
          <w:lang w:eastAsia="ja-JP"/>
        </w:rPr>
        <w:t>sunkinti</w:t>
      </w:r>
      <w:r w:rsidR="00B5328E" w:rsidRPr="00B874EB">
        <w:rPr>
          <w:rFonts w:ascii="Times New Roman" w:hAnsi="Times New Roman"/>
          <w:lang w:eastAsia="ja-JP"/>
        </w:rPr>
        <w:t xml:space="preserve"> </w:t>
      </w:r>
      <w:r w:rsidRPr="00B874EB">
        <w:rPr>
          <w:rFonts w:ascii="Times New Roman" w:hAnsi="Times New Roman"/>
          <w:lang w:eastAsia="ja-JP"/>
        </w:rPr>
        <w:t>gelt</w:t>
      </w:r>
      <w:r>
        <w:rPr>
          <w:rFonts w:ascii="Times New Roman" w:hAnsi="Times New Roman"/>
          <w:lang w:eastAsia="ja-JP"/>
        </w:rPr>
        <w:t>ą</w:t>
      </w:r>
      <w:r w:rsidRPr="00B874EB">
        <w:rPr>
          <w:rFonts w:ascii="Times New Roman" w:hAnsi="Times New Roman"/>
          <w:lang w:eastAsia="ja-JP"/>
        </w:rPr>
        <w:t xml:space="preserve"> (odos ir akių pageltim</w:t>
      </w:r>
      <w:r>
        <w:rPr>
          <w:rFonts w:ascii="Times New Roman" w:hAnsi="Times New Roman"/>
          <w:lang w:eastAsia="ja-JP"/>
        </w:rPr>
        <w:t>ą</w:t>
      </w:r>
      <w:r w:rsidRPr="00B874EB">
        <w:rPr>
          <w:rFonts w:ascii="Times New Roman" w:hAnsi="Times New Roman"/>
          <w:lang w:eastAsia="ja-JP"/>
        </w:rPr>
        <w:t>).</w:t>
      </w:r>
    </w:p>
    <w:p w14:paraId="610524CD" w14:textId="77777777" w:rsidR="00E850F6" w:rsidRPr="00D600DA" w:rsidRDefault="00E850F6" w:rsidP="00E850F6">
      <w:pPr>
        <w:spacing w:after="0" w:line="240" w:lineRule="auto"/>
        <w:ind w:right="-29"/>
        <w:rPr>
          <w:rFonts w:ascii="Times New Roman" w:hAnsi="Times New Roman"/>
          <w:lang w:eastAsia="ja-JP"/>
        </w:rPr>
      </w:pPr>
      <w:r w:rsidRPr="00D600DA">
        <w:rPr>
          <w:rFonts w:ascii="Times New Roman" w:hAnsi="Times New Roman"/>
          <w:lang w:eastAsia="ja-JP"/>
        </w:rPr>
        <w:t xml:space="preserve">Pacientams, kurių dietoje ribojamas natrio kiekis, reikia žinoti, kad šiame </w:t>
      </w:r>
      <w:r w:rsidR="00B874EB">
        <w:rPr>
          <w:rFonts w:ascii="Times New Roman" w:hAnsi="Times New Roman"/>
          <w:lang w:eastAsia="ja-JP"/>
        </w:rPr>
        <w:t>vais</w:t>
      </w:r>
      <w:r w:rsidRPr="00D600DA">
        <w:rPr>
          <w:rFonts w:ascii="Times New Roman" w:hAnsi="Times New Roman"/>
          <w:lang w:eastAsia="ja-JP"/>
        </w:rPr>
        <w:t>te yra 0,188 mg/ml natrio</w:t>
      </w:r>
      <w:r w:rsidR="00B874EB">
        <w:rPr>
          <w:rFonts w:ascii="Times New Roman" w:hAnsi="Times New Roman"/>
          <w:lang w:eastAsia="ja-JP"/>
        </w:rPr>
        <w:t>, taigi, praktiškai jame natrio nėra</w:t>
      </w:r>
      <w:r w:rsidRPr="00D600DA">
        <w:rPr>
          <w:rFonts w:ascii="Times New Roman" w:hAnsi="Times New Roman"/>
          <w:lang w:eastAsia="ja-JP"/>
        </w:rPr>
        <w:t>.</w:t>
      </w:r>
    </w:p>
    <w:p w14:paraId="1D61B1EE" w14:textId="77777777" w:rsidR="00E850F6" w:rsidRPr="00D600DA" w:rsidRDefault="00E850F6" w:rsidP="00E850F6">
      <w:pPr>
        <w:spacing w:after="0" w:line="240" w:lineRule="auto"/>
        <w:ind w:right="-2"/>
        <w:rPr>
          <w:rFonts w:ascii="Times New Roman" w:hAnsi="Times New Roman"/>
          <w:lang w:eastAsia="ja-JP"/>
        </w:rPr>
      </w:pPr>
    </w:p>
    <w:p w14:paraId="47F3A8B0" w14:textId="77777777" w:rsidR="00E850F6" w:rsidRPr="00D600DA" w:rsidRDefault="00E850F6" w:rsidP="00E850F6">
      <w:pPr>
        <w:spacing w:after="0" w:line="240" w:lineRule="auto"/>
        <w:ind w:right="-2"/>
        <w:rPr>
          <w:rFonts w:ascii="Times New Roman" w:hAnsi="Times New Roman"/>
          <w:lang w:eastAsia="ja-JP"/>
        </w:rPr>
      </w:pPr>
    </w:p>
    <w:p w14:paraId="699B4EBD" w14:textId="77777777" w:rsidR="00E850F6" w:rsidRPr="00D600DA" w:rsidRDefault="00E850F6" w:rsidP="00B874EB">
      <w:pPr>
        <w:keepNext/>
        <w:keepLines/>
        <w:tabs>
          <w:tab w:val="left" w:pos="567"/>
        </w:tabs>
        <w:spacing w:after="0" w:line="240" w:lineRule="auto"/>
        <w:ind w:right="-2"/>
        <w:rPr>
          <w:rFonts w:ascii="Times New Roman" w:hAnsi="Times New Roman"/>
          <w:lang w:eastAsia="ja-JP"/>
        </w:rPr>
      </w:pPr>
      <w:r w:rsidRPr="00D600DA">
        <w:rPr>
          <w:rFonts w:ascii="Times New Roman" w:hAnsi="Times New Roman"/>
          <w:b/>
          <w:lang w:eastAsia="ja-JP"/>
        </w:rPr>
        <w:lastRenderedPageBreak/>
        <w:t>3.</w:t>
      </w:r>
      <w:r w:rsidRPr="00D600DA">
        <w:rPr>
          <w:rFonts w:ascii="Times New Roman" w:hAnsi="Times New Roman"/>
          <w:b/>
          <w:lang w:eastAsia="ja-JP"/>
        </w:rPr>
        <w:tab/>
      </w:r>
      <w:r w:rsidRPr="00D600DA">
        <w:rPr>
          <w:rFonts w:ascii="Times New Roman" w:hAnsi="Times New Roman"/>
          <w:b/>
          <w:lang w:eastAsia="en-US"/>
        </w:rPr>
        <w:t>Kaip vartoti</w:t>
      </w:r>
      <w:r w:rsidRPr="00D600DA">
        <w:rPr>
          <w:rFonts w:ascii="Times New Roman" w:hAnsi="Times New Roman"/>
          <w:b/>
        </w:rPr>
        <w:t xml:space="preserve"> </w:t>
      </w:r>
      <w:r w:rsidRPr="00D600DA">
        <w:rPr>
          <w:rFonts w:ascii="Times New Roman" w:hAnsi="Times New Roman"/>
          <w:b/>
          <w:lang w:eastAsia="ja-JP"/>
        </w:rPr>
        <w:t>Valcyte</w:t>
      </w:r>
    </w:p>
    <w:p w14:paraId="06288A98" w14:textId="77777777" w:rsidR="00E850F6" w:rsidRPr="00D600DA" w:rsidRDefault="00E850F6" w:rsidP="00561AEC">
      <w:pPr>
        <w:keepNext/>
        <w:keepLines/>
        <w:spacing w:after="0" w:line="240" w:lineRule="auto"/>
        <w:rPr>
          <w:rFonts w:ascii="Times New Roman" w:hAnsi="Times New Roman"/>
          <w:b/>
          <w:lang w:eastAsia="ja-JP"/>
        </w:rPr>
      </w:pPr>
    </w:p>
    <w:p w14:paraId="5C59AC34" w14:textId="77777777" w:rsidR="00E850F6" w:rsidRPr="00D600DA" w:rsidRDefault="00E850F6" w:rsidP="00561AEC">
      <w:pPr>
        <w:keepNext/>
        <w:keepLines/>
        <w:spacing w:after="0" w:line="240" w:lineRule="auto"/>
        <w:rPr>
          <w:rFonts w:ascii="Times New Roman" w:hAnsi="Times New Roman"/>
          <w:lang w:eastAsia="ja-JP"/>
        </w:rPr>
      </w:pPr>
      <w:r w:rsidRPr="00D600DA">
        <w:rPr>
          <w:rFonts w:ascii="Times New Roman" w:hAnsi="Times New Roman"/>
          <w:lang w:eastAsia="ja-JP"/>
        </w:rPr>
        <w:t>Visada vartokite šį vaistą tiksliai kaip nurodė gydytojas. Jeigu abejojate, kreipkitės į gydytoją arba vaistininką.</w:t>
      </w:r>
    </w:p>
    <w:p w14:paraId="77302F90" w14:textId="77777777" w:rsidR="00E850F6" w:rsidRPr="00D600DA" w:rsidRDefault="00E850F6" w:rsidP="00B874EB">
      <w:pPr>
        <w:spacing w:after="0" w:line="240" w:lineRule="auto"/>
        <w:rPr>
          <w:rFonts w:ascii="Times New Roman" w:hAnsi="Times New Roman"/>
          <w:lang w:eastAsia="ja-JP"/>
        </w:rPr>
      </w:pPr>
    </w:p>
    <w:p w14:paraId="0E9D9E01"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Su Valcyte tirpalu reikia elgtis atsargiai. Reikia stengtis, kad tirpalo nepatektų ant odos arba į akis. Jei netyčia tirpalo pateko ant odos, kruopščiai nuplaukite tą vietą muilu ir vandeniu. Jei netyčia tirpalo pateko į akis, rūpestingai išplaukite jas vandeniu.</w:t>
      </w:r>
    </w:p>
    <w:p w14:paraId="4FC3350C" w14:textId="77777777" w:rsidR="00E850F6" w:rsidRPr="00D600DA" w:rsidRDefault="00E850F6" w:rsidP="00E850F6">
      <w:pPr>
        <w:spacing w:after="0" w:line="240" w:lineRule="auto"/>
        <w:rPr>
          <w:rFonts w:ascii="Times New Roman" w:hAnsi="Times New Roman"/>
          <w:lang w:eastAsia="ja-JP"/>
        </w:rPr>
      </w:pPr>
    </w:p>
    <w:p w14:paraId="0ED6FF67" w14:textId="77777777" w:rsidR="00E850F6" w:rsidRPr="00D600DA" w:rsidRDefault="00E850F6" w:rsidP="00E850F6">
      <w:pPr>
        <w:spacing w:after="0" w:line="240" w:lineRule="auto"/>
        <w:rPr>
          <w:rFonts w:ascii="Times New Roman" w:hAnsi="Times New Roman"/>
          <w:b/>
          <w:lang w:eastAsia="ja-JP"/>
        </w:rPr>
      </w:pPr>
      <w:r w:rsidRPr="00D600DA">
        <w:rPr>
          <w:rFonts w:ascii="Times New Roman" w:hAnsi="Times New Roman"/>
          <w:b/>
          <w:lang w:eastAsia="ja-JP"/>
        </w:rPr>
        <w:t>Kad vaisto nebūtų perdozuota, geriamojo tirpalo paros dozė turi atitikti tą, kurią nurodė gydytojas.</w:t>
      </w:r>
    </w:p>
    <w:p w14:paraId="6910D76D" w14:textId="77777777" w:rsidR="00E850F6" w:rsidRPr="00D600DA" w:rsidRDefault="00E850F6" w:rsidP="00E850F6">
      <w:pPr>
        <w:spacing w:after="0" w:line="240" w:lineRule="auto"/>
        <w:rPr>
          <w:rFonts w:ascii="Times New Roman" w:hAnsi="Times New Roman"/>
          <w:lang w:eastAsia="ja-JP"/>
        </w:rPr>
      </w:pPr>
    </w:p>
    <w:p w14:paraId="4625559A"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Valcyte geriamąjį tirpalą reikia vartoti su maistu, jei tik tai įmanoma – žiūrėkite 2 skyrių.</w:t>
      </w:r>
    </w:p>
    <w:p w14:paraId="2151C918" w14:textId="77777777" w:rsidR="00E850F6" w:rsidRPr="00D600DA" w:rsidRDefault="00E850F6" w:rsidP="00E850F6">
      <w:pPr>
        <w:spacing w:after="0" w:line="240" w:lineRule="auto"/>
        <w:rPr>
          <w:rFonts w:ascii="Times New Roman" w:hAnsi="Times New Roman"/>
          <w:lang w:eastAsia="ja-JP"/>
        </w:rPr>
      </w:pPr>
    </w:p>
    <w:p w14:paraId="599C5085"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b/>
          <w:lang w:eastAsia="ja-JP"/>
        </w:rPr>
        <w:t>Svarbu, kad Valcyte tirpalo dozės matavimui naudotumėte pakuotėje esantį geriamąjį švirštą.</w:t>
      </w:r>
      <w:r w:rsidRPr="00D600DA">
        <w:rPr>
          <w:rFonts w:ascii="Times New Roman" w:hAnsi="Times New Roman"/>
          <w:lang w:eastAsia="ja-JP"/>
        </w:rPr>
        <w:t xml:space="preserve"> </w:t>
      </w:r>
      <w:r w:rsidR="00500ED0" w:rsidRPr="00561AEC">
        <w:rPr>
          <w:rFonts w:ascii="Times New Roman" w:hAnsi="Times New Roman"/>
          <w:b/>
          <w:lang w:eastAsia="ja-JP"/>
        </w:rPr>
        <w:t>Nenaudokite geriamojo švirkšto, skirto kitam vaistui</w:t>
      </w:r>
      <w:r w:rsidR="00500ED0">
        <w:rPr>
          <w:rFonts w:ascii="Times New Roman" w:hAnsi="Times New Roman"/>
          <w:lang w:eastAsia="ja-JP"/>
        </w:rPr>
        <w:t xml:space="preserve">. </w:t>
      </w:r>
      <w:r w:rsidRPr="00D600DA">
        <w:rPr>
          <w:rFonts w:ascii="Times New Roman" w:hAnsi="Times New Roman"/>
          <w:lang w:eastAsia="ja-JP"/>
        </w:rPr>
        <w:t xml:space="preserve">Pakuotėje yra du geriamieji švirkštai, kad būtų galima pakeisti vienam pasimetus ar sugedus. Ir vienu, ir kitu geriamuoju švirkštu, kurie sužymėti </w:t>
      </w:r>
      <w:r w:rsidR="00B874EB">
        <w:rPr>
          <w:rFonts w:ascii="Times New Roman" w:hAnsi="Times New Roman"/>
          <w:lang w:eastAsia="ja-JP"/>
        </w:rPr>
        <w:t>0,5 ml (</w:t>
      </w:r>
      <w:r w:rsidRPr="00D600DA">
        <w:rPr>
          <w:rFonts w:ascii="Times New Roman" w:hAnsi="Times New Roman"/>
          <w:lang w:eastAsia="ja-JP"/>
        </w:rPr>
        <w:t>25 mg</w:t>
      </w:r>
      <w:r w:rsidR="00B874EB">
        <w:rPr>
          <w:rFonts w:ascii="Times New Roman" w:hAnsi="Times New Roman"/>
          <w:lang w:eastAsia="ja-JP"/>
        </w:rPr>
        <w:t>)</w:t>
      </w:r>
      <w:r w:rsidRPr="00D600DA">
        <w:rPr>
          <w:rFonts w:ascii="Times New Roman" w:hAnsi="Times New Roman"/>
          <w:lang w:eastAsia="ja-JP"/>
        </w:rPr>
        <w:t xml:space="preserve"> padalomis, galima pamatuoti iki </w:t>
      </w:r>
      <w:r w:rsidR="00B874EB">
        <w:rPr>
          <w:rFonts w:ascii="Times New Roman" w:hAnsi="Times New Roman"/>
          <w:lang w:eastAsia="ja-JP"/>
        </w:rPr>
        <w:t>10 ml (</w:t>
      </w:r>
      <w:r w:rsidRPr="00D600DA">
        <w:rPr>
          <w:rFonts w:ascii="Times New Roman" w:hAnsi="Times New Roman"/>
          <w:lang w:eastAsia="ja-JP"/>
        </w:rPr>
        <w:t>500 mg</w:t>
      </w:r>
      <w:r w:rsidR="00B874EB">
        <w:rPr>
          <w:rFonts w:ascii="Times New Roman" w:hAnsi="Times New Roman"/>
          <w:lang w:eastAsia="ja-JP"/>
        </w:rPr>
        <w:t>)</w:t>
      </w:r>
      <w:r w:rsidRPr="00D600DA">
        <w:rPr>
          <w:rFonts w:ascii="Times New Roman" w:hAnsi="Times New Roman"/>
          <w:lang w:eastAsia="ja-JP"/>
        </w:rPr>
        <w:t xml:space="preserve"> tirpalo.</w:t>
      </w:r>
      <w:r w:rsidR="00D06FA2">
        <w:rPr>
          <w:rFonts w:ascii="Times New Roman" w:hAnsi="Times New Roman"/>
          <w:lang w:eastAsia="ja-JP"/>
        </w:rPr>
        <w:t xml:space="preserve"> 1 ml Valcyte geriamojo tirpalo yra 50 mg valgancikloviro.</w:t>
      </w:r>
    </w:p>
    <w:p w14:paraId="5CC9DE00" w14:textId="77777777" w:rsidR="00E850F6" w:rsidRPr="00D600DA" w:rsidRDefault="00E850F6" w:rsidP="00E850F6">
      <w:pPr>
        <w:spacing w:after="0" w:line="240" w:lineRule="auto"/>
        <w:rPr>
          <w:rFonts w:ascii="Times New Roman" w:hAnsi="Times New Roman"/>
          <w:lang w:eastAsia="ja-JP"/>
        </w:rPr>
      </w:pPr>
    </w:p>
    <w:p w14:paraId="47567E1E"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Pamatavę dozę, visada geriamąjį švirkštą kruopščiai išplaukite ir išdžiovinkite.</w:t>
      </w:r>
    </w:p>
    <w:p w14:paraId="5C310FC0" w14:textId="77777777" w:rsidR="00E850F6" w:rsidRPr="00D600DA" w:rsidRDefault="00E850F6" w:rsidP="00E850F6">
      <w:pPr>
        <w:spacing w:after="0" w:line="240" w:lineRule="auto"/>
        <w:rPr>
          <w:rFonts w:ascii="Times New Roman" w:hAnsi="Times New Roman"/>
          <w:lang w:eastAsia="ja-JP"/>
        </w:rPr>
      </w:pPr>
    </w:p>
    <w:p w14:paraId="61362432"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Jei abu geriamieji švirkštai pasimestų ar sugestų, kreipkitės į gydytoją ar vaistininką, kad patartų, kaip Jums toliau vartoti vaistą.</w:t>
      </w:r>
    </w:p>
    <w:p w14:paraId="75177E22" w14:textId="77777777" w:rsidR="00E850F6" w:rsidRPr="00D600DA" w:rsidRDefault="00E850F6" w:rsidP="00E850F6">
      <w:pPr>
        <w:spacing w:after="0" w:line="240" w:lineRule="auto"/>
        <w:rPr>
          <w:rFonts w:ascii="Times New Roman" w:hAnsi="Times New Roman"/>
          <w:lang w:eastAsia="ja-JP"/>
        </w:rPr>
      </w:pPr>
    </w:p>
    <w:p w14:paraId="214ED4BE" w14:textId="77777777" w:rsidR="00E850F6" w:rsidRPr="00D600DA" w:rsidRDefault="00E850F6" w:rsidP="00E850F6">
      <w:pPr>
        <w:tabs>
          <w:tab w:val="center" w:pos="4153"/>
          <w:tab w:val="right" w:pos="8306"/>
        </w:tabs>
        <w:spacing w:after="0" w:line="240" w:lineRule="auto"/>
        <w:rPr>
          <w:rFonts w:ascii="Times New Roman" w:hAnsi="Times New Roman"/>
          <w:b/>
          <w:u w:val="single"/>
          <w:lang w:eastAsia="ja-JP"/>
        </w:rPr>
      </w:pPr>
      <w:r w:rsidRPr="00D600DA">
        <w:rPr>
          <w:rFonts w:ascii="Times New Roman" w:hAnsi="Times New Roman"/>
          <w:b/>
          <w:u w:val="single"/>
          <w:lang w:eastAsia="ja-JP"/>
        </w:rPr>
        <w:t>Suaugusiesiems</w:t>
      </w:r>
    </w:p>
    <w:p w14:paraId="68443033" w14:textId="77777777" w:rsidR="00E850F6" w:rsidRPr="00D600DA" w:rsidRDefault="00E850F6" w:rsidP="00E850F6">
      <w:pPr>
        <w:tabs>
          <w:tab w:val="center" w:pos="4153"/>
          <w:tab w:val="right" w:pos="8306"/>
        </w:tabs>
        <w:spacing w:after="0" w:line="240" w:lineRule="auto"/>
        <w:rPr>
          <w:rFonts w:ascii="Times New Roman" w:hAnsi="Times New Roman"/>
          <w:b/>
          <w:lang w:eastAsia="ja-JP"/>
        </w:rPr>
      </w:pPr>
    </w:p>
    <w:p w14:paraId="1AF9F0B1" w14:textId="77777777" w:rsidR="00E850F6" w:rsidRPr="00D600DA" w:rsidRDefault="00E850F6" w:rsidP="00E850F6">
      <w:pPr>
        <w:tabs>
          <w:tab w:val="center" w:pos="4153"/>
          <w:tab w:val="right" w:pos="8306"/>
        </w:tabs>
        <w:spacing w:after="0" w:line="240" w:lineRule="auto"/>
        <w:rPr>
          <w:rFonts w:ascii="Times New Roman" w:hAnsi="Times New Roman"/>
          <w:b/>
          <w:lang w:eastAsia="ja-JP"/>
        </w:rPr>
      </w:pPr>
      <w:r w:rsidRPr="00D600DA">
        <w:rPr>
          <w:rFonts w:ascii="Times New Roman" w:hAnsi="Times New Roman"/>
          <w:b/>
          <w:lang w:eastAsia="ja-JP"/>
        </w:rPr>
        <w:t>CMV ligos prevencijai pacientams po transplantacijos</w:t>
      </w:r>
    </w:p>
    <w:p w14:paraId="019379D1"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Pradėkite vartoti vaistą per pirmąsias 10 parų po transplantacijos. Įprastinė dozė yra 900 mg Valcyte tirpalo VIENĄ KARTĄ per parą. Naudodami pakuotėje esantį geriamąjį švirkštą pamatuokite du kartus po </w:t>
      </w:r>
      <w:r w:rsidR="00B874EB">
        <w:rPr>
          <w:rFonts w:ascii="Times New Roman" w:hAnsi="Times New Roman"/>
          <w:lang w:eastAsia="ja-JP"/>
        </w:rPr>
        <w:t>9 ml (</w:t>
      </w:r>
      <w:r w:rsidRPr="00D600DA">
        <w:rPr>
          <w:rFonts w:ascii="Times New Roman" w:hAnsi="Times New Roman"/>
          <w:lang w:eastAsia="ja-JP"/>
        </w:rPr>
        <w:t>450 mg</w:t>
      </w:r>
      <w:r w:rsidR="00B874EB">
        <w:rPr>
          <w:rFonts w:ascii="Times New Roman" w:hAnsi="Times New Roman"/>
          <w:lang w:eastAsia="ja-JP"/>
        </w:rPr>
        <w:t>)</w:t>
      </w:r>
      <w:r w:rsidRPr="00D600DA">
        <w:rPr>
          <w:rFonts w:ascii="Times New Roman" w:hAnsi="Times New Roman"/>
          <w:lang w:eastAsia="ja-JP"/>
        </w:rPr>
        <w:t xml:space="preserve"> (t. y., 2 geriamuosius švirkštus, pripildytus iki </w:t>
      </w:r>
      <w:r w:rsidR="00B874EB">
        <w:rPr>
          <w:rFonts w:ascii="Times New Roman" w:hAnsi="Times New Roman"/>
          <w:lang w:eastAsia="ja-JP"/>
        </w:rPr>
        <w:t>9 ml (</w:t>
      </w:r>
      <w:r w:rsidRPr="00D600DA">
        <w:rPr>
          <w:rFonts w:ascii="Times New Roman" w:hAnsi="Times New Roman"/>
          <w:lang w:eastAsia="ja-JP"/>
        </w:rPr>
        <w:t>450 mg</w:t>
      </w:r>
      <w:r w:rsidR="00B874EB">
        <w:rPr>
          <w:rFonts w:ascii="Times New Roman" w:hAnsi="Times New Roman"/>
          <w:lang w:eastAsia="ja-JP"/>
        </w:rPr>
        <w:t>)</w:t>
      </w:r>
      <w:r w:rsidRPr="00D600DA">
        <w:rPr>
          <w:rFonts w:ascii="Times New Roman" w:hAnsi="Times New Roman"/>
          <w:lang w:eastAsia="ja-JP"/>
        </w:rPr>
        <w:t xml:space="preserve"> padalos) tirpalo. Vartokite tokią dozę ne ilgiau kaip 100 parų po transplantacijos. Jeigu Jums persodintas inkstas, gydytojas gali patarti vartoti tokią dozę 200 parų.</w:t>
      </w:r>
    </w:p>
    <w:p w14:paraId="11B4ED4B" w14:textId="77777777" w:rsidR="00E850F6" w:rsidRPr="00D600DA" w:rsidRDefault="00E850F6" w:rsidP="00E850F6">
      <w:pPr>
        <w:spacing w:after="0" w:line="240" w:lineRule="auto"/>
        <w:rPr>
          <w:rFonts w:ascii="Times New Roman" w:hAnsi="Times New Roman"/>
          <w:u w:val="single"/>
          <w:lang w:eastAsia="ja-JP"/>
        </w:rPr>
      </w:pPr>
    </w:p>
    <w:p w14:paraId="650009B9" w14:textId="77777777" w:rsidR="00E850F6" w:rsidRPr="00D600DA" w:rsidRDefault="00E850F6" w:rsidP="00E850F6">
      <w:pPr>
        <w:spacing w:after="0" w:line="240" w:lineRule="auto"/>
        <w:rPr>
          <w:rFonts w:ascii="Times New Roman" w:hAnsi="Times New Roman"/>
          <w:b/>
          <w:lang w:eastAsia="ja-JP"/>
        </w:rPr>
      </w:pPr>
      <w:r w:rsidRPr="00D600DA">
        <w:rPr>
          <w:rFonts w:ascii="Times New Roman" w:hAnsi="Times New Roman"/>
          <w:b/>
          <w:lang w:eastAsia="ja-JP"/>
        </w:rPr>
        <w:t>AIDS sergančių pacientų aktyvaus CMV retinito gydymas (vadinamasis indukcinis gydymas)</w:t>
      </w:r>
    </w:p>
    <w:p w14:paraId="4D81DB61"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Įprasta dozė yra po 900 mg Valcyte tirpalo DU KARTUS per parą 21 parą (tris savaites). Naudodami pakuotėje esantį geriamąjį švirkštą pamatuokite du kartus po </w:t>
      </w:r>
      <w:r w:rsidR="00B874EB">
        <w:rPr>
          <w:rFonts w:ascii="Times New Roman" w:hAnsi="Times New Roman"/>
          <w:lang w:eastAsia="ja-JP"/>
        </w:rPr>
        <w:t>9 ml (</w:t>
      </w:r>
      <w:r w:rsidRPr="00D600DA">
        <w:rPr>
          <w:rFonts w:ascii="Times New Roman" w:hAnsi="Times New Roman"/>
          <w:lang w:eastAsia="ja-JP"/>
        </w:rPr>
        <w:t>450 mg</w:t>
      </w:r>
      <w:r w:rsidR="00B874EB">
        <w:rPr>
          <w:rFonts w:ascii="Times New Roman" w:hAnsi="Times New Roman"/>
          <w:lang w:eastAsia="ja-JP"/>
        </w:rPr>
        <w:t>)</w:t>
      </w:r>
      <w:r w:rsidRPr="00D600DA">
        <w:rPr>
          <w:rFonts w:ascii="Times New Roman" w:hAnsi="Times New Roman"/>
          <w:lang w:eastAsia="ja-JP"/>
        </w:rPr>
        <w:t xml:space="preserve"> (t. y., 2 geriamuosius švirkštus, pripildytus iki </w:t>
      </w:r>
      <w:r w:rsidR="00B874EB">
        <w:rPr>
          <w:rFonts w:ascii="Times New Roman" w:hAnsi="Times New Roman"/>
          <w:lang w:eastAsia="ja-JP"/>
        </w:rPr>
        <w:t>9 ml (</w:t>
      </w:r>
      <w:r w:rsidRPr="00D600DA">
        <w:rPr>
          <w:rFonts w:ascii="Times New Roman" w:hAnsi="Times New Roman"/>
          <w:lang w:eastAsia="ja-JP"/>
        </w:rPr>
        <w:t>450 mg</w:t>
      </w:r>
      <w:r w:rsidR="00B874EB">
        <w:rPr>
          <w:rFonts w:ascii="Times New Roman" w:hAnsi="Times New Roman"/>
          <w:lang w:eastAsia="ja-JP"/>
        </w:rPr>
        <w:t>)</w:t>
      </w:r>
      <w:r w:rsidRPr="00D600DA">
        <w:rPr>
          <w:rFonts w:ascii="Times New Roman" w:hAnsi="Times New Roman"/>
          <w:lang w:eastAsia="ja-JP"/>
        </w:rPr>
        <w:t xml:space="preserve"> padalos) tirpalo rytais ir du kartus po </w:t>
      </w:r>
      <w:r w:rsidR="00B874EB">
        <w:rPr>
          <w:rFonts w:ascii="Times New Roman" w:hAnsi="Times New Roman"/>
          <w:lang w:eastAsia="ja-JP"/>
        </w:rPr>
        <w:t>9 ml (</w:t>
      </w:r>
      <w:r w:rsidRPr="00D600DA">
        <w:rPr>
          <w:rFonts w:ascii="Times New Roman" w:hAnsi="Times New Roman"/>
          <w:lang w:eastAsia="ja-JP"/>
        </w:rPr>
        <w:t>450 mg</w:t>
      </w:r>
      <w:r w:rsidR="00B874EB">
        <w:rPr>
          <w:rFonts w:ascii="Times New Roman" w:hAnsi="Times New Roman"/>
          <w:lang w:eastAsia="ja-JP"/>
        </w:rPr>
        <w:t>)</w:t>
      </w:r>
      <w:r w:rsidRPr="00D600DA">
        <w:rPr>
          <w:rFonts w:ascii="Times New Roman" w:hAnsi="Times New Roman"/>
          <w:lang w:eastAsia="ja-JP"/>
        </w:rPr>
        <w:t xml:space="preserve"> (t. y., 2 geriamuosius švirkštus, pripildytus iki </w:t>
      </w:r>
      <w:r w:rsidR="00B874EB">
        <w:rPr>
          <w:rFonts w:ascii="Times New Roman" w:hAnsi="Times New Roman"/>
          <w:lang w:eastAsia="ja-JP"/>
        </w:rPr>
        <w:t>9 ml (</w:t>
      </w:r>
      <w:r w:rsidRPr="00D600DA">
        <w:rPr>
          <w:rFonts w:ascii="Times New Roman" w:hAnsi="Times New Roman"/>
          <w:lang w:eastAsia="ja-JP"/>
        </w:rPr>
        <w:t>450 mg</w:t>
      </w:r>
      <w:r w:rsidR="00B874EB">
        <w:rPr>
          <w:rFonts w:ascii="Times New Roman" w:hAnsi="Times New Roman"/>
          <w:lang w:eastAsia="ja-JP"/>
        </w:rPr>
        <w:t>)</w:t>
      </w:r>
      <w:r w:rsidRPr="00D600DA">
        <w:rPr>
          <w:rFonts w:ascii="Times New Roman" w:hAnsi="Times New Roman"/>
          <w:lang w:eastAsia="ja-JP"/>
        </w:rPr>
        <w:t xml:space="preserve"> padalos) vakarais.</w:t>
      </w:r>
    </w:p>
    <w:p w14:paraId="09CA003E"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Tokiomis dozėmis nevartokite vaisto ilgiau negu 21 parą, jei gydytojas nenurodė, nes tai gali padidinti šalutinio poveikio pavojų.</w:t>
      </w:r>
    </w:p>
    <w:p w14:paraId="2578027F" w14:textId="77777777" w:rsidR="00E850F6" w:rsidRPr="00D600DA" w:rsidRDefault="00E850F6" w:rsidP="00E850F6">
      <w:pPr>
        <w:spacing w:after="0" w:line="240" w:lineRule="auto"/>
        <w:rPr>
          <w:rFonts w:ascii="Times New Roman" w:hAnsi="Times New Roman"/>
          <w:lang w:eastAsia="ja-JP"/>
        </w:rPr>
      </w:pPr>
    </w:p>
    <w:p w14:paraId="08048FEB" w14:textId="77777777" w:rsidR="00E850F6" w:rsidRPr="00D600DA" w:rsidRDefault="00E850F6" w:rsidP="00E850F6">
      <w:pPr>
        <w:spacing w:after="0" w:line="240" w:lineRule="auto"/>
        <w:outlineLvl w:val="5"/>
        <w:rPr>
          <w:rFonts w:ascii="Times New Roman" w:hAnsi="Times New Roman"/>
          <w:b/>
          <w:lang w:eastAsia="ja-JP"/>
        </w:rPr>
      </w:pPr>
      <w:r w:rsidRPr="00D600DA">
        <w:rPr>
          <w:rFonts w:ascii="Times New Roman" w:hAnsi="Times New Roman"/>
          <w:b/>
          <w:lang w:eastAsia="ja-JP"/>
        </w:rPr>
        <w:t>Ilgesnis gydymas, kad nepasikartotų AIDS sergančių pacientų aktyvus CMV retinitas (palaikomasis gydymas)</w:t>
      </w:r>
    </w:p>
    <w:p w14:paraId="3211CC51"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Įprasta dozė yra 900 mg Valcyte tirpalo VIENĄ KARTĄ per parą. Naudodami pakuotėje esantį geriamąjį švirkštą pamatuokite du kartus po </w:t>
      </w:r>
      <w:r w:rsidR="00B874EB">
        <w:rPr>
          <w:rFonts w:ascii="Times New Roman" w:hAnsi="Times New Roman"/>
          <w:lang w:eastAsia="ja-JP"/>
        </w:rPr>
        <w:t>9 ml (</w:t>
      </w:r>
      <w:r w:rsidRPr="00D600DA">
        <w:rPr>
          <w:rFonts w:ascii="Times New Roman" w:hAnsi="Times New Roman"/>
          <w:lang w:eastAsia="ja-JP"/>
        </w:rPr>
        <w:t>450 mg</w:t>
      </w:r>
      <w:r w:rsidR="00B874EB">
        <w:rPr>
          <w:rFonts w:ascii="Times New Roman" w:hAnsi="Times New Roman"/>
          <w:lang w:eastAsia="ja-JP"/>
        </w:rPr>
        <w:t>)</w:t>
      </w:r>
      <w:r w:rsidRPr="00D600DA">
        <w:rPr>
          <w:rFonts w:ascii="Times New Roman" w:hAnsi="Times New Roman"/>
          <w:lang w:eastAsia="ja-JP"/>
        </w:rPr>
        <w:t xml:space="preserve"> tirpalo (t. y., 2 geriamuosius švirkštus, pripildytus iki </w:t>
      </w:r>
      <w:r w:rsidR="00B874EB">
        <w:rPr>
          <w:rFonts w:ascii="Times New Roman" w:hAnsi="Times New Roman"/>
          <w:lang w:eastAsia="ja-JP"/>
        </w:rPr>
        <w:t>9 ml (</w:t>
      </w:r>
      <w:r w:rsidRPr="00D600DA">
        <w:rPr>
          <w:rFonts w:ascii="Times New Roman" w:hAnsi="Times New Roman"/>
          <w:lang w:eastAsia="ja-JP"/>
        </w:rPr>
        <w:t>450 mg</w:t>
      </w:r>
      <w:r w:rsidR="00B874EB">
        <w:rPr>
          <w:rFonts w:ascii="Times New Roman" w:hAnsi="Times New Roman"/>
          <w:lang w:eastAsia="ja-JP"/>
        </w:rPr>
        <w:t>)</w:t>
      </w:r>
      <w:r w:rsidRPr="00D600DA">
        <w:rPr>
          <w:rFonts w:ascii="Times New Roman" w:hAnsi="Times New Roman"/>
          <w:lang w:eastAsia="ja-JP"/>
        </w:rPr>
        <w:t xml:space="preserve"> padalos). Stenkitės vartoti tirpalą kasdien tuo pačiu laiku. Gydytojas pasakys, kaip ilgai vartoti Valcyte. Jei tebegydant tokia doze retinitas blogėja, gydytojas gali nurodyti pakartoti indukcinį gydymą (kaip pirmiau) arba nutarti skirti kitą vaistą CMV infekcijai gydyti.</w:t>
      </w:r>
    </w:p>
    <w:p w14:paraId="6FD7FDC3" w14:textId="77777777" w:rsidR="00E850F6" w:rsidRPr="00D600DA" w:rsidRDefault="00E850F6" w:rsidP="00E850F6">
      <w:pPr>
        <w:spacing w:after="0" w:line="240" w:lineRule="auto"/>
        <w:rPr>
          <w:rFonts w:ascii="Times New Roman" w:hAnsi="Times New Roman"/>
          <w:lang w:eastAsia="ja-JP"/>
        </w:rPr>
      </w:pPr>
    </w:p>
    <w:p w14:paraId="4C2F26D6"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b/>
          <w:lang w:eastAsia="ja-JP"/>
        </w:rPr>
        <w:t>Senyvi pacientai</w:t>
      </w:r>
    </w:p>
    <w:p w14:paraId="47F1C977"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Valcyte senyviems pacientams netirtas.</w:t>
      </w:r>
    </w:p>
    <w:p w14:paraId="21CABF63" w14:textId="77777777" w:rsidR="00E850F6" w:rsidRPr="00D600DA" w:rsidRDefault="00E850F6" w:rsidP="00E850F6">
      <w:pPr>
        <w:spacing w:after="0" w:line="240" w:lineRule="auto"/>
        <w:rPr>
          <w:rFonts w:ascii="Times New Roman" w:hAnsi="Times New Roman"/>
          <w:bCs/>
          <w:lang w:eastAsia="ja-JP"/>
        </w:rPr>
      </w:pPr>
    </w:p>
    <w:p w14:paraId="7A1CF4AE" w14:textId="77777777" w:rsidR="00E850F6" w:rsidRPr="00D600DA" w:rsidRDefault="00E850F6" w:rsidP="00E850F6">
      <w:pPr>
        <w:spacing w:after="0" w:line="240" w:lineRule="auto"/>
        <w:rPr>
          <w:rFonts w:ascii="Times New Roman" w:hAnsi="Times New Roman"/>
          <w:b/>
          <w:lang w:eastAsia="ja-JP"/>
        </w:rPr>
      </w:pPr>
      <w:r w:rsidRPr="00D600DA">
        <w:rPr>
          <w:rFonts w:ascii="Times New Roman" w:hAnsi="Times New Roman"/>
          <w:b/>
          <w:bCs/>
          <w:lang w:eastAsia="ja-JP"/>
        </w:rPr>
        <w:t>Pacientams, kurių inkstų veikla sutrikusi</w:t>
      </w:r>
    </w:p>
    <w:p w14:paraId="43E3AE7F"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Jeigu Jūsų inkstų veikla pablogėjusi, gydytojas gali patarti kasdien vartoti mažiau Valcyte tirpalo. </w:t>
      </w:r>
      <w:r w:rsidRPr="00D600DA">
        <w:rPr>
          <w:rFonts w:ascii="Times New Roman" w:hAnsi="Times New Roman"/>
          <w:b/>
          <w:lang w:eastAsia="ja-JP"/>
        </w:rPr>
        <w:t>Labai svarbu</w:t>
      </w:r>
      <w:r w:rsidRPr="00D600DA">
        <w:rPr>
          <w:rFonts w:ascii="Times New Roman" w:hAnsi="Times New Roman"/>
          <w:lang w:eastAsia="ja-JP"/>
        </w:rPr>
        <w:t xml:space="preserve"> laikytis gydytojo paskirtos dozės.</w:t>
      </w:r>
    </w:p>
    <w:p w14:paraId="10AA1E93" w14:textId="77777777" w:rsidR="00E850F6" w:rsidRPr="00D600DA" w:rsidRDefault="00E850F6" w:rsidP="00E850F6">
      <w:pPr>
        <w:tabs>
          <w:tab w:val="center" w:pos="4153"/>
          <w:tab w:val="right" w:pos="8306"/>
        </w:tabs>
        <w:spacing w:after="0" w:line="240" w:lineRule="auto"/>
        <w:rPr>
          <w:rFonts w:ascii="Times New Roman" w:hAnsi="Times New Roman"/>
          <w:lang w:eastAsia="ja-JP"/>
        </w:rPr>
      </w:pPr>
    </w:p>
    <w:p w14:paraId="6963981C" w14:textId="77777777" w:rsidR="00E850F6" w:rsidRPr="00D600DA" w:rsidRDefault="00E850F6" w:rsidP="00E850F6">
      <w:pPr>
        <w:keepNext/>
        <w:keepLines/>
        <w:spacing w:after="0" w:line="240" w:lineRule="auto"/>
        <w:rPr>
          <w:rFonts w:ascii="Times New Roman" w:hAnsi="Times New Roman"/>
          <w:b/>
          <w:bCs/>
          <w:lang w:eastAsia="ja-JP"/>
        </w:rPr>
      </w:pPr>
      <w:r w:rsidRPr="00D600DA">
        <w:rPr>
          <w:rFonts w:ascii="Times New Roman" w:hAnsi="Times New Roman"/>
          <w:b/>
          <w:bCs/>
          <w:lang w:eastAsia="ja-JP"/>
        </w:rPr>
        <w:lastRenderedPageBreak/>
        <w:t>Pacientams, kurių kepenų veikla sutrikusi</w:t>
      </w:r>
    </w:p>
    <w:p w14:paraId="2CCF588B" w14:textId="77777777" w:rsidR="00E850F6" w:rsidRPr="00D600DA" w:rsidRDefault="00E850F6" w:rsidP="00E850F6">
      <w:pPr>
        <w:keepNext/>
        <w:keepLines/>
        <w:spacing w:after="0" w:line="240" w:lineRule="auto"/>
        <w:rPr>
          <w:rFonts w:ascii="Times New Roman" w:hAnsi="Times New Roman"/>
          <w:lang w:eastAsia="ja-JP"/>
        </w:rPr>
      </w:pPr>
      <w:r w:rsidRPr="00D600DA">
        <w:rPr>
          <w:rFonts w:ascii="Times New Roman" w:hAnsi="Times New Roman"/>
          <w:lang w:eastAsia="ja-JP"/>
        </w:rPr>
        <w:t>Valcyte pacientams, kurių sutrikusi kepenų veikla, netirtas.</w:t>
      </w:r>
    </w:p>
    <w:p w14:paraId="29849554" w14:textId="77777777" w:rsidR="00E850F6" w:rsidRPr="00D600DA" w:rsidRDefault="00E850F6" w:rsidP="00E850F6">
      <w:pPr>
        <w:keepNext/>
        <w:tabs>
          <w:tab w:val="center" w:pos="4153"/>
          <w:tab w:val="right" w:pos="8306"/>
        </w:tabs>
        <w:spacing w:after="0" w:line="240" w:lineRule="auto"/>
        <w:rPr>
          <w:rFonts w:ascii="Times New Roman" w:hAnsi="Times New Roman"/>
          <w:b/>
          <w:u w:val="single"/>
        </w:rPr>
      </w:pPr>
    </w:p>
    <w:p w14:paraId="5E618045" w14:textId="77777777" w:rsidR="00E850F6" w:rsidRPr="00D600DA" w:rsidRDefault="00E850F6" w:rsidP="00E850F6">
      <w:pPr>
        <w:keepNext/>
        <w:tabs>
          <w:tab w:val="center" w:pos="4153"/>
          <w:tab w:val="right" w:pos="8306"/>
        </w:tabs>
        <w:spacing w:after="0" w:line="240" w:lineRule="auto"/>
        <w:rPr>
          <w:rFonts w:ascii="Times New Roman" w:eastAsia="Times New Roman" w:hAnsi="Times New Roman"/>
          <w:b/>
          <w:u w:val="single"/>
          <w:lang w:eastAsia="ja-JP"/>
        </w:rPr>
      </w:pPr>
      <w:r w:rsidRPr="00D600DA">
        <w:rPr>
          <w:rFonts w:ascii="Times New Roman" w:eastAsia="Times New Roman" w:hAnsi="Times New Roman"/>
          <w:b/>
          <w:u w:val="single"/>
          <w:lang w:eastAsia="ja-JP"/>
        </w:rPr>
        <w:t>Vartojimas vaikams ir paaugliams</w:t>
      </w:r>
    </w:p>
    <w:p w14:paraId="5D82BF37" w14:textId="77777777" w:rsidR="00E850F6" w:rsidRPr="00D600DA" w:rsidRDefault="00E850F6" w:rsidP="00E850F6">
      <w:pPr>
        <w:keepNext/>
        <w:tabs>
          <w:tab w:val="center" w:pos="4153"/>
          <w:tab w:val="right" w:pos="8306"/>
        </w:tabs>
        <w:spacing w:after="0" w:line="240" w:lineRule="auto"/>
        <w:rPr>
          <w:rFonts w:ascii="Times New Roman" w:eastAsia="Times New Roman" w:hAnsi="Times New Roman"/>
          <w:lang w:eastAsia="ja-JP"/>
        </w:rPr>
      </w:pPr>
    </w:p>
    <w:p w14:paraId="7BEE8D40" w14:textId="77777777" w:rsidR="00E850F6" w:rsidRPr="00D600DA" w:rsidRDefault="00E850F6" w:rsidP="00E850F6">
      <w:pPr>
        <w:keepNext/>
        <w:keepLines/>
        <w:tabs>
          <w:tab w:val="center" w:pos="4153"/>
          <w:tab w:val="right" w:pos="8306"/>
        </w:tabs>
        <w:spacing w:after="0" w:line="240" w:lineRule="auto"/>
        <w:rPr>
          <w:rFonts w:ascii="Times New Roman" w:eastAsia="Times New Roman" w:hAnsi="Times New Roman"/>
          <w:b/>
          <w:lang w:eastAsia="ja-JP"/>
        </w:rPr>
      </w:pPr>
      <w:r w:rsidRPr="00D600DA">
        <w:rPr>
          <w:rFonts w:ascii="Times New Roman" w:eastAsia="Times New Roman" w:hAnsi="Times New Roman"/>
          <w:b/>
          <w:lang w:eastAsia="ja-JP"/>
        </w:rPr>
        <w:t>CMV sukeltos ligos profilaktika pacientams su persodintu organu</w:t>
      </w:r>
    </w:p>
    <w:p w14:paraId="09ADBC26" w14:textId="77777777" w:rsidR="00E850F6" w:rsidRPr="00D600DA" w:rsidRDefault="00E850F6" w:rsidP="00E850F6">
      <w:pPr>
        <w:keepNext/>
        <w:keepLines/>
        <w:tabs>
          <w:tab w:val="center" w:pos="4153"/>
          <w:tab w:val="right" w:pos="8306"/>
        </w:tabs>
        <w:spacing w:after="0" w:line="240" w:lineRule="auto"/>
        <w:rPr>
          <w:rFonts w:ascii="Times New Roman" w:eastAsia="Times New Roman" w:hAnsi="Times New Roman"/>
          <w:lang w:eastAsia="ja-JP"/>
        </w:rPr>
      </w:pPr>
      <w:r w:rsidRPr="00D600DA">
        <w:rPr>
          <w:rFonts w:ascii="Times New Roman" w:eastAsia="Times New Roman" w:hAnsi="Times New Roman"/>
          <w:lang w:eastAsia="ja-JP"/>
        </w:rPr>
        <w:t>Vaikai turi pradėti vartoti šį vaistą per 10 dienų po transplantacijos operacijos. Dozė gali skirtis priklausomai nuo vaiko didumo ir turi būti geriama VIENĄ KARTĄ per parą. Remdamasis Jūsų vaiko ūgiu, kūno mase ir inkstų veikla tinkamiausią dozę nustatys gydytojas. Jūs turite toliau duoti šią dozę iki 100 dienų. Jeigu Jūsų vaikui yra persodintas inkstas, gydytojas gali patarti vartoti tokią dozę iki 200 dienų.</w:t>
      </w:r>
    </w:p>
    <w:p w14:paraId="6917C6DC" w14:textId="77777777" w:rsidR="00E850F6" w:rsidRPr="00D600DA" w:rsidRDefault="00E850F6" w:rsidP="00E850F6">
      <w:pPr>
        <w:spacing w:after="0" w:line="240" w:lineRule="auto"/>
        <w:rPr>
          <w:rFonts w:ascii="Times New Roman" w:hAnsi="Times New Roman"/>
          <w:lang w:eastAsia="ja-JP"/>
        </w:rPr>
      </w:pPr>
    </w:p>
    <w:p w14:paraId="5034C395" w14:textId="78A541BD"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Naudokitės pakuotėje esanči</w:t>
      </w:r>
      <w:r w:rsidR="00825E18">
        <w:rPr>
          <w:rFonts w:ascii="Times New Roman" w:hAnsi="Times New Roman"/>
          <w:lang w:eastAsia="ja-JP"/>
        </w:rPr>
        <w:t>ais</w:t>
      </w:r>
      <w:r w:rsidRPr="00D600DA">
        <w:rPr>
          <w:rFonts w:ascii="Times New Roman" w:hAnsi="Times New Roman"/>
          <w:lang w:eastAsia="ja-JP"/>
        </w:rPr>
        <w:t xml:space="preserve"> geriam</w:t>
      </w:r>
      <w:r w:rsidR="00825E18">
        <w:rPr>
          <w:rFonts w:ascii="Times New Roman" w:hAnsi="Times New Roman"/>
          <w:lang w:eastAsia="ja-JP"/>
        </w:rPr>
        <w:t>aisiais</w:t>
      </w:r>
      <w:r w:rsidRPr="00D600DA">
        <w:rPr>
          <w:rFonts w:ascii="Times New Roman" w:hAnsi="Times New Roman"/>
          <w:lang w:eastAsia="ja-JP"/>
        </w:rPr>
        <w:t xml:space="preserve"> švirkšt</w:t>
      </w:r>
      <w:r w:rsidR="00825E18">
        <w:rPr>
          <w:rFonts w:ascii="Times New Roman" w:hAnsi="Times New Roman"/>
          <w:lang w:eastAsia="ja-JP"/>
        </w:rPr>
        <w:t>ais</w:t>
      </w:r>
      <w:r w:rsidRPr="00D600DA">
        <w:rPr>
          <w:rFonts w:ascii="Times New Roman" w:hAnsi="Times New Roman"/>
          <w:lang w:eastAsia="ja-JP"/>
        </w:rPr>
        <w:t xml:space="preserve"> Valcyte tirpalo dozei matuoti.</w:t>
      </w:r>
    </w:p>
    <w:p w14:paraId="134006EB" w14:textId="77777777" w:rsidR="00E850F6" w:rsidRPr="00D600DA" w:rsidRDefault="00E850F6" w:rsidP="00E850F6">
      <w:pPr>
        <w:tabs>
          <w:tab w:val="center" w:pos="4153"/>
          <w:tab w:val="right" w:pos="8306"/>
        </w:tabs>
        <w:spacing w:after="0" w:line="240" w:lineRule="auto"/>
        <w:rPr>
          <w:rFonts w:ascii="Times New Roman" w:hAnsi="Times New Roman"/>
          <w:lang w:eastAsia="ja-JP"/>
        </w:rPr>
      </w:pPr>
    </w:p>
    <w:p w14:paraId="1A562C68" w14:textId="77777777" w:rsidR="00E850F6" w:rsidRPr="00D600DA" w:rsidRDefault="00E850F6" w:rsidP="00E850F6">
      <w:pPr>
        <w:tabs>
          <w:tab w:val="center" w:pos="4153"/>
          <w:tab w:val="right" w:pos="8306"/>
        </w:tabs>
        <w:spacing w:after="0" w:line="240" w:lineRule="auto"/>
        <w:rPr>
          <w:rFonts w:ascii="Times New Roman" w:hAnsi="Times New Roman"/>
          <w:lang w:eastAsia="ja-JP"/>
        </w:rPr>
      </w:pPr>
      <w:r w:rsidRPr="00D600DA">
        <w:rPr>
          <w:rFonts w:ascii="Times New Roman" w:hAnsi="Times New Roman"/>
          <w:b/>
          <w:lang w:eastAsia="ja-JP"/>
        </w:rPr>
        <w:t>Vartojimo metodas ir būdas</w:t>
      </w:r>
    </w:p>
    <w:p w14:paraId="76F24CBF" w14:textId="77777777" w:rsidR="00E850F6" w:rsidRPr="00D600DA" w:rsidRDefault="00E850F6" w:rsidP="00E850F6">
      <w:pPr>
        <w:tabs>
          <w:tab w:val="center" w:pos="4153"/>
          <w:tab w:val="right" w:pos="8306"/>
        </w:tabs>
        <w:spacing w:after="0" w:line="240" w:lineRule="auto"/>
        <w:rPr>
          <w:rFonts w:ascii="Times New Roman" w:hAnsi="Times New Roman"/>
          <w:lang w:eastAsia="ja-JP"/>
        </w:rPr>
      </w:pPr>
      <w:r w:rsidRPr="00D600DA">
        <w:rPr>
          <w:rFonts w:ascii="Times New Roman" w:hAnsi="Times New Roman"/>
          <w:lang w:eastAsia="ja-JP"/>
        </w:rPr>
        <w:t>Rekomenduojama, kad prieš perduodamas Jums Valcyte tirpalą paruoštų vaistininkas.</w:t>
      </w:r>
    </w:p>
    <w:p w14:paraId="487739B7" w14:textId="77777777" w:rsidR="00E850F6" w:rsidRPr="00D600DA" w:rsidRDefault="00E850F6" w:rsidP="00E850F6">
      <w:pPr>
        <w:tabs>
          <w:tab w:val="center" w:pos="4153"/>
          <w:tab w:val="right" w:pos="8306"/>
        </w:tabs>
        <w:spacing w:after="0" w:line="240" w:lineRule="auto"/>
        <w:rPr>
          <w:rFonts w:ascii="Times New Roman" w:hAnsi="Times New Roman"/>
          <w:lang w:eastAsia="ja-JP"/>
        </w:rPr>
      </w:pPr>
    </w:p>
    <w:p w14:paraId="20EE04EA" w14:textId="77777777" w:rsidR="00E850F6" w:rsidRPr="00D600DA" w:rsidRDefault="00E850F6" w:rsidP="00E850F6">
      <w:pPr>
        <w:tabs>
          <w:tab w:val="center" w:pos="4153"/>
          <w:tab w:val="right" w:pos="8306"/>
        </w:tabs>
        <w:spacing w:after="0" w:line="240" w:lineRule="auto"/>
        <w:rPr>
          <w:rFonts w:ascii="Times New Roman" w:hAnsi="Times New Roman"/>
          <w:u w:val="single"/>
          <w:lang w:eastAsia="ja-JP"/>
        </w:rPr>
      </w:pPr>
      <w:r w:rsidRPr="00D600DA">
        <w:rPr>
          <w:rFonts w:ascii="Times New Roman" w:hAnsi="Times New Roman"/>
          <w:u w:val="single"/>
          <w:lang w:eastAsia="ja-JP"/>
        </w:rPr>
        <w:t>Kai tirpalas jau paruoštas, laikykitės toliau pateikiamos instrukcijos, kaip paimti vaisto.</w:t>
      </w:r>
    </w:p>
    <w:p w14:paraId="663F39E8" w14:textId="77777777" w:rsidR="00E850F6" w:rsidRPr="00D600DA" w:rsidRDefault="00FB5B79" w:rsidP="00E850F6">
      <w:pPr>
        <w:tabs>
          <w:tab w:val="center" w:pos="4153"/>
          <w:tab w:val="right" w:pos="8306"/>
        </w:tabs>
        <w:spacing w:after="0" w:line="240" w:lineRule="auto"/>
        <w:rPr>
          <w:rFonts w:ascii="Times New Roman" w:hAnsi="Times New Roman"/>
          <w:lang w:eastAsia="ja-JP"/>
        </w:rPr>
      </w:pPr>
      <w:r>
        <w:rPr>
          <w:noProof/>
        </w:rPr>
        <w:drawing>
          <wp:inline distT="0" distB="0" distL="0" distR="0" wp14:anchorId="35852563" wp14:editId="4FF80A66">
            <wp:extent cx="5457139" cy="3611218"/>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70514" cy="3620068"/>
                    </a:xfrm>
                    <a:prstGeom prst="rect">
                      <a:avLst/>
                    </a:prstGeom>
                  </pic:spPr>
                </pic:pic>
              </a:graphicData>
            </a:graphic>
          </wp:inline>
        </w:drawing>
      </w:r>
    </w:p>
    <w:p w14:paraId="229D5C43" w14:textId="77777777" w:rsidR="00E850F6" w:rsidRPr="00D600DA" w:rsidRDefault="00E850F6" w:rsidP="00E850F6">
      <w:pPr>
        <w:numPr>
          <w:ilvl w:val="0"/>
          <w:numId w:val="9"/>
        </w:numPr>
        <w:tabs>
          <w:tab w:val="num" w:pos="567"/>
          <w:tab w:val="center" w:pos="4153"/>
          <w:tab w:val="right" w:pos="8306"/>
        </w:tabs>
        <w:spacing w:after="0" w:line="240" w:lineRule="auto"/>
        <w:ind w:left="567" w:hanging="567"/>
        <w:rPr>
          <w:rFonts w:ascii="Times New Roman" w:hAnsi="Times New Roman"/>
          <w:lang w:eastAsia="ja-JP"/>
        </w:rPr>
      </w:pPr>
      <w:r w:rsidRPr="00D600DA">
        <w:rPr>
          <w:rFonts w:ascii="Times New Roman" w:hAnsi="Times New Roman"/>
          <w:lang w:eastAsia="ja-JP"/>
        </w:rPr>
        <w:t>Prieš kiekvieną vartojimą užkimštą buteliuką apie 5 sekundes gerai papurtykite.</w:t>
      </w:r>
    </w:p>
    <w:p w14:paraId="09E94E29" w14:textId="77777777" w:rsidR="00E850F6" w:rsidRPr="00D600DA" w:rsidRDefault="00E850F6" w:rsidP="00E850F6">
      <w:pPr>
        <w:numPr>
          <w:ilvl w:val="0"/>
          <w:numId w:val="9"/>
        </w:numPr>
        <w:tabs>
          <w:tab w:val="num" w:pos="567"/>
          <w:tab w:val="right" w:pos="8306"/>
        </w:tabs>
        <w:spacing w:after="0" w:line="240" w:lineRule="auto"/>
        <w:ind w:left="567" w:hanging="567"/>
        <w:rPr>
          <w:rFonts w:ascii="Times New Roman" w:hAnsi="Times New Roman"/>
          <w:lang w:eastAsia="ja-JP"/>
        </w:rPr>
      </w:pPr>
      <w:r w:rsidRPr="00D600DA">
        <w:rPr>
          <w:rFonts w:ascii="Times New Roman" w:hAnsi="Times New Roman"/>
          <w:lang w:eastAsia="ja-JP"/>
        </w:rPr>
        <w:t>Atsukite vaikų sunkiai atidaromą buteliuko dangtelį.</w:t>
      </w:r>
    </w:p>
    <w:p w14:paraId="566829E0" w14:textId="77777777" w:rsidR="00E850F6" w:rsidRPr="00D600DA" w:rsidRDefault="00E850F6" w:rsidP="00E850F6">
      <w:pPr>
        <w:numPr>
          <w:ilvl w:val="0"/>
          <w:numId w:val="9"/>
        </w:numPr>
        <w:tabs>
          <w:tab w:val="num" w:pos="567"/>
          <w:tab w:val="center" w:pos="4153"/>
          <w:tab w:val="right" w:pos="8306"/>
        </w:tabs>
        <w:spacing w:after="0" w:line="240" w:lineRule="auto"/>
        <w:ind w:left="567" w:hanging="567"/>
        <w:rPr>
          <w:rFonts w:ascii="Times New Roman" w:hAnsi="Times New Roman"/>
          <w:lang w:eastAsia="ja-JP"/>
        </w:rPr>
      </w:pPr>
      <w:r w:rsidRPr="00D600DA">
        <w:rPr>
          <w:rFonts w:ascii="Times New Roman" w:hAnsi="Times New Roman"/>
          <w:lang w:eastAsia="ja-JP"/>
        </w:rPr>
        <w:t>Prieš kišdami geriamojo švirkšto galiuką į buteliuko adapterį, nustumkite stūmoklį iki pat galiuko. Tvirtai įstatykite galiuką į buteliuko adapterio angą.</w:t>
      </w:r>
    </w:p>
    <w:p w14:paraId="751B4BF1" w14:textId="77777777" w:rsidR="00E850F6" w:rsidRPr="00D600DA" w:rsidRDefault="00E850F6" w:rsidP="00E850F6">
      <w:pPr>
        <w:numPr>
          <w:ilvl w:val="0"/>
          <w:numId w:val="9"/>
        </w:numPr>
        <w:tabs>
          <w:tab w:val="num" w:pos="567"/>
          <w:tab w:val="center" w:pos="4153"/>
          <w:tab w:val="right" w:pos="8306"/>
        </w:tabs>
        <w:spacing w:after="0" w:line="240" w:lineRule="auto"/>
        <w:ind w:left="567" w:hanging="567"/>
        <w:rPr>
          <w:rFonts w:ascii="Times New Roman" w:hAnsi="Times New Roman"/>
          <w:lang w:eastAsia="ja-JP"/>
        </w:rPr>
      </w:pPr>
      <w:r w:rsidRPr="00D600DA">
        <w:rPr>
          <w:rFonts w:ascii="Times New Roman" w:hAnsi="Times New Roman"/>
          <w:lang w:eastAsia="ja-JP"/>
        </w:rPr>
        <w:t>Apverskite visą šį įtaisą (buteliuką ir geriamąjį švirkštą) dugnu į viršų.</w:t>
      </w:r>
    </w:p>
    <w:p w14:paraId="333D4706" w14:textId="77777777" w:rsidR="00E850F6" w:rsidRPr="00D600DA" w:rsidRDefault="00E850F6" w:rsidP="00E850F6">
      <w:pPr>
        <w:numPr>
          <w:ilvl w:val="0"/>
          <w:numId w:val="9"/>
        </w:numPr>
        <w:tabs>
          <w:tab w:val="num" w:pos="567"/>
          <w:tab w:val="center" w:pos="4153"/>
          <w:tab w:val="right" w:pos="8306"/>
        </w:tabs>
        <w:spacing w:after="0" w:line="240" w:lineRule="auto"/>
        <w:ind w:left="567" w:hanging="567"/>
        <w:rPr>
          <w:rFonts w:ascii="Times New Roman" w:hAnsi="Times New Roman"/>
          <w:lang w:eastAsia="ja-JP"/>
        </w:rPr>
      </w:pPr>
      <w:r w:rsidRPr="00D600DA">
        <w:rPr>
          <w:rFonts w:ascii="Times New Roman" w:hAnsi="Times New Roman"/>
          <w:lang w:eastAsia="ja-JP"/>
        </w:rPr>
        <w:t>Lėtai traukite stūmoklį, kol į geriamąjį švirkštą pateks norimas tirpalo kiekis (žr. diagramą).</w:t>
      </w:r>
    </w:p>
    <w:p w14:paraId="50DA8F5D" w14:textId="77777777" w:rsidR="00E850F6" w:rsidRPr="00D600DA" w:rsidRDefault="00E850F6" w:rsidP="00E850F6">
      <w:pPr>
        <w:numPr>
          <w:ilvl w:val="0"/>
          <w:numId w:val="9"/>
        </w:numPr>
        <w:tabs>
          <w:tab w:val="num" w:pos="567"/>
          <w:tab w:val="center" w:pos="4153"/>
          <w:tab w:val="right" w:pos="8306"/>
        </w:tabs>
        <w:spacing w:after="0" w:line="240" w:lineRule="auto"/>
        <w:ind w:left="567" w:hanging="567"/>
        <w:rPr>
          <w:rFonts w:ascii="Times New Roman" w:hAnsi="Times New Roman"/>
          <w:lang w:eastAsia="ja-JP"/>
        </w:rPr>
      </w:pPr>
      <w:r w:rsidRPr="00D600DA">
        <w:rPr>
          <w:rFonts w:ascii="Times New Roman" w:hAnsi="Times New Roman"/>
          <w:lang w:eastAsia="ja-JP"/>
        </w:rPr>
        <w:t>Apverskite šį įtaisą dugnu žemyn ir atsargiai nuimkite geriamąjį švirkštą nuo buteliuko.</w:t>
      </w:r>
    </w:p>
    <w:p w14:paraId="6BBAC8FC" w14:textId="77777777" w:rsidR="00E850F6" w:rsidRPr="00D600DA" w:rsidRDefault="00E850F6" w:rsidP="00E850F6">
      <w:pPr>
        <w:numPr>
          <w:ilvl w:val="0"/>
          <w:numId w:val="9"/>
        </w:numPr>
        <w:tabs>
          <w:tab w:val="num" w:pos="567"/>
          <w:tab w:val="center" w:pos="4153"/>
          <w:tab w:val="right" w:pos="8306"/>
        </w:tabs>
        <w:spacing w:after="0" w:line="240" w:lineRule="auto"/>
        <w:ind w:left="567" w:hanging="567"/>
        <w:rPr>
          <w:rFonts w:ascii="Times New Roman" w:hAnsi="Times New Roman"/>
          <w:lang w:eastAsia="ja-JP"/>
        </w:rPr>
      </w:pPr>
      <w:r w:rsidRPr="00D600DA">
        <w:rPr>
          <w:rFonts w:ascii="Times New Roman" w:hAnsi="Times New Roman"/>
          <w:lang w:eastAsia="ja-JP"/>
        </w:rPr>
        <w:t>Susipilkite tirpalą tiesiai į burną ir nurykite. Nemaišykite tirpalo su jokiais skysčiais.</w:t>
      </w:r>
    </w:p>
    <w:p w14:paraId="77BD6274" w14:textId="77777777" w:rsidR="00E850F6" w:rsidRPr="00D600DA" w:rsidRDefault="00E850F6" w:rsidP="00E850F6">
      <w:pPr>
        <w:numPr>
          <w:ilvl w:val="0"/>
          <w:numId w:val="9"/>
        </w:numPr>
        <w:tabs>
          <w:tab w:val="num" w:pos="567"/>
          <w:tab w:val="center" w:pos="4153"/>
          <w:tab w:val="right" w:pos="8306"/>
        </w:tabs>
        <w:spacing w:after="0" w:line="240" w:lineRule="auto"/>
        <w:ind w:left="567" w:hanging="567"/>
        <w:rPr>
          <w:rFonts w:ascii="Times New Roman" w:hAnsi="Times New Roman"/>
          <w:lang w:eastAsia="ja-JP"/>
        </w:rPr>
      </w:pPr>
      <w:r w:rsidRPr="00D600DA">
        <w:rPr>
          <w:rFonts w:ascii="Times New Roman" w:hAnsi="Times New Roman"/>
          <w:lang w:eastAsia="ja-JP"/>
        </w:rPr>
        <w:t>Po kiekvieno vartojimo užsukite buteliuką vaikų sunkiai atidaromu dangteliu.</w:t>
      </w:r>
    </w:p>
    <w:p w14:paraId="37770689" w14:textId="77777777" w:rsidR="00E850F6" w:rsidRPr="00D600DA" w:rsidRDefault="00E850F6" w:rsidP="00E850F6">
      <w:pPr>
        <w:numPr>
          <w:ilvl w:val="0"/>
          <w:numId w:val="9"/>
        </w:numPr>
        <w:tabs>
          <w:tab w:val="num" w:pos="567"/>
          <w:tab w:val="center" w:pos="4153"/>
          <w:tab w:val="right" w:pos="8306"/>
        </w:tabs>
        <w:spacing w:after="0" w:line="240" w:lineRule="auto"/>
        <w:ind w:left="567" w:hanging="567"/>
        <w:rPr>
          <w:rFonts w:ascii="Times New Roman" w:hAnsi="Times New Roman"/>
          <w:lang w:eastAsia="ja-JP"/>
        </w:rPr>
      </w:pPr>
      <w:r w:rsidRPr="00D600DA">
        <w:rPr>
          <w:rFonts w:ascii="Times New Roman" w:hAnsi="Times New Roman"/>
          <w:lang w:eastAsia="ja-JP"/>
        </w:rPr>
        <w:t>Iškart po vartojimo:</w:t>
      </w:r>
      <w:r w:rsidRPr="00D600DA">
        <w:rPr>
          <w:rFonts w:ascii="Times New Roman" w:hAnsi="Times New Roman"/>
          <w:lang w:eastAsia="ja-JP"/>
        </w:rPr>
        <w:br/>
        <w:t>išardykite geriamąjį švirkštą, nuplaukite tekančiu vandentiekio vandeniu ir iki kito vartojimo išdžiovinkite ore.</w:t>
      </w:r>
    </w:p>
    <w:p w14:paraId="6C427C20" w14:textId="77777777" w:rsidR="00E850F6" w:rsidRPr="00D600DA" w:rsidRDefault="00E850F6" w:rsidP="00E850F6">
      <w:pPr>
        <w:tabs>
          <w:tab w:val="center" w:pos="4153"/>
          <w:tab w:val="right" w:pos="8306"/>
        </w:tabs>
        <w:spacing w:after="0" w:line="240" w:lineRule="auto"/>
        <w:rPr>
          <w:rFonts w:ascii="Times New Roman" w:hAnsi="Times New Roman"/>
          <w:lang w:eastAsia="ja-JP"/>
        </w:rPr>
      </w:pPr>
    </w:p>
    <w:p w14:paraId="4DA0C6F8" w14:textId="77777777" w:rsidR="00E850F6" w:rsidRPr="00D600DA" w:rsidRDefault="00E850F6" w:rsidP="00E850F6">
      <w:pPr>
        <w:tabs>
          <w:tab w:val="center" w:pos="4153"/>
          <w:tab w:val="right" w:pos="8306"/>
        </w:tabs>
        <w:spacing w:after="0" w:line="240" w:lineRule="auto"/>
        <w:rPr>
          <w:rFonts w:ascii="Times New Roman" w:hAnsi="Times New Roman"/>
          <w:lang w:eastAsia="ja-JP"/>
        </w:rPr>
      </w:pPr>
      <w:r w:rsidRPr="00D600DA">
        <w:rPr>
          <w:rFonts w:ascii="Times New Roman" w:hAnsi="Times New Roman"/>
          <w:lang w:eastAsia="ja-JP"/>
        </w:rPr>
        <w:t>Reikia stengtis, kad tirpalo nepatektų ant odos. Jeigu taip atsitiktų, kruopščiai nuplaukite odą vandeniu ir muilu.</w:t>
      </w:r>
    </w:p>
    <w:p w14:paraId="2BFDEEF0" w14:textId="77777777" w:rsidR="00E850F6" w:rsidRPr="00D600DA" w:rsidRDefault="00E850F6" w:rsidP="00E850F6">
      <w:pPr>
        <w:tabs>
          <w:tab w:val="center" w:pos="4153"/>
          <w:tab w:val="right" w:pos="8306"/>
        </w:tabs>
        <w:spacing w:after="0" w:line="240" w:lineRule="auto"/>
        <w:rPr>
          <w:rFonts w:ascii="Times New Roman" w:hAnsi="Times New Roman"/>
          <w:lang w:eastAsia="ja-JP"/>
        </w:rPr>
      </w:pPr>
      <w:r w:rsidRPr="00D600DA">
        <w:rPr>
          <w:rFonts w:ascii="Times New Roman" w:hAnsi="Times New Roman"/>
          <w:lang w:eastAsia="ja-JP"/>
        </w:rPr>
        <w:t>Nevartokite tirpalo pasibaigus tinkamumo laikui, t. y. praėjus 49 dienoms po jo paruošimo.</w:t>
      </w:r>
    </w:p>
    <w:p w14:paraId="47C434AB" w14:textId="77777777" w:rsidR="00E850F6" w:rsidRPr="00D600DA" w:rsidRDefault="00E850F6" w:rsidP="00E850F6">
      <w:pPr>
        <w:tabs>
          <w:tab w:val="center" w:pos="4153"/>
          <w:tab w:val="right" w:pos="8306"/>
        </w:tabs>
        <w:spacing w:after="0" w:line="240" w:lineRule="auto"/>
        <w:rPr>
          <w:rFonts w:ascii="Times New Roman" w:hAnsi="Times New Roman"/>
          <w:lang w:eastAsia="ja-JP"/>
        </w:rPr>
      </w:pPr>
    </w:p>
    <w:p w14:paraId="4D2568E6" w14:textId="77777777" w:rsidR="00E850F6" w:rsidRPr="00D600DA" w:rsidRDefault="00E850F6" w:rsidP="00E850F6">
      <w:pPr>
        <w:spacing w:after="0" w:line="240" w:lineRule="auto"/>
        <w:ind w:right="-2"/>
        <w:rPr>
          <w:rFonts w:ascii="Times New Roman" w:hAnsi="Times New Roman"/>
          <w:lang w:eastAsia="ja-JP"/>
        </w:rPr>
      </w:pPr>
      <w:r w:rsidRPr="00D600DA">
        <w:rPr>
          <w:rFonts w:ascii="Times New Roman" w:hAnsi="Times New Roman"/>
          <w:b/>
          <w:lang w:eastAsia="ja-JP"/>
        </w:rPr>
        <w:lastRenderedPageBreak/>
        <w:t>Ką daryti pavartojus per didelę Valcyte dozę?</w:t>
      </w:r>
    </w:p>
    <w:p w14:paraId="2F362529"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Jeigu suvartojote arba manote, kad suvartojote daugiau Valcyte tirpalo negu reikėjo, nedelsdami kreipkitės į gydytoją arba vykite į ligoninę. Didesnės dozės negu paskirta vartojimas gali sukelti sunkių šalutinių reiškinių, ypač pakenkti kraujui arba inkstams. Gali reikėti Jus gydyti ligoninėje.</w:t>
      </w:r>
    </w:p>
    <w:p w14:paraId="4B3C550F" w14:textId="77777777" w:rsidR="00E850F6" w:rsidRPr="00D600DA" w:rsidRDefault="00E850F6" w:rsidP="00E850F6">
      <w:pPr>
        <w:spacing w:after="0" w:line="240" w:lineRule="auto"/>
        <w:rPr>
          <w:rFonts w:ascii="Times New Roman" w:hAnsi="Times New Roman"/>
          <w:lang w:eastAsia="ja-JP"/>
        </w:rPr>
      </w:pPr>
    </w:p>
    <w:p w14:paraId="6497FF02" w14:textId="77777777" w:rsidR="00E850F6" w:rsidRPr="00D600DA" w:rsidRDefault="00E850F6" w:rsidP="00E850F6">
      <w:pPr>
        <w:keepNext/>
        <w:spacing w:after="0" w:line="240" w:lineRule="auto"/>
        <w:rPr>
          <w:rFonts w:ascii="Times New Roman" w:hAnsi="Times New Roman"/>
          <w:lang w:eastAsia="ja-JP"/>
        </w:rPr>
      </w:pPr>
      <w:r w:rsidRPr="00D600DA">
        <w:rPr>
          <w:rFonts w:ascii="Times New Roman" w:hAnsi="Times New Roman"/>
          <w:b/>
          <w:lang w:eastAsia="ja-JP"/>
        </w:rPr>
        <w:t>Pamiršus pavartoti Valcyte</w:t>
      </w:r>
    </w:p>
    <w:p w14:paraId="361ED268" w14:textId="77777777" w:rsidR="00E850F6" w:rsidRPr="00D600DA" w:rsidRDefault="00E850F6" w:rsidP="00E850F6">
      <w:pPr>
        <w:keepNext/>
        <w:spacing w:after="0" w:line="240" w:lineRule="auto"/>
        <w:rPr>
          <w:rFonts w:ascii="Times New Roman" w:hAnsi="Times New Roman"/>
          <w:lang w:eastAsia="ja-JP"/>
        </w:rPr>
      </w:pPr>
      <w:r w:rsidRPr="00D600DA">
        <w:rPr>
          <w:rFonts w:ascii="Times New Roman" w:hAnsi="Times New Roman"/>
          <w:lang w:eastAsia="ja-JP"/>
        </w:rPr>
        <w:t>Jei praleidote Valcyte dozę, suvartokite ją, kai tik prisiminsite, paskui vartokite vaistą įprastu laiku. Negalima vartoti dvigubos dozės norint kompensuoti praleistą dozę.</w:t>
      </w:r>
    </w:p>
    <w:p w14:paraId="577AC216" w14:textId="77777777" w:rsidR="00E850F6" w:rsidRPr="00D600DA" w:rsidRDefault="00E850F6" w:rsidP="00E850F6">
      <w:pPr>
        <w:spacing w:after="0" w:line="240" w:lineRule="auto"/>
        <w:ind w:right="-2"/>
        <w:rPr>
          <w:rFonts w:ascii="Times New Roman" w:hAnsi="Times New Roman"/>
          <w:lang w:eastAsia="ja-JP"/>
        </w:rPr>
      </w:pPr>
    </w:p>
    <w:p w14:paraId="1B74ABD3" w14:textId="77777777" w:rsidR="00E850F6" w:rsidRPr="00D600DA" w:rsidRDefault="00E850F6" w:rsidP="00E850F6">
      <w:pPr>
        <w:spacing w:after="0" w:line="240" w:lineRule="auto"/>
        <w:ind w:right="-2"/>
        <w:rPr>
          <w:rFonts w:ascii="Times New Roman" w:hAnsi="Times New Roman"/>
          <w:lang w:eastAsia="ja-JP"/>
        </w:rPr>
      </w:pPr>
      <w:r w:rsidRPr="00D600DA">
        <w:rPr>
          <w:rFonts w:ascii="Times New Roman" w:hAnsi="Times New Roman"/>
          <w:b/>
          <w:lang w:eastAsia="ja-JP"/>
        </w:rPr>
        <w:t>Nustojus vartoti Valcyte</w:t>
      </w:r>
    </w:p>
    <w:p w14:paraId="65F06B5B" w14:textId="77777777" w:rsidR="00E850F6" w:rsidRPr="00D600DA" w:rsidRDefault="00E850F6" w:rsidP="00E850F6">
      <w:pPr>
        <w:spacing w:after="0" w:line="240" w:lineRule="auto"/>
        <w:ind w:right="-2"/>
        <w:rPr>
          <w:rFonts w:ascii="Times New Roman" w:hAnsi="Times New Roman"/>
          <w:lang w:eastAsia="ja-JP"/>
        </w:rPr>
      </w:pPr>
      <w:r w:rsidRPr="00D600DA">
        <w:rPr>
          <w:rFonts w:ascii="Times New Roman" w:hAnsi="Times New Roman"/>
          <w:lang w:eastAsia="ja-JP"/>
        </w:rPr>
        <w:t>Nenustokite vartoti vaisto, jei gydytojas nenurodė.</w:t>
      </w:r>
    </w:p>
    <w:p w14:paraId="53537A9E" w14:textId="77777777" w:rsidR="00E850F6" w:rsidRPr="00D600DA" w:rsidRDefault="00E850F6" w:rsidP="00E850F6">
      <w:pPr>
        <w:spacing w:after="0" w:line="240" w:lineRule="auto"/>
        <w:ind w:right="-2"/>
        <w:rPr>
          <w:rFonts w:ascii="Times New Roman" w:hAnsi="Times New Roman"/>
          <w:lang w:eastAsia="ja-JP"/>
        </w:rPr>
      </w:pPr>
    </w:p>
    <w:p w14:paraId="4493E334" w14:textId="77777777" w:rsidR="00E850F6" w:rsidRPr="00D600DA" w:rsidRDefault="00E850F6" w:rsidP="00E850F6">
      <w:pPr>
        <w:spacing w:after="0" w:line="240" w:lineRule="auto"/>
        <w:ind w:right="-2"/>
        <w:rPr>
          <w:rFonts w:ascii="Times New Roman" w:hAnsi="Times New Roman"/>
          <w:lang w:eastAsia="ja-JP"/>
        </w:rPr>
      </w:pPr>
      <w:r w:rsidRPr="00D600DA">
        <w:rPr>
          <w:rFonts w:ascii="Times New Roman" w:hAnsi="Times New Roman"/>
          <w:lang w:eastAsia="ja-JP"/>
        </w:rPr>
        <w:t>Jeigu kiltų daugiau klausimų dėl šio vaisto vartojimo, kreipkitės į gydytoją arba vaistininką</w:t>
      </w:r>
    </w:p>
    <w:p w14:paraId="788019A1" w14:textId="77777777" w:rsidR="00E850F6" w:rsidRPr="00D600DA" w:rsidRDefault="00E850F6" w:rsidP="00E850F6">
      <w:pPr>
        <w:spacing w:after="0" w:line="240" w:lineRule="auto"/>
        <w:ind w:right="-2"/>
        <w:rPr>
          <w:rFonts w:ascii="Times New Roman" w:hAnsi="Times New Roman"/>
          <w:lang w:eastAsia="ja-JP"/>
        </w:rPr>
      </w:pPr>
    </w:p>
    <w:p w14:paraId="65642A3A" w14:textId="77777777" w:rsidR="00E850F6" w:rsidRPr="00D600DA" w:rsidRDefault="00E850F6" w:rsidP="00E850F6">
      <w:pPr>
        <w:spacing w:after="0" w:line="240" w:lineRule="auto"/>
        <w:ind w:right="-2"/>
        <w:rPr>
          <w:rFonts w:ascii="Times New Roman" w:hAnsi="Times New Roman"/>
          <w:lang w:eastAsia="ja-JP"/>
        </w:rPr>
      </w:pPr>
    </w:p>
    <w:p w14:paraId="4EB4CCE9" w14:textId="77777777" w:rsidR="00E850F6" w:rsidRPr="00D600DA" w:rsidRDefault="00E850F6" w:rsidP="00E850F6">
      <w:pPr>
        <w:spacing w:after="0" w:line="240" w:lineRule="auto"/>
        <w:ind w:left="567" w:right="-2" w:hanging="567"/>
        <w:rPr>
          <w:rFonts w:ascii="Times New Roman" w:hAnsi="Times New Roman"/>
          <w:lang w:eastAsia="ja-JP"/>
        </w:rPr>
      </w:pPr>
      <w:r w:rsidRPr="00D600DA">
        <w:rPr>
          <w:rFonts w:ascii="Times New Roman" w:hAnsi="Times New Roman"/>
          <w:b/>
          <w:lang w:eastAsia="ja-JP"/>
        </w:rPr>
        <w:t>4.</w:t>
      </w:r>
      <w:r w:rsidRPr="00D600DA">
        <w:rPr>
          <w:rFonts w:ascii="Times New Roman" w:hAnsi="Times New Roman"/>
          <w:b/>
          <w:lang w:eastAsia="ja-JP"/>
        </w:rPr>
        <w:tab/>
        <w:t>Galimas šalutinis poveikis</w:t>
      </w:r>
    </w:p>
    <w:p w14:paraId="0925D852" w14:textId="77777777" w:rsidR="00E850F6" w:rsidRPr="00D600DA" w:rsidRDefault="00E850F6" w:rsidP="00E850F6">
      <w:pPr>
        <w:spacing w:after="0" w:line="240" w:lineRule="auto"/>
        <w:ind w:right="-29"/>
        <w:rPr>
          <w:rFonts w:ascii="Times New Roman" w:hAnsi="Times New Roman"/>
          <w:lang w:eastAsia="ja-JP"/>
        </w:rPr>
      </w:pPr>
    </w:p>
    <w:p w14:paraId="0BE874D2" w14:textId="77777777" w:rsidR="00E850F6" w:rsidRPr="00F36DBF" w:rsidRDefault="00E850F6" w:rsidP="00E850F6">
      <w:pPr>
        <w:spacing w:after="0" w:line="240" w:lineRule="auto"/>
        <w:ind w:right="-29"/>
        <w:rPr>
          <w:rFonts w:ascii="Times New Roman" w:eastAsia="Times New Roman" w:hAnsi="Times New Roman"/>
          <w:lang w:eastAsia="ja-JP"/>
        </w:rPr>
      </w:pPr>
      <w:r w:rsidRPr="00F36DBF">
        <w:rPr>
          <w:rFonts w:ascii="Times New Roman" w:eastAsia="Times New Roman" w:hAnsi="Times New Roman"/>
          <w:lang w:eastAsia="ja-JP"/>
        </w:rPr>
        <w:t>Šis vaistas, kaip ir visi kiti, gali sukelti šalutinį poveikį, nors jis pasireiškia ne visiems žmonėms.</w:t>
      </w:r>
    </w:p>
    <w:p w14:paraId="6FD64426" w14:textId="77777777" w:rsidR="00E850F6" w:rsidRPr="00F36DBF" w:rsidRDefault="00E850F6" w:rsidP="00E850F6">
      <w:pPr>
        <w:spacing w:after="0" w:line="240" w:lineRule="auto"/>
        <w:ind w:right="-29"/>
        <w:rPr>
          <w:rFonts w:ascii="Times New Roman" w:eastAsia="Times New Roman" w:hAnsi="Times New Roman"/>
          <w:lang w:eastAsia="ja-JP"/>
        </w:rPr>
      </w:pPr>
    </w:p>
    <w:p w14:paraId="0A0157ED" w14:textId="77777777" w:rsidR="00E850F6" w:rsidRPr="00F36DBF" w:rsidRDefault="00E850F6" w:rsidP="00E850F6">
      <w:pPr>
        <w:spacing w:after="0" w:line="240" w:lineRule="auto"/>
        <w:ind w:right="-29"/>
        <w:rPr>
          <w:rFonts w:ascii="Times New Roman" w:eastAsia="Times New Roman" w:hAnsi="Times New Roman"/>
          <w:lang w:eastAsia="ja-JP"/>
        </w:rPr>
      </w:pPr>
      <w:r w:rsidRPr="00F36DBF">
        <w:rPr>
          <w:rFonts w:ascii="Times New Roman" w:eastAsia="Times New Roman" w:hAnsi="Times New Roman"/>
          <w:b/>
          <w:lang w:eastAsia="ja-JP"/>
        </w:rPr>
        <w:t>Alerginės reakcijos</w:t>
      </w:r>
    </w:p>
    <w:p w14:paraId="7096C4C9" w14:textId="77777777" w:rsidR="00E850F6" w:rsidRPr="00F36DBF" w:rsidRDefault="00E850F6" w:rsidP="00E850F6">
      <w:pPr>
        <w:spacing w:after="0" w:line="240" w:lineRule="auto"/>
        <w:ind w:right="-29"/>
        <w:rPr>
          <w:rFonts w:ascii="Times New Roman" w:eastAsia="Times New Roman" w:hAnsi="Times New Roman"/>
          <w:lang w:eastAsia="ja-JP"/>
        </w:rPr>
      </w:pPr>
      <w:r w:rsidRPr="00F36DBF">
        <w:rPr>
          <w:rFonts w:ascii="Times New Roman" w:eastAsia="Times New Roman" w:hAnsi="Times New Roman"/>
          <w:lang w:eastAsia="ja-JP"/>
        </w:rPr>
        <w:t>Ne daugiau kaip vienam iš 100</w:t>
      </w:r>
      <w:r>
        <w:rPr>
          <w:rFonts w:ascii="Times New Roman" w:eastAsia="Times New Roman" w:hAnsi="Times New Roman"/>
          <w:lang w:eastAsia="ja-JP"/>
        </w:rPr>
        <w:t>0</w:t>
      </w:r>
      <w:r w:rsidRPr="00F36DBF">
        <w:rPr>
          <w:rFonts w:ascii="Times New Roman" w:eastAsia="Times New Roman" w:hAnsi="Times New Roman"/>
          <w:lang w:eastAsia="ja-JP"/>
        </w:rPr>
        <w:t xml:space="preserve"> žmonių gali pasireikšti staigi ir sunki alerginė reakcija (anafilaksinis šokas) į valganciklovirą. </w:t>
      </w:r>
      <w:r w:rsidRPr="00F36DBF">
        <w:rPr>
          <w:rFonts w:ascii="Times New Roman" w:eastAsia="Times New Roman" w:hAnsi="Times New Roman"/>
          <w:b/>
          <w:lang w:eastAsia="ja-JP"/>
        </w:rPr>
        <w:t xml:space="preserve">NUSTOKITE </w:t>
      </w:r>
      <w:r w:rsidRPr="00F36DBF">
        <w:rPr>
          <w:rFonts w:ascii="Times New Roman" w:eastAsia="Times New Roman" w:hAnsi="Times New Roman"/>
          <w:lang w:eastAsia="ja-JP"/>
        </w:rPr>
        <w:t>vartoti Valcyte ir vykite į artimiausios ligoninės skubios terapijos skyrių, jei pastebėsite bet kurį iš šių požymių:</w:t>
      </w:r>
    </w:p>
    <w:p w14:paraId="63083ADE" w14:textId="77777777" w:rsidR="00E850F6" w:rsidRPr="00F36DBF" w:rsidRDefault="00E850F6" w:rsidP="00E850F6">
      <w:pPr>
        <w:tabs>
          <w:tab w:val="left" w:pos="567"/>
        </w:tabs>
        <w:spacing w:after="0" w:line="240" w:lineRule="auto"/>
        <w:ind w:right="-29"/>
        <w:rPr>
          <w:rFonts w:ascii="Times New Roman" w:eastAsia="Times New Roman" w:hAnsi="Times New Roman"/>
          <w:lang w:eastAsia="ja-JP"/>
        </w:rPr>
      </w:pPr>
      <w:r w:rsidRPr="00F36DBF">
        <w:rPr>
          <w:rFonts w:ascii="Times New Roman" w:eastAsia="Times New Roman" w:hAnsi="Times New Roman"/>
          <w:lang w:eastAsia="ja-JP"/>
        </w:rPr>
        <w:t>–</w:t>
      </w:r>
      <w:r w:rsidRPr="00F36DBF">
        <w:rPr>
          <w:rFonts w:ascii="Times New Roman" w:eastAsia="Times New Roman" w:hAnsi="Times New Roman"/>
          <w:lang w:eastAsia="ja-JP"/>
        </w:rPr>
        <w:tab/>
        <w:t>iškilą, niežintį odos bėrimą (dilgėlinę),</w:t>
      </w:r>
    </w:p>
    <w:p w14:paraId="4DC74D8F" w14:textId="77777777" w:rsidR="00E850F6" w:rsidRPr="00F36DBF" w:rsidRDefault="00E850F6" w:rsidP="00E850F6">
      <w:pPr>
        <w:tabs>
          <w:tab w:val="left" w:pos="567"/>
        </w:tabs>
        <w:spacing w:after="0" w:line="240" w:lineRule="auto"/>
        <w:ind w:right="-29"/>
        <w:rPr>
          <w:rFonts w:ascii="Times New Roman" w:eastAsia="Times New Roman" w:hAnsi="Times New Roman"/>
          <w:lang w:eastAsia="ja-JP"/>
        </w:rPr>
      </w:pPr>
      <w:r w:rsidRPr="00F36DBF">
        <w:rPr>
          <w:rFonts w:ascii="Times New Roman" w:eastAsia="Times New Roman" w:hAnsi="Times New Roman"/>
          <w:lang w:eastAsia="ja-JP"/>
        </w:rPr>
        <w:t>–</w:t>
      </w:r>
      <w:r w:rsidRPr="00F36DBF">
        <w:rPr>
          <w:rFonts w:ascii="Times New Roman" w:eastAsia="Times New Roman" w:hAnsi="Times New Roman"/>
          <w:lang w:eastAsia="ja-JP"/>
        </w:rPr>
        <w:tab/>
        <w:t>staigų žiočių, veido, lūpų ir burnos patinimą, dėl kurio gali būti sunku ryti ar kvėpuoti,</w:t>
      </w:r>
    </w:p>
    <w:p w14:paraId="71F74AE7" w14:textId="77777777" w:rsidR="00E850F6" w:rsidRPr="00F36DBF" w:rsidRDefault="00E850F6" w:rsidP="00E850F6">
      <w:pPr>
        <w:tabs>
          <w:tab w:val="left" w:pos="567"/>
        </w:tabs>
        <w:spacing w:after="0" w:line="240" w:lineRule="auto"/>
        <w:ind w:right="-29"/>
        <w:rPr>
          <w:rFonts w:ascii="Times New Roman" w:eastAsia="Times New Roman" w:hAnsi="Times New Roman"/>
          <w:lang w:eastAsia="ja-JP"/>
        </w:rPr>
      </w:pPr>
      <w:r w:rsidRPr="00F36DBF">
        <w:rPr>
          <w:rFonts w:ascii="Times New Roman" w:eastAsia="Times New Roman" w:hAnsi="Times New Roman"/>
          <w:lang w:eastAsia="ja-JP"/>
        </w:rPr>
        <w:t>–</w:t>
      </w:r>
      <w:r w:rsidRPr="00F36DBF">
        <w:rPr>
          <w:rFonts w:ascii="Times New Roman" w:eastAsia="Times New Roman" w:hAnsi="Times New Roman"/>
          <w:lang w:eastAsia="ja-JP"/>
        </w:rPr>
        <w:tab/>
        <w:t>staigų plaštakų</w:t>
      </w:r>
      <w:smartTag w:uri="schemas-tilde-lv/tildestengine" w:element="metric2">
        <w:smartTagPr>
          <w:attr w:name="metric_text" w:val="pėdų"/>
          <w:attr w:name="metric_value" w:val="."/>
        </w:smartTagPr>
        <w:r w:rsidRPr="00F36DBF">
          <w:rPr>
            <w:rFonts w:ascii="Times New Roman" w:eastAsia="Times New Roman" w:hAnsi="Times New Roman"/>
            <w:lang w:eastAsia="ja-JP"/>
          </w:rPr>
          <w:t>, pėdų</w:t>
        </w:r>
      </w:smartTag>
      <w:r w:rsidRPr="00F36DBF">
        <w:rPr>
          <w:rFonts w:ascii="Times New Roman" w:eastAsia="Times New Roman" w:hAnsi="Times New Roman"/>
          <w:lang w:eastAsia="ja-JP"/>
        </w:rPr>
        <w:t xml:space="preserve"> ar kulkšnių patinimą.</w:t>
      </w:r>
    </w:p>
    <w:p w14:paraId="37016599" w14:textId="77777777" w:rsidR="00E850F6" w:rsidRPr="00402217" w:rsidRDefault="00E850F6" w:rsidP="00E850F6">
      <w:pPr>
        <w:pStyle w:val="Default"/>
      </w:pPr>
    </w:p>
    <w:p w14:paraId="4BA364CA" w14:textId="77777777" w:rsidR="00E850F6" w:rsidRPr="00B30621" w:rsidRDefault="00E850F6" w:rsidP="00E850F6">
      <w:pPr>
        <w:pStyle w:val="Default"/>
        <w:rPr>
          <w:sz w:val="22"/>
          <w:szCs w:val="22"/>
        </w:rPr>
      </w:pPr>
      <w:r w:rsidRPr="00B30621">
        <w:rPr>
          <w:b/>
          <w:bCs/>
          <w:sz w:val="22"/>
          <w:szCs w:val="22"/>
        </w:rPr>
        <w:t>Sunkūs šalutiniai poveikiai</w:t>
      </w:r>
    </w:p>
    <w:p w14:paraId="565E7ACA" w14:textId="77777777" w:rsidR="00E850F6" w:rsidRPr="00B30621" w:rsidRDefault="00E850F6" w:rsidP="00E850F6">
      <w:pPr>
        <w:pStyle w:val="Default"/>
        <w:rPr>
          <w:sz w:val="22"/>
          <w:szCs w:val="22"/>
        </w:rPr>
      </w:pPr>
      <w:r w:rsidRPr="00B30621">
        <w:rPr>
          <w:sz w:val="22"/>
          <w:szCs w:val="22"/>
        </w:rPr>
        <w:t xml:space="preserve">Pastebėję bet kurį iš žemiau išvardytų sunkių šalutinių poveikių, nedelsdami pasakykite savo gydytojui. Jūsų gydytojas gali nurodyti nutraukti gydymą </w:t>
      </w:r>
      <w:r>
        <w:rPr>
          <w:sz w:val="22"/>
          <w:szCs w:val="22"/>
        </w:rPr>
        <w:t>Valcyt</w:t>
      </w:r>
      <w:r w:rsidRPr="00B30621">
        <w:rPr>
          <w:sz w:val="22"/>
          <w:szCs w:val="22"/>
        </w:rPr>
        <w:t>e, o Jums gali prireikti skubios medicininės pagalbos.</w:t>
      </w:r>
    </w:p>
    <w:p w14:paraId="01997652" w14:textId="77777777" w:rsidR="00E850F6" w:rsidRPr="00B30621" w:rsidRDefault="00E850F6" w:rsidP="00E850F6">
      <w:pPr>
        <w:pStyle w:val="Default"/>
        <w:rPr>
          <w:b/>
          <w:bCs/>
          <w:sz w:val="22"/>
          <w:szCs w:val="22"/>
        </w:rPr>
      </w:pPr>
    </w:p>
    <w:p w14:paraId="775CE095" w14:textId="77777777" w:rsidR="00E850F6" w:rsidRPr="00B30621" w:rsidRDefault="00E850F6" w:rsidP="00E850F6">
      <w:pPr>
        <w:pStyle w:val="Default"/>
        <w:rPr>
          <w:sz w:val="22"/>
          <w:szCs w:val="22"/>
        </w:rPr>
      </w:pPr>
      <w:r w:rsidRPr="00B30621">
        <w:rPr>
          <w:b/>
          <w:bCs/>
          <w:sz w:val="22"/>
          <w:szCs w:val="22"/>
        </w:rPr>
        <w:t xml:space="preserve">Labai dažni </w:t>
      </w:r>
      <w:r w:rsidRPr="00B30621">
        <w:rPr>
          <w:sz w:val="22"/>
          <w:szCs w:val="22"/>
        </w:rPr>
        <w:t>(gali pasireikšti daugiau negu 1 iš 10 pacientų):</w:t>
      </w:r>
    </w:p>
    <w:p w14:paraId="4120A832" w14:textId="77777777" w:rsidR="00E850F6" w:rsidRPr="00B30621" w:rsidRDefault="00E850F6" w:rsidP="00E850F6">
      <w:pPr>
        <w:pStyle w:val="Default"/>
        <w:numPr>
          <w:ilvl w:val="1"/>
          <w:numId w:val="37"/>
        </w:numPr>
        <w:ind w:left="567"/>
        <w:rPr>
          <w:sz w:val="22"/>
          <w:szCs w:val="22"/>
        </w:rPr>
      </w:pPr>
      <w:r w:rsidRPr="00B30621">
        <w:rPr>
          <w:sz w:val="22"/>
          <w:szCs w:val="22"/>
        </w:rPr>
        <w:t>mažas baltųjų kraujo kūnelių kiekis - su infekcijos požymiais, tokiais kaip gerklės skausmas, burnos gleivinės opos ar karščiavimas;</w:t>
      </w:r>
    </w:p>
    <w:p w14:paraId="1CE1531E" w14:textId="77777777" w:rsidR="00E850F6" w:rsidRPr="00B30621" w:rsidRDefault="00E850F6" w:rsidP="00E850F6">
      <w:pPr>
        <w:pStyle w:val="Default"/>
        <w:numPr>
          <w:ilvl w:val="1"/>
          <w:numId w:val="37"/>
        </w:numPr>
        <w:ind w:left="567"/>
        <w:rPr>
          <w:sz w:val="22"/>
          <w:szCs w:val="22"/>
        </w:rPr>
      </w:pPr>
      <w:r w:rsidRPr="00B30621">
        <w:rPr>
          <w:sz w:val="22"/>
          <w:szCs w:val="22"/>
        </w:rPr>
        <w:t>mažas raudonųjų kraujo kūnelių kiekis - požymiai gali būti dusulys ar nuovargis, širdies plakimas ar blyški oda.</w:t>
      </w:r>
    </w:p>
    <w:p w14:paraId="0B3E6E48" w14:textId="77777777" w:rsidR="00E850F6" w:rsidRPr="00B30621" w:rsidRDefault="00E850F6" w:rsidP="00E850F6">
      <w:pPr>
        <w:pStyle w:val="Default"/>
        <w:rPr>
          <w:sz w:val="22"/>
          <w:szCs w:val="22"/>
        </w:rPr>
      </w:pPr>
      <w:r w:rsidRPr="00B30621">
        <w:rPr>
          <w:b/>
          <w:bCs/>
          <w:sz w:val="22"/>
          <w:szCs w:val="22"/>
        </w:rPr>
        <w:t xml:space="preserve">Dažni </w:t>
      </w:r>
      <w:r w:rsidRPr="00B30621">
        <w:rPr>
          <w:sz w:val="22"/>
          <w:szCs w:val="22"/>
        </w:rPr>
        <w:t>(gali pasireikšti mažiau kaip 1 iš 10 pacientų):</w:t>
      </w:r>
    </w:p>
    <w:p w14:paraId="75198576" w14:textId="77777777" w:rsidR="00E850F6" w:rsidRPr="00B30621" w:rsidRDefault="00E850F6" w:rsidP="00E850F6">
      <w:pPr>
        <w:pStyle w:val="Default"/>
        <w:numPr>
          <w:ilvl w:val="1"/>
          <w:numId w:val="38"/>
        </w:numPr>
        <w:ind w:left="567"/>
        <w:rPr>
          <w:sz w:val="22"/>
          <w:szCs w:val="22"/>
        </w:rPr>
      </w:pPr>
      <w:r w:rsidRPr="00B30621">
        <w:rPr>
          <w:sz w:val="22"/>
          <w:szCs w:val="22"/>
        </w:rPr>
        <w:t>kraujo užkrėtimas (sepsis) – požymiai gali būti karščiavimas, šaltkrėtis, širdies plakimai, sumišimo būklė ir neaiški kalba;</w:t>
      </w:r>
    </w:p>
    <w:p w14:paraId="6F2200BE" w14:textId="77777777" w:rsidR="00E850F6" w:rsidRPr="00B30621" w:rsidRDefault="00E850F6" w:rsidP="00E850F6">
      <w:pPr>
        <w:pStyle w:val="Default"/>
        <w:numPr>
          <w:ilvl w:val="1"/>
          <w:numId w:val="38"/>
        </w:numPr>
        <w:ind w:left="567"/>
        <w:rPr>
          <w:sz w:val="22"/>
          <w:szCs w:val="22"/>
        </w:rPr>
      </w:pPr>
      <w:r w:rsidRPr="00B30621">
        <w:rPr>
          <w:sz w:val="22"/>
          <w:szCs w:val="22"/>
        </w:rPr>
        <w:t>mažas trombocitų kiekis - požymiai gali būti lengviau nei įprastai atsirandantis kraujavimas ar mėlynės, kraujas šlapime ar išmatose ar kraujavimas iš dantenų, šie kraujavimai gali būti sunkūs;</w:t>
      </w:r>
    </w:p>
    <w:p w14:paraId="0683630D" w14:textId="77777777" w:rsidR="00E850F6" w:rsidRPr="00B30621" w:rsidRDefault="00E850F6" w:rsidP="00E850F6">
      <w:pPr>
        <w:pStyle w:val="Default"/>
        <w:numPr>
          <w:ilvl w:val="1"/>
          <w:numId w:val="38"/>
        </w:numPr>
        <w:ind w:left="567"/>
        <w:rPr>
          <w:sz w:val="22"/>
          <w:szCs w:val="22"/>
        </w:rPr>
      </w:pPr>
      <w:r w:rsidRPr="00B30621">
        <w:rPr>
          <w:sz w:val="22"/>
          <w:szCs w:val="22"/>
        </w:rPr>
        <w:t>ypač mažas kraujo ląstelių skaičius;</w:t>
      </w:r>
    </w:p>
    <w:p w14:paraId="797B9E18" w14:textId="77777777" w:rsidR="00E850F6" w:rsidRPr="00B30621" w:rsidRDefault="00E850F6" w:rsidP="00E850F6">
      <w:pPr>
        <w:pStyle w:val="Default"/>
        <w:numPr>
          <w:ilvl w:val="1"/>
          <w:numId w:val="38"/>
        </w:numPr>
        <w:ind w:left="567"/>
        <w:rPr>
          <w:sz w:val="22"/>
          <w:szCs w:val="22"/>
        </w:rPr>
      </w:pPr>
      <w:r w:rsidRPr="00B30621">
        <w:rPr>
          <w:sz w:val="22"/>
          <w:szCs w:val="22"/>
        </w:rPr>
        <w:t>pankreatitas – požymiai yra ypač stiprus į nugarą plintantis skausmas;</w:t>
      </w:r>
    </w:p>
    <w:p w14:paraId="166CFDA6" w14:textId="77777777" w:rsidR="00E850F6" w:rsidRPr="00B30621" w:rsidRDefault="00E850F6" w:rsidP="00E850F6">
      <w:pPr>
        <w:pStyle w:val="Default"/>
        <w:numPr>
          <w:ilvl w:val="1"/>
          <w:numId w:val="38"/>
        </w:numPr>
        <w:ind w:left="567"/>
        <w:rPr>
          <w:sz w:val="22"/>
          <w:szCs w:val="22"/>
        </w:rPr>
      </w:pPr>
      <w:r w:rsidRPr="00B30621">
        <w:rPr>
          <w:sz w:val="22"/>
          <w:szCs w:val="22"/>
        </w:rPr>
        <w:t>traukuliai.</w:t>
      </w:r>
    </w:p>
    <w:p w14:paraId="6E4B97C1" w14:textId="77777777" w:rsidR="00E850F6" w:rsidRPr="00B30621" w:rsidRDefault="00E850F6" w:rsidP="00E850F6">
      <w:pPr>
        <w:pStyle w:val="Default"/>
        <w:rPr>
          <w:sz w:val="22"/>
          <w:szCs w:val="22"/>
        </w:rPr>
      </w:pPr>
      <w:r w:rsidRPr="00B30621">
        <w:rPr>
          <w:b/>
          <w:bCs/>
          <w:sz w:val="22"/>
          <w:szCs w:val="22"/>
        </w:rPr>
        <w:t xml:space="preserve">Nedažni </w:t>
      </w:r>
      <w:r w:rsidRPr="00B30621">
        <w:rPr>
          <w:sz w:val="22"/>
          <w:szCs w:val="22"/>
        </w:rPr>
        <w:t>(gali pasireikšti mažiau kaip 1 iš 100 pacientų):</w:t>
      </w:r>
    </w:p>
    <w:p w14:paraId="6509A7C5" w14:textId="77777777" w:rsidR="00E850F6" w:rsidRPr="00923E43" w:rsidRDefault="00E850F6" w:rsidP="00E850F6">
      <w:pPr>
        <w:numPr>
          <w:ilvl w:val="0"/>
          <w:numId w:val="39"/>
        </w:numPr>
        <w:spacing w:after="0" w:line="240" w:lineRule="auto"/>
        <w:ind w:left="567" w:right="-29"/>
        <w:rPr>
          <w:rFonts w:ascii="Times New Roman" w:hAnsi="Times New Roman"/>
        </w:rPr>
      </w:pPr>
      <w:r w:rsidRPr="00923E43">
        <w:rPr>
          <w:rFonts w:ascii="Times New Roman" w:hAnsi="Times New Roman"/>
        </w:rPr>
        <w:t>kaulų čiulpų nepajėgumas gaminti kraujo kūnelius;</w:t>
      </w:r>
    </w:p>
    <w:p w14:paraId="3E7616B2" w14:textId="77777777" w:rsidR="00E850F6" w:rsidRPr="00923E43" w:rsidRDefault="00E850F6" w:rsidP="00E850F6">
      <w:pPr>
        <w:numPr>
          <w:ilvl w:val="0"/>
          <w:numId w:val="39"/>
        </w:numPr>
        <w:spacing w:after="0" w:line="240" w:lineRule="auto"/>
        <w:ind w:left="567" w:right="-29"/>
        <w:rPr>
          <w:rFonts w:ascii="Times New Roman" w:hAnsi="Times New Roman"/>
        </w:rPr>
      </w:pPr>
      <w:r w:rsidRPr="00923E43">
        <w:rPr>
          <w:rFonts w:ascii="Times New Roman" w:hAnsi="Times New Roman"/>
        </w:rPr>
        <w:t>haliucinacijos (nesančių dalykų girdėjimas ar matymas);</w:t>
      </w:r>
    </w:p>
    <w:p w14:paraId="5351743E" w14:textId="77777777" w:rsidR="00E850F6" w:rsidRPr="00B30621" w:rsidRDefault="00E850F6" w:rsidP="00E850F6">
      <w:pPr>
        <w:pStyle w:val="Default"/>
        <w:numPr>
          <w:ilvl w:val="0"/>
          <w:numId w:val="39"/>
        </w:numPr>
        <w:ind w:left="567"/>
        <w:rPr>
          <w:sz w:val="22"/>
          <w:szCs w:val="22"/>
        </w:rPr>
      </w:pPr>
      <w:r w:rsidRPr="00B30621">
        <w:rPr>
          <w:sz w:val="22"/>
          <w:szCs w:val="22"/>
        </w:rPr>
        <w:t>nenormalios mintys ar jausmai, ryšio su tikrove praradimas;</w:t>
      </w:r>
    </w:p>
    <w:p w14:paraId="76E55699" w14:textId="77777777" w:rsidR="00E850F6" w:rsidRPr="00B30621" w:rsidRDefault="00E850F6" w:rsidP="00E850F6">
      <w:pPr>
        <w:pStyle w:val="Default"/>
        <w:numPr>
          <w:ilvl w:val="0"/>
          <w:numId w:val="39"/>
        </w:numPr>
        <w:ind w:left="567"/>
        <w:rPr>
          <w:sz w:val="22"/>
          <w:szCs w:val="22"/>
        </w:rPr>
      </w:pPr>
      <w:r w:rsidRPr="00B30621">
        <w:rPr>
          <w:sz w:val="22"/>
          <w:szCs w:val="22"/>
        </w:rPr>
        <w:t>inkstų veiklos nepakankamumas.</w:t>
      </w:r>
    </w:p>
    <w:p w14:paraId="573810E2" w14:textId="77777777" w:rsidR="00E850F6" w:rsidRPr="00B30621" w:rsidRDefault="00E850F6" w:rsidP="00E850F6">
      <w:pPr>
        <w:spacing w:after="0" w:line="240" w:lineRule="auto"/>
        <w:ind w:right="-29"/>
        <w:rPr>
          <w:rFonts w:ascii="Times New Roman" w:eastAsia="Times New Roman" w:hAnsi="Times New Roman"/>
          <w:lang w:eastAsia="ja-JP"/>
        </w:rPr>
      </w:pPr>
    </w:p>
    <w:p w14:paraId="1CEC9E1F" w14:textId="77777777" w:rsidR="00E850F6" w:rsidRDefault="00E850F6" w:rsidP="00E850F6">
      <w:pPr>
        <w:spacing w:after="0" w:line="240" w:lineRule="auto"/>
        <w:ind w:right="-29"/>
        <w:rPr>
          <w:rFonts w:ascii="Times New Roman" w:eastAsia="Times New Roman" w:hAnsi="Times New Roman"/>
          <w:lang w:eastAsia="ja-JP"/>
        </w:rPr>
      </w:pPr>
      <w:r w:rsidRPr="00B30621">
        <w:rPr>
          <w:rFonts w:ascii="Times New Roman" w:eastAsia="Times New Roman" w:hAnsi="Times New Roman"/>
          <w:lang w:eastAsia="ja-JP"/>
        </w:rPr>
        <w:t>Toliau išvardyti šalutiniai</w:t>
      </w:r>
      <w:r w:rsidRPr="00F36DBF">
        <w:rPr>
          <w:rFonts w:ascii="Times New Roman" w:eastAsia="Times New Roman" w:hAnsi="Times New Roman"/>
          <w:lang w:eastAsia="ja-JP"/>
        </w:rPr>
        <w:t xml:space="preserve"> reiškiniai, pasitaikę gydant pacientus valgancikloviru arba gancikloviru.</w:t>
      </w:r>
    </w:p>
    <w:p w14:paraId="3C7AD3F1" w14:textId="77777777" w:rsidR="00E850F6" w:rsidRPr="00F36DBF" w:rsidRDefault="00E850F6" w:rsidP="00E850F6">
      <w:pPr>
        <w:spacing w:after="0" w:line="240" w:lineRule="auto"/>
        <w:ind w:right="-29"/>
        <w:rPr>
          <w:rFonts w:ascii="Times New Roman" w:eastAsia="Times New Roman" w:hAnsi="Times New Roman"/>
          <w:lang w:eastAsia="ja-JP"/>
        </w:rPr>
      </w:pPr>
    </w:p>
    <w:p w14:paraId="4F21A5BB" w14:textId="77777777" w:rsidR="00E850F6" w:rsidRPr="00923E43" w:rsidRDefault="00E850F6" w:rsidP="00E850F6">
      <w:pPr>
        <w:spacing w:after="0" w:line="240" w:lineRule="auto"/>
        <w:ind w:right="-29"/>
        <w:rPr>
          <w:rFonts w:ascii="Times New Roman" w:eastAsia="Times New Roman" w:hAnsi="Times New Roman"/>
          <w:b/>
          <w:lang w:eastAsia="ja-JP"/>
        </w:rPr>
      </w:pPr>
      <w:r w:rsidRPr="00923E43">
        <w:rPr>
          <w:rFonts w:ascii="Times New Roman" w:eastAsia="Times New Roman" w:hAnsi="Times New Roman"/>
          <w:b/>
          <w:lang w:eastAsia="ja-JP"/>
        </w:rPr>
        <w:t>Kitas šalutinis poveikis</w:t>
      </w:r>
    </w:p>
    <w:p w14:paraId="58DFE753" w14:textId="77777777" w:rsidR="00E850F6" w:rsidRDefault="00E850F6" w:rsidP="00E850F6">
      <w:pPr>
        <w:spacing w:after="0" w:line="240" w:lineRule="auto"/>
        <w:ind w:right="-29"/>
        <w:rPr>
          <w:rFonts w:ascii="Times New Roman" w:eastAsia="Times New Roman" w:hAnsi="Times New Roman"/>
          <w:lang w:eastAsia="ja-JP"/>
        </w:rPr>
      </w:pPr>
      <w:r w:rsidRPr="00B30621">
        <w:rPr>
          <w:rFonts w:ascii="Times New Roman" w:hAnsi="Times New Roman"/>
        </w:rPr>
        <w:lastRenderedPageBreak/>
        <w:t>Pastebėję bet kurį iš žemiau išvardytų šalutinių poveikių, pasakykite savo gydytojui</w:t>
      </w:r>
      <w:r>
        <w:rPr>
          <w:rFonts w:ascii="Times New Roman" w:hAnsi="Times New Roman"/>
        </w:rPr>
        <w:t>, vaistininkui arba slaugytojui</w:t>
      </w:r>
      <w:r w:rsidRPr="00B30621">
        <w:rPr>
          <w:rFonts w:ascii="Times New Roman" w:hAnsi="Times New Roman"/>
        </w:rPr>
        <w:t>.</w:t>
      </w:r>
    </w:p>
    <w:p w14:paraId="20BA46AD" w14:textId="77777777" w:rsidR="00E850F6" w:rsidRPr="00F36DBF" w:rsidRDefault="00E850F6" w:rsidP="00E850F6">
      <w:pPr>
        <w:spacing w:after="0" w:line="240" w:lineRule="auto"/>
        <w:ind w:right="-29"/>
        <w:rPr>
          <w:rFonts w:ascii="Times New Roman" w:eastAsia="Times New Roman" w:hAnsi="Times New Roman"/>
          <w:lang w:eastAsia="ja-JP"/>
        </w:rPr>
      </w:pPr>
    </w:p>
    <w:p w14:paraId="2536276D" w14:textId="77777777" w:rsidR="00E850F6" w:rsidRPr="00F36DBF" w:rsidRDefault="00E850F6" w:rsidP="00E850F6">
      <w:pPr>
        <w:spacing w:after="0" w:line="240" w:lineRule="auto"/>
        <w:ind w:right="-29"/>
        <w:rPr>
          <w:rFonts w:ascii="Times New Roman" w:eastAsia="Times New Roman" w:hAnsi="Times New Roman"/>
          <w:lang w:eastAsia="ja-JP"/>
        </w:rPr>
      </w:pPr>
      <w:r w:rsidRPr="00402217">
        <w:rPr>
          <w:rFonts w:ascii="Times New Roman" w:hAnsi="Times New Roman"/>
          <w:b/>
        </w:rPr>
        <w:t>Labai dažnas</w:t>
      </w:r>
      <w:r w:rsidRPr="00F36DBF">
        <w:rPr>
          <w:rFonts w:ascii="Times New Roman" w:eastAsia="Times New Roman" w:hAnsi="Times New Roman"/>
          <w:b/>
          <w:i/>
          <w:lang w:eastAsia="ja-JP"/>
        </w:rPr>
        <w:t xml:space="preserve"> </w:t>
      </w:r>
      <w:r w:rsidRPr="00F36DBF">
        <w:rPr>
          <w:rFonts w:ascii="Times New Roman" w:eastAsia="Times New Roman" w:hAnsi="Times New Roman"/>
          <w:b/>
          <w:lang w:eastAsia="ja-JP"/>
        </w:rPr>
        <w:t>(</w:t>
      </w:r>
      <w:r w:rsidRPr="00F36DBF">
        <w:rPr>
          <w:rFonts w:ascii="Times New Roman" w:eastAsia="Times New Roman" w:hAnsi="Times New Roman"/>
          <w:lang w:eastAsia="ja-JP"/>
        </w:rPr>
        <w:t>gali pasireikšti daugiau negu vienam iš 10 pacientų)</w:t>
      </w:r>
      <w:r>
        <w:rPr>
          <w:rFonts w:ascii="Times New Roman" w:eastAsia="Times New Roman" w:hAnsi="Times New Roman"/>
          <w:lang w:eastAsia="ja-JP"/>
        </w:rPr>
        <w:t>:</w:t>
      </w:r>
    </w:p>
    <w:p w14:paraId="29934C80" w14:textId="77777777" w:rsidR="00E850F6" w:rsidRDefault="00E850F6" w:rsidP="00E850F6">
      <w:pPr>
        <w:numPr>
          <w:ilvl w:val="0"/>
          <w:numId w:val="36"/>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pienligė ir burnos pienligė;</w:t>
      </w:r>
    </w:p>
    <w:p w14:paraId="12EAA46B" w14:textId="77777777" w:rsidR="00E850F6" w:rsidRDefault="00E850F6" w:rsidP="00E850F6">
      <w:pPr>
        <w:numPr>
          <w:ilvl w:val="0"/>
          <w:numId w:val="36"/>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viršutinių kvėpavimo takų infekcija (pvz., sinusitas ar tonzilitas);</w:t>
      </w:r>
    </w:p>
    <w:p w14:paraId="4EB24F26" w14:textId="77777777" w:rsidR="00E850F6" w:rsidRDefault="00E850F6" w:rsidP="00E850F6">
      <w:pPr>
        <w:numPr>
          <w:ilvl w:val="0"/>
          <w:numId w:val="36"/>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apetito sumažėjimas;</w:t>
      </w:r>
    </w:p>
    <w:p w14:paraId="29933A13" w14:textId="77777777" w:rsidR="00E850F6" w:rsidRPr="00F36DBF" w:rsidRDefault="00E850F6" w:rsidP="00E850F6">
      <w:pPr>
        <w:numPr>
          <w:ilvl w:val="0"/>
          <w:numId w:val="36"/>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galvos skausmas;</w:t>
      </w:r>
    </w:p>
    <w:p w14:paraId="1027B981" w14:textId="77777777" w:rsidR="00E850F6" w:rsidRDefault="00E850F6" w:rsidP="00E850F6">
      <w:pPr>
        <w:numPr>
          <w:ilvl w:val="0"/>
          <w:numId w:val="36"/>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kosulys;</w:t>
      </w:r>
    </w:p>
    <w:p w14:paraId="5F045218" w14:textId="77777777" w:rsidR="00E850F6" w:rsidRPr="00F36DBF" w:rsidRDefault="00E850F6" w:rsidP="00E850F6">
      <w:pPr>
        <w:numPr>
          <w:ilvl w:val="0"/>
          <w:numId w:val="36"/>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dusulys;</w:t>
      </w:r>
    </w:p>
    <w:p w14:paraId="43CE4074" w14:textId="77777777" w:rsidR="00E850F6" w:rsidRDefault="00E850F6" w:rsidP="00E850F6">
      <w:pPr>
        <w:numPr>
          <w:ilvl w:val="0"/>
          <w:numId w:val="36"/>
        </w:numPr>
        <w:spacing w:after="0" w:line="240" w:lineRule="auto"/>
        <w:ind w:left="567" w:right="-29" w:hanging="567"/>
        <w:rPr>
          <w:rFonts w:ascii="Times New Roman" w:eastAsia="Times New Roman" w:hAnsi="Times New Roman"/>
          <w:lang w:eastAsia="ja-JP"/>
        </w:rPr>
      </w:pPr>
      <w:r w:rsidRPr="00F36DBF">
        <w:rPr>
          <w:rFonts w:ascii="Times New Roman" w:eastAsia="Times New Roman" w:hAnsi="Times New Roman"/>
          <w:lang w:eastAsia="ja-JP"/>
        </w:rPr>
        <w:t>viduriavimas</w:t>
      </w:r>
      <w:r>
        <w:rPr>
          <w:rFonts w:ascii="Times New Roman" w:eastAsia="Times New Roman" w:hAnsi="Times New Roman"/>
          <w:lang w:eastAsia="ja-JP"/>
        </w:rPr>
        <w:t>;</w:t>
      </w:r>
    </w:p>
    <w:p w14:paraId="5A8B84E5" w14:textId="77777777" w:rsidR="00E850F6" w:rsidRDefault="00E850F6" w:rsidP="00E850F6">
      <w:pPr>
        <w:numPr>
          <w:ilvl w:val="0"/>
          <w:numId w:val="36"/>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pykinimas ar vėmimas;</w:t>
      </w:r>
    </w:p>
    <w:p w14:paraId="35762E77" w14:textId="77777777" w:rsidR="00E850F6" w:rsidRDefault="00E850F6" w:rsidP="00E850F6">
      <w:pPr>
        <w:numPr>
          <w:ilvl w:val="0"/>
          <w:numId w:val="36"/>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pilvo skausmas;</w:t>
      </w:r>
    </w:p>
    <w:p w14:paraId="11E16CF1" w14:textId="77777777" w:rsidR="00E850F6" w:rsidRDefault="00E850F6" w:rsidP="00E850F6">
      <w:pPr>
        <w:numPr>
          <w:ilvl w:val="0"/>
          <w:numId w:val="36"/>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egzema;</w:t>
      </w:r>
    </w:p>
    <w:p w14:paraId="101D07A3" w14:textId="77777777" w:rsidR="00E850F6" w:rsidRDefault="00E850F6" w:rsidP="00E850F6">
      <w:pPr>
        <w:numPr>
          <w:ilvl w:val="0"/>
          <w:numId w:val="36"/>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nuovargio jutimas;</w:t>
      </w:r>
    </w:p>
    <w:p w14:paraId="44BAA087" w14:textId="77777777" w:rsidR="00E850F6" w:rsidRPr="00F36DBF" w:rsidRDefault="00E850F6" w:rsidP="00E850F6">
      <w:pPr>
        <w:numPr>
          <w:ilvl w:val="0"/>
          <w:numId w:val="36"/>
        </w:numPr>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karščiavimas</w:t>
      </w:r>
      <w:r w:rsidRPr="00F36DBF">
        <w:rPr>
          <w:rFonts w:ascii="Times New Roman" w:eastAsia="Times New Roman" w:hAnsi="Times New Roman"/>
          <w:lang w:eastAsia="ja-JP"/>
        </w:rPr>
        <w:t>.</w:t>
      </w:r>
    </w:p>
    <w:p w14:paraId="46AD2A3E" w14:textId="77777777" w:rsidR="00E850F6" w:rsidRPr="00402217" w:rsidRDefault="00E850F6" w:rsidP="00E850F6">
      <w:pPr>
        <w:spacing w:after="0" w:line="240" w:lineRule="auto"/>
        <w:ind w:left="567" w:right="-29" w:hanging="567"/>
        <w:rPr>
          <w:rFonts w:ascii="Times New Roman" w:hAnsi="Times New Roman"/>
        </w:rPr>
      </w:pPr>
    </w:p>
    <w:p w14:paraId="7C3A6622" w14:textId="77777777" w:rsidR="00E850F6" w:rsidRPr="00F36DBF" w:rsidRDefault="00E850F6" w:rsidP="00E850F6">
      <w:pPr>
        <w:spacing w:after="0" w:line="240" w:lineRule="auto"/>
        <w:ind w:right="-29"/>
        <w:rPr>
          <w:rFonts w:ascii="Times New Roman" w:eastAsia="Times New Roman" w:hAnsi="Times New Roman"/>
          <w:lang w:eastAsia="ja-JP"/>
        </w:rPr>
      </w:pPr>
      <w:r w:rsidRPr="00402217">
        <w:rPr>
          <w:rFonts w:ascii="Times New Roman" w:hAnsi="Times New Roman"/>
          <w:b/>
        </w:rPr>
        <w:t>Dažnas</w:t>
      </w:r>
      <w:r w:rsidRPr="00F36DBF">
        <w:rPr>
          <w:rFonts w:ascii="Times New Roman" w:eastAsia="Times New Roman" w:hAnsi="Times New Roman"/>
          <w:b/>
          <w:i/>
          <w:lang w:eastAsia="ja-JP"/>
        </w:rPr>
        <w:t xml:space="preserve"> </w:t>
      </w:r>
      <w:r w:rsidRPr="00F36DBF">
        <w:rPr>
          <w:rFonts w:ascii="Times New Roman" w:eastAsia="Times New Roman" w:hAnsi="Times New Roman"/>
          <w:b/>
          <w:lang w:eastAsia="ja-JP"/>
        </w:rPr>
        <w:t>(</w:t>
      </w:r>
      <w:r w:rsidRPr="00F36DBF">
        <w:rPr>
          <w:rFonts w:ascii="Times New Roman" w:eastAsia="Times New Roman" w:hAnsi="Times New Roman"/>
          <w:lang w:eastAsia="ja-JP"/>
        </w:rPr>
        <w:t xml:space="preserve">gali pasireikšti </w:t>
      </w:r>
      <w:r>
        <w:rPr>
          <w:rFonts w:ascii="Times New Roman" w:eastAsia="Times New Roman" w:hAnsi="Times New Roman"/>
          <w:lang w:eastAsia="ja-JP"/>
        </w:rPr>
        <w:t xml:space="preserve">mažiau kaip 1 </w:t>
      </w:r>
      <w:r w:rsidRPr="00F36DBF">
        <w:rPr>
          <w:rFonts w:ascii="Times New Roman" w:eastAsia="Times New Roman" w:hAnsi="Times New Roman"/>
          <w:lang w:eastAsia="ja-JP"/>
        </w:rPr>
        <w:t>i</w:t>
      </w:r>
      <w:r>
        <w:rPr>
          <w:rFonts w:ascii="Times New Roman" w:eastAsia="Times New Roman" w:hAnsi="Times New Roman"/>
          <w:lang w:eastAsia="ja-JP"/>
        </w:rPr>
        <w:t>š</w:t>
      </w:r>
      <w:r w:rsidRPr="00F36DBF">
        <w:rPr>
          <w:rFonts w:ascii="Times New Roman" w:eastAsia="Times New Roman" w:hAnsi="Times New Roman"/>
          <w:lang w:eastAsia="ja-JP"/>
        </w:rPr>
        <w:t xml:space="preserve"> 10 pacientų)</w:t>
      </w:r>
      <w:r>
        <w:rPr>
          <w:rFonts w:ascii="Times New Roman" w:eastAsia="Times New Roman" w:hAnsi="Times New Roman"/>
          <w:lang w:eastAsia="ja-JP"/>
        </w:rPr>
        <w:t>:</w:t>
      </w:r>
    </w:p>
    <w:p w14:paraId="676D2FD8" w14:textId="77777777" w:rsidR="00E850F6" w:rsidRPr="00F36DBF" w:rsidRDefault="00E850F6" w:rsidP="00E850F6">
      <w:pPr>
        <w:numPr>
          <w:ilvl w:val="0"/>
          <w:numId w:val="11"/>
        </w:numPr>
        <w:tabs>
          <w:tab w:val="clear" w:pos="720"/>
          <w:tab w:val="num" w:pos="567"/>
        </w:tabs>
        <w:spacing w:after="0" w:line="240" w:lineRule="auto"/>
        <w:ind w:left="567" w:right="-29" w:hanging="567"/>
        <w:rPr>
          <w:rFonts w:ascii="Times New Roman" w:eastAsia="Times New Roman" w:hAnsi="Times New Roman"/>
          <w:b/>
          <w:lang w:eastAsia="ja-JP"/>
        </w:rPr>
      </w:pPr>
      <w:r>
        <w:rPr>
          <w:rFonts w:ascii="Times New Roman" w:eastAsia="Times New Roman" w:hAnsi="Times New Roman"/>
          <w:lang w:eastAsia="ja-JP"/>
        </w:rPr>
        <w:t>gripas;</w:t>
      </w:r>
    </w:p>
    <w:p w14:paraId="62D1574B" w14:textId="77777777" w:rsidR="00E850F6" w:rsidRDefault="00E850F6" w:rsidP="00E850F6">
      <w:pPr>
        <w:numPr>
          <w:ilvl w:val="0"/>
          <w:numId w:val="11"/>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šlapimo takų infekcija, kurios požymiai yra karščiavimas, dažnesnis šlapinimasis, skausmas šlapinantis;</w:t>
      </w:r>
    </w:p>
    <w:p w14:paraId="140ED2AF" w14:textId="77777777" w:rsidR="00E850F6" w:rsidRDefault="00E850F6" w:rsidP="00E850F6">
      <w:pPr>
        <w:numPr>
          <w:ilvl w:val="0"/>
          <w:numId w:val="11"/>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odos ir poodinio audinio infekcija;</w:t>
      </w:r>
    </w:p>
    <w:p w14:paraId="17B52F69" w14:textId="77777777" w:rsidR="00E850F6" w:rsidRDefault="00E850F6" w:rsidP="00E850F6">
      <w:pPr>
        <w:numPr>
          <w:ilvl w:val="0"/>
          <w:numId w:val="11"/>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nesunki alerginė reakcija, kurios požymiai gali būti paraudusi ir niežtinti oda;</w:t>
      </w:r>
    </w:p>
    <w:p w14:paraId="1CE88C97" w14:textId="77777777" w:rsidR="00E850F6" w:rsidRDefault="00E850F6" w:rsidP="00E850F6">
      <w:pPr>
        <w:numPr>
          <w:ilvl w:val="0"/>
          <w:numId w:val="11"/>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kūno masės mažėjimas;</w:t>
      </w:r>
    </w:p>
    <w:p w14:paraId="20662E3C" w14:textId="77777777" w:rsidR="00E850F6" w:rsidRDefault="00E850F6" w:rsidP="00E850F6">
      <w:pPr>
        <w:numPr>
          <w:ilvl w:val="0"/>
          <w:numId w:val="11"/>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depresijos, nerimo ar sumišimo jausmas;</w:t>
      </w:r>
    </w:p>
    <w:p w14:paraId="0B08822D" w14:textId="77777777" w:rsidR="00E850F6" w:rsidRDefault="00E850F6" w:rsidP="00E850F6">
      <w:pPr>
        <w:numPr>
          <w:ilvl w:val="0"/>
          <w:numId w:val="11"/>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miego sutrikimai;</w:t>
      </w:r>
    </w:p>
    <w:p w14:paraId="6076ABAC" w14:textId="77777777" w:rsidR="00E850F6" w:rsidRDefault="00E850F6" w:rsidP="00E850F6">
      <w:pPr>
        <w:numPr>
          <w:ilvl w:val="0"/>
          <w:numId w:val="11"/>
        </w:numPr>
        <w:tabs>
          <w:tab w:val="clear" w:pos="720"/>
          <w:tab w:val="num" w:pos="567"/>
        </w:tabs>
        <w:spacing w:after="0" w:line="240" w:lineRule="auto"/>
        <w:ind w:right="-29" w:hanging="720"/>
        <w:rPr>
          <w:rFonts w:ascii="Times New Roman" w:eastAsia="Times New Roman" w:hAnsi="Times New Roman"/>
          <w:lang w:eastAsia="ja-JP"/>
        </w:rPr>
      </w:pPr>
      <w:r w:rsidRPr="00781B66">
        <w:rPr>
          <w:rFonts w:ascii="Times New Roman" w:eastAsia="Times New Roman" w:hAnsi="Times New Roman"/>
          <w:lang w:eastAsia="ja-JP"/>
        </w:rPr>
        <w:t>rankų ar kojų silpnumas ar tirpimas, gali</w:t>
      </w:r>
      <w:r>
        <w:rPr>
          <w:rFonts w:ascii="Times New Roman" w:eastAsia="Times New Roman" w:hAnsi="Times New Roman"/>
          <w:lang w:eastAsia="ja-JP"/>
        </w:rPr>
        <w:t>ntis turėti įtakos jūsų pusiausvyrai;</w:t>
      </w:r>
    </w:p>
    <w:p w14:paraId="43A4CF95" w14:textId="77777777" w:rsidR="00E850F6" w:rsidRPr="00976C44" w:rsidRDefault="00E850F6" w:rsidP="00E850F6">
      <w:pPr>
        <w:numPr>
          <w:ilvl w:val="0"/>
          <w:numId w:val="11"/>
        </w:numPr>
        <w:tabs>
          <w:tab w:val="clear" w:pos="720"/>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lytėjimo pokyčiai</w:t>
      </w:r>
      <w:r w:rsidRPr="00781B66">
        <w:rPr>
          <w:rFonts w:ascii="Times New Roman" w:eastAsia="Times New Roman" w:hAnsi="Times New Roman"/>
          <w:lang w:eastAsia="ja-JP"/>
        </w:rPr>
        <w:t>, dilg</w:t>
      </w:r>
      <w:r>
        <w:rPr>
          <w:rFonts w:ascii="Times New Roman" w:eastAsia="Times New Roman" w:hAnsi="Times New Roman"/>
          <w:lang w:eastAsia="ja-JP"/>
        </w:rPr>
        <w:t>sėjimo, kutenimo, badymo ar deginimo j</w:t>
      </w:r>
      <w:r w:rsidRPr="00781B66">
        <w:rPr>
          <w:rFonts w:ascii="Times New Roman" w:eastAsia="Times New Roman" w:hAnsi="Times New Roman"/>
          <w:lang w:eastAsia="ja-JP"/>
        </w:rPr>
        <w:t>u</w:t>
      </w:r>
      <w:r>
        <w:rPr>
          <w:rFonts w:ascii="Times New Roman" w:eastAsia="Times New Roman" w:hAnsi="Times New Roman"/>
          <w:lang w:eastAsia="ja-JP"/>
        </w:rPr>
        <w:t>tima</w:t>
      </w:r>
      <w:r w:rsidRPr="00781B66">
        <w:rPr>
          <w:rFonts w:ascii="Times New Roman" w:eastAsia="Times New Roman" w:hAnsi="Times New Roman"/>
          <w:lang w:eastAsia="ja-JP"/>
        </w:rPr>
        <w:t>s</w:t>
      </w:r>
      <w:r>
        <w:rPr>
          <w:rFonts w:ascii="Times New Roman" w:eastAsia="Times New Roman" w:hAnsi="Times New Roman"/>
          <w:lang w:eastAsia="ja-JP"/>
        </w:rPr>
        <w:t>;</w:t>
      </w:r>
    </w:p>
    <w:p w14:paraId="24BC68C3" w14:textId="77777777" w:rsidR="00E850F6" w:rsidRPr="00923E43" w:rsidRDefault="00E850F6" w:rsidP="00E850F6">
      <w:pPr>
        <w:numPr>
          <w:ilvl w:val="0"/>
          <w:numId w:val="11"/>
        </w:numPr>
        <w:tabs>
          <w:tab w:val="clear" w:pos="720"/>
          <w:tab w:val="num" w:pos="567"/>
        </w:tabs>
        <w:spacing w:after="0" w:line="240" w:lineRule="auto"/>
        <w:ind w:left="567" w:right="-29" w:hanging="567"/>
        <w:rPr>
          <w:rFonts w:ascii="Times New Roman" w:eastAsia="Times New Roman" w:hAnsi="Times New Roman"/>
          <w:b/>
          <w:lang w:eastAsia="ja-JP"/>
        </w:rPr>
      </w:pPr>
      <w:r w:rsidRPr="00F36DBF">
        <w:rPr>
          <w:rFonts w:ascii="Times New Roman" w:eastAsia="Times New Roman" w:hAnsi="Times New Roman"/>
          <w:lang w:eastAsia="ja-JP"/>
        </w:rPr>
        <w:t>skonio jutimo pokyčiai</w:t>
      </w:r>
      <w:r>
        <w:rPr>
          <w:rFonts w:ascii="Times New Roman" w:eastAsia="Times New Roman" w:hAnsi="Times New Roman"/>
          <w:lang w:eastAsia="ja-JP"/>
        </w:rPr>
        <w:t>;</w:t>
      </w:r>
    </w:p>
    <w:p w14:paraId="6B0BCE50" w14:textId="77777777" w:rsidR="00E850F6" w:rsidRPr="00F36DBF" w:rsidRDefault="00E850F6" w:rsidP="00E850F6">
      <w:pPr>
        <w:numPr>
          <w:ilvl w:val="0"/>
          <w:numId w:val="11"/>
        </w:numPr>
        <w:tabs>
          <w:tab w:val="clear" w:pos="720"/>
          <w:tab w:val="num" w:pos="567"/>
        </w:tabs>
        <w:spacing w:after="0" w:line="240" w:lineRule="auto"/>
        <w:ind w:left="567" w:right="-29" w:hanging="567"/>
        <w:rPr>
          <w:rFonts w:ascii="Times New Roman" w:eastAsia="Times New Roman" w:hAnsi="Times New Roman"/>
          <w:b/>
          <w:lang w:eastAsia="ja-JP"/>
        </w:rPr>
      </w:pPr>
      <w:r>
        <w:rPr>
          <w:rFonts w:ascii="Times New Roman" w:eastAsia="Times New Roman" w:hAnsi="Times New Roman"/>
          <w:lang w:eastAsia="ja-JP"/>
        </w:rPr>
        <w:t>šaltkrėtis;</w:t>
      </w:r>
    </w:p>
    <w:p w14:paraId="3EF6CC39" w14:textId="77777777" w:rsidR="00E850F6" w:rsidRPr="00F36DBF" w:rsidRDefault="00E850F6" w:rsidP="00E850F6">
      <w:pPr>
        <w:numPr>
          <w:ilvl w:val="0"/>
          <w:numId w:val="11"/>
        </w:numPr>
        <w:tabs>
          <w:tab w:val="clear" w:pos="720"/>
          <w:tab w:val="num" w:pos="567"/>
        </w:tabs>
        <w:spacing w:after="0" w:line="240" w:lineRule="auto"/>
        <w:ind w:left="567" w:right="-29" w:hanging="567"/>
        <w:rPr>
          <w:rFonts w:ascii="Times New Roman" w:eastAsia="Times New Roman" w:hAnsi="Times New Roman"/>
          <w:lang w:eastAsia="ja-JP"/>
        </w:rPr>
      </w:pPr>
      <w:r w:rsidRPr="00F36DBF">
        <w:rPr>
          <w:rFonts w:ascii="Times New Roman" w:eastAsia="Times New Roman" w:hAnsi="Times New Roman"/>
          <w:lang w:eastAsia="ja-JP"/>
        </w:rPr>
        <w:t xml:space="preserve">akių </w:t>
      </w:r>
      <w:r>
        <w:rPr>
          <w:rFonts w:ascii="Times New Roman" w:eastAsia="Times New Roman" w:hAnsi="Times New Roman"/>
          <w:lang w:eastAsia="ja-JP"/>
        </w:rPr>
        <w:t xml:space="preserve">uždegimas (konjunktyvitas); akių </w:t>
      </w:r>
      <w:r w:rsidRPr="00F36DBF">
        <w:rPr>
          <w:rFonts w:ascii="Times New Roman" w:eastAsia="Times New Roman" w:hAnsi="Times New Roman"/>
          <w:lang w:eastAsia="ja-JP"/>
        </w:rPr>
        <w:t>skausmas</w:t>
      </w:r>
      <w:r>
        <w:rPr>
          <w:rFonts w:ascii="Times New Roman" w:eastAsia="Times New Roman" w:hAnsi="Times New Roman"/>
          <w:lang w:eastAsia="ja-JP"/>
        </w:rPr>
        <w:t xml:space="preserve"> ar regėjimo sutrikimai;</w:t>
      </w:r>
    </w:p>
    <w:p w14:paraId="1D05759C" w14:textId="77777777" w:rsidR="00E850F6" w:rsidRDefault="00E850F6" w:rsidP="00E850F6">
      <w:pPr>
        <w:numPr>
          <w:ilvl w:val="0"/>
          <w:numId w:val="11"/>
        </w:numPr>
        <w:tabs>
          <w:tab w:val="clear" w:pos="720"/>
          <w:tab w:val="num" w:pos="567"/>
        </w:tabs>
        <w:spacing w:after="0" w:line="240" w:lineRule="auto"/>
        <w:ind w:left="567" w:right="-29" w:hanging="567"/>
        <w:rPr>
          <w:rFonts w:ascii="Times New Roman" w:eastAsia="Times New Roman" w:hAnsi="Times New Roman"/>
          <w:lang w:eastAsia="ja-JP"/>
        </w:rPr>
      </w:pPr>
      <w:r w:rsidRPr="00F36DBF">
        <w:rPr>
          <w:rFonts w:ascii="Times New Roman" w:eastAsia="Times New Roman" w:hAnsi="Times New Roman"/>
          <w:lang w:eastAsia="ja-JP"/>
        </w:rPr>
        <w:t>ausų skausmas</w:t>
      </w:r>
      <w:r>
        <w:rPr>
          <w:rFonts w:ascii="Times New Roman" w:eastAsia="Times New Roman" w:hAnsi="Times New Roman"/>
          <w:lang w:eastAsia="ja-JP"/>
        </w:rPr>
        <w:t>;</w:t>
      </w:r>
    </w:p>
    <w:p w14:paraId="757D9F69" w14:textId="77777777" w:rsidR="00E850F6" w:rsidRDefault="00E850F6" w:rsidP="00E850F6">
      <w:pPr>
        <w:numPr>
          <w:ilvl w:val="0"/>
          <w:numId w:val="11"/>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žemas kraujospūdis, dėl ko galite jausti svaigulį ar alpulį;</w:t>
      </w:r>
    </w:p>
    <w:p w14:paraId="6F5972C2" w14:textId="77777777" w:rsidR="00E850F6" w:rsidRPr="00F36DBF" w:rsidRDefault="00E850F6" w:rsidP="00E850F6">
      <w:pPr>
        <w:numPr>
          <w:ilvl w:val="0"/>
          <w:numId w:val="11"/>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rijimo sutrikimai;</w:t>
      </w:r>
    </w:p>
    <w:p w14:paraId="559460CE" w14:textId="77777777" w:rsidR="00E850F6" w:rsidRDefault="00E850F6" w:rsidP="00E850F6">
      <w:pPr>
        <w:numPr>
          <w:ilvl w:val="0"/>
          <w:numId w:val="11"/>
        </w:numPr>
        <w:tabs>
          <w:tab w:val="clear" w:pos="720"/>
          <w:tab w:val="num" w:pos="567"/>
        </w:tabs>
        <w:spacing w:after="0" w:line="240" w:lineRule="auto"/>
        <w:ind w:left="567" w:right="-29" w:hanging="567"/>
        <w:rPr>
          <w:rFonts w:ascii="Times New Roman" w:eastAsia="Times New Roman" w:hAnsi="Times New Roman"/>
          <w:lang w:eastAsia="ja-JP"/>
        </w:rPr>
      </w:pPr>
      <w:r w:rsidRPr="00F36DBF">
        <w:rPr>
          <w:rFonts w:ascii="Times New Roman" w:eastAsia="Times New Roman" w:hAnsi="Times New Roman"/>
          <w:lang w:eastAsia="ja-JP"/>
        </w:rPr>
        <w:t xml:space="preserve">vidurių užkietėjimas, pilvo pūtimas, </w:t>
      </w:r>
      <w:r>
        <w:rPr>
          <w:rFonts w:ascii="Times New Roman" w:eastAsia="Times New Roman" w:hAnsi="Times New Roman"/>
          <w:lang w:eastAsia="ja-JP"/>
        </w:rPr>
        <w:t>ne</w:t>
      </w:r>
      <w:r w:rsidRPr="00F36DBF">
        <w:rPr>
          <w:rFonts w:ascii="Times New Roman" w:eastAsia="Times New Roman" w:hAnsi="Times New Roman"/>
          <w:lang w:eastAsia="ja-JP"/>
        </w:rPr>
        <w:t>virškinimas</w:t>
      </w:r>
      <w:r>
        <w:rPr>
          <w:rFonts w:ascii="Times New Roman" w:eastAsia="Times New Roman" w:hAnsi="Times New Roman"/>
          <w:lang w:eastAsia="ja-JP"/>
        </w:rPr>
        <w:t>, pilvo skausmas, pilvo patinimas;</w:t>
      </w:r>
    </w:p>
    <w:p w14:paraId="3852A111" w14:textId="77777777" w:rsidR="00E850F6" w:rsidRDefault="00E850F6" w:rsidP="00E850F6">
      <w:pPr>
        <w:numPr>
          <w:ilvl w:val="0"/>
          <w:numId w:val="11"/>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burnos opos;</w:t>
      </w:r>
    </w:p>
    <w:p w14:paraId="54F9E809" w14:textId="77777777" w:rsidR="00E850F6" w:rsidRDefault="00E850F6" w:rsidP="00E850F6">
      <w:pPr>
        <w:numPr>
          <w:ilvl w:val="0"/>
          <w:numId w:val="11"/>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kepenų ar inkstų veiklą atspindinčių laboratorinių tyrimų rodmenų pokyčiai;</w:t>
      </w:r>
    </w:p>
    <w:p w14:paraId="12477977" w14:textId="77777777" w:rsidR="00E850F6" w:rsidRDefault="00E850F6" w:rsidP="00E850F6">
      <w:pPr>
        <w:numPr>
          <w:ilvl w:val="0"/>
          <w:numId w:val="11"/>
        </w:numPr>
        <w:tabs>
          <w:tab w:val="clear" w:pos="720"/>
          <w:tab w:val="num" w:pos="567"/>
        </w:tabs>
        <w:spacing w:after="0" w:line="240" w:lineRule="auto"/>
        <w:ind w:left="567" w:right="-29" w:hanging="567"/>
        <w:rPr>
          <w:rFonts w:ascii="Times New Roman" w:eastAsia="Times New Roman" w:hAnsi="Times New Roman"/>
          <w:lang w:eastAsia="ja-JP"/>
        </w:rPr>
      </w:pPr>
      <w:r w:rsidRPr="00F36DBF">
        <w:rPr>
          <w:rFonts w:ascii="Times New Roman" w:eastAsia="Times New Roman" w:hAnsi="Times New Roman"/>
          <w:lang w:eastAsia="ja-JP"/>
        </w:rPr>
        <w:t>naktinis prakaitavimas</w:t>
      </w:r>
      <w:r>
        <w:rPr>
          <w:rFonts w:ascii="Times New Roman" w:eastAsia="Times New Roman" w:hAnsi="Times New Roman"/>
          <w:lang w:eastAsia="ja-JP"/>
        </w:rPr>
        <w:t>;</w:t>
      </w:r>
    </w:p>
    <w:p w14:paraId="5B0B75B0" w14:textId="77777777" w:rsidR="00E850F6" w:rsidRDefault="00E850F6" w:rsidP="00E850F6">
      <w:pPr>
        <w:numPr>
          <w:ilvl w:val="0"/>
          <w:numId w:val="11"/>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niežulys, išbėrimas;</w:t>
      </w:r>
    </w:p>
    <w:p w14:paraId="61AEC843" w14:textId="77777777" w:rsidR="00E850F6" w:rsidRPr="00F36DBF" w:rsidRDefault="00E850F6" w:rsidP="00FB6095">
      <w:pPr>
        <w:numPr>
          <w:ilvl w:val="0"/>
          <w:numId w:val="11"/>
        </w:numPr>
        <w:tabs>
          <w:tab w:val="clear" w:pos="720"/>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plaukų slinkimas;</w:t>
      </w:r>
    </w:p>
    <w:p w14:paraId="09459EB1" w14:textId="77777777" w:rsidR="00E850F6" w:rsidRPr="00F36DBF" w:rsidRDefault="00E850F6" w:rsidP="00E850F6">
      <w:pPr>
        <w:numPr>
          <w:ilvl w:val="0"/>
          <w:numId w:val="11"/>
        </w:numPr>
        <w:tabs>
          <w:tab w:val="clear" w:pos="720"/>
          <w:tab w:val="num" w:pos="567"/>
        </w:tabs>
        <w:spacing w:after="0" w:line="240" w:lineRule="auto"/>
        <w:ind w:left="567" w:right="-29" w:hanging="567"/>
        <w:rPr>
          <w:rFonts w:ascii="Times New Roman" w:eastAsia="Times New Roman" w:hAnsi="Times New Roman"/>
          <w:lang w:eastAsia="ja-JP"/>
        </w:rPr>
      </w:pPr>
      <w:r w:rsidRPr="00F36DBF">
        <w:rPr>
          <w:rFonts w:ascii="Times New Roman" w:eastAsia="Times New Roman" w:hAnsi="Times New Roman"/>
          <w:lang w:eastAsia="ja-JP"/>
        </w:rPr>
        <w:t xml:space="preserve">nugaros skausmas, raumenų </w:t>
      </w:r>
      <w:r>
        <w:rPr>
          <w:rFonts w:ascii="Times New Roman" w:eastAsia="Times New Roman" w:hAnsi="Times New Roman"/>
          <w:lang w:eastAsia="ja-JP"/>
        </w:rPr>
        <w:t>ar</w:t>
      </w:r>
      <w:r w:rsidRPr="00F36DBF">
        <w:rPr>
          <w:rFonts w:ascii="Times New Roman" w:eastAsia="Times New Roman" w:hAnsi="Times New Roman"/>
          <w:lang w:eastAsia="ja-JP"/>
        </w:rPr>
        <w:t xml:space="preserve"> sąnarių skausmas, raumenų s</w:t>
      </w:r>
      <w:r>
        <w:rPr>
          <w:rFonts w:ascii="Times New Roman" w:eastAsia="Times New Roman" w:hAnsi="Times New Roman"/>
          <w:lang w:eastAsia="ja-JP"/>
        </w:rPr>
        <w:t>pazmai;</w:t>
      </w:r>
    </w:p>
    <w:p w14:paraId="4EE59270" w14:textId="77777777" w:rsidR="00E850F6" w:rsidRPr="00F36DBF" w:rsidRDefault="00E850F6" w:rsidP="00E850F6">
      <w:pPr>
        <w:numPr>
          <w:ilvl w:val="0"/>
          <w:numId w:val="11"/>
        </w:numPr>
        <w:tabs>
          <w:tab w:val="clear" w:pos="720"/>
          <w:tab w:val="num" w:pos="567"/>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svaigulys, silpnumas ar bendrai bloga savijauta</w:t>
      </w:r>
      <w:r w:rsidRPr="00F36DBF">
        <w:rPr>
          <w:rFonts w:ascii="Times New Roman" w:eastAsia="Times New Roman" w:hAnsi="Times New Roman"/>
          <w:lang w:eastAsia="ja-JP"/>
        </w:rPr>
        <w:t>.</w:t>
      </w:r>
    </w:p>
    <w:p w14:paraId="582FBDFC" w14:textId="77777777" w:rsidR="00E850F6" w:rsidRPr="00F36DBF" w:rsidRDefault="00E850F6" w:rsidP="00E850F6">
      <w:pPr>
        <w:tabs>
          <w:tab w:val="num" w:pos="567"/>
        </w:tabs>
        <w:spacing w:after="0" w:line="240" w:lineRule="auto"/>
        <w:ind w:left="567" w:right="-29" w:hanging="567"/>
        <w:rPr>
          <w:rFonts w:ascii="Times New Roman" w:hAnsi="Times New Roman"/>
        </w:rPr>
      </w:pPr>
    </w:p>
    <w:p w14:paraId="3A984A95" w14:textId="77777777" w:rsidR="00E850F6" w:rsidRPr="00F36DBF" w:rsidRDefault="00E850F6" w:rsidP="00E850F6">
      <w:pPr>
        <w:spacing w:after="0" w:line="240" w:lineRule="auto"/>
        <w:ind w:left="567" w:right="-29" w:hanging="567"/>
        <w:rPr>
          <w:rFonts w:ascii="Times New Roman" w:eastAsia="Times New Roman" w:hAnsi="Times New Roman"/>
          <w:lang w:eastAsia="ja-JP"/>
        </w:rPr>
      </w:pPr>
      <w:r w:rsidRPr="00402217">
        <w:rPr>
          <w:rFonts w:ascii="Times New Roman" w:hAnsi="Times New Roman"/>
          <w:b/>
        </w:rPr>
        <w:t>Nedažnas</w:t>
      </w:r>
      <w:r w:rsidRPr="00F36DBF">
        <w:rPr>
          <w:rFonts w:ascii="Times New Roman" w:eastAsia="Times New Roman" w:hAnsi="Times New Roman"/>
          <w:b/>
          <w:i/>
          <w:lang w:eastAsia="ja-JP"/>
        </w:rPr>
        <w:t xml:space="preserve"> </w:t>
      </w:r>
      <w:r w:rsidRPr="00F36DBF">
        <w:rPr>
          <w:rFonts w:ascii="Times New Roman" w:eastAsia="Times New Roman" w:hAnsi="Times New Roman"/>
          <w:b/>
          <w:lang w:eastAsia="ja-JP"/>
        </w:rPr>
        <w:t>(</w:t>
      </w:r>
      <w:r w:rsidRPr="00F36DBF">
        <w:rPr>
          <w:rFonts w:ascii="Times New Roman" w:eastAsia="Times New Roman" w:hAnsi="Times New Roman"/>
          <w:lang w:eastAsia="ja-JP"/>
        </w:rPr>
        <w:t xml:space="preserve">gali pasireikšti </w:t>
      </w:r>
      <w:r>
        <w:rPr>
          <w:rFonts w:ascii="Times New Roman" w:eastAsia="Times New Roman" w:hAnsi="Times New Roman"/>
          <w:lang w:eastAsia="ja-JP"/>
        </w:rPr>
        <w:t>mažiau kaip</w:t>
      </w:r>
      <w:r w:rsidRPr="00F36DBF">
        <w:rPr>
          <w:rFonts w:ascii="Times New Roman" w:eastAsia="Times New Roman" w:hAnsi="Times New Roman"/>
          <w:lang w:eastAsia="ja-JP"/>
        </w:rPr>
        <w:t xml:space="preserve"> </w:t>
      </w:r>
      <w:r>
        <w:rPr>
          <w:rFonts w:ascii="Times New Roman" w:eastAsia="Times New Roman" w:hAnsi="Times New Roman"/>
          <w:lang w:eastAsia="ja-JP"/>
        </w:rPr>
        <w:t xml:space="preserve">1 iš </w:t>
      </w:r>
      <w:r w:rsidRPr="00F36DBF">
        <w:rPr>
          <w:rFonts w:ascii="Times New Roman" w:eastAsia="Times New Roman" w:hAnsi="Times New Roman"/>
          <w:lang w:eastAsia="ja-JP"/>
        </w:rPr>
        <w:t>10</w:t>
      </w:r>
      <w:r>
        <w:rPr>
          <w:rFonts w:ascii="Times New Roman" w:eastAsia="Times New Roman" w:hAnsi="Times New Roman"/>
          <w:lang w:eastAsia="ja-JP"/>
        </w:rPr>
        <w:t>0</w:t>
      </w:r>
      <w:r w:rsidRPr="00F36DBF">
        <w:rPr>
          <w:rFonts w:ascii="Times New Roman" w:eastAsia="Times New Roman" w:hAnsi="Times New Roman"/>
          <w:lang w:eastAsia="ja-JP"/>
        </w:rPr>
        <w:t> pacientų)</w:t>
      </w:r>
      <w:r>
        <w:rPr>
          <w:rFonts w:ascii="Times New Roman" w:eastAsia="Times New Roman" w:hAnsi="Times New Roman"/>
          <w:lang w:eastAsia="ja-JP"/>
        </w:rPr>
        <w:t>:</w:t>
      </w:r>
    </w:p>
    <w:p w14:paraId="7F720E64" w14:textId="77777777" w:rsidR="00E850F6" w:rsidRPr="00F36DBF" w:rsidRDefault="00E850F6" w:rsidP="00E850F6">
      <w:pPr>
        <w:numPr>
          <w:ilvl w:val="0"/>
          <w:numId w:val="12"/>
        </w:numPr>
        <w:tabs>
          <w:tab w:val="clear" w:pos="720"/>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sujaudinimo jutimas;</w:t>
      </w:r>
    </w:p>
    <w:p w14:paraId="559F117B" w14:textId="77777777" w:rsidR="00E850F6" w:rsidRDefault="00E850F6" w:rsidP="00E850F6">
      <w:pPr>
        <w:numPr>
          <w:ilvl w:val="0"/>
          <w:numId w:val="12"/>
        </w:numPr>
        <w:tabs>
          <w:tab w:val="clear" w:pos="720"/>
        </w:tabs>
        <w:spacing w:after="0" w:line="240" w:lineRule="auto"/>
        <w:ind w:left="567" w:right="-29" w:hanging="567"/>
        <w:rPr>
          <w:rFonts w:ascii="Times New Roman" w:eastAsia="Times New Roman" w:hAnsi="Times New Roman"/>
          <w:lang w:eastAsia="ja-JP"/>
        </w:rPr>
      </w:pPr>
      <w:r w:rsidRPr="00F36DBF">
        <w:rPr>
          <w:rFonts w:ascii="Times New Roman" w:eastAsia="Times New Roman" w:hAnsi="Times New Roman"/>
          <w:lang w:eastAsia="ja-JP"/>
        </w:rPr>
        <w:t>purtymas ar drebėjimas (tremoras)</w:t>
      </w:r>
      <w:r>
        <w:rPr>
          <w:rFonts w:ascii="Times New Roman" w:eastAsia="Times New Roman" w:hAnsi="Times New Roman"/>
          <w:lang w:eastAsia="ja-JP"/>
        </w:rPr>
        <w:t>;</w:t>
      </w:r>
    </w:p>
    <w:p w14:paraId="526E7EF6" w14:textId="77777777" w:rsidR="00E850F6" w:rsidRDefault="00E850F6" w:rsidP="00E850F6">
      <w:pPr>
        <w:numPr>
          <w:ilvl w:val="0"/>
          <w:numId w:val="12"/>
        </w:numPr>
        <w:tabs>
          <w:tab w:val="clear" w:pos="720"/>
        </w:tabs>
        <w:spacing w:after="0" w:line="240" w:lineRule="auto"/>
        <w:ind w:left="567" w:right="-29" w:hanging="567"/>
        <w:rPr>
          <w:rFonts w:ascii="Times New Roman" w:eastAsia="Times New Roman" w:hAnsi="Times New Roman"/>
          <w:lang w:eastAsia="ja-JP"/>
        </w:rPr>
      </w:pPr>
      <w:r w:rsidRPr="00F36DBF">
        <w:rPr>
          <w:rFonts w:ascii="Times New Roman" w:eastAsia="Times New Roman" w:hAnsi="Times New Roman"/>
          <w:lang w:eastAsia="ja-JP"/>
        </w:rPr>
        <w:t>kurtumas</w:t>
      </w:r>
      <w:r>
        <w:rPr>
          <w:rFonts w:ascii="Times New Roman" w:eastAsia="Times New Roman" w:hAnsi="Times New Roman"/>
          <w:lang w:eastAsia="ja-JP"/>
        </w:rPr>
        <w:t>;</w:t>
      </w:r>
    </w:p>
    <w:p w14:paraId="7409970E" w14:textId="77777777" w:rsidR="00E850F6" w:rsidRPr="00F36DBF" w:rsidRDefault="00E850F6" w:rsidP="00E850F6">
      <w:pPr>
        <w:numPr>
          <w:ilvl w:val="0"/>
          <w:numId w:val="12"/>
        </w:numPr>
        <w:tabs>
          <w:tab w:val="clear" w:pos="720"/>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netolygus širdies plakimas;</w:t>
      </w:r>
    </w:p>
    <w:p w14:paraId="2EF4DF4F" w14:textId="77777777" w:rsidR="00E850F6" w:rsidRPr="00F36DBF" w:rsidRDefault="00E850F6" w:rsidP="00E850F6">
      <w:pPr>
        <w:numPr>
          <w:ilvl w:val="0"/>
          <w:numId w:val="12"/>
        </w:numPr>
        <w:tabs>
          <w:tab w:val="clear" w:pos="720"/>
        </w:tabs>
        <w:spacing w:after="0" w:line="240" w:lineRule="auto"/>
        <w:ind w:left="567" w:right="-29" w:hanging="567"/>
        <w:rPr>
          <w:rFonts w:ascii="Times New Roman" w:eastAsia="Times New Roman" w:hAnsi="Times New Roman"/>
          <w:lang w:eastAsia="ja-JP"/>
        </w:rPr>
      </w:pPr>
      <w:r w:rsidRPr="00F36DBF">
        <w:rPr>
          <w:rFonts w:ascii="Times New Roman" w:eastAsia="Times New Roman" w:hAnsi="Times New Roman"/>
          <w:lang w:eastAsia="ja-JP"/>
        </w:rPr>
        <w:t>dilgėlinė, odos saus</w:t>
      </w:r>
      <w:r>
        <w:rPr>
          <w:rFonts w:ascii="Times New Roman" w:eastAsia="Times New Roman" w:hAnsi="Times New Roman"/>
          <w:lang w:eastAsia="ja-JP"/>
        </w:rPr>
        <w:t>mė;</w:t>
      </w:r>
    </w:p>
    <w:p w14:paraId="0327B0D8" w14:textId="77777777" w:rsidR="00E850F6" w:rsidRDefault="00C66AD9" w:rsidP="00433BF9">
      <w:pPr>
        <w:numPr>
          <w:ilvl w:val="0"/>
          <w:numId w:val="12"/>
        </w:numPr>
        <w:tabs>
          <w:tab w:val="clear" w:pos="720"/>
        </w:tabs>
        <w:spacing w:after="0" w:line="240" w:lineRule="auto"/>
        <w:ind w:left="142" w:right="-29" w:hanging="142"/>
        <w:rPr>
          <w:rFonts w:ascii="Times New Roman" w:eastAsia="Times New Roman" w:hAnsi="Times New Roman"/>
          <w:lang w:eastAsia="ja-JP"/>
        </w:rPr>
      </w:pPr>
      <w:r>
        <w:rPr>
          <w:rFonts w:ascii="Times New Roman" w:eastAsia="Times New Roman" w:hAnsi="Times New Roman"/>
          <w:lang w:eastAsia="ja-JP"/>
        </w:rPr>
        <w:t xml:space="preserve">       </w:t>
      </w:r>
      <w:r w:rsidR="00E850F6" w:rsidRPr="00916F24">
        <w:rPr>
          <w:rFonts w:ascii="Times New Roman" w:eastAsia="Times New Roman" w:hAnsi="Times New Roman"/>
          <w:lang w:eastAsia="ja-JP"/>
        </w:rPr>
        <w:t>kraujas šlapime;</w:t>
      </w:r>
    </w:p>
    <w:p w14:paraId="24B80B76" w14:textId="67CDC612" w:rsidR="00E850F6" w:rsidRPr="00FB6095" w:rsidRDefault="00E850F6" w:rsidP="00172323">
      <w:pPr>
        <w:pStyle w:val="Sraopastraipa"/>
        <w:numPr>
          <w:ilvl w:val="0"/>
          <w:numId w:val="12"/>
        </w:numPr>
        <w:tabs>
          <w:tab w:val="clear" w:pos="720"/>
          <w:tab w:val="num" w:pos="567"/>
        </w:tabs>
        <w:spacing w:after="0" w:line="240" w:lineRule="auto"/>
        <w:ind w:right="-29" w:hanging="720"/>
        <w:rPr>
          <w:rFonts w:ascii="Times New Roman" w:eastAsia="Times New Roman" w:hAnsi="Times New Roman"/>
          <w:lang w:eastAsia="ja-JP"/>
        </w:rPr>
      </w:pPr>
      <w:r w:rsidRPr="00FB6095">
        <w:rPr>
          <w:rFonts w:ascii="Times New Roman" w:eastAsia="Times New Roman" w:hAnsi="Times New Roman"/>
          <w:lang w:eastAsia="ja-JP"/>
        </w:rPr>
        <w:t>vyrų nevaisingumas – žiūrėkite poskyrį „</w:t>
      </w:r>
      <w:r w:rsidR="00D06FA2" w:rsidRPr="00FB6095">
        <w:rPr>
          <w:rFonts w:ascii="Times New Roman" w:eastAsia="Times New Roman" w:hAnsi="Times New Roman"/>
          <w:lang w:eastAsia="ja-JP"/>
        </w:rPr>
        <w:t xml:space="preserve">Nėštumas,  </w:t>
      </w:r>
      <w:r w:rsidR="00B0481D" w:rsidRPr="00FB6095">
        <w:rPr>
          <w:rFonts w:ascii="Times New Roman" w:eastAsia="Times New Roman" w:hAnsi="Times New Roman"/>
          <w:lang w:eastAsia="ja-JP"/>
        </w:rPr>
        <w:t xml:space="preserve">žindymo laikotarpis ir </w:t>
      </w:r>
      <w:r w:rsidR="00D06FA2" w:rsidRPr="00FB6095">
        <w:rPr>
          <w:rFonts w:ascii="Times New Roman" w:eastAsia="Times New Roman" w:hAnsi="Times New Roman"/>
          <w:lang w:eastAsia="ja-JP"/>
        </w:rPr>
        <w:t>v</w:t>
      </w:r>
      <w:r w:rsidRPr="00FB6095">
        <w:rPr>
          <w:rFonts w:ascii="Times New Roman" w:eastAsia="Times New Roman" w:hAnsi="Times New Roman"/>
          <w:lang w:eastAsia="ja-JP"/>
        </w:rPr>
        <w:t>aisingumas“;</w:t>
      </w:r>
    </w:p>
    <w:p w14:paraId="439C822A" w14:textId="77777777" w:rsidR="00E850F6" w:rsidRPr="00916F24" w:rsidRDefault="00E850F6" w:rsidP="00FB6095">
      <w:pPr>
        <w:numPr>
          <w:ilvl w:val="0"/>
          <w:numId w:val="12"/>
        </w:numPr>
        <w:tabs>
          <w:tab w:val="clear" w:pos="720"/>
        </w:tabs>
        <w:spacing w:after="0" w:line="240" w:lineRule="auto"/>
        <w:ind w:left="567" w:right="-29" w:hanging="567"/>
        <w:rPr>
          <w:rFonts w:ascii="Times New Roman" w:eastAsia="Times New Roman" w:hAnsi="Times New Roman"/>
          <w:lang w:eastAsia="ja-JP"/>
        </w:rPr>
      </w:pPr>
      <w:r>
        <w:rPr>
          <w:rFonts w:ascii="Times New Roman" w:eastAsia="Times New Roman" w:hAnsi="Times New Roman"/>
          <w:lang w:eastAsia="ja-JP"/>
        </w:rPr>
        <w:t>krūtinės skausma</w:t>
      </w:r>
      <w:r w:rsidRPr="00916F24">
        <w:rPr>
          <w:rFonts w:ascii="Times New Roman" w:eastAsia="Times New Roman" w:hAnsi="Times New Roman"/>
          <w:lang w:eastAsia="ja-JP"/>
        </w:rPr>
        <w:t>s.</w:t>
      </w:r>
    </w:p>
    <w:p w14:paraId="663A5CFF" w14:textId="77777777" w:rsidR="00E850F6" w:rsidRPr="00F36DBF" w:rsidRDefault="00E850F6" w:rsidP="00E850F6">
      <w:pPr>
        <w:spacing w:after="0" w:line="240" w:lineRule="auto"/>
        <w:ind w:right="-29"/>
        <w:rPr>
          <w:rFonts w:ascii="Times New Roman" w:hAnsi="Times New Roman"/>
        </w:rPr>
      </w:pPr>
    </w:p>
    <w:p w14:paraId="680E975F" w14:textId="77777777" w:rsidR="00E850F6" w:rsidRPr="00F36DBF" w:rsidRDefault="00E850F6" w:rsidP="00E850F6">
      <w:pPr>
        <w:spacing w:after="0" w:line="240" w:lineRule="auto"/>
        <w:ind w:right="-29"/>
        <w:rPr>
          <w:rFonts w:ascii="Times New Roman" w:eastAsia="Times New Roman" w:hAnsi="Times New Roman"/>
          <w:lang w:eastAsia="ja-JP"/>
        </w:rPr>
      </w:pPr>
      <w:r w:rsidRPr="00F36DBF">
        <w:rPr>
          <w:rFonts w:ascii="Times New Roman" w:eastAsia="Times New Roman" w:hAnsi="Times New Roman"/>
          <w:lang w:eastAsia="ja-JP"/>
        </w:rPr>
        <w:lastRenderedPageBreak/>
        <w:t>Vidinio akies sluoksnio atsilupimas (tinklainės atšoka) įvyko tik AIDS segantiems pacientams, Valcyte gydytiems nuo CMV infekcijos.</w:t>
      </w:r>
    </w:p>
    <w:p w14:paraId="12D21791" w14:textId="77777777" w:rsidR="00E850F6" w:rsidRPr="00402217" w:rsidRDefault="00E850F6" w:rsidP="00E850F6">
      <w:pPr>
        <w:spacing w:after="0" w:line="240" w:lineRule="auto"/>
        <w:rPr>
          <w:rFonts w:ascii="Times New Roman" w:hAnsi="Times New Roman"/>
          <w:b/>
        </w:rPr>
      </w:pPr>
    </w:p>
    <w:p w14:paraId="20DED96A" w14:textId="77777777" w:rsidR="00E850F6" w:rsidRPr="00F36DBF" w:rsidRDefault="00E850F6" w:rsidP="00E850F6">
      <w:pPr>
        <w:keepNext/>
        <w:tabs>
          <w:tab w:val="left" w:pos="567"/>
        </w:tabs>
        <w:spacing w:after="0" w:line="240" w:lineRule="auto"/>
        <w:jc w:val="both"/>
        <w:outlineLvl w:val="3"/>
        <w:rPr>
          <w:rFonts w:ascii="Times New Roman" w:eastAsia="SimSun" w:hAnsi="Times New Roman"/>
          <w:b/>
        </w:rPr>
      </w:pPr>
      <w:r w:rsidRPr="00F36DBF">
        <w:rPr>
          <w:rFonts w:ascii="Times New Roman" w:eastAsia="SimSun" w:hAnsi="Times New Roman"/>
          <w:b/>
        </w:rPr>
        <w:t>Kitas šalutinis poveikis, kuris gali pasireikšti vaikams ir paaugliams</w:t>
      </w:r>
    </w:p>
    <w:p w14:paraId="204772C7" w14:textId="77777777" w:rsidR="00E850F6" w:rsidRPr="00F36DBF" w:rsidRDefault="00E850F6" w:rsidP="00E850F6">
      <w:pPr>
        <w:tabs>
          <w:tab w:val="left" w:pos="567"/>
        </w:tabs>
        <w:spacing w:after="0" w:line="240" w:lineRule="auto"/>
        <w:rPr>
          <w:rFonts w:ascii="Times New Roman" w:eastAsia="SimSun" w:hAnsi="Times New Roman"/>
          <w:b/>
          <w:lang w:eastAsia="zh-CN"/>
        </w:rPr>
      </w:pPr>
    </w:p>
    <w:p w14:paraId="700B09C4" w14:textId="77777777" w:rsidR="00E850F6" w:rsidRPr="00F36DBF" w:rsidRDefault="00E850F6" w:rsidP="00E850F6">
      <w:pPr>
        <w:spacing w:after="0" w:line="240" w:lineRule="auto"/>
        <w:rPr>
          <w:rFonts w:ascii="Times New Roman" w:eastAsia="Times New Roman" w:hAnsi="Times New Roman"/>
          <w:b/>
          <w:noProof/>
          <w:snapToGrid w:val="0"/>
          <w:lang w:eastAsia="en-US"/>
        </w:rPr>
      </w:pPr>
      <w:r w:rsidRPr="00F36DBF">
        <w:rPr>
          <w:rFonts w:ascii="Times New Roman" w:eastAsia="SimSun" w:hAnsi="Times New Roman"/>
          <w:lang w:eastAsia="zh-CN"/>
        </w:rPr>
        <w:t>Vaikams ir paaugliams pastebėti šalutiniai poveikiai yra panašūs į pastebėtus suaugusiesiems.</w:t>
      </w:r>
    </w:p>
    <w:p w14:paraId="72829D5C" w14:textId="77777777" w:rsidR="00E850F6" w:rsidRPr="00402217" w:rsidRDefault="00E850F6" w:rsidP="00E850F6">
      <w:pPr>
        <w:spacing w:after="0" w:line="240" w:lineRule="auto"/>
        <w:ind w:right="-2"/>
        <w:rPr>
          <w:rFonts w:ascii="Times New Roman" w:hAnsi="Times New Roman"/>
          <w:b/>
        </w:rPr>
      </w:pPr>
    </w:p>
    <w:p w14:paraId="17DBC7B0" w14:textId="77777777" w:rsidR="00E850F6" w:rsidRPr="00D600DA" w:rsidRDefault="00E850F6" w:rsidP="00E850F6">
      <w:pPr>
        <w:spacing w:after="0" w:line="240" w:lineRule="auto"/>
        <w:ind w:right="-29"/>
        <w:rPr>
          <w:rFonts w:ascii="Times New Roman" w:hAnsi="Times New Roman"/>
          <w:lang w:eastAsia="ja-JP"/>
        </w:rPr>
      </w:pPr>
    </w:p>
    <w:p w14:paraId="658868C0" w14:textId="77777777" w:rsidR="00E850F6" w:rsidRPr="00D600DA" w:rsidRDefault="00E850F6" w:rsidP="00E850F6">
      <w:pPr>
        <w:keepNext/>
        <w:spacing w:after="0" w:line="240" w:lineRule="auto"/>
        <w:rPr>
          <w:rFonts w:ascii="Times New Roman" w:eastAsia="Times New Roman" w:hAnsi="Times New Roman"/>
          <w:b/>
          <w:noProof/>
          <w:snapToGrid w:val="0"/>
        </w:rPr>
      </w:pPr>
      <w:r w:rsidRPr="00D600DA">
        <w:rPr>
          <w:rFonts w:ascii="Times New Roman" w:eastAsia="Times New Roman" w:hAnsi="Times New Roman"/>
          <w:b/>
          <w:noProof/>
          <w:snapToGrid w:val="0"/>
        </w:rPr>
        <w:t>Pranešimas apie šalutinį poveikį</w:t>
      </w:r>
    </w:p>
    <w:p w14:paraId="3D278855" w14:textId="77777777" w:rsidR="00E850F6" w:rsidRPr="00D600DA" w:rsidRDefault="00E850F6" w:rsidP="00E850F6">
      <w:pPr>
        <w:spacing w:after="0" w:line="240" w:lineRule="auto"/>
        <w:ind w:right="-2"/>
        <w:rPr>
          <w:rFonts w:ascii="Times New Roman" w:hAnsi="Times New Roman"/>
          <w:lang w:eastAsia="ja-JP"/>
        </w:rPr>
      </w:pPr>
      <w:r w:rsidRPr="00D600DA">
        <w:rPr>
          <w:rFonts w:ascii="Times New Roman" w:eastAsia="Times New Roman" w:hAnsi="Times New Roman"/>
          <w:lang w:eastAsia="ja-JP"/>
        </w:rPr>
        <w:t xml:space="preserve">Jeigu pasireiškė šalutinis poveikis, įskaitant šiame lapelyje nenurodytą, pasakykite gydytojui arba vaistininkui. </w:t>
      </w:r>
      <w:r w:rsidRPr="00E37C76">
        <w:rPr>
          <w:rFonts w:ascii="Times New Roman" w:hAnsi="Times New Roman"/>
          <w:noProof/>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30A60503" w14:textId="77777777" w:rsidR="00E850F6" w:rsidRDefault="00E850F6" w:rsidP="00E850F6">
      <w:pPr>
        <w:spacing w:after="0" w:line="240" w:lineRule="auto"/>
        <w:ind w:right="-2"/>
        <w:rPr>
          <w:rFonts w:ascii="Times New Roman" w:hAnsi="Times New Roman"/>
          <w:lang w:eastAsia="ja-JP"/>
        </w:rPr>
      </w:pPr>
    </w:p>
    <w:p w14:paraId="6C1B1FA6" w14:textId="77777777" w:rsidR="00636DA1" w:rsidRPr="00D600DA" w:rsidRDefault="00636DA1" w:rsidP="00E850F6">
      <w:pPr>
        <w:spacing w:after="0" w:line="240" w:lineRule="auto"/>
        <w:ind w:right="-2"/>
        <w:rPr>
          <w:rFonts w:ascii="Times New Roman" w:hAnsi="Times New Roman"/>
          <w:lang w:eastAsia="ja-JP"/>
        </w:rPr>
      </w:pPr>
    </w:p>
    <w:p w14:paraId="679A2228" w14:textId="77777777" w:rsidR="00E850F6" w:rsidRPr="00D600DA" w:rsidRDefault="00E850F6" w:rsidP="00E850F6">
      <w:pPr>
        <w:tabs>
          <w:tab w:val="left" w:pos="567"/>
        </w:tabs>
        <w:spacing w:after="0" w:line="240" w:lineRule="auto"/>
        <w:ind w:right="-2"/>
        <w:rPr>
          <w:rFonts w:ascii="Times New Roman" w:hAnsi="Times New Roman"/>
          <w:highlight w:val="yellow"/>
          <w:lang w:eastAsia="ja-JP"/>
        </w:rPr>
      </w:pPr>
      <w:r w:rsidRPr="00D600DA">
        <w:rPr>
          <w:rFonts w:ascii="Times New Roman" w:hAnsi="Times New Roman"/>
          <w:b/>
          <w:lang w:eastAsia="ja-JP"/>
        </w:rPr>
        <w:t>5.</w:t>
      </w:r>
      <w:r w:rsidRPr="00D600DA">
        <w:rPr>
          <w:rFonts w:ascii="Times New Roman" w:hAnsi="Times New Roman"/>
          <w:b/>
          <w:lang w:eastAsia="ja-JP"/>
        </w:rPr>
        <w:tab/>
        <w:t>Kaip laikyti Valcyte</w:t>
      </w:r>
    </w:p>
    <w:p w14:paraId="1F1D464E" w14:textId="77777777" w:rsidR="00E850F6" w:rsidRPr="00D600DA" w:rsidRDefault="00E850F6" w:rsidP="00E850F6">
      <w:pPr>
        <w:spacing w:after="0" w:line="240" w:lineRule="auto"/>
        <w:ind w:right="-2"/>
        <w:rPr>
          <w:rFonts w:ascii="Times New Roman" w:hAnsi="Times New Roman"/>
          <w:highlight w:val="yellow"/>
          <w:lang w:eastAsia="ja-JP"/>
        </w:rPr>
      </w:pPr>
    </w:p>
    <w:p w14:paraId="411ED5C8" w14:textId="77777777" w:rsidR="00E850F6" w:rsidRPr="00D600DA" w:rsidRDefault="00E850F6" w:rsidP="00E850F6">
      <w:pPr>
        <w:spacing w:after="0" w:line="240" w:lineRule="auto"/>
        <w:ind w:right="-2"/>
        <w:rPr>
          <w:rFonts w:ascii="Times New Roman" w:hAnsi="Times New Roman"/>
          <w:lang w:eastAsia="ja-JP"/>
        </w:rPr>
      </w:pPr>
      <w:r w:rsidRPr="00D600DA">
        <w:rPr>
          <w:rFonts w:ascii="Times New Roman" w:hAnsi="Times New Roman"/>
          <w:lang w:eastAsia="ja-JP"/>
        </w:rPr>
        <w:t>Šį vaistą laikykite vaikams nepastebimoje ir nepasiekiamoje vietoje.</w:t>
      </w:r>
    </w:p>
    <w:p w14:paraId="56FC4361" w14:textId="77777777" w:rsidR="00E850F6" w:rsidRPr="00D600DA" w:rsidRDefault="00E850F6" w:rsidP="00E850F6">
      <w:pPr>
        <w:spacing w:after="0" w:line="240" w:lineRule="auto"/>
        <w:ind w:right="-2"/>
        <w:rPr>
          <w:rFonts w:ascii="Times New Roman" w:hAnsi="Times New Roman"/>
          <w:lang w:eastAsia="ja-JP"/>
        </w:rPr>
      </w:pPr>
    </w:p>
    <w:p w14:paraId="26B1C565" w14:textId="77777777" w:rsidR="00E850F6" w:rsidRPr="00D600DA" w:rsidRDefault="00E850F6" w:rsidP="00E850F6">
      <w:pPr>
        <w:spacing w:after="0" w:line="240" w:lineRule="auto"/>
        <w:ind w:right="-2"/>
        <w:rPr>
          <w:rFonts w:ascii="Times New Roman" w:hAnsi="Times New Roman"/>
          <w:lang w:eastAsia="ja-JP"/>
        </w:rPr>
      </w:pPr>
      <w:r w:rsidRPr="00D600DA">
        <w:rPr>
          <w:rFonts w:ascii="Times New Roman" w:hAnsi="Times New Roman"/>
          <w:lang w:eastAsia="ja-JP"/>
        </w:rPr>
        <w:t>Ant dėžutės ir buteliuko etiketės po „Tinka iki“ nurodytam tinkamumo laikui pasibaigus, miltelių vartoti negalima. Vaistas tinkamas vartoti iki paskutinės nurodyto mėnesio dienos.</w:t>
      </w:r>
    </w:p>
    <w:p w14:paraId="0CEE6F6A" w14:textId="77777777" w:rsidR="00E850F6" w:rsidRPr="00D600DA" w:rsidRDefault="00E850F6" w:rsidP="00E850F6">
      <w:pPr>
        <w:spacing w:after="0" w:line="240" w:lineRule="auto"/>
        <w:ind w:right="-2"/>
        <w:rPr>
          <w:rFonts w:ascii="Times New Roman" w:hAnsi="Times New Roman"/>
          <w:lang w:eastAsia="ja-JP"/>
        </w:rPr>
      </w:pPr>
    </w:p>
    <w:p w14:paraId="3234E011" w14:textId="77777777" w:rsidR="00E850F6" w:rsidRPr="00D600DA" w:rsidRDefault="00E850F6" w:rsidP="00E850F6">
      <w:pPr>
        <w:spacing w:after="0" w:line="240" w:lineRule="auto"/>
        <w:ind w:right="-2"/>
        <w:rPr>
          <w:rFonts w:ascii="Times New Roman" w:hAnsi="Times New Roman"/>
          <w:lang w:eastAsia="ja-JP"/>
        </w:rPr>
      </w:pPr>
      <w:r w:rsidRPr="00D600DA">
        <w:rPr>
          <w:rFonts w:ascii="Times New Roman" w:hAnsi="Times New Roman"/>
          <w:lang w:eastAsia="ja-JP"/>
        </w:rPr>
        <w:t>Milteliams specialių laikymo sąlygų nereikia.</w:t>
      </w:r>
    </w:p>
    <w:p w14:paraId="3184CC9C" w14:textId="77777777" w:rsidR="00E850F6" w:rsidRPr="00D600DA" w:rsidRDefault="00E850F6" w:rsidP="00E850F6">
      <w:pPr>
        <w:spacing w:after="0" w:line="240" w:lineRule="auto"/>
        <w:ind w:right="-2"/>
        <w:rPr>
          <w:rFonts w:ascii="Times New Roman" w:hAnsi="Times New Roman"/>
          <w:lang w:eastAsia="ja-JP"/>
        </w:rPr>
      </w:pPr>
      <w:r w:rsidRPr="00D600DA">
        <w:rPr>
          <w:rFonts w:ascii="Times New Roman" w:hAnsi="Times New Roman"/>
          <w:lang w:eastAsia="ja-JP"/>
        </w:rPr>
        <w:t xml:space="preserve">Paruoštą tirpalą laikyti šaldytuve (2 </w:t>
      </w:r>
      <w:r w:rsidRPr="00D600DA">
        <w:rPr>
          <w:rFonts w:ascii="Times New Roman" w:hAnsi="Times New Roman"/>
          <w:lang w:eastAsia="ja-JP"/>
        </w:rPr>
        <w:sym w:font="Symbol" w:char="F0B0"/>
      </w:r>
      <w:r w:rsidRPr="00D600DA">
        <w:rPr>
          <w:rFonts w:ascii="Times New Roman" w:hAnsi="Times New Roman"/>
          <w:lang w:eastAsia="ja-JP"/>
        </w:rPr>
        <w:t xml:space="preserve">C – 8 </w:t>
      </w:r>
      <w:r w:rsidRPr="00D600DA">
        <w:rPr>
          <w:rFonts w:ascii="Times New Roman" w:hAnsi="Times New Roman"/>
          <w:lang w:eastAsia="ja-JP"/>
        </w:rPr>
        <w:sym w:font="Symbol" w:char="F0B0"/>
      </w:r>
      <w:r w:rsidRPr="00D600DA">
        <w:rPr>
          <w:rFonts w:ascii="Times New Roman" w:hAnsi="Times New Roman"/>
          <w:lang w:eastAsia="ja-JP"/>
        </w:rPr>
        <w:t>C).</w:t>
      </w:r>
    </w:p>
    <w:p w14:paraId="4EAA4DBE" w14:textId="77777777" w:rsidR="00E850F6" w:rsidRPr="00D600DA" w:rsidRDefault="00E850F6" w:rsidP="00E850F6">
      <w:pPr>
        <w:spacing w:after="0" w:line="240" w:lineRule="auto"/>
        <w:ind w:right="-2"/>
        <w:rPr>
          <w:rFonts w:ascii="Times New Roman" w:hAnsi="Times New Roman"/>
          <w:lang w:eastAsia="ja-JP"/>
        </w:rPr>
      </w:pPr>
      <w:r w:rsidRPr="00D600DA">
        <w:rPr>
          <w:rFonts w:ascii="Times New Roman" w:hAnsi="Times New Roman"/>
          <w:lang w:eastAsia="ja-JP"/>
        </w:rPr>
        <w:t>Paruošto geriamojo tirpalo tinkamumo laikas – 49 dienos. Praėjus 49 dienoms po paruošimo arba pasibaigus laikui, kurį ant buteliuko užrašė vaistininkas, tirpalo vartoti negalima.</w:t>
      </w:r>
    </w:p>
    <w:p w14:paraId="76756064" w14:textId="77777777" w:rsidR="00E850F6" w:rsidRPr="00D600DA" w:rsidRDefault="00E850F6" w:rsidP="00E850F6">
      <w:pPr>
        <w:spacing w:after="0" w:line="240" w:lineRule="auto"/>
        <w:ind w:right="-2"/>
        <w:rPr>
          <w:rFonts w:ascii="Times New Roman" w:hAnsi="Times New Roman"/>
          <w:lang w:eastAsia="ja-JP"/>
        </w:rPr>
      </w:pPr>
    </w:p>
    <w:p w14:paraId="0FFFCB86" w14:textId="77777777" w:rsidR="00E850F6" w:rsidRPr="00D600DA" w:rsidRDefault="00E850F6" w:rsidP="00E850F6">
      <w:pPr>
        <w:spacing w:after="0" w:line="240" w:lineRule="auto"/>
        <w:ind w:right="-2"/>
        <w:rPr>
          <w:rFonts w:ascii="Times New Roman" w:hAnsi="Times New Roman"/>
          <w:lang w:eastAsia="ja-JP"/>
        </w:rPr>
      </w:pPr>
      <w:r w:rsidRPr="00D600DA">
        <w:rPr>
          <w:rFonts w:ascii="Times New Roman" w:hAnsi="Times New Roman"/>
          <w:lang w:eastAsia="ja-JP"/>
        </w:rPr>
        <w:t>Vaistų negalima išmesti į kanalizaciją arba su buitinėmis atliekomis. Kaip išmesti nereikalingus vaistus, klauskite vaistininko. Šios priemonės padės apsaugoti aplinką.</w:t>
      </w:r>
    </w:p>
    <w:p w14:paraId="632F9C6F" w14:textId="77777777" w:rsidR="00E850F6" w:rsidRPr="00D600DA" w:rsidRDefault="00E850F6" w:rsidP="00E850F6">
      <w:pPr>
        <w:spacing w:after="0" w:line="240" w:lineRule="auto"/>
        <w:rPr>
          <w:rFonts w:ascii="Times New Roman" w:hAnsi="Times New Roman"/>
          <w:lang w:eastAsia="ja-JP"/>
        </w:rPr>
      </w:pPr>
    </w:p>
    <w:p w14:paraId="3491367A" w14:textId="77777777" w:rsidR="00E850F6" w:rsidRPr="00D600DA" w:rsidRDefault="00E850F6" w:rsidP="00E850F6">
      <w:pPr>
        <w:spacing w:after="0" w:line="240" w:lineRule="auto"/>
        <w:ind w:right="-2"/>
        <w:rPr>
          <w:rFonts w:ascii="Times New Roman" w:hAnsi="Times New Roman"/>
          <w:lang w:eastAsia="ja-JP"/>
        </w:rPr>
      </w:pPr>
    </w:p>
    <w:p w14:paraId="41E3AC3B" w14:textId="77777777" w:rsidR="00E850F6" w:rsidRPr="00D600DA" w:rsidRDefault="00E850F6" w:rsidP="00E850F6">
      <w:pPr>
        <w:numPr>
          <w:ilvl w:val="12"/>
          <w:numId w:val="0"/>
        </w:numPr>
        <w:spacing w:after="0" w:line="240" w:lineRule="auto"/>
        <w:ind w:left="567" w:hanging="567"/>
        <w:outlineLvl w:val="0"/>
        <w:rPr>
          <w:rFonts w:ascii="Times New Roman" w:hAnsi="Times New Roman"/>
          <w:b/>
          <w:lang w:eastAsia="ja-JP"/>
        </w:rPr>
      </w:pPr>
      <w:r w:rsidRPr="00D600DA">
        <w:rPr>
          <w:rFonts w:ascii="Times New Roman" w:hAnsi="Times New Roman"/>
          <w:b/>
          <w:lang w:eastAsia="ja-JP"/>
        </w:rPr>
        <w:t>6.</w:t>
      </w:r>
      <w:r w:rsidRPr="00D600DA">
        <w:rPr>
          <w:rFonts w:ascii="Times New Roman" w:hAnsi="Times New Roman"/>
          <w:lang w:eastAsia="ja-JP"/>
        </w:rPr>
        <w:tab/>
      </w:r>
      <w:r w:rsidRPr="00D600DA">
        <w:rPr>
          <w:rFonts w:ascii="Times New Roman" w:hAnsi="Times New Roman"/>
          <w:b/>
          <w:lang w:eastAsia="ja-JP"/>
        </w:rPr>
        <w:t>Pakuotės turinys ir kita informacija</w:t>
      </w:r>
    </w:p>
    <w:p w14:paraId="565318F7" w14:textId="77777777" w:rsidR="00E850F6" w:rsidRPr="00D600DA" w:rsidRDefault="00E850F6" w:rsidP="00E850F6">
      <w:pPr>
        <w:spacing w:after="0" w:line="240" w:lineRule="auto"/>
        <w:ind w:left="567" w:hanging="567"/>
        <w:rPr>
          <w:rFonts w:ascii="Times New Roman" w:hAnsi="Times New Roman"/>
          <w:lang w:eastAsia="ja-JP"/>
        </w:rPr>
      </w:pPr>
    </w:p>
    <w:p w14:paraId="4CF1AB26" w14:textId="77777777" w:rsidR="00E850F6" w:rsidRPr="00D600DA" w:rsidRDefault="00E850F6" w:rsidP="00E850F6">
      <w:pPr>
        <w:spacing w:after="0" w:line="220" w:lineRule="exact"/>
        <w:rPr>
          <w:rFonts w:ascii="Times New Roman" w:hAnsi="Times New Roman"/>
          <w:b/>
          <w:lang w:eastAsia="ja-JP"/>
        </w:rPr>
      </w:pPr>
      <w:r w:rsidRPr="00D600DA">
        <w:rPr>
          <w:rFonts w:ascii="Times New Roman" w:hAnsi="Times New Roman"/>
          <w:b/>
          <w:lang w:eastAsia="ja-JP"/>
        </w:rPr>
        <w:t>Valcyte sudėtis</w:t>
      </w:r>
    </w:p>
    <w:p w14:paraId="6E3FAE76" w14:textId="77777777" w:rsidR="00E850F6" w:rsidRPr="00D600DA" w:rsidRDefault="00E850F6" w:rsidP="00E850F6">
      <w:pPr>
        <w:spacing w:after="0" w:line="240" w:lineRule="auto"/>
        <w:rPr>
          <w:rFonts w:ascii="Times New Roman" w:hAnsi="Times New Roman"/>
          <w:u w:val="single"/>
          <w:lang w:eastAsia="ja-JP"/>
        </w:rPr>
      </w:pPr>
    </w:p>
    <w:p w14:paraId="1C14E705" w14:textId="77777777" w:rsidR="00E850F6" w:rsidRPr="00D600DA" w:rsidRDefault="00E850F6" w:rsidP="00E850F6">
      <w:pPr>
        <w:numPr>
          <w:ilvl w:val="0"/>
          <w:numId w:val="7"/>
        </w:numPr>
        <w:spacing w:after="0" w:line="240" w:lineRule="auto"/>
        <w:rPr>
          <w:rFonts w:ascii="Times New Roman" w:hAnsi="Times New Roman"/>
          <w:lang w:eastAsia="ja-JP"/>
        </w:rPr>
      </w:pPr>
      <w:r w:rsidRPr="00D600DA">
        <w:rPr>
          <w:rFonts w:ascii="Times New Roman" w:hAnsi="Times New Roman"/>
          <w:lang w:eastAsia="ja-JP"/>
        </w:rPr>
        <w:t>Veiklioji medžiaga yra valgancikloviro hidrochloridas. Ištirpinus miltelius, 1 ml tirpalo yra 55 mg valgancikloviro hidrochlorido, atitinkančio 50 mg valgancikloviro (hidrochlorido pavidalu).</w:t>
      </w:r>
    </w:p>
    <w:p w14:paraId="68EF71EC" w14:textId="77777777" w:rsidR="00E850F6" w:rsidRPr="00D600DA" w:rsidRDefault="00E850F6" w:rsidP="00E850F6">
      <w:pPr>
        <w:spacing w:after="0" w:line="240" w:lineRule="auto"/>
        <w:rPr>
          <w:rFonts w:ascii="Times New Roman" w:hAnsi="Times New Roman"/>
          <w:lang w:eastAsia="ja-JP"/>
        </w:rPr>
      </w:pPr>
    </w:p>
    <w:p w14:paraId="44F25309" w14:textId="77777777" w:rsidR="00E850F6" w:rsidRPr="00D600DA" w:rsidRDefault="00E850F6" w:rsidP="00E850F6">
      <w:pPr>
        <w:numPr>
          <w:ilvl w:val="0"/>
          <w:numId w:val="7"/>
        </w:numPr>
        <w:spacing w:after="0" w:line="240" w:lineRule="auto"/>
        <w:rPr>
          <w:rFonts w:ascii="Times New Roman" w:hAnsi="Times New Roman"/>
          <w:lang w:eastAsia="ja-JP"/>
        </w:rPr>
      </w:pPr>
      <w:r w:rsidRPr="00D600DA">
        <w:rPr>
          <w:rFonts w:ascii="Times New Roman" w:hAnsi="Times New Roman"/>
          <w:lang w:eastAsia="ja-JP"/>
        </w:rPr>
        <w:t xml:space="preserve">Pagalbinės medžiagos yra povidonas, fumaro rūgštis, natrio benzoatas (E211), sacharino natrio druska ir manitolis, </w:t>
      </w:r>
      <w:r w:rsidRPr="00D600DA">
        <w:rPr>
          <w:rFonts w:ascii="Times New Roman" w:hAnsi="Times New Roman"/>
          <w:i/>
          <w:lang w:eastAsia="ja-JP"/>
        </w:rPr>
        <w:t>tutti frutti</w:t>
      </w:r>
      <w:r w:rsidRPr="00D600DA">
        <w:rPr>
          <w:rFonts w:ascii="Times New Roman" w:hAnsi="Times New Roman"/>
          <w:lang w:eastAsia="ja-JP"/>
        </w:rPr>
        <w:t xml:space="preserve"> aromatinės medžiagos [maltodekstrinai (kukurūzų), propilenglikolis, gumiarabikas E414 ir natūralioms identiškos aromatinės medžiagos, daugiausia iš bananų, ananasų ir persikų].</w:t>
      </w:r>
    </w:p>
    <w:p w14:paraId="1F68541E" w14:textId="77777777" w:rsidR="00E850F6" w:rsidRPr="00D600DA" w:rsidRDefault="00E850F6" w:rsidP="00E850F6">
      <w:pPr>
        <w:spacing w:after="0" w:line="240" w:lineRule="auto"/>
        <w:rPr>
          <w:rFonts w:ascii="Times New Roman" w:hAnsi="Times New Roman"/>
          <w:b/>
          <w:lang w:eastAsia="ja-JP"/>
        </w:rPr>
      </w:pPr>
    </w:p>
    <w:p w14:paraId="006FC032" w14:textId="77777777" w:rsidR="00E850F6" w:rsidRPr="00D600DA" w:rsidRDefault="00E850F6" w:rsidP="00E850F6">
      <w:pPr>
        <w:spacing w:after="0" w:line="240" w:lineRule="auto"/>
        <w:rPr>
          <w:rFonts w:ascii="Times New Roman" w:hAnsi="Times New Roman"/>
          <w:b/>
          <w:lang w:eastAsia="ja-JP"/>
        </w:rPr>
      </w:pPr>
      <w:r w:rsidRPr="00D600DA">
        <w:rPr>
          <w:rFonts w:ascii="Times New Roman" w:hAnsi="Times New Roman"/>
          <w:b/>
          <w:lang w:eastAsia="ja-JP"/>
        </w:rPr>
        <w:t>Valcyte išvaizda ir kiekis pakuotėje</w:t>
      </w:r>
    </w:p>
    <w:p w14:paraId="5A2CE19B" w14:textId="77777777" w:rsidR="00E850F6" w:rsidRPr="00D600DA" w:rsidRDefault="00E850F6" w:rsidP="00E850F6">
      <w:pPr>
        <w:spacing w:after="0" w:line="240" w:lineRule="auto"/>
        <w:rPr>
          <w:rFonts w:ascii="Times New Roman" w:hAnsi="Times New Roman"/>
          <w:b/>
          <w:lang w:eastAsia="ja-JP"/>
        </w:rPr>
      </w:pPr>
    </w:p>
    <w:p w14:paraId="06D7CDEE"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Valcyte milteliai yra baltas ar gelsvas granuliatas. Stikliniame buteliuke yra 12 g miltelių. Paruošto tirpalo tūris yra 100 ml, iš kurių galima praktiškai sunaudoti 88 ml. Tirpalas yra skaidrus, bespalvis arba iki rudos spalvos. Pakuotėje taip pat yra buteliuko adapteris ir 2 geriamieji švirkštai</w:t>
      </w:r>
      <w:r w:rsidR="00B874EB">
        <w:rPr>
          <w:rFonts w:ascii="Times New Roman" w:hAnsi="Times New Roman"/>
          <w:lang w:eastAsia="ja-JP"/>
        </w:rPr>
        <w:t>,</w:t>
      </w:r>
      <w:r w:rsidRPr="00D600DA">
        <w:rPr>
          <w:rFonts w:ascii="Times New Roman" w:hAnsi="Times New Roman"/>
          <w:lang w:eastAsia="ja-JP"/>
        </w:rPr>
        <w:t xml:space="preserve"> su</w:t>
      </w:r>
      <w:r w:rsidR="00B874EB">
        <w:rPr>
          <w:rFonts w:ascii="Times New Roman" w:hAnsi="Times New Roman"/>
          <w:lang w:eastAsia="ja-JP"/>
        </w:rPr>
        <w:t>graduoti iki 10 ml</w:t>
      </w:r>
      <w:r w:rsidRPr="00D600DA">
        <w:rPr>
          <w:rFonts w:ascii="Times New Roman" w:hAnsi="Times New Roman"/>
          <w:lang w:eastAsia="ja-JP"/>
        </w:rPr>
        <w:t xml:space="preserve"> </w:t>
      </w:r>
      <w:r w:rsidR="00B874EB">
        <w:rPr>
          <w:rFonts w:ascii="Times New Roman" w:hAnsi="Times New Roman"/>
          <w:lang w:eastAsia="ja-JP"/>
        </w:rPr>
        <w:t>(</w:t>
      </w:r>
      <w:r w:rsidR="00B874EB" w:rsidRPr="00D600DA">
        <w:rPr>
          <w:rFonts w:ascii="Times New Roman" w:hAnsi="Times New Roman"/>
          <w:lang w:eastAsia="ja-JP"/>
        </w:rPr>
        <w:t>500 mg</w:t>
      </w:r>
      <w:r w:rsidR="00B874EB">
        <w:rPr>
          <w:rFonts w:ascii="Times New Roman" w:hAnsi="Times New Roman"/>
          <w:lang w:eastAsia="ja-JP"/>
        </w:rPr>
        <w:t>) 0,5 ml</w:t>
      </w:r>
      <w:r w:rsidR="00B874EB" w:rsidRPr="00D600DA">
        <w:rPr>
          <w:rFonts w:ascii="Times New Roman" w:hAnsi="Times New Roman"/>
          <w:lang w:eastAsia="ja-JP"/>
        </w:rPr>
        <w:t xml:space="preserve"> </w:t>
      </w:r>
      <w:r w:rsidR="00B874EB">
        <w:rPr>
          <w:rFonts w:ascii="Times New Roman" w:hAnsi="Times New Roman"/>
          <w:lang w:eastAsia="ja-JP"/>
        </w:rPr>
        <w:t>(</w:t>
      </w:r>
      <w:r w:rsidRPr="00D600DA">
        <w:rPr>
          <w:rFonts w:ascii="Times New Roman" w:hAnsi="Times New Roman"/>
          <w:lang w:eastAsia="ja-JP"/>
        </w:rPr>
        <w:t>25 mg</w:t>
      </w:r>
      <w:r w:rsidR="00B874EB">
        <w:rPr>
          <w:rFonts w:ascii="Times New Roman" w:hAnsi="Times New Roman"/>
          <w:lang w:eastAsia="ja-JP"/>
        </w:rPr>
        <w:t>)</w:t>
      </w:r>
      <w:r w:rsidRPr="00D600DA">
        <w:rPr>
          <w:rFonts w:ascii="Times New Roman" w:hAnsi="Times New Roman"/>
          <w:lang w:eastAsia="ja-JP"/>
        </w:rPr>
        <w:t xml:space="preserve"> padalomis.</w:t>
      </w:r>
    </w:p>
    <w:p w14:paraId="2003E181" w14:textId="77777777" w:rsidR="00E850F6" w:rsidRPr="00D600DA" w:rsidRDefault="00E850F6" w:rsidP="00E850F6">
      <w:pPr>
        <w:spacing w:after="0" w:line="240" w:lineRule="auto"/>
        <w:rPr>
          <w:rFonts w:ascii="Times New Roman" w:hAnsi="Times New Roman"/>
          <w:lang w:eastAsia="ja-JP"/>
        </w:rPr>
      </w:pPr>
    </w:p>
    <w:p w14:paraId="4FEED4A0"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Pakuotės dydis: viename buteliuke yra 12 gramų miltelių.</w:t>
      </w:r>
    </w:p>
    <w:p w14:paraId="185FD1E6" w14:textId="77777777" w:rsidR="00E850F6" w:rsidRPr="00D600DA" w:rsidRDefault="00E850F6" w:rsidP="00E850F6">
      <w:pPr>
        <w:spacing w:after="0" w:line="240" w:lineRule="auto"/>
        <w:rPr>
          <w:rFonts w:ascii="Times New Roman" w:hAnsi="Times New Roman"/>
          <w:lang w:eastAsia="ja-JP"/>
        </w:rPr>
      </w:pPr>
    </w:p>
    <w:p w14:paraId="2F041AE1" w14:textId="77777777" w:rsidR="00E850F6" w:rsidRPr="00D600DA" w:rsidRDefault="00E850F6" w:rsidP="00E850F6">
      <w:pPr>
        <w:numPr>
          <w:ilvl w:val="12"/>
          <w:numId w:val="0"/>
        </w:numPr>
        <w:spacing w:after="0" w:line="240" w:lineRule="auto"/>
        <w:ind w:right="-2"/>
        <w:rPr>
          <w:rFonts w:ascii="Times New Roman" w:hAnsi="Times New Roman"/>
          <w:b/>
          <w:lang w:eastAsia="ja-JP"/>
        </w:rPr>
      </w:pPr>
      <w:r>
        <w:rPr>
          <w:rFonts w:ascii="Times New Roman" w:hAnsi="Times New Roman"/>
          <w:b/>
          <w:lang w:eastAsia="ja-JP"/>
        </w:rPr>
        <w:t>Registruotojas</w:t>
      </w:r>
      <w:r w:rsidRPr="00D600DA">
        <w:rPr>
          <w:rFonts w:ascii="Times New Roman" w:hAnsi="Times New Roman"/>
          <w:b/>
          <w:lang w:eastAsia="ja-JP"/>
        </w:rPr>
        <w:t xml:space="preserve"> ir gamintojas</w:t>
      </w:r>
    </w:p>
    <w:p w14:paraId="4B87F7AA" w14:textId="77777777" w:rsidR="00E850F6" w:rsidRDefault="00E850F6" w:rsidP="00E850F6">
      <w:pPr>
        <w:numPr>
          <w:ilvl w:val="12"/>
          <w:numId w:val="0"/>
        </w:numPr>
        <w:spacing w:after="0" w:line="240" w:lineRule="auto"/>
        <w:ind w:right="-2"/>
        <w:rPr>
          <w:rFonts w:ascii="Times New Roman" w:hAnsi="Times New Roman"/>
          <w:i/>
          <w:lang w:eastAsia="ja-JP"/>
        </w:rPr>
      </w:pPr>
    </w:p>
    <w:p w14:paraId="3A350B00" w14:textId="77777777" w:rsidR="00E850F6" w:rsidRPr="00D600DA" w:rsidRDefault="00E850F6" w:rsidP="00E850F6">
      <w:pPr>
        <w:numPr>
          <w:ilvl w:val="12"/>
          <w:numId w:val="0"/>
        </w:numPr>
        <w:spacing w:after="0" w:line="240" w:lineRule="auto"/>
        <w:ind w:right="-2"/>
        <w:rPr>
          <w:rFonts w:ascii="Times New Roman" w:hAnsi="Times New Roman"/>
          <w:i/>
          <w:lang w:eastAsia="ja-JP"/>
        </w:rPr>
      </w:pPr>
      <w:r>
        <w:rPr>
          <w:rFonts w:ascii="Times New Roman" w:hAnsi="Times New Roman"/>
          <w:i/>
          <w:lang w:eastAsia="ja-JP"/>
        </w:rPr>
        <w:t>Registruotojas</w:t>
      </w:r>
    </w:p>
    <w:p w14:paraId="1FF3DB77"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UAB „Roche Lietuva“</w:t>
      </w:r>
    </w:p>
    <w:p w14:paraId="69371D40"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J. Jasinskio g. 16</w:t>
      </w:r>
      <w:r>
        <w:rPr>
          <w:rFonts w:ascii="Times New Roman" w:hAnsi="Times New Roman"/>
          <w:lang w:eastAsia="ja-JP"/>
        </w:rPr>
        <w:t>B</w:t>
      </w:r>
      <w:r w:rsidRPr="00D600DA">
        <w:rPr>
          <w:rFonts w:ascii="Times New Roman" w:hAnsi="Times New Roman"/>
          <w:lang w:eastAsia="ja-JP"/>
        </w:rPr>
        <w:t>, LT-01112 Vilnius</w:t>
      </w:r>
    </w:p>
    <w:p w14:paraId="026A02DC"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Lietuva </w:t>
      </w:r>
    </w:p>
    <w:p w14:paraId="37FC66E6" w14:textId="77777777" w:rsidR="00E850F6" w:rsidRPr="00D600DA" w:rsidRDefault="00E850F6" w:rsidP="00E850F6">
      <w:pPr>
        <w:numPr>
          <w:ilvl w:val="12"/>
          <w:numId w:val="0"/>
        </w:numPr>
        <w:spacing w:after="0" w:line="240" w:lineRule="auto"/>
        <w:ind w:right="-2"/>
        <w:rPr>
          <w:rFonts w:ascii="Times New Roman" w:hAnsi="Times New Roman"/>
          <w:lang w:eastAsia="ja-JP"/>
        </w:rPr>
      </w:pPr>
    </w:p>
    <w:p w14:paraId="69044924" w14:textId="77777777" w:rsidR="00E850F6" w:rsidRPr="00D600DA" w:rsidRDefault="00E850F6" w:rsidP="00E850F6">
      <w:pPr>
        <w:numPr>
          <w:ilvl w:val="12"/>
          <w:numId w:val="0"/>
        </w:numPr>
        <w:spacing w:after="0" w:line="240" w:lineRule="auto"/>
        <w:ind w:right="-2"/>
        <w:rPr>
          <w:rFonts w:ascii="Times New Roman" w:hAnsi="Times New Roman"/>
          <w:i/>
          <w:lang w:eastAsia="ja-JP"/>
        </w:rPr>
      </w:pPr>
      <w:r w:rsidRPr="00D600DA">
        <w:rPr>
          <w:rFonts w:ascii="Times New Roman" w:hAnsi="Times New Roman"/>
          <w:i/>
          <w:lang w:eastAsia="ja-JP"/>
        </w:rPr>
        <w:t>Gamintojas</w:t>
      </w:r>
    </w:p>
    <w:p w14:paraId="6476D4C6" w14:textId="77777777" w:rsidR="00E850F6" w:rsidRPr="00D600DA" w:rsidRDefault="00E850F6" w:rsidP="00E850F6">
      <w:pPr>
        <w:spacing w:after="0" w:line="240" w:lineRule="auto"/>
        <w:rPr>
          <w:rFonts w:ascii="Times New Roman" w:hAnsi="Times New Roman"/>
          <w:lang w:eastAsia="de-DE"/>
        </w:rPr>
      </w:pPr>
      <w:r w:rsidRPr="00D600DA">
        <w:rPr>
          <w:rFonts w:ascii="Times New Roman" w:hAnsi="Times New Roman"/>
          <w:lang w:eastAsia="de-DE"/>
        </w:rPr>
        <w:t>Roche Pharma AG</w:t>
      </w:r>
    </w:p>
    <w:p w14:paraId="3DCDA2F2" w14:textId="77777777" w:rsidR="00E850F6" w:rsidRPr="00D600DA" w:rsidRDefault="00E850F6" w:rsidP="00E850F6">
      <w:pPr>
        <w:numPr>
          <w:ilvl w:val="12"/>
          <w:numId w:val="0"/>
        </w:numPr>
        <w:spacing w:after="0" w:line="240" w:lineRule="auto"/>
        <w:ind w:right="-2"/>
        <w:rPr>
          <w:rFonts w:ascii="Times New Roman" w:hAnsi="Times New Roman"/>
          <w:lang w:eastAsia="ja-JP"/>
        </w:rPr>
      </w:pPr>
      <w:r w:rsidRPr="00D600DA">
        <w:rPr>
          <w:rFonts w:ascii="Times New Roman" w:hAnsi="Times New Roman"/>
          <w:lang w:eastAsia="ja-JP"/>
        </w:rPr>
        <w:t>Emil-Barell-Strasse 1</w:t>
      </w:r>
    </w:p>
    <w:p w14:paraId="14F0F0CA" w14:textId="77777777" w:rsidR="00E850F6" w:rsidRPr="00D600DA" w:rsidRDefault="00E850F6" w:rsidP="00E850F6">
      <w:pPr>
        <w:numPr>
          <w:ilvl w:val="12"/>
          <w:numId w:val="0"/>
        </w:numPr>
        <w:spacing w:after="0" w:line="240" w:lineRule="auto"/>
        <w:ind w:right="-2"/>
        <w:rPr>
          <w:rFonts w:ascii="Times New Roman" w:hAnsi="Times New Roman"/>
          <w:lang w:eastAsia="ja-JP"/>
        </w:rPr>
      </w:pPr>
      <w:r w:rsidRPr="00D600DA">
        <w:rPr>
          <w:rFonts w:ascii="Times New Roman" w:hAnsi="Times New Roman"/>
          <w:lang w:eastAsia="ja-JP"/>
        </w:rPr>
        <w:t>D-79639 Grenzach-Wyhlen</w:t>
      </w:r>
    </w:p>
    <w:p w14:paraId="7A5224CF" w14:textId="27C6563E" w:rsidR="00E850F6" w:rsidRDefault="00E850F6" w:rsidP="00E850F6">
      <w:pPr>
        <w:numPr>
          <w:ilvl w:val="12"/>
          <w:numId w:val="0"/>
        </w:numPr>
        <w:spacing w:after="0" w:line="240" w:lineRule="auto"/>
        <w:ind w:right="-2"/>
        <w:rPr>
          <w:rFonts w:ascii="Times New Roman" w:hAnsi="Times New Roman"/>
          <w:lang w:eastAsia="ja-JP"/>
        </w:rPr>
      </w:pPr>
      <w:r w:rsidRPr="00D600DA">
        <w:rPr>
          <w:rFonts w:ascii="Times New Roman" w:hAnsi="Times New Roman"/>
          <w:lang w:eastAsia="ja-JP"/>
        </w:rPr>
        <w:t>Vokietija</w:t>
      </w:r>
    </w:p>
    <w:p w14:paraId="7EE75000" w14:textId="327A5134" w:rsidR="006722CC" w:rsidRDefault="006722CC" w:rsidP="00E850F6">
      <w:pPr>
        <w:numPr>
          <w:ilvl w:val="12"/>
          <w:numId w:val="0"/>
        </w:numPr>
        <w:spacing w:after="0" w:line="240" w:lineRule="auto"/>
        <w:ind w:right="-2"/>
        <w:rPr>
          <w:rFonts w:ascii="Times New Roman" w:hAnsi="Times New Roman"/>
          <w:lang w:eastAsia="ja-JP"/>
        </w:rPr>
      </w:pPr>
    </w:p>
    <w:p w14:paraId="198A1674" w14:textId="3619C422" w:rsidR="006722CC" w:rsidRPr="008A7D15" w:rsidRDefault="006722CC" w:rsidP="00E850F6">
      <w:pPr>
        <w:numPr>
          <w:ilvl w:val="12"/>
          <w:numId w:val="0"/>
        </w:numPr>
        <w:spacing w:after="0" w:line="240" w:lineRule="auto"/>
        <w:ind w:right="-2"/>
        <w:rPr>
          <w:rFonts w:ascii="Times New Roman" w:hAnsi="Times New Roman"/>
          <w:highlight w:val="darkGray"/>
          <w:lang w:eastAsia="ja-JP"/>
        </w:rPr>
      </w:pPr>
      <w:proofErr w:type="spellStart"/>
      <w:r w:rsidRPr="008A7D15">
        <w:rPr>
          <w:rFonts w:ascii="Times New Roman" w:hAnsi="Times New Roman"/>
          <w:highlight w:val="darkGray"/>
          <w:lang w:eastAsia="ja-JP"/>
        </w:rPr>
        <w:t>Prestige</w:t>
      </w:r>
      <w:proofErr w:type="spellEnd"/>
      <w:r w:rsidRPr="008A7D15">
        <w:rPr>
          <w:rFonts w:ascii="Times New Roman" w:hAnsi="Times New Roman"/>
          <w:highlight w:val="darkGray"/>
          <w:lang w:eastAsia="ja-JP"/>
        </w:rPr>
        <w:t xml:space="preserve"> </w:t>
      </w:r>
      <w:proofErr w:type="spellStart"/>
      <w:r w:rsidRPr="008A7D15">
        <w:rPr>
          <w:rFonts w:ascii="Times New Roman" w:hAnsi="Times New Roman"/>
          <w:highlight w:val="darkGray"/>
          <w:lang w:eastAsia="ja-JP"/>
        </w:rPr>
        <w:t>Promotion</w:t>
      </w:r>
      <w:proofErr w:type="spellEnd"/>
      <w:r w:rsidRPr="008A7D15">
        <w:rPr>
          <w:rFonts w:ascii="Times New Roman" w:hAnsi="Times New Roman"/>
          <w:highlight w:val="darkGray"/>
          <w:lang w:eastAsia="ja-JP"/>
        </w:rPr>
        <w:t xml:space="preserve"> </w:t>
      </w:r>
      <w:proofErr w:type="spellStart"/>
      <w:r w:rsidRPr="008A7D15">
        <w:rPr>
          <w:rFonts w:ascii="Times New Roman" w:hAnsi="Times New Roman"/>
          <w:highlight w:val="darkGray"/>
          <w:lang w:eastAsia="ja-JP"/>
        </w:rPr>
        <w:t>Verkaufsfoerderung</w:t>
      </w:r>
      <w:proofErr w:type="spellEnd"/>
      <w:r w:rsidRPr="008A7D15">
        <w:rPr>
          <w:rFonts w:ascii="Times New Roman" w:hAnsi="Times New Roman"/>
          <w:highlight w:val="darkGray"/>
          <w:lang w:eastAsia="ja-JP"/>
        </w:rPr>
        <w:t xml:space="preserve"> &amp; </w:t>
      </w:r>
      <w:proofErr w:type="spellStart"/>
      <w:r w:rsidRPr="008A7D15">
        <w:rPr>
          <w:rFonts w:ascii="Times New Roman" w:hAnsi="Times New Roman"/>
          <w:highlight w:val="darkGray"/>
          <w:lang w:eastAsia="ja-JP"/>
        </w:rPr>
        <w:t>Werbeservice</w:t>
      </w:r>
      <w:proofErr w:type="spellEnd"/>
      <w:r w:rsidRPr="008A7D15">
        <w:rPr>
          <w:rFonts w:ascii="Times New Roman" w:hAnsi="Times New Roman"/>
          <w:highlight w:val="darkGray"/>
          <w:lang w:eastAsia="ja-JP"/>
        </w:rPr>
        <w:t xml:space="preserve"> </w:t>
      </w:r>
      <w:proofErr w:type="spellStart"/>
      <w:r w:rsidRPr="008A7D15">
        <w:rPr>
          <w:rFonts w:ascii="Times New Roman" w:hAnsi="Times New Roman"/>
          <w:highlight w:val="darkGray"/>
          <w:lang w:eastAsia="ja-JP"/>
        </w:rPr>
        <w:t>GmbH</w:t>
      </w:r>
      <w:proofErr w:type="spellEnd"/>
    </w:p>
    <w:p w14:paraId="15861B1B" w14:textId="6DF6F487" w:rsidR="006722CC" w:rsidRPr="008A7D15" w:rsidRDefault="006722CC" w:rsidP="00E850F6">
      <w:pPr>
        <w:numPr>
          <w:ilvl w:val="12"/>
          <w:numId w:val="0"/>
        </w:numPr>
        <w:spacing w:after="0" w:line="240" w:lineRule="auto"/>
        <w:ind w:right="-2"/>
        <w:rPr>
          <w:rFonts w:ascii="Times New Roman" w:hAnsi="Times New Roman"/>
          <w:highlight w:val="darkGray"/>
          <w:lang w:eastAsia="ja-JP"/>
        </w:rPr>
      </w:pPr>
      <w:proofErr w:type="spellStart"/>
      <w:r w:rsidRPr="008A7D15">
        <w:rPr>
          <w:rFonts w:ascii="Times New Roman" w:hAnsi="Times New Roman"/>
          <w:highlight w:val="darkGray"/>
          <w:lang w:eastAsia="ja-JP"/>
        </w:rPr>
        <w:t>Lindigstrasse</w:t>
      </w:r>
      <w:proofErr w:type="spellEnd"/>
      <w:r w:rsidRPr="008A7D15">
        <w:rPr>
          <w:rFonts w:ascii="Times New Roman" w:hAnsi="Times New Roman"/>
          <w:highlight w:val="darkGray"/>
          <w:lang w:eastAsia="ja-JP"/>
        </w:rPr>
        <w:t xml:space="preserve"> 6</w:t>
      </w:r>
    </w:p>
    <w:p w14:paraId="264D288D" w14:textId="4E62B703" w:rsidR="006722CC" w:rsidRPr="008A7D15" w:rsidRDefault="006722CC" w:rsidP="00E850F6">
      <w:pPr>
        <w:numPr>
          <w:ilvl w:val="12"/>
          <w:numId w:val="0"/>
        </w:numPr>
        <w:spacing w:after="0" w:line="240" w:lineRule="auto"/>
        <w:ind w:right="-2"/>
        <w:rPr>
          <w:rFonts w:ascii="Times New Roman" w:hAnsi="Times New Roman"/>
          <w:highlight w:val="darkGray"/>
          <w:lang w:eastAsia="ja-JP"/>
        </w:rPr>
      </w:pPr>
      <w:r w:rsidRPr="008A7D15">
        <w:rPr>
          <w:rFonts w:ascii="Times New Roman" w:hAnsi="Times New Roman"/>
          <w:highlight w:val="darkGray"/>
          <w:lang w:eastAsia="ja-JP"/>
        </w:rPr>
        <w:t xml:space="preserve">63801 </w:t>
      </w:r>
      <w:proofErr w:type="spellStart"/>
      <w:r w:rsidRPr="008A7D15">
        <w:rPr>
          <w:rFonts w:ascii="Times New Roman" w:hAnsi="Times New Roman"/>
          <w:highlight w:val="darkGray"/>
          <w:lang w:eastAsia="ja-JP"/>
        </w:rPr>
        <w:t>Kleinostheim</w:t>
      </w:r>
      <w:proofErr w:type="spellEnd"/>
    </w:p>
    <w:p w14:paraId="60CDCE7B" w14:textId="77777777" w:rsidR="006722CC" w:rsidRDefault="006722CC" w:rsidP="006722CC">
      <w:pPr>
        <w:numPr>
          <w:ilvl w:val="12"/>
          <w:numId w:val="0"/>
        </w:numPr>
        <w:spacing w:after="0" w:line="240" w:lineRule="auto"/>
        <w:ind w:right="-2"/>
        <w:rPr>
          <w:rFonts w:ascii="Times New Roman" w:hAnsi="Times New Roman"/>
          <w:lang w:eastAsia="ja-JP"/>
        </w:rPr>
      </w:pPr>
      <w:r w:rsidRPr="008A7D15">
        <w:rPr>
          <w:rFonts w:ascii="Times New Roman" w:hAnsi="Times New Roman"/>
          <w:highlight w:val="darkGray"/>
          <w:lang w:eastAsia="ja-JP"/>
        </w:rPr>
        <w:t>Vokietija</w:t>
      </w:r>
    </w:p>
    <w:p w14:paraId="3C13D006" w14:textId="108CBAF3" w:rsidR="006722CC" w:rsidRDefault="006722CC" w:rsidP="00E850F6">
      <w:pPr>
        <w:numPr>
          <w:ilvl w:val="12"/>
          <w:numId w:val="0"/>
        </w:numPr>
        <w:spacing w:after="0" w:line="240" w:lineRule="auto"/>
        <w:ind w:right="-2"/>
        <w:rPr>
          <w:rFonts w:ascii="Times New Roman" w:hAnsi="Times New Roman"/>
          <w:lang w:eastAsia="ja-JP"/>
        </w:rPr>
      </w:pPr>
    </w:p>
    <w:p w14:paraId="7CE52222" w14:textId="77777777" w:rsidR="006722CC" w:rsidRPr="008A7D15" w:rsidRDefault="006722CC" w:rsidP="006722CC">
      <w:pPr>
        <w:numPr>
          <w:ilvl w:val="12"/>
          <w:numId w:val="0"/>
        </w:numPr>
        <w:spacing w:after="0" w:line="240" w:lineRule="auto"/>
        <w:ind w:right="-2"/>
        <w:rPr>
          <w:rFonts w:ascii="Times New Roman" w:hAnsi="Times New Roman"/>
          <w:highlight w:val="darkGray"/>
          <w:lang w:eastAsia="ja-JP"/>
        </w:rPr>
      </w:pPr>
      <w:proofErr w:type="spellStart"/>
      <w:r w:rsidRPr="008A7D15">
        <w:rPr>
          <w:rFonts w:ascii="Times New Roman" w:hAnsi="Times New Roman"/>
          <w:highlight w:val="darkGray"/>
          <w:lang w:eastAsia="ja-JP"/>
        </w:rPr>
        <w:t>Prestige</w:t>
      </w:r>
      <w:proofErr w:type="spellEnd"/>
      <w:r w:rsidRPr="008A7D15">
        <w:rPr>
          <w:rFonts w:ascii="Times New Roman" w:hAnsi="Times New Roman"/>
          <w:highlight w:val="darkGray"/>
          <w:lang w:eastAsia="ja-JP"/>
        </w:rPr>
        <w:t xml:space="preserve"> </w:t>
      </w:r>
      <w:proofErr w:type="spellStart"/>
      <w:r w:rsidRPr="008A7D15">
        <w:rPr>
          <w:rFonts w:ascii="Times New Roman" w:hAnsi="Times New Roman"/>
          <w:highlight w:val="darkGray"/>
          <w:lang w:eastAsia="ja-JP"/>
        </w:rPr>
        <w:t>Promotion</w:t>
      </w:r>
      <w:proofErr w:type="spellEnd"/>
      <w:r w:rsidRPr="008A7D15">
        <w:rPr>
          <w:rFonts w:ascii="Times New Roman" w:hAnsi="Times New Roman"/>
          <w:highlight w:val="darkGray"/>
          <w:lang w:eastAsia="ja-JP"/>
        </w:rPr>
        <w:t xml:space="preserve"> </w:t>
      </w:r>
      <w:proofErr w:type="spellStart"/>
      <w:r w:rsidRPr="008A7D15">
        <w:rPr>
          <w:rFonts w:ascii="Times New Roman" w:hAnsi="Times New Roman"/>
          <w:highlight w:val="darkGray"/>
          <w:lang w:eastAsia="ja-JP"/>
        </w:rPr>
        <w:t>Verkaufsfoerderung</w:t>
      </w:r>
      <w:proofErr w:type="spellEnd"/>
      <w:r w:rsidRPr="008A7D15">
        <w:rPr>
          <w:rFonts w:ascii="Times New Roman" w:hAnsi="Times New Roman"/>
          <w:highlight w:val="darkGray"/>
          <w:lang w:eastAsia="ja-JP"/>
        </w:rPr>
        <w:t xml:space="preserve"> &amp; </w:t>
      </w:r>
      <w:proofErr w:type="spellStart"/>
      <w:r w:rsidRPr="008A7D15">
        <w:rPr>
          <w:rFonts w:ascii="Times New Roman" w:hAnsi="Times New Roman"/>
          <w:highlight w:val="darkGray"/>
          <w:lang w:eastAsia="ja-JP"/>
        </w:rPr>
        <w:t>Werbeservice</w:t>
      </w:r>
      <w:proofErr w:type="spellEnd"/>
      <w:r w:rsidRPr="008A7D15">
        <w:rPr>
          <w:rFonts w:ascii="Times New Roman" w:hAnsi="Times New Roman"/>
          <w:highlight w:val="darkGray"/>
          <w:lang w:eastAsia="ja-JP"/>
        </w:rPr>
        <w:t xml:space="preserve"> </w:t>
      </w:r>
      <w:proofErr w:type="spellStart"/>
      <w:r w:rsidRPr="008A7D15">
        <w:rPr>
          <w:rFonts w:ascii="Times New Roman" w:hAnsi="Times New Roman"/>
          <w:highlight w:val="darkGray"/>
          <w:lang w:eastAsia="ja-JP"/>
        </w:rPr>
        <w:t>GmbH</w:t>
      </w:r>
      <w:proofErr w:type="spellEnd"/>
    </w:p>
    <w:p w14:paraId="7D5B7ACB" w14:textId="370DFBFB" w:rsidR="006722CC" w:rsidRPr="008A7D15" w:rsidRDefault="006722CC" w:rsidP="006722CC">
      <w:pPr>
        <w:numPr>
          <w:ilvl w:val="12"/>
          <w:numId w:val="0"/>
        </w:numPr>
        <w:spacing w:after="0" w:line="240" w:lineRule="auto"/>
        <w:ind w:right="-2"/>
        <w:rPr>
          <w:rFonts w:ascii="Times New Roman" w:hAnsi="Times New Roman"/>
          <w:highlight w:val="darkGray"/>
          <w:lang w:eastAsia="ja-JP"/>
        </w:rPr>
      </w:pPr>
      <w:proofErr w:type="spellStart"/>
      <w:r w:rsidRPr="008A7D15">
        <w:rPr>
          <w:rFonts w:ascii="Times New Roman" w:hAnsi="Times New Roman"/>
          <w:highlight w:val="darkGray"/>
          <w:lang w:eastAsia="ja-JP"/>
        </w:rPr>
        <w:t>Borsigstrasse</w:t>
      </w:r>
      <w:proofErr w:type="spellEnd"/>
      <w:r w:rsidRPr="008A7D15">
        <w:rPr>
          <w:rFonts w:ascii="Times New Roman" w:hAnsi="Times New Roman"/>
          <w:highlight w:val="darkGray"/>
          <w:lang w:eastAsia="ja-JP"/>
        </w:rPr>
        <w:t xml:space="preserve"> 2</w:t>
      </w:r>
    </w:p>
    <w:p w14:paraId="3982B51C" w14:textId="3204693A" w:rsidR="006722CC" w:rsidRPr="008A7D15" w:rsidRDefault="006722CC" w:rsidP="006722CC">
      <w:pPr>
        <w:numPr>
          <w:ilvl w:val="12"/>
          <w:numId w:val="0"/>
        </w:numPr>
        <w:spacing w:after="0" w:line="240" w:lineRule="auto"/>
        <w:ind w:right="-2"/>
        <w:rPr>
          <w:rFonts w:ascii="Times New Roman" w:hAnsi="Times New Roman"/>
          <w:highlight w:val="darkGray"/>
          <w:lang w:eastAsia="ja-JP"/>
        </w:rPr>
      </w:pPr>
      <w:r w:rsidRPr="008A7D15">
        <w:rPr>
          <w:rFonts w:ascii="Times New Roman" w:hAnsi="Times New Roman"/>
          <w:highlight w:val="darkGray"/>
          <w:lang w:eastAsia="ja-JP"/>
        </w:rPr>
        <w:t xml:space="preserve">63755 </w:t>
      </w:r>
      <w:proofErr w:type="spellStart"/>
      <w:r w:rsidRPr="008A7D15">
        <w:rPr>
          <w:rFonts w:ascii="Times New Roman" w:hAnsi="Times New Roman"/>
          <w:highlight w:val="darkGray"/>
          <w:lang w:eastAsia="ja-JP"/>
        </w:rPr>
        <w:t>Alzenau</w:t>
      </w:r>
      <w:proofErr w:type="spellEnd"/>
    </w:p>
    <w:p w14:paraId="666AB448" w14:textId="77777777" w:rsidR="006722CC" w:rsidRDefault="006722CC" w:rsidP="006722CC">
      <w:pPr>
        <w:numPr>
          <w:ilvl w:val="12"/>
          <w:numId w:val="0"/>
        </w:numPr>
        <w:spacing w:after="0" w:line="240" w:lineRule="auto"/>
        <w:ind w:right="-2"/>
        <w:rPr>
          <w:rFonts w:ascii="Times New Roman" w:hAnsi="Times New Roman"/>
          <w:lang w:eastAsia="ja-JP"/>
        </w:rPr>
      </w:pPr>
      <w:r w:rsidRPr="008A7D15">
        <w:rPr>
          <w:rFonts w:ascii="Times New Roman" w:hAnsi="Times New Roman"/>
          <w:highlight w:val="darkGray"/>
          <w:lang w:eastAsia="ja-JP"/>
        </w:rPr>
        <w:t>Vokietija</w:t>
      </w:r>
    </w:p>
    <w:p w14:paraId="01ECA724" w14:textId="77777777" w:rsidR="006722CC" w:rsidRPr="00D600DA" w:rsidRDefault="006722CC" w:rsidP="00E850F6">
      <w:pPr>
        <w:numPr>
          <w:ilvl w:val="12"/>
          <w:numId w:val="0"/>
        </w:numPr>
        <w:spacing w:after="0" w:line="240" w:lineRule="auto"/>
        <w:ind w:right="-2"/>
        <w:rPr>
          <w:rFonts w:ascii="Times New Roman" w:hAnsi="Times New Roman"/>
          <w:lang w:eastAsia="ja-JP"/>
        </w:rPr>
      </w:pPr>
    </w:p>
    <w:p w14:paraId="3C5B1894" w14:textId="77777777" w:rsidR="00E850F6" w:rsidRPr="00D600DA" w:rsidRDefault="00E850F6" w:rsidP="00E850F6">
      <w:pPr>
        <w:numPr>
          <w:ilvl w:val="12"/>
          <w:numId w:val="0"/>
        </w:numPr>
        <w:spacing w:after="0" w:line="240" w:lineRule="auto"/>
        <w:ind w:right="-2"/>
        <w:rPr>
          <w:rFonts w:ascii="Times New Roman" w:hAnsi="Times New Roman"/>
          <w:lang w:eastAsia="ja-JP"/>
        </w:rPr>
      </w:pPr>
    </w:p>
    <w:p w14:paraId="0DCAB784" w14:textId="77777777" w:rsidR="00E850F6" w:rsidRPr="00D600DA" w:rsidRDefault="00E850F6" w:rsidP="00E850F6">
      <w:pPr>
        <w:rPr>
          <w:rFonts w:ascii="Times New Roman" w:hAnsi="Times New Roman"/>
        </w:rPr>
      </w:pPr>
      <w:r w:rsidRPr="00D600DA">
        <w:rPr>
          <w:rFonts w:ascii="Times New Roman" w:hAnsi="Times New Roman"/>
        </w:rPr>
        <w:t xml:space="preserve">Jeigu apie šį vaistą norite sužinoti daugiau, kreipkitės į </w:t>
      </w:r>
      <w:r>
        <w:rPr>
          <w:rFonts w:ascii="Times New Roman" w:hAnsi="Times New Roman"/>
        </w:rPr>
        <w:t>vietinį registruotojo atstovą.</w:t>
      </w:r>
    </w:p>
    <w:p w14:paraId="34EEFCF3" w14:textId="77777777" w:rsidR="00E850F6" w:rsidRPr="00D600DA" w:rsidRDefault="00E850F6" w:rsidP="00E850F6">
      <w:pPr>
        <w:spacing w:after="0" w:line="240" w:lineRule="auto"/>
        <w:rPr>
          <w:rFonts w:ascii="Times New Roman" w:hAnsi="Times New Roman"/>
        </w:rPr>
      </w:pPr>
      <w:r w:rsidRPr="00D600DA">
        <w:rPr>
          <w:rFonts w:ascii="Times New Roman" w:hAnsi="Times New Roman"/>
        </w:rPr>
        <w:t>UAB “Roche Lietuva”</w:t>
      </w:r>
    </w:p>
    <w:p w14:paraId="4F6AC061" w14:textId="77777777" w:rsidR="00E850F6" w:rsidRPr="00D600DA" w:rsidRDefault="00E850F6" w:rsidP="00E850F6">
      <w:pPr>
        <w:spacing w:after="0" w:line="240" w:lineRule="auto"/>
        <w:rPr>
          <w:rFonts w:ascii="Times New Roman" w:hAnsi="Times New Roman"/>
        </w:rPr>
      </w:pPr>
      <w:r w:rsidRPr="00D600DA">
        <w:rPr>
          <w:rFonts w:ascii="Times New Roman" w:hAnsi="Times New Roman"/>
        </w:rPr>
        <w:t xml:space="preserve">J.Jasinskio </w:t>
      </w:r>
      <w:r w:rsidR="007621D0">
        <w:rPr>
          <w:rFonts w:ascii="Times New Roman" w:hAnsi="Times New Roman"/>
        </w:rPr>
        <w:t xml:space="preserve">g. </w:t>
      </w:r>
      <w:r w:rsidRPr="00D600DA">
        <w:rPr>
          <w:rFonts w:ascii="Times New Roman" w:hAnsi="Times New Roman"/>
        </w:rPr>
        <w:t>16B, LT-01112 Vilnius</w:t>
      </w:r>
    </w:p>
    <w:p w14:paraId="4D633BBA" w14:textId="77777777" w:rsidR="00E850F6" w:rsidRPr="00D600DA" w:rsidRDefault="00E850F6" w:rsidP="00E850F6">
      <w:pPr>
        <w:spacing w:after="0" w:line="240" w:lineRule="auto"/>
        <w:rPr>
          <w:rFonts w:ascii="Times New Roman" w:hAnsi="Times New Roman"/>
        </w:rPr>
      </w:pPr>
      <w:r w:rsidRPr="00D600DA">
        <w:rPr>
          <w:rFonts w:ascii="Times New Roman" w:hAnsi="Times New Roman"/>
        </w:rPr>
        <w:t>Lietuva</w:t>
      </w:r>
    </w:p>
    <w:p w14:paraId="72F73D63" w14:textId="77777777" w:rsidR="00E850F6" w:rsidRPr="00D600DA" w:rsidRDefault="00E850F6" w:rsidP="00E850F6">
      <w:pPr>
        <w:spacing w:after="0" w:line="240" w:lineRule="auto"/>
        <w:rPr>
          <w:rFonts w:ascii="Times New Roman" w:hAnsi="Times New Roman"/>
        </w:rPr>
      </w:pPr>
      <w:r w:rsidRPr="00D600DA">
        <w:rPr>
          <w:rFonts w:ascii="Times New Roman" w:hAnsi="Times New Roman"/>
        </w:rPr>
        <w:t>Tel. 8</w:t>
      </w:r>
      <w:r>
        <w:rPr>
          <w:rFonts w:ascii="Times New Roman" w:hAnsi="Times New Roman"/>
        </w:rPr>
        <w:t>~</w:t>
      </w:r>
      <w:r w:rsidRPr="00D600DA">
        <w:rPr>
          <w:rFonts w:ascii="Times New Roman" w:hAnsi="Times New Roman"/>
        </w:rPr>
        <w:t>5</w:t>
      </w:r>
      <w:r>
        <w:rPr>
          <w:rFonts w:ascii="Times New Roman" w:hAnsi="Times New Roman"/>
        </w:rPr>
        <w:t xml:space="preserve"> </w:t>
      </w:r>
      <w:r w:rsidRPr="00D600DA">
        <w:rPr>
          <w:rFonts w:ascii="Times New Roman" w:hAnsi="Times New Roman"/>
        </w:rPr>
        <w:t>2546799</w:t>
      </w:r>
    </w:p>
    <w:p w14:paraId="11FAF19C" w14:textId="77777777" w:rsidR="00E850F6" w:rsidRPr="00D600DA" w:rsidRDefault="00E850F6" w:rsidP="00E850F6">
      <w:pPr>
        <w:numPr>
          <w:ilvl w:val="12"/>
          <w:numId w:val="0"/>
        </w:numPr>
        <w:spacing w:after="0" w:line="240" w:lineRule="auto"/>
        <w:ind w:right="-2"/>
        <w:rPr>
          <w:rFonts w:ascii="Times New Roman" w:hAnsi="Times New Roman"/>
          <w:lang w:eastAsia="en-US"/>
        </w:rPr>
      </w:pPr>
    </w:p>
    <w:p w14:paraId="63139DD9" w14:textId="7722FF72" w:rsidR="00E850F6" w:rsidRPr="00D600DA" w:rsidRDefault="00E850F6" w:rsidP="00E850F6">
      <w:pPr>
        <w:numPr>
          <w:ilvl w:val="12"/>
          <w:numId w:val="0"/>
        </w:numPr>
        <w:spacing w:after="0" w:line="240" w:lineRule="auto"/>
        <w:ind w:right="-2"/>
        <w:rPr>
          <w:rFonts w:ascii="Times New Roman" w:hAnsi="Times New Roman"/>
          <w:b/>
          <w:lang w:eastAsia="ja-JP"/>
        </w:rPr>
      </w:pPr>
      <w:r w:rsidRPr="00D600DA">
        <w:rPr>
          <w:rFonts w:ascii="Times New Roman" w:hAnsi="Times New Roman"/>
          <w:b/>
          <w:lang w:eastAsia="ja-JP"/>
        </w:rPr>
        <w:t>Ši</w:t>
      </w:r>
      <w:r>
        <w:rPr>
          <w:rFonts w:ascii="Times New Roman" w:hAnsi="Times New Roman"/>
          <w:b/>
          <w:lang w:eastAsia="ja-JP"/>
        </w:rPr>
        <w:t>s</w:t>
      </w:r>
      <w:r w:rsidRPr="00D600DA">
        <w:rPr>
          <w:rFonts w:ascii="Times New Roman" w:hAnsi="Times New Roman"/>
          <w:b/>
          <w:lang w:eastAsia="ja-JP"/>
        </w:rPr>
        <w:t xml:space="preserve"> vaist</w:t>
      </w:r>
      <w:r>
        <w:rPr>
          <w:rFonts w:ascii="Times New Roman" w:hAnsi="Times New Roman"/>
          <w:b/>
          <w:lang w:eastAsia="ja-JP"/>
        </w:rPr>
        <w:t>as</w:t>
      </w:r>
      <w:r w:rsidRPr="00D600DA">
        <w:rPr>
          <w:rFonts w:ascii="Times New Roman" w:hAnsi="Times New Roman"/>
          <w:b/>
          <w:lang w:eastAsia="ja-JP"/>
        </w:rPr>
        <w:t xml:space="preserve"> E</w:t>
      </w:r>
      <w:r w:rsidR="00D55454">
        <w:rPr>
          <w:rFonts w:ascii="Times New Roman" w:hAnsi="Times New Roman"/>
          <w:b/>
          <w:lang w:eastAsia="ja-JP"/>
        </w:rPr>
        <w:t xml:space="preserve">uropos </w:t>
      </w:r>
      <w:r w:rsidRPr="00D600DA">
        <w:rPr>
          <w:rFonts w:ascii="Times New Roman" w:hAnsi="Times New Roman"/>
          <w:b/>
          <w:lang w:eastAsia="ja-JP"/>
        </w:rPr>
        <w:t>E</w:t>
      </w:r>
      <w:r w:rsidR="00D55454">
        <w:rPr>
          <w:rFonts w:ascii="Times New Roman" w:hAnsi="Times New Roman"/>
          <w:b/>
          <w:lang w:eastAsia="ja-JP"/>
        </w:rPr>
        <w:t>konominės Erdvės</w:t>
      </w:r>
      <w:r w:rsidRPr="00D600DA">
        <w:rPr>
          <w:rFonts w:ascii="Times New Roman" w:hAnsi="Times New Roman"/>
          <w:b/>
          <w:lang w:eastAsia="ja-JP"/>
        </w:rPr>
        <w:t xml:space="preserve"> valstybėse narėse </w:t>
      </w:r>
      <w:r w:rsidR="00D55454">
        <w:rPr>
          <w:rFonts w:ascii="Times New Roman" w:hAnsi="Times New Roman"/>
          <w:b/>
          <w:lang w:eastAsia="ja-JP"/>
        </w:rPr>
        <w:t>ir Jungtinėje Karalystėje (Šiaurės Airija)</w:t>
      </w:r>
      <w:r w:rsidRPr="00D600DA">
        <w:rPr>
          <w:rFonts w:ascii="Times New Roman" w:hAnsi="Times New Roman"/>
          <w:b/>
          <w:lang w:eastAsia="ja-JP"/>
        </w:rPr>
        <w:t xml:space="preserve"> </w:t>
      </w:r>
      <w:r>
        <w:rPr>
          <w:rFonts w:ascii="Times New Roman" w:hAnsi="Times New Roman"/>
          <w:b/>
          <w:lang w:eastAsia="ja-JP"/>
        </w:rPr>
        <w:t>registruotas</w:t>
      </w:r>
      <w:r w:rsidRPr="00D600DA">
        <w:rPr>
          <w:rFonts w:ascii="Times New Roman" w:hAnsi="Times New Roman"/>
          <w:b/>
          <w:lang w:eastAsia="ja-JP"/>
        </w:rPr>
        <w:t xml:space="preserve"> tokiais pavadinimais:</w:t>
      </w:r>
    </w:p>
    <w:p w14:paraId="029B862C" w14:textId="77777777" w:rsidR="00E850F6" w:rsidRPr="00D600DA" w:rsidRDefault="00E850F6" w:rsidP="00E850F6">
      <w:pPr>
        <w:numPr>
          <w:ilvl w:val="12"/>
          <w:numId w:val="0"/>
        </w:numPr>
        <w:spacing w:after="0" w:line="240" w:lineRule="auto"/>
        <w:ind w:right="-2"/>
        <w:rPr>
          <w:rFonts w:ascii="Times New Roman" w:hAnsi="Times New Roman"/>
          <w:lang w:eastAsia="ja-JP"/>
        </w:rPr>
      </w:pPr>
    </w:p>
    <w:p w14:paraId="2376EE86" w14:textId="0A558088"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b/>
          <w:lang w:eastAsia="ja-JP"/>
        </w:rPr>
        <w:t>Valcyte:</w:t>
      </w:r>
      <w:r w:rsidRPr="00D600DA">
        <w:rPr>
          <w:rFonts w:ascii="Times New Roman" w:hAnsi="Times New Roman"/>
          <w:lang w:eastAsia="ja-JP"/>
        </w:rPr>
        <w:t xml:space="preserve"> Austrijoje, Belgijoje, Kroatijoje, Kipre, Čekijoje, Danijoje, Suomijoje, Vokietijoje, Graikijoje, Vengrijoje, Islandijoje, Airijoje, Italijoje, Lichtenšteine, Lietuvoje, Liuksemburge, Nyderlanduose, Norvegijoje, Lenkijoje, Slovėnijoje, Ispanijoje, Švedijoje, Jungtinėje Karalystėje</w:t>
      </w:r>
      <w:r w:rsidR="00D55454">
        <w:rPr>
          <w:rFonts w:ascii="Times New Roman" w:hAnsi="Times New Roman"/>
          <w:lang w:eastAsia="ja-JP"/>
        </w:rPr>
        <w:t xml:space="preserve"> (Šiaurės Airija)</w:t>
      </w:r>
      <w:r w:rsidRPr="00D600DA">
        <w:rPr>
          <w:rFonts w:ascii="Times New Roman" w:hAnsi="Times New Roman"/>
          <w:lang w:eastAsia="ja-JP"/>
        </w:rPr>
        <w:t>.</w:t>
      </w:r>
    </w:p>
    <w:p w14:paraId="24A9486D" w14:textId="77777777" w:rsidR="00E850F6" w:rsidRPr="00D600DA" w:rsidRDefault="00E850F6" w:rsidP="00E850F6">
      <w:pPr>
        <w:spacing w:after="0" w:line="240" w:lineRule="auto"/>
        <w:rPr>
          <w:rFonts w:ascii="Times New Roman" w:hAnsi="Times New Roman"/>
          <w:lang w:eastAsia="ja-JP"/>
        </w:rPr>
      </w:pPr>
    </w:p>
    <w:p w14:paraId="0D4C3B7E" w14:textId="77777777" w:rsidR="00E850F6" w:rsidRPr="00D600DA" w:rsidRDefault="00E850F6" w:rsidP="00E850F6">
      <w:pPr>
        <w:numPr>
          <w:ilvl w:val="12"/>
          <w:numId w:val="0"/>
        </w:numPr>
        <w:spacing w:after="0" w:line="240" w:lineRule="auto"/>
        <w:ind w:right="-2"/>
        <w:rPr>
          <w:rFonts w:ascii="Times New Roman" w:hAnsi="Times New Roman"/>
          <w:lang w:eastAsia="ja-JP"/>
        </w:rPr>
      </w:pPr>
      <w:r w:rsidRPr="00D600DA">
        <w:rPr>
          <w:rFonts w:ascii="Times New Roman" w:hAnsi="Times New Roman"/>
          <w:b/>
          <w:lang w:eastAsia="ja-JP"/>
        </w:rPr>
        <w:t>RoValcyte</w:t>
      </w:r>
      <w:r w:rsidRPr="00D600DA">
        <w:rPr>
          <w:rFonts w:ascii="Times New Roman" w:hAnsi="Times New Roman"/>
          <w:lang w:eastAsia="ja-JP"/>
        </w:rPr>
        <w:t>: Portugalijoje, Prancūzijoje.</w:t>
      </w:r>
    </w:p>
    <w:p w14:paraId="40930599" w14:textId="77777777" w:rsidR="00E850F6" w:rsidRPr="00D600DA" w:rsidRDefault="00E850F6" w:rsidP="00E850F6">
      <w:pPr>
        <w:spacing w:after="0" w:line="240" w:lineRule="auto"/>
        <w:ind w:right="-2"/>
        <w:rPr>
          <w:rFonts w:ascii="Times New Roman" w:hAnsi="Times New Roman"/>
          <w:lang w:eastAsia="ja-JP"/>
        </w:rPr>
      </w:pPr>
    </w:p>
    <w:p w14:paraId="634A9A98" w14:textId="047E72B0" w:rsidR="00E850F6" w:rsidRPr="00D600DA" w:rsidRDefault="00E850F6" w:rsidP="00E850F6">
      <w:pPr>
        <w:spacing w:after="0" w:line="240" w:lineRule="auto"/>
        <w:ind w:left="567" w:hanging="567"/>
        <w:rPr>
          <w:rFonts w:ascii="Times New Roman" w:hAnsi="Times New Roman"/>
          <w:lang w:eastAsia="ja-JP"/>
        </w:rPr>
      </w:pPr>
      <w:r w:rsidRPr="00D600DA">
        <w:rPr>
          <w:rFonts w:ascii="Times New Roman" w:hAnsi="Times New Roman"/>
          <w:b/>
          <w:lang w:eastAsia="ja-JP"/>
        </w:rPr>
        <w:t>Šis pakuotės lapelis paskutinį kartą peržiūrėtas</w:t>
      </w:r>
      <w:r w:rsidR="00561AEC">
        <w:rPr>
          <w:rFonts w:ascii="Times New Roman" w:hAnsi="Times New Roman"/>
          <w:b/>
          <w:lang w:eastAsia="ja-JP"/>
        </w:rPr>
        <w:t xml:space="preserve"> </w:t>
      </w:r>
      <w:r w:rsidR="008A7D15">
        <w:rPr>
          <w:rFonts w:ascii="Times New Roman" w:hAnsi="Times New Roman"/>
          <w:b/>
          <w:lang w:eastAsia="ja-JP"/>
        </w:rPr>
        <w:t>2022-08-23.</w:t>
      </w:r>
    </w:p>
    <w:p w14:paraId="40199528" w14:textId="77777777" w:rsidR="00E850F6" w:rsidRPr="00D600DA" w:rsidRDefault="00E850F6" w:rsidP="00DD4483">
      <w:pPr>
        <w:spacing w:after="0" w:line="240" w:lineRule="auto"/>
        <w:ind w:right="-2"/>
        <w:rPr>
          <w:rFonts w:ascii="Times New Roman" w:hAnsi="Times New Roman"/>
          <w:lang w:eastAsia="ja-JP"/>
        </w:rPr>
      </w:pPr>
    </w:p>
    <w:p w14:paraId="307BF480" w14:textId="77777777" w:rsidR="00E850F6" w:rsidRPr="00D600DA" w:rsidRDefault="00E850F6" w:rsidP="00E850F6">
      <w:pPr>
        <w:spacing w:after="0" w:line="240" w:lineRule="auto"/>
        <w:ind w:right="-2"/>
        <w:rPr>
          <w:rFonts w:ascii="Times New Roman" w:hAnsi="Times New Roman"/>
          <w:lang w:eastAsia="ja-JP"/>
        </w:rPr>
      </w:pPr>
    </w:p>
    <w:p w14:paraId="1E5FAB98" w14:textId="68CC4B7E"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Išsami informacija apie šį vaistą pateikiama Valstybinės vaistų kontrolės tarnybos prie Lietuvos Respublikos sveikatos apsaugos ministerijos tinklalapyje </w:t>
      </w:r>
      <w:hyperlink r:id="rId11" w:history="1">
        <w:r w:rsidRPr="00D600DA">
          <w:rPr>
            <w:rFonts w:ascii="Times New Roman" w:hAnsi="Times New Roman"/>
            <w:color w:val="0000FF"/>
            <w:u w:val="single"/>
            <w:lang w:eastAsia="ja-JP"/>
          </w:rPr>
          <w:t>http://www.vvkt.lt/</w:t>
        </w:r>
      </w:hyperlink>
    </w:p>
    <w:p w14:paraId="57469892" w14:textId="77777777" w:rsidR="00E850F6" w:rsidRPr="00D600DA" w:rsidRDefault="00E850F6" w:rsidP="00E850F6">
      <w:pPr>
        <w:spacing w:after="0" w:line="240" w:lineRule="auto"/>
        <w:rPr>
          <w:rFonts w:ascii="Times New Roman" w:hAnsi="Times New Roman"/>
          <w:lang w:eastAsia="ja-JP"/>
        </w:rPr>
      </w:pPr>
    </w:p>
    <w:p w14:paraId="4A57F547"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w:t>
      </w:r>
    </w:p>
    <w:p w14:paraId="2B696F46" w14:textId="77777777" w:rsidR="00E850F6" w:rsidRPr="00D600DA" w:rsidRDefault="00E850F6" w:rsidP="00E850F6">
      <w:pPr>
        <w:spacing w:after="0" w:line="240" w:lineRule="auto"/>
        <w:rPr>
          <w:rFonts w:ascii="Times New Roman" w:hAnsi="Times New Roman"/>
          <w:lang w:eastAsia="ja-JP"/>
        </w:rPr>
      </w:pPr>
    </w:p>
    <w:p w14:paraId="06DE990A" w14:textId="77777777" w:rsidR="00E850F6" w:rsidRPr="00D600DA" w:rsidRDefault="00E850F6" w:rsidP="00E850F6">
      <w:pPr>
        <w:spacing w:after="0" w:line="240" w:lineRule="auto"/>
        <w:rPr>
          <w:rFonts w:ascii="Times New Roman" w:hAnsi="Times New Roman"/>
          <w:lang w:eastAsia="ja-JP"/>
        </w:rPr>
      </w:pPr>
      <w:r w:rsidRPr="00D600DA">
        <w:rPr>
          <w:rFonts w:ascii="Times New Roman" w:hAnsi="Times New Roman"/>
          <w:lang w:eastAsia="ja-JP"/>
        </w:rPr>
        <w:t>Toliau pateikta informacija skirta tik sveikatos priežiūros specialistams.</w:t>
      </w:r>
    </w:p>
    <w:p w14:paraId="24A1C87C" w14:textId="77777777" w:rsidR="00E850F6" w:rsidRPr="00D600DA" w:rsidRDefault="00E850F6" w:rsidP="00E850F6">
      <w:pPr>
        <w:spacing w:after="0" w:line="240" w:lineRule="auto"/>
        <w:ind w:left="567" w:hanging="567"/>
        <w:rPr>
          <w:rFonts w:ascii="Times New Roman" w:hAnsi="Times New Roman"/>
          <w:lang w:eastAsia="ja-JP"/>
        </w:rPr>
      </w:pPr>
    </w:p>
    <w:p w14:paraId="6D950B32" w14:textId="77777777" w:rsidR="00E850F6" w:rsidRPr="00D600DA" w:rsidRDefault="00E850F6" w:rsidP="00E850F6">
      <w:pPr>
        <w:spacing w:after="0" w:line="240" w:lineRule="auto"/>
        <w:ind w:left="567" w:hanging="567"/>
        <w:rPr>
          <w:rFonts w:ascii="Times New Roman" w:hAnsi="Times New Roman"/>
          <w:lang w:eastAsia="ja-JP"/>
        </w:rPr>
      </w:pPr>
      <w:r w:rsidRPr="00D600DA">
        <w:rPr>
          <w:rFonts w:ascii="Times New Roman" w:hAnsi="Times New Roman"/>
          <w:u w:val="single"/>
          <w:lang w:eastAsia="ja-JP"/>
        </w:rPr>
        <w:t>Rekomenduojama, kad prieš pateikdamas pacientui Valcyte tirpalą paruoštų vaistininkas</w:t>
      </w:r>
    </w:p>
    <w:p w14:paraId="09DB6851" w14:textId="77777777" w:rsidR="00E850F6" w:rsidRPr="00D600DA" w:rsidRDefault="00E850F6" w:rsidP="00E850F6">
      <w:pPr>
        <w:spacing w:after="0" w:line="240" w:lineRule="auto"/>
        <w:ind w:left="567" w:hanging="567"/>
        <w:rPr>
          <w:rFonts w:ascii="Times New Roman" w:hAnsi="Times New Roman"/>
          <w:lang w:eastAsia="ja-JP"/>
        </w:rPr>
      </w:pPr>
    </w:p>
    <w:p w14:paraId="413D9550" w14:textId="77777777" w:rsidR="00E850F6" w:rsidRPr="00D600DA" w:rsidRDefault="00E850F6" w:rsidP="00E850F6">
      <w:pPr>
        <w:spacing w:after="0" w:line="240" w:lineRule="auto"/>
        <w:ind w:left="567" w:hanging="567"/>
        <w:rPr>
          <w:rFonts w:ascii="Times New Roman" w:hAnsi="Times New Roman"/>
          <w:lang w:eastAsia="ja-JP"/>
        </w:rPr>
      </w:pPr>
      <w:r w:rsidRPr="00D600DA">
        <w:rPr>
          <w:rFonts w:ascii="Times New Roman" w:hAnsi="Times New Roman"/>
          <w:lang w:eastAsia="ja-JP"/>
        </w:rPr>
        <w:t>Valcyte tirpalą vaistininkas ruoš taip:</w:t>
      </w:r>
    </w:p>
    <w:p w14:paraId="7295E624" w14:textId="77777777" w:rsidR="00E850F6" w:rsidRPr="00D600DA" w:rsidRDefault="00E850F6" w:rsidP="00E850F6">
      <w:pPr>
        <w:spacing w:after="0" w:line="240" w:lineRule="auto"/>
        <w:ind w:left="567" w:hanging="567"/>
        <w:rPr>
          <w:rFonts w:ascii="Times New Roman" w:hAnsi="Times New Roman"/>
          <w:lang w:eastAsia="ja-JP"/>
        </w:rPr>
      </w:pPr>
    </w:p>
    <w:p w14:paraId="7BAAE93D" w14:textId="77777777" w:rsidR="00E850F6" w:rsidRPr="00D600DA" w:rsidRDefault="00E850F6" w:rsidP="00E850F6">
      <w:pPr>
        <w:spacing w:after="0" w:line="240" w:lineRule="auto"/>
        <w:ind w:left="709" w:hanging="709"/>
        <w:outlineLvl w:val="0"/>
        <w:rPr>
          <w:rFonts w:ascii="Times New Roman" w:hAnsi="Times New Roman"/>
          <w:lang w:eastAsia="ja-JP"/>
        </w:rPr>
      </w:pPr>
      <w:r w:rsidRPr="00D600DA">
        <w:rPr>
          <w:rFonts w:ascii="Times New Roman" w:hAnsi="Times New Roman"/>
          <w:lang w:eastAsia="ja-JP"/>
        </w:rPr>
        <w:t>1.</w:t>
      </w:r>
      <w:r w:rsidRPr="00D600DA">
        <w:rPr>
          <w:rFonts w:ascii="Times New Roman" w:hAnsi="Times New Roman"/>
          <w:lang w:eastAsia="ja-JP"/>
        </w:rPr>
        <w:tab/>
        <w:t>Graduotu cilindru atmatuos 91 ml vandens.</w:t>
      </w:r>
    </w:p>
    <w:p w14:paraId="66C2B43B" w14:textId="77777777" w:rsidR="00E850F6" w:rsidRPr="00D600DA" w:rsidRDefault="00E850F6" w:rsidP="00E850F6">
      <w:pPr>
        <w:spacing w:after="0" w:line="240" w:lineRule="auto"/>
        <w:ind w:left="709" w:hanging="709"/>
        <w:outlineLvl w:val="0"/>
        <w:rPr>
          <w:rFonts w:ascii="Times New Roman" w:hAnsi="Times New Roman"/>
          <w:lang w:eastAsia="ja-JP"/>
        </w:rPr>
      </w:pPr>
      <w:r w:rsidRPr="00D600DA">
        <w:rPr>
          <w:rFonts w:ascii="Times New Roman" w:hAnsi="Times New Roman"/>
          <w:lang w:eastAsia="ja-JP"/>
        </w:rPr>
        <w:lastRenderedPageBreak/>
        <w:t>2.</w:t>
      </w:r>
      <w:r w:rsidRPr="00D600DA">
        <w:rPr>
          <w:rFonts w:ascii="Times New Roman" w:hAnsi="Times New Roman"/>
          <w:lang w:eastAsia="ja-JP"/>
        </w:rPr>
        <w:tab/>
        <w:t>Atsuks vaikų sunkiai atidaromą dangtelį, supils vandenį į buteliuką ir jį uždaręs purtys, kol milteliai ištirps.</w:t>
      </w:r>
    </w:p>
    <w:p w14:paraId="56892B00" w14:textId="77777777" w:rsidR="00E850F6" w:rsidRPr="00D600DA" w:rsidRDefault="00E850F6" w:rsidP="00E850F6">
      <w:pPr>
        <w:spacing w:after="0" w:line="240" w:lineRule="auto"/>
        <w:ind w:left="709" w:hanging="709"/>
        <w:outlineLvl w:val="0"/>
        <w:rPr>
          <w:rFonts w:ascii="Times New Roman" w:hAnsi="Times New Roman"/>
          <w:lang w:eastAsia="ja-JP"/>
        </w:rPr>
      </w:pPr>
      <w:r w:rsidRPr="00D600DA">
        <w:rPr>
          <w:rFonts w:ascii="Times New Roman" w:hAnsi="Times New Roman"/>
          <w:lang w:eastAsia="ja-JP"/>
        </w:rPr>
        <w:t>3.</w:t>
      </w:r>
      <w:r w:rsidRPr="00D600DA">
        <w:rPr>
          <w:rFonts w:ascii="Times New Roman" w:hAnsi="Times New Roman"/>
          <w:lang w:eastAsia="ja-JP"/>
        </w:rPr>
        <w:tab/>
        <w:t>Nuims vaikų sunkiai atidaromą dangtelį ir į buteliuko kaklelį įstatys adapterį.</w:t>
      </w:r>
    </w:p>
    <w:p w14:paraId="67438A98" w14:textId="77777777" w:rsidR="00E850F6" w:rsidRPr="00D600DA" w:rsidRDefault="00E850F6" w:rsidP="00E850F6">
      <w:pPr>
        <w:spacing w:after="0" w:line="240" w:lineRule="auto"/>
        <w:ind w:left="709" w:hanging="709"/>
        <w:outlineLvl w:val="0"/>
        <w:rPr>
          <w:rFonts w:ascii="Times New Roman" w:hAnsi="Times New Roman"/>
          <w:lang w:eastAsia="ja-JP"/>
        </w:rPr>
      </w:pPr>
      <w:r w:rsidRPr="00D600DA">
        <w:rPr>
          <w:rFonts w:ascii="Times New Roman" w:hAnsi="Times New Roman"/>
          <w:lang w:eastAsia="ja-JP"/>
        </w:rPr>
        <w:t>4.</w:t>
      </w:r>
      <w:r w:rsidRPr="00D600DA">
        <w:rPr>
          <w:rFonts w:ascii="Times New Roman" w:hAnsi="Times New Roman"/>
          <w:lang w:eastAsia="ja-JP"/>
        </w:rPr>
        <w:tab/>
        <w:t>Sandariai užsuks buteliuką vaikų sunkiai atidaromu dangteliu. Tai užtikrins, kad buteliuko adapteris tvirtai laikysis buteliuke ir vaikai dangtelio neatsuks.</w:t>
      </w:r>
    </w:p>
    <w:p w14:paraId="2528E321" w14:textId="77777777" w:rsidR="00E850F6" w:rsidRPr="00D600DA" w:rsidRDefault="00E850F6" w:rsidP="00E850F6">
      <w:pPr>
        <w:spacing w:after="0" w:line="240" w:lineRule="auto"/>
        <w:ind w:left="709" w:hanging="709"/>
        <w:rPr>
          <w:rFonts w:ascii="Times New Roman" w:hAnsi="Times New Roman"/>
          <w:lang w:eastAsia="ja-JP"/>
        </w:rPr>
      </w:pPr>
      <w:r w:rsidRPr="00D600DA">
        <w:rPr>
          <w:rFonts w:ascii="Times New Roman" w:hAnsi="Times New Roman"/>
          <w:lang w:eastAsia="ja-JP"/>
        </w:rPr>
        <w:t>5.</w:t>
      </w:r>
      <w:r w:rsidRPr="00D600DA">
        <w:rPr>
          <w:rFonts w:ascii="Times New Roman" w:hAnsi="Times New Roman"/>
          <w:lang w:eastAsia="ja-JP"/>
        </w:rPr>
        <w:tab/>
        <w:t>Buteliuko etiketėje užrašys tirpalo tinkamumo laiką.</w:t>
      </w:r>
    </w:p>
    <w:p w14:paraId="2C9E30C5" w14:textId="77777777" w:rsidR="00E850F6" w:rsidRDefault="00E850F6" w:rsidP="00E850F6">
      <w:pPr>
        <w:spacing w:after="0" w:line="240" w:lineRule="auto"/>
        <w:rPr>
          <w:rFonts w:ascii="Times New Roman" w:hAnsi="Times New Roman"/>
          <w:lang w:eastAsia="ja-JP"/>
        </w:rPr>
      </w:pPr>
    </w:p>
    <w:p w14:paraId="4BC1CFDB" w14:textId="77777777" w:rsidR="00E850F6" w:rsidRDefault="00E850F6" w:rsidP="00E850F6">
      <w:pPr>
        <w:spacing w:after="0" w:line="240" w:lineRule="auto"/>
        <w:rPr>
          <w:rFonts w:ascii="Times New Roman" w:hAnsi="Times New Roman"/>
          <w:lang w:eastAsia="ja-JP"/>
        </w:rPr>
      </w:pPr>
      <w:r>
        <w:rPr>
          <w:rFonts w:ascii="Times New Roman" w:hAnsi="Times New Roman"/>
          <w:lang w:eastAsia="ja-JP"/>
        </w:rPr>
        <w:t>Tirpinimo metu bei</w:t>
      </w:r>
      <w:r w:rsidRPr="005F04D1">
        <w:rPr>
          <w:rFonts w:ascii="Times New Roman" w:hAnsi="Times New Roman"/>
          <w:lang w:eastAsia="ja-JP"/>
        </w:rPr>
        <w:t xml:space="preserve"> </w:t>
      </w:r>
      <w:r>
        <w:rPr>
          <w:rFonts w:ascii="Times New Roman" w:hAnsi="Times New Roman"/>
          <w:lang w:eastAsia="ja-JP"/>
        </w:rPr>
        <w:t xml:space="preserve">valant </w:t>
      </w:r>
      <w:r w:rsidRPr="005F04D1">
        <w:rPr>
          <w:rFonts w:ascii="Times New Roman" w:hAnsi="Times New Roman"/>
          <w:lang w:eastAsia="ja-JP"/>
        </w:rPr>
        <w:t>aplie</w:t>
      </w:r>
      <w:r>
        <w:rPr>
          <w:rFonts w:ascii="Times New Roman" w:hAnsi="Times New Roman"/>
          <w:lang w:eastAsia="ja-JP"/>
        </w:rPr>
        <w:t>tus</w:t>
      </w:r>
      <w:r w:rsidRPr="005F04D1">
        <w:rPr>
          <w:rFonts w:ascii="Times New Roman" w:hAnsi="Times New Roman"/>
          <w:lang w:eastAsia="ja-JP"/>
        </w:rPr>
        <w:t xml:space="preserve"> išorinį </w:t>
      </w:r>
      <w:r>
        <w:rPr>
          <w:rFonts w:ascii="Times New Roman" w:hAnsi="Times New Roman"/>
          <w:lang w:eastAsia="ja-JP"/>
        </w:rPr>
        <w:t xml:space="preserve">buteliuko </w:t>
      </w:r>
      <w:r w:rsidRPr="005F04D1">
        <w:rPr>
          <w:rFonts w:ascii="Times New Roman" w:hAnsi="Times New Roman"/>
          <w:lang w:eastAsia="ja-JP"/>
        </w:rPr>
        <w:t>paviršių</w:t>
      </w:r>
      <w:r>
        <w:rPr>
          <w:rFonts w:ascii="Times New Roman" w:hAnsi="Times New Roman"/>
          <w:lang w:eastAsia="ja-JP"/>
        </w:rPr>
        <w:t>, dangtelį ar stalą, rekomenduojama mūvėti</w:t>
      </w:r>
      <w:r w:rsidRPr="005F04D1">
        <w:rPr>
          <w:rFonts w:ascii="Times New Roman" w:hAnsi="Times New Roman"/>
          <w:lang w:eastAsia="ja-JP"/>
        </w:rPr>
        <w:t xml:space="preserve"> vienka</w:t>
      </w:r>
      <w:r>
        <w:rPr>
          <w:rFonts w:ascii="Times New Roman" w:hAnsi="Times New Roman"/>
          <w:lang w:eastAsia="ja-JP"/>
        </w:rPr>
        <w:t>rtines pirštines</w:t>
      </w:r>
      <w:r w:rsidRPr="005F04D1">
        <w:rPr>
          <w:rFonts w:ascii="Times New Roman" w:hAnsi="Times New Roman"/>
          <w:lang w:eastAsia="ja-JP"/>
        </w:rPr>
        <w:t>.</w:t>
      </w:r>
    </w:p>
    <w:p w14:paraId="654FD9AD" w14:textId="77777777" w:rsidR="00E850F6" w:rsidRPr="00D600DA" w:rsidRDefault="00E850F6" w:rsidP="00E850F6">
      <w:pPr>
        <w:spacing w:after="0" w:line="240" w:lineRule="auto"/>
        <w:rPr>
          <w:rFonts w:ascii="Times New Roman" w:hAnsi="Times New Roman"/>
          <w:lang w:eastAsia="ja-JP"/>
        </w:rPr>
      </w:pPr>
    </w:p>
    <w:p w14:paraId="48764A15" w14:textId="77777777" w:rsidR="00CE41CC" w:rsidRDefault="00E850F6" w:rsidP="00E850F6">
      <w:pPr>
        <w:spacing w:after="0" w:line="240" w:lineRule="auto"/>
        <w:rPr>
          <w:rFonts w:ascii="Times New Roman" w:hAnsi="Times New Roman"/>
          <w:lang w:eastAsia="ja-JP"/>
        </w:rPr>
      </w:pPr>
      <w:r w:rsidRPr="00D600DA">
        <w:rPr>
          <w:rFonts w:ascii="Times New Roman" w:hAnsi="Times New Roman"/>
          <w:lang w:eastAsia="ja-JP"/>
        </w:rPr>
        <w:t xml:space="preserve">Venkite įkvėpti miltelių, saugokitės, kad jų nepatektų ant odos ir gleivinių, taip pat saugokitės tiesioginio kontakto su tirpalu. Nepavykus išvengti sąlyčio, kruopščiai nusiplaukite vandeniu </w:t>
      </w:r>
      <w:r w:rsidR="00E815BE">
        <w:rPr>
          <w:rFonts w:ascii="Times New Roman" w:hAnsi="Times New Roman"/>
          <w:lang w:eastAsia="ja-JP"/>
        </w:rPr>
        <w:t>ir</w:t>
      </w:r>
      <w:r w:rsidRPr="00D600DA">
        <w:rPr>
          <w:rFonts w:ascii="Times New Roman" w:hAnsi="Times New Roman"/>
          <w:lang w:eastAsia="ja-JP"/>
        </w:rPr>
        <w:t xml:space="preserve"> muilu; akis praplaukite švariu vandeniu.</w:t>
      </w:r>
      <w:r w:rsidR="00B06BDB">
        <w:rPr>
          <w:rFonts w:ascii="Times New Roman" w:hAnsi="Times New Roman"/>
          <w:lang w:eastAsia="ja-JP"/>
        </w:rPr>
        <w:t xml:space="preserve">    </w:t>
      </w:r>
    </w:p>
    <w:p w14:paraId="13091315" w14:textId="77777777" w:rsidR="00CE41CC" w:rsidRDefault="00CE41CC" w:rsidP="00E850F6">
      <w:pPr>
        <w:spacing w:after="0" w:line="240" w:lineRule="auto"/>
        <w:rPr>
          <w:rFonts w:ascii="Times New Roman" w:hAnsi="Times New Roman"/>
          <w:lang w:eastAsia="ja-JP"/>
        </w:rPr>
      </w:pPr>
    </w:p>
    <w:p w14:paraId="7CC686D1" w14:textId="35838EC6" w:rsidR="003163DB" w:rsidRPr="00E850F6" w:rsidRDefault="00B06BDB" w:rsidP="00E850F6">
      <w:pPr>
        <w:spacing w:after="0" w:line="240" w:lineRule="auto"/>
        <w:rPr>
          <w:rFonts w:ascii="Times New Roman" w:hAnsi="Times New Roman"/>
          <w:lang w:eastAsia="ja-JP"/>
        </w:rPr>
      </w:pPr>
      <w:bookmarkStart w:id="5" w:name="_GoBack"/>
      <w:bookmarkEnd w:id="5"/>
      <w:r>
        <w:rPr>
          <w:rFonts w:ascii="Times New Roman" w:hAnsi="Times New Roman"/>
          <w:lang w:eastAsia="ja-JP"/>
        </w:rPr>
        <w:t xml:space="preserve">     </w:t>
      </w:r>
    </w:p>
    <w:sectPr w:rsidR="003163DB" w:rsidRPr="00E850F6" w:rsidSect="00B06BDB">
      <w:headerReference w:type="default" r:id="rId12"/>
      <w:footerReference w:type="even"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F04FA" w14:textId="77777777" w:rsidR="008A7D15" w:rsidRDefault="008A7D15">
      <w:pPr>
        <w:spacing w:after="0" w:line="240" w:lineRule="auto"/>
      </w:pPr>
      <w:r>
        <w:separator/>
      </w:r>
    </w:p>
  </w:endnote>
  <w:endnote w:type="continuationSeparator" w:id="0">
    <w:p w14:paraId="4A99FEE3" w14:textId="77777777" w:rsidR="008A7D15" w:rsidRDefault="008A7D15">
      <w:pPr>
        <w:spacing w:after="0" w:line="240" w:lineRule="auto"/>
      </w:pPr>
      <w:r>
        <w:continuationSeparator/>
      </w:r>
    </w:p>
  </w:endnote>
  <w:endnote w:type="continuationNotice" w:id="1">
    <w:p w14:paraId="30CAC6DE" w14:textId="77777777" w:rsidR="008A7D15" w:rsidRDefault="008A7D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E9DB4" w14:textId="7B1CEC72" w:rsidR="00950884" w:rsidRDefault="00950884" w:rsidP="00636DA1">
    <w:pPr>
      <w:pStyle w:val="Porat"/>
      <w:framePr w:wrap="around" w:vAnchor="text" w:hAnchor="margin" w:xAlign="right"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sidR="003A2329">
      <w:rPr>
        <w:rStyle w:val="Puslapionumeris"/>
        <w:rFonts w:eastAsia="Calibri"/>
        <w:noProof/>
      </w:rPr>
      <w:t>41</w:t>
    </w:r>
    <w:r>
      <w:rPr>
        <w:rStyle w:val="Puslapionumeris"/>
        <w:rFonts w:eastAsia="Calibri"/>
      </w:rPr>
      <w:fldChar w:fldCharType="end"/>
    </w:r>
  </w:p>
  <w:p w14:paraId="0CA4F629" w14:textId="77777777" w:rsidR="00950884" w:rsidRDefault="00950884" w:rsidP="00636DA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0043C" w14:textId="36FB3E71" w:rsidR="00950884" w:rsidRPr="00E4473A" w:rsidRDefault="00950884" w:rsidP="00636DA1">
    <w:pPr>
      <w:pStyle w:val="Porat"/>
      <w:framePr w:wrap="around" w:vAnchor="text" w:hAnchor="margin" w:xAlign="right" w:y="1"/>
      <w:rPr>
        <w:rStyle w:val="Puslapionumeris"/>
        <w:rFonts w:eastAsia="Calibri"/>
        <w:sz w:val="22"/>
        <w:szCs w:val="22"/>
      </w:rPr>
    </w:pPr>
    <w:r w:rsidRPr="00E4473A">
      <w:rPr>
        <w:rStyle w:val="Puslapionumeris"/>
        <w:rFonts w:eastAsia="Calibri"/>
        <w:sz w:val="22"/>
        <w:szCs w:val="22"/>
      </w:rPr>
      <w:fldChar w:fldCharType="begin"/>
    </w:r>
    <w:r w:rsidRPr="00E4473A">
      <w:rPr>
        <w:rStyle w:val="Puslapionumeris"/>
        <w:rFonts w:eastAsia="Calibri"/>
        <w:sz w:val="22"/>
        <w:szCs w:val="22"/>
      </w:rPr>
      <w:instrText xml:space="preserve">PAGE  </w:instrText>
    </w:r>
    <w:r w:rsidRPr="00E4473A">
      <w:rPr>
        <w:rStyle w:val="Puslapionumeris"/>
        <w:rFonts w:eastAsia="Calibri"/>
        <w:sz w:val="22"/>
        <w:szCs w:val="22"/>
      </w:rPr>
      <w:fldChar w:fldCharType="separate"/>
    </w:r>
    <w:r w:rsidR="00CE41CC">
      <w:rPr>
        <w:rStyle w:val="Puslapionumeris"/>
        <w:rFonts w:eastAsia="Calibri"/>
        <w:noProof/>
        <w:sz w:val="22"/>
        <w:szCs w:val="22"/>
      </w:rPr>
      <w:t>41</w:t>
    </w:r>
    <w:r w:rsidRPr="00E4473A">
      <w:rPr>
        <w:rStyle w:val="Puslapionumeris"/>
        <w:rFonts w:eastAsia="Calibri"/>
        <w:sz w:val="22"/>
        <w:szCs w:val="22"/>
      </w:rPr>
      <w:fldChar w:fldCharType="end"/>
    </w:r>
  </w:p>
  <w:p w14:paraId="0D7F70CE" w14:textId="77777777" w:rsidR="00950884" w:rsidRDefault="00950884" w:rsidP="00636DA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F1016" w14:textId="77777777" w:rsidR="008A7D15" w:rsidRDefault="008A7D15">
      <w:pPr>
        <w:spacing w:after="0" w:line="240" w:lineRule="auto"/>
      </w:pPr>
      <w:r>
        <w:separator/>
      </w:r>
    </w:p>
  </w:footnote>
  <w:footnote w:type="continuationSeparator" w:id="0">
    <w:p w14:paraId="7581A339" w14:textId="77777777" w:rsidR="008A7D15" w:rsidRDefault="008A7D15">
      <w:pPr>
        <w:spacing w:after="0" w:line="240" w:lineRule="auto"/>
      </w:pPr>
      <w:r>
        <w:continuationSeparator/>
      </w:r>
    </w:p>
  </w:footnote>
  <w:footnote w:type="continuationNotice" w:id="1">
    <w:p w14:paraId="4122E5F9" w14:textId="77777777" w:rsidR="008A7D15" w:rsidRDefault="008A7D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6DFC6" w14:textId="77777777" w:rsidR="008A7D15" w:rsidRDefault="008A7D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CC184F"/>
    <w:multiLevelType w:val="hybridMultilevel"/>
    <w:tmpl w:val="9A36A6AC"/>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 w15:restartNumberingAfterBreak="0">
    <w:nsid w:val="05F82954"/>
    <w:multiLevelType w:val="hybridMultilevel"/>
    <w:tmpl w:val="79FC169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24778"/>
    <w:multiLevelType w:val="hybridMultilevel"/>
    <w:tmpl w:val="0132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F092C"/>
    <w:multiLevelType w:val="singleLevel"/>
    <w:tmpl w:val="1C1CC8FA"/>
    <w:lvl w:ilvl="0">
      <w:numFmt w:val="bullet"/>
      <w:lvlText w:val="-"/>
      <w:lvlJc w:val="left"/>
      <w:pPr>
        <w:tabs>
          <w:tab w:val="num" w:pos="360"/>
        </w:tabs>
        <w:ind w:left="360" w:hanging="360"/>
      </w:pPr>
    </w:lvl>
  </w:abstractNum>
  <w:abstractNum w:abstractNumId="5" w15:restartNumberingAfterBreak="0">
    <w:nsid w:val="102C2641"/>
    <w:multiLevelType w:val="hybridMultilevel"/>
    <w:tmpl w:val="4CA268D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 w15:restartNumberingAfterBreak="0">
    <w:nsid w:val="14EB41D2"/>
    <w:multiLevelType w:val="multilevel"/>
    <w:tmpl w:val="C2DE753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A7D7123"/>
    <w:multiLevelType w:val="hybridMultilevel"/>
    <w:tmpl w:val="163A06C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601B"/>
    <w:multiLevelType w:val="singleLevel"/>
    <w:tmpl w:val="FFFFFFFF"/>
    <w:lvl w:ilvl="0">
      <w:start w:val="1"/>
      <w:numFmt w:val="bullet"/>
      <w:lvlText w:val="-"/>
      <w:legacy w:legacy="1" w:legacySpace="0" w:legacyIndent="360"/>
      <w:lvlJc w:val="left"/>
      <w:pPr>
        <w:ind w:left="360" w:hanging="360"/>
      </w:pPr>
    </w:lvl>
  </w:abstractNum>
  <w:abstractNum w:abstractNumId="9" w15:restartNumberingAfterBreak="0">
    <w:nsid w:val="21561EA9"/>
    <w:multiLevelType w:val="hybridMultilevel"/>
    <w:tmpl w:val="D1706B72"/>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328C8"/>
    <w:multiLevelType w:val="hybridMultilevel"/>
    <w:tmpl w:val="7DDAAE8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D21628"/>
    <w:multiLevelType w:val="hybridMultilevel"/>
    <w:tmpl w:val="2986523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2A332BE7"/>
    <w:multiLevelType w:val="hybridMultilevel"/>
    <w:tmpl w:val="D6B6839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9B4A63"/>
    <w:multiLevelType w:val="hybridMultilevel"/>
    <w:tmpl w:val="B220F304"/>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4" w15:restartNumberingAfterBreak="0">
    <w:nsid w:val="2F325145"/>
    <w:multiLevelType w:val="hybridMultilevel"/>
    <w:tmpl w:val="399A3C1E"/>
    <w:lvl w:ilvl="0" w:tplc="04270007">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65D7A"/>
    <w:multiLevelType w:val="singleLevel"/>
    <w:tmpl w:val="FFFFFFFF"/>
    <w:lvl w:ilvl="0">
      <w:start w:val="1"/>
      <w:numFmt w:val="bullet"/>
      <w:lvlText w:val="-"/>
      <w:legacy w:legacy="1" w:legacySpace="0" w:legacyIndent="360"/>
      <w:lvlJc w:val="left"/>
      <w:pPr>
        <w:ind w:left="360" w:hanging="360"/>
      </w:pPr>
    </w:lvl>
  </w:abstractNum>
  <w:abstractNum w:abstractNumId="17"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18" w15:restartNumberingAfterBreak="0">
    <w:nsid w:val="39D4433E"/>
    <w:multiLevelType w:val="hybridMultilevel"/>
    <w:tmpl w:val="A7F61A1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3A9A7401"/>
    <w:multiLevelType w:val="hybridMultilevel"/>
    <w:tmpl w:val="3820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F15F83"/>
    <w:multiLevelType w:val="hybridMultilevel"/>
    <w:tmpl w:val="DA826AB4"/>
    <w:lvl w:ilvl="0" w:tplc="D86A105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823D97"/>
    <w:multiLevelType w:val="hybridMultilevel"/>
    <w:tmpl w:val="C83C4C42"/>
    <w:lvl w:ilvl="0" w:tplc="81B69D9A">
      <w:numFmt w:val="bullet"/>
      <w:lvlText w:val="–"/>
      <w:lvlJc w:val="left"/>
      <w:pPr>
        <w:tabs>
          <w:tab w:val="num" w:pos="1080"/>
        </w:tabs>
        <w:ind w:left="1080" w:hanging="72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2" w15:restartNumberingAfterBreak="0">
    <w:nsid w:val="4E6E11D5"/>
    <w:multiLevelType w:val="hybridMultilevel"/>
    <w:tmpl w:val="B7C8FB1E"/>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3" w15:restartNumberingAfterBreak="0">
    <w:nsid w:val="4F647BB3"/>
    <w:multiLevelType w:val="hybridMultilevel"/>
    <w:tmpl w:val="93C456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D70029"/>
    <w:multiLevelType w:val="hybridMultilevel"/>
    <w:tmpl w:val="8966A4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164B38"/>
    <w:multiLevelType w:val="hybridMultilevel"/>
    <w:tmpl w:val="E15AD55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733D1A"/>
    <w:multiLevelType w:val="hybridMultilevel"/>
    <w:tmpl w:val="8D4C483A"/>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D686D3F"/>
    <w:multiLevelType w:val="hybridMultilevel"/>
    <w:tmpl w:val="0B9A5BCE"/>
    <w:lvl w:ilvl="0" w:tplc="26C24428">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940229"/>
    <w:multiLevelType w:val="singleLevel"/>
    <w:tmpl w:val="FFFFFFFF"/>
    <w:lvl w:ilvl="0">
      <w:start w:val="1"/>
      <w:numFmt w:val="bullet"/>
      <w:lvlText w:val="-"/>
      <w:legacy w:legacy="1" w:legacySpace="0" w:legacyIndent="360"/>
      <w:lvlJc w:val="left"/>
      <w:pPr>
        <w:ind w:left="360" w:hanging="360"/>
      </w:pPr>
    </w:lvl>
  </w:abstractNum>
  <w:abstractNum w:abstractNumId="29" w15:restartNumberingAfterBreak="0">
    <w:nsid w:val="77C47933"/>
    <w:multiLevelType w:val="hybridMultilevel"/>
    <w:tmpl w:val="F80C6BE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D11354"/>
    <w:multiLevelType w:val="hybridMultilevel"/>
    <w:tmpl w:val="7B2A74D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8"/>
  </w:num>
  <w:num w:numId="4">
    <w:abstractNumId w:val="1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2"/>
    </w:lvlOverride>
  </w:num>
  <w:num w:numId="7">
    <w:abstractNumId w:val="0"/>
    <w:lvlOverride w:ilvl="0">
      <w:lvl w:ilvl="0">
        <w:numFmt w:val="bullet"/>
        <w:lvlText w:val="-"/>
        <w:legacy w:legacy="1" w:legacySpace="0" w:legacyIndent="360"/>
        <w:lvlJc w:val="left"/>
        <w:pPr>
          <w:ind w:left="360" w:hanging="360"/>
        </w:pPr>
      </w:lvl>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7"/>
  </w:num>
  <w:num w:numId="17">
    <w:abstractNumId w:val="29"/>
  </w:num>
  <w:num w:numId="18">
    <w:abstractNumId w:val="2"/>
  </w:num>
  <w:num w:numId="19">
    <w:abstractNumId w:val="30"/>
  </w:num>
  <w:num w:numId="20">
    <w:abstractNumId w:val="14"/>
  </w:num>
  <w:num w:numId="21">
    <w:abstractNumId w:val="27"/>
  </w:num>
  <w:num w:numId="22">
    <w:abstractNumId w:val="15"/>
  </w:num>
  <w:num w:numId="23">
    <w:abstractNumId w:val="22"/>
  </w:num>
  <w:num w:numId="24">
    <w:abstractNumId w:val="5"/>
  </w:num>
  <w:num w:numId="25">
    <w:abstractNumId w:val="11"/>
  </w:num>
  <w:num w:numId="26">
    <w:abstractNumId w:val="1"/>
  </w:num>
  <w:num w:numId="27">
    <w:abstractNumId w:val="9"/>
  </w:num>
  <w:num w:numId="28">
    <w:abstractNumId w:val="21"/>
  </w:num>
  <w:num w:numId="29">
    <w:abstractNumId w:val="26"/>
  </w:num>
  <w:num w:numId="30">
    <w:abstractNumId w:val="13"/>
  </w:num>
  <w:num w:numId="31">
    <w:abstractNumId w:val="19"/>
  </w:num>
  <w:num w:numId="32">
    <w:abstractNumId w:val="20"/>
  </w:num>
  <w:num w:numId="33">
    <w:abstractNumId w:val="10"/>
  </w:num>
  <w:num w:numId="34">
    <w:abstractNumId w:val="18"/>
  </w:num>
  <w:num w:numId="35">
    <w:abstractNumId w:val="24"/>
  </w:num>
  <w:num w:numId="36">
    <w:abstractNumId w:val="3"/>
  </w:num>
  <w:num w:numId="37">
    <w:abstractNumId w:val="12"/>
  </w:num>
  <w:num w:numId="38">
    <w:abstractNumId w:val="2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0F6"/>
    <w:rsid w:val="00000497"/>
    <w:rsid w:val="000142E5"/>
    <w:rsid w:val="00021013"/>
    <w:rsid w:val="000C68D1"/>
    <w:rsid w:val="000C7CE5"/>
    <w:rsid w:val="000F0280"/>
    <w:rsid w:val="000F1E10"/>
    <w:rsid w:val="00102552"/>
    <w:rsid w:val="00105246"/>
    <w:rsid w:val="00105B10"/>
    <w:rsid w:val="00111951"/>
    <w:rsid w:val="00126FA2"/>
    <w:rsid w:val="00172323"/>
    <w:rsid w:val="001C673E"/>
    <w:rsid w:val="001D3C28"/>
    <w:rsid w:val="001E72BA"/>
    <w:rsid w:val="001F4DA9"/>
    <w:rsid w:val="002261F7"/>
    <w:rsid w:val="00247D9E"/>
    <w:rsid w:val="003163DB"/>
    <w:rsid w:val="0032225B"/>
    <w:rsid w:val="00326FC5"/>
    <w:rsid w:val="00344AE6"/>
    <w:rsid w:val="0035101D"/>
    <w:rsid w:val="00362757"/>
    <w:rsid w:val="00384AE9"/>
    <w:rsid w:val="003A2329"/>
    <w:rsid w:val="003C3D79"/>
    <w:rsid w:val="003D2DF5"/>
    <w:rsid w:val="0040119E"/>
    <w:rsid w:val="004026D6"/>
    <w:rsid w:val="00412FC8"/>
    <w:rsid w:val="00433BF9"/>
    <w:rsid w:val="00435779"/>
    <w:rsid w:val="00462A70"/>
    <w:rsid w:val="00471BF4"/>
    <w:rsid w:val="00500ED0"/>
    <w:rsid w:val="00525FFC"/>
    <w:rsid w:val="0053231C"/>
    <w:rsid w:val="00545B73"/>
    <w:rsid w:val="00560ABC"/>
    <w:rsid w:val="00561AEC"/>
    <w:rsid w:val="005B76D4"/>
    <w:rsid w:val="005C1DF3"/>
    <w:rsid w:val="006149C5"/>
    <w:rsid w:val="00622225"/>
    <w:rsid w:val="00636DA1"/>
    <w:rsid w:val="006722CC"/>
    <w:rsid w:val="006958B7"/>
    <w:rsid w:val="006C0D17"/>
    <w:rsid w:val="006C18D2"/>
    <w:rsid w:val="006C2B48"/>
    <w:rsid w:val="006E1BC4"/>
    <w:rsid w:val="006F63DE"/>
    <w:rsid w:val="007621D0"/>
    <w:rsid w:val="00774CE1"/>
    <w:rsid w:val="007873F1"/>
    <w:rsid w:val="007938A8"/>
    <w:rsid w:val="007E4F44"/>
    <w:rsid w:val="007E7243"/>
    <w:rsid w:val="00813A8C"/>
    <w:rsid w:val="00825E18"/>
    <w:rsid w:val="0082690C"/>
    <w:rsid w:val="0083757A"/>
    <w:rsid w:val="00867E97"/>
    <w:rsid w:val="00883DFE"/>
    <w:rsid w:val="008A7D15"/>
    <w:rsid w:val="008B1B29"/>
    <w:rsid w:val="008D4449"/>
    <w:rsid w:val="008F424A"/>
    <w:rsid w:val="00912827"/>
    <w:rsid w:val="00936B5B"/>
    <w:rsid w:val="00942FB5"/>
    <w:rsid w:val="00950884"/>
    <w:rsid w:val="009D117D"/>
    <w:rsid w:val="00A15019"/>
    <w:rsid w:val="00A25F83"/>
    <w:rsid w:val="00A51788"/>
    <w:rsid w:val="00AC1A6A"/>
    <w:rsid w:val="00AD446B"/>
    <w:rsid w:val="00AE1C27"/>
    <w:rsid w:val="00B0481D"/>
    <w:rsid w:val="00B06BDB"/>
    <w:rsid w:val="00B355B6"/>
    <w:rsid w:val="00B47B14"/>
    <w:rsid w:val="00B5328E"/>
    <w:rsid w:val="00B80CF4"/>
    <w:rsid w:val="00B874EB"/>
    <w:rsid w:val="00BA0A23"/>
    <w:rsid w:val="00BC4EB8"/>
    <w:rsid w:val="00C107D1"/>
    <w:rsid w:val="00C167FE"/>
    <w:rsid w:val="00C4468D"/>
    <w:rsid w:val="00C54E11"/>
    <w:rsid w:val="00C66AD9"/>
    <w:rsid w:val="00C737A6"/>
    <w:rsid w:val="00CB1E19"/>
    <w:rsid w:val="00CD0469"/>
    <w:rsid w:val="00CE4065"/>
    <w:rsid w:val="00CE41CC"/>
    <w:rsid w:val="00CE7854"/>
    <w:rsid w:val="00CF6ED9"/>
    <w:rsid w:val="00D06FA2"/>
    <w:rsid w:val="00D215C3"/>
    <w:rsid w:val="00D25E1E"/>
    <w:rsid w:val="00D55454"/>
    <w:rsid w:val="00D56A0B"/>
    <w:rsid w:val="00D660E2"/>
    <w:rsid w:val="00D678BC"/>
    <w:rsid w:val="00DC4705"/>
    <w:rsid w:val="00DD3D98"/>
    <w:rsid w:val="00DD4483"/>
    <w:rsid w:val="00E6489C"/>
    <w:rsid w:val="00E80527"/>
    <w:rsid w:val="00E815BE"/>
    <w:rsid w:val="00E850F6"/>
    <w:rsid w:val="00E85306"/>
    <w:rsid w:val="00E97119"/>
    <w:rsid w:val="00ED6B6E"/>
    <w:rsid w:val="00ED6FE3"/>
    <w:rsid w:val="00EF744D"/>
    <w:rsid w:val="00F17FE9"/>
    <w:rsid w:val="00F33107"/>
    <w:rsid w:val="00F46D60"/>
    <w:rsid w:val="00F515EC"/>
    <w:rsid w:val="00FB5B79"/>
    <w:rsid w:val="00FB6095"/>
    <w:rsid w:val="00FF03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4582FABD"/>
  <w15:docId w15:val="{0DA9AE8F-0350-41ED-B4E0-6A0164F2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7D15"/>
    <w:pPr>
      <w:spacing w:after="200" w:line="276" w:lineRule="auto"/>
    </w:pPr>
    <w:rPr>
      <w:sz w:val="22"/>
      <w:szCs w:val="22"/>
    </w:rPr>
  </w:style>
  <w:style w:type="paragraph" w:styleId="Antrat1">
    <w:name w:val="heading 1"/>
    <w:basedOn w:val="prastasis"/>
    <w:next w:val="prastasis"/>
    <w:link w:val="Antrat1Diagrama"/>
    <w:uiPriority w:val="99"/>
    <w:qFormat/>
    <w:rsid w:val="00E850F6"/>
    <w:pPr>
      <w:spacing w:after="0" w:line="240" w:lineRule="auto"/>
      <w:ind w:left="567" w:hanging="567"/>
      <w:outlineLvl w:val="0"/>
    </w:pPr>
    <w:rPr>
      <w:rFonts w:ascii="Times New Roman" w:eastAsia="Times New Roman" w:hAnsi="Times New Roman"/>
      <w:b/>
      <w:caps/>
      <w:kern w:val="28"/>
      <w:szCs w:val="20"/>
      <w:lang w:eastAsia="ja-JP"/>
    </w:rPr>
  </w:style>
  <w:style w:type="paragraph" w:styleId="Antrat2">
    <w:name w:val="heading 2"/>
    <w:basedOn w:val="Antrat1"/>
    <w:next w:val="prastasis"/>
    <w:link w:val="Antrat2Diagrama"/>
    <w:uiPriority w:val="99"/>
    <w:qFormat/>
    <w:rsid w:val="00E850F6"/>
    <w:pPr>
      <w:outlineLvl w:val="1"/>
    </w:pPr>
    <w:rPr>
      <w:caps w:val="0"/>
    </w:rPr>
  </w:style>
  <w:style w:type="paragraph" w:styleId="Antrat4">
    <w:name w:val="heading 4"/>
    <w:basedOn w:val="prastasis"/>
    <w:next w:val="prastasis"/>
    <w:link w:val="Antrat4Diagrama"/>
    <w:uiPriority w:val="99"/>
    <w:qFormat/>
    <w:rsid w:val="00E850F6"/>
    <w:pPr>
      <w:keepNext/>
      <w:tabs>
        <w:tab w:val="left" w:pos="2835"/>
      </w:tabs>
      <w:spacing w:after="0" w:line="240" w:lineRule="auto"/>
      <w:outlineLvl w:val="3"/>
    </w:pPr>
    <w:rPr>
      <w:rFonts w:ascii="Times New Roman" w:eastAsia="Times New Roman" w:hAnsi="Times New Roman"/>
      <w:sz w:val="24"/>
      <w:szCs w:val="20"/>
      <w:u w:val="single"/>
      <w:lang w:eastAsia="ja-JP"/>
    </w:rPr>
  </w:style>
  <w:style w:type="paragraph" w:styleId="Antrat6">
    <w:name w:val="heading 6"/>
    <w:basedOn w:val="prastasis"/>
    <w:next w:val="prastasis"/>
    <w:link w:val="Antrat6Diagrama"/>
    <w:uiPriority w:val="99"/>
    <w:qFormat/>
    <w:rsid w:val="00E850F6"/>
    <w:pPr>
      <w:spacing w:before="240" w:after="60" w:line="240" w:lineRule="auto"/>
      <w:outlineLvl w:val="5"/>
    </w:pPr>
    <w:rPr>
      <w:rFonts w:ascii="Times New Roman" w:eastAsia="Times New Roman" w:hAnsi="Times New Roman"/>
      <w:b/>
      <w:bCs/>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247D9E"/>
    <w:pPr>
      <w:spacing w:after="0" w:line="240" w:lineRule="auto"/>
    </w:pPr>
    <w:rPr>
      <w:sz w:val="16"/>
      <w:lang w:val="en-US" w:eastAsia="ja-JP"/>
    </w:rPr>
  </w:style>
  <w:style w:type="character" w:customStyle="1" w:styleId="DebesliotekstasDiagrama">
    <w:name w:val="Debesėlio tekstas Diagrama"/>
    <w:link w:val="Debesliotekstas"/>
    <w:uiPriority w:val="99"/>
    <w:rsid w:val="00247D9E"/>
    <w:rPr>
      <w:sz w:val="16"/>
      <w:lang w:val="en-US" w:eastAsia="ja-JP"/>
    </w:rPr>
  </w:style>
  <w:style w:type="character" w:customStyle="1" w:styleId="Antrat1Diagrama">
    <w:name w:val="Antraštė 1 Diagrama"/>
    <w:link w:val="Antrat1"/>
    <w:uiPriority w:val="99"/>
    <w:rsid w:val="00E850F6"/>
    <w:rPr>
      <w:rFonts w:ascii="Times New Roman" w:eastAsia="Times New Roman" w:hAnsi="Times New Roman" w:cs="Times New Roman"/>
      <w:b/>
      <w:caps/>
      <w:kern w:val="28"/>
      <w:szCs w:val="20"/>
      <w:lang w:eastAsia="ja-JP"/>
    </w:rPr>
  </w:style>
  <w:style w:type="character" w:customStyle="1" w:styleId="Antrat2Diagrama">
    <w:name w:val="Antraštė 2 Diagrama"/>
    <w:link w:val="Antrat2"/>
    <w:uiPriority w:val="99"/>
    <w:rsid w:val="00E850F6"/>
    <w:rPr>
      <w:rFonts w:ascii="Times New Roman" w:eastAsia="Times New Roman" w:hAnsi="Times New Roman" w:cs="Times New Roman"/>
      <w:b/>
      <w:kern w:val="28"/>
      <w:szCs w:val="20"/>
      <w:lang w:eastAsia="ja-JP"/>
    </w:rPr>
  </w:style>
  <w:style w:type="character" w:customStyle="1" w:styleId="Antrat4Diagrama">
    <w:name w:val="Antraštė 4 Diagrama"/>
    <w:link w:val="Antrat4"/>
    <w:uiPriority w:val="99"/>
    <w:rsid w:val="00E850F6"/>
    <w:rPr>
      <w:rFonts w:ascii="Times New Roman" w:eastAsia="Times New Roman" w:hAnsi="Times New Roman" w:cs="Times New Roman"/>
      <w:sz w:val="24"/>
      <w:szCs w:val="20"/>
      <w:u w:val="single"/>
      <w:lang w:eastAsia="ja-JP"/>
    </w:rPr>
  </w:style>
  <w:style w:type="character" w:customStyle="1" w:styleId="Antrat6Diagrama">
    <w:name w:val="Antraštė 6 Diagrama"/>
    <w:link w:val="Antrat6"/>
    <w:uiPriority w:val="99"/>
    <w:rsid w:val="00E850F6"/>
    <w:rPr>
      <w:rFonts w:ascii="Times New Roman" w:eastAsia="Times New Roman" w:hAnsi="Times New Roman" w:cs="Times New Roman"/>
      <w:b/>
      <w:bCs/>
      <w:lang w:eastAsia="ja-JP"/>
    </w:rPr>
  </w:style>
  <w:style w:type="numbering" w:customStyle="1" w:styleId="Sraonra1">
    <w:name w:val="Sąrašo nėra1"/>
    <w:next w:val="Sraonra"/>
    <w:uiPriority w:val="99"/>
    <w:semiHidden/>
    <w:unhideWhenUsed/>
    <w:rsid w:val="00E850F6"/>
  </w:style>
  <w:style w:type="numbering" w:customStyle="1" w:styleId="Sraonra11">
    <w:name w:val="Sąrašo nėra11"/>
    <w:next w:val="Sraonra"/>
    <w:uiPriority w:val="99"/>
    <w:semiHidden/>
    <w:unhideWhenUsed/>
    <w:rsid w:val="00E850F6"/>
  </w:style>
  <w:style w:type="character" w:styleId="Hipersaitas">
    <w:name w:val="Hyperlink"/>
    <w:uiPriority w:val="99"/>
    <w:rsid w:val="00E850F6"/>
    <w:rPr>
      <w:rFonts w:cs="Times New Roman"/>
      <w:color w:val="0000FF"/>
      <w:u w:val="single"/>
    </w:rPr>
  </w:style>
  <w:style w:type="paragraph" w:styleId="Antrats">
    <w:name w:val="header"/>
    <w:basedOn w:val="prastasis"/>
    <w:link w:val="AntratsDiagrama"/>
    <w:uiPriority w:val="99"/>
    <w:rsid w:val="00E850F6"/>
    <w:pPr>
      <w:tabs>
        <w:tab w:val="center" w:pos="4819"/>
        <w:tab w:val="right" w:pos="9638"/>
      </w:tabs>
      <w:spacing w:after="0" w:line="240" w:lineRule="auto"/>
    </w:pPr>
    <w:rPr>
      <w:rFonts w:ascii="Times New Roman" w:eastAsia="Times New Roman" w:hAnsi="Times New Roman"/>
      <w:sz w:val="24"/>
      <w:szCs w:val="20"/>
      <w:lang w:eastAsia="ja-JP"/>
    </w:rPr>
  </w:style>
  <w:style w:type="character" w:customStyle="1" w:styleId="AntratsDiagrama">
    <w:name w:val="Antraštės Diagrama"/>
    <w:link w:val="Antrats"/>
    <w:uiPriority w:val="99"/>
    <w:rsid w:val="00E850F6"/>
    <w:rPr>
      <w:rFonts w:ascii="Times New Roman" w:eastAsia="Times New Roman" w:hAnsi="Times New Roman" w:cs="Times New Roman"/>
      <w:sz w:val="24"/>
      <w:szCs w:val="20"/>
      <w:lang w:eastAsia="ja-JP"/>
    </w:rPr>
  </w:style>
  <w:style w:type="paragraph" w:styleId="Porat">
    <w:name w:val="footer"/>
    <w:basedOn w:val="prastasis"/>
    <w:link w:val="PoratDiagrama"/>
    <w:uiPriority w:val="99"/>
    <w:rsid w:val="00E850F6"/>
    <w:pPr>
      <w:tabs>
        <w:tab w:val="center" w:pos="4153"/>
        <w:tab w:val="right" w:pos="8306"/>
      </w:tabs>
      <w:spacing w:after="0" w:line="240" w:lineRule="auto"/>
    </w:pPr>
    <w:rPr>
      <w:rFonts w:ascii="Times New Roman" w:eastAsia="Times New Roman" w:hAnsi="Times New Roman"/>
      <w:sz w:val="24"/>
      <w:szCs w:val="20"/>
      <w:lang w:eastAsia="ja-JP"/>
    </w:rPr>
  </w:style>
  <w:style w:type="character" w:customStyle="1" w:styleId="PoratDiagrama">
    <w:name w:val="Poraštė Diagrama"/>
    <w:link w:val="Porat"/>
    <w:uiPriority w:val="99"/>
    <w:rsid w:val="00E850F6"/>
    <w:rPr>
      <w:rFonts w:ascii="Times New Roman" w:eastAsia="Times New Roman" w:hAnsi="Times New Roman" w:cs="Times New Roman"/>
      <w:sz w:val="24"/>
      <w:szCs w:val="20"/>
      <w:lang w:eastAsia="ja-JP"/>
    </w:rPr>
  </w:style>
  <w:style w:type="paragraph" w:styleId="Dokumentoinaostekstas">
    <w:name w:val="endnote text"/>
    <w:basedOn w:val="prastasis"/>
    <w:next w:val="prastasis"/>
    <w:link w:val="DokumentoinaostekstasDiagrama"/>
    <w:uiPriority w:val="99"/>
    <w:semiHidden/>
    <w:rsid w:val="00E850F6"/>
    <w:pPr>
      <w:spacing w:after="0" w:line="240" w:lineRule="auto"/>
    </w:pPr>
    <w:rPr>
      <w:rFonts w:ascii="Times New Roman" w:eastAsia="Times New Roman" w:hAnsi="Times New Roman"/>
      <w:szCs w:val="20"/>
      <w:lang w:eastAsia="ja-JP"/>
    </w:rPr>
  </w:style>
  <w:style w:type="character" w:customStyle="1" w:styleId="DokumentoinaostekstasDiagrama">
    <w:name w:val="Dokumento išnašos tekstas Diagrama"/>
    <w:link w:val="Dokumentoinaostekstas"/>
    <w:uiPriority w:val="99"/>
    <w:semiHidden/>
    <w:rsid w:val="00E850F6"/>
    <w:rPr>
      <w:rFonts w:ascii="Times New Roman" w:eastAsia="Times New Roman" w:hAnsi="Times New Roman" w:cs="Times New Roman"/>
      <w:szCs w:val="20"/>
      <w:lang w:eastAsia="ja-JP"/>
    </w:rPr>
  </w:style>
  <w:style w:type="paragraph" w:styleId="Pagrindinistekstas">
    <w:name w:val="Body Text"/>
    <w:basedOn w:val="prastasis"/>
    <w:link w:val="PagrindinistekstasDiagrama"/>
    <w:uiPriority w:val="99"/>
    <w:rsid w:val="00E850F6"/>
    <w:pPr>
      <w:spacing w:after="0" w:line="240" w:lineRule="auto"/>
    </w:pPr>
    <w:rPr>
      <w:rFonts w:ascii="Times New Roman" w:eastAsia="Times New Roman" w:hAnsi="Times New Roman"/>
      <w:b/>
      <w:i/>
      <w:szCs w:val="20"/>
      <w:lang w:eastAsia="ja-JP"/>
    </w:rPr>
  </w:style>
  <w:style w:type="character" w:customStyle="1" w:styleId="PagrindinistekstasDiagrama">
    <w:name w:val="Pagrindinis tekstas Diagrama"/>
    <w:link w:val="Pagrindinistekstas"/>
    <w:uiPriority w:val="99"/>
    <w:rsid w:val="00E850F6"/>
    <w:rPr>
      <w:rFonts w:ascii="Times New Roman" w:eastAsia="Times New Roman" w:hAnsi="Times New Roman" w:cs="Times New Roman"/>
      <w:b/>
      <w:i/>
      <w:szCs w:val="20"/>
      <w:lang w:eastAsia="ja-JP"/>
    </w:rPr>
  </w:style>
  <w:style w:type="paragraph" w:styleId="Pagrindinistekstas2">
    <w:name w:val="Body Text 2"/>
    <w:basedOn w:val="prastasis"/>
    <w:link w:val="Pagrindinistekstas2Diagrama"/>
    <w:uiPriority w:val="99"/>
    <w:rsid w:val="00E850F6"/>
    <w:pPr>
      <w:spacing w:after="120" w:line="480" w:lineRule="auto"/>
    </w:pPr>
    <w:rPr>
      <w:rFonts w:ascii="Times New Roman" w:eastAsia="Times New Roman" w:hAnsi="Times New Roman"/>
      <w:sz w:val="24"/>
      <w:szCs w:val="20"/>
      <w:lang w:eastAsia="ja-JP"/>
    </w:rPr>
  </w:style>
  <w:style w:type="character" w:customStyle="1" w:styleId="Pagrindinistekstas2Diagrama">
    <w:name w:val="Pagrindinis tekstas 2 Diagrama"/>
    <w:link w:val="Pagrindinistekstas2"/>
    <w:uiPriority w:val="99"/>
    <w:rsid w:val="00E850F6"/>
    <w:rPr>
      <w:rFonts w:ascii="Times New Roman" w:eastAsia="Times New Roman" w:hAnsi="Times New Roman" w:cs="Times New Roman"/>
      <w:sz w:val="24"/>
      <w:szCs w:val="20"/>
      <w:lang w:eastAsia="ja-JP"/>
    </w:rPr>
  </w:style>
  <w:style w:type="paragraph" w:styleId="Pagrindinistekstas3">
    <w:name w:val="Body Text 3"/>
    <w:basedOn w:val="prastasis"/>
    <w:link w:val="Pagrindinistekstas3Diagrama"/>
    <w:uiPriority w:val="99"/>
    <w:rsid w:val="00E850F6"/>
    <w:pPr>
      <w:spacing w:after="0" w:line="240" w:lineRule="auto"/>
      <w:jc w:val="both"/>
    </w:pPr>
    <w:rPr>
      <w:rFonts w:ascii="Times New Roman" w:eastAsia="Times New Roman" w:hAnsi="Times New Roman"/>
      <w:b/>
      <w:i/>
      <w:szCs w:val="20"/>
      <w:lang w:eastAsia="ja-JP"/>
    </w:rPr>
  </w:style>
  <w:style w:type="character" w:customStyle="1" w:styleId="Pagrindinistekstas3Diagrama">
    <w:name w:val="Pagrindinis tekstas 3 Diagrama"/>
    <w:link w:val="Pagrindinistekstas3"/>
    <w:uiPriority w:val="99"/>
    <w:rsid w:val="00E850F6"/>
    <w:rPr>
      <w:rFonts w:ascii="Times New Roman" w:eastAsia="Times New Roman" w:hAnsi="Times New Roman" w:cs="Times New Roman"/>
      <w:b/>
      <w:i/>
      <w:szCs w:val="20"/>
      <w:lang w:eastAsia="ja-JP"/>
    </w:rPr>
  </w:style>
  <w:style w:type="paragraph" w:customStyle="1" w:styleId="Text">
    <w:name w:val="Text"/>
    <w:uiPriority w:val="99"/>
    <w:rsid w:val="00E850F6"/>
    <w:pPr>
      <w:suppressAutoHyphens/>
    </w:pPr>
    <w:rPr>
      <w:rFonts w:ascii="Arial" w:eastAsia="Times New Roman" w:hAnsi="Arial"/>
      <w:lang w:val="en-GB" w:eastAsia="ja-JP"/>
    </w:rPr>
  </w:style>
  <w:style w:type="character" w:customStyle="1" w:styleId="BTEMEASMCACharChar">
    <w:name w:val="BT EMEA_SMCA Char Char"/>
    <w:link w:val="BTEMEASMCAChar"/>
    <w:uiPriority w:val="99"/>
    <w:locked/>
    <w:rsid w:val="00E850F6"/>
    <w:rPr>
      <w:noProof/>
    </w:rPr>
  </w:style>
  <w:style w:type="paragraph" w:customStyle="1" w:styleId="BTEMEASMCAChar">
    <w:name w:val="BT EMEA_SMCA Char"/>
    <w:basedOn w:val="prastasis"/>
    <w:link w:val="BTEMEASMCACharChar"/>
    <w:autoRedefine/>
    <w:uiPriority w:val="99"/>
    <w:rsid w:val="00E850F6"/>
    <w:pPr>
      <w:spacing w:after="0" w:line="240" w:lineRule="auto"/>
    </w:pPr>
    <w:rPr>
      <w:noProof/>
    </w:rPr>
  </w:style>
  <w:style w:type="character" w:customStyle="1" w:styleId="PI-1labEMEASMCACharChar">
    <w:name w:val="PI-1_lab EMEA_SMCA Char Char"/>
    <w:link w:val="PI-1labEMEASMCAChar"/>
    <w:uiPriority w:val="99"/>
    <w:locked/>
    <w:rsid w:val="00E850F6"/>
    <w:rPr>
      <w:b/>
      <w:noProof/>
    </w:rPr>
  </w:style>
  <w:style w:type="paragraph" w:customStyle="1" w:styleId="PI-1labEMEASMCAChar">
    <w:name w:val="PI-1_lab EMEA_SMCA Char"/>
    <w:basedOn w:val="prastasis"/>
    <w:link w:val="PI-1labEMEASMCACharChar"/>
    <w:autoRedefine/>
    <w:uiPriority w:val="99"/>
    <w:rsid w:val="00E850F6"/>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paragraph" w:customStyle="1" w:styleId="BTEMEASMCA">
    <w:name w:val="BT EMEA_SMCA"/>
    <w:basedOn w:val="prastasis"/>
    <w:autoRedefine/>
    <w:uiPriority w:val="99"/>
    <w:rsid w:val="00E850F6"/>
    <w:pPr>
      <w:spacing w:after="0" w:line="240" w:lineRule="auto"/>
    </w:pPr>
    <w:rPr>
      <w:rFonts w:ascii="Times New Roman" w:eastAsia="Times New Roman" w:hAnsi="Times New Roman"/>
      <w:noProof/>
      <w:lang w:eastAsia="en-US"/>
    </w:rPr>
  </w:style>
  <w:style w:type="paragraph" w:customStyle="1" w:styleId="PI-3EMEASMCA">
    <w:name w:val="PI-3 EMEA_SMCA"/>
    <w:basedOn w:val="prastasis"/>
    <w:autoRedefine/>
    <w:uiPriority w:val="99"/>
    <w:rsid w:val="00E850F6"/>
    <w:pPr>
      <w:spacing w:after="0" w:line="220" w:lineRule="exact"/>
    </w:pPr>
    <w:rPr>
      <w:rFonts w:ascii="Times New Roman" w:eastAsia="Times New Roman" w:hAnsi="Times New Roman"/>
      <w:b/>
      <w:bCs/>
      <w:noProof/>
      <w:lang w:eastAsia="en-US"/>
    </w:rPr>
  </w:style>
  <w:style w:type="paragraph" w:customStyle="1" w:styleId="BT-EMEASMCA">
    <w:name w:val="BT- EMEA_SMCA"/>
    <w:basedOn w:val="BTEMEASMCA"/>
    <w:autoRedefine/>
    <w:uiPriority w:val="99"/>
    <w:rsid w:val="00E850F6"/>
    <w:rPr>
      <w:b/>
      <w:bCs/>
    </w:rPr>
  </w:style>
  <w:style w:type="paragraph" w:customStyle="1" w:styleId="TextTi10">
    <w:name w:val="Text:Ti10"/>
    <w:basedOn w:val="prastasis"/>
    <w:link w:val="TextTi10Char"/>
    <w:uiPriority w:val="99"/>
    <w:rsid w:val="00E850F6"/>
    <w:pPr>
      <w:spacing w:after="0" w:line="240" w:lineRule="auto"/>
    </w:pPr>
    <w:rPr>
      <w:rFonts w:ascii="Times New Roman" w:hAnsi="Times New Roman"/>
      <w:sz w:val="20"/>
      <w:szCs w:val="20"/>
      <w:lang w:eastAsia="ja-JP"/>
    </w:rPr>
  </w:style>
  <w:style w:type="character" w:customStyle="1" w:styleId="TextTi10Char">
    <w:name w:val="Text:Ti10 Char"/>
    <w:link w:val="TextTi10"/>
    <w:uiPriority w:val="99"/>
    <w:locked/>
    <w:rsid w:val="00E850F6"/>
    <w:rPr>
      <w:rFonts w:ascii="Times New Roman" w:eastAsia="Calibri" w:hAnsi="Times New Roman" w:cs="Times New Roman"/>
      <w:sz w:val="20"/>
      <w:szCs w:val="20"/>
      <w:lang w:eastAsia="ja-JP"/>
    </w:rPr>
  </w:style>
  <w:style w:type="character" w:styleId="Puslapionumeris">
    <w:name w:val="page number"/>
    <w:uiPriority w:val="99"/>
    <w:rsid w:val="00E850F6"/>
    <w:rPr>
      <w:rFonts w:cs="Times New Roman"/>
    </w:rPr>
  </w:style>
  <w:style w:type="table" w:styleId="Lentelstinklelis">
    <w:name w:val="Table Grid"/>
    <w:basedOn w:val="prastojilentel"/>
    <w:uiPriority w:val="99"/>
    <w:rsid w:val="00E850F6"/>
    <w:pPr>
      <w:spacing w:line="28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E850F6"/>
    <w:rPr>
      <w:rFonts w:cs="Times New Roman"/>
      <w:sz w:val="16"/>
    </w:rPr>
  </w:style>
  <w:style w:type="paragraph" w:styleId="Komentarotekstas">
    <w:name w:val="annotation text"/>
    <w:basedOn w:val="prastasis"/>
    <w:link w:val="KomentarotekstasDiagrama"/>
    <w:uiPriority w:val="99"/>
    <w:semiHidden/>
    <w:rsid w:val="00E850F6"/>
    <w:pPr>
      <w:spacing w:after="0" w:line="240" w:lineRule="auto"/>
    </w:pPr>
    <w:rPr>
      <w:rFonts w:ascii="Times New Roman" w:eastAsia="Times New Roman" w:hAnsi="Times New Roman"/>
      <w:sz w:val="20"/>
      <w:szCs w:val="20"/>
      <w:lang w:eastAsia="ja-JP"/>
    </w:rPr>
  </w:style>
  <w:style w:type="character" w:customStyle="1" w:styleId="KomentarotekstasDiagrama">
    <w:name w:val="Komentaro tekstas Diagrama"/>
    <w:link w:val="Komentarotekstas"/>
    <w:uiPriority w:val="99"/>
    <w:semiHidden/>
    <w:rsid w:val="00E850F6"/>
    <w:rPr>
      <w:rFonts w:ascii="Times New Roman" w:eastAsia="Times New Roman" w:hAnsi="Times New Roman" w:cs="Times New Roman"/>
      <w:sz w:val="20"/>
      <w:szCs w:val="20"/>
      <w:lang w:eastAsia="ja-JP"/>
    </w:rPr>
  </w:style>
  <w:style w:type="paragraph" w:styleId="Komentarotema">
    <w:name w:val="annotation subject"/>
    <w:basedOn w:val="Komentarotekstas"/>
    <w:next w:val="Komentarotekstas"/>
    <w:link w:val="KomentarotemaDiagrama"/>
    <w:uiPriority w:val="99"/>
    <w:semiHidden/>
    <w:rsid w:val="00E850F6"/>
    <w:rPr>
      <w:b/>
      <w:bCs/>
    </w:rPr>
  </w:style>
  <w:style w:type="character" w:customStyle="1" w:styleId="KomentarotemaDiagrama">
    <w:name w:val="Komentaro tema Diagrama"/>
    <w:link w:val="Komentarotema"/>
    <w:uiPriority w:val="99"/>
    <w:semiHidden/>
    <w:rsid w:val="00E850F6"/>
    <w:rPr>
      <w:rFonts w:ascii="Times New Roman" w:eastAsia="Times New Roman" w:hAnsi="Times New Roman" w:cs="Times New Roman"/>
      <w:b/>
      <w:bCs/>
      <w:sz w:val="20"/>
      <w:szCs w:val="20"/>
      <w:lang w:eastAsia="ja-JP"/>
    </w:rPr>
  </w:style>
  <w:style w:type="paragraph" w:styleId="Sraopastraipa">
    <w:name w:val="List Paragraph"/>
    <w:basedOn w:val="prastasis"/>
    <w:uiPriority w:val="34"/>
    <w:qFormat/>
    <w:rsid w:val="00E850F6"/>
    <w:pPr>
      <w:ind w:left="720"/>
      <w:contextualSpacing/>
    </w:pPr>
  </w:style>
  <w:style w:type="paragraph" w:styleId="Betarp">
    <w:name w:val="No Spacing"/>
    <w:uiPriority w:val="1"/>
    <w:qFormat/>
    <w:rsid w:val="00E850F6"/>
    <w:rPr>
      <w:sz w:val="22"/>
      <w:szCs w:val="22"/>
    </w:rPr>
  </w:style>
  <w:style w:type="paragraph" w:customStyle="1" w:styleId="Default">
    <w:name w:val="Default"/>
    <w:rsid w:val="00E850F6"/>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6722C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569001">
      <w:bodyDiv w:val="1"/>
      <w:marLeft w:val="0"/>
      <w:marRight w:val="0"/>
      <w:marTop w:val="0"/>
      <w:marBottom w:val="0"/>
      <w:divBdr>
        <w:top w:val="none" w:sz="0" w:space="0" w:color="auto"/>
        <w:left w:val="none" w:sz="0" w:space="0" w:color="auto"/>
        <w:bottom w:val="none" w:sz="0" w:space="0" w:color="auto"/>
        <w:right w:val="none" w:sz="0" w:space="0" w:color="auto"/>
      </w:divBdr>
    </w:div>
    <w:div w:id="1637491207">
      <w:bodyDiv w:val="1"/>
      <w:marLeft w:val="0"/>
      <w:marRight w:val="0"/>
      <w:marTop w:val="0"/>
      <w:marBottom w:val="0"/>
      <w:divBdr>
        <w:top w:val="none" w:sz="0" w:space="0" w:color="auto"/>
        <w:left w:val="none" w:sz="0" w:space="0" w:color="auto"/>
        <w:bottom w:val="none" w:sz="0" w:space="0" w:color="auto"/>
        <w:right w:val="none" w:sz="0" w:space="0" w:color="auto"/>
      </w:divBdr>
    </w:div>
    <w:div w:id="1707018992">
      <w:bodyDiv w:val="1"/>
      <w:marLeft w:val="0"/>
      <w:marRight w:val="0"/>
      <w:marTop w:val="0"/>
      <w:marBottom w:val="0"/>
      <w:divBdr>
        <w:top w:val="none" w:sz="0" w:space="0" w:color="auto"/>
        <w:left w:val="none" w:sz="0" w:space="0" w:color="auto"/>
        <w:bottom w:val="none" w:sz="0" w:space="0" w:color="auto"/>
        <w:right w:val="none" w:sz="0" w:space="0" w:color="auto"/>
      </w:divBdr>
      <w:divsChild>
        <w:div w:id="1697929405">
          <w:marLeft w:val="0"/>
          <w:marRight w:val="0"/>
          <w:marTop w:val="0"/>
          <w:marBottom w:val="0"/>
          <w:divBdr>
            <w:top w:val="none" w:sz="0" w:space="0" w:color="auto"/>
            <w:left w:val="none" w:sz="0" w:space="0" w:color="auto"/>
            <w:bottom w:val="none" w:sz="0" w:space="0" w:color="auto"/>
            <w:right w:val="none" w:sz="0" w:space="0" w:color="auto"/>
          </w:divBdr>
          <w:divsChild>
            <w:div w:id="909852222">
              <w:marLeft w:val="0"/>
              <w:marRight w:val="0"/>
              <w:marTop w:val="0"/>
              <w:marBottom w:val="0"/>
              <w:divBdr>
                <w:top w:val="none" w:sz="0" w:space="0" w:color="auto"/>
                <w:left w:val="none" w:sz="0" w:space="0" w:color="auto"/>
                <w:bottom w:val="none" w:sz="0" w:space="0" w:color="auto"/>
                <w:right w:val="none" w:sz="0" w:space="0" w:color="auto"/>
              </w:divBdr>
              <w:divsChild>
                <w:div w:id="1047871821">
                  <w:marLeft w:val="0"/>
                  <w:marRight w:val="0"/>
                  <w:marTop w:val="0"/>
                  <w:marBottom w:val="0"/>
                  <w:divBdr>
                    <w:top w:val="none" w:sz="0" w:space="0" w:color="auto"/>
                    <w:left w:val="none" w:sz="0" w:space="0" w:color="auto"/>
                    <w:bottom w:val="none" w:sz="0" w:space="0" w:color="auto"/>
                    <w:right w:val="none" w:sz="0" w:space="0" w:color="auto"/>
                  </w:divBdr>
                  <w:divsChild>
                    <w:div w:id="291253102">
                      <w:marLeft w:val="0"/>
                      <w:marRight w:val="0"/>
                      <w:marTop w:val="0"/>
                      <w:marBottom w:val="0"/>
                      <w:divBdr>
                        <w:top w:val="none" w:sz="0" w:space="0" w:color="auto"/>
                        <w:left w:val="none" w:sz="0" w:space="0" w:color="auto"/>
                        <w:bottom w:val="none" w:sz="0" w:space="0" w:color="auto"/>
                        <w:right w:val="none" w:sz="0" w:space="0" w:color="auto"/>
                      </w:divBdr>
                      <w:divsChild>
                        <w:div w:id="1252274577">
                          <w:marLeft w:val="0"/>
                          <w:marRight w:val="0"/>
                          <w:marTop w:val="0"/>
                          <w:marBottom w:val="0"/>
                          <w:divBdr>
                            <w:top w:val="none" w:sz="0" w:space="0" w:color="auto"/>
                            <w:left w:val="none" w:sz="0" w:space="0" w:color="auto"/>
                            <w:bottom w:val="none" w:sz="0" w:space="0" w:color="auto"/>
                            <w:right w:val="none" w:sz="0" w:space="0" w:color="auto"/>
                          </w:divBdr>
                          <w:divsChild>
                            <w:div w:id="13581051">
                              <w:marLeft w:val="2700"/>
                              <w:marRight w:val="3960"/>
                              <w:marTop w:val="0"/>
                              <w:marBottom w:val="0"/>
                              <w:divBdr>
                                <w:top w:val="none" w:sz="0" w:space="0" w:color="auto"/>
                                <w:left w:val="none" w:sz="0" w:space="0" w:color="auto"/>
                                <w:bottom w:val="none" w:sz="0" w:space="0" w:color="auto"/>
                                <w:right w:val="none" w:sz="0" w:space="0" w:color="auto"/>
                              </w:divBdr>
                              <w:divsChild>
                                <w:div w:id="201141234">
                                  <w:marLeft w:val="0"/>
                                  <w:marRight w:val="0"/>
                                  <w:marTop w:val="0"/>
                                  <w:marBottom w:val="0"/>
                                  <w:divBdr>
                                    <w:top w:val="none" w:sz="0" w:space="0" w:color="auto"/>
                                    <w:left w:val="none" w:sz="0" w:space="0" w:color="auto"/>
                                    <w:bottom w:val="none" w:sz="0" w:space="0" w:color="auto"/>
                                    <w:right w:val="none" w:sz="0" w:space="0" w:color="auto"/>
                                  </w:divBdr>
                                  <w:divsChild>
                                    <w:div w:id="1187597331">
                                      <w:marLeft w:val="0"/>
                                      <w:marRight w:val="0"/>
                                      <w:marTop w:val="0"/>
                                      <w:marBottom w:val="0"/>
                                      <w:divBdr>
                                        <w:top w:val="none" w:sz="0" w:space="0" w:color="auto"/>
                                        <w:left w:val="none" w:sz="0" w:space="0" w:color="auto"/>
                                        <w:bottom w:val="none" w:sz="0" w:space="0" w:color="auto"/>
                                        <w:right w:val="none" w:sz="0" w:space="0" w:color="auto"/>
                                      </w:divBdr>
                                      <w:divsChild>
                                        <w:div w:id="722295346">
                                          <w:marLeft w:val="0"/>
                                          <w:marRight w:val="0"/>
                                          <w:marTop w:val="0"/>
                                          <w:marBottom w:val="0"/>
                                          <w:divBdr>
                                            <w:top w:val="none" w:sz="0" w:space="0" w:color="auto"/>
                                            <w:left w:val="none" w:sz="0" w:space="0" w:color="auto"/>
                                            <w:bottom w:val="none" w:sz="0" w:space="0" w:color="auto"/>
                                            <w:right w:val="none" w:sz="0" w:space="0" w:color="auto"/>
                                          </w:divBdr>
                                          <w:divsChild>
                                            <w:div w:id="1374962947">
                                              <w:marLeft w:val="0"/>
                                              <w:marRight w:val="0"/>
                                              <w:marTop w:val="90"/>
                                              <w:marBottom w:val="0"/>
                                              <w:divBdr>
                                                <w:top w:val="none" w:sz="0" w:space="0" w:color="auto"/>
                                                <w:left w:val="none" w:sz="0" w:space="0" w:color="auto"/>
                                                <w:bottom w:val="none" w:sz="0" w:space="0" w:color="auto"/>
                                                <w:right w:val="none" w:sz="0" w:space="0" w:color="auto"/>
                                              </w:divBdr>
                                              <w:divsChild>
                                                <w:div w:id="1527988701">
                                                  <w:marLeft w:val="0"/>
                                                  <w:marRight w:val="0"/>
                                                  <w:marTop w:val="0"/>
                                                  <w:marBottom w:val="420"/>
                                                  <w:divBdr>
                                                    <w:top w:val="none" w:sz="0" w:space="0" w:color="auto"/>
                                                    <w:left w:val="none" w:sz="0" w:space="0" w:color="auto"/>
                                                    <w:bottom w:val="none" w:sz="0" w:space="0" w:color="auto"/>
                                                    <w:right w:val="none" w:sz="0" w:space="0" w:color="auto"/>
                                                  </w:divBdr>
                                                  <w:divsChild>
                                                    <w:div w:id="1207791763">
                                                      <w:marLeft w:val="0"/>
                                                      <w:marRight w:val="0"/>
                                                      <w:marTop w:val="0"/>
                                                      <w:marBottom w:val="0"/>
                                                      <w:divBdr>
                                                        <w:top w:val="none" w:sz="0" w:space="0" w:color="auto"/>
                                                        <w:left w:val="none" w:sz="0" w:space="0" w:color="auto"/>
                                                        <w:bottom w:val="none" w:sz="0" w:space="0" w:color="auto"/>
                                                        <w:right w:val="none" w:sz="0" w:space="0" w:color="auto"/>
                                                      </w:divBdr>
                                                      <w:divsChild>
                                                        <w:div w:id="506558978">
                                                          <w:marLeft w:val="0"/>
                                                          <w:marRight w:val="0"/>
                                                          <w:marTop w:val="0"/>
                                                          <w:marBottom w:val="0"/>
                                                          <w:divBdr>
                                                            <w:top w:val="single" w:sz="6" w:space="0" w:color="DFE1E5"/>
                                                            <w:left w:val="single" w:sz="6" w:space="0" w:color="DFE1E5"/>
                                                            <w:bottom w:val="single" w:sz="6" w:space="0" w:color="DFE1E5"/>
                                                            <w:right w:val="single" w:sz="6" w:space="0" w:color="DFE1E5"/>
                                                          </w:divBdr>
                                                          <w:divsChild>
                                                            <w:div w:id="1197278920">
                                                              <w:marLeft w:val="0"/>
                                                              <w:marRight w:val="0"/>
                                                              <w:marTop w:val="0"/>
                                                              <w:marBottom w:val="0"/>
                                                              <w:divBdr>
                                                                <w:top w:val="none" w:sz="0" w:space="0" w:color="auto"/>
                                                                <w:left w:val="none" w:sz="0" w:space="0" w:color="auto"/>
                                                                <w:bottom w:val="none" w:sz="0" w:space="0" w:color="auto"/>
                                                                <w:right w:val="none" w:sz="0" w:space="0" w:color="auto"/>
                                                              </w:divBdr>
                                                              <w:divsChild>
                                                                <w:div w:id="1457528315">
                                                                  <w:marLeft w:val="0"/>
                                                                  <w:marRight w:val="0"/>
                                                                  <w:marTop w:val="0"/>
                                                                  <w:marBottom w:val="0"/>
                                                                  <w:divBdr>
                                                                    <w:top w:val="none" w:sz="0" w:space="0" w:color="auto"/>
                                                                    <w:left w:val="none" w:sz="0" w:space="0" w:color="auto"/>
                                                                    <w:bottom w:val="none" w:sz="0" w:space="0" w:color="auto"/>
                                                                    <w:right w:val="none" w:sz="0" w:space="0" w:color="auto"/>
                                                                  </w:divBdr>
                                                                  <w:divsChild>
                                                                    <w:div w:id="1283346523">
                                                                      <w:marLeft w:val="0"/>
                                                                      <w:marRight w:val="0"/>
                                                                      <w:marTop w:val="0"/>
                                                                      <w:marBottom w:val="0"/>
                                                                      <w:divBdr>
                                                                        <w:top w:val="none" w:sz="0" w:space="0" w:color="auto"/>
                                                                        <w:left w:val="none" w:sz="0" w:space="0" w:color="auto"/>
                                                                        <w:bottom w:val="none" w:sz="0" w:space="0" w:color="auto"/>
                                                                        <w:right w:val="none" w:sz="0" w:space="0" w:color="auto"/>
                                                                      </w:divBdr>
                                                                      <w:divsChild>
                                                                        <w:div w:id="2115586325">
                                                                          <w:marLeft w:val="0"/>
                                                                          <w:marRight w:val="0"/>
                                                                          <w:marTop w:val="0"/>
                                                                          <w:marBottom w:val="0"/>
                                                                          <w:divBdr>
                                                                            <w:top w:val="none" w:sz="0" w:space="0" w:color="auto"/>
                                                                            <w:left w:val="none" w:sz="0" w:space="0" w:color="auto"/>
                                                                            <w:bottom w:val="none" w:sz="0" w:space="0" w:color="auto"/>
                                                                            <w:right w:val="none" w:sz="0" w:space="0" w:color="auto"/>
                                                                          </w:divBdr>
                                                                          <w:divsChild>
                                                                            <w:div w:id="1295602483">
                                                                              <w:marLeft w:val="0"/>
                                                                              <w:marRight w:val="0"/>
                                                                              <w:marTop w:val="0"/>
                                                                              <w:marBottom w:val="0"/>
                                                                              <w:divBdr>
                                                                                <w:top w:val="none" w:sz="0" w:space="0" w:color="auto"/>
                                                                                <w:left w:val="none" w:sz="0" w:space="0" w:color="auto"/>
                                                                                <w:bottom w:val="none" w:sz="0" w:space="0" w:color="auto"/>
                                                                                <w:right w:val="none" w:sz="0" w:space="0" w:color="auto"/>
                                                                              </w:divBdr>
                                                                              <w:divsChild>
                                                                                <w:div w:id="1257205326">
                                                                                  <w:marLeft w:val="0"/>
                                                                                  <w:marRight w:val="0"/>
                                                                                  <w:marTop w:val="0"/>
                                                                                  <w:marBottom w:val="0"/>
                                                                                  <w:divBdr>
                                                                                    <w:top w:val="none" w:sz="0" w:space="0" w:color="auto"/>
                                                                                    <w:left w:val="none" w:sz="0" w:space="0" w:color="auto"/>
                                                                                    <w:bottom w:val="none" w:sz="0" w:space="0" w:color="auto"/>
                                                                                    <w:right w:val="none" w:sz="0" w:space="0" w:color="auto"/>
                                                                                  </w:divBdr>
                                                                                  <w:divsChild>
                                                                                    <w:div w:id="1993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53815</Words>
  <Characters>30675</Characters>
  <Application>Microsoft Office Word</Application>
  <DocSecurity>0</DocSecurity>
  <Lines>255</Lines>
  <Paragraphs>168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84322</CharactersWithSpaces>
  <SharedDoc>false</SharedDoc>
  <HLinks>
    <vt:vector size="12" baseType="variant">
      <vt:variant>
        <vt:i4>7077950</vt:i4>
      </vt:variant>
      <vt:variant>
        <vt:i4>6</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cp:lastPrinted>2021-03-04T06:50:00Z</cp:lastPrinted>
  <dcterms:created xsi:type="dcterms:W3CDTF">2022-09-09T08:25:00Z</dcterms:created>
  <dcterms:modified xsi:type="dcterms:W3CDTF">2022-09-09T08:26:00Z</dcterms:modified>
</cp:coreProperties>
</file>