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BD6" w:rsidRPr="00186A98" w:rsidRDefault="00AA5BD6" w:rsidP="00AA5BD6">
      <w:pPr>
        <w:rPr>
          <w:rFonts w:ascii="Times New Roman" w:hAnsi="Times New Roman"/>
          <w:sz w:val="22"/>
          <w:szCs w:val="22"/>
          <w:lang w:val="lt-LT"/>
        </w:rPr>
      </w:pPr>
    </w:p>
    <w:p w:rsidR="00AA5BD6" w:rsidRPr="00186A98" w:rsidRDefault="00AA5BD6" w:rsidP="00AA5BD6">
      <w:pPr>
        <w:rPr>
          <w:rFonts w:ascii="Times New Roman" w:hAnsi="Times New Roman"/>
          <w:sz w:val="22"/>
          <w:szCs w:val="22"/>
          <w:lang w:val="lt-LT"/>
        </w:rPr>
      </w:pPr>
    </w:p>
    <w:p w:rsidR="00AA5BD6" w:rsidRPr="00186A98" w:rsidRDefault="00AA5BD6" w:rsidP="00AA5BD6">
      <w:pPr>
        <w:rPr>
          <w:rFonts w:ascii="Times New Roman" w:hAnsi="Times New Roman"/>
          <w:sz w:val="22"/>
          <w:szCs w:val="22"/>
          <w:lang w:val="lt-LT"/>
        </w:rPr>
      </w:pPr>
    </w:p>
    <w:p w:rsidR="00AA5BD6" w:rsidRPr="00186A98" w:rsidRDefault="00AA5BD6" w:rsidP="00AA5BD6">
      <w:pPr>
        <w:rPr>
          <w:rFonts w:ascii="Times New Roman" w:hAnsi="Times New Roman"/>
          <w:sz w:val="22"/>
          <w:szCs w:val="22"/>
          <w:lang w:val="lt-LT"/>
        </w:rPr>
      </w:pPr>
    </w:p>
    <w:p w:rsidR="00AA5BD6" w:rsidRPr="00186A98" w:rsidRDefault="00AA5BD6" w:rsidP="00AA5BD6">
      <w:pPr>
        <w:rPr>
          <w:rFonts w:ascii="Times New Roman" w:hAnsi="Times New Roman"/>
          <w:sz w:val="22"/>
          <w:szCs w:val="22"/>
          <w:lang w:val="lt-LT"/>
        </w:rPr>
      </w:pPr>
    </w:p>
    <w:p w:rsidR="00AA5BD6" w:rsidRPr="00186A98" w:rsidRDefault="00AA5BD6" w:rsidP="00AA5BD6">
      <w:pPr>
        <w:rPr>
          <w:rFonts w:ascii="Times New Roman" w:hAnsi="Times New Roman"/>
          <w:sz w:val="22"/>
          <w:szCs w:val="22"/>
          <w:lang w:val="lt-LT"/>
        </w:rPr>
      </w:pPr>
    </w:p>
    <w:p w:rsidR="00AA5BD6" w:rsidRPr="00186A98" w:rsidRDefault="00AA5BD6" w:rsidP="00AA5BD6">
      <w:pPr>
        <w:rPr>
          <w:rFonts w:ascii="Times New Roman" w:hAnsi="Times New Roman"/>
          <w:sz w:val="22"/>
          <w:szCs w:val="22"/>
          <w:lang w:val="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jc w:val="center"/>
        <w:outlineLvl w:val="0"/>
        <w:rPr>
          <w:rFonts w:ascii="Times New Roman" w:hAnsi="Times New Roman"/>
          <w:b/>
          <w:kern w:val="28"/>
          <w:sz w:val="22"/>
          <w:szCs w:val="22"/>
          <w:lang w:val="lt-LT" w:eastAsia="lt-LT"/>
        </w:rPr>
      </w:pPr>
      <w:r w:rsidRPr="00186A98">
        <w:rPr>
          <w:rFonts w:ascii="Times New Roman" w:hAnsi="Times New Roman"/>
          <w:b/>
          <w:kern w:val="28"/>
          <w:sz w:val="22"/>
          <w:szCs w:val="22"/>
          <w:lang w:val="lt-LT" w:eastAsia="lt-LT"/>
        </w:rPr>
        <w:t>I PRIEDAS</w:t>
      </w:r>
    </w:p>
    <w:p w:rsidR="00E74DEC" w:rsidRPr="00186A98" w:rsidRDefault="00E74DEC" w:rsidP="00E74DEC">
      <w:pPr>
        <w:jc w:val="center"/>
        <w:rPr>
          <w:rFonts w:ascii="Times New Roman" w:hAnsi="Times New Roman"/>
          <w:sz w:val="22"/>
          <w:szCs w:val="22"/>
          <w:lang w:val="lt-LT" w:eastAsia="lt-LT"/>
        </w:rPr>
      </w:pPr>
    </w:p>
    <w:p w:rsidR="00E74DEC" w:rsidRPr="00186A98" w:rsidRDefault="00E74DEC" w:rsidP="00E74DEC">
      <w:pPr>
        <w:jc w:val="center"/>
        <w:outlineLvl w:val="0"/>
        <w:rPr>
          <w:rFonts w:ascii="Times New Roman" w:hAnsi="Times New Roman"/>
          <w:b/>
          <w:kern w:val="28"/>
          <w:sz w:val="22"/>
          <w:szCs w:val="22"/>
          <w:lang w:val="lt-LT" w:eastAsia="lt-LT"/>
        </w:rPr>
      </w:pPr>
      <w:r w:rsidRPr="00186A98">
        <w:rPr>
          <w:rFonts w:ascii="Times New Roman" w:hAnsi="Times New Roman"/>
          <w:b/>
          <w:kern w:val="28"/>
          <w:sz w:val="22"/>
          <w:szCs w:val="22"/>
          <w:lang w:val="lt-LT" w:eastAsia="lt-LT"/>
        </w:rPr>
        <w:t>PREPARATO CHARAKTERISTIKŲ SANTRAUKA</w:t>
      </w:r>
    </w:p>
    <w:p w:rsidR="00E74DEC" w:rsidRPr="00186A98" w:rsidRDefault="00E74DEC" w:rsidP="00E74DEC">
      <w:pPr>
        <w:jc w:val="center"/>
        <w:rPr>
          <w:rFonts w:ascii="Times New Roman" w:hAnsi="Times New Roman"/>
          <w:sz w:val="22"/>
          <w:szCs w:val="22"/>
          <w:lang w:val="lt-LT" w:eastAsia="lt-LT"/>
        </w:rPr>
      </w:pPr>
    </w:p>
    <w:p w:rsidR="00E74DEC" w:rsidRPr="00186A98" w:rsidRDefault="00E74DEC" w:rsidP="00E74DEC">
      <w:pPr>
        <w:tabs>
          <w:tab w:val="left" w:pos="567"/>
        </w:tabs>
        <w:jc w:val="both"/>
        <w:rPr>
          <w:rFonts w:ascii="Times New Roman" w:hAnsi="Times New Roman"/>
          <w:sz w:val="22"/>
          <w:szCs w:val="22"/>
          <w:lang w:val="lt-LT" w:eastAsia="lt-LT"/>
        </w:rPr>
      </w:pPr>
      <w:r w:rsidRPr="00186A98">
        <w:rPr>
          <w:rFonts w:ascii="Times New Roman" w:hAnsi="Times New Roman"/>
          <w:sz w:val="22"/>
          <w:szCs w:val="22"/>
          <w:lang w:val="lt-LT" w:eastAsia="lt-LT"/>
        </w:rPr>
        <w:br w:type="page"/>
      </w:r>
    </w:p>
    <w:p w:rsidR="00E74DEC" w:rsidRPr="00186A98" w:rsidRDefault="00E74DEC" w:rsidP="00186A98">
      <w:pPr>
        <w:ind w:left="567" w:hanging="567"/>
        <w:rPr>
          <w:rFonts w:ascii="Times New Roman" w:hAnsi="Times New Roman"/>
          <w:b/>
          <w:bCs/>
          <w:sz w:val="22"/>
          <w:szCs w:val="22"/>
          <w:lang w:val="lt-LT" w:eastAsia="lt-LT"/>
        </w:rPr>
      </w:pPr>
      <w:r w:rsidRPr="00186A98">
        <w:rPr>
          <w:rFonts w:ascii="Times New Roman" w:hAnsi="Times New Roman"/>
          <w:b/>
          <w:bCs/>
          <w:sz w:val="22"/>
          <w:szCs w:val="22"/>
          <w:lang w:val="lt-LT" w:eastAsia="lt-LT"/>
        </w:rPr>
        <w:lastRenderedPageBreak/>
        <w:t>1.</w:t>
      </w:r>
      <w:r w:rsidRPr="00186A98">
        <w:rPr>
          <w:rFonts w:ascii="Times New Roman" w:hAnsi="Times New Roman"/>
          <w:b/>
          <w:bCs/>
          <w:sz w:val="22"/>
          <w:szCs w:val="22"/>
          <w:lang w:val="lt-LT" w:eastAsia="lt-LT"/>
        </w:rPr>
        <w:tab/>
        <w:t>VAISTINIO PREPARATO PAVADINIMAS</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b/>
          <w:bCs/>
          <w:sz w:val="22"/>
          <w:szCs w:val="22"/>
          <w:lang w:val="lt-LT" w:eastAsia="lt-LT"/>
        </w:rPr>
      </w:pPr>
      <w:r w:rsidRPr="00186A98">
        <w:rPr>
          <w:rFonts w:ascii="Times New Roman" w:hAnsi="Times New Roman"/>
          <w:sz w:val="22"/>
          <w:szCs w:val="22"/>
          <w:lang w:val="lt-LT" w:eastAsia="lt-LT"/>
        </w:rPr>
        <w:t>CALUMID 150 mg plėvele dengtos tabletės</w:t>
      </w:r>
    </w:p>
    <w:p w:rsidR="00E74DEC" w:rsidRPr="00186A98" w:rsidRDefault="00E74DEC" w:rsidP="00E74DEC">
      <w:pPr>
        <w:rPr>
          <w:rFonts w:ascii="Times New Roman" w:hAnsi="Times New Roman"/>
          <w:b/>
          <w:bCs/>
          <w:sz w:val="22"/>
          <w:szCs w:val="22"/>
          <w:lang w:val="lt-LT" w:eastAsia="lt-LT"/>
        </w:rPr>
      </w:pPr>
    </w:p>
    <w:p w:rsidR="00E74DEC" w:rsidRPr="00186A98" w:rsidRDefault="00E74DEC" w:rsidP="00E74DEC">
      <w:pPr>
        <w:rPr>
          <w:rFonts w:ascii="Times New Roman" w:hAnsi="Times New Roman"/>
          <w:b/>
          <w:bCs/>
          <w:sz w:val="22"/>
          <w:szCs w:val="22"/>
          <w:lang w:val="lt-LT" w:eastAsia="lt-LT"/>
        </w:rPr>
      </w:pPr>
    </w:p>
    <w:p w:rsidR="00E74DEC" w:rsidRPr="00186A98" w:rsidRDefault="00E74DEC" w:rsidP="00186A98">
      <w:pPr>
        <w:ind w:left="567" w:hanging="567"/>
        <w:rPr>
          <w:rFonts w:ascii="Times New Roman" w:hAnsi="Times New Roman"/>
          <w:b/>
          <w:bCs/>
          <w:sz w:val="22"/>
          <w:szCs w:val="22"/>
          <w:lang w:val="lt-LT" w:eastAsia="lt-LT"/>
        </w:rPr>
      </w:pPr>
      <w:r w:rsidRPr="00186A98">
        <w:rPr>
          <w:rFonts w:ascii="Times New Roman" w:hAnsi="Times New Roman"/>
          <w:b/>
          <w:bCs/>
          <w:sz w:val="22"/>
          <w:szCs w:val="22"/>
          <w:lang w:val="lt-LT" w:eastAsia="lt-LT"/>
        </w:rPr>
        <w:t>2.</w:t>
      </w:r>
      <w:r w:rsidRPr="00186A98">
        <w:rPr>
          <w:rFonts w:ascii="Times New Roman" w:hAnsi="Times New Roman"/>
          <w:b/>
          <w:bCs/>
          <w:sz w:val="22"/>
          <w:szCs w:val="22"/>
          <w:lang w:val="lt-LT" w:eastAsia="lt-LT"/>
        </w:rPr>
        <w:tab/>
        <w:t>KOKYBINĖ IR KIEKYBINĖ SUDĖTIS</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Kiekvienoje tabletėje yra 150 mg bikalutamido.</w:t>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u w:val="single"/>
          <w:lang w:val="lt-LT" w:eastAsia="lt-LT"/>
        </w:rPr>
        <w:t>Pagalbinė medžiaga, kurios poveikis žinomas</w:t>
      </w:r>
      <w:r w:rsidRPr="00186A98">
        <w:rPr>
          <w:rFonts w:ascii="Times New Roman" w:hAnsi="Times New Roman"/>
          <w:sz w:val="22"/>
          <w:szCs w:val="22"/>
          <w:lang w:val="lt-LT" w:eastAsia="lt-LT"/>
        </w:rPr>
        <w:t>: kiekvienoje tabletėje yra 193,2 mg laktozės monohidrato.</w:t>
      </w:r>
    </w:p>
    <w:p w:rsidR="00E74DEC" w:rsidRPr="00186A98" w:rsidRDefault="00E74DEC" w:rsidP="00E74DEC">
      <w:pPr>
        <w:rPr>
          <w:rFonts w:ascii="Times New Roman" w:hAnsi="Times New Roman"/>
          <w:b/>
          <w:bCs/>
          <w:sz w:val="22"/>
          <w:szCs w:val="22"/>
          <w:lang w:val="lt-LT" w:eastAsia="lt-LT"/>
        </w:rPr>
      </w:pPr>
      <w:r w:rsidRPr="00186A98">
        <w:rPr>
          <w:rFonts w:ascii="Times New Roman" w:hAnsi="Times New Roman"/>
          <w:sz w:val="22"/>
          <w:szCs w:val="22"/>
          <w:lang w:val="lt-LT" w:eastAsia="lt-LT"/>
        </w:rPr>
        <w:t>Visos pagalbinės medžiagos išvardytos 6.1 skyriuje.</w:t>
      </w:r>
    </w:p>
    <w:p w:rsidR="00E74DEC" w:rsidRPr="00186A98" w:rsidRDefault="00E74DEC" w:rsidP="00E74DEC">
      <w:pPr>
        <w:rPr>
          <w:rFonts w:ascii="Times New Roman" w:hAnsi="Times New Roman"/>
          <w:b/>
          <w:bCs/>
          <w:sz w:val="22"/>
          <w:szCs w:val="22"/>
          <w:lang w:val="lt-LT" w:eastAsia="lt-LT"/>
        </w:rPr>
      </w:pPr>
    </w:p>
    <w:p w:rsidR="00E74DEC" w:rsidRPr="00186A98" w:rsidRDefault="00E74DEC" w:rsidP="00E74DEC">
      <w:pPr>
        <w:rPr>
          <w:rFonts w:ascii="Times New Roman" w:hAnsi="Times New Roman"/>
          <w:b/>
          <w:bCs/>
          <w:sz w:val="22"/>
          <w:szCs w:val="22"/>
          <w:lang w:val="lt-LT" w:eastAsia="lt-LT"/>
        </w:rPr>
      </w:pPr>
    </w:p>
    <w:p w:rsidR="00E74DEC" w:rsidRPr="00186A98" w:rsidRDefault="00E74DEC" w:rsidP="00186A98">
      <w:pPr>
        <w:ind w:left="567" w:hanging="567"/>
        <w:rPr>
          <w:rFonts w:ascii="Times New Roman" w:hAnsi="Times New Roman"/>
          <w:b/>
          <w:bCs/>
          <w:sz w:val="22"/>
          <w:szCs w:val="22"/>
          <w:lang w:val="lt-LT" w:eastAsia="lt-LT"/>
        </w:rPr>
      </w:pPr>
      <w:r w:rsidRPr="00186A98">
        <w:rPr>
          <w:rFonts w:ascii="Times New Roman" w:hAnsi="Times New Roman"/>
          <w:b/>
          <w:bCs/>
          <w:sz w:val="22"/>
          <w:szCs w:val="22"/>
          <w:lang w:val="lt-LT" w:eastAsia="lt-LT"/>
        </w:rPr>
        <w:t>3.</w:t>
      </w:r>
      <w:r w:rsidRPr="00186A98">
        <w:rPr>
          <w:rFonts w:ascii="Times New Roman" w:hAnsi="Times New Roman"/>
          <w:b/>
          <w:bCs/>
          <w:sz w:val="22"/>
          <w:szCs w:val="22"/>
          <w:lang w:val="lt-LT" w:eastAsia="lt-LT"/>
        </w:rPr>
        <w:tab/>
        <w:t>FARMACINĖ FORMA</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Plėvele dengta tabletė.</w:t>
      </w:r>
    </w:p>
    <w:p w:rsidR="00E74DEC" w:rsidRPr="00186A98" w:rsidRDefault="00E74DEC" w:rsidP="00E74DEC">
      <w:pPr>
        <w:rPr>
          <w:rFonts w:ascii="Times New Roman" w:hAnsi="Times New Roman"/>
          <w:b/>
          <w:bCs/>
          <w:sz w:val="22"/>
          <w:szCs w:val="22"/>
          <w:lang w:val="lt-LT" w:eastAsia="lt-LT"/>
        </w:rPr>
      </w:pPr>
      <w:r w:rsidRPr="00186A98">
        <w:rPr>
          <w:rFonts w:ascii="Times New Roman" w:hAnsi="Times New Roman"/>
          <w:sz w:val="22"/>
          <w:szCs w:val="22"/>
          <w:lang w:val="lt-LT" w:eastAsia="lt-LT"/>
        </w:rPr>
        <w:t xml:space="preserve">Baltos arba beveik baltos, apvalios, išgaubtos, plėvele dengtos tabletės, kurių vienoje pusėje yra įspaudas “XL”,  ir kitoje - “RG”. </w:t>
      </w:r>
    </w:p>
    <w:p w:rsidR="00E74DEC" w:rsidRPr="00186A98" w:rsidRDefault="00E74DEC" w:rsidP="00E74DEC">
      <w:pPr>
        <w:rPr>
          <w:rFonts w:ascii="Times New Roman" w:hAnsi="Times New Roman"/>
          <w:b/>
          <w:bCs/>
          <w:sz w:val="22"/>
          <w:szCs w:val="22"/>
          <w:lang w:val="lt-LT" w:eastAsia="lt-LT"/>
        </w:rPr>
      </w:pPr>
    </w:p>
    <w:p w:rsidR="00E74DEC" w:rsidRPr="00186A98" w:rsidRDefault="00E74DEC" w:rsidP="00E74DEC">
      <w:pPr>
        <w:rPr>
          <w:rFonts w:ascii="Times New Roman" w:hAnsi="Times New Roman"/>
          <w:b/>
          <w:bCs/>
          <w:sz w:val="22"/>
          <w:szCs w:val="22"/>
          <w:lang w:val="lt-LT" w:eastAsia="lt-LT"/>
        </w:rPr>
      </w:pPr>
    </w:p>
    <w:p w:rsidR="00E74DEC" w:rsidRPr="00186A98" w:rsidRDefault="00E74DEC" w:rsidP="00186A98">
      <w:pPr>
        <w:ind w:left="567" w:hanging="567"/>
        <w:rPr>
          <w:rFonts w:ascii="Times New Roman" w:hAnsi="Times New Roman"/>
          <w:b/>
          <w:bCs/>
          <w:sz w:val="22"/>
          <w:szCs w:val="22"/>
          <w:lang w:val="lt-LT" w:eastAsia="lt-LT"/>
        </w:rPr>
      </w:pPr>
      <w:r w:rsidRPr="00186A98">
        <w:rPr>
          <w:rFonts w:ascii="Times New Roman" w:hAnsi="Times New Roman"/>
          <w:b/>
          <w:bCs/>
          <w:sz w:val="22"/>
          <w:szCs w:val="22"/>
          <w:lang w:val="lt-LT" w:eastAsia="lt-LT"/>
        </w:rPr>
        <w:t>4.</w:t>
      </w:r>
      <w:r w:rsidRPr="00186A98">
        <w:rPr>
          <w:rFonts w:ascii="Times New Roman" w:hAnsi="Times New Roman"/>
          <w:b/>
          <w:bCs/>
          <w:sz w:val="22"/>
          <w:szCs w:val="22"/>
          <w:lang w:val="lt-LT" w:eastAsia="lt-LT"/>
        </w:rPr>
        <w:tab/>
        <w:t>KLINIKINĖ INFORMACIJA</w:t>
      </w:r>
    </w:p>
    <w:p w:rsidR="00E74DEC" w:rsidRPr="00186A98" w:rsidRDefault="00E74DEC" w:rsidP="00E74DEC">
      <w:pPr>
        <w:rPr>
          <w:rFonts w:ascii="Times New Roman" w:hAnsi="Times New Roman"/>
          <w:b/>
          <w:bCs/>
          <w:sz w:val="22"/>
          <w:szCs w:val="22"/>
          <w:lang w:val="lt-LT" w:eastAsia="lt-LT"/>
        </w:rPr>
      </w:pPr>
    </w:p>
    <w:p w:rsidR="00E74DEC" w:rsidRPr="00186A98" w:rsidRDefault="00E74DEC" w:rsidP="00E74DEC">
      <w:pPr>
        <w:numPr>
          <w:ilvl w:val="1"/>
          <w:numId w:val="10"/>
        </w:numPr>
        <w:rPr>
          <w:rFonts w:ascii="Times New Roman" w:hAnsi="Times New Roman"/>
          <w:b/>
          <w:bCs/>
          <w:sz w:val="22"/>
          <w:szCs w:val="22"/>
          <w:lang w:val="lt-LT" w:eastAsia="lt-LT"/>
        </w:rPr>
      </w:pPr>
      <w:r w:rsidRPr="00186A98">
        <w:rPr>
          <w:rFonts w:ascii="Times New Roman" w:hAnsi="Times New Roman"/>
          <w:b/>
          <w:bCs/>
          <w:sz w:val="22"/>
          <w:szCs w:val="22"/>
          <w:lang w:val="lt-LT" w:eastAsia="lt-LT"/>
        </w:rPr>
        <w:t>Terapinės indikacijos</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noProof/>
          <w:sz w:val="22"/>
          <w:szCs w:val="22"/>
          <w:lang w:val="lt-LT" w:eastAsia="lt-LT"/>
        </w:rPr>
      </w:pPr>
      <w:r w:rsidRPr="00186A98">
        <w:rPr>
          <w:rFonts w:ascii="Times New Roman" w:hAnsi="Times New Roman"/>
          <w:noProof/>
          <w:sz w:val="22"/>
          <w:szCs w:val="22"/>
          <w:lang w:val="lt-LT" w:eastAsia="lt-LT"/>
        </w:rPr>
        <w:t>Lokaliai progresavusio prostatos vėžio gydymas atskirai arba kaip pagalbinis gydymas, po radikalios prostatektomijos ar radioterapijos pacientams, kuriems yra didelė ligos progresavimo rizika (žr. 5.1 skyrių).</w:t>
      </w:r>
    </w:p>
    <w:p w:rsidR="00E74DEC" w:rsidRPr="00186A98" w:rsidRDefault="00E74DEC" w:rsidP="00E74DEC">
      <w:pPr>
        <w:rPr>
          <w:rFonts w:ascii="Times New Roman" w:hAnsi="Times New Roman"/>
          <w:noProof/>
          <w:sz w:val="22"/>
          <w:szCs w:val="22"/>
          <w:lang w:val="lt-LT" w:eastAsia="lt-LT"/>
        </w:rPr>
      </w:pPr>
    </w:p>
    <w:p w:rsidR="00E74DEC" w:rsidRPr="00186A98" w:rsidRDefault="00E74DEC" w:rsidP="00E74DEC">
      <w:pPr>
        <w:rPr>
          <w:rFonts w:ascii="Times New Roman" w:hAnsi="Times New Roman"/>
          <w:noProof/>
          <w:sz w:val="22"/>
          <w:szCs w:val="22"/>
          <w:lang w:val="lt-LT" w:eastAsia="lt-LT"/>
        </w:rPr>
      </w:pPr>
      <w:r w:rsidRPr="00186A98">
        <w:rPr>
          <w:rFonts w:ascii="Times New Roman" w:hAnsi="Times New Roman"/>
          <w:noProof/>
          <w:sz w:val="22"/>
          <w:szCs w:val="22"/>
          <w:lang w:val="lt-LT" w:eastAsia="lt-LT"/>
        </w:rPr>
        <w:t>Lokaliai progresavusio, nemetastazavusio prostatos vėžio gydymas, kai netinka arba nepriimtina chirurginė kastracija ar kitokia medicininė intervencija.</w:t>
      </w:r>
    </w:p>
    <w:p w:rsidR="00E74DEC" w:rsidRPr="00186A98" w:rsidRDefault="00E74DEC" w:rsidP="00E74DEC">
      <w:pPr>
        <w:rPr>
          <w:rFonts w:ascii="Times New Roman" w:hAnsi="Times New Roman"/>
          <w:noProof/>
          <w:sz w:val="22"/>
          <w:szCs w:val="22"/>
          <w:lang w:val="lt-LT" w:eastAsia="lt-LT"/>
        </w:rPr>
      </w:pPr>
    </w:p>
    <w:p w:rsidR="00E74DEC" w:rsidRPr="00186A98" w:rsidRDefault="00E74DEC" w:rsidP="00E74DEC">
      <w:pPr>
        <w:numPr>
          <w:ilvl w:val="1"/>
          <w:numId w:val="10"/>
        </w:numPr>
        <w:rPr>
          <w:rFonts w:ascii="Times New Roman" w:hAnsi="Times New Roman"/>
          <w:b/>
          <w:bCs/>
          <w:sz w:val="22"/>
          <w:szCs w:val="22"/>
          <w:lang w:val="lt-LT" w:eastAsia="lt-LT"/>
        </w:rPr>
      </w:pPr>
      <w:r w:rsidRPr="00186A98">
        <w:rPr>
          <w:rFonts w:ascii="Times New Roman" w:hAnsi="Times New Roman"/>
          <w:b/>
          <w:bCs/>
          <w:sz w:val="22"/>
          <w:szCs w:val="22"/>
          <w:lang w:val="lt-LT" w:eastAsia="lt-LT"/>
        </w:rPr>
        <w:t>Dozavimas ir vartojimo metodas</w:t>
      </w:r>
    </w:p>
    <w:p w:rsidR="00E74DEC" w:rsidRPr="00186A98" w:rsidRDefault="00E74DEC" w:rsidP="00E74DEC">
      <w:pPr>
        <w:rPr>
          <w:rFonts w:ascii="Times New Roman" w:hAnsi="Times New Roman"/>
          <w:i/>
          <w:iCs/>
          <w:sz w:val="22"/>
          <w:szCs w:val="22"/>
          <w:lang w:val="lt-LT" w:eastAsia="lt-LT"/>
        </w:rPr>
      </w:pPr>
    </w:p>
    <w:p w:rsidR="00E74DEC" w:rsidRPr="00186A98" w:rsidRDefault="00E74DEC" w:rsidP="00E74DEC">
      <w:pPr>
        <w:rPr>
          <w:rFonts w:ascii="Times New Roman" w:hAnsi="Times New Roman"/>
          <w:iCs/>
          <w:sz w:val="22"/>
          <w:szCs w:val="22"/>
          <w:u w:val="single"/>
          <w:lang w:val="lt-LT" w:eastAsia="lt-LT"/>
        </w:rPr>
      </w:pPr>
      <w:r w:rsidRPr="00186A98">
        <w:rPr>
          <w:rFonts w:ascii="Times New Roman" w:hAnsi="Times New Roman"/>
          <w:iCs/>
          <w:sz w:val="22"/>
          <w:szCs w:val="22"/>
          <w:u w:val="single"/>
          <w:lang w:val="lt-LT" w:eastAsia="lt-LT"/>
        </w:rPr>
        <w:t>Dozavimas</w:t>
      </w:r>
    </w:p>
    <w:p w:rsidR="00E74DEC" w:rsidRPr="00186A98" w:rsidRDefault="00E74DEC" w:rsidP="00E74DEC">
      <w:pPr>
        <w:rPr>
          <w:rFonts w:ascii="Times New Roman" w:hAnsi="Times New Roman"/>
          <w:iCs/>
          <w:sz w:val="22"/>
          <w:szCs w:val="22"/>
          <w:lang w:val="lt-LT" w:eastAsia="lt-LT"/>
        </w:rPr>
      </w:pPr>
      <w:r w:rsidRPr="00186A98">
        <w:rPr>
          <w:rFonts w:ascii="Times New Roman" w:hAnsi="Times New Roman"/>
          <w:iCs/>
          <w:sz w:val="22"/>
          <w:szCs w:val="22"/>
          <w:lang w:val="lt-LT" w:eastAsia="lt-LT"/>
        </w:rPr>
        <w:t xml:space="preserve">Suaugę vyrai, įskaitant senyvus. </w:t>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Reikia gerti po vieną 150 mg tabletę per parą. Bicalutamidą reikia nepertraukiamai vartoti bent dvejus metus arba kol liga pradės progresuoti.</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 xml:space="preserve">Vaikų populiacija </w:t>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CALUMID 150 mg plėvele dengtų tablečių vaikams vartoti negalima.</w:t>
      </w:r>
    </w:p>
    <w:p w:rsidR="00E74DEC" w:rsidRPr="00186A98" w:rsidRDefault="00E74DEC" w:rsidP="00E74DEC">
      <w:pPr>
        <w:rPr>
          <w:rFonts w:ascii="Times New Roman" w:hAnsi="Times New Roman"/>
          <w:i/>
          <w:sz w:val="22"/>
          <w:szCs w:val="22"/>
          <w:lang w:val="lt-LT" w:eastAsia="lt-LT"/>
        </w:rPr>
      </w:pPr>
    </w:p>
    <w:p w:rsidR="00E74DEC" w:rsidRPr="00186A98" w:rsidRDefault="00E74DEC" w:rsidP="00E74DEC">
      <w:pPr>
        <w:rPr>
          <w:rFonts w:ascii="Times New Roman" w:hAnsi="Times New Roman"/>
          <w:i/>
          <w:iCs/>
          <w:sz w:val="22"/>
          <w:szCs w:val="22"/>
          <w:lang w:val="lt-LT" w:eastAsia="lt-LT"/>
        </w:rPr>
      </w:pPr>
      <w:r w:rsidRPr="00186A98">
        <w:rPr>
          <w:rFonts w:ascii="Times New Roman" w:hAnsi="Times New Roman"/>
          <w:i/>
          <w:iCs/>
          <w:sz w:val="22"/>
          <w:szCs w:val="22"/>
          <w:lang w:val="lt-LT" w:eastAsia="lt-LT"/>
        </w:rPr>
        <w:t xml:space="preserve">Pacientams, kurių inkstų funkcija sutrikusi </w:t>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 xml:space="preserve">Ligoniams, kurių inkstų funkcija sutrikusi, dozės keisti nereikia. </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i/>
          <w:iCs/>
          <w:sz w:val="22"/>
          <w:szCs w:val="22"/>
          <w:lang w:val="lt-LT" w:eastAsia="lt-LT"/>
        </w:rPr>
      </w:pPr>
      <w:r w:rsidRPr="00186A98">
        <w:rPr>
          <w:rFonts w:ascii="Times New Roman" w:hAnsi="Times New Roman"/>
          <w:i/>
          <w:iCs/>
          <w:sz w:val="22"/>
          <w:szCs w:val="22"/>
          <w:lang w:val="lt-LT" w:eastAsia="lt-LT"/>
        </w:rPr>
        <w:t xml:space="preserve">Pacientams, kurių kepenų funkcija sutrikusi </w:t>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 xml:space="preserve">Pacientams, sergantiems lengvu kepenų funkcijos nepakankamumu, dozės keisti nereikia. </w:t>
      </w:r>
    </w:p>
    <w:p w:rsidR="00E74DEC" w:rsidRPr="00186A98" w:rsidRDefault="00E74DEC" w:rsidP="00E74DEC">
      <w:pPr>
        <w:rPr>
          <w:rFonts w:ascii="Times New Roman" w:hAnsi="Times New Roman"/>
          <w:i/>
          <w:iCs/>
          <w:sz w:val="22"/>
          <w:szCs w:val="22"/>
          <w:lang w:val="lt-LT" w:eastAsia="lt-LT"/>
        </w:rPr>
      </w:pPr>
      <w:r w:rsidRPr="00186A98">
        <w:rPr>
          <w:rFonts w:ascii="Times New Roman" w:hAnsi="Times New Roman"/>
          <w:sz w:val="22"/>
          <w:szCs w:val="22"/>
          <w:lang w:val="lt-LT" w:eastAsia="lt-LT"/>
        </w:rPr>
        <w:t>Jeigu yra vidutinio sunkumo arba sunkus kepenų funkcijos nepakankamumas, vaistinio preparato organizme gali kauptis (žr. 4.4 skyrių).</w:t>
      </w:r>
    </w:p>
    <w:p w:rsidR="00E74DEC" w:rsidRPr="00186A98" w:rsidRDefault="00E74DEC" w:rsidP="00E74DEC">
      <w:pPr>
        <w:rPr>
          <w:rFonts w:ascii="Times New Roman" w:hAnsi="Times New Roman"/>
          <w:i/>
          <w:sz w:val="22"/>
          <w:szCs w:val="22"/>
          <w:lang w:val="lt-LT" w:eastAsia="lt-LT"/>
        </w:rPr>
      </w:pPr>
    </w:p>
    <w:p w:rsidR="00E74DEC" w:rsidRPr="00186A98" w:rsidRDefault="00E74DEC" w:rsidP="00E74DEC">
      <w:pPr>
        <w:rPr>
          <w:rFonts w:ascii="Times New Roman" w:hAnsi="Times New Roman"/>
          <w:i/>
          <w:sz w:val="22"/>
          <w:szCs w:val="22"/>
          <w:lang w:val="lt-LT" w:eastAsia="lt-LT"/>
        </w:rPr>
      </w:pPr>
      <w:r w:rsidRPr="00186A98">
        <w:rPr>
          <w:rFonts w:ascii="Times New Roman" w:hAnsi="Times New Roman"/>
          <w:i/>
          <w:sz w:val="22"/>
          <w:szCs w:val="22"/>
          <w:lang w:val="lt-LT" w:eastAsia="lt-LT"/>
        </w:rPr>
        <w:t>Vartojimo metodas</w:t>
      </w:r>
    </w:p>
    <w:p w:rsidR="00E74DEC" w:rsidRPr="00186A98" w:rsidRDefault="00E74DEC" w:rsidP="00E74DEC">
      <w:pPr>
        <w:rPr>
          <w:rFonts w:ascii="Times New Roman" w:hAnsi="Times New Roman"/>
          <w:b/>
          <w:bCs/>
          <w:sz w:val="22"/>
          <w:szCs w:val="22"/>
          <w:lang w:val="lt-LT" w:eastAsia="lt-LT"/>
        </w:rPr>
      </w:pPr>
      <w:r w:rsidRPr="00186A98">
        <w:rPr>
          <w:rFonts w:ascii="Times New Roman" w:hAnsi="Times New Roman"/>
          <w:sz w:val="22"/>
          <w:szCs w:val="22"/>
          <w:lang w:val="lt-LT" w:eastAsia="lt-LT"/>
        </w:rPr>
        <w:t>Vartoti per burną. Tabletes reikia nuryti nekramtytas, užsigeriant skysčiu.</w:t>
      </w:r>
    </w:p>
    <w:p w:rsidR="00E74DEC" w:rsidRPr="00186A98" w:rsidRDefault="00E74DEC" w:rsidP="00E74DEC">
      <w:pPr>
        <w:rPr>
          <w:rFonts w:ascii="Times New Roman" w:hAnsi="Times New Roman"/>
          <w:b/>
          <w:bCs/>
          <w:sz w:val="22"/>
          <w:szCs w:val="22"/>
          <w:lang w:val="lt-LT" w:eastAsia="lt-LT"/>
        </w:rPr>
      </w:pPr>
    </w:p>
    <w:p w:rsidR="00E74DEC" w:rsidRPr="00186A98" w:rsidRDefault="00E74DEC" w:rsidP="00186A98">
      <w:pPr>
        <w:ind w:left="567" w:hanging="567"/>
        <w:rPr>
          <w:rFonts w:ascii="Times New Roman" w:hAnsi="Times New Roman"/>
          <w:b/>
          <w:bCs/>
          <w:sz w:val="22"/>
          <w:szCs w:val="22"/>
          <w:lang w:val="lt-LT" w:eastAsia="lt-LT"/>
        </w:rPr>
      </w:pPr>
      <w:r w:rsidRPr="00186A98">
        <w:rPr>
          <w:rFonts w:ascii="Times New Roman" w:hAnsi="Times New Roman"/>
          <w:b/>
          <w:bCs/>
          <w:sz w:val="22"/>
          <w:szCs w:val="22"/>
          <w:lang w:val="lt-LT" w:eastAsia="lt-LT"/>
        </w:rPr>
        <w:t>4.3</w:t>
      </w:r>
      <w:r w:rsidRPr="00186A98">
        <w:rPr>
          <w:rFonts w:ascii="Times New Roman" w:hAnsi="Times New Roman"/>
          <w:b/>
          <w:bCs/>
          <w:sz w:val="22"/>
          <w:szCs w:val="22"/>
          <w:lang w:val="lt-LT" w:eastAsia="lt-LT"/>
        </w:rPr>
        <w:tab/>
        <w:t>Kontraindikacijos</w:t>
      </w:r>
    </w:p>
    <w:p w:rsidR="00E74DEC" w:rsidRPr="00186A98" w:rsidRDefault="00E74DEC" w:rsidP="00E74DEC">
      <w:pPr>
        <w:spacing w:after="120"/>
        <w:rPr>
          <w:rFonts w:ascii="Times New Roman" w:hAnsi="Times New Roman"/>
          <w:sz w:val="22"/>
          <w:szCs w:val="22"/>
          <w:lang w:val="lt-LT" w:eastAsia="lt-LT"/>
        </w:rPr>
      </w:pPr>
    </w:p>
    <w:p w:rsidR="00E74DEC" w:rsidRPr="00186A98" w:rsidRDefault="00E74DEC" w:rsidP="00E74DEC">
      <w:pPr>
        <w:rPr>
          <w:rFonts w:ascii="Times New Roman" w:hAnsi="Times New Roman"/>
          <w:b/>
          <w:bCs/>
          <w:sz w:val="22"/>
          <w:szCs w:val="22"/>
          <w:lang w:val="lt-LT" w:eastAsia="lt-LT"/>
        </w:rPr>
      </w:pPr>
      <w:r w:rsidRPr="00186A98">
        <w:rPr>
          <w:rFonts w:ascii="Times New Roman" w:hAnsi="Times New Roman"/>
          <w:sz w:val="22"/>
          <w:szCs w:val="22"/>
          <w:lang w:val="lt-LT" w:eastAsia="lt-LT"/>
        </w:rPr>
        <w:t>Padidėjęs jautrumas veikliajai arba bet kuriai 6.1 skyriuje nurodytai pagalbinei medžiagai.</w:t>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Moterims ir  vaikams vartoti draudžiama (žr. 4.6 skyrių).</w:t>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Bikalutamido negalima vartoti kartu su terfenadinu, astemizolu ar cisapridu (žr. 4.5 skyrių).</w:t>
      </w:r>
    </w:p>
    <w:p w:rsidR="00E74DEC" w:rsidRPr="00186A98" w:rsidRDefault="00E74DEC" w:rsidP="00E74DEC">
      <w:pPr>
        <w:jc w:val="both"/>
        <w:rPr>
          <w:rFonts w:ascii="Times New Roman" w:hAnsi="Times New Roman"/>
          <w:b/>
          <w:bCs/>
          <w:sz w:val="22"/>
          <w:szCs w:val="22"/>
          <w:lang w:val="lt-LT" w:eastAsia="lt-LT"/>
        </w:rPr>
      </w:pPr>
      <w:r w:rsidRPr="00186A98">
        <w:rPr>
          <w:rFonts w:ascii="Times New Roman" w:hAnsi="Times New Roman"/>
          <w:sz w:val="22"/>
          <w:szCs w:val="22"/>
          <w:lang w:val="lt-LT" w:eastAsia="lt-LT"/>
        </w:rPr>
        <w:lastRenderedPageBreak/>
        <w:t xml:space="preserve"> </w:t>
      </w:r>
    </w:p>
    <w:p w:rsidR="00E74DEC" w:rsidRPr="00186A98" w:rsidRDefault="00E74DEC" w:rsidP="00186A98">
      <w:pPr>
        <w:ind w:left="567" w:hanging="567"/>
        <w:rPr>
          <w:rFonts w:ascii="Times New Roman" w:hAnsi="Times New Roman"/>
          <w:sz w:val="22"/>
          <w:szCs w:val="22"/>
          <w:lang w:val="lt-LT" w:eastAsia="lt-LT"/>
        </w:rPr>
      </w:pPr>
      <w:r w:rsidRPr="00186A98">
        <w:rPr>
          <w:rFonts w:ascii="Times New Roman" w:hAnsi="Times New Roman"/>
          <w:b/>
          <w:bCs/>
          <w:sz w:val="22"/>
          <w:szCs w:val="22"/>
          <w:lang w:val="lt-LT" w:eastAsia="lt-LT"/>
        </w:rPr>
        <w:t>4.4</w:t>
      </w:r>
      <w:r w:rsidRPr="00186A98">
        <w:rPr>
          <w:rFonts w:ascii="Times New Roman" w:hAnsi="Times New Roman"/>
          <w:b/>
          <w:bCs/>
          <w:sz w:val="22"/>
          <w:szCs w:val="22"/>
          <w:lang w:val="lt-LT" w:eastAsia="lt-LT"/>
        </w:rPr>
        <w:tab/>
        <w:t>Specialūs įspėjimai ir atsargumo priemonės</w:t>
      </w:r>
    </w:p>
    <w:p w:rsidR="00E74DEC" w:rsidRPr="00186A98" w:rsidRDefault="00E74DEC" w:rsidP="00E74DEC">
      <w:pPr>
        <w:rPr>
          <w:rFonts w:ascii="Times New Roman" w:eastAsia="Calibri" w:hAnsi="Times New Roman"/>
          <w:sz w:val="22"/>
          <w:szCs w:val="22"/>
          <w:lang w:val="lt-LT" w:eastAsia="lt-LT"/>
        </w:rPr>
      </w:pPr>
    </w:p>
    <w:p w:rsidR="00E74DEC" w:rsidRPr="00186A98" w:rsidRDefault="00E74DEC" w:rsidP="00E74DEC">
      <w:pPr>
        <w:jc w:val="both"/>
        <w:rPr>
          <w:rFonts w:ascii="Times New Roman" w:eastAsia="Calibri" w:hAnsi="Times New Roman"/>
          <w:sz w:val="22"/>
          <w:szCs w:val="22"/>
          <w:lang w:val="lt-LT" w:eastAsia="lt-LT"/>
        </w:rPr>
      </w:pPr>
      <w:r w:rsidRPr="00186A98">
        <w:rPr>
          <w:rFonts w:ascii="Times New Roman" w:eastAsia="Calibri" w:hAnsi="Times New Roman"/>
          <w:sz w:val="22"/>
          <w:szCs w:val="22"/>
          <w:lang w:val="lt-LT" w:eastAsia="lt-LT"/>
        </w:rPr>
        <w:t>Androgenų poveikį slopinantis gydymas gali sukelti QT intervalo pailgėjimą.</w:t>
      </w:r>
    </w:p>
    <w:p w:rsidR="00E74DEC" w:rsidRPr="00186A98" w:rsidRDefault="00E74DEC" w:rsidP="00E74DEC">
      <w:pPr>
        <w:jc w:val="both"/>
        <w:rPr>
          <w:rFonts w:ascii="Times New Roman" w:eastAsia="Calibri" w:hAnsi="Times New Roman"/>
          <w:sz w:val="22"/>
          <w:szCs w:val="22"/>
          <w:lang w:val="lt-LT" w:eastAsia="lt-LT"/>
        </w:rPr>
      </w:pPr>
      <w:r w:rsidRPr="00186A98">
        <w:rPr>
          <w:rFonts w:ascii="Times New Roman" w:eastAsia="Calibri" w:hAnsi="Times New Roman"/>
          <w:sz w:val="22"/>
          <w:szCs w:val="22"/>
          <w:lang w:val="lt-LT" w:eastAsia="lt-LT"/>
        </w:rPr>
        <w:t xml:space="preserve">Pacientams, kuriems yra buvę QT intervalo pailgėjimo </w:t>
      </w:r>
      <w:r w:rsidRPr="00186A98">
        <w:rPr>
          <w:rFonts w:ascii="Times New Roman" w:hAnsi="Times New Roman"/>
          <w:sz w:val="22"/>
          <w:szCs w:val="22"/>
          <w:lang w:val="lt-LT" w:eastAsia="lt-LT"/>
        </w:rPr>
        <w:t xml:space="preserve">atvejų ar </w:t>
      </w:r>
      <w:r w:rsidRPr="00186A98">
        <w:rPr>
          <w:rFonts w:ascii="Times New Roman" w:eastAsia="Calibri" w:hAnsi="Times New Roman"/>
          <w:sz w:val="22"/>
          <w:szCs w:val="22"/>
          <w:lang w:val="lt-LT" w:eastAsia="lt-LT"/>
        </w:rPr>
        <w:t>rizikos veiksnių ir pacientams, kurie kartu vartoja vaistinių preparatų, galinčių ilginti QT intervalą (žr. 4.5 skyrių)</w:t>
      </w:r>
      <w:r w:rsidR="00DF0807" w:rsidRPr="00186A98">
        <w:rPr>
          <w:rFonts w:ascii="Times New Roman" w:eastAsia="Calibri" w:hAnsi="Times New Roman"/>
          <w:sz w:val="22"/>
          <w:szCs w:val="22"/>
          <w:lang w:val="lt-LT" w:eastAsia="lt-LT"/>
        </w:rPr>
        <w:t>,</w:t>
      </w:r>
      <w:r w:rsidRPr="00186A98">
        <w:rPr>
          <w:rFonts w:ascii="Times New Roman" w:eastAsia="Calibri" w:hAnsi="Times New Roman"/>
          <w:sz w:val="22"/>
          <w:szCs w:val="22"/>
          <w:lang w:val="lt-LT" w:eastAsia="lt-LT"/>
        </w:rPr>
        <w:t xml:space="preserve"> prieš skiriant vartoti</w:t>
      </w:r>
      <w:r w:rsidR="00FF22C7" w:rsidRPr="00186A98">
        <w:rPr>
          <w:rFonts w:ascii="Times New Roman" w:eastAsia="Calibri" w:hAnsi="Times New Roman"/>
          <w:sz w:val="22"/>
          <w:szCs w:val="22"/>
          <w:lang w:val="lt-LT" w:eastAsia="lt-LT"/>
        </w:rPr>
        <w:t xml:space="preserve"> </w:t>
      </w:r>
      <w:r w:rsidR="00C432F5" w:rsidRPr="00186A98">
        <w:rPr>
          <w:rFonts w:ascii="Times New Roman" w:eastAsia="Calibri" w:hAnsi="Times New Roman"/>
          <w:sz w:val="22"/>
          <w:szCs w:val="22"/>
          <w:lang w:val="lt-LT" w:eastAsia="lt-LT"/>
        </w:rPr>
        <w:t>bikalutamido</w:t>
      </w:r>
      <w:r w:rsidRPr="00186A98">
        <w:rPr>
          <w:rFonts w:ascii="Times New Roman" w:eastAsia="Calibri" w:hAnsi="Times New Roman"/>
          <w:sz w:val="22"/>
          <w:szCs w:val="22"/>
          <w:lang w:val="lt-LT" w:eastAsia="lt-LT"/>
        </w:rPr>
        <w:t xml:space="preserve"> reikia įvertinti naudos ir rizikos santykį, įskaitant galimą </w:t>
      </w:r>
      <w:r w:rsidRPr="00186A98">
        <w:rPr>
          <w:rFonts w:ascii="Times New Roman" w:eastAsia="Calibri" w:hAnsi="Times New Roman"/>
          <w:i/>
          <w:sz w:val="22"/>
          <w:szCs w:val="22"/>
          <w:lang w:val="lt-LT" w:eastAsia="lt-LT"/>
        </w:rPr>
        <w:t>Torsade de pointes</w:t>
      </w:r>
      <w:r w:rsidRPr="00186A98">
        <w:rPr>
          <w:rFonts w:ascii="Times New Roman" w:eastAsia="Calibri" w:hAnsi="Times New Roman"/>
          <w:sz w:val="22"/>
          <w:szCs w:val="22"/>
          <w:lang w:val="lt-LT" w:eastAsia="lt-LT"/>
        </w:rPr>
        <w:t xml:space="preserve"> pavojų.</w:t>
      </w:r>
    </w:p>
    <w:p w:rsidR="00E74DEC" w:rsidRPr="00186A98" w:rsidRDefault="00E74DEC" w:rsidP="00E74DEC">
      <w:pPr>
        <w:spacing w:after="120"/>
        <w:rPr>
          <w:rFonts w:ascii="Times New Roman" w:hAnsi="Times New Roman"/>
          <w:sz w:val="22"/>
          <w:szCs w:val="22"/>
          <w:lang w:val="lt-LT" w:eastAsia="lt-LT"/>
        </w:rPr>
      </w:pPr>
    </w:p>
    <w:p w:rsidR="00E74DEC" w:rsidRPr="00186A98" w:rsidRDefault="00E74DEC" w:rsidP="00E74DEC">
      <w:pPr>
        <w:spacing w:after="120"/>
        <w:rPr>
          <w:rFonts w:ascii="Times New Roman" w:hAnsi="Times New Roman"/>
          <w:sz w:val="22"/>
          <w:szCs w:val="22"/>
          <w:lang w:val="lt-LT" w:eastAsia="lt-LT"/>
        </w:rPr>
      </w:pPr>
      <w:r w:rsidRPr="00186A98">
        <w:rPr>
          <w:rFonts w:ascii="Times New Roman" w:hAnsi="Times New Roman"/>
          <w:sz w:val="22"/>
          <w:szCs w:val="22"/>
          <w:lang w:val="lt-LT" w:eastAsia="lt-LT"/>
        </w:rPr>
        <w:t xml:space="preserve">Bikalutamidas ekstensyviai metabolizuojamas kepenyse. Tyrimų duomenys rodo, jog pacientų, sergančių sunkiu kepenų funkcijos nepakankamumu, organizme bikalutamido eliminacija gali būti lėtesnė, todėl daugiau jo gali kauptis organizme. Dėl to pacientus, sergančius vidutinio sunkumo arba sunkiu kepenų funkcijos nepakankamumu, bikalutamidu reikia gydyti atsargiai.  </w:t>
      </w:r>
    </w:p>
    <w:p w:rsidR="00E74DEC" w:rsidRPr="00186A98" w:rsidRDefault="00E74DEC" w:rsidP="00E74DEC">
      <w:pPr>
        <w:spacing w:after="120"/>
        <w:rPr>
          <w:rFonts w:ascii="Times New Roman" w:hAnsi="Times New Roman"/>
          <w:sz w:val="22"/>
          <w:szCs w:val="22"/>
          <w:lang w:val="lt-LT" w:eastAsia="lt-LT"/>
        </w:rPr>
      </w:pPr>
      <w:r w:rsidRPr="00186A98">
        <w:rPr>
          <w:rFonts w:ascii="Times New Roman" w:hAnsi="Times New Roman"/>
          <w:sz w:val="22"/>
          <w:szCs w:val="22"/>
          <w:lang w:val="lt-LT" w:eastAsia="lt-LT"/>
        </w:rPr>
        <w:t xml:space="preserve">Sunkų kepenų pažeidimą ir kepenų nepankamumą bikalutamidas sukelia retai (žr.4.8 skyrių). Jeigu atsiranda sunkus kepenų pažeidimas, gydymą šiuo vaistiniu preparatu būtina nutraukti </w:t>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Gali atsirasti kepenų pažeidimas, todėl  būtina reguliariai tirti jų funkciją.</w:t>
      </w:r>
    </w:p>
    <w:p w:rsidR="00E74DEC" w:rsidRPr="00186A98" w:rsidRDefault="00E74DEC" w:rsidP="00E74DEC">
      <w:pPr>
        <w:spacing w:after="120"/>
        <w:rPr>
          <w:rFonts w:ascii="Times New Roman" w:hAnsi="Times New Roman"/>
          <w:sz w:val="22"/>
          <w:szCs w:val="22"/>
          <w:lang w:val="lt-LT" w:eastAsia="lt-LT"/>
        </w:rPr>
      </w:pPr>
      <w:r w:rsidRPr="00186A98">
        <w:rPr>
          <w:rFonts w:ascii="Times New Roman" w:hAnsi="Times New Roman"/>
          <w:sz w:val="22"/>
          <w:szCs w:val="22"/>
          <w:lang w:val="lt-LT" w:eastAsia="lt-LT"/>
        </w:rPr>
        <w:t>Pradėjus gydyti bikalutamidu, dauguma atvejų kepenų pažeidimas atsiranda per 6 mėnesius.</w:t>
      </w:r>
    </w:p>
    <w:p w:rsidR="00E74DEC" w:rsidRPr="00186A98" w:rsidRDefault="00E74DEC" w:rsidP="00E74DEC">
      <w:pPr>
        <w:spacing w:after="120"/>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 xml:space="preserve">Objektyviais metodais diagnozavus prostatos vėžio progresavimą ir nustačius padidėjusią prostatos specifinio antigeno koncentraciją, reikėtų svarstyti bikalutamido vartojimo nutraukimo tikslingumą. </w:t>
      </w:r>
    </w:p>
    <w:p w:rsidR="00E74DEC" w:rsidRPr="00186A98" w:rsidRDefault="00E74DEC" w:rsidP="00E74DEC">
      <w:pPr>
        <w:rPr>
          <w:rFonts w:ascii="Times New Roman" w:hAnsi="Times New Roman"/>
          <w:noProof/>
          <w:sz w:val="22"/>
          <w:szCs w:val="22"/>
          <w:lang w:val="lt-LT" w:eastAsia="lt-LT"/>
        </w:rPr>
      </w:pPr>
    </w:p>
    <w:p w:rsidR="00E74DEC" w:rsidRPr="00186A98" w:rsidRDefault="00E74DEC" w:rsidP="00E74DEC">
      <w:pPr>
        <w:rPr>
          <w:rFonts w:ascii="Times New Roman" w:hAnsi="Times New Roman"/>
          <w:noProof/>
          <w:sz w:val="22"/>
          <w:szCs w:val="22"/>
          <w:lang w:val="lt-LT" w:eastAsia="lt-LT"/>
        </w:rPr>
      </w:pPr>
      <w:r w:rsidRPr="00186A98">
        <w:rPr>
          <w:rFonts w:ascii="Times New Roman" w:hAnsi="Times New Roman"/>
          <w:noProof/>
          <w:sz w:val="22"/>
          <w:szCs w:val="22"/>
          <w:lang w:val="lt-LT" w:eastAsia="lt-LT"/>
        </w:rPr>
        <w:t>Bikalutamidas slopina citochromo P450 izofermentą CYP3A4, todėl vaistiniai preparatai, kuriuos daugiausiai metabolizuoja CYP3A4, kartu su bikalutamidu turi būti vartojami atsargiai (žr. 4.3 ir 4.5 skyrius).</w:t>
      </w:r>
    </w:p>
    <w:p w:rsidR="00E74DEC" w:rsidRPr="00186A98" w:rsidRDefault="00E74DEC" w:rsidP="00E74DEC">
      <w:pPr>
        <w:rPr>
          <w:rFonts w:ascii="Times New Roman" w:hAnsi="Times New Roman"/>
          <w:noProof/>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noProof/>
          <w:sz w:val="22"/>
          <w:szCs w:val="22"/>
          <w:lang w:val="lt-LT" w:eastAsia="lt-LT"/>
        </w:rPr>
        <w:t xml:space="preserve">CALUMID 150 mg plėvele dengtų tablečių sudėtyje yra laktozės monohidrato. </w:t>
      </w:r>
      <w:r w:rsidRPr="00186A98">
        <w:rPr>
          <w:rFonts w:ascii="Times New Roman" w:hAnsi="Times New Roman"/>
          <w:sz w:val="22"/>
          <w:szCs w:val="22"/>
          <w:lang w:val="lt-LT" w:eastAsia="lt-LT"/>
        </w:rPr>
        <w:t>Šio vaisto negalima vartoti pacientams, kuriems nustatytas retas paveldimas sutrikimas –</w:t>
      </w:r>
      <w:r w:rsidRPr="00186A98">
        <w:rPr>
          <w:rFonts w:ascii="Times New Roman" w:hAnsi="Times New Roman"/>
          <w:i/>
          <w:sz w:val="22"/>
          <w:szCs w:val="22"/>
          <w:lang w:val="lt-LT" w:eastAsia="lt-LT"/>
        </w:rPr>
        <w:t>Lapp</w:t>
      </w:r>
      <w:r w:rsidRPr="00186A98">
        <w:rPr>
          <w:rFonts w:ascii="Times New Roman" w:hAnsi="Times New Roman"/>
          <w:sz w:val="22"/>
          <w:szCs w:val="22"/>
          <w:lang w:val="lt-LT" w:eastAsia="lt-LT"/>
        </w:rPr>
        <w:t xml:space="preserve"> laktazės stygius arba gliukozės ir galaktozės malabsorbcija.</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numPr>
          <w:ilvl w:val="1"/>
          <w:numId w:val="12"/>
        </w:numPr>
        <w:tabs>
          <w:tab w:val="clear" w:pos="360"/>
          <w:tab w:val="num" w:pos="567"/>
        </w:tabs>
        <w:ind w:left="567" w:hanging="567"/>
        <w:rPr>
          <w:rFonts w:ascii="Times New Roman" w:hAnsi="Times New Roman"/>
          <w:b/>
          <w:bCs/>
          <w:sz w:val="22"/>
          <w:szCs w:val="22"/>
          <w:lang w:val="lt-LT" w:eastAsia="lt-LT"/>
        </w:rPr>
      </w:pPr>
      <w:r w:rsidRPr="00186A98">
        <w:rPr>
          <w:rFonts w:ascii="Times New Roman" w:hAnsi="Times New Roman"/>
          <w:b/>
          <w:bCs/>
          <w:sz w:val="22"/>
          <w:szCs w:val="22"/>
          <w:lang w:val="lt-LT" w:eastAsia="lt-LT"/>
        </w:rPr>
        <w:t>Sąveika su kitais vaistiniais preparatais ir kitokia sąveika</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 xml:space="preserve">Tyrimais </w:t>
      </w:r>
      <w:r w:rsidRPr="00186A98">
        <w:rPr>
          <w:rFonts w:ascii="Times New Roman" w:hAnsi="Times New Roman"/>
          <w:i/>
          <w:iCs/>
          <w:sz w:val="22"/>
          <w:szCs w:val="22"/>
          <w:lang w:val="lt-LT" w:eastAsia="lt-LT"/>
        </w:rPr>
        <w:t>in vitro</w:t>
      </w:r>
      <w:r w:rsidRPr="00186A98">
        <w:rPr>
          <w:rFonts w:ascii="Times New Roman" w:hAnsi="Times New Roman"/>
          <w:sz w:val="22"/>
          <w:szCs w:val="22"/>
          <w:lang w:val="lt-LT" w:eastAsia="lt-LT"/>
        </w:rPr>
        <w:t xml:space="preserve"> nustatyta, kad bikalutamido R-enantiomeras slopina CYP 3A4. CYP 2C9, 2C19, 2D6 fermentus jis slopina silpniau. </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Tyrimais, kurių metu citochromo P 450 (CYP) aktyvumui nustatyti vartota antipirino, šio vaistinio preparato ir bikalutamido sąveikos nepasireiškė, tačiau 28 paras kartu su bikalutamidu vartojant midazolamo, pastarojo vaistinio preparato koncentracijos-laiko kreivės ribojamas plotas (angl. AUC) padidėjo iki 80 </w:t>
      </w:r>
      <w:r w:rsidRPr="00186A98">
        <w:rPr>
          <w:rFonts w:ascii="Times New Roman" w:hAnsi="Times New Roman"/>
          <w:sz w:val="22"/>
          <w:szCs w:val="22"/>
          <w:lang w:val="lt-LT" w:eastAsia="lt-LT"/>
        </w:rPr>
        <w:sym w:font="Symbol" w:char="F025"/>
      </w:r>
      <w:r w:rsidRPr="00186A98">
        <w:rPr>
          <w:rFonts w:ascii="Times New Roman" w:hAnsi="Times New Roman"/>
          <w:sz w:val="22"/>
          <w:szCs w:val="22"/>
          <w:lang w:val="lt-LT" w:eastAsia="lt-LT"/>
        </w:rPr>
        <w:t>.</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 xml:space="preserve">Kadangi androgenų poveikį slopinantis gydymas gali sukelti QT intervalo pailgėjimą, reikia atidžiai apsvarstyti </w:t>
      </w:r>
      <w:r w:rsidR="00FF22C7" w:rsidRPr="00186A98">
        <w:rPr>
          <w:rFonts w:ascii="Times New Roman" w:hAnsi="Times New Roman"/>
          <w:sz w:val="22"/>
          <w:szCs w:val="22"/>
          <w:lang w:val="lt-LT" w:eastAsia="lt-LT"/>
        </w:rPr>
        <w:t>bikalutamido</w:t>
      </w:r>
      <w:r w:rsidRPr="00186A98">
        <w:rPr>
          <w:rFonts w:ascii="Times New Roman" w:hAnsi="Times New Roman"/>
          <w:sz w:val="22"/>
          <w:szCs w:val="22"/>
          <w:lang w:val="lt-LT" w:eastAsia="lt-LT"/>
        </w:rPr>
        <w:t xml:space="preserve"> vartojimą kartu su vaistiniais preparatais, ilginančiais  QT intervalą arba galinčiais sukelti </w:t>
      </w:r>
      <w:r w:rsidRPr="00186A98">
        <w:rPr>
          <w:rFonts w:ascii="Times New Roman" w:hAnsi="Times New Roman"/>
          <w:i/>
          <w:sz w:val="22"/>
          <w:szCs w:val="22"/>
          <w:lang w:val="lt-LT" w:eastAsia="lt-LT"/>
        </w:rPr>
        <w:t>Torsade de pointes</w:t>
      </w:r>
      <w:r w:rsidRPr="00186A98">
        <w:rPr>
          <w:rFonts w:ascii="Times New Roman" w:hAnsi="Times New Roman"/>
          <w:sz w:val="22"/>
          <w:szCs w:val="22"/>
          <w:lang w:val="lt-LT" w:eastAsia="lt-LT"/>
        </w:rPr>
        <w:t>, iskaitant IA klasės (pvz., chinidiną, dizopiramidą) arba III klasės antiaritminius vaistinius preparatus (pvz., amjodaroną, sotalolį, dofetilidą, ibutilidą) antiaritminius vaistinius preparatus, metadoną, moksifloksaciną, antipsichozinius vaistinius preparatus (žr. 4.4 skyrių).</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Vaistiniams preparatams, kurių terapinis indeksas mažas, toks padidėjimas gali būti reikšmingas. Todėl kartu draudžiama vartoti terfenadino, astemizolo ar cisaprido (žr. 4.3 skyrių).</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 xml:space="preserve">Bikalutamido kartu su ciklosporinu ar kalcio kanalų blokatoriais reikia skirti atsargiai. Gali tekti mažinti minėtų vaistinių preparatų dozę, ypač tuo atveju, jeigu sustiprėja terapinis poveikis arba atsiranda nepageidaujamo poveikio simptomų. Patariama atidžiai sekti ciklosporino vartojančių paciento būklę ir vaistinio preparato koncentraciją kraujo plazmoje, tiek pradėjus gydyti bikalutamidu, tiek jo vartojimą nutraukus.  </w:t>
      </w:r>
    </w:p>
    <w:p w:rsidR="00E74DEC" w:rsidRPr="00186A98" w:rsidRDefault="00E74DEC" w:rsidP="00E74DEC">
      <w:pPr>
        <w:rPr>
          <w:rFonts w:ascii="Times New Roman" w:hAnsi="Times New Roman"/>
          <w:noProof/>
          <w:sz w:val="22"/>
          <w:szCs w:val="22"/>
          <w:lang w:val="lt-LT" w:eastAsia="lt-LT"/>
        </w:rPr>
      </w:pPr>
      <w:r w:rsidRPr="00186A98">
        <w:rPr>
          <w:rFonts w:ascii="Times New Roman" w:hAnsi="Times New Roman"/>
          <w:noProof/>
          <w:sz w:val="22"/>
          <w:szCs w:val="22"/>
          <w:lang w:val="lt-LT" w:eastAsia="lt-LT"/>
        </w:rPr>
        <w:t xml:space="preserve">Atsargumas reikalingas bikalutamido vartojant kartu su vaistiniais preparatais, kurie galbūt slopina bikalutamido oksidaciją, pvz., vaistiniais preparatais, kurių sudėtyje yra cimetidino ar ketokonazolo, </w:t>
      </w:r>
      <w:r w:rsidRPr="00186A98">
        <w:rPr>
          <w:rFonts w:ascii="Times New Roman" w:hAnsi="Times New Roman"/>
          <w:noProof/>
          <w:sz w:val="22"/>
          <w:szCs w:val="22"/>
          <w:lang w:val="lt-LT" w:eastAsia="lt-LT"/>
        </w:rPr>
        <w:lastRenderedPageBreak/>
        <w:t>kadangi dėl sąveikos gali padidėti bikalutamido plazmos koncentracija ir sustiprėti jo nepageidaujamas poveikis.</w:t>
      </w:r>
    </w:p>
    <w:p w:rsidR="00E74DEC" w:rsidRPr="00186A98" w:rsidRDefault="00E74DEC" w:rsidP="00E74DEC">
      <w:pPr>
        <w:rPr>
          <w:rFonts w:ascii="Times New Roman" w:hAnsi="Times New Roman"/>
          <w:color w:val="FF0000"/>
          <w:sz w:val="22"/>
          <w:szCs w:val="22"/>
          <w:lang w:val="lt-LT" w:eastAsia="lt-LT"/>
        </w:rPr>
      </w:pPr>
      <w:r w:rsidRPr="00186A98">
        <w:rPr>
          <w:rFonts w:ascii="Times New Roman" w:hAnsi="Times New Roman"/>
          <w:sz w:val="22"/>
          <w:szCs w:val="22"/>
          <w:lang w:val="lt-LT" w:eastAsia="lt-LT"/>
        </w:rPr>
        <w:t xml:space="preserve">Tyrimais </w:t>
      </w:r>
      <w:r w:rsidRPr="00186A98">
        <w:rPr>
          <w:rFonts w:ascii="Times New Roman" w:hAnsi="Times New Roman"/>
          <w:i/>
          <w:iCs/>
          <w:sz w:val="22"/>
          <w:szCs w:val="22"/>
          <w:lang w:val="lt-LT" w:eastAsia="lt-LT"/>
        </w:rPr>
        <w:t>in vitro</w:t>
      </w:r>
      <w:r w:rsidRPr="00186A98">
        <w:rPr>
          <w:rFonts w:ascii="Times New Roman" w:hAnsi="Times New Roman"/>
          <w:sz w:val="22"/>
          <w:szCs w:val="22"/>
          <w:lang w:val="lt-LT" w:eastAsia="lt-LT"/>
        </w:rPr>
        <w:t xml:space="preserve"> nustatyta, jog bikalutamidas gali atpalaiduoti kumarinų grupės antikoaguliantą varfariną iš junginių su baltymais. Vadinasi, pradėjus bikalutamidu gydyti ligonius, vartojančius kumarinų grupės antikoaguliantų, rekomenduojama atidžiai sekti protrombino laiką.</w:t>
      </w:r>
    </w:p>
    <w:p w:rsidR="00E74DEC" w:rsidRPr="00186A98" w:rsidRDefault="00E74DEC" w:rsidP="00E74DEC">
      <w:pPr>
        <w:rPr>
          <w:rFonts w:ascii="Times New Roman" w:hAnsi="Times New Roman"/>
          <w:b/>
          <w:bCs/>
          <w:sz w:val="22"/>
          <w:szCs w:val="22"/>
          <w:lang w:val="lt-LT" w:eastAsia="lt-LT"/>
        </w:rPr>
      </w:pPr>
    </w:p>
    <w:p w:rsidR="00E74DEC" w:rsidRPr="00186A98" w:rsidRDefault="00E74DEC" w:rsidP="00186A98">
      <w:pPr>
        <w:ind w:left="567" w:hanging="567"/>
        <w:rPr>
          <w:rFonts w:ascii="Times New Roman" w:hAnsi="Times New Roman"/>
          <w:b/>
          <w:bCs/>
          <w:sz w:val="22"/>
          <w:szCs w:val="22"/>
          <w:lang w:val="lt-LT" w:eastAsia="lt-LT"/>
        </w:rPr>
      </w:pPr>
      <w:r w:rsidRPr="00186A98">
        <w:rPr>
          <w:rFonts w:ascii="Times New Roman" w:hAnsi="Times New Roman"/>
          <w:b/>
          <w:bCs/>
          <w:sz w:val="22"/>
          <w:szCs w:val="22"/>
          <w:lang w:val="lt-LT" w:eastAsia="lt-LT"/>
        </w:rPr>
        <w:t>4.6</w:t>
      </w:r>
      <w:r w:rsidRPr="00186A98">
        <w:rPr>
          <w:rFonts w:ascii="Times New Roman" w:hAnsi="Times New Roman"/>
          <w:b/>
          <w:bCs/>
          <w:sz w:val="22"/>
          <w:szCs w:val="22"/>
          <w:lang w:val="lt-LT" w:eastAsia="lt-LT"/>
        </w:rPr>
        <w:tab/>
        <w:t>Vaisingumas, nėštumo ir žindymo laikotarpis</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Moterims (įskaitant nėščiąsias ir žindyves) CALUMID vartoti draudžiama.</w:t>
      </w:r>
    </w:p>
    <w:p w:rsidR="00E74DEC" w:rsidRPr="00186A98" w:rsidRDefault="00E74DEC" w:rsidP="00E74DEC">
      <w:pPr>
        <w:rPr>
          <w:rFonts w:ascii="Times New Roman" w:hAnsi="Times New Roman"/>
          <w:b/>
          <w:bCs/>
          <w:sz w:val="22"/>
          <w:szCs w:val="22"/>
          <w:lang w:val="lt-LT" w:eastAsia="lt-LT"/>
        </w:rPr>
      </w:pPr>
    </w:p>
    <w:p w:rsidR="00E74DEC" w:rsidRPr="00186A98" w:rsidRDefault="00E74DEC" w:rsidP="00186A98">
      <w:pPr>
        <w:ind w:left="567" w:hanging="567"/>
        <w:rPr>
          <w:rFonts w:ascii="Times New Roman" w:hAnsi="Times New Roman"/>
          <w:b/>
          <w:bCs/>
          <w:sz w:val="22"/>
          <w:szCs w:val="22"/>
          <w:lang w:val="lt-LT" w:eastAsia="lt-LT"/>
        </w:rPr>
      </w:pPr>
      <w:r w:rsidRPr="00186A98">
        <w:rPr>
          <w:rFonts w:ascii="Times New Roman" w:hAnsi="Times New Roman"/>
          <w:b/>
          <w:bCs/>
          <w:sz w:val="22"/>
          <w:szCs w:val="22"/>
          <w:lang w:val="lt-LT" w:eastAsia="lt-LT"/>
        </w:rPr>
        <w:t>4.7</w:t>
      </w:r>
      <w:r w:rsidRPr="00186A98">
        <w:rPr>
          <w:rFonts w:ascii="Times New Roman" w:hAnsi="Times New Roman"/>
          <w:b/>
          <w:bCs/>
          <w:sz w:val="22"/>
          <w:szCs w:val="22"/>
          <w:lang w:val="lt-LT" w:eastAsia="lt-LT"/>
        </w:rPr>
        <w:tab/>
        <w:t>Poveikis gebėjimui vairuoti ir valdyti mechanizmus</w:t>
      </w:r>
    </w:p>
    <w:p w:rsidR="00E74DEC" w:rsidRPr="00186A98" w:rsidRDefault="00E74DEC" w:rsidP="00E74DEC">
      <w:pPr>
        <w:rPr>
          <w:rFonts w:ascii="Times New Roman" w:hAnsi="Times New Roman"/>
          <w:b/>
          <w:bCs/>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noProof/>
          <w:sz w:val="22"/>
          <w:szCs w:val="22"/>
          <w:lang w:val="lt-LT" w:eastAsia="lt-LT"/>
        </w:rPr>
        <w:t xml:space="preserve">Bikalutamidas neturėtų trikdyti gebos vairuoti ir valdyti mechanizmus. </w:t>
      </w:r>
      <w:r w:rsidRPr="00186A98">
        <w:rPr>
          <w:rFonts w:ascii="Times New Roman" w:hAnsi="Times New Roman"/>
          <w:sz w:val="22"/>
          <w:szCs w:val="22"/>
          <w:lang w:val="lt-LT" w:eastAsia="lt-LT"/>
        </w:rPr>
        <w:t xml:space="preserve">Vis dėlto pažymėtina, kad retkarčiais gali atsirasti mieguistumas. Jeigu toks poveikis pasireiškia, būtinas atsargumas. </w:t>
      </w:r>
    </w:p>
    <w:p w:rsidR="00E74DEC" w:rsidRPr="00186A98" w:rsidRDefault="00E74DEC" w:rsidP="00E74DEC">
      <w:pPr>
        <w:rPr>
          <w:rFonts w:ascii="Times New Roman" w:hAnsi="Times New Roman"/>
          <w:b/>
          <w:bCs/>
          <w:sz w:val="22"/>
          <w:szCs w:val="22"/>
          <w:lang w:val="lt-LT" w:eastAsia="lt-LT"/>
        </w:rPr>
      </w:pPr>
    </w:p>
    <w:p w:rsidR="00E74DEC" w:rsidRPr="00186A98" w:rsidRDefault="00E74DEC" w:rsidP="00186A98">
      <w:pPr>
        <w:ind w:left="567" w:hanging="567"/>
        <w:rPr>
          <w:rFonts w:ascii="Times New Roman" w:hAnsi="Times New Roman"/>
          <w:b/>
          <w:bCs/>
          <w:sz w:val="22"/>
          <w:szCs w:val="22"/>
          <w:lang w:val="lt-LT" w:eastAsia="lt-LT"/>
        </w:rPr>
      </w:pPr>
      <w:r w:rsidRPr="00186A98">
        <w:rPr>
          <w:rFonts w:ascii="Times New Roman" w:hAnsi="Times New Roman"/>
          <w:b/>
          <w:bCs/>
          <w:sz w:val="22"/>
          <w:szCs w:val="22"/>
          <w:lang w:val="lt-LT" w:eastAsia="lt-LT"/>
        </w:rPr>
        <w:t>4.8</w:t>
      </w:r>
      <w:r w:rsidRPr="00186A98">
        <w:rPr>
          <w:rFonts w:ascii="Times New Roman" w:hAnsi="Times New Roman"/>
          <w:b/>
          <w:bCs/>
          <w:sz w:val="22"/>
          <w:szCs w:val="22"/>
          <w:lang w:val="lt-LT" w:eastAsia="lt-LT"/>
        </w:rPr>
        <w:tab/>
        <w:t>Nepageidaujamas poveikis</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Nepageidaujamo poveikio dažnis apibūdinamas taip: labai dažnas (≥ 1/10), dažnas (nuo ≥ 1/100 iki &lt; 1/10), nedažnas (nuo ≥ 1/1 000 iki &lt; 1/100), retas (nuo ≥ 1/10 000 iki &lt; 1/1000), labai retas (&lt; 1/10 000) ir nežinomas (negali būti apskaičiuotas pagal turimus duomenis).</w:t>
      </w:r>
    </w:p>
    <w:p w:rsidR="00E74DEC" w:rsidRPr="00186A98" w:rsidRDefault="00E74DEC" w:rsidP="00E74DEC">
      <w:pPr>
        <w:rPr>
          <w:rFonts w:ascii="Times New Roman" w:hAnsi="Times New Roman"/>
          <w:noProof/>
          <w:sz w:val="22"/>
          <w:szCs w:val="22"/>
          <w:lang w:val="lt-LT" w:eastAsia="lt-LT"/>
        </w:rPr>
      </w:pPr>
    </w:p>
    <w:p w:rsidR="00E74DEC" w:rsidRPr="00186A98" w:rsidRDefault="00E74DEC" w:rsidP="00E74DEC">
      <w:pPr>
        <w:rPr>
          <w:rFonts w:ascii="Times New Roman" w:hAnsi="Times New Roman"/>
          <w:noProof/>
          <w:sz w:val="22"/>
          <w:szCs w:val="22"/>
          <w:lang w:val="lt-LT" w:eastAsia="lt-LT"/>
        </w:rPr>
      </w:pPr>
      <w:r w:rsidRPr="00186A98">
        <w:rPr>
          <w:rFonts w:ascii="Times New Roman" w:hAnsi="Times New Roman"/>
          <w:iCs/>
          <w:sz w:val="22"/>
          <w:szCs w:val="22"/>
          <w:lang w:val="lt-LT" w:eastAsia="lt-LT"/>
        </w:rPr>
        <w:t>Nepageidaujamų reakcijų santrauka</w:t>
      </w:r>
    </w:p>
    <w:tbl>
      <w:tblPr>
        <w:tblW w:w="933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5"/>
        <w:gridCol w:w="2376"/>
        <w:gridCol w:w="4315"/>
      </w:tblGrid>
      <w:tr w:rsidR="00E74DEC" w:rsidRPr="00186A98" w:rsidTr="00C432F5">
        <w:tc>
          <w:tcPr>
            <w:tcW w:w="2645" w:type="dxa"/>
            <w:tcBorders>
              <w:top w:val="single" w:sz="12" w:space="0" w:color="auto"/>
              <w:left w:val="nil"/>
              <w:bottom w:val="single" w:sz="12" w:space="0" w:color="auto"/>
              <w:right w:val="nil"/>
            </w:tcBorders>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Organų sistemų klasė</w:t>
            </w:r>
          </w:p>
        </w:tc>
        <w:tc>
          <w:tcPr>
            <w:tcW w:w="2375" w:type="dxa"/>
            <w:tcBorders>
              <w:top w:val="single" w:sz="12" w:space="0" w:color="auto"/>
              <w:left w:val="nil"/>
              <w:bottom w:val="single" w:sz="12" w:space="0" w:color="auto"/>
              <w:right w:val="nil"/>
            </w:tcBorders>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Dažnis</w:t>
            </w:r>
          </w:p>
        </w:tc>
        <w:tc>
          <w:tcPr>
            <w:tcW w:w="4314" w:type="dxa"/>
            <w:tcBorders>
              <w:top w:val="single" w:sz="12" w:space="0" w:color="auto"/>
              <w:left w:val="nil"/>
              <w:bottom w:val="single" w:sz="12" w:space="0" w:color="auto"/>
              <w:right w:val="nil"/>
            </w:tcBorders>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150 mg bikalutamido (monoterapija)</w:t>
            </w:r>
          </w:p>
        </w:tc>
      </w:tr>
      <w:tr w:rsidR="00E74DEC" w:rsidRPr="00186A98" w:rsidTr="00C432F5">
        <w:tc>
          <w:tcPr>
            <w:tcW w:w="2645" w:type="dxa"/>
            <w:tcBorders>
              <w:top w:val="single" w:sz="12" w:space="0" w:color="auto"/>
              <w:left w:val="nil"/>
              <w:bottom w:val="single" w:sz="4" w:space="0" w:color="auto"/>
              <w:right w:val="nil"/>
            </w:tcBorders>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Kraujo ir limfinės sistemos sutrikimai</w:t>
            </w:r>
          </w:p>
        </w:tc>
        <w:tc>
          <w:tcPr>
            <w:tcW w:w="2375" w:type="dxa"/>
            <w:tcBorders>
              <w:top w:val="single" w:sz="12" w:space="0" w:color="auto"/>
              <w:left w:val="nil"/>
              <w:bottom w:val="single" w:sz="4" w:space="0" w:color="auto"/>
              <w:right w:val="nil"/>
            </w:tcBorders>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dažnas</w:t>
            </w:r>
          </w:p>
        </w:tc>
        <w:tc>
          <w:tcPr>
            <w:tcW w:w="4314" w:type="dxa"/>
            <w:tcBorders>
              <w:top w:val="single" w:sz="12" w:space="0" w:color="auto"/>
              <w:left w:val="nil"/>
              <w:bottom w:val="single" w:sz="4" w:space="0" w:color="auto"/>
              <w:right w:val="nil"/>
            </w:tcBorders>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anemija</w:t>
            </w:r>
          </w:p>
        </w:tc>
      </w:tr>
      <w:tr w:rsidR="00E74DEC" w:rsidRPr="00186A98" w:rsidTr="00C432F5">
        <w:tc>
          <w:tcPr>
            <w:tcW w:w="2645" w:type="dxa"/>
            <w:tcBorders>
              <w:top w:val="single" w:sz="12" w:space="0" w:color="auto"/>
              <w:left w:val="nil"/>
              <w:bottom w:val="single" w:sz="4" w:space="0" w:color="auto"/>
              <w:right w:val="nil"/>
            </w:tcBorders>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Imuninės sistemos sutrikimai</w:t>
            </w:r>
          </w:p>
        </w:tc>
        <w:tc>
          <w:tcPr>
            <w:tcW w:w="2375" w:type="dxa"/>
            <w:tcBorders>
              <w:top w:val="single" w:sz="12" w:space="0" w:color="auto"/>
              <w:left w:val="nil"/>
              <w:bottom w:val="single" w:sz="4" w:space="0" w:color="auto"/>
              <w:right w:val="nil"/>
            </w:tcBorders>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nedažnas</w:t>
            </w:r>
          </w:p>
        </w:tc>
        <w:tc>
          <w:tcPr>
            <w:tcW w:w="4314" w:type="dxa"/>
            <w:tcBorders>
              <w:top w:val="single" w:sz="12" w:space="0" w:color="auto"/>
              <w:left w:val="nil"/>
              <w:bottom w:val="single" w:sz="4" w:space="0" w:color="auto"/>
              <w:right w:val="nil"/>
            </w:tcBorders>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padidėjęs jautrumas, angioedema ir dilgėlinė</w:t>
            </w:r>
          </w:p>
        </w:tc>
      </w:tr>
      <w:tr w:rsidR="00E74DEC" w:rsidRPr="00186A98" w:rsidTr="00C432F5">
        <w:trPr>
          <w:trHeight w:val="719"/>
        </w:trPr>
        <w:tc>
          <w:tcPr>
            <w:tcW w:w="2645" w:type="dxa"/>
            <w:tcBorders>
              <w:top w:val="single" w:sz="4" w:space="0" w:color="auto"/>
              <w:left w:val="nil"/>
              <w:bottom w:val="single" w:sz="4" w:space="0" w:color="auto"/>
              <w:right w:val="nil"/>
            </w:tcBorders>
            <w:hideMark/>
          </w:tcPr>
          <w:p w:rsidR="00E74DEC" w:rsidRPr="00186A98" w:rsidRDefault="00E74DEC" w:rsidP="00E74DEC">
            <w:pPr>
              <w:rPr>
                <w:rFonts w:ascii="Times New Roman" w:hAnsi="Times New Roman"/>
                <w:sz w:val="22"/>
                <w:szCs w:val="22"/>
                <w:lang w:eastAsia="lt-LT"/>
              </w:rPr>
            </w:pPr>
            <w:r w:rsidRPr="00186A98">
              <w:rPr>
                <w:rFonts w:ascii="Times New Roman" w:hAnsi="Times New Roman"/>
                <w:bCs/>
                <w:sz w:val="22"/>
                <w:szCs w:val="22"/>
                <w:lang w:val="lt-LT" w:eastAsia="lt-LT"/>
              </w:rPr>
              <w:t>Metabolizmo ir mitybos sutrikimai</w:t>
            </w:r>
          </w:p>
        </w:tc>
        <w:tc>
          <w:tcPr>
            <w:tcW w:w="2375" w:type="dxa"/>
            <w:tcBorders>
              <w:top w:val="single" w:sz="4" w:space="0" w:color="auto"/>
              <w:left w:val="nil"/>
              <w:bottom w:val="single" w:sz="4" w:space="0" w:color="auto"/>
              <w:right w:val="nil"/>
            </w:tcBorders>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dažnas</w:t>
            </w:r>
          </w:p>
        </w:tc>
        <w:tc>
          <w:tcPr>
            <w:tcW w:w="4314" w:type="dxa"/>
            <w:tcBorders>
              <w:top w:val="single" w:sz="4" w:space="0" w:color="auto"/>
              <w:left w:val="nil"/>
              <w:bottom w:val="single" w:sz="4" w:space="0" w:color="auto"/>
              <w:right w:val="nil"/>
            </w:tcBorders>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sumažėjęs apetitas</w:t>
            </w:r>
          </w:p>
        </w:tc>
      </w:tr>
      <w:tr w:rsidR="00E74DEC" w:rsidRPr="00186A98" w:rsidTr="00C432F5">
        <w:tc>
          <w:tcPr>
            <w:tcW w:w="2645" w:type="dxa"/>
            <w:tcBorders>
              <w:top w:val="single" w:sz="4" w:space="0" w:color="auto"/>
              <w:left w:val="nil"/>
              <w:bottom w:val="single" w:sz="4" w:space="0" w:color="auto"/>
              <w:right w:val="nil"/>
            </w:tcBorders>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Psichikos sutrikimai</w:t>
            </w:r>
          </w:p>
        </w:tc>
        <w:tc>
          <w:tcPr>
            <w:tcW w:w="2375" w:type="dxa"/>
            <w:tcBorders>
              <w:top w:val="single" w:sz="4" w:space="0" w:color="auto"/>
              <w:left w:val="nil"/>
              <w:bottom w:val="single" w:sz="4" w:space="0" w:color="auto"/>
              <w:right w:val="nil"/>
            </w:tcBorders>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dažnas</w:t>
            </w:r>
          </w:p>
        </w:tc>
        <w:tc>
          <w:tcPr>
            <w:tcW w:w="4314" w:type="dxa"/>
            <w:tcBorders>
              <w:top w:val="single" w:sz="4" w:space="0" w:color="auto"/>
              <w:left w:val="nil"/>
              <w:bottom w:val="single" w:sz="4" w:space="0" w:color="auto"/>
              <w:right w:val="nil"/>
            </w:tcBorders>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sumažėjęs lytinis potraukis, depresija</w:t>
            </w:r>
          </w:p>
        </w:tc>
      </w:tr>
      <w:tr w:rsidR="00E74DEC" w:rsidRPr="00186A98" w:rsidTr="00C432F5">
        <w:tc>
          <w:tcPr>
            <w:tcW w:w="2645" w:type="dxa"/>
            <w:tcBorders>
              <w:top w:val="single" w:sz="4" w:space="0" w:color="auto"/>
              <w:left w:val="nil"/>
              <w:bottom w:val="nil"/>
              <w:right w:val="nil"/>
            </w:tcBorders>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Nervų sistemos sutrikimai</w:t>
            </w:r>
          </w:p>
        </w:tc>
        <w:tc>
          <w:tcPr>
            <w:tcW w:w="2375" w:type="dxa"/>
            <w:tcBorders>
              <w:top w:val="single" w:sz="4" w:space="0" w:color="auto"/>
              <w:left w:val="nil"/>
              <w:bottom w:val="nil"/>
              <w:right w:val="nil"/>
            </w:tcBorders>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dažnas</w:t>
            </w:r>
          </w:p>
        </w:tc>
        <w:tc>
          <w:tcPr>
            <w:tcW w:w="4314" w:type="dxa"/>
            <w:tcBorders>
              <w:top w:val="single" w:sz="4" w:space="0" w:color="auto"/>
              <w:left w:val="nil"/>
              <w:bottom w:val="nil"/>
              <w:right w:val="nil"/>
            </w:tcBorders>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svaigulys, mieguistumas</w:t>
            </w:r>
          </w:p>
        </w:tc>
      </w:tr>
      <w:tr w:rsidR="00E74DEC" w:rsidRPr="00186A98" w:rsidTr="00C432F5">
        <w:tc>
          <w:tcPr>
            <w:tcW w:w="2645" w:type="dxa"/>
            <w:tcBorders>
              <w:top w:val="single" w:sz="4" w:space="0" w:color="auto"/>
              <w:left w:val="nil"/>
              <w:bottom w:val="nil"/>
              <w:right w:val="nil"/>
            </w:tcBorders>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Širdies sutrikimai</w:t>
            </w:r>
          </w:p>
        </w:tc>
        <w:tc>
          <w:tcPr>
            <w:tcW w:w="2375" w:type="dxa"/>
            <w:tcBorders>
              <w:top w:val="single" w:sz="4" w:space="0" w:color="auto"/>
              <w:left w:val="nil"/>
              <w:bottom w:val="nil"/>
              <w:right w:val="nil"/>
            </w:tcBorders>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dažnis nežinomas</w:t>
            </w:r>
          </w:p>
        </w:tc>
        <w:tc>
          <w:tcPr>
            <w:tcW w:w="4314" w:type="dxa"/>
            <w:tcBorders>
              <w:top w:val="single" w:sz="4" w:space="0" w:color="auto"/>
              <w:left w:val="nil"/>
              <w:bottom w:val="nil"/>
              <w:right w:val="nil"/>
            </w:tcBorders>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QT intervalo pailgėjimas (žr. 4.4 ir 4.5 skyrius)</w:t>
            </w:r>
          </w:p>
        </w:tc>
      </w:tr>
      <w:tr w:rsidR="00E74DEC" w:rsidRPr="00186A98" w:rsidTr="00C432F5">
        <w:tc>
          <w:tcPr>
            <w:tcW w:w="2645" w:type="dxa"/>
            <w:tcBorders>
              <w:top w:val="single" w:sz="4" w:space="0" w:color="auto"/>
              <w:left w:val="nil"/>
              <w:bottom w:val="nil"/>
              <w:right w:val="nil"/>
            </w:tcBorders>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Kraujagyslių sutrikimai</w:t>
            </w:r>
          </w:p>
        </w:tc>
        <w:tc>
          <w:tcPr>
            <w:tcW w:w="2375" w:type="dxa"/>
            <w:tcBorders>
              <w:top w:val="single" w:sz="4" w:space="0" w:color="auto"/>
              <w:left w:val="nil"/>
              <w:bottom w:val="nil"/>
              <w:right w:val="nil"/>
            </w:tcBorders>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dažnai</w:t>
            </w:r>
          </w:p>
        </w:tc>
        <w:tc>
          <w:tcPr>
            <w:tcW w:w="4314" w:type="dxa"/>
            <w:tcBorders>
              <w:top w:val="single" w:sz="4" w:space="0" w:color="auto"/>
              <w:left w:val="nil"/>
              <w:bottom w:val="nil"/>
              <w:right w:val="nil"/>
            </w:tcBorders>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karščio pylimas</w:t>
            </w:r>
          </w:p>
        </w:tc>
      </w:tr>
      <w:tr w:rsidR="00E74DEC" w:rsidRPr="00186A98" w:rsidTr="00C432F5">
        <w:tc>
          <w:tcPr>
            <w:tcW w:w="2645" w:type="dxa"/>
            <w:tcBorders>
              <w:top w:val="single" w:sz="4" w:space="0" w:color="auto"/>
              <w:left w:val="nil"/>
              <w:bottom w:val="single" w:sz="4" w:space="0" w:color="auto"/>
              <w:right w:val="nil"/>
            </w:tcBorders>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Kvėpavimo sistemos, krūtinės ląstos ir tarpuplaučio sutrikimai</w:t>
            </w:r>
          </w:p>
        </w:tc>
        <w:tc>
          <w:tcPr>
            <w:tcW w:w="2375" w:type="dxa"/>
            <w:tcBorders>
              <w:top w:val="single" w:sz="4" w:space="0" w:color="auto"/>
              <w:left w:val="nil"/>
              <w:bottom w:val="single" w:sz="4" w:space="0" w:color="auto"/>
              <w:right w:val="nil"/>
            </w:tcBorders>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nedažnas</w:t>
            </w:r>
          </w:p>
        </w:tc>
        <w:tc>
          <w:tcPr>
            <w:tcW w:w="4314" w:type="dxa"/>
            <w:tcBorders>
              <w:top w:val="single" w:sz="4" w:space="0" w:color="auto"/>
              <w:left w:val="nil"/>
              <w:bottom w:val="single" w:sz="4" w:space="0" w:color="auto"/>
              <w:right w:val="nil"/>
            </w:tcBorders>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intersticinė plaučių liga</w:t>
            </w:r>
            <w:r w:rsidRPr="00186A98">
              <w:rPr>
                <w:rFonts w:ascii="Times New Roman" w:hAnsi="Times New Roman"/>
                <w:sz w:val="22"/>
                <w:szCs w:val="22"/>
                <w:vertAlign w:val="superscript"/>
                <w:lang w:val="lt-LT" w:eastAsia="lt-LT"/>
              </w:rPr>
              <w:t xml:space="preserve"> (</w:t>
            </w:r>
            <w:r w:rsidRPr="00186A98">
              <w:rPr>
                <w:rFonts w:ascii="Times New Roman" w:hAnsi="Times New Roman"/>
                <w:sz w:val="22"/>
                <w:szCs w:val="22"/>
                <w:lang w:val="lt-LT" w:eastAsia="lt-LT"/>
              </w:rPr>
              <w:t xml:space="preserve"> gauta pranešimų apie mirties atvejus)</w:t>
            </w:r>
          </w:p>
        </w:tc>
      </w:tr>
      <w:tr w:rsidR="00E74DEC" w:rsidRPr="00186A98" w:rsidTr="00C432F5">
        <w:tc>
          <w:tcPr>
            <w:tcW w:w="2645" w:type="dxa"/>
            <w:tcBorders>
              <w:top w:val="single" w:sz="4" w:space="0" w:color="auto"/>
              <w:left w:val="nil"/>
              <w:bottom w:val="nil"/>
              <w:right w:val="nil"/>
            </w:tcBorders>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Virškinimo trakto sutrikimai</w:t>
            </w:r>
          </w:p>
        </w:tc>
        <w:tc>
          <w:tcPr>
            <w:tcW w:w="2375" w:type="dxa"/>
            <w:tcBorders>
              <w:top w:val="single" w:sz="4" w:space="0" w:color="auto"/>
              <w:left w:val="nil"/>
              <w:bottom w:val="nil"/>
              <w:right w:val="nil"/>
            </w:tcBorders>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dažnas</w:t>
            </w:r>
          </w:p>
        </w:tc>
        <w:tc>
          <w:tcPr>
            <w:tcW w:w="4314" w:type="dxa"/>
            <w:tcBorders>
              <w:top w:val="single" w:sz="4" w:space="0" w:color="auto"/>
              <w:left w:val="nil"/>
              <w:bottom w:val="nil"/>
              <w:right w:val="nil"/>
            </w:tcBorders>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pilvo skausmas, vidurių užkietėjimas, pykinimas, dispepsija, flatulencija</w:t>
            </w:r>
          </w:p>
        </w:tc>
      </w:tr>
      <w:tr w:rsidR="00E74DEC" w:rsidRPr="00186A98" w:rsidTr="00C432F5">
        <w:tc>
          <w:tcPr>
            <w:tcW w:w="2645" w:type="dxa"/>
            <w:tcBorders>
              <w:top w:val="single" w:sz="4" w:space="0" w:color="auto"/>
              <w:left w:val="nil"/>
              <w:bottom w:val="nil"/>
              <w:right w:val="nil"/>
            </w:tcBorders>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Kepenų ir tulžies sistemos sutrikimai</w:t>
            </w:r>
          </w:p>
        </w:tc>
        <w:tc>
          <w:tcPr>
            <w:tcW w:w="2375" w:type="dxa"/>
            <w:tcBorders>
              <w:top w:val="single" w:sz="4" w:space="0" w:color="auto"/>
              <w:left w:val="nil"/>
              <w:bottom w:val="nil"/>
              <w:right w:val="nil"/>
            </w:tcBorders>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dažnas</w:t>
            </w:r>
          </w:p>
        </w:tc>
        <w:tc>
          <w:tcPr>
            <w:tcW w:w="4314" w:type="dxa"/>
            <w:tcBorders>
              <w:top w:val="single" w:sz="4" w:space="0" w:color="auto"/>
              <w:left w:val="nil"/>
              <w:bottom w:val="nil"/>
              <w:right w:val="nil"/>
            </w:tcBorders>
            <w:hideMark/>
          </w:tcPr>
          <w:p w:rsidR="00E74DEC" w:rsidRPr="00186A98" w:rsidRDefault="00E74DEC" w:rsidP="00E74DEC">
            <w:pPr>
              <w:rPr>
                <w:rFonts w:ascii="Times New Roman" w:hAnsi="Times New Roman"/>
                <w:strike/>
                <w:sz w:val="22"/>
                <w:szCs w:val="22"/>
                <w:lang w:val="lt-LT" w:eastAsia="lt-LT"/>
              </w:rPr>
            </w:pPr>
            <w:r w:rsidRPr="00186A98">
              <w:rPr>
                <w:rFonts w:ascii="Times New Roman" w:hAnsi="Times New Roman"/>
                <w:noProof/>
                <w:sz w:val="22"/>
                <w:szCs w:val="22"/>
                <w:lang w:val="lt-LT" w:eastAsia="lt-LT"/>
              </w:rPr>
              <w:t>hepatotoksinis poveikis, gelta, padidėjęs transaminazių aktyvumas</w:t>
            </w:r>
            <w:r w:rsidRPr="00186A98">
              <w:rPr>
                <w:rFonts w:ascii="Times New Roman" w:hAnsi="Times New Roman"/>
                <w:noProof/>
                <w:sz w:val="22"/>
                <w:szCs w:val="22"/>
                <w:vertAlign w:val="superscript"/>
                <w:lang w:val="lt-LT" w:eastAsia="lt-LT"/>
              </w:rPr>
              <w:t>2</w:t>
            </w:r>
          </w:p>
        </w:tc>
      </w:tr>
      <w:tr w:rsidR="00E74DEC" w:rsidRPr="00186A98" w:rsidTr="00C432F5">
        <w:tc>
          <w:tcPr>
            <w:tcW w:w="2645" w:type="dxa"/>
            <w:tcBorders>
              <w:top w:val="nil"/>
              <w:left w:val="nil"/>
              <w:bottom w:val="single" w:sz="4" w:space="0" w:color="auto"/>
              <w:right w:val="nil"/>
            </w:tcBorders>
          </w:tcPr>
          <w:p w:rsidR="00E74DEC" w:rsidRPr="00186A98" w:rsidRDefault="00E74DEC" w:rsidP="00E74DEC">
            <w:pPr>
              <w:rPr>
                <w:rFonts w:ascii="Times New Roman" w:hAnsi="Times New Roman"/>
                <w:sz w:val="22"/>
                <w:szCs w:val="22"/>
                <w:lang w:val="lt-LT" w:eastAsia="lt-LT"/>
              </w:rPr>
            </w:pPr>
          </w:p>
        </w:tc>
        <w:tc>
          <w:tcPr>
            <w:tcW w:w="2375" w:type="dxa"/>
            <w:tcBorders>
              <w:top w:val="nil"/>
              <w:left w:val="nil"/>
              <w:bottom w:val="single" w:sz="4" w:space="0" w:color="auto"/>
              <w:right w:val="nil"/>
            </w:tcBorders>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retas</w:t>
            </w:r>
          </w:p>
          <w:p w:rsidR="00E74DEC" w:rsidRPr="00186A98" w:rsidRDefault="00E74DEC" w:rsidP="00E74DEC">
            <w:pPr>
              <w:rPr>
                <w:rFonts w:ascii="Times New Roman" w:hAnsi="Times New Roman"/>
                <w:sz w:val="22"/>
                <w:szCs w:val="22"/>
                <w:lang w:val="lt-LT" w:eastAsia="lt-LT"/>
              </w:rPr>
            </w:pPr>
          </w:p>
        </w:tc>
        <w:tc>
          <w:tcPr>
            <w:tcW w:w="4314" w:type="dxa"/>
            <w:tcBorders>
              <w:top w:val="nil"/>
              <w:left w:val="nil"/>
              <w:bottom w:val="single" w:sz="4" w:space="0" w:color="auto"/>
              <w:right w:val="nil"/>
            </w:tcBorders>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kepenų nepakankamumas (gauta pranešimų apie mirties atvejus)</w:t>
            </w:r>
          </w:p>
        </w:tc>
      </w:tr>
      <w:tr w:rsidR="00E74DEC" w:rsidRPr="00186A98" w:rsidTr="00C432F5">
        <w:tc>
          <w:tcPr>
            <w:tcW w:w="2645" w:type="dxa"/>
            <w:tcBorders>
              <w:top w:val="nil"/>
              <w:left w:val="nil"/>
              <w:bottom w:val="single" w:sz="4" w:space="0" w:color="auto"/>
              <w:right w:val="nil"/>
            </w:tcBorders>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Odos ir poodinio audinio sutrikimai</w:t>
            </w:r>
          </w:p>
        </w:tc>
        <w:tc>
          <w:tcPr>
            <w:tcW w:w="2375" w:type="dxa"/>
            <w:tcBorders>
              <w:top w:val="nil"/>
              <w:left w:val="nil"/>
              <w:bottom w:val="single" w:sz="4" w:space="0" w:color="auto"/>
              <w:right w:val="nil"/>
            </w:tcBorders>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labai dažnas</w:t>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dažnas</w:t>
            </w:r>
          </w:p>
          <w:p w:rsidR="00C432F5" w:rsidRPr="00186A98" w:rsidRDefault="00C432F5" w:rsidP="00E74DEC">
            <w:pPr>
              <w:rPr>
                <w:rFonts w:ascii="Times New Roman" w:hAnsi="Times New Roman"/>
                <w:sz w:val="22"/>
                <w:szCs w:val="22"/>
                <w:lang w:val="lt-LT" w:eastAsia="lt-LT"/>
              </w:rPr>
            </w:pPr>
          </w:p>
          <w:p w:rsidR="00C432F5" w:rsidRPr="00186A98" w:rsidRDefault="00C432F5" w:rsidP="00E74DEC">
            <w:pPr>
              <w:rPr>
                <w:rFonts w:ascii="Times New Roman" w:hAnsi="Times New Roman"/>
                <w:sz w:val="22"/>
                <w:szCs w:val="22"/>
                <w:lang w:val="lt-LT" w:eastAsia="lt-LT"/>
              </w:rPr>
            </w:pPr>
            <w:r w:rsidRPr="00186A98">
              <w:rPr>
                <w:rFonts w:ascii="Times New Roman" w:hAnsi="Times New Roman"/>
                <w:sz w:val="22"/>
                <w:szCs w:val="22"/>
                <w:lang w:val="lt-LT" w:eastAsia="lt-LT"/>
              </w:rPr>
              <w:t xml:space="preserve">retas                                     </w:t>
            </w:r>
          </w:p>
        </w:tc>
        <w:tc>
          <w:tcPr>
            <w:tcW w:w="4314" w:type="dxa"/>
            <w:tcBorders>
              <w:top w:val="nil"/>
              <w:left w:val="nil"/>
              <w:bottom w:val="single" w:sz="4" w:space="0" w:color="auto"/>
              <w:right w:val="nil"/>
            </w:tcBorders>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bėrimas</w:t>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alopecija, hirsutizmas / plaukų ataugimas, odos sausmė, niežėjimas</w:t>
            </w:r>
          </w:p>
          <w:p w:rsidR="00C432F5" w:rsidRPr="00186A98" w:rsidRDefault="00C432F5" w:rsidP="00E74DEC">
            <w:pPr>
              <w:rPr>
                <w:rFonts w:ascii="Times New Roman" w:hAnsi="Times New Roman"/>
                <w:sz w:val="22"/>
                <w:szCs w:val="22"/>
                <w:lang w:val="lt-LT" w:eastAsia="lt-LT"/>
              </w:rPr>
            </w:pPr>
            <w:r w:rsidRPr="00186A98">
              <w:rPr>
                <w:rFonts w:ascii="Times New Roman" w:hAnsi="Times New Roman"/>
                <w:sz w:val="22"/>
                <w:szCs w:val="22"/>
                <w:lang w:val="lt-LT" w:eastAsia="lt-LT"/>
              </w:rPr>
              <w:t>padidėjusio jautrumo šviesai reakcija</w:t>
            </w:r>
          </w:p>
        </w:tc>
      </w:tr>
      <w:tr w:rsidR="00E74DEC" w:rsidRPr="00186A98" w:rsidTr="00C432F5">
        <w:tc>
          <w:tcPr>
            <w:tcW w:w="2645" w:type="dxa"/>
            <w:tcBorders>
              <w:top w:val="single" w:sz="4" w:space="0" w:color="auto"/>
              <w:left w:val="nil"/>
              <w:bottom w:val="nil"/>
              <w:right w:val="nil"/>
            </w:tcBorders>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Inkstų ir šlapimo takų sutrikimai</w:t>
            </w:r>
          </w:p>
        </w:tc>
        <w:tc>
          <w:tcPr>
            <w:tcW w:w="2375" w:type="dxa"/>
            <w:tcBorders>
              <w:top w:val="single" w:sz="4" w:space="0" w:color="auto"/>
              <w:left w:val="nil"/>
              <w:bottom w:val="nil"/>
              <w:right w:val="nil"/>
            </w:tcBorders>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dažnas</w:t>
            </w:r>
          </w:p>
        </w:tc>
        <w:tc>
          <w:tcPr>
            <w:tcW w:w="4314" w:type="dxa"/>
            <w:tcBorders>
              <w:top w:val="single" w:sz="4" w:space="0" w:color="auto"/>
              <w:left w:val="nil"/>
              <w:bottom w:val="nil"/>
              <w:right w:val="nil"/>
            </w:tcBorders>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hematurija</w:t>
            </w:r>
          </w:p>
        </w:tc>
      </w:tr>
      <w:tr w:rsidR="00E74DEC" w:rsidRPr="00186A98" w:rsidTr="00C432F5">
        <w:tc>
          <w:tcPr>
            <w:tcW w:w="2645" w:type="dxa"/>
            <w:tcBorders>
              <w:top w:val="single" w:sz="4" w:space="0" w:color="auto"/>
              <w:left w:val="nil"/>
              <w:bottom w:val="nil"/>
              <w:right w:val="nil"/>
            </w:tcBorders>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Lytinės sistemos ir krūties sutrikimai</w:t>
            </w:r>
          </w:p>
        </w:tc>
        <w:tc>
          <w:tcPr>
            <w:tcW w:w="2375" w:type="dxa"/>
            <w:tcBorders>
              <w:top w:val="single" w:sz="4" w:space="0" w:color="auto"/>
              <w:left w:val="nil"/>
              <w:bottom w:val="nil"/>
              <w:right w:val="nil"/>
            </w:tcBorders>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labai dažnas</w:t>
            </w:r>
          </w:p>
        </w:tc>
        <w:tc>
          <w:tcPr>
            <w:tcW w:w="4314" w:type="dxa"/>
            <w:tcBorders>
              <w:top w:val="single" w:sz="4" w:space="0" w:color="auto"/>
              <w:left w:val="nil"/>
              <w:bottom w:val="nil"/>
              <w:right w:val="nil"/>
            </w:tcBorders>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ginekomastija ir krūtų skausmingumas</w:t>
            </w:r>
            <w:r w:rsidRPr="00186A98">
              <w:rPr>
                <w:rFonts w:ascii="Times New Roman" w:hAnsi="Times New Roman"/>
                <w:sz w:val="22"/>
                <w:szCs w:val="22"/>
                <w:vertAlign w:val="superscript"/>
                <w:lang w:val="lt-LT" w:eastAsia="lt-LT"/>
              </w:rPr>
              <w:t>1</w:t>
            </w:r>
            <w:r w:rsidRPr="00186A98">
              <w:rPr>
                <w:rFonts w:ascii="Times New Roman" w:hAnsi="Times New Roman"/>
                <w:sz w:val="22"/>
                <w:szCs w:val="22"/>
                <w:lang w:val="lt-LT" w:eastAsia="lt-LT"/>
              </w:rPr>
              <w:t xml:space="preserve"> </w:t>
            </w:r>
          </w:p>
        </w:tc>
      </w:tr>
      <w:tr w:rsidR="00E74DEC" w:rsidRPr="00186A98" w:rsidTr="00C432F5">
        <w:tc>
          <w:tcPr>
            <w:tcW w:w="2645" w:type="dxa"/>
            <w:tcBorders>
              <w:top w:val="nil"/>
              <w:left w:val="nil"/>
              <w:bottom w:val="single" w:sz="4" w:space="0" w:color="auto"/>
              <w:right w:val="nil"/>
            </w:tcBorders>
          </w:tcPr>
          <w:p w:rsidR="00E74DEC" w:rsidRPr="00186A98" w:rsidRDefault="00E74DEC" w:rsidP="00E74DEC">
            <w:pPr>
              <w:rPr>
                <w:rFonts w:ascii="Times New Roman" w:hAnsi="Times New Roman"/>
                <w:sz w:val="22"/>
                <w:szCs w:val="22"/>
                <w:lang w:val="lt-LT" w:eastAsia="lt-LT"/>
              </w:rPr>
            </w:pPr>
          </w:p>
        </w:tc>
        <w:tc>
          <w:tcPr>
            <w:tcW w:w="2375" w:type="dxa"/>
            <w:tcBorders>
              <w:top w:val="nil"/>
              <w:left w:val="nil"/>
              <w:bottom w:val="single" w:sz="4" w:space="0" w:color="auto"/>
              <w:right w:val="nil"/>
            </w:tcBorders>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dažnas</w:t>
            </w:r>
          </w:p>
        </w:tc>
        <w:tc>
          <w:tcPr>
            <w:tcW w:w="4314" w:type="dxa"/>
            <w:tcBorders>
              <w:top w:val="nil"/>
              <w:left w:val="nil"/>
              <w:bottom w:val="single" w:sz="4" w:space="0" w:color="auto"/>
              <w:right w:val="nil"/>
            </w:tcBorders>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 xml:space="preserve"> sutrikusi erekcija</w:t>
            </w:r>
          </w:p>
        </w:tc>
      </w:tr>
      <w:tr w:rsidR="00E74DEC" w:rsidRPr="00186A98" w:rsidTr="00C432F5">
        <w:tc>
          <w:tcPr>
            <w:tcW w:w="2645" w:type="dxa"/>
            <w:tcBorders>
              <w:top w:val="single" w:sz="4" w:space="0" w:color="auto"/>
              <w:left w:val="nil"/>
              <w:bottom w:val="nil"/>
              <w:right w:val="nil"/>
            </w:tcBorders>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Bendrieji sutrikimai ir vartojimo vietos pažeidimai</w:t>
            </w:r>
          </w:p>
        </w:tc>
        <w:tc>
          <w:tcPr>
            <w:tcW w:w="2375" w:type="dxa"/>
            <w:tcBorders>
              <w:top w:val="single" w:sz="4" w:space="0" w:color="auto"/>
              <w:left w:val="nil"/>
              <w:bottom w:val="nil"/>
              <w:right w:val="nil"/>
            </w:tcBorders>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labai dažnas</w:t>
            </w:r>
          </w:p>
          <w:p w:rsidR="00E74DEC" w:rsidRPr="00186A98" w:rsidRDefault="00E74DEC" w:rsidP="00E74DEC">
            <w:pPr>
              <w:rPr>
                <w:rFonts w:ascii="Times New Roman" w:hAnsi="Times New Roman"/>
                <w:sz w:val="22"/>
                <w:szCs w:val="22"/>
                <w:lang w:val="lt-LT" w:eastAsia="lt-LT"/>
              </w:rPr>
            </w:pPr>
          </w:p>
        </w:tc>
        <w:tc>
          <w:tcPr>
            <w:tcW w:w="4314" w:type="dxa"/>
            <w:tcBorders>
              <w:top w:val="single" w:sz="4" w:space="0" w:color="auto"/>
              <w:left w:val="nil"/>
              <w:bottom w:val="nil"/>
              <w:right w:val="nil"/>
            </w:tcBorders>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astenija</w:t>
            </w:r>
          </w:p>
          <w:p w:rsidR="00E74DEC" w:rsidRPr="00186A98" w:rsidRDefault="00E74DEC" w:rsidP="00E74DEC">
            <w:pPr>
              <w:rPr>
                <w:rFonts w:ascii="Times New Roman" w:hAnsi="Times New Roman"/>
                <w:sz w:val="22"/>
                <w:szCs w:val="22"/>
                <w:lang w:val="lt-LT" w:eastAsia="lt-LT"/>
              </w:rPr>
            </w:pPr>
          </w:p>
        </w:tc>
      </w:tr>
      <w:tr w:rsidR="00E74DEC" w:rsidRPr="00186A98" w:rsidTr="00C432F5">
        <w:tc>
          <w:tcPr>
            <w:tcW w:w="2645" w:type="dxa"/>
            <w:tcBorders>
              <w:top w:val="nil"/>
              <w:left w:val="nil"/>
              <w:bottom w:val="single" w:sz="4" w:space="0" w:color="auto"/>
              <w:right w:val="nil"/>
            </w:tcBorders>
          </w:tcPr>
          <w:p w:rsidR="00E74DEC" w:rsidRPr="00186A98" w:rsidRDefault="00E74DEC" w:rsidP="00E74DEC">
            <w:pPr>
              <w:rPr>
                <w:rFonts w:ascii="Times New Roman" w:eastAsia="Calibri" w:hAnsi="Times New Roman"/>
                <w:noProof/>
                <w:sz w:val="22"/>
                <w:szCs w:val="22"/>
                <w:lang w:val="en-US"/>
              </w:rPr>
            </w:pPr>
          </w:p>
        </w:tc>
        <w:tc>
          <w:tcPr>
            <w:tcW w:w="2375" w:type="dxa"/>
            <w:tcBorders>
              <w:top w:val="nil"/>
              <w:left w:val="nil"/>
              <w:bottom w:val="single" w:sz="4" w:space="0" w:color="auto"/>
              <w:right w:val="nil"/>
            </w:tcBorders>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dažnas</w:t>
            </w:r>
          </w:p>
        </w:tc>
        <w:tc>
          <w:tcPr>
            <w:tcW w:w="4314" w:type="dxa"/>
            <w:tcBorders>
              <w:top w:val="nil"/>
              <w:left w:val="nil"/>
              <w:bottom w:val="single" w:sz="4" w:space="0" w:color="auto"/>
              <w:right w:val="nil"/>
            </w:tcBorders>
            <w:hideMark/>
          </w:tcPr>
          <w:p w:rsidR="00E74DEC" w:rsidRPr="00186A98" w:rsidRDefault="00E74DEC" w:rsidP="00E74DEC">
            <w:pPr>
              <w:rPr>
                <w:rFonts w:ascii="Times New Roman" w:eastAsia="Calibri" w:hAnsi="Times New Roman"/>
                <w:noProof/>
                <w:sz w:val="22"/>
                <w:szCs w:val="22"/>
                <w:lang w:val="en-US"/>
              </w:rPr>
            </w:pPr>
            <w:r w:rsidRPr="00186A98">
              <w:rPr>
                <w:rFonts w:ascii="Times New Roman" w:eastAsia="Calibri" w:hAnsi="Times New Roman"/>
                <w:noProof/>
                <w:sz w:val="22"/>
                <w:szCs w:val="22"/>
                <w:lang w:val="en-US"/>
              </w:rPr>
              <w:t>krūtinės skausmas, edema</w:t>
            </w:r>
          </w:p>
        </w:tc>
      </w:tr>
      <w:tr w:rsidR="00E74DEC" w:rsidRPr="00186A98" w:rsidTr="00C432F5">
        <w:tc>
          <w:tcPr>
            <w:tcW w:w="2645" w:type="dxa"/>
            <w:tcBorders>
              <w:top w:val="single" w:sz="4" w:space="0" w:color="auto"/>
              <w:left w:val="nil"/>
              <w:bottom w:val="single" w:sz="4" w:space="0" w:color="auto"/>
              <w:right w:val="nil"/>
            </w:tcBorders>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Tyrimai</w:t>
            </w:r>
          </w:p>
        </w:tc>
        <w:tc>
          <w:tcPr>
            <w:tcW w:w="2375" w:type="dxa"/>
            <w:tcBorders>
              <w:top w:val="single" w:sz="4" w:space="0" w:color="auto"/>
              <w:left w:val="nil"/>
              <w:bottom w:val="single" w:sz="4" w:space="0" w:color="auto"/>
              <w:right w:val="nil"/>
            </w:tcBorders>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dažnas</w:t>
            </w:r>
          </w:p>
        </w:tc>
        <w:tc>
          <w:tcPr>
            <w:tcW w:w="4314" w:type="dxa"/>
            <w:tcBorders>
              <w:top w:val="single" w:sz="4" w:space="0" w:color="auto"/>
              <w:left w:val="nil"/>
              <w:bottom w:val="single" w:sz="4" w:space="0" w:color="auto"/>
              <w:right w:val="nil"/>
            </w:tcBorders>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svorio prieaugis</w:t>
            </w:r>
          </w:p>
        </w:tc>
      </w:tr>
    </w:tbl>
    <w:p w:rsidR="00E74DEC" w:rsidRPr="00186A98" w:rsidRDefault="00E74DEC" w:rsidP="00E74DEC">
      <w:pPr>
        <w:rPr>
          <w:rFonts w:ascii="Times New Roman" w:hAnsi="Times New Roman"/>
          <w:noProof/>
          <w:sz w:val="22"/>
          <w:szCs w:val="22"/>
          <w:lang w:val="lt-LT" w:eastAsia="lt-LT"/>
        </w:rPr>
      </w:pPr>
    </w:p>
    <w:p w:rsidR="00E74DEC" w:rsidRPr="00186A98" w:rsidRDefault="00E74DEC" w:rsidP="00E74DEC">
      <w:pPr>
        <w:rPr>
          <w:rFonts w:ascii="Times New Roman" w:hAnsi="Times New Roman"/>
          <w:noProof/>
          <w:sz w:val="22"/>
          <w:szCs w:val="22"/>
          <w:lang w:val="lt-LT" w:eastAsia="lt-LT"/>
        </w:rPr>
      </w:pPr>
      <w:r w:rsidRPr="00186A98">
        <w:rPr>
          <w:rFonts w:ascii="Times New Roman" w:hAnsi="Times New Roman"/>
          <w:noProof/>
          <w:sz w:val="22"/>
          <w:szCs w:val="22"/>
          <w:vertAlign w:val="superscript"/>
          <w:lang w:val="lt-LT" w:eastAsia="lt-LT"/>
        </w:rPr>
        <w:t>1</w:t>
      </w:r>
      <w:r w:rsidRPr="00186A98">
        <w:rPr>
          <w:rFonts w:ascii="Times New Roman" w:hAnsi="Times New Roman"/>
          <w:noProof/>
          <w:sz w:val="22"/>
          <w:szCs w:val="22"/>
          <w:lang w:val="lt-LT" w:eastAsia="lt-LT"/>
        </w:rPr>
        <w:t xml:space="preserve"> daugumai pacientų, gydytų vien 150 mg bikalutamido, pasireiškė ginekomastija ir (arba) krūtų skausmas. Tyrimų metu šie simptomai vertinti kaip sunkūs iki 5 % pacientų. Nutraukus gydymą, ypač jei jis buvo ilgalaikis, ginekomastija gali nepraeiti savaime.</w:t>
      </w:r>
    </w:p>
    <w:p w:rsidR="00E74DEC" w:rsidRPr="00186A98" w:rsidRDefault="00E74DEC" w:rsidP="00E74DEC">
      <w:pPr>
        <w:rPr>
          <w:rFonts w:ascii="Times New Roman" w:hAnsi="Times New Roman"/>
          <w:noProof/>
          <w:sz w:val="22"/>
          <w:szCs w:val="22"/>
          <w:lang w:val="lt-LT" w:eastAsia="lt-LT"/>
        </w:rPr>
      </w:pPr>
      <w:r w:rsidRPr="00186A98">
        <w:rPr>
          <w:rFonts w:ascii="Times New Roman" w:hAnsi="Times New Roman"/>
          <w:noProof/>
          <w:sz w:val="22"/>
          <w:szCs w:val="22"/>
          <w:vertAlign w:val="superscript"/>
          <w:lang w:val="lt-LT" w:eastAsia="lt-LT"/>
        </w:rPr>
        <w:t>2</w:t>
      </w:r>
      <w:r w:rsidRPr="00186A98">
        <w:rPr>
          <w:rFonts w:ascii="Times New Roman" w:hAnsi="Times New Roman"/>
          <w:noProof/>
          <w:sz w:val="22"/>
          <w:szCs w:val="22"/>
          <w:lang w:val="lt-LT" w:eastAsia="lt-LT"/>
        </w:rPr>
        <w:t>Kepenų pokyčiai retai buvo sunkūs, dažnai jie būdavo trumpalaikiai ir praeidavo arba palengvė</w:t>
      </w:r>
      <w:r w:rsidRPr="00186A98">
        <w:rPr>
          <w:rFonts w:ascii="Times New Roman" w:hAnsi="Times New Roman"/>
          <w:noProof/>
          <w:sz w:val="22"/>
          <w:szCs w:val="22"/>
          <w:lang w:val="lt-LT" w:eastAsia="lt-LT"/>
        </w:rPr>
        <w:softHyphen/>
        <w:t>davo tęsiant gydymą arba jį nutraukus.</w:t>
      </w:r>
    </w:p>
    <w:p w:rsidR="00E74DEC" w:rsidRPr="00186A98" w:rsidRDefault="00E74DEC" w:rsidP="00E74DEC">
      <w:pPr>
        <w:autoSpaceDE w:val="0"/>
        <w:autoSpaceDN w:val="0"/>
        <w:adjustRightInd w:val="0"/>
        <w:jc w:val="both"/>
        <w:rPr>
          <w:rFonts w:ascii="Times New Roman" w:hAnsi="Times New Roman"/>
          <w:noProof/>
          <w:sz w:val="22"/>
          <w:szCs w:val="22"/>
          <w:u w:val="single"/>
          <w:lang w:val="lt-LT" w:eastAsia="lt-LT"/>
        </w:rPr>
      </w:pPr>
    </w:p>
    <w:p w:rsidR="00E74DEC" w:rsidRPr="00186A98" w:rsidRDefault="00E74DEC" w:rsidP="00E74DEC">
      <w:pPr>
        <w:autoSpaceDE w:val="0"/>
        <w:autoSpaceDN w:val="0"/>
        <w:adjustRightInd w:val="0"/>
        <w:jc w:val="both"/>
        <w:rPr>
          <w:rFonts w:ascii="Times New Roman" w:hAnsi="Times New Roman"/>
          <w:sz w:val="22"/>
          <w:szCs w:val="22"/>
          <w:u w:val="single"/>
          <w:lang w:val="lt-LT" w:eastAsia="lt-LT"/>
        </w:rPr>
      </w:pPr>
      <w:r w:rsidRPr="00186A98">
        <w:rPr>
          <w:rFonts w:ascii="Times New Roman" w:hAnsi="Times New Roman"/>
          <w:noProof/>
          <w:sz w:val="22"/>
          <w:szCs w:val="22"/>
          <w:u w:val="single"/>
          <w:lang w:val="lt-LT" w:eastAsia="lt-LT"/>
        </w:rPr>
        <w:t>Pranešimas apie įtariamas nepageidaujamas reakcijas</w:t>
      </w:r>
    </w:p>
    <w:p w:rsidR="00E74DEC" w:rsidRPr="00186A98" w:rsidRDefault="00C432F5" w:rsidP="00E74DEC">
      <w:pPr>
        <w:tabs>
          <w:tab w:val="left" w:pos="567"/>
        </w:tabs>
        <w:spacing w:line="260" w:lineRule="exact"/>
        <w:rPr>
          <w:rFonts w:ascii="Times New Roman" w:hAnsi="Times New Roman"/>
          <w:sz w:val="22"/>
          <w:szCs w:val="22"/>
          <w:lang w:val="lt-LT"/>
        </w:rPr>
      </w:pPr>
      <w:r w:rsidRPr="00186A98">
        <w:rPr>
          <w:rFonts w:ascii="Times New Roman" w:hAnsi="Times New Roman"/>
          <w:noProof/>
          <w:sz w:val="22"/>
          <w:szCs w:val="22"/>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r w:rsidRPr="00186A98" w:rsidDel="00C432F5">
        <w:rPr>
          <w:rFonts w:ascii="Times New Roman" w:hAnsi="Times New Roman"/>
          <w:noProof/>
          <w:sz w:val="22"/>
          <w:szCs w:val="22"/>
          <w:lang w:val="lt-LT"/>
        </w:rPr>
        <w:t xml:space="preserve"> </w:t>
      </w:r>
    </w:p>
    <w:p w:rsidR="00E74DEC" w:rsidRPr="00186A98" w:rsidRDefault="00E74DEC" w:rsidP="00532AEA">
      <w:pPr>
        <w:tabs>
          <w:tab w:val="left" w:pos="567"/>
        </w:tabs>
        <w:spacing w:line="260" w:lineRule="exact"/>
        <w:rPr>
          <w:rFonts w:ascii="Times New Roman" w:hAnsi="Times New Roman"/>
          <w:b/>
          <w:bCs/>
          <w:sz w:val="22"/>
          <w:szCs w:val="22"/>
          <w:lang w:val="lt-LT" w:eastAsia="lt-LT"/>
        </w:rPr>
      </w:pPr>
    </w:p>
    <w:p w:rsidR="00E74DEC" w:rsidRPr="00186A98" w:rsidRDefault="00E74DEC" w:rsidP="00186A98">
      <w:pPr>
        <w:ind w:left="567" w:hanging="567"/>
        <w:rPr>
          <w:rFonts w:ascii="Times New Roman" w:hAnsi="Times New Roman"/>
          <w:b/>
          <w:bCs/>
          <w:sz w:val="22"/>
          <w:szCs w:val="22"/>
          <w:lang w:val="lt-LT" w:eastAsia="lt-LT"/>
        </w:rPr>
      </w:pPr>
      <w:r w:rsidRPr="00186A98">
        <w:rPr>
          <w:rFonts w:ascii="Times New Roman" w:hAnsi="Times New Roman"/>
          <w:b/>
          <w:bCs/>
          <w:sz w:val="22"/>
          <w:szCs w:val="22"/>
          <w:lang w:val="lt-LT" w:eastAsia="lt-LT"/>
        </w:rPr>
        <w:t>4.9</w:t>
      </w:r>
      <w:r w:rsidRPr="00186A98">
        <w:rPr>
          <w:rFonts w:ascii="Times New Roman" w:hAnsi="Times New Roman"/>
          <w:b/>
          <w:bCs/>
          <w:sz w:val="22"/>
          <w:szCs w:val="22"/>
          <w:lang w:val="lt-LT" w:eastAsia="lt-LT"/>
        </w:rPr>
        <w:tab/>
        <w:t>Perdozavimas</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b/>
          <w:bCs/>
          <w:sz w:val="22"/>
          <w:szCs w:val="22"/>
          <w:lang w:val="lt-LT" w:eastAsia="lt-LT"/>
        </w:rPr>
      </w:pPr>
      <w:r w:rsidRPr="00186A98">
        <w:rPr>
          <w:rFonts w:ascii="Times New Roman" w:hAnsi="Times New Roman"/>
          <w:sz w:val="22"/>
          <w:szCs w:val="22"/>
          <w:lang w:val="lt-LT" w:eastAsia="lt-LT"/>
        </w:rPr>
        <w:t xml:space="preserve">Perdozavimo žmonėms atvejų nebuvo. Specifinio priešnuodžio preparatui nėra, todėl perdozavimo atveju reikalingas simptominis gydymas. Dializė gali būti neveiksminga, nes daug bikalutamido prisijungia prie kraujo plazmos baltymų, nepakitusio vaistinio preparato su šlapimu neišsiskiria. Ligonį reikia gydyti įprastinėmis palaikomosiomis priemonėmis ir stebėti gyvybines funkcijas. </w:t>
      </w:r>
    </w:p>
    <w:p w:rsidR="00E74DEC" w:rsidRPr="00186A98" w:rsidRDefault="00E74DEC" w:rsidP="00E74DEC">
      <w:pPr>
        <w:rPr>
          <w:rFonts w:ascii="Times New Roman" w:hAnsi="Times New Roman"/>
          <w:b/>
          <w:bCs/>
          <w:sz w:val="22"/>
          <w:szCs w:val="22"/>
          <w:lang w:val="lt-LT" w:eastAsia="lt-LT"/>
        </w:rPr>
      </w:pPr>
    </w:p>
    <w:p w:rsidR="00E74DEC" w:rsidRPr="00186A98" w:rsidRDefault="00E74DEC" w:rsidP="00E74DEC">
      <w:pPr>
        <w:rPr>
          <w:rFonts w:ascii="Times New Roman" w:hAnsi="Times New Roman"/>
          <w:b/>
          <w:bCs/>
          <w:sz w:val="22"/>
          <w:szCs w:val="22"/>
          <w:lang w:val="lt-LT" w:eastAsia="lt-LT"/>
        </w:rPr>
      </w:pPr>
    </w:p>
    <w:p w:rsidR="00E74DEC" w:rsidRPr="00186A98" w:rsidRDefault="00E74DEC" w:rsidP="00186A98">
      <w:pPr>
        <w:ind w:left="567" w:hanging="567"/>
        <w:rPr>
          <w:rFonts w:ascii="Times New Roman" w:hAnsi="Times New Roman"/>
          <w:b/>
          <w:bCs/>
          <w:sz w:val="22"/>
          <w:szCs w:val="22"/>
          <w:lang w:val="lt-LT" w:eastAsia="lt-LT"/>
        </w:rPr>
      </w:pPr>
      <w:r w:rsidRPr="00186A98">
        <w:rPr>
          <w:rFonts w:ascii="Times New Roman" w:hAnsi="Times New Roman"/>
          <w:b/>
          <w:bCs/>
          <w:sz w:val="22"/>
          <w:szCs w:val="22"/>
          <w:lang w:val="lt-LT" w:eastAsia="lt-LT"/>
        </w:rPr>
        <w:t>5.</w:t>
      </w:r>
      <w:r w:rsidRPr="00186A98">
        <w:rPr>
          <w:rFonts w:ascii="Times New Roman" w:hAnsi="Times New Roman"/>
          <w:b/>
          <w:bCs/>
          <w:sz w:val="22"/>
          <w:szCs w:val="22"/>
          <w:lang w:val="lt-LT" w:eastAsia="lt-LT"/>
        </w:rPr>
        <w:tab/>
        <w:t>FARMAKOLOGINĖS SAVYBĖS</w:t>
      </w:r>
    </w:p>
    <w:p w:rsidR="00E74DEC" w:rsidRPr="00186A98" w:rsidRDefault="00E74DEC" w:rsidP="00E74DEC">
      <w:pPr>
        <w:rPr>
          <w:rFonts w:ascii="Times New Roman" w:hAnsi="Times New Roman"/>
          <w:b/>
          <w:bCs/>
          <w:sz w:val="22"/>
          <w:szCs w:val="22"/>
          <w:lang w:val="lt-LT" w:eastAsia="lt-LT"/>
        </w:rPr>
      </w:pPr>
    </w:p>
    <w:p w:rsidR="00E74DEC" w:rsidRPr="00186A98" w:rsidRDefault="00E74DEC" w:rsidP="00186A98">
      <w:pPr>
        <w:ind w:left="567" w:hanging="567"/>
        <w:rPr>
          <w:rFonts w:ascii="Times New Roman" w:hAnsi="Times New Roman"/>
          <w:b/>
          <w:bCs/>
          <w:sz w:val="22"/>
          <w:szCs w:val="22"/>
          <w:lang w:val="lt-LT" w:eastAsia="lt-LT"/>
        </w:rPr>
      </w:pPr>
      <w:r w:rsidRPr="00186A98">
        <w:rPr>
          <w:rFonts w:ascii="Times New Roman" w:hAnsi="Times New Roman"/>
          <w:b/>
          <w:bCs/>
          <w:sz w:val="22"/>
          <w:szCs w:val="22"/>
          <w:lang w:val="lt-LT" w:eastAsia="lt-LT"/>
        </w:rPr>
        <w:t>5.1</w:t>
      </w:r>
      <w:r w:rsidRPr="00186A98">
        <w:rPr>
          <w:rFonts w:ascii="Times New Roman" w:hAnsi="Times New Roman"/>
          <w:b/>
          <w:bCs/>
          <w:sz w:val="22"/>
          <w:szCs w:val="22"/>
          <w:lang w:val="lt-LT" w:eastAsia="lt-LT"/>
        </w:rPr>
        <w:tab/>
        <w:t>Farmakodinaminės savybės</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b/>
          <w:bCs/>
          <w:sz w:val="22"/>
          <w:szCs w:val="22"/>
          <w:lang w:val="lt-LT" w:eastAsia="lt-LT"/>
        </w:rPr>
      </w:pPr>
      <w:r w:rsidRPr="00186A98">
        <w:rPr>
          <w:rFonts w:ascii="Times New Roman" w:hAnsi="Times New Roman"/>
          <w:sz w:val="22"/>
          <w:szCs w:val="22"/>
          <w:lang w:val="lt-LT" w:eastAsia="lt-LT"/>
        </w:rPr>
        <w:t>Farmakoterapinė grupė -   antiandrogenai, ATC kodas -  L02BB03</w:t>
      </w:r>
    </w:p>
    <w:p w:rsidR="00E74DEC" w:rsidRPr="00186A98" w:rsidRDefault="00E74DEC" w:rsidP="00E74DEC">
      <w:pPr>
        <w:spacing w:after="120"/>
        <w:rPr>
          <w:rFonts w:ascii="Times New Roman" w:hAnsi="Times New Roman"/>
          <w:sz w:val="22"/>
          <w:szCs w:val="22"/>
          <w:lang w:val="lt-LT" w:eastAsia="lt-LT"/>
        </w:rPr>
      </w:pPr>
    </w:p>
    <w:p w:rsidR="00E74DEC" w:rsidRPr="00186A98" w:rsidRDefault="00E74DEC" w:rsidP="00E74DEC">
      <w:pPr>
        <w:spacing w:after="120"/>
        <w:rPr>
          <w:rFonts w:ascii="Times New Roman" w:hAnsi="Times New Roman"/>
          <w:sz w:val="22"/>
          <w:szCs w:val="22"/>
          <w:lang w:val="lt-LT" w:eastAsia="lt-LT"/>
        </w:rPr>
      </w:pPr>
      <w:r w:rsidRPr="00186A98">
        <w:rPr>
          <w:rFonts w:ascii="Times New Roman" w:hAnsi="Times New Roman"/>
          <w:sz w:val="22"/>
          <w:szCs w:val="22"/>
          <w:lang w:val="lt-LT" w:eastAsia="lt-LT"/>
        </w:rPr>
        <w:t>Veikimo mechanizmas</w:t>
      </w:r>
    </w:p>
    <w:p w:rsidR="00E74DEC" w:rsidRPr="00186A98" w:rsidRDefault="00E74DEC" w:rsidP="00E74DEC">
      <w:pPr>
        <w:spacing w:after="120"/>
        <w:rPr>
          <w:rFonts w:ascii="Times New Roman" w:hAnsi="Times New Roman"/>
          <w:sz w:val="22"/>
          <w:szCs w:val="22"/>
          <w:lang w:val="lt-LT" w:eastAsia="lt-LT"/>
        </w:rPr>
      </w:pPr>
      <w:r w:rsidRPr="00186A98">
        <w:rPr>
          <w:rFonts w:ascii="Times New Roman" w:hAnsi="Times New Roman"/>
          <w:sz w:val="22"/>
          <w:szCs w:val="22"/>
          <w:lang w:val="lt-LT" w:eastAsia="lt-LT"/>
        </w:rPr>
        <w:t>Bikalutamidas yra nesteroidinis antiandrogenas, kuriam kitoks endokrininis aktyvumas nebūdingas. Vaistinis preparatas jungiasi prie androgeninių receptorių, neaktyvindamas genų ekspresijos, todėl  slopinamas androgenų sukeliamas poveikis. Nutraukus gydymą bikalutamidu, kai kuriems pacientams kliniškai gali pasireikšti “antiandrogenų nutraukimo sindromas”.</w:t>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Klinikinis veiksmingumas ir saugumas</w:t>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Bikalutamido 150 mg veiksmingumas neišplitusiam (T</w:t>
      </w:r>
      <w:r w:rsidRPr="00186A98">
        <w:rPr>
          <w:rFonts w:ascii="Times New Roman" w:hAnsi="Times New Roman"/>
          <w:sz w:val="22"/>
          <w:szCs w:val="22"/>
          <w:vertAlign w:val="subscript"/>
          <w:lang w:val="lt-LT" w:eastAsia="lt-LT"/>
        </w:rPr>
        <w:t>1-2,</w:t>
      </w:r>
      <w:r w:rsidRPr="00186A98">
        <w:rPr>
          <w:rFonts w:ascii="Times New Roman" w:hAnsi="Times New Roman"/>
          <w:sz w:val="22"/>
          <w:szCs w:val="22"/>
          <w:lang w:val="lt-LT" w:eastAsia="lt-LT"/>
        </w:rPr>
        <w:t xml:space="preserve"> N</w:t>
      </w:r>
      <w:r w:rsidRPr="00186A98">
        <w:rPr>
          <w:rFonts w:ascii="Times New Roman" w:hAnsi="Times New Roman"/>
          <w:sz w:val="22"/>
          <w:szCs w:val="22"/>
          <w:vertAlign w:val="subscript"/>
          <w:lang w:val="lt-LT" w:eastAsia="lt-LT"/>
        </w:rPr>
        <w:t xml:space="preserve">o, </w:t>
      </w:r>
      <w:r w:rsidRPr="00186A98">
        <w:rPr>
          <w:rFonts w:ascii="Times New Roman" w:hAnsi="Times New Roman"/>
          <w:sz w:val="22"/>
          <w:szCs w:val="22"/>
          <w:lang w:val="lt-LT" w:eastAsia="lt-LT"/>
        </w:rPr>
        <w:t>N</w:t>
      </w:r>
      <w:r w:rsidRPr="00186A98">
        <w:rPr>
          <w:rFonts w:ascii="Times New Roman" w:hAnsi="Times New Roman"/>
          <w:sz w:val="22"/>
          <w:szCs w:val="22"/>
          <w:vertAlign w:val="subscript"/>
          <w:lang w:val="lt-LT" w:eastAsia="lt-LT"/>
        </w:rPr>
        <w:t xml:space="preserve">X, </w:t>
      </w:r>
      <w:r w:rsidRPr="00186A98">
        <w:rPr>
          <w:rFonts w:ascii="Times New Roman" w:hAnsi="Times New Roman"/>
          <w:sz w:val="22"/>
          <w:szCs w:val="22"/>
          <w:lang w:val="lt-LT" w:eastAsia="lt-LT"/>
        </w:rPr>
        <w:t>M</w:t>
      </w:r>
      <w:r w:rsidRPr="00186A98">
        <w:rPr>
          <w:rFonts w:ascii="Times New Roman" w:hAnsi="Times New Roman"/>
          <w:sz w:val="22"/>
          <w:szCs w:val="22"/>
          <w:vertAlign w:val="subscript"/>
          <w:lang w:val="lt-LT" w:eastAsia="lt-LT"/>
        </w:rPr>
        <w:t>0</w:t>
      </w:r>
      <w:r w:rsidRPr="00186A98">
        <w:rPr>
          <w:rFonts w:ascii="Times New Roman" w:hAnsi="Times New Roman"/>
          <w:sz w:val="22"/>
          <w:szCs w:val="22"/>
          <w:lang w:val="lt-LT" w:eastAsia="lt-LT"/>
        </w:rPr>
        <w:t>) ir lokaliai progresavusiam (T</w:t>
      </w:r>
      <w:r w:rsidRPr="00186A98">
        <w:rPr>
          <w:rFonts w:ascii="Times New Roman" w:hAnsi="Times New Roman"/>
          <w:sz w:val="22"/>
          <w:szCs w:val="22"/>
          <w:vertAlign w:val="subscript"/>
          <w:lang w:val="lt-LT" w:eastAsia="lt-LT"/>
        </w:rPr>
        <w:t xml:space="preserve">3-4, </w:t>
      </w:r>
      <w:r w:rsidRPr="00186A98">
        <w:rPr>
          <w:rFonts w:ascii="Times New Roman" w:hAnsi="Times New Roman"/>
          <w:sz w:val="22"/>
          <w:szCs w:val="22"/>
          <w:lang w:val="lt-LT" w:eastAsia="lt-LT"/>
        </w:rPr>
        <w:t>bet kuris</w:t>
      </w:r>
      <w:r w:rsidRPr="00186A98">
        <w:rPr>
          <w:rFonts w:ascii="Times New Roman" w:hAnsi="Times New Roman"/>
          <w:sz w:val="22"/>
          <w:szCs w:val="22"/>
          <w:vertAlign w:val="subscript"/>
          <w:lang w:val="lt-LT" w:eastAsia="lt-LT"/>
        </w:rPr>
        <w:t xml:space="preserve"> </w:t>
      </w:r>
      <w:r w:rsidRPr="00186A98">
        <w:rPr>
          <w:rFonts w:ascii="Times New Roman" w:hAnsi="Times New Roman"/>
          <w:sz w:val="22"/>
          <w:szCs w:val="22"/>
          <w:lang w:val="lt-LT" w:eastAsia="lt-LT"/>
        </w:rPr>
        <w:t>N</w:t>
      </w:r>
      <w:r w:rsidRPr="00186A98">
        <w:rPr>
          <w:rFonts w:ascii="Times New Roman" w:hAnsi="Times New Roman"/>
          <w:sz w:val="22"/>
          <w:szCs w:val="22"/>
          <w:vertAlign w:val="subscript"/>
          <w:lang w:val="lt-LT" w:eastAsia="lt-LT"/>
        </w:rPr>
        <w:t xml:space="preserve">, </w:t>
      </w:r>
      <w:r w:rsidRPr="00186A98">
        <w:rPr>
          <w:rFonts w:ascii="Times New Roman" w:hAnsi="Times New Roman"/>
          <w:sz w:val="22"/>
          <w:szCs w:val="22"/>
          <w:lang w:val="lt-LT" w:eastAsia="lt-LT"/>
        </w:rPr>
        <w:t>M</w:t>
      </w:r>
      <w:r w:rsidRPr="00186A98">
        <w:rPr>
          <w:rFonts w:ascii="Times New Roman" w:hAnsi="Times New Roman"/>
          <w:sz w:val="22"/>
          <w:szCs w:val="22"/>
          <w:vertAlign w:val="subscript"/>
          <w:lang w:val="lt-LT" w:eastAsia="lt-LT"/>
        </w:rPr>
        <w:t xml:space="preserve">0 </w:t>
      </w:r>
      <w:r w:rsidRPr="00186A98">
        <w:rPr>
          <w:rFonts w:ascii="Times New Roman" w:hAnsi="Times New Roman"/>
          <w:sz w:val="22"/>
          <w:szCs w:val="22"/>
          <w:lang w:val="lt-LT" w:eastAsia="lt-LT"/>
        </w:rPr>
        <w:t>; T</w:t>
      </w:r>
      <w:r w:rsidRPr="00186A98">
        <w:rPr>
          <w:rFonts w:ascii="Times New Roman" w:hAnsi="Times New Roman"/>
          <w:sz w:val="22"/>
          <w:szCs w:val="22"/>
          <w:vertAlign w:val="subscript"/>
          <w:lang w:val="lt-LT" w:eastAsia="lt-LT"/>
        </w:rPr>
        <w:t>1-2,</w:t>
      </w:r>
      <w:r w:rsidRPr="00186A98">
        <w:rPr>
          <w:rFonts w:ascii="Times New Roman" w:hAnsi="Times New Roman"/>
          <w:sz w:val="22"/>
          <w:szCs w:val="22"/>
          <w:lang w:val="lt-LT" w:eastAsia="lt-LT"/>
        </w:rPr>
        <w:t xml:space="preserve"> N</w:t>
      </w:r>
      <w:r w:rsidRPr="00186A98">
        <w:rPr>
          <w:rFonts w:ascii="Times New Roman" w:hAnsi="Times New Roman"/>
          <w:sz w:val="22"/>
          <w:szCs w:val="22"/>
          <w:vertAlign w:val="subscript"/>
          <w:lang w:val="lt-LT" w:eastAsia="lt-LT"/>
        </w:rPr>
        <w:t xml:space="preserve">+, </w:t>
      </w:r>
      <w:r w:rsidRPr="00186A98">
        <w:rPr>
          <w:rFonts w:ascii="Times New Roman" w:hAnsi="Times New Roman"/>
          <w:sz w:val="22"/>
          <w:szCs w:val="22"/>
          <w:lang w:val="lt-LT" w:eastAsia="lt-LT"/>
        </w:rPr>
        <w:t>M</w:t>
      </w:r>
      <w:r w:rsidRPr="00186A98">
        <w:rPr>
          <w:rFonts w:ascii="Times New Roman" w:hAnsi="Times New Roman"/>
          <w:sz w:val="22"/>
          <w:szCs w:val="22"/>
          <w:vertAlign w:val="subscript"/>
          <w:lang w:val="lt-LT" w:eastAsia="lt-LT"/>
        </w:rPr>
        <w:t>0</w:t>
      </w:r>
      <w:r w:rsidRPr="00186A98">
        <w:rPr>
          <w:rFonts w:ascii="Times New Roman" w:hAnsi="Times New Roman"/>
          <w:sz w:val="22"/>
          <w:szCs w:val="22"/>
          <w:lang w:val="lt-LT" w:eastAsia="lt-LT"/>
        </w:rPr>
        <w:t>) nemetastazavusiam prostatos vėžiui gydyti tirtas kombinuotos trijų placebu kontroliuojamų dvigubai aklų tyrimų, kuriuose dalyvavo 8113 pacientų, analizės būdu. Šių tyrimų metu bikalutamidas vartotas neatidėliotinam hormoniniam gydymui arba adjuvantiniam gydymui po radikalios prostatektomijos arba radioterapijos (pirminio išorinio spindulinio gydymo). Praėjus stebėjimo laikotarpiui, kurio mediana 9,7 metų, ligos progresavimas objektyviais metodais diagnozuotas 36,6 % vartojusiųjų bikalutamidą ir 38,17% vartojusiųjų placebą pacientų.</w:t>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Stebint daugumą pacientų grupių, nustatytas objektyvaus ligos progresavimo rizikos sumažėjimas (ryškiausias toms grupėms, kurioms ši rizika didžiausia). Dėl to gydytojas gali nuspręsti, kad esant mažai ligos progresavimo rizikai (ypač svarstant adjuvantinį vartojimą po radikalios prostatektomijos), optimali strategija gali būti hormoninio gydymo atidėjimas, kol atsiras ligos progresavimo požymių.</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Bendro išgyvento laikotarpio, kurio mediana 9,7 metų,  skirtumo nenustatyta, o mirštamumas buvo 31,4% (santykinė rizika=1,01;  95% PI – 0,94-1,09). Vis dėlto, tiriant pogrupius pacientų, vartojusių bikalutamidą pradinei monoterapijai, pastebėta tam tikrų tendencijų.</w:t>
      </w:r>
    </w:p>
    <w:p w:rsidR="00E74DEC" w:rsidRPr="00186A98" w:rsidRDefault="00E74DEC" w:rsidP="00E74DEC">
      <w:pPr>
        <w:autoSpaceDE w:val="0"/>
        <w:autoSpaceDN w:val="0"/>
        <w:adjustRightInd w:val="0"/>
        <w:rPr>
          <w:rFonts w:ascii="Times New Roman" w:hAnsi="Times New Roman"/>
          <w:sz w:val="22"/>
          <w:szCs w:val="22"/>
          <w:lang w:val="lt-LT" w:eastAsia="lt-LT"/>
        </w:rPr>
      </w:pPr>
      <w:r w:rsidRPr="00186A98">
        <w:rPr>
          <w:rFonts w:ascii="Times New Roman" w:hAnsi="Times New Roman"/>
          <w:sz w:val="22"/>
          <w:szCs w:val="22"/>
          <w:lang w:val="lt-LT" w:eastAsia="lt-LT"/>
        </w:rPr>
        <w:lastRenderedPageBreak/>
        <w:t>Lokaliai progresavusiu prostatos vėžiu sirgusių pacientų be ligos progresavimo išgyvento laikotarpio ir bendro išgyvento laikotarpio duomenys</w:t>
      </w:r>
      <w:r w:rsidRPr="00186A98">
        <w:rPr>
          <w:rFonts w:ascii="Times New Roman" w:hAnsi="Times New Roman"/>
          <w:bCs/>
          <w:sz w:val="22"/>
          <w:szCs w:val="22"/>
          <w:lang w:val="lt-LT" w:eastAsia="lt-LT"/>
        </w:rPr>
        <w:t xml:space="preserve">, </w:t>
      </w:r>
      <w:r w:rsidRPr="00186A98">
        <w:rPr>
          <w:rFonts w:ascii="Times New Roman" w:hAnsi="Times New Roman"/>
          <w:sz w:val="22"/>
          <w:szCs w:val="22"/>
          <w:lang w:val="lt-LT" w:eastAsia="lt-LT"/>
        </w:rPr>
        <w:t xml:space="preserve">apskaičiuoti Kaplan-Meier metodu, apibendrinami toliau pateikiamose lentelėse. </w:t>
      </w:r>
    </w:p>
    <w:p w:rsidR="00E74DEC" w:rsidRPr="00186A98" w:rsidRDefault="00E74DEC" w:rsidP="00E74DEC">
      <w:pPr>
        <w:autoSpaceDE w:val="0"/>
        <w:autoSpaceDN w:val="0"/>
        <w:adjustRightInd w:val="0"/>
        <w:rPr>
          <w:rFonts w:ascii="Times New Roman" w:hAnsi="Times New Roman"/>
          <w:b/>
          <w:sz w:val="22"/>
          <w:szCs w:val="22"/>
          <w:lang w:val="lt-LT" w:eastAsia="lt-LT"/>
        </w:rPr>
      </w:pPr>
    </w:p>
    <w:tbl>
      <w:tblPr>
        <w:tblW w:w="9312" w:type="dxa"/>
        <w:tblLayout w:type="fixed"/>
        <w:tblLook w:val="04A0" w:firstRow="1" w:lastRow="0" w:firstColumn="1" w:lastColumn="0" w:noHBand="0" w:noVBand="1"/>
      </w:tblPr>
      <w:tblGrid>
        <w:gridCol w:w="9312"/>
      </w:tblGrid>
      <w:tr w:rsidR="00E74DEC" w:rsidRPr="00186A98" w:rsidTr="00C432F5">
        <w:trPr>
          <w:cantSplit/>
          <w:tblHeader/>
        </w:trPr>
        <w:tc>
          <w:tcPr>
            <w:tcW w:w="9317" w:type="dxa"/>
            <w:tcBorders>
              <w:top w:val="nil"/>
              <w:left w:val="nil"/>
              <w:bottom w:val="single" w:sz="12" w:space="0" w:color="auto"/>
              <w:right w:val="nil"/>
            </w:tcBorders>
          </w:tcPr>
          <w:p w:rsidR="00E74DEC" w:rsidRPr="00186A98" w:rsidRDefault="00E74DEC" w:rsidP="00E74DEC">
            <w:pPr>
              <w:rPr>
                <w:rFonts w:ascii="Times New Roman" w:hAnsi="Times New Roman"/>
                <w:b/>
                <w:sz w:val="22"/>
                <w:szCs w:val="22"/>
                <w:lang w:val="lt-LT" w:eastAsia="lt-LT"/>
              </w:rPr>
            </w:pPr>
            <w:r w:rsidRPr="00186A98">
              <w:rPr>
                <w:rFonts w:ascii="Times New Roman" w:hAnsi="Times New Roman"/>
                <w:b/>
                <w:sz w:val="22"/>
                <w:szCs w:val="22"/>
                <w:lang w:val="lt-LT" w:eastAsia="lt-LT"/>
              </w:rPr>
              <w:fldChar w:fldCharType="begin"/>
            </w:r>
            <w:r w:rsidRPr="00186A98">
              <w:rPr>
                <w:rFonts w:ascii="Times New Roman" w:hAnsi="Times New Roman"/>
                <w:b/>
                <w:sz w:val="22"/>
                <w:szCs w:val="22"/>
                <w:lang w:val="lt-LT" w:eastAsia="lt-LT"/>
              </w:rPr>
              <w:instrText xml:space="preserve"> SEQ Table \* ARABIC </w:instrText>
            </w:r>
            <w:r w:rsidRPr="00186A98">
              <w:rPr>
                <w:rFonts w:ascii="Times New Roman" w:hAnsi="Times New Roman"/>
                <w:b/>
                <w:sz w:val="22"/>
                <w:szCs w:val="22"/>
                <w:lang w:val="lt-LT" w:eastAsia="lt-LT"/>
              </w:rPr>
              <w:fldChar w:fldCharType="separate"/>
            </w:r>
            <w:r w:rsidRPr="00186A98">
              <w:rPr>
                <w:rFonts w:ascii="Times New Roman" w:hAnsi="Times New Roman"/>
                <w:b/>
                <w:sz w:val="22"/>
                <w:szCs w:val="22"/>
                <w:lang w:val="lt-LT" w:eastAsia="lt-LT"/>
              </w:rPr>
              <w:t>1</w:t>
            </w:r>
            <w:r w:rsidRPr="00186A98">
              <w:rPr>
                <w:rFonts w:ascii="Times New Roman" w:hAnsi="Times New Roman"/>
                <w:b/>
                <w:sz w:val="22"/>
                <w:szCs w:val="22"/>
                <w:lang w:val="lt-LT" w:eastAsia="lt-LT"/>
              </w:rPr>
              <w:fldChar w:fldCharType="end"/>
            </w:r>
            <w:r w:rsidRPr="00186A98">
              <w:rPr>
                <w:rFonts w:ascii="Times New Roman" w:hAnsi="Times New Roman"/>
                <w:b/>
                <w:sz w:val="22"/>
                <w:szCs w:val="22"/>
                <w:lang w:val="lt-LT" w:eastAsia="lt-LT"/>
              </w:rPr>
              <w:t xml:space="preserve"> lentelė</w:t>
            </w:r>
            <w:r w:rsidRPr="00186A98">
              <w:rPr>
                <w:rFonts w:ascii="Times New Roman" w:hAnsi="Times New Roman"/>
                <w:b/>
                <w:sz w:val="22"/>
                <w:szCs w:val="22"/>
                <w:lang w:val="lt-LT" w:eastAsia="lt-LT"/>
              </w:rPr>
              <w:tab/>
              <w:t>Lokaliai progresavusiu prostatos vėžiu sirgusių pacientų, kurių liga ilgainiui pradėjo progresuoti, duomenys gydymo pogrupiuose</w:t>
            </w:r>
          </w:p>
          <w:p w:rsidR="00E74DEC" w:rsidRPr="00186A98" w:rsidRDefault="00E74DEC" w:rsidP="00E74DEC">
            <w:pPr>
              <w:rPr>
                <w:rFonts w:ascii="Times New Roman" w:hAnsi="Times New Roman"/>
                <w:sz w:val="22"/>
                <w:szCs w:val="22"/>
                <w:lang w:val="lt-LT" w:eastAsia="lt-LT"/>
              </w:rPr>
            </w:pPr>
          </w:p>
          <w:tbl>
            <w:tblPr>
              <w:tblW w:w="10536" w:type="dxa"/>
              <w:tblLayout w:type="fixed"/>
              <w:tblLook w:val="04A0" w:firstRow="1" w:lastRow="0" w:firstColumn="1" w:lastColumn="0" w:noHBand="0" w:noVBand="1"/>
            </w:tblPr>
            <w:tblGrid>
              <w:gridCol w:w="1937"/>
              <w:gridCol w:w="1557"/>
              <w:gridCol w:w="1556"/>
              <w:gridCol w:w="1466"/>
              <w:gridCol w:w="1359"/>
              <w:gridCol w:w="1477"/>
              <w:gridCol w:w="1184"/>
            </w:tblGrid>
            <w:tr w:rsidR="00E74DEC" w:rsidRPr="00186A98" w:rsidTr="00C432F5">
              <w:trPr>
                <w:trHeight w:val="620"/>
              </w:trPr>
              <w:tc>
                <w:tcPr>
                  <w:tcW w:w="1937" w:type="dxa"/>
                  <w:tcBorders>
                    <w:top w:val="single" w:sz="18" w:space="0" w:color="000000"/>
                    <w:left w:val="nil"/>
                    <w:bottom w:val="single" w:sz="8" w:space="0" w:color="000000"/>
                    <w:right w:val="nil"/>
                  </w:tcBorders>
                  <w:hideMark/>
                </w:tcPr>
                <w:p w:rsidR="00E74DEC" w:rsidRPr="00186A98" w:rsidRDefault="00E74DEC" w:rsidP="00E74DEC">
                  <w:pPr>
                    <w:rPr>
                      <w:rFonts w:ascii="Times New Roman" w:hAnsi="Times New Roman"/>
                      <w:b/>
                      <w:sz w:val="22"/>
                      <w:szCs w:val="22"/>
                      <w:lang w:val="lt-LT" w:eastAsia="lt-LT"/>
                    </w:rPr>
                  </w:pPr>
                  <w:r w:rsidRPr="00186A98">
                    <w:rPr>
                      <w:rFonts w:ascii="Times New Roman" w:hAnsi="Times New Roman"/>
                      <w:b/>
                      <w:sz w:val="22"/>
                      <w:szCs w:val="22"/>
                      <w:lang w:val="lt-LT" w:eastAsia="lt-LT"/>
                    </w:rPr>
                    <w:t>Analizės populiacija</w:t>
                  </w:r>
                </w:p>
              </w:tc>
              <w:tc>
                <w:tcPr>
                  <w:tcW w:w="1557" w:type="dxa"/>
                  <w:tcBorders>
                    <w:top w:val="single" w:sz="18" w:space="0" w:color="000000"/>
                    <w:left w:val="nil"/>
                    <w:bottom w:val="single" w:sz="8" w:space="0" w:color="000000"/>
                    <w:right w:val="nil"/>
                  </w:tcBorders>
                  <w:vAlign w:val="center"/>
                  <w:hideMark/>
                </w:tcPr>
                <w:p w:rsidR="00E74DEC" w:rsidRPr="00186A98" w:rsidRDefault="00E74DEC" w:rsidP="00E74DEC">
                  <w:pPr>
                    <w:jc w:val="center"/>
                    <w:rPr>
                      <w:rFonts w:ascii="Times New Roman" w:hAnsi="Times New Roman"/>
                      <w:b/>
                      <w:sz w:val="22"/>
                      <w:szCs w:val="22"/>
                      <w:lang w:val="lt-LT" w:eastAsia="lt-LT"/>
                    </w:rPr>
                  </w:pPr>
                  <w:r w:rsidRPr="00186A98">
                    <w:rPr>
                      <w:rFonts w:ascii="Times New Roman" w:hAnsi="Times New Roman"/>
                      <w:b/>
                      <w:sz w:val="22"/>
                      <w:szCs w:val="22"/>
                      <w:lang w:val="lt-LT" w:eastAsia="lt-LT"/>
                    </w:rPr>
                    <w:t>Gydymo pogrupis</w:t>
                  </w:r>
                </w:p>
              </w:tc>
              <w:tc>
                <w:tcPr>
                  <w:tcW w:w="1557" w:type="dxa"/>
                  <w:tcBorders>
                    <w:top w:val="single" w:sz="18" w:space="0" w:color="000000"/>
                    <w:left w:val="nil"/>
                    <w:bottom w:val="single" w:sz="8" w:space="0" w:color="000000"/>
                    <w:right w:val="nil"/>
                  </w:tcBorders>
                  <w:vAlign w:val="center"/>
                  <w:hideMark/>
                </w:tcPr>
                <w:p w:rsidR="00E74DEC" w:rsidRPr="00186A98" w:rsidRDefault="00E74DEC" w:rsidP="00E74DEC">
                  <w:pPr>
                    <w:jc w:val="center"/>
                    <w:rPr>
                      <w:rFonts w:ascii="Times New Roman" w:hAnsi="Times New Roman"/>
                      <w:b/>
                      <w:sz w:val="22"/>
                      <w:szCs w:val="22"/>
                      <w:lang w:val="lt-LT" w:eastAsia="lt-LT"/>
                    </w:rPr>
                  </w:pPr>
                  <w:r w:rsidRPr="00186A98">
                    <w:rPr>
                      <w:rFonts w:ascii="Times New Roman" w:hAnsi="Times New Roman"/>
                      <w:b/>
                      <w:sz w:val="22"/>
                      <w:szCs w:val="22"/>
                      <w:lang w:val="lt-LT" w:eastAsia="lt-LT"/>
                    </w:rPr>
                    <w:t>Įvykiai (%) per 3 metus</w:t>
                  </w:r>
                </w:p>
              </w:tc>
              <w:tc>
                <w:tcPr>
                  <w:tcW w:w="1467" w:type="dxa"/>
                  <w:tcBorders>
                    <w:top w:val="single" w:sz="18" w:space="0" w:color="000000"/>
                    <w:left w:val="nil"/>
                    <w:bottom w:val="single" w:sz="8" w:space="0" w:color="000000"/>
                    <w:right w:val="nil"/>
                  </w:tcBorders>
                  <w:vAlign w:val="center"/>
                  <w:hideMark/>
                </w:tcPr>
                <w:p w:rsidR="00E74DEC" w:rsidRPr="00186A98" w:rsidRDefault="00E74DEC" w:rsidP="00E74DEC">
                  <w:pPr>
                    <w:jc w:val="center"/>
                    <w:rPr>
                      <w:rFonts w:ascii="Times New Roman" w:hAnsi="Times New Roman"/>
                      <w:b/>
                      <w:sz w:val="22"/>
                      <w:szCs w:val="22"/>
                      <w:lang w:val="lt-LT" w:eastAsia="lt-LT"/>
                    </w:rPr>
                  </w:pPr>
                  <w:r w:rsidRPr="00186A98">
                    <w:rPr>
                      <w:rFonts w:ascii="Times New Roman" w:hAnsi="Times New Roman"/>
                      <w:b/>
                      <w:sz w:val="22"/>
                      <w:szCs w:val="22"/>
                      <w:lang w:val="lt-LT" w:eastAsia="lt-LT"/>
                    </w:rPr>
                    <w:t>Įvykiai (%) per 5 metus</w:t>
                  </w:r>
                </w:p>
              </w:tc>
              <w:tc>
                <w:tcPr>
                  <w:tcW w:w="1360" w:type="dxa"/>
                  <w:tcBorders>
                    <w:top w:val="single" w:sz="18" w:space="0" w:color="000000"/>
                    <w:left w:val="nil"/>
                    <w:bottom w:val="single" w:sz="8" w:space="0" w:color="000000"/>
                    <w:right w:val="nil"/>
                  </w:tcBorders>
                  <w:vAlign w:val="center"/>
                  <w:hideMark/>
                </w:tcPr>
                <w:p w:rsidR="00E74DEC" w:rsidRPr="00186A98" w:rsidRDefault="00E74DEC" w:rsidP="00E74DEC">
                  <w:pPr>
                    <w:jc w:val="center"/>
                    <w:rPr>
                      <w:rFonts w:ascii="Times New Roman" w:hAnsi="Times New Roman"/>
                      <w:b/>
                      <w:sz w:val="22"/>
                      <w:szCs w:val="22"/>
                      <w:lang w:val="lt-LT" w:eastAsia="lt-LT"/>
                    </w:rPr>
                  </w:pPr>
                  <w:r w:rsidRPr="00186A98">
                    <w:rPr>
                      <w:rFonts w:ascii="Times New Roman" w:hAnsi="Times New Roman"/>
                      <w:b/>
                      <w:sz w:val="22"/>
                      <w:szCs w:val="22"/>
                      <w:lang w:val="lt-LT" w:eastAsia="lt-LT"/>
                    </w:rPr>
                    <w:t>Įvykiai (%) per 7 metus</w:t>
                  </w:r>
                </w:p>
              </w:tc>
              <w:tc>
                <w:tcPr>
                  <w:tcW w:w="1478" w:type="dxa"/>
                  <w:tcBorders>
                    <w:top w:val="single" w:sz="18" w:space="0" w:color="000000"/>
                    <w:left w:val="nil"/>
                    <w:bottom w:val="single" w:sz="8" w:space="0" w:color="000000"/>
                    <w:right w:val="nil"/>
                  </w:tcBorders>
                  <w:vAlign w:val="center"/>
                  <w:hideMark/>
                </w:tcPr>
                <w:p w:rsidR="00E74DEC" w:rsidRPr="00186A98" w:rsidRDefault="00E74DEC" w:rsidP="00E74DEC">
                  <w:pPr>
                    <w:jc w:val="center"/>
                    <w:rPr>
                      <w:rFonts w:ascii="Times New Roman" w:hAnsi="Times New Roman"/>
                      <w:b/>
                      <w:sz w:val="22"/>
                      <w:szCs w:val="22"/>
                      <w:lang w:val="lt-LT" w:eastAsia="lt-LT"/>
                    </w:rPr>
                  </w:pPr>
                  <w:r w:rsidRPr="00186A98">
                    <w:rPr>
                      <w:rFonts w:ascii="Times New Roman" w:hAnsi="Times New Roman"/>
                      <w:b/>
                      <w:sz w:val="22"/>
                      <w:szCs w:val="22"/>
                      <w:lang w:val="lt-LT" w:eastAsia="lt-LT"/>
                    </w:rPr>
                    <w:t>Įvykiai (%) per 10 metų</w:t>
                  </w:r>
                </w:p>
              </w:tc>
              <w:tc>
                <w:tcPr>
                  <w:tcW w:w="1184" w:type="dxa"/>
                  <w:tcBorders>
                    <w:top w:val="single" w:sz="18" w:space="0" w:color="000000"/>
                    <w:left w:val="nil"/>
                    <w:bottom w:val="single" w:sz="8" w:space="0" w:color="000000"/>
                    <w:right w:val="nil"/>
                  </w:tcBorders>
                  <w:vAlign w:val="center"/>
                </w:tcPr>
                <w:p w:rsidR="00E74DEC" w:rsidRPr="00186A98" w:rsidRDefault="00E74DEC" w:rsidP="00E74DEC">
                  <w:pPr>
                    <w:rPr>
                      <w:rFonts w:ascii="Times New Roman" w:hAnsi="Times New Roman"/>
                      <w:sz w:val="22"/>
                      <w:szCs w:val="22"/>
                      <w:lang w:val="lt-LT" w:eastAsia="lt-LT"/>
                    </w:rPr>
                  </w:pPr>
                </w:p>
              </w:tc>
            </w:tr>
            <w:tr w:rsidR="00E74DEC" w:rsidRPr="00186A98" w:rsidTr="00C432F5">
              <w:trPr>
                <w:cantSplit/>
                <w:trHeight w:val="340"/>
              </w:trPr>
              <w:tc>
                <w:tcPr>
                  <w:tcW w:w="1937" w:type="dxa"/>
                  <w:vMerge w:val="restart"/>
                  <w:vAlign w:val="center"/>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Laukimas atidžiai stebint (n = 657)</w:t>
                  </w:r>
                </w:p>
              </w:tc>
              <w:tc>
                <w:tcPr>
                  <w:tcW w:w="1557" w:type="dxa"/>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Bikalutamidas 150 mg</w:t>
                  </w:r>
                </w:p>
              </w:tc>
              <w:tc>
                <w:tcPr>
                  <w:tcW w:w="1557" w:type="dxa"/>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19,7 %</w:t>
                  </w:r>
                </w:p>
              </w:tc>
              <w:tc>
                <w:tcPr>
                  <w:tcW w:w="1467" w:type="dxa"/>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36,3 %</w:t>
                  </w:r>
                </w:p>
              </w:tc>
              <w:tc>
                <w:tcPr>
                  <w:tcW w:w="1360" w:type="dxa"/>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52,1 %</w:t>
                  </w:r>
                </w:p>
              </w:tc>
              <w:tc>
                <w:tcPr>
                  <w:tcW w:w="1478" w:type="dxa"/>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73,2 %</w:t>
                  </w:r>
                </w:p>
              </w:tc>
              <w:tc>
                <w:tcPr>
                  <w:tcW w:w="1184" w:type="dxa"/>
                  <w:vAlign w:val="center"/>
                </w:tcPr>
                <w:p w:rsidR="00E74DEC" w:rsidRPr="00186A98" w:rsidRDefault="00E74DEC" w:rsidP="00E74DEC">
                  <w:pPr>
                    <w:rPr>
                      <w:rFonts w:ascii="Times New Roman" w:hAnsi="Times New Roman"/>
                      <w:sz w:val="22"/>
                      <w:szCs w:val="22"/>
                      <w:lang w:val="lt-LT" w:eastAsia="lt-LT"/>
                    </w:rPr>
                  </w:pPr>
                </w:p>
              </w:tc>
            </w:tr>
            <w:tr w:rsidR="00E74DEC" w:rsidRPr="00186A98" w:rsidTr="00C432F5">
              <w:trPr>
                <w:cantSplit/>
                <w:trHeight w:val="340"/>
              </w:trPr>
              <w:tc>
                <w:tcPr>
                  <w:tcW w:w="1937" w:type="dxa"/>
                  <w:vMerge/>
                  <w:vAlign w:val="center"/>
                  <w:hideMark/>
                </w:tcPr>
                <w:p w:rsidR="00E74DEC" w:rsidRPr="00186A98" w:rsidRDefault="00E74DEC" w:rsidP="00E74DEC">
                  <w:pPr>
                    <w:rPr>
                      <w:rFonts w:ascii="Times New Roman" w:hAnsi="Times New Roman"/>
                      <w:sz w:val="22"/>
                      <w:szCs w:val="22"/>
                      <w:lang w:val="lt-LT" w:eastAsia="lt-LT"/>
                    </w:rPr>
                  </w:pPr>
                </w:p>
              </w:tc>
              <w:tc>
                <w:tcPr>
                  <w:tcW w:w="1557" w:type="dxa"/>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placebas</w:t>
                  </w:r>
                </w:p>
              </w:tc>
              <w:tc>
                <w:tcPr>
                  <w:tcW w:w="1557" w:type="dxa"/>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39,8 %</w:t>
                  </w:r>
                </w:p>
              </w:tc>
              <w:tc>
                <w:tcPr>
                  <w:tcW w:w="1467" w:type="dxa"/>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59,7 %</w:t>
                  </w:r>
                </w:p>
              </w:tc>
              <w:tc>
                <w:tcPr>
                  <w:tcW w:w="1360" w:type="dxa"/>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70,7 %</w:t>
                  </w:r>
                </w:p>
              </w:tc>
              <w:tc>
                <w:tcPr>
                  <w:tcW w:w="1478" w:type="dxa"/>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79,1 %</w:t>
                  </w:r>
                </w:p>
              </w:tc>
              <w:tc>
                <w:tcPr>
                  <w:tcW w:w="1184" w:type="dxa"/>
                  <w:vAlign w:val="center"/>
                </w:tcPr>
                <w:p w:rsidR="00E74DEC" w:rsidRPr="00186A98" w:rsidRDefault="00E74DEC" w:rsidP="00E74DEC">
                  <w:pPr>
                    <w:rPr>
                      <w:rFonts w:ascii="Times New Roman" w:hAnsi="Times New Roman"/>
                      <w:sz w:val="22"/>
                      <w:szCs w:val="22"/>
                      <w:lang w:val="lt-LT" w:eastAsia="lt-LT"/>
                    </w:rPr>
                  </w:pPr>
                </w:p>
              </w:tc>
            </w:tr>
            <w:tr w:rsidR="00E74DEC" w:rsidRPr="00186A98" w:rsidTr="00C432F5">
              <w:trPr>
                <w:cantSplit/>
                <w:trHeight w:val="340"/>
              </w:trPr>
              <w:tc>
                <w:tcPr>
                  <w:tcW w:w="1937" w:type="dxa"/>
                  <w:vMerge w:val="restart"/>
                  <w:vAlign w:val="center"/>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Radioterapija (n = 305)</w:t>
                  </w:r>
                  <w:r w:rsidRPr="00186A98">
                    <w:rPr>
                      <w:rFonts w:ascii="Times New Roman" w:hAnsi="Times New Roman"/>
                      <w:sz w:val="22"/>
                      <w:szCs w:val="22"/>
                      <w:lang w:val="lt-LT" w:eastAsia="lt-LT"/>
                    </w:rPr>
                    <w:br/>
                  </w:r>
                </w:p>
              </w:tc>
              <w:tc>
                <w:tcPr>
                  <w:tcW w:w="1557" w:type="dxa"/>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Bikalutamidas 150 mg</w:t>
                  </w:r>
                </w:p>
              </w:tc>
              <w:tc>
                <w:tcPr>
                  <w:tcW w:w="1557" w:type="dxa"/>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13,9 %</w:t>
                  </w:r>
                </w:p>
              </w:tc>
              <w:tc>
                <w:tcPr>
                  <w:tcW w:w="1467" w:type="dxa"/>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33,0 %</w:t>
                  </w:r>
                </w:p>
              </w:tc>
              <w:tc>
                <w:tcPr>
                  <w:tcW w:w="1360" w:type="dxa"/>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42,1 %</w:t>
                  </w:r>
                </w:p>
              </w:tc>
              <w:tc>
                <w:tcPr>
                  <w:tcW w:w="1478" w:type="dxa"/>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62,7 %</w:t>
                  </w:r>
                </w:p>
              </w:tc>
              <w:tc>
                <w:tcPr>
                  <w:tcW w:w="1184" w:type="dxa"/>
                  <w:vAlign w:val="center"/>
                </w:tcPr>
                <w:p w:rsidR="00E74DEC" w:rsidRPr="00186A98" w:rsidRDefault="00E74DEC" w:rsidP="00E74DEC">
                  <w:pPr>
                    <w:rPr>
                      <w:rFonts w:ascii="Times New Roman" w:hAnsi="Times New Roman"/>
                      <w:sz w:val="22"/>
                      <w:szCs w:val="22"/>
                      <w:lang w:val="lt-LT" w:eastAsia="lt-LT"/>
                    </w:rPr>
                  </w:pPr>
                </w:p>
              </w:tc>
            </w:tr>
            <w:tr w:rsidR="00E74DEC" w:rsidRPr="00186A98" w:rsidTr="00C432F5">
              <w:trPr>
                <w:cantSplit/>
                <w:trHeight w:val="340"/>
              </w:trPr>
              <w:tc>
                <w:tcPr>
                  <w:tcW w:w="1937" w:type="dxa"/>
                  <w:vMerge/>
                  <w:vAlign w:val="center"/>
                  <w:hideMark/>
                </w:tcPr>
                <w:p w:rsidR="00E74DEC" w:rsidRPr="00186A98" w:rsidRDefault="00E74DEC" w:rsidP="00E74DEC">
                  <w:pPr>
                    <w:rPr>
                      <w:rFonts w:ascii="Times New Roman" w:hAnsi="Times New Roman"/>
                      <w:sz w:val="22"/>
                      <w:szCs w:val="22"/>
                      <w:lang w:val="lt-LT" w:eastAsia="lt-LT"/>
                    </w:rPr>
                  </w:pPr>
                </w:p>
              </w:tc>
              <w:tc>
                <w:tcPr>
                  <w:tcW w:w="1557" w:type="dxa"/>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placebas</w:t>
                  </w:r>
                </w:p>
              </w:tc>
              <w:tc>
                <w:tcPr>
                  <w:tcW w:w="1557" w:type="dxa"/>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30,7 %</w:t>
                  </w:r>
                </w:p>
              </w:tc>
              <w:tc>
                <w:tcPr>
                  <w:tcW w:w="1467" w:type="dxa"/>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49,4 %</w:t>
                  </w:r>
                </w:p>
              </w:tc>
              <w:tc>
                <w:tcPr>
                  <w:tcW w:w="1360" w:type="dxa"/>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58,6 %</w:t>
                  </w:r>
                </w:p>
              </w:tc>
              <w:tc>
                <w:tcPr>
                  <w:tcW w:w="1478" w:type="dxa"/>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72,2 %</w:t>
                  </w:r>
                </w:p>
              </w:tc>
              <w:tc>
                <w:tcPr>
                  <w:tcW w:w="1184" w:type="dxa"/>
                  <w:vAlign w:val="center"/>
                </w:tcPr>
                <w:p w:rsidR="00E74DEC" w:rsidRPr="00186A98" w:rsidRDefault="00E74DEC" w:rsidP="00E74DEC">
                  <w:pPr>
                    <w:rPr>
                      <w:rFonts w:ascii="Times New Roman" w:hAnsi="Times New Roman"/>
                      <w:sz w:val="22"/>
                      <w:szCs w:val="22"/>
                      <w:lang w:val="lt-LT" w:eastAsia="lt-LT"/>
                    </w:rPr>
                  </w:pPr>
                </w:p>
              </w:tc>
            </w:tr>
            <w:tr w:rsidR="00E74DEC" w:rsidRPr="00186A98" w:rsidTr="00C432F5">
              <w:trPr>
                <w:cantSplit/>
                <w:trHeight w:val="340"/>
              </w:trPr>
              <w:tc>
                <w:tcPr>
                  <w:tcW w:w="1937" w:type="dxa"/>
                  <w:vMerge w:val="restart"/>
                  <w:tcBorders>
                    <w:top w:val="nil"/>
                    <w:left w:val="nil"/>
                    <w:bottom w:val="single" w:sz="4" w:space="0" w:color="auto"/>
                    <w:right w:val="nil"/>
                  </w:tcBorders>
                  <w:vAlign w:val="center"/>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Radikali prostatektomija (n = 1719)</w:t>
                  </w:r>
                </w:p>
              </w:tc>
              <w:tc>
                <w:tcPr>
                  <w:tcW w:w="1557" w:type="dxa"/>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Bikalutamidas 150 mg</w:t>
                  </w:r>
                </w:p>
              </w:tc>
              <w:tc>
                <w:tcPr>
                  <w:tcW w:w="1557" w:type="dxa"/>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7,5 %</w:t>
                  </w:r>
                </w:p>
              </w:tc>
              <w:tc>
                <w:tcPr>
                  <w:tcW w:w="1467" w:type="dxa"/>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14,4 %</w:t>
                  </w:r>
                </w:p>
              </w:tc>
              <w:tc>
                <w:tcPr>
                  <w:tcW w:w="1360" w:type="dxa"/>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19,8 %</w:t>
                  </w:r>
                </w:p>
              </w:tc>
              <w:tc>
                <w:tcPr>
                  <w:tcW w:w="1478" w:type="dxa"/>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29,9 %</w:t>
                  </w:r>
                </w:p>
              </w:tc>
              <w:tc>
                <w:tcPr>
                  <w:tcW w:w="1184" w:type="dxa"/>
                  <w:vAlign w:val="center"/>
                </w:tcPr>
                <w:p w:rsidR="00E74DEC" w:rsidRPr="00186A98" w:rsidRDefault="00E74DEC" w:rsidP="00E74DEC">
                  <w:pPr>
                    <w:rPr>
                      <w:rFonts w:ascii="Times New Roman" w:hAnsi="Times New Roman"/>
                      <w:sz w:val="22"/>
                      <w:szCs w:val="22"/>
                      <w:lang w:val="lt-LT" w:eastAsia="lt-LT"/>
                    </w:rPr>
                  </w:pPr>
                </w:p>
              </w:tc>
            </w:tr>
            <w:tr w:rsidR="00E74DEC" w:rsidRPr="00186A98" w:rsidTr="00C432F5">
              <w:trPr>
                <w:cantSplit/>
                <w:trHeight w:val="340"/>
              </w:trPr>
              <w:tc>
                <w:tcPr>
                  <w:tcW w:w="1937" w:type="dxa"/>
                  <w:vMerge/>
                  <w:tcBorders>
                    <w:top w:val="nil"/>
                    <w:left w:val="nil"/>
                    <w:bottom w:val="single" w:sz="4" w:space="0" w:color="auto"/>
                    <w:right w:val="nil"/>
                  </w:tcBorders>
                  <w:vAlign w:val="center"/>
                  <w:hideMark/>
                </w:tcPr>
                <w:p w:rsidR="00E74DEC" w:rsidRPr="00186A98" w:rsidRDefault="00E74DEC" w:rsidP="00E74DEC">
                  <w:pPr>
                    <w:rPr>
                      <w:rFonts w:ascii="Times New Roman" w:hAnsi="Times New Roman"/>
                      <w:sz w:val="22"/>
                      <w:szCs w:val="22"/>
                      <w:lang w:val="lt-LT" w:eastAsia="lt-LT"/>
                    </w:rPr>
                  </w:pPr>
                </w:p>
              </w:tc>
              <w:tc>
                <w:tcPr>
                  <w:tcW w:w="1557" w:type="dxa"/>
                  <w:tcBorders>
                    <w:top w:val="nil"/>
                    <w:left w:val="nil"/>
                    <w:bottom w:val="single" w:sz="4" w:space="0" w:color="auto"/>
                    <w:right w:val="nil"/>
                  </w:tcBorders>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placebas</w:t>
                  </w:r>
                </w:p>
              </w:tc>
              <w:tc>
                <w:tcPr>
                  <w:tcW w:w="1557" w:type="dxa"/>
                  <w:tcBorders>
                    <w:top w:val="nil"/>
                    <w:left w:val="nil"/>
                    <w:bottom w:val="single" w:sz="4" w:space="0" w:color="auto"/>
                    <w:right w:val="nil"/>
                  </w:tcBorders>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11,7 %</w:t>
                  </w:r>
                </w:p>
              </w:tc>
              <w:tc>
                <w:tcPr>
                  <w:tcW w:w="1467" w:type="dxa"/>
                  <w:tcBorders>
                    <w:top w:val="nil"/>
                    <w:left w:val="nil"/>
                    <w:bottom w:val="single" w:sz="4" w:space="0" w:color="auto"/>
                    <w:right w:val="nil"/>
                  </w:tcBorders>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19,4 %</w:t>
                  </w:r>
                </w:p>
              </w:tc>
              <w:tc>
                <w:tcPr>
                  <w:tcW w:w="1360" w:type="dxa"/>
                  <w:tcBorders>
                    <w:top w:val="nil"/>
                    <w:left w:val="nil"/>
                    <w:bottom w:val="single" w:sz="4" w:space="0" w:color="auto"/>
                    <w:right w:val="nil"/>
                  </w:tcBorders>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23,2 %</w:t>
                  </w:r>
                </w:p>
              </w:tc>
              <w:tc>
                <w:tcPr>
                  <w:tcW w:w="1478" w:type="dxa"/>
                  <w:tcBorders>
                    <w:top w:val="nil"/>
                    <w:left w:val="nil"/>
                    <w:bottom w:val="single" w:sz="4" w:space="0" w:color="auto"/>
                    <w:right w:val="nil"/>
                  </w:tcBorders>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30,9 %</w:t>
                  </w:r>
                </w:p>
              </w:tc>
              <w:tc>
                <w:tcPr>
                  <w:tcW w:w="1184" w:type="dxa"/>
                  <w:tcBorders>
                    <w:top w:val="nil"/>
                    <w:left w:val="nil"/>
                    <w:bottom w:val="single" w:sz="4" w:space="0" w:color="auto"/>
                    <w:right w:val="nil"/>
                  </w:tcBorders>
                  <w:vAlign w:val="center"/>
                </w:tcPr>
                <w:p w:rsidR="00E74DEC" w:rsidRPr="00186A98" w:rsidRDefault="00E74DEC" w:rsidP="00E74DEC">
                  <w:pPr>
                    <w:rPr>
                      <w:rFonts w:ascii="Times New Roman" w:hAnsi="Times New Roman"/>
                      <w:sz w:val="22"/>
                      <w:szCs w:val="22"/>
                      <w:lang w:val="lt-LT" w:eastAsia="lt-LT"/>
                    </w:rPr>
                  </w:pPr>
                </w:p>
              </w:tc>
            </w:tr>
          </w:tbl>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b/>
                <w:sz w:val="22"/>
                <w:szCs w:val="22"/>
                <w:lang w:val="lt-LT" w:eastAsia="lt-LT"/>
              </w:rPr>
            </w:pPr>
            <w:r w:rsidRPr="00186A98">
              <w:rPr>
                <w:rFonts w:ascii="Times New Roman" w:hAnsi="Times New Roman"/>
                <w:b/>
                <w:sz w:val="22"/>
                <w:szCs w:val="22"/>
                <w:lang w:val="lt-LT" w:eastAsia="lt-LT"/>
              </w:rPr>
              <w:fldChar w:fldCharType="begin"/>
            </w:r>
            <w:r w:rsidRPr="00186A98">
              <w:rPr>
                <w:rFonts w:ascii="Times New Roman" w:hAnsi="Times New Roman"/>
                <w:b/>
                <w:sz w:val="22"/>
                <w:szCs w:val="22"/>
                <w:lang w:val="lt-LT" w:eastAsia="lt-LT"/>
              </w:rPr>
              <w:instrText xml:space="preserve"> SEQ Table \* ARABIC </w:instrText>
            </w:r>
            <w:r w:rsidRPr="00186A98">
              <w:rPr>
                <w:rFonts w:ascii="Times New Roman" w:hAnsi="Times New Roman"/>
                <w:b/>
                <w:sz w:val="22"/>
                <w:szCs w:val="22"/>
                <w:lang w:val="lt-LT" w:eastAsia="lt-LT"/>
              </w:rPr>
              <w:fldChar w:fldCharType="separate"/>
            </w:r>
            <w:r w:rsidRPr="00186A98">
              <w:rPr>
                <w:rFonts w:ascii="Times New Roman" w:hAnsi="Times New Roman"/>
                <w:b/>
                <w:sz w:val="22"/>
                <w:szCs w:val="22"/>
                <w:lang w:val="lt-LT" w:eastAsia="lt-LT"/>
              </w:rPr>
              <w:t>2</w:t>
            </w:r>
            <w:r w:rsidRPr="00186A98">
              <w:rPr>
                <w:rFonts w:ascii="Times New Roman" w:hAnsi="Times New Roman"/>
                <w:b/>
                <w:sz w:val="22"/>
                <w:szCs w:val="22"/>
                <w:lang w:val="lt-LT" w:eastAsia="lt-LT"/>
              </w:rPr>
              <w:fldChar w:fldCharType="end"/>
            </w:r>
            <w:r w:rsidRPr="00186A98">
              <w:rPr>
                <w:rFonts w:ascii="Times New Roman" w:hAnsi="Times New Roman"/>
                <w:b/>
                <w:sz w:val="22"/>
                <w:szCs w:val="22"/>
                <w:lang w:val="lt-LT" w:eastAsia="lt-LT"/>
              </w:rPr>
              <w:t xml:space="preserve"> lentelė</w:t>
            </w:r>
            <w:r w:rsidRPr="00186A98">
              <w:rPr>
                <w:rFonts w:ascii="Times New Roman" w:hAnsi="Times New Roman"/>
                <w:b/>
                <w:sz w:val="22"/>
                <w:szCs w:val="22"/>
                <w:lang w:val="lt-LT" w:eastAsia="lt-LT"/>
              </w:rPr>
              <w:tab/>
              <w:t>Lokaliai progresavusiu prostatos vėžiu sirgusių pacientų bendro išgyvento laikotarpio duomenys gydymo pogrupiuose</w:t>
            </w:r>
          </w:p>
          <w:p w:rsidR="00E74DEC" w:rsidRPr="00186A98" w:rsidRDefault="00E74DEC" w:rsidP="00E74DEC">
            <w:pPr>
              <w:rPr>
                <w:rFonts w:ascii="Times New Roman" w:hAnsi="Times New Roman"/>
                <w:b/>
                <w:sz w:val="22"/>
                <w:szCs w:val="22"/>
                <w:lang w:val="lt-LT" w:eastAsia="lt-LT"/>
              </w:rPr>
            </w:pPr>
          </w:p>
          <w:tbl>
            <w:tblPr>
              <w:tblW w:w="10536" w:type="dxa"/>
              <w:tblLayout w:type="fixed"/>
              <w:tblLook w:val="04A0" w:firstRow="1" w:lastRow="0" w:firstColumn="1" w:lastColumn="0" w:noHBand="0" w:noVBand="1"/>
            </w:tblPr>
            <w:tblGrid>
              <w:gridCol w:w="1937"/>
              <w:gridCol w:w="1557"/>
              <w:gridCol w:w="1556"/>
              <w:gridCol w:w="1466"/>
              <w:gridCol w:w="1359"/>
              <w:gridCol w:w="1477"/>
              <w:gridCol w:w="1184"/>
            </w:tblGrid>
            <w:tr w:rsidR="00E74DEC" w:rsidRPr="00186A98" w:rsidTr="00C432F5">
              <w:trPr>
                <w:trHeight w:val="620"/>
              </w:trPr>
              <w:tc>
                <w:tcPr>
                  <w:tcW w:w="1937" w:type="dxa"/>
                  <w:tcBorders>
                    <w:top w:val="single" w:sz="18" w:space="0" w:color="000000"/>
                    <w:left w:val="nil"/>
                    <w:bottom w:val="single" w:sz="8" w:space="0" w:color="000000"/>
                    <w:right w:val="nil"/>
                  </w:tcBorders>
                  <w:vAlign w:val="center"/>
                  <w:hideMark/>
                </w:tcPr>
                <w:p w:rsidR="00E74DEC" w:rsidRPr="00186A98" w:rsidRDefault="00E74DEC" w:rsidP="00E74DEC">
                  <w:pPr>
                    <w:rPr>
                      <w:rFonts w:ascii="Times New Roman" w:hAnsi="Times New Roman"/>
                      <w:b/>
                      <w:sz w:val="22"/>
                      <w:szCs w:val="22"/>
                      <w:lang w:val="lt-LT" w:eastAsia="lt-LT"/>
                    </w:rPr>
                  </w:pPr>
                  <w:r w:rsidRPr="00186A98">
                    <w:rPr>
                      <w:rFonts w:ascii="Times New Roman" w:hAnsi="Times New Roman"/>
                      <w:b/>
                      <w:sz w:val="22"/>
                      <w:szCs w:val="22"/>
                      <w:lang w:val="lt-LT" w:eastAsia="lt-LT"/>
                    </w:rPr>
                    <w:t>Analizės populiacija</w:t>
                  </w:r>
                </w:p>
              </w:tc>
              <w:tc>
                <w:tcPr>
                  <w:tcW w:w="1557" w:type="dxa"/>
                  <w:tcBorders>
                    <w:top w:val="single" w:sz="18" w:space="0" w:color="000000"/>
                    <w:left w:val="nil"/>
                    <w:bottom w:val="single" w:sz="8" w:space="0" w:color="000000"/>
                    <w:right w:val="nil"/>
                  </w:tcBorders>
                  <w:vAlign w:val="center"/>
                  <w:hideMark/>
                </w:tcPr>
                <w:p w:rsidR="00E74DEC" w:rsidRPr="00186A98" w:rsidRDefault="00E74DEC" w:rsidP="00E74DEC">
                  <w:pPr>
                    <w:rPr>
                      <w:rFonts w:ascii="Times New Roman" w:hAnsi="Times New Roman"/>
                      <w:b/>
                      <w:sz w:val="22"/>
                      <w:szCs w:val="22"/>
                      <w:lang w:val="lt-LT" w:eastAsia="lt-LT"/>
                    </w:rPr>
                  </w:pPr>
                  <w:r w:rsidRPr="00186A98">
                    <w:rPr>
                      <w:rFonts w:ascii="Times New Roman" w:hAnsi="Times New Roman"/>
                      <w:b/>
                      <w:sz w:val="22"/>
                      <w:szCs w:val="22"/>
                      <w:lang w:val="lt-LT" w:eastAsia="lt-LT"/>
                    </w:rPr>
                    <w:t>Gydymo pogrupis</w:t>
                  </w:r>
                </w:p>
              </w:tc>
              <w:tc>
                <w:tcPr>
                  <w:tcW w:w="1557" w:type="dxa"/>
                  <w:tcBorders>
                    <w:top w:val="single" w:sz="18" w:space="0" w:color="000000"/>
                    <w:left w:val="nil"/>
                    <w:bottom w:val="single" w:sz="8" w:space="0" w:color="000000"/>
                    <w:right w:val="nil"/>
                  </w:tcBorders>
                  <w:vAlign w:val="center"/>
                  <w:hideMark/>
                </w:tcPr>
                <w:p w:rsidR="00E74DEC" w:rsidRPr="00186A98" w:rsidRDefault="00E74DEC" w:rsidP="00E74DEC">
                  <w:pPr>
                    <w:rPr>
                      <w:rFonts w:ascii="Times New Roman" w:hAnsi="Times New Roman"/>
                      <w:b/>
                      <w:sz w:val="22"/>
                      <w:szCs w:val="22"/>
                      <w:lang w:val="lt-LT" w:eastAsia="lt-LT"/>
                    </w:rPr>
                  </w:pPr>
                  <w:r w:rsidRPr="00186A98">
                    <w:rPr>
                      <w:rFonts w:ascii="Times New Roman" w:hAnsi="Times New Roman"/>
                      <w:b/>
                      <w:sz w:val="22"/>
                      <w:szCs w:val="22"/>
                      <w:lang w:val="lt-LT" w:eastAsia="lt-LT"/>
                    </w:rPr>
                    <w:t>Įvykiai (%) per 3 metus</w:t>
                  </w:r>
                </w:p>
              </w:tc>
              <w:tc>
                <w:tcPr>
                  <w:tcW w:w="1467" w:type="dxa"/>
                  <w:tcBorders>
                    <w:top w:val="single" w:sz="18" w:space="0" w:color="000000"/>
                    <w:left w:val="nil"/>
                    <w:bottom w:val="single" w:sz="8" w:space="0" w:color="000000"/>
                    <w:right w:val="nil"/>
                  </w:tcBorders>
                  <w:vAlign w:val="center"/>
                  <w:hideMark/>
                </w:tcPr>
                <w:p w:rsidR="00E74DEC" w:rsidRPr="00186A98" w:rsidRDefault="00E74DEC" w:rsidP="00E74DEC">
                  <w:pPr>
                    <w:rPr>
                      <w:rFonts w:ascii="Times New Roman" w:hAnsi="Times New Roman"/>
                      <w:b/>
                      <w:sz w:val="22"/>
                      <w:szCs w:val="22"/>
                      <w:lang w:val="lt-LT" w:eastAsia="lt-LT"/>
                    </w:rPr>
                  </w:pPr>
                  <w:r w:rsidRPr="00186A98">
                    <w:rPr>
                      <w:rFonts w:ascii="Times New Roman" w:hAnsi="Times New Roman"/>
                      <w:b/>
                      <w:sz w:val="22"/>
                      <w:szCs w:val="22"/>
                      <w:lang w:val="lt-LT" w:eastAsia="lt-LT"/>
                    </w:rPr>
                    <w:t>Įvykiai (%) per 5 metus</w:t>
                  </w:r>
                </w:p>
              </w:tc>
              <w:tc>
                <w:tcPr>
                  <w:tcW w:w="1360" w:type="dxa"/>
                  <w:tcBorders>
                    <w:top w:val="single" w:sz="18" w:space="0" w:color="000000"/>
                    <w:left w:val="nil"/>
                    <w:bottom w:val="single" w:sz="8" w:space="0" w:color="000000"/>
                    <w:right w:val="nil"/>
                  </w:tcBorders>
                  <w:vAlign w:val="center"/>
                  <w:hideMark/>
                </w:tcPr>
                <w:p w:rsidR="00E74DEC" w:rsidRPr="00186A98" w:rsidRDefault="00E74DEC" w:rsidP="00E74DEC">
                  <w:pPr>
                    <w:rPr>
                      <w:rFonts w:ascii="Times New Roman" w:hAnsi="Times New Roman"/>
                      <w:b/>
                      <w:sz w:val="22"/>
                      <w:szCs w:val="22"/>
                      <w:lang w:val="lt-LT" w:eastAsia="lt-LT"/>
                    </w:rPr>
                  </w:pPr>
                  <w:r w:rsidRPr="00186A98">
                    <w:rPr>
                      <w:rFonts w:ascii="Times New Roman" w:hAnsi="Times New Roman"/>
                      <w:b/>
                      <w:sz w:val="22"/>
                      <w:szCs w:val="22"/>
                      <w:lang w:val="lt-LT" w:eastAsia="lt-LT"/>
                    </w:rPr>
                    <w:t>Įvykiai (%) per 7 metus</w:t>
                  </w:r>
                </w:p>
              </w:tc>
              <w:tc>
                <w:tcPr>
                  <w:tcW w:w="1478" w:type="dxa"/>
                  <w:tcBorders>
                    <w:top w:val="single" w:sz="18" w:space="0" w:color="000000"/>
                    <w:left w:val="nil"/>
                    <w:bottom w:val="single" w:sz="8" w:space="0" w:color="000000"/>
                    <w:right w:val="nil"/>
                  </w:tcBorders>
                  <w:vAlign w:val="center"/>
                  <w:hideMark/>
                </w:tcPr>
                <w:p w:rsidR="00E74DEC" w:rsidRPr="00186A98" w:rsidRDefault="00E74DEC" w:rsidP="00E74DEC">
                  <w:pPr>
                    <w:rPr>
                      <w:rFonts w:ascii="Times New Roman" w:hAnsi="Times New Roman"/>
                      <w:b/>
                      <w:sz w:val="22"/>
                      <w:szCs w:val="22"/>
                      <w:lang w:val="lt-LT" w:eastAsia="lt-LT"/>
                    </w:rPr>
                  </w:pPr>
                  <w:r w:rsidRPr="00186A98">
                    <w:rPr>
                      <w:rFonts w:ascii="Times New Roman" w:hAnsi="Times New Roman"/>
                      <w:b/>
                      <w:sz w:val="22"/>
                      <w:szCs w:val="22"/>
                      <w:lang w:val="lt-LT" w:eastAsia="lt-LT"/>
                    </w:rPr>
                    <w:t>Įvykiai (%) per 10 metų</w:t>
                  </w:r>
                </w:p>
              </w:tc>
              <w:tc>
                <w:tcPr>
                  <w:tcW w:w="1184" w:type="dxa"/>
                  <w:tcBorders>
                    <w:top w:val="single" w:sz="18" w:space="0" w:color="000000"/>
                    <w:left w:val="nil"/>
                    <w:bottom w:val="single" w:sz="8" w:space="0" w:color="000000"/>
                    <w:right w:val="nil"/>
                  </w:tcBorders>
                  <w:vAlign w:val="center"/>
                </w:tcPr>
                <w:p w:rsidR="00E74DEC" w:rsidRPr="00186A98" w:rsidRDefault="00E74DEC" w:rsidP="00E74DEC">
                  <w:pPr>
                    <w:rPr>
                      <w:rFonts w:ascii="Times New Roman" w:hAnsi="Times New Roman"/>
                      <w:sz w:val="22"/>
                      <w:szCs w:val="22"/>
                      <w:lang w:val="lt-LT" w:eastAsia="lt-LT"/>
                    </w:rPr>
                  </w:pPr>
                </w:p>
              </w:tc>
            </w:tr>
            <w:tr w:rsidR="00E74DEC" w:rsidRPr="00186A98" w:rsidTr="00C432F5">
              <w:trPr>
                <w:cantSplit/>
                <w:trHeight w:val="340"/>
              </w:trPr>
              <w:tc>
                <w:tcPr>
                  <w:tcW w:w="1937" w:type="dxa"/>
                  <w:vMerge w:val="restart"/>
                  <w:vAlign w:val="center"/>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Laukimas atidžiai stebint (n = 657)</w:t>
                  </w:r>
                </w:p>
              </w:tc>
              <w:tc>
                <w:tcPr>
                  <w:tcW w:w="1557" w:type="dxa"/>
                  <w:vAlign w:val="center"/>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Bikalutamidas 150 mg</w:t>
                  </w:r>
                </w:p>
              </w:tc>
              <w:tc>
                <w:tcPr>
                  <w:tcW w:w="1557" w:type="dxa"/>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14,2 %</w:t>
                  </w:r>
                </w:p>
              </w:tc>
              <w:tc>
                <w:tcPr>
                  <w:tcW w:w="1467" w:type="dxa"/>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29,4 %</w:t>
                  </w:r>
                </w:p>
              </w:tc>
              <w:tc>
                <w:tcPr>
                  <w:tcW w:w="1360" w:type="dxa"/>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42,2 %</w:t>
                  </w:r>
                </w:p>
              </w:tc>
              <w:tc>
                <w:tcPr>
                  <w:tcW w:w="1478" w:type="dxa"/>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65,0 %</w:t>
                  </w:r>
                </w:p>
              </w:tc>
              <w:tc>
                <w:tcPr>
                  <w:tcW w:w="1184" w:type="dxa"/>
                  <w:vAlign w:val="center"/>
                </w:tcPr>
                <w:p w:rsidR="00E74DEC" w:rsidRPr="00186A98" w:rsidRDefault="00E74DEC" w:rsidP="00E74DEC">
                  <w:pPr>
                    <w:rPr>
                      <w:rFonts w:ascii="Times New Roman" w:hAnsi="Times New Roman"/>
                      <w:sz w:val="22"/>
                      <w:szCs w:val="22"/>
                      <w:lang w:val="lt-LT" w:eastAsia="lt-LT"/>
                    </w:rPr>
                  </w:pPr>
                </w:p>
              </w:tc>
            </w:tr>
            <w:tr w:rsidR="00E74DEC" w:rsidRPr="00186A98" w:rsidTr="00C432F5">
              <w:trPr>
                <w:cantSplit/>
                <w:trHeight w:val="340"/>
              </w:trPr>
              <w:tc>
                <w:tcPr>
                  <w:tcW w:w="1937" w:type="dxa"/>
                  <w:vMerge/>
                  <w:vAlign w:val="center"/>
                  <w:hideMark/>
                </w:tcPr>
                <w:p w:rsidR="00E74DEC" w:rsidRPr="00186A98" w:rsidRDefault="00E74DEC" w:rsidP="00E74DEC">
                  <w:pPr>
                    <w:rPr>
                      <w:rFonts w:ascii="Times New Roman" w:hAnsi="Times New Roman"/>
                      <w:sz w:val="22"/>
                      <w:szCs w:val="22"/>
                      <w:lang w:val="lt-LT" w:eastAsia="lt-LT"/>
                    </w:rPr>
                  </w:pPr>
                </w:p>
              </w:tc>
              <w:tc>
                <w:tcPr>
                  <w:tcW w:w="1557" w:type="dxa"/>
                  <w:vAlign w:val="center"/>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placebas</w:t>
                  </w:r>
                </w:p>
              </w:tc>
              <w:tc>
                <w:tcPr>
                  <w:tcW w:w="1557" w:type="dxa"/>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17,0 %</w:t>
                  </w:r>
                </w:p>
              </w:tc>
              <w:tc>
                <w:tcPr>
                  <w:tcW w:w="1467" w:type="dxa"/>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36,4 %</w:t>
                  </w:r>
                </w:p>
              </w:tc>
              <w:tc>
                <w:tcPr>
                  <w:tcW w:w="1360" w:type="dxa"/>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53,7 %</w:t>
                  </w:r>
                </w:p>
              </w:tc>
              <w:tc>
                <w:tcPr>
                  <w:tcW w:w="1478" w:type="dxa"/>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67,5 %</w:t>
                  </w:r>
                </w:p>
              </w:tc>
              <w:tc>
                <w:tcPr>
                  <w:tcW w:w="1184" w:type="dxa"/>
                  <w:vAlign w:val="center"/>
                </w:tcPr>
                <w:p w:rsidR="00E74DEC" w:rsidRPr="00186A98" w:rsidRDefault="00E74DEC" w:rsidP="00E74DEC">
                  <w:pPr>
                    <w:rPr>
                      <w:rFonts w:ascii="Times New Roman" w:hAnsi="Times New Roman"/>
                      <w:sz w:val="22"/>
                      <w:szCs w:val="22"/>
                      <w:lang w:val="lt-LT" w:eastAsia="lt-LT"/>
                    </w:rPr>
                  </w:pPr>
                </w:p>
              </w:tc>
            </w:tr>
            <w:tr w:rsidR="00E74DEC" w:rsidRPr="00186A98" w:rsidTr="00C432F5">
              <w:trPr>
                <w:cantSplit/>
                <w:trHeight w:val="340"/>
              </w:trPr>
              <w:tc>
                <w:tcPr>
                  <w:tcW w:w="1937" w:type="dxa"/>
                  <w:vMerge w:val="restart"/>
                  <w:vAlign w:val="center"/>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Radioterapija (n = 305)</w:t>
                  </w:r>
                </w:p>
              </w:tc>
              <w:tc>
                <w:tcPr>
                  <w:tcW w:w="1557" w:type="dxa"/>
                  <w:vAlign w:val="center"/>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Bikalutamidas 150 mg</w:t>
                  </w:r>
                </w:p>
              </w:tc>
              <w:tc>
                <w:tcPr>
                  <w:tcW w:w="1557" w:type="dxa"/>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8,2 %</w:t>
                  </w:r>
                </w:p>
              </w:tc>
              <w:tc>
                <w:tcPr>
                  <w:tcW w:w="1467" w:type="dxa"/>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20,9 %</w:t>
                  </w:r>
                </w:p>
              </w:tc>
              <w:tc>
                <w:tcPr>
                  <w:tcW w:w="1360" w:type="dxa"/>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30,0 %</w:t>
                  </w:r>
                </w:p>
              </w:tc>
              <w:tc>
                <w:tcPr>
                  <w:tcW w:w="1478" w:type="dxa"/>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48,5 %</w:t>
                  </w:r>
                </w:p>
              </w:tc>
              <w:tc>
                <w:tcPr>
                  <w:tcW w:w="1184" w:type="dxa"/>
                  <w:vAlign w:val="center"/>
                </w:tcPr>
                <w:p w:rsidR="00E74DEC" w:rsidRPr="00186A98" w:rsidRDefault="00E74DEC" w:rsidP="00E74DEC">
                  <w:pPr>
                    <w:rPr>
                      <w:rFonts w:ascii="Times New Roman" w:hAnsi="Times New Roman"/>
                      <w:sz w:val="22"/>
                      <w:szCs w:val="22"/>
                      <w:lang w:val="lt-LT" w:eastAsia="lt-LT"/>
                    </w:rPr>
                  </w:pPr>
                </w:p>
              </w:tc>
            </w:tr>
            <w:tr w:rsidR="00E74DEC" w:rsidRPr="00186A98" w:rsidTr="00C432F5">
              <w:trPr>
                <w:cantSplit/>
                <w:trHeight w:val="340"/>
              </w:trPr>
              <w:tc>
                <w:tcPr>
                  <w:tcW w:w="1937" w:type="dxa"/>
                  <w:vMerge/>
                  <w:vAlign w:val="center"/>
                  <w:hideMark/>
                </w:tcPr>
                <w:p w:rsidR="00E74DEC" w:rsidRPr="00186A98" w:rsidRDefault="00E74DEC" w:rsidP="00E74DEC">
                  <w:pPr>
                    <w:rPr>
                      <w:rFonts w:ascii="Times New Roman" w:hAnsi="Times New Roman"/>
                      <w:sz w:val="22"/>
                      <w:szCs w:val="22"/>
                      <w:lang w:val="lt-LT" w:eastAsia="lt-LT"/>
                    </w:rPr>
                  </w:pPr>
                </w:p>
              </w:tc>
              <w:tc>
                <w:tcPr>
                  <w:tcW w:w="1557" w:type="dxa"/>
                  <w:vAlign w:val="center"/>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placebas</w:t>
                  </w:r>
                </w:p>
              </w:tc>
              <w:tc>
                <w:tcPr>
                  <w:tcW w:w="1557" w:type="dxa"/>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12,6 %</w:t>
                  </w:r>
                </w:p>
              </w:tc>
              <w:tc>
                <w:tcPr>
                  <w:tcW w:w="1467" w:type="dxa"/>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23,1 %</w:t>
                  </w:r>
                </w:p>
              </w:tc>
              <w:tc>
                <w:tcPr>
                  <w:tcW w:w="1360" w:type="dxa"/>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38,1 %</w:t>
                  </w:r>
                </w:p>
              </w:tc>
              <w:tc>
                <w:tcPr>
                  <w:tcW w:w="1478" w:type="dxa"/>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53,3 %</w:t>
                  </w:r>
                </w:p>
              </w:tc>
              <w:tc>
                <w:tcPr>
                  <w:tcW w:w="1184" w:type="dxa"/>
                  <w:vAlign w:val="center"/>
                </w:tcPr>
                <w:p w:rsidR="00E74DEC" w:rsidRPr="00186A98" w:rsidRDefault="00E74DEC" w:rsidP="00E74DEC">
                  <w:pPr>
                    <w:rPr>
                      <w:rFonts w:ascii="Times New Roman" w:hAnsi="Times New Roman"/>
                      <w:sz w:val="22"/>
                      <w:szCs w:val="22"/>
                      <w:lang w:val="lt-LT" w:eastAsia="lt-LT"/>
                    </w:rPr>
                  </w:pPr>
                </w:p>
              </w:tc>
            </w:tr>
            <w:tr w:rsidR="00E74DEC" w:rsidRPr="00186A98" w:rsidTr="00C432F5">
              <w:trPr>
                <w:cantSplit/>
                <w:trHeight w:val="340"/>
              </w:trPr>
              <w:tc>
                <w:tcPr>
                  <w:tcW w:w="1937" w:type="dxa"/>
                  <w:vMerge w:val="restart"/>
                  <w:tcBorders>
                    <w:top w:val="nil"/>
                    <w:left w:val="nil"/>
                    <w:bottom w:val="single" w:sz="4" w:space="0" w:color="auto"/>
                    <w:right w:val="nil"/>
                  </w:tcBorders>
                  <w:vAlign w:val="center"/>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Radikali prostatektomija (n = 1719)</w:t>
                  </w:r>
                </w:p>
              </w:tc>
              <w:tc>
                <w:tcPr>
                  <w:tcW w:w="1557" w:type="dxa"/>
                  <w:vAlign w:val="center"/>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Bikalutamidas 150 mg</w:t>
                  </w:r>
                </w:p>
              </w:tc>
              <w:tc>
                <w:tcPr>
                  <w:tcW w:w="1557" w:type="dxa"/>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4,6 %</w:t>
                  </w:r>
                </w:p>
              </w:tc>
              <w:tc>
                <w:tcPr>
                  <w:tcW w:w="1467" w:type="dxa"/>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10,0 %</w:t>
                  </w:r>
                </w:p>
              </w:tc>
              <w:tc>
                <w:tcPr>
                  <w:tcW w:w="1360" w:type="dxa"/>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14,6 %</w:t>
                  </w:r>
                </w:p>
              </w:tc>
              <w:tc>
                <w:tcPr>
                  <w:tcW w:w="1478" w:type="dxa"/>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22,4 %</w:t>
                  </w:r>
                </w:p>
              </w:tc>
              <w:tc>
                <w:tcPr>
                  <w:tcW w:w="1184" w:type="dxa"/>
                  <w:vAlign w:val="center"/>
                </w:tcPr>
                <w:p w:rsidR="00E74DEC" w:rsidRPr="00186A98" w:rsidRDefault="00E74DEC" w:rsidP="00E74DEC">
                  <w:pPr>
                    <w:rPr>
                      <w:rFonts w:ascii="Times New Roman" w:hAnsi="Times New Roman"/>
                      <w:sz w:val="22"/>
                      <w:szCs w:val="22"/>
                      <w:lang w:val="lt-LT" w:eastAsia="lt-LT"/>
                    </w:rPr>
                  </w:pPr>
                </w:p>
              </w:tc>
            </w:tr>
            <w:tr w:rsidR="00E74DEC" w:rsidRPr="00186A98" w:rsidTr="00C432F5">
              <w:trPr>
                <w:cantSplit/>
                <w:trHeight w:val="340"/>
              </w:trPr>
              <w:tc>
                <w:tcPr>
                  <w:tcW w:w="1937" w:type="dxa"/>
                  <w:vMerge/>
                  <w:tcBorders>
                    <w:top w:val="nil"/>
                    <w:left w:val="nil"/>
                    <w:bottom w:val="single" w:sz="4" w:space="0" w:color="auto"/>
                    <w:right w:val="nil"/>
                  </w:tcBorders>
                  <w:vAlign w:val="center"/>
                  <w:hideMark/>
                </w:tcPr>
                <w:p w:rsidR="00E74DEC" w:rsidRPr="00186A98" w:rsidRDefault="00E74DEC" w:rsidP="00E74DEC">
                  <w:pPr>
                    <w:rPr>
                      <w:rFonts w:ascii="Times New Roman" w:hAnsi="Times New Roman"/>
                      <w:sz w:val="22"/>
                      <w:szCs w:val="22"/>
                      <w:lang w:val="lt-LT" w:eastAsia="lt-LT"/>
                    </w:rPr>
                  </w:pPr>
                </w:p>
              </w:tc>
              <w:tc>
                <w:tcPr>
                  <w:tcW w:w="1557" w:type="dxa"/>
                  <w:tcBorders>
                    <w:top w:val="nil"/>
                    <w:left w:val="nil"/>
                    <w:bottom w:val="single" w:sz="4" w:space="0" w:color="auto"/>
                    <w:right w:val="nil"/>
                  </w:tcBorders>
                  <w:vAlign w:val="center"/>
                  <w:hideMark/>
                </w:tcPr>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placebas</w:t>
                  </w:r>
                </w:p>
              </w:tc>
              <w:tc>
                <w:tcPr>
                  <w:tcW w:w="1557" w:type="dxa"/>
                  <w:tcBorders>
                    <w:top w:val="nil"/>
                    <w:left w:val="nil"/>
                    <w:bottom w:val="single" w:sz="4" w:space="0" w:color="auto"/>
                    <w:right w:val="nil"/>
                  </w:tcBorders>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4,2 %</w:t>
                  </w:r>
                </w:p>
              </w:tc>
              <w:tc>
                <w:tcPr>
                  <w:tcW w:w="1467" w:type="dxa"/>
                  <w:tcBorders>
                    <w:top w:val="nil"/>
                    <w:left w:val="nil"/>
                    <w:bottom w:val="single" w:sz="4" w:space="0" w:color="auto"/>
                    <w:right w:val="nil"/>
                  </w:tcBorders>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8,7 %</w:t>
                  </w:r>
                </w:p>
              </w:tc>
              <w:tc>
                <w:tcPr>
                  <w:tcW w:w="1360" w:type="dxa"/>
                  <w:tcBorders>
                    <w:top w:val="nil"/>
                    <w:left w:val="nil"/>
                    <w:bottom w:val="single" w:sz="4" w:space="0" w:color="auto"/>
                    <w:right w:val="nil"/>
                  </w:tcBorders>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12,6 %</w:t>
                  </w:r>
                </w:p>
              </w:tc>
              <w:tc>
                <w:tcPr>
                  <w:tcW w:w="1478" w:type="dxa"/>
                  <w:tcBorders>
                    <w:top w:val="nil"/>
                    <w:left w:val="nil"/>
                    <w:bottom w:val="single" w:sz="4" w:space="0" w:color="auto"/>
                    <w:right w:val="nil"/>
                  </w:tcBorders>
                  <w:vAlign w:val="center"/>
                  <w:hideMark/>
                </w:tcPr>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20,2 %</w:t>
                  </w:r>
                </w:p>
              </w:tc>
              <w:tc>
                <w:tcPr>
                  <w:tcW w:w="1184" w:type="dxa"/>
                  <w:tcBorders>
                    <w:top w:val="nil"/>
                    <w:left w:val="nil"/>
                    <w:bottom w:val="single" w:sz="4" w:space="0" w:color="auto"/>
                    <w:right w:val="nil"/>
                  </w:tcBorders>
                  <w:vAlign w:val="center"/>
                </w:tcPr>
                <w:p w:rsidR="00E74DEC" w:rsidRPr="00186A98" w:rsidRDefault="00E74DEC" w:rsidP="00E74DEC">
                  <w:pPr>
                    <w:rPr>
                      <w:rFonts w:ascii="Times New Roman" w:hAnsi="Times New Roman"/>
                      <w:sz w:val="22"/>
                      <w:szCs w:val="22"/>
                      <w:lang w:val="lt-LT" w:eastAsia="lt-LT"/>
                    </w:rPr>
                  </w:pPr>
                </w:p>
              </w:tc>
            </w:tr>
          </w:tbl>
          <w:p w:rsidR="00E74DEC" w:rsidRPr="00186A98" w:rsidRDefault="00E74DEC" w:rsidP="00E74DEC">
            <w:pPr>
              <w:rPr>
                <w:rFonts w:ascii="Times New Roman" w:hAnsi="Times New Roman"/>
                <w:sz w:val="22"/>
                <w:szCs w:val="22"/>
                <w:lang w:val="lt-LT" w:eastAsia="lt-LT"/>
              </w:rPr>
            </w:pPr>
          </w:p>
        </w:tc>
      </w:tr>
    </w:tbl>
    <w:p w:rsidR="00E74DEC" w:rsidRPr="00186A98" w:rsidRDefault="00E74DEC" w:rsidP="00E74DEC">
      <w:pPr>
        <w:rPr>
          <w:rFonts w:ascii="Times New Roman" w:hAnsi="Times New Roman"/>
          <w:sz w:val="22"/>
          <w:szCs w:val="22"/>
          <w:lang w:val="lt-LT" w:eastAsia="lt-LT"/>
        </w:rPr>
      </w:pPr>
    </w:p>
    <w:p w:rsidR="00E74DEC" w:rsidRPr="00186A98" w:rsidRDefault="00E74DEC" w:rsidP="00E74DEC">
      <w:pPr>
        <w:autoSpaceDE w:val="0"/>
        <w:autoSpaceDN w:val="0"/>
        <w:adjustRightInd w:val="0"/>
        <w:rPr>
          <w:rFonts w:ascii="Times New Roman" w:hAnsi="Times New Roman"/>
          <w:b/>
          <w:bCs/>
          <w:sz w:val="22"/>
          <w:szCs w:val="22"/>
          <w:lang w:val="lt-LT" w:eastAsia="lt-LT"/>
        </w:rPr>
      </w:pPr>
    </w:p>
    <w:p w:rsidR="00E74DEC" w:rsidRPr="00186A98" w:rsidRDefault="00E74DEC" w:rsidP="00E74DEC">
      <w:pPr>
        <w:rPr>
          <w:rFonts w:ascii="Times New Roman" w:hAnsi="Times New Roman"/>
          <w:noProof/>
          <w:sz w:val="22"/>
          <w:szCs w:val="22"/>
          <w:lang w:val="lt-LT" w:eastAsia="lt-LT"/>
        </w:rPr>
      </w:pPr>
    </w:p>
    <w:p w:rsidR="00E74DEC" w:rsidRPr="00186A98" w:rsidRDefault="00E74DEC" w:rsidP="00E74DEC">
      <w:pPr>
        <w:spacing w:after="120"/>
        <w:rPr>
          <w:rFonts w:ascii="Times New Roman" w:hAnsi="Times New Roman"/>
          <w:sz w:val="22"/>
          <w:szCs w:val="22"/>
          <w:lang w:val="lt-LT" w:eastAsia="lt-LT"/>
        </w:rPr>
      </w:pPr>
      <w:r w:rsidRPr="00186A98">
        <w:rPr>
          <w:rFonts w:ascii="Times New Roman" w:hAnsi="Times New Roman"/>
          <w:sz w:val="22"/>
          <w:szCs w:val="22"/>
          <w:lang w:val="lt-LT" w:eastAsia="lt-LT"/>
        </w:rPr>
        <w:t>Lokaliu prostatos vėžiu sirgusiems pacientams, vartojusiems bikalutamido monoterapijai, reikšmingo be ligos progresavimo išgyvento laikotarpio skirtumo nenustatyta. Šiems pacientams, kuriems kitu atveju būtų taikytas atidus stebėjimas, nustatyta tendencija trumpesniam išgyventam laikotarpiui negu vartojusiems placebą (santykinė rizika – 1,15, 95 % PI– 1,00-1,32). Dėl to bikalutamido vartojimo rizikos ir naudos santykis lokaliu prostatos vėžiu sergantiems pacientams nelaikomas palankiu.</w:t>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Atskira kombinuota dviejų tyrimų, kuriuose dalyvavo 480 iki tol negydytų pacientų, analizė įrodė, kad Bikalutamidas 150 mg yra veiksmingas lokaliai progresavusiam nemetastazavusiam prostatos vėžiui gydyti pacientams, kuriuos reikia neatidėliotinai kastruoti. Laikotarpiu, kurio mediana 6,3 metų, mirė 56 % stebėtų pacientų. Iškastruotų ir bikalutamidas 150 mg gydytų pacientų išgyventas laikotarpis reikšmingai nesiskyrė (santykinė rizika– 1,05,PI– 0,81</w:t>
      </w:r>
      <w:r w:rsidRPr="00186A98">
        <w:rPr>
          <w:rFonts w:ascii="Times New Roman" w:hAnsi="Times New Roman"/>
          <w:sz w:val="22"/>
          <w:szCs w:val="22"/>
          <w:lang w:val="lt-LT" w:eastAsia="lt-LT"/>
        </w:rPr>
        <w:noBreakHyphen/>
        <w:t>1,36), tačiau nebuvo galima padaryti statistinės išvados, kad abu šie gydymo būdai ekvivalentiški.</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Kombinuota dviejų tyrimų, kuriuose dalyvavo 805 metastazavusiu (M1) prostatos vėžiu sergantys iki tol negydyti pacientai (mirė 43 %), analizė parodė, kad bikalutamidas 150 mg prailgina gyvenimo trukmę mažiau negu kastracija (santykinė rizika– 1,3,PI– 1,04</w:t>
      </w:r>
      <w:r w:rsidRPr="00186A98">
        <w:rPr>
          <w:rFonts w:ascii="Times New Roman" w:hAnsi="Times New Roman"/>
          <w:sz w:val="22"/>
          <w:szCs w:val="22"/>
          <w:lang w:val="lt-LT" w:eastAsia="lt-LT"/>
        </w:rPr>
        <w:noBreakHyphen/>
        <w:t>1,65). Išgyventas laikotarpis, kurio mediana 2 metai, vidutiniškai skyrėsi 42 dienomis.</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lastRenderedPageBreak/>
        <w:t>Bikalutamidas yra racematas, kurio antiandrogeninis poveikis beveik visiškai priklauso nuo R-enantiomero.</w:t>
      </w:r>
    </w:p>
    <w:p w:rsidR="00E74DEC" w:rsidRPr="00186A98" w:rsidRDefault="00E74DEC" w:rsidP="00E74DEC">
      <w:pPr>
        <w:rPr>
          <w:rFonts w:ascii="Times New Roman" w:hAnsi="Times New Roman"/>
          <w:sz w:val="22"/>
          <w:szCs w:val="22"/>
          <w:lang w:val="lt-LT" w:eastAsia="lt-LT"/>
        </w:rPr>
      </w:pPr>
    </w:p>
    <w:p w:rsidR="00E74DEC" w:rsidRPr="00186A98" w:rsidRDefault="00E74DEC" w:rsidP="00186A98">
      <w:pPr>
        <w:ind w:left="567" w:hanging="567"/>
        <w:rPr>
          <w:rFonts w:ascii="Times New Roman" w:hAnsi="Times New Roman"/>
          <w:b/>
          <w:bCs/>
          <w:sz w:val="22"/>
          <w:szCs w:val="22"/>
          <w:lang w:val="lt-LT" w:eastAsia="lt-LT"/>
        </w:rPr>
      </w:pPr>
      <w:r w:rsidRPr="00186A98">
        <w:rPr>
          <w:rFonts w:ascii="Times New Roman" w:hAnsi="Times New Roman"/>
          <w:b/>
          <w:bCs/>
          <w:sz w:val="22"/>
          <w:szCs w:val="22"/>
          <w:lang w:val="lt-LT" w:eastAsia="lt-LT"/>
        </w:rPr>
        <w:t>5.2</w:t>
      </w:r>
      <w:r w:rsidRPr="00186A98">
        <w:rPr>
          <w:rFonts w:ascii="Times New Roman" w:hAnsi="Times New Roman"/>
          <w:b/>
          <w:bCs/>
          <w:sz w:val="22"/>
          <w:szCs w:val="22"/>
          <w:lang w:val="lt-LT" w:eastAsia="lt-LT"/>
        </w:rPr>
        <w:tab/>
        <w:t>Farmakokinetinės savybės</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Absorbcija</w:t>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 xml:space="preserve">Išgertas bikalutamidas rezorbuojamas gerai. Remiantis dabartiniais duomenimis, maistas biologiniam jo prieinamumui kliniškai reikšmingos įtakos nedaro. </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Pasiskirstymas</w:t>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Prie kraujo plazmos baltymų jungiasi daug bikalutamido (racemato –96 </w:t>
      </w:r>
      <w:r w:rsidRPr="00186A98">
        <w:rPr>
          <w:rFonts w:ascii="Times New Roman" w:hAnsi="Times New Roman"/>
          <w:sz w:val="22"/>
          <w:szCs w:val="22"/>
          <w:lang w:val="lt-LT" w:eastAsia="lt-LT"/>
        </w:rPr>
        <w:sym w:font="Symbol" w:char="F025"/>
      </w:r>
      <w:r w:rsidRPr="00186A98">
        <w:rPr>
          <w:rFonts w:ascii="Times New Roman" w:hAnsi="Times New Roman"/>
          <w:sz w:val="22"/>
          <w:szCs w:val="22"/>
          <w:lang w:val="lt-LT" w:eastAsia="lt-LT"/>
        </w:rPr>
        <w:t>, R-bikalutamido - 99 </w:t>
      </w:r>
      <w:r w:rsidRPr="00186A98">
        <w:rPr>
          <w:rFonts w:ascii="Times New Roman" w:hAnsi="Times New Roman"/>
          <w:sz w:val="22"/>
          <w:szCs w:val="22"/>
          <w:lang w:val="lt-LT" w:eastAsia="lt-LT"/>
        </w:rPr>
        <w:sym w:font="Symbol" w:char="F025"/>
      </w:r>
      <w:r w:rsidRPr="00186A98">
        <w:rPr>
          <w:rFonts w:ascii="Times New Roman" w:hAnsi="Times New Roman"/>
          <w:sz w:val="22"/>
          <w:szCs w:val="22"/>
          <w:lang w:val="lt-LT" w:eastAsia="lt-LT"/>
        </w:rPr>
        <w:t>).</w:t>
      </w:r>
      <w:r w:rsidRPr="00186A98">
        <w:rPr>
          <w:rFonts w:ascii="Times New Roman" w:hAnsi="Times New Roman"/>
          <w:noProof/>
          <w:sz w:val="22"/>
          <w:szCs w:val="22"/>
          <w:lang w:val="lt-LT" w:eastAsia="lt-LT"/>
        </w:rPr>
        <w:t>Kasdien vartojant bikalutamido 150 mg, plazmoje susidaro maždaug 10 kartų didesnė R-enantiomero koncentracija, kadangi jo pusinis laikas yra ilgas.</w:t>
      </w:r>
      <w:r w:rsidRPr="00186A98">
        <w:rPr>
          <w:rFonts w:ascii="Times New Roman" w:hAnsi="Times New Roman"/>
          <w:sz w:val="22"/>
          <w:szCs w:val="22"/>
          <w:lang w:val="lt-LT" w:eastAsia="lt-LT"/>
        </w:rPr>
        <w:t xml:space="preserve"> </w:t>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Kasdien geriant 150 mg bikalutamido dozę, susidaro maždaug 22 mikrogramai/ml pusiausvyrinė R- enantiomero koncentracija kraujo plazmoje.</w:t>
      </w:r>
      <w:r w:rsidRPr="00186A98">
        <w:rPr>
          <w:rFonts w:ascii="Times New Roman" w:hAnsi="Times New Roman"/>
          <w:noProof/>
          <w:sz w:val="22"/>
          <w:szCs w:val="22"/>
          <w:lang w:val="lt-LT" w:eastAsia="lt-LT"/>
        </w:rPr>
        <w:t xml:space="preserve"> Tuomet 99 </w:t>
      </w:r>
      <w:r w:rsidRPr="00186A98">
        <w:rPr>
          <w:rFonts w:ascii="Times New Roman" w:hAnsi="Times New Roman"/>
          <w:noProof/>
          <w:sz w:val="22"/>
          <w:szCs w:val="22"/>
          <w:lang w:val="lt-LT" w:eastAsia="lt-LT"/>
        </w:rPr>
        <w:sym w:font="Symbol" w:char="F025"/>
      </w:r>
      <w:r w:rsidRPr="00186A98">
        <w:rPr>
          <w:rFonts w:ascii="Times New Roman" w:hAnsi="Times New Roman"/>
          <w:noProof/>
          <w:sz w:val="22"/>
          <w:szCs w:val="22"/>
          <w:lang w:val="lt-LT" w:eastAsia="lt-LT"/>
        </w:rPr>
        <w:t xml:space="preserve"> cirkuliuojančių enantiomerų sudaro pagrindinį poveikį sukeliantis R-enantiomeras. </w:t>
      </w:r>
      <w:r w:rsidRPr="00186A98">
        <w:rPr>
          <w:rFonts w:ascii="Times New Roman" w:hAnsi="Times New Roman"/>
          <w:sz w:val="22"/>
          <w:szCs w:val="22"/>
          <w:lang w:val="lt-LT" w:eastAsia="lt-LT"/>
        </w:rPr>
        <w:t xml:space="preserve"> </w:t>
      </w:r>
    </w:p>
    <w:p w:rsidR="00E74DEC" w:rsidRPr="00186A98" w:rsidRDefault="00E74DEC" w:rsidP="00E74DEC">
      <w:pPr>
        <w:rPr>
          <w:rFonts w:ascii="Times New Roman" w:hAnsi="Times New Roman"/>
          <w:noProof/>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Biotransformacija</w:t>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Didžioji dalis bikalutamido metabolizuojama oksidacijos ir konjugacijos su gliukurono rūgštimi būdais.</w:t>
      </w:r>
      <w:r w:rsidRPr="00186A98">
        <w:rPr>
          <w:rFonts w:ascii="Times New Roman" w:hAnsi="Times New Roman"/>
          <w:noProof/>
          <w:sz w:val="22"/>
          <w:szCs w:val="22"/>
          <w:lang w:val="lt-LT" w:eastAsia="lt-LT"/>
        </w:rPr>
        <w:t xml:space="preserve"> </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Eliminacija</w:t>
      </w:r>
    </w:p>
    <w:p w:rsidR="00E74DEC" w:rsidRPr="00186A98" w:rsidRDefault="00E74DEC" w:rsidP="00E74DEC">
      <w:pPr>
        <w:rPr>
          <w:rFonts w:ascii="Times New Roman" w:hAnsi="Times New Roman"/>
          <w:noProof/>
          <w:sz w:val="22"/>
          <w:szCs w:val="22"/>
          <w:lang w:val="lt-LT" w:eastAsia="lt-LT"/>
        </w:rPr>
      </w:pPr>
      <w:r w:rsidRPr="00186A98">
        <w:rPr>
          <w:rFonts w:ascii="Times New Roman" w:hAnsi="Times New Roman"/>
          <w:noProof/>
          <w:sz w:val="22"/>
          <w:szCs w:val="22"/>
          <w:lang w:val="lt-LT" w:eastAsia="lt-LT"/>
        </w:rPr>
        <w:t>Maždaug vienoda bikalutamido metabolitų dalis pasišalina per inkstus ir su tulžimi.</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S-enantiomeras, palyginti su R-enantiomeru, išskiriamas greitai. Pastarojo enantiomero pusinės eliminacijos periodas yra maždaug viena savaitė.</w:t>
      </w:r>
    </w:p>
    <w:p w:rsidR="00E74DEC" w:rsidRPr="00186A98" w:rsidRDefault="00E74DEC" w:rsidP="00E74DEC">
      <w:pPr>
        <w:rPr>
          <w:rFonts w:ascii="Times New Roman" w:hAnsi="Times New Roman"/>
          <w:noProof/>
          <w:sz w:val="22"/>
          <w:szCs w:val="22"/>
          <w:lang w:val="lt-LT" w:eastAsia="lt-LT"/>
        </w:rPr>
      </w:pPr>
    </w:p>
    <w:p w:rsidR="00E74DEC" w:rsidRPr="00186A98" w:rsidRDefault="00E74DEC" w:rsidP="00E74DEC">
      <w:pPr>
        <w:rPr>
          <w:rFonts w:ascii="Times New Roman" w:hAnsi="Times New Roman"/>
          <w:noProof/>
          <w:sz w:val="22"/>
          <w:szCs w:val="22"/>
          <w:lang w:val="lt-LT" w:eastAsia="lt-LT"/>
        </w:rPr>
      </w:pPr>
      <w:r w:rsidRPr="00186A98">
        <w:rPr>
          <w:rFonts w:ascii="Times New Roman" w:hAnsi="Times New Roman"/>
          <w:color w:val="000000"/>
          <w:sz w:val="22"/>
          <w:szCs w:val="22"/>
          <w:lang w:val="lt-LT" w:eastAsia="lt-LT"/>
        </w:rPr>
        <w:t>Ypatingos populiacijos</w:t>
      </w:r>
    </w:p>
    <w:p w:rsidR="00E74DEC" w:rsidRPr="00186A98" w:rsidRDefault="00E74DEC" w:rsidP="00E74DEC">
      <w:pPr>
        <w:rPr>
          <w:rFonts w:ascii="Times New Roman" w:hAnsi="Times New Roman"/>
          <w:noProof/>
          <w:sz w:val="22"/>
          <w:szCs w:val="22"/>
          <w:lang w:val="lt-LT" w:eastAsia="lt-LT"/>
        </w:rPr>
      </w:pPr>
      <w:r w:rsidRPr="00186A98">
        <w:rPr>
          <w:rFonts w:ascii="Times New Roman" w:hAnsi="Times New Roman"/>
          <w:noProof/>
          <w:sz w:val="22"/>
          <w:szCs w:val="22"/>
          <w:lang w:val="lt-LT" w:eastAsia="lt-LT"/>
        </w:rPr>
        <w:t>Amžius, inkstų funkcijos sutrikimas ir lengvas arba vidutinis kepenų funkcijos sutrikimas R-enantiomero farmakokinetikos neveikia. Yra duomenų, rodančių lėtesnę R-enantiomero eliminaciją iš pacientų su sunkiu kepenų funkcijos sutrikimu plazmos.</w:t>
      </w:r>
    </w:p>
    <w:p w:rsidR="00E74DEC" w:rsidRPr="00186A98" w:rsidRDefault="00E74DEC" w:rsidP="00E74DEC">
      <w:pPr>
        <w:rPr>
          <w:rFonts w:ascii="Times New Roman" w:hAnsi="Times New Roman"/>
          <w:noProof/>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Klinikinio tyrimo metu vidutinė R-enantiomero koncentracija 150 mg bikalutamido vartojusių vyrų sėkloje buvo 4,9 μg/ml. Lytinio akto metu partnerei gali patekti mažai (apie 0,3 μg/kg) bikalutamido. Šis kiekis yra mažesnis už sukeliantį pokyčius laboratorinių gyvūnų palikuonims.</w:t>
      </w:r>
    </w:p>
    <w:p w:rsidR="00E74DEC" w:rsidRPr="00186A98" w:rsidRDefault="00E74DEC" w:rsidP="00E74DEC">
      <w:pPr>
        <w:rPr>
          <w:rFonts w:ascii="Times New Roman" w:hAnsi="Times New Roman"/>
          <w:b/>
          <w:bCs/>
          <w:sz w:val="22"/>
          <w:szCs w:val="22"/>
          <w:lang w:val="lt-LT" w:eastAsia="lt-LT"/>
        </w:rPr>
      </w:pPr>
    </w:p>
    <w:p w:rsidR="00E74DEC" w:rsidRPr="00186A98" w:rsidRDefault="00E74DEC" w:rsidP="00186A98">
      <w:pPr>
        <w:ind w:left="567" w:hanging="567"/>
        <w:rPr>
          <w:rFonts w:ascii="Times New Roman" w:hAnsi="Times New Roman"/>
          <w:b/>
          <w:bCs/>
          <w:sz w:val="22"/>
          <w:szCs w:val="22"/>
          <w:lang w:val="lt-LT" w:eastAsia="lt-LT"/>
        </w:rPr>
      </w:pPr>
      <w:r w:rsidRPr="00186A98">
        <w:rPr>
          <w:rFonts w:ascii="Times New Roman" w:hAnsi="Times New Roman"/>
          <w:b/>
          <w:bCs/>
          <w:sz w:val="22"/>
          <w:szCs w:val="22"/>
          <w:lang w:val="lt-LT" w:eastAsia="lt-LT"/>
        </w:rPr>
        <w:t>5.3</w:t>
      </w:r>
      <w:r w:rsidRPr="00186A98">
        <w:rPr>
          <w:rFonts w:ascii="Times New Roman" w:hAnsi="Times New Roman"/>
          <w:b/>
          <w:bCs/>
          <w:sz w:val="22"/>
          <w:szCs w:val="22"/>
          <w:lang w:val="lt-LT" w:eastAsia="lt-LT"/>
        </w:rPr>
        <w:tab/>
        <w:t>Ikiklinikinių saugumo tyrimų duomenys</w:t>
      </w:r>
    </w:p>
    <w:p w:rsidR="00E74DEC" w:rsidRPr="00186A98" w:rsidRDefault="00E74DEC" w:rsidP="00E74DEC">
      <w:pPr>
        <w:rPr>
          <w:rFonts w:ascii="Times New Roman" w:hAnsi="Times New Roman"/>
          <w:noProof/>
          <w:sz w:val="22"/>
          <w:szCs w:val="22"/>
          <w:lang w:val="lt-LT" w:eastAsia="lt-LT"/>
        </w:rPr>
      </w:pPr>
    </w:p>
    <w:p w:rsidR="00E74DEC" w:rsidRPr="00186A98" w:rsidRDefault="00E74DEC" w:rsidP="00E74DEC">
      <w:pPr>
        <w:rPr>
          <w:rFonts w:ascii="Times New Roman" w:hAnsi="Times New Roman"/>
          <w:noProof/>
          <w:sz w:val="22"/>
          <w:szCs w:val="22"/>
          <w:lang w:val="lt-LT" w:eastAsia="lt-LT"/>
        </w:rPr>
      </w:pPr>
      <w:r w:rsidRPr="00186A98">
        <w:rPr>
          <w:rFonts w:ascii="Times New Roman" w:hAnsi="Times New Roman"/>
          <w:noProof/>
          <w:sz w:val="22"/>
          <w:szCs w:val="22"/>
          <w:lang w:val="lt-LT" w:eastAsia="lt-LT"/>
        </w:rPr>
        <w:t>Gyvūnų organizme bikalutamidas yra stipriai veikiantis antiandrogenas ir fermentų – mišrios funkcijos oksidazių induktorius. Veikiamų organų pokyčiai, įskaitant gyvūnams sukeliamus navikus (sėklidžių intersticinių ląstelių, skydliaukės, kepenų), yra susiję su šiais poveikiais. Žmogaus organizme fermentų indukcijos nepastebėta. Kai gydomas prostatos vėžys, minėti tyrimų duomenys laikomi nereikšmingais. Sėklinių kanalėlių atrofija yra numatomas antiandrogenų grupės vaistinių preparatų poveikis, nustatytas visų tirtų rūšių gyvūnams. Tiriant 12 mėnesių kartotinai duodamo bikalutamido toksiškumą, žiurkių sėklidžių atrofija visiškai praėjo per 24 savaites. Tiriant šio vaistinio preparato poveikį reprodukcijai, sunormalėjusi sėklidžių funkcija nustatyta praėjus 7 savaitėms po 11 savaičių trukmės vaistinio preparato vartojimo. Reikėtų manyti, kad tam tikram laikotarpiui sumažėja arba išnyksta ir vyrų vaisingumas.</w:t>
      </w:r>
    </w:p>
    <w:p w:rsidR="00E74DEC" w:rsidRPr="00186A98" w:rsidRDefault="00E74DEC" w:rsidP="00E74DEC">
      <w:pPr>
        <w:rPr>
          <w:rFonts w:ascii="Times New Roman" w:hAnsi="Times New Roman"/>
          <w:b/>
          <w:bCs/>
          <w:sz w:val="22"/>
          <w:szCs w:val="22"/>
          <w:lang w:val="lt-LT" w:eastAsia="lt-LT"/>
        </w:rPr>
      </w:pPr>
    </w:p>
    <w:p w:rsidR="00E74DEC" w:rsidRPr="00186A98" w:rsidRDefault="00E74DEC" w:rsidP="00E74DEC">
      <w:pPr>
        <w:rPr>
          <w:rFonts w:ascii="Times New Roman" w:hAnsi="Times New Roman"/>
          <w:b/>
          <w:bCs/>
          <w:sz w:val="22"/>
          <w:szCs w:val="22"/>
          <w:lang w:val="lt-LT" w:eastAsia="lt-LT"/>
        </w:rPr>
      </w:pPr>
    </w:p>
    <w:p w:rsidR="00E74DEC" w:rsidRPr="00186A98" w:rsidRDefault="00E74DEC" w:rsidP="00186A98">
      <w:pPr>
        <w:ind w:left="567" w:hanging="567"/>
        <w:rPr>
          <w:rFonts w:ascii="Times New Roman" w:hAnsi="Times New Roman"/>
          <w:b/>
          <w:bCs/>
          <w:sz w:val="22"/>
          <w:szCs w:val="22"/>
          <w:lang w:val="lt-LT" w:eastAsia="lt-LT"/>
        </w:rPr>
      </w:pPr>
      <w:r w:rsidRPr="00186A98">
        <w:rPr>
          <w:rFonts w:ascii="Times New Roman" w:hAnsi="Times New Roman"/>
          <w:b/>
          <w:bCs/>
          <w:sz w:val="22"/>
          <w:szCs w:val="22"/>
          <w:lang w:val="lt-LT" w:eastAsia="lt-LT"/>
        </w:rPr>
        <w:t>6.</w:t>
      </w:r>
      <w:r w:rsidRPr="00186A98">
        <w:rPr>
          <w:rFonts w:ascii="Times New Roman" w:hAnsi="Times New Roman"/>
          <w:b/>
          <w:bCs/>
          <w:sz w:val="22"/>
          <w:szCs w:val="22"/>
          <w:lang w:val="lt-LT" w:eastAsia="lt-LT"/>
        </w:rPr>
        <w:tab/>
        <w:t>FARMACINĖ INFORMACIJA</w:t>
      </w:r>
    </w:p>
    <w:p w:rsidR="00E74DEC" w:rsidRPr="00186A98" w:rsidRDefault="00E74DEC" w:rsidP="00E74DEC">
      <w:pPr>
        <w:rPr>
          <w:rFonts w:ascii="Times New Roman" w:hAnsi="Times New Roman"/>
          <w:b/>
          <w:bCs/>
          <w:sz w:val="22"/>
          <w:szCs w:val="22"/>
          <w:lang w:val="lt-LT" w:eastAsia="lt-LT"/>
        </w:rPr>
      </w:pPr>
    </w:p>
    <w:p w:rsidR="00E74DEC" w:rsidRPr="00186A98" w:rsidRDefault="00E74DEC" w:rsidP="00E74DEC">
      <w:pPr>
        <w:numPr>
          <w:ilvl w:val="1"/>
          <w:numId w:val="14"/>
        </w:numPr>
        <w:tabs>
          <w:tab w:val="clear" w:pos="360"/>
          <w:tab w:val="num" w:pos="567"/>
        </w:tabs>
        <w:ind w:left="567" w:hanging="567"/>
        <w:rPr>
          <w:rFonts w:ascii="Times New Roman" w:hAnsi="Times New Roman"/>
          <w:b/>
          <w:bCs/>
          <w:sz w:val="22"/>
          <w:szCs w:val="22"/>
          <w:lang w:val="lt-LT" w:eastAsia="lt-LT"/>
        </w:rPr>
      </w:pPr>
      <w:r w:rsidRPr="00186A98">
        <w:rPr>
          <w:rFonts w:ascii="Times New Roman" w:hAnsi="Times New Roman"/>
          <w:b/>
          <w:bCs/>
          <w:sz w:val="22"/>
          <w:szCs w:val="22"/>
          <w:lang w:val="lt-LT" w:eastAsia="lt-LT"/>
        </w:rPr>
        <w:t>Pagalbinių medžiagų sąrašas</w:t>
      </w:r>
    </w:p>
    <w:p w:rsidR="00E74DEC" w:rsidRPr="00186A98" w:rsidRDefault="00E74DEC" w:rsidP="00E74DEC">
      <w:pPr>
        <w:spacing w:after="120"/>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i/>
          <w:sz w:val="22"/>
          <w:szCs w:val="22"/>
          <w:lang w:val="lt-LT" w:eastAsia="lt-LT"/>
        </w:rPr>
        <w:t>Tabletės branduolys</w:t>
      </w:r>
      <w:r w:rsidRPr="00186A98">
        <w:rPr>
          <w:rFonts w:ascii="Times New Roman" w:hAnsi="Times New Roman"/>
          <w:sz w:val="22"/>
          <w:szCs w:val="22"/>
          <w:lang w:val="lt-LT" w:eastAsia="lt-LT"/>
        </w:rPr>
        <w:t xml:space="preserve"> </w:t>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lastRenderedPageBreak/>
        <w:t xml:space="preserve">Laktozė monohidratas </w:t>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Karboksimetilkrakmolo A natrio druska</w:t>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Povidonas K30</w:t>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Koloidinis bevandenis silicio dioksidas</w:t>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Magnio stearatas</w:t>
      </w:r>
    </w:p>
    <w:p w:rsidR="00E74DEC" w:rsidRPr="00186A98" w:rsidRDefault="00E74DEC" w:rsidP="00E74DEC">
      <w:pPr>
        <w:jc w:val="both"/>
        <w:rPr>
          <w:rFonts w:ascii="Times New Roman" w:hAnsi="Times New Roman"/>
          <w:i/>
          <w:sz w:val="22"/>
          <w:szCs w:val="22"/>
          <w:lang w:val="lt-LT" w:eastAsia="lt-LT"/>
        </w:rPr>
      </w:pPr>
    </w:p>
    <w:p w:rsidR="00E74DEC" w:rsidRPr="00186A98" w:rsidRDefault="00E74DEC" w:rsidP="00E74DEC">
      <w:pPr>
        <w:jc w:val="both"/>
        <w:rPr>
          <w:rFonts w:ascii="Times New Roman" w:hAnsi="Times New Roman"/>
          <w:sz w:val="22"/>
          <w:szCs w:val="22"/>
          <w:lang w:val="lt-LT" w:eastAsia="lt-LT"/>
        </w:rPr>
      </w:pPr>
      <w:r w:rsidRPr="00186A98">
        <w:rPr>
          <w:rFonts w:ascii="Times New Roman" w:hAnsi="Times New Roman"/>
          <w:i/>
          <w:sz w:val="22"/>
          <w:szCs w:val="22"/>
          <w:lang w:val="lt-LT" w:eastAsia="lt-LT"/>
        </w:rPr>
        <w:t>Tabletės plėvelė</w:t>
      </w:r>
    </w:p>
    <w:p w:rsidR="00E74DEC" w:rsidRPr="00186A98" w:rsidRDefault="00E74DEC" w:rsidP="00E74DEC">
      <w:pPr>
        <w:jc w:val="both"/>
        <w:rPr>
          <w:rFonts w:ascii="Times New Roman" w:hAnsi="Times New Roman"/>
          <w:b/>
          <w:bCs/>
          <w:sz w:val="22"/>
          <w:szCs w:val="22"/>
          <w:lang w:val="lt-LT" w:eastAsia="lt-LT"/>
        </w:rPr>
      </w:pPr>
      <w:r w:rsidRPr="00186A98">
        <w:rPr>
          <w:rFonts w:ascii="Times New Roman" w:hAnsi="Times New Roman"/>
          <w:i/>
          <w:sz w:val="22"/>
          <w:szCs w:val="22"/>
          <w:lang w:val="lt-LT" w:eastAsia="lt-LT"/>
        </w:rPr>
        <w:t>Opadry II 33G28523 White</w:t>
      </w:r>
      <w:r w:rsidRPr="00186A98">
        <w:rPr>
          <w:rFonts w:ascii="Times New Roman" w:hAnsi="Times New Roman"/>
          <w:sz w:val="22"/>
          <w:szCs w:val="22"/>
          <w:lang w:val="lt-LT" w:eastAsia="lt-LT"/>
        </w:rPr>
        <w:t xml:space="preserve"> (sudėtyje yra hipromeliozė, titano dioksidas (E171), laktozė monohidratas, makrogolis 3350, triacetinas).</w:t>
      </w:r>
    </w:p>
    <w:p w:rsidR="00E74DEC" w:rsidRPr="00186A98" w:rsidRDefault="00E74DEC" w:rsidP="00E74DEC">
      <w:pPr>
        <w:jc w:val="both"/>
        <w:rPr>
          <w:rFonts w:ascii="Times New Roman" w:hAnsi="Times New Roman"/>
          <w:b/>
          <w:bCs/>
          <w:sz w:val="22"/>
          <w:szCs w:val="22"/>
          <w:lang w:val="lt-LT" w:eastAsia="lt-LT"/>
        </w:rPr>
      </w:pPr>
    </w:p>
    <w:p w:rsidR="00E74DEC" w:rsidRPr="00186A98" w:rsidRDefault="00E74DEC" w:rsidP="00186A98">
      <w:pPr>
        <w:ind w:left="567" w:hanging="567"/>
        <w:rPr>
          <w:rFonts w:ascii="Times New Roman" w:hAnsi="Times New Roman"/>
          <w:b/>
          <w:bCs/>
          <w:sz w:val="22"/>
          <w:szCs w:val="22"/>
          <w:lang w:val="lt-LT" w:eastAsia="lt-LT"/>
        </w:rPr>
      </w:pPr>
      <w:r w:rsidRPr="00186A98">
        <w:rPr>
          <w:rFonts w:ascii="Times New Roman" w:hAnsi="Times New Roman"/>
          <w:b/>
          <w:bCs/>
          <w:sz w:val="22"/>
          <w:szCs w:val="22"/>
          <w:lang w:val="lt-LT" w:eastAsia="lt-LT"/>
        </w:rPr>
        <w:t>6.2</w:t>
      </w:r>
      <w:r w:rsidRPr="00186A98">
        <w:rPr>
          <w:rFonts w:ascii="Times New Roman" w:hAnsi="Times New Roman"/>
          <w:b/>
          <w:bCs/>
          <w:sz w:val="22"/>
          <w:szCs w:val="22"/>
          <w:lang w:val="lt-LT" w:eastAsia="lt-LT"/>
        </w:rPr>
        <w:tab/>
        <w:t>Nesuderinamumas</w:t>
      </w:r>
    </w:p>
    <w:p w:rsidR="00E74DEC" w:rsidRPr="00186A98" w:rsidRDefault="00E74DEC" w:rsidP="00E74DEC">
      <w:pPr>
        <w:spacing w:after="120"/>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Duomenys nebūtini.</w:t>
      </w:r>
    </w:p>
    <w:p w:rsidR="00E74DEC" w:rsidRPr="00186A98" w:rsidRDefault="00E74DEC" w:rsidP="00E74DEC">
      <w:pPr>
        <w:rPr>
          <w:rFonts w:ascii="Times New Roman" w:hAnsi="Times New Roman"/>
          <w:b/>
          <w:bCs/>
          <w:sz w:val="22"/>
          <w:szCs w:val="22"/>
          <w:lang w:val="lt-LT" w:eastAsia="lt-LT"/>
        </w:rPr>
      </w:pPr>
    </w:p>
    <w:p w:rsidR="00E74DEC" w:rsidRPr="00186A98" w:rsidRDefault="00E74DEC" w:rsidP="00186A98">
      <w:pPr>
        <w:ind w:left="567" w:hanging="567"/>
        <w:rPr>
          <w:rFonts w:ascii="Times New Roman" w:hAnsi="Times New Roman"/>
          <w:b/>
          <w:bCs/>
          <w:sz w:val="22"/>
          <w:szCs w:val="22"/>
          <w:lang w:val="lt-LT" w:eastAsia="lt-LT"/>
        </w:rPr>
      </w:pPr>
      <w:r w:rsidRPr="00186A98">
        <w:rPr>
          <w:rFonts w:ascii="Times New Roman" w:hAnsi="Times New Roman"/>
          <w:b/>
          <w:bCs/>
          <w:sz w:val="22"/>
          <w:szCs w:val="22"/>
          <w:lang w:val="lt-LT" w:eastAsia="lt-LT"/>
        </w:rPr>
        <w:t>6.3</w:t>
      </w:r>
      <w:r w:rsidRPr="00186A98">
        <w:rPr>
          <w:rFonts w:ascii="Times New Roman" w:hAnsi="Times New Roman"/>
          <w:b/>
          <w:bCs/>
          <w:sz w:val="22"/>
          <w:szCs w:val="22"/>
          <w:lang w:val="lt-LT" w:eastAsia="lt-LT"/>
        </w:rPr>
        <w:tab/>
        <w:t>Tinkamumo laikas</w:t>
      </w:r>
    </w:p>
    <w:p w:rsidR="00E74DEC" w:rsidRPr="00186A98" w:rsidRDefault="00E74DEC" w:rsidP="00E74DEC">
      <w:pPr>
        <w:spacing w:after="120"/>
        <w:rPr>
          <w:rFonts w:ascii="Times New Roman" w:hAnsi="Times New Roman"/>
          <w:sz w:val="22"/>
          <w:szCs w:val="22"/>
          <w:lang w:val="lt-LT" w:eastAsia="lt-LT"/>
        </w:rPr>
      </w:pPr>
    </w:p>
    <w:p w:rsidR="00E74DEC" w:rsidRPr="00186A98" w:rsidRDefault="00E74DEC" w:rsidP="00E74DEC">
      <w:pPr>
        <w:spacing w:after="120"/>
        <w:rPr>
          <w:rFonts w:ascii="Times New Roman" w:hAnsi="Times New Roman"/>
          <w:sz w:val="22"/>
          <w:szCs w:val="22"/>
          <w:lang w:val="lt-LT" w:eastAsia="lt-LT"/>
        </w:rPr>
      </w:pPr>
      <w:r w:rsidRPr="00186A98">
        <w:rPr>
          <w:rFonts w:ascii="Times New Roman" w:hAnsi="Times New Roman"/>
          <w:sz w:val="22"/>
          <w:szCs w:val="22"/>
          <w:lang w:val="lt-LT" w:eastAsia="lt-LT"/>
        </w:rPr>
        <w:t>5 metai.</w:t>
      </w:r>
    </w:p>
    <w:p w:rsidR="00E74DEC" w:rsidRPr="00186A98" w:rsidRDefault="00E74DEC" w:rsidP="00E74DEC">
      <w:pPr>
        <w:jc w:val="both"/>
        <w:rPr>
          <w:rFonts w:ascii="Times New Roman" w:hAnsi="Times New Roman"/>
          <w:b/>
          <w:bCs/>
          <w:sz w:val="22"/>
          <w:szCs w:val="22"/>
          <w:lang w:val="lt-LT" w:eastAsia="lt-LT"/>
        </w:rPr>
      </w:pPr>
    </w:p>
    <w:p w:rsidR="00E74DEC" w:rsidRPr="00186A98" w:rsidRDefault="00E74DEC" w:rsidP="00186A98">
      <w:pPr>
        <w:ind w:left="567" w:hanging="567"/>
        <w:jc w:val="both"/>
        <w:rPr>
          <w:rFonts w:ascii="Times New Roman" w:hAnsi="Times New Roman"/>
          <w:b/>
          <w:bCs/>
          <w:sz w:val="22"/>
          <w:szCs w:val="22"/>
          <w:lang w:val="lt-LT" w:eastAsia="lt-LT"/>
        </w:rPr>
      </w:pPr>
      <w:r w:rsidRPr="00186A98">
        <w:rPr>
          <w:rFonts w:ascii="Times New Roman" w:hAnsi="Times New Roman"/>
          <w:b/>
          <w:bCs/>
          <w:sz w:val="22"/>
          <w:szCs w:val="22"/>
          <w:lang w:val="lt-LT" w:eastAsia="lt-LT"/>
        </w:rPr>
        <w:t>6.4</w:t>
      </w:r>
      <w:r w:rsidRPr="00186A98">
        <w:rPr>
          <w:rFonts w:ascii="Times New Roman" w:hAnsi="Times New Roman"/>
          <w:b/>
          <w:bCs/>
          <w:sz w:val="22"/>
          <w:szCs w:val="22"/>
          <w:lang w:val="lt-LT" w:eastAsia="lt-LT"/>
        </w:rPr>
        <w:tab/>
        <w:t>Specialios laikymo sąlygos</w:t>
      </w:r>
    </w:p>
    <w:p w:rsidR="00E74DEC" w:rsidRPr="00186A98" w:rsidRDefault="00E74DEC" w:rsidP="00E74DEC">
      <w:pPr>
        <w:jc w:val="both"/>
        <w:rPr>
          <w:rFonts w:ascii="Times New Roman" w:hAnsi="Times New Roman"/>
          <w:sz w:val="22"/>
          <w:szCs w:val="22"/>
          <w:lang w:val="lt-LT" w:eastAsia="lt-LT"/>
        </w:rPr>
      </w:pPr>
    </w:p>
    <w:p w:rsidR="00E74DEC" w:rsidRPr="00186A98" w:rsidRDefault="00E74DEC" w:rsidP="00E74DEC">
      <w:pPr>
        <w:jc w:val="both"/>
        <w:rPr>
          <w:rFonts w:ascii="Times New Roman" w:hAnsi="Times New Roman"/>
          <w:sz w:val="22"/>
          <w:szCs w:val="22"/>
          <w:lang w:val="lt-LT" w:eastAsia="lt-LT"/>
        </w:rPr>
      </w:pPr>
      <w:r w:rsidRPr="00186A98">
        <w:rPr>
          <w:rFonts w:ascii="Times New Roman" w:hAnsi="Times New Roman"/>
          <w:noProof/>
          <w:sz w:val="22"/>
          <w:szCs w:val="22"/>
          <w:lang w:val="lt-LT" w:eastAsia="lt-LT"/>
        </w:rPr>
        <w:t>Šiam vaistiniam preparatui specialių laikymo sąlygų nereikia.</w:t>
      </w:r>
    </w:p>
    <w:p w:rsidR="00E74DEC" w:rsidRPr="00186A98" w:rsidRDefault="00E74DEC" w:rsidP="00E74DEC">
      <w:pPr>
        <w:rPr>
          <w:rFonts w:ascii="Times New Roman" w:hAnsi="Times New Roman"/>
          <w:b/>
          <w:bCs/>
          <w:sz w:val="22"/>
          <w:szCs w:val="22"/>
          <w:lang w:val="lt-LT" w:eastAsia="lt-LT"/>
        </w:rPr>
      </w:pPr>
    </w:p>
    <w:p w:rsidR="00E74DEC" w:rsidRPr="00186A98" w:rsidRDefault="00E74DEC" w:rsidP="00186A98">
      <w:pPr>
        <w:ind w:left="567" w:hanging="567"/>
        <w:rPr>
          <w:rFonts w:ascii="Times New Roman" w:hAnsi="Times New Roman"/>
          <w:b/>
          <w:bCs/>
          <w:sz w:val="22"/>
          <w:szCs w:val="22"/>
          <w:lang w:val="lt-LT" w:eastAsia="lt-LT"/>
        </w:rPr>
      </w:pPr>
      <w:r w:rsidRPr="00186A98">
        <w:rPr>
          <w:rFonts w:ascii="Times New Roman" w:hAnsi="Times New Roman"/>
          <w:b/>
          <w:bCs/>
          <w:sz w:val="22"/>
          <w:szCs w:val="22"/>
          <w:lang w:val="lt-LT" w:eastAsia="lt-LT"/>
        </w:rPr>
        <w:t>6.5</w:t>
      </w:r>
      <w:r w:rsidRPr="00186A98">
        <w:rPr>
          <w:rFonts w:ascii="Times New Roman" w:hAnsi="Times New Roman"/>
          <w:b/>
          <w:bCs/>
          <w:sz w:val="22"/>
          <w:szCs w:val="22"/>
          <w:lang w:val="lt-LT" w:eastAsia="lt-LT"/>
        </w:rPr>
        <w:tab/>
        <w:t>Talpyklės pobūdis ir jos turinys</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b/>
          <w:bCs/>
          <w:sz w:val="22"/>
          <w:szCs w:val="22"/>
          <w:lang w:val="lt-LT" w:eastAsia="lt-LT"/>
        </w:rPr>
      </w:pPr>
      <w:r w:rsidRPr="00186A98">
        <w:rPr>
          <w:rFonts w:ascii="Times New Roman" w:hAnsi="Times New Roman"/>
          <w:sz w:val="22"/>
          <w:szCs w:val="22"/>
          <w:lang w:val="lt-LT" w:eastAsia="lt-LT"/>
        </w:rPr>
        <w:t xml:space="preserve">PVC/PVDC/Al folijos lizdinė plokštelė, kurioje supakuota 30 tablečių.  </w:t>
      </w:r>
    </w:p>
    <w:p w:rsidR="00E74DEC" w:rsidRPr="00186A98" w:rsidRDefault="00E74DEC" w:rsidP="00E74DEC">
      <w:pPr>
        <w:jc w:val="both"/>
        <w:rPr>
          <w:rFonts w:ascii="Times New Roman" w:hAnsi="Times New Roman"/>
          <w:b/>
          <w:bCs/>
          <w:sz w:val="22"/>
          <w:szCs w:val="22"/>
          <w:lang w:val="lt-LT" w:eastAsia="lt-LT"/>
        </w:rPr>
      </w:pPr>
    </w:p>
    <w:p w:rsidR="00E74DEC" w:rsidRPr="00186A98" w:rsidRDefault="00E74DEC" w:rsidP="00186A98">
      <w:pPr>
        <w:ind w:left="567" w:hanging="567"/>
        <w:jc w:val="both"/>
        <w:rPr>
          <w:rFonts w:ascii="Times New Roman" w:hAnsi="Times New Roman"/>
          <w:b/>
          <w:bCs/>
          <w:sz w:val="22"/>
          <w:szCs w:val="22"/>
          <w:lang w:val="lt-LT" w:eastAsia="lt-LT"/>
        </w:rPr>
      </w:pPr>
      <w:r w:rsidRPr="00186A98">
        <w:rPr>
          <w:rFonts w:ascii="Times New Roman" w:hAnsi="Times New Roman"/>
          <w:b/>
          <w:bCs/>
          <w:sz w:val="22"/>
          <w:szCs w:val="22"/>
          <w:lang w:val="lt-LT" w:eastAsia="lt-LT"/>
        </w:rPr>
        <w:t>6.6</w:t>
      </w:r>
      <w:r w:rsidRPr="00186A98">
        <w:rPr>
          <w:rFonts w:ascii="Times New Roman" w:hAnsi="Times New Roman"/>
          <w:b/>
          <w:bCs/>
          <w:sz w:val="22"/>
          <w:szCs w:val="22"/>
          <w:lang w:val="lt-LT" w:eastAsia="lt-LT"/>
        </w:rPr>
        <w:tab/>
        <w:t>Specialūs reikalavimai atliekoms tvarkyti</w:t>
      </w:r>
    </w:p>
    <w:p w:rsidR="00E74DEC" w:rsidRPr="00186A98" w:rsidRDefault="00E74DEC" w:rsidP="00E74DEC">
      <w:pPr>
        <w:jc w:val="both"/>
        <w:rPr>
          <w:rFonts w:ascii="Times New Roman" w:hAnsi="Times New Roman"/>
          <w:sz w:val="22"/>
          <w:szCs w:val="22"/>
          <w:lang w:val="lt-LT" w:eastAsia="lt-LT"/>
        </w:rPr>
      </w:pPr>
    </w:p>
    <w:p w:rsidR="00E74DEC" w:rsidRPr="00186A98" w:rsidRDefault="00E74DEC" w:rsidP="00E74DEC">
      <w:pPr>
        <w:rPr>
          <w:rFonts w:ascii="Times New Roman" w:hAnsi="Times New Roman"/>
          <w:b/>
          <w:bCs/>
          <w:sz w:val="22"/>
          <w:szCs w:val="22"/>
          <w:lang w:val="lt-LT" w:eastAsia="lt-LT"/>
        </w:rPr>
      </w:pPr>
      <w:r w:rsidRPr="00186A98">
        <w:rPr>
          <w:rFonts w:ascii="Times New Roman" w:hAnsi="Times New Roman"/>
          <w:sz w:val="22"/>
          <w:szCs w:val="22"/>
          <w:lang w:val="lt-LT" w:eastAsia="lt-LT"/>
        </w:rPr>
        <w:t>Specialių reikalavimų nėra.</w:t>
      </w:r>
    </w:p>
    <w:p w:rsidR="00E74DEC" w:rsidRPr="00186A98" w:rsidRDefault="00E74DEC" w:rsidP="00E74DEC">
      <w:pPr>
        <w:rPr>
          <w:rFonts w:ascii="Times New Roman" w:eastAsia="Calibri" w:hAnsi="Times New Roman"/>
          <w:noProof/>
          <w:sz w:val="22"/>
          <w:szCs w:val="22"/>
          <w:lang w:val="en-US"/>
        </w:rPr>
      </w:pPr>
      <w:r w:rsidRPr="00186A98">
        <w:rPr>
          <w:rFonts w:ascii="Times New Roman" w:eastAsia="Calibri" w:hAnsi="Times New Roman"/>
          <w:noProof/>
          <w:sz w:val="22"/>
          <w:szCs w:val="22"/>
          <w:lang w:val="en-US"/>
        </w:rPr>
        <w:t>Nesuvartotą preparatą ar atliekas reikia tvarkyti laikantis vietinių reikalavimų.</w:t>
      </w:r>
    </w:p>
    <w:p w:rsidR="00E74DEC" w:rsidRPr="00186A98" w:rsidRDefault="00E74DEC" w:rsidP="00E74DEC">
      <w:pPr>
        <w:rPr>
          <w:rFonts w:ascii="Times New Roman" w:eastAsia="Calibri" w:hAnsi="Times New Roman"/>
          <w:noProof/>
          <w:sz w:val="22"/>
          <w:szCs w:val="22"/>
          <w:lang w:val="en-US"/>
        </w:rPr>
      </w:pPr>
    </w:p>
    <w:p w:rsidR="00E74DEC" w:rsidRPr="00186A98" w:rsidRDefault="00E74DEC" w:rsidP="00E74DEC">
      <w:pPr>
        <w:rPr>
          <w:rFonts w:ascii="Times New Roman" w:hAnsi="Times New Roman"/>
          <w:b/>
          <w:bCs/>
          <w:sz w:val="22"/>
          <w:szCs w:val="22"/>
          <w:lang w:val="lt-LT" w:eastAsia="lt-LT"/>
        </w:rPr>
      </w:pPr>
    </w:p>
    <w:p w:rsidR="00E74DEC" w:rsidRPr="00186A98" w:rsidRDefault="00E74DEC" w:rsidP="00186A98">
      <w:pPr>
        <w:ind w:left="567" w:hanging="567"/>
        <w:rPr>
          <w:rFonts w:ascii="Times New Roman" w:hAnsi="Times New Roman"/>
          <w:b/>
          <w:bCs/>
          <w:sz w:val="22"/>
          <w:szCs w:val="22"/>
          <w:lang w:val="lt-LT" w:eastAsia="lt-LT"/>
        </w:rPr>
      </w:pPr>
      <w:r w:rsidRPr="00186A98">
        <w:rPr>
          <w:rFonts w:ascii="Times New Roman" w:hAnsi="Times New Roman"/>
          <w:b/>
          <w:bCs/>
          <w:sz w:val="22"/>
          <w:szCs w:val="22"/>
          <w:lang w:val="lt-LT" w:eastAsia="lt-LT"/>
        </w:rPr>
        <w:t>7.</w:t>
      </w:r>
      <w:r w:rsidRPr="00186A98">
        <w:rPr>
          <w:rFonts w:ascii="Times New Roman" w:hAnsi="Times New Roman"/>
          <w:b/>
          <w:bCs/>
          <w:sz w:val="22"/>
          <w:szCs w:val="22"/>
          <w:lang w:val="lt-LT" w:eastAsia="lt-LT"/>
        </w:rPr>
        <w:tab/>
      </w:r>
      <w:r w:rsidR="00C432F5" w:rsidRPr="00186A98">
        <w:rPr>
          <w:rFonts w:ascii="Times New Roman" w:hAnsi="Times New Roman"/>
          <w:b/>
          <w:bCs/>
          <w:sz w:val="22"/>
          <w:szCs w:val="22"/>
          <w:lang w:val="lt-LT" w:eastAsia="lt-LT"/>
        </w:rPr>
        <w:t xml:space="preserve">REGISTRUOTOJAS </w:t>
      </w:r>
    </w:p>
    <w:p w:rsidR="00E74DEC" w:rsidRPr="00186A98" w:rsidRDefault="00E74DEC" w:rsidP="00E74DEC">
      <w:pPr>
        <w:rPr>
          <w:rFonts w:ascii="Times New Roman" w:hAnsi="Times New Roman"/>
          <w:b/>
          <w:bCs/>
          <w:strike/>
          <w:sz w:val="22"/>
          <w:szCs w:val="22"/>
          <w:lang w:val="lt-LT" w:eastAsia="lt-LT"/>
        </w:rPr>
      </w:pPr>
    </w:p>
    <w:p w:rsidR="00E74DEC" w:rsidRPr="00186A98" w:rsidRDefault="00E74DEC" w:rsidP="00E74DEC">
      <w:pPr>
        <w:tabs>
          <w:tab w:val="left" w:pos="567"/>
        </w:tabs>
        <w:rPr>
          <w:rFonts w:ascii="Times New Roman" w:hAnsi="Times New Roman"/>
          <w:sz w:val="22"/>
          <w:szCs w:val="22"/>
          <w:lang w:val="lt-LT" w:eastAsia="lt-LT"/>
        </w:rPr>
      </w:pPr>
      <w:r w:rsidRPr="00186A98">
        <w:rPr>
          <w:rFonts w:ascii="Times New Roman" w:hAnsi="Times New Roman"/>
          <w:sz w:val="22"/>
          <w:szCs w:val="22"/>
          <w:lang w:val="lt-LT" w:eastAsia="lt-LT"/>
        </w:rPr>
        <w:t>Gedeon Richter Plc.</w:t>
      </w:r>
    </w:p>
    <w:p w:rsidR="00E74DEC" w:rsidRPr="00186A98" w:rsidRDefault="00E74DEC" w:rsidP="00E74DEC">
      <w:pPr>
        <w:tabs>
          <w:tab w:val="left" w:pos="567"/>
        </w:tabs>
        <w:rPr>
          <w:rFonts w:ascii="Times New Roman" w:hAnsi="Times New Roman"/>
          <w:sz w:val="22"/>
          <w:szCs w:val="22"/>
          <w:lang w:val="lt-LT" w:eastAsia="lt-LT"/>
        </w:rPr>
      </w:pPr>
      <w:r w:rsidRPr="00186A98">
        <w:rPr>
          <w:rFonts w:ascii="Times New Roman" w:hAnsi="Times New Roman"/>
          <w:sz w:val="22"/>
          <w:szCs w:val="22"/>
          <w:lang w:val="lt-LT" w:eastAsia="lt-LT"/>
        </w:rPr>
        <w:t xml:space="preserve">Gyömrői ut 19-21 </w:t>
      </w:r>
    </w:p>
    <w:p w:rsidR="00E74DEC" w:rsidRPr="00186A98" w:rsidRDefault="00E74DEC" w:rsidP="00E74DEC">
      <w:pPr>
        <w:tabs>
          <w:tab w:val="left" w:pos="567"/>
        </w:tabs>
        <w:rPr>
          <w:rFonts w:ascii="Times New Roman" w:hAnsi="Times New Roman"/>
          <w:sz w:val="22"/>
          <w:szCs w:val="22"/>
          <w:lang w:val="lt-LT" w:eastAsia="lt-LT"/>
        </w:rPr>
      </w:pPr>
      <w:r w:rsidRPr="00186A98">
        <w:rPr>
          <w:rFonts w:ascii="Times New Roman" w:hAnsi="Times New Roman"/>
          <w:sz w:val="22"/>
          <w:szCs w:val="22"/>
          <w:lang w:val="lt-LT" w:eastAsia="lt-LT"/>
        </w:rPr>
        <w:t>1103 Budapest, Vengrija</w:t>
      </w:r>
    </w:p>
    <w:p w:rsidR="00E74DEC" w:rsidRPr="00186A98" w:rsidRDefault="00E74DEC" w:rsidP="00E74DEC">
      <w:pPr>
        <w:rPr>
          <w:rFonts w:ascii="Times New Roman" w:hAnsi="Times New Roman"/>
          <w:b/>
          <w:bCs/>
          <w:sz w:val="22"/>
          <w:szCs w:val="22"/>
          <w:lang w:val="lt-LT" w:eastAsia="lt-LT"/>
        </w:rPr>
      </w:pPr>
    </w:p>
    <w:p w:rsidR="00E74DEC" w:rsidRPr="00186A98" w:rsidRDefault="00E74DEC" w:rsidP="00E74DEC">
      <w:pPr>
        <w:rPr>
          <w:rFonts w:ascii="Times New Roman" w:hAnsi="Times New Roman"/>
          <w:b/>
          <w:bCs/>
          <w:sz w:val="22"/>
          <w:szCs w:val="22"/>
          <w:lang w:val="lt-LT" w:eastAsia="lt-LT"/>
        </w:rPr>
      </w:pPr>
    </w:p>
    <w:p w:rsidR="00E74DEC" w:rsidRPr="00186A98" w:rsidRDefault="00E74DEC" w:rsidP="00186A98">
      <w:pPr>
        <w:ind w:left="567" w:hanging="567"/>
        <w:rPr>
          <w:rFonts w:ascii="Times New Roman" w:hAnsi="Times New Roman"/>
          <w:b/>
          <w:bCs/>
          <w:sz w:val="22"/>
          <w:szCs w:val="22"/>
          <w:lang w:val="lt-LT" w:eastAsia="lt-LT"/>
        </w:rPr>
      </w:pPr>
      <w:r w:rsidRPr="00186A98">
        <w:rPr>
          <w:rFonts w:ascii="Times New Roman" w:hAnsi="Times New Roman"/>
          <w:b/>
          <w:bCs/>
          <w:sz w:val="22"/>
          <w:szCs w:val="22"/>
          <w:lang w:val="lt-LT" w:eastAsia="lt-LT"/>
        </w:rPr>
        <w:t>8.</w:t>
      </w:r>
      <w:r w:rsidRPr="00186A98">
        <w:rPr>
          <w:rFonts w:ascii="Times New Roman" w:hAnsi="Times New Roman"/>
          <w:b/>
          <w:bCs/>
          <w:sz w:val="22"/>
          <w:szCs w:val="22"/>
          <w:lang w:val="lt-LT" w:eastAsia="lt-LT"/>
        </w:rPr>
        <w:tab/>
      </w:r>
      <w:r w:rsidR="00C432F5" w:rsidRPr="00186A98">
        <w:rPr>
          <w:rFonts w:ascii="Times New Roman" w:hAnsi="Times New Roman"/>
          <w:b/>
          <w:bCs/>
          <w:sz w:val="22"/>
          <w:szCs w:val="22"/>
          <w:lang w:val="lt-LT" w:eastAsia="lt-LT"/>
        </w:rPr>
        <w:t xml:space="preserve">REGISTRACIJOS </w:t>
      </w:r>
      <w:r w:rsidRPr="00186A98">
        <w:rPr>
          <w:rFonts w:ascii="Times New Roman" w:hAnsi="Times New Roman"/>
          <w:b/>
          <w:bCs/>
          <w:sz w:val="22"/>
          <w:szCs w:val="22"/>
          <w:lang w:val="lt-LT" w:eastAsia="lt-LT"/>
        </w:rPr>
        <w:t>PAŽYMĖJIMO NUMERIS</w:t>
      </w:r>
    </w:p>
    <w:p w:rsidR="00E74DEC" w:rsidRPr="00186A98" w:rsidRDefault="00E74DEC" w:rsidP="00E74DEC">
      <w:pPr>
        <w:rPr>
          <w:rFonts w:ascii="Times New Roman" w:hAnsi="Times New Roman"/>
          <w:b/>
          <w:bCs/>
          <w:sz w:val="22"/>
          <w:szCs w:val="22"/>
          <w:lang w:val="lt-LT" w:eastAsia="lt-LT"/>
        </w:rPr>
      </w:pPr>
    </w:p>
    <w:p w:rsidR="00E74DEC" w:rsidRPr="00186A98" w:rsidRDefault="00E74DEC" w:rsidP="00E74DEC">
      <w:pPr>
        <w:rPr>
          <w:rFonts w:ascii="Times New Roman" w:hAnsi="Times New Roman"/>
          <w:bCs/>
          <w:sz w:val="22"/>
          <w:szCs w:val="22"/>
          <w:lang w:val="lt-LT" w:eastAsia="lt-LT"/>
        </w:rPr>
      </w:pPr>
      <w:r w:rsidRPr="00186A98">
        <w:rPr>
          <w:rFonts w:ascii="Times New Roman" w:hAnsi="Times New Roman"/>
          <w:bCs/>
          <w:sz w:val="22"/>
          <w:szCs w:val="22"/>
          <w:lang w:val="lt-LT" w:eastAsia="lt-LT"/>
        </w:rPr>
        <w:t>LT/1/08/1202/002</w:t>
      </w:r>
    </w:p>
    <w:p w:rsidR="00E74DEC" w:rsidRPr="00186A98" w:rsidRDefault="00E74DEC" w:rsidP="00E74DEC">
      <w:pPr>
        <w:rPr>
          <w:rFonts w:ascii="Times New Roman" w:hAnsi="Times New Roman"/>
          <w:b/>
          <w:bCs/>
          <w:sz w:val="22"/>
          <w:szCs w:val="22"/>
          <w:lang w:val="lt-LT" w:eastAsia="lt-LT"/>
        </w:rPr>
      </w:pPr>
    </w:p>
    <w:p w:rsidR="00E74DEC" w:rsidRPr="00186A98" w:rsidRDefault="00E74DEC" w:rsidP="00E74DEC">
      <w:pPr>
        <w:rPr>
          <w:rFonts w:ascii="Times New Roman" w:hAnsi="Times New Roman"/>
          <w:b/>
          <w:bCs/>
          <w:sz w:val="22"/>
          <w:szCs w:val="22"/>
          <w:lang w:val="lt-LT" w:eastAsia="lt-LT"/>
        </w:rPr>
      </w:pPr>
    </w:p>
    <w:p w:rsidR="00E74DEC" w:rsidRPr="00186A98" w:rsidRDefault="00E74DEC" w:rsidP="00186A98">
      <w:pPr>
        <w:ind w:left="567" w:hanging="567"/>
        <w:rPr>
          <w:rFonts w:ascii="Times New Roman" w:hAnsi="Times New Roman"/>
          <w:bCs/>
          <w:sz w:val="22"/>
          <w:szCs w:val="22"/>
          <w:lang w:val="lt-LT" w:eastAsia="lt-LT"/>
        </w:rPr>
      </w:pPr>
      <w:r w:rsidRPr="00186A98">
        <w:rPr>
          <w:rFonts w:ascii="Times New Roman" w:hAnsi="Times New Roman"/>
          <w:b/>
          <w:bCs/>
          <w:sz w:val="22"/>
          <w:szCs w:val="22"/>
          <w:lang w:val="lt-LT" w:eastAsia="lt-LT"/>
        </w:rPr>
        <w:t>9.</w:t>
      </w:r>
      <w:r w:rsidRPr="00186A98">
        <w:rPr>
          <w:rFonts w:ascii="Times New Roman" w:hAnsi="Times New Roman"/>
          <w:b/>
          <w:bCs/>
          <w:sz w:val="22"/>
          <w:szCs w:val="22"/>
          <w:lang w:val="lt-LT" w:eastAsia="lt-LT"/>
        </w:rPr>
        <w:tab/>
      </w:r>
      <w:r w:rsidR="00C432F5" w:rsidRPr="00186A98">
        <w:rPr>
          <w:rFonts w:ascii="Times New Roman" w:hAnsi="Times New Roman"/>
          <w:b/>
          <w:bCs/>
          <w:sz w:val="22"/>
          <w:szCs w:val="22"/>
          <w:lang w:val="lt-LT" w:eastAsia="lt-LT"/>
        </w:rPr>
        <w:t xml:space="preserve">REGISTRAVIMO / PERREGISTRAVIMO DATA </w:t>
      </w:r>
    </w:p>
    <w:p w:rsidR="00186A98" w:rsidRDefault="00186A98" w:rsidP="00C432F5">
      <w:pPr>
        <w:rPr>
          <w:rFonts w:ascii="Times New Roman" w:hAnsi="Times New Roman"/>
          <w:noProof/>
          <w:sz w:val="22"/>
          <w:szCs w:val="22"/>
          <w:lang w:val="lt-LT" w:eastAsia="lt-LT"/>
        </w:rPr>
      </w:pPr>
    </w:p>
    <w:p w:rsidR="00E74DEC" w:rsidRPr="00186A98" w:rsidRDefault="00C432F5" w:rsidP="00C432F5">
      <w:pPr>
        <w:rPr>
          <w:rFonts w:ascii="Times New Roman" w:hAnsi="Times New Roman"/>
          <w:sz w:val="22"/>
          <w:szCs w:val="22"/>
          <w:lang w:val="lt-LT" w:eastAsia="lt-LT"/>
        </w:rPr>
      </w:pPr>
      <w:r w:rsidRPr="00186A98">
        <w:rPr>
          <w:rFonts w:ascii="Times New Roman" w:hAnsi="Times New Roman"/>
          <w:noProof/>
          <w:sz w:val="22"/>
          <w:szCs w:val="22"/>
          <w:lang w:val="lt-LT" w:eastAsia="lt-LT"/>
        </w:rPr>
        <w:t xml:space="preserve">Registravimo data </w:t>
      </w:r>
      <w:r w:rsidR="00E74DEC" w:rsidRPr="00186A98">
        <w:rPr>
          <w:rFonts w:ascii="Times New Roman" w:hAnsi="Times New Roman"/>
          <w:noProof/>
          <w:sz w:val="22"/>
          <w:szCs w:val="22"/>
          <w:lang w:val="lt-LT" w:eastAsia="lt-LT"/>
        </w:rPr>
        <w:t>2008 m. liepos mėn.31 d.</w:t>
      </w:r>
    </w:p>
    <w:p w:rsidR="00E74DEC" w:rsidRPr="00186A98" w:rsidRDefault="00C432F5" w:rsidP="00E74DEC">
      <w:pPr>
        <w:rPr>
          <w:rFonts w:ascii="Times New Roman" w:eastAsia="Calibri" w:hAnsi="Times New Roman"/>
          <w:noProof/>
          <w:sz w:val="22"/>
          <w:szCs w:val="22"/>
          <w:lang w:val="lt-LT"/>
        </w:rPr>
      </w:pPr>
      <w:r w:rsidRPr="00186A98">
        <w:rPr>
          <w:rFonts w:ascii="Times New Roman" w:eastAsia="Calibri" w:hAnsi="Times New Roman"/>
          <w:noProof/>
          <w:sz w:val="22"/>
          <w:szCs w:val="22"/>
          <w:lang w:val="lt-LT"/>
        </w:rPr>
        <w:t xml:space="preserve">Paskutinio perregistravimo data </w:t>
      </w:r>
      <w:r w:rsidR="00E74DEC" w:rsidRPr="00186A98">
        <w:rPr>
          <w:rFonts w:ascii="Times New Roman" w:eastAsia="Calibri" w:hAnsi="Times New Roman"/>
          <w:noProof/>
          <w:sz w:val="22"/>
          <w:szCs w:val="22"/>
          <w:lang w:val="lt-LT"/>
        </w:rPr>
        <w:t>2013 m. gruodžio mėn. 31 d.</w:t>
      </w:r>
    </w:p>
    <w:p w:rsidR="00E74DEC" w:rsidRPr="00186A98" w:rsidRDefault="00E74DEC" w:rsidP="00E74DEC">
      <w:pPr>
        <w:rPr>
          <w:rFonts w:ascii="Times New Roman" w:hAnsi="Times New Roman"/>
          <w:bCs/>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186A98">
      <w:pPr>
        <w:ind w:left="567" w:hanging="567"/>
        <w:rPr>
          <w:rFonts w:ascii="Times New Roman" w:hAnsi="Times New Roman"/>
          <w:b/>
          <w:bCs/>
          <w:sz w:val="22"/>
          <w:szCs w:val="22"/>
          <w:lang w:val="lt-LT" w:eastAsia="lt-LT"/>
        </w:rPr>
      </w:pPr>
      <w:r w:rsidRPr="00186A98">
        <w:rPr>
          <w:rFonts w:ascii="Times New Roman" w:hAnsi="Times New Roman"/>
          <w:b/>
          <w:bCs/>
          <w:sz w:val="22"/>
          <w:szCs w:val="22"/>
          <w:lang w:val="lt-LT" w:eastAsia="lt-LT"/>
        </w:rPr>
        <w:t>10.</w:t>
      </w:r>
      <w:r w:rsidRPr="00186A98">
        <w:rPr>
          <w:rFonts w:ascii="Times New Roman" w:hAnsi="Times New Roman"/>
          <w:b/>
          <w:bCs/>
          <w:sz w:val="22"/>
          <w:szCs w:val="22"/>
          <w:lang w:val="lt-LT" w:eastAsia="lt-LT"/>
        </w:rPr>
        <w:tab/>
        <w:t>TEKSTO PERŽIŪROS DATA</w:t>
      </w:r>
    </w:p>
    <w:p w:rsidR="00E74DEC" w:rsidRDefault="00E74DEC" w:rsidP="00E74DEC">
      <w:pPr>
        <w:rPr>
          <w:rFonts w:ascii="Times New Roman" w:hAnsi="Times New Roman"/>
          <w:b/>
          <w:sz w:val="22"/>
          <w:szCs w:val="22"/>
          <w:lang w:val="lt-LT" w:eastAsia="lt-LT"/>
        </w:rPr>
      </w:pPr>
    </w:p>
    <w:p w:rsidR="00186A98" w:rsidRPr="00186A98" w:rsidRDefault="00186A98" w:rsidP="00E74DEC">
      <w:pPr>
        <w:rPr>
          <w:rFonts w:ascii="Times New Roman" w:hAnsi="Times New Roman"/>
          <w:sz w:val="22"/>
          <w:szCs w:val="22"/>
          <w:lang w:val="lt-LT" w:eastAsia="lt-LT"/>
        </w:rPr>
      </w:pPr>
      <w:r w:rsidRPr="00186A98">
        <w:rPr>
          <w:rFonts w:ascii="Times New Roman" w:hAnsi="Times New Roman"/>
          <w:sz w:val="22"/>
          <w:szCs w:val="22"/>
          <w:lang w:val="lt-LT" w:eastAsia="lt-LT"/>
        </w:rPr>
        <w:t>2016-02-03</w:t>
      </w:r>
    </w:p>
    <w:p w:rsidR="00E74DEC" w:rsidRPr="00186A98" w:rsidRDefault="00E74DEC" w:rsidP="00E74DEC">
      <w:pPr>
        <w:rPr>
          <w:rFonts w:ascii="Times New Roman" w:hAnsi="Times New Roman"/>
          <w:sz w:val="22"/>
          <w:szCs w:val="22"/>
          <w:lang w:val="lt-LT" w:eastAsia="lt-LT"/>
        </w:rPr>
      </w:pPr>
    </w:p>
    <w:p w:rsidR="00E74DEC" w:rsidRDefault="00E74DEC" w:rsidP="00E74DEC">
      <w:pPr>
        <w:tabs>
          <w:tab w:val="left" w:pos="5954"/>
          <w:tab w:val="left" w:pos="6237"/>
          <w:tab w:val="left" w:pos="6663"/>
          <w:tab w:val="left" w:pos="6946"/>
        </w:tabs>
        <w:rPr>
          <w:rFonts w:ascii="Times New Roman" w:eastAsia="SimSun" w:hAnsi="Times New Roman"/>
          <w:color w:val="0000FF"/>
          <w:sz w:val="22"/>
          <w:szCs w:val="22"/>
          <w:u w:val="single"/>
          <w:lang w:val="lt-LT"/>
        </w:rPr>
      </w:pPr>
      <w:r w:rsidRPr="00186A98">
        <w:rPr>
          <w:rFonts w:ascii="Times New Roman" w:eastAsia="SimSun" w:hAnsi="Times New Roman"/>
          <w:noProof/>
          <w:sz w:val="22"/>
          <w:szCs w:val="22"/>
          <w:lang w:val="lt-LT"/>
        </w:rPr>
        <w:t>Išsami informacija apie šį vaistinį preparatą pateikiama Valstybinės vaistų kontrolės tarnybos prie Lietuvos Respublikos  sveikatos apsaugos ministerijos tinklalapyje</w:t>
      </w:r>
      <w:r w:rsidRPr="00186A98">
        <w:rPr>
          <w:rFonts w:ascii="Times New Roman" w:eastAsia="SimSun" w:hAnsi="Times New Roman"/>
          <w:i/>
          <w:noProof/>
          <w:sz w:val="22"/>
          <w:szCs w:val="22"/>
          <w:lang w:val="lt-LT"/>
        </w:rPr>
        <w:t xml:space="preserve"> </w:t>
      </w:r>
      <w:hyperlink r:id="rId6" w:history="1">
        <w:r w:rsidRPr="00186A98">
          <w:rPr>
            <w:rFonts w:ascii="Times New Roman" w:eastAsia="SimSun" w:hAnsi="Times New Roman"/>
            <w:color w:val="0000FF"/>
            <w:sz w:val="22"/>
            <w:szCs w:val="22"/>
            <w:u w:val="single"/>
            <w:lang w:val="lt-LT"/>
          </w:rPr>
          <w:t>http://www.vvkt.lt</w:t>
        </w:r>
      </w:hyperlink>
    </w:p>
    <w:p w:rsidR="0084176F" w:rsidRDefault="0084176F" w:rsidP="00E74DEC">
      <w:pPr>
        <w:tabs>
          <w:tab w:val="left" w:pos="5954"/>
          <w:tab w:val="left" w:pos="6237"/>
          <w:tab w:val="left" w:pos="6663"/>
          <w:tab w:val="left" w:pos="6946"/>
        </w:tabs>
        <w:rPr>
          <w:rFonts w:ascii="Times New Roman" w:eastAsia="SimSun" w:hAnsi="Times New Roman"/>
          <w:color w:val="0000FF"/>
          <w:sz w:val="22"/>
          <w:szCs w:val="22"/>
          <w:u w:val="single"/>
          <w:lang w:val="lt-LT"/>
        </w:rPr>
      </w:pPr>
    </w:p>
    <w:p w:rsidR="0084176F" w:rsidRDefault="0084176F" w:rsidP="00E74DEC">
      <w:pPr>
        <w:tabs>
          <w:tab w:val="left" w:pos="5954"/>
          <w:tab w:val="left" w:pos="6237"/>
          <w:tab w:val="left" w:pos="6663"/>
          <w:tab w:val="left" w:pos="6946"/>
        </w:tabs>
        <w:rPr>
          <w:rFonts w:ascii="Times New Roman" w:eastAsia="SimSun" w:hAnsi="Times New Roman"/>
          <w:color w:val="0000FF"/>
          <w:sz w:val="22"/>
          <w:szCs w:val="22"/>
          <w:u w:val="single"/>
          <w:lang w:val="lt-LT"/>
        </w:rPr>
      </w:pPr>
    </w:p>
    <w:p w:rsidR="0084176F" w:rsidRDefault="0084176F" w:rsidP="00E74DEC">
      <w:pPr>
        <w:tabs>
          <w:tab w:val="left" w:pos="5954"/>
          <w:tab w:val="left" w:pos="6237"/>
          <w:tab w:val="left" w:pos="6663"/>
          <w:tab w:val="left" w:pos="6946"/>
        </w:tabs>
        <w:rPr>
          <w:rFonts w:ascii="Times New Roman" w:eastAsia="SimSun" w:hAnsi="Times New Roman"/>
          <w:color w:val="0000FF"/>
          <w:sz w:val="22"/>
          <w:szCs w:val="22"/>
          <w:u w:val="single"/>
          <w:lang w:val="lt-LT"/>
        </w:rPr>
      </w:pPr>
    </w:p>
    <w:p w:rsidR="0084176F" w:rsidRDefault="0084176F" w:rsidP="00E74DEC">
      <w:pPr>
        <w:tabs>
          <w:tab w:val="left" w:pos="5954"/>
          <w:tab w:val="left" w:pos="6237"/>
          <w:tab w:val="left" w:pos="6663"/>
          <w:tab w:val="left" w:pos="6946"/>
        </w:tabs>
        <w:rPr>
          <w:rFonts w:ascii="Times New Roman" w:eastAsia="SimSun" w:hAnsi="Times New Roman"/>
          <w:color w:val="0000FF"/>
          <w:sz w:val="22"/>
          <w:szCs w:val="22"/>
          <w:u w:val="single"/>
          <w:lang w:val="lt-LT"/>
        </w:rPr>
      </w:pPr>
    </w:p>
    <w:p w:rsidR="0084176F" w:rsidRDefault="0084176F" w:rsidP="00E74DEC">
      <w:pPr>
        <w:tabs>
          <w:tab w:val="left" w:pos="5954"/>
          <w:tab w:val="left" w:pos="6237"/>
          <w:tab w:val="left" w:pos="6663"/>
          <w:tab w:val="left" w:pos="6946"/>
        </w:tabs>
        <w:rPr>
          <w:rFonts w:ascii="Times New Roman" w:eastAsia="SimSun" w:hAnsi="Times New Roman"/>
          <w:color w:val="0000FF"/>
          <w:sz w:val="22"/>
          <w:szCs w:val="22"/>
          <w:u w:val="single"/>
          <w:lang w:val="lt-LT"/>
        </w:rPr>
      </w:pPr>
    </w:p>
    <w:p w:rsidR="0084176F" w:rsidRDefault="0084176F" w:rsidP="00E74DEC">
      <w:pPr>
        <w:tabs>
          <w:tab w:val="left" w:pos="5954"/>
          <w:tab w:val="left" w:pos="6237"/>
          <w:tab w:val="left" w:pos="6663"/>
          <w:tab w:val="left" w:pos="6946"/>
        </w:tabs>
        <w:rPr>
          <w:rFonts w:ascii="Times New Roman" w:eastAsia="SimSun" w:hAnsi="Times New Roman"/>
          <w:color w:val="0000FF"/>
          <w:sz w:val="22"/>
          <w:szCs w:val="22"/>
          <w:u w:val="single"/>
          <w:lang w:val="lt-LT"/>
        </w:rPr>
      </w:pPr>
    </w:p>
    <w:p w:rsidR="0084176F" w:rsidRDefault="0084176F" w:rsidP="00E74DEC">
      <w:pPr>
        <w:tabs>
          <w:tab w:val="left" w:pos="5954"/>
          <w:tab w:val="left" w:pos="6237"/>
          <w:tab w:val="left" w:pos="6663"/>
          <w:tab w:val="left" w:pos="6946"/>
        </w:tabs>
        <w:rPr>
          <w:rFonts w:ascii="Times New Roman" w:eastAsia="SimSun" w:hAnsi="Times New Roman"/>
          <w:color w:val="0000FF"/>
          <w:sz w:val="22"/>
          <w:szCs w:val="22"/>
          <w:u w:val="single"/>
          <w:lang w:val="lt-LT"/>
        </w:rPr>
      </w:pPr>
    </w:p>
    <w:p w:rsidR="0084176F" w:rsidRDefault="0084176F" w:rsidP="00E74DEC">
      <w:pPr>
        <w:tabs>
          <w:tab w:val="left" w:pos="5954"/>
          <w:tab w:val="left" w:pos="6237"/>
          <w:tab w:val="left" w:pos="6663"/>
          <w:tab w:val="left" w:pos="6946"/>
        </w:tabs>
        <w:rPr>
          <w:rFonts w:ascii="Times New Roman" w:eastAsia="SimSun" w:hAnsi="Times New Roman"/>
          <w:color w:val="0000FF"/>
          <w:sz w:val="22"/>
          <w:szCs w:val="22"/>
          <w:u w:val="single"/>
          <w:lang w:val="lt-LT"/>
        </w:rPr>
      </w:pPr>
    </w:p>
    <w:p w:rsidR="0084176F" w:rsidRDefault="0084176F" w:rsidP="00E74DEC">
      <w:pPr>
        <w:tabs>
          <w:tab w:val="left" w:pos="5954"/>
          <w:tab w:val="left" w:pos="6237"/>
          <w:tab w:val="left" w:pos="6663"/>
          <w:tab w:val="left" w:pos="6946"/>
        </w:tabs>
        <w:rPr>
          <w:rFonts w:ascii="Times New Roman" w:eastAsia="SimSun" w:hAnsi="Times New Roman"/>
          <w:color w:val="0000FF"/>
          <w:sz w:val="22"/>
          <w:szCs w:val="22"/>
          <w:u w:val="single"/>
          <w:lang w:val="lt-LT"/>
        </w:rPr>
      </w:pPr>
    </w:p>
    <w:p w:rsidR="0084176F" w:rsidRDefault="0084176F" w:rsidP="00E74DEC">
      <w:pPr>
        <w:tabs>
          <w:tab w:val="left" w:pos="5954"/>
          <w:tab w:val="left" w:pos="6237"/>
          <w:tab w:val="left" w:pos="6663"/>
          <w:tab w:val="left" w:pos="6946"/>
        </w:tabs>
        <w:rPr>
          <w:rFonts w:ascii="Times New Roman" w:eastAsia="SimSun" w:hAnsi="Times New Roman"/>
          <w:color w:val="0000FF"/>
          <w:sz w:val="22"/>
          <w:szCs w:val="22"/>
          <w:u w:val="single"/>
          <w:lang w:val="lt-LT"/>
        </w:rPr>
      </w:pPr>
    </w:p>
    <w:p w:rsidR="0084176F" w:rsidRDefault="0084176F" w:rsidP="00E74DEC">
      <w:pPr>
        <w:tabs>
          <w:tab w:val="left" w:pos="5954"/>
          <w:tab w:val="left" w:pos="6237"/>
          <w:tab w:val="left" w:pos="6663"/>
          <w:tab w:val="left" w:pos="6946"/>
        </w:tabs>
        <w:rPr>
          <w:rFonts w:ascii="Times New Roman" w:eastAsia="SimSun" w:hAnsi="Times New Roman"/>
          <w:color w:val="0000FF"/>
          <w:sz w:val="22"/>
          <w:szCs w:val="22"/>
          <w:u w:val="single"/>
          <w:lang w:val="lt-LT"/>
        </w:rPr>
      </w:pPr>
    </w:p>
    <w:p w:rsidR="0084176F" w:rsidRDefault="0084176F" w:rsidP="00E74DEC">
      <w:pPr>
        <w:tabs>
          <w:tab w:val="left" w:pos="5954"/>
          <w:tab w:val="left" w:pos="6237"/>
          <w:tab w:val="left" w:pos="6663"/>
          <w:tab w:val="left" w:pos="6946"/>
        </w:tabs>
        <w:rPr>
          <w:rFonts w:ascii="Times New Roman" w:eastAsia="SimSun" w:hAnsi="Times New Roman"/>
          <w:color w:val="0000FF"/>
          <w:sz w:val="22"/>
          <w:szCs w:val="22"/>
          <w:u w:val="single"/>
          <w:lang w:val="lt-LT"/>
        </w:rPr>
      </w:pPr>
    </w:p>
    <w:p w:rsidR="0084176F" w:rsidRDefault="0084176F" w:rsidP="00E74DEC">
      <w:pPr>
        <w:tabs>
          <w:tab w:val="left" w:pos="5954"/>
          <w:tab w:val="left" w:pos="6237"/>
          <w:tab w:val="left" w:pos="6663"/>
          <w:tab w:val="left" w:pos="6946"/>
        </w:tabs>
        <w:rPr>
          <w:rFonts w:ascii="Times New Roman" w:eastAsia="SimSun" w:hAnsi="Times New Roman"/>
          <w:color w:val="0000FF"/>
          <w:sz w:val="22"/>
          <w:szCs w:val="22"/>
          <w:u w:val="single"/>
          <w:lang w:val="lt-LT"/>
        </w:rPr>
      </w:pPr>
    </w:p>
    <w:p w:rsidR="0084176F" w:rsidRDefault="0084176F" w:rsidP="00E74DEC">
      <w:pPr>
        <w:tabs>
          <w:tab w:val="left" w:pos="5954"/>
          <w:tab w:val="left" w:pos="6237"/>
          <w:tab w:val="left" w:pos="6663"/>
          <w:tab w:val="left" w:pos="6946"/>
        </w:tabs>
        <w:rPr>
          <w:rFonts w:ascii="Times New Roman" w:eastAsia="SimSun" w:hAnsi="Times New Roman"/>
          <w:color w:val="0000FF"/>
          <w:sz w:val="22"/>
          <w:szCs w:val="22"/>
          <w:u w:val="single"/>
          <w:lang w:val="lt-LT"/>
        </w:rPr>
      </w:pPr>
    </w:p>
    <w:p w:rsidR="0084176F" w:rsidRDefault="0084176F" w:rsidP="00E74DEC">
      <w:pPr>
        <w:tabs>
          <w:tab w:val="left" w:pos="5954"/>
          <w:tab w:val="left" w:pos="6237"/>
          <w:tab w:val="left" w:pos="6663"/>
          <w:tab w:val="left" w:pos="6946"/>
        </w:tabs>
        <w:rPr>
          <w:rFonts w:ascii="Times New Roman" w:eastAsia="SimSun" w:hAnsi="Times New Roman"/>
          <w:color w:val="0000FF"/>
          <w:sz w:val="22"/>
          <w:szCs w:val="22"/>
          <w:u w:val="single"/>
          <w:lang w:val="lt-LT"/>
        </w:rPr>
      </w:pPr>
    </w:p>
    <w:p w:rsidR="0084176F" w:rsidRDefault="0084176F" w:rsidP="00E74DEC">
      <w:pPr>
        <w:tabs>
          <w:tab w:val="left" w:pos="5954"/>
          <w:tab w:val="left" w:pos="6237"/>
          <w:tab w:val="left" w:pos="6663"/>
          <w:tab w:val="left" w:pos="6946"/>
        </w:tabs>
        <w:rPr>
          <w:rFonts w:ascii="Times New Roman" w:eastAsia="SimSun" w:hAnsi="Times New Roman"/>
          <w:color w:val="0000FF"/>
          <w:sz w:val="22"/>
          <w:szCs w:val="22"/>
          <w:u w:val="single"/>
          <w:lang w:val="lt-LT"/>
        </w:rPr>
      </w:pPr>
    </w:p>
    <w:p w:rsidR="0084176F" w:rsidRDefault="0084176F" w:rsidP="00E74DEC">
      <w:pPr>
        <w:tabs>
          <w:tab w:val="left" w:pos="5954"/>
          <w:tab w:val="left" w:pos="6237"/>
          <w:tab w:val="left" w:pos="6663"/>
          <w:tab w:val="left" w:pos="6946"/>
        </w:tabs>
        <w:rPr>
          <w:rFonts w:ascii="Times New Roman" w:eastAsia="SimSun" w:hAnsi="Times New Roman"/>
          <w:color w:val="0000FF"/>
          <w:sz w:val="22"/>
          <w:szCs w:val="22"/>
          <w:u w:val="single"/>
          <w:lang w:val="lt-LT"/>
        </w:rPr>
      </w:pPr>
    </w:p>
    <w:p w:rsidR="0084176F" w:rsidRDefault="0084176F" w:rsidP="00E74DEC">
      <w:pPr>
        <w:tabs>
          <w:tab w:val="left" w:pos="5954"/>
          <w:tab w:val="left" w:pos="6237"/>
          <w:tab w:val="left" w:pos="6663"/>
          <w:tab w:val="left" w:pos="6946"/>
        </w:tabs>
        <w:rPr>
          <w:rFonts w:ascii="Times New Roman" w:eastAsia="SimSun" w:hAnsi="Times New Roman"/>
          <w:color w:val="0000FF"/>
          <w:sz w:val="22"/>
          <w:szCs w:val="22"/>
          <w:u w:val="single"/>
          <w:lang w:val="lt-LT"/>
        </w:rPr>
      </w:pPr>
    </w:p>
    <w:p w:rsidR="0084176F" w:rsidRDefault="0084176F" w:rsidP="00E74DEC">
      <w:pPr>
        <w:tabs>
          <w:tab w:val="left" w:pos="5954"/>
          <w:tab w:val="left" w:pos="6237"/>
          <w:tab w:val="left" w:pos="6663"/>
          <w:tab w:val="left" w:pos="6946"/>
        </w:tabs>
        <w:rPr>
          <w:rFonts w:ascii="Times New Roman" w:eastAsia="SimSun" w:hAnsi="Times New Roman"/>
          <w:color w:val="0000FF"/>
          <w:sz w:val="22"/>
          <w:szCs w:val="22"/>
          <w:u w:val="single"/>
          <w:lang w:val="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keepNext/>
        <w:jc w:val="center"/>
        <w:outlineLvl w:val="1"/>
        <w:rPr>
          <w:rFonts w:ascii="Times New Roman" w:eastAsia="Calibri" w:hAnsi="Times New Roman"/>
          <w:b/>
          <w:bCs/>
          <w:sz w:val="22"/>
          <w:szCs w:val="22"/>
          <w:lang w:val="lt-LT" w:eastAsia="lt-LT"/>
        </w:rPr>
      </w:pPr>
      <w:r w:rsidRPr="00186A98">
        <w:rPr>
          <w:rFonts w:ascii="Times New Roman" w:eastAsia="Calibri" w:hAnsi="Times New Roman"/>
          <w:b/>
          <w:bCs/>
          <w:sz w:val="22"/>
          <w:szCs w:val="22"/>
          <w:lang w:val="lt-LT" w:eastAsia="lt-LT"/>
        </w:rPr>
        <w:t>II PRIEDAS</w:t>
      </w:r>
    </w:p>
    <w:p w:rsidR="00E74DEC" w:rsidRPr="00186A98" w:rsidRDefault="00E74DEC" w:rsidP="00E74DEC">
      <w:pPr>
        <w:rPr>
          <w:rFonts w:ascii="Times New Roman" w:hAnsi="Times New Roman"/>
          <w:b/>
          <w:i/>
          <w:sz w:val="22"/>
          <w:szCs w:val="22"/>
          <w:lang w:val="lt-LT" w:eastAsia="lt-LT"/>
        </w:rPr>
      </w:pPr>
    </w:p>
    <w:p w:rsidR="00E74DEC" w:rsidRPr="00186A98" w:rsidRDefault="00284F64" w:rsidP="00E74DEC">
      <w:pPr>
        <w:jc w:val="center"/>
        <w:rPr>
          <w:rFonts w:ascii="Times New Roman" w:hAnsi="Times New Roman"/>
          <w:i/>
          <w:sz w:val="22"/>
          <w:szCs w:val="22"/>
          <w:lang w:val="lt-LT" w:eastAsia="lt-LT"/>
        </w:rPr>
      </w:pPr>
      <w:r w:rsidRPr="00186A98">
        <w:rPr>
          <w:rFonts w:ascii="Times New Roman" w:hAnsi="Times New Roman"/>
          <w:b/>
          <w:sz w:val="22"/>
          <w:szCs w:val="22"/>
          <w:lang w:val="lt-LT"/>
        </w:rPr>
        <w:t xml:space="preserve">REGISTRACIJOS </w:t>
      </w:r>
      <w:r w:rsidR="00E74DEC" w:rsidRPr="00186A98">
        <w:rPr>
          <w:rFonts w:ascii="Times New Roman" w:hAnsi="Times New Roman"/>
          <w:b/>
          <w:sz w:val="22"/>
          <w:szCs w:val="22"/>
          <w:lang w:val="lt-LT"/>
        </w:rPr>
        <w:t>SĄLYGOS</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ind w:left="1701" w:right="1416" w:hanging="708"/>
        <w:rPr>
          <w:rFonts w:ascii="Times New Roman" w:hAnsi="Times New Roman"/>
          <w:b/>
          <w:sz w:val="22"/>
          <w:szCs w:val="22"/>
          <w:lang w:val="lt-LT" w:eastAsia="lt-LT"/>
        </w:rPr>
      </w:pPr>
      <w:r w:rsidRPr="00186A98">
        <w:rPr>
          <w:rFonts w:ascii="Times New Roman" w:hAnsi="Times New Roman"/>
          <w:b/>
          <w:sz w:val="22"/>
          <w:szCs w:val="22"/>
          <w:lang w:val="lt-LT" w:eastAsia="lt-LT"/>
        </w:rPr>
        <w:t>A.</w:t>
      </w:r>
      <w:r w:rsidRPr="00186A98">
        <w:rPr>
          <w:rFonts w:ascii="Times New Roman" w:hAnsi="Times New Roman"/>
          <w:b/>
          <w:sz w:val="22"/>
          <w:szCs w:val="22"/>
          <w:lang w:val="lt-LT" w:eastAsia="lt-LT"/>
        </w:rPr>
        <w:tab/>
        <w:t>GAMINTOJAS (-AI), ATSAKINGAS (-I) UŽ SERIJŲ IŠLEIDIMĄ</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suppressLineNumbers/>
        <w:ind w:left="1701" w:right="1416" w:hanging="708"/>
        <w:rPr>
          <w:rFonts w:ascii="Times New Roman" w:hAnsi="Times New Roman"/>
          <w:b/>
          <w:sz w:val="22"/>
          <w:szCs w:val="22"/>
          <w:lang w:val="lt-LT" w:eastAsia="lt-LT"/>
        </w:rPr>
      </w:pPr>
      <w:r w:rsidRPr="00186A98">
        <w:rPr>
          <w:rFonts w:ascii="Times New Roman" w:hAnsi="Times New Roman"/>
          <w:b/>
          <w:sz w:val="22"/>
          <w:szCs w:val="22"/>
          <w:lang w:val="lt-LT" w:eastAsia="lt-LT"/>
        </w:rPr>
        <w:t>B.</w:t>
      </w:r>
      <w:r w:rsidRPr="00186A98">
        <w:rPr>
          <w:rFonts w:ascii="Times New Roman" w:hAnsi="Times New Roman"/>
          <w:b/>
          <w:sz w:val="22"/>
          <w:szCs w:val="22"/>
          <w:lang w:val="lt-LT" w:eastAsia="lt-LT"/>
        </w:rPr>
        <w:tab/>
        <w:t>TIEKIMO IR VARTOJIMO SĄLYGOS AR APRIBOJIMAI</w:t>
      </w:r>
    </w:p>
    <w:p w:rsidR="00E74DEC" w:rsidRPr="00186A98" w:rsidRDefault="00E74DEC" w:rsidP="00E74DEC">
      <w:pPr>
        <w:suppressLineNumbers/>
        <w:ind w:left="1701" w:right="1416" w:hanging="708"/>
        <w:rPr>
          <w:rFonts w:ascii="Times New Roman" w:hAnsi="Times New Roman"/>
          <w:b/>
          <w:sz w:val="22"/>
          <w:szCs w:val="22"/>
          <w:lang w:val="lt-LT" w:eastAsia="lt-LT"/>
        </w:rPr>
      </w:pPr>
    </w:p>
    <w:p w:rsidR="00E74DEC" w:rsidRPr="00186A98" w:rsidRDefault="00E74DEC" w:rsidP="00E74DEC">
      <w:pPr>
        <w:suppressLineNumbers/>
        <w:ind w:left="1701" w:right="1416" w:hanging="708"/>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84176F">
      <w:pPr>
        <w:ind w:left="567" w:hanging="567"/>
        <w:rPr>
          <w:rFonts w:ascii="Times New Roman" w:hAnsi="Times New Roman"/>
          <w:b/>
          <w:sz w:val="22"/>
          <w:szCs w:val="22"/>
          <w:lang w:val="lt-LT" w:eastAsia="lt-LT"/>
        </w:rPr>
      </w:pPr>
      <w:r w:rsidRPr="00186A98">
        <w:rPr>
          <w:rFonts w:ascii="Times New Roman" w:hAnsi="Times New Roman"/>
          <w:sz w:val="22"/>
          <w:szCs w:val="22"/>
          <w:lang w:val="lt-LT" w:eastAsia="lt-LT"/>
        </w:rPr>
        <w:br w:type="page"/>
      </w:r>
      <w:r w:rsidRPr="00186A98">
        <w:rPr>
          <w:rFonts w:ascii="Times New Roman" w:hAnsi="Times New Roman"/>
          <w:b/>
          <w:sz w:val="22"/>
          <w:szCs w:val="22"/>
          <w:lang w:val="lt-LT" w:eastAsia="lt-LT"/>
        </w:rPr>
        <w:lastRenderedPageBreak/>
        <w:t>A.</w:t>
      </w:r>
      <w:r w:rsidRPr="00186A98">
        <w:rPr>
          <w:rFonts w:ascii="Times New Roman" w:hAnsi="Times New Roman"/>
          <w:b/>
          <w:sz w:val="22"/>
          <w:szCs w:val="22"/>
          <w:lang w:val="lt-LT" w:eastAsia="lt-LT"/>
        </w:rPr>
        <w:tab/>
        <w:t>GAMINTOJAS (-AI), ATSAKINGAS (-I) UŽ SERIJŲ IŠLEIDIMĄ</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jc w:val="both"/>
        <w:rPr>
          <w:rFonts w:ascii="Times New Roman" w:hAnsi="Times New Roman"/>
          <w:sz w:val="22"/>
          <w:szCs w:val="22"/>
          <w:lang w:val="lt-LT" w:eastAsia="lt-LT"/>
        </w:rPr>
      </w:pPr>
      <w:r w:rsidRPr="00186A98">
        <w:rPr>
          <w:rFonts w:ascii="Times New Roman" w:hAnsi="Times New Roman"/>
          <w:sz w:val="22"/>
          <w:szCs w:val="22"/>
          <w:u w:val="single"/>
          <w:lang w:val="lt-LT" w:eastAsia="lt-LT"/>
        </w:rPr>
        <w:t>Gamintojo (-ų), atsakingo (-ų) už serijų išleidimą, pavadinimas (-ai) ir adresas (-ai)</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tabs>
          <w:tab w:val="left" w:pos="567"/>
        </w:tabs>
        <w:rPr>
          <w:rFonts w:ascii="Times New Roman" w:hAnsi="Times New Roman"/>
          <w:sz w:val="22"/>
          <w:szCs w:val="22"/>
          <w:lang w:val="lt-LT" w:eastAsia="lt-LT"/>
        </w:rPr>
      </w:pPr>
      <w:r w:rsidRPr="00186A98">
        <w:rPr>
          <w:rFonts w:ascii="Times New Roman" w:hAnsi="Times New Roman"/>
          <w:sz w:val="22"/>
          <w:szCs w:val="22"/>
          <w:lang w:val="lt-LT" w:eastAsia="lt-LT"/>
        </w:rPr>
        <w:t>Gedeon Richter Plc.</w:t>
      </w:r>
    </w:p>
    <w:p w:rsidR="00E74DEC" w:rsidRPr="00186A98" w:rsidRDefault="00E74DEC" w:rsidP="00E74DEC">
      <w:pPr>
        <w:tabs>
          <w:tab w:val="left" w:pos="567"/>
        </w:tabs>
        <w:rPr>
          <w:rFonts w:ascii="Times New Roman" w:hAnsi="Times New Roman"/>
          <w:sz w:val="22"/>
          <w:szCs w:val="22"/>
          <w:lang w:val="lt-LT" w:eastAsia="lt-LT"/>
        </w:rPr>
      </w:pPr>
      <w:r w:rsidRPr="00186A98">
        <w:rPr>
          <w:rFonts w:ascii="Times New Roman" w:hAnsi="Times New Roman"/>
          <w:sz w:val="22"/>
          <w:szCs w:val="22"/>
          <w:lang w:val="lt-LT" w:eastAsia="lt-LT"/>
        </w:rPr>
        <w:t xml:space="preserve">Gyömrői ut 19-21 </w:t>
      </w:r>
    </w:p>
    <w:p w:rsidR="00E74DEC" w:rsidRPr="00186A98" w:rsidRDefault="00E74DEC" w:rsidP="00E74DEC">
      <w:pPr>
        <w:tabs>
          <w:tab w:val="left" w:pos="567"/>
        </w:tabs>
        <w:rPr>
          <w:rFonts w:ascii="Times New Roman" w:hAnsi="Times New Roman"/>
          <w:sz w:val="22"/>
          <w:szCs w:val="22"/>
          <w:lang w:val="lt-LT" w:eastAsia="lt-LT"/>
        </w:rPr>
      </w:pPr>
      <w:r w:rsidRPr="00186A98">
        <w:rPr>
          <w:rFonts w:ascii="Times New Roman" w:hAnsi="Times New Roman"/>
          <w:sz w:val="22"/>
          <w:szCs w:val="22"/>
          <w:lang w:val="lt-LT" w:eastAsia="lt-LT"/>
        </w:rPr>
        <w:t>1103 Budapest</w:t>
      </w:r>
    </w:p>
    <w:p w:rsidR="00E74DEC" w:rsidRPr="00186A98" w:rsidRDefault="00E74DEC" w:rsidP="00E74DEC">
      <w:pPr>
        <w:tabs>
          <w:tab w:val="left" w:pos="567"/>
        </w:tabs>
        <w:rPr>
          <w:rFonts w:ascii="Times New Roman" w:hAnsi="Times New Roman"/>
          <w:sz w:val="22"/>
          <w:szCs w:val="22"/>
          <w:lang w:val="lt-LT" w:eastAsia="lt-LT"/>
        </w:rPr>
      </w:pPr>
      <w:r w:rsidRPr="00186A98">
        <w:rPr>
          <w:rFonts w:ascii="Times New Roman" w:hAnsi="Times New Roman"/>
          <w:sz w:val="22"/>
          <w:szCs w:val="22"/>
          <w:lang w:val="lt-LT" w:eastAsia="lt-LT"/>
        </w:rPr>
        <w:t>Vengrija</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suppressLineNumbers/>
        <w:ind w:left="567" w:hanging="567"/>
        <w:rPr>
          <w:rFonts w:ascii="Times New Roman" w:hAnsi="Times New Roman"/>
          <w:sz w:val="22"/>
          <w:szCs w:val="22"/>
          <w:lang w:val="lt-LT" w:eastAsia="lt-LT"/>
        </w:rPr>
      </w:pPr>
      <w:r w:rsidRPr="00186A98">
        <w:rPr>
          <w:rFonts w:ascii="Times New Roman" w:hAnsi="Times New Roman"/>
          <w:b/>
          <w:sz w:val="22"/>
          <w:szCs w:val="22"/>
          <w:lang w:val="lt-LT" w:eastAsia="lt-LT"/>
        </w:rPr>
        <w:t>B.</w:t>
      </w:r>
      <w:r w:rsidRPr="00186A98">
        <w:rPr>
          <w:rFonts w:ascii="Times New Roman" w:hAnsi="Times New Roman"/>
          <w:b/>
          <w:sz w:val="22"/>
          <w:szCs w:val="22"/>
          <w:lang w:val="lt-LT" w:eastAsia="lt-LT"/>
        </w:rPr>
        <w:tab/>
        <w:t xml:space="preserve">TIEKIMO IR VARTOJIMO SĄLYGOS AR APRIBOJIMAI </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Receptinis vaistinis preparatas.</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tabs>
          <w:tab w:val="left" w:pos="567"/>
        </w:tabs>
        <w:rPr>
          <w:rFonts w:ascii="Times New Roman" w:hAnsi="Times New Roman"/>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E74DEC" w:rsidRPr="00186A98" w:rsidRDefault="00E74DEC" w:rsidP="00E74DEC">
      <w:pPr>
        <w:tabs>
          <w:tab w:val="left" w:pos="567"/>
        </w:tabs>
        <w:rPr>
          <w:rFonts w:ascii="Times New Roman" w:hAnsi="Times New Roman"/>
          <w:b/>
          <w:sz w:val="22"/>
          <w:szCs w:val="22"/>
          <w:lang w:val="lt-LT" w:eastAsia="lt-LT"/>
        </w:rPr>
      </w:pPr>
    </w:p>
    <w:p w:rsidR="0084176F" w:rsidRDefault="0084176F" w:rsidP="00E74DEC">
      <w:pPr>
        <w:jc w:val="center"/>
        <w:outlineLvl w:val="0"/>
        <w:rPr>
          <w:rFonts w:ascii="Times New Roman" w:hAnsi="Times New Roman"/>
          <w:b/>
          <w:kern w:val="28"/>
          <w:sz w:val="22"/>
          <w:szCs w:val="22"/>
          <w:lang w:val="lt-LT" w:eastAsia="lt-LT"/>
        </w:rPr>
      </w:pPr>
    </w:p>
    <w:p w:rsidR="0084176F" w:rsidRDefault="0084176F" w:rsidP="00E74DEC">
      <w:pPr>
        <w:jc w:val="center"/>
        <w:outlineLvl w:val="0"/>
        <w:rPr>
          <w:rFonts w:ascii="Times New Roman" w:hAnsi="Times New Roman"/>
          <w:b/>
          <w:kern w:val="28"/>
          <w:sz w:val="22"/>
          <w:szCs w:val="22"/>
          <w:lang w:val="lt-LT" w:eastAsia="lt-LT"/>
        </w:rPr>
      </w:pPr>
    </w:p>
    <w:p w:rsidR="0084176F" w:rsidRDefault="0084176F" w:rsidP="00E74DEC">
      <w:pPr>
        <w:jc w:val="center"/>
        <w:outlineLvl w:val="0"/>
        <w:rPr>
          <w:rFonts w:ascii="Times New Roman" w:hAnsi="Times New Roman"/>
          <w:b/>
          <w:kern w:val="28"/>
          <w:sz w:val="22"/>
          <w:szCs w:val="22"/>
          <w:lang w:val="lt-LT" w:eastAsia="lt-LT"/>
        </w:rPr>
      </w:pPr>
    </w:p>
    <w:p w:rsidR="0084176F" w:rsidRDefault="0084176F" w:rsidP="00E74DEC">
      <w:pPr>
        <w:jc w:val="center"/>
        <w:outlineLvl w:val="0"/>
        <w:rPr>
          <w:rFonts w:ascii="Times New Roman" w:hAnsi="Times New Roman"/>
          <w:b/>
          <w:kern w:val="28"/>
          <w:sz w:val="22"/>
          <w:szCs w:val="22"/>
          <w:lang w:val="lt-LT" w:eastAsia="lt-LT"/>
        </w:rPr>
      </w:pPr>
    </w:p>
    <w:p w:rsidR="0084176F" w:rsidRDefault="0084176F" w:rsidP="00E74DEC">
      <w:pPr>
        <w:jc w:val="center"/>
        <w:outlineLvl w:val="0"/>
        <w:rPr>
          <w:rFonts w:ascii="Times New Roman" w:hAnsi="Times New Roman"/>
          <w:b/>
          <w:kern w:val="28"/>
          <w:sz w:val="22"/>
          <w:szCs w:val="22"/>
          <w:lang w:val="lt-LT" w:eastAsia="lt-LT"/>
        </w:rPr>
      </w:pPr>
    </w:p>
    <w:p w:rsidR="0084176F" w:rsidRDefault="0084176F" w:rsidP="00E74DEC">
      <w:pPr>
        <w:jc w:val="center"/>
        <w:outlineLvl w:val="0"/>
        <w:rPr>
          <w:rFonts w:ascii="Times New Roman" w:hAnsi="Times New Roman"/>
          <w:b/>
          <w:kern w:val="28"/>
          <w:sz w:val="22"/>
          <w:szCs w:val="22"/>
          <w:lang w:val="lt-LT" w:eastAsia="lt-LT"/>
        </w:rPr>
      </w:pPr>
    </w:p>
    <w:p w:rsidR="00E74DEC" w:rsidRPr="00186A98" w:rsidRDefault="00E74DEC" w:rsidP="00E74DEC">
      <w:pPr>
        <w:jc w:val="center"/>
        <w:outlineLvl w:val="0"/>
        <w:rPr>
          <w:rFonts w:ascii="Times New Roman" w:hAnsi="Times New Roman"/>
          <w:b/>
          <w:kern w:val="28"/>
          <w:sz w:val="22"/>
          <w:szCs w:val="22"/>
          <w:lang w:val="lt-LT" w:eastAsia="lt-LT"/>
        </w:rPr>
      </w:pPr>
      <w:r w:rsidRPr="00186A98">
        <w:rPr>
          <w:rFonts w:ascii="Times New Roman" w:hAnsi="Times New Roman"/>
          <w:b/>
          <w:kern w:val="28"/>
          <w:sz w:val="22"/>
          <w:szCs w:val="22"/>
          <w:lang w:val="lt-LT" w:eastAsia="lt-LT"/>
        </w:rPr>
        <w:t>III PRIEDAS</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jc w:val="center"/>
        <w:rPr>
          <w:rFonts w:ascii="Times New Roman" w:hAnsi="Times New Roman"/>
          <w:b/>
          <w:sz w:val="22"/>
          <w:szCs w:val="22"/>
          <w:lang w:val="lt-LT" w:eastAsia="lt-LT"/>
        </w:rPr>
      </w:pPr>
      <w:r w:rsidRPr="00186A98">
        <w:rPr>
          <w:rFonts w:ascii="Times New Roman" w:hAnsi="Times New Roman"/>
          <w:b/>
          <w:sz w:val="22"/>
          <w:szCs w:val="22"/>
          <w:lang w:val="lt-LT" w:eastAsia="lt-LT"/>
        </w:rPr>
        <w:t>ŽENKLINIMAS IR PAKUOTĖS LAPELIS</w:t>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br w:type="page"/>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jc w:val="center"/>
        <w:outlineLvl w:val="0"/>
        <w:rPr>
          <w:rFonts w:ascii="Times New Roman" w:hAnsi="Times New Roman"/>
          <w:b/>
          <w:kern w:val="28"/>
          <w:sz w:val="22"/>
          <w:szCs w:val="22"/>
          <w:lang w:val="lt-LT" w:eastAsia="lt-LT"/>
        </w:rPr>
      </w:pPr>
      <w:r w:rsidRPr="00186A98">
        <w:rPr>
          <w:rFonts w:ascii="Times New Roman" w:hAnsi="Times New Roman"/>
          <w:b/>
          <w:kern w:val="28"/>
          <w:sz w:val="22"/>
          <w:szCs w:val="22"/>
          <w:lang w:val="lt-LT" w:eastAsia="lt-LT"/>
        </w:rPr>
        <w:t>A. ŽENKLINIMAS</w:t>
      </w:r>
    </w:p>
    <w:p w:rsidR="00E74DEC" w:rsidRPr="00186A98" w:rsidRDefault="00E74DEC" w:rsidP="00E74DEC">
      <w:pPr>
        <w:keepNext/>
        <w:pBdr>
          <w:top w:val="single" w:sz="4" w:space="1" w:color="auto"/>
          <w:left w:val="single" w:sz="4" w:space="4" w:color="auto"/>
          <w:bottom w:val="single" w:sz="4" w:space="1" w:color="auto"/>
          <w:right w:val="single" w:sz="4" w:space="4" w:color="auto"/>
        </w:pBdr>
        <w:outlineLvl w:val="1"/>
        <w:rPr>
          <w:rFonts w:ascii="Times New Roman" w:eastAsia="Calibri" w:hAnsi="Times New Roman"/>
          <w:b/>
          <w:bCs/>
          <w:iCs/>
          <w:sz w:val="22"/>
          <w:szCs w:val="22"/>
          <w:lang w:val="lt-LT" w:eastAsia="lt-LT"/>
        </w:rPr>
      </w:pPr>
      <w:r w:rsidRPr="00186A98">
        <w:rPr>
          <w:rFonts w:ascii="Times New Roman" w:eastAsia="Calibri" w:hAnsi="Times New Roman"/>
          <w:b/>
          <w:bCs/>
          <w:i/>
          <w:iCs/>
          <w:sz w:val="22"/>
          <w:szCs w:val="22"/>
          <w:lang w:val="lt-LT" w:eastAsia="lt-LT"/>
        </w:rPr>
        <w:br w:type="page"/>
      </w:r>
      <w:r w:rsidRPr="00186A98">
        <w:rPr>
          <w:rFonts w:ascii="Times New Roman" w:eastAsia="Calibri" w:hAnsi="Times New Roman"/>
          <w:b/>
          <w:bCs/>
          <w:iCs/>
          <w:sz w:val="22"/>
          <w:szCs w:val="22"/>
          <w:lang w:val="lt-LT" w:eastAsia="lt-LT"/>
        </w:rPr>
        <w:lastRenderedPageBreak/>
        <w:t xml:space="preserve">INFORMACIJA ANT IŠORINĖS  PAKUOTĖS </w:t>
      </w:r>
    </w:p>
    <w:p w:rsidR="00E74DEC" w:rsidRPr="00186A98" w:rsidRDefault="00E74DEC" w:rsidP="00E74DEC">
      <w:pPr>
        <w:pBdr>
          <w:top w:val="single" w:sz="4" w:space="1" w:color="auto"/>
          <w:left w:val="single" w:sz="4" w:space="4" w:color="auto"/>
          <w:bottom w:val="single" w:sz="4" w:space="1" w:color="auto"/>
          <w:right w:val="single" w:sz="4" w:space="4" w:color="auto"/>
        </w:pBdr>
        <w:rPr>
          <w:rFonts w:ascii="Times New Roman" w:hAnsi="Times New Roman"/>
          <w:sz w:val="22"/>
          <w:szCs w:val="22"/>
          <w:lang w:val="lt-LT" w:eastAsia="lt-LT"/>
        </w:rPr>
      </w:pPr>
    </w:p>
    <w:p w:rsidR="00E74DEC" w:rsidRPr="00186A98" w:rsidRDefault="00E74DEC" w:rsidP="00E74DEC">
      <w:pPr>
        <w:pBdr>
          <w:top w:val="single" w:sz="4" w:space="1" w:color="auto"/>
          <w:left w:val="single" w:sz="4" w:space="4" w:color="auto"/>
          <w:bottom w:val="single" w:sz="4" w:space="1" w:color="auto"/>
          <w:right w:val="single" w:sz="4" w:space="4" w:color="auto"/>
        </w:pBdr>
        <w:rPr>
          <w:rFonts w:ascii="Times New Roman" w:hAnsi="Times New Roman"/>
          <w:b/>
          <w:sz w:val="22"/>
          <w:szCs w:val="22"/>
          <w:lang w:val="lt-LT" w:eastAsia="lt-LT"/>
        </w:rPr>
      </w:pPr>
      <w:r w:rsidRPr="00186A98">
        <w:rPr>
          <w:rFonts w:ascii="Times New Roman" w:hAnsi="Times New Roman"/>
          <w:b/>
          <w:sz w:val="22"/>
          <w:szCs w:val="22"/>
          <w:lang w:val="lt-LT" w:eastAsia="lt-LT"/>
        </w:rPr>
        <w:t>KARTONO DĖŽUTĖ</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84176F">
      <w:pPr>
        <w:keepNext/>
        <w:pBdr>
          <w:top w:val="single" w:sz="4" w:space="1" w:color="auto"/>
          <w:left w:val="single" w:sz="4" w:space="4" w:color="auto"/>
          <w:bottom w:val="single" w:sz="4" w:space="1" w:color="auto"/>
          <w:right w:val="single" w:sz="4" w:space="4" w:color="auto"/>
        </w:pBdr>
        <w:ind w:left="567" w:hanging="567"/>
        <w:outlineLvl w:val="2"/>
        <w:rPr>
          <w:rFonts w:ascii="Times New Roman" w:eastAsia="Calibri" w:hAnsi="Times New Roman"/>
          <w:b/>
          <w:bCs/>
          <w:sz w:val="22"/>
          <w:szCs w:val="22"/>
          <w:lang w:val="lt-LT" w:eastAsia="lt-LT"/>
        </w:rPr>
      </w:pPr>
      <w:r w:rsidRPr="00186A98">
        <w:rPr>
          <w:rFonts w:ascii="Times New Roman" w:eastAsia="Calibri" w:hAnsi="Times New Roman"/>
          <w:b/>
          <w:bCs/>
          <w:sz w:val="22"/>
          <w:szCs w:val="22"/>
          <w:lang w:val="lt-LT" w:eastAsia="lt-LT"/>
        </w:rPr>
        <w:t>1.</w:t>
      </w:r>
      <w:r w:rsidRPr="00186A98">
        <w:rPr>
          <w:rFonts w:ascii="Times New Roman" w:eastAsia="Calibri" w:hAnsi="Times New Roman"/>
          <w:b/>
          <w:bCs/>
          <w:sz w:val="22"/>
          <w:szCs w:val="22"/>
          <w:lang w:val="lt-LT" w:eastAsia="lt-LT"/>
        </w:rPr>
        <w:tab/>
        <w:t>VAISTINIO PREPARATO PAVADINIMAS</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CALUMID 150 mg plėvele dengtos tabletės</w:t>
      </w:r>
      <w:r w:rsidRPr="00186A98">
        <w:rPr>
          <w:rFonts w:ascii="Times New Roman" w:hAnsi="Times New Roman"/>
          <w:sz w:val="22"/>
          <w:szCs w:val="22"/>
          <w:lang w:val="lt-LT" w:eastAsia="lt-LT"/>
        </w:rPr>
        <w:tab/>
      </w:r>
      <w:r w:rsidRPr="00186A98">
        <w:rPr>
          <w:rFonts w:ascii="Times New Roman" w:hAnsi="Times New Roman"/>
          <w:sz w:val="22"/>
          <w:szCs w:val="22"/>
          <w:lang w:val="lt-LT" w:eastAsia="lt-LT"/>
        </w:rPr>
        <w:tab/>
      </w:r>
      <w:r w:rsidRPr="00186A98">
        <w:rPr>
          <w:rFonts w:ascii="Times New Roman" w:hAnsi="Times New Roman"/>
          <w:sz w:val="22"/>
          <w:szCs w:val="22"/>
          <w:lang w:val="lt-LT" w:eastAsia="lt-LT"/>
        </w:rPr>
        <w:tab/>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 xml:space="preserve">Bicalutamidum </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84176F">
      <w:pPr>
        <w:keepNext/>
        <w:pBdr>
          <w:top w:val="single" w:sz="4" w:space="1" w:color="auto"/>
          <w:left w:val="single" w:sz="4" w:space="4" w:color="auto"/>
          <w:bottom w:val="single" w:sz="4" w:space="1" w:color="auto"/>
          <w:right w:val="single" w:sz="4" w:space="4" w:color="auto"/>
        </w:pBdr>
        <w:ind w:left="567" w:hanging="567"/>
        <w:outlineLvl w:val="2"/>
        <w:rPr>
          <w:rFonts w:ascii="Times New Roman" w:eastAsia="Calibri" w:hAnsi="Times New Roman"/>
          <w:b/>
          <w:bCs/>
          <w:sz w:val="22"/>
          <w:szCs w:val="22"/>
          <w:lang w:val="lt-LT" w:eastAsia="lt-LT"/>
        </w:rPr>
      </w:pPr>
      <w:r w:rsidRPr="00186A98">
        <w:rPr>
          <w:rFonts w:ascii="Times New Roman" w:eastAsia="Calibri" w:hAnsi="Times New Roman"/>
          <w:b/>
          <w:bCs/>
          <w:sz w:val="22"/>
          <w:szCs w:val="22"/>
          <w:lang w:val="lt-LT" w:eastAsia="lt-LT"/>
        </w:rPr>
        <w:t>2.</w:t>
      </w:r>
      <w:r w:rsidRPr="00186A98">
        <w:rPr>
          <w:rFonts w:ascii="Times New Roman" w:eastAsia="Calibri" w:hAnsi="Times New Roman"/>
          <w:b/>
          <w:bCs/>
          <w:sz w:val="22"/>
          <w:szCs w:val="22"/>
          <w:lang w:val="lt-LT" w:eastAsia="lt-LT"/>
        </w:rPr>
        <w:tab/>
        <w:t xml:space="preserve">VEIKLIOJI MEDŽIAGA IR JOS KIEKIS </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Kiekvienoje plėvele dengtoje tabletėje yra 150 mg bikalutamido.</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84176F">
      <w:pPr>
        <w:keepNext/>
        <w:pBdr>
          <w:top w:val="single" w:sz="4" w:space="1" w:color="auto"/>
          <w:left w:val="single" w:sz="4" w:space="4" w:color="auto"/>
          <w:bottom w:val="single" w:sz="4" w:space="1" w:color="auto"/>
          <w:right w:val="single" w:sz="4" w:space="4" w:color="auto"/>
        </w:pBdr>
        <w:ind w:left="567" w:hanging="567"/>
        <w:outlineLvl w:val="2"/>
        <w:rPr>
          <w:rFonts w:ascii="Times New Roman" w:eastAsia="Calibri" w:hAnsi="Times New Roman"/>
          <w:b/>
          <w:bCs/>
          <w:sz w:val="22"/>
          <w:szCs w:val="22"/>
          <w:lang w:val="lt-LT" w:eastAsia="lt-LT"/>
        </w:rPr>
      </w:pPr>
      <w:r w:rsidRPr="00186A98">
        <w:rPr>
          <w:rFonts w:ascii="Times New Roman" w:eastAsia="Calibri" w:hAnsi="Times New Roman"/>
          <w:b/>
          <w:bCs/>
          <w:sz w:val="22"/>
          <w:szCs w:val="22"/>
          <w:lang w:val="lt-LT" w:eastAsia="lt-LT"/>
        </w:rPr>
        <w:t>3.</w:t>
      </w:r>
      <w:r w:rsidRPr="00186A98">
        <w:rPr>
          <w:rFonts w:ascii="Times New Roman" w:eastAsia="Calibri" w:hAnsi="Times New Roman"/>
          <w:b/>
          <w:bCs/>
          <w:sz w:val="22"/>
          <w:szCs w:val="22"/>
          <w:lang w:val="lt-LT" w:eastAsia="lt-LT"/>
        </w:rPr>
        <w:tab/>
        <w:t>PAGALBINIŲ MEDŽIAGŲ SĄRAŠAS</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bCs/>
          <w:sz w:val="22"/>
          <w:szCs w:val="22"/>
          <w:lang w:val="lt-LT" w:eastAsia="lt-LT"/>
        </w:rPr>
      </w:pPr>
      <w:r w:rsidRPr="00186A98">
        <w:rPr>
          <w:rFonts w:ascii="Times New Roman" w:hAnsi="Times New Roman"/>
          <w:sz w:val="22"/>
          <w:szCs w:val="22"/>
          <w:lang w:val="lt-LT" w:eastAsia="lt-LT"/>
        </w:rPr>
        <w:t>Sudėtyje yra laktozės. Daugiau informacijos yra pakuotės lapelyje.</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84176F">
      <w:pPr>
        <w:keepNext/>
        <w:pBdr>
          <w:top w:val="single" w:sz="4" w:space="1" w:color="auto"/>
          <w:left w:val="single" w:sz="4" w:space="4" w:color="auto"/>
          <w:bottom w:val="single" w:sz="4" w:space="1" w:color="auto"/>
          <w:right w:val="single" w:sz="4" w:space="4" w:color="auto"/>
        </w:pBdr>
        <w:ind w:left="567" w:hanging="567"/>
        <w:outlineLvl w:val="2"/>
        <w:rPr>
          <w:rFonts w:ascii="Times New Roman" w:eastAsia="Calibri" w:hAnsi="Times New Roman"/>
          <w:b/>
          <w:bCs/>
          <w:sz w:val="22"/>
          <w:szCs w:val="22"/>
          <w:lang w:val="lt-LT" w:eastAsia="lt-LT"/>
        </w:rPr>
      </w:pPr>
      <w:r w:rsidRPr="00186A98">
        <w:rPr>
          <w:rFonts w:ascii="Times New Roman" w:eastAsia="Calibri" w:hAnsi="Times New Roman"/>
          <w:b/>
          <w:bCs/>
          <w:sz w:val="22"/>
          <w:szCs w:val="22"/>
          <w:lang w:val="lt-LT" w:eastAsia="lt-LT"/>
        </w:rPr>
        <w:t>4.</w:t>
      </w:r>
      <w:r w:rsidRPr="00186A98">
        <w:rPr>
          <w:rFonts w:ascii="Times New Roman" w:eastAsia="Calibri" w:hAnsi="Times New Roman"/>
          <w:b/>
          <w:bCs/>
          <w:sz w:val="22"/>
          <w:szCs w:val="22"/>
          <w:lang w:val="lt-LT" w:eastAsia="lt-LT"/>
        </w:rPr>
        <w:tab/>
        <w:t>FARMACINĖ FORMA IR KIEKIS PAKUOTĖJE</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30 plėvele dengtų tablečių</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84176F">
      <w:pPr>
        <w:keepNext/>
        <w:pBdr>
          <w:top w:val="single" w:sz="4" w:space="1" w:color="auto"/>
          <w:left w:val="single" w:sz="4" w:space="4" w:color="auto"/>
          <w:bottom w:val="single" w:sz="4" w:space="1" w:color="auto"/>
          <w:right w:val="single" w:sz="4" w:space="4" w:color="auto"/>
        </w:pBdr>
        <w:ind w:left="567" w:hanging="567"/>
        <w:outlineLvl w:val="2"/>
        <w:rPr>
          <w:rFonts w:ascii="Times New Roman" w:eastAsia="Calibri" w:hAnsi="Times New Roman"/>
          <w:b/>
          <w:bCs/>
          <w:sz w:val="22"/>
          <w:szCs w:val="22"/>
          <w:lang w:val="lt-LT" w:eastAsia="lt-LT"/>
        </w:rPr>
      </w:pPr>
      <w:r w:rsidRPr="00186A98">
        <w:rPr>
          <w:rFonts w:ascii="Times New Roman" w:eastAsia="Calibri" w:hAnsi="Times New Roman"/>
          <w:b/>
          <w:bCs/>
          <w:sz w:val="22"/>
          <w:szCs w:val="22"/>
          <w:lang w:val="lt-LT" w:eastAsia="lt-LT"/>
        </w:rPr>
        <w:t>5.</w:t>
      </w:r>
      <w:r w:rsidRPr="00186A98">
        <w:rPr>
          <w:rFonts w:ascii="Times New Roman" w:eastAsia="Calibri" w:hAnsi="Times New Roman"/>
          <w:b/>
          <w:bCs/>
          <w:sz w:val="22"/>
          <w:szCs w:val="22"/>
          <w:lang w:val="lt-LT" w:eastAsia="lt-LT"/>
        </w:rPr>
        <w:tab/>
        <w:t>VARTOJIMO METODAS IR BŪDAS</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 xml:space="preserve">Vartoti per burną. </w:t>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Prieš vartojimą perskaitykite pakuotės lapelį.</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84176F">
      <w:pPr>
        <w:keepNext/>
        <w:pBdr>
          <w:top w:val="single" w:sz="4" w:space="1" w:color="auto"/>
          <w:left w:val="single" w:sz="4" w:space="4" w:color="auto"/>
          <w:bottom w:val="single" w:sz="4" w:space="1" w:color="auto"/>
          <w:right w:val="single" w:sz="4" w:space="4" w:color="auto"/>
        </w:pBdr>
        <w:ind w:left="567" w:hanging="567"/>
        <w:outlineLvl w:val="2"/>
        <w:rPr>
          <w:rFonts w:ascii="Times New Roman" w:eastAsia="Calibri" w:hAnsi="Times New Roman"/>
          <w:b/>
          <w:bCs/>
          <w:sz w:val="22"/>
          <w:szCs w:val="22"/>
          <w:lang w:val="lt-LT" w:eastAsia="lt-LT"/>
        </w:rPr>
      </w:pPr>
      <w:r w:rsidRPr="00186A98">
        <w:rPr>
          <w:rFonts w:ascii="Times New Roman" w:eastAsia="Calibri" w:hAnsi="Times New Roman"/>
          <w:b/>
          <w:bCs/>
          <w:sz w:val="22"/>
          <w:szCs w:val="22"/>
          <w:lang w:val="lt-LT" w:eastAsia="lt-LT"/>
        </w:rPr>
        <w:t>6.</w:t>
      </w:r>
      <w:r w:rsidRPr="00186A98">
        <w:rPr>
          <w:rFonts w:ascii="Times New Roman" w:eastAsia="Calibri" w:hAnsi="Times New Roman"/>
          <w:b/>
          <w:bCs/>
          <w:sz w:val="22"/>
          <w:szCs w:val="22"/>
          <w:lang w:val="lt-LT" w:eastAsia="lt-LT"/>
        </w:rPr>
        <w:tab/>
        <w:t>SPECIALUS ĮSPĖJIMAS, KAD VAISTINĮ PREPARATĄ BŪTINA LAIKYTI VAIKAMS NEPASTEBIMOJE IR NEPASIEKIAMOJE VIETOJE</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Laikyti vaikams nepastebimoje ir nepasiekiamoje vietoje.</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84176F">
      <w:pPr>
        <w:keepNext/>
        <w:pBdr>
          <w:top w:val="single" w:sz="4" w:space="1" w:color="auto"/>
          <w:left w:val="single" w:sz="4" w:space="4" w:color="auto"/>
          <w:bottom w:val="single" w:sz="4" w:space="1" w:color="auto"/>
          <w:right w:val="single" w:sz="4" w:space="4" w:color="auto"/>
        </w:pBdr>
        <w:ind w:left="567" w:hanging="567"/>
        <w:outlineLvl w:val="2"/>
        <w:rPr>
          <w:rFonts w:ascii="Times New Roman" w:eastAsia="Calibri" w:hAnsi="Times New Roman"/>
          <w:b/>
          <w:bCs/>
          <w:sz w:val="22"/>
          <w:szCs w:val="22"/>
          <w:lang w:val="lt-LT" w:eastAsia="lt-LT"/>
        </w:rPr>
      </w:pPr>
      <w:r w:rsidRPr="00186A98">
        <w:rPr>
          <w:rFonts w:ascii="Times New Roman" w:eastAsia="Calibri" w:hAnsi="Times New Roman"/>
          <w:b/>
          <w:bCs/>
          <w:sz w:val="22"/>
          <w:szCs w:val="22"/>
          <w:lang w:val="lt-LT" w:eastAsia="lt-LT"/>
        </w:rPr>
        <w:t>7.</w:t>
      </w:r>
      <w:r w:rsidRPr="00186A98">
        <w:rPr>
          <w:rFonts w:ascii="Times New Roman" w:eastAsia="Calibri" w:hAnsi="Times New Roman"/>
          <w:b/>
          <w:bCs/>
          <w:sz w:val="22"/>
          <w:szCs w:val="22"/>
          <w:lang w:val="lt-LT" w:eastAsia="lt-LT"/>
        </w:rPr>
        <w:tab/>
        <w:t>KITAS SPECIALUS ĮSPĖJIMAS (JEI REIKIA)</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84176F">
      <w:pPr>
        <w:keepNext/>
        <w:pBdr>
          <w:top w:val="single" w:sz="4" w:space="1" w:color="auto"/>
          <w:left w:val="single" w:sz="4" w:space="4" w:color="auto"/>
          <w:bottom w:val="single" w:sz="4" w:space="1" w:color="auto"/>
          <w:right w:val="single" w:sz="4" w:space="4" w:color="auto"/>
        </w:pBdr>
        <w:ind w:left="567" w:hanging="567"/>
        <w:outlineLvl w:val="2"/>
        <w:rPr>
          <w:rFonts w:ascii="Times New Roman" w:hAnsi="Times New Roman"/>
          <w:sz w:val="22"/>
          <w:szCs w:val="22"/>
          <w:lang w:val="lt-LT" w:eastAsia="lt-LT"/>
        </w:rPr>
      </w:pPr>
      <w:r w:rsidRPr="00186A98">
        <w:rPr>
          <w:rFonts w:ascii="Times New Roman" w:eastAsia="Calibri" w:hAnsi="Times New Roman"/>
          <w:b/>
          <w:bCs/>
          <w:sz w:val="22"/>
          <w:szCs w:val="22"/>
          <w:lang w:val="lt-LT" w:eastAsia="lt-LT"/>
        </w:rPr>
        <w:t>8.</w:t>
      </w:r>
      <w:r w:rsidRPr="00186A98">
        <w:rPr>
          <w:rFonts w:ascii="Times New Roman" w:eastAsia="Calibri" w:hAnsi="Times New Roman"/>
          <w:b/>
          <w:bCs/>
          <w:sz w:val="22"/>
          <w:szCs w:val="22"/>
          <w:lang w:val="lt-LT" w:eastAsia="lt-LT"/>
        </w:rPr>
        <w:tab/>
        <w:t>TINKAMUMO LAIKAS</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Tinka iki {mm/MMMM}</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84176F">
      <w:pPr>
        <w:keepNext/>
        <w:pBdr>
          <w:top w:val="single" w:sz="4" w:space="1" w:color="auto"/>
          <w:left w:val="single" w:sz="4" w:space="4" w:color="auto"/>
          <w:bottom w:val="single" w:sz="4" w:space="1" w:color="auto"/>
          <w:right w:val="single" w:sz="4" w:space="4" w:color="auto"/>
        </w:pBdr>
        <w:ind w:left="567" w:hanging="567"/>
        <w:outlineLvl w:val="2"/>
        <w:rPr>
          <w:rFonts w:ascii="Times New Roman" w:eastAsia="Calibri" w:hAnsi="Times New Roman"/>
          <w:b/>
          <w:bCs/>
          <w:sz w:val="22"/>
          <w:szCs w:val="22"/>
          <w:lang w:val="lt-LT" w:eastAsia="lt-LT"/>
        </w:rPr>
      </w:pPr>
      <w:r w:rsidRPr="00186A98">
        <w:rPr>
          <w:rFonts w:ascii="Times New Roman" w:eastAsia="Calibri" w:hAnsi="Times New Roman"/>
          <w:b/>
          <w:bCs/>
          <w:sz w:val="22"/>
          <w:szCs w:val="22"/>
          <w:lang w:val="lt-LT" w:eastAsia="lt-LT"/>
        </w:rPr>
        <w:t>9.</w:t>
      </w:r>
      <w:r w:rsidRPr="00186A98">
        <w:rPr>
          <w:rFonts w:ascii="Times New Roman" w:eastAsia="Calibri" w:hAnsi="Times New Roman"/>
          <w:b/>
          <w:bCs/>
          <w:sz w:val="22"/>
          <w:szCs w:val="22"/>
          <w:lang w:val="lt-LT" w:eastAsia="lt-LT"/>
        </w:rPr>
        <w:tab/>
        <w:t>SPECIALIOS LAIKYMO SĄLYGOS</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pBdr>
          <w:top w:val="single" w:sz="4" w:space="1" w:color="auto"/>
          <w:left w:val="single" w:sz="4" w:space="4" w:color="auto"/>
          <w:bottom w:val="single" w:sz="4" w:space="1" w:color="auto"/>
          <w:right w:val="single" w:sz="4" w:space="4" w:color="auto"/>
        </w:pBdr>
        <w:tabs>
          <w:tab w:val="left" w:pos="540"/>
        </w:tabs>
        <w:rPr>
          <w:rFonts w:ascii="Times New Roman" w:eastAsia="Calibri" w:hAnsi="Times New Roman"/>
          <w:b/>
          <w:noProof/>
          <w:sz w:val="22"/>
          <w:szCs w:val="22"/>
          <w:lang w:val="lt-LT" w:eastAsia="lt-LT"/>
        </w:rPr>
      </w:pPr>
      <w:r w:rsidRPr="00186A98">
        <w:rPr>
          <w:rFonts w:ascii="Times New Roman" w:eastAsia="Calibri" w:hAnsi="Times New Roman"/>
          <w:b/>
          <w:noProof/>
          <w:sz w:val="22"/>
          <w:szCs w:val="22"/>
          <w:lang w:val="lt-LT" w:eastAsia="lt-LT"/>
        </w:rPr>
        <w:t>10.</w:t>
      </w:r>
      <w:r w:rsidRPr="00186A98">
        <w:rPr>
          <w:rFonts w:ascii="Times New Roman" w:eastAsia="Calibri" w:hAnsi="Times New Roman"/>
          <w:b/>
          <w:noProof/>
          <w:sz w:val="22"/>
          <w:szCs w:val="22"/>
          <w:lang w:val="lt-LT" w:eastAsia="lt-LT"/>
        </w:rPr>
        <w:tab/>
        <w:t>SPECIALIOS ATSARGUMO PRIEMONĖS DĖL NESUVARTOTO VAISTINIO PREPARATO AR JO ATLIEKŲ TVARKYMO (JEI REIKIA)</w:t>
      </w:r>
    </w:p>
    <w:p w:rsidR="00E74DEC" w:rsidRPr="00186A98" w:rsidRDefault="00E74DEC" w:rsidP="00E74DEC">
      <w:pPr>
        <w:keepNext/>
        <w:outlineLvl w:val="2"/>
        <w:rPr>
          <w:rFonts w:ascii="Times New Roman" w:eastAsia="Calibri" w:hAnsi="Times New Roman"/>
          <w:b/>
          <w:bCs/>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84176F">
      <w:pPr>
        <w:keepNext/>
        <w:pBdr>
          <w:top w:val="single" w:sz="4" w:space="1" w:color="auto"/>
          <w:left w:val="single" w:sz="4" w:space="4" w:color="auto"/>
          <w:bottom w:val="single" w:sz="4" w:space="1" w:color="auto"/>
          <w:right w:val="single" w:sz="4" w:space="4" w:color="auto"/>
        </w:pBdr>
        <w:ind w:left="567" w:hanging="567"/>
        <w:outlineLvl w:val="2"/>
        <w:rPr>
          <w:rFonts w:ascii="Times New Roman" w:eastAsia="Calibri" w:hAnsi="Times New Roman"/>
          <w:b/>
          <w:bCs/>
          <w:sz w:val="22"/>
          <w:szCs w:val="22"/>
          <w:lang w:val="lt-LT" w:eastAsia="lt-LT"/>
        </w:rPr>
      </w:pPr>
      <w:r w:rsidRPr="00186A98">
        <w:rPr>
          <w:rFonts w:ascii="Times New Roman" w:eastAsia="Calibri" w:hAnsi="Times New Roman"/>
          <w:b/>
          <w:bCs/>
          <w:sz w:val="22"/>
          <w:szCs w:val="22"/>
          <w:lang w:val="lt-LT" w:eastAsia="lt-LT"/>
        </w:rPr>
        <w:lastRenderedPageBreak/>
        <w:t>11.</w:t>
      </w:r>
      <w:r w:rsidRPr="00186A98">
        <w:rPr>
          <w:rFonts w:ascii="Times New Roman" w:eastAsia="Calibri" w:hAnsi="Times New Roman"/>
          <w:b/>
          <w:bCs/>
          <w:sz w:val="22"/>
          <w:szCs w:val="22"/>
          <w:lang w:val="lt-LT" w:eastAsia="lt-LT"/>
        </w:rPr>
        <w:tab/>
      </w:r>
      <w:r w:rsidR="00284F64" w:rsidRPr="00186A98">
        <w:rPr>
          <w:rFonts w:ascii="Times New Roman" w:eastAsia="Calibri" w:hAnsi="Times New Roman"/>
          <w:b/>
          <w:bCs/>
          <w:sz w:val="22"/>
          <w:szCs w:val="22"/>
          <w:lang w:val="lt-LT" w:eastAsia="lt-LT"/>
        </w:rPr>
        <w:t xml:space="preserve">REGISTRUOTOJO  </w:t>
      </w:r>
      <w:r w:rsidRPr="00186A98">
        <w:rPr>
          <w:rFonts w:ascii="Times New Roman" w:eastAsia="Calibri" w:hAnsi="Times New Roman"/>
          <w:b/>
          <w:bCs/>
          <w:sz w:val="22"/>
          <w:szCs w:val="22"/>
          <w:lang w:val="lt-LT" w:eastAsia="lt-LT"/>
        </w:rPr>
        <w:t>PAVADINIMAS IR ADRESAS</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Gedeon Richter Plc.</w:t>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Gyömrői út 19 – 21,</w:t>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1103 Budapest, Vengrija</w:t>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(RG Logo)</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84176F">
      <w:pPr>
        <w:keepNext/>
        <w:pBdr>
          <w:top w:val="single" w:sz="4" w:space="1" w:color="auto"/>
          <w:left w:val="single" w:sz="4" w:space="4" w:color="auto"/>
          <w:bottom w:val="single" w:sz="4" w:space="1" w:color="auto"/>
          <w:right w:val="single" w:sz="4" w:space="4" w:color="auto"/>
        </w:pBdr>
        <w:ind w:left="567" w:hanging="567"/>
        <w:outlineLvl w:val="2"/>
        <w:rPr>
          <w:rFonts w:ascii="Times New Roman" w:eastAsia="Calibri" w:hAnsi="Times New Roman"/>
          <w:b/>
          <w:bCs/>
          <w:sz w:val="22"/>
          <w:szCs w:val="22"/>
          <w:lang w:val="lt-LT" w:eastAsia="lt-LT"/>
        </w:rPr>
      </w:pPr>
      <w:r w:rsidRPr="00186A98">
        <w:rPr>
          <w:rFonts w:ascii="Times New Roman" w:eastAsia="Calibri" w:hAnsi="Times New Roman"/>
          <w:b/>
          <w:bCs/>
          <w:sz w:val="22"/>
          <w:szCs w:val="22"/>
          <w:lang w:val="lt-LT" w:eastAsia="lt-LT"/>
        </w:rPr>
        <w:t>12.</w:t>
      </w:r>
      <w:r w:rsidRPr="00186A98">
        <w:rPr>
          <w:rFonts w:ascii="Times New Roman" w:eastAsia="Calibri" w:hAnsi="Times New Roman"/>
          <w:b/>
          <w:bCs/>
          <w:sz w:val="22"/>
          <w:szCs w:val="22"/>
          <w:lang w:val="lt-LT" w:eastAsia="lt-LT"/>
        </w:rPr>
        <w:tab/>
      </w:r>
      <w:r w:rsidR="00284F64" w:rsidRPr="00186A98">
        <w:rPr>
          <w:rFonts w:ascii="Times New Roman" w:eastAsia="Calibri" w:hAnsi="Times New Roman"/>
          <w:b/>
          <w:bCs/>
          <w:sz w:val="22"/>
          <w:szCs w:val="22"/>
          <w:lang w:val="lt-LT" w:eastAsia="lt-LT"/>
        </w:rPr>
        <w:t>REGISTRACIJ</w:t>
      </w:r>
      <w:r w:rsidRPr="00186A98">
        <w:rPr>
          <w:rFonts w:ascii="Times New Roman" w:eastAsia="Calibri" w:hAnsi="Times New Roman"/>
          <w:b/>
          <w:bCs/>
          <w:sz w:val="22"/>
          <w:szCs w:val="22"/>
          <w:lang w:val="lt-LT" w:eastAsia="lt-LT"/>
        </w:rPr>
        <w:t>OS PAŽYMĖJIMO NUMERIS</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bCs/>
          <w:sz w:val="22"/>
          <w:szCs w:val="22"/>
          <w:lang w:val="lt-LT" w:eastAsia="lt-LT"/>
        </w:rPr>
      </w:pPr>
      <w:r w:rsidRPr="00186A98">
        <w:rPr>
          <w:rFonts w:ascii="Times New Roman" w:hAnsi="Times New Roman"/>
          <w:bCs/>
          <w:sz w:val="22"/>
          <w:szCs w:val="22"/>
          <w:lang w:val="lt-LT" w:eastAsia="lt-LT"/>
        </w:rPr>
        <w:t>LT/1/08/1202/002</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84176F">
      <w:pPr>
        <w:keepNext/>
        <w:pBdr>
          <w:top w:val="single" w:sz="4" w:space="1" w:color="auto"/>
          <w:left w:val="single" w:sz="4" w:space="4" w:color="auto"/>
          <w:bottom w:val="single" w:sz="4" w:space="1" w:color="auto"/>
          <w:right w:val="single" w:sz="4" w:space="4" w:color="auto"/>
        </w:pBdr>
        <w:ind w:left="567" w:hanging="567"/>
        <w:outlineLvl w:val="2"/>
        <w:rPr>
          <w:rFonts w:ascii="Times New Roman" w:eastAsia="Calibri" w:hAnsi="Times New Roman"/>
          <w:b/>
          <w:bCs/>
          <w:sz w:val="22"/>
          <w:szCs w:val="22"/>
          <w:lang w:val="lt-LT" w:eastAsia="lt-LT"/>
        </w:rPr>
      </w:pPr>
      <w:r w:rsidRPr="00186A98">
        <w:rPr>
          <w:rFonts w:ascii="Times New Roman" w:eastAsia="Calibri" w:hAnsi="Times New Roman"/>
          <w:b/>
          <w:bCs/>
          <w:sz w:val="22"/>
          <w:szCs w:val="22"/>
          <w:lang w:val="lt-LT" w:eastAsia="lt-LT"/>
        </w:rPr>
        <w:t>13.</w:t>
      </w:r>
      <w:r w:rsidRPr="00186A98">
        <w:rPr>
          <w:rFonts w:ascii="Times New Roman" w:eastAsia="Calibri" w:hAnsi="Times New Roman"/>
          <w:b/>
          <w:bCs/>
          <w:sz w:val="22"/>
          <w:szCs w:val="22"/>
          <w:lang w:val="lt-LT" w:eastAsia="lt-LT"/>
        </w:rPr>
        <w:tab/>
        <w:t>SERIJOS NUMERIS</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Serija</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84176F">
      <w:pPr>
        <w:keepNext/>
        <w:pBdr>
          <w:top w:val="single" w:sz="4" w:space="1" w:color="auto"/>
          <w:left w:val="single" w:sz="4" w:space="4" w:color="auto"/>
          <w:bottom w:val="single" w:sz="4" w:space="1" w:color="auto"/>
          <w:right w:val="single" w:sz="4" w:space="4" w:color="auto"/>
        </w:pBdr>
        <w:ind w:left="567" w:hanging="567"/>
        <w:outlineLvl w:val="2"/>
        <w:rPr>
          <w:rFonts w:ascii="Times New Roman" w:eastAsia="Calibri" w:hAnsi="Times New Roman"/>
          <w:b/>
          <w:bCs/>
          <w:sz w:val="22"/>
          <w:szCs w:val="22"/>
          <w:lang w:val="lt-LT" w:eastAsia="lt-LT"/>
        </w:rPr>
      </w:pPr>
      <w:r w:rsidRPr="00186A98">
        <w:rPr>
          <w:rFonts w:ascii="Times New Roman" w:eastAsia="Calibri" w:hAnsi="Times New Roman"/>
          <w:b/>
          <w:bCs/>
          <w:sz w:val="22"/>
          <w:szCs w:val="22"/>
          <w:lang w:val="lt-LT" w:eastAsia="lt-LT"/>
        </w:rPr>
        <w:t>14.</w:t>
      </w:r>
      <w:r w:rsidRPr="00186A98">
        <w:rPr>
          <w:rFonts w:ascii="Times New Roman" w:eastAsia="Calibri" w:hAnsi="Times New Roman"/>
          <w:b/>
          <w:bCs/>
          <w:sz w:val="22"/>
          <w:szCs w:val="22"/>
          <w:lang w:val="lt-LT" w:eastAsia="lt-LT"/>
        </w:rPr>
        <w:tab/>
        <w:t>PARDAVIMO (IŠDAVIMO) TVARKA</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Receptinis vaistinis preparatas.</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84176F">
      <w:pPr>
        <w:keepNext/>
        <w:pBdr>
          <w:top w:val="single" w:sz="4" w:space="1" w:color="auto"/>
          <w:left w:val="single" w:sz="4" w:space="4" w:color="auto"/>
          <w:bottom w:val="single" w:sz="4" w:space="1" w:color="auto"/>
          <w:right w:val="single" w:sz="4" w:space="4" w:color="auto"/>
        </w:pBdr>
        <w:ind w:left="567" w:hanging="567"/>
        <w:outlineLvl w:val="2"/>
        <w:rPr>
          <w:rFonts w:ascii="Times New Roman" w:eastAsia="Calibri" w:hAnsi="Times New Roman"/>
          <w:b/>
          <w:bCs/>
          <w:sz w:val="22"/>
          <w:szCs w:val="22"/>
          <w:lang w:val="lt-LT" w:eastAsia="lt-LT"/>
        </w:rPr>
      </w:pPr>
      <w:r w:rsidRPr="00186A98">
        <w:rPr>
          <w:rFonts w:ascii="Times New Roman" w:eastAsia="Calibri" w:hAnsi="Times New Roman"/>
          <w:b/>
          <w:bCs/>
          <w:sz w:val="22"/>
          <w:szCs w:val="22"/>
          <w:lang w:val="lt-LT" w:eastAsia="lt-LT"/>
        </w:rPr>
        <w:t>15.</w:t>
      </w:r>
      <w:r w:rsidRPr="00186A98">
        <w:rPr>
          <w:rFonts w:ascii="Times New Roman" w:eastAsia="Calibri" w:hAnsi="Times New Roman"/>
          <w:b/>
          <w:bCs/>
          <w:sz w:val="22"/>
          <w:szCs w:val="22"/>
          <w:lang w:val="lt-LT" w:eastAsia="lt-LT"/>
        </w:rPr>
        <w:tab/>
        <w:t>VARTOJIMO INSTRUKCIJA</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84176F">
      <w:pPr>
        <w:keepNext/>
        <w:pBdr>
          <w:top w:val="single" w:sz="4" w:space="1" w:color="auto"/>
          <w:left w:val="single" w:sz="4" w:space="4" w:color="auto"/>
          <w:bottom w:val="single" w:sz="4" w:space="1" w:color="auto"/>
          <w:right w:val="single" w:sz="4" w:space="4" w:color="auto"/>
        </w:pBdr>
        <w:ind w:left="567" w:hanging="567"/>
        <w:outlineLvl w:val="1"/>
        <w:rPr>
          <w:rFonts w:ascii="Times New Roman" w:eastAsia="Calibri" w:hAnsi="Times New Roman"/>
          <w:b/>
          <w:bCs/>
          <w:iCs/>
          <w:sz w:val="22"/>
          <w:szCs w:val="22"/>
          <w:lang w:val="lt-LT" w:eastAsia="lt-LT"/>
        </w:rPr>
      </w:pPr>
      <w:r w:rsidRPr="00186A98">
        <w:rPr>
          <w:rFonts w:ascii="Times New Roman" w:eastAsia="Calibri" w:hAnsi="Times New Roman"/>
          <w:b/>
          <w:bCs/>
          <w:iCs/>
          <w:sz w:val="22"/>
          <w:szCs w:val="22"/>
          <w:lang w:val="lt-LT" w:eastAsia="lt-LT"/>
        </w:rPr>
        <w:t>16.</w:t>
      </w:r>
      <w:r w:rsidRPr="00186A98">
        <w:rPr>
          <w:rFonts w:ascii="Times New Roman" w:eastAsia="Calibri" w:hAnsi="Times New Roman"/>
          <w:b/>
          <w:bCs/>
          <w:iCs/>
          <w:sz w:val="22"/>
          <w:szCs w:val="22"/>
          <w:lang w:val="lt-LT" w:eastAsia="lt-LT"/>
        </w:rPr>
        <w:tab/>
        <w:t>INFORMACIJA BRAILIO RAŠTU</w:t>
      </w:r>
    </w:p>
    <w:p w:rsidR="00E74DEC" w:rsidRPr="00186A98" w:rsidRDefault="00E74DEC" w:rsidP="00E74DEC">
      <w:pPr>
        <w:keepNext/>
        <w:outlineLvl w:val="1"/>
        <w:rPr>
          <w:rFonts w:ascii="Times New Roman" w:eastAsia="Calibri" w:hAnsi="Times New Roman"/>
          <w:b/>
          <w:bCs/>
          <w:i/>
          <w:iCs/>
          <w:sz w:val="22"/>
          <w:szCs w:val="22"/>
          <w:lang w:val="lt-LT" w:eastAsia="lt-LT"/>
        </w:rPr>
      </w:pPr>
    </w:p>
    <w:p w:rsidR="00E74DEC" w:rsidRPr="00186A98" w:rsidRDefault="00E74DEC" w:rsidP="00E74DEC">
      <w:pPr>
        <w:keepNext/>
        <w:outlineLvl w:val="1"/>
        <w:rPr>
          <w:rFonts w:ascii="Times New Roman" w:eastAsia="Calibri" w:hAnsi="Times New Roman"/>
          <w:b/>
          <w:bCs/>
          <w:iCs/>
          <w:sz w:val="22"/>
          <w:szCs w:val="22"/>
          <w:bdr w:val="single" w:sz="4" w:space="0" w:color="auto" w:frame="1"/>
          <w:lang w:val="lt-LT" w:eastAsia="lt-LT"/>
        </w:rPr>
      </w:pPr>
      <w:r w:rsidRPr="00186A98">
        <w:rPr>
          <w:rFonts w:ascii="Times New Roman" w:eastAsia="Calibri" w:hAnsi="Times New Roman"/>
          <w:bCs/>
          <w:iCs/>
          <w:sz w:val="22"/>
          <w:szCs w:val="22"/>
          <w:lang w:val="lt-LT" w:eastAsia="lt-LT"/>
        </w:rPr>
        <w:t>CALUMID 150 mg</w:t>
      </w:r>
      <w:r w:rsidRPr="00186A98">
        <w:rPr>
          <w:rFonts w:ascii="Times New Roman" w:eastAsia="Calibri" w:hAnsi="Times New Roman"/>
          <w:b/>
          <w:bCs/>
          <w:i/>
          <w:iCs/>
          <w:sz w:val="22"/>
          <w:szCs w:val="22"/>
          <w:lang w:val="lt-LT" w:eastAsia="lt-LT"/>
        </w:rPr>
        <w:br w:type="page"/>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pBdr>
          <w:top w:val="single" w:sz="4" w:space="1" w:color="auto"/>
          <w:left w:val="single" w:sz="4" w:space="4" w:color="auto"/>
          <w:bottom w:val="single" w:sz="4" w:space="1" w:color="auto"/>
          <w:right w:val="single" w:sz="4" w:space="4" w:color="auto"/>
        </w:pBdr>
        <w:rPr>
          <w:rFonts w:ascii="Times New Roman" w:hAnsi="Times New Roman"/>
          <w:sz w:val="22"/>
          <w:szCs w:val="22"/>
          <w:lang w:val="lt-LT" w:eastAsia="lt-LT"/>
        </w:rPr>
      </w:pPr>
      <w:r w:rsidRPr="00186A98">
        <w:rPr>
          <w:rFonts w:ascii="Times New Roman" w:hAnsi="Times New Roman"/>
          <w:b/>
          <w:sz w:val="22"/>
          <w:szCs w:val="22"/>
          <w:lang w:val="lt-LT" w:eastAsia="lt-LT"/>
        </w:rPr>
        <w:t>MINIMALI INFORMACIJA ANT LIZDINIŲ PLOKŠTELIŲ ARBA DVISLUOKSNIŲ JUOSTELIŲ</w:t>
      </w:r>
      <w:r w:rsidRPr="00186A98">
        <w:rPr>
          <w:rFonts w:ascii="Times New Roman" w:hAnsi="Times New Roman"/>
          <w:b/>
          <w:sz w:val="22"/>
          <w:szCs w:val="22"/>
          <w:lang w:val="lt-LT" w:eastAsia="lt-LT"/>
        </w:rPr>
        <w:br/>
      </w:r>
      <w:r w:rsidRPr="00186A98">
        <w:rPr>
          <w:rFonts w:ascii="Times New Roman" w:hAnsi="Times New Roman"/>
          <w:b/>
          <w:sz w:val="22"/>
          <w:szCs w:val="22"/>
          <w:lang w:val="lt-LT" w:eastAsia="lt-LT"/>
        </w:rPr>
        <w:br/>
        <w:t>LIZDINĖ PLOKŠTELĖ</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84176F">
      <w:pPr>
        <w:keepNext/>
        <w:pBdr>
          <w:top w:val="single" w:sz="4" w:space="1" w:color="auto"/>
          <w:left w:val="single" w:sz="4" w:space="4" w:color="auto"/>
          <w:bottom w:val="single" w:sz="4" w:space="1" w:color="auto"/>
          <w:right w:val="single" w:sz="4" w:space="4" w:color="auto"/>
        </w:pBdr>
        <w:ind w:left="567" w:hanging="567"/>
        <w:outlineLvl w:val="2"/>
        <w:rPr>
          <w:rFonts w:ascii="Times New Roman" w:eastAsia="Calibri" w:hAnsi="Times New Roman"/>
          <w:b/>
          <w:bCs/>
          <w:sz w:val="22"/>
          <w:szCs w:val="22"/>
          <w:lang w:val="lt-LT" w:eastAsia="lt-LT"/>
        </w:rPr>
      </w:pPr>
      <w:r w:rsidRPr="00186A98">
        <w:rPr>
          <w:rFonts w:ascii="Times New Roman" w:eastAsia="Calibri" w:hAnsi="Times New Roman"/>
          <w:b/>
          <w:bCs/>
          <w:sz w:val="22"/>
          <w:szCs w:val="22"/>
          <w:lang w:val="lt-LT" w:eastAsia="lt-LT"/>
        </w:rPr>
        <w:t>1.</w:t>
      </w:r>
      <w:r w:rsidRPr="00186A98">
        <w:rPr>
          <w:rFonts w:ascii="Times New Roman" w:eastAsia="Calibri" w:hAnsi="Times New Roman"/>
          <w:b/>
          <w:bCs/>
          <w:sz w:val="22"/>
          <w:szCs w:val="22"/>
          <w:lang w:val="lt-LT" w:eastAsia="lt-LT"/>
        </w:rPr>
        <w:tab/>
        <w:t>VAISTINIO PREPARATO PAVADINIMAS</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CALUMID  150 mg plėvele dengtos tabletės</w:t>
      </w:r>
      <w:r w:rsidRPr="00186A98">
        <w:rPr>
          <w:rFonts w:ascii="Times New Roman" w:hAnsi="Times New Roman"/>
          <w:sz w:val="22"/>
          <w:szCs w:val="22"/>
          <w:lang w:val="lt-LT" w:eastAsia="lt-LT"/>
        </w:rPr>
        <w:tab/>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Bicalutamidum</w:t>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 xml:space="preserve"> </w:t>
      </w:r>
    </w:p>
    <w:p w:rsidR="00E74DEC" w:rsidRPr="00186A98" w:rsidRDefault="00E74DEC" w:rsidP="00E74DEC">
      <w:pPr>
        <w:rPr>
          <w:rFonts w:ascii="Times New Roman" w:hAnsi="Times New Roman"/>
          <w:sz w:val="22"/>
          <w:szCs w:val="22"/>
          <w:lang w:val="lt-LT" w:eastAsia="lt-LT"/>
        </w:rPr>
      </w:pPr>
    </w:p>
    <w:p w:rsidR="00E74DEC" w:rsidRPr="00186A98" w:rsidRDefault="00E74DEC" w:rsidP="0084176F">
      <w:pPr>
        <w:keepNext/>
        <w:pBdr>
          <w:top w:val="single" w:sz="4" w:space="1" w:color="auto"/>
          <w:left w:val="single" w:sz="4" w:space="4" w:color="auto"/>
          <w:bottom w:val="single" w:sz="4" w:space="1" w:color="auto"/>
          <w:right w:val="single" w:sz="4" w:space="4" w:color="auto"/>
        </w:pBdr>
        <w:ind w:left="567" w:hanging="567"/>
        <w:outlineLvl w:val="2"/>
        <w:rPr>
          <w:rFonts w:ascii="Times New Roman" w:eastAsia="Calibri" w:hAnsi="Times New Roman"/>
          <w:b/>
          <w:bCs/>
          <w:sz w:val="22"/>
          <w:szCs w:val="22"/>
          <w:lang w:val="lt-LT" w:eastAsia="lt-LT"/>
        </w:rPr>
      </w:pPr>
      <w:r w:rsidRPr="00186A98">
        <w:rPr>
          <w:rFonts w:ascii="Times New Roman" w:eastAsia="Calibri" w:hAnsi="Times New Roman"/>
          <w:b/>
          <w:bCs/>
          <w:sz w:val="22"/>
          <w:szCs w:val="22"/>
          <w:lang w:val="lt-LT" w:eastAsia="lt-LT"/>
        </w:rPr>
        <w:t>2.</w:t>
      </w:r>
      <w:r w:rsidRPr="00186A98">
        <w:rPr>
          <w:rFonts w:ascii="Times New Roman" w:eastAsia="Calibri" w:hAnsi="Times New Roman"/>
          <w:b/>
          <w:bCs/>
          <w:sz w:val="22"/>
          <w:szCs w:val="22"/>
          <w:lang w:val="lt-LT" w:eastAsia="lt-LT"/>
        </w:rPr>
        <w:tab/>
      </w:r>
      <w:r w:rsidR="00284F64" w:rsidRPr="00186A98">
        <w:rPr>
          <w:rFonts w:ascii="Times New Roman" w:eastAsia="Calibri" w:hAnsi="Times New Roman"/>
          <w:b/>
          <w:bCs/>
          <w:sz w:val="22"/>
          <w:szCs w:val="22"/>
          <w:lang w:val="lt-LT" w:eastAsia="lt-LT"/>
        </w:rPr>
        <w:t xml:space="preserve">REGISTRUOTOJO </w:t>
      </w:r>
      <w:r w:rsidRPr="00186A98">
        <w:rPr>
          <w:rFonts w:ascii="Times New Roman" w:eastAsia="Calibri" w:hAnsi="Times New Roman"/>
          <w:b/>
          <w:bCs/>
          <w:sz w:val="22"/>
          <w:szCs w:val="22"/>
          <w:lang w:val="lt-LT" w:eastAsia="lt-LT"/>
        </w:rPr>
        <w:t xml:space="preserve">PAVADINIMAS </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 xml:space="preserve">Gedeon Richter Plc. </w:t>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(GR emblema)</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84176F">
      <w:pPr>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lt-LT" w:eastAsia="lt-LT"/>
        </w:rPr>
      </w:pPr>
      <w:r w:rsidRPr="00186A98">
        <w:rPr>
          <w:rFonts w:ascii="Times New Roman" w:hAnsi="Times New Roman"/>
          <w:b/>
          <w:sz w:val="22"/>
          <w:szCs w:val="22"/>
          <w:lang w:val="lt-LT" w:eastAsia="lt-LT"/>
        </w:rPr>
        <w:t>3.</w:t>
      </w:r>
      <w:r w:rsidRPr="00186A98">
        <w:rPr>
          <w:rFonts w:ascii="Times New Roman" w:hAnsi="Times New Roman"/>
          <w:b/>
          <w:sz w:val="22"/>
          <w:szCs w:val="22"/>
          <w:lang w:val="lt-LT" w:eastAsia="lt-LT"/>
        </w:rPr>
        <w:tab/>
        <w:t>TINKAMUMO LAIKAS</w:t>
      </w:r>
    </w:p>
    <w:p w:rsidR="00E74DEC" w:rsidRPr="00186A98" w:rsidRDefault="00E74DEC" w:rsidP="00E74DEC">
      <w:pPr>
        <w:rPr>
          <w:rFonts w:ascii="Times New Roman" w:hAnsi="Times New Roman"/>
          <w:sz w:val="22"/>
          <w:szCs w:val="22"/>
          <w:highlight w:val="lightGray"/>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{mm/MMMM}</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84176F">
      <w:pPr>
        <w:keepNext/>
        <w:pBdr>
          <w:top w:val="single" w:sz="4" w:space="1" w:color="auto"/>
          <w:left w:val="single" w:sz="4" w:space="4" w:color="auto"/>
          <w:bottom w:val="single" w:sz="4" w:space="1" w:color="auto"/>
          <w:right w:val="single" w:sz="4" w:space="4" w:color="auto"/>
        </w:pBdr>
        <w:ind w:left="567" w:hanging="567"/>
        <w:outlineLvl w:val="2"/>
        <w:rPr>
          <w:rFonts w:ascii="Times New Roman" w:eastAsia="Calibri" w:hAnsi="Times New Roman"/>
          <w:b/>
          <w:bCs/>
          <w:sz w:val="22"/>
          <w:szCs w:val="22"/>
          <w:lang w:val="lt-LT" w:eastAsia="lt-LT"/>
        </w:rPr>
      </w:pPr>
      <w:r w:rsidRPr="00186A98">
        <w:rPr>
          <w:rFonts w:ascii="Times New Roman" w:eastAsia="Calibri" w:hAnsi="Times New Roman"/>
          <w:b/>
          <w:bCs/>
          <w:sz w:val="22"/>
          <w:szCs w:val="22"/>
          <w:lang w:val="lt-LT" w:eastAsia="lt-LT"/>
        </w:rPr>
        <w:t>4.</w:t>
      </w:r>
      <w:r w:rsidRPr="00186A98">
        <w:rPr>
          <w:rFonts w:ascii="Times New Roman" w:eastAsia="Calibri" w:hAnsi="Times New Roman"/>
          <w:b/>
          <w:bCs/>
          <w:sz w:val="22"/>
          <w:szCs w:val="22"/>
          <w:lang w:val="lt-LT" w:eastAsia="lt-LT"/>
        </w:rPr>
        <w:tab/>
        <w:t xml:space="preserve">SERIJOS NUMERIS </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84176F">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sz w:val="22"/>
          <w:szCs w:val="22"/>
          <w:lang w:val="lt-LT" w:eastAsia="lt-LT"/>
        </w:rPr>
      </w:pPr>
      <w:r w:rsidRPr="00186A98">
        <w:rPr>
          <w:rFonts w:ascii="Times New Roman" w:hAnsi="Times New Roman"/>
          <w:b/>
          <w:sz w:val="22"/>
          <w:szCs w:val="22"/>
          <w:lang w:val="lt-LT" w:eastAsia="lt-LT"/>
        </w:rPr>
        <w:t>5.</w:t>
      </w:r>
      <w:r w:rsidRPr="00186A98">
        <w:rPr>
          <w:rFonts w:ascii="Times New Roman" w:hAnsi="Times New Roman"/>
          <w:b/>
          <w:sz w:val="22"/>
          <w:szCs w:val="22"/>
          <w:lang w:val="lt-LT" w:eastAsia="lt-LT"/>
        </w:rPr>
        <w:tab/>
      </w:r>
      <w:r w:rsidRPr="00186A98">
        <w:rPr>
          <w:rFonts w:ascii="Times New Roman" w:hAnsi="Times New Roman"/>
          <w:b/>
          <w:noProof/>
          <w:sz w:val="22"/>
          <w:szCs w:val="22"/>
          <w:lang w:val="lt-LT" w:eastAsia="lt-LT"/>
        </w:rPr>
        <w:t>KITA</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br w:type="page"/>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tabs>
          <w:tab w:val="left" w:pos="567"/>
        </w:tabs>
        <w:rPr>
          <w:rFonts w:ascii="Times New Roman" w:hAnsi="Times New Roman"/>
          <w:sz w:val="22"/>
          <w:szCs w:val="22"/>
          <w:lang w:val="lt-LT" w:eastAsia="lt-LT"/>
        </w:rPr>
      </w:pPr>
    </w:p>
    <w:p w:rsidR="00E74DEC" w:rsidRPr="00186A98" w:rsidRDefault="00E74DEC" w:rsidP="00E74DEC">
      <w:pPr>
        <w:tabs>
          <w:tab w:val="left" w:pos="567"/>
        </w:tabs>
        <w:rPr>
          <w:rFonts w:ascii="Times New Roman" w:hAnsi="Times New Roman"/>
          <w:sz w:val="22"/>
          <w:szCs w:val="22"/>
          <w:lang w:val="lt-LT" w:eastAsia="lt-LT"/>
        </w:rPr>
      </w:pPr>
    </w:p>
    <w:p w:rsidR="00E74DEC" w:rsidRPr="00186A98" w:rsidRDefault="00E74DEC" w:rsidP="00E74DEC">
      <w:pPr>
        <w:tabs>
          <w:tab w:val="left" w:pos="567"/>
        </w:tabs>
        <w:rPr>
          <w:rFonts w:ascii="Times New Roman" w:hAnsi="Times New Roman"/>
          <w:sz w:val="22"/>
          <w:szCs w:val="22"/>
          <w:lang w:val="lt-LT" w:eastAsia="lt-LT"/>
        </w:rPr>
      </w:pPr>
    </w:p>
    <w:p w:rsidR="00E74DEC" w:rsidRPr="00186A98" w:rsidRDefault="00E74DEC" w:rsidP="00E74DEC">
      <w:pPr>
        <w:tabs>
          <w:tab w:val="left" w:pos="567"/>
        </w:tabs>
        <w:rPr>
          <w:rFonts w:ascii="Times New Roman" w:hAnsi="Times New Roman"/>
          <w:sz w:val="22"/>
          <w:szCs w:val="22"/>
          <w:lang w:val="lt-LT" w:eastAsia="lt-LT"/>
        </w:rPr>
      </w:pPr>
    </w:p>
    <w:p w:rsidR="00E74DEC" w:rsidRPr="00186A98" w:rsidRDefault="00E74DEC" w:rsidP="00E74DEC">
      <w:pPr>
        <w:tabs>
          <w:tab w:val="left" w:pos="567"/>
        </w:tabs>
        <w:rPr>
          <w:rFonts w:ascii="Times New Roman" w:hAnsi="Times New Roman"/>
          <w:sz w:val="22"/>
          <w:szCs w:val="22"/>
          <w:lang w:val="lt-LT" w:eastAsia="lt-LT"/>
        </w:rPr>
      </w:pPr>
    </w:p>
    <w:p w:rsidR="00E74DEC" w:rsidRPr="00186A98" w:rsidRDefault="00E74DEC" w:rsidP="00E74DEC">
      <w:pPr>
        <w:tabs>
          <w:tab w:val="left" w:pos="567"/>
        </w:tabs>
        <w:rPr>
          <w:rFonts w:ascii="Times New Roman" w:hAnsi="Times New Roman"/>
          <w:sz w:val="22"/>
          <w:szCs w:val="22"/>
          <w:lang w:val="lt-LT" w:eastAsia="lt-LT"/>
        </w:rPr>
      </w:pPr>
    </w:p>
    <w:p w:rsidR="00E74DEC" w:rsidRPr="00186A98" w:rsidRDefault="00E74DEC" w:rsidP="00E74DEC">
      <w:pPr>
        <w:tabs>
          <w:tab w:val="left" w:pos="567"/>
        </w:tabs>
        <w:rPr>
          <w:rFonts w:ascii="Times New Roman" w:hAnsi="Times New Roman"/>
          <w:sz w:val="22"/>
          <w:szCs w:val="22"/>
          <w:lang w:val="lt-LT" w:eastAsia="lt-LT"/>
        </w:rPr>
      </w:pPr>
    </w:p>
    <w:p w:rsidR="00E74DEC" w:rsidRPr="00186A98" w:rsidRDefault="00E74DEC" w:rsidP="00E74DEC">
      <w:pPr>
        <w:tabs>
          <w:tab w:val="left" w:pos="567"/>
        </w:tabs>
        <w:rPr>
          <w:rFonts w:ascii="Times New Roman" w:hAnsi="Times New Roman"/>
          <w:sz w:val="22"/>
          <w:szCs w:val="22"/>
          <w:lang w:val="lt-LT" w:eastAsia="lt-LT"/>
        </w:rPr>
      </w:pPr>
    </w:p>
    <w:p w:rsidR="00E74DEC" w:rsidRPr="00186A98" w:rsidRDefault="00E74DEC" w:rsidP="00E74DEC">
      <w:pPr>
        <w:tabs>
          <w:tab w:val="left" w:pos="567"/>
        </w:tabs>
        <w:rPr>
          <w:rFonts w:ascii="Times New Roman" w:hAnsi="Times New Roman"/>
          <w:sz w:val="22"/>
          <w:szCs w:val="22"/>
          <w:lang w:val="lt-LT" w:eastAsia="lt-LT"/>
        </w:rPr>
      </w:pPr>
    </w:p>
    <w:p w:rsidR="00E74DEC" w:rsidRPr="00186A98" w:rsidRDefault="00E74DEC" w:rsidP="00E74DEC">
      <w:pPr>
        <w:tabs>
          <w:tab w:val="left" w:pos="567"/>
        </w:tabs>
        <w:rPr>
          <w:rFonts w:ascii="Times New Roman" w:hAnsi="Times New Roman"/>
          <w:sz w:val="22"/>
          <w:szCs w:val="22"/>
          <w:lang w:val="lt-LT" w:eastAsia="lt-LT"/>
        </w:rPr>
      </w:pPr>
    </w:p>
    <w:p w:rsidR="00E74DEC" w:rsidRPr="00186A98" w:rsidRDefault="00E74DEC" w:rsidP="00E74DEC">
      <w:pPr>
        <w:tabs>
          <w:tab w:val="left" w:pos="567"/>
        </w:tabs>
        <w:rPr>
          <w:rFonts w:ascii="Times New Roman" w:hAnsi="Times New Roman"/>
          <w:sz w:val="22"/>
          <w:szCs w:val="22"/>
          <w:lang w:val="lt-LT" w:eastAsia="lt-LT"/>
        </w:rPr>
      </w:pPr>
    </w:p>
    <w:p w:rsidR="00E74DEC" w:rsidRPr="00186A98" w:rsidRDefault="00E74DEC" w:rsidP="00E74DEC">
      <w:pPr>
        <w:tabs>
          <w:tab w:val="left" w:pos="567"/>
        </w:tabs>
        <w:rPr>
          <w:rFonts w:ascii="Times New Roman" w:hAnsi="Times New Roman"/>
          <w:sz w:val="22"/>
          <w:szCs w:val="22"/>
          <w:lang w:val="lt-LT" w:eastAsia="lt-LT"/>
        </w:rPr>
      </w:pPr>
    </w:p>
    <w:p w:rsidR="00E74DEC" w:rsidRPr="00186A98" w:rsidRDefault="00E74DEC" w:rsidP="00E74DEC">
      <w:pPr>
        <w:tabs>
          <w:tab w:val="left" w:pos="567"/>
        </w:tabs>
        <w:rPr>
          <w:rFonts w:ascii="Times New Roman" w:hAnsi="Times New Roman"/>
          <w:sz w:val="22"/>
          <w:szCs w:val="22"/>
          <w:lang w:val="lt-LT" w:eastAsia="lt-LT"/>
        </w:rPr>
      </w:pPr>
    </w:p>
    <w:p w:rsidR="00E74DEC" w:rsidRPr="00186A98" w:rsidRDefault="00E74DEC" w:rsidP="00E74DEC">
      <w:pPr>
        <w:tabs>
          <w:tab w:val="left" w:pos="567"/>
        </w:tabs>
        <w:rPr>
          <w:rFonts w:ascii="Times New Roman" w:hAnsi="Times New Roman"/>
          <w:sz w:val="22"/>
          <w:szCs w:val="22"/>
          <w:lang w:val="lt-LT" w:eastAsia="lt-LT"/>
        </w:rPr>
      </w:pPr>
    </w:p>
    <w:p w:rsidR="00E74DEC" w:rsidRPr="00186A98" w:rsidRDefault="00E74DEC" w:rsidP="00E74DEC">
      <w:pPr>
        <w:tabs>
          <w:tab w:val="left" w:pos="567"/>
        </w:tabs>
        <w:rPr>
          <w:rFonts w:ascii="Times New Roman" w:hAnsi="Times New Roman"/>
          <w:sz w:val="22"/>
          <w:szCs w:val="22"/>
          <w:lang w:val="lt-LT" w:eastAsia="lt-LT"/>
        </w:rPr>
      </w:pPr>
    </w:p>
    <w:p w:rsidR="00E74DEC" w:rsidRPr="00186A98" w:rsidRDefault="00E74DEC" w:rsidP="00E74DEC">
      <w:pPr>
        <w:tabs>
          <w:tab w:val="left" w:pos="567"/>
        </w:tabs>
        <w:rPr>
          <w:rFonts w:ascii="Times New Roman" w:hAnsi="Times New Roman"/>
          <w:sz w:val="22"/>
          <w:szCs w:val="22"/>
          <w:lang w:val="lt-LT" w:eastAsia="lt-LT"/>
        </w:rPr>
      </w:pPr>
    </w:p>
    <w:p w:rsidR="00E74DEC" w:rsidRPr="00186A98" w:rsidRDefault="00E74DEC" w:rsidP="00E74DEC">
      <w:pPr>
        <w:tabs>
          <w:tab w:val="left" w:pos="567"/>
        </w:tabs>
        <w:rPr>
          <w:rFonts w:ascii="Times New Roman" w:hAnsi="Times New Roman"/>
          <w:sz w:val="22"/>
          <w:szCs w:val="22"/>
          <w:lang w:val="lt-LT" w:eastAsia="lt-LT"/>
        </w:rPr>
      </w:pPr>
    </w:p>
    <w:p w:rsidR="00E74DEC" w:rsidRPr="00186A98" w:rsidRDefault="00E74DEC" w:rsidP="00E74DEC">
      <w:pPr>
        <w:tabs>
          <w:tab w:val="left" w:pos="567"/>
        </w:tabs>
        <w:rPr>
          <w:rFonts w:ascii="Times New Roman" w:hAnsi="Times New Roman"/>
          <w:sz w:val="22"/>
          <w:szCs w:val="22"/>
          <w:lang w:val="lt-LT" w:eastAsia="lt-LT"/>
        </w:rPr>
      </w:pPr>
    </w:p>
    <w:p w:rsidR="00E74DEC" w:rsidRPr="00186A98" w:rsidRDefault="00E74DEC" w:rsidP="00E74DEC">
      <w:pPr>
        <w:tabs>
          <w:tab w:val="left" w:pos="567"/>
        </w:tabs>
        <w:rPr>
          <w:rFonts w:ascii="Times New Roman" w:hAnsi="Times New Roman"/>
          <w:sz w:val="22"/>
          <w:szCs w:val="22"/>
          <w:lang w:val="lt-LT" w:eastAsia="lt-LT"/>
        </w:rPr>
      </w:pPr>
    </w:p>
    <w:p w:rsidR="00E74DEC" w:rsidRPr="00186A98" w:rsidRDefault="00E74DEC" w:rsidP="00E74DEC">
      <w:pPr>
        <w:tabs>
          <w:tab w:val="left" w:pos="567"/>
        </w:tabs>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jc w:val="center"/>
        <w:outlineLvl w:val="0"/>
        <w:rPr>
          <w:rFonts w:ascii="Times New Roman" w:hAnsi="Times New Roman"/>
          <w:b/>
          <w:kern w:val="28"/>
          <w:sz w:val="22"/>
          <w:szCs w:val="22"/>
          <w:lang w:val="lt-LT" w:eastAsia="lt-LT"/>
        </w:rPr>
      </w:pPr>
      <w:r w:rsidRPr="00186A98">
        <w:rPr>
          <w:rFonts w:ascii="Times New Roman" w:hAnsi="Times New Roman"/>
          <w:b/>
          <w:kern w:val="28"/>
          <w:sz w:val="22"/>
          <w:szCs w:val="22"/>
          <w:lang w:val="lt-LT" w:eastAsia="lt-LT"/>
        </w:rPr>
        <w:t>B. PAKUOTĖS LAPELIS</w:t>
      </w:r>
    </w:p>
    <w:p w:rsidR="00E74DEC" w:rsidRPr="00186A98" w:rsidRDefault="00E74DEC" w:rsidP="00E74DEC">
      <w:pPr>
        <w:jc w:val="center"/>
        <w:rPr>
          <w:rFonts w:ascii="Times New Roman" w:hAnsi="Times New Roman"/>
          <w:b/>
          <w:sz w:val="22"/>
          <w:szCs w:val="22"/>
          <w:lang w:val="lt-LT" w:eastAsia="lt-LT"/>
        </w:rPr>
      </w:pPr>
      <w:bookmarkStart w:id="0" w:name="_Toc129243263"/>
      <w:bookmarkStart w:id="1" w:name="_Toc129243138"/>
    </w:p>
    <w:p w:rsidR="00E74DEC" w:rsidRPr="00186A98" w:rsidRDefault="00E74DEC" w:rsidP="00E74DEC">
      <w:pPr>
        <w:jc w:val="center"/>
        <w:rPr>
          <w:rFonts w:ascii="Times New Roman" w:hAnsi="Times New Roman"/>
          <w:b/>
          <w:sz w:val="22"/>
          <w:szCs w:val="22"/>
          <w:lang w:val="lt-LT" w:eastAsia="lt-LT"/>
        </w:rPr>
      </w:pPr>
    </w:p>
    <w:p w:rsidR="00E74DEC" w:rsidRPr="00186A98" w:rsidRDefault="00E74DEC" w:rsidP="00E74DEC">
      <w:pPr>
        <w:jc w:val="center"/>
        <w:rPr>
          <w:rFonts w:ascii="Times New Roman" w:hAnsi="Times New Roman"/>
          <w:b/>
          <w:sz w:val="22"/>
          <w:szCs w:val="22"/>
          <w:lang w:val="lt-LT" w:eastAsia="lt-LT"/>
        </w:rPr>
      </w:pPr>
    </w:p>
    <w:p w:rsidR="00E74DEC" w:rsidRPr="00186A98" w:rsidRDefault="00E74DEC" w:rsidP="00E74DEC">
      <w:pPr>
        <w:jc w:val="center"/>
        <w:rPr>
          <w:rFonts w:ascii="Times New Roman" w:hAnsi="Times New Roman"/>
          <w:b/>
          <w:sz w:val="22"/>
          <w:szCs w:val="22"/>
          <w:lang w:val="lt-LT" w:eastAsia="lt-LT"/>
        </w:rPr>
      </w:pPr>
    </w:p>
    <w:p w:rsidR="00E74DEC" w:rsidRPr="00186A98" w:rsidRDefault="00E74DEC" w:rsidP="00E74DEC">
      <w:pPr>
        <w:jc w:val="center"/>
        <w:rPr>
          <w:rFonts w:ascii="Times New Roman" w:hAnsi="Times New Roman"/>
          <w:b/>
          <w:sz w:val="22"/>
          <w:szCs w:val="22"/>
          <w:lang w:val="lt-LT" w:eastAsia="lt-LT"/>
        </w:rPr>
      </w:pPr>
    </w:p>
    <w:p w:rsidR="00E74DEC" w:rsidRPr="00186A98" w:rsidRDefault="00E74DEC" w:rsidP="00E74DEC">
      <w:pPr>
        <w:jc w:val="center"/>
        <w:rPr>
          <w:rFonts w:ascii="Times New Roman" w:hAnsi="Times New Roman"/>
          <w:b/>
          <w:sz w:val="22"/>
          <w:szCs w:val="22"/>
          <w:lang w:val="lt-LT" w:eastAsia="lt-LT"/>
        </w:rPr>
      </w:pPr>
    </w:p>
    <w:p w:rsidR="00E74DEC" w:rsidRPr="00186A98" w:rsidRDefault="00E74DEC" w:rsidP="00E74DEC">
      <w:pPr>
        <w:jc w:val="center"/>
        <w:rPr>
          <w:rFonts w:ascii="Times New Roman" w:hAnsi="Times New Roman"/>
          <w:b/>
          <w:sz w:val="22"/>
          <w:szCs w:val="22"/>
          <w:lang w:val="lt-LT" w:eastAsia="lt-LT"/>
        </w:rPr>
      </w:pPr>
    </w:p>
    <w:p w:rsidR="00E74DEC" w:rsidRPr="00186A98" w:rsidRDefault="00E74DEC" w:rsidP="00E74DEC">
      <w:pPr>
        <w:jc w:val="center"/>
        <w:rPr>
          <w:rFonts w:ascii="Times New Roman" w:hAnsi="Times New Roman"/>
          <w:b/>
          <w:sz w:val="22"/>
          <w:szCs w:val="22"/>
          <w:lang w:val="lt-LT" w:eastAsia="lt-LT"/>
        </w:rPr>
      </w:pPr>
    </w:p>
    <w:p w:rsidR="00E74DEC" w:rsidRPr="00186A98" w:rsidRDefault="00E74DEC" w:rsidP="00E74DEC">
      <w:pPr>
        <w:jc w:val="center"/>
        <w:rPr>
          <w:rFonts w:ascii="Times New Roman" w:hAnsi="Times New Roman"/>
          <w:b/>
          <w:sz w:val="22"/>
          <w:szCs w:val="22"/>
          <w:lang w:val="lt-LT" w:eastAsia="lt-LT"/>
        </w:rPr>
      </w:pPr>
    </w:p>
    <w:p w:rsidR="00E74DEC" w:rsidRPr="00186A98" w:rsidRDefault="00E74DEC" w:rsidP="00E74DEC">
      <w:pPr>
        <w:jc w:val="center"/>
        <w:rPr>
          <w:rFonts w:ascii="Times New Roman" w:hAnsi="Times New Roman"/>
          <w:b/>
          <w:sz w:val="22"/>
          <w:szCs w:val="22"/>
          <w:lang w:val="lt-LT" w:eastAsia="lt-LT"/>
        </w:rPr>
      </w:pPr>
    </w:p>
    <w:p w:rsidR="00E74DEC" w:rsidRPr="00186A98" w:rsidRDefault="00E74DEC" w:rsidP="00E74DEC">
      <w:pPr>
        <w:jc w:val="center"/>
        <w:rPr>
          <w:rFonts w:ascii="Times New Roman" w:hAnsi="Times New Roman"/>
          <w:b/>
          <w:sz w:val="22"/>
          <w:szCs w:val="22"/>
          <w:lang w:val="lt-LT" w:eastAsia="lt-LT"/>
        </w:rPr>
      </w:pPr>
    </w:p>
    <w:p w:rsidR="00E74DEC" w:rsidRPr="00186A98" w:rsidRDefault="00E74DEC" w:rsidP="00E74DEC">
      <w:pPr>
        <w:jc w:val="center"/>
        <w:rPr>
          <w:rFonts w:ascii="Times New Roman" w:hAnsi="Times New Roman"/>
          <w:b/>
          <w:sz w:val="22"/>
          <w:szCs w:val="22"/>
          <w:lang w:val="lt-LT" w:eastAsia="lt-LT"/>
        </w:rPr>
      </w:pPr>
    </w:p>
    <w:p w:rsidR="00E74DEC" w:rsidRPr="00186A98" w:rsidRDefault="00E74DEC" w:rsidP="00E74DEC">
      <w:pPr>
        <w:rPr>
          <w:rFonts w:ascii="Times New Roman" w:hAnsi="Times New Roman"/>
          <w:b/>
          <w:sz w:val="22"/>
          <w:szCs w:val="22"/>
          <w:lang w:val="lt-LT" w:eastAsia="lt-LT"/>
        </w:rPr>
      </w:pPr>
      <w:r w:rsidRPr="00186A98">
        <w:rPr>
          <w:rFonts w:ascii="Times New Roman" w:hAnsi="Times New Roman"/>
          <w:b/>
          <w:sz w:val="22"/>
          <w:szCs w:val="22"/>
          <w:lang w:val="lt-LT" w:eastAsia="lt-LT"/>
        </w:rPr>
        <w:br w:type="page"/>
      </w:r>
    </w:p>
    <w:p w:rsidR="00E74DEC" w:rsidRPr="00186A98" w:rsidRDefault="00E74DEC" w:rsidP="00E74DEC">
      <w:pPr>
        <w:jc w:val="center"/>
        <w:rPr>
          <w:rFonts w:ascii="Times New Roman" w:hAnsi="Times New Roman"/>
          <w:b/>
          <w:sz w:val="22"/>
          <w:szCs w:val="22"/>
          <w:lang w:val="lt-LT" w:eastAsia="lt-LT"/>
        </w:rPr>
      </w:pPr>
    </w:p>
    <w:p w:rsidR="00E74DEC" w:rsidRPr="00186A98" w:rsidRDefault="00E74DEC" w:rsidP="00E74DEC">
      <w:pPr>
        <w:jc w:val="center"/>
        <w:rPr>
          <w:rFonts w:ascii="Times New Roman" w:hAnsi="Times New Roman"/>
          <w:b/>
          <w:bCs/>
          <w:sz w:val="22"/>
          <w:szCs w:val="22"/>
          <w:lang w:val="lt-LT" w:eastAsia="lt-LT"/>
        </w:rPr>
      </w:pPr>
      <w:r w:rsidRPr="00186A98">
        <w:rPr>
          <w:rFonts w:ascii="Times New Roman" w:hAnsi="Times New Roman"/>
          <w:b/>
          <w:sz w:val="22"/>
          <w:szCs w:val="22"/>
          <w:lang w:val="lt-LT" w:eastAsia="lt-LT"/>
        </w:rPr>
        <w:t xml:space="preserve">Pakuotės lapelis: informacija vartotojui </w:t>
      </w:r>
      <w:bookmarkEnd w:id="0"/>
      <w:bookmarkEnd w:id="1"/>
    </w:p>
    <w:p w:rsidR="00E74DEC" w:rsidRPr="00186A98" w:rsidRDefault="00E74DEC" w:rsidP="00E74DEC">
      <w:pPr>
        <w:jc w:val="center"/>
        <w:rPr>
          <w:rFonts w:ascii="Times New Roman" w:hAnsi="Times New Roman"/>
          <w:b/>
          <w:bCs/>
          <w:sz w:val="22"/>
          <w:szCs w:val="22"/>
          <w:lang w:val="lt-LT" w:eastAsia="lt-LT"/>
        </w:rPr>
      </w:pPr>
    </w:p>
    <w:p w:rsidR="00E74DEC" w:rsidRPr="00186A98" w:rsidRDefault="00E74DEC" w:rsidP="00E74DEC">
      <w:pPr>
        <w:keepNext/>
        <w:jc w:val="center"/>
        <w:outlineLvl w:val="0"/>
        <w:rPr>
          <w:rFonts w:ascii="Times New Roman" w:eastAsia="Calibri" w:hAnsi="Times New Roman"/>
          <w:b/>
          <w:bCs/>
          <w:kern w:val="32"/>
          <w:sz w:val="22"/>
          <w:szCs w:val="22"/>
          <w:lang w:val="lt-LT" w:eastAsia="lt-LT"/>
        </w:rPr>
      </w:pPr>
      <w:r w:rsidRPr="00186A98">
        <w:rPr>
          <w:rFonts w:ascii="Times New Roman" w:eastAsia="Calibri" w:hAnsi="Times New Roman"/>
          <w:b/>
          <w:bCs/>
          <w:kern w:val="32"/>
          <w:sz w:val="22"/>
          <w:szCs w:val="22"/>
          <w:lang w:val="lt-LT" w:eastAsia="lt-LT"/>
        </w:rPr>
        <w:t>CALUMID 150 mg plėvele dengtos tabletės</w:t>
      </w:r>
    </w:p>
    <w:p w:rsidR="00E74DEC" w:rsidRPr="00186A98" w:rsidRDefault="00E74DEC" w:rsidP="00E74DEC">
      <w:pPr>
        <w:jc w:val="center"/>
        <w:rPr>
          <w:rFonts w:ascii="Times New Roman" w:hAnsi="Times New Roman"/>
          <w:sz w:val="22"/>
          <w:szCs w:val="22"/>
          <w:lang w:val="lt-LT" w:eastAsia="lt-LT"/>
        </w:rPr>
      </w:pPr>
      <w:r w:rsidRPr="00186A98">
        <w:rPr>
          <w:rFonts w:ascii="Times New Roman" w:hAnsi="Times New Roman"/>
          <w:sz w:val="22"/>
          <w:szCs w:val="22"/>
          <w:lang w:val="lt-LT" w:eastAsia="lt-LT"/>
        </w:rPr>
        <w:t>Bikalutamidas</w:t>
      </w:r>
    </w:p>
    <w:p w:rsidR="00E74DEC" w:rsidRPr="00186A98" w:rsidRDefault="00E74DEC" w:rsidP="00E74DEC">
      <w:pPr>
        <w:jc w:val="center"/>
        <w:rPr>
          <w:rFonts w:ascii="Times New Roman" w:hAnsi="Times New Roman"/>
          <w:b/>
          <w:bCs/>
          <w:sz w:val="22"/>
          <w:szCs w:val="22"/>
          <w:lang w:val="lt-LT" w:eastAsia="lt-LT"/>
        </w:rPr>
      </w:pPr>
    </w:p>
    <w:p w:rsidR="00E74DEC" w:rsidRPr="00186A98" w:rsidRDefault="00E74DEC" w:rsidP="00E74DEC">
      <w:pPr>
        <w:rPr>
          <w:rFonts w:ascii="Times New Roman" w:hAnsi="Times New Roman"/>
          <w:b/>
          <w:sz w:val="22"/>
          <w:szCs w:val="22"/>
          <w:lang w:val="lt-LT"/>
        </w:rPr>
      </w:pPr>
      <w:r w:rsidRPr="00186A98">
        <w:rPr>
          <w:rFonts w:ascii="Times New Roman" w:hAnsi="Times New Roman"/>
          <w:b/>
          <w:sz w:val="22"/>
          <w:szCs w:val="22"/>
          <w:lang w:val="lt-LT"/>
        </w:rPr>
        <w:t>Atidžiai perskaitykite visą šį lapelį, prieš pradėdami vartoti vaistą, nes jame pateikiama Jums svarbi informacija.</w:t>
      </w:r>
    </w:p>
    <w:p w:rsidR="00E74DEC" w:rsidRPr="00186A98" w:rsidRDefault="00E74DEC" w:rsidP="00E74DEC">
      <w:pPr>
        <w:numPr>
          <w:ilvl w:val="0"/>
          <w:numId w:val="15"/>
        </w:numPr>
        <w:tabs>
          <w:tab w:val="left" w:pos="720"/>
        </w:tabs>
        <w:ind w:left="567" w:hanging="567"/>
        <w:rPr>
          <w:rFonts w:ascii="Times New Roman" w:hAnsi="Times New Roman"/>
          <w:noProof/>
          <w:sz w:val="22"/>
          <w:szCs w:val="22"/>
          <w:lang w:val="lt-LT"/>
        </w:rPr>
      </w:pPr>
      <w:r w:rsidRPr="00186A98">
        <w:rPr>
          <w:rFonts w:ascii="Times New Roman" w:hAnsi="Times New Roman"/>
          <w:noProof/>
          <w:sz w:val="22"/>
          <w:szCs w:val="22"/>
          <w:lang w:val="lt-LT"/>
        </w:rPr>
        <w:t>Neišmeskite šio lapelio, nes vėl gali prireikti jį perskaityti.</w:t>
      </w:r>
    </w:p>
    <w:p w:rsidR="00E74DEC" w:rsidRPr="00186A98" w:rsidRDefault="00E74DEC" w:rsidP="00E74DEC">
      <w:pPr>
        <w:numPr>
          <w:ilvl w:val="0"/>
          <w:numId w:val="15"/>
        </w:numPr>
        <w:tabs>
          <w:tab w:val="left" w:pos="720"/>
        </w:tabs>
        <w:ind w:left="567" w:hanging="567"/>
        <w:rPr>
          <w:rFonts w:ascii="Times New Roman" w:hAnsi="Times New Roman"/>
          <w:noProof/>
          <w:sz w:val="22"/>
          <w:szCs w:val="22"/>
          <w:lang w:val="lt-LT"/>
        </w:rPr>
      </w:pPr>
      <w:r w:rsidRPr="00186A98">
        <w:rPr>
          <w:rFonts w:ascii="Times New Roman" w:hAnsi="Times New Roman"/>
          <w:noProof/>
          <w:sz w:val="22"/>
          <w:szCs w:val="22"/>
          <w:lang w:val="lt-LT"/>
        </w:rPr>
        <w:t>Jeigu kiltų daugiau klausimų, kreipkitės į gydytoją arba vaistininką.</w:t>
      </w:r>
    </w:p>
    <w:p w:rsidR="00E74DEC" w:rsidRPr="00186A98" w:rsidRDefault="00E74DEC" w:rsidP="00E74DEC">
      <w:pPr>
        <w:numPr>
          <w:ilvl w:val="0"/>
          <w:numId w:val="15"/>
        </w:numPr>
        <w:tabs>
          <w:tab w:val="left" w:pos="720"/>
        </w:tabs>
        <w:ind w:left="567" w:hanging="567"/>
        <w:rPr>
          <w:rFonts w:ascii="Times New Roman" w:hAnsi="Times New Roman"/>
          <w:noProof/>
          <w:sz w:val="22"/>
          <w:szCs w:val="22"/>
          <w:lang w:val="lt-LT"/>
        </w:rPr>
      </w:pPr>
      <w:r w:rsidRPr="00186A98">
        <w:rPr>
          <w:rFonts w:ascii="Times New Roman" w:hAnsi="Times New Roman"/>
          <w:noProof/>
          <w:sz w:val="22"/>
          <w:szCs w:val="22"/>
          <w:lang w:val="lt-LT"/>
        </w:rPr>
        <w:t>Šis vaistas skirtas tik Jums, todėl kitiems žmonėms jo duoti negalima. Vaistas gali jiems pakenkti (net tiems, kurių ligos požymiai yra tokie patys kaip Jūsų).</w:t>
      </w:r>
    </w:p>
    <w:p w:rsidR="00E74DEC" w:rsidRPr="00186A98" w:rsidRDefault="00E74DEC" w:rsidP="00E74DEC">
      <w:pPr>
        <w:numPr>
          <w:ilvl w:val="0"/>
          <w:numId w:val="15"/>
        </w:numPr>
        <w:tabs>
          <w:tab w:val="left" w:pos="720"/>
        </w:tabs>
        <w:ind w:left="567" w:hanging="567"/>
        <w:rPr>
          <w:rFonts w:ascii="Times New Roman" w:hAnsi="Times New Roman"/>
          <w:noProof/>
          <w:sz w:val="22"/>
          <w:szCs w:val="22"/>
          <w:lang w:val="lt-LT"/>
        </w:rPr>
      </w:pPr>
      <w:r w:rsidRPr="00186A98">
        <w:rPr>
          <w:rFonts w:ascii="Times New Roman" w:hAnsi="Times New Roman"/>
          <w:noProof/>
          <w:sz w:val="22"/>
          <w:szCs w:val="22"/>
          <w:lang w:val="lt-LT"/>
        </w:rPr>
        <w:t>Jeigu pasireiškė šalutinis poveikis (net jeigu jis šiame lapelyje nenurodytas), kreipkitės į gydytoją arba vaistininką. Žr. 4 skyrių.</w:t>
      </w:r>
    </w:p>
    <w:p w:rsidR="00E74DEC" w:rsidRPr="00186A98" w:rsidRDefault="00E74DEC" w:rsidP="00E74DEC">
      <w:pPr>
        <w:keepNext/>
        <w:spacing w:before="240" w:after="60"/>
        <w:outlineLvl w:val="3"/>
        <w:rPr>
          <w:rFonts w:ascii="Times New Roman" w:eastAsia="Calibri" w:hAnsi="Times New Roman"/>
          <w:b/>
          <w:bCs/>
          <w:sz w:val="22"/>
          <w:szCs w:val="22"/>
          <w:lang w:val="lt-LT" w:eastAsia="lt-LT"/>
        </w:rPr>
      </w:pPr>
      <w:r w:rsidRPr="00186A98">
        <w:rPr>
          <w:rFonts w:ascii="Times New Roman" w:eastAsia="Calibri" w:hAnsi="Times New Roman"/>
          <w:b/>
          <w:bCs/>
          <w:sz w:val="22"/>
          <w:szCs w:val="22"/>
          <w:lang w:val="lt-LT" w:eastAsia="lt-LT"/>
        </w:rPr>
        <w:t xml:space="preserve">Apie ką rašoma šiame lapelyje? </w:t>
      </w:r>
    </w:p>
    <w:p w:rsidR="00E74DEC" w:rsidRPr="00186A98" w:rsidRDefault="00E74DEC" w:rsidP="00E74DEC">
      <w:pPr>
        <w:rPr>
          <w:rFonts w:ascii="Times New Roman" w:hAnsi="Times New Roman"/>
          <w:sz w:val="22"/>
          <w:szCs w:val="22"/>
          <w:lang w:val="lt-LT" w:eastAsia="lt-LT"/>
        </w:rPr>
      </w:pPr>
    </w:p>
    <w:p w:rsidR="00E74DEC" w:rsidRPr="00186A98" w:rsidRDefault="00E74DEC" w:rsidP="0084176F">
      <w:pPr>
        <w:ind w:left="567" w:hanging="567"/>
        <w:rPr>
          <w:rFonts w:ascii="Times New Roman" w:hAnsi="Times New Roman"/>
          <w:sz w:val="22"/>
          <w:szCs w:val="22"/>
          <w:lang w:val="lt-LT" w:eastAsia="lt-LT"/>
        </w:rPr>
      </w:pPr>
      <w:r w:rsidRPr="00186A98">
        <w:rPr>
          <w:rFonts w:ascii="Times New Roman" w:hAnsi="Times New Roman"/>
          <w:sz w:val="22"/>
          <w:szCs w:val="22"/>
          <w:lang w:val="lt-LT" w:eastAsia="lt-LT"/>
        </w:rPr>
        <w:t>1.</w:t>
      </w:r>
      <w:r w:rsidRPr="00186A98">
        <w:rPr>
          <w:rFonts w:ascii="Times New Roman" w:hAnsi="Times New Roman"/>
          <w:sz w:val="22"/>
          <w:szCs w:val="22"/>
          <w:lang w:val="lt-LT" w:eastAsia="lt-LT"/>
        </w:rPr>
        <w:tab/>
        <w:t>Kas yra CALUMID ir kam jis vartojamas</w:t>
      </w:r>
    </w:p>
    <w:p w:rsidR="00E74DEC" w:rsidRPr="00186A98" w:rsidRDefault="00E74DEC" w:rsidP="0084176F">
      <w:pPr>
        <w:ind w:left="567" w:hanging="567"/>
        <w:rPr>
          <w:rFonts w:ascii="Times New Roman" w:hAnsi="Times New Roman"/>
          <w:sz w:val="22"/>
          <w:szCs w:val="22"/>
          <w:lang w:val="lt-LT" w:eastAsia="lt-LT"/>
        </w:rPr>
      </w:pPr>
      <w:r w:rsidRPr="00186A98">
        <w:rPr>
          <w:rFonts w:ascii="Times New Roman" w:hAnsi="Times New Roman"/>
          <w:sz w:val="22"/>
          <w:szCs w:val="22"/>
          <w:lang w:val="lt-LT" w:eastAsia="lt-LT"/>
        </w:rPr>
        <w:t>2.</w:t>
      </w:r>
      <w:r w:rsidRPr="00186A98">
        <w:rPr>
          <w:rFonts w:ascii="Times New Roman" w:hAnsi="Times New Roman"/>
          <w:sz w:val="22"/>
          <w:szCs w:val="22"/>
          <w:lang w:val="lt-LT" w:eastAsia="lt-LT"/>
        </w:rPr>
        <w:tab/>
        <w:t>Kas žinotina prieš vartojant CALUMID</w:t>
      </w:r>
    </w:p>
    <w:p w:rsidR="00E74DEC" w:rsidRPr="00186A98" w:rsidRDefault="00E74DEC" w:rsidP="0084176F">
      <w:pPr>
        <w:ind w:left="567" w:hanging="567"/>
        <w:rPr>
          <w:rFonts w:ascii="Times New Roman" w:hAnsi="Times New Roman"/>
          <w:sz w:val="22"/>
          <w:szCs w:val="22"/>
          <w:lang w:val="lt-LT" w:eastAsia="lt-LT"/>
        </w:rPr>
      </w:pPr>
      <w:r w:rsidRPr="00186A98">
        <w:rPr>
          <w:rFonts w:ascii="Times New Roman" w:hAnsi="Times New Roman"/>
          <w:sz w:val="22"/>
          <w:szCs w:val="22"/>
          <w:lang w:val="lt-LT" w:eastAsia="lt-LT"/>
        </w:rPr>
        <w:t>3.</w:t>
      </w:r>
      <w:r w:rsidRPr="00186A98">
        <w:rPr>
          <w:rFonts w:ascii="Times New Roman" w:hAnsi="Times New Roman"/>
          <w:sz w:val="22"/>
          <w:szCs w:val="22"/>
          <w:lang w:val="lt-LT" w:eastAsia="lt-LT"/>
        </w:rPr>
        <w:tab/>
        <w:t xml:space="preserve">Kaip vartoti CALUMID </w:t>
      </w:r>
    </w:p>
    <w:p w:rsidR="00E74DEC" w:rsidRPr="00186A98" w:rsidRDefault="00E74DEC" w:rsidP="0084176F">
      <w:pPr>
        <w:ind w:left="567" w:hanging="567"/>
        <w:rPr>
          <w:rFonts w:ascii="Times New Roman" w:hAnsi="Times New Roman"/>
          <w:sz w:val="22"/>
          <w:szCs w:val="22"/>
          <w:lang w:val="lt-LT" w:eastAsia="lt-LT"/>
        </w:rPr>
      </w:pPr>
      <w:r w:rsidRPr="00186A98">
        <w:rPr>
          <w:rFonts w:ascii="Times New Roman" w:hAnsi="Times New Roman"/>
          <w:sz w:val="22"/>
          <w:szCs w:val="22"/>
          <w:lang w:val="lt-LT" w:eastAsia="lt-LT"/>
        </w:rPr>
        <w:t>4.</w:t>
      </w:r>
      <w:r w:rsidRPr="00186A98">
        <w:rPr>
          <w:rFonts w:ascii="Times New Roman" w:hAnsi="Times New Roman"/>
          <w:sz w:val="22"/>
          <w:szCs w:val="22"/>
          <w:lang w:val="lt-LT" w:eastAsia="lt-LT"/>
        </w:rPr>
        <w:tab/>
        <w:t>Galimas šalutinis poveikis</w:t>
      </w:r>
    </w:p>
    <w:p w:rsidR="00E74DEC" w:rsidRPr="00186A98" w:rsidRDefault="00E74DEC" w:rsidP="0084176F">
      <w:pPr>
        <w:keepNext/>
        <w:ind w:left="567" w:hanging="567"/>
        <w:outlineLvl w:val="0"/>
        <w:rPr>
          <w:rFonts w:ascii="Times New Roman" w:eastAsia="Calibri" w:hAnsi="Times New Roman"/>
          <w:color w:val="FF0000"/>
          <w:kern w:val="32"/>
          <w:sz w:val="22"/>
          <w:szCs w:val="22"/>
          <w:lang w:val="lt-LT" w:eastAsia="lt-LT"/>
        </w:rPr>
      </w:pPr>
      <w:r w:rsidRPr="00186A98">
        <w:rPr>
          <w:rFonts w:ascii="Times New Roman" w:eastAsia="Calibri" w:hAnsi="Times New Roman"/>
          <w:kern w:val="32"/>
          <w:sz w:val="22"/>
          <w:szCs w:val="22"/>
          <w:lang w:val="lt-LT" w:eastAsia="lt-LT"/>
        </w:rPr>
        <w:t>5.</w:t>
      </w:r>
      <w:r w:rsidRPr="00186A98">
        <w:rPr>
          <w:rFonts w:ascii="Times New Roman" w:eastAsia="Calibri" w:hAnsi="Times New Roman"/>
          <w:b/>
          <w:bCs/>
          <w:kern w:val="32"/>
          <w:sz w:val="22"/>
          <w:szCs w:val="22"/>
          <w:lang w:val="lt-LT" w:eastAsia="lt-LT"/>
        </w:rPr>
        <w:tab/>
      </w:r>
      <w:r w:rsidRPr="00186A98">
        <w:rPr>
          <w:rFonts w:ascii="Times New Roman" w:eastAsia="Calibri" w:hAnsi="Times New Roman"/>
          <w:bCs/>
          <w:kern w:val="32"/>
          <w:sz w:val="22"/>
          <w:szCs w:val="22"/>
          <w:lang w:val="lt-LT" w:eastAsia="lt-LT"/>
        </w:rPr>
        <w:t>Kaip laikyti</w:t>
      </w:r>
      <w:r w:rsidRPr="00186A98">
        <w:rPr>
          <w:rFonts w:ascii="Times New Roman" w:eastAsia="Calibri" w:hAnsi="Times New Roman"/>
          <w:b/>
          <w:bCs/>
          <w:kern w:val="32"/>
          <w:sz w:val="22"/>
          <w:szCs w:val="22"/>
          <w:lang w:val="lt-LT" w:eastAsia="lt-LT"/>
        </w:rPr>
        <w:t xml:space="preserve"> </w:t>
      </w:r>
      <w:r w:rsidRPr="00186A98">
        <w:rPr>
          <w:rFonts w:ascii="Times New Roman" w:eastAsia="Calibri" w:hAnsi="Times New Roman"/>
          <w:kern w:val="32"/>
          <w:sz w:val="22"/>
          <w:szCs w:val="22"/>
          <w:lang w:val="lt-LT" w:eastAsia="lt-LT"/>
        </w:rPr>
        <w:t xml:space="preserve">CALUMID </w:t>
      </w:r>
    </w:p>
    <w:p w:rsidR="00E74DEC" w:rsidRPr="00186A98" w:rsidRDefault="00E74DEC" w:rsidP="0084176F">
      <w:pPr>
        <w:ind w:left="567" w:hanging="567"/>
        <w:rPr>
          <w:rFonts w:ascii="Times New Roman" w:hAnsi="Times New Roman"/>
          <w:sz w:val="22"/>
          <w:szCs w:val="22"/>
          <w:lang w:val="lt-LT" w:eastAsia="lt-LT"/>
        </w:rPr>
      </w:pPr>
      <w:r w:rsidRPr="00186A98">
        <w:rPr>
          <w:rFonts w:ascii="Times New Roman" w:hAnsi="Times New Roman"/>
          <w:sz w:val="22"/>
          <w:szCs w:val="22"/>
          <w:lang w:val="lt-LT" w:eastAsia="lt-LT"/>
        </w:rPr>
        <w:t>6.</w:t>
      </w:r>
      <w:r w:rsidRPr="00186A98">
        <w:rPr>
          <w:rFonts w:ascii="Times New Roman" w:hAnsi="Times New Roman"/>
          <w:sz w:val="22"/>
          <w:szCs w:val="22"/>
          <w:lang w:val="lt-LT" w:eastAsia="lt-LT"/>
        </w:rPr>
        <w:tab/>
        <w:t>Pakuotės turinys ir kita informacija</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jc w:val="both"/>
        <w:rPr>
          <w:rFonts w:ascii="Times New Roman" w:hAnsi="Times New Roman"/>
          <w:sz w:val="22"/>
          <w:szCs w:val="22"/>
          <w:lang w:val="lt-LT" w:eastAsia="lt-LT"/>
        </w:rPr>
      </w:pPr>
    </w:p>
    <w:p w:rsidR="00E74DEC" w:rsidRPr="00186A98" w:rsidRDefault="00E74DEC" w:rsidP="0084176F">
      <w:pPr>
        <w:ind w:left="567" w:hanging="567"/>
        <w:jc w:val="both"/>
        <w:rPr>
          <w:rFonts w:ascii="Times New Roman" w:hAnsi="Times New Roman"/>
          <w:b/>
          <w:bCs/>
          <w:sz w:val="22"/>
          <w:szCs w:val="22"/>
          <w:lang w:val="lt-LT" w:eastAsia="lt-LT"/>
        </w:rPr>
      </w:pPr>
      <w:r w:rsidRPr="00186A98">
        <w:rPr>
          <w:rFonts w:ascii="Times New Roman" w:hAnsi="Times New Roman"/>
          <w:b/>
          <w:bCs/>
          <w:sz w:val="22"/>
          <w:szCs w:val="22"/>
          <w:lang w:val="lt-LT" w:eastAsia="lt-LT"/>
        </w:rPr>
        <w:t>1.</w:t>
      </w:r>
      <w:r w:rsidRPr="00186A98">
        <w:rPr>
          <w:rFonts w:ascii="Times New Roman" w:hAnsi="Times New Roman"/>
          <w:b/>
          <w:bCs/>
          <w:sz w:val="22"/>
          <w:szCs w:val="22"/>
          <w:lang w:val="lt-LT" w:eastAsia="lt-LT"/>
        </w:rPr>
        <w:tab/>
        <w:t xml:space="preserve">Kas yra CALUMID ir kam jis vartojamas </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CALUMID veiklioji medžiaga – bikalutamidas priklauso vaistų, vadinamų antiandrogenais, grupei.</w:t>
      </w:r>
      <w:r w:rsidRPr="00186A98">
        <w:rPr>
          <w:rFonts w:ascii="Times New Roman" w:hAnsi="Times New Roman"/>
          <w:color w:val="008000"/>
          <w:sz w:val="22"/>
          <w:szCs w:val="22"/>
          <w:lang w:val="lt-LT" w:eastAsia="lt-LT"/>
        </w:rPr>
        <w:t xml:space="preserve"> </w:t>
      </w:r>
      <w:r w:rsidRPr="00186A98">
        <w:rPr>
          <w:rFonts w:ascii="Times New Roman" w:hAnsi="Times New Roman"/>
          <w:sz w:val="22"/>
          <w:szCs w:val="22"/>
          <w:lang w:val="lt-LT" w:eastAsia="lt-LT"/>
        </w:rPr>
        <w:t>Tai reiškia, kad jis slopina kai kuriuos androgenų (vyriškųjų lytinių hormonų) poveikius organizme.</w:t>
      </w:r>
    </w:p>
    <w:p w:rsidR="00E74DEC" w:rsidRPr="00186A98" w:rsidRDefault="00E74DEC" w:rsidP="00E74DEC">
      <w:pPr>
        <w:rPr>
          <w:rFonts w:ascii="Times New Roman" w:hAnsi="Times New Roman"/>
          <w:color w:val="008000"/>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CALUMID vartojamas prostatos vėžiui gydyti. Jis vartojamas neatidėliotinam gydymui arba po galinčių išgydyti procedūrų (operacijos ar spindulinio gydymo) ankstyva ligos stadija sergantiems pacientams, kuriems yra didelė ligos progresavimo rizika.</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CALUMID vartojamas atskirai, kai kastracija ar kiti vaistai netinka arba nepriimtini.</w:t>
      </w:r>
    </w:p>
    <w:p w:rsidR="00E74DEC" w:rsidRPr="00186A98" w:rsidRDefault="00E74DEC" w:rsidP="00E74DEC">
      <w:pPr>
        <w:jc w:val="both"/>
        <w:rPr>
          <w:rFonts w:ascii="Times New Roman" w:hAnsi="Times New Roman"/>
          <w:sz w:val="22"/>
          <w:szCs w:val="22"/>
          <w:lang w:val="lt-LT" w:eastAsia="lt-LT"/>
        </w:rPr>
      </w:pPr>
    </w:p>
    <w:p w:rsidR="00E74DEC" w:rsidRPr="00186A98" w:rsidRDefault="00E74DEC" w:rsidP="00E74DEC">
      <w:pPr>
        <w:jc w:val="both"/>
        <w:rPr>
          <w:rFonts w:ascii="Times New Roman" w:hAnsi="Times New Roman"/>
          <w:sz w:val="22"/>
          <w:szCs w:val="22"/>
          <w:lang w:val="lt-LT" w:eastAsia="lt-LT"/>
        </w:rPr>
      </w:pPr>
    </w:p>
    <w:p w:rsidR="00E74DEC" w:rsidRPr="00186A98" w:rsidRDefault="00E74DEC" w:rsidP="0084176F">
      <w:pPr>
        <w:ind w:left="567" w:hanging="567"/>
        <w:jc w:val="both"/>
        <w:rPr>
          <w:rFonts w:ascii="Times New Roman" w:hAnsi="Times New Roman"/>
          <w:b/>
          <w:bCs/>
          <w:sz w:val="22"/>
          <w:szCs w:val="22"/>
          <w:lang w:val="lt-LT" w:eastAsia="lt-LT"/>
        </w:rPr>
      </w:pPr>
      <w:r w:rsidRPr="00186A98">
        <w:rPr>
          <w:rFonts w:ascii="Times New Roman" w:hAnsi="Times New Roman"/>
          <w:b/>
          <w:bCs/>
          <w:sz w:val="22"/>
          <w:szCs w:val="22"/>
          <w:lang w:val="lt-LT" w:eastAsia="lt-LT"/>
        </w:rPr>
        <w:t>2.</w:t>
      </w:r>
      <w:r w:rsidRPr="00186A98">
        <w:rPr>
          <w:rFonts w:ascii="Times New Roman" w:hAnsi="Times New Roman"/>
          <w:b/>
          <w:bCs/>
          <w:sz w:val="22"/>
          <w:szCs w:val="22"/>
          <w:lang w:val="lt-LT" w:eastAsia="lt-LT"/>
        </w:rPr>
        <w:tab/>
        <w:t xml:space="preserve">Kas žinotina prieš vartojant CALUMID </w:t>
      </w:r>
    </w:p>
    <w:p w:rsidR="00E74DEC" w:rsidRPr="00186A98" w:rsidRDefault="00E74DEC" w:rsidP="00E74DEC">
      <w:pPr>
        <w:jc w:val="both"/>
        <w:rPr>
          <w:rFonts w:ascii="Times New Roman" w:hAnsi="Times New Roman"/>
          <w:b/>
          <w:bCs/>
          <w:sz w:val="22"/>
          <w:szCs w:val="22"/>
          <w:lang w:val="lt-LT" w:eastAsia="lt-LT"/>
        </w:rPr>
      </w:pPr>
    </w:p>
    <w:p w:rsidR="00E74DEC" w:rsidRPr="00186A98" w:rsidRDefault="00E74DEC" w:rsidP="00E74DEC">
      <w:pPr>
        <w:jc w:val="both"/>
        <w:rPr>
          <w:rFonts w:ascii="Times New Roman" w:hAnsi="Times New Roman"/>
          <w:b/>
          <w:bCs/>
          <w:sz w:val="22"/>
          <w:szCs w:val="22"/>
          <w:lang w:val="lt-LT" w:eastAsia="lt-LT"/>
        </w:rPr>
      </w:pPr>
      <w:r w:rsidRPr="00186A98">
        <w:rPr>
          <w:rFonts w:ascii="Times New Roman" w:hAnsi="Times New Roman"/>
          <w:b/>
          <w:bCs/>
          <w:sz w:val="22"/>
          <w:szCs w:val="22"/>
          <w:lang w:val="lt-LT" w:eastAsia="lt-LT"/>
        </w:rPr>
        <w:t xml:space="preserve">CALUMID vartoti </w:t>
      </w:r>
      <w:r w:rsidRPr="00186A98">
        <w:rPr>
          <w:rFonts w:ascii="Times New Roman" w:hAnsi="Times New Roman"/>
          <w:b/>
          <w:sz w:val="22"/>
          <w:szCs w:val="22"/>
          <w:lang w:val="lt-LT" w:eastAsia="lt-LT"/>
        </w:rPr>
        <w:t>negalima</w:t>
      </w:r>
      <w:r w:rsidRPr="00186A98">
        <w:rPr>
          <w:rFonts w:ascii="Times New Roman" w:hAnsi="Times New Roman"/>
          <w:b/>
          <w:bCs/>
          <w:sz w:val="22"/>
          <w:szCs w:val="22"/>
          <w:lang w:val="lt-LT" w:eastAsia="lt-LT"/>
        </w:rPr>
        <w:t>:</w:t>
      </w:r>
    </w:p>
    <w:p w:rsidR="00E74DEC" w:rsidRPr="00186A98" w:rsidRDefault="00E74DEC" w:rsidP="00E74DEC">
      <w:pPr>
        <w:jc w:val="both"/>
        <w:rPr>
          <w:rFonts w:ascii="Times New Roman" w:hAnsi="Times New Roman"/>
          <w:b/>
          <w:bCs/>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 xml:space="preserve">-     jeigu yra alergija  bikalutamidui ar bet kuriai pagalbinei šio vaisto medžiagai (jos išvardytos 6  </w:t>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 xml:space="preserve">      skyriuje); </w:t>
      </w:r>
    </w:p>
    <w:p w:rsidR="00E74DEC" w:rsidRPr="00186A98" w:rsidRDefault="00E74DEC" w:rsidP="00E74DEC">
      <w:pPr>
        <w:numPr>
          <w:ilvl w:val="0"/>
          <w:numId w:val="16"/>
        </w:numPr>
        <w:rPr>
          <w:rFonts w:ascii="Times New Roman" w:hAnsi="Times New Roman"/>
          <w:noProof/>
          <w:sz w:val="22"/>
          <w:szCs w:val="22"/>
          <w:lang w:val="lt-LT"/>
        </w:rPr>
      </w:pPr>
      <w:r w:rsidRPr="00186A98">
        <w:rPr>
          <w:rFonts w:ascii="Times New Roman" w:hAnsi="Times New Roman"/>
          <w:noProof/>
          <w:sz w:val="22"/>
          <w:szCs w:val="22"/>
          <w:lang w:val="lt-LT"/>
        </w:rPr>
        <w:t>jeigu Jūs jau vartojate tam tikrų antihistamininių vaistų (pvz., terfenadino, astemizolo šienligei arba alergijai gydyti) arba cisaprido (skrandžio ligoms gydyti);</w:t>
      </w:r>
    </w:p>
    <w:p w:rsidR="00E74DEC" w:rsidRPr="00186A98" w:rsidRDefault="00E74DEC" w:rsidP="00E74DEC">
      <w:pPr>
        <w:numPr>
          <w:ilvl w:val="0"/>
          <w:numId w:val="16"/>
        </w:numPr>
        <w:rPr>
          <w:rFonts w:ascii="Times New Roman" w:hAnsi="Times New Roman"/>
          <w:noProof/>
          <w:sz w:val="22"/>
          <w:szCs w:val="22"/>
          <w:lang w:val="lt-LT"/>
        </w:rPr>
      </w:pPr>
      <w:r w:rsidRPr="00186A98">
        <w:rPr>
          <w:rFonts w:ascii="Times New Roman" w:hAnsi="Times New Roman"/>
          <w:noProof/>
          <w:sz w:val="22"/>
          <w:szCs w:val="22"/>
          <w:lang w:val="lt-LT"/>
        </w:rPr>
        <w:t>moterims  (įskaitant nėščiąsias ir žindyves);</w:t>
      </w:r>
    </w:p>
    <w:p w:rsidR="00E74DEC" w:rsidRPr="00186A98" w:rsidRDefault="00E74DEC" w:rsidP="00E74DEC">
      <w:pPr>
        <w:numPr>
          <w:ilvl w:val="0"/>
          <w:numId w:val="16"/>
        </w:numPr>
        <w:rPr>
          <w:rFonts w:ascii="Times New Roman" w:hAnsi="Times New Roman"/>
          <w:noProof/>
          <w:sz w:val="22"/>
          <w:szCs w:val="22"/>
          <w:lang w:val="lt-LT"/>
        </w:rPr>
      </w:pPr>
      <w:r w:rsidRPr="00186A98">
        <w:rPr>
          <w:rFonts w:ascii="Times New Roman" w:hAnsi="Times New Roman"/>
          <w:noProof/>
          <w:sz w:val="22"/>
          <w:szCs w:val="22"/>
          <w:lang w:val="lt-LT"/>
        </w:rPr>
        <w:t>vaikams.</w:t>
      </w:r>
    </w:p>
    <w:p w:rsidR="00E74DEC" w:rsidRPr="00186A98" w:rsidRDefault="00E74DEC" w:rsidP="00E74DEC">
      <w:pPr>
        <w:tabs>
          <w:tab w:val="left" w:pos="720"/>
        </w:tabs>
        <w:rPr>
          <w:rFonts w:ascii="Times New Roman" w:hAnsi="Times New Roman"/>
          <w:noProof/>
          <w:sz w:val="22"/>
          <w:szCs w:val="22"/>
          <w:lang w:val="lt-LT"/>
        </w:rPr>
      </w:pPr>
    </w:p>
    <w:p w:rsidR="00E74DEC" w:rsidRPr="00186A98" w:rsidRDefault="00E74DEC" w:rsidP="00E74DEC">
      <w:pPr>
        <w:spacing w:before="120"/>
        <w:rPr>
          <w:rFonts w:ascii="Times New Roman" w:hAnsi="Times New Roman"/>
          <w:b/>
          <w:sz w:val="22"/>
          <w:szCs w:val="22"/>
          <w:lang w:val="lt-LT" w:eastAsia="lt-LT"/>
        </w:rPr>
      </w:pPr>
      <w:r w:rsidRPr="00186A98">
        <w:rPr>
          <w:rFonts w:ascii="Times New Roman" w:hAnsi="Times New Roman"/>
          <w:b/>
          <w:sz w:val="22"/>
          <w:szCs w:val="22"/>
          <w:lang w:val="lt-LT" w:eastAsia="lt-LT"/>
        </w:rPr>
        <w:t xml:space="preserve">Įspėjimai ir atsargumo priemonės </w:t>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Pasitarkite su gydytoju ar vaistininku, prieš pradėdami vartoti CALUMID:</w:t>
      </w:r>
    </w:p>
    <w:p w:rsidR="00E74DEC" w:rsidRPr="00186A98" w:rsidRDefault="00E74DEC" w:rsidP="00E74DEC">
      <w:pPr>
        <w:numPr>
          <w:ilvl w:val="0"/>
          <w:numId w:val="38"/>
        </w:numPr>
        <w:ind w:left="426" w:hanging="426"/>
        <w:contextualSpacing/>
        <w:jc w:val="both"/>
        <w:rPr>
          <w:rFonts w:ascii="Times New Roman" w:eastAsia="Calibri" w:hAnsi="Times New Roman"/>
          <w:sz w:val="22"/>
          <w:szCs w:val="22"/>
          <w:lang w:val="lt-LT" w:eastAsia="lt-LT"/>
        </w:rPr>
      </w:pPr>
      <w:r w:rsidRPr="00186A98">
        <w:rPr>
          <w:rFonts w:ascii="Times New Roman" w:eastAsia="Calibri" w:hAnsi="Times New Roman"/>
          <w:sz w:val="22"/>
          <w:szCs w:val="22"/>
          <w:lang w:val="lt-LT" w:eastAsia="lt-LT"/>
        </w:rPr>
        <w:t>jeigu yra bet kokių širdies arba kraujagyslių sutrikimų, įskaitant širdies ritmo sutrikimus (aritmiją) arba vartojate šių sutrikimų gydymui. Vartojant CALUMID 150 mg plėvele dengtų tablečių, širdies ritmo sutrikimų rizika gali padidėti;</w:t>
      </w:r>
    </w:p>
    <w:p w:rsidR="00E74DEC" w:rsidRPr="00186A98" w:rsidRDefault="00E74DEC" w:rsidP="00E74DEC">
      <w:pPr>
        <w:numPr>
          <w:ilvl w:val="0"/>
          <w:numId w:val="17"/>
        </w:numPr>
        <w:rPr>
          <w:rFonts w:ascii="Times New Roman" w:hAnsi="Times New Roman"/>
          <w:sz w:val="22"/>
          <w:szCs w:val="22"/>
          <w:lang w:val="lt-LT" w:eastAsia="lt-LT"/>
        </w:rPr>
      </w:pPr>
      <w:r w:rsidRPr="00186A98">
        <w:rPr>
          <w:rFonts w:ascii="Times New Roman" w:hAnsi="Times New Roman"/>
          <w:sz w:val="22"/>
          <w:szCs w:val="22"/>
          <w:lang w:val="lt-LT" w:eastAsia="lt-LT"/>
        </w:rPr>
        <w:t>jeigu sergate kepenų liga;</w:t>
      </w:r>
    </w:p>
    <w:p w:rsidR="00E74DEC" w:rsidRPr="00186A98" w:rsidRDefault="00E74DEC" w:rsidP="00E74DEC">
      <w:pPr>
        <w:numPr>
          <w:ilvl w:val="0"/>
          <w:numId w:val="18"/>
        </w:numPr>
        <w:rPr>
          <w:rFonts w:ascii="Times New Roman" w:hAnsi="Times New Roman"/>
          <w:sz w:val="22"/>
          <w:szCs w:val="22"/>
          <w:lang w:val="lt-LT" w:eastAsia="lt-LT"/>
        </w:rPr>
      </w:pPr>
      <w:r w:rsidRPr="00186A98">
        <w:rPr>
          <w:rFonts w:ascii="Times New Roman" w:hAnsi="Times New Roman"/>
          <w:sz w:val="22"/>
          <w:szCs w:val="22"/>
          <w:lang w:val="lt-LT" w:eastAsia="lt-LT"/>
        </w:rPr>
        <w:lastRenderedPageBreak/>
        <w:t xml:space="preserve">jeigu vartojate kitus vaistus (įskaitant pirktus savo nuožiūra), ypač geriamuosius antikoaguliantus (vaistus nuo trombozės), ciklosporiną (imuninę sistemą slopinantį vaistą) arba kalcio kanalų blokatorius (vaistus nuo padidėjusio kraujospūdžio ir kai kurių širdies ligų). </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noProof/>
          <w:sz w:val="22"/>
          <w:szCs w:val="22"/>
          <w:lang w:val="lt-LT" w:eastAsia="lt-LT"/>
        </w:rPr>
      </w:pPr>
      <w:r w:rsidRPr="00186A98">
        <w:rPr>
          <w:rFonts w:ascii="Times New Roman" w:hAnsi="Times New Roman"/>
          <w:noProof/>
          <w:sz w:val="22"/>
          <w:szCs w:val="22"/>
          <w:lang w:val="lt-LT" w:eastAsia="lt-LT"/>
        </w:rPr>
        <w:t xml:space="preserve">Nuvykę į ligoninę, pasakykite medicinos personalui, kad vartojate CALUMID.  </w:t>
      </w:r>
    </w:p>
    <w:p w:rsidR="00E74DEC" w:rsidRPr="00186A98" w:rsidRDefault="00E74DEC" w:rsidP="00E74DEC">
      <w:pPr>
        <w:tabs>
          <w:tab w:val="left" w:pos="720"/>
        </w:tabs>
        <w:rPr>
          <w:rFonts w:ascii="Times New Roman" w:hAnsi="Times New Roman"/>
          <w:sz w:val="22"/>
          <w:szCs w:val="22"/>
          <w:lang w:val="lt-LT"/>
        </w:rPr>
      </w:pPr>
    </w:p>
    <w:p w:rsidR="00E74DEC" w:rsidRPr="00186A98" w:rsidRDefault="00E74DEC" w:rsidP="00E74DEC">
      <w:pPr>
        <w:tabs>
          <w:tab w:val="left" w:pos="720"/>
        </w:tabs>
        <w:rPr>
          <w:rFonts w:ascii="Times New Roman" w:hAnsi="Times New Roman"/>
          <w:b/>
          <w:sz w:val="22"/>
          <w:szCs w:val="22"/>
          <w:lang w:val="lt-LT"/>
        </w:rPr>
      </w:pPr>
      <w:r w:rsidRPr="00186A98">
        <w:rPr>
          <w:rFonts w:ascii="Times New Roman" w:hAnsi="Times New Roman"/>
          <w:b/>
          <w:sz w:val="22"/>
          <w:szCs w:val="22"/>
          <w:lang w:val="lt-LT"/>
        </w:rPr>
        <w:t>Vaikams ir paaugliams</w:t>
      </w:r>
    </w:p>
    <w:p w:rsidR="00E74DEC" w:rsidRPr="00186A98" w:rsidRDefault="00E74DEC" w:rsidP="00E74DEC">
      <w:pPr>
        <w:tabs>
          <w:tab w:val="left" w:pos="720"/>
        </w:tabs>
        <w:rPr>
          <w:rFonts w:ascii="Times New Roman" w:hAnsi="Times New Roman"/>
          <w:noProof/>
          <w:sz w:val="22"/>
          <w:szCs w:val="22"/>
          <w:lang w:val="lt-LT"/>
        </w:rPr>
      </w:pPr>
      <w:r w:rsidRPr="00186A98">
        <w:rPr>
          <w:rFonts w:ascii="Times New Roman" w:hAnsi="Times New Roman"/>
          <w:noProof/>
          <w:sz w:val="22"/>
          <w:szCs w:val="22"/>
          <w:lang w:val="lt-LT"/>
        </w:rPr>
        <w:t>Bikalutamido negalima vartoti vaikams.</w:t>
      </w:r>
    </w:p>
    <w:p w:rsidR="00E74DEC" w:rsidRPr="00186A98" w:rsidRDefault="00E74DEC" w:rsidP="00E74DEC">
      <w:pPr>
        <w:keepNext/>
        <w:spacing w:before="240" w:after="60"/>
        <w:outlineLvl w:val="1"/>
        <w:rPr>
          <w:rFonts w:ascii="Times New Roman" w:eastAsia="Calibri" w:hAnsi="Times New Roman"/>
          <w:b/>
          <w:bCs/>
          <w:iCs/>
          <w:sz w:val="22"/>
          <w:szCs w:val="22"/>
          <w:lang w:val="lt-LT" w:eastAsia="lt-LT"/>
        </w:rPr>
      </w:pPr>
      <w:r w:rsidRPr="00186A98">
        <w:rPr>
          <w:rFonts w:ascii="Times New Roman" w:eastAsia="Calibri" w:hAnsi="Times New Roman"/>
          <w:b/>
          <w:bCs/>
          <w:iCs/>
          <w:sz w:val="22"/>
          <w:szCs w:val="22"/>
          <w:lang w:val="lt-LT" w:eastAsia="lt-LT"/>
        </w:rPr>
        <w:t xml:space="preserve">Kiti vaistai ir CALUMID </w:t>
      </w:r>
    </w:p>
    <w:p w:rsidR="00E74DEC" w:rsidRPr="00186A98" w:rsidRDefault="00E74DEC" w:rsidP="00E74DEC">
      <w:pPr>
        <w:keepNext/>
        <w:spacing w:before="240" w:after="60"/>
        <w:outlineLvl w:val="0"/>
        <w:rPr>
          <w:rFonts w:ascii="Times New Roman" w:eastAsia="Calibri" w:hAnsi="Times New Roman"/>
          <w:bCs/>
          <w:kern w:val="32"/>
          <w:sz w:val="22"/>
          <w:szCs w:val="22"/>
          <w:lang w:val="lt-LT" w:eastAsia="lt-LT"/>
        </w:rPr>
      </w:pPr>
      <w:r w:rsidRPr="00186A98">
        <w:rPr>
          <w:rFonts w:ascii="Times New Roman" w:eastAsia="Calibri" w:hAnsi="Times New Roman"/>
          <w:kern w:val="32"/>
          <w:sz w:val="22"/>
          <w:szCs w:val="22"/>
          <w:lang w:val="lt-LT" w:eastAsia="lt-LT"/>
        </w:rPr>
        <w:t xml:space="preserve">Jeigu vartojate ar neseniai vartojote kitų vaistų arba dėl to nesate tikri, apie tai pasakykite gydytojui arba vaistininkui. </w:t>
      </w:r>
    </w:p>
    <w:p w:rsidR="00E74DEC" w:rsidRPr="00186A98" w:rsidRDefault="00E74DEC" w:rsidP="00E74DEC">
      <w:pPr>
        <w:jc w:val="both"/>
        <w:rPr>
          <w:rFonts w:ascii="Times New Roman" w:eastAsia="Calibri" w:hAnsi="Times New Roman"/>
          <w:sz w:val="22"/>
          <w:szCs w:val="22"/>
          <w:lang w:val="lt-LT" w:eastAsia="lt-LT"/>
        </w:rPr>
      </w:pPr>
      <w:r w:rsidRPr="00186A98">
        <w:rPr>
          <w:rFonts w:ascii="Times New Roman" w:eastAsia="Calibri" w:hAnsi="Times New Roman"/>
          <w:sz w:val="22"/>
          <w:szCs w:val="22"/>
          <w:lang w:val="lt-LT" w:eastAsia="lt-LT"/>
        </w:rPr>
        <w:t xml:space="preserve">CALUMID 150 mg plėvele dengtos tabletės gali sąveikauti su kai kuriais vaistais širdies ritmo sutrikimams gydyti (pvz., chinidinu, </w:t>
      </w:r>
      <w:r w:rsidRPr="00186A98">
        <w:rPr>
          <w:rFonts w:ascii="Times New Roman" w:hAnsi="Times New Roman"/>
          <w:sz w:val="22"/>
          <w:szCs w:val="22"/>
          <w:lang w:val="lt-LT" w:eastAsia="lt-LT"/>
        </w:rPr>
        <w:t>prokainamidu, amjodaronu ir sotaloliu</w:t>
      </w:r>
      <w:r w:rsidRPr="00186A98">
        <w:rPr>
          <w:rFonts w:ascii="Times New Roman" w:eastAsia="Calibri" w:hAnsi="Times New Roman"/>
          <w:sz w:val="22"/>
          <w:szCs w:val="22"/>
          <w:lang w:val="lt-LT" w:eastAsia="lt-LT"/>
        </w:rPr>
        <w:t xml:space="preserve">) arba didinti širdies ritmo sutrikimų riziką, jei vartojamos kartu kai kuriais kitais vaistais (pvz., metadonu (vartojamu skausmui malšinti ir kaip priklausomybėms nuo </w:t>
      </w:r>
      <w:r w:rsidRPr="00186A98">
        <w:rPr>
          <w:rFonts w:ascii="Times New Roman" w:hAnsi="Times New Roman"/>
          <w:sz w:val="22"/>
          <w:szCs w:val="22"/>
          <w:lang w:val="lt-LT" w:eastAsia="lt-LT"/>
        </w:rPr>
        <w:t xml:space="preserve">narkotikų </w:t>
      </w:r>
      <w:r w:rsidRPr="00186A98">
        <w:rPr>
          <w:rFonts w:ascii="Times New Roman" w:eastAsia="Calibri" w:hAnsi="Times New Roman"/>
          <w:sz w:val="22"/>
          <w:szCs w:val="22"/>
          <w:lang w:val="lt-LT" w:eastAsia="lt-LT"/>
        </w:rPr>
        <w:t xml:space="preserve">gydyti), moksifloksacinu (antibiotiku), vaistais nuo psichozės, </w:t>
      </w:r>
      <w:r w:rsidRPr="00186A98">
        <w:rPr>
          <w:rFonts w:ascii="Times New Roman" w:hAnsi="Times New Roman"/>
          <w:sz w:val="22"/>
          <w:szCs w:val="22"/>
          <w:lang w:val="lt-LT" w:eastAsia="lt-LT"/>
        </w:rPr>
        <w:t xml:space="preserve">vartojamais </w:t>
      </w:r>
      <w:r w:rsidRPr="00186A98">
        <w:rPr>
          <w:rFonts w:ascii="Times New Roman" w:eastAsia="Calibri" w:hAnsi="Times New Roman"/>
          <w:sz w:val="22"/>
          <w:szCs w:val="22"/>
          <w:lang w:val="lt-LT" w:eastAsia="lt-LT"/>
        </w:rPr>
        <w:t>sunkioms psichikos ligoms gydyti).</w:t>
      </w:r>
    </w:p>
    <w:p w:rsidR="00E74DEC" w:rsidRPr="00186A98" w:rsidRDefault="00E74DEC" w:rsidP="00E74DEC">
      <w:pPr>
        <w:tabs>
          <w:tab w:val="left" w:pos="720"/>
        </w:tabs>
        <w:spacing w:line="220" w:lineRule="exact"/>
        <w:rPr>
          <w:rFonts w:ascii="Times New Roman" w:hAnsi="Times New Roman"/>
          <w:b/>
          <w:sz w:val="22"/>
          <w:szCs w:val="22"/>
          <w:lang w:val="lt-LT"/>
        </w:rPr>
      </w:pPr>
    </w:p>
    <w:p w:rsidR="00E74DEC" w:rsidRPr="00186A98" w:rsidRDefault="00E74DEC" w:rsidP="00E74DEC">
      <w:pPr>
        <w:tabs>
          <w:tab w:val="left" w:pos="720"/>
        </w:tabs>
        <w:spacing w:line="220" w:lineRule="exact"/>
        <w:rPr>
          <w:rFonts w:ascii="Times New Roman" w:hAnsi="Times New Roman"/>
          <w:b/>
          <w:bCs/>
          <w:sz w:val="22"/>
          <w:szCs w:val="22"/>
          <w:lang w:val="lt-LT"/>
        </w:rPr>
      </w:pPr>
      <w:r w:rsidRPr="00186A98">
        <w:rPr>
          <w:rFonts w:ascii="Times New Roman" w:hAnsi="Times New Roman"/>
          <w:b/>
          <w:bCs/>
          <w:sz w:val="22"/>
          <w:szCs w:val="22"/>
          <w:lang w:val="lt-LT"/>
        </w:rPr>
        <w:t>CALUMID vartojimas su maistu ir gėrimais</w:t>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 xml:space="preserve">CALUMID galima vartoti nevalgius ar valgant. </w:t>
      </w:r>
    </w:p>
    <w:p w:rsidR="00E74DEC" w:rsidRPr="00186A98" w:rsidRDefault="00E74DEC" w:rsidP="00E74DEC">
      <w:pPr>
        <w:keepNext/>
        <w:outlineLvl w:val="2"/>
        <w:rPr>
          <w:rFonts w:ascii="Times New Roman" w:eastAsia="Calibri" w:hAnsi="Times New Roman"/>
          <w:b/>
          <w:bCs/>
          <w:sz w:val="22"/>
          <w:szCs w:val="22"/>
          <w:lang w:val="lt-LT" w:eastAsia="lt-LT"/>
        </w:rPr>
      </w:pPr>
    </w:p>
    <w:p w:rsidR="00E74DEC" w:rsidRPr="00186A98" w:rsidRDefault="00E74DEC" w:rsidP="00E74DEC">
      <w:pPr>
        <w:keepNext/>
        <w:outlineLvl w:val="2"/>
        <w:rPr>
          <w:rFonts w:ascii="Times New Roman" w:eastAsia="Calibri" w:hAnsi="Times New Roman"/>
          <w:b/>
          <w:bCs/>
          <w:sz w:val="22"/>
          <w:szCs w:val="22"/>
          <w:lang w:val="lt-LT" w:eastAsia="lt-LT"/>
        </w:rPr>
      </w:pPr>
      <w:r w:rsidRPr="00186A98">
        <w:rPr>
          <w:rFonts w:ascii="Times New Roman" w:eastAsia="Calibri" w:hAnsi="Times New Roman"/>
          <w:b/>
          <w:bCs/>
          <w:sz w:val="22"/>
          <w:szCs w:val="22"/>
          <w:lang w:val="lt-LT" w:eastAsia="lt-LT"/>
        </w:rPr>
        <w:t>Nėštumas ir žindymo laikotarpis</w:t>
      </w:r>
    </w:p>
    <w:p w:rsidR="00E74DEC" w:rsidRPr="00186A98" w:rsidRDefault="00E74DEC" w:rsidP="00E74DEC">
      <w:pPr>
        <w:keepNext/>
        <w:outlineLvl w:val="0"/>
        <w:rPr>
          <w:rFonts w:ascii="Times New Roman" w:eastAsia="Calibri" w:hAnsi="Times New Roman"/>
          <w:kern w:val="32"/>
          <w:sz w:val="22"/>
          <w:szCs w:val="22"/>
          <w:lang w:val="lt-LT" w:eastAsia="lt-LT"/>
        </w:rPr>
      </w:pPr>
      <w:r w:rsidRPr="00186A98">
        <w:rPr>
          <w:rFonts w:ascii="Times New Roman" w:eastAsia="Calibri" w:hAnsi="Times New Roman"/>
          <w:kern w:val="32"/>
          <w:sz w:val="22"/>
          <w:szCs w:val="22"/>
          <w:lang w:val="lt-LT" w:eastAsia="lt-LT"/>
        </w:rPr>
        <w:t>Moterims CALUMID vartoti draudžiama.</w:t>
      </w:r>
    </w:p>
    <w:p w:rsidR="00E74DEC" w:rsidRPr="00186A98" w:rsidRDefault="00E74DEC" w:rsidP="00E74DEC">
      <w:pPr>
        <w:keepNext/>
        <w:outlineLvl w:val="0"/>
        <w:rPr>
          <w:rFonts w:ascii="Times New Roman" w:eastAsia="Calibri" w:hAnsi="Times New Roman"/>
          <w:b/>
          <w:bCs/>
          <w:kern w:val="32"/>
          <w:sz w:val="22"/>
          <w:szCs w:val="22"/>
          <w:lang w:val="lt-LT" w:eastAsia="lt-LT"/>
        </w:rPr>
      </w:pPr>
    </w:p>
    <w:p w:rsidR="00E74DEC" w:rsidRPr="00186A98" w:rsidRDefault="00E74DEC" w:rsidP="00E74DEC">
      <w:pPr>
        <w:keepNext/>
        <w:outlineLvl w:val="0"/>
        <w:rPr>
          <w:rFonts w:ascii="Times New Roman" w:eastAsia="Calibri" w:hAnsi="Times New Roman"/>
          <w:b/>
          <w:bCs/>
          <w:kern w:val="32"/>
          <w:sz w:val="22"/>
          <w:szCs w:val="22"/>
          <w:lang w:val="lt-LT" w:eastAsia="lt-LT"/>
        </w:rPr>
      </w:pPr>
      <w:r w:rsidRPr="00186A98">
        <w:rPr>
          <w:rFonts w:ascii="Times New Roman" w:eastAsia="Calibri" w:hAnsi="Times New Roman"/>
          <w:b/>
          <w:bCs/>
          <w:kern w:val="32"/>
          <w:sz w:val="22"/>
          <w:szCs w:val="22"/>
          <w:lang w:val="lt-LT" w:eastAsia="lt-LT"/>
        </w:rPr>
        <w:t xml:space="preserve">Vairavimas ir mechanizmų valdymas </w:t>
      </w:r>
    </w:p>
    <w:p w:rsidR="00E74DEC" w:rsidRPr="00186A98" w:rsidRDefault="00E74DEC" w:rsidP="00E74DEC">
      <w:pPr>
        <w:spacing w:after="120"/>
        <w:rPr>
          <w:rFonts w:ascii="Times New Roman" w:hAnsi="Times New Roman"/>
          <w:sz w:val="22"/>
          <w:szCs w:val="22"/>
          <w:lang w:val="lt-LT" w:eastAsia="lt-LT"/>
        </w:rPr>
      </w:pPr>
      <w:r w:rsidRPr="00186A98">
        <w:rPr>
          <w:rFonts w:ascii="Times New Roman" w:hAnsi="Times New Roman"/>
          <w:noProof/>
          <w:sz w:val="22"/>
          <w:szCs w:val="22"/>
          <w:lang w:val="lt-LT" w:eastAsia="lt-LT"/>
        </w:rPr>
        <w:t xml:space="preserve">Gebėjimo vairuoti ir </w:t>
      </w:r>
      <w:r w:rsidRPr="00186A98">
        <w:rPr>
          <w:rFonts w:ascii="Times New Roman" w:hAnsi="Times New Roman"/>
          <w:sz w:val="22"/>
          <w:szCs w:val="22"/>
          <w:lang w:val="lt-LT" w:eastAsia="lt-LT"/>
        </w:rPr>
        <w:t>valdyti mechanizmus</w:t>
      </w:r>
      <w:r w:rsidRPr="00186A98">
        <w:rPr>
          <w:rFonts w:ascii="Times New Roman" w:hAnsi="Times New Roman"/>
          <w:noProof/>
          <w:sz w:val="22"/>
          <w:szCs w:val="22"/>
          <w:lang w:val="lt-LT" w:eastAsia="lt-LT"/>
        </w:rPr>
        <w:t xml:space="preserve"> CALUMID neturėtų trikdyti, tačiau kai kurie šį vaistą var</w:t>
      </w:r>
      <w:r w:rsidRPr="00186A98">
        <w:rPr>
          <w:rFonts w:ascii="Times New Roman" w:hAnsi="Times New Roman"/>
          <w:noProof/>
          <w:sz w:val="22"/>
          <w:szCs w:val="22"/>
          <w:lang w:val="lt-LT" w:eastAsia="lt-LT"/>
        </w:rPr>
        <w:softHyphen/>
        <w:t>to</w:t>
      </w:r>
      <w:r w:rsidRPr="00186A98">
        <w:rPr>
          <w:rFonts w:ascii="Times New Roman" w:hAnsi="Times New Roman"/>
          <w:noProof/>
          <w:sz w:val="22"/>
          <w:szCs w:val="22"/>
          <w:lang w:val="lt-LT" w:eastAsia="lt-LT"/>
        </w:rPr>
        <w:softHyphen/>
        <w:t xml:space="preserve">jantys pacientai </w:t>
      </w:r>
      <w:r w:rsidRPr="00186A98">
        <w:rPr>
          <w:rFonts w:ascii="Times New Roman" w:hAnsi="Times New Roman"/>
          <w:sz w:val="22"/>
          <w:szCs w:val="22"/>
          <w:lang w:val="lt-LT" w:eastAsia="lt-LT"/>
        </w:rPr>
        <w:t xml:space="preserve">gali pasijusti mieguisti. Jei taip nutiktų Jums, pasitarkite su gydytoju arba vaistininku. </w:t>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b/>
          <w:noProof/>
          <w:sz w:val="22"/>
          <w:szCs w:val="22"/>
          <w:lang w:val="lt-LT" w:eastAsia="lt-LT"/>
        </w:rPr>
        <w:t>CALUMID sudėtyje yra laktozės monohidrato.</w:t>
      </w:r>
      <w:r w:rsidRPr="00186A98">
        <w:rPr>
          <w:rFonts w:ascii="Times New Roman" w:hAnsi="Times New Roman"/>
          <w:noProof/>
          <w:sz w:val="22"/>
          <w:szCs w:val="22"/>
          <w:lang w:val="lt-LT" w:eastAsia="lt-LT"/>
        </w:rPr>
        <w:t xml:space="preserve"> </w:t>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noProof/>
          <w:sz w:val="22"/>
          <w:szCs w:val="22"/>
          <w:lang w:val="lt-LT" w:eastAsia="lt-LT"/>
        </w:rPr>
        <w:t xml:space="preserve">CALUMID sudėtyje yra tam tikro cukraus, vadinamo laktoze. </w:t>
      </w:r>
      <w:r w:rsidRPr="00186A98">
        <w:rPr>
          <w:rFonts w:ascii="Times New Roman" w:hAnsi="Times New Roman"/>
          <w:sz w:val="22"/>
          <w:szCs w:val="22"/>
          <w:lang w:val="lt-LT" w:eastAsia="lt-LT"/>
        </w:rPr>
        <w:t>Jeigu gydytojas Jums yra sakęs, kad netoleruojate kokių nors angliavandenių, kreipkitės į jį prieš pradėdami vartoti šį vaistą.</w:t>
      </w:r>
    </w:p>
    <w:p w:rsidR="00E74DEC" w:rsidRPr="00186A98" w:rsidRDefault="00E74DEC" w:rsidP="00E74DEC">
      <w:pPr>
        <w:rPr>
          <w:rFonts w:ascii="Times New Roman" w:hAnsi="Times New Roman"/>
          <w:sz w:val="22"/>
          <w:szCs w:val="22"/>
          <w:lang w:val="lt-LT" w:eastAsia="lt-LT"/>
        </w:rPr>
      </w:pPr>
    </w:p>
    <w:p w:rsidR="00E74DEC" w:rsidRPr="00186A98" w:rsidRDefault="00E74DEC" w:rsidP="0084176F">
      <w:pPr>
        <w:keepNext/>
        <w:ind w:left="567" w:hanging="567"/>
        <w:outlineLvl w:val="0"/>
        <w:rPr>
          <w:rFonts w:ascii="Times New Roman" w:eastAsia="Calibri" w:hAnsi="Times New Roman"/>
          <w:b/>
          <w:bCs/>
          <w:kern w:val="32"/>
          <w:sz w:val="22"/>
          <w:szCs w:val="22"/>
          <w:lang w:val="lt-LT" w:eastAsia="lt-LT"/>
        </w:rPr>
      </w:pPr>
      <w:r w:rsidRPr="00186A98">
        <w:rPr>
          <w:rFonts w:ascii="Times New Roman" w:eastAsia="Calibri" w:hAnsi="Times New Roman"/>
          <w:b/>
          <w:bCs/>
          <w:kern w:val="32"/>
          <w:sz w:val="22"/>
          <w:szCs w:val="22"/>
          <w:lang w:val="lt-LT" w:eastAsia="lt-LT"/>
        </w:rPr>
        <w:t>3.</w:t>
      </w:r>
      <w:r w:rsidRPr="00186A98">
        <w:rPr>
          <w:rFonts w:ascii="Times New Roman" w:eastAsia="Calibri" w:hAnsi="Times New Roman"/>
          <w:b/>
          <w:bCs/>
          <w:kern w:val="32"/>
          <w:sz w:val="22"/>
          <w:szCs w:val="22"/>
          <w:lang w:val="lt-LT" w:eastAsia="lt-LT"/>
        </w:rPr>
        <w:tab/>
        <w:t xml:space="preserve">Kaip vartoti CALUMID </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 xml:space="preserve">Visada vartokite šį vaistą tiksliai kaip nurodė gydytojas. Jeigu abejojate, kreipkitės į gydytoją arba vaistininką. </w:t>
      </w:r>
    </w:p>
    <w:p w:rsidR="00E74DEC" w:rsidRPr="00186A98" w:rsidRDefault="00E74DEC" w:rsidP="00E74DEC">
      <w:pPr>
        <w:rPr>
          <w:rFonts w:ascii="Times New Roman" w:hAnsi="Times New Roman"/>
          <w:iCs/>
          <w:sz w:val="22"/>
          <w:szCs w:val="22"/>
          <w:lang w:val="lt-LT" w:eastAsia="lt-LT"/>
        </w:rPr>
      </w:pPr>
      <w:r w:rsidRPr="00186A98">
        <w:rPr>
          <w:rFonts w:ascii="Times New Roman" w:hAnsi="Times New Roman"/>
          <w:iCs/>
          <w:sz w:val="22"/>
          <w:szCs w:val="22"/>
          <w:lang w:val="lt-LT" w:eastAsia="lt-LT"/>
        </w:rPr>
        <w:t xml:space="preserve">Suaugę vyrai, įskaitant senyvus. </w:t>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Rekomenduojama</w:t>
      </w:r>
      <w:r w:rsidRPr="00186A98">
        <w:rPr>
          <w:rFonts w:ascii="Times New Roman" w:hAnsi="Times New Roman"/>
          <w:color w:val="008000"/>
          <w:sz w:val="22"/>
          <w:szCs w:val="22"/>
          <w:lang w:val="lt-LT" w:eastAsia="lt-LT"/>
        </w:rPr>
        <w:t xml:space="preserve"> </w:t>
      </w:r>
      <w:r w:rsidRPr="00186A98">
        <w:rPr>
          <w:rFonts w:ascii="Times New Roman" w:hAnsi="Times New Roman"/>
          <w:sz w:val="22"/>
          <w:szCs w:val="22"/>
          <w:lang w:val="lt-LT" w:eastAsia="lt-LT"/>
        </w:rPr>
        <w:t xml:space="preserve">paros dozė yra viena tabletė kartą per parą kasdien. </w:t>
      </w:r>
    </w:p>
    <w:p w:rsidR="00E74DEC" w:rsidRPr="00186A98" w:rsidRDefault="00E74DEC" w:rsidP="00E74DEC">
      <w:pPr>
        <w:rPr>
          <w:rFonts w:ascii="Times New Roman" w:hAnsi="Times New Roman"/>
          <w:i/>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Tabletę reikia nuryti nekramtytą, užsigeriant vandeniu. Stenkitės išgerti tabletę tokiu pat dienos metu.</w:t>
      </w:r>
    </w:p>
    <w:p w:rsidR="00E74DEC" w:rsidRPr="00186A98" w:rsidRDefault="00E74DEC" w:rsidP="00E74DEC">
      <w:pPr>
        <w:jc w:val="both"/>
        <w:rPr>
          <w:rFonts w:ascii="Times New Roman" w:hAnsi="Times New Roman"/>
          <w:sz w:val="22"/>
          <w:szCs w:val="22"/>
          <w:lang w:val="lt-LT" w:eastAsia="lt-LT"/>
        </w:rPr>
      </w:pPr>
    </w:p>
    <w:p w:rsidR="00E74DEC" w:rsidRPr="00186A98" w:rsidRDefault="00E74DEC" w:rsidP="00E74DEC">
      <w:pPr>
        <w:jc w:val="both"/>
        <w:rPr>
          <w:rFonts w:ascii="Times New Roman" w:hAnsi="Times New Roman"/>
          <w:b/>
          <w:bCs/>
          <w:sz w:val="22"/>
          <w:szCs w:val="22"/>
          <w:lang w:val="lt-LT" w:eastAsia="lt-LT"/>
        </w:rPr>
      </w:pPr>
      <w:r w:rsidRPr="00186A98">
        <w:rPr>
          <w:rFonts w:ascii="Times New Roman" w:hAnsi="Times New Roman"/>
          <w:b/>
          <w:bCs/>
          <w:sz w:val="22"/>
          <w:szCs w:val="22"/>
          <w:lang w:val="lt-LT" w:eastAsia="lt-LT"/>
        </w:rPr>
        <w:t>Ką daryti pavartojus per didelę CALUMID dozę?</w:t>
      </w:r>
    </w:p>
    <w:p w:rsidR="00E74DEC" w:rsidRPr="00186A98" w:rsidRDefault="00E74DEC" w:rsidP="00E74DEC">
      <w:pPr>
        <w:jc w:val="both"/>
        <w:rPr>
          <w:rFonts w:ascii="Times New Roman" w:hAnsi="Times New Roman"/>
          <w:sz w:val="22"/>
          <w:szCs w:val="22"/>
          <w:lang w:val="lt-LT" w:eastAsia="lt-LT"/>
        </w:rPr>
      </w:pPr>
      <w:r w:rsidRPr="00186A98">
        <w:rPr>
          <w:rFonts w:ascii="Times New Roman" w:hAnsi="Times New Roman"/>
          <w:sz w:val="22"/>
          <w:szCs w:val="22"/>
          <w:lang w:val="lt-LT" w:eastAsia="lt-LT"/>
        </w:rPr>
        <w:t>Jei pavartojote didesnę nei nurodyta dozę, nedelsdami kreipkitės į gydytoją arba artimiausią ligoninę. Pasiimkite likusias tabletes ar vaisto pakuotę, kad gydytojas žinotų, kokius vaistus pavartojote.</w:t>
      </w:r>
    </w:p>
    <w:p w:rsidR="00E74DEC" w:rsidRPr="00186A98" w:rsidRDefault="00E74DEC" w:rsidP="00E74DEC">
      <w:pPr>
        <w:jc w:val="both"/>
        <w:rPr>
          <w:rFonts w:ascii="Times New Roman" w:hAnsi="Times New Roman"/>
          <w:b/>
          <w:bCs/>
          <w:sz w:val="22"/>
          <w:szCs w:val="22"/>
          <w:lang w:val="lt-LT" w:eastAsia="lt-LT"/>
        </w:rPr>
      </w:pPr>
    </w:p>
    <w:p w:rsidR="00E74DEC" w:rsidRPr="00186A98" w:rsidRDefault="00E74DEC" w:rsidP="00E74DEC">
      <w:pPr>
        <w:jc w:val="both"/>
        <w:rPr>
          <w:rFonts w:ascii="Times New Roman" w:hAnsi="Times New Roman"/>
          <w:sz w:val="22"/>
          <w:szCs w:val="22"/>
          <w:lang w:val="lt-LT" w:eastAsia="lt-LT"/>
        </w:rPr>
      </w:pPr>
      <w:r w:rsidRPr="00186A98">
        <w:rPr>
          <w:rFonts w:ascii="Times New Roman" w:hAnsi="Times New Roman"/>
          <w:b/>
          <w:bCs/>
          <w:sz w:val="22"/>
          <w:szCs w:val="22"/>
          <w:lang w:val="lt-LT" w:eastAsia="lt-LT"/>
        </w:rPr>
        <w:t>Pamiršus pavartoti</w:t>
      </w:r>
      <w:r w:rsidRPr="00186A98">
        <w:rPr>
          <w:rFonts w:ascii="Times New Roman" w:hAnsi="Times New Roman"/>
          <w:sz w:val="22"/>
          <w:szCs w:val="22"/>
          <w:lang w:val="lt-LT" w:eastAsia="lt-LT"/>
        </w:rPr>
        <w:t xml:space="preserve"> </w:t>
      </w:r>
      <w:r w:rsidRPr="00186A98">
        <w:rPr>
          <w:rFonts w:ascii="Times New Roman" w:hAnsi="Times New Roman"/>
          <w:b/>
          <w:bCs/>
          <w:sz w:val="22"/>
          <w:szCs w:val="22"/>
          <w:lang w:val="lt-LT" w:eastAsia="lt-LT"/>
        </w:rPr>
        <w:t xml:space="preserve">CALUMID </w:t>
      </w:r>
    </w:p>
    <w:p w:rsidR="00E74DEC" w:rsidRPr="00186A98" w:rsidRDefault="00E74DEC" w:rsidP="00E74DEC">
      <w:pPr>
        <w:jc w:val="both"/>
        <w:rPr>
          <w:rFonts w:ascii="Times New Roman" w:hAnsi="Times New Roman"/>
          <w:sz w:val="22"/>
          <w:szCs w:val="22"/>
          <w:lang w:val="lt-LT" w:eastAsia="lt-LT"/>
        </w:rPr>
      </w:pPr>
      <w:r w:rsidRPr="00186A98">
        <w:rPr>
          <w:rFonts w:ascii="Times New Roman" w:hAnsi="Times New Roman"/>
          <w:sz w:val="22"/>
          <w:szCs w:val="22"/>
          <w:lang w:val="lt-LT" w:eastAsia="lt-LT"/>
        </w:rPr>
        <w:t>Jei pamiršote laiku išgerti paros dozę, praleiskite ją ir kitą dozę išgerkite įprastu laiku. Negalima vartoti dvigubos dozės norint kompensuoti praleistą tabletę.</w:t>
      </w:r>
    </w:p>
    <w:p w:rsidR="00E74DEC" w:rsidRPr="00186A98" w:rsidRDefault="00E74DEC" w:rsidP="00E74DEC">
      <w:pPr>
        <w:tabs>
          <w:tab w:val="left" w:pos="720"/>
        </w:tabs>
        <w:rPr>
          <w:rFonts w:ascii="Times New Roman" w:hAnsi="Times New Roman"/>
          <w:b/>
          <w:bCs/>
          <w:sz w:val="22"/>
          <w:szCs w:val="22"/>
          <w:lang w:val="lt-LT"/>
        </w:rPr>
      </w:pPr>
    </w:p>
    <w:p w:rsidR="00E74DEC" w:rsidRPr="00186A98" w:rsidRDefault="00E74DEC" w:rsidP="00E74DEC">
      <w:pPr>
        <w:tabs>
          <w:tab w:val="left" w:pos="720"/>
        </w:tabs>
        <w:rPr>
          <w:rFonts w:ascii="Times New Roman" w:hAnsi="Times New Roman"/>
          <w:b/>
          <w:bCs/>
          <w:sz w:val="22"/>
          <w:szCs w:val="22"/>
          <w:lang w:val="lt-LT"/>
        </w:rPr>
      </w:pPr>
      <w:r w:rsidRPr="00186A98">
        <w:rPr>
          <w:rFonts w:ascii="Times New Roman" w:hAnsi="Times New Roman"/>
          <w:b/>
          <w:bCs/>
          <w:sz w:val="22"/>
          <w:szCs w:val="22"/>
          <w:lang w:val="lt-LT"/>
        </w:rPr>
        <w:t xml:space="preserve">Nustojus vartoti CALUMID </w:t>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 xml:space="preserve">Net jeigu jaučiatės sveiki, nepasitarę su gydytoju nenutraukite šių tablečių vartojimo. </w:t>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Jeigu kiltų daugiau klausimų dėl šio vaisto vartojimo, kreipkitės į gydytoją arba vaistininką.</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84176F">
      <w:pPr>
        <w:ind w:left="567" w:hanging="567"/>
        <w:rPr>
          <w:rFonts w:ascii="Times New Roman" w:hAnsi="Times New Roman"/>
          <w:b/>
          <w:sz w:val="22"/>
          <w:szCs w:val="22"/>
          <w:lang w:val="lt-LT" w:eastAsia="lt-LT"/>
        </w:rPr>
      </w:pPr>
      <w:r w:rsidRPr="00186A98">
        <w:rPr>
          <w:rFonts w:ascii="Times New Roman" w:hAnsi="Times New Roman"/>
          <w:b/>
          <w:sz w:val="22"/>
          <w:szCs w:val="22"/>
          <w:lang w:val="lt-LT" w:eastAsia="lt-LT"/>
        </w:rPr>
        <w:t>4.</w:t>
      </w:r>
      <w:r w:rsidRPr="00186A98">
        <w:rPr>
          <w:rFonts w:ascii="Times New Roman" w:hAnsi="Times New Roman"/>
          <w:b/>
          <w:sz w:val="22"/>
          <w:szCs w:val="22"/>
          <w:lang w:val="lt-LT" w:eastAsia="lt-LT"/>
        </w:rPr>
        <w:tab/>
        <w:t xml:space="preserve">Galimas šalutinis poveikis </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lastRenderedPageBreak/>
        <w:t xml:space="preserve">Šis vaistas, kaip ir kiti, gali sukelti šalutinį poveikį, tačiau jis pasireiškia ne visiems žmonėms. </w:t>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b/>
          <w:sz w:val="22"/>
          <w:szCs w:val="22"/>
          <w:lang w:val="lt-LT" w:eastAsia="lt-LT"/>
        </w:rPr>
        <w:t>Alerginės reakcijos</w:t>
      </w:r>
      <w:r w:rsidRPr="00186A98">
        <w:rPr>
          <w:rFonts w:ascii="Times New Roman" w:hAnsi="Times New Roman"/>
          <w:i/>
          <w:sz w:val="22"/>
          <w:szCs w:val="22"/>
          <w:lang w:val="lt-LT" w:eastAsia="lt-LT"/>
        </w:rPr>
        <w:t xml:space="preserve"> </w:t>
      </w:r>
      <w:r w:rsidRPr="00186A98">
        <w:rPr>
          <w:rFonts w:ascii="Times New Roman" w:hAnsi="Times New Roman"/>
          <w:b/>
          <w:noProof/>
          <w:sz w:val="22"/>
          <w:szCs w:val="22"/>
          <w:lang w:val="lt-LT" w:eastAsia="lt-LT"/>
        </w:rPr>
        <w:t>(</w:t>
      </w:r>
      <w:r w:rsidRPr="00186A98">
        <w:rPr>
          <w:rFonts w:ascii="Times New Roman" w:hAnsi="Times New Roman"/>
          <w:noProof/>
          <w:sz w:val="22"/>
          <w:szCs w:val="22"/>
          <w:lang w:val="lt-LT" w:eastAsia="lt-LT"/>
        </w:rPr>
        <w:t xml:space="preserve">nedažnas šalutinis poveikis, gali pasireikšti </w:t>
      </w:r>
      <w:r w:rsidRPr="00186A98">
        <w:rPr>
          <w:rFonts w:ascii="Times New Roman" w:hAnsi="Times New Roman"/>
          <w:sz w:val="22"/>
          <w:szCs w:val="22"/>
          <w:lang w:val="lt-LT" w:eastAsia="lt-LT"/>
        </w:rPr>
        <w:t>mažiau kaip 1 iš 100 žmonių):</w:t>
      </w:r>
    </w:p>
    <w:p w:rsidR="00E74DEC" w:rsidRPr="00186A98" w:rsidRDefault="00E74DEC" w:rsidP="00E74DEC">
      <w:pPr>
        <w:rPr>
          <w:rFonts w:ascii="Times New Roman" w:hAnsi="Times New Roman"/>
          <w:b/>
          <w:noProof/>
          <w:sz w:val="22"/>
          <w:szCs w:val="22"/>
          <w:lang w:val="lt-LT" w:eastAsia="lt-LT"/>
        </w:rPr>
      </w:pPr>
      <w:r w:rsidRPr="00186A98">
        <w:rPr>
          <w:rFonts w:ascii="Times New Roman" w:hAnsi="Times New Roman"/>
          <w:sz w:val="22"/>
          <w:szCs w:val="22"/>
          <w:lang w:val="lt-LT" w:eastAsia="lt-LT"/>
        </w:rPr>
        <w:t>Gali staiga prasidėti:</w:t>
      </w:r>
    </w:p>
    <w:p w:rsidR="00E74DEC" w:rsidRPr="00186A98" w:rsidRDefault="00E74DEC" w:rsidP="00E74DEC">
      <w:pPr>
        <w:numPr>
          <w:ilvl w:val="0"/>
          <w:numId w:val="19"/>
        </w:numPr>
        <w:ind w:left="340"/>
        <w:rPr>
          <w:rFonts w:ascii="Times New Roman" w:hAnsi="Times New Roman"/>
          <w:noProof/>
          <w:sz w:val="22"/>
          <w:szCs w:val="22"/>
          <w:lang w:val="lt-LT" w:eastAsia="lt-LT"/>
        </w:rPr>
      </w:pPr>
      <w:r w:rsidRPr="00186A98">
        <w:rPr>
          <w:rFonts w:ascii="Times New Roman" w:hAnsi="Times New Roman"/>
          <w:noProof/>
          <w:sz w:val="22"/>
          <w:szCs w:val="22"/>
          <w:lang w:val="lt-LT" w:eastAsia="lt-LT"/>
        </w:rPr>
        <w:t xml:space="preserve">odos bėrimas, niežulys ar dilgėlinė; </w:t>
      </w:r>
    </w:p>
    <w:p w:rsidR="00E74DEC" w:rsidRPr="00186A98" w:rsidRDefault="00E74DEC" w:rsidP="00E74DEC">
      <w:pPr>
        <w:numPr>
          <w:ilvl w:val="0"/>
          <w:numId w:val="20"/>
        </w:numPr>
        <w:rPr>
          <w:rFonts w:ascii="Times New Roman" w:hAnsi="Times New Roman"/>
          <w:noProof/>
          <w:sz w:val="22"/>
          <w:szCs w:val="22"/>
          <w:lang w:val="lt-LT" w:eastAsia="lt-LT"/>
        </w:rPr>
      </w:pPr>
      <w:r w:rsidRPr="00186A98">
        <w:rPr>
          <w:rFonts w:ascii="Times New Roman" w:hAnsi="Times New Roman"/>
          <w:noProof/>
          <w:sz w:val="22"/>
          <w:szCs w:val="22"/>
          <w:lang w:val="lt-LT" w:eastAsia="lt-LT"/>
        </w:rPr>
        <w:t>veido, lūpų, liežuvio, gerklės ar kitų kūno vietų tinimas.</w:t>
      </w:r>
    </w:p>
    <w:p w:rsidR="00E74DEC" w:rsidRPr="00186A98" w:rsidRDefault="00E74DEC" w:rsidP="00E74DEC">
      <w:pPr>
        <w:numPr>
          <w:ilvl w:val="0"/>
          <w:numId w:val="20"/>
        </w:numPr>
        <w:rPr>
          <w:rFonts w:ascii="Times New Roman" w:hAnsi="Times New Roman"/>
          <w:noProof/>
          <w:sz w:val="22"/>
          <w:szCs w:val="22"/>
          <w:lang w:val="lt-LT" w:eastAsia="lt-LT"/>
        </w:rPr>
      </w:pPr>
      <w:r w:rsidRPr="00186A98">
        <w:rPr>
          <w:rFonts w:ascii="Times New Roman" w:hAnsi="Times New Roman"/>
          <w:noProof/>
          <w:sz w:val="22"/>
          <w:szCs w:val="22"/>
          <w:lang w:val="lt-LT" w:eastAsia="lt-LT"/>
        </w:rPr>
        <w:t>dusulys, švokštimas ar kvėpavimo pasunkėjimas.</w:t>
      </w:r>
    </w:p>
    <w:p w:rsidR="00E74DEC" w:rsidRPr="00186A98" w:rsidRDefault="00E74DEC" w:rsidP="00E74DEC">
      <w:pPr>
        <w:rPr>
          <w:rFonts w:ascii="Times New Roman" w:hAnsi="Times New Roman"/>
          <w:noProof/>
          <w:sz w:val="22"/>
          <w:szCs w:val="22"/>
          <w:lang w:val="lt-LT" w:eastAsia="lt-LT"/>
        </w:rPr>
      </w:pPr>
      <w:r w:rsidRPr="00186A98">
        <w:rPr>
          <w:rFonts w:ascii="Times New Roman" w:hAnsi="Times New Roman"/>
          <w:b/>
          <w:noProof/>
          <w:sz w:val="22"/>
          <w:szCs w:val="22"/>
          <w:lang w:val="lt-LT" w:eastAsia="lt-LT"/>
        </w:rPr>
        <w:t>Tokiu atveju, nedelsdami kreipkitės į gydytoją.</w:t>
      </w:r>
    </w:p>
    <w:p w:rsidR="00E74DEC" w:rsidRPr="00186A98" w:rsidRDefault="00E74DEC" w:rsidP="00E74DEC">
      <w:pPr>
        <w:rPr>
          <w:rFonts w:ascii="Times New Roman" w:hAnsi="Times New Roman"/>
          <w:noProof/>
          <w:sz w:val="22"/>
          <w:szCs w:val="22"/>
          <w:lang w:val="lt-LT" w:eastAsia="lt-LT"/>
        </w:rPr>
      </w:pPr>
    </w:p>
    <w:p w:rsidR="00E74DEC" w:rsidRPr="00186A98" w:rsidRDefault="00E74DEC" w:rsidP="00E74DEC">
      <w:pPr>
        <w:rPr>
          <w:rFonts w:ascii="Times New Roman" w:hAnsi="Times New Roman"/>
          <w:b/>
          <w:noProof/>
          <w:sz w:val="22"/>
          <w:szCs w:val="22"/>
          <w:lang w:val="lt-LT" w:eastAsia="lt-LT"/>
        </w:rPr>
      </w:pPr>
      <w:r w:rsidRPr="00186A98">
        <w:rPr>
          <w:rFonts w:ascii="Times New Roman" w:hAnsi="Times New Roman"/>
          <w:b/>
          <w:noProof/>
          <w:sz w:val="22"/>
          <w:szCs w:val="22"/>
          <w:lang w:val="lt-LT" w:eastAsia="lt-LT"/>
        </w:rPr>
        <w:t>Taip pat nedelsdami pasakykite</w:t>
      </w:r>
      <w:r w:rsidRPr="00186A98">
        <w:rPr>
          <w:rFonts w:ascii="Times New Roman" w:hAnsi="Times New Roman"/>
          <w:b/>
          <w:sz w:val="22"/>
          <w:szCs w:val="22"/>
          <w:lang w:val="lt-LT" w:eastAsia="lt-LT"/>
        </w:rPr>
        <w:t xml:space="preserve"> gydytojui, </w:t>
      </w:r>
      <w:r w:rsidRPr="00186A98">
        <w:rPr>
          <w:rFonts w:ascii="Times New Roman" w:hAnsi="Times New Roman"/>
          <w:b/>
          <w:noProof/>
          <w:sz w:val="22"/>
          <w:szCs w:val="22"/>
          <w:lang w:val="lt-LT" w:eastAsia="lt-LT"/>
        </w:rPr>
        <w:t xml:space="preserve">jeigu pasireiškė toliau nurodytas poveikis. </w:t>
      </w:r>
    </w:p>
    <w:p w:rsidR="00E74DEC" w:rsidRPr="00186A98" w:rsidRDefault="00E74DEC" w:rsidP="00E74DEC">
      <w:pPr>
        <w:rPr>
          <w:rFonts w:ascii="Times New Roman" w:hAnsi="Times New Roman"/>
          <w:noProof/>
          <w:sz w:val="22"/>
          <w:szCs w:val="22"/>
          <w:lang w:val="lt-LT" w:eastAsia="lt-LT"/>
        </w:rPr>
      </w:pPr>
    </w:p>
    <w:p w:rsidR="00E74DEC" w:rsidRPr="00186A98" w:rsidRDefault="00E74DEC" w:rsidP="00E74DEC">
      <w:pPr>
        <w:rPr>
          <w:rFonts w:ascii="Times New Roman" w:hAnsi="Times New Roman"/>
          <w:noProof/>
          <w:sz w:val="22"/>
          <w:szCs w:val="22"/>
          <w:lang w:val="lt-LT" w:eastAsia="lt-LT"/>
        </w:rPr>
      </w:pPr>
      <w:r w:rsidRPr="00186A98">
        <w:rPr>
          <w:rFonts w:ascii="Times New Roman" w:hAnsi="Times New Roman"/>
          <w:noProof/>
          <w:sz w:val="22"/>
          <w:szCs w:val="22"/>
          <w:lang w:val="lt-LT" w:eastAsia="lt-LT"/>
        </w:rPr>
        <w:t xml:space="preserve">Dažnas šalutinis poveikis (gali </w:t>
      </w:r>
      <w:r w:rsidRPr="00186A98">
        <w:rPr>
          <w:rFonts w:ascii="Times New Roman" w:hAnsi="Times New Roman"/>
          <w:sz w:val="22"/>
          <w:szCs w:val="22"/>
          <w:lang w:val="lt-LT" w:eastAsia="lt-LT"/>
        </w:rPr>
        <w:t>pasireikšti  mažiau kaip 1 iš 10 žmonių)</w:t>
      </w:r>
      <w:r w:rsidRPr="00186A98">
        <w:rPr>
          <w:rFonts w:ascii="Times New Roman" w:hAnsi="Times New Roman"/>
          <w:noProof/>
          <w:sz w:val="22"/>
          <w:szCs w:val="22"/>
          <w:lang w:val="lt-LT" w:eastAsia="lt-LT"/>
        </w:rPr>
        <w:t>:</w:t>
      </w:r>
    </w:p>
    <w:p w:rsidR="00E74DEC" w:rsidRPr="00186A98" w:rsidRDefault="00E74DEC" w:rsidP="00E74DEC">
      <w:pPr>
        <w:numPr>
          <w:ilvl w:val="0"/>
          <w:numId w:val="21"/>
        </w:numPr>
        <w:rPr>
          <w:rFonts w:ascii="Times New Roman" w:hAnsi="Times New Roman"/>
          <w:noProof/>
          <w:sz w:val="22"/>
          <w:szCs w:val="22"/>
          <w:lang w:val="lt-LT" w:eastAsia="lt-LT"/>
        </w:rPr>
      </w:pPr>
      <w:r w:rsidRPr="00186A98">
        <w:rPr>
          <w:rFonts w:ascii="Times New Roman" w:hAnsi="Times New Roman"/>
          <w:noProof/>
          <w:sz w:val="22"/>
          <w:szCs w:val="22"/>
          <w:lang w:val="lt-LT" w:eastAsia="lt-LT"/>
        </w:rPr>
        <w:t xml:space="preserve">odos ar akių baltymų pageltimas (gelta); tai gali būti požymis, kad jūsų kepenys yra nesveikos, o retais atvejais (gali pasireikšti </w:t>
      </w:r>
      <w:r w:rsidRPr="00186A98">
        <w:rPr>
          <w:rFonts w:ascii="Times New Roman" w:hAnsi="Times New Roman"/>
          <w:sz w:val="22"/>
          <w:szCs w:val="22"/>
          <w:lang w:val="lt-LT" w:eastAsia="lt-LT"/>
        </w:rPr>
        <w:t xml:space="preserve">mažiau kaip 1 iš 1000 žmonių) </w:t>
      </w:r>
      <w:r w:rsidRPr="00186A98">
        <w:rPr>
          <w:rFonts w:ascii="Times New Roman" w:hAnsi="Times New Roman"/>
          <w:noProof/>
          <w:sz w:val="22"/>
          <w:szCs w:val="22"/>
          <w:lang w:val="lt-LT" w:eastAsia="lt-LT"/>
        </w:rPr>
        <w:t>– kepenų nepakankamumas;</w:t>
      </w:r>
    </w:p>
    <w:p w:rsidR="00E74DEC" w:rsidRPr="00186A98" w:rsidRDefault="00E74DEC" w:rsidP="00E74DEC">
      <w:pPr>
        <w:numPr>
          <w:ilvl w:val="0"/>
          <w:numId w:val="22"/>
        </w:numPr>
        <w:ind w:left="340"/>
        <w:rPr>
          <w:rFonts w:ascii="Times New Roman" w:hAnsi="Times New Roman"/>
          <w:noProof/>
          <w:sz w:val="22"/>
          <w:szCs w:val="22"/>
          <w:lang w:val="lt-LT" w:eastAsia="lt-LT"/>
        </w:rPr>
      </w:pPr>
      <w:r w:rsidRPr="00186A98">
        <w:rPr>
          <w:rFonts w:ascii="Times New Roman" w:hAnsi="Times New Roman"/>
          <w:noProof/>
          <w:sz w:val="22"/>
          <w:szCs w:val="22"/>
          <w:lang w:val="lt-LT" w:eastAsia="lt-LT"/>
        </w:rPr>
        <w:t>pilvo skausmas;</w:t>
      </w:r>
    </w:p>
    <w:p w:rsidR="00E74DEC" w:rsidRPr="00186A98" w:rsidRDefault="00E74DEC" w:rsidP="00E74DEC">
      <w:pPr>
        <w:numPr>
          <w:ilvl w:val="0"/>
          <w:numId w:val="22"/>
        </w:numPr>
        <w:ind w:left="340"/>
        <w:rPr>
          <w:rFonts w:ascii="Times New Roman" w:hAnsi="Times New Roman"/>
          <w:noProof/>
          <w:sz w:val="22"/>
          <w:szCs w:val="22"/>
          <w:lang w:val="lt-LT" w:eastAsia="lt-LT"/>
        </w:rPr>
      </w:pPr>
      <w:r w:rsidRPr="00186A98">
        <w:rPr>
          <w:rFonts w:ascii="Times New Roman" w:hAnsi="Times New Roman"/>
          <w:noProof/>
          <w:sz w:val="22"/>
          <w:szCs w:val="22"/>
          <w:lang w:val="lt-LT" w:eastAsia="lt-LT"/>
        </w:rPr>
        <w:t>kraujas šlapime;</w:t>
      </w:r>
    </w:p>
    <w:p w:rsidR="00E74DEC" w:rsidRPr="00186A98" w:rsidRDefault="00E74DEC" w:rsidP="00E74DEC">
      <w:pPr>
        <w:rPr>
          <w:rFonts w:ascii="Times New Roman" w:hAnsi="Times New Roman"/>
          <w:noProof/>
          <w:sz w:val="22"/>
          <w:szCs w:val="22"/>
          <w:lang w:val="lt-LT" w:eastAsia="lt-LT"/>
        </w:rPr>
      </w:pPr>
    </w:p>
    <w:p w:rsidR="00E74DEC" w:rsidRPr="00186A98" w:rsidRDefault="00E74DEC" w:rsidP="00E74DEC">
      <w:pPr>
        <w:rPr>
          <w:rFonts w:ascii="Times New Roman" w:hAnsi="Times New Roman"/>
          <w:noProof/>
          <w:sz w:val="22"/>
          <w:szCs w:val="22"/>
          <w:lang w:val="lt-LT" w:eastAsia="lt-LT"/>
        </w:rPr>
      </w:pPr>
      <w:r w:rsidRPr="00186A98">
        <w:rPr>
          <w:rFonts w:ascii="Times New Roman" w:hAnsi="Times New Roman"/>
          <w:noProof/>
          <w:sz w:val="22"/>
          <w:szCs w:val="22"/>
          <w:lang w:val="lt-LT" w:eastAsia="lt-LT"/>
        </w:rPr>
        <w:t xml:space="preserve">Nedažnas šalutinis poveikis (gali pasireikšti </w:t>
      </w:r>
      <w:r w:rsidRPr="00186A98">
        <w:rPr>
          <w:rFonts w:ascii="Times New Roman" w:hAnsi="Times New Roman"/>
          <w:sz w:val="22"/>
          <w:szCs w:val="22"/>
          <w:lang w:val="lt-LT" w:eastAsia="lt-LT"/>
        </w:rPr>
        <w:t>mažiau kaip 1 iš 100 žmonių)</w:t>
      </w:r>
      <w:r w:rsidRPr="00186A98">
        <w:rPr>
          <w:rFonts w:ascii="Times New Roman" w:hAnsi="Times New Roman"/>
          <w:noProof/>
          <w:sz w:val="22"/>
          <w:szCs w:val="22"/>
          <w:lang w:val="lt-LT" w:eastAsia="lt-LT"/>
        </w:rPr>
        <w:t>:</w:t>
      </w:r>
    </w:p>
    <w:p w:rsidR="00E74DEC" w:rsidRPr="00186A98" w:rsidRDefault="00E74DEC" w:rsidP="00E74DEC">
      <w:pPr>
        <w:numPr>
          <w:ilvl w:val="0"/>
          <w:numId w:val="23"/>
        </w:numPr>
        <w:ind w:left="340"/>
        <w:rPr>
          <w:rFonts w:ascii="Times New Roman" w:hAnsi="Times New Roman"/>
          <w:noProof/>
          <w:sz w:val="22"/>
          <w:szCs w:val="22"/>
          <w:lang w:val="lt-LT" w:eastAsia="lt-LT"/>
        </w:rPr>
      </w:pPr>
      <w:r w:rsidRPr="00186A98">
        <w:rPr>
          <w:rFonts w:ascii="Times New Roman" w:hAnsi="Times New Roman"/>
          <w:noProof/>
          <w:sz w:val="22"/>
          <w:szCs w:val="22"/>
          <w:lang w:val="lt-LT" w:eastAsia="lt-LT"/>
        </w:rPr>
        <w:t>stiprus dusulys arba staigus jo pasunkėjimas (kartu gali būti kosulys ir karščiavimas). Tai gali būti plaučių uždegimo, vadi</w:t>
      </w:r>
      <w:r w:rsidRPr="00186A98">
        <w:rPr>
          <w:rFonts w:ascii="Times New Roman" w:hAnsi="Times New Roman"/>
          <w:noProof/>
          <w:sz w:val="22"/>
          <w:szCs w:val="22"/>
          <w:lang w:val="lt-LT" w:eastAsia="lt-LT"/>
        </w:rPr>
        <w:softHyphen/>
        <w:t>na</w:t>
      </w:r>
      <w:r w:rsidRPr="00186A98">
        <w:rPr>
          <w:rFonts w:ascii="Times New Roman" w:hAnsi="Times New Roman"/>
          <w:noProof/>
          <w:sz w:val="22"/>
          <w:szCs w:val="22"/>
          <w:lang w:val="lt-LT" w:eastAsia="lt-LT"/>
        </w:rPr>
        <w:softHyphen/>
        <w:t>mo intersticine plaučių liga požymis.</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b/>
          <w:sz w:val="22"/>
          <w:szCs w:val="22"/>
          <w:lang w:val="lt-LT" w:eastAsia="lt-LT"/>
        </w:rPr>
      </w:pPr>
      <w:r w:rsidRPr="00186A98">
        <w:rPr>
          <w:rFonts w:ascii="Times New Roman" w:hAnsi="Times New Roman"/>
          <w:b/>
          <w:sz w:val="22"/>
          <w:szCs w:val="22"/>
          <w:lang w:val="lt-LT" w:eastAsia="lt-LT"/>
        </w:rPr>
        <w:t>Kitas galimas šalutinis poveikis</w:t>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noProof/>
          <w:sz w:val="22"/>
          <w:szCs w:val="22"/>
          <w:lang w:val="lt-LT" w:eastAsia="lt-LT"/>
        </w:rPr>
        <w:t xml:space="preserve">Labai dažnas (gali pasireikšti </w:t>
      </w:r>
      <w:r w:rsidRPr="00186A98">
        <w:rPr>
          <w:rFonts w:ascii="Times New Roman" w:hAnsi="Times New Roman"/>
          <w:sz w:val="22"/>
          <w:szCs w:val="22"/>
          <w:lang w:val="lt-LT" w:eastAsia="lt-LT"/>
        </w:rPr>
        <w:t>daugiau kaip 1 iš 10 žmonių):</w:t>
      </w:r>
    </w:p>
    <w:p w:rsidR="00E74DEC" w:rsidRPr="00186A98" w:rsidRDefault="00E74DEC" w:rsidP="00E74DEC">
      <w:pPr>
        <w:numPr>
          <w:ilvl w:val="0"/>
          <w:numId w:val="21"/>
        </w:numPr>
        <w:rPr>
          <w:rFonts w:ascii="Times New Roman" w:hAnsi="Times New Roman"/>
          <w:sz w:val="22"/>
          <w:szCs w:val="22"/>
          <w:lang w:val="lt-LT" w:eastAsia="lt-LT"/>
        </w:rPr>
      </w:pPr>
      <w:r w:rsidRPr="00186A98">
        <w:rPr>
          <w:rFonts w:ascii="Times New Roman" w:hAnsi="Times New Roman"/>
          <w:sz w:val="22"/>
          <w:szCs w:val="22"/>
          <w:lang w:val="lt-LT" w:eastAsia="lt-LT"/>
        </w:rPr>
        <w:t>odos bėrimas;</w:t>
      </w:r>
    </w:p>
    <w:p w:rsidR="00E74DEC" w:rsidRPr="00186A98" w:rsidRDefault="00E74DEC" w:rsidP="00E74DEC">
      <w:pPr>
        <w:numPr>
          <w:ilvl w:val="0"/>
          <w:numId w:val="21"/>
        </w:numPr>
        <w:rPr>
          <w:rFonts w:ascii="Times New Roman" w:hAnsi="Times New Roman"/>
          <w:sz w:val="22"/>
          <w:szCs w:val="22"/>
          <w:lang w:val="lt-LT" w:eastAsia="lt-LT"/>
        </w:rPr>
      </w:pPr>
      <w:r w:rsidRPr="00186A98">
        <w:rPr>
          <w:rFonts w:ascii="Times New Roman" w:hAnsi="Times New Roman"/>
          <w:noProof/>
          <w:sz w:val="22"/>
          <w:szCs w:val="22"/>
          <w:lang w:val="lt-LT" w:eastAsia="lt-LT"/>
        </w:rPr>
        <w:t>nuovargis;</w:t>
      </w:r>
    </w:p>
    <w:p w:rsidR="00E74DEC" w:rsidRPr="00186A98" w:rsidRDefault="00E74DEC" w:rsidP="00E74DEC">
      <w:pPr>
        <w:numPr>
          <w:ilvl w:val="0"/>
          <w:numId w:val="21"/>
        </w:numPr>
        <w:rPr>
          <w:rFonts w:ascii="Times New Roman" w:hAnsi="Times New Roman"/>
          <w:sz w:val="22"/>
          <w:szCs w:val="22"/>
          <w:lang w:val="lt-LT" w:eastAsia="lt-LT"/>
        </w:rPr>
      </w:pPr>
      <w:r w:rsidRPr="00186A98">
        <w:rPr>
          <w:rFonts w:ascii="Times New Roman" w:hAnsi="Times New Roman"/>
          <w:sz w:val="22"/>
          <w:szCs w:val="22"/>
          <w:lang w:val="lt-LT" w:eastAsia="lt-LT"/>
        </w:rPr>
        <w:t>krūties audinio skausmingumas ar padidėjimas;</w:t>
      </w:r>
    </w:p>
    <w:p w:rsidR="00E74DEC" w:rsidRPr="00186A98" w:rsidRDefault="00E74DEC" w:rsidP="00E74DEC">
      <w:pPr>
        <w:rPr>
          <w:rFonts w:ascii="Times New Roman" w:hAnsi="Times New Roman"/>
          <w:b/>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noProof/>
          <w:sz w:val="22"/>
          <w:szCs w:val="22"/>
          <w:lang w:val="lt-LT" w:eastAsia="lt-LT"/>
        </w:rPr>
        <w:t>Dažnas</w:t>
      </w:r>
      <w:r w:rsidRPr="00186A98">
        <w:rPr>
          <w:rFonts w:ascii="Times New Roman" w:hAnsi="Times New Roman"/>
          <w:sz w:val="22"/>
          <w:szCs w:val="22"/>
          <w:lang w:val="lt-LT" w:eastAsia="lt-LT"/>
        </w:rPr>
        <w:t xml:space="preserve"> šalutinis poveikis</w:t>
      </w:r>
      <w:r w:rsidRPr="00186A98">
        <w:rPr>
          <w:rFonts w:ascii="Times New Roman" w:hAnsi="Times New Roman"/>
          <w:noProof/>
          <w:sz w:val="22"/>
          <w:szCs w:val="22"/>
          <w:lang w:val="lt-LT" w:eastAsia="lt-LT"/>
        </w:rPr>
        <w:t xml:space="preserve"> (gali pasireikšti </w:t>
      </w:r>
      <w:r w:rsidRPr="00186A98">
        <w:rPr>
          <w:rFonts w:ascii="Times New Roman" w:hAnsi="Times New Roman"/>
          <w:sz w:val="22"/>
          <w:szCs w:val="22"/>
          <w:lang w:val="lt-LT" w:eastAsia="lt-LT"/>
        </w:rPr>
        <w:t>mažiau kaip 1 iš 10 žmonių)</w:t>
      </w:r>
      <w:r w:rsidRPr="00186A98">
        <w:rPr>
          <w:rFonts w:ascii="Times New Roman" w:hAnsi="Times New Roman"/>
          <w:noProof/>
          <w:sz w:val="22"/>
          <w:szCs w:val="22"/>
          <w:lang w:val="lt-LT" w:eastAsia="lt-LT"/>
        </w:rPr>
        <w:t>:</w:t>
      </w:r>
    </w:p>
    <w:p w:rsidR="00E74DEC" w:rsidRPr="00186A98" w:rsidRDefault="00E74DEC" w:rsidP="00E74DEC">
      <w:pPr>
        <w:numPr>
          <w:ilvl w:val="0"/>
          <w:numId w:val="24"/>
        </w:numPr>
        <w:rPr>
          <w:rFonts w:ascii="Times New Roman" w:hAnsi="Times New Roman"/>
          <w:sz w:val="22"/>
          <w:szCs w:val="22"/>
          <w:lang w:val="lt-LT" w:eastAsia="lt-LT"/>
        </w:rPr>
      </w:pPr>
      <w:r w:rsidRPr="00186A98">
        <w:rPr>
          <w:rFonts w:ascii="Times New Roman" w:hAnsi="Times New Roman"/>
          <w:noProof/>
          <w:sz w:val="22"/>
          <w:szCs w:val="22"/>
          <w:lang w:val="lt-LT" w:eastAsia="lt-LT"/>
        </w:rPr>
        <w:t>raudonųjų kūnelių kraujyje sumažėjimas (anemija). Dėl to Jūs galite jausti silpnumą ar būti išblyšęs;</w:t>
      </w:r>
    </w:p>
    <w:p w:rsidR="00E74DEC" w:rsidRPr="00186A98" w:rsidRDefault="00E74DEC" w:rsidP="00E74DEC">
      <w:pPr>
        <w:numPr>
          <w:ilvl w:val="0"/>
          <w:numId w:val="24"/>
        </w:numPr>
        <w:rPr>
          <w:rFonts w:ascii="Times New Roman" w:hAnsi="Times New Roman"/>
          <w:sz w:val="22"/>
          <w:szCs w:val="22"/>
          <w:lang w:val="lt-LT" w:eastAsia="lt-LT"/>
        </w:rPr>
      </w:pPr>
      <w:r w:rsidRPr="00186A98">
        <w:rPr>
          <w:rFonts w:ascii="Times New Roman" w:hAnsi="Times New Roman"/>
          <w:noProof/>
          <w:sz w:val="22"/>
          <w:szCs w:val="22"/>
          <w:lang w:val="lt-LT" w:eastAsia="lt-LT"/>
        </w:rPr>
        <w:t>sumažėjęs apetitas;</w:t>
      </w:r>
    </w:p>
    <w:p w:rsidR="00E74DEC" w:rsidRPr="00186A98" w:rsidRDefault="00E74DEC" w:rsidP="00E74DEC">
      <w:pPr>
        <w:numPr>
          <w:ilvl w:val="0"/>
          <w:numId w:val="24"/>
        </w:numPr>
        <w:rPr>
          <w:rFonts w:ascii="Times New Roman" w:hAnsi="Times New Roman"/>
          <w:sz w:val="22"/>
          <w:szCs w:val="22"/>
          <w:lang w:val="lt-LT" w:eastAsia="lt-LT"/>
        </w:rPr>
      </w:pPr>
      <w:r w:rsidRPr="00186A98">
        <w:rPr>
          <w:rFonts w:ascii="Times New Roman" w:hAnsi="Times New Roman"/>
          <w:sz w:val="22"/>
          <w:szCs w:val="22"/>
          <w:lang w:val="lt-LT" w:eastAsia="lt-LT"/>
        </w:rPr>
        <w:t>lytinio potraukio ir vaisingumo sumažėjimas;</w:t>
      </w:r>
    </w:p>
    <w:p w:rsidR="00E74DEC" w:rsidRPr="00186A98" w:rsidRDefault="00E74DEC" w:rsidP="00E74DEC">
      <w:pPr>
        <w:numPr>
          <w:ilvl w:val="0"/>
          <w:numId w:val="24"/>
        </w:numPr>
        <w:rPr>
          <w:rFonts w:ascii="Times New Roman" w:hAnsi="Times New Roman"/>
          <w:sz w:val="22"/>
          <w:szCs w:val="22"/>
          <w:lang w:val="lt-LT" w:eastAsia="lt-LT"/>
        </w:rPr>
      </w:pPr>
      <w:r w:rsidRPr="00186A98">
        <w:rPr>
          <w:rFonts w:ascii="Times New Roman" w:hAnsi="Times New Roman"/>
          <w:noProof/>
          <w:sz w:val="22"/>
          <w:szCs w:val="22"/>
          <w:lang w:val="lt-LT" w:eastAsia="lt-LT"/>
        </w:rPr>
        <w:t>depresija;</w:t>
      </w:r>
    </w:p>
    <w:p w:rsidR="00E74DEC" w:rsidRPr="00186A98" w:rsidRDefault="00E74DEC" w:rsidP="00E74DEC">
      <w:pPr>
        <w:numPr>
          <w:ilvl w:val="0"/>
          <w:numId w:val="24"/>
        </w:numPr>
        <w:rPr>
          <w:rFonts w:ascii="Times New Roman" w:hAnsi="Times New Roman"/>
          <w:sz w:val="22"/>
          <w:szCs w:val="22"/>
          <w:lang w:val="lt-LT" w:eastAsia="lt-LT"/>
        </w:rPr>
      </w:pPr>
      <w:r w:rsidRPr="00186A98">
        <w:rPr>
          <w:rFonts w:ascii="Times New Roman" w:hAnsi="Times New Roman"/>
          <w:noProof/>
          <w:sz w:val="22"/>
          <w:szCs w:val="22"/>
          <w:lang w:val="lt-LT" w:eastAsia="lt-LT"/>
        </w:rPr>
        <w:t>mieguistumas;</w:t>
      </w:r>
    </w:p>
    <w:p w:rsidR="00E74DEC" w:rsidRPr="00186A98" w:rsidRDefault="00E74DEC" w:rsidP="00E74DEC">
      <w:pPr>
        <w:numPr>
          <w:ilvl w:val="0"/>
          <w:numId w:val="24"/>
        </w:numPr>
        <w:rPr>
          <w:rFonts w:ascii="Times New Roman" w:hAnsi="Times New Roman"/>
          <w:sz w:val="22"/>
          <w:szCs w:val="22"/>
          <w:lang w:val="lt-LT" w:eastAsia="lt-LT"/>
        </w:rPr>
      </w:pPr>
      <w:r w:rsidRPr="00186A98">
        <w:rPr>
          <w:rFonts w:ascii="Times New Roman" w:hAnsi="Times New Roman"/>
          <w:sz w:val="22"/>
          <w:szCs w:val="22"/>
          <w:lang w:val="lt-LT" w:eastAsia="lt-LT"/>
        </w:rPr>
        <w:t>karščio pylimas;</w:t>
      </w:r>
    </w:p>
    <w:p w:rsidR="00E74DEC" w:rsidRPr="00186A98" w:rsidRDefault="00E74DEC" w:rsidP="00E74DEC">
      <w:pPr>
        <w:numPr>
          <w:ilvl w:val="0"/>
          <w:numId w:val="24"/>
        </w:numPr>
        <w:rPr>
          <w:rFonts w:ascii="Times New Roman" w:hAnsi="Times New Roman"/>
          <w:sz w:val="22"/>
          <w:szCs w:val="22"/>
          <w:lang w:val="lt-LT" w:eastAsia="lt-LT"/>
        </w:rPr>
      </w:pPr>
      <w:r w:rsidRPr="00186A98">
        <w:rPr>
          <w:rFonts w:ascii="Times New Roman" w:hAnsi="Times New Roman"/>
          <w:noProof/>
          <w:sz w:val="22"/>
          <w:szCs w:val="22"/>
          <w:lang w:val="lt-LT" w:eastAsia="lt-LT"/>
        </w:rPr>
        <w:t>nevirškinimas;</w:t>
      </w:r>
    </w:p>
    <w:p w:rsidR="00E74DEC" w:rsidRPr="00186A98" w:rsidRDefault="00E74DEC" w:rsidP="00E74DEC">
      <w:pPr>
        <w:numPr>
          <w:ilvl w:val="0"/>
          <w:numId w:val="24"/>
        </w:numPr>
        <w:rPr>
          <w:rFonts w:ascii="Times New Roman" w:hAnsi="Times New Roman"/>
          <w:sz w:val="22"/>
          <w:szCs w:val="22"/>
          <w:lang w:val="lt-LT" w:eastAsia="lt-LT"/>
        </w:rPr>
      </w:pPr>
      <w:r w:rsidRPr="00186A98">
        <w:rPr>
          <w:rFonts w:ascii="Times New Roman" w:hAnsi="Times New Roman"/>
          <w:noProof/>
          <w:sz w:val="22"/>
          <w:szCs w:val="22"/>
          <w:lang w:val="lt-LT" w:eastAsia="lt-LT"/>
        </w:rPr>
        <w:t>pilvo pūtimas</w:t>
      </w:r>
      <w:r w:rsidRPr="00186A98">
        <w:rPr>
          <w:rFonts w:ascii="Times New Roman" w:hAnsi="Times New Roman"/>
          <w:sz w:val="22"/>
          <w:szCs w:val="22"/>
          <w:lang w:val="lt-LT" w:eastAsia="lt-LT"/>
        </w:rPr>
        <w:t>;</w:t>
      </w:r>
    </w:p>
    <w:p w:rsidR="00E74DEC" w:rsidRPr="00186A98" w:rsidRDefault="00E74DEC" w:rsidP="00E74DEC">
      <w:pPr>
        <w:numPr>
          <w:ilvl w:val="0"/>
          <w:numId w:val="24"/>
        </w:numPr>
        <w:rPr>
          <w:rFonts w:ascii="Times New Roman" w:hAnsi="Times New Roman"/>
          <w:sz w:val="22"/>
          <w:szCs w:val="22"/>
          <w:lang w:val="lt-LT" w:eastAsia="lt-LT"/>
        </w:rPr>
      </w:pPr>
      <w:r w:rsidRPr="00186A98">
        <w:rPr>
          <w:rFonts w:ascii="Times New Roman" w:hAnsi="Times New Roman"/>
          <w:sz w:val="22"/>
          <w:szCs w:val="22"/>
          <w:lang w:val="lt-LT" w:eastAsia="lt-LT"/>
        </w:rPr>
        <w:t>impotencija;</w:t>
      </w:r>
    </w:p>
    <w:p w:rsidR="00E74DEC" w:rsidRPr="00186A98" w:rsidRDefault="00E74DEC" w:rsidP="00E74DEC">
      <w:pPr>
        <w:numPr>
          <w:ilvl w:val="0"/>
          <w:numId w:val="24"/>
        </w:numPr>
        <w:rPr>
          <w:rFonts w:ascii="Times New Roman" w:hAnsi="Times New Roman"/>
          <w:sz w:val="22"/>
          <w:szCs w:val="22"/>
          <w:lang w:val="lt-LT" w:eastAsia="lt-LT"/>
        </w:rPr>
      </w:pPr>
      <w:r w:rsidRPr="00186A98">
        <w:rPr>
          <w:rFonts w:ascii="Times New Roman" w:hAnsi="Times New Roman"/>
          <w:noProof/>
          <w:sz w:val="22"/>
          <w:szCs w:val="22"/>
          <w:lang w:val="lt-LT" w:eastAsia="lt-LT"/>
        </w:rPr>
        <w:t>krūtinės skausmas;</w:t>
      </w:r>
    </w:p>
    <w:p w:rsidR="00E74DEC" w:rsidRPr="00186A98" w:rsidRDefault="00E74DEC" w:rsidP="00E74DEC">
      <w:pPr>
        <w:numPr>
          <w:ilvl w:val="0"/>
          <w:numId w:val="24"/>
        </w:numPr>
        <w:rPr>
          <w:rFonts w:ascii="Times New Roman" w:hAnsi="Times New Roman"/>
          <w:sz w:val="22"/>
          <w:szCs w:val="22"/>
          <w:lang w:val="lt-LT" w:eastAsia="lt-LT"/>
        </w:rPr>
      </w:pPr>
      <w:r w:rsidRPr="00186A98">
        <w:rPr>
          <w:rFonts w:ascii="Times New Roman" w:hAnsi="Times New Roman"/>
          <w:noProof/>
          <w:sz w:val="22"/>
          <w:szCs w:val="22"/>
          <w:lang w:val="lt-LT" w:eastAsia="lt-LT"/>
        </w:rPr>
        <w:t>svaigulys;</w:t>
      </w:r>
    </w:p>
    <w:p w:rsidR="00E74DEC" w:rsidRPr="00186A98" w:rsidRDefault="00E74DEC" w:rsidP="00E74DEC">
      <w:pPr>
        <w:numPr>
          <w:ilvl w:val="0"/>
          <w:numId w:val="24"/>
        </w:numPr>
        <w:rPr>
          <w:rFonts w:ascii="Times New Roman" w:hAnsi="Times New Roman"/>
          <w:sz w:val="22"/>
          <w:szCs w:val="22"/>
          <w:lang w:val="lt-LT" w:eastAsia="lt-LT"/>
        </w:rPr>
      </w:pPr>
      <w:r w:rsidRPr="00186A98">
        <w:rPr>
          <w:rFonts w:ascii="Times New Roman" w:hAnsi="Times New Roman"/>
          <w:sz w:val="22"/>
          <w:szCs w:val="22"/>
          <w:lang w:val="lt-LT" w:eastAsia="lt-LT"/>
        </w:rPr>
        <w:t>svorio prieaugis;</w:t>
      </w:r>
    </w:p>
    <w:p w:rsidR="00E74DEC" w:rsidRPr="00186A98" w:rsidRDefault="00E74DEC" w:rsidP="00E74DEC">
      <w:pPr>
        <w:numPr>
          <w:ilvl w:val="0"/>
          <w:numId w:val="24"/>
        </w:numPr>
        <w:rPr>
          <w:rFonts w:ascii="Times New Roman" w:hAnsi="Times New Roman"/>
          <w:sz w:val="22"/>
          <w:szCs w:val="22"/>
          <w:lang w:val="lt-LT" w:eastAsia="lt-LT"/>
        </w:rPr>
      </w:pPr>
      <w:r w:rsidRPr="00186A98">
        <w:rPr>
          <w:rFonts w:ascii="Times New Roman" w:hAnsi="Times New Roman"/>
          <w:sz w:val="22"/>
          <w:szCs w:val="22"/>
          <w:lang w:val="lt-LT" w:eastAsia="lt-LT"/>
        </w:rPr>
        <w:t>pykinimas;</w:t>
      </w:r>
    </w:p>
    <w:p w:rsidR="00E74DEC" w:rsidRPr="00186A98" w:rsidRDefault="00E74DEC" w:rsidP="00E74DEC">
      <w:pPr>
        <w:numPr>
          <w:ilvl w:val="0"/>
          <w:numId w:val="24"/>
        </w:numPr>
        <w:rPr>
          <w:rFonts w:ascii="Times New Roman" w:hAnsi="Times New Roman"/>
          <w:sz w:val="22"/>
          <w:szCs w:val="22"/>
          <w:lang w:val="lt-LT" w:eastAsia="lt-LT"/>
        </w:rPr>
      </w:pPr>
      <w:r w:rsidRPr="00186A98">
        <w:rPr>
          <w:rFonts w:ascii="Times New Roman" w:hAnsi="Times New Roman"/>
          <w:sz w:val="22"/>
          <w:szCs w:val="22"/>
          <w:lang w:val="lt-LT" w:eastAsia="lt-LT"/>
        </w:rPr>
        <w:t xml:space="preserve">niežulys; </w:t>
      </w:r>
    </w:p>
    <w:p w:rsidR="00E74DEC" w:rsidRPr="00186A98" w:rsidRDefault="00E74DEC" w:rsidP="00E74DEC">
      <w:pPr>
        <w:numPr>
          <w:ilvl w:val="0"/>
          <w:numId w:val="24"/>
        </w:numPr>
        <w:rPr>
          <w:rFonts w:ascii="Times New Roman" w:hAnsi="Times New Roman"/>
          <w:sz w:val="22"/>
          <w:szCs w:val="22"/>
          <w:lang w:val="lt-LT" w:eastAsia="lt-LT"/>
        </w:rPr>
      </w:pPr>
      <w:r w:rsidRPr="00186A98">
        <w:rPr>
          <w:rFonts w:ascii="Times New Roman" w:hAnsi="Times New Roman"/>
          <w:sz w:val="22"/>
          <w:szCs w:val="22"/>
          <w:lang w:val="lt-LT" w:eastAsia="lt-LT"/>
        </w:rPr>
        <w:t xml:space="preserve">plaukų ataugimas ar nenormalus jų augimas; </w:t>
      </w:r>
    </w:p>
    <w:p w:rsidR="00E74DEC" w:rsidRPr="00186A98" w:rsidRDefault="00E74DEC" w:rsidP="00E74DEC">
      <w:pPr>
        <w:numPr>
          <w:ilvl w:val="0"/>
          <w:numId w:val="24"/>
        </w:numPr>
        <w:rPr>
          <w:rFonts w:ascii="Times New Roman" w:hAnsi="Times New Roman"/>
          <w:sz w:val="22"/>
          <w:szCs w:val="22"/>
          <w:lang w:val="lt-LT" w:eastAsia="lt-LT"/>
        </w:rPr>
      </w:pPr>
      <w:r w:rsidRPr="00186A98">
        <w:rPr>
          <w:rFonts w:ascii="Times New Roman" w:hAnsi="Times New Roman"/>
          <w:sz w:val="22"/>
          <w:szCs w:val="22"/>
          <w:lang w:val="lt-LT" w:eastAsia="lt-LT"/>
        </w:rPr>
        <w:t xml:space="preserve">plaukų slinkimas; </w:t>
      </w:r>
    </w:p>
    <w:p w:rsidR="00E74DEC" w:rsidRPr="00186A98" w:rsidRDefault="00E74DEC" w:rsidP="00E74DEC">
      <w:pPr>
        <w:numPr>
          <w:ilvl w:val="0"/>
          <w:numId w:val="24"/>
        </w:numPr>
        <w:rPr>
          <w:rFonts w:ascii="Times New Roman" w:hAnsi="Times New Roman"/>
          <w:sz w:val="22"/>
          <w:szCs w:val="22"/>
          <w:lang w:val="lt-LT" w:eastAsia="lt-LT"/>
        </w:rPr>
      </w:pPr>
      <w:r w:rsidRPr="00186A98">
        <w:rPr>
          <w:rFonts w:ascii="Times New Roman" w:hAnsi="Times New Roman"/>
          <w:sz w:val="22"/>
          <w:szCs w:val="22"/>
          <w:lang w:val="lt-LT" w:eastAsia="lt-LT"/>
        </w:rPr>
        <w:t>sausa oda;</w:t>
      </w:r>
    </w:p>
    <w:p w:rsidR="00E74DEC" w:rsidRPr="00186A98" w:rsidRDefault="00E74DEC" w:rsidP="00E74DEC">
      <w:pPr>
        <w:numPr>
          <w:ilvl w:val="0"/>
          <w:numId w:val="24"/>
        </w:numPr>
        <w:rPr>
          <w:rFonts w:ascii="Times New Roman" w:hAnsi="Times New Roman"/>
          <w:sz w:val="22"/>
          <w:szCs w:val="22"/>
          <w:lang w:val="lt-LT" w:eastAsia="lt-LT"/>
        </w:rPr>
      </w:pPr>
      <w:r w:rsidRPr="00186A98">
        <w:rPr>
          <w:rFonts w:ascii="Times New Roman" w:hAnsi="Times New Roman"/>
          <w:noProof/>
          <w:sz w:val="22"/>
          <w:szCs w:val="22"/>
          <w:lang w:val="lt-LT" w:eastAsia="lt-LT"/>
        </w:rPr>
        <w:t>vidurių užkietėjimas;</w:t>
      </w:r>
    </w:p>
    <w:p w:rsidR="00E74DEC" w:rsidRPr="00186A98" w:rsidRDefault="00E74DEC" w:rsidP="00E74DEC">
      <w:pPr>
        <w:numPr>
          <w:ilvl w:val="0"/>
          <w:numId w:val="24"/>
        </w:numPr>
        <w:rPr>
          <w:rFonts w:ascii="Times New Roman" w:hAnsi="Times New Roman"/>
          <w:sz w:val="22"/>
          <w:szCs w:val="22"/>
          <w:lang w:val="lt-LT" w:eastAsia="lt-LT"/>
        </w:rPr>
      </w:pPr>
      <w:r w:rsidRPr="00186A98">
        <w:rPr>
          <w:rFonts w:ascii="Times New Roman" w:hAnsi="Times New Roman"/>
          <w:noProof/>
          <w:sz w:val="22"/>
          <w:szCs w:val="22"/>
          <w:lang w:val="lt-LT" w:eastAsia="lt-LT"/>
        </w:rPr>
        <w:t>patinimas.</w:t>
      </w:r>
    </w:p>
    <w:p w:rsidR="00284F64" w:rsidRPr="00186A98" w:rsidRDefault="00284F64" w:rsidP="00284F64">
      <w:pPr>
        <w:rPr>
          <w:rFonts w:ascii="Times New Roman" w:hAnsi="Times New Roman"/>
          <w:sz w:val="22"/>
          <w:szCs w:val="22"/>
          <w:lang w:val="lt-LT" w:eastAsia="lt-LT"/>
        </w:rPr>
      </w:pPr>
    </w:p>
    <w:p w:rsidR="00284F64" w:rsidRPr="00186A98" w:rsidRDefault="00284F64" w:rsidP="00284F64">
      <w:pPr>
        <w:rPr>
          <w:rFonts w:ascii="Times New Roman" w:hAnsi="Times New Roman"/>
          <w:sz w:val="22"/>
          <w:szCs w:val="22"/>
          <w:lang w:val="lt-LT" w:eastAsia="lt-LT"/>
        </w:rPr>
      </w:pPr>
      <w:r w:rsidRPr="00186A98">
        <w:rPr>
          <w:rFonts w:ascii="Times New Roman" w:hAnsi="Times New Roman"/>
          <w:sz w:val="22"/>
          <w:szCs w:val="22"/>
          <w:lang w:val="lt-LT" w:eastAsia="lt-LT"/>
        </w:rPr>
        <w:t>Retas šalutinis poveikis (gali pasireikšti</w:t>
      </w:r>
      <w:r w:rsidR="00532AEA" w:rsidRPr="00186A98">
        <w:rPr>
          <w:rFonts w:ascii="Times New Roman" w:hAnsi="Times New Roman"/>
          <w:sz w:val="22"/>
          <w:szCs w:val="22"/>
          <w:lang w:val="lt-LT" w:eastAsia="lt-LT"/>
        </w:rPr>
        <w:t xml:space="preserve"> mažiau kaip</w:t>
      </w:r>
      <w:r w:rsidRPr="00186A98">
        <w:rPr>
          <w:rFonts w:ascii="Times New Roman" w:hAnsi="Times New Roman"/>
          <w:sz w:val="22"/>
          <w:szCs w:val="22"/>
          <w:lang w:val="lt-LT" w:eastAsia="lt-LT"/>
        </w:rPr>
        <w:t xml:space="preserve"> 1 iš 1000 žmonių):</w:t>
      </w:r>
    </w:p>
    <w:p w:rsidR="00E74DEC" w:rsidRPr="00186A98" w:rsidRDefault="00284F64" w:rsidP="00284F64">
      <w:pPr>
        <w:rPr>
          <w:rFonts w:ascii="Times New Roman" w:hAnsi="Times New Roman"/>
          <w:sz w:val="22"/>
          <w:szCs w:val="22"/>
          <w:lang w:val="lt-LT" w:eastAsia="lt-LT"/>
        </w:rPr>
      </w:pPr>
      <w:r w:rsidRPr="00186A98">
        <w:rPr>
          <w:rFonts w:ascii="Times New Roman" w:hAnsi="Times New Roman"/>
          <w:sz w:val="22"/>
          <w:szCs w:val="22"/>
          <w:lang w:val="lt-LT" w:eastAsia="lt-LT"/>
        </w:rPr>
        <w:t xml:space="preserve"> •    padidėjęs jautrumas šviesai.</w:t>
      </w:r>
    </w:p>
    <w:p w:rsidR="00E74DEC" w:rsidRPr="00186A98" w:rsidRDefault="00E74DEC" w:rsidP="00E74DEC">
      <w:pPr>
        <w:jc w:val="both"/>
        <w:rPr>
          <w:rFonts w:ascii="Times New Roman" w:eastAsia="Calibri" w:hAnsi="Times New Roman"/>
          <w:sz w:val="22"/>
          <w:szCs w:val="22"/>
          <w:lang w:val="lt-LT" w:eastAsia="lt-LT"/>
        </w:rPr>
      </w:pPr>
      <w:r w:rsidRPr="00186A98">
        <w:rPr>
          <w:rFonts w:ascii="Times New Roman" w:eastAsia="Calibri" w:hAnsi="Times New Roman"/>
          <w:sz w:val="22"/>
          <w:szCs w:val="22"/>
          <w:lang w:val="lt-LT" w:eastAsia="lt-LT"/>
        </w:rPr>
        <w:t>Dažnis nežinomas</w:t>
      </w:r>
      <w:r w:rsidRPr="00186A98">
        <w:rPr>
          <w:rFonts w:ascii="Times New Roman" w:eastAsia="Calibri" w:hAnsi="Times New Roman"/>
          <w:color w:val="FF0000"/>
          <w:sz w:val="22"/>
          <w:szCs w:val="22"/>
          <w:lang w:val="lt-LT" w:eastAsia="lt-LT"/>
        </w:rPr>
        <w:t xml:space="preserve"> </w:t>
      </w:r>
      <w:r w:rsidRPr="00186A98">
        <w:rPr>
          <w:rFonts w:ascii="Times New Roman" w:eastAsia="Calibri" w:hAnsi="Times New Roman"/>
          <w:sz w:val="22"/>
          <w:szCs w:val="22"/>
          <w:lang w:val="lt-LT" w:eastAsia="lt-LT"/>
        </w:rPr>
        <w:t>(negali būti apskaičiuotas pagal turimus duomenis):</w:t>
      </w:r>
    </w:p>
    <w:p w:rsidR="00E74DEC" w:rsidRPr="00186A98" w:rsidRDefault="00E74DEC" w:rsidP="00E74DEC">
      <w:pPr>
        <w:numPr>
          <w:ilvl w:val="0"/>
          <w:numId w:val="38"/>
        </w:numPr>
        <w:contextualSpacing/>
        <w:jc w:val="both"/>
        <w:rPr>
          <w:rFonts w:ascii="Times New Roman" w:eastAsia="Calibri" w:hAnsi="Times New Roman"/>
          <w:sz w:val="22"/>
          <w:szCs w:val="22"/>
          <w:lang w:val="lt-LT" w:eastAsia="lt-LT"/>
        </w:rPr>
      </w:pPr>
      <w:r w:rsidRPr="00186A98">
        <w:rPr>
          <w:rFonts w:ascii="Times New Roman" w:eastAsia="Calibri" w:hAnsi="Times New Roman"/>
          <w:sz w:val="22"/>
          <w:szCs w:val="22"/>
          <w:lang w:val="lt-LT" w:eastAsia="lt-LT"/>
        </w:rPr>
        <w:t>EKG pokyčiai (QT intervalo pailgėjimas).</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lastRenderedPageBreak/>
        <w:t>Vartojant CALUMID, kartais gali pakisti kraujas, todėl gydytojas gali nurodyti atlikti tam tikrus jo tyrimus.</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Nerimauti dėl aukščiau minėto galimo šalutinio poveikio nereikėtų, kadangi Jums jo gali nepasireikšti.</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b/>
          <w:noProof/>
          <w:sz w:val="22"/>
          <w:szCs w:val="22"/>
          <w:lang w:val="lt-LT" w:eastAsia="lt-LT"/>
        </w:rPr>
      </w:pPr>
    </w:p>
    <w:p w:rsidR="00E74DEC" w:rsidRPr="00186A98" w:rsidRDefault="00E74DEC" w:rsidP="00E74DEC">
      <w:pPr>
        <w:rPr>
          <w:rFonts w:ascii="Times New Roman" w:hAnsi="Times New Roman"/>
          <w:b/>
          <w:sz w:val="22"/>
          <w:szCs w:val="22"/>
          <w:lang w:val="lt-LT" w:eastAsia="lt-LT"/>
        </w:rPr>
      </w:pPr>
      <w:r w:rsidRPr="00186A98">
        <w:rPr>
          <w:rFonts w:ascii="Times New Roman" w:hAnsi="Times New Roman"/>
          <w:b/>
          <w:noProof/>
          <w:sz w:val="22"/>
          <w:szCs w:val="22"/>
          <w:lang w:val="lt-LT" w:eastAsia="lt-LT"/>
        </w:rPr>
        <w:t>Pranešimas apie šalutinį poveikį</w:t>
      </w:r>
    </w:p>
    <w:p w:rsidR="00E74DEC" w:rsidRPr="00186A98" w:rsidRDefault="00E74DEC" w:rsidP="00E74DEC">
      <w:pPr>
        <w:keepNext/>
        <w:outlineLvl w:val="0"/>
        <w:rPr>
          <w:rFonts w:ascii="Times New Roman" w:eastAsia="Calibri" w:hAnsi="Times New Roman"/>
          <w:kern w:val="32"/>
          <w:sz w:val="22"/>
          <w:szCs w:val="22"/>
          <w:lang w:val="lt-LT" w:eastAsia="lt-LT"/>
        </w:rPr>
      </w:pPr>
      <w:r w:rsidRPr="00186A98">
        <w:rPr>
          <w:rFonts w:ascii="Times New Roman" w:eastAsia="Calibri" w:hAnsi="Times New Roman"/>
          <w:bCs/>
          <w:noProof/>
          <w:kern w:val="32"/>
          <w:sz w:val="22"/>
          <w:szCs w:val="22"/>
          <w:lang w:val="lt-LT" w:eastAsia="lt-LT"/>
        </w:rPr>
        <w:t>Jeigu pasireiškė šalutinis poveikis, įskaitant šiame lapelyje nenurodytą, pasakykite gydytojui arba vaistininkui</w:t>
      </w:r>
      <w:r w:rsidRPr="00186A98">
        <w:rPr>
          <w:rFonts w:ascii="Times New Roman" w:eastAsia="Calibri" w:hAnsi="Times New Roman"/>
          <w:bCs/>
          <w:kern w:val="32"/>
          <w:sz w:val="22"/>
          <w:szCs w:val="22"/>
          <w:lang w:val="lt-LT" w:eastAsia="lt-LT"/>
        </w:rPr>
        <w:t>.</w:t>
      </w:r>
      <w:r w:rsidRPr="00186A98">
        <w:rPr>
          <w:rFonts w:ascii="Times New Roman" w:eastAsia="Calibri" w:hAnsi="Times New Roman"/>
          <w:bCs/>
          <w:noProof/>
          <w:kern w:val="32"/>
          <w:sz w:val="22"/>
          <w:szCs w:val="22"/>
          <w:lang w:val="lt-LT" w:eastAsia="lt-LT"/>
        </w:rPr>
        <w:t xml:space="preserve"> </w:t>
      </w:r>
      <w:r w:rsidR="00284F64" w:rsidRPr="00186A98">
        <w:rPr>
          <w:rFonts w:ascii="Times New Roman" w:eastAsia="Calibri" w:hAnsi="Times New Roman"/>
          <w:bCs/>
          <w:noProof/>
          <w:kern w:val="32"/>
          <w:sz w:val="22"/>
          <w:szCs w:val="22"/>
          <w:lang w:val="lt-LT" w:eastAsia="lt-LT"/>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p>
    <w:p w:rsidR="00E74DEC" w:rsidRPr="00186A98" w:rsidRDefault="00E74DEC" w:rsidP="0084176F">
      <w:pPr>
        <w:keepNext/>
        <w:ind w:left="567" w:hanging="567"/>
        <w:outlineLvl w:val="0"/>
        <w:rPr>
          <w:rFonts w:ascii="Times New Roman" w:eastAsia="Calibri" w:hAnsi="Times New Roman"/>
          <w:b/>
          <w:bCs/>
          <w:kern w:val="32"/>
          <w:sz w:val="22"/>
          <w:szCs w:val="22"/>
          <w:lang w:val="lt-LT" w:eastAsia="lt-LT"/>
        </w:rPr>
      </w:pPr>
      <w:r w:rsidRPr="00186A98">
        <w:rPr>
          <w:rFonts w:ascii="Times New Roman" w:eastAsia="Calibri" w:hAnsi="Times New Roman"/>
          <w:b/>
          <w:bCs/>
          <w:kern w:val="32"/>
          <w:sz w:val="22"/>
          <w:szCs w:val="22"/>
          <w:lang w:val="lt-LT" w:eastAsia="lt-LT"/>
        </w:rPr>
        <w:t>5.</w:t>
      </w:r>
      <w:r w:rsidRPr="00186A98">
        <w:rPr>
          <w:rFonts w:ascii="Times New Roman" w:eastAsia="Calibri" w:hAnsi="Times New Roman"/>
          <w:b/>
          <w:bCs/>
          <w:kern w:val="32"/>
          <w:sz w:val="22"/>
          <w:szCs w:val="22"/>
          <w:lang w:val="lt-LT" w:eastAsia="lt-LT"/>
        </w:rPr>
        <w:tab/>
        <w:t xml:space="preserve">Kaip laikyti CALUMID </w:t>
      </w:r>
    </w:p>
    <w:p w:rsidR="00E74DEC" w:rsidRPr="00186A98" w:rsidRDefault="00E74DEC" w:rsidP="00E74DEC">
      <w:pPr>
        <w:jc w:val="both"/>
        <w:rPr>
          <w:rFonts w:ascii="Times New Roman" w:hAnsi="Times New Roman"/>
          <w:sz w:val="22"/>
          <w:szCs w:val="22"/>
          <w:lang w:val="lt-LT" w:eastAsia="lt-LT"/>
        </w:rPr>
      </w:pPr>
    </w:p>
    <w:p w:rsidR="00E74DEC" w:rsidRPr="00186A98" w:rsidRDefault="00E74DEC" w:rsidP="00E74DEC">
      <w:pPr>
        <w:jc w:val="both"/>
        <w:rPr>
          <w:rFonts w:ascii="Times New Roman" w:hAnsi="Times New Roman"/>
          <w:sz w:val="22"/>
          <w:szCs w:val="22"/>
          <w:lang w:val="lt-LT" w:eastAsia="lt-LT"/>
        </w:rPr>
      </w:pPr>
      <w:r w:rsidRPr="00186A98">
        <w:rPr>
          <w:rFonts w:ascii="Times New Roman" w:hAnsi="Times New Roman"/>
          <w:sz w:val="22"/>
          <w:szCs w:val="22"/>
          <w:lang w:val="lt-LT" w:eastAsia="lt-LT"/>
        </w:rPr>
        <w:t>Šį vaistą laikykite vaikams nepastebimoje ir nepasiekiamoje vietoje.</w:t>
      </w:r>
    </w:p>
    <w:p w:rsidR="00E74DEC" w:rsidRPr="00186A98" w:rsidRDefault="00E74DEC" w:rsidP="00E74DEC">
      <w:pPr>
        <w:jc w:val="both"/>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 xml:space="preserve">Ant dėžutės po „Tinka iki“ ir ant lizdinės plokštelės nurodytam tinkamumo laikui pasibaigus, šio vaisto vartoti negalima. Vaistas tinkamas vartoti iki paskutinės nurodyto mėnesio dienos. </w:t>
      </w:r>
    </w:p>
    <w:p w:rsidR="00E74DEC" w:rsidRPr="00186A98" w:rsidRDefault="00E74DEC" w:rsidP="00E74DEC">
      <w:pPr>
        <w:jc w:val="both"/>
        <w:rPr>
          <w:rFonts w:ascii="Times New Roman" w:hAnsi="Times New Roman"/>
          <w:noProof/>
          <w:sz w:val="22"/>
          <w:szCs w:val="22"/>
          <w:lang w:val="lt-LT" w:eastAsia="lt-LT"/>
        </w:rPr>
      </w:pPr>
    </w:p>
    <w:p w:rsidR="00E74DEC" w:rsidRPr="00186A98" w:rsidRDefault="00E74DEC" w:rsidP="00E74DEC">
      <w:pPr>
        <w:jc w:val="both"/>
        <w:rPr>
          <w:rFonts w:ascii="Times New Roman" w:hAnsi="Times New Roman"/>
          <w:sz w:val="22"/>
          <w:szCs w:val="22"/>
          <w:lang w:val="lt-LT" w:eastAsia="lt-LT"/>
        </w:rPr>
      </w:pPr>
      <w:r w:rsidRPr="00186A98">
        <w:rPr>
          <w:rFonts w:ascii="Times New Roman" w:hAnsi="Times New Roman"/>
          <w:noProof/>
          <w:sz w:val="22"/>
          <w:szCs w:val="22"/>
          <w:lang w:val="lt-LT" w:eastAsia="lt-LT"/>
        </w:rPr>
        <w:t>Šiam vaist</w:t>
      </w:r>
      <w:r w:rsidR="00C0206D" w:rsidRPr="00186A98">
        <w:rPr>
          <w:rFonts w:ascii="Times New Roman" w:hAnsi="Times New Roman"/>
          <w:noProof/>
          <w:sz w:val="22"/>
          <w:szCs w:val="22"/>
          <w:lang w:val="lt-LT" w:eastAsia="lt-LT"/>
        </w:rPr>
        <w:t>ui</w:t>
      </w:r>
      <w:r w:rsidRPr="00186A98">
        <w:rPr>
          <w:rFonts w:ascii="Times New Roman" w:hAnsi="Times New Roman"/>
          <w:noProof/>
          <w:sz w:val="22"/>
          <w:szCs w:val="22"/>
          <w:lang w:val="lt-LT" w:eastAsia="lt-LT"/>
        </w:rPr>
        <w:t xml:space="preserve"> specialių laikymo sąlygų nereikia.</w:t>
      </w:r>
    </w:p>
    <w:p w:rsidR="00E74DEC" w:rsidRPr="00186A98" w:rsidRDefault="00E74DEC" w:rsidP="00E74DEC">
      <w:pPr>
        <w:jc w:val="both"/>
        <w:rPr>
          <w:rFonts w:ascii="Times New Roman" w:hAnsi="Times New Roman"/>
          <w:sz w:val="22"/>
          <w:szCs w:val="22"/>
          <w:lang w:val="lt-LT" w:eastAsia="lt-LT"/>
        </w:rPr>
      </w:pPr>
    </w:p>
    <w:p w:rsidR="00E74DEC" w:rsidRPr="00186A98" w:rsidRDefault="00E74DEC" w:rsidP="00E74DEC">
      <w:pPr>
        <w:jc w:val="both"/>
        <w:rPr>
          <w:rFonts w:ascii="Times New Roman" w:hAnsi="Times New Roman"/>
          <w:sz w:val="22"/>
          <w:szCs w:val="22"/>
          <w:lang w:val="lt-LT" w:eastAsia="lt-LT"/>
        </w:rPr>
      </w:pPr>
      <w:r w:rsidRPr="00186A98">
        <w:rPr>
          <w:rFonts w:ascii="Times New Roman" w:hAnsi="Times New Roman"/>
          <w:sz w:val="22"/>
          <w:szCs w:val="22"/>
          <w:lang w:val="lt-LT" w:eastAsia="lt-LT"/>
        </w:rPr>
        <w:t>Vaistų negalima išmesti į kanalizaciją arba su buitinėmis atliekomis. Kaip išmesti nereikalingus vaistus, klauskite vaistininko. Šios priemonės padės apsaugoti aplinką.</w:t>
      </w:r>
    </w:p>
    <w:p w:rsidR="00E74DEC" w:rsidRPr="00186A98" w:rsidRDefault="00E74DEC" w:rsidP="00E74DEC">
      <w:pPr>
        <w:jc w:val="both"/>
        <w:rPr>
          <w:rFonts w:ascii="Times New Roman" w:hAnsi="Times New Roman"/>
          <w:sz w:val="22"/>
          <w:szCs w:val="22"/>
          <w:lang w:val="lt-LT" w:eastAsia="lt-LT"/>
        </w:rPr>
      </w:pPr>
    </w:p>
    <w:p w:rsidR="00E74DEC" w:rsidRPr="00186A98" w:rsidRDefault="00E74DEC" w:rsidP="00E74DEC">
      <w:pPr>
        <w:jc w:val="both"/>
        <w:rPr>
          <w:rFonts w:ascii="Times New Roman" w:hAnsi="Times New Roman"/>
          <w:sz w:val="22"/>
          <w:szCs w:val="22"/>
          <w:lang w:val="lt-LT" w:eastAsia="lt-LT"/>
        </w:rPr>
      </w:pPr>
    </w:p>
    <w:p w:rsidR="00E74DEC" w:rsidRPr="00186A98" w:rsidRDefault="00E74DEC" w:rsidP="0084176F">
      <w:pPr>
        <w:ind w:left="567" w:hanging="567"/>
        <w:jc w:val="both"/>
        <w:rPr>
          <w:rFonts w:ascii="Times New Roman" w:hAnsi="Times New Roman"/>
          <w:b/>
          <w:bCs/>
          <w:sz w:val="22"/>
          <w:szCs w:val="22"/>
          <w:lang w:val="lt-LT" w:eastAsia="lt-LT"/>
        </w:rPr>
      </w:pPr>
      <w:r w:rsidRPr="00186A98">
        <w:rPr>
          <w:rFonts w:ascii="Times New Roman" w:hAnsi="Times New Roman"/>
          <w:b/>
          <w:bCs/>
          <w:sz w:val="22"/>
          <w:szCs w:val="22"/>
          <w:lang w:val="lt-LT" w:eastAsia="lt-LT"/>
        </w:rPr>
        <w:t>6.</w:t>
      </w:r>
      <w:r w:rsidRPr="00186A98">
        <w:rPr>
          <w:rFonts w:ascii="Times New Roman" w:hAnsi="Times New Roman"/>
          <w:b/>
          <w:bCs/>
          <w:sz w:val="22"/>
          <w:szCs w:val="22"/>
          <w:lang w:val="lt-LT" w:eastAsia="lt-LT"/>
        </w:rPr>
        <w:tab/>
        <w:t xml:space="preserve">Pakuotės turinys ir kita informacija </w:t>
      </w:r>
    </w:p>
    <w:p w:rsidR="00E74DEC" w:rsidRPr="00186A98" w:rsidRDefault="00E74DEC" w:rsidP="00E74DEC">
      <w:pPr>
        <w:jc w:val="both"/>
        <w:rPr>
          <w:rFonts w:ascii="Times New Roman" w:hAnsi="Times New Roman"/>
          <w:b/>
          <w:bCs/>
          <w:sz w:val="22"/>
          <w:szCs w:val="22"/>
          <w:lang w:val="lt-LT" w:eastAsia="lt-LT"/>
        </w:rPr>
      </w:pPr>
    </w:p>
    <w:p w:rsidR="00E74DEC" w:rsidRPr="00186A98" w:rsidRDefault="00E74DEC" w:rsidP="00E74DEC">
      <w:pPr>
        <w:jc w:val="both"/>
        <w:rPr>
          <w:rFonts w:ascii="Times New Roman" w:hAnsi="Times New Roman"/>
          <w:b/>
          <w:sz w:val="22"/>
          <w:szCs w:val="22"/>
          <w:lang w:val="lt-LT" w:eastAsia="lt-LT"/>
        </w:rPr>
      </w:pPr>
      <w:r w:rsidRPr="00186A98">
        <w:rPr>
          <w:rFonts w:ascii="Times New Roman" w:hAnsi="Times New Roman"/>
          <w:b/>
          <w:sz w:val="22"/>
          <w:szCs w:val="22"/>
          <w:lang w:val="lt-LT" w:eastAsia="lt-LT"/>
        </w:rPr>
        <w:t>CALUMID sudėtis</w:t>
      </w:r>
    </w:p>
    <w:p w:rsidR="00E74DEC" w:rsidRPr="00186A98" w:rsidRDefault="00E74DEC" w:rsidP="0084176F">
      <w:pPr>
        <w:rPr>
          <w:rFonts w:ascii="Times New Roman" w:hAnsi="Times New Roman"/>
          <w:b/>
          <w:bCs/>
          <w:sz w:val="22"/>
          <w:szCs w:val="22"/>
          <w:lang w:val="lt-LT" w:eastAsia="lt-LT"/>
        </w:rPr>
      </w:pPr>
    </w:p>
    <w:p w:rsidR="00E74DEC" w:rsidRPr="00186A98" w:rsidRDefault="00E74DEC" w:rsidP="0084176F">
      <w:pPr>
        <w:ind w:left="567"/>
        <w:rPr>
          <w:rFonts w:ascii="Times New Roman" w:hAnsi="Times New Roman"/>
          <w:i/>
          <w:iCs/>
          <w:sz w:val="22"/>
          <w:szCs w:val="22"/>
          <w:lang w:val="lt-LT" w:eastAsia="lt-LT"/>
        </w:rPr>
      </w:pPr>
      <w:r w:rsidRPr="00186A98">
        <w:rPr>
          <w:rFonts w:ascii="Times New Roman" w:hAnsi="Times New Roman"/>
          <w:b/>
          <w:bCs/>
          <w:sz w:val="22"/>
          <w:szCs w:val="22"/>
          <w:lang w:val="lt-LT" w:eastAsia="lt-LT"/>
        </w:rPr>
        <w:t>-</w:t>
      </w:r>
      <w:r w:rsidRPr="00186A98">
        <w:rPr>
          <w:rFonts w:ascii="Times New Roman" w:hAnsi="Times New Roman"/>
          <w:b/>
          <w:bCs/>
          <w:sz w:val="22"/>
          <w:szCs w:val="22"/>
          <w:lang w:val="lt-LT" w:eastAsia="lt-LT"/>
        </w:rPr>
        <w:tab/>
      </w:r>
      <w:r w:rsidRPr="00186A98">
        <w:rPr>
          <w:rFonts w:ascii="Times New Roman" w:hAnsi="Times New Roman"/>
          <w:sz w:val="22"/>
          <w:szCs w:val="22"/>
          <w:lang w:val="lt-LT" w:eastAsia="lt-LT"/>
        </w:rPr>
        <w:t>Veiklioji  medžiaga yra bikalutamidas. Kiekvienoje tabletėje jo yra 150 mg.</w:t>
      </w:r>
    </w:p>
    <w:p w:rsidR="00E74DEC" w:rsidRPr="00186A98" w:rsidRDefault="00E74DEC" w:rsidP="0084176F">
      <w:pPr>
        <w:ind w:left="567"/>
        <w:rPr>
          <w:rFonts w:ascii="Times New Roman" w:hAnsi="Times New Roman"/>
          <w:sz w:val="22"/>
          <w:szCs w:val="22"/>
          <w:lang w:val="lt-LT" w:eastAsia="lt-LT"/>
        </w:rPr>
      </w:pPr>
      <w:r w:rsidRPr="00186A98">
        <w:rPr>
          <w:rFonts w:ascii="Times New Roman" w:hAnsi="Times New Roman"/>
          <w:sz w:val="22"/>
          <w:szCs w:val="22"/>
          <w:lang w:val="lt-LT" w:eastAsia="lt-LT"/>
        </w:rPr>
        <w:t>-</w:t>
      </w:r>
      <w:r w:rsidRPr="00186A98">
        <w:rPr>
          <w:rFonts w:ascii="Times New Roman" w:hAnsi="Times New Roman"/>
          <w:sz w:val="22"/>
          <w:szCs w:val="22"/>
          <w:lang w:val="lt-LT" w:eastAsia="lt-LT"/>
        </w:rPr>
        <w:tab/>
        <w:t>Pagalbinės medžiagos Tabletės branduolyje yra laktozė monohidratas, karboksimetilkrakmolo A natrio druska, povidonas -K30, koloidinis bevandenis silicio dioksidas, magnio stearatas; plėvelėje</w:t>
      </w:r>
      <w:r w:rsidRPr="00186A98">
        <w:rPr>
          <w:rFonts w:ascii="Times New Roman" w:hAnsi="Times New Roman"/>
          <w:i/>
          <w:sz w:val="22"/>
          <w:szCs w:val="22"/>
          <w:lang w:val="lt-LT" w:eastAsia="lt-LT"/>
        </w:rPr>
        <w:t xml:space="preserve"> - Opadry II White 33G28523</w:t>
      </w:r>
      <w:r w:rsidRPr="00186A98">
        <w:rPr>
          <w:rFonts w:ascii="Times New Roman" w:hAnsi="Times New Roman"/>
          <w:sz w:val="22"/>
          <w:szCs w:val="22"/>
          <w:lang w:val="lt-LT" w:eastAsia="lt-LT"/>
        </w:rPr>
        <w:t xml:space="preserve"> (hipromeliozė, titano dioksidas (E171), laktozė monohidratas,  makrogolis 3350, triacetinas).</w:t>
      </w:r>
    </w:p>
    <w:p w:rsidR="00E74DEC" w:rsidRPr="00186A98" w:rsidRDefault="00E74DEC" w:rsidP="00E74DEC">
      <w:pPr>
        <w:jc w:val="both"/>
        <w:rPr>
          <w:rFonts w:ascii="Times New Roman" w:hAnsi="Times New Roman"/>
          <w:sz w:val="22"/>
          <w:szCs w:val="22"/>
          <w:lang w:val="lt-LT" w:eastAsia="lt-LT"/>
        </w:rPr>
      </w:pPr>
    </w:p>
    <w:p w:rsidR="00E74DEC" w:rsidRPr="00186A98" w:rsidRDefault="00E74DEC" w:rsidP="00E74DEC">
      <w:pPr>
        <w:jc w:val="both"/>
        <w:rPr>
          <w:rFonts w:ascii="Times New Roman" w:hAnsi="Times New Roman"/>
          <w:sz w:val="22"/>
          <w:szCs w:val="22"/>
          <w:lang w:val="lt-LT" w:eastAsia="lt-LT"/>
        </w:rPr>
      </w:pPr>
      <w:r w:rsidRPr="00186A98">
        <w:rPr>
          <w:rFonts w:ascii="Times New Roman" w:hAnsi="Times New Roman"/>
          <w:b/>
          <w:sz w:val="22"/>
          <w:szCs w:val="22"/>
          <w:lang w:val="lt-LT" w:eastAsia="lt-LT"/>
        </w:rPr>
        <w:t>CALUMID 150 mg plėvele dengtų tablečių išvaizda ir kiekis pakuotėje</w:t>
      </w:r>
    </w:p>
    <w:p w:rsidR="00E74DEC" w:rsidRPr="00186A98" w:rsidRDefault="00E74DEC" w:rsidP="00E74DEC">
      <w:pPr>
        <w:jc w:val="both"/>
        <w:rPr>
          <w:rFonts w:ascii="Times New Roman" w:hAnsi="Times New Roman"/>
          <w:bCs/>
          <w:sz w:val="22"/>
          <w:szCs w:val="22"/>
          <w:lang w:val="lt-LT" w:eastAsia="lt-LT"/>
        </w:rPr>
      </w:pPr>
    </w:p>
    <w:p w:rsidR="00E74DEC" w:rsidRPr="00186A98" w:rsidRDefault="00E74DEC" w:rsidP="00E74DEC">
      <w:pPr>
        <w:rPr>
          <w:rFonts w:ascii="Times New Roman" w:hAnsi="Times New Roman"/>
          <w:b/>
          <w:bCs/>
          <w:sz w:val="22"/>
          <w:szCs w:val="22"/>
          <w:lang w:val="lt-LT" w:eastAsia="lt-LT"/>
        </w:rPr>
      </w:pPr>
      <w:r w:rsidRPr="00186A98">
        <w:rPr>
          <w:rFonts w:ascii="Times New Roman" w:hAnsi="Times New Roman"/>
          <w:bCs/>
          <w:sz w:val="22"/>
          <w:szCs w:val="22"/>
          <w:lang w:val="lt-LT" w:eastAsia="lt-LT"/>
        </w:rPr>
        <w:t xml:space="preserve">CALUMID yra </w:t>
      </w:r>
      <w:r w:rsidRPr="00186A98">
        <w:rPr>
          <w:rFonts w:ascii="Times New Roman" w:hAnsi="Times New Roman"/>
          <w:sz w:val="22"/>
          <w:szCs w:val="22"/>
          <w:lang w:val="lt-LT" w:eastAsia="lt-LT"/>
        </w:rPr>
        <w:t xml:space="preserve">baltos arba beveik baltos, apvalios, išgaubtos, plėvele dengtos tabletės, kurių vienoje pusėje yra įspaudas “XL”,  ir kitoje - “RG”. </w:t>
      </w:r>
    </w:p>
    <w:p w:rsidR="00E74DEC" w:rsidRPr="00186A98" w:rsidRDefault="00E74DEC" w:rsidP="00E74DEC">
      <w:pPr>
        <w:jc w:val="both"/>
        <w:rPr>
          <w:rFonts w:ascii="Times New Roman" w:hAnsi="Times New Roman"/>
          <w:bCs/>
          <w:sz w:val="22"/>
          <w:szCs w:val="22"/>
          <w:lang w:val="lt-LT" w:eastAsia="lt-LT"/>
        </w:rPr>
      </w:pPr>
      <w:r w:rsidRPr="00186A98">
        <w:rPr>
          <w:rFonts w:ascii="Times New Roman" w:hAnsi="Times New Roman"/>
          <w:bCs/>
          <w:sz w:val="22"/>
          <w:szCs w:val="22"/>
          <w:lang w:val="lt-LT" w:eastAsia="lt-LT"/>
        </w:rPr>
        <w:t xml:space="preserve">Kartono dėžutėje yra 30 tablečių, supakuotų į PVC/PVDC/Al folijos lizdines plokšteles. </w:t>
      </w:r>
    </w:p>
    <w:p w:rsidR="00E74DEC" w:rsidRPr="00186A98" w:rsidRDefault="00E74DEC" w:rsidP="00E74DEC">
      <w:pPr>
        <w:jc w:val="both"/>
        <w:rPr>
          <w:rFonts w:ascii="Times New Roman" w:hAnsi="Times New Roman"/>
          <w:bCs/>
          <w:sz w:val="22"/>
          <w:szCs w:val="22"/>
          <w:lang w:val="lt-LT" w:eastAsia="lt-LT"/>
        </w:rPr>
      </w:pPr>
    </w:p>
    <w:p w:rsidR="00E74DEC" w:rsidRPr="00186A98" w:rsidRDefault="00284F64" w:rsidP="00E74DEC">
      <w:pPr>
        <w:tabs>
          <w:tab w:val="left" w:pos="720"/>
        </w:tabs>
        <w:rPr>
          <w:rFonts w:ascii="Times New Roman" w:hAnsi="Times New Roman"/>
          <w:b/>
          <w:bCs/>
          <w:sz w:val="22"/>
          <w:szCs w:val="22"/>
          <w:lang w:val="lt-LT"/>
        </w:rPr>
      </w:pPr>
      <w:r w:rsidRPr="00186A98">
        <w:rPr>
          <w:rFonts w:ascii="Times New Roman" w:hAnsi="Times New Roman"/>
          <w:b/>
          <w:bCs/>
          <w:sz w:val="22"/>
          <w:szCs w:val="22"/>
          <w:lang w:val="lt-LT"/>
        </w:rPr>
        <w:t xml:space="preserve">Registruotojas </w:t>
      </w:r>
      <w:r w:rsidR="00E74DEC" w:rsidRPr="00186A98">
        <w:rPr>
          <w:rFonts w:ascii="Times New Roman" w:hAnsi="Times New Roman"/>
          <w:b/>
          <w:bCs/>
          <w:sz w:val="22"/>
          <w:szCs w:val="22"/>
          <w:lang w:val="lt-LT"/>
        </w:rPr>
        <w:t>ir gamintojas</w:t>
      </w:r>
    </w:p>
    <w:p w:rsidR="00E74DEC" w:rsidRPr="00186A98" w:rsidRDefault="00E74DEC" w:rsidP="00E74DEC">
      <w:pPr>
        <w:rPr>
          <w:rFonts w:ascii="Times New Roman" w:hAnsi="Times New Roman"/>
          <w:sz w:val="22"/>
          <w:szCs w:val="22"/>
          <w:lang w:val="lt-LT" w:eastAsia="lt-LT"/>
        </w:rPr>
      </w:pP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Gedeon Richter Plc.</w:t>
      </w:r>
    </w:p>
    <w:p w:rsidR="00E74DEC" w:rsidRPr="00186A98" w:rsidRDefault="00E74DEC" w:rsidP="00E74DEC">
      <w:pPr>
        <w:jc w:val="both"/>
        <w:rPr>
          <w:rFonts w:ascii="Times New Roman" w:hAnsi="Times New Roman"/>
          <w:sz w:val="22"/>
          <w:szCs w:val="22"/>
          <w:lang w:val="lt-LT" w:eastAsia="lt-LT"/>
        </w:rPr>
      </w:pPr>
      <w:r w:rsidRPr="00186A98">
        <w:rPr>
          <w:rFonts w:ascii="Times New Roman" w:hAnsi="Times New Roman"/>
          <w:sz w:val="22"/>
          <w:szCs w:val="22"/>
          <w:lang w:val="lt-LT" w:eastAsia="lt-LT"/>
        </w:rPr>
        <w:t>Gyömrői út 19-21</w:t>
      </w:r>
    </w:p>
    <w:p w:rsidR="00E74DEC" w:rsidRPr="00186A98" w:rsidRDefault="00E74DEC" w:rsidP="00E74DEC">
      <w:pPr>
        <w:jc w:val="both"/>
        <w:rPr>
          <w:rFonts w:ascii="Times New Roman" w:hAnsi="Times New Roman"/>
          <w:sz w:val="22"/>
          <w:szCs w:val="22"/>
          <w:lang w:val="lt-LT" w:eastAsia="lt-LT"/>
        </w:rPr>
      </w:pPr>
      <w:r w:rsidRPr="00186A98">
        <w:rPr>
          <w:rFonts w:ascii="Times New Roman" w:hAnsi="Times New Roman"/>
          <w:sz w:val="22"/>
          <w:szCs w:val="22"/>
          <w:lang w:val="lt-LT" w:eastAsia="lt-LT"/>
        </w:rPr>
        <w:t>1103 Budapest, Vengrija</w:t>
      </w:r>
    </w:p>
    <w:p w:rsidR="00E74DEC" w:rsidRPr="00186A98" w:rsidRDefault="00E74DEC" w:rsidP="00E74DEC">
      <w:pPr>
        <w:rPr>
          <w:rFonts w:ascii="Times New Roman" w:eastAsia="Calibri" w:hAnsi="Times New Roman"/>
          <w:noProof/>
          <w:sz w:val="22"/>
          <w:szCs w:val="22"/>
          <w:lang w:val="lt-LT"/>
        </w:rPr>
      </w:pPr>
    </w:p>
    <w:p w:rsidR="00E74DEC" w:rsidRPr="00186A98" w:rsidRDefault="00E74DEC" w:rsidP="00E74DEC">
      <w:pPr>
        <w:jc w:val="both"/>
        <w:rPr>
          <w:rFonts w:ascii="Times New Roman" w:hAnsi="Times New Roman"/>
          <w:sz w:val="22"/>
          <w:szCs w:val="22"/>
          <w:lang w:val="lt-LT" w:eastAsia="lt-LT"/>
        </w:rPr>
      </w:pPr>
    </w:p>
    <w:p w:rsidR="00E74DEC" w:rsidRPr="00186A98" w:rsidRDefault="00E74DEC" w:rsidP="00E74DEC">
      <w:pPr>
        <w:rPr>
          <w:rFonts w:ascii="Times New Roman" w:eastAsia="Calibri" w:hAnsi="Times New Roman"/>
          <w:noProof/>
          <w:sz w:val="22"/>
          <w:szCs w:val="22"/>
          <w:lang w:val="lt-LT"/>
        </w:rPr>
      </w:pPr>
    </w:p>
    <w:p w:rsidR="00E74DEC" w:rsidRPr="00186A98" w:rsidRDefault="00E74DEC" w:rsidP="00E74DEC">
      <w:pPr>
        <w:rPr>
          <w:rFonts w:ascii="Times New Roman" w:eastAsia="Calibri" w:hAnsi="Times New Roman"/>
          <w:noProof/>
          <w:sz w:val="22"/>
          <w:szCs w:val="22"/>
          <w:lang w:val="lt-LT"/>
        </w:rPr>
      </w:pPr>
      <w:r w:rsidRPr="00186A98">
        <w:rPr>
          <w:rFonts w:ascii="Times New Roman" w:eastAsia="Calibri" w:hAnsi="Times New Roman"/>
          <w:noProof/>
          <w:sz w:val="22"/>
          <w:szCs w:val="22"/>
          <w:lang w:val="lt-LT"/>
        </w:rPr>
        <w:t xml:space="preserve">Jeigu apie šį vaistą norite sužinoti daugiau, kreipkitės į vietinį </w:t>
      </w:r>
      <w:r w:rsidR="00284F64" w:rsidRPr="00186A98">
        <w:rPr>
          <w:rFonts w:ascii="Times New Roman" w:eastAsia="Calibri" w:hAnsi="Times New Roman"/>
          <w:noProof/>
          <w:sz w:val="22"/>
          <w:szCs w:val="22"/>
          <w:lang w:val="lt-LT"/>
        </w:rPr>
        <w:t xml:space="preserve">registruotojo </w:t>
      </w:r>
      <w:r w:rsidRPr="00186A98">
        <w:rPr>
          <w:rFonts w:ascii="Times New Roman" w:eastAsia="Calibri" w:hAnsi="Times New Roman"/>
          <w:noProof/>
          <w:sz w:val="22"/>
          <w:szCs w:val="22"/>
          <w:lang w:val="lt-LT"/>
        </w:rPr>
        <w:t>atstovą.</w:t>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lastRenderedPageBreak/>
        <w:t>Gedeon Richter Plc. atstovybė Lietuvoje</w:t>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Maironio 23-3,</w:t>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 xml:space="preserve">Vilnius </w:t>
      </w:r>
    </w:p>
    <w:p w:rsidR="00E74DEC" w:rsidRPr="00186A98" w:rsidRDefault="00E74DEC" w:rsidP="00E74DEC">
      <w:pPr>
        <w:rPr>
          <w:rFonts w:ascii="Times New Roman" w:hAnsi="Times New Roman"/>
          <w:sz w:val="22"/>
          <w:szCs w:val="22"/>
          <w:lang w:val="lt-LT" w:eastAsia="lt-LT"/>
        </w:rPr>
      </w:pPr>
      <w:r w:rsidRPr="00186A98">
        <w:rPr>
          <w:rFonts w:ascii="Times New Roman" w:hAnsi="Times New Roman"/>
          <w:sz w:val="22"/>
          <w:szCs w:val="22"/>
          <w:lang w:val="lt-LT" w:eastAsia="lt-LT"/>
        </w:rPr>
        <w:t>Tel. +370 5 268 53 92</w:t>
      </w:r>
    </w:p>
    <w:p w:rsidR="00E74DEC" w:rsidRPr="00186A98" w:rsidRDefault="00E74DEC" w:rsidP="00E74DEC">
      <w:pPr>
        <w:rPr>
          <w:rFonts w:ascii="Times New Roman" w:eastAsia="Calibri" w:hAnsi="Times New Roman"/>
          <w:sz w:val="22"/>
          <w:szCs w:val="22"/>
          <w:lang w:val="lt-LT" w:eastAsia="lt-LT"/>
        </w:rPr>
      </w:pPr>
    </w:p>
    <w:p w:rsidR="00E74DEC" w:rsidRPr="00186A98" w:rsidRDefault="00E74DEC" w:rsidP="00E74DEC">
      <w:pPr>
        <w:rPr>
          <w:rFonts w:ascii="Times New Roman" w:hAnsi="Times New Roman"/>
          <w:b/>
          <w:sz w:val="22"/>
          <w:szCs w:val="22"/>
          <w:lang w:val="lt-LT"/>
        </w:rPr>
      </w:pPr>
      <w:r w:rsidRPr="00186A98">
        <w:rPr>
          <w:rFonts w:ascii="Times New Roman" w:hAnsi="Times New Roman"/>
          <w:b/>
          <w:bCs/>
          <w:sz w:val="22"/>
          <w:szCs w:val="22"/>
          <w:lang w:val="lt-LT"/>
        </w:rPr>
        <w:t>Šis pakuotės lapelis</w:t>
      </w:r>
      <w:r w:rsidRPr="00186A98">
        <w:rPr>
          <w:rFonts w:ascii="Times New Roman" w:hAnsi="Times New Roman"/>
          <w:b/>
          <w:sz w:val="22"/>
          <w:szCs w:val="22"/>
          <w:lang w:val="lt-LT"/>
        </w:rPr>
        <w:t xml:space="preserve"> paskutinį kartą peržiūrėtas</w:t>
      </w:r>
      <w:r w:rsidRPr="00186A98">
        <w:rPr>
          <w:rFonts w:ascii="Times New Roman" w:hAnsi="Times New Roman"/>
          <w:noProof/>
          <w:sz w:val="22"/>
          <w:szCs w:val="22"/>
          <w:lang w:val="lt-LT"/>
        </w:rPr>
        <w:t xml:space="preserve"> </w:t>
      </w:r>
      <w:r w:rsidR="0084176F" w:rsidRPr="0084176F">
        <w:rPr>
          <w:rFonts w:ascii="Times New Roman" w:hAnsi="Times New Roman"/>
          <w:b/>
          <w:noProof/>
          <w:sz w:val="22"/>
          <w:szCs w:val="22"/>
          <w:lang w:val="lt-LT"/>
        </w:rPr>
        <w:t>2016-02-03</w:t>
      </w:r>
    </w:p>
    <w:p w:rsidR="00E74DEC" w:rsidRPr="00186A98" w:rsidRDefault="00E74DEC" w:rsidP="00E74DEC">
      <w:pPr>
        <w:rPr>
          <w:rFonts w:ascii="Times New Roman" w:hAnsi="Times New Roman"/>
          <w:sz w:val="22"/>
          <w:szCs w:val="22"/>
          <w:lang w:val="lt-LT" w:eastAsia="lt-LT"/>
        </w:rPr>
      </w:pPr>
    </w:p>
    <w:p w:rsidR="00E74DEC" w:rsidRDefault="00E74DEC" w:rsidP="00E74DEC">
      <w:pPr>
        <w:rPr>
          <w:rFonts w:ascii="Times New Roman" w:eastAsia="SimSun" w:hAnsi="Times New Roman"/>
          <w:noProof/>
          <w:color w:val="0000FF"/>
          <w:sz w:val="22"/>
          <w:szCs w:val="22"/>
          <w:u w:val="single"/>
          <w:lang w:val="lt-LT"/>
        </w:rPr>
      </w:pPr>
      <w:r w:rsidRPr="00186A98">
        <w:rPr>
          <w:rFonts w:ascii="Times New Roman" w:eastAsia="Calibri" w:hAnsi="Times New Roman"/>
          <w:noProof/>
          <w:sz w:val="22"/>
          <w:szCs w:val="22"/>
          <w:lang w:val="lt-LT"/>
        </w:rPr>
        <w:t>Išsami informacija apie šį vaistą pateikiama Valstybinės vaistų kontrolės tarnybos prie Lietuvos Respublikos sveikatos apsaugos ministerijos tinklalapyje</w:t>
      </w:r>
      <w:r w:rsidRPr="00186A98">
        <w:rPr>
          <w:rFonts w:ascii="Times New Roman" w:eastAsia="Calibri" w:hAnsi="Times New Roman"/>
          <w:i/>
          <w:noProof/>
          <w:sz w:val="22"/>
          <w:szCs w:val="22"/>
          <w:lang w:val="lt-LT"/>
        </w:rPr>
        <w:t xml:space="preserve"> </w:t>
      </w:r>
      <w:hyperlink r:id="rId7" w:history="1">
        <w:r w:rsidRPr="00186A98">
          <w:rPr>
            <w:rFonts w:ascii="Times New Roman" w:eastAsia="SimSun" w:hAnsi="Times New Roman"/>
            <w:noProof/>
            <w:color w:val="0000FF"/>
            <w:sz w:val="22"/>
            <w:szCs w:val="22"/>
            <w:u w:val="single"/>
            <w:lang w:val="lt-LT"/>
          </w:rPr>
          <w:t>http://www.vvkt.lt/</w:t>
        </w:r>
      </w:hyperlink>
    </w:p>
    <w:p w:rsidR="0084176F" w:rsidRDefault="0084176F" w:rsidP="00E74DEC">
      <w:pPr>
        <w:rPr>
          <w:rFonts w:ascii="Times New Roman" w:eastAsia="SimSun" w:hAnsi="Times New Roman"/>
          <w:noProof/>
          <w:color w:val="0000FF"/>
          <w:sz w:val="22"/>
          <w:szCs w:val="22"/>
          <w:u w:val="single"/>
          <w:lang w:val="lt-LT"/>
        </w:rPr>
      </w:pPr>
    </w:p>
    <w:p w:rsidR="0084176F" w:rsidRDefault="0084176F" w:rsidP="00E74DEC">
      <w:pPr>
        <w:rPr>
          <w:rFonts w:ascii="Times New Roman" w:eastAsia="SimSun" w:hAnsi="Times New Roman"/>
          <w:noProof/>
          <w:color w:val="0000FF"/>
          <w:sz w:val="22"/>
          <w:szCs w:val="22"/>
          <w:u w:val="single"/>
          <w:lang w:val="lt-LT"/>
        </w:rPr>
      </w:pPr>
      <w:bookmarkStart w:id="2" w:name="_GoBack"/>
      <w:bookmarkEnd w:id="2"/>
      <w:permStart w:id="1591638072" w:edGrp="everyone"/>
      <w:permEnd w:id="1591638072"/>
    </w:p>
    <w:sectPr w:rsidR="0084176F" w:rsidSect="000936CF">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20C448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7A0FFB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5A6B1D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BCEE895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C063F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34A2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1EDB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484A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96827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7B451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CE6CBAA"/>
    <w:lvl w:ilvl="0">
      <w:numFmt w:val="decimal"/>
      <w:lvlText w:val="*"/>
      <w:lvlJc w:val="left"/>
    </w:lvl>
  </w:abstractNum>
  <w:abstractNum w:abstractNumId="11" w15:restartNumberingAfterBreak="0">
    <w:nsid w:val="00C4098D"/>
    <w:multiLevelType w:val="hybridMultilevel"/>
    <w:tmpl w:val="2F5AE202"/>
    <w:lvl w:ilvl="0" w:tplc="C06EEA9E">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CD7502"/>
    <w:multiLevelType w:val="hybridMultilevel"/>
    <w:tmpl w:val="0EA67D3E"/>
    <w:lvl w:ilvl="0" w:tplc="558C73F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8F781C"/>
    <w:multiLevelType w:val="hybridMultilevel"/>
    <w:tmpl w:val="3894037E"/>
    <w:lvl w:ilvl="0" w:tplc="68C005BE">
      <w:start w:val="1"/>
      <w:numFmt w:val="bullet"/>
      <w:lvlText w:val=""/>
      <w:lvlJc w:val="left"/>
      <w:pPr>
        <w:tabs>
          <w:tab w:val="num" w:pos="357"/>
        </w:tabs>
        <w:ind w:left="357" w:hanging="357"/>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177923BA"/>
    <w:multiLevelType w:val="hybridMultilevel"/>
    <w:tmpl w:val="E6469726"/>
    <w:lvl w:ilvl="0" w:tplc="68C005BE">
      <w:start w:val="1"/>
      <w:numFmt w:val="bullet"/>
      <w:lvlText w:val=""/>
      <w:lvlJc w:val="left"/>
      <w:pPr>
        <w:tabs>
          <w:tab w:val="num" w:pos="357"/>
        </w:tabs>
        <w:ind w:left="357" w:hanging="357"/>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2C584E"/>
    <w:multiLevelType w:val="multilevel"/>
    <w:tmpl w:val="C2B4172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7" w15:restartNumberingAfterBreak="0">
    <w:nsid w:val="3ADA6ABD"/>
    <w:multiLevelType w:val="multilevel"/>
    <w:tmpl w:val="3566D876"/>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8" w15:restartNumberingAfterBreak="0">
    <w:nsid w:val="3F1A011A"/>
    <w:multiLevelType w:val="hybridMultilevel"/>
    <w:tmpl w:val="CE7E2F84"/>
    <w:lvl w:ilvl="0" w:tplc="C100AFCE">
      <w:start w:val="1"/>
      <w:numFmt w:val="bullet"/>
      <w:lvlText w:val=""/>
      <w:lvlJc w:val="left"/>
      <w:pPr>
        <w:tabs>
          <w:tab w:val="num" w:pos="357"/>
        </w:tabs>
        <w:ind w:left="357" w:hanging="35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630214"/>
    <w:multiLevelType w:val="hybridMultilevel"/>
    <w:tmpl w:val="445CCFA2"/>
    <w:lvl w:ilvl="0" w:tplc="234EE876">
      <w:start w:val="6"/>
      <w:numFmt w:val="bullet"/>
      <w:lvlText w:val="-"/>
      <w:lvlJc w:val="left"/>
      <w:pPr>
        <w:ind w:left="1287" w:hanging="360"/>
      </w:pPr>
      <w:rPr>
        <w:rFonts w:ascii="Times New Roman" w:eastAsia="Times New Roman" w:hAnsi="Times New Roman" w:cs="Times New Roman" w:hint="default"/>
        <w:color w:val="auto"/>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4C97111E"/>
    <w:multiLevelType w:val="hybridMultilevel"/>
    <w:tmpl w:val="F210F6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51101039"/>
    <w:multiLevelType w:val="hybridMultilevel"/>
    <w:tmpl w:val="1A3855E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556120EE"/>
    <w:multiLevelType w:val="hybridMultilevel"/>
    <w:tmpl w:val="12BC37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9B57F8"/>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24" w15:restartNumberingAfterBreak="0">
    <w:nsid w:val="5CC52ACA"/>
    <w:multiLevelType w:val="hybridMultilevel"/>
    <w:tmpl w:val="8278D64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60252ED6"/>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26" w15:restartNumberingAfterBreak="0">
    <w:nsid w:val="69EA137E"/>
    <w:multiLevelType w:val="hybridMultilevel"/>
    <w:tmpl w:val="07362394"/>
    <w:lvl w:ilvl="0" w:tplc="34B6B15E">
      <w:start w:val="16"/>
      <w:numFmt w:val="bullet"/>
      <w:lvlText w:val="-"/>
      <w:lvlJc w:val="left"/>
      <w:pPr>
        <w:ind w:left="927" w:hanging="360"/>
      </w:pPr>
      <w:rPr>
        <w:rFonts w:ascii="Times New Roman" w:eastAsia="Times New Roman" w:hAnsi="Times New Roman" w:cs="Times New Roman" w:hint="default"/>
      </w:rPr>
    </w:lvl>
    <w:lvl w:ilvl="1" w:tplc="04270003">
      <w:start w:val="1"/>
      <w:numFmt w:val="bullet"/>
      <w:lvlText w:val="o"/>
      <w:lvlJc w:val="left"/>
      <w:pPr>
        <w:ind w:left="1647" w:hanging="360"/>
      </w:pPr>
      <w:rPr>
        <w:rFonts w:ascii="Courier New" w:hAnsi="Courier New" w:cs="Times New Roman"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Times New Roman"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Times New Roman" w:hint="default"/>
      </w:rPr>
    </w:lvl>
    <w:lvl w:ilvl="8" w:tplc="04270005">
      <w:start w:val="1"/>
      <w:numFmt w:val="bullet"/>
      <w:lvlText w:val=""/>
      <w:lvlJc w:val="left"/>
      <w:pPr>
        <w:ind w:left="6687" w:hanging="360"/>
      </w:pPr>
      <w:rPr>
        <w:rFonts w:ascii="Wingdings" w:hAnsi="Wingdings" w:hint="default"/>
      </w:rPr>
    </w:lvl>
  </w:abstractNum>
  <w:abstractNum w:abstractNumId="27"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8" w15:restartNumberingAfterBreak="0">
    <w:nsid w:val="6C567428"/>
    <w:multiLevelType w:val="multilevel"/>
    <w:tmpl w:val="EC484E00"/>
    <w:lvl w:ilvl="0">
      <w:start w:val="4"/>
      <w:numFmt w:val="decimal"/>
      <w:lvlText w:val="%1"/>
      <w:lvlJc w:val="left"/>
      <w:pPr>
        <w:tabs>
          <w:tab w:val="num" w:pos="360"/>
        </w:tabs>
        <w:ind w:left="360" w:hanging="360"/>
      </w:pPr>
      <w:rPr>
        <w:rFonts w:cs="Times New Roman"/>
      </w:rPr>
    </w:lvl>
    <w:lvl w:ilvl="1">
      <w:start w:val="5"/>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755E97"/>
    <w:multiLevelType w:val="hybridMultilevel"/>
    <w:tmpl w:val="17C41648"/>
    <w:lvl w:ilvl="0" w:tplc="34B6B15E">
      <w:start w:val="16"/>
      <w:numFmt w:val="bullet"/>
      <w:lvlText w:val="-"/>
      <w:lvlJc w:val="left"/>
      <w:pPr>
        <w:ind w:left="927"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1971BA"/>
    <w:multiLevelType w:val="multilevel"/>
    <w:tmpl w:val="949807FE"/>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2" w15:restartNumberingAfterBreak="0">
    <w:nsid w:val="7368324D"/>
    <w:multiLevelType w:val="hybridMultilevel"/>
    <w:tmpl w:val="A98A8232"/>
    <w:lvl w:ilvl="0" w:tplc="D4CE919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FA12A0B"/>
    <w:multiLevelType w:val="hybridMultilevel"/>
    <w:tmpl w:val="877E81B6"/>
    <w:lvl w:ilvl="0" w:tplc="FF70F264">
      <w:start w:val="4"/>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10"/>
    <w:lvlOverride w:ilvl="0">
      <w:lvl w:ilvl="0">
        <w:start w:val="1"/>
        <w:numFmt w:val="bullet"/>
        <w:lvlText w:val="-"/>
        <w:legacy w:legacy="1" w:legacySpace="0" w:legacyIndent="360"/>
        <w:lvlJc w:val="left"/>
        <w:pPr>
          <w:ind w:left="360" w:hanging="360"/>
        </w:pPr>
      </w:lvl>
    </w:lvlOverride>
  </w:num>
  <w:num w:numId="3">
    <w:abstractNumId w:val="27"/>
  </w:num>
  <w:num w:numId="4">
    <w:abstractNumId w:val="33"/>
  </w:num>
  <w:num w:numId="5">
    <w:abstractNumId w:val="12"/>
  </w:num>
  <w:num w:numId="6">
    <w:abstractNumId w:val="22"/>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8"/>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1"/>
  </w:num>
  <w:num w:numId="17">
    <w:abstractNumId w:val="18"/>
  </w:num>
  <w:num w:numId="18">
    <w:abstractNumId w:val="25"/>
  </w:num>
  <w:num w:numId="19">
    <w:abstractNumId w:val="24"/>
  </w:num>
  <w:num w:numId="20">
    <w:abstractNumId w:val="23"/>
  </w:num>
  <w:num w:numId="21">
    <w:abstractNumId w:val="14"/>
  </w:num>
  <w:num w:numId="22">
    <w:abstractNumId w:val="21"/>
  </w:num>
  <w:num w:numId="23">
    <w:abstractNumId w:val="20"/>
  </w:num>
  <w:num w:numId="24">
    <w:abstractNumId w:val="13"/>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30"/>
  </w:num>
  <w:num w:numId="36">
    <w:abstractNumId w:val="29"/>
  </w:num>
  <w:num w:numId="37">
    <w:abstractNumId w:val="19"/>
  </w:num>
  <w:num w:numId="38">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eTH988MgCKpk7NzPaDqC4aNsw5hfyNxKef2EE3ypp6A9Xk8tjmavtgBsJDxdHVPgVvxoyNEOoPkeCXFHjlzrQ==" w:salt="3n6dy9vVQtxZIvrhafnjwQ=="/>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F7B"/>
    <w:rsid w:val="00026AED"/>
    <w:rsid w:val="000936CF"/>
    <w:rsid w:val="0009380E"/>
    <w:rsid w:val="000A3859"/>
    <w:rsid w:val="000A7910"/>
    <w:rsid w:val="000B2B76"/>
    <w:rsid w:val="000C2993"/>
    <w:rsid w:val="00160890"/>
    <w:rsid w:val="001716D7"/>
    <w:rsid w:val="00182303"/>
    <w:rsid w:val="00186A98"/>
    <w:rsid w:val="00197CB7"/>
    <w:rsid w:val="001F5B4E"/>
    <w:rsid w:val="002129B0"/>
    <w:rsid w:val="002249CD"/>
    <w:rsid w:val="00255BCC"/>
    <w:rsid w:val="00284F64"/>
    <w:rsid w:val="0029251A"/>
    <w:rsid w:val="002E3D3A"/>
    <w:rsid w:val="003349AB"/>
    <w:rsid w:val="00345D54"/>
    <w:rsid w:val="00356B44"/>
    <w:rsid w:val="0036174F"/>
    <w:rsid w:val="00396DBF"/>
    <w:rsid w:val="0045237B"/>
    <w:rsid w:val="00464554"/>
    <w:rsid w:val="00532AEA"/>
    <w:rsid w:val="00546E4F"/>
    <w:rsid w:val="00547714"/>
    <w:rsid w:val="005B1CC8"/>
    <w:rsid w:val="005B1E29"/>
    <w:rsid w:val="006122A8"/>
    <w:rsid w:val="00613FB9"/>
    <w:rsid w:val="00641C1F"/>
    <w:rsid w:val="00671702"/>
    <w:rsid w:val="00677F3F"/>
    <w:rsid w:val="006801FF"/>
    <w:rsid w:val="0068079B"/>
    <w:rsid w:val="006B5B18"/>
    <w:rsid w:val="006C7626"/>
    <w:rsid w:val="00732A8A"/>
    <w:rsid w:val="00733285"/>
    <w:rsid w:val="00773B1A"/>
    <w:rsid w:val="007969A0"/>
    <w:rsid w:val="007D4C0C"/>
    <w:rsid w:val="007D55A7"/>
    <w:rsid w:val="007D726C"/>
    <w:rsid w:val="007F00DD"/>
    <w:rsid w:val="00824FFB"/>
    <w:rsid w:val="0084176F"/>
    <w:rsid w:val="00862A8F"/>
    <w:rsid w:val="008D1121"/>
    <w:rsid w:val="00915F82"/>
    <w:rsid w:val="00970CE9"/>
    <w:rsid w:val="009F03E9"/>
    <w:rsid w:val="00A155E3"/>
    <w:rsid w:val="00A24601"/>
    <w:rsid w:val="00A3144B"/>
    <w:rsid w:val="00A35DC0"/>
    <w:rsid w:val="00A5450D"/>
    <w:rsid w:val="00A90589"/>
    <w:rsid w:val="00AA5BD6"/>
    <w:rsid w:val="00B049AD"/>
    <w:rsid w:val="00B05DD3"/>
    <w:rsid w:val="00B309A7"/>
    <w:rsid w:val="00B46E52"/>
    <w:rsid w:val="00B93F89"/>
    <w:rsid w:val="00BD3DF4"/>
    <w:rsid w:val="00BE7013"/>
    <w:rsid w:val="00C0206D"/>
    <w:rsid w:val="00C432F5"/>
    <w:rsid w:val="00C46007"/>
    <w:rsid w:val="00DB47F2"/>
    <w:rsid w:val="00DD0370"/>
    <w:rsid w:val="00DD4534"/>
    <w:rsid w:val="00DD5176"/>
    <w:rsid w:val="00DF0807"/>
    <w:rsid w:val="00DF7C7B"/>
    <w:rsid w:val="00E14279"/>
    <w:rsid w:val="00E23FE7"/>
    <w:rsid w:val="00E51BDC"/>
    <w:rsid w:val="00E54458"/>
    <w:rsid w:val="00E74DEC"/>
    <w:rsid w:val="00EF6094"/>
    <w:rsid w:val="00F27FB1"/>
    <w:rsid w:val="00F94E47"/>
    <w:rsid w:val="00FB1978"/>
    <w:rsid w:val="00FF22C7"/>
    <w:rsid w:val="00FF2F7B"/>
    <w:rsid w:val="00FF3C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8C1E48-A126-4BA6-96C4-9329A5458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endnote text" w:uiPriority="99"/>
    <w:lsdException w:name="Title" w:uiPriority="99" w:qFormat="1"/>
    <w:lsdException w:name="Body Text" w:uiPriority="99"/>
    <w:lsdException w:name="Subtitle" w:qFormat="1"/>
    <w:lsdException w:name="Body Text 2" w:uiPriority="99"/>
    <w:lsdException w:name="Body Text 3" w:uiPriority="99"/>
    <w:lsdException w:name="Hyperlink" w:uiPriority="99"/>
    <w:lsdException w:name="Strong" w:qFormat="1"/>
    <w:lsdException w:name="Emphasis" w:qFormat="1"/>
    <w:lsdException w:name="Plain Text"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47F2"/>
    <w:rPr>
      <w:rFonts w:ascii="Verdana" w:hAnsi="Verdana"/>
      <w:szCs w:val="24"/>
      <w:lang w:val="en-GB" w:eastAsia="en-US"/>
    </w:rPr>
  </w:style>
  <w:style w:type="paragraph" w:styleId="Antrat1">
    <w:name w:val="heading 1"/>
    <w:basedOn w:val="prastasis"/>
    <w:next w:val="prastasis"/>
    <w:link w:val="Antrat1Diagrama"/>
    <w:uiPriority w:val="99"/>
    <w:qFormat/>
    <w:rsid w:val="006B5B18"/>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6B5B18"/>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6B5B18"/>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773B1A"/>
    <w:pPr>
      <w:keepNext/>
      <w:spacing w:before="240" w:after="60"/>
      <w:outlineLvl w:val="3"/>
    </w:pPr>
    <w:rPr>
      <w:rFonts w:ascii="Times New Roman" w:hAnsi="Times New Roman"/>
      <w:b/>
      <w:bCs/>
      <w:sz w:val="28"/>
      <w:szCs w:val="28"/>
    </w:rPr>
  </w:style>
  <w:style w:type="paragraph" w:styleId="Antrat5">
    <w:name w:val="heading 5"/>
    <w:basedOn w:val="prastasis"/>
    <w:next w:val="prastasis"/>
    <w:link w:val="Antrat5Diagrama"/>
    <w:uiPriority w:val="99"/>
    <w:qFormat/>
    <w:rsid w:val="0068079B"/>
    <w:pPr>
      <w:keepNext/>
      <w:jc w:val="both"/>
      <w:outlineLvl w:val="4"/>
    </w:pPr>
    <w:rPr>
      <w:rFonts w:ascii="Times New Roman" w:hAnsi="Times New Roman"/>
      <w:b/>
      <w:bCs/>
      <w:sz w:val="22"/>
      <w:lang w:val="lt-LT"/>
    </w:rPr>
  </w:style>
  <w:style w:type="paragraph" w:styleId="Antrat6">
    <w:name w:val="heading 6"/>
    <w:basedOn w:val="prastasis"/>
    <w:next w:val="prastasis"/>
    <w:qFormat/>
    <w:rsid w:val="00773B1A"/>
    <w:pPr>
      <w:keepNext/>
      <w:jc w:val="both"/>
      <w:outlineLvl w:val="5"/>
    </w:pPr>
    <w:rPr>
      <w:rFonts w:ascii="Times New Roman" w:hAnsi="Times New Roman"/>
      <w:b/>
      <w:bCs/>
      <w:sz w:val="24"/>
      <w:szCs w:val="22"/>
    </w:rPr>
  </w:style>
  <w:style w:type="paragraph" w:styleId="Antrat7">
    <w:name w:val="heading 7"/>
    <w:basedOn w:val="prastasis"/>
    <w:next w:val="prastasis"/>
    <w:qFormat/>
    <w:rsid w:val="00773B1A"/>
    <w:pPr>
      <w:spacing w:before="240" w:after="60"/>
      <w:outlineLvl w:val="6"/>
    </w:pPr>
    <w:rPr>
      <w:rFonts w:ascii="Times New Roman" w:hAnsi="Times New Roman"/>
      <w:sz w:val="24"/>
    </w:rPr>
  </w:style>
  <w:style w:type="paragraph" w:styleId="Antrat8">
    <w:name w:val="heading 8"/>
    <w:basedOn w:val="prastasis"/>
    <w:next w:val="prastasis"/>
    <w:qFormat/>
    <w:rsid w:val="0068079B"/>
    <w:pPr>
      <w:spacing w:before="240" w:after="60"/>
      <w:outlineLvl w:val="7"/>
    </w:pPr>
    <w:rPr>
      <w:rFonts w:ascii="Times New Roman" w:hAnsi="Times New Roman"/>
      <w:i/>
      <w:iCs/>
      <w:sz w:val="24"/>
    </w:rPr>
  </w:style>
  <w:style w:type="paragraph" w:styleId="Antrat9">
    <w:name w:val="heading 9"/>
    <w:basedOn w:val="prastasis"/>
    <w:next w:val="prastasis"/>
    <w:qFormat/>
    <w:rsid w:val="0068079B"/>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B5B18"/>
    <w:rPr>
      <w:color w:val="0000FF"/>
      <w:u w:val="single"/>
    </w:rPr>
  </w:style>
  <w:style w:type="paragraph" w:customStyle="1" w:styleId="PI-1EMEASMCA">
    <w:name w:val="PI-1 EMEA_SMCA"/>
    <w:basedOn w:val="Antrat2"/>
    <w:autoRedefine/>
    <w:rsid w:val="006B5B18"/>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6B5B1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uiPriority w:val="99"/>
    <w:rsid w:val="006B5B18"/>
    <w:rPr>
      <w:b/>
      <w:noProof/>
      <w:sz w:val="22"/>
      <w:szCs w:val="22"/>
      <w:lang w:val="lt-LT" w:eastAsia="en-US" w:bidi="ar-SA"/>
    </w:rPr>
  </w:style>
  <w:style w:type="paragraph" w:customStyle="1" w:styleId="PI-2EMEASMCA">
    <w:name w:val="PI-2 EMEA_SMCA"/>
    <w:basedOn w:val="Antrat3"/>
    <w:autoRedefine/>
    <w:rsid w:val="006B5B18"/>
    <w:pPr>
      <w:keepLines/>
      <w:tabs>
        <w:tab w:val="left" w:pos="567"/>
      </w:tabs>
      <w:spacing w:before="0" w:after="0"/>
      <w:ind w:left="567" w:hanging="567"/>
    </w:pPr>
    <w:rPr>
      <w:rFonts w:ascii="Times New Roman" w:hAnsi="Times New Roman" w:cs="Times New Roman"/>
      <w:b w:val="0"/>
      <w:bCs w:val="0"/>
      <w:kern w:val="28"/>
      <w:sz w:val="22"/>
      <w:szCs w:val="22"/>
    </w:rPr>
  </w:style>
  <w:style w:type="paragraph" w:customStyle="1" w:styleId="BTEMEASMCA">
    <w:name w:val="BT EMEA_SMCA"/>
    <w:basedOn w:val="prastasis"/>
    <w:link w:val="BTEMEASMCAChar"/>
    <w:autoRedefine/>
    <w:rsid w:val="006B5B18"/>
    <w:rPr>
      <w:sz w:val="22"/>
      <w:szCs w:val="22"/>
    </w:rPr>
  </w:style>
  <w:style w:type="character" w:customStyle="1" w:styleId="BTEMEASMCAChar">
    <w:name w:val="BT EMEA_SMCA Char"/>
    <w:link w:val="BTEMEASMCA"/>
    <w:rsid w:val="006B5B18"/>
    <w:rPr>
      <w:sz w:val="22"/>
      <w:szCs w:val="22"/>
      <w:lang w:val="lt-LT" w:eastAsia="en-US" w:bidi="ar-SA"/>
    </w:rPr>
  </w:style>
  <w:style w:type="paragraph" w:customStyle="1" w:styleId="TTEMEASMCA">
    <w:name w:val="TT EMEA_SMCA"/>
    <w:basedOn w:val="Antrat1"/>
    <w:link w:val="TTEMEASMCAChar"/>
    <w:autoRedefine/>
    <w:rsid w:val="006B5B18"/>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6B5B18"/>
    <w:rPr>
      <w:b/>
      <w:caps/>
      <w:sz w:val="22"/>
      <w:szCs w:val="22"/>
      <w:lang w:val="en-US" w:eastAsia="en-US" w:bidi="ar-SA"/>
    </w:rPr>
  </w:style>
  <w:style w:type="paragraph" w:customStyle="1" w:styleId="BTAnIIEMEASMCA">
    <w:name w:val="BT(AnII) EMEA_SMCA"/>
    <w:basedOn w:val="Debesliotekstas"/>
    <w:autoRedefine/>
    <w:rsid w:val="006B5B18"/>
    <w:pPr>
      <w:tabs>
        <w:tab w:val="left" w:pos="1701"/>
      </w:tabs>
      <w:ind w:left="1701" w:hanging="567"/>
    </w:pPr>
    <w:rPr>
      <w:rFonts w:ascii="Times New Roman" w:hAnsi="Times New Roman"/>
      <w:b/>
      <w:sz w:val="22"/>
      <w:szCs w:val="22"/>
    </w:rPr>
  </w:style>
  <w:style w:type="paragraph" w:styleId="Debesliotekstas">
    <w:name w:val="Balloon Text"/>
    <w:basedOn w:val="prastasis"/>
    <w:link w:val="DebesliotekstasDiagrama"/>
    <w:uiPriority w:val="99"/>
    <w:semiHidden/>
    <w:rsid w:val="006B5B18"/>
    <w:rPr>
      <w:rFonts w:ascii="Tahoma" w:hAnsi="Tahoma" w:cs="Tahoma"/>
      <w:sz w:val="16"/>
      <w:szCs w:val="16"/>
    </w:rPr>
  </w:style>
  <w:style w:type="paragraph" w:customStyle="1" w:styleId="BT-EMEASMCA">
    <w:name w:val="BT- EMEA_SMCA"/>
    <w:basedOn w:val="BTEMEASMCA"/>
    <w:autoRedefine/>
    <w:uiPriority w:val="99"/>
    <w:rsid w:val="006B5B18"/>
    <w:pPr>
      <w:numPr>
        <w:numId w:val="1"/>
      </w:numPr>
      <w:tabs>
        <w:tab w:val="clear" w:pos="720"/>
        <w:tab w:val="num" w:pos="360"/>
      </w:tabs>
      <w:ind w:left="0" w:firstLine="0"/>
    </w:pPr>
  </w:style>
  <w:style w:type="paragraph" w:customStyle="1" w:styleId="PI-3EMEASMCA">
    <w:name w:val="PI-3 EMEA_SMCA"/>
    <w:basedOn w:val="prastasis"/>
    <w:autoRedefine/>
    <w:uiPriority w:val="99"/>
    <w:rsid w:val="006B5B18"/>
    <w:pPr>
      <w:spacing w:line="220" w:lineRule="exact"/>
    </w:pPr>
    <w:rPr>
      <w:b/>
      <w:bCs/>
      <w:sz w:val="22"/>
      <w:szCs w:val="22"/>
    </w:rPr>
  </w:style>
  <w:style w:type="paragraph" w:customStyle="1" w:styleId="BTbEMEASMCA">
    <w:name w:val="BT(b) EMEA_SMCA"/>
    <w:basedOn w:val="BTEMEASMCA"/>
    <w:autoRedefine/>
    <w:uiPriority w:val="99"/>
    <w:rsid w:val="006B5B18"/>
    <w:rPr>
      <w:b/>
    </w:rPr>
  </w:style>
  <w:style w:type="paragraph" w:customStyle="1" w:styleId="BTbeEMEASMCA">
    <w:name w:val="BT(be) EMEA_SMCA"/>
    <w:basedOn w:val="BTEMEASMCA"/>
    <w:autoRedefine/>
    <w:rsid w:val="006B5B18"/>
    <w:pPr>
      <w:jc w:val="center"/>
    </w:pPr>
    <w:rPr>
      <w:b/>
    </w:rPr>
  </w:style>
  <w:style w:type="paragraph" w:customStyle="1" w:styleId="BTeEMEASMCA">
    <w:name w:val="BT(e) EMEA_SMCA"/>
    <w:basedOn w:val="BTEMEASMCA"/>
    <w:autoRedefine/>
    <w:rsid w:val="006B5B18"/>
    <w:pPr>
      <w:jc w:val="center"/>
    </w:pPr>
  </w:style>
  <w:style w:type="paragraph" w:customStyle="1" w:styleId="BTgEMEASMCA">
    <w:name w:val="BT(g) EMEA_SMCA"/>
    <w:basedOn w:val="BTEMEASMCA"/>
    <w:link w:val="BTgEMEASMCAChar"/>
    <w:autoRedefine/>
    <w:rsid w:val="006B5B18"/>
    <w:rPr>
      <w:i/>
      <w:color w:val="008000"/>
    </w:rPr>
  </w:style>
  <w:style w:type="character" w:customStyle="1" w:styleId="BTgEMEASMCAChar">
    <w:name w:val="BT(g) EMEA_SMCA Char"/>
    <w:link w:val="BTgEMEASMCA"/>
    <w:rsid w:val="006B5B18"/>
    <w:rPr>
      <w:i/>
      <w:color w:val="008000"/>
      <w:sz w:val="22"/>
      <w:szCs w:val="22"/>
      <w:lang w:val="lt-LT" w:eastAsia="en-US" w:bidi="ar-SA"/>
    </w:rPr>
  </w:style>
  <w:style w:type="paragraph" w:customStyle="1" w:styleId="BTuEMEASMCA">
    <w:name w:val="BT(u) EMEA_SMCA"/>
    <w:basedOn w:val="BTEMEASMCA"/>
    <w:autoRedefine/>
    <w:rsid w:val="006B5B18"/>
    <w:rPr>
      <w:u w:val="single"/>
    </w:rPr>
  </w:style>
  <w:style w:type="paragraph" w:styleId="Pagrindinistekstas">
    <w:name w:val="Body Text"/>
    <w:aliases w:val="Body Text Char Char Char,Body Text Char"/>
    <w:basedOn w:val="prastasis"/>
    <w:link w:val="PagrindinistekstasDiagrama"/>
    <w:uiPriority w:val="99"/>
    <w:rsid w:val="006B5B18"/>
    <w:pPr>
      <w:jc w:val="both"/>
    </w:pPr>
    <w:rPr>
      <w:color w:val="FF0000"/>
      <w:sz w:val="22"/>
    </w:rPr>
  </w:style>
  <w:style w:type="paragraph" w:styleId="Paprastasistekstas">
    <w:name w:val="Plain Text"/>
    <w:basedOn w:val="prastasis"/>
    <w:link w:val="PaprastasistekstasDiagrama"/>
    <w:uiPriority w:val="99"/>
    <w:rsid w:val="006B5B18"/>
    <w:rPr>
      <w:rFonts w:ascii="Courier New" w:hAnsi="Courier New"/>
      <w:szCs w:val="20"/>
      <w:lang w:val="de-DE" w:eastAsia="de-DE"/>
    </w:rPr>
  </w:style>
  <w:style w:type="paragraph" w:styleId="Vokoatgalinisadresas">
    <w:name w:val="envelope return"/>
    <w:basedOn w:val="prastasis"/>
    <w:rsid w:val="006B5B18"/>
    <w:rPr>
      <w:rFonts w:ascii="Arial" w:hAnsi="Arial"/>
      <w:b/>
      <w:sz w:val="28"/>
    </w:rPr>
  </w:style>
  <w:style w:type="paragraph" w:styleId="Adresasantvoko">
    <w:name w:val="envelope address"/>
    <w:basedOn w:val="prastasis"/>
    <w:rsid w:val="006B5B18"/>
    <w:pPr>
      <w:framePr w:w="7920" w:h="1980" w:hRule="exact" w:hSpace="180" w:wrap="auto" w:hAnchor="page" w:xAlign="center" w:yAlign="bottom"/>
      <w:ind w:left="2880"/>
    </w:pPr>
    <w:rPr>
      <w:rFonts w:ascii="Arial" w:hAnsi="Arial"/>
      <w:b/>
      <w:sz w:val="28"/>
    </w:rPr>
  </w:style>
  <w:style w:type="paragraph" w:styleId="Porat">
    <w:name w:val="footer"/>
    <w:basedOn w:val="prastasis"/>
    <w:link w:val="PoratDiagrama"/>
    <w:uiPriority w:val="99"/>
    <w:rsid w:val="006B5B18"/>
    <w:pPr>
      <w:tabs>
        <w:tab w:val="center" w:pos="4819"/>
        <w:tab w:val="right" w:pos="9638"/>
      </w:tabs>
    </w:pPr>
  </w:style>
  <w:style w:type="character" w:styleId="Puslapionumeris">
    <w:name w:val="page number"/>
    <w:basedOn w:val="Numatytasispastraiposriftas"/>
    <w:rsid w:val="006B5B18"/>
  </w:style>
  <w:style w:type="paragraph" w:styleId="Antrats">
    <w:name w:val="header"/>
    <w:basedOn w:val="prastasis"/>
    <w:link w:val="AntratsDiagrama"/>
    <w:uiPriority w:val="99"/>
    <w:rsid w:val="006B5B18"/>
    <w:pPr>
      <w:tabs>
        <w:tab w:val="center" w:pos="4819"/>
        <w:tab w:val="right" w:pos="9638"/>
      </w:tabs>
    </w:pPr>
  </w:style>
  <w:style w:type="paragraph" w:styleId="Pavadinimas">
    <w:name w:val="Title"/>
    <w:basedOn w:val="prastasis"/>
    <w:link w:val="PavadinimasDiagrama"/>
    <w:uiPriority w:val="99"/>
    <w:qFormat/>
    <w:rsid w:val="006B5B18"/>
    <w:pPr>
      <w:jc w:val="center"/>
    </w:pPr>
    <w:rPr>
      <w:sz w:val="28"/>
      <w:szCs w:val="20"/>
    </w:rPr>
  </w:style>
  <w:style w:type="paragraph" w:customStyle="1" w:styleId="SPCNormal">
    <w:name w:val="SPC Normal"/>
    <w:basedOn w:val="prastasis"/>
    <w:rsid w:val="00773B1A"/>
    <w:pPr>
      <w:tabs>
        <w:tab w:val="left" w:pos="562"/>
      </w:tabs>
    </w:pPr>
    <w:rPr>
      <w:rFonts w:ascii="Times New Roman" w:hAnsi="Times New Roman"/>
      <w:sz w:val="22"/>
      <w:szCs w:val="20"/>
    </w:rPr>
  </w:style>
  <w:style w:type="paragraph" w:customStyle="1" w:styleId="SPC1">
    <w:name w:val="SPC1"/>
    <w:basedOn w:val="SPCNormal"/>
    <w:next w:val="SPCNormal"/>
    <w:rsid w:val="00773B1A"/>
    <w:pPr>
      <w:keepNext/>
      <w:tabs>
        <w:tab w:val="clear" w:pos="562"/>
      </w:tabs>
      <w:spacing w:before="480"/>
      <w:ind w:left="562" w:hanging="562"/>
    </w:pPr>
    <w:rPr>
      <w:b/>
      <w:caps/>
    </w:rPr>
  </w:style>
  <w:style w:type="paragraph" w:customStyle="1" w:styleId="SPC2">
    <w:name w:val="SPC2"/>
    <w:basedOn w:val="SPCNormal"/>
    <w:next w:val="SPCNormal"/>
    <w:rsid w:val="00773B1A"/>
    <w:pPr>
      <w:keepNext/>
      <w:tabs>
        <w:tab w:val="clear" w:pos="562"/>
      </w:tabs>
      <w:ind w:left="562" w:hanging="562"/>
    </w:pPr>
    <w:rPr>
      <w:b/>
    </w:rPr>
  </w:style>
  <w:style w:type="paragraph" w:styleId="Pagrindinistekstas3">
    <w:name w:val="Body Text 3"/>
    <w:basedOn w:val="prastasis"/>
    <w:link w:val="Pagrindinistekstas3Diagrama"/>
    <w:uiPriority w:val="99"/>
    <w:rsid w:val="00773B1A"/>
    <w:pPr>
      <w:tabs>
        <w:tab w:val="left" w:pos="720"/>
      </w:tabs>
    </w:pPr>
    <w:rPr>
      <w:rFonts w:ascii="Times New Roman" w:hAnsi="Times New Roman"/>
      <w:b/>
      <w:bCs/>
      <w:i/>
      <w:iCs/>
      <w:sz w:val="24"/>
    </w:rPr>
  </w:style>
  <w:style w:type="character" w:styleId="Grietas">
    <w:name w:val="Strong"/>
    <w:qFormat/>
    <w:rsid w:val="00773B1A"/>
    <w:rPr>
      <w:b/>
      <w:bCs/>
    </w:rPr>
  </w:style>
  <w:style w:type="paragraph" w:customStyle="1" w:styleId="EMEAEnBodyText">
    <w:name w:val="EMEA En Body Text"/>
    <w:basedOn w:val="prastasis"/>
    <w:rsid w:val="00773B1A"/>
    <w:pPr>
      <w:spacing w:before="120" w:after="120"/>
      <w:jc w:val="both"/>
    </w:pPr>
    <w:rPr>
      <w:rFonts w:ascii="Times New Roman" w:hAnsi="Times New Roman"/>
      <w:sz w:val="22"/>
      <w:szCs w:val="20"/>
      <w:lang w:val="en-US"/>
    </w:rPr>
  </w:style>
  <w:style w:type="paragraph" w:styleId="Tekstoblokas">
    <w:name w:val="Block Text"/>
    <w:basedOn w:val="prastasis"/>
    <w:rsid w:val="00773B1A"/>
    <w:pPr>
      <w:numPr>
        <w:ilvl w:val="12"/>
      </w:numPr>
      <w:ind w:left="720" w:right="-2" w:hanging="360"/>
      <w:jc w:val="both"/>
    </w:pPr>
    <w:rPr>
      <w:rFonts w:ascii="Times New Roman" w:hAnsi="Times New Roman"/>
      <w:noProof/>
      <w:sz w:val="22"/>
      <w:szCs w:val="22"/>
    </w:rPr>
  </w:style>
  <w:style w:type="paragraph" w:styleId="Pagrindinistekstas2">
    <w:name w:val="Body Text 2"/>
    <w:basedOn w:val="prastasis"/>
    <w:link w:val="Pagrindinistekstas2Diagrama"/>
    <w:uiPriority w:val="99"/>
    <w:rsid w:val="00B05DD3"/>
    <w:pPr>
      <w:spacing w:after="120" w:line="480" w:lineRule="auto"/>
    </w:pPr>
  </w:style>
  <w:style w:type="character" w:customStyle="1" w:styleId="DebesliotekstasDiagrama">
    <w:name w:val="Debesėlio tekstas Diagrama"/>
    <w:link w:val="Debesliotekstas"/>
    <w:uiPriority w:val="99"/>
    <w:rsid w:val="0068079B"/>
    <w:rPr>
      <w:rFonts w:ascii="Tahoma" w:hAnsi="Tahoma" w:cs="Tahoma"/>
      <w:sz w:val="16"/>
      <w:szCs w:val="16"/>
      <w:lang w:val="en-GB" w:eastAsia="en-US" w:bidi="ar-SA"/>
    </w:rPr>
  </w:style>
  <w:style w:type="character" w:styleId="Komentaronuoroda">
    <w:name w:val="annotation reference"/>
    <w:uiPriority w:val="99"/>
    <w:rsid w:val="0068079B"/>
    <w:rPr>
      <w:sz w:val="16"/>
      <w:szCs w:val="16"/>
    </w:rPr>
  </w:style>
  <w:style w:type="paragraph" w:styleId="Komentarotekstas">
    <w:name w:val="annotation text"/>
    <w:basedOn w:val="prastasis"/>
    <w:link w:val="KomentarotekstasDiagrama"/>
    <w:uiPriority w:val="99"/>
    <w:rsid w:val="0068079B"/>
    <w:rPr>
      <w:rFonts w:ascii="Times New Roman" w:hAnsi="Times New Roman"/>
      <w:szCs w:val="20"/>
      <w:lang w:val="lt-LT"/>
    </w:rPr>
  </w:style>
  <w:style w:type="character" w:customStyle="1" w:styleId="KomentarotekstasDiagrama">
    <w:name w:val="Komentaro tekstas Diagrama"/>
    <w:link w:val="Komentarotekstas"/>
    <w:uiPriority w:val="99"/>
    <w:rsid w:val="0068079B"/>
    <w:rPr>
      <w:lang w:val="lt-LT" w:eastAsia="en-US" w:bidi="ar-SA"/>
    </w:rPr>
  </w:style>
  <w:style w:type="paragraph" w:styleId="Komentarotema">
    <w:name w:val="annotation subject"/>
    <w:basedOn w:val="Komentarotekstas"/>
    <w:next w:val="Komentarotekstas"/>
    <w:link w:val="KomentarotemaDiagrama"/>
    <w:uiPriority w:val="99"/>
    <w:rsid w:val="0068079B"/>
    <w:rPr>
      <w:b/>
      <w:bCs/>
    </w:rPr>
  </w:style>
  <w:style w:type="character" w:customStyle="1" w:styleId="KomentarotemaDiagrama">
    <w:name w:val="Komentaro tema Diagrama"/>
    <w:link w:val="Komentarotema"/>
    <w:uiPriority w:val="99"/>
    <w:rsid w:val="0068079B"/>
    <w:rPr>
      <w:b/>
      <w:bCs/>
      <w:lang w:val="lt-LT" w:eastAsia="en-US" w:bidi="ar-SA"/>
    </w:rPr>
  </w:style>
  <w:style w:type="character" w:customStyle="1" w:styleId="PavadinimasDiagrama">
    <w:name w:val="Pavadinimas Diagrama"/>
    <w:link w:val="Pavadinimas"/>
    <w:uiPriority w:val="99"/>
    <w:locked/>
    <w:rsid w:val="0029251A"/>
    <w:rPr>
      <w:rFonts w:ascii="Verdana" w:hAnsi="Verdana"/>
      <w:sz w:val="28"/>
      <w:lang w:val="en-GB" w:eastAsia="en-US" w:bidi="ar-SA"/>
    </w:rPr>
  </w:style>
  <w:style w:type="paragraph" w:customStyle="1" w:styleId="NoNumHead3">
    <w:name w:val="NoNum:Head3"/>
    <w:basedOn w:val="prastasis"/>
    <w:next w:val="prastasis"/>
    <w:link w:val="NoNumHead3Char"/>
    <w:rsid w:val="00BD3DF4"/>
    <w:pPr>
      <w:keepNext/>
      <w:spacing w:before="120" w:after="240"/>
      <w:outlineLvl w:val="0"/>
    </w:pPr>
    <w:rPr>
      <w:rFonts w:ascii="Arial" w:hAnsi="Arial" w:cs="Arial"/>
      <w:b/>
      <w:bCs/>
      <w:sz w:val="24"/>
    </w:rPr>
  </w:style>
  <w:style w:type="character" w:customStyle="1" w:styleId="NoNumHead3Char">
    <w:name w:val="NoNum:Head3 Char"/>
    <w:link w:val="NoNumHead3"/>
    <w:locked/>
    <w:rsid w:val="00BD3DF4"/>
    <w:rPr>
      <w:rFonts w:ascii="Arial" w:hAnsi="Arial" w:cs="Arial"/>
      <w:b/>
      <w:bCs/>
      <w:sz w:val="24"/>
      <w:szCs w:val="24"/>
      <w:lang w:val="en-GB" w:eastAsia="en-US" w:bidi="ar-SA"/>
    </w:rPr>
  </w:style>
  <w:style w:type="character" w:customStyle="1" w:styleId="PagrindinistekstasDiagrama">
    <w:name w:val="Pagrindinis tekstas Diagrama"/>
    <w:aliases w:val="Body Text Char Char Char Diagrama,Body Text Char Diagrama"/>
    <w:link w:val="Pagrindinistekstas"/>
    <w:locked/>
    <w:rsid w:val="006801FF"/>
    <w:rPr>
      <w:rFonts w:ascii="Verdana" w:hAnsi="Verdana"/>
      <w:color w:val="FF0000"/>
      <w:sz w:val="22"/>
      <w:szCs w:val="24"/>
      <w:lang w:val="en-GB" w:eastAsia="en-US" w:bidi="ar-SA"/>
    </w:rPr>
  </w:style>
  <w:style w:type="character" w:customStyle="1" w:styleId="AntratsDiagrama">
    <w:name w:val="Antraštės Diagrama"/>
    <w:link w:val="Antrats"/>
    <w:uiPriority w:val="99"/>
    <w:locked/>
    <w:rsid w:val="006801FF"/>
    <w:rPr>
      <w:rFonts w:ascii="Verdana" w:hAnsi="Verdana"/>
      <w:szCs w:val="24"/>
      <w:lang w:val="en-GB" w:eastAsia="en-US" w:bidi="ar-SA"/>
    </w:rPr>
  </w:style>
  <w:style w:type="character" w:customStyle="1" w:styleId="Pagrindinistekstas2Diagrama">
    <w:name w:val="Pagrindinis tekstas 2 Diagrama"/>
    <w:link w:val="Pagrindinistekstas2"/>
    <w:uiPriority w:val="99"/>
    <w:locked/>
    <w:rsid w:val="006801FF"/>
    <w:rPr>
      <w:rFonts w:ascii="Verdana" w:hAnsi="Verdana"/>
      <w:szCs w:val="24"/>
      <w:lang w:val="en-GB" w:eastAsia="en-US" w:bidi="ar-SA"/>
    </w:rPr>
  </w:style>
  <w:style w:type="table" w:styleId="Lentelstinklelis">
    <w:name w:val="Table Grid"/>
    <w:basedOn w:val="prastojilentel"/>
    <w:rsid w:val="00DB4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E74DEC"/>
  </w:style>
  <w:style w:type="character" w:customStyle="1" w:styleId="Antrat1Diagrama">
    <w:name w:val="Antraštė 1 Diagrama"/>
    <w:link w:val="Antrat1"/>
    <w:uiPriority w:val="99"/>
    <w:rsid w:val="00E74DEC"/>
    <w:rPr>
      <w:rFonts w:ascii="Arial" w:hAnsi="Arial" w:cs="Arial"/>
      <w:b/>
      <w:bCs/>
      <w:kern w:val="32"/>
      <w:sz w:val="32"/>
      <w:szCs w:val="32"/>
      <w:lang w:val="en-GB"/>
    </w:rPr>
  </w:style>
  <w:style w:type="character" w:customStyle="1" w:styleId="Antrat2Diagrama">
    <w:name w:val="Antraštė 2 Diagrama"/>
    <w:link w:val="Antrat2"/>
    <w:uiPriority w:val="99"/>
    <w:rsid w:val="00E74DEC"/>
    <w:rPr>
      <w:rFonts w:ascii="Arial" w:hAnsi="Arial" w:cs="Arial"/>
      <w:b/>
      <w:bCs/>
      <w:i/>
      <w:iCs/>
      <w:sz w:val="28"/>
      <w:szCs w:val="28"/>
      <w:lang w:val="en-GB"/>
    </w:rPr>
  </w:style>
  <w:style w:type="character" w:customStyle="1" w:styleId="Antrat3Diagrama">
    <w:name w:val="Antraštė 3 Diagrama"/>
    <w:link w:val="Antrat3"/>
    <w:uiPriority w:val="99"/>
    <w:rsid w:val="00E74DEC"/>
    <w:rPr>
      <w:rFonts w:ascii="Arial" w:hAnsi="Arial" w:cs="Arial"/>
      <w:b/>
      <w:bCs/>
      <w:sz w:val="26"/>
      <w:szCs w:val="26"/>
      <w:lang w:val="en-GB"/>
    </w:rPr>
  </w:style>
  <w:style w:type="character" w:customStyle="1" w:styleId="Antrat4Diagrama">
    <w:name w:val="Antraštė 4 Diagrama"/>
    <w:link w:val="Antrat4"/>
    <w:uiPriority w:val="99"/>
    <w:rsid w:val="00E74DEC"/>
    <w:rPr>
      <w:b/>
      <w:bCs/>
      <w:sz w:val="28"/>
      <w:szCs w:val="28"/>
      <w:lang w:val="en-GB"/>
    </w:rPr>
  </w:style>
  <w:style w:type="character" w:customStyle="1" w:styleId="Antrat5Diagrama">
    <w:name w:val="Antraštė 5 Diagrama"/>
    <w:link w:val="Antrat5"/>
    <w:uiPriority w:val="99"/>
    <w:rsid w:val="00E74DEC"/>
    <w:rPr>
      <w:b/>
      <w:bCs/>
      <w:sz w:val="22"/>
      <w:szCs w:val="24"/>
      <w:lang w:val="lt-LT"/>
    </w:rPr>
  </w:style>
  <w:style w:type="character" w:customStyle="1" w:styleId="FollowedHyperlink1">
    <w:name w:val="FollowedHyperlink1"/>
    <w:uiPriority w:val="99"/>
    <w:semiHidden/>
    <w:unhideWhenUsed/>
    <w:rsid w:val="00E74DEC"/>
    <w:rPr>
      <w:color w:val="954F72"/>
      <w:u w:val="single"/>
    </w:rPr>
  </w:style>
  <w:style w:type="character" w:customStyle="1" w:styleId="PoratDiagrama">
    <w:name w:val="Poraštė Diagrama"/>
    <w:link w:val="Porat"/>
    <w:uiPriority w:val="99"/>
    <w:rsid w:val="00E74DEC"/>
    <w:rPr>
      <w:rFonts w:ascii="Verdana" w:hAnsi="Verdana"/>
      <w:szCs w:val="24"/>
      <w:lang w:val="en-GB"/>
    </w:rPr>
  </w:style>
  <w:style w:type="paragraph" w:styleId="Dokumentoinaostekstas">
    <w:name w:val="endnote text"/>
    <w:basedOn w:val="prastasis"/>
    <w:link w:val="DokumentoinaostekstasDiagrama"/>
    <w:uiPriority w:val="99"/>
    <w:unhideWhenUsed/>
    <w:rsid w:val="00E74DEC"/>
    <w:pPr>
      <w:tabs>
        <w:tab w:val="left" w:pos="567"/>
      </w:tabs>
    </w:pPr>
    <w:rPr>
      <w:rFonts w:ascii="Times New Roman" w:hAnsi="Times New Roman"/>
      <w:sz w:val="22"/>
      <w:szCs w:val="20"/>
    </w:rPr>
  </w:style>
  <w:style w:type="character" w:customStyle="1" w:styleId="DokumentoinaostekstasDiagrama">
    <w:name w:val="Dokumento išnašos tekstas Diagrama"/>
    <w:link w:val="Dokumentoinaostekstas"/>
    <w:uiPriority w:val="99"/>
    <w:rsid w:val="00E74DEC"/>
    <w:rPr>
      <w:sz w:val="22"/>
      <w:lang w:val="en-GB"/>
    </w:rPr>
  </w:style>
  <w:style w:type="character" w:customStyle="1" w:styleId="Pagrindinistekstas3Diagrama">
    <w:name w:val="Pagrindinis tekstas 3 Diagrama"/>
    <w:link w:val="Pagrindinistekstas3"/>
    <w:uiPriority w:val="99"/>
    <w:rsid w:val="00E74DEC"/>
    <w:rPr>
      <w:b/>
      <w:bCs/>
      <w:i/>
      <w:iCs/>
      <w:sz w:val="24"/>
      <w:szCs w:val="24"/>
      <w:lang w:val="en-GB"/>
    </w:rPr>
  </w:style>
  <w:style w:type="character" w:customStyle="1" w:styleId="PlainTextChar">
    <w:name w:val="Plain Text Char"/>
    <w:uiPriority w:val="99"/>
    <w:semiHidden/>
    <w:rsid w:val="00E74DEC"/>
    <w:rPr>
      <w:rFonts w:ascii="Consolas" w:eastAsia="Times New Roman" w:hAnsi="Consolas" w:cs="Consolas"/>
      <w:sz w:val="21"/>
      <w:szCs w:val="21"/>
      <w:lang w:val="lt-LT" w:eastAsia="lt-LT"/>
    </w:rPr>
  </w:style>
  <w:style w:type="paragraph" w:styleId="Betarp">
    <w:name w:val="No Spacing"/>
    <w:uiPriority w:val="1"/>
    <w:qFormat/>
    <w:rsid w:val="00E74DEC"/>
    <w:rPr>
      <w:sz w:val="22"/>
    </w:rPr>
  </w:style>
  <w:style w:type="paragraph" w:customStyle="1" w:styleId="A-TableText">
    <w:name w:val="A-Table Text"/>
    <w:uiPriority w:val="99"/>
    <w:rsid w:val="00E74DEC"/>
    <w:pPr>
      <w:spacing w:before="60" w:after="60"/>
    </w:pPr>
    <w:rPr>
      <w:rFonts w:eastAsia="MS Mincho"/>
      <w:sz w:val="22"/>
      <w:szCs w:val="22"/>
      <w:lang w:val="en-GB" w:eastAsia="en-US"/>
    </w:rPr>
  </w:style>
  <w:style w:type="paragraph" w:customStyle="1" w:styleId="A-TableHeader">
    <w:name w:val="A-Table Header"/>
    <w:next w:val="A-TableText"/>
    <w:uiPriority w:val="99"/>
    <w:rsid w:val="00E74DEC"/>
    <w:pPr>
      <w:keepNext/>
      <w:spacing w:before="60" w:after="60"/>
    </w:pPr>
    <w:rPr>
      <w:rFonts w:eastAsia="MS Mincho"/>
      <w:b/>
      <w:bCs/>
      <w:sz w:val="22"/>
      <w:szCs w:val="22"/>
      <w:lang w:val="en-GB" w:eastAsia="en-US"/>
    </w:rPr>
  </w:style>
  <w:style w:type="paragraph" w:customStyle="1" w:styleId="A-TableTitle">
    <w:name w:val="A-Table Title"/>
    <w:next w:val="prastasis"/>
    <w:uiPriority w:val="99"/>
    <w:rsid w:val="00E74DEC"/>
    <w:pPr>
      <w:keepNext/>
      <w:tabs>
        <w:tab w:val="left" w:pos="1800"/>
      </w:tabs>
      <w:spacing w:after="120" w:line="280" w:lineRule="atLeast"/>
      <w:ind w:left="1800" w:hanging="1800"/>
    </w:pPr>
    <w:rPr>
      <w:rFonts w:eastAsia="MS Mincho"/>
      <w:b/>
      <w:bCs/>
      <w:sz w:val="24"/>
      <w:szCs w:val="24"/>
      <w:lang w:val="en-GB" w:eastAsia="en-US"/>
    </w:rPr>
  </w:style>
  <w:style w:type="paragraph" w:customStyle="1" w:styleId="A-Single">
    <w:name w:val="A-Single"/>
    <w:uiPriority w:val="99"/>
    <w:rsid w:val="00E74DEC"/>
    <w:rPr>
      <w:sz w:val="24"/>
      <w:szCs w:val="24"/>
      <w:lang w:val="en-GB" w:eastAsia="en-US"/>
    </w:rPr>
  </w:style>
  <w:style w:type="paragraph" w:customStyle="1" w:styleId="A-TableFootnoteText">
    <w:name w:val="A-Table Footnote Text"/>
    <w:next w:val="prastasis"/>
    <w:uiPriority w:val="99"/>
    <w:rsid w:val="00E74DEC"/>
    <w:pPr>
      <w:tabs>
        <w:tab w:val="left" w:pos="432"/>
      </w:tabs>
      <w:ind w:left="432" w:hanging="432"/>
    </w:pPr>
    <w:rPr>
      <w:lang w:val="en-GB" w:eastAsia="en-US"/>
    </w:rPr>
  </w:style>
  <w:style w:type="character" w:customStyle="1" w:styleId="PaprastasistekstasDiagrama">
    <w:name w:val="Paprastasis tekstas Diagrama"/>
    <w:link w:val="Paprastasistekstas"/>
    <w:uiPriority w:val="99"/>
    <w:locked/>
    <w:rsid w:val="00E74DEC"/>
    <w:rPr>
      <w:rFonts w:ascii="Courier New" w:hAnsi="Courier New"/>
      <w:lang w:val="de-DE" w:eastAsia="de-DE"/>
    </w:rPr>
  </w:style>
  <w:style w:type="paragraph" w:styleId="Sraopastraipa">
    <w:name w:val="List Paragraph"/>
    <w:basedOn w:val="prastasis"/>
    <w:uiPriority w:val="34"/>
    <w:qFormat/>
    <w:rsid w:val="00E74DEC"/>
    <w:pPr>
      <w:ind w:left="720"/>
      <w:contextualSpacing/>
    </w:pPr>
    <w:rPr>
      <w:rFonts w:ascii="Times New Roman" w:hAnsi="Times New Roman"/>
      <w:sz w:val="22"/>
      <w:szCs w:val="20"/>
      <w:lang w:val="lt-LT" w:eastAsia="lt-LT"/>
    </w:rPr>
  </w:style>
  <w:style w:type="paragraph" w:styleId="Pataisymai">
    <w:name w:val="Revision"/>
    <w:hidden/>
    <w:uiPriority w:val="99"/>
    <w:semiHidden/>
    <w:rsid w:val="00E74DEC"/>
    <w:rPr>
      <w:sz w:val="22"/>
    </w:rPr>
  </w:style>
  <w:style w:type="character" w:styleId="Perirtashipersaitas">
    <w:name w:val="FollowedHyperlink"/>
    <w:rsid w:val="00E74DEC"/>
    <w:rPr>
      <w:color w:val="954F72"/>
      <w:u w:val="single"/>
    </w:rPr>
  </w:style>
  <w:style w:type="character" w:styleId="Eilutsnumeris">
    <w:name w:val="line number"/>
    <w:basedOn w:val="Numatytasispastraiposriftas"/>
    <w:rsid w:val="00093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ma.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ma.europa.e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3D585-5C42-47E0-80E2-8292ED19F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3769</Words>
  <Characters>26893</Characters>
  <Application>Microsoft Office Word</Application>
  <DocSecurity>8</DocSecurity>
  <Lines>224</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30601</CharactersWithSpaces>
  <SharedDoc>false</SharedDoc>
  <HLinks>
    <vt:vector size="12" baseType="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private</dc:creator>
  <cp:keywords/>
  <cp:lastModifiedBy>Albina Burkauskaitė</cp:lastModifiedBy>
  <cp:revision>4</cp:revision>
  <cp:lastPrinted>2015-09-01T14:32:00Z</cp:lastPrinted>
  <dcterms:created xsi:type="dcterms:W3CDTF">2016-02-04T06:54:00Z</dcterms:created>
  <dcterms:modified xsi:type="dcterms:W3CDTF">2016-02-04T07:10:00Z</dcterms:modified>
</cp:coreProperties>
</file>