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FF7BD" w14:textId="77777777" w:rsidR="00DD069E" w:rsidRPr="00E138C4" w:rsidRDefault="00DD069E" w:rsidP="00DD069E">
      <w:pPr>
        <w:spacing w:after="0" w:line="240" w:lineRule="auto"/>
        <w:jc w:val="center"/>
        <w:rPr>
          <w:rFonts w:ascii="Times New Roman" w:hAnsi="Times New Roman" w:cs="Times New Roman"/>
        </w:rPr>
      </w:pPr>
    </w:p>
    <w:p w14:paraId="78BFD5F6" w14:textId="77777777" w:rsidR="00DD069E" w:rsidRPr="00E138C4" w:rsidRDefault="00DD069E" w:rsidP="00DD069E">
      <w:pPr>
        <w:spacing w:after="0" w:line="240" w:lineRule="auto"/>
        <w:jc w:val="center"/>
        <w:rPr>
          <w:rFonts w:ascii="Times New Roman" w:hAnsi="Times New Roman" w:cs="Times New Roman"/>
        </w:rPr>
      </w:pPr>
    </w:p>
    <w:p w14:paraId="7280496E" w14:textId="77777777" w:rsidR="00DD069E" w:rsidRPr="00E138C4" w:rsidRDefault="00DD069E" w:rsidP="00DD069E">
      <w:pPr>
        <w:spacing w:after="0" w:line="240" w:lineRule="auto"/>
        <w:jc w:val="center"/>
        <w:rPr>
          <w:rFonts w:ascii="Times New Roman" w:hAnsi="Times New Roman" w:cs="Times New Roman"/>
        </w:rPr>
      </w:pPr>
    </w:p>
    <w:p w14:paraId="3E8E05F6" w14:textId="77777777" w:rsidR="00DD069E" w:rsidRPr="00E138C4" w:rsidRDefault="00DD069E" w:rsidP="00DD069E">
      <w:pPr>
        <w:spacing w:after="0" w:line="240" w:lineRule="auto"/>
        <w:jc w:val="center"/>
        <w:rPr>
          <w:rFonts w:ascii="Times New Roman" w:hAnsi="Times New Roman" w:cs="Times New Roman"/>
        </w:rPr>
      </w:pPr>
    </w:p>
    <w:p w14:paraId="698771BA" w14:textId="77777777" w:rsidR="00DD069E" w:rsidRPr="00E138C4" w:rsidRDefault="00DD069E" w:rsidP="00DD069E">
      <w:pPr>
        <w:spacing w:after="0" w:line="240" w:lineRule="auto"/>
        <w:jc w:val="center"/>
        <w:rPr>
          <w:rFonts w:ascii="Times New Roman" w:hAnsi="Times New Roman" w:cs="Times New Roman"/>
        </w:rPr>
      </w:pPr>
    </w:p>
    <w:p w14:paraId="0C22D1BA" w14:textId="77777777" w:rsidR="00DD069E" w:rsidRPr="00E138C4" w:rsidRDefault="00DD069E" w:rsidP="00DD069E">
      <w:pPr>
        <w:spacing w:after="0" w:line="240" w:lineRule="auto"/>
        <w:jc w:val="center"/>
        <w:rPr>
          <w:rFonts w:ascii="Times New Roman" w:hAnsi="Times New Roman" w:cs="Times New Roman"/>
        </w:rPr>
      </w:pPr>
    </w:p>
    <w:p w14:paraId="2ED4884A" w14:textId="77777777" w:rsidR="00DD069E" w:rsidRPr="00E138C4" w:rsidRDefault="00DD069E" w:rsidP="00DD069E">
      <w:pPr>
        <w:spacing w:after="0" w:line="240" w:lineRule="auto"/>
        <w:jc w:val="center"/>
        <w:rPr>
          <w:rFonts w:ascii="Times New Roman" w:hAnsi="Times New Roman" w:cs="Times New Roman"/>
        </w:rPr>
      </w:pPr>
    </w:p>
    <w:p w14:paraId="2A7D4FCF" w14:textId="77777777" w:rsidR="00DD069E" w:rsidRPr="00E138C4" w:rsidRDefault="00DD069E" w:rsidP="00DD069E">
      <w:pPr>
        <w:spacing w:after="0" w:line="240" w:lineRule="auto"/>
        <w:jc w:val="center"/>
        <w:rPr>
          <w:rFonts w:ascii="Times New Roman" w:hAnsi="Times New Roman" w:cs="Times New Roman"/>
        </w:rPr>
      </w:pPr>
    </w:p>
    <w:p w14:paraId="246B7245" w14:textId="77777777" w:rsidR="00DD069E" w:rsidRPr="00E138C4" w:rsidRDefault="00DD069E" w:rsidP="00DD069E">
      <w:pPr>
        <w:spacing w:after="0" w:line="240" w:lineRule="auto"/>
        <w:jc w:val="center"/>
        <w:rPr>
          <w:rFonts w:ascii="Times New Roman" w:hAnsi="Times New Roman" w:cs="Times New Roman"/>
        </w:rPr>
      </w:pPr>
    </w:p>
    <w:p w14:paraId="490B9223" w14:textId="77777777" w:rsidR="00DD069E" w:rsidRPr="00E138C4" w:rsidRDefault="00DD069E" w:rsidP="00DD069E">
      <w:pPr>
        <w:spacing w:after="0" w:line="240" w:lineRule="auto"/>
        <w:jc w:val="center"/>
        <w:rPr>
          <w:rFonts w:ascii="Times New Roman" w:hAnsi="Times New Roman" w:cs="Times New Roman"/>
        </w:rPr>
      </w:pPr>
    </w:p>
    <w:p w14:paraId="5BF23715" w14:textId="77777777" w:rsidR="00DD069E" w:rsidRPr="00E138C4" w:rsidRDefault="00DD069E" w:rsidP="00DD069E">
      <w:pPr>
        <w:spacing w:after="0" w:line="240" w:lineRule="auto"/>
        <w:jc w:val="center"/>
        <w:rPr>
          <w:rFonts w:ascii="Times New Roman" w:hAnsi="Times New Roman" w:cs="Times New Roman"/>
        </w:rPr>
      </w:pPr>
    </w:p>
    <w:p w14:paraId="76380FD2" w14:textId="77777777" w:rsidR="00DD069E" w:rsidRPr="00E138C4" w:rsidRDefault="00DD069E" w:rsidP="00DD069E">
      <w:pPr>
        <w:spacing w:after="0" w:line="240" w:lineRule="auto"/>
        <w:jc w:val="center"/>
        <w:rPr>
          <w:rFonts w:ascii="Times New Roman" w:hAnsi="Times New Roman" w:cs="Times New Roman"/>
        </w:rPr>
      </w:pPr>
    </w:p>
    <w:p w14:paraId="5FC3DA68" w14:textId="77777777" w:rsidR="00DD069E" w:rsidRPr="00E138C4" w:rsidRDefault="00DD069E" w:rsidP="00DD069E">
      <w:pPr>
        <w:spacing w:after="0" w:line="240" w:lineRule="auto"/>
        <w:jc w:val="center"/>
        <w:rPr>
          <w:rFonts w:ascii="Times New Roman" w:hAnsi="Times New Roman" w:cs="Times New Roman"/>
        </w:rPr>
      </w:pPr>
    </w:p>
    <w:p w14:paraId="779EB001" w14:textId="77777777" w:rsidR="00DD069E" w:rsidRPr="00E138C4" w:rsidRDefault="00DD069E" w:rsidP="00DD069E">
      <w:pPr>
        <w:spacing w:after="0" w:line="240" w:lineRule="auto"/>
        <w:jc w:val="center"/>
        <w:rPr>
          <w:rFonts w:ascii="Times New Roman" w:hAnsi="Times New Roman" w:cs="Times New Roman"/>
        </w:rPr>
      </w:pPr>
    </w:p>
    <w:p w14:paraId="1DD3099B" w14:textId="77777777" w:rsidR="00DD069E" w:rsidRPr="00E138C4" w:rsidRDefault="00DD069E" w:rsidP="00DD069E">
      <w:pPr>
        <w:spacing w:after="0" w:line="240" w:lineRule="auto"/>
        <w:jc w:val="center"/>
        <w:rPr>
          <w:rFonts w:ascii="Times New Roman" w:hAnsi="Times New Roman" w:cs="Times New Roman"/>
        </w:rPr>
      </w:pPr>
    </w:p>
    <w:p w14:paraId="442440DF" w14:textId="77777777" w:rsidR="00DD069E" w:rsidRPr="00E138C4" w:rsidRDefault="00DD069E" w:rsidP="00DD069E">
      <w:pPr>
        <w:spacing w:after="0" w:line="240" w:lineRule="auto"/>
        <w:jc w:val="center"/>
        <w:rPr>
          <w:rFonts w:ascii="Times New Roman" w:hAnsi="Times New Roman" w:cs="Times New Roman"/>
        </w:rPr>
      </w:pPr>
    </w:p>
    <w:p w14:paraId="3DD98261" w14:textId="77777777" w:rsidR="00DD069E" w:rsidRPr="00E138C4" w:rsidRDefault="00DD069E" w:rsidP="00DD069E">
      <w:pPr>
        <w:spacing w:after="0" w:line="240" w:lineRule="auto"/>
        <w:jc w:val="center"/>
        <w:rPr>
          <w:rFonts w:ascii="Times New Roman" w:hAnsi="Times New Roman" w:cs="Times New Roman"/>
        </w:rPr>
      </w:pPr>
    </w:p>
    <w:p w14:paraId="5C6B9522" w14:textId="77777777" w:rsidR="00DD069E" w:rsidRPr="00E138C4" w:rsidRDefault="00DD069E" w:rsidP="00DD069E">
      <w:pPr>
        <w:spacing w:after="0" w:line="240" w:lineRule="auto"/>
        <w:jc w:val="center"/>
        <w:rPr>
          <w:rFonts w:ascii="Times New Roman" w:hAnsi="Times New Roman" w:cs="Times New Roman"/>
        </w:rPr>
      </w:pPr>
    </w:p>
    <w:p w14:paraId="264527A6" w14:textId="77777777" w:rsidR="00DD069E" w:rsidRPr="00E138C4" w:rsidRDefault="00DD069E" w:rsidP="00DD069E">
      <w:pPr>
        <w:spacing w:after="0" w:line="240" w:lineRule="auto"/>
        <w:jc w:val="center"/>
        <w:rPr>
          <w:rFonts w:ascii="Times New Roman" w:hAnsi="Times New Roman" w:cs="Times New Roman"/>
        </w:rPr>
      </w:pPr>
    </w:p>
    <w:p w14:paraId="460ECD2B"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b/>
        </w:rPr>
      </w:pPr>
    </w:p>
    <w:p w14:paraId="40E1B77F"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b/>
        </w:rPr>
      </w:pPr>
    </w:p>
    <w:p w14:paraId="2E496AEA"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b/>
        </w:rPr>
      </w:pPr>
    </w:p>
    <w:p w14:paraId="51975C70"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b/>
        </w:rPr>
      </w:pPr>
    </w:p>
    <w:p w14:paraId="36C20ED4" w14:textId="77777777" w:rsidR="00DD069E" w:rsidRPr="00E138C4" w:rsidRDefault="00DD069E" w:rsidP="00DD069E">
      <w:pPr>
        <w:spacing w:after="0" w:line="240" w:lineRule="auto"/>
        <w:ind w:left="567" w:hanging="567"/>
        <w:jc w:val="center"/>
        <w:rPr>
          <w:rFonts w:ascii="Times New Roman" w:hAnsi="Times New Roman" w:cs="Times New Roman"/>
        </w:rPr>
      </w:pPr>
      <w:r w:rsidRPr="00E138C4">
        <w:rPr>
          <w:rFonts w:ascii="Times New Roman" w:hAnsi="Times New Roman" w:cs="Times New Roman"/>
          <w:b/>
        </w:rPr>
        <w:t>I PRIEDAS</w:t>
      </w:r>
    </w:p>
    <w:p w14:paraId="4DBFA232" w14:textId="77777777" w:rsidR="00DD069E" w:rsidRPr="00E138C4" w:rsidRDefault="00DD069E" w:rsidP="00DD069E">
      <w:pPr>
        <w:spacing w:after="0" w:line="240" w:lineRule="auto"/>
        <w:ind w:left="567" w:hanging="567"/>
        <w:jc w:val="center"/>
        <w:rPr>
          <w:rFonts w:ascii="Times New Roman" w:hAnsi="Times New Roman" w:cs="Times New Roman"/>
          <w:b/>
        </w:rPr>
      </w:pPr>
    </w:p>
    <w:p w14:paraId="4BBE476F" w14:textId="77777777" w:rsidR="00DD069E" w:rsidRPr="00E138C4" w:rsidRDefault="00DD069E" w:rsidP="00DD069E">
      <w:pPr>
        <w:spacing w:after="0" w:line="240" w:lineRule="auto"/>
        <w:ind w:left="567" w:hanging="567"/>
        <w:jc w:val="center"/>
        <w:rPr>
          <w:rFonts w:ascii="Times New Roman" w:hAnsi="Times New Roman" w:cs="Times New Roman"/>
          <w:b/>
        </w:rPr>
      </w:pPr>
      <w:r w:rsidRPr="00E138C4">
        <w:rPr>
          <w:rFonts w:ascii="Times New Roman" w:hAnsi="Times New Roman" w:cs="Times New Roman"/>
          <w:b/>
        </w:rPr>
        <w:t>PREPARATO CHARAKTERISTIKŲ SANTRAUKA</w:t>
      </w:r>
    </w:p>
    <w:p w14:paraId="5DC73D0C" w14:textId="77777777" w:rsidR="00DD069E" w:rsidRPr="00E138C4" w:rsidRDefault="00DD069E" w:rsidP="00DD069E">
      <w:pPr>
        <w:tabs>
          <w:tab w:val="left" w:pos="-1440"/>
          <w:tab w:val="left" w:pos="-720"/>
        </w:tabs>
        <w:spacing w:after="0" w:line="240" w:lineRule="auto"/>
        <w:jc w:val="center"/>
        <w:rPr>
          <w:rFonts w:ascii="Times New Roman" w:hAnsi="Times New Roman" w:cs="Times New Roman"/>
        </w:rPr>
      </w:pPr>
    </w:p>
    <w:p w14:paraId="3F7DD964" w14:textId="77777777" w:rsidR="00DD069E" w:rsidRPr="00E138C4" w:rsidRDefault="00DD069E" w:rsidP="00DD069E">
      <w:pPr>
        <w:spacing w:after="0" w:line="240" w:lineRule="auto"/>
        <w:ind w:left="540" w:hanging="540"/>
        <w:rPr>
          <w:rFonts w:ascii="Times New Roman" w:hAnsi="Times New Roman" w:cs="Times New Roman"/>
        </w:rPr>
      </w:pPr>
      <w:r w:rsidRPr="00E138C4">
        <w:rPr>
          <w:rFonts w:ascii="Times New Roman" w:hAnsi="Times New Roman" w:cs="Times New Roman"/>
        </w:rPr>
        <w:br w:type="page"/>
      </w:r>
      <w:r w:rsidRPr="00E138C4">
        <w:rPr>
          <w:rFonts w:ascii="Times New Roman" w:hAnsi="Times New Roman" w:cs="Times New Roman"/>
          <w:b/>
        </w:rPr>
        <w:lastRenderedPageBreak/>
        <w:t>1.</w:t>
      </w:r>
      <w:r w:rsidRPr="00E138C4">
        <w:rPr>
          <w:rFonts w:ascii="Times New Roman" w:hAnsi="Times New Roman" w:cs="Times New Roman"/>
          <w:b/>
        </w:rPr>
        <w:tab/>
      </w:r>
      <w:r w:rsidRPr="00E138C4">
        <w:rPr>
          <w:rFonts w:ascii="Times New Roman" w:hAnsi="Times New Roman" w:cs="Times New Roman"/>
          <w:b/>
          <w:caps/>
        </w:rPr>
        <w:t>VAISTINIO</w:t>
      </w:r>
      <w:r w:rsidRPr="00E138C4">
        <w:rPr>
          <w:rFonts w:ascii="Times New Roman" w:hAnsi="Times New Roman" w:cs="Times New Roman"/>
          <w:b/>
        </w:rPr>
        <w:t xml:space="preserve"> PREPARATO PAVADINIMAS</w:t>
      </w:r>
    </w:p>
    <w:p w14:paraId="5A09979C" w14:textId="77777777" w:rsidR="00DD069E" w:rsidRPr="00E138C4" w:rsidRDefault="00DD069E" w:rsidP="00DD069E">
      <w:pPr>
        <w:spacing w:after="0" w:line="240" w:lineRule="auto"/>
        <w:rPr>
          <w:rFonts w:ascii="Times New Roman" w:hAnsi="Times New Roman" w:cs="Times New Roman"/>
        </w:rPr>
      </w:pPr>
    </w:p>
    <w:p w14:paraId="3D0A240C" w14:textId="6BEC612B" w:rsidR="00DD069E" w:rsidRPr="00E138C4" w:rsidRDefault="00444D0C" w:rsidP="00DD069E">
      <w:pPr>
        <w:spacing w:after="0" w:line="240" w:lineRule="auto"/>
        <w:rPr>
          <w:rFonts w:ascii="Times New Roman" w:hAnsi="Times New Roman" w:cs="Times New Roman"/>
        </w:rPr>
      </w:pPr>
      <w:hyperlink r:id="rId10"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25 mg plėvele dengtos tabletės</w:t>
      </w:r>
      <w:bookmarkStart w:id="0" w:name="_GoBack"/>
      <w:bookmarkEnd w:id="0"/>
    </w:p>
    <w:p w14:paraId="4915BB2C" w14:textId="665892F3" w:rsidR="00DD069E" w:rsidRPr="00E138C4" w:rsidRDefault="00444D0C" w:rsidP="00DD069E">
      <w:pPr>
        <w:spacing w:after="0" w:line="240" w:lineRule="auto"/>
        <w:rPr>
          <w:rFonts w:ascii="Times New Roman" w:hAnsi="Times New Roman" w:cs="Times New Roman"/>
        </w:rPr>
      </w:pPr>
      <w:hyperlink r:id="rId11"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100 mg plėvele dengtos tabletės</w:t>
      </w:r>
    </w:p>
    <w:p w14:paraId="61BA6684" w14:textId="6F0A5681" w:rsidR="00DD069E" w:rsidRPr="00E138C4" w:rsidRDefault="00444D0C" w:rsidP="00DD069E">
      <w:pPr>
        <w:spacing w:after="0" w:line="240" w:lineRule="auto"/>
        <w:rPr>
          <w:rFonts w:ascii="Times New Roman" w:hAnsi="Times New Roman" w:cs="Times New Roman"/>
        </w:rPr>
      </w:pPr>
      <w:hyperlink r:id="rId12"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150 mg plėvele dengtos tabletės</w:t>
      </w:r>
    </w:p>
    <w:p w14:paraId="46FBC67F" w14:textId="3DC85C55" w:rsidR="00DD069E" w:rsidRPr="00E138C4" w:rsidRDefault="00444D0C" w:rsidP="00DD069E">
      <w:pPr>
        <w:spacing w:after="0" w:line="240" w:lineRule="auto"/>
        <w:rPr>
          <w:rFonts w:ascii="Times New Roman" w:hAnsi="Times New Roman" w:cs="Times New Roman"/>
        </w:rPr>
      </w:pPr>
      <w:hyperlink r:id="rId13"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200 mg plėvele dengtos tabletės</w:t>
      </w:r>
    </w:p>
    <w:p w14:paraId="43FAC93B" w14:textId="4A8B08B6" w:rsidR="00DD069E" w:rsidRPr="00E138C4" w:rsidRDefault="00444D0C" w:rsidP="00DD069E">
      <w:pPr>
        <w:autoSpaceDE w:val="0"/>
        <w:autoSpaceDN w:val="0"/>
        <w:adjustRightInd w:val="0"/>
        <w:spacing w:after="0" w:line="240" w:lineRule="auto"/>
        <w:jc w:val="both"/>
        <w:rPr>
          <w:rFonts w:ascii="Times New Roman" w:hAnsi="Times New Roman" w:cs="Times New Roman"/>
        </w:rPr>
      </w:pPr>
      <w:hyperlink r:id="rId14"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300 mg plėvele dengtos tabletės</w:t>
      </w:r>
    </w:p>
    <w:p w14:paraId="0706C723" w14:textId="77777777" w:rsidR="00DD069E" w:rsidRPr="00E138C4" w:rsidRDefault="00DD069E" w:rsidP="00DD069E">
      <w:pPr>
        <w:widowControl w:val="0"/>
        <w:spacing w:after="0" w:line="240" w:lineRule="auto"/>
        <w:rPr>
          <w:rFonts w:ascii="Times New Roman" w:hAnsi="Times New Roman" w:cs="Times New Roman"/>
        </w:rPr>
      </w:pPr>
    </w:p>
    <w:p w14:paraId="2A123001" w14:textId="77777777" w:rsidR="00DD069E" w:rsidRPr="00E138C4" w:rsidRDefault="00DD069E" w:rsidP="00DD069E">
      <w:pPr>
        <w:widowControl w:val="0"/>
        <w:spacing w:after="0" w:line="240" w:lineRule="auto"/>
        <w:rPr>
          <w:rFonts w:ascii="Times New Roman" w:hAnsi="Times New Roman" w:cs="Times New Roman"/>
        </w:rPr>
      </w:pPr>
    </w:p>
    <w:p w14:paraId="16C8693D" w14:textId="77777777" w:rsidR="00DD069E" w:rsidRPr="00E138C4" w:rsidRDefault="00DD069E" w:rsidP="00DD069E">
      <w:pPr>
        <w:widowControl w:val="0"/>
        <w:spacing w:after="0" w:line="240" w:lineRule="auto"/>
        <w:ind w:left="540" w:hanging="540"/>
        <w:rPr>
          <w:rFonts w:ascii="Times New Roman" w:hAnsi="Times New Roman" w:cs="Times New Roman"/>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kokybinė ir kiekybinė sudėtis</w:t>
      </w:r>
    </w:p>
    <w:p w14:paraId="2179F898" w14:textId="77777777" w:rsidR="00DD069E" w:rsidRPr="00E138C4" w:rsidRDefault="00DD069E" w:rsidP="00DD069E">
      <w:pPr>
        <w:spacing w:after="0" w:line="240" w:lineRule="auto"/>
        <w:rPr>
          <w:rFonts w:ascii="Times New Roman" w:hAnsi="Times New Roman" w:cs="Times New Roman"/>
        </w:rPr>
      </w:pPr>
    </w:p>
    <w:p w14:paraId="460FB8DD" w14:textId="083F5D9F" w:rsidR="00D40AD3" w:rsidRPr="00B14475" w:rsidRDefault="00444D0C" w:rsidP="00D40AD3">
      <w:pPr>
        <w:spacing w:after="0" w:line="240" w:lineRule="auto"/>
        <w:rPr>
          <w:rFonts w:ascii="Times New Roman" w:hAnsi="Times New Roman" w:cs="Times New Roman"/>
          <w:i/>
          <w:iCs/>
        </w:rPr>
      </w:pPr>
      <w:hyperlink r:id="rId15" w:anchor="TOP" w:history="1">
        <w:r w:rsidR="00D40AD3" w:rsidRPr="00B14475">
          <w:rPr>
            <w:rFonts w:ascii="Times New Roman" w:hAnsi="Times New Roman" w:cs="Times New Roman"/>
            <w:i/>
            <w:iCs/>
          </w:rPr>
          <w:fldChar w:fldCharType="begin"/>
        </w:r>
        <w:r w:rsidR="00D40AD3"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40AD3" w:rsidRPr="00B14475">
          <w:rPr>
            <w:rFonts w:ascii="Times New Roman" w:hAnsi="Times New Roman" w:cs="Times New Roman"/>
            <w:i/>
            <w:iCs/>
          </w:rPr>
          <w:fldChar w:fldCharType="end"/>
        </w:r>
      </w:hyperlink>
      <w:r w:rsidR="00D40AD3" w:rsidRPr="00B14475">
        <w:rPr>
          <w:rFonts w:ascii="Times New Roman" w:hAnsi="Times New Roman" w:cs="Times New Roman"/>
          <w:i/>
          <w:iCs/>
        </w:rPr>
        <w:t>Ketilept 25</w:t>
      </w:r>
      <w:r w:rsidR="00A02B5E" w:rsidRPr="00E138C4">
        <w:rPr>
          <w:rFonts w:ascii="Times New Roman" w:hAnsi="Times New Roman" w:cs="Times New Roman"/>
          <w:i/>
          <w:iCs/>
        </w:rPr>
        <w:t> mg</w:t>
      </w:r>
      <w:r w:rsidR="00D40AD3" w:rsidRPr="00B14475">
        <w:rPr>
          <w:rFonts w:ascii="Times New Roman" w:hAnsi="Times New Roman" w:cs="Times New Roman"/>
          <w:i/>
          <w:iCs/>
        </w:rPr>
        <w:t xml:space="preserve"> plėvele dengtos tabletės</w:t>
      </w:r>
      <w:r w:rsidR="0002357E" w:rsidRPr="00B14475">
        <w:rPr>
          <w:rFonts w:ascii="Times New Roman" w:hAnsi="Times New Roman" w:cs="Times New Roman"/>
          <w:i/>
          <w:iCs/>
        </w:rPr>
        <w:t>:</w:t>
      </w:r>
    </w:p>
    <w:p w14:paraId="5F4291DE" w14:textId="62588048"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25 mg kvetiapino (atitinka 28,78 mg kvetiapino hemifumarato).</w:t>
      </w:r>
    </w:p>
    <w:p w14:paraId="26219864" w14:textId="2DEF64EE" w:rsidR="0002357E" w:rsidRPr="00B14475" w:rsidRDefault="00444D0C" w:rsidP="0002357E">
      <w:pPr>
        <w:spacing w:after="0" w:line="240" w:lineRule="auto"/>
        <w:rPr>
          <w:rFonts w:ascii="Times New Roman" w:hAnsi="Times New Roman" w:cs="Times New Roman"/>
          <w:i/>
          <w:iCs/>
        </w:rPr>
      </w:pPr>
      <w:hyperlink r:id="rId16" w:anchor="TOP" w:history="1">
        <w:r w:rsidR="0002357E" w:rsidRPr="00B14475">
          <w:rPr>
            <w:rFonts w:ascii="Times New Roman" w:hAnsi="Times New Roman" w:cs="Times New Roman"/>
            <w:i/>
            <w:iCs/>
          </w:rPr>
          <w:fldChar w:fldCharType="begin"/>
        </w:r>
        <w:r w:rsidR="0002357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02357E" w:rsidRPr="00B14475">
          <w:rPr>
            <w:rFonts w:ascii="Times New Roman" w:hAnsi="Times New Roman" w:cs="Times New Roman"/>
            <w:i/>
            <w:iCs/>
          </w:rPr>
          <w:fldChar w:fldCharType="end"/>
        </w:r>
      </w:hyperlink>
      <w:r w:rsidR="0002357E" w:rsidRPr="00B14475">
        <w:rPr>
          <w:rFonts w:ascii="Times New Roman" w:hAnsi="Times New Roman" w:cs="Times New Roman"/>
          <w:i/>
          <w:iCs/>
        </w:rPr>
        <w:t>Ketilept 100</w:t>
      </w:r>
      <w:r w:rsidR="00A02B5E" w:rsidRPr="00E138C4">
        <w:rPr>
          <w:rFonts w:ascii="Times New Roman" w:hAnsi="Times New Roman" w:cs="Times New Roman"/>
          <w:i/>
          <w:iCs/>
        </w:rPr>
        <w:t> mg</w:t>
      </w:r>
      <w:r w:rsidR="0002357E" w:rsidRPr="00B14475">
        <w:rPr>
          <w:rFonts w:ascii="Times New Roman" w:hAnsi="Times New Roman" w:cs="Times New Roman"/>
          <w:i/>
          <w:iCs/>
        </w:rPr>
        <w:t xml:space="preserve"> plėvele dengtos tabletės:</w:t>
      </w:r>
    </w:p>
    <w:p w14:paraId="17E2E9C3" w14:textId="783E32D4"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100 mg kvetiapino (atitinka 115,13 mg kvetiapino hemifumarato).</w:t>
      </w:r>
    </w:p>
    <w:p w14:paraId="71DFFB6F" w14:textId="3832355D" w:rsidR="0002357E" w:rsidRPr="00B14475" w:rsidRDefault="00444D0C" w:rsidP="0002357E">
      <w:pPr>
        <w:spacing w:after="0" w:line="240" w:lineRule="auto"/>
        <w:rPr>
          <w:rFonts w:ascii="Times New Roman" w:hAnsi="Times New Roman" w:cs="Times New Roman"/>
          <w:i/>
          <w:iCs/>
        </w:rPr>
      </w:pPr>
      <w:hyperlink r:id="rId17" w:anchor="TOP" w:history="1">
        <w:r w:rsidR="0002357E" w:rsidRPr="00B14475">
          <w:rPr>
            <w:rFonts w:ascii="Times New Roman" w:hAnsi="Times New Roman" w:cs="Times New Roman"/>
            <w:i/>
            <w:iCs/>
          </w:rPr>
          <w:fldChar w:fldCharType="begin"/>
        </w:r>
        <w:r w:rsidR="0002357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02357E" w:rsidRPr="00B14475">
          <w:rPr>
            <w:rFonts w:ascii="Times New Roman" w:hAnsi="Times New Roman" w:cs="Times New Roman"/>
            <w:i/>
            <w:iCs/>
          </w:rPr>
          <w:fldChar w:fldCharType="end"/>
        </w:r>
      </w:hyperlink>
      <w:r w:rsidR="0002357E" w:rsidRPr="00B14475">
        <w:rPr>
          <w:rFonts w:ascii="Times New Roman" w:hAnsi="Times New Roman" w:cs="Times New Roman"/>
          <w:i/>
          <w:iCs/>
        </w:rPr>
        <w:t>Ketilept 150</w:t>
      </w:r>
      <w:r w:rsidR="00A02B5E" w:rsidRPr="00E138C4">
        <w:rPr>
          <w:rFonts w:ascii="Times New Roman" w:hAnsi="Times New Roman" w:cs="Times New Roman"/>
          <w:i/>
          <w:iCs/>
        </w:rPr>
        <w:t> mg</w:t>
      </w:r>
      <w:r w:rsidR="0002357E" w:rsidRPr="00B14475">
        <w:rPr>
          <w:rFonts w:ascii="Times New Roman" w:hAnsi="Times New Roman" w:cs="Times New Roman"/>
          <w:i/>
          <w:iCs/>
        </w:rPr>
        <w:t xml:space="preserve"> plėvele dengtos tabletės:</w:t>
      </w:r>
    </w:p>
    <w:p w14:paraId="772E97D5" w14:textId="0530E5B5"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150 mg kvetiapino (atitinka 172,7 mg kvetiapino hemifumarato).</w:t>
      </w:r>
    </w:p>
    <w:p w14:paraId="38BDB9A0" w14:textId="35320989" w:rsidR="0002357E" w:rsidRPr="00B14475" w:rsidRDefault="00444D0C" w:rsidP="0002357E">
      <w:pPr>
        <w:spacing w:after="0" w:line="240" w:lineRule="auto"/>
        <w:rPr>
          <w:rFonts w:ascii="Times New Roman" w:hAnsi="Times New Roman" w:cs="Times New Roman"/>
          <w:i/>
          <w:iCs/>
        </w:rPr>
      </w:pPr>
      <w:hyperlink r:id="rId18" w:anchor="TOP" w:history="1">
        <w:r w:rsidR="0002357E" w:rsidRPr="00B14475">
          <w:rPr>
            <w:rFonts w:ascii="Times New Roman" w:hAnsi="Times New Roman" w:cs="Times New Roman"/>
            <w:i/>
            <w:iCs/>
          </w:rPr>
          <w:fldChar w:fldCharType="begin"/>
        </w:r>
        <w:r w:rsidR="0002357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02357E" w:rsidRPr="00B14475">
          <w:rPr>
            <w:rFonts w:ascii="Times New Roman" w:hAnsi="Times New Roman" w:cs="Times New Roman"/>
            <w:i/>
            <w:iCs/>
          </w:rPr>
          <w:fldChar w:fldCharType="end"/>
        </w:r>
      </w:hyperlink>
      <w:r w:rsidR="0002357E" w:rsidRPr="00B14475">
        <w:rPr>
          <w:rFonts w:ascii="Times New Roman" w:hAnsi="Times New Roman" w:cs="Times New Roman"/>
          <w:i/>
          <w:iCs/>
        </w:rPr>
        <w:t>Ketilept 200</w:t>
      </w:r>
      <w:r w:rsidR="00A02B5E" w:rsidRPr="00E138C4">
        <w:rPr>
          <w:rFonts w:ascii="Times New Roman" w:hAnsi="Times New Roman" w:cs="Times New Roman"/>
          <w:i/>
          <w:iCs/>
        </w:rPr>
        <w:t> mg</w:t>
      </w:r>
      <w:r w:rsidR="0002357E" w:rsidRPr="00B14475">
        <w:rPr>
          <w:rFonts w:ascii="Times New Roman" w:hAnsi="Times New Roman" w:cs="Times New Roman"/>
          <w:i/>
          <w:iCs/>
        </w:rPr>
        <w:t xml:space="preserve"> plėvele dengtos tabletės:</w:t>
      </w:r>
    </w:p>
    <w:p w14:paraId="5183B6D8" w14:textId="3FE8F971"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200 mg kvetiapino (atitinka 230,26 mg kvetiapino hemifumarato).</w:t>
      </w:r>
    </w:p>
    <w:p w14:paraId="618702F8" w14:textId="2DB1411C" w:rsidR="0002357E" w:rsidRPr="00B14475" w:rsidRDefault="00444D0C" w:rsidP="0002357E">
      <w:pPr>
        <w:spacing w:after="0" w:line="240" w:lineRule="auto"/>
        <w:rPr>
          <w:rFonts w:ascii="Times New Roman" w:hAnsi="Times New Roman" w:cs="Times New Roman"/>
          <w:i/>
          <w:iCs/>
        </w:rPr>
      </w:pPr>
      <w:hyperlink r:id="rId19" w:anchor="TOP" w:history="1">
        <w:r w:rsidR="0002357E" w:rsidRPr="00B14475">
          <w:rPr>
            <w:rFonts w:ascii="Times New Roman" w:hAnsi="Times New Roman" w:cs="Times New Roman"/>
            <w:i/>
            <w:iCs/>
          </w:rPr>
          <w:fldChar w:fldCharType="begin"/>
        </w:r>
        <w:r w:rsidR="0002357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02357E" w:rsidRPr="00B14475">
          <w:rPr>
            <w:rFonts w:ascii="Times New Roman" w:hAnsi="Times New Roman" w:cs="Times New Roman"/>
            <w:i/>
            <w:iCs/>
          </w:rPr>
          <w:fldChar w:fldCharType="end"/>
        </w:r>
      </w:hyperlink>
      <w:r w:rsidR="0002357E" w:rsidRPr="00B14475">
        <w:rPr>
          <w:rFonts w:ascii="Times New Roman" w:hAnsi="Times New Roman" w:cs="Times New Roman"/>
          <w:i/>
          <w:iCs/>
        </w:rPr>
        <w:t>Ketilept 300</w:t>
      </w:r>
      <w:r w:rsidR="00A02B5E" w:rsidRPr="00E138C4">
        <w:rPr>
          <w:rFonts w:ascii="Times New Roman" w:hAnsi="Times New Roman" w:cs="Times New Roman"/>
          <w:i/>
          <w:iCs/>
        </w:rPr>
        <w:t> mg</w:t>
      </w:r>
      <w:r w:rsidR="0002357E" w:rsidRPr="00B14475">
        <w:rPr>
          <w:rFonts w:ascii="Times New Roman" w:hAnsi="Times New Roman" w:cs="Times New Roman"/>
          <w:i/>
          <w:iCs/>
        </w:rPr>
        <w:t xml:space="preserve"> plėvele dengtos tabletės:</w:t>
      </w:r>
    </w:p>
    <w:p w14:paraId="450A6F09" w14:textId="67B62FBA"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w:t>
      </w:r>
      <w:r w:rsidR="00DD069E" w:rsidRPr="00E138C4">
        <w:rPr>
          <w:rFonts w:ascii="Times New Roman" w:hAnsi="Times New Roman" w:cs="Times New Roman"/>
        </w:rPr>
        <w:t>vienoje plėvele dengtoje tabletėje yra 300 mg kvetiapino (atitinka 345,4 mg kvetiapino hemifumarato).</w:t>
      </w:r>
    </w:p>
    <w:p w14:paraId="3C527BB2" w14:textId="77777777" w:rsidR="00DD069E" w:rsidRPr="00E138C4" w:rsidRDefault="00DD069E" w:rsidP="00DD069E">
      <w:pPr>
        <w:spacing w:after="0" w:line="240" w:lineRule="auto"/>
        <w:rPr>
          <w:rFonts w:ascii="Times New Roman" w:hAnsi="Times New Roman" w:cs="Times New Roman"/>
        </w:rPr>
      </w:pPr>
    </w:p>
    <w:p w14:paraId="436023D2"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Pagalbinė</w:t>
      </w:r>
      <w:r w:rsidR="007238F7" w:rsidRPr="00E138C4">
        <w:rPr>
          <w:rFonts w:ascii="Times New Roman" w:hAnsi="Times New Roman" w:cs="Times New Roman"/>
          <w:u w:val="single"/>
        </w:rPr>
        <w:t xml:space="preserve"> (-</w:t>
      </w:r>
      <w:r w:rsidRPr="00E138C4">
        <w:rPr>
          <w:rFonts w:ascii="Times New Roman" w:hAnsi="Times New Roman" w:cs="Times New Roman"/>
          <w:u w:val="single"/>
        </w:rPr>
        <w:t>s</w:t>
      </w:r>
      <w:r w:rsidR="007238F7" w:rsidRPr="00E138C4">
        <w:rPr>
          <w:rFonts w:ascii="Times New Roman" w:hAnsi="Times New Roman" w:cs="Times New Roman"/>
          <w:u w:val="single"/>
        </w:rPr>
        <w:t>)</w:t>
      </w:r>
      <w:r w:rsidRPr="00E138C4">
        <w:rPr>
          <w:rFonts w:ascii="Times New Roman" w:hAnsi="Times New Roman" w:cs="Times New Roman"/>
          <w:u w:val="single"/>
        </w:rPr>
        <w:t xml:space="preserve"> medžiag</w:t>
      </w:r>
      <w:r w:rsidR="007238F7" w:rsidRPr="00E138C4">
        <w:rPr>
          <w:rFonts w:ascii="Times New Roman" w:hAnsi="Times New Roman" w:cs="Times New Roman"/>
          <w:u w:val="single"/>
        </w:rPr>
        <w:t>a (-</w:t>
      </w:r>
      <w:r w:rsidRPr="00E138C4">
        <w:rPr>
          <w:rFonts w:ascii="Times New Roman" w:hAnsi="Times New Roman" w:cs="Times New Roman"/>
          <w:u w:val="single"/>
        </w:rPr>
        <w:t>os</w:t>
      </w:r>
      <w:r w:rsidR="007238F7" w:rsidRPr="00E138C4">
        <w:rPr>
          <w:rFonts w:ascii="Times New Roman" w:hAnsi="Times New Roman" w:cs="Times New Roman"/>
          <w:u w:val="single"/>
        </w:rPr>
        <w:t>)</w:t>
      </w:r>
      <w:r w:rsidRPr="00E138C4">
        <w:rPr>
          <w:rFonts w:ascii="Times New Roman" w:hAnsi="Times New Roman" w:cs="Times New Roman"/>
          <w:u w:val="single"/>
        </w:rPr>
        <w:t>, kuri</w:t>
      </w:r>
      <w:r w:rsidR="007238F7" w:rsidRPr="00E138C4">
        <w:rPr>
          <w:rFonts w:ascii="Times New Roman" w:hAnsi="Times New Roman" w:cs="Times New Roman"/>
          <w:u w:val="single"/>
        </w:rPr>
        <w:t>os (-i</w:t>
      </w:r>
      <w:r w:rsidRPr="00E138C4">
        <w:rPr>
          <w:rFonts w:ascii="Times New Roman" w:hAnsi="Times New Roman" w:cs="Times New Roman"/>
          <w:u w:val="single"/>
        </w:rPr>
        <w:t>ų</w:t>
      </w:r>
      <w:r w:rsidR="007238F7" w:rsidRPr="00E138C4">
        <w:rPr>
          <w:rFonts w:ascii="Times New Roman" w:hAnsi="Times New Roman" w:cs="Times New Roman"/>
          <w:u w:val="single"/>
        </w:rPr>
        <w:t>)</w:t>
      </w:r>
      <w:r w:rsidRPr="00E138C4">
        <w:rPr>
          <w:rFonts w:ascii="Times New Roman" w:hAnsi="Times New Roman" w:cs="Times New Roman"/>
          <w:u w:val="single"/>
        </w:rPr>
        <w:t xml:space="preserve"> poveikis žinomas</w:t>
      </w:r>
      <w:r w:rsidR="007238F7" w:rsidRPr="00E138C4">
        <w:rPr>
          <w:rFonts w:ascii="Times New Roman" w:hAnsi="Times New Roman" w:cs="Times New Roman"/>
          <w:u w:val="single"/>
        </w:rPr>
        <w:t>:</w:t>
      </w:r>
    </w:p>
    <w:p w14:paraId="5A4B060E" w14:textId="6FDD9D97"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Ketilept 25 mg plėvele dengtoje tabletėje yra 4</w:t>
      </w:r>
      <w:r w:rsidRPr="00E138C4">
        <w:rPr>
          <w:rFonts w:ascii="Times New Roman" w:hAnsi="Times New Roman" w:cs="Times New Roman"/>
        </w:rPr>
        <w:t>,42</w:t>
      </w:r>
      <w:r w:rsidR="00DD069E" w:rsidRPr="00E138C4">
        <w:rPr>
          <w:rFonts w:ascii="Times New Roman" w:hAnsi="Times New Roman" w:cs="Times New Roman"/>
        </w:rPr>
        <w:t> mg laktozės monohidrato.</w:t>
      </w:r>
    </w:p>
    <w:p w14:paraId="0B342DF7" w14:textId="51EA5FFF"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Ketilept 100 mg plėvele dengtoje tabletėje yra 1</w:t>
      </w:r>
      <w:r w:rsidRPr="00E138C4">
        <w:rPr>
          <w:rFonts w:ascii="Times New Roman" w:hAnsi="Times New Roman" w:cs="Times New Roman"/>
        </w:rPr>
        <w:t>7,05</w:t>
      </w:r>
      <w:r w:rsidR="00DD069E" w:rsidRPr="00E138C4">
        <w:rPr>
          <w:rFonts w:ascii="Times New Roman" w:hAnsi="Times New Roman" w:cs="Times New Roman"/>
        </w:rPr>
        <w:t> mg laktozės monohidrato.</w:t>
      </w:r>
    </w:p>
    <w:p w14:paraId="6BD41F44" w14:textId="4CB78F88"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Ketilept 150 mg plėvele dengtoje tabletėje yra 2</w:t>
      </w:r>
      <w:r w:rsidRPr="00E138C4">
        <w:rPr>
          <w:rFonts w:ascii="Times New Roman" w:hAnsi="Times New Roman" w:cs="Times New Roman"/>
        </w:rPr>
        <w:t>5,46</w:t>
      </w:r>
      <w:r w:rsidR="00DD069E" w:rsidRPr="00E138C4">
        <w:rPr>
          <w:rFonts w:ascii="Times New Roman" w:hAnsi="Times New Roman" w:cs="Times New Roman"/>
        </w:rPr>
        <w:t> mg laktozės monohidrato.</w:t>
      </w:r>
    </w:p>
    <w:p w14:paraId="43C058EE" w14:textId="5968B85B"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Ketilept 200 mg plėvele dengtoje tabletėje yra 3</w:t>
      </w:r>
      <w:r w:rsidRPr="00E138C4">
        <w:rPr>
          <w:rFonts w:ascii="Times New Roman" w:hAnsi="Times New Roman" w:cs="Times New Roman"/>
        </w:rPr>
        <w:t>4,1</w:t>
      </w:r>
      <w:r w:rsidR="00DD069E" w:rsidRPr="00E138C4">
        <w:rPr>
          <w:rFonts w:ascii="Times New Roman" w:hAnsi="Times New Roman" w:cs="Times New Roman"/>
        </w:rPr>
        <w:t> mg laktozės monohidrato.</w:t>
      </w:r>
    </w:p>
    <w:p w14:paraId="45208B96" w14:textId="2EA85D52" w:rsidR="00DD069E" w:rsidRPr="00E138C4" w:rsidRDefault="007238F7"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 xml:space="preserve">ienoje Ketilept 300 mg plėvele dengtoje tabletėje yra </w:t>
      </w:r>
      <w:r w:rsidRPr="00E138C4">
        <w:rPr>
          <w:rFonts w:ascii="Times New Roman" w:hAnsi="Times New Roman" w:cs="Times New Roman"/>
        </w:rPr>
        <w:t>50,94 </w:t>
      </w:r>
      <w:r w:rsidR="00DD069E" w:rsidRPr="00E138C4">
        <w:rPr>
          <w:rFonts w:ascii="Times New Roman" w:hAnsi="Times New Roman" w:cs="Times New Roman"/>
        </w:rPr>
        <w:t>mg laktozės monohidrato.</w:t>
      </w:r>
    </w:p>
    <w:p w14:paraId="0C97CD44" w14:textId="77777777" w:rsidR="00DD069E" w:rsidRPr="00E138C4" w:rsidRDefault="00DD069E" w:rsidP="00DD069E">
      <w:pPr>
        <w:spacing w:after="0" w:line="240" w:lineRule="auto"/>
        <w:rPr>
          <w:rFonts w:ascii="Times New Roman" w:hAnsi="Times New Roman" w:cs="Times New Roman"/>
        </w:rPr>
      </w:pPr>
    </w:p>
    <w:p w14:paraId="36AA600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Visos pagalbinės medžiagos išvardytos 6.1 skyriuje.</w:t>
      </w:r>
    </w:p>
    <w:p w14:paraId="4132BA78" w14:textId="77777777" w:rsidR="00DD069E" w:rsidRPr="00E138C4" w:rsidRDefault="00DD069E" w:rsidP="00DD069E">
      <w:pPr>
        <w:spacing w:after="0" w:line="240" w:lineRule="auto"/>
        <w:rPr>
          <w:rFonts w:ascii="Times New Roman" w:hAnsi="Times New Roman" w:cs="Times New Roman"/>
        </w:rPr>
      </w:pPr>
    </w:p>
    <w:p w14:paraId="522863D6" w14:textId="77777777" w:rsidR="00DD069E" w:rsidRPr="00E138C4" w:rsidRDefault="00DD069E" w:rsidP="00DD069E">
      <w:pPr>
        <w:spacing w:after="0" w:line="240" w:lineRule="auto"/>
        <w:rPr>
          <w:rFonts w:ascii="Times New Roman" w:hAnsi="Times New Roman" w:cs="Times New Roman"/>
        </w:rPr>
      </w:pPr>
    </w:p>
    <w:p w14:paraId="728AE533" w14:textId="77777777" w:rsidR="00DD069E" w:rsidRPr="00E138C4" w:rsidRDefault="00DD069E" w:rsidP="00DD069E">
      <w:pPr>
        <w:spacing w:after="0" w:line="240" w:lineRule="auto"/>
        <w:ind w:left="567" w:hanging="567"/>
        <w:rPr>
          <w:rFonts w:ascii="Times New Roman" w:hAnsi="Times New Roman" w:cs="Times New Roman"/>
          <w:caps/>
        </w:rPr>
      </w:pPr>
      <w:r w:rsidRPr="00E138C4">
        <w:rPr>
          <w:rFonts w:ascii="Times New Roman" w:hAnsi="Times New Roman" w:cs="Times New Roman"/>
          <w:b/>
        </w:rPr>
        <w:t>3.</w:t>
      </w:r>
      <w:r w:rsidRPr="00E138C4">
        <w:rPr>
          <w:rFonts w:ascii="Times New Roman" w:hAnsi="Times New Roman" w:cs="Times New Roman"/>
          <w:b/>
        </w:rPr>
        <w:tab/>
      </w:r>
      <w:r w:rsidRPr="00E138C4">
        <w:rPr>
          <w:rFonts w:ascii="Times New Roman" w:hAnsi="Times New Roman" w:cs="Times New Roman"/>
          <w:b/>
          <w:caps/>
        </w:rPr>
        <w:t>FARMACINĖ forma</w:t>
      </w:r>
    </w:p>
    <w:p w14:paraId="5587DB46" w14:textId="77777777" w:rsidR="00DD069E" w:rsidRPr="00E138C4" w:rsidRDefault="00DD069E" w:rsidP="00DD069E">
      <w:pPr>
        <w:spacing w:after="0" w:line="240" w:lineRule="auto"/>
        <w:rPr>
          <w:rFonts w:ascii="Times New Roman" w:hAnsi="Times New Roman" w:cs="Times New Roman"/>
        </w:rPr>
      </w:pPr>
    </w:p>
    <w:p w14:paraId="57F3EF1C" w14:textId="36B663B3" w:rsidR="00DD069E" w:rsidRPr="00E138C4" w:rsidRDefault="00444D0C" w:rsidP="00DD069E">
      <w:pPr>
        <w:spacing w:after="0" w:line="240" w:lineRule="auto"/>
        <w:rPr>
          <w:rFonts w:ascii="Times New Roman" w:hAnsi="Times New Roman" w:cs="Times New Roman"/>
        </w:rPr>
      </w:pPr>
      <w:hyperlink r:id="rId20" w:anchor="TOP" w:history="1">
        <w:r w:rsidR="00DD069E" w:rsidRPr="00B15790">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B15790">
          <w:rPr>
            <w:rFonts w:ascii="Times New Roman" w:hAnsi="Times New Roman" w:cs="Times New Roman"/>
          </w:rPr>
          <w:fldChar w:fldCharType="end"/>
        </w:r>
      </w:hyperlink>
      <w:r w:rsidR="00DD069E" w:rsidRPr="00E138C4">
        <w:rPr>
          <w:rFonts w:ascii="Times New Roman" w:hAnsi="Times New Roman" w:cs="Times New Roman"/>
        </w:rPr>
        <w:t>Ketilept 25 mg plėvele dengtos tabletės – baltos arba beveik baltos spalvos, bekvapės ar beveik bekvapės, apvalios, abipus išgaubtos, plėvele dengtos tabletės, kurių vienoje pusėje įspaustas užrašas „201“, o kitoje – stilizuota „E“.</w:t>
      </w:r>
    </w:p>
    <w:p w14:paraId="4428E77A" w14:textId="0E1B97CE" w:rsidR="00DD069E" w:rsidRPr="00E138C4" w:rsidRDefault="00444D0C" w:rsidP="00DD069E">
      <w:pPr>
        <w:spacing w:after="0" w:line="240" w:lineRule="auto"/>
        <w:rPr>
          <w:rFonts w:ascii="Times New Roman" w:hAnsi="Times New Roman" w:cs="Times New Roman"/>
        </w:rPr>
      </w:pPr>
      <w:hyperlink r:id="rId21" w:anchor="TOP" w:history="1">
        <w:r w:rsidR="00DD069E" w:rsidRPr="00B14475">
          <w:rPr>
            <w:rFonts w:ascii="Times New Roman" w:hAnsi="Times New Roman" w:cs="Times New Roman"/>
            <w:i/>
            <w:iCs/>
          </w:rPr>
          <w:fldChar w:fldCharType="begin"/>
        </w:r>
        <w:r w:rsidR="00DD069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D069E" w:rsidRPr="00B14475">
          <w:rPr>
            <w:rFonts w:ascii="Times New Roman" w:hAnsi="Times New Roman" w:cs="Times New Roman"/>
            <w:i/>
            <w:iCs/>
          </w:rPr>
          <w:fldChar w:fldCharType="end"/>
        </w:r>
      </w:hyperlink>
      <w:r w:rsidR="00DD069E" w:rsidRPr="00B14475">
        <w:rPr>
          <w:rFonts w:ascii="Times New Roman" w:hAnsi="Times New Roman" w:cs="Times New Roman"/>
          <w:i/>
          <w:iCs/>
        </w:rPr>
        <w:t>Ketilept 100 mg plėvele dengtos tabletės</w:t>
      </w:r>
      <w:r w:rsidR="00DD069E" w:rsidRPr="00E138C4">
        <w:rPr>
          <w:rFonts w:ascii="Times New Roman" w:hAnsi="Times New Roman" w:cs="Times New Roman"/>
        </w:rPr>
        <w:t xml:space="preserve"> – baltos arba beveik baltos spalvos, bekvapės ar beveik bekvapės, apvalios, abipus išgaubtos, plėvele dengtos tabletės, kurių vienoje pusėje įspaustas užrašas „E202“.</w:t>
      </w:r>
    </w:p>
    <w:p w14:paraId="70451925" w14:textId="539B8224" w:rsidR="00DD069E" w:rsidRPr="00E138C4" w:rsidRDefault="00444D0C" w:rsidP="00DD069E">
      <w:pPr>
        <w:spacing w:after="0" w:line="240" w:lineRule="auto"/>
        <w:rPr>
          <w:rFonts w:ascii="Times New Roman" w:hAnsi="Times New Roman" w:cs="Times New Roman"/>
        </w:rPr>
      </w:pPr>
      <w:hyperlink r:id="rId22" w:anchor="TOP" w:history="1">
        <w:r w:rsidR="00DD069E" w:rsidRPr="00B14475">
          <w:rPr>
            <w:rFonts w:ascii="Times New Roman" w:hAnsi="Times New Roman" w:cs="Times New Roman"/>
            <w:i/>
            <w:iCs/>
          </w:rPr>
          <w:fldChar w:fldCharType="begin"/>
        </w:r>
        <w:r w:rsidR="00DD069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D069E" w:rsidRPr="00B14475">
          <w:rPr>
            <w:rFonts w:ascii="Times New Roman" w:hAnsi="Times New Roman" w:cs="Times New Roman"/>
            <w:i/>
            <w:iCs/>
          </w:rPr>
          <w:fldChar w:fldCharType="end"/>
        </w:r>
      </w:hyperlink>
      <w:r w:rsidR="00DD069E" w:rsidRPr="00B14475">
        <w:rPr>
          <w:rFonts w:ascii="Times New Roman" w:hAnsi="Times New Roman" w:cs="Times New Roman"/>
          <w:i/>
          <w:iCs/>
        </w:rPr>
        <w:t>Ketilept 150 mg plėvele dengtos tabletės</w:t>
      </w:r>
      <w:r w:rsidR="00DD069E" w:rsidRPr="00E138C4">
        <w:rPr>
          <w:rFonts w:ascii="Times New Roman" w:hAnsi="Times New Roman" w:cs="Times New Roman"/>
        </w:rPr>
        <w:t xml:space="preserve"> – šviesiai rausvos spalvos, bekvapės ar beveik bekvapės, ovalios, abipus išgaubtos, plėvele dengtos tabletės, kurių vienoje pusėje yra įspaustos dvi stilizuotos, viena prieš kitą stovinčios E raidės, bei dalijimo įranta kitoje pusėje. Tabletę galima padalinti į dvi lygias dozes.</w:t>
      </w:r>
    </w:p>
    <w:p w14:paraId="25E29AE0" w14:textId="0FDC83C9" w:rsidR="00DD069E" w:rsidRPr="00E138C4" w:rsidRDefault="00444D0C" w:rsidP="00DD069E">
      <w:pPr>
        <w:spacing w:after="0" w:line="240" w:lineRule="auto"/>
        <w:rPr>
          <w:rFonts w:ascii="Times New Roman" w:hAnsi="Times New Roman" w:cs="Times New Roman"/>
        </w:rPr>
      </w:pPr>
      <w:hyperlink r:id="rId23" w:anchor="TOP" w:history="1">
        <w:r w:rsidR="00DD069E" w:rsidRPr="00B14475">
          <w:rPr>
            <w:rFonts w:ascii="Times New Roman" w:hAnsi="Times New Roman" w:cs="Times New Roman"/>
            <w:i/>
            <w:iCs/>
          </w:rPr>
          <w:fldChar w:fldCharType="begin"/>
        </w:r>
        <w:r w:rsidR="00DD069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D069E" w:rsidRPr="00B14475">
          <w:rPr>
            <w:rFonts w:ascii="Times New Roman" w:hAnsi="Times New Roman" w:cs="Times New Roman"/>
            <w:i/>
            <w:iCs/>
          </w:rPr>
          <w:fldChar w:fldCharType="end"/>
        </w:r>
      </w:hyperlink>
      <w:r w:rsidR="00DD069E" w:rsidRPr="00B14475">
        <w:rPr>
          <w:rFonts w:ascii="Times New Roman" w:hAnsi="Times New Roman" w:cs="Times New Roman"/>
          <w:i/>
          <w:iCs/>
        </w:rPr>
        <w:t>Ketilept 200 mg plėvele dengtos tabletės</w:t>
      </w:r>
      <w:r w:rsidR="00DD069E" w:rsidRPr="00E138C4">
        <w:rPr>
          <w:rFonts w:ascii="Times New Roman" w:hAnsi="Times New Roman" w:cs="Times New Roman"/>
        </w:rPr>
        <w:t xml:space="preserve"> – rausvos spalvos, bekvapės ar beveik bekvapės, apvalios, abipus išgaubtos, plėvele dengtos tabletės, kurių vienoje pusėje įspaustas užrašas „E204“.</w:t>
      </w:r>
    </w:p>
    <w:p w14:paraId="015C55BA" w14:textId="19B86E4B" w:rsidR="00DD069E" w:rsidRPr="00E138C4" w:rsidRDefault="00444D0C" w:rsidP="00DD069E">
      <w:pPr>
        <w:autoSpaceDE w:val="0"/>
        <w:autoSpaceDN w:val="0"/>
        <w:adjustRightInd w:val="0"/>
        <w:spacing w:after="0" w:line="240" w:lineRule="auto"/>
        <w:jc w:val="both"/>
        <w:rPr>
          <w:rFonts w:ascii="Times New Roman" w:hAnsi="Times New Roman" w:cs="Times New Roman"/>
        </w:rPr>
      </w:pPr>
      <w:hyperlink r:id="rId24" w:anchor="TOP" w:history="1">
        <w:r w:rsidR="00DD069E" w:rsidRPr="00B14475">
          <w:rPr>
            <w:rFonts w:ascii="Times New Roman" w:hAnsi="Times New Roman" w:cs="Times New Roman"/>
            <w:i/>
            <w:iCs/>
          </w:rPr>
          <w:fldChar w:fldCharType="begin"/>
        </w:r>
        <w:r w:rsidR="00DD069E" w:rsidRPr="00B14475">
          <w:rPr>
            <w:rFonts w:ascii="Times New Roman" w:hAnsi="Times New Roman" w:cs="Times New Roman"/>
            <w:i/>
            <w:iCs/>
          </w:rPr>
          <w:instrText xml:space="preserve"> INCLUDEPICTURE "http://emc.medicines.org.uk/emc/assets/c/html/DisplayImage.asp?Ref=02200/02295/SPC.2295.8.xml&amp;Key=/eMC/assets/o/images/up.png" \* MERGEFORMATINET </w:instrText>
        </w:r>
        <w:r w:rsidR="00DD069E" w:rsidRPr="00B14475">
          <w:rPr>
            <w:rFonts w:ascii="Times New Roman" w:hAnsi="Times New Roman" w:cs="Times New Roman"/>
            <w:i/>
            <w:iCs/>
          </w:rPr>
          <w:fldChar w:fldCharType="end"/>
        </w:r>
      </w:hyperlink>
      <w:r w:rsidR="00DD069E" w:rsidRPr="00B14475">
        <w:rPr>
          <w:rFonts w:ascii="Times New Roman" w:hAnsi="Times New Roman" w:cs="Times New Roman"/>
          <w:i/>
          <w:iCs/>
        </w:rPr>
        <w:t>Ketilept 300 mg plėvele</w:t>
      </w:r>
      <w:r w:rsidR="00DD069E" w:rsidRPr="00E138C4">
        <w:rPr>
          <w:rFonts w:ascii="Times New Roman" w:hAnsi="Times New Roman" w:cs="Times New Roman"/>
        </w:rPr>
        <w:t xml:space="preserve"> </w:t>
      </w:r>
      <w:r w:rsidR="00DD069E" w:rsidRPr="00B14475">
        <w:rPr>
          <w:rFonts w:ascii="Times New Roman" w:hAnsi="Times New Roman" w:cs="Times New Roman"/>
          <w:i/>
          <w:iCs/>
        </w:rPr>
        <w:t>dengtos tabletės</w:t>
      </w:r>
      <w:r w:rsidR="00DD069E" w:rsidRPr="00E138C4">
        <w:rPr>
          <w:rFonts w:ascii="Times New Roman" w:hAnsi="Times New Roman" w:cs="Times New Roman"/>
        </w:rPr>
        <w:t xml:space="preserve"> – baltos arba beveik baltos spalvos, bekvapės ar beveik bekvapės, apvalios, abipus išgaubtos tabletės, kurių vienoje pusėje įspaustas užrašas „E205“.</w:t>
      </w:r>
    </w:p>
    <w:p w14:paraId="4E516596" w14:textId="77777777" w:rsidR="00DD069E" w:rsidRPr="00E138C4" w:rsidRDefault="00DD069E" w:rsidP="00DD069E">
      <w:pPr>
        <w:spacing w:after="0" w:line="240" w:lineRule="auto"/>
        <w:rPr>
          <w:rFonts w:ascii="Times New Roman" w:hAnsi="Times New Roman" w:cs="Times New Roman"/>
        </w:rPr>
      </w:pPr>
    </w:p>
    <w:p w14:paraId="23B2FAFF" w14:textId="77777777" w:rsidR="00DD069E" w:rsidRPr="00E138C4" w:rsidRDefault="00DD069E" w:rsidP="00DD069E">
      <w:pPr>
        <w:spacing w:after="0" w:line="240" w:lineRule="auto"/>
        <w:rPr>
          <w:rFonts w:ascii="Times New Roman" w:hAnsi="Times New Roman" w:cs="Times New Roman"/>
        </w:rPr>
      </w:pPr>
    </w:p>
    <w:p w14:paraId="2453BCDD" w14:textId="77777777" w:rsidR="00DD069E" w:rsidRPr="00E138C4" w:rsidRDefault="00DD069E" w:rsidP="00DD069E">
      <w:pPr>
        <w:spacing w:after="0" w:line="240" w:lineRule="auto"/>
        <w:ind w:left="567" w:hanging="567"/>
        <w:rPr>
          <w:rFonts w:ascii="Times New Roman" w:hAnsi="Times New Roman" w:cs="Times New Roman"/>
          <w:caps/>
        </w:rPr>
      </w:pPr>
      <w:r w:rsidRPr="00E138C4">
        <w:rPr>
          <w:rFonts w:ascii="Times New Roman" w:hAnsi="Times New Roman" w:cs="Times New Roman"/>
          <w:b/>
          <w:caps/>
        </w:rPr>
        <w:t>4.</w:t>
      </w:r>
      <w:r w:rsidRPr="00E138C4">
        <w:rPr>
          <w:rFonts w:ascii="Times New Roman" w:hAnsi="Times New Roman" w:cs="Times New Roman"/>
          <w:b/>
          <w:caps/>
        </w:rPr>
        <w:tab/>
        <w:t>klinikinĖ informacija</w:t>
      </w:r>
    </w:p>
    <w:p w14:paraId="3B8134EA" w14:textId="77777777" w:rsidR="00DD069E" w:rsidRPr="00E138C4" w:rsidRDefault="00DD069E" w:rsidP="00DD069E">
      <w:pPr>
        <w:spacing w:after="0" w:line="240" w:lineRule="auto"/>
        <w:rPr>
          <w:rFonts w:ascii="Times New Roman" w:hAnsi="Times New Roman" w:cs="Times New Roman"/>
        </w:rPr>
      </w:pPr>
    </w:p>
    <w:p w14:paraId="66D7CB8C"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4.1</w:t>
      </w:r>
      <w:r w:rsidRPr="00E138C4">
        <w:rPr>
          <w:rFonts w:ascii="Times New Roman" w:hAnsi="Times New Roman" w:cs="Times New Roman"/>
          <w:b/>
        </w:rPr>
        <w:tab/>
        <w:t>Terapinės indikacijos</w:t>
      </w:r>
    </w:p>
    <w:p w14:paraId="7FA8B231" w14:textId="77777777" w:rsidR="00DD069E" w:rsidRPr="00E138C4" w:rsidRDefault="00DD069E" w:rsidP="00DD069E">
      <w:pPr>
        <w:spacing w:after="0" w:line="240" w:lineRule="auto"/>
        <w:rPr>
          <w:rFonts w:ascii="Times New Roman" w:hAnsi="Times New Roman" w:cs="Times New Roman"/>
        </w:rPr>
      </w:pPr>
    </w:p>
    <w:p w14:paraId="05C8F71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vartojamas:</w:t>
      </w:r>
    </w:p>
    <w:p w14:paraId="09BB04FF" w14:textId="77777777" w:rsidR="00DD069E" w:rsidRPr="00E138C4" w:rsidRDefault="00DD069E" w:rsidP="00DD069E">
      <w:pPr>
        <w:numPr>
          <w:ilvl w:val="0"/>
          <w:numId w:val="8"/>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šizofrenijai gydyti;</w:t>
      </w:r>
    </w:p>
    <w:p w14:paraId="66BB587E" w14:textId="77777777" w:rsidR="00DD069E" w:rsidRPr="00E138C4" w:rsidRDefault="00DD069E" w:rsidP="00DD069E">
      <w:pPr>
        <w:numPr>
          <w:ilvl w:val="0"/>
          <w:numId w:val="8"/>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bipoliniam sutrikimui gydyti apimant</w:t>
      </w:r>
      <w:r w:rsidR="008E4D02" w:rsidRPr="00E138C4">
        <w:rPr>
          <w:rFonts w:ascii="Times New Roman" w:eastAsia="Calibri" w:hAnsi="Times New Roman" w:cs="Times New Roman"/>
        </w:rPr>
        <w:t>:</w:t>
      </w:r>
    </w:p>
    <w:p w14:paraId="3C3EB9E8" w14:textId="77777777" w:rsidR="00DD069E" w:rsidRPr="00E138C4" w:rsidRDefault="00DD069E" w:rsidP="00DD069E">
      <w:pPr>
        <w:numPr>
          <w:ilvl w:val="0"/>
          <w:numId w:val="9"/>
        </w:numPr>
        <w:tabs>
          <w:tab w:val="left" w:pos="1134"/>
        </w:tabs>
        <w:spacing w:after="0" w:line="240" w:lineRule="auto"/>
        <w:ind w:left="1276" w:hanging="709"/>
        <w:rPr>
          <w:rFonts w:ascii="Times New Roman" w:hAnsi="Times New Roman" w:cs="Times New Roman"/>
        </w:rPr>
      </w:pPr>
      <w:r w:rsidRPr="00E138C4">
        <w:rPr>
          <w:rFonts w:ascii="Times New Roman" w:hAnsi="Times New Roman" w:cs="Times New Roman"/>
        </w:rPr>
        <w:t>bipoliniu sutrikimu sergančių pacientų vidutinius ir sunkius manijos epizodus;</w:t>
      </w:r>
    </w:p>
    <w:p w14:paraId="4D6ED4D8" w14:textId="77777777" w:rsidR="00DD069E" w:rsidRPr="00E138C4" w:rsidRDefault="00DD069E" w:rsidP="00DD069E">
      <w:pPr>
        <w:numPr>
          <w:ilvl w:val="0"/>
          <w:numId w:val="9"/>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bipoliniu sutrikimu sergančių pacientų didžiosios depresijos epizodus;</w:t>
      </w:r>
    </w:p>
    <w:p w14:paraId="2FE83AF6" w14:textId="77777777" w:rsidR="00DD069E" w:rsidRPr="00E138C4" w:rsidRDefault="00DD069E" w:rsidP="00DD069E">
      <w:pPr>
        <w:numPr>
          <w:ilvl w:val="0"/>
          <w:numId w:val="9"/>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bipoliniu sutrikimu sergančių pacientų, kuriems kvetiapinas buvo veiksmingas anksčiau, manijos ar depresijos epizodų atkryčio profilaktiką.</w:t>
      </w:r>
    </w:p>
    <w:p w14:paraId="7B2AB6B2" w14:textId="77777777" w:rsidR="00DD069E" w:rsidRPr="00E138C4" w:rsidRDefault="00DD069E" w:rsidP="00DD069E">
      <w:pPr>
        <w:spacing w:after="0" w:line="240" w:lineRule="auto"/>
        <w:ind w:left="567" w:hanging="567"/>
        <w:rPr>
          <w:rFonts w:ascii="Times New Roman" w:hAnsi="Times New Roman" w:cs="Times New Roman"/>
        </w:rPr>
      </w:pPr>
    </w:p>
    <w:p w14:paraId="30AFC7DF" w14:textId="77777777" w:rsidR="00DD069E" w:rsidRPr="00E138C4" w:rsidRDefault="00DD069E" w:rsidP="00DD069E">
      <w:pPr>
        <w:numPr>
          <w:ilvl w:val="1"/>
          <w:numId w:val="4"/>
        </w:numPr>
        <w:spacing w:after="0" w:line="240" w:lineRule="auto"/>
        <w:outlineLvl w:val="0"/>
        <w:rPr>
          <w:rFonts w:ascii="Times New Roman" w:hAnsi="Times New Roman" w:cs="Times New Roman"/>
          <w:b/>
        </w:rPr>
      </w:pPr>
      <w:r w:rsidRPr="00E138C4">
        <w:rPr>
          <w:rFonts w:ascii="Times New Roman" w:hAnsi="Times New Roman" w:cs="Times New Roman"/>
          <w:b/>
        </w:rPr>
        <w:t>Dozavimas ir vartojimo metodas</w:t>
      </w:r>
    </w:p>
    <w:p w14:paraId="62937D91" w14:textId="77777777" w:rsidR="00DD069E" w:rsidRPr="00E138C4" w:rsidRDefault="00DD069E" w:rsidP="00DD069E">
      <w:pPr>
        <w:spacing w:after="0" w:line="240" w:lineRule="auto"/>
        <w:rPr>
          <w:rFonts w:ascii="Times New Roman" w:hAnsi="Times New Roman" w:cs="Times New Roman"/>
        </w:rPr>
      </w:pPr>
    </w:p>
    <w:p w14:paraId="4F450F6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Kiekviena indikacija turi skirtingą dozavimo planą. Dėl to būtina užtikrinti, kad pacientas gautų aiškią informaciją apie jo ligai tinkamą dozavimą.</w:t>
      </w:r>
    </w:p>
    <w:p w14:paraId="276D83B8" w14:textId="77777777" w:rsidR="00DD069E" w:rsidRPr="00E138C4" w:rsidRDefault="00DD069E" w:rsidP="00DD069E">
      <w:pPr>
        <w:spacing w:after="0" w:line="240" w:lineRule="auto"/>
        <w:rPr>
          <w:rFonts w:ascii="Times New Roman" w:hAnsi="Times New Roman" w:cs="Times New Roman"/>
        </w:rPr>
      </w:pPr>
    </w:p>
    <w:p w14:paraId="2F62E962"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Dozavimas</w:t>
      </w:r>
    </w:p>
    <w:p w14:paraId="00A02FA5" w14:textId="77777777" w:rsidR="00DD069E" w:rsidRPr="00E138C4" w:rsidRDefault="00DD069E" w:rsidP="00DD069E">
      <w:pPr>
        <w:spacing w:after="0" w:line="240" w:lineRule="auto"/>
        <w:rPr>
          <w:rFonts w:ascii="Times New Roman" w:hAnsi="Times New Roman" w:cs="Times New Roman"/>
          <w:u w:val="single"/>
        </w:rPr>
      </w:pPr>
    </w:p>
    <w:p w14:paraId="1C5074A8" w14:textId="4E955370"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Suaugusie</w:t>
      </w:r>
      <w:r w:rsidR="007401E3" w:rsidRPr="00E138C4">
        <w:rPr>
          <w:rFonts w:ascii="Times New Roman" w:hAnsi="Times New Roman" w:cs="Times New Roman"/>
          <w:i/>
        </w:rPr>
        <w:t>sie</w:t>
      </w:r>
      <w:r w:rsidRPr="00E138C4">
        <w:rPr>
          <w:rFonts w:ascii="Times New Roman" w:hAnsi="Times New Roman" w:cs="Times New Roman"/>
          <w:i/>
        </w:rPr>
        <w:t>ms žmonėms</w:t>
      </w:r>
    </w:p>
    <w:p w14:paraId="55980ED9" w14:textId="77777777" w:rsidR="00DD069E" w:rsidRPr="00E138C4" w:rsidRDefault="00DD069E" w:rsidP="00DD069E">
      <w:pPr>
        <w:spacing w:after="0" w:line="240" w:lineRule="auto"/>
        <w:rPr>
          <w:rFonts w:ascii="Times New Roman" w:hAnsi="Times New Roman" w:cs="Times New Roman"/>
        </w:rPr>
      </w:pPr>
    </w:p>
    <w:p w14:paraId="457E7A8E"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Šizofrenijos gydymas</w:t>
      </w:r>
    </w:p>
    <w:p w14:paraId="203061F8" w14:textId="77777777" w:rsidR="00DD069E" w:rsidRPr="00E138C4" w:rsidRDefault="00DD069E" w:rsidP="00DD069E">
      <w:pPr>
        <w:tabs>
          <w:tab w:val="left" w:pos="1365"/>
        </w:tabs>
        <w:spacing w:after="0" w:line="240" w:lineRule="auto"/>
        <w:rPr>
          <w:rFonts w:ascii="Times New Roman" w:hAnsi="Times New Roman" w:cs="Times New Roman"/>
        </w:rPr>
      </w:pPr>
      <w:r w:rsidRPr="00E138C4">
        <w:rPr>
          <w:rFonts w:ascii="Times New Roman" w:hAnsi="Times New Roman" w:cs="Times New Roman"/>
        </w:rPr>
        <w:t>Šizofrenijai gydyti Ketilept reikia vartoti du kartus per parą.</w:t>
      </w:r>
    </w:p>
    <w:p w14:paraId="7B2B2C66" w14:textId="4F5E0461" w:rsidR="00DD069E" w:rsidRPr="00E138C4" w:rsidRDefault="00DD069E" w:rsidP="00DD069E">
      <w:pPr>
        <w:tabs>
          <w:tab w:val="left" w:pos="1365"/>
        </w:tabs>
        <w:spacing w:after="0" w:line="240" w:lineRule="auto"/>
        <w:rPr>
          <w:rFonts w:ascii="Times New Roman" w:hAnsi="Times New Roman" w:cs="Times New Roman"/>
        </w:rPr>
      </w:pPr>
      <w:r w:rsidRPr="00E138C4">
        <w:rPr>
          <w:rFonts w:ascii="Times New Roman" w:hAnsi="Times New Roman" w:cs="Times New Roman"/>
        </w:rPr>
        <w:t xml:space="preserve">Bendra paros dozė pirmąsias keturias gydymo dienas yra 50 mg (pirmą dieną), 100 mg (antrą dieną), 200 mg (trečią dieną) ir 300 mg (ketvirtą dieną). </w:t>
      </w:r>
    </w:p>
    <w:p w14:paraId="425345EE" w14:textId="64DAE22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Nuo 4-os dienos įprastinė dozė didinama iki rekomenduojamos veiksmingos 300–450 mg per parą.</w:t>
      </w:r>
    </w:p>
    <w:p w14:paraId="0FAEA57D" w14:textId="3C2358C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Atsižvelgiant į individualų klinikinį atsaką ir toleravimą, paros dozę galima parinkti nuo 150 iki 750 mg.</w:t>
      </w:r>
    </w:p>
    <w:p w14:paraId="3A0F60B6" w14:textId="77777777" w:rsidR="00DD069E" w:rsidRPr="00E138C4" w:rsidRDefault="00DD069E" w:rsidP="00DD069E">
      <w:pPr>
        <w:spacing w:after="0" w:line="240" w:lineRule="auto"/>
        <w:rPr>
          <w:rFonts w:ascii="Times New Roman" w:hAnsi="Times New Roman" w:cs="Times New Roman"/>
        </w:rPr>
      </w:pPr>
    </w:p>
    <w:p w14:paraId="7AFDF7B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u w:val="single"/>
        </w:rPr>
        <w:t>Bipoliniu sutrikimu sergančių pacientų vidutinių ir sunkių manijos epizodų gydymas</w:t>
      </w:r>
    </w:p>
    <w:p w14:paraId="7C14F9E6" w14:textId="4B52F6A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Bipoliniu sutrikimu sergančių pacientų manijos epizodams gydyti Ketilept reikia vartoti du kartus per parą. Bendra paros dozė pirmąsias 4 gydymo dienas yra: 100 mg (pirmą dieną), 200 mg (antrą dieną), 300 mg (trečią dieną) ir 400 mg (ketvirtą dieną). Toliau dozė didinama ne daugiau kaip po 800 mg per parą iki 200 mg šeštą gydymo dieną.</w:t>
      </w:r>
    </w:p>
    <w:p w14:paraId="4BC3E544" w14:textId="189B6FCE"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Atsižvelgiant į individualų klinikinį atsaką ir toleravimą, dozę galima koreguoti nuo 200 iki 800 mg per parą. Rekomenduojama veiksminga dozė yra 400–800 mg per parą.</w:t>
      </w:r>
    </w:p>
    <w:p w14:paraId="353F2D28" w14:textId="77777777" w:rsidR="00DD069E" w:rsidRPr="00E138C4" w:rsidRDefault="00DD069E" w:rsidP="00DD069E">
      <w:pPr>
        <w:spacing w:after="0" w:line="240" w:lineRule="auto"/>
        <w:rPr>
          <w:rFonts w:ascii="Times New Roman" w:hAnsi="Times New Roman" w:cs="Times New Roman"/>
        </w:rPr>
      </w:pPr>
    </w:p>
    <w:p w14:paraId="53B42DF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u w:val="single"/>
        </w:rPr>
        <w:t>Bipoliniu sutrikimu sergančių pacientų didžiosios depresijos epizodų gydymas</w:t>
      </w:r>
    </w:p>
    <w:p w14:paraId="4255810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reikia vartoti vieną kartą per parą prieš miegą.</w:t>
      </w:r>
    </w:p>
    <w:p w14:paraId="6542D662" w14:textId="5E87D22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Visa paros dozė pirmosioms keturioms gydymo dienoms yra 50 mg (pirmą dieną), 100 mg (antrą dieną), 200 mg (trečią dieną) ir 300 mg (ketvirtą dieną). Rekomenduojama paros dozė yra 300 mg.</w:t>
      </w:r>
    </w:p>
    <w:p w14:paraId="50275155" w14:textId="2F1AEB01"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600 mg paros dozę vartojusiems pacientams nenustatyta geresnio poveikio negu vartojusiems 300 mg dozę (žr. 5.1 skyrių). Vis dėlto atskiriems pacientams 600 mg dozė gali sukelti palankesnį poveikį. Gydymą didesnėmis kaip 300 mg dozėmis gali pradėti tik gydytojai, turintys bipolinio sutrikimo gydymo patirties. Klinikiniai tyrimai parodė, kad esant toleravimo problemų atskiriems pacientams galima svarstyti paros dozės sumažinimo iki ne mažesnės kaip 200 mg galimybę.</w:t>
      </w:r>
    </w:p>
    <w:p w14:paraId="0F67FAA8" w14:textId="77777777" w:rsidR="00DD069E" w:rsidRPr="00E138C4" w:rsidRDefault="00DD069E" w:rsidP="00DD069E">
      <w:pPr>
        <w:spacing w:after="0" w:line="240" w:lineRule="auto"/>
        <w:rPr>
          <w:rFonts w:ascii="Times New Roman" w:hAnsi="Times New Roman" w:cs="Times New Roman"/>
        </w:rPr>
      </w:pPr>
    </w:p>
    <w:p w14:paraId="2307AB2B" w14:textId="77A3B24B" w:rsidR="00DD069E" w:rsidRPr="00E138C4" w:rsidRDefault="000475FF" w:rsidP="00DD069E">
      <w:pPr>
        <w:spacing w:after="0" w:line="240" w:lineRule="auto"/>
        <w:rPr>
          <w:rFonts w:ascii="Times New Roman" w:hAnsi="Times New Roman" w:cs="Times New Roman"/>
          <w:u w:val="single"/>
        </w:rPr>
      </w:pPr>
      <w:r w:rsidRPr="00E138C4">
        <w:rPr>
          <w:rFonts w:ascii="Times New Roman" w:hAnsi="Times New Roman" w:cs="Times New Roman"/>
          <w:u w:val="single"/>
        </w:rPr>
        <w:t>B</w:t>
      </w:r>
      <w:r w:rsidR="00DD069E" w:rsidRPr="00E138C4">
        <w:rPr>
          <w:rFonts w:ascii="Times New Roman" w:hAnsi="Times New Roman" w:cs="Times New Roman"/>
          <w:u w:val="single"/>
        </w:rPr>
        <w:t>ipolini</w:t>
      </w:r>
      <w:r w:rsidRPr="00E138C4">
        <w:rPr>
          <w:rFonts w:ascii="Times New Roman" w:hAnsi="Times New Roman" w:cs="Times New Roman"/>
          <w:u w:val="single"/>
        </w:rPr>
        <w:t>o</w:t>
      </w:r>
      <w:r w:rsidR="00DD069E" w:rsidRPr="00E138C4">
        <w:rPr>
          <w:rFonts w:ascii="Times New Roman" w:hAnsi="Times New Roman" w:cs="Times New Roman"/>
          <w:u w:val="single"/>
        </w:rPr>
        <w:t xml:space="preserve"> sutrikim</w:t>
      </w:r>
      <w:r w:rsidRPr="00E138C4">
        <w:rPr>
          <w:rFonts w:ascii="Times New Roman" w:hAnsi="Times New Roman" w:cs="Times New Roman"/>
          <w:u w:val="single"/>
        </w:rPr>
        <w:t>o</w:t>
      </w:r>
      <w:r w:rsidR="00DD069E" w:rsidRPr="00E138C4">
        <w:rPr>
          <w:rFonts w:ascii="Times New Roman" w:hAnsi="Times New Roman" w:cs="Times New Roman"/>
          <w:u w:val="single"/>
        </w:rPr>
        <w:t xml:space="preserve"> </w:t>
      </w:r>
      <w:r w:rsidRPr="00E138C4">
        <w:rPr>
          <w:rFonts w:ascii="Times New Roman" w:hAnsi="Times New Roman" w:cs="Times New Roman"/>
          <w:u w:val="single"/>
        </w:rPr>
        <w:t>atkryčių profilaktika</w:t>
      </w:r>
    </w:p>
    <w:p w14:paraId="783E4392" w14:textId="5DFBE62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Bipolinio sutrikimo manijos, mišrių ir depresijos epizodų profilaktikai pacientai, kurių bipolinio sutrikimo pradiniam gydymui buvo veiksmingas kvetiapinas, turi toliau vartoti tą pačią dozę. Dozę reikia pritaikyti atsižvelgiant į atskiro paciento klinikinį atsaką ir toleravimą, vartojant 300–800</w:t>
      </w:r>
      <w:r w:rsidR="00A02B5E" w:rsidRPr="00E138C4">
        <w:rPr>
          <w:rFonts w:ascii="Times New Roman" w:hAnsi="Times New Roman" w:cs="Times New Roman"/>
        </w:rPr>
        <w:t> mg</w:t>
      </w:r>
      <w:r w:rsidRPr="00E138C4">
        <w:rPr>
          <w:rFonts w:ascii="Times New Roman" w:hAnsi="Times New Roman" w:cs="Times New Roman"/>
        </w:rPr>
        <w:t xml:space="preserve"> du kartus per parą. Palaikomojo gydymo metu svarbu vartoti mažiausią veiksmingą dozę.</w:t>
      </w:r>
    </w:p>
    <w:p w14:paraId="07B325AA" w14:textId="77777777" w:rsidR="00DD069E" w:rsidRPr="00E138C4" w:rsidRDefault="00DD069E" w:rsidP="00DD069E">
      <w:pPr>
        <w:spacing w:after="0" w:line="240" w:lineRule="auto"/>
        <w:rPr>
          <w:rFonts w:ascii="Times New Roman" w:hAnsi="Times New Roman" w:cs="Times New Roman"/>
        </w:rPr>
      </w:pPr>
    </w:p>
    <w:p w14:paraId="7EB89457"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Senyviems pacientams</w:t>
      </w:r>
    </w:p>
    <w:p w14:paraId="0A1FC68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Senyviems pacientams Ketilept (kaip ir kitų vaistinių preparatų nuo psichozės) reikėtų vartoti atsargiai, ypač iš pradžių.</w:t>
      </w:r>
    </w:p>
    <w:p w14:paraId="00107C9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Atsižvelgiant į klinikinį atsaką ir tai, kaip konkretus pacientas toleruoja gydymą, gali prireikti lėtesnio Ketilept dozės nustatymo ir mažesnių gydomųjų paros dozių nei vartojamos jaunesniems pacientams.</w:t>
      </w:r>
    </w:p>
    <w:p w14:paraId="138797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Vidutinis kvetiapino plazmos klirensas senyvų žmonių organizme būna mažesnis 30–50%, palyginti su jaunesniais pacientais.</w:t>
      </w:r>
    </w:p>
    <w:p w14:paraId="53D568C2" w14:textId="77777777" w:rsidR="00DD069E" w:rsidRPr="00E138C4" w:rsidRDefault="00DD069E" w:rsidP="00DD069E">
      <w:pPr>
        <w:spacing w:after="0" w:line="240" w:lineRule="auto"/>
        <w:rPr>
          <w:rFonts w:ascii="Times New Roman" w:hAnsi="Times New Roman" w:cs="Times New Roman"/>
        </w:rPr>
      </w:pPr>
    </w:p>
    <w:p w14:paraId="3D20B0F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Šio vaistinio preparato veiksmingumas ir saugumas bipolinio sutrikimo struktūros depresiniu epizodu sergantiems pacientams, vyresniems kaip 65 metų, vertinamas nebuvo.</w:t>
      </w:r>
    </w:p>
    <w:p w14:paraId="2A31B6DE" w14:textId="77777777" w:rsidR="00DD069E" w:rsidRPr="00E138C4" w:rsidRDefault="00DD069E" w:rsidP="00DD069E">
      <w:pPr>
        <w:spacing w:after="0" w:line="240" w:lineRule="auto"/>
        <w:rPr>
          <w:rFonts w:ascii="Times New Roman" w:hAnsi="Times New Roman" w:cs="Times New Roman"/>
        </w:rPr>
      </w:pPr>
    </w:p>
    <w:p w14:paraId="504132E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Vaikų populiacija</w:t>
      </w:r>
    </w:p>
    <w:p w14:paraId="704A69A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Vaikams ir jaunesniems kaip 18 metų paaugliams kvetiapino vartoti nerekomenduojama, nes trūksta duomenų, kurie pagrįstų vaistinio preparato vartojimą šioje amžiaus grupėje. Placebu kontroliuojamu tyrimų metu gauti įrodymai pateikti 4.4, 4.8, 5.1 ir 5.2 skyriuose.</w:t>
      </w:r>
    </w:p>
    <w:p w14:paraId="71C36203" w14:textId="77777777" w:rsidR="00DD069E" w:rsidRPr="00E138C4" w:rsidRDefault="00DD069E" w:rsidP="00DD069E">
      <w:pPr>
        <w:spacing w:after="0" w:line="240" w:lineRule="auto"/>
        <w:rPr>
          <w:rFonts w:ascii="Times New Roman" w:hAnsi="Times New Roman" w:cs="Times New Roman"/>
        </w:rPr>
      </w:pPr>
    </w:p>
    <w:p w14:paraId="6F93F82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Pacientams, kurių inkstų funkcija sutrikusi</w:t>
      </w:r>
    </w:p>
    <w:p w14:paraId="1AA42C7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Pacientams, kurių inkstų funkcija sutrikusi, dozės koreguoti nebūtina.</w:t>
      </w:r>
    </w:p>
    <w:p w14:paraId="274A968A" w14:textId="77777777" w:rsidR="00DD069E" w:rsidRPr="00E138C4" w:rsidRDefault="00DD069E" w:rsidP="00DD069E">
      <w:pPr>
        <w:spacing w:after="0" w:line="240" w:lineRule="auto"/>
        <w:rPr>
          <w:rFonts w:ascii="Times New Roman" w:hAnsi="Times New Roman" w:cs="Times New Roman"/>
        </w:rPr>
      </w:pPr>
    </w:p>
    <w:p w14:paraId="737E06A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Pacientams, kurių kepenų funkcija sutrikusi</w:t>
      </w:r>
    </w:p>
    <w:p w14:paraId="44D1D1F7" w14:textId="75E00A0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Kvetiapinas ekstensyviai metabolizuojamas kepenyse. Todėl kvetiapino reikia atsargiai vartoti pacientams, sergantiems kepenų funkcijos sutrikimu, ypač pradinėje gydymo fazėje. Pacientams, kuriems yra sutrikusi kepenų veikla rekomenduojama pradinė dozė – 25 mg per parą. Dozę reikėtų didinti kas dieną po 25–50 mg, kol bus pasiekta veiksminga dozė, atsižvelgiant į klinikinį poveikį ir paciento individualų toleravimą.</w:t>
      </w:r>
    </w:p>
    <w:p w14:paraId="4070CB78" w14:textId="77777777" w:rsidR="00DD069E" w:rsidRPr="00E138C4" w:rsidRDefault="00DD069E" w:rsidP="00DD069E">
      <w:pPr>
        <w:spacing w:after="0" w:line="240" w:lineRule="auto"/>
        <w:rPr>
          <w:rFonts w:ascii="Times New Roman" w:hAnsi="Times New Roman" w:cs="Times New Roman"/>
        </w:rPr>
      </w:pPr>
    </w:p>
    <w:p w14:paraId="423A9329"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Vartojimo metodas</w:t>
      </w:r>
    </w:p>
    <w:p w14:paraId="5C2C5A31" w14:textId="77777777" w:rsidR="008E4D02" w:rsidRPr="00E138C4" w:rsidRDefault="008E4D02" w:rsidP="00DD069E">
      <w:pPr>
        <w:spacing w:after="0" w:line="240" w:lineRule="auto"/>
        <w:rPr>
          <w:rFonts w:ascii="Times New Roman" w:hAnsi="Times New Roman" w:cs="Times New Roman"/>
        </w:rPr>
      </w:pPr>
      <w:r w:rsidRPr="00B14475">
        <w:rPr>
          <w:rFonts w:ascii="Times New Roman" w:hAnsi="Times New Roman" w:cs="Times New Roman"/>
        </w:rPr>
        <w:t>Vartoti per burną.</w:t>
      </w:r>
    </w:p>
    <w:p w14:paraId="2C8D02E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gali būti vartojamas kartu su maistu arba atskirai.</w:t>
      </w:r>
    </w:p>
    <w:p w14:paraId="38B48652" w14:textId="77777777" w:rsidR="00DD069E" w:rsidRPr="00E138C4" w:rsidRDefault="00DD069E" w:rsidP="00DD069E">
      <w:pPr>
        <w:spacing w:after="0" w:line="240" w:lineRule="auto"/>
        <w:rPr>
          <w:rFonts w:ascii="Times New Roman" w:hAnsi="Times New Roman" w:cs="Times New Roman"/>
        </w:rPr>
      </w:pPr>
    </w:p>
    <w:p w14:paraId="0091D90D"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b/>
        </w:rPr>
        <w:t>4.3</w:t>
      </w:r>
      <w:r w:rsidRPr="00E138C4">
        <w:rPr>
          <w:rFonts w:ascii="Times New Roman" w:hAnsi="Times New Roman" w:cs="Times New Roman"/>
          <w:b/>
        </w:rPr>
        <w:tab/>
        <w:t>Kontraindikacijos</w:t>
      </w:r>
    </w:p>
    <w:p w14:paraId="7640725B" w14:textId="77777777" w:rsidR="00DD069E" w:rsidRPr="00E138C4" w:rsidRDefault="00DD069E" w:rsidP="00DD069E">
      <w:pPr>
        <w:spacing w:after="0" w:line="240" w:lineRule="auto"/>
        <w:rPr>
          <w:rFonts w:ascii="Times New Roman" w:hAnsi="Times New Roman" w:cs="Times New Roman"/>
        </w:rPr>
      </w:pPr>
    </w:p>
    <w:p w14:paraId="216FF47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Padidėjęs jautrumas veikliajai arba bet kuriai 6.1 skyriuje nurodytai pagalbinei medžiagai.</w:t>
      </w:r>
    </w:p>
    <w:p w14:paraId="5F022B5B" w14:textId="77777777" w:rsidR="00DD069E" w:rsidRPr="00E138C4" w:rsidRDefault="00DD069E" w:rsidP="00DD069E">
      <w:pPr>
        <w:spacing w:after="0" w:line="240" w:lineRule="auto"/>
        <w:rPr>
          <w:rFonts w:ascii="Times New Roman" w:hAnsi="Times New Roman" w:cs="Times New Roman"/>
        </w:rPr>
      </w:pPr>
    </w:p>
    <w:p w14:paraId="71462F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Negalima kartu su Ketilept vartoti citochromo P450 3A4 inhibitorių, tokių kaip ŽIV proteazės inhibitorius, azolo grupės antigrybelinių preparatų, eritromicino, klaritromicino ir nefazodono (taip pat žr. 4.5 skyrių).</w:t>
      </w:r>
    </w:p>
    <w:p w14:paraId="2CA2D5F5" w14:textId="77777777" w:rsidR="00DD069E" w:rsidRPr="00E138C4" w:rsidRDefault="00DD069E" w:rsidP="00DD069E">
      <w:pPr>
        <w:spacing w:after="0" w:line="240" w:lineRule="auto"/>
        <w:rPr>
          <w:rFonts w:ascii="Times New Roman" w:hAnsi="Times New Roman" w:cs="Times New Roman"/>
        </w:rPr>
      </w:pPr>
    </w:p>
    <w:p w14:paraId="7DF6DF8F"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4.4</w:t>
      </w:r>
      <w:r w:rsidRPr="00E138C4">
        <w:rPr>
          <w:rFonts w:ascii="Times New Roman" w:hAnsi="Times New Roman" w:cs="Times New Roman"/>
          <w:b/>
        </w:rPr>
        <w:tab/>
        <w:t>Specialūs įspėjimai ir atsargumo priemonės</w:t>
      </w:r>
    </w:p>
    <w:p w14:paraId="02EB5CB3" w14:textId="77777777" w:rsidR="00DD069E" w:rsidRPr="00E138C4" w:rsidRDefault="00DD069E" w:rsidP="00DD069E">
      <w:pPr>
        <w:spacing w:after="0" w:line="240" w:lineRule="auto"/>
        <w:rPr>
          <w:rFonts w:ascii="Times New Roman" w:hAnsi="Times New Roman" w:cs="Times New Roman"/>
        </w:rPr>
      </w:pPr>
    </w:p>
    <w:p w14:paraId="1A4FFA4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vartojamas pagal kelias indikacijas, todėl jo saugumo pobūdį reikia vertinti, atsižvelgiant į konkretaus paciento diagnozę ir vartojamą dozę.</w:t>
      </w:r>
    </w:p>
    <w:p w14:paraId="09420317" w14:textId="77777777" w:rsidR="00DD069E" w:rsidRPr="00E138C4" w:rsidRDefault="00DD069E" w:rsidP="00DD069E">
      <w:pPr>
        <w:spacing w:after="0" w:line="240" w:lineRule="auto"/>
        <w:rPr>
          <w:rFonts w:ascii="Times New Roman" w:hAnsi="Times New Roman" w:cs="Times New Roman"/>
        </w:rPr>
      </w:pPr>
    </w:p>
    <w:p w14:paraId="447D4CCA"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 xml:space="preserve">Vaikų populiacija </w:t>
      </w:r>
    </w:p>
    <w:p w14:paraId="15F7CD8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w:t>
      </w:r>
      <w:r w:rsidRPr="00E138C4" w:rsidDel="005C34C7">
        <w:rPr>
          <w:rFonts w:ascii="Times New Roman" w:hAnsi="Times New Roman" w:cs="Times New Roman"/>
        </w:rPr>
        <w:t xml:space="preserve"> </w:t>
      </w:r>
      <w:r w:rsidRPr="00E138C4">
        <w:rPr>
          <w:rFonts w:ascii="Times New Roman" w:hAnsi="Times New Roman" w:cs="Times New Roman"/>
        </w:rPr>
        <w:t>nerekomenduojama vartoti vaikams ir paaugliams, jaunesniems kaip 18 metų, nes nepakanka duomenų, kuriais būtų galima pagrįsti vaistinio preparato vartojimą šio amžiaus pacientams. Vaikų ir paauglių klinikinių tyrimų su kvetiapinu metu gauta panašių saugumo duomenų kaip tiriant poveikį suaugusiesiems (žr. 4.8 skyrių), tačiau kai kurių nepageidaujamų reiškinių (padidėjęs apetitas, padidėjusi prolaktino koncentracija serume, vėmimas, rinitas, sinkopė) jiems pasireiškė dažniau, kai kurie (ekstrapiramidiniai simptomai ir dirglumas) gali turėti kitokią reikšmę, o vieno (kraujospūdžio padidėjimo) anksčiau atlikti suaugusiųjų tyrimai neparodė. Vaikams ir paaugliams taip pat buvo nustatyta skydliaukės funkcijos tyrimų pokyčių.</w:t>
      </w:r>
    </w:p>
    <w:p w14:paraId="5E93AB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Be to, ilgalaikio gydymo kvetiapinu saugumas augimui ir brandai po 26 savaitės tiriamas nebuvo. Apie ilgalaikį poveikį pažinimo ir elgesio vystymuisi nežinoma.</w:t>
      </w:r>
    </w:p>
    <w:p w14:paraId="62338EF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Atliekant placebu kontroliuojamus tyrimus, kuriuose dalyvavo vaikai ir paaugliai, kvetiapinas buvo susijęs su padidėjusiu ekstrapiramidinių simptomų (EPS) dažniu, palyginti su placebu, duodamu pacientams, sergantiems šizofrenija, bipoline manija ir bipoline depresija (žr. 4.8 skyrių).</w:t>
      </w:r>
    </w:p>
    <w:p w14:paraId="6EFFDD30" w14:textId="77777777" w:rsidR="00DD069E" w:rsidRPr="00E138C4" w:rsidRDefault="00DD069E" w:rsidP="00DD069E">
      <w:pPr>
        <w:spacing w:after="0" w:line="240" w:lineRule="auto"/>
        <w:rPr>
          <w:rFonts w:ascii="Times New Roman" w:hAnsi="Times New Roman" w:cs="Times New Roman"/>
        </w:rPr>
      </w:pPr>
    </w:p>
    <w:p w14:paraId="68D55D44"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Savižudybė ir (arba) mintys apie savižudybę ar klinikinės būklės pablogėjimas</w:t>
      </w:r>
    </w:p>
    <w:p w14:paraId="5C67EA0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Bipolinio sutrikimo metu pasireiškusi 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1989A65F" w14:textId="77777777" w:rsidR="00DD069E" w:rsidRPr="00E138C4" w:rsidRDefault="00DD069E" w:rsidP="00DD069E">
      <w:pPr>
        <w:spacing w:after="0" w:line="240" w:lineRule="auto"/>
        <w:rPr>
          <w:rFonts w:ascii="Times New Roman" w:hAnsi="Times New Roman" w:cs="Times New Roman"/>
        </w:rPr>
      </w:pPr>
    </w:p>
    <w:p w14:paraId="50C05B35"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Be to, gydytojai turėtų apsvarstyti galimą su savižudybe susijusių reiškinių riziką, atsirandančią staiga nutraukus gydymą kvetiapinu ir sąlygojamą žinomų gydomai ligai būdingų rizikos veiksnių.</w:t>
      </w:r>
    </w:p>
    <w:p w14:paraId="7E77F224"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5A9152E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Kitos psichikos būklės, dėl kurių kvetiapinas skiriamas vartoti, taip pat gali sietis su padidėjusia su savižudybe susijusių reiškinių rizika. Be to, šios būklės gali būti sergant didžiosios depresijos epizodo metu. Todėl gydant pacientus kitomis psichikos ligomis reikia laikytis tų pačių atsargumo priemonių kaip ir gydant pacientus, sergančius didžiosios depresijos epizodu.</w:t>
      </w:r>
    </w:p>
    <w:p w14:paraId="142548B3"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7562AF0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Pacientams, kuriems praeityje buvo su savižudybe susijusių poelgių, arba tiems pacientams, kurie parodė išreikštas savižudybės idėjas prieš gydymą, minčių apie savižudybę ar savižudybės ketinimų rizika didesnė ir gydymo metu juos reikia įdėmiai stebėti. Placebu kontroliuojamų antidepresinių vaistinių preparatų suaugusiųjų klinikinių tyrimų metaanalizė parodė, kad jaunesniems kaip 25 metai pacientams, gydytiems antidepresantais, su savižudybe susijusių poelgių rizika didesnė palyginti su vartojusiais placebą.</w:t>
      </w:r>
    </w:p>
    <w:p w14:paraId="65E17BA1" w14:textId="77777777" w:rsidR="00DD069E" w:rsidRPr="00E138C4" w:rsidRDefault="00DD069E" w:rsidP="00DD069E">
      <w:pPr>
        <w:spacing w:after="0" w:line="240" w:lineRule="auto"/>
        <w:rPr>
          <w:rFonts w:ascii="Times New Roman" w:hAnsi="Times New Roman" w:cs="Times New Roman"/>
        </w:rPr>
      </w:pPr>
    </w:p>
    <w:p w14:paraId="1650B27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Pacientus, ypač tuos, kuriems būdinga didelė rizika, reikia įdėmiai stebėti gydymo pradžioje ir keičiant vaistinio preparato dozę. Pacientus (ir jų globėjus) reikia įspėti, kad būtina sekti bet kokius būklės pablogėjimo požymius, su savižudybe susijusius poelgius arba mintis apie savižudybę, taip pat kitus neįprastus elgesio pokyčius ir, jeigu jų atsiranda, nedelsiant kreiptis į gydytoją.</w:t>
      </w:r>
    </w:p>
    <w:p w14:paraId="30DB7D69" w14:textId="77777777" w:rsidR="00DD069E" w:rsidRPr="00E138C4" w:rsidRDefault="00DD069E" w:rsidP="00DD069E">
      <w:pPr>
        <w:spacing w:after="0" w:line="240" w:lineRule="auto"/>
        <w:rPr>
          <w:rFonts w:ascii="Times New Roman" w:hAnsi="Times New Roman" w:cs="Times New Roman"/>
        </w:rPr>
      </w:pPr>
    </w:p>
    <w:p w14:paraId="6F66FA7C" w14:textId="77777777" w:rsidR="00FC34E6" w:rsidRPr="00E138C4" w:rsidRDefault="00DD069E" w:rsidP="00FC34E6">
      <w:pPr>
        <w:spacing w:after="0" w:line="240" w:lineRule="auto"/>
        <w:rPr>
          <w:rFonts w:ascii="Times New Roman" w:hAnsi="Times New Roman" w:cs="Times New Roman"/>
        </w:rPr>
      </w:pPr>
      <w:r w:rsidRPr="00E138C4">
        <w:rPr>
          <w:rFonts w:ascii="Times New Roman" w:hAnsi="Times New Roman" w:cs="Times New Roman"/>
        </w:rPr>
        <w:t>Pacientų, kuriems bipolinio sutrikimo metu pasireiškė sunkios depresijos epizodai, trumpesnio laikotarpio placebu kontroliuoto klinikinio tyrimo metu jaunesniems kaip 25 metų suaugusiems pacientams, gydytiems kvetiapinu, pastebėta didesnė, palyginti su pacientais, vartojusiais placebą, su savižudybe siejamų reiškinių rizika (atitinkamai 3%, palyginti su 0%).</w:t>
      </w:r>
      <w:r w:rsidR="002A545E" w:rsidRPr="00E138C4">
        <w:rPr>
          <w:rFonts w:ascii="Times New Roman" w:hAnsi="Times New Roman" w:cs="Times New Roman"/>
        </w:rPr>
        <w:t xml:space="preserve"> </w:t>
      </w:r>
      <w:r w:rsidR="00FC34E6" w:rsidRPr="00E138C4">
        <w:rPr>
          <w:rFonts w:ascii="Times New Roman" w:eastAsia="Times New Roman" w:hAnsi="Times New Roman" w:cs="Times New Roman"/>
          <w:lang w:eastAsia="lt-LT" w:bidi="lt-LT"/>
        </w:rPr>
        <w:t>Populiacija paremtas retrospektyvinis didžiosios depresijos epizodu sergančių pacientų gydymo kvetiapinu tyrimas parodė padidėjusią savęs žalojimo ir savižudybės riziką 25</w:t>
      </w:r>
      <w:r w:rsidR="00FC34E6" w:rsidRPr="00E138C4">
        <w:rPr>
          <w:rFonts w:ascii="Times New Roman" w:eastAsia="Times New Roman" w:hAnsi="Times New Roman" w:cs="Times New Roman"/>
          <w:lang w:eastAsia="lt-LT" w:bidi="lt-LT"/>
        </w:rPr>
        <w:noBreakHyphen/>
        <w:t>64 metų pacientams, kuriems ankstesnio gydymo kvetiapinu kartu su kitais antidepresantais metu savęs žalojim</w:t>
      </w:r>
      <w:r w:rsidR="00720C06" w:rsidRPr="00E138C4">
        <w:rPr>
          <w:rFonts w:ascii="Times New Roman" w:eastAsia="Times New Roman" w:hAnsi="Times New Roman" w:cs="Times New Roman"/>
          <w:lang w:eastAsia="lt-LT" w:bidi="lt-LT"/>
        </w:rPr>
        <w:t>o</w:t>
      </w:r>
      <w:r w:rsidR="00FC34E6" w:rsidRPr="00E138C4">
        <w:rPr>
          <w:rFonts w:ascii="Times New Roman" w:eastAsia="Times New Roman" w:hAnsi="Times New Roman" w:cs="Times New Roman"/>
          <w:lang w:eastAsia="lt-LT" w:bidi="lt-LT"/>
        </w:rPr>
        <w:t xml:space="preserve"> reiškinių nebuvo.</w:t>
      </w:r>
    </w:p>
    <w:p w14:paraId="2E3C0A19" w14:textId="77777777" w:rsidR="00DD069E" w:rsidRPr="00E138C4" w:rsidRDefault="00DD069E" w:rsidP="00DD069E">
      <w:pPr>
        <w:spacing w:after="0" w:line="240" w:lineRule="auto"/>
        <w:rPr>
          <w:rFonts w:ascii="Times New Roman" w:hAnsi="Times New Roman" w:cs="Times New Roman"/>
        </w:rPr>
      </w:pPr>
    </w:p>
    <w:p w14:paraId="505C3813"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Metabolizmo sutrikimų rizika</w:t>
      </w:r>
    </w:p>
    <w:p w14:paraId="7CE0065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14:paraId="395F5454" w14:textId="77777777" w:rsidR="00DD069E" w:rsidRPr="00E138C4" w:rsidRDefault="00DD069E" w:rsidP="00DD069E">
      <w:pPr>
        <w:spacing w:after="0" w:line="240" w:lineRule="auto"/>
        <w:rPr>
          <w:rFonts w:ascii="Times New Roman" w:hAnsi="Times New Roman" w:cs="Times New Roman"/>
        </w:rPr>
      </w:pPr>
    </w:p>
    <w:p w14:paraId="1932DA95"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Ekstrapiramidiniai simptomai</w:t>
      </w:r>
    </w:p>
    <w:p w14:paraId="4EF8453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Placebu kontroliuojamų klinikinių tyrimų metu suaugusiems pacientams, vartojusiems kvetiapino nuo bipolinio sutrikimo didžiosios depresijos epizodų, ekstrapiramidinių simptomų (EPS) pasireiškė dažniau negu vartojusiems placebo (žr. 4.8 ir 5.1 skyrių).</w:t>
      </w:r>
    </w:p>
    <w:p w14:paraId="25844CF0" w14:textId="77777777" w:rsidR="00DD069E" w:rsidRPr="00E138C4" w:rsidRDefault="00DD069E" w:rsidP="00DD069E">
      <w:pPr>
        <w:spacing w:after="0" w:line="240" w:lineRule="auto"/>
        <w:rPr>
          <w:rFonts w:ascii="Times New Roman" w:hAnsi="Times New Roman" w:cs="Times New Roman"/>
        </w:rPr>
      </w:pPr>
    </w:p>
    <w:p w14:paraId="5F8853A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Vartojant kvetiapino gali pasireikšti akatizija, kuriai būdingas nemalonus ar varginantis nenustygimas ir poreikis judėti, dažnai susijęs su negalėjimu ramiai sėdėti ar stovėti. Šių sutrikimų tikimybė būna didžiausia pirmąsias kelias gydymo savaites. Pasireiškus tokių simptomų, dozės didinimas gali būti kenksmingas.</w:t>
      </w:r>
    </w:p>
    <w:p w14:paraId="0BFD030F" w14:textId="77777777" w:rsidR="00DD069E" w:rsidRPr="00E138C4" w:rsidRDefault="00DD069E" w:rsidP="00DD069E">
      <w:pPr>
        <w:spacing w:after="0" w:line="240" w:lineRule="auto"/>
        <w:rPr>
          <w:rFonts w:ascii="Times New Roman" w:hAnsi="Times New Roman" w:cs="Times New Roman"/>
        </w:rPr>
      </w:pPr>
    </w:p>
    <w:p w14:paraId="046B1970"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Vėlyvoji diskinezija</w:t>
      </w:r>
    </w:p>
    <w:p w14:paraId="1BBBA00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Pasireiškus vėlyvosios diskinezijos požymių arba simptomų, svarstytinas kvetiapino dozės mažinimo ar vartojimo nutraukimo tikslingumas. Šio vaistinio preparato nutraukus, vėlyvosios diskinezijos simptomai gali pasunkėti ar net pasireikšti (žr. 4.8 skyrių).</w:t>
      </w:r>
    </w:p>
    <w:p w14:paraId="07F5F054" w14:textId="77777777" w:rsidR="00DD069E" w:rsidRPr="00E138C4" w:rsidRDefault="00DD069E" w:rsidP="00DD069E">
      <w:pPr>
        <w:spacing w:after="0" w:line="240" w:lineRule="auto"/>
        <w:rPr>
          <w:rFonts w:ascii="Times New Roman" w:hAnsi="Times New Roman" w:cs="Times New Roman"/>
        </w:rPr>
      </w:pPr>
    </w:p>
    <w:p w14:paraId="01116F35"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Mieguistumas ir svaigulys</w:t>
      </w:r>
    </w:p>
    <w:p w14:paraId="14E3E99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Gydymas kvetiapinu yra susijęs su mieguistumu ir jam giminingais simptomais, tokiais kaip raminamasis poveikis (žr. 4.8 skyrių). Pacientų, kuriems pasireiškė bipolinė depresija, gydymo klinikinių tyrimų metu mieguistumas paprastai prasidėdavo per pirmąsias tris gydymo paras ir daugiausia būdavo lengvas ar vidutinio stiprumo. Jeigu pacientams, sergantiems su bipoliniu sutrikimu susijusia depresija, pasireiškia stiprus mieguistumas, jiems gali būti reikalingas dažnesnis kontaktas mažiausiai dvi savaites nuo mieguistumo pradžios arba kol pagerės simptomai, be to, galbūt reikės apsvarstyti gydymo nutraukimą.</w:t>
      </w:r>
    </w:p>
    <w:p w14:paraId="06844B0E" w14:textId="77777777" w:rsidR="00DD069E" w:rsidRPr="00E138C4" w:rsidRDefault="00DD069E" w:rsidP="00DD069E">
      <w:pPr>
        <w:spacing w:after="0" w:line="240" w:lineRule="auto"/>
        <w:rPr>
          <w:rFonts w:ascii="Times New Roman" w:hAnsi="Times New Roman" w:cs="Times New Roman"/>
          <w:i/>
        </w:rPr>
      </w:pPr>
    </w:p>
    <w:p w14:paraId="1C3FFBDE"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Ortostatinė hipotenzija</w:t>
      </w:r>
    </w:p>
    <w:p w14:paraId="5DAE301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Gydymas kvetiapinu susijęs su ortostatine hipotenzija ir susijusiu svaiguliu (žr. 4.8 skyrių), kurie kaip ir mieguistumas pasitaiko dažniausiai pradiniu laikotarpiu, nustatant vaistinio preparato dozę. Dėl to pacientai, ypač senyvi, gali dažniau nugriūti ir susižeisti. Todėl pacientus reikia įspėti, kad jie būtų atsargūs, kol pripras prie galimo vaistinio preparato poveikio.</w:t>
      </w:r>
    </w:p>
    <w:p w14:paraId="7E7748D7" w14:textId="77777777" w:rsidR="00DD069E" w:rsidRPr="00E138C4" w:rsidRDefault="00DD069E" w:rsidP="00DD069E">
      <w:pPr>
        <w:spacing w:after="0" w:line="240" w:lineRule="auto"/>
        <w:rPr>
          <w:rFonts w:ascii="Times New Roman" w:hAnsi="Times New Roman" w:cs="Times New Roman"/>
          <w:i/>
        </w:rPr>
      </w:pPr>
    </w:p>
    <w:p w14:paraId="413252E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 reikia atsargiai vartoti pacientams, sergantiems širdies ir kraujagyslių sistemos ligomis, smegenų kraujagyslių ligomis ar kitomis būklėmis, kurių metu yra padidėjusi hipotenzijos tikimybė.</w:t>
      </w:r>
    </w:p>
    <w:p w14:paraId="42A2FF85"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Pasireiškus ortostatinei hipotenzijai, svarstytinas dozės sumažinimo ar lėtesnio jos didinimo tikslingumas, ypač jeigu pacientas serga širdies ir kraujagyslių liga.</w:t>
      </w:r>
    </w:p>
    <w:p w14:paraId="0231737A"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3E27C0D9"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Miego apnėjos sindromas</w:t>
      </w:r>
    </w:p>
    <w:p w14:paraId="161E212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Užfiksuota miego apnėjos sindromo atvejų kvetiapiną vartojantiems pacientams. Kvetiapino skiriama atsargiai, jeigu pacientas kartu vartoja centrinę nervų sistemą slopinančių vaistinių preparatų, anksčiau jam yra buvusi miego apnėja arba yra jos pavojus, pvz. turi antsvorį, yra nutukęs arba vyriškos lyties.</w:t>
      </w:r>
    </w:p>
    <w:p w14:paraId="1CEA70E5" w14:textId="77777777" w:rsidR="00DD069E" w:rsidRPr="00E138C4" w:rsidRDefault="00DD069E" w:rsidP="00DD069E">
      <w:pPr>
        <w:spacing w:after="0" w:line="240" w:lineRule="auto"/>
        <w:rPr>
          <w:rFonts w:ascii="Times New Roman" w:hAnsi="Times New Roman" w:cs="Times New Roman"/>
        </w:rPr>
      </w:pPr>
    </w:p>
    <w:p w14:paraId="68F9BC9B"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Traukuliai</w:t>
      </w:r>
    </w:p>
    <w:p w14:paraId="4FC58815"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Kontroliuojamų klinikinių tyrimų metu traukulių pasireiškimo dažnis kvetiapino ir placebo vartojusiems pacientams nesiskyrė, tačiau nėra jo duomenų tiems pacientams, kuriems traukuliais pasireiškiantis sutrikimas jau buvo anksčiau. Pacientams, patyrusiems traukulių, šio vaistinio preparato (kaip ir kitų vaist</w:t>
      </w:r>
      <w:r w:rsidR="0022549A" w:rsidRPr="00E138C4">
        <w:rPr>
          <w:rFonts w:ascii="Times New Roman" w:hAnsi="Times New Roman" w:cs="Times New Roman"/>
        </w:rPr>
        <w:t>inių preparatų</w:t>
      </w:r>
      <w:r w:rsidRPr="00E138C4">
        <w:rPr>
          <w:rFonts w:ascii="Times New Roman" w:hAnsi="Times New Roman" w:cs="Times New Roman"/>
        </w:rPr>
        <w:t xml:space="preserve"> nuo psichozės) skiriama atsargiai (žr.4.8 skyrių).</w:t>
      </w:r>
    </w:p>
    <w:p w14:paraId="68027E8B"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42BD906F"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Piktybinis neurolepsinis sindromas</w:t>
      </w:r>
    </w:p>
    <w:p w14:paraId="7D5AC86A" w14:textId="77777777" w:rsidR="00DD069E"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Buvo atvejų, kai vartojant vaistinių preparatų nuo psichozės, įskaitant kvetiapiną, (žr. 4.8 skyrių) ištiko neurolepsinis piktybinis sindromas. Jis kliniškai pasireiškia hipertermija, pakitusia psichika, raumenų stinguliu, autonominės nervų sistemos nestabilumu ir padidėjusia kreatino kinazės koncentracija. Ištikus piktybiniam neurolepsiniam sindromui, reikia nutraukti kvetiapino vartojimą ir atitinkamai gydyti.</w:t>
      </w:r>
    </w:p>
    <w:p w14:paraId="320AC1D0" w14:textId="77777777" w:rsidR="00114085" w:rsidRDefault="00114085" w:rsidP="00DD069E">
      <w:pPr>
        <w:autoSpaceDE w:val="0"/>
        <w:autoSpaceDN w:val="0"/>
        <w:adjustRightInd w:val="0"/>
        <w:spacing w:after="0" w:line="240" w:lineRule="auto"/>
        <w:rPr>
          <w:rFonts w:ascii="Times New Roman" w:hAnsi="Times New Roman" w:cs="Times New Roman"/>
        </w:rPr>
      </w:pPr>
    </w:p>
    <w:p w14:paraId="4881975F" w14:textId="77777777" w:rsidR="00D17122" w:rsidRPr="00871974" w:rsidRDefault="00D17122" w:rsidP="00114085">
      <w:pPr>
        <w:autoSpaceDE w:val="0"/>
        <w:autoSpaceDN w:val="0"/>
        <w:adjustRightInd w:val="0"/>
        <w:spacing w:after="0" w:line="240" w:lineRule="auto"/>
        <w:rPr>
          <w:rFonts w:ascii="Times New Roman" w:hAnsi="Times New Roman" w:cs="Times New Roman"/>
          <w:i/>
          <w:iCs/>
        </w:rPr>
      </w:pPr>
      <w:r w:rsidRPr="00871974">
        <w:rPr>
          <w:rFonts w:ascii="Times New Roman" w:hAnsi="Times New Roman" w:cs="Times New Roman"/>
          <w:i/>
          <w:iCs/>
        </w:rPr>
        <w:t>Serotonino sindromas</w:t>
      </w:r>
    </w:p>
    <w:p w14:paraId="780BD0CE" w14:textId="245413A0" w:rsidR="00114085" w:rsidRPr="00114085" w:rsidRDefault="00D17122" w:rsidP="00114085">
      <w:pPr>
        <w:autoSpaceDE w:val="0"/>
        <w:autoSpaceDN w:val="0"/>
        <w:adjustRightInd w:val="0"/>
        <w:spacing w:after="0" w:line="240" w:lineRule="auto"/>
        <w:rPr>
          <w:rFonts w:ascii="Times New Roman" w:hAnsi="Times New Roman" w:cs="Times New Roman"/>
        </w:rPr>
      </w:pPr>
      <w:r>
        <w:rPr>
          <w:rFonts w:ascii="Times New Roman" w:hAnsi="Times New Roman" w:cs="Times New Roman"/>
        </w:rPr>
        <w:t>Ketilept</w:t>
      </w:r>
      <w:r w:rsidR="00114085" w:rsidRPr="00114085">
        <w:rPr>
          <w:rFonts w:ascii="Times New Roman" w:hAnsi="Times New Roman" w:cs="Times New Roman"/>
        </w:rPr>
        <w:t xml:space="preserve"> vartojant kartu su serotoninerginėmis medžiagomis, pvz., MAO inhibitoriais, selektyviaisiais serotonino reabsorbcijos inhibitoriais (SSRI), serotonino ir noradrenalino reabsorbcijos inhibitoriais (SNRI) arba tricikliais antidepresantais gali išsivystyti serotonino sindromas – sutrikimas, galintis kelti pavojų gyvybei (žr. 4.5 skyrių).</w:t>
      </w:r>
    </w:p>
    <w:p w14:paraId="78567A0D" w14:textId="77777777" w:rsidR="00114085" w:rsidRPr="00114085" w:rsidRDefault="00114085" w:rsidP="00114085">
      <w:pPr>
        <w:autoSpaceDE w:val="0"/>
        <w:autoSpaceDN w:val="0"/>
        <w:adjustRightInd w:val="0"/>
        <w:spacing w:after="0" w:line="240" w:lineRule="auto"/>
        <w:rPr>
          <w:rFonts w:ascii="Times New Roman" w:hAnsi="Times New Roman" w:cs="Times New Roman"/>
        </w:rPr>
      </w:pPr>
      <w:r w:rsidRPr="00114085">
        <w:rPr>
          <w:rFonts w:ascii="Times New Roman" w:hAnsi="Times New Roman" w:cs="Times New Roman"/>
        </w:rPr>
        <w:t>Jeigu kliniškai būtina kartu vartoti kitas serotoninergines medžiagas, patartina pacientą atidžiai stebėti, ypač pradedant gydymą ir didinant dozę. Serotonino sindromo simptomai be kita ko gali būti psichinės būklės pokyčiai, autonominių funkcijų nestabilumas, neuromuskulinės patologijos ir (arba) virškinimo trakto simptomai.</w:t>
      </w:r>
    </w:p>
    <w:p w14:paraId="7A0B6F8A" w14:textId="1D1DD619" w:rsidR="00114085" w:rsidRPr="00E138C4" w:rsidRDefault="00114085" w:rsidP="00114085">
      <w:pPr>
        <w:autoSpaceDE w:val="0"/>
        <w:autoSpaceDN w:val="0"/>
        <w:adjustRightInd w:val="0"/>
        <w:spacing w:after="0" w:line="240" w:lineRule="auto"/>
        <w:rPr>
          <w:rFonts w:ascii="Times New Roman" w:hAnsi="Times New Roman" w:cs="Times New Roman"/>
        </w:rPr>
      </w:pPr>
      <w:r w:rsidRPr="00114085">
        <w:rPr>
          <w:rFonts w:ascii="Times New Roman" w:hAnsi="Times New Roman" w:cs="Times New Roman"/>
        </w:rPr>
        <w:t>Įtarus serotonino sindromą, atsižvelgiant į simptomų sunkumą reikia apsvarstyti dozės sumažinimo arba gydymo nutraukimo galimybę</w:t>
      </w:r>
      <w:r w:rsidR="00D17122">
        <w:rPr>
          <w:rFonts w:ascii="Times New Roman" w:hAnsi="Times New Roman" w:cs="Times New Roman"/>
        </w:rPr>
        <w:t>.</w:t>
      </w:r>
    </w:p>
    <w:p w14:paraId="1EC77F66"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666F2D51"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Ryški neutropenija ir agranulocitozė</w:t>
      </w:r>
    </w:p>
    <w:p w14:paraId="522A5E48"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Kvetiapino klinikinių tyrimų metu gauta pranešimų apie ryškią neutropeniją (neutrofilų &lt; 0,5 × 10</w:t>
      </w:r>
      <w:r w:rsidRPr="00E138C4">
        <w:rPr>
          <w:rFonts w:ascii="Times New Roman" w:hAnsi="Times New Roman" w:cs="Times New Roman"/>
          <w:vertAlign w:val="superscript"/>
        </w:rPr>
        <w:t>9</w:t>
      </w:r>
      <w:r w:rsidRPr="00E138C4">
        <w:rPr>
          <w:rFonts w:ascii="Times New Roman" w:hAnsi="Times New Roman" w:cs="Times New Roman"/>
        </w:rPr>
        <w:t xml:space="preserve">/l). Dauguma atvejų ji pasireiškė per kelis kvetiapino vartojimo mėnesius. Aiškaus jos ryšio su doze nenustatyta. Vaistinį preparatą pateikus į rinką, gauta pranešimų apie mirties atvejus. Galimi neutropenijos rizikos veiksniai yra sumažėjęs leukocitų skaičius iki gydymo ir vaistinių preparatų sukelta neutropenija anamnezėje, tačiau keli neutropenijos atvejai užfiksuoti ir jų nebuvus. Jeigu </w:t>
      </w:r>
      <w:r w:rsidRPr="00E138C4">
        <w:rPr>
          <w:rFonts w:ascii="Times New Roman" w:hAnsi="Times New Roman" w:cs="Times New Roman"/>
        </w:rPr>
        <w:lastRenderedPageBreak/>
        <w:t>neutrofilų skaičius &lt; 1,0 × 10</w:t>
      </w:r>
      <w:r w:rsidRPr="00E138C4">
        <w:rPr>
          <w:rFonts w:ascii="Times New Roman" w:hAnsi="Times New Roman" w:cs="Times New Roman"/>
          <w:vertAlign w:val="superscript"/>
        </w:rPr>
        <w:t>9</w:t>
      </w:r>
      <w:r w:rsidRPr="00E138C4">
        <w:rPr>
          <w:rFonts w:ascii="Times New Roman" w:hAnsi="Times New Roman" w:cs="Times New Roman"/>
        </w:rPr>
        <w:t>/l, reikia nutraukti kvetiapino vartojimą, stebėti pacientą dėl infekcijos požymių ir simptomų bei tirti neutrofilų skaičių, kol jis pasidarys s &gt; 1,5 × 10</w:t>
      </w:r>
      <w:r w:rsidRPr="00E138C4">
        <w:rPr>
          <w:rFonts w:ascii="Times New Roman" w:hAnsi="Times New Roman" w:cs="Times New Roman"/>
          <w:vertAlign w:val="superscript"/>
        </w:rPr>
        <w:t>9</w:t>
      </w:r>
      <w:r w:rsidRPr="00E138C4">
        <w:rPr>
          <w:rFonts w:ascii="Times New Roman" w:hAnsi="Times New Roman" w:cs="Times New Roman"/>
        </w:rPr>
        <w:t>/l (žr. 5.1 skyrių).</w:t>
      </w:r>
    </w:p>
    <w:p w14:paraId="3E6FD28A"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62ECBE9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Į neutropenijos galimybę reikia atsižvelgti, jeigu pasireiškia infekcija ir karščiavimas, ypač nesant aiškios šių sutrikimų priežasties. Juos reikia gydyti pagal klinikinį poreikį.</w:t>
      </w:r>
    </w:p>
    <w:p w14:paraId="2F5790A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Pacientus reikia perspėti, kad nedelsdami praneštų, jeigu vartojant Ketilept pasireikštų agranulocitozei ar infekcijai būdingų požymių arba simptomų (pvz., karščiavimas, silpnumas, letargija arba faringitas).Tokiems pacientams reikia nedelsiant ištirti leukocitų ir absoliutų neutrofilų skaičių, ypač jei aiškios infekcijos priežasties nėra.</w:t>
      </w:r>
    </w:p>
    <w:p w14:paraId="4D541CB2"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2EDDB8F3" w14:textId="77777777" w:rsidR="00DD069E" w:rsidRPr="00E138C4" w:rsidRDefault="00DD069E" w:rsidP="00DD069E">
      <w:pPr>
        <w:spacing w:after="0" w:line="240" w:lineRule="auto"/>
        <w:rPr>
          <w:rFonts w:ascii="Times New Roman" w:eastAsia="Calibri" w:hAnsi="Times New Roman" w:cs="Times New Roman"/>
          <w:bCs/>
          <w:u w:val="single"/>
        </w:rPr>
      </w:pPr>
      <w:r w:rsidRPr="00E138C4">
        <w:rPr>
          <w:rFonts w:ascii="Times New Roman" w:eastAsia="Calibri" w:hAnsi="Times New Roman" w:cs="Times New Roman"/>
          <w:bCs/>
          <w:u w:val="single"/>
        </w:rPr>
        <w:t>Anticholinerginis (antimuskarininis) poveikis</w:t>
      </w:r>
    </w:p>
    <w:p w14:paraId="0B0D056B"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Kvetiapino aktyvus metabolitas norkvetiapinas turi vidutinį ar stiprų afinitetą kelių porūšių muskarino receptoriams. Tai įtakoja NRV, susijusių su anticholinerginiu poveikiu, pasireiškimą vartojant kvetiapiną rekomenduojamomis dozėmis, kartu su kitais anticholinerginiais vaistiniais preparatais arba jo perdozavus. Kvetiapino atsargiai skiriama kartu su anticholinerginiais (antimuskarininiais)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14:paraId="0D9583C2"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3BEC718F"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Sąveika</w:t>
      </w:r>
    </w:p>
    <w:p w14:paraId="78CD4ABF"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Taip pat žr. 4.5 skyrių.</w:t>
      </w:r>
    </w:p>
    <w:p w14:paraId="76B96C62"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427FD42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Kartu vartojant vaistinių preparatų, kurie stipriai indukuoja kepenų fermentus (pvz., karbamazepino arba fenitoino), gerokai sumažėja kvetiapino koncentracija plazmoje ir gali sumažėti jo veiksmingumas. Kepenų fermentų induktorių vartojantiems pacientams kvetiapino skiriama tik kai, gydytojo nuomone, šio vaistinio preparato palankus poveikis viršija kepenų fermentų induktoriaus vartojimo nutraukimo keliamus pavojus. Svarbu kepenų induktoriaus dozę keisti palaipsniui, o prireikus jį pakeisti kepenų fermentų neindukuojančiu vaistiniu preparatu (pvz., natrio valproatu).</w:t>
      </w:r>
    </w:p>
    <w:p w14:paraId="3CF9B873"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5325F209"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Svoris</w:t>
      </w:r>
    </w:p>
    <w:p w14:paraId="71C3307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Gauta pranešimų apie kvetiapiną vartojančių pacientų svorio prieaugį. Reikia sverti pacientą ir kontroliuoti jo svorį pagal klinikinį poreikį, atsižvelgiant į vaistinių preparatų nuo psichozės vartojimo rekomendacijas (žr. 4.8 ir 5.1 skyrius).</w:t>
      </w:r>
    </w:p>
    <w:p w14:paraId="68262B7A"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1B5ECBA7"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Hiperglikemija</w:t>
      </w:r>
    </w:p>
    <w:p w14:paraId="1EB78177"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Aprašyta retų atvejų, kai atsirado hiperglikemija ir (arba) pasireiškė ar pasunkėjo diabetas (buvo net atvejų, kai pasireiškė ketoacidozė ar koma ir net ištiko mirtis, žr. 4.8 skyrių). Kai kuriais atvejais prieš tai buvo užfiksuotas svorio prieaugis (tai gali būti rizikos veiksnys). Pacientui rekomenduojamas atitinkamas klinikinis stebėjimas, atsižvelgiant į vaistinių preparatų nuo psichozės vartojimo rekomendacijas. Vaistinių preparatų nuo psichozės, įskaitant kvetiapiną, vartojančius pacientus reikia stebėti dėl galimų hiperglikemijos požymių ir simptomų (polidipsijos, poliurijos, polifagijos ir silpnumo). Jeigu pacientas serga cukriniu diabetu arba yra šios ligos rizikos veiksnių, tai reikia reguliariai tikrinti, ar nepablogėjo gliukozės koncentracijos kraujyje reguliavimas. Be to, pacientą reikia reguliariai sverti.</w:t>
      </w:r>
    </w:p>
    <w:p w14:paraId="00EE63C3"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5475E5CA"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t>Lipidai</w:t>
      </w:r>
    </w:p>
    <w:p w14:paraId="49FD47D5"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Kvetiapino klinikinių tyrimų metu pastebėta trigliceridų, MTL ir bendro cholesterolio koncentracijos padidėjimo bei DTL cholesterolio koncentracijos sumažėjimo atvejų (žr. 4.8 skyrių). Lipidų koncentracijų pokyčius reikia koreguoti pagal klinikinį poreikį.</w:t>
      </w:r>
    </w:p>
    <w:p w14:paraId="14B98655" w14:textId="77777777" w:rsidR="00DD069E" w:rsidRPr="00E138C4" w:rsidRDefault="00DD069E" w:rsidP="00DD069E">
      <w:pPr>
        <w:spacing w:after="0" w:line="240" w:lineRule="auto"/>
        <w:rPr>
          <w:rFonts w:ascii="Times New Roman" w:hAnsi="Times New Roman" w:cs="Times New Roman"/>
        </w:rPr>
      </w:pPr>
    </w:p>
    <w:p w14:paraId="2C631717"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QT intervalo pailgėjimas</w:t>
      </w:r>
    </w:p>
    <w:p w14:paraId="7079874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ir vartojant pagal PCS nurodymus nustatyta, kad kvetiapinas nėra susijęs su nuolatiniu absoliutaus QT intervalo pailgėjimu. Vaistini</w:t>
      </w:r>
      <w:r w:rsidR="0022549A" w:rsidRPr="00E138C4">
        <w:rPr>
          <w:rFonts w:ascii="Times New Roman" w:hAnsi="Times New Roman" w:cs="Times New Roman"/>
        </w:rPr>
        <w:t>am</w:t>
      </w:r>
      <w:r w:rsidRPr="00E138C4">
        <w:rPr>
          <w:rFonts w:ascii="Times New Roman" w:hAnsi="Times New Roman" w:cs="Times New Roman"/>
        </w:rPr>
        <w:t xml:space="preserve"> preparatui patekus į rinką, buvo pranešta apie QT intervalo pailgėjimą vartojant gydomąsias kvetiapino dozes (žr. 4.8 skyrių) ir perdozavus (žr. 4.9 skyrių). Kaip ir kitus antipsichozinius vaist</w:t>
      </w:r>
      <w:r w:rsidR="0022549A" w:rsidRPr="00E138C4">
        <w:rPr>
          <w:rFonts w:ascii="Times New Roman" w:hAnsi="Times New Roman" w:cs="Times New Roman"/>
        </w:rPr>
        <w:t>inius preparat</w:t>
      </w:r>
      <w:r w:rsidRPr="00E138C4">
        <w:rPr>
          <w:rFonts w:ascii="Times New Roman" w:hAnsi="Times New Roman" w:cs="Times New Roman"/>
        </w:rPr>
        <w:t xml:space="preserve">us, kvetiapiną reikia atsargiai skirti vartoti pacientams, kurie serga širdies ir kraujagyslių liga ar kurių kraujo giminaičiams yra nustatytas </w:t>
      </w:r>
      <w:r w:rsidRPr="00E138C4">
        <w:rPr>
          <w:rFonts w:ascii="Times New Roman" w:hAnsi="Times New Roman" w:cs="Times New Roman"/>
        </w:rPr>
        <w:lastRenderedPageBreak/>
        <w:t>pailgėjęs QT. Kvetiapiną reikia atsargiai skirti vartoti kartu su QTc intervalą pailginančiais vaist</w:t>
      </w:r>
      <w:r w:rsidR="003F2D8E" w:rsidRPr="00E138C4">
        <w:rPr>
          <w:rFonts w:ascii="Times New Roman" w:hAnsi="Times New Roman" w:cs="Times New Roman"/>
        </w:rPr>
        <w:t>ini</w:t>
      </w:r>
      <w:r w:rsidRPr="00E138C4">
        <w:rPr>
          <w:rFonts w:ascii="Times New Roman" w:hAnsi="Times New Roman" w:cs="Times New Roman"/>
        </w:rPr>
        <w:t xml:space="preserve">ais </w:t>
      </w:r>
      <w:r w:rsidR="003F2D8E" w:rsidRPr="00E138C4">
        <w:rPr>
          <w:rFonts w:ascii="Times New Roman" w:hAnsi="Times New Roman" w:cs="Times New Roman"/>
        </w:rPr>
        <w:t xml:space="preserve">preparatais </w:t>
      </w:r>
      <w:r w:rsidRPr="00E138C4">
        <w:rPr>
          <w:rFonts w:ascii="Times New Roman" w:hAnsi="Times New Roman" w:cs="Times New Roman"/>
        </w:rPr>
        <w:t>ar neuroleptikais, ypač senyviems žmonėms, pacientams, kuriems yra įgimtas ilgo QT intervalo sindromas, sergantiesiems staziniu širdies nepakankamumu, širdies hipertrofija, esant hipokalemijai ar hipomagnemijai (žr. 4.5 skyrių).</w:t>
      </w:r>
    </w:p>
    <w:p w14:paraId="014771EF" w14:textId="77777777" w:rsidR="00DD069E" w:rsidRPr="00E138C4" w:rsidRDefault="00DD069E" w:rsidP="00DD069E">
      <w:pPr>
        <w:spacing w:after="0" w:line="240" w:lineRule="auto"/>
        <w:rPr>
          <w:rFonts w:ascii="Times New Roman" w:hAnsi="Times New Roman" w:cs="Times New Roman"/>
        </w:rPr>
      </w:pPr>
    </w:p>
    <w:p w14:paraId="2CEA87B6"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Kardiomiopatija ir miokarditas</w:t>
      </w:r>
    </w:p>
    <w:p w14:paraId="3C65193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ir kvetiapiną pateikus į rinką gauta pranešimų apie kardiomiopatiją ir miokarditą</w:t>
      </w:r>
      <w:r w:rsidR="00515672" w:rsidRPr="00E138C4">
        <w:rPr>
          <w:rFonts w:ascii="Times New Roman" w:hAnsi="Times New Roman" w:cs="Times New Roman"/>
        </w:rPr>
        <w:t xml:space="preserve"> (žr. 4.8 skyrių)</w:t>
      </w:r>
      <w:r w:rsidRPr="00E138C4">
        <w:rPr>
          <w:rFonts w:ascii="Times New Roman" w:hAnsi="Times New Roman" w:cs="Times New Roman"/>
        </w:rPr>
        <w:t xml:space="preserve">. Įtarus kardiomiopatiją arba miokarditą, </w:t>
      </w:r>
      <w:r w:rsidR="00515672" w:rsidRPr="00E138C4">
        <w:rPr>
          <w:rFonts w:ascii="Times New Roman" w:hAnsi="Times New Roman" w:cs="Times New Roman"/>
        </w:rPr>
        <w:t>reikia įvertinti poreikį nutraukti kvetiapino vartojimą.</w:t>
      </w:r>
    </w:p>
    <w:p w14:paraId="0D8494D5" w14:textId="77777777" w:rsidR="00DD069E" w:rsidRPr="00E138C4" w:rsidRDefault="00DD069E" w:rsidP="00DD069E">
      <w:pPr>
        <w:spacing w:after="0" w:line="240" w:lineRule="auto"/>
        <w:rPr>
          <w:rFonts w:ascii="Times New Roman" w:hAnsi="Times New Roman" w:cs="Times New Roman"/>
        </w:rPr>
      </w:pPr>
    </w:p>
    <w:p w14:paraId="324E5C56" w14:textId="77777777" w:rsidR="00BD1C7B" w:rsidRPr="00E138C4" w:rsidRDefault="00BD1C7B" w:rsidP="00BD1C7B">
      <w:pPr>
        <w:rPr>
          <w:rFonts w:ascii="Times New Roman" w:hAnsi="Times New Roman" w:cs="Times New Roman"/>
          <w:i/>
          <w:iCs/>
        </w:rPr>
      </w:pPr>
      <w:r w:rsidRPr="00E138C4">
        <w:rPr>
          <w:rFonts w:ascii="Times New Roman" w:hAnsi="Times New Roman" w:cs="Times New Roman"/>
          <w:i/>
          <w:iCs/>
        </w:rPr>
        <w:t>Sunkios nepageidaujamos odos reakcijos</w:t>
      </w:r>
    </w:p>
    <w:p w14:paraId="0339287C" w14:textId="2217B223" w:rsidR="00BD1C7B" w:rsidRPr="00E138C4" w:rsidRDefault="00BD1C7B" w:rsidP="005C0B64">
      <w:pPr>
        <w:spacing w:after="0" w:line="240" w:lineRule="auto"/>
        <w:rPr>
          <w:rFonts w:ascii="Times New Roman" w:hAnsi="Times New Roman" w:cs="Times New Roman"/>
        </w:rPr>
      </w:pPr>
      <w:r w:rsidRPr="00E138C4">
        <w:rPr>
          <w:rFonts w:ascii="Times New Roman" w:hAnsi="Times New Roman" w:cs="Times New Roman"/>
        </w:rPr>
        <w:t>Labai retai pranešta apie su kvetiapino vartojimu susijusias sunkias odos nepageidaujamas reakcijas (SNOR), įskaitant Stivenso</w:t>
      </w:r>
      <w:r w:rsidR="000475FF" w:rsidRPr="00E138C4">
        <w:rPr>
          <w:rFonts w:ascii="Times New Roman" w:hAnsi="Times New Roman" w:cs="Times New Roman"/>
        </w:rPr>
        <w:t>-</w:t>
      </w:r>
      <w:r w:rsidRPr="00E138C4">
        <w:rPr>
          <w:rFonts w:ascii="Times New Roman" w:hAnsi="Times New Roman" w:cs="Times New Roman"/>
        </w:rPr>
        <w:t xml:space="preserve">Džonsono (Stevens-Johnson) sindromą (SJS), </w:t>
      </w:r>
      <w:r w:rsidR="00A75D10" w:rsidRPr="00E138C4">
        <w:rPr>
          <w:rFonts w:ascii="Times New Roman" w:hAnsi="Times New Roman" w:cs="Times New Roman"/>
        </w:rPr>
        <w:t xml:space="preserve">toksinę epidermio nekrolizę (TEN), </w:t>
      </w:r>
      <w:r w:rsidR="00762E49" w:rsidRPr="00B14475">
        <w:rPr>
          <w:rStyle w:val="Emfaz"/>
          <w:rFonts w:ascii="Times New Roman" w:hAnsi="Times New Roman"/>
          <w:b w:val="0"/>
          <w:bCs w:val="0"/>
          <w:shd w:val="clear" w:color="auto" w:fill="FFFFFF"/>
        </w:rPr>
        <w:t>ūminę generalizuotą</w:t>
      </w:r>
      <w:r w:rsidR="00762E49" w:rsidRPr="00E138C4">
        <w:rPr>
          <w:rStyle w:val="Emfaz"/>
          <w:rFonts w:ascii="Times New Roman" w:hAnsi="Times New Roman"/>
          <w:b w:val="0"/>
          <w:bCs w:val="0"/>
          <w:shd w:val="clear" w:color="auto" w:fill="FFFFFF"/>
        </w:rPr>
        <w:t xml:space="preserve"> </w:t>
      </w:r>
      <w:r w:rsidR="00762E49" w:rsidRPr="00B14475">
        <w:rPr>
          <w:rFonts w:ascii="Times New Roman" w:hAnsi="Times New Roman" w:cs="Times New Roman"/>
          <w:shd w:val="clear" w:color="auto" w:fill="FFFFFF"/>
        </w:rPr>
        <w:t>egzanteminę</w:t>
      </w:r>
      <w:r w:rsidR="00762E49" w:rsidRPr="00E138C4">
        <w:rPr>
          <w:rFonts w:ascii="Times New Roman" w:hAnsi="Times New Roman" w:cs="Times New Roman"/>
          <w:shd w:val="clear" w:color="auto" w:fill="FFFFFF"/>
        </w:rPr>
        <w:t xml:space="preserve"> </w:t>
      </w:r>
      <w:r w:rsidR="00762E49" w:rsidRPr="00B14475">
        <w:rPr>
          <w:rStyle w:val="Emfaz"/>
          <w:rFonts w:ascii="Times New Roman" w:hAnsi="Times New Roman"/>
          <w:b w:val="0"/>
          <w:bCs w:val="0"/>
          <w:shd w:val="clear" w:color="auto" w:fill="FFFFFF"/>
        </w:rPr>
        <w:t>pustuliozę (ŪGEP)</w:t>
      </w:r>
      <w:r w:rsidR="00762E49" w:rsidRPr="00E138C4">
        <w:rPr>
          <w:rStyle w:val="Emfaz"/>
          <w:rFonts w:ascii="Arial" w:hAnsi="Arial" w:cs="Arial"/>
          <w:b w:val="0"/>
          <w:bCs w:val="0"/>
          <w:i/>
          <w:iCs/>
          <w:sz w:val="21"/>
          <w:szCs w:val="21"/>
          <w:shd w:val="clear" w:color="auto" w:fill="FFFFFF"/>
        </w:rPr>
        <w:t xml:space="preserve">, </w:t>
      </w:r>
      <w:r w:rsidR="00CE1222" w:rsidRPr="00B14475">
        <w:rPr>
          <w:rStyle w:val="Emfaz"/>
          <w:rFonts w:ascii="Times New Roman" w:hAnsi="Times New Roman"/>
          <w:b w:val="0"/>
          <w:bCs w:val="0"/>
          <w:shd w:val="clear" w:color="auto" w:fill="FFFFFF"/>
        </w:rPr>
        <w:t>daugiaformę eritemą</w:t>
      </w:r>
      <w:r w:rsidR="00CD3882" w:rsidRPr="00E138C4">
        <w:rPr>
          <w:rStyle w:val="Emfaz"/>
          <w:rFonts w:ascii="Times New Roman" w:hAnsi="Times New Roman"/>
          <w:b w:val="0"/>
          <w:bCs w:val="0"/>
          <w:shd w:val="clear" w:color="auto" w:fill="FFFFFF"/>
        </w:rPr>
        <w:t xml:space="preserve"> (DE)</w:t>
      </w:r>
      <w:r w:rsidR="00A75D10" w:rsidRPr="00E138C4">
        <w:rPr>
          <w:rStyle w:val="Emfaz"/>
          <w:rFonts w:ascii="Times New Roman" w:hAnsi="Times New Roman"/>
          <w:b w:val="0"/>
          <w:bCs w:val="0"/>
          <w:shd w:val="clear" w:color="auto" w:fill="FFFFFF"/>
        </w:rPr>
        <w:t xml:space="preserve"> </w:t>
      </w:r>
      <w:r w:rsidRPr="00E138C4">
        <w:rPr>
          <w:rFonts w:ascii="Times New Roman" w:hAnsi="Times New Roman" w:cs="Times New Roman"/>
        </w:rPr>
        <w:t xml:space="preserve">ir reakciją į vaistinį preparatą su eozinofilija ir sisteminiais simptomais (angl. </w:t>
      </w:r>
      <w:r w:rsidRPr="00E138C4">
        <w:rPr>
          <w:rFonts w:ascii="Times New Roman" w:hAnsi="Times New Roman" w:cs="Times New Roman"/>
          <w:i/>
          <w:iCs/>
        </w:rPr>
        <w:t>drug reaction with eosinophilia and systemic symptoms</w:t>
      </w:r>
      <w:r w:rsidRPr="00E138C4">
        <w:rPr>
          <w:rFonts w:ascii="Times New Roman" w:hAnsi="Times New Roman" w:cs="Times New Roman"/>
        </w:rPr>
        <w:t xml:space="preserve">, DRESS), kurios gali būti pavojingos gyvybei arba mirtinos. SNOR paprastai pasireiškia </w:t>
      </w:r>
      <w:r w:rsidR="00D90EB2" w:rsidRPr="00E138C4">
        <w:rPr>
          <w:rFonts w:ascii="Times New Roman" w:hAnsi="Times New Roman" w:cs="Times New Roman"/>
        </w:rPr>
        <w:t xml:space="preserve">vienu ar </w:t>
      </w:r>
      <w:r w:rsidR="00CD3882" w:rsidRPr="00B14475">
        <w:rPr>
          <w:rFonts w:ascii="Times New Roman" w:hAnsi="Times New Roman" w:cs="Times New Roman"/>
        </w:rPr>
        <w:t>daugiau</w:t>
      </w:r>
      <w:r w:rsidR="00D90EB2" w:rsidRPr="00E138C4">
        <w:rPr>
          <w:rFonts w:ascii="Times New Roman" w:hAnsi="Times New Roman" w:cs="Times New Roman"/>
        </w:rPr>
        <w:t xml:space="preserve"> </w:t>
      </w:r>
      <w:r w:rsidRPr="00E138C4">
        <w:rPr>
          <w:rFonts w:ascii="Times New Roman" w:hAnsi="Times New Roman" w:cs="Times New Roman"/>
        </w:rPr>
        <w:t>toliau išvardyt</w:t>
      </w:r>
      <w:r w:rsidR="00D90EB2" w:rsidRPr="00E138C4">
        <w:rPr>
          <w:rFonts w:ascii="Times New Roman" w:hAnsi="Times New Roman" w:cs="Times New Roman"/>
        </w:rPr>
        <w:t>ais</w:t>
      </w:r>
      <w:r w:rsidRPr="00E138C4">
        <w:rPr>
          <w:rFonts w:ascii="Times New Roman" w:hAnsi="Times New Roman" w:cs="Times New Roman"/>
        </w:rPr>
        <w:t xml:space="preserve"> simptom</w:t>
      </w:r>
      <w:r w:rsidR="00D90EB2" w:rsidRPr="00E138C4">
        <w:rPr>
          <w:rFonts w:ascii="Times New Roman" w:hAnsi="Times New Roman" w:cs="Times New Roman"/>
        </w:rPr>
        <w:t>ais</w:t>
      </w:r>
      <w:r w:rsidRPr="00E138C4">
        <w:rPr>
          <w:rFonts w:ascii="Times New Roman" w:hAnsi="Times New Roman" w:cs="Times New Roman"/>
        </w:rPr>
        <w:t>: ekstensyv</w:t>
      </w:r>
      <w:r w:rsidR="00CD3882" w:rsidRPr="00B14475">
        <w:rPr>
          <w:rFonts w:ascii="Times New Roman" w:hAnsi="Times New Roman" w:cs="Times New Roman"/>
        </w:rPr>
        <w:t>iu</w:t>
      </w:r>
      <w:r w:rsidRPr="00E138C4">
        <w:rPr>
          <w:rFonts w:ascii="Times New Roman" w:hAnsi="Times New Roman" w:cs="Times New Roman"/>
        </w:rPr>
        <w:t xml:space="preserve"> odos išbėrim</w:t>
      </w:r>
      <w:r w:rsidR="00CD3882" w:rsidRPr="00B14475">
        <w:rPr>
          <w:rFonts w:ascii="Times New Roman" w:hAnsi="Times New Roman" w:cs="Times New Roman"/>
        </w:rPr>
        <w:t>u</w:t>
      </w:r>
      <w:r w:rsidR="0007249F" w:rsidRPr="00B14475">
        <w:rPr>
          <w:rFonts w:ascii="Times New Roman" w:hAnsi="Times New Roman" w:cs="Times New Roman"/>
        </w:rPr>
        <w:t>,</w:t>
      </w:r>
      <w:r w:rsidRPr="00E138C4">
        <w:rPr>
          <w:rFonts w:ascii="Times New Roman" w:hAnsi="Times New Roman" w:cs="Times New Roman"/>
        </w:rPr>
        <w:t xml:space="preserve"> </w:t>
      </w:r>
      <w:r w:rsidR="00CD3882" w:rsidRPr="00B14475">
        <w:rPr>
          <w:rFonts w:ascii="Times New Roman" w:hAnsi="Times New Roman" w:cs="Times New Roman"/>
        </w:rPr>
        <w:t xml:space="preserve">kuris gali pasireikšti kartu </w:t>
      </w:r>
      <w:r w:rsidR="0007249F" w:rsidRPr="00B14475">
        <w:rPr>
          <w:rFonts w:ascii="Times New Roman" w:hAnsi="Times New Roman" w:cs="Times New Roman"/>
        </w:rPr>
        <w:t>su niež</w:t>
      </w:r>
      <w:r w:rsidR="00CD3882" w:rsidRPr="00E138C4">
        <w:rPr>
          <w:rFonts w:ascii="Times New Roman" w:hAnsi="Times New Roman" w:cs="Times New Roman"/>
        </w:rPr>
        <w:t>uliu</w:t>
      </w:r>
      <w:r w:rsidR="0007249F" w:rsidRPr="00B14475">
        <w:rPr>
          <w:rFonts w:ascii="Times New Roman" w:hAnsi="Times New Roman" w:cs="Times New Roman"/>
        </w:rPr>
        <w:t xml:space="preserve"> ar</w:t>
      </w:r>
      <w:r w:rsidR="00E2725A" w:rsidRPr="00E138C4">
        <w:rPr>
          <w:rFonts w:ascii="Times New Roman" w:hAnsi="Times New Roman" w:cs="Times New Roman"/>
        </w:rPr>
        <w:t>ba būti susijęs su</w:t>
      </w:r>
      <w:r w:rsidR="0007249F" w:rsidRPr="00B14475">
        <w:rPr>
          <w:rFonts w:ascii="Times New Roman" w:hAnsi="Times New Roman" w:cs="Times New Roman"/>
        </w:rPr>
        <w:t xml:space="preserve"> pustulėmis, </w:t>
      </w:r>
      <w:r w:rsidRPr="00E138C4">
        <w:rPr>
          <w:rFonts w:ascii="Times New Roman" w:hAnsi="Times New Roman" w:cs="Times New Roman"/>
        </w:rPr>
        <w:t>eksfoliacini</w:t>
      </w:r>
      <w:r w:rsidR="00E2725A" w:rsidRPr="00E138C4">
        <w:rPr>
          <w:rFonts w:ascii="Times New Roman" w:hAnsi="Times New Roman" w:cs="Times New Roman"/>
        </w:rPr>
        <w:t xml:space="preserve">u </w:t>
      </w:r>
      <w:r w:rsidRPr="00E138C4">
        <w:rPr>
          <w:rFonts w:ascii="Times New Roman" w:hAnsi="Times New Roman" w:cs="Times New Roman"/>
        </w:rPr>
        <w:t>dermatit</w:t>
      </w:r>
      <w:r w:rsidR="00E2725A" w:rsidRPr="00E138C4">
        <w:rPr>
          <w:rFonts w:ascii="Times New Roman" w:hAnsi="Times New Roman" w:cs="Times New Roman"/>
        </w:rPr>
        <w:t>u</w:t>
      </w:r>
      <w:r w:rsidRPr="00E138C4">
        <w:rPr>
          <w:rFonts w:ascii="Times New Roman" w:hAnsi="Times New Roman" w:cs="Times New Roman"/>
        </w:rPr>
        <w:t>, karščiavim</w:t>
      </w:r>
      <w:r w:rsidR="00E2725A" w:rsidRPr="00E138C4">
        <w:rPr>
          <w:rFonts w:ascii="Times New Roman" w:hAnsi="Times New Roman" w:cs="Times New Roman"/>
        </w:rPr>
        <w:t>u</w:t>
      </w:r>
      <w:r w:rsidRPr="00E138C4">
        <w:rPr>
          <w:rFonts w:ascii="Times New Roman" w:hAnsi="Times New Roman" w:cs="Times New Roman"/>
        </w:rPr>
        <w:t>, limfadenopatija ir galimai eozinofilija</w:t>
      </w:r>
      <w:r w:rsidR="00E2725A" w:rsidRPr="00E138C4">
        <w:rPr>
          <w:rFonts w:ascii="Times New Roman" w:hAnsi="Times New Roman" w:cs="Times New Roman"/>
        </w:rPr>
        <w:t xml:space="preserve"> ar neutrofilija</w:t>
      </w:r>
      <w:r w:rsidRPr="00E138C4">
        <w:rPr>
          <w:rFonts w:ascii="Times New Roman" w:hAnsi="Times New Roman" w:cs="Times New Roman"/>
        </w:rPr>
        <w:t xml:space="preserve">. </w:t>
      </w:r>
      <w:r w:rsidR="00E2725A" w:rsidRPr="00B14475">
        <w:rPr>
          <w:rFonts w:ascii="Times New Roman" w:hAnsi="Times New Roman" w:cs="Times New Roman"/>
        </w:rPr>
        <w:t>Dauguma tokių reakcijų pasireiškė per 4 savaites nuo gydymo kvetiapinu pradžios, o kai kurios DRESS reakcijos pasireiškė per 6 savaites nuo gydymo kvetiapinu pradžios</w:t>
      </w:r>
      <w:r w:rsidR="00E2725A" w:rsidRPr="00E138C4">
        <w:rPr>
          <w:rFonts w:ascii="Times New Roman" w:hAnsi="Times New Roman" w:cs="Times New Roman"/>
        </w:rPr>
        <w:t xml:space="preserve">. </w:t>
      </w:r>
      <w:r w:rsidRPr="00E138C4">
        <w:rPr>
          <w:rFonts w:ascii="Times New Roman" w:hAnsi="Times New Roman" w:cs="Times New Roman"/>
        </w:rPr>
        <w:t>Jei atsiranda toki</w:t>
      </w:r>
      <w:r w:rsidR="00E2725A" w:rsidRPr="00E138C4">
        <w:rPr>
          <w:rFonts w:ascii="Times New Roman" w:hAnsi="Times New Roman" w:cs="Times New Roman"/>
        </w:rPr>
        <w:t>ų</w:t>
      </w:r>
      <w:r w:rsidRPr="00E138C4">
        <w:rPr>
          <w:rFonts w:ascii="Times New Roman" w:hAnsi="Times New Roman" w:cs="Times New Roman"/>
        </w:rPr>
        <w:t xml:space="preserve"> sunki</w:t>
      </w:r>
      <w:r w:rsidR="00E2725A" w:rsidRPr="00E138C4">
        <w:rPr>
          <w:rFonts w:ascii="Times New Roman" w:hAnsi="Times New Roman" w:cs="Times New Roman"/>
        </w:rPr>
        <w:t>ų</w:t>
      </w:r>
      <w:r w:rsidRPr="00E138C4">
        <w:rPr>
          <w:rFonts w:ascii="Times New Roman" w:hAnsi="Times New Roman" w:cs="Times New Roman"/>
        </w:rPr>
        <w:t xml:space="preserve"> odos reakcij</w:t>
      </w:r>
      <w:r w:rsidR="00E2725A" w:rsidRPr="00E138C4">
        <w:rPr>
          <w:rFonts w:ascii="Times New Roman" w:hAnsi="Times New Roman" w:cs="Times New Roman"/>
        </w:rPr>
        <w:t>ų</w:t>
      </w:r>
      <w:r w:rsidRPr="00E138C4">
        <w:rPr>
          <w:rFonts w:ascii="Times New Roman" w:hAnsi="Times New Roman" w:cs="Times New Roman"/>
        </w:rPr>
        <w:t xml:space="preserve"> rodančių požymių ir simptomų, būtina nedelsiant nutraukti kvetiapino vartojimą ir apsvarstyti alternatyvų gydymą.</w:t>
      </w:r>
    </w:p>
    <w:p w14:paraId="42D2DD56" w14:textId="77777777" w:rsidR="00BD1C7B" w:rsidRPr="00E138C4" w:rsidRDefault="00BD1C7B" w:rsidP="004F6205">
      <w:pPr>
        <w:spacing w:after="0" w:line="240" w:lineRule="auto"/>
        <w:rPr>
          <w:rFonts w:ascii="Times New Roman" w:hAnsi="Times New Roman" w:cs="Times New Roman"/>
        </w:rPr>
      </w:pPr>
    </w:p>
    <w:p w14:paraId="2E82003E" w14:textId="77777777" w:rsidR="00DD069E" w:rsidRPr="00E138C4" w:rsidRDefault="00DD069E">
      <w:pPr>
        <w:spacing w:after="0" w:line="240" w:lineRule="auto"/>
        <w:rPr>
          <w:rFonts w:ascii="Times New Roman" w:hAnsi="Times New Roman" w:cs="Times New Roman"/>
          <w:i/>
        </w:rPr>
      </w:pPr>
      <w:r w:rsidRPr="00E138C4">
        <w:rPr>
          <w:rFonts w:ascii="Times New Roman" w:hAnsi="Times New Roman" w:cs="Times New Roman"/>
          <w:i/>
        </w:rPr>
        <w:t>Nutraukimas</w:t>
      </w:r>
    </w:p>
    <w:p w14:paraId="4C500664" w14:textId="77777777" w:rsidR="00DD069E" w:rsidRPr="00E138C4" w:rsidRDefault="00DD069E">
      <w:pPr>
        <w:spacing w:after="0" w:line="240" w:lineRule="auto"/>
        <w:rPr>
          <w:rFonts w:ascii="Times New Roman" w:hAnsi="Times New Roman" w:cs="Times New Roman"/>
        </w:rPr>
      </w:pPr>
      <w:r w:rsidRPr="00E138C4">
        <w:rPr>
          <w:rFonts w:ascii="Times New Roman" w:hAnsi="Times New Roman" w:cs="Times New Roman"/>
        </w:rPr>
        <w:t>Aprašyta atvejų, kai staiga nutraukus kvetiapino vartojimą pasireiškė ūminių nutraukimo simptomų (pvz., nemiga, pykinimas, galvos skausmas, viduriavimas, vėmimas, galvos svaigimas ir irzlumas).Dėl to šio vaistinio preparato vartojimą rekomenduojama baigti palaipsniui, per bent 1-2 savaites (žr. 4.8 skyrių).</w:t>
      </w:r>
    </w:p>
    <w:p w14:paraId="35120930" w14:textId="77777777" w:rsidR="00DD069E" w:rsidRPr="00E138C4" w:rsidRDefault="00DD069E" w:rsidP="00DD069E">
      <w:pPr>
        <w:spacing w:after="0" w:line="240" w:lineRule="auto"/>
        <w:rPr>
          <w:rFonts w:ascii="Times New Roman" w:hAnsi="Times New Roman" w:cs="Times New Roman"/>
        </w:rPr>
      </w:pPr>
    </w:p>
    <w:p w14:paraId="0FF74EA2"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Senyv</w:t>
      </w:r>
      <w:r w:rsidR="00904E3A" w:rsidRPr="00E138C4">
        <w:rPr>
          <w:rFonts w:ascii="Times New Roman" w:hAnsi="Times New Roman" w:cs="Times New Roman"/>
          <w:i/>
        </w:rPr>
        <w:t>i</w:t>
      </w:r>
      <w:r w:rsidRPr="00E138C4">
        <w:rPr>
          <w:rFonts w:ascii="Times New Roman" w:hAnsi="Times New Roman" w:cs="Times New Roman"/>
          <w:i/>
        </w:rPr>
        <w:t xml:space="preserve"> pacientai, sergantys su demencija susijusia psichoze</w:t>
      </w:r>
    </w:p>
    <w:p w14:paraId="1D90485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 demencija susijusiai psichozei gydyti kvetiapinas neregistruotas.</w:t>
      </w:r>
    </w:p>
    <w:p w14:paraId="4332E60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Atsitiktinės atrankos placebu kontroliuojamų klinikinių tyrimų duomenimis, demencija sergantiems ir kai kuriuos atipinius antipsichozinius preparatus vartojantiems pacientams nepageidaujamų smegenų kraujagyslių reiškinių rizika padidėja maždaug tris kartus. Tokio rizikos padidėjimo mechanizmas nežinomas. Su kitais vaistiniais preparatais nuo psichozės susijusio pavojaus ir pavojaus kitoms populiacijoms padidėjimo galimybė nepaneigta. Jei yra insulto rizikos veiksnių, kvetiapino skiriama atsargiai.</w:t>
      </w:r>
    </w:p>
    <w:p w14:paraId="12AF6087" w14:textId="77777777" w:rsidR="00DD069E" w:rsidRPr="00E138C4" w:rsidRDefault="00DD069E" w:rsidP="00DD069E">
      <w:pPr>
        <w:spacing w:after="0" w:line="240" w:lineRule="auto"/>
        <w:rPr>
          <w:rFonts w:ascii="Times New Roman" w:hAnsi="Times New Roman" w:cs="Times New Roman"/>
        </w:rPr>
      </w:pPr>
    </w:p>
    <w:p w14:paraId="6D16E78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Atipinių vaistinių preparatų nuo psichozės metaanalizėje aprašyta, kad senyv</w:t>
      </w:r>
      <w:r w:rsidR="00904E3A" w:rsidRPr="00E138C4">
        <w:rPr>
          <w:rFonts w:ascii="Times New Roman" w:hAnsi="Times New Roman" w:cs="Times New Roman"/>
        </w:rPr>
        <w:t>iems</w:t>
      </w:r>
      <w:r w:rsidRPr="00E138C4">
        <w:rPr>
          <w:rFonts w:ascii="Times New Roman" w:hAnsi="Times New Roman" w:cs="Times New Roman"/>
        </w:rPr>
        <w:t xml:space="preserve"> pacientams, sergantiems su demencija susijusia psichoze, padidėja mirties rizika, palyginti su placebą vartojančiais pacientais.</w:t>
      </w:r>
    </w:p>
    <w:p w14:paraId="22BDAACC" w14:textId="77777777" w:rsidR="00DD069E" w:rsidRPr="00E138C4" w:rsidRDefault="001D0306" w:rsidP="00DD069E">
      <w:pPr>
        <w:spacing w:after="0" w:line="240" w:lineRule="auto"/>
        <w:rPr>
          <w:rFonts w:ascii="Times New Roman" w:hAnsi="Times New Roman" w:cs="Times New Roman"/>
        </w:rPr>
      </w:pPr>
      <w:r w:rsidRPr="00E138C4">
        <w:rPr>
          <w:rFonts w:ascii="Times New Roman" w:hAnsi="Times New Roman" w:cs="Times New Roman"/>
        </w:rPr>
        <w:t>A</w:t>
      </w:r>
      <w:r w:rsidR="00DD069E" w:rsidRPr="00E138C4">
        <w:rPr>
          <w:rFonts w:ascii="Times New Roman" w:hAnsi="Times New Roman" w:cs="Times New Roman"/>
        </w:rPr>
        <w:t>tliekant du 10 savaičių trukmės placebu kontroliuojamus kvetiapino klinikinius tyrimus su ta pačia pacientų populiacija (n = 710; amžiaus vidurkis – 83 metai, amžiaus intervalas – nuo 56 iki 99 metų), kvetiapinu gydytų pacientų mirštamumo dažnis buvo 5,5%, o placebą vartojusių pacientų grupėje – 3,2%. Šiuose klinikiniuose tyrimuose dalyvavę pacientai mirė dėl įvairių priežasčių, kurios tokioje populiacijoje buvo tikėtinos.</w:t>
      </w:r>
    </w:p>
    <w:p w14:paraId="614E0BC8" w14:textId="77777777" w:rsidR="00A86253" w:rsidRPr="00E138C4" w:rsidRDefault="00A86253" w:rsidP="00DD069E">
      <w:pPr>
        <w:spacing w:after="0" w:line="240" w:lineRule="auto"/>
        <w:rPr>
          <w:rFonts w:ascii="Times New Roman" w:hAnsi="Times New Roman" w:cs="Times New Roman"/>
        </w:rPr>
      </w:pPr>
    </w:p>
    <w:p w14:paraId="0A26CFED" w14:textId="77777777" w:rsidR="000C54EE" w:rsidRPr="00E138C4" w:rsidRDefault="000C54EE" w:rsidP="000C54EE">
      <w:pPr>
        <w:spacing w:after="0" w:line="240" w:lineRule="auto"/>
        <w:rPr>
          <w:rFonts w:ascii="Times New Roman" w:eastAsia="Times New Roman" w:hAnsi="Times New Roman" w:cs="Times New Roman"/>
          <w:i/>
          <w:lang w:eastAsia="lt-LT" w:bidi="lt-LT"/>
        </w:rPr>
      </w:pPr>
      <w:r w:rsidRPr="00E138C4">
        <w:rPr>
          <w:rFonts w:ascii="Times New Roman" w:eastAsia="Times New Roman" w:hAnsi="Times New Roman" w:cs="Times New Roman"/>
          <w:i/>
          <w:lang w:eastAsia="lt-LT" w:bidi="lt-LT"/>
        </w:rPr>
        <w:t>Senyvi pacientai, sergantys Parkinsono liga (PL)/parkinsonizmu</w:t>
      </w:r>
    </w:p>
    <w:p w14:paraId="0E036987" w14:textId="77777777" w:rsidR="000C54EE" w:rsidRPr="00E138C4" w:rsidRDefault="000C54EE" w:rsidP="000C54EE">
      <w:pPr>
        <w:spacing w:after="0" w:line="240" w:lineRule="auto"/>
        <w:rPr>
          <w:rFonts w:ascii="Times New Roman" w:eastAsia="Times New Roman" w:hAnsi="Times New Roman" w:cs="Times New Roman"/>
          <w:lang w:eastAsia="lt-LT" w:bidi="lt-LT"/>
        </w:rPr>
      </w:pPr>
      <w:r w:rsidRPr="00E138C4">
        <w:rPr>
          <w:rFonts w:ascii="Times New Roman" w:eastAsia="Times New Roman" w:hAnsi="Times New Roman" w:cs="Times New Roman"/>
          <w:lang w:eastAsia="lt-LT" w:bidi="lt-LT"/>
        </w:rPr>
        <w:t>Populiacija paremtas retrospektyvinis DDE sergančių pacientų gydymo kvetiapinu tyrimas parodė padidėjusią mirties riziką &gt;65 metų pacientams kvetiapino vartojimo metu. Iš analizės pašalinus PL sergančius pacientus, tokio ryšio nebuvo. Senyviems PL sergantiems pacientams kvetiapino būtina skirti vartoti atsargiai.</w:t>
      </w:r>
    </w:p>
    <w:p w14:paraId="33F41CE3" w14:textId="77777777" w:rsidR="00DD069E" w:rsidRPr="00E138C4" w:rsidRDefault="00DD069E" w:rsidP="00DD069E">
      <w:pPr>
        <w:spacing w:after="0" w:line="240" w:lineRule="auto"/>
        <w:rPr>
          <w:rFonts w:ascii="Times New Roman" w:hAnsi="Times New Roman" w:cs="Times New Roman"/>
        </w:rPr>
      </w:pPr>
    </w:p>
    <w:p w14:paraId="3704F6D3"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Disfagija</w:t>
      </w:r>
    </w:p>
    <w:p w14:paraId="547DC5A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Gauta pranešimų apie disfagiją vartojant kvetiapino (žr. 4.8 skyrių). Esant aspiracinės pneumonijos rizikai, kvetiapino skiriama atsargiai.</w:t>
      </w:r>
    </w:p>
    <w:p w14:paraId="7813AE8A" w14:textId="77777777" w:rsidR="00DD069E" w:rsidRPr="00E138C4" w:rsidRDefault="00DD069E" w:rsidP="00DD069E">
      <w:pPr>
        <w:spacing w:after="0" w:line="240" w:lineRule="auto"/>
        <w:rPr>
          <w:rFonts w:ascii="Times New Roman" w:hAnsi="Times New Roman" w:cs="Times New Roman"/>
        </w:rPr>
      </w:pPr>
    </w:p>
    <w:p w14:paraId="261BEA68"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Vidurių užkietėjimas ir žarnų obstrukcija</w:t>
      </w:r>
    </w:p>
    <w:p w14:paraId="17FC5E7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Vidurių užkietėjimas yra žarnų obstrukcijos rizikos veiksnys. Gauta pranešimų apie vidurių užkietėjimą ir žarnų obstrukciją, pasireiškusius vartojant kvetiapino (žr. 4.8 skyrių). Tarp šių pranešimų yra ir mirties atvejų, įvykusių buvus didesnei žarnų obstrukcijos rizikai, t.y. kartu daugelį žarnų peristaltiką lėtinančių vaistų vartojusiems ir (arba) galėjusiems nepranešti apie pasireiškusius vidurių užkietėjimo simptomus pacientams. Pasireiškus žarnų obstrukcijai arba nepraeinamumui, pacientą reikia atidžiai stebėti ir skubiai gydyti.</w:t>
      </w:r>
    </w:p>
    <w:p w14:paraId="47BFD38A" w14:textId="77777777" w:rsidR="00DD069E" w:rsidRPr="00E138C4" w:rsidRDefault="00DD069E" w:rsidP="00DD069E">
      <w:pPr>
        <w:spacing w:after="0" w:line="240" w:lineRule="auto"/>
        <w:rPr>
          <w:rFonts w:ascii="Times New Roman" w:hAnsi="Times New Roman" w:cs="Times New Roman"/>
        </w:rPr>
      </w:pPr>
    </w:p>
    <w:p w14:paraId="252341B5"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Venų tromboembolija (VTE)</w:t>
      </w:r>
    </w:p>
    <w:p w14:paraId="549C77CC"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Buvo pranešta apie venų tromboembolijos (VTE) atvejus vartojant antipsichotinius vaist</w:t>
      </w:r>
      <w:r w:rsidR="0022549A" w:rsidRPr="00E138C4">
        <w:rPr>
          <w:rFonts w:ascii="Times New Roman" w:hAnsi="Times New Roman" w:cs="Times New Roman"/>
        </w:rPr>
        <w:t>inius preparat</w:t>
      </w:r>
      <w:r w:rsidRPr="00E138C4">
        <w:rPr>
          <w:rFonts w:ascii="Times New Roman" w:hAnsi="Times New Roman" w:cs="Times New Roman"/>
        </w:rPr>
        <w:t>us. Kadangi antipsichotiniais preparatais gydomi pacientai dažnai turi įgytų VTE rizikos veiksnių, prieš gydymą Ketilept ir gydymo metu turi būti nustatomi visi galimi VTE rizikos veiksniai bei imamasi profilaktinių priemonių.</w:t>
      </w:r>
    </w:p>
    <w:p w14:paraId="11ACAC0C" w14:textId="77777777" w:rsidR="00DD069E" w:rsidRPr="00E138C4" w:rsidRDefault="00DD069E" w:rsidP="00DD069E">
      <w:pPr>
        <w:spacing w:after="0" w:line="240" w:lineRule="auto"/>
        <w:rPr>
          <w:rFonts w:ascii="Times New Roman" w:hAnsi="Times New Roman" w:cs="Times New Roman"/>
        </w:rPr>
      </w:pPr>
    </w:p>
    <w:p w14:paraId="28510128"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Pankreatitas</w:t>
      </w:r>
    </w:p>
    <w:p w14:paraId="46A6293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ir šį vaistinį preparatą pateikus į rinką, gauta pranešimų apie pankreatito atvejus. Nors pankreatito rizikos veiksnių buvo nustatyta ne visais pateikus į rinką praneštais atvejais, tačiau daugelis pacientų jų turėjo – tai buvo padidėjusi trigliceridų koncentracija (žr. 4.4 skyrių), tulžies pūslės akmenys, alkoholinių gėrimų vartojimas.</w:t>
      </w:r>
    </w:p>
    <w:p w14:paraId="6F88A422" w14:textId="77777777" w:rsidR="00DD069E" w:rsidRPr="00E138C4" w:rsidRDefault="00DD069E" w:rsidP="00DD069E">
      <w:pPr>
        <w:spacing w:after="0" w:line="240" w:lineRule="auto"/>
        <w:rPr>
          <w:rFonts w:ascii="Times New Roman" w:eastAsia="Calibri" w:hAnsi="Times New Roman" w:cs="Times New Roman"/>
        </w:rPr>
      </w:pPr>
    </w:p>
    <w:p w14:paraId="680D952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Papildoma informacija</w:t>
      </w:r>
    </w:p>
    <w:p w14:paraId="6C20BDA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Yra nedaug duomenų apie kvetiapino derinimą su divalproeksu ar ličiu, gydant vidutinio sunkumo ar sunkius manijos epizodus. Tačiau kombinuotas gydymas buvo gerai toleruojamas (žr. 4.8 ir 5.1 skyrius). Paaiškėjo, kad trečią gydymo savaitę pasireiškė suminis poveikis.</w:t>
      </w:r>
    </w:p>
    <w:p w14:paraId="3F19B05A" w14:textId="77777777" w:rsidR="008B0A90" w:rsidRPr="00E138C4" w:rsidRDefault="008B0A90" w:rsidP="00DD069E">
      <w:pPr>
        <w:spacing w:after="0" w:line="240" w:lineRule="auto"/>
        <w:rPr>
          <w:rFonts w:ascii="Times New Roman" w:hAnsi="Times New Roman" w:cs="Times New Roman"/>
        </w:rPr>
      </w:pPr>
    </w:p>
    <w:p w14:paraId="578F3526" w14:textId="77777777" w:rsidR="008B0A90" w:rsidRPr="00E138C4" w:rsidRDefault="008B0A90" w:rsidP="008B0A90">
      <w:pPr>
        <w:widowControl w:val="0"/>
        <w:spacing w:after="0" w:line="240" w:lineRule="auto"/>
        <w:rPr>
          <w:rFonts w:ascii="Times New Roman" w:eastAsia="Times New Roman" w:hAnsi="Times New Roman" w:cs="Times New Roman"/>
          <w:i/>
          <w:szCs w:val="20"/>
          <w:u w:val="single"/>
        </w:rPr>
      </w:pPr>
      <w:r w:rsidRPr="00E138C4">
        <w:rPr>
          <w:rFonts w:ascii="Times New Roman" w:eastAsia="Times New Roman" w:hAnsi="Times New Roman" w:cs="Times New Roman"/>
          <w:i/>
          <w:szCs w:val="20"/>
          <w:u w:val="single"/>
        </w:rPr>
        <w:t>Netinkamas vartojimas ir piktnaudžiavimas</w:t>
      </w:r>
    </w:p>
    <w:p w14:paraId="2BF6E572" w14:textId="77777777" w:rsidR="00DD069E" w:rsidRPr="00E138C4" w:rsidRDefault="008B0A90" w:rsidP="008B0A90">
      <w:pPr>
        <w:widowControl w:val="0"/>
        <w:spacing w:after="0" w:line="240" w:lineRule="auto"/>
        <w:rPr>
          <w:rFonts w:ascii="Times New Roman" w:eastAsia="Times New Roman" w:hAnsi="Times New Roman" w:cs="Times New Roman"/>
        </w:rPr>
      </w:pPr>
      <w:r w:rsidRPr="00E138C4">
        <w:rPr>
          <w:rFonts w:ascii="Times New Roman" w:eastAsia="Times New Roman" w:hAnsi="Times New Roman" w:cs="Times New Roman"/>
          <w:szCs w:val="20"/>
        </w:rPr>
        <w:t xml:space="preserve">Buvo pranešta apie netinkamo vartojimo ir piktnaudžiavimo atvejus. </w:t>
      </w:r>
      <w:r w:rsidRPr="00E138C4">
        <w:rPr>
          <w:rFonts w:ascii="Times New Roman" w:eastAsia="Times New Roman" w:hAnsi="Times New Roman" w:cs="Times New Roman"/>
        </w:rPr>
        <w:t>Pacientams, kurie yra piktnaudžiavę alkoholiu ar narkotikais, kvetiapino skirti reikia atsargiai.</w:t>
      </w:r>
    </w:p>
    <w:p w14:paraId="39CD1CCF" w14:textId="77777777" w:rsidR="008B0A90" w:rsidRPr="00E138C4" w:rsidRDefault="008B0A90" w:rsidP="008B0A90">
      <w:pPr>
        <w:widowControl w:val="0"/>
        <w:spacing w:after="0" w:line="240" w:lineRule="auto"/>
        <w:rPr>
          <w:rFonts w:ascii="Times New Roman" w:hAnsi="Times New Roman" w:cs="Times New Roman"/>
        </w:rPr>
      </w:pPr>
    </w:p>
    <w:p w14:paraId="0CD6F53D"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Laktozė</w:t>
      </w:r>
    </w:p>
    <w:p w14:paraId="2D8AD5F1" w14:textId="77777777" w:rsidR="00DD069E" w:rsidRPr="00E138C4" w:rsidRDefault="00DD069E" w:rsidP="00DD069E">
      <w:pPr>
        <w:spacing w:after="0" w:line="240" w:lineRule="auto"/>
        <w:rPr>
          <w:rFonts w:ascii="Times New Roman" w:hAnsi="Times New Roman" w:cs="Times New Roman"/>
          <w:iCs/>
        </w:rPr>
      </w:pPr>
      <w:r w:rsidRPr="00E138C4">
        <w:rPr>
          <w:rFonts w:ascii="Times New Roman" w:hAnsi="Times New Roman" w:cs="Times New Roman"/>
        </w:rPr>
        <w:t xml:space="preserve">Ketilept sudėtyje yra laktozės. Šio vaistinio preparato negalima vartoti pacientams, kuriems nustatytas retas paveldimas sutrikimas </w:t>
      </w:r>
      <w:r w:rsidR="004F6205" w:rsidRPr="00E138C4">
        <w:rPr>
          <w:rFonts w:ascii="Times New Roman" w:hAnsi="Times New Roman" w:cs="Times New Roman"/>
        </w:rPr>
        <w:t>–</w:t>
      </w:r>
      <w:r w:rsidRPr="00E138C4">
        <w:rPr>
          <w:rFonts w:ascii="Times New Roman" w:hAnsi="Times New Roman" w:cs="Times New Roman"/>
        </w:rPr>
        <w:t xml:space="preserve"> galaktozės netoleravimas, Lapp laktazės stygius arba gliukozės ir galaktozės malabsorbcija</w:t>
      </w:r>
      <w:r w:rsidRPr="00E138C4">
        <w:rPr>
          <w:rFonts w:ascii="Times New Roman" w:hAnsi="Times New Roman" w:cs="Times New Roman"/>
          <w:i/>
        </w:rPr>
        <w:t>.</w:t>
      </w:r>
    </w:p>
    <w:p w14:paraId="423E3B8B" w14:textId="77777777" w:rsidR="00BD1C7B" w:rsidRPr="00E138C4" w:rsidRDefault="00BD1C7B" w:rsidP="00DD069E">
      <w:pPr>
        <w:spacing w:after="0" w:line="240" w:lineRule="auto"/>
        <w:rPr>
          <w:rFonts w:ascii="Times New Roman" w:hAnsi="Times New Roman" w:cs="Times New Roman"/>
          <w:iCs/>
        </w:rPr>
      </w:pPr>
    </w:p>
    <w:p w14:paraId="687F17CA" w14:textId="77777777" w:rsidR="00BD1C7B" w:rsidRPr="00E138C4" w:rsidRDefault="00BD1C7B" w:rsidP="00DD069E">
      <w:pPr>
        <w:spacing w:after="0" w:line="240" w:lineRule="auto"/>
        <w:rPr>
          <w:rFonts w:ascii="Times New Roman" w:hAnsi="Times New Roman" w:cs="Times New Roman"/>
          <w:i/>
        </w:rPr>
      </w:pPr>
      <w:r w:rsidRPr="00E138C4">
        <w:rPr>
          <w:rFonts w:ascii="Times New Roman" w:hAnsi="Times New Roman" w:cs="Times New Roman"/>
          <w:i/>
        </w:rPr>
        <w:t>Natris</w:t>
      </w:r>
    </w:p>
    <w:p w14:paraId="6EC0877B" w14:textId="169CA83E" w:rsidR="00BD1C7B" w:rsidRPr="00E138C4" w:rsidRDefault="00BD1C7B" w:rsidP="00BD1C7B">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Šio vaistinio preparato vienoje plėvele dengtoje tabletėje yra mažiau kaip 1 mmol (23 mg) natrio, t. y. jis beveik neturi reikšmės.</w:t>
      </w:r>
    </w:p>
    <w:p w14:paraId="6B1A777C" w14:textId="77777777" w:rsidR="00DD069E" w:rsidRPr="00E138C4" w:rsidRDefault="00DD069E" w:rsidP="00DD069E">
      <w:pPr>
        <w:spacing w:after="0" w:line="240" w:lineRule="auto"/>
        <w:rPr>
          <w:rFonts w:ascii="Times New Roman" w:hAnsi="Times New Roman" w:cs="Times New Roman"/>
        </w:rPr>
      </w:pPr>
    </w:p>
    <w:p w14:paraId="7166CF59" w14:textId="77777777" w:rsidR="00BD1C7B" w:rsidRPr="00E138C4" w:rsidRDefault="00BD1C7B" w:rsidP="00DD069E">
      <w:pPr>
        <w:spacing w:after="0" w:line="240" w:lineRule="auto"/>
        <w:rPr>
          <w:rFonts w:ascii="Times New Roman" w:hAnsi="Times New Roman" w:cs="Times New Roman"/>
        </w:rPr>
      </w:pPr>
    </w:p>
    <w:p w14:paraId="102D7A8D" w14:textId="77777777" w:rsidR="00DD069E" w:rsidRPr="00E138C4" w:rsidRDefault="00DD069E" w:rsidP="00DD069E">
      <w:pPr>
        <w:tabs>
          <w:tab w:val="left" w:pos="567"/>
        </w:tabs>
        <w:spacing w:after="0" w:line="240" w:lineRule="auto"/>
        <w:rPr>
          <w:rFonts w:ascii="Times New Roman" w:hAnsi="Times New Roman" w:cs="Times New Roman"/>
        </w:rPr>
      </w:pPr>
      <w:r w:rsidRPr="00E138C4">
        <w:rPr>
          <w:rFonts w:ascii="Times New Roman" w:hAnsi="Times New Roman" w:cs="Times New Roman"/>
          <w:b/>
        </w:rPr>
        <w:t>4.5</w:t>
      </w:r>
      <w:r w:rsidRPr="00E138C4">
        <w:rPr>
          <w:rFonts w:ascii="Times New Roman" w:hAnsi="Times New Roman" w:cs="Times New Roman"/>
          <w:b/>
        </w:rPr>
        <w:tab/>
        <w:t>Sąveika su kitais vaistiniais preparatais ir kitokia sąveika</w:t>
      </w:r>
    </w:p>
    <w:p w14:paraId="3BC33862" w14:textId="77777777" w:rsidR="00DD069E" w:rsidRPr="00E138C4" w:rsidRDefault="00DD069E" w:rsidP="00DD069E">
      <w:pPr>
        <w:spacing w:after="0" w:line="240" w:lineRule="auto"/>
        <w:rPr>
          <w:rFonts w:ascii="Times New Roman" w:hAnsi="Times New Roman" w:cs="Times New Roman"/>
        </w:rPr>
      </w:pPr>
    </w:p>
    <w:p w14:paraId="4B56D42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Dėl pagrindinio kvetiapino poveikio centrinei nervų sistemai jį vartoti kartu su kitais centrinio poveikio vaistiniais preparatais ir alkoholiu reikia atsargiai.</w:t>
      </w:r>
    </w:p>
    <w:p w14:paraId="5D16B49D" w14:textId="77777777" w:rsidR="00DD069E" w:rsidRPr="00E138C4" w:rsidRDefault="00DD069E" w:rsidP="00DD069E">
      <w:pPr>
        <w:spacing w:after="0" w:line="240" w:lineRule="auto"/>
        <w:rPr>
          <w:rFonts w:ascii="Times New Roman" w:hAnsi="Times New Roman" w:cs="Times New Roman"/>
        </w:rPr>
      </w:pPr>
    </w:p>
    <w:p w14:paraId="2E0B00E7" w14:textId="22E341F6" w:rsidR="00D17122" w:rsidRDefault="00D17122" w:rsidP="00DD069E">
      <w:pPr>
        <w:spacing w:after="0" w:line="240" w:lineRule="auto"/>
        <w:rPr>
          <w:rFonts w:ascii="Times New Roman" w:eastAsia="Calibri" w:hAnsi="Times New Roman" w:cs="Times New Roman"/>
        </w:rPr>
      </w:pPr>
      <w:r w:rsidRPr="00D17122">
        <w:rPr>
          <w:rFonts w:ascii="Times New Roman" w:eastAsia="Calibri" w:hAnsi="Times New Roman" w:cs="Times New Roman"/>
        </w:rPr>
        <w:t>Kvetiapiną reikia atsargiai vartoti kartu su serotoninerginiais vaistiniais preparatais, pavyzdžiui, MAO inhibitoriais, selektyviaisiais serotonino reabsorbcijos inhibitoriais (SSRI), serotonino ir noradrenalino reabsorbcijos inhibitoriais (SNRI) arba tricikliais antidepresantais, nes padidėja serotonino sindromo (sutrikimo, galinčio kelti pavojų gyvybei) išsivystymo rizika (žr. 4.4 skyrių).</w:t>
      </w:r>
    </w:p>
    <w:p w14:paraId="6B84C2FD" w14:textId="77777777" w:rsidR="00D17122" w:rsidRDefault="00D17122" w:rsidP="00DD069E">
      <w:pPr>
        <w:spacing w:after="0" w:line="240" w:lineRule="auto"/>
        <w:rPr>
          <w:rFonts w:ascii="Times New Roman" w:eastAsia="Calibri" w:hAnsi="Times New Roman" w:cs="Times New Roman"/>
        </w:rPr>
      </w:pPr>
    </w:p>
    <w:p w14:paraId="4B1BC4F3" w14:textId="3E8ABD16"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Kartu su kitais anticholinerginiais (antimuskarininiais) vaistiniais preparatais kvetiapino skiriama atsargiai (žr. 4.4 skyrių).</w:t>
      </w:r>
    </w:p>
    <w:p w14:paraId="035F76EC" w14:textId="77777777" w:rsidR="00DD069E" w:rsidRPr="00E138C4" w:rsidRDefault="00DD069E" w:rsidP="00DD069E">
      <w:pPr>
        <w:spacing w:after="0" w:line="240" w:lineRule="auto"/>
        <w:rPr>
          <w:rFonts w:ascii="Times New Roman" w:hAnsi="Times New Roman" w:cs="Times New Roman"/>
          <w:i/>
        </w:rPr>
      </w:pPr>
    </w:p>
    <w:p w14:paraId="0061EAA5" w14:textId="5B34E0B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Citochromas P450 (CYP) 3A4 yra fermentas, labiausiai atsakingas už citochromo P450 veikiamą kvetiapino metabolizmą. Atliekant sąveikos tyrimą su sveikais savanoriais, kvetiapiną (25 mg dozę) skiriant kartu su ketokonazolu, CYP3A4 inhibitoriumi, kvetiapino AUC padidėjo 5–8 kartus. Remiantis šiais duomenimis, negalima vartoti kvetiapino ir CYP3A4 inhibitorių tuo pačiu metu. Be to, vartojant kvetiapiną nerekomenduojama gerti greipfrutų sulčių.</w:t>
      </w:r>
    </w:p>
    <w:p w14:paraId="4773642E" w14:textId="77777777" w:rsidR="00DD069E" w:rsidRPr="00E138C4" w:rsidRDefault="00DD069E" w:rsidP="00DD069E">
      <w:pPr>
        <w:spacing w:after="0" w:line="240" w:lineRule="auto"/>
        <w:rPr>
          <w:rFonts w:ascii="Times New Roman" w:hAnsi="Times New Roman" w:cs="Times New Roman"/>
        </w:rPr>
      </w:pPr>
    </w:p>
    <w:p w14:paraId="30D700F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Kartotinių dozių tyrimo su pacientais metu, vertinant kvetiapino farmakokinetiką prieš skiriant karbamazepiną (žinomas kepenų fermentų induktorius) ir gydant karbamazepinu, nustatyta, kad kartu vartojant karbamazepiną labai padidėjo kvetiapino klirensas. Šis klirenso padidėjimas sumažino sisteminį kvetiapino poveikį (matuojamas AUC) vidutiniškai 13%, palyginti su kvetiapino klirensu, nustatytu vartojant vieną vaistinį preparatą, tačiau stipresnis poveikis pasireiškė tik kai kuriems pacientams. Dėl šios sąveikos gali sumažėti kvetiapino koncentracija plazmoje, o tai gali pakeisti gydymo kvetiapinu efektyvumą.</w:t>
      </w:r>
    </w:p>
    <w:p w14:paraId="434C09AC" w14:textId="77777777" w:rsidR="00DD069E" w:rsidRPr="00E138C4" w:rsidRDefault="00DD069E" w:rsidP="00DD069E">
      <w:pPr>
        <w:spacing w:after="0" w:line="240" w:lineRule="auto"/>
        <w:rPr>
          <w:rFonts w:ascii="Times New Roman" w:hAnsi="Times New Roman" w:cs="Times New Roman"/>
        </w:rPr>
      </w:pPr>
    </w:p>
    <w:p w14:paraId="571BE97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Vartojant kvetiapiną kartu su fenitoinu (mikrosomų izofermentų induktoriumi), gerokai padidėja kvetiapino klirensas, maždaug 450 %. Kepenų fermentų induktorių vartojančius pacientus galima gydyti kvetiapinu tik tokiu atveju, jeigu gydytojas nusprendžia, kad gydymo Ketilept nauda yra svarbesnė už gydymo kepenų fermentų induktoriais nutraukimo riziką. Svarbu, kad bet kokie gydymo kepenų fermentų induktoriumi pokyčiai būtų laipsniški ir prireikus būtų galima pakeisti vaistiniu preparatu, kuris neaktyvina kepenų fermentų (pvz., natrio valproatu) (taip pat žr. 4.4 skyrių).</w:t>
      </w:r>
    </w:p>
    <w:p w14:paraId="64D78BB6" w14:textId="77777777" w:rsidR="00DD069E" w:rsidRPr="00E138C4" w:rsidRDefault="00DD069E" w:rsidP="00DD069E">
      <w:pPr>
        <w:spacing w:after="0" w:line="240" w:lineRule="auto"/>
        <w:rPr>
          <w:rFonts w:ascii="Times New Roman" w:hAnsi="Times New Roman" w:cs="Times New Roman"/>
        </w:rPr>
      </w:pPr>
    </w:p>
    <w:p w14:paraId="3C17A20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Kartu vartoti antidepresantai imipraminas (CYP2D6 inhibitorius) ir fluoksetinas (CYP3A4 ir CYP2D6 inhibitorius) reikšmingos įtakos kvetiapino farmakokinetikai neturėjo.</w:t>
      </w:r>
    </w:p>
    <w:p w14:paraId="71AFC95F" w14:textId="77777777" w:rsidR="00DD069E" w:rsidRPr="00E138C4" w:rsidRDefault="00DD069E" w:rsidP="00DD069E">
      <w:pPr>
        <w:spacing w:after="0" w:line="240" w:lineRule="auto"/>
        <w:rPr>
          <w:rFonts w:ascii="Times New Roman" w:hAnsi="Times New Roman" w:cs="Times New Roman"/>
        </w:rPr>
      </w:pPr>
    </w:p>
    <w:p w14:paraId="7FCD31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Kartu vartoti vaistiniai preparatai nuo psichozės risperidonas ir haloperidolis reikšmingos įtakos kvetiapino farmakokinetikai neturėjo. Kartu vartojant tioridazino, kvetiapino klirensas padidėjo maždaug 70 %. </w:t>
      </w:r>
    </w:p>
    <w:p w14:paraId="7DFA96D8" w14:textId="77777777" w:rsidR="00DD069E" w:rsidRPr="00E138C4" w:rsidRDefault="00DD069E" w:rsidP="00DD069E">
      <w:pPr>
        <w:spacing w:after="0" w:line="240" w:lineRule="auto"/>
        <w:rPr>
          <w:rFonts w:ascii="Times New Roman" w:hAnsi="Times New Roman" w:cs="Times New Roman"/>
        </w:rPr>
      </w:pPr>
    </w:p>
    <w:p w14:paraId="1179E5A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Kartu vartotas cimetidinas įtakos kvetiapino farmakokinetikai neturėjo.</w:t>
      </w:r>
    </w:p>
    <w:p w14:paraId="0C6C74B7" w14:textId="77777777" w:rsidR="00DD069E" w:rsidRPr="00E138C4" w:rsidRDefault="00DD069E" w:rsidP="00DD069E">
      <w:pPr>
        <w:spacing w:after="0" w:line="240" w:lineRule="auto"/>
        <w:rPr>
          <w:rFonts w:ascii="Times New Roman" w:hAnsi="Times New Roman" w:cs="Times New Roman"/>
        </w:rPr>
      </w:pPr>
    </w:p>
    <w:p w14:paraId="37C64EA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Kartu vartojamas kvetiapinas įtakos ličio farmakokinetikai neturėjo.</w:t>
      </w:r>
    </w:p>
    <w:p w14:paraId="4DC4ED2E" w14:textId="77777777" w:rsidR="00DD069E" w:rsidRPr="00E138C4" w:rsidRDefault="00DD069E" w:rsidP="00DD069E">
      <w:pPr>
        <w:spacing w:after="0" w:line="240" w:lineRule="auto"/>
        <w:rPr>
          <w:rFonts w:ascii="Times New Roman" w:hAnsi="Times New Roman" w:cs="Times New Roman"/>
        </w:rPr>
      </w:pPr>
    </w:p>
    <w:p w14:paraId="16CBEF9B" w14:textId="6D078E72"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6 savaičių trukmės atsitiktinės atrankos tyrimo metu palyginus ličio ir </w:t>
      </w:r>
      <w:r w:rsidR="00762E49" w:rsidRPr="00E138C4">
        <w:rPr>
          <w:rFonts w:ascii="Times New Roman" w:hAnsi="Times New Roman" w:cs="Times New Roman"/>
        </w:rPr>
        <w:t xml:space="preserve">pailginto atpalaidavimo </w:t>
      </w:r>
      <w:r w:rsidRPr="00E138C4">
        <w:rPr>
          <w:rFonts w:ascii="Times New Roman" w:hAnsi="Times New Roman" w:cs="Times New Roman"/>
        </w:rPr>
        <w:t xml:space="preserve">kvetiapino derinio poveikį ūmine manija sergantiems suaugusiems pacientams su placebo ir </w:t>
      </w:r>
      <w:r w:rsidR="00762E49" w:rsidRPr="00E138C4">
        <w:rPr>
          <w:rFonts w:ascii="Times New Roman" w:hAnsi="Times New Roman" w:cs="Times New Roman"/>
        </w:rPr>
        <w:t xml:space="preserve">pailginto atpalaidavimo </w:t>
      </w:r>
      <w:r w:rsidRPr="00E138C4">
        <w:rPr>
          <w:rFonts w:ascii="Times New Roman" w:hAnsi="Times New Roman" w:cs="Times New Roman"/>
        </w:rPr>
        <w:t>kvetiapino derinio poveikiu, papildomo gydymo ličiu grupės pacientams dažniau negu papildomo gydymo placebu grupės užfiksuota ekstrapiramidinių sutrikimų (ypač tremoras), mieguistumas ir svorio prieaugis (žr. 5.1 skyrių).</w:t>
      </w:r>
    </w:p>
    <w:p w14:paraId="28B3C462" w14:textId="77777777" w:rsidR="00DD069E" w:rsidRPr="00E138C4" w:rsidRDefault="00DD069E" w:rsidP="00DD069E">
      <w:pPr>
        <w:spacing w:after="0" w:line="240" w:lineRule="auto"/>
        <w:rPr>
          <w:rFonts w:ascii="Times New Roman" w:hAnsi="Times New Roman" w:cs="Times New Roman"/>
        </w:rPr>
      </w:pPr>
    </w:p>
    <w:p w14:paraId="1381AA7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Kartu vartojami natrio valproatas ir kvetiapinas kliniškai reikšmingos įtakos vienas kito farmakokinetikai neturėjo. Retrospektyviojo vaikų ir paauglių, vartojusių valproato, kvetiapino arba jų abiejų, tyrimo metu leukopenija ir neutropenija šių vaistinių preparatų derinio grupės pacientams pasireiškė dažniau negu bet kurios monoterapijos grupės.</w:t>
      </w:r>
    </w:p>
    <w:p w14:paraId="70762A70" w14:textId="77777777" w:rsidR="00DD069E" w:rsidRPr="00E138C4" w:rsidRDefault="00DD069E" w:rsidP="00DD069E">
      <w:pPr>
        <w:spacing w:after="0" w:line="240" w:lineRule="auto"/>
        <w:rPr>
          <w:rFonts w:ascii="Times New Roman" w:hAnsi="Times New Roman" w:cs="Times New Roman"/>
        </w:rPr>
      </w:pPr>
    </w:p>
    <w:p w14:paraId="0047114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Oficialių sąveikos tyrimų su dažniausiai vartojamais širdies ir kraujagyslių sistemą veikiančiais vaistiniais preparatais nebuvo atlikta.</w:t>
      </w:r>
    </w:p>
    <w:p w14:paraId="416DF382" w14:textId="77777777" w:rsidR="00DD069E" w:rsidRPr="00E138C4" w:rsidRDefault="00DD069E" w:rsidP="00DD069E">
      <w:pPr>
        <w:spacing w:after="0" w:line="240" w:lineRule="auto"/>
        <w:rPr>
          <w:rFonts w:ascii="Times New Roman" w:hAnsi="Times New Roman" w:cs="Times New Roman"/>
        </w:rPr>
      </w:pPr>
    </w:p>
    <w:p w14:paraId="3223969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Kvetiapiną vartoti kartu su kitais vaistiniais preparatais, kurie sutrikdo elektrolitų pusiausvyrą ar ilgina QTc intervalą, reikia atsargiai.</w:t>
      </w:r>
    </w:p>
    <w:p w14:paraId="1A5541AD" w14:textId="77777777" w:rsidR="00DD069E" w:rsidRPr="00E138C4" w:rsidRDefault="00DD069E" w:rsidP="00DD069E">
      <w:pPr>
        <w:spacing w:after="0" w:line="240" w:lineRule="auto"/>
        <w:rPr>
          <w:rFonts w:ascii="Times New Roman" w:hAnsi="Times New Roman" w:cs="Times New Roman"/>
        </w:rPr>
      </w:pPr>
    </w:p>
    <w:p w14:paraId="53C5585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Gauta pranešimų apie klaidingai teigiamus metadono ir triciklių antidepresantų imunofermentinių tyrimų duomenis kvetiapiną vartojantiems pacientams. Abejotinus imunofermentinių tyrimų duomenis rekomenduojama patvirtinti tinkamais chromatografiniais metodais.</w:t>
      </w:r>
    </w:p>
    <w:p w14:paraId="54DC1C23" w14:textId="77777777" w:rsidR="00DD069E" w:rsidRPr="00E138C4" w:rsidRDefault="00DD069E" w:rsidP="00DD069E">
      <w:pPr>
        <w:spacing w:after="0" w:line="240" w:lineRule="auto"/>
        <w:rPr>
          <w:rFonts w:ascii="Times New Roman" w:hAnsi="Times New Roman" w:cs="Times New Roman"/>
        </w:rPr>
      </w:pPr>
    </w:p>
    <w:p w14:paraId="1B304C93"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4.6</w:t>
      </w:r>
      <w:r w:rsidRPr="00E138C4">
        <w:rPr>
          <w:rFonts w:ascii="Times New Roman" w:hAnsi="Times New Roman" w:cs="Times New Roman"/>
          <w:b/>
        </w:rPr>
        <w:tab/>
        <w:t>Vaisingumas, nėštumo ir žindymo laikotarpis</w:t>
      </w:r>
    </w:p>
    <w:p w14:paraId="26F65F6C" w14:textId="77777777" w:rsidR="00DD069E" w:rsidRPr="00E138C4" w:rsidRDefault="00DD069E" w:rsidP="00DD069E">
      <w:pPr>
        <w:spacing w:after="0" w:line="240" w:lineRule="auto"/>
        <w:rPr>
          <w:rFonts w:ascii="Times New Roman" w:hAnsi="Times New Roman" w:cs="Times New Roman"/>
        </w:rPr>
      </w:pPr>
    </w:p>
    <w:p w14:paraId="54B778AB"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Nėštumas</w:t>
      </w:r>
    </w:p>
    <w:p w14:paraId="1D9D0812" w14:textId="77777777" w:rsidR="00DD069E" w:rsidRPr="00E138C4" w:rsidRDefault="00DD069E" w:rsidP="00DD069E">
      <w:pPr>
        <w:autoSpaceDE w:val="0"/>
        <w:autoSpaceDN w:val="0"/>
        <w:adjustRightInd w:val="0"/>
        <w:spacing w:after="0" w:line="240" w:lineRule="auto"/>
        <w:rPr>
          <w:rFonts w:ascii="Times New Roman" w:hAnsi="Times New Roman" w:cs="Times New Roman"/>
          <w:i/>
        </w:rPr>
      </w:pPr>
      <w:r w:rsidRPr="00E138C4">
        <w:rPr>
          <w:rFonts w:ascii="Times New Roman" w:hAnsi="Times New Roman" w:cs="Times New Roman"/>
          <w:i/>
        </w:rPr>
        <w:lastRenderedPageBreak/>
        <w:t>Pirmasis trimestras</w:t>
      </w:r>
    </w:p>
    <w:p w14:paraId="2C4B6D1D"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Nedidelis kiekis publikuotų duomenų (apie 300 – 1000 nėštumų baigtis),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palankus poveikis viršija galimus pavojus.</w:t>
      </w:r>
    </w:p>
    <w:p w14:paraId="64A5AB74" w14:textId="77777777" w:rsidR="00DD069E" w:rsidRPr="00E138C4" w:rsidRDefault="00DD069E" w:rsidP="00DD069E">
      <w:pPr>
        <w:spacing w:after="0" w:line="240" w:lineRule="auto"/>
        <w:rPr>
          <w:rFonts w:ascii="Times New Roman" w:hAnsi="Times New Roman" w:cs="Times New Roman"/>
        </w:rPr>
      </w:pPr>
    </w:p>
    <w:p w14:paraId="42AF6AA4"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Trečiasis trimestras</w:t>
      </w:r>
    </w:p>
    <w:p w14:paraId="5E9AE5D3"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Naujagimiams, kurie nėštumo trečiojo trimestro metu buvo paveikti antipsichotiniais vaistiniais preparatais (įskaitant kvetiapiną), kyla šalutinio poveikio rizika, įskaitant ekstrapiramidinius ir / arba nutraukimo simptomus, kurie gali skirtis pagal sunkumą ir trukmę po gimimo. Buvo gauta pranešimų apie sujaudinimą, hipertoniją, hipotoniją, tremorą / drebėjimą, mieguistumą, kvėpavimo slopinimą ir maitinimosi sutrikimą. Dėl šios priežasties naujagimius reikia atidžiai stebėti.</w:t>
      </w:r>
    </w:p>
    <w:p w14:paraId="776FBE18" w14:textId="77777777" w:rsidR="00DD069E" w:rsidRPr="00E138C4" w:rsidRDefault="00DD069E" w:rsidP="00DD069E">
      <w:pPr>
        <w:spacing w:after="0" w:line="240" w:lineRule="auto"/>
        <w:rPr>
          <w:rFonts w:ascii="Times New Roman" w:hAnsi="Times New Roman" w:cs="Times New Roman"/>
        </w:rPr>
      </w:pPr>
    </w:p>
    <w:p w14:paraId="14DC94E2"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Žindymas</w:t>
      </w:r>
    </w:p>
    <w:p w14:paraId="6D4866C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Remiantis labai nedideliu publikuotų pranešimų apie kvetiapino išskyrimą į moters pieną duomenų kiekiu, informacija apie terapinėmis dozėmis vartojamo kvetiapino išskyrimą yra prieštaringa. Nesant tvirtų duomenų būtina nuspręsti, ar nutraukti žindymą, ar kvetiapino vartojimą atsižvelgiant į žindymo naudą kūdikiui ir gydymo naudą motinai.</w:t>
      </w:r>
    </w:p>
    <w:p w14:paraId="0D9D02B2" w14:textId="77777777" w:rsidR="00DD069E" w:rsidRPr="00E138C4" w:rsidRDefault="00DD069E" w:rsidP="00DD069E">
      <w:pPr>
        <w:spacing w:after="0" w:line="240" w:lineRule="auto"/>
        <w:rPr>
          <w:rFonts w:ascii="Times New Roman" w:hAnsi="Times New Roman" w:cs="Times New Roman"/>
        </w:rPr>
      </w:pPr>
    </w:p>
    <w:p w14:paraId="5B7D24EE"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Vaisingumas</w:t>
      </w:r>
    </w:p>
    <w:p w14:paraId="6AFE962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 poveikis žmogaus vaisingumui netirtas. Žiurkėms nustatytas su padidėjusia prolaktino koncentracija susijęs poveikis, tačiau tiesioginės reikšmės žmonėms jis neturi (žr. 5.3 skyrių).</w:t>
      </w:r>
    </w:p>
    <w:p w14:paraId="43D23765" w14:textId="77777777" w:rsidR="00DD069E" w:rsidRPr="00E138C4" w:rsidRDefault="00DD069E" w:rsidP="00DD069E">
      <w:pPr>
        <w:spacing w:after="0" w:line="240" w:lineRule="auto"/>
        <w:rPr>
          <w:rFonts w:ascii="Times New Roman" w:hAnsi="Times New Roman" w:cs="Times New Roman"/>
        </w:rPr>
      </w:pPr>
    </w:p>
    <w:p w14:paraId="72A3FB93"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4.7</w:t>
      </w:r>
      <w:r w:rsidRPr="00E138C4">
        <w:rPr>
          <w:rFonts w:ascii="Times New Roman" w:hAnsi="Times New Roman" w:cs="Times New Roman"/>
          <w:b/>
        </w:rPr>
        <w:tab/>
        <w:t>Poveikis gebėjimui vairuoti ir valdyti mechanizmus</w:t>
      </w:r>
    </w:p>
    <w:p w14:paraId="17F72719" w14:textId="77777777" w:rsidR="00DD069E" w:rsidRPr="00E138C4" w:rsidRDefault="00DD069E" w:rsidP="00DD069E">
      <w:pPr>
        <w:spacing w:after="0" w:line="240" w:lineRule="auto"/>
        <w:rPr>
          <w:rFonts w:ascii="Times New Roman" w:hAnsi="Times New Roman" w:cs="Times New Roman"/>
        </w:rPr>
      </w:pPr>
    </w:p>
    <w:p w14:paraId="7FA3A4B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Atsižvelgiant į pagrindinį kvetiapino poveikį centrinei nervų sistemai, manoma, kad šis vaistinis preparatas gali trikdyti veiklą, kuriai reikia sutelkto dėmesio. Dėl to pacientui reikia patarti, kad nevairuotų ir nevaldytų mechanizmų, kol paaiškės jo individualus jautrumas šio vaistinio preparato poveikiui.</w:t>
      </w:r>
    </w:p>
    <w:p w14:paraId="43F43C35" w14:textId="77777777" w:rsidR="00DD069E" w:rsidRPr="00E138C4" w:rsidRDefault="00DD069E" w:rsidP="00DD069E">
      <w:pPr>
        <w:spacing w:after="0" w:line="240" w:lineRule="auto"/>
        <w:rPr>
          <w:rFonts w:ascii="Times New Roman" w:hAnsi="Times New Roman" w:cs="Times New Roman"/>
        </w:rPr>
      </w:pPr>
    </w:p>
    <w:p w14:paraId="0BB68ACF" w14:textId="77777777" w:rsidR="00DD069E" w:rsidRPr="00E138C4" w:rsidRDefault="00DD069E" w:rsidP="00DD069E">
      <w:pPr>
        <w:numPr>
          <w:ilvl w:val="1"/>
          <w:numId w:val="2"/>
        </w:numPr>
        <w:spacing w:after="0" w:line="240" w:lineRule="auto"/>
        <w:outlineLvl w:val="0"/>
        <w:rPr>
          <w:rFonts w:ascii="Times New Roman" w:hAnsi="Times New Roman" w:cs="Times New Roman"/>
          <w:b/>
        </w:rPr>
      </w:pPr>
      <w:r w:rsidRPr="00E138C4">
        <w:rPr>
          <w:rFonts w:ascii="Times New Roman" w:hAnsi="Times New Roman" w:cs="Times New Roman"/>
          <w:b/>
        </w:rPr>
        <w:t>Nepageidaujamas poveikis</w:t>
      </w:r>
    </w:p>
    <w:p w14:paraId="74F7DA99" w14:textId="77777777" w:rsidR="00DD069E" w:rsidRPr="00E138C4" w:rsidRDefault="00DD069E" w:rsidP="00DD069E">
      <w:pPr>
        <w:spacing w:after="0" w:line="240" w:lineRule="auto"/>
        <w:rPr>
          <w:rFonts w:ascii="Times New Roman" w:hAnsi="Times New Roman" w:cs="Times New Roman"/>
        </w:rPr>
      </w:pPr>
    </w:p>
    <w:p w14:paraId="638A10A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Dažniausios praneštos nepageidaujamos reakcijos į vaistinį preparatą (NRV), pasireiškusios vartojant kvetiapiną yra mieguistumas, galvos svaigimas, galvos skausmas, burnos džiūvimas, nutraukimo simptomai, padidėjusi trigliceridų koncentracija serume, padidėjusi bendrojo (ypač MTL) cholesterolio koncentracija, sumažėjusi DTL cholesterolio koncentracija, svorio prieaugis, sumažėjusi hemoglobino koncentracija ir ekstrapiramidiniai simptomai.</w:t>
      </w:r>
    </w:p>
    <w:p w14:paraId="42AD8DE4" w14:textId="77777777" w:rsidR="00DD069E" w:rsidRPr="00E138C4" w:rsidRDefault="00DD069E" w:rsidP="00DD069E">
      <w:pPr>
        <w:spacing w:after="0" w:line="240" w:lineRule="auto"/>
        <w:rPr>
          <w:rFonts w:ascii="Times New Roman" w:hAnsi="Times New Roman" w:cs="Times New Roman"/>
        </w:rPr>
      </w:pPr>
    </w:p>
    <w:p w14:paraId="172938A6" w14:textId="77777777" w:rsidR="00A05A93" w:rsidRPr="00E138C4" w:rsidRDefault="00A05A93" w:rsidP="00DD069E">
      <w:pPr>
        <w:spacing w:after="0" w:line="240" w:lineRule="auto"/>
        <w:rPr>
          <w:rFonts w:ascii="Times New Roman" w:hAnsi="Times New Roman" w:cs="Times New Roman"/>
        </w:rPr>
      </w:pPr>
      <w:r w:rsidRPr="00E138C4">
        <w:rPr>
          <w:rFonts w:ascii="Times New Roman" w:hAnsi="Times New Roman" w:cs="Times New Roman"/>
        </w:rPr>
        <w:t xml:space="preserve">Vartojant kvetiapiną, užfiksuota stipriai išreikštų odos nepageidaujamų reakcijų (angl. </w:t>
      </w:r>
      <w:r w:rsidRPr="00E138C4">
        <w:rPr>
          <w:rFonts w:ascii="Times New Roman" w:hAnsi="Times New Roman" w:cs="Times New Roman"/>
          <w:i/>
        </w:rPr>
        <w:t>severe cutaneous adverse reactions, SCARs</w:t>
      </w:r>
      <w:r w:rsidRPr="00E138C4">
        <w:rPr>
          <w:rFonts w:ascii="Times New Roman" w:hAnsi="Times New Roman" w:cs="Times New Roman"/>
        </w:rPr>
        <w:t>), įskaitant Stevens-Johnson sindromą (SJS), toksinę epidermio nekrolizę (TEN) ir reakciją į vaist</w:t>
      </w:r>
      <w:r w:rsidR="003F2D8E" w:rsidRPr="00E138C4">
        <w:rPr>
          <w:rFonts w:ascii="Times New Roman" w:hAnsi="Times New Roman" w:cs="Times New Roman"/>
        </w:rPr>
        <w:t>inį preparat</w:t>
      </w:r>
      <w:r w:rsidRPr="00E138C4">
        <w:rPr>
          <w:rFonts w:ascii="Times New Roman" w:hAnsi="Times New Roman" w:cs="Times New Roman"/>
        </w:rPr>
        <w:t xml:space="preserve">ą su eozinofilija ir sisteminiais simptomais (angl. </w:t>
      </w:r>
      <w:r w:rsidRPr="00E138C4">
        <w:rPr>
          <w:rFonts w:ascii="Times New Roman" w:hAnsi="Times New Roman" w:cs="Times New Roman"/>
          <w:i/>
        </w:rPr>
        <w:t>Drug Rash with Eosinophilia and Systemic Symptoms, DRESS</w:t>
      </w:r>
      <w:r w:rsidRPr="00E138C4">
        <w:rPr>
          <w:rFonts w:ascii="Times New Roman" w:hAnsi="Times New Roman" w:cs="Times New Roman"/>
        </w:rPr>
        <w:t>).</w:t>
      </w:r>
    </w:p>
    <w:p w14:paraId="236F0376" w14:textId="77777777" w:rsidR="00A05A93" w:rsidRPr="00E138C4" w:rsidRDefault="00A05A93" w:rsidP="00DD069E">
      <w:pPr>
        <w:spacing w:after="0" w:line="240" w:lineRule="auto"/>
        <w:rPr>
          <w:rFonts w:ascii="Times New Roman" w:eastAsia="Calibri" w:hAnsi="Times New Roman" w:cs="Times New Roman"/>
        </w:rPr>
      </w:pPr>
    </w:p>
    <w:p w14:paraId="74E4807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NRV, pasireiškusių vartojant kvetiapino, dažnis nurodomas žemiau pateikiamoje 1 lentelėje laikantis</w:t>
      </w:r>
    </w:p>
    <w:p w14:paraId="7D210A5A"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rPr>
        <w:t xml:space="preserve">Medicinos mokslų tarptautinių organizacijų tarybos (angl. </w:t>
      </w:r>
      <w:r w:rsidRPr="00E138C4">
        <w:rPr>
          <w:rFonts w:ascii="Times New Roman" w:hAnsi="Times New Roman" w:cs="Times New Roman"/>
          <w:i/>
        </w:rPr>
        <w:t>Council for International Organizations of</w:t>
      </w:r>
    </w:p>
    <w:p w14:paraId="779716A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Medical Sciences</w:t>
      </w:r>
      <w:r w:rsidRPr="00E138C4">
        <w:rPr>
          <w:rFonts w:ascii="Times New Roman" w:hAnsi="Times New Roman" w:cs="Times New Roman"/>
        </w:rPr>
        <w:t>, CIOMS) rekomendacijų (CIOMS III darbo grupė, 1995).</w:t>
      </w:r>
    </w:p>
    <w:p w14:paraId="7A4CFD86" w14:textId="77777777" w:rsidR="00DD069E" w:rsidRPr="00E138C4" w:rsidRDefault="00DD069E" w:rsidP="00DD069E">
      <w:pPr>
        <w:spacing w:after="0" w:line="240" w:lineRule="auto"/>
        <w:rPr>
          <w:rFonts w:ascii="Times New Roman" w:hAnsi="Times New Roman" w:cs="Times New Roman"/>
        </w:rPr>
      </w:pPr>
    </w:p>
    <w:p w14:paraId="76A6FD6E" w14:textId="77777777" w:rsidR="00DD069E" w:rsidRPr="00E138C4" w:rsidRDefault="00DD069E" w:rsidP="00DD069E">
      <w:pPr>
        <w:autoSpaceDE w:val="0"/>
        <w:autoSpaceDN w:val="0"/>
        <w:adjustRightInd w:val="0"/>
        <w:spacing w:after="0" w:line="240" w:lineRule="auto"/>
        <w:rPr>
          <w:rFonts w:ascii="Times New Roman" w:hAnsi="Times New Roman" w:cs="Times New Roman"/>
          <w:b/>
        </w:rPr>
      </w:pPr>
      <w:r w:rsidRPr="00E138C4">
        <w:rPr>
          <w:rFonts w:ascii="Times New Roman" w:hAnsi="Times New Roman" w:cs="Times New Roman"/>
          <w:b/>
        </w:rPr>
        <w:t>1 lentelė. Su kvetiapino vartojimu susijusios NRV</w:t>
      </w:r>
    </w:p>
    <w:p w14:paraId="7F55599F" w14:textId="77777777" w:rsidR="00DD069E" w:rsidRPr="00E138C4" w:rsidRDefault="00DD069E" w:rsidP="00DD069E">
      <w:pPr>
        <w:spacing w:after="0" w:line="240" w:lineRule="auto"/>
        <w:rPr>
          <w:rFonts w:ascii="Times New Roman" w:hAnsi="Times New Roman" w:cs="Times New Roman"/>
        </w:rPr>
      </w:pPr>
    </w:p>
    <w:p w14:paraId="085C21ED" w14:textId="2963C9E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Nepageidaujamo poveikio dažnis apibūdinamas</w:t>
      </w:r>
      <w:r w:rsidRPr="00E138C4" w:rsidDel="00664E2F">
        <w:rPr>
          <w:rFonts w:ascii="Times New Roman" w:hAnsi="Times New Roman" w:cs="Times New Roman"/>
        </w:rPr>
        <w:t xml:space="preserve"> </w:t>
      </w:r>
      <w:r w:rsidRPr="00E138C4">
        <w:rPr>
          <w:rFonts w:ascii="Times New Roman" w:hAnsi="Times New Roman" w:cs="Times New Roman"/>
        </w:rPr>
        <w:t>taip: labai dažnas (≥ 1/10), dažnas (nuo ≥ 1/100 iki &lt; 1/10), nedažnas (nuo ≥ 1/1</w:t>
      </w:r>
      <w:r w:rsidR="00707EAF" w:rsidRPr="00E138C4">
        <w:rPr>
          <w:rFonts w:ascii="Times New Roman" w:hAnsi="Times New Roman" w:cs="Times New Roman"/>
        </w:rPr>
        <w:t> </w:t>
      </w:r>
      <w:r w:rsidRPr="00E138C4">
        <w:rPr>
          <w:rFonts w:ascii="Times New Roman" w:hAnsi="Times New Roman" w:cs="Times New Roman"/>
        </w:rPr>
        <w:t>000 iki &lt; 1/100), retas (nuo ≥ 1/10</w:t>
      </w:r>
      <w:r w:rsidR="00707EAF" w:rsidRPr="00E138C4">
        <w:rPr>
          <w:rFonts w:ascii="Times New Roman" w:hAnsi="Times New Roman" w:cs="Times New Roman"/>
        </w:rPr>
        <w:t> </w:t>
      </w:r>
      <w:r w:rsidRPr="00E138C4">
        <w:rPr>
          <w:rFonts w:ascii="Times New Roman" w:hAnsi="Times New Roman" w:cs="Times New Roman"/>
        </w:rPr>
        <w:t>000 iki &lt; 1/1000), labai retas (&lt; 1/10</w:t>
      </w:r>
      <w:r w:rsidR="00707EAF" w:rsidRPr="00E138C4">
        <w:rPr>
          <w:rFonts w:ascii="Times New Roman" w:hAnsi="Times New Roman" w:cs="Times New Roman"/>
        </w:rPr>
        <w:t> </w:t>
      </w:r>
      <w:r w:rsidRPr="00E138C4">
        <w:rPr>
          <w:rFonts w:ascii="Times New Roman" w:hAnsi="Times New Roman" w:cs="Times New Roman"/>
        </w:rPr>
        <w:t>000) ir nežinomas (negali būti apskaičiuotas pagal turimus duomenis).</w:t>
      </w:r>
    </w:p>
    <w:p w14:paraId="518E29A2" w14:textId="77777777" w:rsidR="00DD069E" w:rsidRPr="00E138C4" w:rsidRDefault="00DD069E" w:rsidP="00DD069E">
      <w:pPr>
        <w:spacing w:after="0" w:line="240" w:lineRule="auto"/>
        <w:rPr>
          <w:rFonts w:ascii="Times New Roman" w:hAnsi="Times New Roman" w:cs="Times New Roman"/>
        </w:rPr>
      </w:pPr>
    </w:p>
    <w:tbl>
      <w:tblPr>
        <w:tblW w:w="10491" w:type="dxa"/>
        <w:tblInd w:w="-432" w:type="dxa"/>
        <w:tblLayout w:type="fixed"/>
        <w:tblCellMar>
          <w:left w:w="0" w:type="dxa"/>
          <w:right w:w="0" w:type="dxa"/>
        </w:tblCellMar>
        <w:tblLook w:val="01E0" w:firstRow="1" w:lastRow="1" w:firstColumn="1" w:lastColumn="1" w:noHBand="0" w:noVBand="0"/>
      </w:tblPr>
      <w:tblGrid>
        <w:gridCol w:w="1277"/>
        <w:gridCol w:w="1701"/>
        <w:gridCol w:w="1984"/>
        <w:gridCol w:w="1560"/>
        <w:gridCol w:w="1417"/>
        <w:gridCol w:w="1276"/>
        <w:gridCol w:w="1276"/>
      </w:tblGrid>
      <w:tr w:rsidR="00E138C4" w:rsidRPr="00E138C4" w14:paraId="68016ADB" w14:textId="77777777" w:rsidTr="007B7988">
        <w:trPr>
          <w:trHeight w:hRule="exact" w:val="828"/>
          <w:tblHeader/>
        </w:trPr>
        <w:tc>
          <w:tcPr>
            <w:tcW w:w="1277" w:type="dxa"/>
            <w:tcBorders>
              <w:top w:val="single" w:sz="5" w:space="0" w:color="000000"/>
              <w:left w:val="single" w:sz="5" w:space="0" w:color="000000"/>
              <w:bottom w:val="single" w:sz="5" w:space="0" w:color="000000"/>
              <w:right w:val="single" w:sz="5" w:space="0" w:color="000000"/>
            </w:tcBorders>
          </w:tcPr>
          <w:p w14:paraId="55E00FF4"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lastRenderedPageBreak/>
              <w:t>Organų</w:t>
            </w:r>
            <w:r w:rsidRPr="00B14475">
              <w:rPr>
                <w:rFonts w:ascii="Times New Roman" w:hAnsi="Times New Roman" w:cs="Times New Roman"/>
                <w:sz w:val="20"/>
                <w:szCs w:val="20"/>
                <w:u w:val="single"/>
              </w:rPr>
              <w:t xml:space="preserve"> </w:t>
            </w:r>
            <w:r w:rsidRPr="00B14475">
              <w:rPr>
                <w:rFonts w:ascii="Times New Roman" w:hAnsi="Times New Roman" w:cs="Times New Roman"/>
                <w:b/>
                <w:sz w:val="20"/>
                <w:szCs w:val="20"/>
                <w:u w:val="single"/>
              </w:rPr>
              <w:t>sistemų grupė</w:t>
            </w:r>
          </w:p>
        </w:tc>
        <w:tc>
          <w:tcPr>
            <w:tcW w:w="1701" w:type="dxa"/>
            <w:tcBorders>
              <w:top w:val="single" w:sz="5" w:space="0" w:color="000000"/>
              <w:left w:val="single" w:sz="5" w:space="0" w:color="000000"/>
              <w:bottom w:val="single" w:sz="5" w:space="0" w:color="000000"/>
              <w:right w:val="single" w:sz="5" w:space="0" w:color="000000"/>
            </w:tcBorders>
          </w:tcPr>
          <w:p w14:paraId="0FD0F742"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Labai dažnas</w:t>
            </w:r>
          </w:p>
        </w:tc>
        <w:tc>
          <w:tcPr>
            <w:tcW w:w="1984" w:type="dxa"/>
            <w:tcBorders>
              <w:top w:val="single" w:sz="5" w:space="0" w:color="000000"/>
              <w:left w:val="single" w:sz="5" w:space="0" w:color="000000"/>
              <w:bottom w:val="single" w:sz="5" w:space="0" w:color="000000"/>
              <w:right w:val="single" w:sz="5" w:space="0" w:color="000000"/>
            </w:tcBorders>
          </w:tcPr>
          <w:p w14:paraId="5EAA5CDE"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Dažnas</w:t>
            </w:r>
          </w:p>
        </w:tc>
        <w:tc>
          <w:tcPr>
            <w:tcW w:w="1560" w:type="dxa"/>
            <w:tcBorders>
              <w:top w:val="single" w:sz="5" w:space="0" w:color="000000"/>
              <w:left w:val="single" w:sz="5" w:space="0" w:color="000000"/>
              <w:bottom w:val="single" w:sz="5" w:space="0" w:color="000000"/>
              <w:right w:val="single" w:sz="5" w:space="0" w:color="000000"/>
            </w:tcBorders>
          </w:tcPr>
          <w:p w14:paraId="48B98BD6"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Nedažnas</w:t>
            </w:r>
          </w:p>
        </w:tc>
        <w:tc>
          <w:tcPr>
            <w:tcW w:w="1417" w:type="dxa"/>
            <w:tcBorders>
              <w:top w:val="single" w:sz="5" w:space="0" w:color="000000"/>
              <w:left w:val="single" w:sz="5" w:space="0" w:color="000000"/>
              <w:bottom w:val="single" w:sz="5" w:space="0" w:color="000000"/>
              <w:right w:val="single" w:sz="5" w:space="0" w:color="000000"/>
            </w:tcBorders>
          </w:tcPr>
          <w:p w14:paraId="11366CC2"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Retas</w:t>
            </w:r>
          </w:p>
        </w:tc>
        <w:tc>
          <w:tcPr>
            <w:tcW w:w="1276" w:type="dxa"/>
            <w:tcBorders>
              <w:top w:val="single" w:sz="5" w:space="0" w:color="000000"/>
              <w:left w:val="single" w:sz="5" w:space="0" w:color="000000"/>
              <w:bottom w:val="single" w:sz="5" w:space="0" w:color="000000"/>
              <w:right w:val="single" w:sz="5" w:space="0" w:color="000000"/>
            </w:tcBorders>
          </w:tcPr>
          <w:p w14:paraId="6FF7040C"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Labai retas</w:t>
            </w:r>
          </w:p>
        </w:tc>
        <w:tc>
          <w:tcPr>
            <w:tcW w:w="1276" w:type="dxa"/>
            <w:tcBorders>
              <w:top w:val="single" w:sz="5" w:space="0" w:color="000000"/>
              <w:left w:val="single" w:sz="5" w:space="0" w:color="000000"/>
              <w:bottom w:val="single" w:sz="5" w:space="0" w:color="000000"/>
              <w:right w:val="single" w:sz="5" w:space="0" w:color="000000"/>
            </w:tcBorders>
          </w:tcPr>
          <w:p w14:paraId="72633BB0" w14:textId="77777777" w:rsidR="00DD069E" w:rsidRPr="00B14475" w:rsidRDefault="00DD069E" w:rsidP="00DD069E">
            <w:pPr>
              <w:spacing w:after="0" w:line="240" w:lineRule="auto"/>
              <w:ind w:right="-395"/>
              <w:rPr>
                <w:rFonts w:ascii="Times New Roman" w:hAnsi="Times New Roman" w:cs="Times New Roman"/>
                <w:sz w:val="20"/>
                <w:szCs w:val="20"/>
                <w:u w:val="single"/>
              </w:rPr>
            </w:pPr>
            <w:r w:rsidRPr="00B14475">
              <w:rPr>
                <w:rFonts w:ascii="Times New Roman" w:hAnsi="Times New Roman" w:cs="Times New Roman"/>
                <w:b/>
                <w:sz w:val="20"/>
                <w:szCs w:val="20"/>
                <w:u w:val="single"/>
              </w:rPr>
              <w:t>Dažnis</w:t>
            </w:r>
          </w:p>
          <w:p w14:paraId="63F5CE8A" w14:textId="77777777" w:rsidR="00DD069E" w:rsidRPr="00B14475" w:rsidRDefault="00DD069E" w:rsidP="00DD069E">
            <w:pPr>
              <w:spacing w:after="0" w:line="240" w:lineRule="auto"/>
              <w:rPr>
                <w:rFonts w:ascii="Times New Roman" w:hAnsi="Times New Roman" w:cs="Times New Roman"/>
                <w:sz w:val="20"/>
                <w:szCs w:val="20"/>
                <w:u w:val="single"/>
              </w:rPr>
            </w:pPr>
            <w:r w:rsidRPr="00B14475">
              <w:rPr>
                <w:rFonts w:ascii="Times New Roman" w:hAnsi="Times New Roman" w:cs="Times New Roman"/>
                <w:b/>
                <w:sz w:val="20"/>
                <w:szCs w:val="20"/>
                <w:u w:val="single"/>
              </w:rPr>
              <w:t>nežinomas</w:t>
            </w:r>
          </w:p>
        </w:tc>
      </w:tr>
      <w:tr w:rsidR="00E138C4" w:rsidRPr="00E138C4" w14:paraId="53B57107"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196D54E3"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i/>
                <w:sz w:val="20"/>
                <w:szCs w:val="20"/>
              </w:rPr>
              <w:t>Kraujo ir</w:t>
            </w:r>
            <w:r w:rsidRPr="00B14475">
              <w:rPr>
                <w:rFonts w:ascii="Times New Roman" w:hAnsi="Times New Roman" w:cs="Times New Roman"/>
                <w:sz w:val="20"/>
                <w:szCs w:val="20"/>
              </w:rPr>
              <w:t xml:space="preserve"> </w:t>
            </w:r>
            <w:r w:rsidRPr="00B14475">
              <w:rPr>
                <w:rFonts w:ascii="Times New Roman" w:hAnsi="Times New Roman" w:cs="Times New Roman"/>
                <w:i/>
                <w:sz w:val="20"/>
                <w:szCs w:val="20"/>
              </w:rPr>
              <w:t>limfinės sistemos sutrikimai</w:t>
            </w:r>
          </w:p>
        </w:tc>
        <w:tc>
          <w:tcPr>
            <w:tcW w:w="1701" w:type="dxa"/>
            <w:tcBorders>
              <w:top w:val="single" w:sz="5" w:space="0" w:color="000000"/>
              <w:left w:val="single" w:sz="5" w:space="0" w:color="000000"/>
              <w:bottom w:val="single" w:sz="5" w:space="0" w:color="000000"/>
              <w:right w:val="single" w:sz="5" w:space="0" w:color="000000"/>
            </w:tcBorders>
          </w:tcPr>
          <w:p w14:paraId="125E4F93" w14:textId="0219A0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Sumažėjusi hemoglobino koncentracija</w:t>
            </w:r>
            <w:r w:rsidRPr="00B14475">
              <w:rPr>
                <w:rFonts w:ascii="Times New Roman" w:hAnsi="Times New Roman" w:cs="Times New Roman"/>
                <w:sz w:val="20"/>
                <w:szCs w:val="20"/>
                <w:vertAlign w:val="superscript"/>
              </w:rPr>
              <w:t>22</w:t>
            </w:r>
          </w:p>
        </w:tc>
        <w:tc>
          <w:tcPr>
            <w:tcW w:w="1984" w:type="dxa"/>
            <w:tcBorders>
              <w:top w:val="single" w:sz="5" w:space="0" w:color="000000"/>
              <w:left w:val="single" w:sz="5" w:space="0" w:color="000000"/>
              <w:bottom w:val="single" w:sz="5" w:space="0" w:color="000000"/>
              <w:right w:val="single" w:sz="5" w:space="0" w:color="000000"/>
            </w:tcBorders>
          </w:tcPr>
          <w:p w14:paraId="471F7C57" w14:textId="2C2DAE1A"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Leukopenija</w:t>
            </w:r>
            <w:r w:rsidRPr="00B14475">
              <w:rPr>
                <w:rFonts w:ascii="Times New Roman" w:hAnsi="Times New Roman" w:cs="Times New Roman"/>
                <w:sz w:val="20"/>
                <w:szCs w:val="20"/>
                <w:vertAlign w:val="superscript"/>
              </w:rPr>
              <w:t>1, 28</w:t>
            </w:r>
            <w:r w:rsidRPr="00B14475">
              <w:rPr>
                <w:rFonts w:ascii="Times New Roman" w:hAnsi="Times New Roman" w:cs="Times New Roman"/>
                <w:sz w:val="20"/>
                <w:szCs w:val="20"/>
              </w:rPr>
              <w:t>,</w:t>
            </w:r>
          </w:p>
          <w:p w14:paraId="1DF1E974" w14:textId="6F7CF01D"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sumažėjęs neutrofilų kiekis, padidėjęs eozinofilų kiekis</w:t>
            </w:r>
            <w:r w:rsidRPr="00B14475">
              <w:rPr>
                <w:rFonts w:ascii="Times New Roman" w:hAnsi="Times New Roman" w:cs="Times New Roman"/>
                <w:sz w:val="20"/>
                <w:szCs w:val="20"/>
                <w:vertAlign w:val="superscript"/>
              </w:rPr>
              <w:t>27</w:t>
            </w:r>
          </w:p>
        </w:tc>
        <w:tc>
          <w:tcPr>
            <w:tcW w:w="1560" w:type="dxa"/>
            <w:tcBorders>
              <w:top w:val="single" w:sz="5" w:space="0" w:color="000000"/>
              <w:left w:val="single" w:sz="5" w:space="0" w:color="000000"/>
              <w:bottom w:val="single" w:sz="5" w:space="0" w:color="000000"/>
              <w:right w:val="single" w:sz="5" w:space="0" w:color="000000"/>
            </w:tcBorders>
          </w:tcPr>
          <w:p w14:paraId="6495C46E" w14:textId="58F6F608"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Neutropenija</w:t>
            </w: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Trombocitopeni-ja, anemija, sumažėjęs trombocitų kiekis</w:t>
            </w:r>
            <w:r w:rsidRPr="00B14475">
              <w:rPr>
                <w:rFonts w:ascii="Times New Roman" w:hAnsi="Times New Roman" w:cs="Times New Roman"/>
                <w:sz w:val="20"/>
                <w:szCs w:val="20"/>
                <w:vertAlign w:val="superscript"/>
              </w:rPr>
              <w:t>13</w:t>
            </w:r>
          </w:p>
        </w:tc>
        <w:tc>
          <w:tcPr>
            <w:tcW w:w="1417" w:type="dxa"/>
            <w:tcBorders>
              <w:top w:val="single" w:sz="5" w:space="0" w:color="000000"/>
              <w:left w:val="single" w:sz="5" w:space="0" w:color="000000"/>
              <w:bottom w:val="single" w:sz="5" w:space="0" w:color="000000"/>
              <w:right w:val="single" w:sz="5" w:space="0" w:color="000000"/>
            </w:tcBorders>
          </w:tcPr>
          <w:p w14:paraId="609DA020" w14:textId="15496C79"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Agranulocitozė</w:t>
            </w:r>
            <w:r w:rsidRPr="00B14475">
              <w:rPr>
                <w:rFonts w:ascii="Times New Roman" w:hAnsi="Times New Roman" w:cs="Times New Roman"/>
                <w:sz w:val="20"/>
                <w:szCs w:val="20"/>
                <w:vertAlign w:val="superscript"/>
              </w:rPr>
              <w:t>26</w:t>
            </w:r>
          </w:p>
        </w:tc>
        <w:tc>
          <w:tcPr>
            <w:tcW w:w="1276" w:type="dxa"/>
            <w:tcBorders>
              <w:top w:val="single" w:sz="5" w:space="0" w:color="000000"/>
              <w:left w:val="single" w:sz="5" w:space="0" w:color="000000"/>
              <w:bottom w:val="single" w:sz="5" w:space="0" w:color="000000"/>
              <w:right w:val="single" w:sz="5" w:space="0" w:color="000000"/>
            </w:tcBorders>
          </w:tcPr>
          <w:p w14:paraId="1A14E89C"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F2C5B40"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701B0C10"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72BDFE05"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Imuninės sistemos sutrikimai</w:t>
            </w:r>
          </w:p>
        </w:tc>
        <w:tc>
          <w:tcPr>
            <w:tcW w:w="1701" w:type="dxa"/>
            <w:tcBorders>
              <w:top w:val="single" w:sz="5" w:space="0" w:color="000000"/>
              <w:left w:val="single" w:sz="5" w:space="0" w:color="000000"/>
              <w:bottom w:val="single" w:sz="5" w:space="0" w:color="000000"/>
              <w:right w:val="single" w:sz="5" w:space="0" w:color="000000"/>
            </w:tcBorders>
          </w:tcPr>
          <w:p w14:paraId="7DC6F5E8"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54D4BB4B"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00220963"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Padidėjęs jautrumas (įskaitant odos alergines reakcijas)</w:t>
            </w:r>
          </w:p>
        </w:tc>
        <w:tc>
          <w:tcPr>
            <w:tcW w:w="1417" w:type="dxa"/>
            <w:tcBorders>
              <w:top w:val="single" w:sz="5" w:space="0" w:color="000000"/>
              <w:left w:val="single" w:sz="5" w:space="0" w:color="000000"/>
              <w:bottom w:val="single" w:sz="5" w:space="0" w:color="000000"/>
              <w:right w:val="single" w:sz="5" w:space="0" w:color="000000"/>
            </w:tcBorders>
          </w:tcPr>
          <w:p w14:paraId="34CEC5FA"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B8DC556" w14:textId="3CD31016"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Anafilaksinė reakcija</w:t>
            </w:r>
            <w:r w:rsidRPr="00B14475">
              <w:rPr>
                <w:rFonts w:ascii="Times New Roman" w:hAnsi="Times New Roman" w:cs="Times New Roman"/>
                <w:sz w:val="20"/>
                <w:szCs w:val="20"/>
                <w:vertAlign w:val="superscript"/>
              </w:rPr>
              <w:t>5</w:t>
            </w:r>
          </w:p>
        </w:tc>
        <w:tc>
          <w:tcPr>
            <w:tcW w:w="1276" w:type="dxa"/>
            <w:tcBorders>
              <w:top w:val="single" w:sz="5" w:space="0" w:color="000000"/>
              <w:left w:val="single" w:sz="5" w:space="0" w:color="000000"/>
              <w:bottom w:val="single" w:sz="5" w:space="0" w:color="000000"/>
              <w:right w:val="single" w:sz="5" w:space="0" w:color="000000"/>
            </w:tcBorders>
          </w:tcPr>
          <w:p w14:paraId="08D86157"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1F9CF4E0" w14:textId="77777777" w:rsidTr="00A05A93">
        <w:trPr>
          <w:trHeight w:hRule="exact" w:val="2232"/>
        </w:trPr>
        <w:tc>
          <w:tcPr>
            <w:tcW w:w="1277" w:type="dxa"/>
            <w:tcBorders>
              <w:top w:val="single" w:sz="5" w:space="0" w:color="000000"/>
              <w:left w:val="single" w:sz="5" w:space="0" w:color="000000"/>
              <w:bottom w:val="single" w:sz="5" w:space="0" w:color="000000"/>
              <w:right w:val="single" w:sz="5" w:space="0" w:color="000000"/>
            </w:tcBorders>
          </w:tcPr>
          <w:p w14:paraId="58AAAA43"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Endokrininiai</w:t>
            </w:r>
          </w:p>
          <w:p w14:paraId="2652AE46"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sutrikimai</w:t>
            </w:r>
          </w:p>
        </w:tc>
        <w:tc>
          <w:tcPr>
            <w:tcW w:w="1701" w:type="dxa"/>
            <w:tcBorders>
              <w:top w:val="single" w:sz="5" w:space="0" w:color="000000"/>
              <w:left w:val="single" w:sz="5" w:space="0" w:color="000000"/>
              <w:bottom w:val="single" w:sz="5" w:space="0" w:color="000000"/>
              <w:right w:val="single" w:sz="5" w:space="0" w:color="000000"/>
            </w:tcBorders>
          </w:tcPr>
          <w:p w14:paraId="4CF4766A"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596FA92E" w14:textId="430AA71E"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Hiperprolaktinemija</w:t>
            </w:r>
            <w:r w:rsidRPr="00B14475">
              <w:rPr>
                <w:rFonts w:ascii="Times New Roman" w:hAnsi="Times New Roman" w:cs="Times New Roman"/>
                <w:sz w:val="20"/>
                <w:szCs w:val="20"/>
                <w:vertAlign w:val="superscript"/>
              </w:rPr>
              <w:t>15</w:t>
            </w:r>
            <w:r w:rsidRPr="00B14475">
              <w:rPr>
                <w:rFonts w:ascii="Times New Roman" w:hAnsi="Times New Roman" w:cs="Times New Roman"/>
                <w:sz w:val="20"/>
                <w:szCs w:val="20"/>
              </w:rPr>
              <w:t>, sumažėjusi bendro T</w:t>
            </w:r>
            <w:r w:rsidRPr="00B14475">
              <w:rPr>
                <w:rFonts w:ascii="Times New Roman" w:hAnsi="Times New Roman" w:cs="Times New Roman"/>
                <w:sz w:val="20"/>
                <w:szCs w:val="20"/>
                <w:vertAlign w:val="subscript"/>
              </w:rPr>
              <w:t>4</w:t>
            </w:r>
            <w:r w:rsidRPr="00B14475">
              <w:rPr>
                <w:rFonts w:ascii="Times New Roman" w:hAnsi="Times New Roman" w:cs="Times New Roman"/>
                <w:sz w:val="20"/>
                <w:szCs w:val="20"/>
                <w:vertAlign w:val="superscript"/>
              </w:rPr>
              <w:t>24</w:t>
            </w:r>
            <w:r w:rsidRPr="00B14475">
              <w:rPr>
                <w:rFonts w:ascii="Times New Roman" w:hAnsi="Times New Roman" w:cs="Times New Roman"/>
                <w:sz w:val="20"/>
                <w:szCs w:val="20"/>
              </w:rPr>
              <w:t>, sumažėjusi laisvo T</w:t>
            </w:r>
            <w:r w:rsidRPr="00B14475">
              <w:rPr>
                <w:rFonts w:ascii="Times New Roman" w:hAnsi="Times New Roman" w:cs="Times New Roman"/>
                <w:sz w:val="20"/>
                <w:szCs w:val="20"/>
                <w:vertAlign w:val="subscript"/>
              </w:rPr>
              <w:t>4</w:t>
            </w:r>
            <w:r w:rsidRPr="00B14475">
              <w:rPr>
                <w:rFonts w:ascii="Times New Roman" w:hAnsi="Times New Roman" w:cs="Times New Roman"/>
                <w:sz w:val="20"/>
                <w:szCs w:val="20"/>
                <w:vertAlign w:val="superscript"/>
              </w:rPr>
              <w:t>24</w:t>
            </w:r>
            <w:r w:rsidRPr="00B14475">
              <w:rPr>
                <w:rFonts w:ascii="Times New Roman" w:hAnsi="Times New Roman" w:cs="Times New Roman"/>
                <w:sz w:val="20"/>
                <w:szCs w:val="20"/>
              </w:rPr>
              <w:t>, sumažėjusi bendro T3</w:t>
            </w:r>
            <w:r w:rsidRPr="00B14475">
              <w:rPr>
                <w:rFonts w:ascii="Times New Roman" w:hAnsi="Times New Roman" w:cs="Times New Roman"/>
                <w:sz w:val="20"/>
                <w:szCs w:val="20"/>
                <w:vertAlign w:val="superscript"/>
              </w:rPr>
              <w:t xml:space="preserve">24, </w:t>
            </w:r>
            <w:r w:rsidRPr="00B14475">
              <w:rPr>
                <w:rFonts w:ascii="Times New Roman" w:hAnsi="Times New Roman" w:cs="Times New Roman"/>
                <w:sz w:val="20"/>
                <w:szCs w:val="20"/>
              </w:rPr>
              <w:t>padidėjusi TSH</w:t>
            </w:r>
            <w:r w:rsidRPr="00B14475">
              <w:rPr>
                <w:rFonts w:ascii="Times New Roman" w:hAnsi="Times New Roman" w:cs="Times New Roman"/>
                <w:sz w:val="20"/>
                <w:szCs w:val="20"/>
                <w:vertAlign w:val="superscript"/>
              </w:rPr>
              <w:t>24</w:t>
            </w:r>
            <w:r w:rsidRPr="00B14475">
              <w:rPr>
                <w:rFonts w:ascii="Times New Roman" w:hAnsi="Times New Roman" w:cs="Times New Roman"/>
                <w:sz w:val="20"/>
                <w:szCs w:val="20"/>
              </w:rPr>
              <w:t xml:space="preserve"> koncentracija</w:t>
            </w:r>
          </w:p>
        </w:tc>
        <w:tc>
          <w:tcPr>
            <w:tcW w:w="1560" w:type="dxa"/>
            <w:tcBorders>
              <w:top w:val="single" w:sz="5" w:space="0" w:color="000000"/>
              <w:left w:val="single" w:sz="5" w:space="0" w:color="000000"/>
              <w:bottom w:val="single" w:sz="5" w:space="0" w:color="000000"/>
              <w:right w:val="single" w:sz="5" w:space="0" w:color="000000"/>
            </w:tcBorders>
          </w:tcPr>
          <w:p w14:paraId="2BBA4066" w14:textId="1ED1E874"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Sumažėjusi laisvo T3</w:t>
            </w:r>
            <w:r w:rsidRPr="00B14475">
              <w:rPr>
                <w:rFonts w:ascii="Times New Roman" w:hAnsi="Times New Roman" w:cs="Times New Roman"/>
                <w:sz w:val="20"/>
                <w:szCs w:val="20"/>
                <w:vertAlign w:val="superscript"/>
              </w:rPr>
              <w:t>24</w:t>
            </w:r>
            <w:r w:rsidRPr="00B14475">
              <w:rPr>
                <w:rFonts w:ascii="Times New Roman" w:hAnsi="Times New Roman" w:cs="Times New Roman"/>
                <w:sz w:val="20"/>
                <w:szCs w:val="20"/>
              </w:rPr>
              <w:t xml:space="preserve"> koncentracija, hipotirozė</w:t>
            </w:r>
            <w:r w:rsidRPr="00B14475">
              <w:rPr>
                <w:rFonts w:ascii="Times New Roman" w:hAnsi="Times New Roman" w:cs="Times New Roman"/>
                <w:sz w:val="20"/>
                <w:szCs w:val="20"/>
                <w:vertAlign w:val="superscript"/>
              </w:rPr>
              <w:t>21</w:t>
            </w:r>
          </w:p>
        </w:tc>
        <w:tc>
          <w:tcPr>
            <w:tcW w:w="1417" w:type="dxa"/>
            <w:tcBorders>
              <w:top w:val="single" w:sz="5" w:space="0" w:color="000000"/>
              <w:left w:val="single" w:sz="5" w:space="0" w:color="000000"/>
              <w:bottom w:val="single" w:sz="5" w:space="0" w:color="000000"/>
              <w:right w:val="single" w:sz="5" w:space="0" w:color="000000"/>
            </w:tcBorders>
          </w:tcPr>
          <w:p w14:paraId="2345581B"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651CF7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Sutrikusi antidiurezinio hormono sekrecija</w:t>
            </w:r>
          </w:p>
        </w:tc>
        <w:tc>
          <w:tcPr>
            <w:tcW w:w="1276" w:type="dxa"/>
            <w:tcBorders>
              <w:top w:val="single" w:sz="5" w:space="0" w:color="000000"/>
              <w:left w:val="single" w:sz="5" w:space="0" w:color="000000"/>
              <w:bottom w:val="single" w:sz="5" w:space="0" w:color="000000"/>
              <w:right w:val="single" w:sz="5" w:space="0" w:color="000000"/>
            </w:tcBorders>
          </w:tcPr>
          <w:p w14:paraId="7B91B36A"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00C08562" w14:textId="77777777" w:rsidTr="00B14475">
        <w:trPr>
          <w:trHeight w:hRule="exact" w:val="3145"/>
        </w:trPr>
        <w:tc>
          <w:tcPr>
            <w:tcW w:w="1277" w:type="dxa"/>
            <w:tcBorders>
              <w:top w:val="single" w:sz="5" w:space="0" w:color="000000"/>
              <w:left w:val="single" w:sz="5" w:space="0" w:color="000000"/>
              <w:bottom w:val="single" w:sz="5" w:space="0" w:color="000000"/>
              <w:right w:val="single" w:sz="5" w:space="0" w:color="000000"/>
            </w:tcBorders>
          </w:tcPr>
          <w:p w14:paraId="636B0985"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Metabolizmo ir mitybos sutrikimai</w:t>
            </w:r>
          </w:p>
        </w:tc>
        <w:tc>
          <w:tcPr>
            <w:tcW w:w="1701" w:type="dxa"/>
            <w:tcBorders>
              <w:top w:val="single" w:sz="5" w:space="0" w:color="000000"/>
              <w:left w:val="single" w:sz="5" w:space="0" w:color="000000"/>
              <w:bottom w:val="single" w:sz="5" w:space="0" w:color="000000"/>
              <w:right w:val="single" w:sz="5" w:space="0" w:color="000000"/>
            </w:tcBorders>
          </w:tcPr>
          <w:p w14:paraId="1C590C7C" w14:textId="42205382"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Padidėjusi trigliceridų koncentracija serume</w:t>
            </w:r>
            <w:r w:rsidRPr="00B14475">
              <w:rPr>
                <w:rFonts w:ascii="Times New Roman" w:hAnsi="Times New Roman" w:cs="Times New Roman"/>
                <w:sz w:val="20"/>
                <w:szCs w:val="20"/>
                <w:vertAlign w:val="superscript"/>
              </w:rPr>
              <w:t>10,</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 xml:space="preserve">30 </w:t>
            </w:r>
            <w:r w:rsidRPr="00B14475">
              <w:rPr>
                <w:rFonts w:ascii="Times New Roman" w:hAnsi="Times New Roman" w:cs="Times New Roman"/>
                <w:sz w:val="20"/>
                <w:szCs w:val="20"/>
              </w:rPr>
              <w:t>, padidėjusi bendro (ypač MTL) cholesterolio koncentracija</w:t>
            </w:r>
            <w:r w:rsidRPr="00B14475">
              <w:rPr>
                <w:rFonts w:ascii="Times New Roman" w:hAnsi="Times New Roman" w:cs="Times New Roman"/>
                <w:sz w:val="20"/>
                <w:szCs w:val="20"/>
                <w:vertAlign w:val="superscript"/>
              </w:rPr>
              <w:t>11,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30</w:t>
            </w:r>
            <w:r w:rsidRPr="00B14475">
              <w:rPr>
                <w:rFonts w:ascii="Times New Roman" w:hAnsi="Times New Roman" w:cs="Times New Roman"/>
                <w:sz w:val="20"/>
                <w:szCs w:val="20"/>
              </w:rPr>
              <w:t>, sumažėjusi DTL cholesterolio koncentracija</w:t>
            </w:r>
            <w:r w:rsidRPr="00B14475">
              <w:rPr>
                <w:rFonts w:ascii="Times New Roman" w:hAnsi="Times New Roman" w:cs="Times New Roman"/>
                <w:sz w:val="20"/>
                <w:szCs w:val="20"/>
                <w:vertAlign w:val="superscript"/>
              </w:rPr>
              <w:t>17,</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30</w:t>
            </w:r>
            <w:r w:rsidRPr="00B14475">
              <w:rPr>
                <w:rFonts w:ascii="Times New Roman" w:hAnsi="Times New Roman" w:cs="Times New Roman"/>
                <w:sz w:val="20"/>
                <w:szCs w:val="20"/>
              </w:rPr>
              <w:t>, svorio prieaugis</w:t>
            </w:r>
            <w:r w:rsidRPr="00B14475">
              <w:rPr>
                <w:rFonts w:ascii="Times New Roman" w:hAnsi="Times New Roman" w:cs="Times New Roman"/>
                <w:sz w:val="20"/>
                <w:szCs w:val="20"/>
                <w:vertAlign w:val="superscript"/>
              </w:rPr>
              <w:t>8,</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30</w:t>
            </w:r>
          </w:p>
        </w:tc>
        <w:tc>
          <w:tcPr>
            <w:tcW w:w="1984" w:type="dxa"/>
            <w:tcBorders>
              <w:top w:val="single" w:sz="5" w:space="0" w:color="000000"/>
              <w:left w:val="single" w:sz="5" w:space="0" w:color="000000"/>
              <w:bottom w:val="single" w:sz="5" w:space="0" w:color="000000"/>
              <w:right w:val="single" w:sz="5" w:space="0" w:color="000000"/>
            </w:tcBorders>
          </w:tcPr>
          <w:p w14:paraId="0ED4B044" w14:textId="79257D8F" w:rsidR="00DD069E" w:rsidRPr="00B14475" w:rsidRDefault="00DD069E" w:rsidP="00707EAF">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Padidėjęs apetitas, padidėjusi gliukozės koncentracija kraujyje (iki hiperglikemijos</w:t>
            </w:r>
            <w:r w:rsidRPr="00B14475">
              <w:rPr>
                <w:rFonts w:ascii="Times New Roman" w:hAnsi="Times New Roman" w:cs="Times New Roman"/>
                <w:sz w:val="20"/>
                <w:szCs w:val="20"/>
                <w:vertAlign w:val="superscript"/>
              </w:rPr>
              <w:t>6,</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30</w:t>
            </w:r>
          </w:p>
        </w:tc>
        <w:tc>
          <w:tcPr>
            <w:tcW w:w="1560" w:type="dxa"/>
            <w:tcBorders>
              <w:top w:val="single" w:sz="5" w:space="0" w:color="000000"/>
              <w:left w:val="single" w:sz="5" w:space="0" w:color="000000"/>
              <w:bottom w:val="single" w:sz="5" w:space="0" w:color="000000"/>
              <w:right w:val="single" w:sz="5" w:space="0" w:color="000000"/>
            </w:tcBorders>
          </w:tcPr>
          <w:p w14:paraId="107AEB8F" w14:textId="20649325"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Hiponatremija</w:t>
            </w:r>
            <w:r w:rsidRPr="00B14475">
              <w:rPr>
                <w:rFonts w:ascii="Times New Roman" w:hAnsi="Times New Roman" w:cs="Times New Roman"/>
                <w:sz w:val="20"/>
                <w:szCs w:val="20"/>
                <w:vertAlign w:val="superscript"/>
              </w:rPr>
              <w:t>19</w:t>
            </w:r>
            <w:r w:rsidRPr="00B14475">
              <w:rPr>
                <w:rFonts w:ascii="Times New Roman" w:hAnsi="Times New Roman" w:cs="Times New Roman"/>
                <w:sz w:val="20"/>
                <w:szCs w:val="20"/>
              </w:rPr>
              <w:t>, cukrinis diabetas</w:t>
            </w:r>
            <w:r w:rsidRPr="00B14475">
              <w:rPr>
                <w:rFonts w:ascii="Times New Roman" w:hAnsi="Times New Roman" w:cs="Times New Roman"/>
                <w:sz w:val="20"/>
                <w:szCs w:val="20"/>
                <w:vertAlign w:val="superscript"/>
              </w:rPr>
              <w:t>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 pasunkėjęs esamas diabetas</w:t>
            </w:r>
          </w:p>
        </w:tc>
        <w:tc>
          <w:tcPr>
            <w:tcW w:w="1417" w:type="dxa"/>
            <w:tcBorders>
              <w:top w:val="single" w:sz="5" w:space="0" w:color="000000"/>
              <w:left w:val="single" w:sz="5" w:space="0" w:color="000000"/>
              <w:bottom w:val="single" w:sz="5" w:space="0" w:color="000000"/>
              <w:right w:val="single" w:sz="5" w:space="0" w:color="000000"/>
            </w:tcBorders>
          </w:tcPr>
          <w:p w14:paraId="56AB9208" w14:textId="4D6DA564"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Metabolinis sindromas</w:t>
            </w:r>
            <w:r w:rsidRPr="00B14475">
              <w:rPr>
                <w:rFonts w:ascii="Times New Roman" w:hAnsi="Times New Roman" w:cs="Times New Roman"/>
                <w:sz w:val="20"/>
                <w:szCs w:val="20"/>
                <w:vertAlign w:val="superscript"/>
              </w:rPr>
              <w:t>29</w:t>
            </w:r>
          </w:p>
        </w:tc>
        <w:tc>
          <w:tcPr>
            <w:tcW w:w="1276" w:type="dxa"/>
            <w:tcBorders>
              <w:top w:val="single" w:sz="5" w:space="0" w:color="000000"/>
              <w:left w:val="single" w:sz="5" w:space="0" w:color="000000"/>
              <w:bottom w:val="single" w:sz="5" w:space="0" w:color="000000"/>
              <w:right w:val="single" w:sz="5" w:space="0" w:color="000000"/>
            </w:tcBorders>
          </w:tcPr>
          <w:p w14:paraId="0F0E28E2"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D430FC3"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3B0C3D50" w14:textId="77777777" w:rsidTr="00A05A93">
        <w:trPr>
          <w:trHeight w:hRule="exact" w:val="2698"/>
        </w:trPr>
        <w:tc>
          <w:tcPr>
            <w:tcW w:w="1277" w:type="dxa"/>
            <w:tcBorders>
              <w:top w:val="single" w:sz="5" w:space="0" w:color="000000"/>
              <w:left w:val="single" w:sz="5" w:space="0" w:color="000000"/>
              <w:bottom w:val="single" w:sz="5" w:space="0" w:color="000000"/>
              <w:right w:val="single" w:sz="5" w:space="0" w:color="000000"/>
            </w:tcBorders>
          </w:tcPr>
          <w:p w14:paraId="74C9B666"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Psichikos sutrikimai</w:t>
            </w:r>
          </w:p>
        </w:tc>
        <w:tc>
          <w:tcPr>
            <w:tcW w:w="1701" w:type="dxa"/>
            <w:tcBorders>
              <w:top w:val="single" w:sz="5" w:space="0" w:color="000000"/>
              <w:left w:val="single" w:sz="5" w:space="0" w:color="000000"/>
              <w:bottom w:val="single" w:sz="5" w:space="0" w:color="000000"/>
              <w:right w:val="single" w:sz="5" w:space="0" w:color="000000"/>
            </w:tcBorders>
          </w:tcPr>
          <w:p w14:paraId="796750ED"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B9892CE" w14:textId="026EDAF4"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Nenormalūs sapnai ir košmarai, savižudiškos mintys ir elgesys</w:t>
            </w:r>
            <w:r w:rsidRPr="00B14475">
              <w:rPr>
                <w:rFonts w:ascii="Times New Roman" w:hAnsi="Times New Roman" w:cs="Times New Roman"/>
                <w:sz w:val="20"/>
                <w:szCs w:val="20"/>
                <w:vertAlign w:val="superscript"/>
              </w:rPr>
              <w:t>20</w:t>
            </w:r>
          </w:p>
        </w:tc>
        <w:tc>
          <w:tcPr>
            <w:tcW w:w="1560" w:type="dxa"/>
            <w:tcBorders>
              <w:top w:val="single" w:sz="5" w:space="0" w:color="000000"/>
              <w:left w:val="single" w:sz="5" w:space="0" w:color="000000"/>
              <w:bottom w:val="single" w:sz="5" w:space="0" w:color="000000"/>
              <w:right w:val="single" w:sz="5" w:space="0" w:color="000000"/>
            </w:tcBorders>
          </w:tcPr>
          <w:p w14:paraId="7744A24E"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1F137064"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Somnambuliz-mas ir susijusios reakcijos, pvz., kalbėjimas miegant ir su miegu susijęs valgymo sutrikimas</w:t>
            </w:r>
          </w:p>
        </w:tc>
        <w:tc>
          <w:tcPr>
            <w:tcW w:w="1276" w:type="dxa"/>
            <w:tcBorders>
              <w:top w:val="single" w:sz="5" w:space="0" w:color="000000"/>
              <w:left w:val="single" w:sz="5" w:space="0" w:color="000000"/>
              <w:bottom w:val="single" w:sz="5" w:space="0" w:color="000000"/>
              <w:right w:val="single" w:sz="5" w:space="0" w:color="000000"/>
            </w:tcBorders>
          </w:tcPr>
          <w:p w14:paraId="47CB6F17"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2719920"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3C390D95"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5F98F3FC"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Nervų sistemos sutrikimai</w:t>
            </w:r>
          </w:p>
        </w:tc>
        <w:tc>
          <w:tcPr>
            <w:tcW w:w="1701" w:type="dxa"/>
            <w:tcBorders>
              <w:top w:val="single" w:sz="5" w:space="0" w:color="000000"/>
              <w:left w:val="single" w:sz="5" w:space="0" w:color="000000"/>
              <w:bottom w:val="single" w:sz="5" w:space="0" w:color="000000"/>
              <w:right w:val="single" w:sz="5" w:space="0" w:color="000000"/>
            </w:tcBorders>
          </w:tcPr>
          <w:p w14:paraId="09D50728" w14:textId="09B8CDFA"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Galvos svaigimas</w:t>
            </w:r>
            <w:r w:rsidRPr="00B14475">
              <w:rPr>
                <w:rFonts w:ascii="Times New Roman" w:hAnsi="Times New Roman" w:cs="Times New Roman"/>
                <w:sz w:val="20"/>
                <w:szCs w:val="20"/>
                <w:vertAlign w:val="superscript"/>
              </w:rPr>
              <w:t>4,</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16</w:t>
            </w:r>
            <w:r w:rsidRPr="00B14475">
              <w:rPr>
                <w:rFonts w:ascii="Times New Roman" w:hAnsi="Times New Roman" w:cs="Times New Roman"/>
                <w:sz w:val="20"/>
                <w:szCs w:val="20"/>
              </w:rPr>
              <w:t>, mieguistumas</w:t>
            </w:r>
            <w:r w:rsidRPr="00B14475">
              <w:rPr>
                <w:rFonts w:ascii="Times New Roman" w:hAnsi="Times New Roman" w:cs="Times New Roman"/>
                <w:sz w:val="20"/>
                <w:szCs w:val="20"/>
                <w:vertAlign w:val="superscript"/>
              </w:rPr>
              <w:t>2,</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16</w:t>
            </w:r>
            <w:r w:rsidRPr="00B14475">
              <w:rPr>
                <w:rFonts w:ascii="Times New Roman" w:hAnsi="Times New Roman" w:cs="Times New Roman"/>
                <w:sz w:val="20"/>
                <w:szCs w:val="20"/>
              </w:rPr>
              <w:t>, galvos skausmas, ekstrapiramidiniai simptomai</w:t>
            </w:r>
            <w:r w:rsidRPr="00B14475">
              <w:rPr>
                <w:rFonts w:ascii="Times New Roman" w:hAnsi="Times New Roman" w:cs="Times New Roman"/>
                <w:sz w:val="20"/>
                <w:szCs w:val="20"/>
                <w:vertAlign w:val="superscript"/>
              </w:rPr>
              <w:t>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21</w:t>
            </w:r>
          </w:p>
        </w:tc>
        <w:tc>
          <w:tcPr>
            <w:tcW w:w="1984" w:type="dxa"/>
            <w:tcBorders>
              <w:top w:val="single" w:sz="5" w:space="0" w:color="000000"/>
              <w:left w:val="single" w:sz="5" w:space="0" w:color="000000"/>
              <w:bottom w:val="single" w:sz="5" w:space="0" w:color="000000"/>
              <w:right w:val="single" w:sz="5" w:space="0" w:color="000000"/>
            </w:tcBorders>
          </w:tcPr>
          <w:p w14:paraId="4C803FA1"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Dizartrija</w:t>
            </w:r>
          </w:p>
        </w:tc>
        <w:tc>
          <w:tcPr>
            <w:tcW w:w="1560" w:type="dxa"/>
            <w:tcBorders>
              <w:top w:val="single" w:sz="5" w:space="0" w:color="000000"/>
              <w:left w:val="single" w:sz="5" w:space="0" w:color="000000"/>
              <w:bottom w:val="single" w:sz="5" w:space="0" w:color="000000"/>
              <w:right w:val="single" w:sz="5" w:space="0" w:color="000000"/>
            </w:tcBorders>
          </w:tcPr>
          <w:p w14:paraId="6F15E2DF" w14:textId="28F3FB4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Traukuliai</w:t>
            </w: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neramių kojų sindromas, vėlyvoji diskinezija</w:t>
            </w:r>
            <w:r w:rsidRPr="00B14475">
              <w:rPr>
                <w:rFonts w:ascii="Times New Roman" w:hAnsi="Times New Roman" w:cs="Times New Roman"/>
                <w:sz w:val="20"/>
                <w:szCs w:val="20"/>
                <w:vertAlign w:val="superscript"/>
              </w:rPr>
              <w:t>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 sinkopė</w:t>
            </w:r>
            <w:r w:rsidRPr="00B14475">
              <w:rPr>
                <w:rFonts w:ascii="Times New Roman" w:hAnsi="Times New Roman" w:cs="Times New Roman"/>
                <w:sz w:val="20"/>
                <w:szCs w:val="20"/>
                <w:vertAlign w:val="superscript"/>
              </w:rPr>
              <w:t>4,</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16</w:t>
            </w:r>
            <w:r w:rsidR="00134BFE">
              <w:rPr>
                <w:rFonts w:ascii="Times New Roman" w:hAnsi="Times New Roman" w:cs="Times New Roman"/>
                <w:sz w:val="20"/>
                <w:szCs w:val="20"/>
              </w:rPr>
              <w:t>, sumišimo būklė</w:t>
            </w:r>
          </w:p>
        </w:tc>
        <w:tc>
          <w:tcPr>
            <w:tcW w:w="1417" w:type="dxa"/>
            <w:tcBorders>
              <w:top w:val="single" w:sz="5" w:space="0" w:color="000000"/>
              <w:left w:val="single" w:sz="5" w:space="0" w:color="000000"/>
              <w:bottom w:val="single" w:sz="5" w:space="0" w:color="000000"/>
              <w:right w:val="single" w:sz="5" w:space="0" w:color="000000"/>
            </w:tcBorders>
          </w:tcPr>
          <w:p w14:paraId="35AD679E"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86CF3BC"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6CF5D3E"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52E3C3F6"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73CAE2D8"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lastRenderedPageBreak/>
              <w:t>Akių sutrikimai</w:t>
            </w:r>
          </w:p>
        </w:tc>
        <w:tc>
          <w:tcPr>
            <w:tcW w:w="1701" w:type="dxa"/>
            <w:tcBorders>
              <w:top w:val="single" w:sz="5" w:space="0" w:color="000000"/>
              <w:left w:val="single" w:sz="5" w:space="0" w:color="000000"/>
              <w:bottom w:val="single" w:sz="5" w:space="0" w:color="000000"/>
              <w:right w:val="single" w:sz="5" w:space="0" w:color="000000"/>
            </w:tcBorders>
          </w:tcPr>
          <w:p w14:paraId="496D70E1"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6903DAF"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Neryškus matymas</w:t>
            </w:r>
          </w:p>
        </w:tc>
        <w:tc>
          <w:tcPr>
            <w:tcW w:w="1560" w:type="dxa"/>
            <w:tcBorders>
              <w:top w:val="single" w:sz="5" w:space="0" w:color="000000"/>
              <w:left w:val="single" w:sz="5" w:space="0" w:color="000000"/>
              <w:bottom w:val="single" w:sz="5" w:space="0" w:color="000000"/>
              <w:right w:val="single" w:sz="5" w:space="0" w:color="000000"/>
            </w:tcBorders>
          </w:tcPr>
          <w:p w14:paraId="669B2329"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68A0CBC3"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BB5D8F2"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A50A557"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0460149A"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06E1878B"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Širdies sutrikimai</w:t>
            </w:r>
          </w:p>
        </w:tc>
        <w:tc>
          <w:tcPr>
            <w:tcW w:w="1701" w:type="dxa"/>
            <w:tcBorders>
              <w:top w:val="single" w:sz="5" w:space="0" w:color="000000"/>
              <w:left w:val="single" w:sz="5" w:space="0" w:color="000000"/>
              <w:bottom w:val="single" w:sz="5" w:space="0" w:color="000000"/>
              <w:right w:val="single" w:sz="5" w:space="0" w:color="000000"/>
            </w:tcBorders>
          </w:tcPr>
          <w:p w14:paraId="15198470"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EFA8539" w14:textId="7C261401"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Tachikardija</w:t>
            </w:r>
            <w:r w:rsidRPr="00B14475">
              <w:rPr>
                <w:rFonts w:ascii="Times New Roman" w:hAnsi="Times New Roman" w:cs="Times New Roman"/>
                <w:sz w:val="20"/>
                <w:szCs w:val="20"/>
                <w:vertAlign w:val="superscript"/>
              </w:rPr>
              <w:t>4</w:t>
            </w:r>
            <w:r w:rsidRPr="00B14475">
              <w:rPr>
                <w:rFonts w:ascii="Times New Roman" w:hAnsi="Times New Roman" w:cs="Times New Roman"/>
                <w:sz w:val="20"/>
                <w:szCs w:val="20"/>
              </w:rPr>
              <w:t>, palpitacija</w:t>
            </w:r>
            <w:r w:rsidRPr="00B14475">
              <w:rPr>
                <w:rFonts w:ascii="Times New Roman" w:hAnsi="Times New Roman" w:cs="Times New Roman"/>
                <w:sz w:val="20"/>
                <w:szCs w:val="20"/>
                <w:vertAlign w:val="superscript"/>
              </w:rPr>
              <w:t>23</w:t>
            </w:r>
          </w:p>
        </w:tc>
        <w:tc>
          <w:tcPr>
            <w:tcW w:w="1560" w:type="dxa"/>
            <w:tcBorders>
              <w:top w:val="single" w:sz="5" w:space="0" w:color="000000"/>
              <w:left w:val="single" w:sz="5" w:space="0" w:color="000000"/>
              <w:bottom w:val="single" w:sz="5" w:space="0" w:color="000000"/>
              <w:right w:val="single" w:sz="5" w:space="0" w:color="000000"/>
            </w:tcBorders>
          </w:tcPr>
          <w:p w14:paraId="3BD58897" w14:textId="62AD6BA6"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Pailgėjęs QT</w:t>
            </w:r>
            <w:r w:rsidRPr="00B14475">
              <w:rPr>
                <w:rFonts w:ascii="Times New Roman" w:hAnsi="Times New Roman" w:cs="Times New Roman"/>
                <w:sz w:val="20"/>
                <w:szCs w:val="20"/>
                <w:vertAlign w:val="superscript"/>
              </w:rPr>
              <w:t>1,</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12,</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18</w:t>
            </w:r>
            <w:r w:rsidRPr="00B14475">
              <w:rPr>
                <w:rFonts w:ascii="Times New Roman" w:hAnsi="Times New Roman" w:cs="Times New Roman"/>
                <w:sz w:val="20"/>
                <w:szCs w:val="20"/>
              </w:rPr>
              <w:t>, bradikardija</w:t>
            </w:r>
            <w:r w:rsidRPr="00B14475">
              <w:rPr>
                <w:rFonts w:ascii="Times New Roman" w:hAnsi="Times New Roman" w:cs="Times New Roman"/>
                <w:sz w:val="20"/>
                <w:szCs w:val="20"/>
                <w:vertAlign w:val="superscript"/>
              </w:rPr>
              <w:t>32</w:t>
            </w:r>
          </w:p>
        </w:tc>
        <w:tc>
          <w:tcPr>
            <w:tcW w:w="1417" w:type="dxa"/>
            <w:tcBorders>
              <w:top w:val="single" w:sz="5" w:space="0" w:color="000000"/>
              <w:left w:val="single" w:sz="5" w:space="0" w:color="000000"/>
              <w:bottom w:val="single" w:sz="5" w:space="0" w:color="000000"/>
              <w:right w:val="single" w:sz="5" w:space="0" w:color="000000"/>
            </w:tcBorders>
          </w:tcPr>
          <w:p w14:paraId="09E5DB21"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2144566"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EB72DAC" w14:textId="77777777" w:rsidR="00DD069E" w:rsidRPr="00B14475" w:rsidRDefault="005B4CDA"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Kardiomio-patija, miokarditas</w:t>
            </w:r>
          </w:p>
        </w:tc>
      </w:tr>
      <w:tr w:rsidR="00E138C4" w:rsidRPr="00E138C4" w14:paraId="63928AC4"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750307D2"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Kraujagyslių sutrikimai</w:t>
            </w:r>
          </w:p>
        </w:tc>
        <w:tc>
          <w:tcPr>
            <w:tcW w:w="1701" w:type="dxa"/>
            <w:tcBorders>
              <w:top w:val="single" w:sz="5" w:space="0" w:color="000000"/>
              <w:left w:val="single" w:sz="5" w:space="0" w:color="000000"/>
              <w:bottom w:val="single" w:sz="5" w:space="0" w:color="000000"/>
              <w:right w:val="single" w:sz="5" w:space="0" w:color="000000"/>
            </w:tcBorders>
          </w:tcPr>
          <w:p w14:paraId="1050061E"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69076611" w14:textId="3207AA4E"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Ortostatinė hipotenzija</w:t>
            </w:r>
            <w:r w:rsidRPr="00B14475">
              <w:rPr>
                <w:rFonts w:ascii="Times New Roman" w:hAnsi="Times New Roman" w:cs="Times New Roman"/>
                <w:sz w:val="20"/>
                <w:szCs w:val="20"/>
                <w:vertAlign w:val="superscript"/>
              </w:rPr>
              <w:t>4,</w:t>
            </w:r>
            <w:r w:rsidR="00707EAF"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16</w:t>
            </w:r>
          </w:p>
        </w:tc>
        <w:tc>
          <w:tcPr>
            <w:tcW w:w="1560" w:type="dxa"/>
            <w:tcBorders>
              <w:top w:val="single" w:sz="5" w:space="0" w:color="000000"/>
              <w:left w:val="single" w:sz="5" w:space="0" w:color="000000"/>
              <w:bottom w:val="single" w:sz="5" w:space="0" w:color="000000"/>
              <w:right w:val="single" w:sz="5" w:space="0" w:color="000000"/>
            </w:tcBorders>
          </w:tcPr>
          <w:p w14:paraId="5BE38AB7"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434D87F0" w14:textId="5A73D4E3"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Venų tromboembolija</w:t>
            </w:r>
            <w:r w:rsidRPr="00B14475">
              <w:rPr>
                <w:rFonts w:ascii="Times New Roman" w:hAnsi="Times New Roman" w:cs="Times New Roman"/>
                <w:sz w:val="20"/>
                <w:szCs w:val="20"/>
                <w:vertAlign w:val="superscript"/>
              </w:rPr>
              <w:t>1</w:t>
            </w:r>
          </w:p>
        </w:tc>
        <w:tc>
          <w:tcPr>
            <w:tcW w:w="1276" w:type="dxa"/>
            <w:tcBorders>
              <w:top w:val="single" w:sz="5" w:space="0" w:color="000000"/>
              <w:left w:val="single" w:sz="5" w:space="0" w:color="000000"/>
              <w:bottom w:val="single" w:sz="5" w:space="0" w:color="000000"/>
              <w:right w:val="single" w:sz="5" w:space="0" w:color="000000"/>
            </w:tcBorders>
          </w:tcPr>
          <w:p w14:paraId="1064ECE3"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AE08D1F" w14:textId="77777777" w:rsidR="00DD069E" w:rsidRPr="00B14475" w:rsidRDefault="00D24077"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Insultas</w:t>
            </w:r>
            <w:r w:rsidR="00904E3A" w:rsidRPr="00B14475">
              <w:rPr>
                <w:rFonts w:ascii="Times New Roman" w:hAnsi="Times New Roman" w:cs="Times New Roman"/>
                <w:sz w:val="20"/>
                <w:szCs w:val="20"/>
                <w:vertAlign w:val="superscript"/>
              </w:rPr>
              <w:t>33</w:t>
            </w:r>
          </w:p>
        </w:tc>
      </w:tr>
      <w:tr w:rsidR="00E138C4" w:rsidRPr="00E138C4" w14:paraId="6C256916"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07E27D5D"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Kvėpavimo sistemos, krūtinės ląstos ir tarpuplaučio sutrikimai</w:t>
            </w:r>
          </w:p>
        </w:tc>
        <w:tc>
          <w:tcPr>
            <w:tcW w:w="1701" w:type="dxa"/>
            <w:tcBorders>
              <w:top w:val="single" w:sz="5" w:space="0" w:color="000000"/>
              <w:left w:val="single" w:sz="5" w:space="0" w:color="000000"/>
              <w:bottom w:val="single" w:sz="5" w:space="0" w:color="000000"/>
              <w:right w:val="single" w:sz="5" w:space="0" w:color="000000"/>
            </w:tcBorders>
          </w:tcPr>
          <w:p w14:paraId="16F00B71"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1F39970" w14:textId="28BADFE8"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Dusulys</w:t>
            </w:r>
            <w:r w:rsidRPr="00B14475">
              <w:rPr>
                <w:rFonts w:ascii="Times New Roman" w:hAnsi="Times New Roman" w:cs="Times New Roman"/>
                <w:sz w:val="20"/>
                <w:szCs w:val="20"/>
                <w:vertAlign w:val="superscript"/>
              </w:rPr>
              <w:t>23</w:t>
            </w:r>
          </w:p>
        </w:tc>
        <w:tc>
          <w:tcPr>
            <w:tcW w:w="1560" w:type="dxa"/>
            <w:tcBorders>
              <w:top w:val="single" w:sz="5" w:space="0" w:color="000000"/>
              <w:left w:val="single" w:sz="5" w:space="0" w:color="000000"/>
              <w:bottom w:val="single" w:sz="5" w:space="0" w:color="000000"/>
              <w:right w:val="single" w:sz="5" w:space="0" w:color="000000"/>
            </w:tcBorders>
          </w:tcPr>
          <w:p w14:paraId="495217AF"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Sloga</w:t>
            </w:r>
          </w:p>
        </w:tc>
        <w:tc>
          <w:tcPr>
            <w:tcW w:w="1417" w:type="dxa"/>
            <w:tcBorders>
              <w:top w:val="single" w:sz="5" w:space="0" w:color="000000"/>
              <w:left w:val="single" w:sz="5" w:space="0" w:color="000000"/>
              <w:bottom w:val="single" w:sz="5" w:space="0" w:color="000000"/>
              <w:right w:val="single" w:sz="5" w:space="0" w:color="000000"/>
            </w:tcBorders>
          </w:tcPr>
          <w:p w14:paraId="6D635EAD"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8340557"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EBDA310"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4139F05A"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723D6DBF"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Virškinimo trakto sutrikimai</w:t>
            </w:r>
          </w:p>
        </w:tc>
        <w:tc>
          <w:tcPr>
            <w:tcW w:w="1701" w:type="dxa"/>
            <w:tcBorders>
              <w:top w:val="single" w:sz="5" w:space="0" w:color="000000"/>
              <w:left w:val="single" w:sz="5" w:space="0" w:color="000000"/>
              <w:bottom w:val="single" w:sz="5" w:space="0" w:color="000000"/>
              <w:right w:val="single" w:sz="5" w:space="0" w:color="000000"/>
            </w:tcBorders>
          </w:tcPr>
          <w:p w14:paraId="39A822DC"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Sausa burna</w:t>
            </w:r>
          </w:p>
        </w:tc>
        <w:tc>
          <w:tcPr>
            <w:tcW w:w="1984" w:type="dxa"/>
            <w:tcBorders>
              <w:top w:val="single" w:sz="5" w:space="0" w:color="000000"/>
              <w:left w:val="single" w:sz="5" w:space="0" w:color="000000"/>
              <w:bottom w:val="single" w:sz="5" w:space="0" w:color="000000"/>
              <w:right w:val="single" w:sz="5" w:space="0" w:color="000000"/>
            </w:tcBorders>
          </w:tcPr>
          <w:p w14:paraId="024E301C" w14:textId="242CA026"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Vidurių užkietėjimas, dispepsija, vėmimas</w:t>
            </w:r>
            <w:r w:rsidRPr="00B14475">
              <w:rPr>
                <w:rFonts w:ascii="Times New Roman" w:hAnsi="Times New Roman" w:cs="Times New Roman"/>
                <w:sz w:val="20"/>
                <w:szCs w:val="20"/>
                <w:vertAlign w:val="superscript"/>
              </w:rPr>
              <w:t>25</w:t>
            </w:r>
          </w:p>
        </w:tc>
        <w:tc>
          <w:tcPr>
            <w:tcW w:w="1560" w:type="dxa"/>
            <w:tcBorders>
              <w:top w:val="single" w:sz="5" w:space="0" w:color="000000"/>
              <w:left w:val="single" w:sz="5" w:space="0" w:color="000000"/>
              <w:bottom w:val="single" w:sz="5" w:space="0" w:color="000000"/>
              <w:right w:val="single" w:sz="5" w:space="0" w:color="000000"/>
            </w:tcBorders>
          </w:tcPr>
          <w:p w14:paraId="0C986204" w14:textId="5F08959D"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Disfagija</w:t>
            </w:r>
            <w:r w:rsidRPr="00B14475">
              <w:rPr>
                <w:rFonts w:ascii="Times New Roman" w:hAnsi="Times New Roman" w:cs="Times New Roman"/>
                <w:sz w:val="20"/>
                <w:szCs w:val="20"/>
                <w:vertAlign w:val="superscript"/>
              </w:rPr>
              <w:t>7</w:t>
            </w:r>
          </w:p>
        </w:tc>
        <w:tc>
          <w:tcPr>
            <w:tcW w:w="1417" w:type="dxa"/>
            <w:tcBorders>
              <w:top w:val="single" w:sz="5" w:space="0" w:color="000000"/>
              <w:left w:val="single" w:sz="5" w:space="0" w:color="000000"/>
              <w:bottom w:val="single" w:sz="5" w:space="0" w:color="000000"/>
              <w:right w:val="single" w:sz="5" w:space="0" w:color="000000"/>
            </w:tcBorders>
          </w:tcPr>
          <w:p w14:paraId="4CF4DDA4"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Pankreatitas</w:t>
            </w: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žarnų užsikimšimas ar nepraeinamu-mas</w:t>
            </w:r>
          </w:p>
        </w:tc>
        <w:tc>
          <w:tcPr>
            <w:tcW w:w="1276" w:type="dxa"/>
            <w:tcBorders>
              <w:top w:val="single" w:sz="5" w:space="0" w:color="000000"/>
              <w:left w:val="single" w:sz="5" w:space="0" w:color="000000"/>
              <w:bottom w:val="single" w:sz="5" w:space="0" w:color="000000"/>
              <w:right w:val="single" w:sz="5" w:space="0" w:color="000000"/>
            </w:tcBorders>
          </w:tcPr>
          <w:p w14:paraId="68E7B129"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B846596"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67F97F7D" w14:textId="77777777" w:rsidTr="00A05A93">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66C683C3"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Kepenų, tulžies pūslės ir latakų sutrikimai</w:t>
            </w:r>
          </w:p>
        </w:tc>
        <w:tc>
          <w:tcPr>
            <w:tcW w:w="1701" w:type="dxa"/>
            <w:tcBorders>
              <w:top w:val="single" w:sz="5" w:space="0" w:color="000000"/>
              <w:left w:val="single" w:sz="5" w:space="0" w:color="000000"/>
              <w:bottom w:val="single" w:sz="5" w:space="0" w:color="000000"/>
              <w:right w:val="single" w:sz="5" w:space="0" w:color="000000"/>
            </w:tcBorders>
          </w:tcPr>
          <w:p w14:paraId="68B9AC39"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3611057D" w14:textId="676090A2"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Padidėjusi alanino Aminotransferazės (ALT)</w:t>
            </w:r>
            <w:r w:rsidRPr="00B14475">
              <w:rPr>
                <w:rFonts w:ascii="Times New Roman" w:hAnsi="Times New Roman" w:cs="Times New Roman"/>
                <w:sz w:val="20"/>
                <w:szCs w:val="20"/>
                <w:vertAlign w:val="superscript"/>
              </w:rPr>
              <w:t>3</w:t>
            </w:r>
            <w:r w:rsidRPr="00B14475">
              <w:rPr>
                <w:rFonts w:ascii="Times New Roman" w:hAnsi="Times New Roman" w:cs="Times New Roman"/>
                <w:sz w:val="20"/>
                <w:szCs w:val="20"/>
              </w:rPr>
              <w:t xml:space="preserve">, padidėjusi gama- GT koncentracija serume </w:t>
            </w:r>
            <w:r w:rsidRPr="00B14475">
              <w:rPr>
                <w:rFonts w:ascii="Times New Roman" w:hAnsi="Times New Roman" w:cs="Times New Roman"/>
                <w:sz w:val="20"/>
                <w:szCs w:val="20"/>
                <w:vertAlign w:val="superscript"/>
              </w:rPr>
              <w:t>3</w:t>
            </w:r>
          </w:p>
        </w:tc>
        <w:tc>
          <w:tcPr>
            <w:tcW w:w="1560" w:type="dxa"/>
            <w:tcBorders>
              <w:top w:val="single" w:sz="5" w:space="0" w:color="000000"/>
              <w:left w:val="single" w:sz="5" w:space="0" w:color="000000"/>
              <w:bottom w:val="single" w:sz="5" w:space="0" w:color="000000"/>
              <w:right w:val="single" w:sz="5" w:space="0" w:color="000000"/>
            </w:tcBorders>
          </w:tcPr>
          <w:p w14:paraId="460C4CC6"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 xml:space="preserve">Padidėjusi aspartato aminotransfe- razės (AST) koncentracija serume </w:t>
            </w:r>
            <w:r w:rsidRPr="00B14475">
              <w:rPr>
                <w:rFonts w:ascii="Times New Roman" w:hAnsi="Times New Roman" w:cs="Times New Roman"/>
                <w:sz w:val="20"/>
                <w:szCs w:val="20"/>
                <w:vertAlign w:val="superscript"/>
              </w:rPr>
              <w:t>3</w:t>
            </w:r>
          </w:p>
        </w:tc>
        <w:tc>
          <w:tcPr>
            <w:tcW w:w="1417" w:type="dxa"/>
            <w:tcBorders>
              <w:top w:val="single" w:sz="5" w:space="0" w:color="000000"/>
              <w:left w:val="single" w:sz="5" w:space="0" w:color="000000"/>
              <w:bottom w:val="single" w:sz="5" w:space="0" w:color="000000"/>
              <w:right w:val="single" w:sz="5" w:space="0" w:color="000000"/>
            </w:tcBorders>
          </w:tcPr>
          <w:p w14:paraId="60EA22E4" w14:textId="7E998691"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Gelta</w:t>
            </w: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 hepatitas</w:t>
            </w:r>
          </w:p>
        </w:tc>
        <w:tc>
          <w:tcPr>
            <w:tcW w:w="1276" w:type="dxa"/>
            <w:tcBorders>
              <w:top w:val="single" w:sz="5" w:space="0" w:color="000000"/>
              <w:left w:val="single" w:sz="5" w:space="0" w:color="000000"/>
              <w:bottom w:val="single" w:sz="5" w:space="0" w:color="000000"/>
              <w:right w:val="single" w:sz="5" w:space="0" w:color="000000"/>
            </w:tcBorders>
          </w:tcPr>
          <w:p w14:paraId="1149724D"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9B2B5E9"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29AF6774" w14:textId="77777777" w:rsidTr="00FA0AC1">
        <w:trPr>
          <w:trHeight w:hRule="exact" w:val="4942"/>
        </w:trPr>
        <w:tc>
          <w:tcPr>
            <w:tcW w:w="1277" w:type="dxa"/>
            <w:tcBorders>
              <w:top w:val="single" w:sz="5" w:space="0" w:color="000000"/>
              <w:left w:val="single" w:sz="5" w:space="0" w:color="000000"/>
              <w:bottom w:val="single" w:sz="5" w:space="0" w:color="000000"/>
              <w:right w:val="single" w:sz="5" w:space="0" w:color="000000"/>
            </w:tcBorders>
          </w:tcPr>
          <w:p w14:paraId="699CC210"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lastRenderedPageBreak/>
              <w:t>Odos ir poodinio audinio sutrikimai</w:t>
            </w:r>
          </w:p>
        </w:tc>
        <w:tc>
          <w:tcPr>
            <w:tcW w:w="1701" w:type="dxa"/>
            <w:tcBorders>
              <w:top w:val="single" w:sz="5" w:space="0" w:color="000000"/>
              <w:left w:val="single" w:sz="5" w:space="0" w:color="000000"/>
              <w:bottom w:val="single" w:sz="5" w:space="0" w:color="000000"/>
              <w:right w:val="single" w:sz="5" w:space="0" w:color="000000"/>
            </w:tcBorders>
          </w:tcPr>
          <w:p w14:paraId="3DCDCFFB"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BB0A6CE"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62FBDF69"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73B6B049"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295C500" w14:textId="202AF202"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Angioedema</w:t>
            </w: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 xml:space="preserve">, </w:t>
            </w:r>
            <w:r w:rsidR="007B7988" w:rsidRPr="00B14475">
              <w:rPr>
                <w:rFonts w:ascii="Times New Roman" w:hAnsi="Times New Roman"/>
                <w:sz w:val="20"/>
                <w:szCs w:val="20"/>
              </w:rPr>
              <w:t>Stivenso-Džonsono (</w:t>
            </w:r>
            <w:r w:rsidR="007B7988" w:rsidRPr="00B14475">
              <w:rPr>
                <w:rFonts w:ascii="Times New Roman" w:hAnsi="Times New Roman"/>
                <w:iCs/>
                <w:sz w:val="20"/>
                <w:szCs w:val="20"/>
              </w:rPr>
              <w:t>Stevens-Johnson</w:t>
            </w:r>
            <w:r w:rsidR="007B7988" w:rsidRPr="00B14475">
              <w:rPr>
                <w:rFonts w:ascii="Times New Roman" w:hAnsi="Times New Roman"/>
                <w:sz w:val="20"/>
                <w:szCs w:val="20"/>
              </w:rPr>
              <w:t>)</w:t>
            </w:r>
            <w:r w:rsidR="007B7988" w:rsidRPr="00E138C4">
              <w:rPr>
                <w:rFonts w:ascii="Times New Roman" w:hAnsi="Times New Roman"/>
              </w:rPr>
              <w:t xml:space="preserve"> </w:t>
            </w:r>
            <w:r w:rsidRPr="00B14475">
              <w:rPr>
                <w:rFonts w:ascii="Times New Roman" w:hAnsi="Times New Roman" w:cs="Times New Roman"/>
                <w:sz w:val="20"/>
                <w:szCs w:val="20"/>
              </w:rPr>
              <w:t>sindromas</w:t>
            </w:r>
            <w:r w:rsidRPr="00B14475">
              <w:rPr>
                <w:rFonts w:ascii="Times New Roman" w:hAnsi="Times New Roman" w:cs="Times New Roman"/>
                <w:sz w:val="20"/>
                <w:szCs w:val="20"/>
                <w:vertAlign w:val="superscript"/>
              </w:rPr>
              <w:t>5</w:t>
            </w:r>
          </w:p>
        </w:tc>
        <w:tc>
          <w:tcPr>
            <w:tcW w:w="1276" w:type="dxa"/>
            <w:tcBorders>
              <w:top w:val="single" w:sz="5" w:space="0" w:color="000000"/>
              <w:left w:val="single" w:sz="5" w:space="0" w:color="000000"/>
              <w:bottom w:val="single" w:sz="5" w:space="0" w:color="000000"/>
              <w:right w:val="single" w:sz="5" w:space="0" w:color="000000"/>
            </w:tcBorders>
          </w:tcPr>
          <w:p w14:paraId="386C69D1" w14:textId="77777777" w:rsidR="00FA0AC1" w:rsidRPr="00E138C4" w:rsidRDefault="00DD069E" w:rsidP="00DD069E">
            <w:pPr>
              <w:spacing w:after="0" w:line="240" w:lineRule="auto"/>
              <w:rPr>
                <w:rFonts w:ascii="Times New Roman" w:eastAsia="Calibri" w:hAnsi="Times New Roman" w:cs="Times New Roman"/>
                <w:sz w:val="20"/>
                <w:szCs w:val="20"/>
              </w:rPr>
            </w:pPr>
            <w:r w:rsidRPr="00B14475">
              <w:rPr>
                <w:rFonts w:ascii="Times New Roman" w:eastAsia="Calibri" w:hAnsi="Times New Roman" w:cs="Times New Roman"/>
                <w:sz w:val="20"/>
                <w:szCs w:val="20"/>
              </w:rPr>
              <w:t xml:space="preserve">Toksinė epidermio nekrolizė, daugiaformė </w:t>
            </w:r>
            <w:r w:rsidR="007B7988" w:rsidRPr="00E138C4">
              <w:rPr>
                <w:rFonts w:ascii="Times New Roman" w:eastAsia="Calibri" w:hAnsi="Times New Roman" w:cs="Times New Roman"/>
                <w:sz w:val="20"/>
                <w:szCs w:val="20"/>
              </w:rPr>
              <w:t>raudonė (</w:t>
            </w:r>
            <w:r w:rsidRPr="00B14475">
              <w:rPr>
                <w:rFonts w:ascii="Times New Roman" w:eastAsia="Calibri" w:hAnsi="Times New Roman" w:cs="Times New Roman"/>
                <w:sz w:val="20"/>
                <w:szCs w:val="20"/>
              </w:rPr>
              <w:t>eritema</w:t>
            </w:r>
            <w:r w:rsidR="007B7988" w:rsidRPr="00E138C4">
              <w:rPr>
                <w:rFonts w:ascii="Times New Roman" w:eastAsia="Calibri" w:hAnsi="Times New Roman" w:cs="Times New Roman"/>
                <w:sz w:val="20"/>
                <w:szCs w:val="20"/>
              </w:rPr>
              <w:t>)</w:t>
            </w:r>
            <w:r w:rsidR="000A53C0" w:rsidRPr="00B14475">
              <w:rPr>
                <w:rFonts w:ascii="Times New Roman" w:eastAsia="Calibri" w:hAnsi="Times New Roman" w:cs="Times New Roman"/>
                <w:sz w:val="20"/>
                <w:szCs w:val="20"/>
              </w:rPr>
              <w:t>,</w:t>
            </w:r>
          </w:p>
          <w:p w14:paraId="0C48DCC9" w14:textId="2A9301BB" w:rsidR="00FA0AC1" w:rsidRPr="00E138C4" w:rsidRDefault="007B7988" w:rsidP="00DD069E">
            <w:pPr>
              <w:spacing w:after="0" w:line="240" w:lineRule="auto"/>
              <w:rPr>
                <w:rStyle w:val="Emfaz"/>
                <w:rFonts w:ascii="Times New Roman" w:hAnsi="Times New Roman"/>
                <w:b w:val="0"/>
                <w:bCs w:val="0"/>
                <w:i/>
                <w:iCs/>
                <w:sz w:val="20"/>
                <w:szCs w:val="20"/>
                <w:shd w:val="clear" w:color="auto" w:fill="FFFFFF"/>
              </w:rPr>
            </w:pPr>
            <w:r w:rsidRPr="00B14475">
              <w:rPr>
                <w:rStyle w:val="Emfaz"/>
                <w:rFonts w:ascii="Times New Roman" w:hAnsi="Times New Roman"/>
                <w:b w:val="0"/>
                <w:bCs w:val="0"/>
                <w:sz w:val="20"/>
                <w:szCs w:val="20"/>
                <w:shd w:val="clear" w:color="auto" w:fill="FFFFFF"/>
              </w:rPr>
              <w:t xml:space="preserve">ūminė generalizuota </w:t>
            </w:r>
            <w:r w:rsidRPr="00B14475">
              <w:rPr>
                <w:rFonts w:ascii="Times New Roman" w:hAnsi="Times New Roman" w:cs="Times New Roman"/>
                <w:sz w:val="20"/>
                <w:szCs w:val="20"/>
                <w:shd w:val="clear" w:color="auto" w:fill="FFFFFF"/>
              </w:rPr>
              <w:t xml:space="preserve">egzanteminė </w:t>
            </w:r>
            <w:r w:rsidRPr="00B14475">
              <w:rPr>
                <w:rStyle w:val="Emfaz"/>
                <w:rFonts w:ascii="Times New Roman" w:hAnsi="Times New Roman"/>
                <w:b w:val="0"/>
                <w:bCs w:val="0"/>
                <w:sz w:val="20"/>
                <w:szCs w:val="20"/>
                <w:shd w:val="clear" w:color="auto" w:fill="FFFFFF"/>
              </w:rPr>
              <w:t>pustuliozė (ŪGEP)</w:t>
            </w:r>
            <w:r w:rsidRPr="00B14475">
              <w:rPr>
                <w:rStyle w:val="Emfaz"/>
                <w:rFonts w:ascii="Times New Roman" w:hAnsi="Times New Roman"/>
                <w:b w:val="0"/>
                <w:bCs w:val="0"/>
                <w:i/>
                <w:iCs/>
                <w:sz w:val="20"/>
                <w:szCs w:val="20"/>
                <w:shd w:val="clear" w:color="auto" w:fill="FFFFFF"/>
              </w:rPr>
              <w:t>,</w:t>
            </w:r>
          </w:p>
          <w:p w14:paraId="06B35ACF" w14:textId="005F34B8" w:rsidR="00DD069E" w:rsidRPr="00B14475" w:rsidRDefault="00FA0AC1" w:rsidP="00DD069E">
            <w:pPr>
              <w:spacing w:after="0" w:line="240" w:lineRule="auto"/>
              <w:rPr>
                <w:rFonts w:ascii="Times New Roman" w:eastAsia="Calibri" w:hAnsi="Times New Roman" w:cs="Times New Roman"/>
                <w:sz w:val="20"/>
                <w:szCs w:val="20"/>
              </w:rPr>
            </w:pPr>
            <w:r w:rsidRPr="00B14475">
              <w:rPr>
                <w:rFonts w:ascii="Times New Roman" w:hAnsi="Times New Roman" w:cs="Times New Roman"/>
                <w:sz w:val="20"/>
                <w:szCs w:val="20"/>
              </w:rPr>
              <w:t>vaistinio preparato sukeltas išbėrimas su eozinofilija ir sisteminiais simptomais</w:t>
            </w:r>
            <w:r w:rsidRPr="00E138C4">
              <w:rPr>
                <w:rFonts w:ascii="Times New Roman" w:hAnsi="Times New Roman" w:cs="Times New Roman"/>
                <w:sz w:val="20"/>
                <w:szCs w:val="20"/>
              </w:rPr>
              <w:t xml:space="preserve"> (DRESS), odos vaskulitas</w:t>
            </w:r>
          </w:p>
        </w:tc>
      </w:tr>
      <w:tr w:rsidR="00E138C4" w:rsidRPr="00E138C4" w14:paraId="18E939EC"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4920A615" w14:textId="77777777" w:rsidR="00DD069E" w:rsidRPr="00B14475" w:rsidRDefault="00DD069E" w:rsidP="00DD069E">
            <w:pPr>
              <w:spacing w:after="0" w:line="240" w:lineRule="auto"/>
              <w:rPr>
                <w:rFonts w:ascii="Times New Roman" w:hAnsi="Times New Roman" w:cs="Times New Roman"/>
                <w:b/>
                <w:sz w:val="20"/>
                <w:szCs w:val="20"/>
              </w:rPr>
            </w:pPr>
            <w:r w:rsidRPr="00B14475">
              <w:rPr>
                <w:rFonts w:ascii="Times New Roman" w:hAnsi="Times New Roman" w:cs="Times New Roman"/>
                <w:i/>
                <w:sz w:val="20"/>
                <w:szCs w:val="20"/>
              </w:rPr>
              <w:t>Skeleto, raumenų ir jungiamojo audinio sutrikimai</w:t>
            </w:r>
          </w:p>
        </w:tc>
        <w:tc>
          <w:tcPr>
            <w:tcW w:w="1701" w:type="dxa"/>
            <w:tcBorders>
              <w:top w:val="single" w:sz="5" w:space="0" w:color="000000"/>
              <w:left w:val="single" w:sz="5" w:space="0" w:color="000000"/>
              <w:bottom w:val="single" w:sz="5" w:space="0" w:color="000000"/>
              <w:right w:val="single" w:sz="5" w:space="0" w:color="000000"/>
            </w:tcBorders>
          </w:tcPr>
          <w:p w14:paraId="04903E69"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2CB70043"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0391D413"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0C818631"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005BC7F"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Rabdomiolizė</w:t>
            </w:r>
          </w:p>
        </w:tc>
        <w:tc>
          <w:tcPr>
            <w:tcW w:w="1276" w:type="dxa"/>
            <w:tcBorders>
              <w:top w:val="single" w:sz="5" w:space="0" w:color="000000"/>
              <w:left w:val="single" w:sz="5" w:space="0" w:color="000000"/>
              <w:bottom w:val="single" w:sz="5" w:space="0" w:color="000000"/>
              <w:right w:val="single" w:sz="5" w:space="0" w:color="000000"/>
            </w:tcBorders>
          </w:tcPr>
          <w:p w14:paraId="571D44E7" w14:textId="77777777" w:rsidR="00DD069E" w:rsidRPr="00B14475" w:rsidRDefault="00DD069E" w:rsidP="00DD069E">
            <w:pPr>
              <w:spacing w:after="0" w:line="240" w:lineRule="auto"/>
              <w:rPr>
                <w:rFonts w:ascii="Times New Roman" w:hAnsi="Times New Roman" w:cs="Times New Roman"/>
                <w:b/>
                <w:sz w:val="20"/>
                <w:szCs w:val="20"/>
              </w:rPr>
            </w:pPr>
          </w:p>
        </w:tc>
      </w:tr>
      <w:tr w:rsidR="00E138C4" w:rsidRPr="00E138C4" w14:paraId="06A2A13A"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465FCAB5"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Inkstų ir šlapimo takų sutrikimai</w:t>
            </w:r>
          </w:p>
        </w:tc>
        <w:tc>
          <w:tcPr>
            <w:tcW w:w="1701" w:type="dxa"/>
            <w:tcBorders>
              <w:top w:val="single" w:sz="5" w:space="0" w:color="000000"/>
              <w:left w:val="single" w:sz="5" w:space="0" w:color="000000"/>
              <w:bottom w:val="single" w:sz="5" w:space="0" w:color="000000"/>
              <w:right w:val="single" w:sz="5" w:space="0" w:color="000000"/>
            </w:tcBorders>
          </w:tcPr>
          <w:p w14:paraId="63F04F87"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527DCB7"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354B16D2"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Šlapimo susilaikymas</w:t>
            </w:r>
          </w:p>
        </w:tc>
        <w:tc>
          <w:tcPr>
            <w:tcW w:w="1417" w:type="dxa"/>
            <w:tcBorders>
              <w:top w:val="single" w:sz="5" w:space="0" w:color="000000"/>
              <w:left w:val="single" w:sz="5" w:space="0" w:color="000000"/>
              <w:bottom w:val="single" w:sz="5" w:space="0" w:color="000000"/>
              <w:right w:val="single" w:sz="5" w:space="0" w:color="000000"/>
            </w:tcBorders>
          </w:tcPr>
          <w:p w14:paraId="1CB754ED"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041CB62"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7244CCA"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54C44DAC"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280FD842"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Būklės nėštumo, pogimdyminiu ir perinataliniu laikotarpiu</w:t>
            </w:r>
          </w:p>
        </w:tc>
        <w:tc>
          <w:tcPr>
            <w:tcW w:w="1701" w:type="dxa"/>
            <w:tcBorders>
              <w:top w:val="single" w:sz="5" w:space="0" w:color="000000"/>
              <w:left w:val="single" w:sz="5" w:space="0" w:color="000000"/>
              <w:bottom w:val="single" w:sz="5" w:space="0" w:color="000000"/>
              <w:right w:val="single" w:sz="5" w:space="0" w:color="000000"/>
            </w:tcBorders>
          </w:tcPr>
          <w:p w14:paraId="02E81992"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D29B55B"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641F2A31"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1AA28B3F"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8C4A383"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AC1B832" w14:textId="5F7624FF"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Vaistinio preparato nutraukimo sindromas naujagimiui</w:t>
            </w:r>
            <w:r w:rsidRPr="00B14475">
              <w:rPr>
                <w:rFonts w:ascii="Times New Roman" w:hAnsi="Times New Roman" w:cs="Times New Roman"/>
                <w:sz w:val="20"/>
                <w:szCs w:val="20"/>
                <w:vertAlign w:val="superscript"/>
              </w:rPr>
              <w:t>31</w:t>
            </w:r>
          </w:p>
        </w:tc>
      </w:tr>
      <w:tr w:rsidR="00E138C4" w:rsidRPr="00E138C4" w14:paraId="48469545"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09E4B4D3"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Lytinės sistemos ir krūties sutrikimai</w:t>
            </w:r>
          </w:p>
        </w:tc>
        <w:tc>
          <w:tcPr>
            <w:tcW w:w="1701" w:type="dxa"/>
            <w:tcBorders>
              <w:top w:val="single" w:sz="5" w:space="0" w:color="000000"/>
              <w:left w:val="single" w:sz="5" w:space="0" w:color="000000"/>
              <w:bottom w:val="single" w:sz="5" w:space="0" w:color="000000"/>
              <w:right w:val="single" w:sz="5" w:space="0" w:color="000000"/>
            </w:tcBorders>
          </w:tcPr>
          <w:p w14:paraId="25F9C75D"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7A6203E9"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1D3D0CA4"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Lytinė disfunkcija</w:t>
            </w:r>
          </w:p>
        </w:tc>
        <w:tc>
          <w:tcPr>
            <w:tcW w:w="1417" w:type="dxa"/>
            <w:tcBorders>
              <w:top w:val="single" w:sz="5" w:space="0" w:color="000000"/>
              <w:left w:val="single" w:sz="5" w:space="0" w:color="000000"/>
              <w:bottom w:val="single" w:sz="5" w:space="0" w:color="000000"/>
              <w:right w:val="single" w:sz="5" w:space="0" w:color="000000"/>
            </w:tcBorders>
          </w:tcPr>
          <w:p w14:paraId="4A1AA0F5"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Priapizmas, galaktorėja, padidėjusios krūtys, sutrikusios menstruacijos</w:t>
            </w:r>
          </w:p>
        </w:tc>
        <w:tc>
          <w:tcPr>
            <w:tcW w:w="1276" w:type="dxa"/>
            <w:tcBorders>
              <w:top w:val="single" w:sz="5" w:space="0" w:color="000000"/>
              <w:left w:val="single" w:sz="5" w:space="0" w:color="000000"/>
              <w:bottom w:val="single" w:sz="5" w:space="0" w:color="000000"/>
              <w:right w:val="single" w:sz="5" w:space="0" w:color="000000"/>
            </w:tcBorders>
          </w:tcPr>
          <w:p w14:paraId="7A9DA560"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CDE53EE" w14:textId="77777777" w:rsidR="00DD069E" w:rsidRPr="00B14475" w:rsidRDefault="00DD069E" w:rsidP="00DD069E">
            <w:pPr>
              <w:spacing w:after="0" w:line="240" w:lineRule="auto"/>
              <w:rPr>
                <w:rFonts w:ascii="Times New Roman" w:eastAsia="Calibri" w:hAnsi="Times New Roman" w:cs="Times New Roman"/>
                <w:sz w:val="20"/>
                <w:szCs w:val="20"/>
              </w:rPr>
            </w:pPr>
          </w:p>
        </w:tc>
      </w:tr>
      <w:tr w:rsidR="00E138C4" w:rsidRPr="00E138C4" w14:paraId="79A8A538"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56D960AA"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lastRenderedPageBreak/>
              <w:t>Bendrieji sutrikimai ir vartojimo vietos pažeidimai</w:t>
            </w:r>
          </w:p>
        </w:tc>
        <w:tc>
          <w:tcPr>
            <w:tcW w:w="1701" w:type="dxa"/>
            <w:tcBorders>
              <w:top w:val="single" w:sz="5" w:space="0" w:color="000000"/>
              <w:left w:val="single" w:sz="5" w:space="0" w:color="000000"/>
              <w:bottom w:val="single" w:sz="5" w:space="0" w:color="000000"/>
              <w:right w:val="single" w:sz="5" w:space="0" w:color="000000"/>
            </w:tcBorders>
          </w:tcPr>
          <w:p w14:paraId="6C5E4979" w14:textId="527646A5"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Nutraukimo simptomai</w:t>
            </w:r>
            <w:r w:rsidRPr="00B14475">
              <w:rPr>
                <w:rFonts w:ascii="Times New Roman" w:hAnsi="Times New Roman" w:cs="Times New Roman"/>
                <w:sz w:val="20"/>
                <w:szCs w:val="20"/>
                <w:vertAlign w:val="superscript"/>
              </w:rPr>
              <w:t>1,</w:t>
            </w:r>
            <w:r w:rsidR="00FA0AC1" w:rsidRPr="00E138C4">
              <w:rPr>
                <w:rFonts w:ascii="Times New Roman" w:hAnsi="Times New Roman" w:cs="Times New Roman"/>
                <w:sz w:val="20"/>
                <w:szCs w:val="20"/>
                <w:vertAlign w:val="superscript"/>
              </w:rPr>
              <w:t> </w:t>
            </w:r>
            <w:r w:rsidRPr="00B14475">
              <w:rPr>
                <w:rFonts w:ascii="Times New Roman" w:hAnsi="Times New Roman" w:cs="Times New Roman"/>
                <w:sz w:val="20"/>
                <w:szCs w:val="20"/>
                <w:vertAlign w:val="superscript"/>
              </w:rPr>
              <w:t>9</w:t>
            </w:r>
          </w:p>
        </w:tc>
        <w:tc>
          <w:tcPr>
            <w:tcW w:w="1984" w:type="dxa"/>
            <w:tcBorders>
              <w:top w:val="single" w:sz="5" w:space="0" w:color="000000"/>
              <w:left w:val="single" w:sz="5" w:space="0" w:color="000000"/>
              <w:bottom w:val="single" w:sz="5" w:space="0" w:color="000000"/>
              <w:right w:val="single" w:sz="5" w:space="0" w:color="000000"/>
            </w:tcBorders>
          </w:tcPr>
          <w:p w14:paraId="7835A07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Lengva astenija, periferinė edema, irzlumas, karščiavimas</w:t>
            </w:r>
          </w:p>
        </w:tc>
        <w:tc>
          <w:tcPr>
            <w:tcW w:w="1560" w:type="dxa"/>
            <w:tcBorders>
              <w:top w:val="single" w:sz="5" w:space="0" w:color="000000"/>
              <w:left w:val="single" w:sz="5" w:space="0" w:color="000000"/>
              <w:bottom w:val="single" w:sz="5" w:space="0" w:color="000000"/>
              <w:right w:val="single" w:sz="5" w:space="0" w:color="000000"/>
            </w:tcBorders>
          </w:tcPr>
          <w:p w14:paraId="3C5ACD3A"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0280009E" w14:textId="1E810168"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Neurolepsinis piktybinis sindromas</w:t>
            </w: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hipotermija</w:t>
            </w:r>
          </w:p>
        </w:tc>
        <w:tc>
          <w:tcPr>
            <w:tcW w:w="1276" w:type="dxa"/>
            <w:tcBorders>
              <w:top w:val="single" w:sz="5" w:space="0" w:color="000000"/>
              <w:left w:val="single" w:sz="5" w:space="0" w:color="000000"/>
              <w:bottom w:val="single" w:sz="5" w:space="0" w:color="000000"/>
              <w:right w:val="single" w:sz="5" w:space="0" w:color="000000"/>
            </w:tcBorders>
          </w:tcPr>
          <w:p w14:paraId="03A45903" w14:textId="77777777" w:rsidR="00DD069E" w:rsidRPr="00B14475" w:rsidRDefault="00DD069E" w:rsidP="00DD069E">
            <w:pPr>
              <w:spacing w:after="0" w:line="240" w:lineRule="auto"/>
              <w:rPr>
                <w:rFonts w:ascii="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2F770A1" w14:textId="77777777" w:rsidR="00DD069E" w:rsidRPr="00B14475" w:rsidRDefault="00DD069E" w:rsidP="00DD069E">
            <w:pPr>
              <w:spacing w:after="0" w:line="240" w:lineRule="auto"/>
              <w:rPr>
                <w:rFonts w:ascii="Times New Roman" w:hAnsi="Times New Roman" w:cs="Times New Roman"/>
                <w:sz w:val="20"/>
                <w:szCs w:val="20"/>
              </w:rPr>
            </w:pPr>
          </w:p>
        </w:tc>
      </w:tr>
      <w:tr w:rsidR="00E138C4" w:rsidRPr="00E138C4" w14:paraId="03E955B5" w14:textId="77777777" w:rsidTr="002D28EE">
        <w:trPr>
          <w:trHeight w:hRule="exact" w:val="1730"/>
        </w:trPr>
        <w:tc>
          <w:tcPr>
            <w:tcW w:w="1277" w:type="dxa"/>
            <w:tcBorders>
              <w:top w:val="single" w:sz="5" w:space="0" w:color="000000"/>
              <w:left w:val="single" w:sz="5" w:space="0" w:color="000000"/>
              <w:bottom w:val="single" w:sz="5" w:space="0" w:color="000000"/>
              <w:right w:val="single" w:sz="5" w:space="0" w:color="000000"/>
            </w:tcBorders>
          </w:tcPr>
          <w:p w14:paraId="55D756F8" w14:textId="77777777" w:rsidR="00DD069E" w:rsidRPr="00B14475" w:rsidRDefault="00DD069E" w:rsidP="00DD069E">
            <w:pPr>
              <w:spacing w:after="0" w:line="240" w:lineRule="auto"/>
              <w:rPr>
                <w:rFonts w:ascii="Times New Roman" w:hAnsi="Times New Roman" w:cs="Times New Roman"/>
                <w:i/>
                <w:sz w:val="20"/>
                <w:szCs w:val="20"/>
              </w:rPr>
            </w:pPr>
            <w:r w:rsidRPr="00B14475">
              <w:rPr>
                <w:rFonts w:ascii="Times New Roman" w:hAnsi="Times New Roman" w:cs="Times New Roman"/>
                <w:i/>
                <w:sz w:val="20"/>
                <w:szCs w:val="20"/>
              </w:rPr>
              <w:t>Tyrimai</w:t>
            </w:r>
          </w:p>
        </w:tc>
        <w:tc>
          <w:tcPr>
            <w:tcW w:w="1701" w:type="dxa"/>
            <w:tcBorders>
              <w:top w:val="single" w:sz="5" w:space="0" w:color="000000"/>
              <w:left w:val="single" w:sz="5" w:space="0" w:color="000000"/>
              <w:bottom w:val="single" w:sz="5" w:space="0" w:color="000000"/>
              <w:right w:val="single" w:sz="5" w:space="0" w:color="000000"/>
            </w:tcBorders>
          </w:tcPr>
          <w:p w14:paraId="41304B39" w14:textId="77777777" w:rsidR="00DD069E" w:rsidRPr="00B14475" w:rsidRDefault="00DD069E" w:rsidP="00DD069E">
            <w:pPr>
              <w:spacing w:after="0" w:line="240" w:lineRule="auto"/>
              <w:rPr>
                <w:rFonts w:ascii="Times New Roman" w:hAnsi="Times New Roman" w:cs="Times New Roman"/>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74C2AF75" w14:textId="77777777" w:rsidR="00DD069E" w:rsidRPr="00B14475" w:rsidRDefault="00DD069E" w:rsidP="00DD069E">
            <w:pPr>
              <w:spacing w:after="0" w:line="240" w:lineRule="auto"/>
              <w:rPr>
                <w:rFonts w:ascii="Times New Roman" w:hAnsi="Times New Roman" w:cs="Times New Roman"/>
                <w:sz w:val="20"/>
                <w:szCs w:val="20"/>
              </w:rPr>
            </w:pPr>
          </w:p>
        </w:tc>
        <w:tc>
          <w:tcPr>
            <w:tcW w:w="1560" w:type="dxa"/>
            <w:tcBorders>
              <w:top w:val="single" w:sz="5" w:space="0" w:color="000000"/>
              <w:left w:val="single" w:sz="5" w:space="0" w:color="000000"/>
              <w:bottom w:val="single" w:sz="5" w:space="0" w:color="000000"/>
              <w:right w:val="single" w:sz="5" w:space="0" w:color="000000"/>
            </w:tcBorders>
          </w:tcPr>
          <w:p w14:paraId="6BD20EF7" w14:textId="77777777" w:rsidR="00DD069E" w:rsidRPr="00B14475" w:rsidRDefault="00DD069E" w:rsidP="00DD069E">
            <w:pPr>
              <w:spacing w:after="0" w:line="240" w:lineRule="auto"/>
              <w:rPr>
                <w:rFonts w:ascii="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7495167C" w14:textId="561FC7F9"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rPr>
              <w:t>Padidėjusi kreatino kinazės koncentracija kraujyje</w:t>
            </w:r>
            <w:r w:rsidRPr="00B14475">
              <w:rPr>
                <w:rFonts w:ascii="Times New Roman" w:hAnsi="Times New Roman" w:cs="Times New Roman"/>
                <w:sz w:val="20"/>
                <w:szCs w:val="20"/>
                <w:vertAlign w:val="superscript"/>
              </w:rPr>
              <w:t>14</w:t>
            </w:r>
          </w:p>
        </w:tc>
        <w:tc>
          <w:tcPr>
            <w:tcW w:w="1276" w:type="dxa"/>
            <w:tcBorders>
              <w:top w:val="single" w:sz="5" w:space="0" w:color="000000"/>
              <w:left w:val="single" w:sz="5" w:space="0" w:color="000000"/>
              <w:bottom w:val="single" w:sz="5" w:space="0" w:color="000000"/>
              <w:right w:val="single" w:sz="5" w:space="0" w:color="000000"/>
            </w:tcBorders>
          </w:tcPr>
          <w:p w14:paraId="168C7D86" w14:textId="77777777" w:rsidR="00DD069E" w:rsidRPr="00B14475" w:rsidRDefault="00DD069E" w:rsidP="00DD069E">
            <w:pPr>
              <w:spacing w:after="0" w:line="240" w:lineRule="auto"/>
              <w:rPr>
                <w:rFonts w:ascii="Times New Roman" w:eastAsia="Calibri"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6B83581" w14:textId="77777777" w:rsidR="00DD069E" w:rsidRPr="00B14475" w:rsidRDefault="00DD069E" w:rsidP="00DD069E">
            <w:pPr>
              <w:spacing w:after="0" w:line="240" w:lineRule="auto"/>
              <w:rPr>
                <w:rFonts w:ascii="Times New Roman" w:eastAsia="Calibri" w:hAnsi="Times New Roman" w:cs="Times New Roman"/>
                <w:sz w:val="20"/>
                <w:szCs w:val="20"/>
              </w:rPr>
            </w:pPr>
          </w:p>
        </w:tc>
      </w:tr>
    </w:tbl>
    <w:p w14:paraId="2989AAF1" w14:textId="77777777" w:rsidR="00DD069E" w:rsidRPr="00E138C4" w:rsidRDefault="00DD069E" w:rsidP="00DD069E">
      <w:pPr>
        <w:spacing w:after="0" w:line="240" w:lineRule="auto"/>
        <w:rPr>
          <w:rFonts w:ascii="Times New Roman" w:hAnsi="Times New Roman" w:cs="Times New Roman"/>
          <w:vertAlign w:val="superscript"/>
        </w:rPr>
      </w:pPr>
    </w:p>
    <w:p w14:paraId="216F9D25"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w:t>
      </w:r>
      <w:r w:rsidRPr="00B14475">
        <w:rPr>
          <w:rFonts w:ascii="Times New Roman" w:hAnsi="Times New Roman" w:cs="Times New Roman"/>
          <w:sz w:val="20"/>
          <w:szCs w:val="20"/>
        </w:rPr>
        <w:t xml:space="preserve"> Žr. 4.4 skyrių.</w:t>
      </w:r>
    </w:p>
    <w:p w14:paraId="51EC53C1"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 </w:t>
      </w:r>
      <w:r w:rsidRPr="00B14475">
        <w:rPr>
          <w:rFonts w:ascii="Times New Roman" w:hAnsi="Times New Roman" w:cs="Times New Roman"/>
          <w:sz w:val="20"/>
          <w:szCs w:val="20"/>
        </w:rPr>
        <w:t>Mieguistumas dažniausiai pasireiškia per pirmas dvi gydymo savaites ir paprastai, tęsiant kvetiapino vartojimą, praeina.</w:t>
      </w:r>
    </w:p>
    <w:p w14:paraId="7255FF9B"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3</w:t>
      </w:r>
      <w:r w:rsidRPr="00B14475">
        <w:rPr>
          <w:rFonts w:ascii="Times New Roman" w:hAnsi="Times New Roman" w:cs="Times New Roman"/>
          <w:sz w:val="20"/>
          <w:szCs w:val="20"/>
        </w:rPr>
        <w:t xml:space="preserve"> Kai kuriems kvetiapiną vartojantiems pacientams pasireiškė nesimptominis transaminazių (ALT, AST) ar gama-GT koncentracijos kraujo serume padidėjimas (nustatytas nukrypimas nuo normalaus iki ≥ 3x viršutinė normos riba bet kutiuo metu). Kvetiapiną vartojant toliau, šių fermentų koncentracijos paprastai sunormalėdavo.</w:t>
      </w:r>
    </w:p>
    <w:p w14:paraId="683BDE1C"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4</w:t>
      </w:r>
      <w:r w:rsidRPr="00B14475">
        <w:rPr>
          <w:rFonts w:ascii="Times New Roman" w:hAnsi="Times New Roman" w:cs="Times New Roman"/>
          <w:sz w:val="20"/>
          <w:szCs w:val="20"/>
        </w:rPr>
        <w:t xml:space="preserve"> Kvetiapinas, kaip ir kitokie adrenerginius alfa</w:t>
      </w:r>
      <w:r w:rsidRPr="00B14475">
        <w:rPr>
          <w:rFonts w:ascii="Times New Roman" w:hAnsi="Times New Roman" w:cs="Times New Roman"/>
          <w:sz w:val="20"/>
          <w:szCs w:val="20"/>
          <w:vertAlign w:val="subscript"/>
        </w:rPr>
        <w:t>1</w:t>
      </w:r>
      <w:r w:rsidRPr="00B14475">
        <w:rPr>
          <w:rFonts w:ascii="Times New Roman" w:hAnsi="Times New Roman" w:cs="Times New Roman"/>
          <w:sz w:val="20"/>
          <w:szCs w:val="20"/>
        </w:rPr>
        <w:t xml:space="preserve"> receptorius blokuojantys antipsichoziniai preparatai, gali sukelti ortostatinę hipotenziją, susijusią su galvos svaigimu, tachikardija, kai kuriems pacientams – apalpimu, ypač pradiniu dozės titravimo laikotarpiu (žr. 4.4 skyrių).</w:t>
      </w:r>
    </w:p>
    <w:p w14:paraId="5BC4BB4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5</w:t>
      </w:r>
      <w:r w:rsidRPr="00B14475">
        <w:rPr>
          <w:rFonts w:ascii="Times New Roman" w:hAnsi="Times New Roman" w:cs="Times New Roman"/>
          <w:sz w:val="20"/>
          <w:szCs w:val="20"/>
        </w:rPr>
        <w:t>.Šių NRV dažnis apskaičiuotas remiantis tik pateikus vaistinį preparatą į rinką gautais duomenimis.</w:t>
      </w:r>
    </w:p>
    <w:p w14:paraId="25525EBA" w14:textId="69A7062C"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6 </w:t>
      </w:r>
      <w:r w:rsidRPr="00B14475">
        <w:rPr>
          <w:rFonts w:ascii="Times New Roman" w:hAnsi="Times New Roman" w:cs="Times New Roman"/>
          <w:sz w:val="20"/>
          <w:szCs w:val="20"/>
        </w:rPr>
        <w:t>Bent vienu atveju gliukozės kiekis nevalgius buvo ≥ 126 mg/dl (≥ 7,0 mmol/l) arba pavalgius ≥ 200 mg/dl (≥ 11,1 mmol/l).</w:t>
      </w:r>
    </w:p>
    <w:p w14:paraId="6408D2AB"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7 </w:t>
      </w:r>
      <w:r w:rsidRPr="00B14475">
        <w:rPr>
          <w:rFonts w:ascii="Times New Roman" w:hAnsi="Times New Roman" w:cs="Times New Roman"/>
          <w:sz w:val="20"/>
          <w:szCs w:val="20"/>
        </w:rPr>
        <w:t>Disfagijos padažnėjimas vartojant kvetiapiną, palyginti su placebu, buvo pastebėtas tik bipolinės depresijos klinikinių tyrimų metu.</w:t>
      </w:r>
    </w:p>
    <w:p w14:paraId="4186E6C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8 </w:t>
      </w:r>
      <w:r w:rsidRPr="00B14475">
        <w:rPr>
          <w:rFonts w:ascii="Times New Roman" w:hAnsi="Times New Roman" w:cs="Times New Roman"/>
          <w:sz w:val="20"/>
          <w:szCs w:val="20"/>
        </w:rPr>
        <w:t>Pagrįstas &gt; 7% kūno svorio padidėjimu nuo pradinio kūno svorio. Daugiausia pasireiškė suaugusiems pirmosiomis gydymo savaitėmis.</w:t>
      </w:r>
    </w:p>
    <w:p w14:paraId="6F5129E6"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9 </w:t>
      </w:r>
      <w:r w:rsidRPr="00B14475">
        <w:rPr>
          <w:rFonts w:ascii="Times New Roman" w:hAnsi="Times New Roman" w:cs="Times New Roman"/>
          <w:sz w:val="20"/>
          <w:szCs w:val="20"/>
        </w:rPr>
        <w:t>Trumpalaikių, placebu kontroliuojamų monoterapijos klinikinių tyrimų, kurių metu įvertinti nutraukimo simptomai, buvo pastebėta tokių nutraukimo simptomų: nemiga, pykinimas, galvos skausmas, viduriavimas, vėmimas, galvos svaigimas ir irzlumas. Po vaist</w:t>
      </w:r>
      <w:r w:rsidR="003F2D8E" w:rsidRPr="00B14475">
        <w:rPr>
          <w:rFonts w:ascii="Times New Roman" w:hAnsi="Times New Roman" w:cs="Times New Roman"/>
          <w:sz w:val="20"/>
          <w:szCs w:val="20"/>
        </w:rPr>
        <w:t>ini</w:t>
      </w:r>
      <w:r w:rsidRPr="00B14475">
        <w:rPr>
          <w:rFonts w:ascii="Times New Roman" w:hAnsi="Times New Roman" w:cs="Times New Roman"/>
          <w:sz w:val="20"/>
          <w:szCs w:val="20"/>
        </w:rPr>
        <w:t xml:space="preserve">o </w:t>
      </w:r>
      <w:r w:rsidR="003F2D8E" w:rsidRPr="00B14475">
        <w:rPr>
          <w:rFonts w:ascii="Times New Roman" w:hAnsi="Times New Roman" w:cs="Times New Roman"/>
          <w:sz w:val="20"/>
          <w:szCs w:val="20"/>
        </w:rPr>
        <w:t xml:space="preserve">preparato </w:t>
      </w:r>
      <w:r w:rsidRPr="00B14475">
        <w:rPr>
          <w:rFonts w:ascii="Times New Roman" w:hAnsi="Times New Roman" w:cs="Times New Roman"/>
          <w:sz w:val="20"/>
          <w:szCs w:val="20"/>
        </w:rPr>
        <w:t>nutraukimo praėjus vienai savaitei šių reakcijų dažnis reikšmingai sumažėjo.</w:t>
      </w:r>
    </w:p>
    <w:p w14:paraId="17C15E2F" w14:textId="1296E7B0"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10 </w:t>
      </w:r>
      <w:r w:rsidRPr="00B14475">
        <w:rPr>
          <w:rFonts w:ascii="Times New Roman" w:hAnsi="Times New Roman" w:cs="Times New Roman"/>
          <w:sz w:val="20"/>
          <w:szCs w:val="20"/>
        </w:rPr>
        <w:t>Mažiausiai vienu atveju trigliceridų ≥ 200 mg/dl (2,258 mmol/l) (18 metų arba vyresni pacientai) arba ≥ 150 mg/dl (1,694 mmol/l) (jaunesni kaip 18 metų pacientai).</w:t>
      </w:r>
    </w:p>
    <w:p w14:paraId="7046EDD7"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11 </w:t>
      </w:r>
      <w:r w:rsidRPr="00B14475">
        <w:rPr>
          <w:rFonts w:ascii="Times New Roman" w:hAnsi="Times New Roman" w:cs="Times New Roman"/>
          <w:sz w:val="20"/>
          <w:szCs w:val="20"/>
        </w:rPr>
        <w:t>Mažiausiai vienu atveju cholesterolio ≥ 6,2064 mmol/l (18 metų arba vyresni pacientai) arba ≥ 5,172 mmol/l (jaunesni kaip 18 metų pacientai). Labai dažnai pastebėtas MTL padidėjimas ≥ 0,769 mmol/l. Tarp pacientų, kurių MTL padidėjo, vidutinis pokytis tarp jų buvo ≥ 1,07 mmol/l.</w:t>
      </w:r>
    </w:p>
    <w:p w14:paraId="6C1F36DB"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12</w:t>
      </w:r>
      <w:r w:rsidRPr="00B14475">
        <w:rPr>
          <w:rFonts w:ascii="Times New Roman" w:hAnsi="Times New Roman" w:cs="Times New Roman"/>
          <w:sz w:val="20"/>
          <w:szCs w:val="20"/>
        </w:rPr>
        <w:t xml:space="preserve"> Žr. toliau pateiktą tekstą.</w:t>
      </w:r>
    </w:p>
    <w:p w14:paraId="0488632D"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13</w:t>
      </w:r>
      <w:r w:rsidRPr="00B14475">
        <w:rPr>
          <w:rFonts w:ascii="Times New Roman" w:hAnsi="Times New Roman" w:cs="Times New Roman"/>
          <w:sz w:val="20"/>
          <w:szCs w:val="20"/>
        </w:rPr>
        <w:t xml:space="preserve"> Mažiausiai vienu atveju kraujo plokštelių ≤ 100 x 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w:t>
      </w:r>
    </w:p>
    <w:p w14:paraId="7F51734F"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14</w:t>
      </w:r>
      <w:r w:rsidRPr="00B14475">
        <w:rPr>
          <w:rFonts w:ascii="Times New Roman" w:hAnsi="Times New Roman" w:cs="Times New Roman"/>
          <w:sz w:val="20"/>
          <w:szCs w:val="20"/>
        </w:rPr>
        <w:t xml:space="preserve"> Remiantis klinikiniu tyrimu, pranešimai apie nepageidaujamą kraujo kreatinkinazės padidėjimo reiškinį yra nesusiję su piktybiniu neurolepsiniu sindromu.</w:t>
      </w:r>
    </w:p>
    <w:p w14:paraId="72C1A637"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15</w:t>
      </w:r>
      <w:r w:rsidRPr="00B14475">
        <w:rPr>
          <w:rFonts w:ascii="Times New Roman" w:hAnsi="Times New Roman" w:cs="Times New Roman"/>
          <w:sz w:val="20"/>
          <w:szCs w:val="20"/>
        </w:rPr>
        <w:t xml:space="preserve"> Prolaktino kiekis bet kuriuo metu vyresniems negu 18 metų pacientams: &gt; 20 mikrogramų/l (&gt; 869,56 pmol/l) vyrams, &gt; 30 mikrogramų/l (&gt; 1304,34 pmol/l) moterims.</w:t>
      </w:r>
    </w:p>
    <w:p w14:paraId="0A128A63"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16</w:t>
      </w:r>
      <w:r w:rsidRPr="00B14475">
        <w:rPr>
          <w:rFonts w:ascii="Times New Roman" w:hAnsi="Times New Roman" w:cs="Times New Roman"/>
          <w:sz w:val="20"/>
          <w:szCs w:val="20"/>
        </w:rPr>
        <w:t xml:space="preserve"> Gali skatinti pargriuvimus.</w:t>
      </w:r>
    </w:p>
    <w:p w14:paraId="0453BBEE" w14:textId="234BC714"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17</w:t>
      </w:r>
      <w:r w:rsidRPr="00B14475">
        <w:rPr>
          <w:rFonts w:ascii="Times New Roman" w:hAnsi="Times New Roman" w:cs="Times New Roman"/>
          <w:sz w:val="20"/>
          <w:szCs w:val="20"/>
        </w:rPr>
        <w:t xml:space="preserve"> DTL bet kuriuo metu: &lt; 40 mg/dl (1,025 mmol/l) vyrams; &lt; 50 mg/dl (1,282 mmol/l) moterims.</w:t>
      </w:r>
    </w:p>
    <w:p w14:paraId="1B5D4346"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18 </w:t>
      </w:r>
      <w:r w:rsidRPr="00B14475">
        <w:rPr>
          <w:rFonts w:ascii="Times New Roman" w:hAnsi="Times New Roman" w:cs="Times New Roman"/>
          <w:sz w:val="20"/>
          <w:szCs w:val="20"/>
        </w:rPr>
        <w:t>Įskaičiuoti pacientai, kurių koreguotas QT intervalas, buvęs &lt; 450 msek. trukmės, pailgėjo ≥ 30 msek. ir pasidarė ≥ 450 msek. Placebu kontroliuojamų kvetiapino tyrimų metu vidutinis pokytis ir pacientų, kuriems nustatytas klinikai reikšmingas pailgėjimas, procentas kvetiapino ir placebo grupėse buvo panašus.</w:t>
      </w:r>
    </w:p>
    <w:p w14:paraId="63EA958A"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19 </w:t>
      </w:r>
      <w:r w:rsidRPr="00B14475">
        <w:rPr>
          <w:rFonts w:ascii="Times New Roman" w:hAnsi="Times New Roman" w:cs="Times New Roman"/>
          <w:sz w:val="20"/>
          <w:szCs w:val="20"/>
        </w:rPr>
        <w:t>Bent vieną kartą nustatytas nukrypimas nuo &gt;132 mmol/L iki &lt;132 mmol/L.</w:t>
      </w:r>
    </w:p>
    <w:p w14:paraId="3977C96B"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20 </w:t>
      </w:r>
      <w:r w:rsidRPr="00B14475">
        <w:rPr>
          <w:rFonts w:ascii="Times New Roman" w:hAnsi="Times New Roman" w:cs="Times New Roman"/>
          <w:sz w:val="20"/>
          <w:szCs w:val="20"/>
        </w:rPr>
        <w:t>Pranešimų apie mintis apie savižudybę ir savižudišką elgesį gauta vartojant kvetiapino ar netrukus po jo vartojimo (žr. 4.4 ir 5.1 skyrius).</w:t>
      </w:r>
    </w:p>
    <w:p w14:paraId="4376D222"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21 </w:t>
      </w:r>
      <w:r w:rsidRPr="00B14475">
        <w:rPr>
          <w:rFonts w:ascii="Times New Roman" w:hAnsi="Times New Roman" w:cs="Times New Roman"/>
          <w:sz w:val="20"/>
          <w:szCs w:val="20"/>
        </w:rPr>
        <w:t>Žr. 5.1 skyrių.</w:t>
      </w:r>
    </w:p>
    <w:p w14:paraId="40682809" w14:textId="77777777" w:rsidR="00DD069E" w:rsidRPr="00B14475" w:rsidRDefault="00DD069E" w:rsidP="00DD069E">
      <w:pPr>
        <w:spacing w:after="0" w:line="240" w:lineRule="auto"/>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22 </w:t>
      </w:r>
      <w:r w:rsidRPr="00B14475">
        <w:rPr>
          <w:rFonts w:ascii="Times New Roman" w:hAnsi="Times New Roman" w:cs="Times New Roman"/>
          <w:sz w:val="20"/>
          <w:szCs w:val="20"/>
        </w:rPr>
        <w:t xml:space="preserve"> Visų tyrimų, įskaitant atvirus jų tęsinius, metu sumažėjusi hemoglobino koncentracija (≤ 13 g/dl [8,07 mmol/l] vyrams, ≤ 12 g/dl [7,45 mmol/l] moterims) bent kartą nustatyta 11 % kvetiapino vartojusių </w:t>
      </w:r>
      <w:r w:rsidRPr="00B14475">
        <w:rPr>
          <w:rFonts w:ascii="Times New Roman" w:hAnsi="Times New Roman" w:cs="Times New Roman"/>
          <w:sz w:val="20"/>
          <w:szCs w:val="20"/>
        </w:rPr>
        <w:lastRenderedPageBreak/>
        <w:t>pacientų.  Vidutinis didžiausias hemoglobino koncentracijos sumažėjimas, bet kuriuo laiku nustatytas šiems pacientams, buvo 1,5 g/dl.</w:t>
      </w:r>
    </w:p>
    <w:p w14:paraId="76D4B842"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23</w:t>
      </w:r>
      <w:r w:rsidRPr="00B14475">
        <w:rPr>
          <w:rFonts w:ascii="Times New Roman" w:hAnsi="Times New Roman" w:cs="Times New Roman"/>
          <w:sz w:val="20"/>
          <w:szCs w:val="20"/>
        </w:rPr>
        <w:t xml:space="preserve"> Gautų pranešimų duomenimis, dažnai kartu būdavo tachikardija, galvos svaigimas, ortostatinė hipotenzija ir (arba) širdies ar kvėpavimo takų liga.</w:t>
      </w:r>
    </w:p>
    <w:p w14:paraId="59ADB7C2"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24 </w:t>
      </w:r>
      <w:r w:rsidRPr="00B14475">
        <w:rPr>
          <w:rFonts w:ascii="Times New Roman" w:hAnsi="Times New Roman" w:cs="Times New Roman"/>
          <w:sz w:val="20"/>
          <w:szCs w:val="20"/>
        </w:rPr>
        <w:t>Visų klinikinių tyrimų metu užfiksuoti potencialiai reikšmingi klinikai nukrypimai, kai koncentracija iki gydymo buvo normali. Bendrojo T</w:t>
      </w:r>
      <w:r w:rsidRPr="00B14475">
        <w:rPr>
          <w:rFonts w:ascii="Times New Roman" w:hAnsi="Times New Roman" w:cs="Times New Roman"/>
          <w:sz w:val="20"/>
          <w:szCs w:val="20"/>
          <w:vertAlign w:val="subscript"/>
        </w:rPr>
        <w:t>4</w:t>
      </w:r>
      <w:r w:rsidRPr="00B14475">
        <w:rPr>
          <w:rFonts w:ascii="Times New Roman" w:hAnsi="Times New Roman" w:cs="Times New Roman"/>
          <w:sz w:val="20"/>
          <w:szCs w:val="20"/>
        </w:rPr>
        <w:t>, laisvojo T</w:t>
      </w:r>
      <w:r w:rsidRPr="00B14475">
        <w:rPr>
          <w:rFonts w:ascii="Times New Roman" w:hAnsi="Times New Roman" w:cs="Times New Roman"/>
          <w:sz w:val="20"/>
          <w:szCs w:val="20"/>
          <w:vertAlign w:val="subscript"/>
        </w:rPr>
        <w:t>4</w:t>
      </w:r>
      <w:r w:rsidRPr="00B14475">
        <w:rPr>
          <w:rFonts w:ascii="Times New Roman" w:hAnsi="Times New Roman" w:cs="Times New Roman"/>
          <w:sz w:val="20"/>
          <w:szCs w:val="20"/>
        </w:rPr>
        <w:t>, bendrojo T</w:t>
      </w:r>
      <w:r w:rsidRPr="00B14475">
        <w:rPr>
          <w:rFonts w:ascii="Times New Roman" w:hAnsi="Times New Roman" w:cs="Times New Roman"/>
          <w:sz w:val="20"/>
          <w:szCs w:val="20"/>
          <w:vertAlign w:val="subscript"/>
        </w:rPr>
        <w:t>3</w:t>
      </w:r>
      <w:r w:rsidRPr="00B14475">
        <w:rPr>
          <w:rFonts w:ascii="Times New Roman" w:hAnsi="Times New Roman" w:cs="Times New Roman"/>
          <w:sz w:val="20"/>
          <w:szCs w:val="20"/>
        </w:rPr>
        <w:t xml:space="preserve"> ir laisvojo T</w:t>
      </w:r>
      <w:r w:rsidRPr="00B14475">
        <w:rPr>
          <w:rFonts w:ascii="Times New Roman" w:hAnsi="Times New Roman" w:cs="Times New Roman"/>
          <w:sz w:val="20"/>
          <w:szCs w:val="20"/>
          <w:vertAlign w:val="subscript"/>
        </w:rPr>
        <w:t>3</w:t>
      </w:r>
      <w:r w:rsidRPr="00B14475">
        <w:rPr>
          <w:rFonts w:ascii="Times New Roman" w:hAnsi="Times New Roman" w:cs="Times New Roman"/>
          <w:sz w:val="20"/>
          <w:szCs w:val="20"/>
        </w:rPr>
        <w:t xml:space="preserve"> nukrypimais laikyta bet kuriuo metu nustatyta mažesnė kaip 0,8 x apatinė normos riba (pmol/L) koncentracija, TSH – didesnė kaip 5 mIU/l koncentracija.</w:t>
      </w:r>
    </w:p>
    <w:p w14:paraId="786F6A03" w14:textId="77777777" w:rsidR="00FD2392"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25 </w:t>
      </w:r>
      <w:r w:rsidR="006277C3" w:rsidRPr="00B14475">
        <w:rPr>
          <w:rFonts w:ascii="Times New Roman" w:hAnsi="Times New Roman" w:cs="Times New Roman"/>
          <w:sz w:val="20"/>
          <w:szCs w:val="20"/>
        </w:rPr>
        <w:t>Pagrįsta senyvų žmonių (≥ 65 metų) vėmimo atvejų padažnėjimu.</w:t>
      </w:r>
    </w:p>
    <w:p w14:paraId="6542DB71" w14:textId="4601BA51"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26 </w:t>
      </w:r>
      <w:r w:rsidRPr="00B14475">
        <w:rPr>
          <w:rFonts w:ascii="Times New Roman" w:hAnsi="Times New Roman" w:cs="Times New Roman"/>
          <w:sz w:val="20"/>
          <w:szCs w:val="20"/>
        </w:rPr>
        <w:t>Neutrofilų skaičiaus pokytis, kai iki gydymo jų buvo ≥ 1,5·10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 o bet kuriuo laiku gydant rasta 0,5·10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 nustatyta ryški neutropenija (&lt; 0,5 x 10/l) ir infekcija (žr.4.4 skyrių).</w:t>
      </w:r>
    </w:p>
    <w:p w14:paraId="50E95CAF"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27</w:t>
      </w:r>
      <w:r w:rsidRPr="00B14475">
        <w:rPr>
          <w:rFonts w:ascii="Times New Roman" w:hAnsi="Times New Roman" w:cs="Times New Roman"/>
          <w:sz w:val="20"/>
          <w:szCs w:val="20"/>
        </w:rPr>
        <w:t>Visų klinikinių tyrimų metu užfiksuoti potencialiai reikšmingi klinikai nukrypimai, kai koncentracija iki</w:t>
      </w:r>
      <w:r w:rsidRPr="00E138C4">
        <w:rPr>
          <w:rFonts w:ascii="Times New Roman" w:hAnsi="Times New Roman" w:cs="Times New Roman"/>
        </w:rPr>
        <w:t xml:space="preserve"> </w:t>
      </w:r>
      <w:r w:rsidRPr="00B14475">
        <w:rPr>
          <w:rFonts w:ascii="Times New Roman" w:hAnsi="Times New Roman" w:cs="Times New Roman"/>
          <w:sz w:val="20"/>
          <w:szCs w:val="20"/>
        </w:rPr>
        <w:t>gydymo buvo normali. Eozinofilų kiekio nukrypimu laikyta bet kuriuo metu nustatyta ≥ 1 x 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w:t>
      </w:r>
    </w:p>
    <w:p w14:paraId="23958F3A" w14:textId="77777777" w:rsidR="00DD069E" w:rsidRPr="00B14475" w:rsidRDefault="00DD069E" w:rsidP="00DD069E">
      <w:pPr>
        <w:spacing w:after="0" w:line="240" w:lineRule="auto"/>
        <w:contextualSpacing/>
        <w:rPr>
          <w:rFonts w:ascii="Times New Roman" w:hAnsi="Times New Roman" w:cs="Times New Roman"/>
          <w:sz w:val="20"/>
          <w:szCs w:val="20"/>
          <w:vertAlign w:val="superscript"/>
        </w:rPr>
      </w:pPr>
      <w:r w:rsidRPr="00B14475">
        <w:rPr>
          <w:rFonts w:ascii="Times New Roman" w:hAnsi="Times New Roman" w:cs="Times New Roman"/>
          <w:sz w:val="20"/>
          <w:szCs w:val="20"/>
          <w:vertAlign w:val="superscript"/>
        </w:rPr>
        <w:t xml:space="preserve">28 </w:t>
      </w:r>
      <w:r w:rsidRPr="00B14475">
        <w:rPr>
          <w:rFonts w:ascii="Times New Roman" w:hAnsi="Times New Roman" w:cs="Times New Roman"/>
          <w:sz w:val="20"/>
          <w:szCs w:val="20"/>
        </w:rPr>
        <w:t>Visų klinikinių tyrimų metu užfiksuoti potencialiai reikšmingi klinikai nukrypimai, kai koncentracija iki gydymo buvo normali. Laeukocitų kiekio nukrypimu laikyta bet kuriuo metu nustatyta ≤ 3x10</w:t>
      </w:r>
      <w:r w:rsidRPr="00B14475">
        <w:rPr>
          <w:rFonts w:ascii="Times New Roman" w:hAnsi="Times New Roman" w:cs="Times New Roman"/>
          <w:sz w:val="20"/>
          <w:szCs w:val="20"/>
          <w:vertAlign w:val="superscript"/>
        </w:rPr>
        <w:t>9</w:t>
      </w:r>
      <w:r w:rsidRPr="00B14475">
        <w:rPr>
          <w:rFonts w:ascii="Times New Roman" w:hAnsi="Times New Roman" w:cs="Times New Roman"/>
          <w:sz w:val="20"/>
          <w:szCs w:val="20"/>
        </w:rPr>
        <w:t>/L.</w:t>
      </w:r>
    </w:p>
    <w:p w14:paraId="3BA45BE4"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29 </w:t>
      </w:r>
      <w:r w:rsidRPr="00B14475">
        <w:rPr>
          <w:rFonts w:ascii="Times New Roman" w:hAnsi="Times New Roman" w:cs="Times New Roman"/>
          <w:sz w:val="20"/>
          <w:szCs w:val="20"/>
        </w:rPr>
        <w:t>Remiantis visų kvetiapino klinikinių tyrimų metu gautais metabolinio sindromo nepageidaujamo reiškinio pranešimais.</w:t>
      </w:r>
    </w:p>
    <w:p w14:paraId="2B662008"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30</w:t>
      </w:r>
      <w:r w:rsidRPr="00B14475">
        <w:rPr>
          <w:rFonts w:ascii="Times New Roman" w:hAnsi="Times New Roman" w:cs="Times New Roman"/>
          <w:sz w:val="20"/>
          <w:szCs w:val="20"/>
        </w:rPr>
        <w:t xml:space="preserve"> Kai kuriems pacientams klinikinių tyrimų metu nustatytas daugiau kaip vieno metabolinio rizikos veiksnio (kūno svoris, gliukozės koncentracija kraujyje, lipidų koncentracija) pablogėjimas (žr. 4.4 skyrių).</w:t>
      </w:r>
    </w:p>
    <w:p w14:paraId="07E7A375" w14:textId="77777777" w:rsidR="00DD069E" w:rsidRPr="00E138C4" w:rsidRDefault="00DD069E" w:rsidP="00DD069E">
      <w:pPr>
        <w:spacing w:after="0" w:line="240" w:lineRule="auto"/>
        <w:contextualSpacing/>
        <w:rPr>
          <w:rFonts w:ascii="Times New Roman" w:hAnsi="Times New Roman" w:cs="Times New Roman"/>
        </w:rPr>
      </w:pPr>
      <w:r w:rsidRPr="00B14475">
        <w:rPr>
          <w:rFonts w:ascii="Times New Roman" w:hAnsi="Times New Roman" w:cs="Times New Roman"/>
          <w:sz w:val="20"/>
          <w:szCs w:val="20"/>
          <w:vertAlign w:val="superscript"/>
        </w:rPr>
        <w:t xml:space="preserve">31 </w:t>
      </w:r>
      <w:r w:rsidRPr="00B14475">
        <w:rPr>
          <w:rFonts w:ascii="Times New Roman" w:hAnsi="Times New Roman" w:cs="Times New Roman"/>
          <w:sz w:val="20"/>
          <w:szCs w:val="20"/>
        </w:rPr>
        <w:t>Žr.4.6 skyrių.</w:t>
      </w:r>
    </w:p>
    <w:p w14:paraId="5C767D18" w14:textId="77777777" w:rsidR="00DD069E" w:rsidRPr="00B14475" w:rsidRDefault="00DD069E"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32 </w:t>
      </w:r>
      <w:r w:rsidRPr="00B14475">
        <w:rPr>
          <w:rFonts w:ascii="Times New Roman" w:hAnsi="Times New Roman" w:cs="Times New Roman"/>
          <w:sz w:val="20"/>
          <w:szCs w:val="20"/>
        </w:rPr>
        <w:t>Gali pasireikšti iš karto pradėjus gydymą ar šiek tiek vėliau ir būti susijusi su hipotenzija ir (arba) sinkope. Dažnis apskaičiuotas pagal bradikardijos ir su ja susijusių nepageidaujamų reiškinių pranešimus visų kvetiapino klinikinių tyrimų metu.</w:t>
      </w:r>
    </w:p>
    <w:p w14:paraId="48A9E765" w14:textId="77777777" w:rsidR="006277C3" w:rsidRPr="00B14475" w:rsidRDefault="006277C3" w:rsidP="00DD069E">
      <w:pPr>
        <w:spacing w:after="0" w:line="240" w:lineRule="auto"/>
        <w:contextualSpacing/>
        <w:rPr>
          <w:rFonts w:ascii="Times New Roman" w:hAnsi="Times New Roman" w:cs="Times New Roman"/>
          <w:sz w:val="20"/>
          <w:szCs w:val="20"/>
        </w:rPr>
      </w:pPr>
      <w:r w:rsidRPr="00B14475">
        <w:rPr>
          <w:rFonts w:ascii="Times New Roman" w:hAnsi="Times New Roman" w:cs="Times New Roman"/>
          <w:sz w:val="20"/>
          <w:szCs w:val="20"/>
          <w:vertAlign w:val="superscript"/>
        </w:rPr>
        <w:t xml:space="preserve">33. </w:t>
      </w:r>
      <w:r w:rsidRPr="00B14475">
        <w:rPr>
          <w:rFonts w:ascii="Times New Roman" w:eastAsia="Times New Roman" w:hAnsi="Times New Roman" w:cs="Times New Roman"/>
          <w:sz w:val="20"/>
          <w:szCs w:val="20"/>
          <w:lang w:eastAsia="lt-LT" w:bidi="lt-LT"/>
        </w:rPr>
        <w:t>Remiantis vienu retrospektyviniu ne atsitiktinių imčių epidemiologiniu tyrimu.</w:t>
      </w:r>
    </w:p>
    <w:p w14:paraId="391EFA30" w14:textId="77777777" w:rsidR="00DD069E" w:rsidRPr="00E138C4" w:rsidRDefault="00DD069E" w:rsidP="00DD069E">
      <w:pPr>
        <w:spacing w:after="0" w:line="240" w:lineRule="auto"/>
        <w:rPr>
          <w:rFonts w:ascii="Times New Roman" w:hAnsi="Times New Roman" w:cs="Times New Roman"/>
        </w:rPr>
      </w:pPr>
    </w:p>
    <w:p w14:paraId="7470DDE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Gauta pranešimų, kad vartojant neuroleptikus yra buvę QT pailgėjimo, skilvelių aritmijos, staigios neaiškių priežasčių sukeltos mirties, širdies sustojimo ir </w:t>
      </w:r>
      <w:r w:rsidRPr="00E138C4">
        <w:rPr>
          <w:rFonts w:ascii="Times New Roman" w:hAnsi="Times New Roman" w:cs="Times New Roman"/>
          <w:i/>
        </w:rPr>
        <w:t>Torsade de Pointes</w:t>
      </w:r>
      <w:r w:rsidRPr="00E138C4">
        <w:rPr>
          <w:rFonts w:ascii="Times New Roman" w:hAnsi="Times New Roman" w:cs="Times New Roman"/>
        </w:rPr>
        <w:t xml:space="preserve"> atvejų, kurie, kaip manoma, yra antipsichozinių vaist</w:t>
      </w:r>
      <w:r w:rsidR="003F2D8E" w:rsidRPr="00E138C4">
        <w:rPr>
          <w:rFonts w:ascii="Times New Roman" w:hAnsi="Times New Roman" w:cs="Times New Roman"/>
        </w:rPr>
        <w:t>ini</w:t>
      </w:r>
      <w:r w:rsidRPr="00E138C4">
        <w:rPr>
          <w:rFonts w:ascii="Times New Roman" w:hAnsi="Times New Roman" w:cs="Times New Roman"/>
        </w:rPr>
        <w:t>ų</w:t>
      </w:r>
      <w:r w:rsidR="003F2D8E" w:rsidRPr="00E138C4">
        <w:rPr>
          <w:rFonts w:ascii="Times New Roman" w:hAnsi="Times New Roman" w:cs="Times New Roman"/>
        </w:rPr>
        <w:t xml:space="preserve"> preparatų</w:t>
      </w:r>
      <w:r w:rsidRPr="00E138C4">
        <w:rPr>
          <w:rFonts w:ascii="Times New Roman" w:hAnsi="Times New Roman" w:cs="Times New Roman"/>
        </w:rPr>
        <w:t xml:space="preserve"> grupės preparatams būdingas poveikis.</w:t>
      </w:r>
    </w:p>
    <w:p w14:paraId="28FCBD6F" w14:textId="77777777" w:rsidR="00DD069E" w:rsidRPr="00E138C4" w:rsidRDefault="00DD069E" w:rsidP="00DD069E">
      <w:pPr>
        <w:spacing w:after="0" w:line="240" w:lineRule="auto"/>
        <w:rPr>
          <w:rFonts w:ascii="Times New Roman" w:hAnsi="Times New Roman" w:cs="Times New Roman"/>
        </w:rPr>
      </w:pPr>
    </w:p>
    <w:p w14:paraId="02FC03E6" w14:textId="77777777" w:rsidR="00DD069E" w:rsidRPr="00E138C4" w:rsidRDefault="00DD069E" w:rsidP="00DD069E">
      <w:pPr>
        <w:spacing w:after="0" w:line="240" w:lineRule="auto"/>
        <w:rPr>
          <w:rFonts w:ascii="Times New Roman" w:hAnsi="Times New Roman" w:cs="Times New Roman"/>
          <w:i/>
          <w:u w:val="single"/>
        </w:rPr>
      </w:pPr>
      <w:r w:rsidRPr="00E138C4">
        <w:rPr>
          <w:rFonts w:ascii="Times New Roman" w:hAnsi="Times New Roman" w:cs="Times New Roman"/>
          <w:i/>
          <w:u w:val="single"/>
        </w:rPr>
        <w:t>Vaikų populiacija</w:t>
      </w:r>
      <w:r w:rsidRPr="00E138C4" w:rsidDel="004F1224">
        <w:rPr>
          <w:rFonts w:ascii="Times New Roman" w:hAnsi="Times New Roman" w:cs="Times New Roman"/>
          <w:i/>
          <w:u w:val="single"/>
        </w:rPr>
        <w:t xml:space="preserve"> </w:t>
      </w:r>
    </w:p>
    <w:p w14:paraId="192E475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Anksčiau aprašytus suaugusiems žmonėms būdingus NRV reikėtų turėti omenyje gydant vaikus ir paauglius. Toliau pateiktoje lentelėje pateikti nepageidaujami reiškiniai, vaikams ir paaugliams (10–17 metų) pasireiškiantys dažniau nei suaugusiems žmonėms arba suaugusiems žmonėms nenustatyti.</w:t>
      </w:r>
    </w:p>
    <w:p w14:paraId="1F741567" w14:textId="77777777" w:rsidR="00DD069E" w:rsidRPr="00E138C4" w:rsidRDefault="00DD069E" w:rsidP="00DD069E">
      <w:pPr>
        <w:spacing w:after="0" w:line="240" w:lineRule="auto"/>
        <w:rPr>
          <w:rFonts w:ascii="Times New Roman" w:hAnsi="Times New Roman" w:cs="Times New Roman"/>
        </w:rPr>
      </w:pPr>
    </w:p>
    <w:p w14:paraId="4365C265"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2 lentelė. Su kvetiapino vartojimu susijusios NRV vaikams ir paaugliams, kurių jiems pasireiškė dažniau negu suaugusiesiems, arba kurių suaugusiesiems nenustatyta</w:t>
      </w:r>
    </w:p>
    <w:p w14:paraId="31DF7C73" w14:textId="77777777" w:rsidR="00DD069E" w:rsidRPr="00E138C4" w:rsidRDefault="00DD069E" w:rsidP="00DD069E">
      <w:pPr>
        <w:spacing w:after="0" w:line="240" w:lineRule="auto"/>
        <w:rPr>
          <w:rFonts w:ascii="Times New Roman" w:hAnsi="Times New Roman" w:cs="Times New Roman"/>
        </w:rPr>
      </w:pPr>
    </w:p>
    <w:p w14:paraId="65B626DC" w14:textId="1C47897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Nepageidaujamo poveikio dažnis apibūdinamas taip: labai dažnas (≥ 1/10), dažnas (nuo ≥ 1/100 iki &lt; 1/10), nedažnas (nuo ≥ 1/1</w:t>
      </w:r>
      <w:r w:rsidR="00D40AD3" w:rsidRPr="00E138C4">
        <w:rPr>
          <w:rFonts w:ascii="Times New Roman" w:hAnsi="Times New Roman" w:cs="Times New Roman"/>
        </w:rPr>
        <w:t> </w:t>
      </w:r>
      <w:r w:rsidRPr="00E138C4">
        <w:rPr>
          <w:rFonts w:ascii="Times New Roman" w:hAnsi="Times New Roman" w:cs="Times New Roman"/>
        </w:rPr>
        <w:t>000 iki &lt; 1/100), retas (nuo ≥ 1/10</w:t>
      </w:r>
      <w:r w:rsidR="00D40AD3" w:rsidRPr="00E138C4">
        <w:rPr>
          <w:rFonts w:ascii="Times New Roman" w:hAnsi="Times New Roman" w:cs="Times New Roman"/>
        </w:rPr>
        <w:t> </w:t>
      </w:r>
      <w:r w:rsidRPr="00E138C4">
        <w:rPr>
          <w:rFonts w:ascii="Times New Roman" w:hAnsi="Times New Roman" w:cs="Times New Roman"/>
        </w:rPr>
        <w:t>000 iki &lt; 1/1</w:t>
      </w:r>
      <w:r w:rsidR="00D40AD3" w:rsidRPr="00E138C4">
        <w:rPr>
          <w:rFonts w:ascii="Times New Roman" w:hAnsi="Times New Roman" w:cs="Times New Roman"/>
        </w:rPr>
        <w:t> </w:t>
      </w:r>
      <w:r w:rsidRPr="00E138C4">
        <w:rPr>
          <w:rFonts w:ascii="Times New Roman" w:hAnsi="Times New Roman" w:cs="Times New Roman"/>
        </w:rPr>
        <w:t>000), labai retas (&lt; 1/10</w:t>
      </w:r>
      <w:r w:rsidR="00D40AD3" w:rsidRPr="00E138C4">
        <w:rPr>
          <w:rFonts w:ascii="Times New Roman" w:hAnsi="Times New Roman" w:cs="Times New Roman"/>
        </w:rPr>
        <w:t> </w:t>
      </w:r>
      <w:r w:rsidRPr="00E138C4">
        <w:rPr>
          <w:rFonts w:ascii="Times New Roman" w:hAnsi="Times New Roman" w:cs="Times New Roman"/>
        </w:rPr>
        <w:t>000)</w:t>
      </w:r>
      <w:r w:rsidR="00FA0AC1" w:rsidRPr="00E138C4">
        <w:rPr>
          <w:rFonts w:ascii="Times New Roman" w:hAnsi="Times New Roman" w:cs="Times New Roman"/>
        </w:rPr>
        <w:t>.</w:t>
      </w:r>
    </w:p>
    <w:p w14:paraId="17FDB305" w14:textId="77777777" w:rsidR="00DD069E" w:rsidRPr="00E138C4" w:rsidRDefault="00DD069E" w:rsidP="00DD069E">
      <w:pPr>
        <w:spacing w:after="0" w:line="240" w:lineRule="auto"/>
        <w:rPr>
          <w:rFonts w:ascii="Times New Roman" w:hAnsi="Times New Roman" w:cs="Times New Roman"/>
        </w:rPr>
      </w:pPr>
    </w:p>
    <w:tbl>
      <w:tblPr>
        <w:tblW w:w="0" w:type="auto"/>
        <w:tblLayout w:type="fixed"/>
        <w:tblCellMar>
          <w:left w:w="0" w:type="dxa"/>
          <w:right w:w="0" w:type="dxa"/>
        </w:tblCellMar>
        <w:tblLook w:val="01E0" w:firstRow="1" w:lastRow="1" w:firstColumn="1" w:lastColumn="1" w:noHBand="0" w:noVBand="0"/>
      </w:tblPr>
      <w:tblGrid>
        <w:gridCol w:w="3074"/>
        <w:gridCol w:w="3384"/>
        <w:gridCol w:w="2827"/>
      </w:tblGrid>
      <w:tr w:rsidR="00E138C4" w:rsidRPr="00E138C4" w14:paraId="0B092779" w14:textId="77777777" w:rsidTr="002D28EE">
        <w:trPr>
          <w:trHeight w:hRule="exact" w:val="262"/>
        </w:trPr>
        <w:tc>
          <w:tcPr>
            <w:tcW w:w="3074" w:type="dxa"/>
            <w:tcBorders>
              <w:top w:val="single" w:sz="5" w:space="0" w:color="000000"/>
              <w:left w:val="single" w:sz="5" w:space="0" w:color="000000"/>
              <w:bottom w:val="single" w:sz="5" w:space="0" w:color="000000"/>
              <w:right w:val="single" w:sz="5" w:space="0" w:color="000000"/>
            </w:tcBorders>
          </w:tcPr>
          <w:p w14:paraId="7AC98C46"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b/>
                <w:spacing w:val="1"/>
              </w:rPr>
              <w:t>O</w:t>
            </w:r>
            <w:r w:rsidRPr="00E138C4">
              <w:rPr>
                <w:rFonts w:ascii="Times New Roman" w:hAnsi="Times New Roman" w:cs="Times New Roman"/>
                <w:b/>
              </w:rPr>
              <w:t>rganų</w:t>
            </w:r>
            <w:r w:rsidRPr="00E138C4">
              <w:rPr>
                <w:rFonts w:ascii="Times New Roman" w:hAnsi="Times New Roman" w:cs="Times New Roman"/>
                <w:b/>
                <w:spacing w:val="-3"/>
              </w:rPr>
              <w:t xml:space="preserve"> </w:t>
            </w:r>
            <w:r w:rsidRPr="00E138C4">
              <w:rPr>
                <w:rFonts w:ascii="Times New Roman" w:hAnsi="Times New Roman" w:cs="Times New Roman"/>
                <w:b/>
                <w:spacing w:val="1"/>
              </w:rPr>
              <w:t>s</w:t>
            </w:r>
            <w:r w:rsidRPr="00E138C4">
              <w:rPr>
                <w:rFonts w:ascii="Times New Roman" w:hAnsi="Times New Roman" w:cs="Times New Roman"/>
                <w:b/>
                <w:spacing w:val="-1"/>
              </w:rPr>
              <w:t>i</w:t>
            </w:r>
            <w:r w:rsidRPr="00E138C4">
              <w:rPr>
                <w:rFonts w:ascii="Times New Roman" w:hAnsi="Times New Roman" w:cs="Times New Roman"/>
                <w:b/>
                <w:spacing w:val="1"/>
              </w:rPr>
              <w:t>st</w:t>
            </w:r>
            <w:r w:rsidRPr="00E138C4">
              <w:rPr>
                <w:rFonts w:ascii="Times New Roman" w:hAnsi="Times New Roman" w:cs="Times New Roman"/>
                <w:b/>
                <w:spacing w:val="-2"/>
              </w:rPr>
              <w:t>e</w:t>
            </w:r>
            <w:r w:rsidRPr="00E138C4">
              <w:rPr>
                <w:rFonts w:ascii="Times New Roman" w:hAnsi="Times New Roman" w:cs="Times New Roman"/>
                <w:b/>
                <w:spacing w:val="1"/>
              </w:rPr>
              <w:t>m</w:t>
            </w:r>
            <w:r w:rsidRPr="00E138C4">
              <w:rPr>
                <w:rFonts w:ascii="Times New Roman" w:hAnsi="Times New Roman" w:cs="Times New Roman"/>
                <w:b/>
              </w:rPr>
              <w:t xml:space="preserve">ų </w:t>
            </w:r>
            <w:r w:rsidRPr="00E138C4">
              <w:rPr>
                <w:rFonts w:ascii="Times New Roman" w:hAnsi="Times New Roman" w:cs="Times New Roman"/>
                <w:b/>
                <w:spacing w:val="-2"/>
              </w:rPr>
              <w:t>g</w:t>
            </w:r>
            <w:r w:rsidRPr="00E138C4">
              <w:rPr>
                <w:rFonts w:ascii="Times New Roman" w:hAnsi="Times New Roman" w:cs="Times New Roman"/>
                <w:b/>
              </w:rPr>
              <w:t>rupė</w:t>
            </w:r>
          </w:p>
        </w:tc>
        <w:tc>
          <w:tcPr>
            <w:tcW w:w="3384" w:type="dxa"/>
            <w:tcBorders>
              <w:top w:val="single" w:sz="5" w:space="0" w:color="000000"/>
              <w:left w:val="single" w:sz="5" w:space="0" w:color="000000"/>
              <w:bottom w:val="single" w:sz="5" w:space="0" w:color="000000"/>
              <w:right w:val="single" w:sz="5" w:space="0" w:color="000000"/>
            </w:tcBorders>
          </w:tcPr>
          <w:p w14:paraId="211741E2"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b/>
                <w:spacing w:val="-1"/>
              </w:rPr>
              <w:t>L</w:t>
            </w:r>
            <w:r w:rsidRPr="00E138C4">
              <w:rPr>
                <w:rFonts w:ascii="Times New Roman" w:hAnsi="Times New Roman" w:cs="Times New Roman"/>
                <w:b/>
              </w:rPr>
              <w:t>abai</w:t>
            </w:r>
            <w:r w:rsidRPr="00E138C4">
              <w:rPr>
                <w:rFonts w:ascii="Times New Roman" w:hAnsi="Times New Roman" w:cs="Times New Roman"/>
                <w:b/>
                <w:spacing w:val="1"/>
              </w:rPr>
              <w:t xml:space="preserve"> </w:t>
            </w:r>
            <w:r w:rsidRPr="00E138C4">
              <w:rPr>
                <w:rFonts w:ascii="Times New Roman" w:hAnsi="Times New Roman" w:cs="Times New Roman"/>
                <w:b/>
              </w:rPr>
              <w:t>da</w:t>
            </w:r>
            <w:r w:rsidRPr="00E138C4">
              <w:rPr>
                <w:rFonts w:ascii="Times New Roman" w:hAnsi="Times New Roman" w:cs="Times New Roman"/>
                <w:b/>
                <w:spacing w:val="-2"/>
              </w:rPr>
              <w:t>ž</w:t>
            </w:r>
            <w:r w:rsidRPr="00E138C4">
              <w:rPr>
                <w:rFonts w:ascii="Times New Roman" w:hAnsi="Times New Roman" w:cs="Times New Roman"/>
                <w:b/>
              </w:rPr>
              <w:t>nas</w:t>
            </w:r>
          </w:p>
        </w:tc>
        <w:tc>
          <w:tcPr>
            <w:tcW w:w="2827" w:type="dxa"/>
            <w:tcBorders>
              <w:top w:val="single" w:sz="5" w:space="0" w:color="000000"/>
              <w:left w:val="single" w:sz="5" w:space="0" w:color="000000"/>
              <w:bottom w:val="single" w:sz="5" w:space="0" w:color="000000"/>
              <w:right w:val="single" w:sz="5" w:space="0" w:color="000000"/>
            </w:tcBorders>
          </w:tcPr>
          <w:p w14:paraId="144736AC"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b/>
                <w:spacing w:val="-1"/>
              </w:rPr>
              <w:t>D</w:t>
            </w:r>
            <w:r w:rsidRPr="00E138C4">
              <w:rPr>
                <w:rFonts w:ascii="Times New Roman" w:hAnsi="Times New Roman" w:cs="Times New Roman"/>
                <w:b/>
              </w:rPr>
              <w:t>a</w:t>
            </w:r>
            <w:r w:rsidRPr="00E138C4">
              <w:rPr>
                <w:rFonts w:ascii="Times New Roman" w:hAnsi="Times New Roman" w:cs="Times New Roman"/>
                <w:b/>
                <w:spacing w:val="-2"/>
              </w:rPr>
              <w:t>ž</w:t>
            </w:r>
            <w:r w:rsidRPr="00E138C4">
              <w:rPr>
                <w:rFonts w:ascii="Times New Roman" w:hAnsi="Times New Roman" w:cs="Times New Roman"/>
                <w:b/>
              </w:rPr>
              <w:t>nas</w:t>
            </w:r>
          </w:p>
        </w:tc>
      </w:tr>
      <w:tr w:rsidR="00E138C4" w:rsidRPr="00E138C4" w14:paraId="3132FDEB" w14:textId="77777777" w:rsidTr="002D28EE">
        <w:trPr>
          <w:trHeight w:hRule="exact" w:val="551"/>
        </w:trPr>
        <w:tc>
          <w:tcPr>
            <w:tcW w:w="3074" w:type="dxa"/>
            <w:tcBorders>
              <w:top w:val="single" w:sz="5" w:space="0" w:color="000000"/>
              <w:left w:val="single" w:sz="5" w:space="0" w:color="000000"/>
              <w:bottom w:val="single" w:sz="5" w:space="0" w:color="000000"/>
              <w:right w:val="single" w:sz="5" w:space="0" w:color="000000"/>
            </w:tcBorders>
          </w:tcPr>
          <w:p w14:paraId="793C0F4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Endokrininiai sutrikimai</w:t>
            </w:r>
          </w:p>
        </w:tc>
        <w:tc>
          <w:tcPr>
            <w:tcW w:w="3384" w:type="dxa"/>
            <w:tcBorders>
              <w:top w:val="single" w:sz="5" w:space="0" w:color="000000"/>
              <w:left w:val="single" w:sz="5" w:space="0" w:color="000000"/>
              <w:bottom w:val="single" w:sz="5" w:space="0" w:color="000000"/>
              <w:right w:val="single" w:sz="5" w:space="0" w:color="000000"/>
            </w:tcBorders>
          </w:tcPr>
          <w:p w14:paraId="10229A6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Padidėjusi prolaktino koncentracija </w:t>
            </w:r>
            <w:r w:rsidRPr="00E138C4">
              <w:rPr>
                <w:rFonts w:ascii="Times New Roman" w:hAnsi="Times New Roman" w:cs="Times New Roman"/>
                <w:vertAlign w:val="superscript"/>
              </w:rPr>
              <w:t>1</w:t>
            </w:r>
          </w:p>
        </w:tc>
        <w:tc>
          <w:tcPr>
            <w:tcW w:w="2827" w:type="dxa"/>
            <w:tcBorders>
              <w:top w:val="single" w:sz="5" w:space="0" w:color="000000"/>
              <w:left w:val="single" w:sz="5" w:space="0" w:color="000000"/>
              <w:bottom w:val="single" w:sz="5" w:space="0" w:color="000000"/>
              <w:right w:val="single" w:sz="5" w:space="0" w:color="000000"/>
            </w:tcBorders>
          </w:tcPr>
          <w:p w14:paraId="1A89BD61" w14:textId="77777777" w:rsidR="00DD069E" w:rsidRPr="00E138C4" w:rsidRDefault="00DD069E" w:rsidP="00DD069E">
            <w:pPr>
              <w:spacing w:after="0" w:line="240" w:lineRule="auto"/>
              <w:rPr>
                <w:rFonts w:ascii="Times New Roman" w:hAnsi="Times New Roman" w:cs="Times New Roman"/>
              </w:rPr>
            </w:pPr>
          </w:p>
        </w:tc>
      </w:tr>
      <w:tr w:rsidR="00E138C4" w:rsidRPr="00E138C4" w14:paraId="5C9E3649" w14:textId="77777777" w:rsidTr="002D28EE">
        <w:trPr>
          <w:trHeight w:hRule="exact" w:val="516"/>
        </w:trPr>
        <w:tc>
          <w:tcPr>
            <w:tcW w:w="3074" w:type="dxa"/>
            <w:tcBorders>
              <w:top w:val="single" w:sz="5" w:space="0" w:color="000000"/>
              <w:left w:val="single" w:sz="5" w:space="0" w:color="000000"/>
              <w:bottom w:val="single" w:sz="5" w:space="0" w:color="000000"/>
              <w:right w:val="single" w:sz="5" w:space="0" w:color="000000"/>
            </w:tcBorders>
          </w:tcPr>
          <w:p w14:paraId="0C43E562"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i/>
                <w:spacing w:val="1"/>
              </w:rPr>
              <w:t>M</w:t>
            </w:r>
            <w:r w:rsidRPr="00E138C4">
              <w:rPr>
                <w:rFonts w:ascii="Times New Roman" w:hAnsi="Times New Roman" w:cs="Times New Roman"/>
                <w:i/>
              </w:rPr>
              <w:t>e</w:t>
            </w:r>
            <w:r w:rsidRPr="00E138C4">
              <w:rPr>
                <w:rFonts w:ascii="Times New Roman" w:hAnsi="Times New Roman" w:cs="Times New Roman"/>
                <w:i/>
                <w:spacing w:val="-1"/>
              </w:rPr>
              <w:t>t</w:t>
            </w:r>
            <w:r w:rsidRPr="00E138C4">
              <w:rPr>
                <w:rFonts w:ascii="Times New Roman" w:hAnsi="Times New Roman" w:cs="Times New Roman"/>
                <w:i/>
              </w:rPr>
              <w:t>abo</w:t>
            </w:r>
            <w:r w:rsidRPr="00E138C4">
              <w:rPr>
                <w:rFonts w:ascii="Times New Roman" w:hAnsi="Times New Roman" w:cs="Times New Roman"/>
                <w:i/>
                <w:spacing w:val="-1"/>
              </w:rPr>
              <w:t>l</w:t>
            </w:r>
            <w:r w:rsidRPr="00E138C4">
              <w:rPr>
                <w:rFonts w:ascii="Times New Roman" w:hAnsi="Times New Roman" w:cs="Times New Roman"/>
                <w:i/>
                <w:spacing w:val="1"/>
              </w:rPr>
              <w:t>iz</w:t>
            </w:r>
            <w:r w:rsidRPr="00E138C4">
              <w:rPr>
                <w:rFonts w:ascii="Times New Roman" w:hAnsi="Times New Roman" w:cs="Times New Roman"/>
                <w:i/>
                <w:spacing w:val="-1"/>
              </w:rPr>
              <w:t>m</w:t>
            </w:r>
            <w:r w:rsidRPr="00E138C4">
              <w:rPr>
                <w:rFonts w:ascii="Times New Roman" w:hAnsi="Times New Roman" w:cs="Times New Roman"/>
                <w:i/>
              </w:rPr>
              <w:t>o</w:t>
            </w:r>
            <w:r w:rsidRPr="00E138C4">
              <w:rPr>
                <w:rFonts w:ascii="Times New Roman" w:hAnsi="Times New Roman" w:cs="Times New Roman"/>
                <w:i/>
                <w:spacing w:val="-2"/>
              </w:rPr>
              <w:t xml:space="preserve"> </w:t>
            </w:r>
            <w:r w:rsidRPr="00E138C4">
              <w:rPr>
                <w:rFonts w:ascii="Times New Roman" w:hAnsi="Times New Roman" w:cs="Times New Roman"/>
                <w:i/>
                <w:spacing w:val="1"/>
              </w:rPr>
              <w:t>i</w:t>
            </w:r>
            <w:r w:rsidRPr="00E138C4">
              <w:rPr>
                <w:rFonts w:ascii="Times New Roman" w:hAnsi="Times New Roman" w:cs="Times New Roman"/>
                <w:i/>
              </w:rPr>
              <w:t>r</w:t>
            </w:r>
            <w:r w:rsidRPr="00E138C4">
              <w:rPr>
                <w:rFonts w:ascii="Times New Roman" w:hAnsi="Times New Roman" w:cs="Times New Roman"/>
                <w:i/>
                <w:spacing w:val="1"/>
              </w:rPr>
              <w:t xml:space="preserve"> </w:t>
            </w:r>
            <w:r w:rsidRPr="00E138C4">
              <w:rPr>
                <w:rFonts w:ascii="Times New Roman" w:hAnsi="Times New Roman" w:cs="Times New Roman"/>
                <w:i/>
                <w:spacing w:val="-3"/>
              </w:rPr>
              <w:t>m</w:t>
            </w:r>
            <w:r w:rsidRPr="00E138C4">
              <w:rPr>
                <w:rFonts w:ascii="Times New Roman" w:hAnsi="Times New Roman" w:cs="Times New Roman"/>
                <w:i/>
                <w:spacing w:val="1"/>
              </w:rPr>
              <w:t>it</w:t>
            </w:r>
            <w:r w:rsidRPr="00E138C4">
              <w:rPr>
                <w:rFonts w:ascii="Times New Roman" w:hAnsi="Times New Roman" w:cs="Times New Roman"/>
                <w:i/>
                <w:spacing w:val="-2"/>
              </w:rPr>
              <w:t>y</w:t>
            </w:r>
            <w:r w:rsidRPr="00E138C4">
              <w:rPr>
                <w:rFonts w:ascii="Times New Roman" w:hAnsi="Times New Roman" w:cs="Times New Roman"/>
                <w:i/>
              </w:rPr>
              <w:t>bos</w:t>
            </w:r>
            <w:r w:rsidRPr="00E138C4">
              <w:rPr>
                <w:rFonts w:ascii="Times New Roman" w:hAnsi="Times New Roman" w:cs="Times New Roman"/>
              </w:rPr>
              <w:t xml:space="preserve"> </w:t>
            </w:r>
            <w:r w:rsidRPr="00E138C4">
              <w:rPr>
                <w:rFonts w:ascii="Times New Roman" w:hAnsi="Times New Roman" w:cs="Times New Roman"/>
                <w:i/>
                <w:spacing w:val="1"/>
              </w:rPr>
              <w:t>s</w:t>
            </w:r>
            <w:r w:rsidRPr="00E138C4">
              <w:rPr>
                <w:rFonts w:ascii="Times New Roman" w:hAnsi="Times New Roman" w:cs="Times New Roman"/>
                <w:i/>
              </w:rPr>
              <w:t>u</w:t>
            </w:r>
            <w:r w:rsidRPr="00E138C4">
              <w:rPr>
                <w:rFonts w:ascii="Times New Roman" w:hAnsi="Times New Roman" w:cs="Times New Roman"/>
                <w:i/>
                <w:spacing w:val="1"/>
              </w:rPr>
              <w:t>t</w:t>
            </w:r>
            <w:r w:rsidRPr="00E138C4">
              <w:rPr>
                <w:rFonts w:ascii="Times New Roman" w:hAnsi="Times New Roman" w:cs="Times New Roman"/>
                <w:i/>
                <w:spacing w:val="-2"/>
              </w:rPr>
              <w:t>r</w:t>
            </w:r>
            <w:r w:rsidRPr="00E138C4">
              <w:rPr>
                <w:rFonts w:ascii="Times New Roman" w:hAnsi="Times New Roman" w:cs="Times New Roman"/>
                <w:i/>
                <w:spacing w:val="1"/>
              </w:rPr>
              <w:t>i</w:t>
            </w:r>
            <w:r w:rsidRPr="00E138C4">
              <w:rPr>
                <w:rFonts w:ascii="Times New Roman" w:hAnsi="Times New Roman" w:cs="Times New Roman"/>
                <w:i/>
                <w:spacing w:val="-2"/>
              </w:rPr>
              <w:t>k</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rPr>
              <w:t>ai</w:t>
            </w:r>
          </w:p>
        </w:tc>
        <w:tc>
          <w:tcPr>
            <w:tcW w:w="3384" w:type="dxa"/>
            <w:tcBorders>
              <w:top w:val="single" w:sz="5" w:space="0" w:color="000000"/>
              <w:left w:val="single" w:sz="5" w:space="0" w:color="000000"/>
              <w:bottom w:val="single" w:sz="5" w:space="0" w:color="000000"/>
              <w:right w:val="single" w:sz="5" w:space="0" w:color="000000"/>
            </w:tcBorders>
          </w:tcPr>
          <w:p w14:paraId="23C39F3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Pad</w:t>
            </w:r>
            <w:r w:rsidRPr="00E138C4">
              <w:rPr>
                <w:rFonts w:ascii="Times New Roman" w:hAnsi="Times New Roman" w:cs="Times New Roman"/>
                <w:spacing w:val="1"/>
              </w:rPr>
              <w:t>i</w:t>
            </w:r>
            <w:r w:rsidRPr="00E138C4">
              <w:rPr>
                <w:rFonts w:ascii="Times New Roman" w:hAnsi="Times New Roman" w:cs="Times New Roman"/>
              </w:rPr>
              <w:t>d</w:t>
            </w:r>
            <w:r w:rsidRPr="00E138C4">
              <w:rPr>
                <w:rFonts w:ascii="Times New Roman" w:hAnsi="Times New Roman" w:cs="Times New Roman"/>
                <w:spacing w:val="-2"/>
              </w:rPr>
              <w:t>ė</w:t>
            </w:r>
            <w:r w:rsidRPr="00E138C4">
              <w:rPr>
                <w:rFonts w:ascii="Times New Roman" w:hAnsi="Times New Roman" w:cs="Times New Roman"/>
                <w:spacing w:val="1"/>
              </w:rPr>
              <w:t>j</w:t>
            </w:r>
            <w:r w:rsidRPr="00E138C4">
              <w:rPr>
                <w:rFonts w:ascii="Times New Roman" w:hAnsi="Times New Roman" w:cs="Times New Roman"/>
                <w:spacing w:val="-2"/>
              </w:rPr>
              <w:t>ę</w:t>
            </w:r>
            <w:r w:rsidRPr="00E138C4">
              <w:rPr>
                <w:rFonts w:ascii="Times New Roman" w:hAnsi="Times New Roman" w:cs="Times New Roman"/>
              </w:rPr>
              <w:t>s</w:t>
            </w:r>
            <w:r w:rsidRPr="00E138C4">
              <w:rPr>
                <w:rFonts w:ascii="Times New Roman" w:hAnsi="Times New Roman" w:cs="Times New Roman"/>
                <w:spacing w:val="1"/>
              </w:rPr>
              <w:t xml:space="preserve"> </w:t>
            </w:r>
            <w:r w:rsidRPr="00E138C4">
              <w:rPr>
                <w:rFonts w:ascii="Times New Roman" w:hAnsi="Times New Roman" w:cs="Times New Roman"/>
              </w:rPr>
              <w:t>a</w:t>
            </w:r>
            <w:r w:rsidRPr="00E138C4">
              <w:rPr>
                <w:rFonts w:ascii="Times New Roman" w:hAnsi="Times New Roman" w:cs="Times New Roman"/>
                <w:spacing w:val="-2"/>
              </w:rPr>
              <w:t>p</w:t>
            </w:r>
            <w:r w:rsidRPr="00E138C4">
              <w:rPr>
                <w:rFonts w:ascii="Times New Roman" w:hAnsi="Times New Roman" w:cs="Times New Roman"/>
              </w:rPr>
              <w:t>e</w:t>
            </w:r>
            <w:r w:rsidRPr="00E138C4">
              <w:rPr>
                <w:rFonts w:ascii="Times New Roman" w:hAnsi="Times New Roman" w:cs="Times New Roman"/>
                <w:spacing w:val="-1"/>
              </w:rPr>
              <w:t>t</w:t>
            </w:r>
            <w:r w:rsidRPr="00E138C4">
              <w:rPr>
                <w:rFonts w:ascii="Times New Roman" w:hAnsi="Times New Roman" w:cs="Times New Roman"/>
                <w:spacing w:val="1"/>
              </w:rPr>
              <w:t>it</w:t>
            </w:r>
            <w:r w:rsidRPr="00E138C4">
              <w:rPr>
                <w:rFonts w:ascii="Times New Roman" w:hAnsi="Times New Roman" w:cs="Times New Roman"/>
                <w:spacing w:val="-2"/>
              </w:rPr>
              <w:t>a</w:t>
            </w:r>
            <w:r w:rsidRPr="00E138C4">
              <w:rPr>
                <w:rFonts w:ascii="Times New Roman" w:hAnsi="Times New Roman" w:cs="Times New Roman"/>
              </w:rPr>
              <w:t>s</w:t>
            </w:r>
          </w:p>
        </w:tc>
        <w:tc>
          <w:tcPr>
            <w:tcW w:w="2827" w:type="dxa"/>
            <w:tcBorders>
              <w:top w:val="single" w:sz="5" w:space="0" w:color="000000"/>
              <w:left w:val="single" w:sz="5" w:space="0" w:color="000000"/>
              <w:bottom w:val="single" w:sz="5" w:space="0" w:color="000000"/>
              <w:right w:val="single" w:sz="5" w:space="0" w:color="000000"/>
            </w:tcBorders>
          </w:tcPr>
          <w:p w14:paraId="22C0E1AC" w14:textId="77777777" w:rsidR="00DD069E" w:rsidRPr="00E138C4" w:rsidRDefault="00DD069E" w:rsidP="00DD069E">
            <w:pPr>
              <w:spacing w:after="0" w:line="240" w:lineRule="auto"/>
              <w:rPr>
                <w:rFonts w:ascii="Times New Roman" w:hAnsi="Times New Roman" w:cs="Times New Roman"/>
              </w:rPr>
            </w:pPr>
          </w:p>
        </w:tc>
      </w:tr>
      <w:tr w:rsidR="00E138C4" w:rsidRPr="00E138C4" w14:paraId="13B49537" w14:textId="77777777" w:rsidTr="002D28EE">
        <w:trPr>
          <w:trHeight w:hRule="exact" w:val="509"/>
        </w:trPr>
        <w:tc>
          <w:tcPr>
            <w:tcW w:w="3074" w:type="dxa"/>
            <w:tcBorders>
              <w:top w:val="single" w:sz="5" w:space="0" w:color="000000"/>
              <w:left w:val="single" w:sz="5" w:space="0" w:color="000000"/>
              <w:bottom w:val="single" w:sz="5" w:space="0" w:color="000000"/>
              <w:right w:val="single" w:sz="5" w:space="0" w:color="000000"/>
            </w:tcBorders>
          </w:tcPr>
          <w:p w14:paraId="3C956E34"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i/>
                <w:spacing w:val="-1"/>
              </w:rPr>
              <w:t>N</w:t>
            </w:r>
            <w:r w:rsidRPr="00E138C4">
              <w:rPr>
                <w:rFonts w:ascii="Times New Roman" w:hAnsi="Times New Roman" w:cs="Times New Roman"/>
                <w:i/>
              </w:rPr>
              <w:t xml:space="preserve">ervų </w:t>
            </w:r>
            <w:r w:rsidRPr="00E138C4">
              <w:rPr>
                <w:rFonts w:ascii="Times New Roman" w:hAnsi="Times New Roman" w:cs="Times New Roman"/>
                <w:i/>
                <w:spacing w:val="-2"/>
              </w:rPr>
              <w:t>s</w:t>
            </w:r>
            <w:r w:rsidRPr="00E138C4">
              <w:rPr>
                <w:rFonts w:ascii="Times New Roman" w:hAnsi="Times New Roman" w:cs="Times New Roman"/>
                <w:i/>
                <w:spacing w:val="1"/>
              </w:rPr>
              <w:t>i</w:t>
            </w:r>
            <w:r w:rsidRPr="00E138C4">
              <w:rPr>
                <w:rFonts w:ascii="Times New Roman" w:hAnsi="Times New Roman" w:cs="Times New Roman"/>
                <w:i/>
                <w:spacing w:val="-2"/>
              </w:rPr>
              <w:t>s</w:t>
            </w:r>
            <w:r w:rsidRPr="00E138C4">
              <w:rPr>
                <w:rFonts w:ascii="Times New Roman" w:hAnsi="Times New Roman" w:cs="Times New Roman"/>
                <w:i/>
                <w:spacing w:val="1"/>
              </w:rPr>
              <w:t>t</w:t>
            </w:r>
            <w:r w:rsidRPr="00E138C4">
              <w:rPr>
                <w:rFonts w:ascii="Times New Roman" w:hAnsi="Times New Roman" w:cs="Times New Roman"/>
                <w:i/>
              </w:rPr>
              <w:t>e</w:t>
            </w:r>
            <w:r w:rsidRPr="00E138C4">
              <w:rPr>
                <w:rFonts w:ascii="Times New Roman" w:hAnsi="Times New Roman" w:cs="Times New Roman"/>
                <w:i/>
                <w:spacing w:val="-1"/>
              </w:rPr>
              <w:t>m</w:t>
            </w:r>
            <w:r w:rsidRPr="00E138C4">
              <w:rPr>
                <w:rFonts w:ascii="Times New Roman" w:hAnsi="Times New Roman" w:cs="Times New Roman"/>
                <w:i/>
              </w:rPr>
              <w:t>os</w:t>
            </w:r>
            <w:r w:rsidRPr="00E138C4">
              <w:rPr>
                <w:rFonts w:ascii="Times New Roman" w:hAnsi="Times New Roman" w:cs="Times New Roman"/>
                <w:i/>
                <w:spacing w:val="-2"/>
              </w:rPr>
              <w:t xml:space="preserve"> </w:t>
            </w:r>
            <w:r w:rsidRPr="00E138C4">
              <w:rPr>
                <w:rFonts w:ascii="Times New Roman" w:hAnsi="Times New Roman" w:cs="Times New Roman"/>
                <w:i/>
              </w:rPr>
              <w:t>su</w:t>
            </w:r>
            <w:r w:rsidRPr="00E138C4">
              <w:rPr>
                <w:rFonts w:ascii="Times New Roman" w:hAnsi="Times New Roman" w:cs="Times New Roman"/>
                <w:i/>
                <w:spacing w:val="-1"/>
              </w:rPr>
              <w:t>t</w:t>
            </w:r>
            <w:r w:rsidRPr="00E138C4">
              <w:rPr>
                <w:rFonts w:ascii="Times New Roman" w:hAnsi="Times New Roman" w:cs="Times New Roman"/>
                <w:i/>
              </w:rPr>
              <w:t>r</w:t>
            </w:r>
            <w:r w:rsidRPr="00E138C4">
              <w:rPr>
                <w:rFonts w:ascii="Times New Roman" w:hAnsi="Times New Roman" w:cs="Times New Roman"/>
                <w:i/>
                <w:spacing w:val="-1"/>
              </w:rPr>
              <w:t>i</w:t>
            </w:r>
            <w:r w:rsidRPr="00E138C4">
              <w:rPr>
                <w:rFonts w:ascii="Times New Roman" w:hAnsi="Times New Roman" w:cs="Times New Roman"/>
                <w:i/>
              </w:rPr>
              <w:t>k</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spacing w:val="-2"/>
              </w:rPr>
              <w:t>a</w:t>
            </w:r>
            <w:r w:rsidRPr="00E138C4">
              <w:rPr>
                <w:rFonts w:ascii="Times New Roman" w:hAnsi="Times New Roman" w:cs="Times New Roman"/>
                <w:i/>
              </w:rPr>
              <w:t>i</w:t>
            </w:r>
          </w:p>
        </w:tc>
        <w:tc>
          <w:tcPr>
            <w:tcW w:w="3384" w:type="dxa"/>
            <w:tcBorders>
              <w:top w:val="single" w:sz="5" w:space="0" w:color="000000"/>
              <w:left w:val="single" w:sz="5" w:space="0" w:color="000000"/>
              <w:bottom w:val="single" w:sz="5" w:space="0" w:color="000000"/>
              <w:right w:val="single" w:sz="5" w:space="0" w:color="000000"/>
            </w:tcBorders>
          </w:tcPr>
          <w:p w14:paraId="4BB19902" w14:textId="7F70F37D"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spacing w:val="-1"/>
              </w:rPr>
              <w:t>E</w:t>
            </w:r>
            <w:r w:rsidRPr="00E138C4">
              <w:rPr>
                <w:rFonts w:ascii="Times New Roman" w:hAnsi="Times New Roman" w:cs="Times New Roman"/>
                <w:spacing w:val="-2"/>
              </w:rPr>
              <w:t>k</w:t>
            </w:r>
            <w:r w:rsidRPr="00E138C4">
              <w:rPr>
                <w:rFonts w:ascii="Times New Roman" w:hAnsi="Times New Roman" w:cs="Times New Roman"/>
                <w:spacing w:val="1"/>
              </w:rPr>
              <w:t>str</w:t>
            </w:r>
            <w:r w:rsidRPr="00E138C4">
              <w:rPr>
                <w:rFonts w:ascii="Times New Roman" w:hAnsi="Times New Roman" w:cs="Times New Roman"/>
              </w:rPr>
              <w:t>ap</w:t>
            </w:r>
            <w:r w:rsidRPr="00E138C4">
              <w:rPr>
                <w:rFonts w:ascii="Times New Roman" w:hAnsi="Times New Roman" w:cs="Times New Roman"/>
                <w:spacing w:val="-1"/>
              </w:rPr>
              <w:t>i</w:t>
            </w:r>
            <w:r w:rsidRPr="00E138C4">
              <w:rPr>
                <w:rFonts w:ascii="Times New Roman" w:hAnsi="Times New Roman" w:cs="Times New Roman"/>
                <w:spacing w:val="1"/>
              </w:rPr>
              <w:t>r</w:t>
            </w:r>
            <w:r w:rsidRPr="00E138C4">
              <w:rPr>
                <w:rFonts w:ascii="Times New Roman" w:hAnsi="Times New Roman" w:cs="Times New Roman"/>
              </w:rPr>
              <w:t>a</w:t>
            </w:r>
            <w:r w:rsidRPr="00E138C4">
              <w:rPr>
                <w:rFonts w:ascii="Times New Roman" w:hAnsi="Times New Roman" w:cs="Times New Roman"/>
                <w:spacing w:val="-4"/>
              </w:rPr>
              <w:t>m</w:t>
            </w:r>
            <w:r w:rsidRPr="00E138C4">
              <w:rPr>
                <w:rFonts w:ascii="Times New Roman" w:hAnsi="Times New Roman" w:cs="Times New Roman"/>
                <w:spacing w:val="1"/>
              </w:rPr>
              <w:t>i</w:t>
            </w:r>
            <w:r w:rsidRPr="00E138C4">
              <w:rPr>
                <w:rFonts w:ascii="Times New Roman" w:hAnsi="Times New Roman" w:cs="Times New Roman"/>
              </w:rPr>
              <w:t>d</w:t>
            </w:r>
            <w:r w:rsidRPr="00E138C4">
              <w:rPr>
                <w:rFonts w:ascii="Times New Roman" w:hAnsi="Times New Roman" w:cs="Times New Roman"/>
                <w:spacing w:val="1"/>
              </w:rPr>
              <w:t>i</w:t>
            </w:r>
            <w:r w:rsidRPr="00E138C4">
              <w:rPr>
                <w:rFonts w:ascii="Times New Roman" w:hAnsi="Times New Roman" w:cs="Times New Roman"/>
                <w:spacing w:val="-2"/>
              </w:rPr>
              <w:t>n</w:t>
            </w:r>
            <w:r w:rsidRPr="00E138C4">
              <w:rPr>
                <w:rFonts w:ascii="Times New Roman" w:hAnsi="Times New Roman" w:cs="Times New Roman"/>
                <w:spacing w:val="1"/>
              </w:rPr>
              <w:t>i</w:t>
            </w:r>
            <w:r w:rsidRPr="00E138C4">
              <w:rPr>
                <w:rFonts w:ascii="Times New Roman" w:hAnsi="Times New Roman" w:cs="Times New Roman"/>
                <w:spacing w:val="-2"/>
              </w:rPr>
              <w:t>a</w:t>
            </w:r>
            <w:r w:rsidRPr="00E138C4">
              <w:rPr>
                <w:rFonts w:ascii="Times New Roman" w:hAnsi="Times New Roman" w:cs="Times New Roman"/>
              </w:rPr>
              <w:t>i</w:t>
            </w:r>
            <w:r w:rsidRPr="00E138C4">
              <w:rPr>
                <w:rFonts w:ascii="Times New Roman" w:hAnsi="Times New Roman" w:cs="Times New Roman"/>
                <w:spacing w:val="1"/>
              </w:rPr>
              <w:t xml:space="preserve"> </w:t>
            </w:r>
            <w:r w:rsidRPr="00E138C4">
              <w:rPr>
                <w:rFonts w:ascii="Times New Roman" w:hAnsi="Times New Roman" w:cs="Times New Roman"/>
                <w:spacing w:val="-2"/>
              </w:rPr>
              <w:t>s</w:t>
            </w:r>
            <w:r w:rsidRPr="00E138C4">
              <w:rPr>
                <w:rFonts w:ascii="Times New Roman" w:hAnsi="Times New Roman" w:cs="Times New Roman"/>
                <w:spacing w:val="1"/>
              </w:rPr>
              <w:t>i</w:t>
            </w:r>
            <w:r w:rsidRPr="00E138C4">
              <w:rPr>
                <w:rFonts w:ascii="Times New Roman" w:hAnsi="Times New Roman" w:cs="Times New Roman"/>
                <w:spacing w:val="-4"/>
              </w:rPr>
              <w:t>m</w:t>
            </w:r>
            <w:r w:rsidRPr="00E138C4">
              <w:rPr>
                <w:rFonts w:ascii="Times New Roman" w:hAnsi="Times New Roman" w:cs="Times New Roman"/>
              </w:rPr>
              <w:t>p</w:t>
            </w:r>
            <w:r w:rsidRPr="00E138C4">
              <w:rPr>
                <w:rFonts w:ascii="Times New Roman" w:hAnsi="Times New Roman" w:cs="Times New Roman"/>
                <w:spacing w:val="1"/>
              </w:rPr>
              <w:t>t</w:t>
            </w:r>
            <w:r w:rsidRPr="00E138C4">
              <w:rPr>
                <w:rFonts w:ascii="Times New Roman" w:hAnsi="Times New Roman" w:cs="Times New Roman"/>
              </w:rPr>
              <w:t>o</w:t>
            </w:r>
            <w:r w:rsidRPr="00E138C4">
              <w:rPr>
                <w:rFonts w:ascii="Times New Roman" w:hAnsi="Times New Roman" w:cs="Times New Roman"/>
                <w:spacing w:val="-4"/>
              </w:rPr>
              <w:t>m</w:t>
            </w:r>
            <w:r w:rsidRPr="00E138C4">
              <w:rPr>
                <w:rFonts w:ascii="Times New Roman" w:hAnsi="Times New Roman" w:cs="Times New Roman"/>
              </w:rPr>
              <w:t>ai</w:t>
            </w:r>
            <w:r w:rsidRPr="00B14475">
              <w:rPr>
                <w:rFonts w:ascii="Times New Roman" w:hAnsi="Times New Roman" w:cs="Times New Roman"/>
                <w:position w:val="10"/>
                <w:sz w:val="20"/>
                <w:szCs w:val="20"/>
              </w:rPr>
              <w:t>3</w:t>
            </w:r>
            <w:r w:rsidRPr="00B14475">
              <w:rPr>
                <w:rFonts w:ascii="Times New Roman" w:hAnsi="Times New Roman" w:cs="Times New Roman"/>
                <w:spacing w:val="1"/>
                <w:position w:val="10"/>
                <w:sz w:val="20"/>
                <w:szCs w:val="20"/>
              </w:rPr>
              <w:t>,</w:t>
            </w:r>
            <w:r w:rsidR="00FA0AC1" w:rsidRPr="00B14475">
              <w:rPr>
                <w:rFonts w:ascii="Times New Roman" w:hAnsi="Times New Roman" w:cs="Times New Roman"/>
                <w:spacing w:val="1"/>
                <w:position w:val="10"/>
                <w:sz w:val="20"/>
                <w:szCs w:val="20"/>
              </w:rPr>
              <w:t> </w:t>
            </w:r>
            <w:r w:rsidRPr="00B14475">
              <w:rPr>
                <w:rFonts w:ascii="Times New Roman" w:hAnsi="Times New Roman" w:cs="Times New Roman"/>
                <w:position w:val="10"/>
                <w:sz w:val="20"/>
                <w:szCs w:val="20"/>
              </w:rPr>
              <w:t>4</w:t>
            </w:r>
          </w:p>
        </w:tc>
        <w:tc>
          <w:tcPr>
            <w:tcW w:w="2827" w:type="dxa"/>
            <w:tcBorders>
              <w:top w:val="single" w:sz="5" w:space="0" w:color="000000"/>
              <w:left w:val="single" w:sz="5" w:space="0" w:color="000000"/>
              <w:bottom w:val="single" w:sz="5" w:space="0" w:color="000000"/>
              <w:right w:val="single" w:sz="5" w:space="0" w:color="000000"/>
            </w:tcBorders>
          </w:tcPr>
          <w:p w14:paraId="7747AC9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w:t>
            </w:r>
            <w:r w:rsidRPr="00E138C4">
              <w:rPr>
                <w:rFonts w:ascii="Times New Roman" w:hAnsi="Times New Roman" w:cs="Times New Roman"/>
                <w:spacing w:val="1"/>
              </w:rPr>
              <w:t>i</w:t>
            </w:r>
            <w:r w:rsidRPr="00E138C4">
              <w:rPr>
                <w:rFonts w:ascii="Times New Roman" w:hAnsi="Times New Roman" w:cs="Times New Roman"/>
              </w:rPr>
              <w:t>n</w:t>
            </w:r>
            <w:r w:rsidRPr="00E138C4">
              <w:rPr>
                <w:rFonts w:ascii="Times New Roman" w:hAnsi="Times New Roman" w:cs="Times New Roman"/>
                <w:spacing w:val="-2"/>
              </w:rPr>
              <w:t>k</w:t>
            </w:r>
            <w:r w:rsidRPr="00E138C4">
              <w:rPr>
                <w:rFonts w:ascii="Times New Roman" w:hAnsi="Times New Roman" w:cs="Times New Roman"/>
              </w:rPr>
              <w:t>opė</w:t>
            </w:r>
          </w:p>
        </w:tc>
      </w:tr>
      <w:tr w:rsidR="00E138C4" w:rsidRPr="00E138C4" w14:paraId="3CC5715C" w14:textId="77777777" w:rsidTr="002D28EE">
        <w:trPr>
          <w:trHeight w:hRule="exact" w:val="527"/>
        </w:trPr>
        <w:tc>
          <w:tcPr>
            <w:tcW w:w="3074" w:type="dxa"/>
            <w:tcBorders>
              <w:top w:val="single" w:sz="5" w:space="0" w:color="000000"/>
              <w:left w:val="single" w:sz="5" w:space="0" w:color="000000"/>
              <w:bottom w:val="single" w:sz="5" w:space="0" w:color="000000"/>
              <w:right w:val="single" w:sz="5" w:space="0" w:color="000000"/>
            </w:tcBorders>
          </w:tcPr>
          <w:p w14:paraId="11CD24BE"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i/>
                <w:spacing w:val="-1"/>
              </w:rPr>
              <w:t>K</w:t>
            </w:r>
            <w:r w:rsidRPr="00E138C4">
              <w:rPr>
                <w:rFonts w:ascii="Times New Roman" w:hAnsi="Times New Roman" w:cs="Times New Roman"/>
                <w:i/>
                <w:spacing w:val="1"/>
              </w:rPr>
              <w:t>r</w:t>
            </w:r>
            <w:r w:rsidRPr="00E138C4">
              <w:rPr>
                <w:rFonts w:ascii="Times New Roman" w:hAnsi="Times New Roman" w:cs="Times New Roman"/>
                <w:i/>
              </w:rPr>
              <w:t>au</w:t>
            </w:r>
            <w:r w:rsidRPr="00E138C4">
              <w:rPr>
                <w:rFonts w:ascii="Times New Roman" w:hAnsi="Times New Roman" w:cs="Times New Roman"/>
                <w:i/>
                <w:spacing w:val="1"/>
              </w:rPr>
              <w:t>j</w:t>
            </w:r>
            <w:r w:rsidRPr="00E138C4">
              <w:rPr>
                <w:rFonts w:ascii="Times New Roman" w:hAnsi="Times New Roman" w:cs="Times New Roman"/>
                <w:i/>
              </w:rPr>
              <w:t>a</w:t>
            </w:r>
            <w:r w:rsidRPr="00E138C4">
              <w:rPr>
                <w:rFonts w:ascii="Times New Roman" w:hAnsi="Times New Roman" w:cs="Times New Roman"/>
                <w:i/>
                <w:spacing w:val="-2"/>
              </w:rPr>
              <w:t>g</w:t>
            </w:r>
            <w:r w:rsidRPr="00E138C4">
              <w:rPr>
                <w:rFonts w:ascii="Times New Roman" w:hAnsi="Times New Roman" w:cs="Times New Roman"/>
                <w:i/>
              </w:rPr>
              <w:t>y</w:t>
            </w:r>
            <w:r w:rsidRPr="00E138C4">
              <w:rPr>
                <w:rFonts w:ascii="Times New Roman" w:hAnsi="Times New Roman" w:cs="Times New Roman"/>
                <w:i/>
                <w:spacing w:val="-2"/>
              </w:rPr>
              <w:t>s</w:t>
            </w:r>
            <w:r w:rsidRPr="00E138C4">
              <w:rPr>
                <w:rFonts w:ascii="Times New Roman" w:hAnsi="Times New Roman" w:cs="Times New Roman"/>
                <w:i/>
                <w:spacing w:val="1"/>
              </w:rPr>
              <w:t>li</w:t>
            </w:r>
            <w:r w:rsidRPr="00E138C4">
              <w:rPr>
                <w:rFonts w:ascii="Times New Roman" w:hAnsi="Times New Roman" w:cs="Times New Roman"/>
                <w:i/>
              </w:rPr>
              <w:t>ų</w:t>
            </w:r>
            <w:r w:rsidRPr="00E138C4">
              <w:rPr>
                <w:rFonts w:ascii="Times New Roman" w:hAnsi="Times New Roman" w:cs="Times New Roman"/>
                <w:i/>
                <w:spacing w:val="-2"/>
              </w:rPr>
              <w:t xml:space="preserve"> </w:t>
            </w:r>
            <w:r w:rsidRPr="00E138C4">
              <w:rPr>
                <w:rFonts w:ascii="Times New Roman" w:hAnsi="Times New Roman" w:cs="Times New Roman"/>
                <w:i/>
                <w:spacing w:val="1"/>
              </w:rPr>
              <w:t>s</w:t>
            </w:r>
            <w:r w:rsidRPr="00E138C4">
              <w:rPr>
                <w:rFonts w:ascii="Times New Roman" w:hAnsi="Times New Roman" w:cs="Times New Roman"/>
                <w:i/>
              </w:rPr>
              <w:t>u</w:t>
            </w:r>
            <w:r w:rsidRPr="00E138C4">
              <w:rPr>
                <w:rFonts w:ascii="Times New Roman" w:hAnsi="Times New Roman" w:cs="Times New Roman"/>
                <w:i/>
                <w:spacing w:val="-1"/>
              </w:rPr>
              <w:t>t</w:t>
            </w:r>
            <w:r w:rsidRPr="00E138C4">
              <w:rPr>
                <w:rFonts w:ascii="Times New Roman" w:hAnsi="Times New Roman" w:cs="Times New Roman"/>
                <w:i/>
                <w:spacing w:val="1"/>
              </w:rPr>
              <w:t>ri</w:t>
            </w:r>
            <w:r w:rsidRPr="00E138C4">
              <w:rPr>
                <w:rFonts w:ascii="Times New Roman" w:hAnsi="Times New Roman" w:cs="Times New Roman"/>
                <w:i/>
                <w:spacing w:val="-2"/>
              </w:rPr>
              <w:t>k</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spacing w:val="-2"/>
              </w:rPr>
              <w:t>a</w:t>
            </w:r>
            <w:r w:rsidRPr="00E138C4">
              <w:rPr>
                <w:rFonts w:ascii="Times New Roman" w:hAnsi="Times New Roman" w:cs="Times New Roman"/>
                <w:i/>
              </w:rPr>
              <w:t>i</w:t>
            </w:r>
          </w:p>
        </w:tc>
        <w:tc>
          <w:tcPr>
            <w:tcW w:w="3384" w:type="dxa"/>
            <w:tcBorders>
              <w:top w:val="single" w:sz="5" w:space="0" w:color="000000"/>
              <w:left w:val="single" w:sz="5" w:space="0" w:color="000000"/>
              <w:bottom w:val="single" w:sz="5" w:space="0" w:color="000000"/>
              <w:right w:val="single" w:sz="5" w:space="0" w:color="000000"/>
            </w:tcBorders>
          </w:tcPr>
          <w:p w14:paraId="060744A0" w14:textId="2B3A062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Pad</w:t>
            </w:r>
            <w:r w:rsidRPr="00E138C4">
              <w:rPr>
                <w:rFonts w:ascii="Times New Roman" w:hAnsi="Times New Roman" w:cs="Times New Roman"/>
                <w:spacing w:val="1"/>
              </w:rPr>
              <w:t>i</w:t>
            </w:r>
            <w:r w:rsidRPr="00E138C4">
              <w:rPr>
                <w:rFonts w:ascii="Times New Roman" w:hAnsi="Times New Roman" w:cs="Times New Roman"/>
              </w:rPr>
              <w:t>d</w:t>
            </w:r>
            <w:r w:rsidRPr="00E138C4">
              <w:rPr>
                <w:rFonts w:ascii="Times New Roman" w:hAnsi="Times New Roman" w:cs="Times New Roman"/>
                <w:spacing w:val="-2"/>
              </w:rPr>
              <w:t>ė</w:t>
            </w:r>
            <w:r w:rsidRPr="00E138C4">
              <w:rPr>
                <w:rFonts w:ascii="Times New Roman" w:hAnsi="Times New Roman" w:cs="Times New Roman"/>
                <w:spacing w:val="1"/>
              </w:rPr>
              <w:t>j</w:t>
            </w:r>
            <w:r w:rsidRPr="00E138C4">
              <w:rPr>
                <w:rFonts w:ascii="Times New Roman" w:hAnsi="Times New Roman" w:cs="Times New Roman"/>
                <w:spacing w:val="-2"/>
              </w:rPr>
              <w:t>ę</w:t>
            </w:r>
            <w:r w:rsidRPr="00E138C4">
              <w:rPr>
                <w:rFonts w:ascii="Times New Roman" w:hAnsi="Times New Roman" w:cs="Times New Roman"/>
              </w:rPr>
              <w:t>s</w:t>
            </w:r>
            <w:r w:rsidRPr="00E138C4">
              <w:rPr>
                <w:rFonts w:ascii="Times New Roman" w:hAnsi="Times New Roman" w:cs="Times New Roman"/>
                <w:spacing w:val="1"/>
              </w:rPr>
              <w:t xml:space="preserve"> </w:t>
            </w:r>
            <w:r w:rsidRPr="00E138C4">
              <w:rPr>
                <w:rFonts w:ascii="Times New Roman" w:hAnsi="Times New Roman" w:cs="Times New Roman"/>
                <w:spacing w:val="-2"/>
              </w:rPr>
              <w:t>k</w:t>
            </w:r>
            <w:r w:rsidRPr="00E138C4">
              <w:rPr>
                <w:rFonts w:ascii="Times New Roman" w:hAnsi="Times New Roman" w:cs="Times New Roman"/>
                <w:spacing w:val="1"/>
              </w:rPr>
              <w:t>r</w:t>
            </w:r>
            <w:r w:rsidRPr="00E138C4">
              <w:rPr>
                <w:rFonts w:ascii="Times New Roman" w:hAnsi="Times New Roman" w:cs="Times New Roman"/>
              </w:rPr>
              <w:t>a</w:t>
            </w:r>
            <w:r w:rsidRPr="00E138C4">
              <w:rPr>
                <w:rFonts w:ascii="Times New Roman" w:hAnsi="Times New Roman" w:cs="Times New Roman"/>
                <w:spacing w:val="-2"/>
              </w:rPr>
              <w:t>u</w:t>
            </w:r>
            <w:r w:rsidRPr="00E138C4">
              <w:rPr>
                <w:rFonts w:ascii="Times New Roman" w:hAnsi="Times New Roman" w:cs="Times New Roman"/>
                <w:spacing w:val="1"/>
              </w:rPr>
              <w:t>j</w:t>
            </w:r>
            <w:r w:rsidRPr="00E138C4">
              <w:rPr>
                <w:rFonts w:ascii="Times New Roman" w:hAnsi="Times New Roman" w:cs="Times New Roman"/>
              </w:rPr>
              <w:t>o</w:t>
            </w:r>
            <w:r w:rsidRPr="00E138C4">
              <w:rPr>
                <w:rFonts w:ascii="Times New Roman" w:hAnsi="Times New Roman" w:cs="Times New Roman"/>
                <w:spacing w:val="1"/>
              </w:rPr>
              <w:t>s</w:t>
            </w:r>
            <w:r w:rsidRPr="00E138C4">
              <w:rPr>
                <w:rFonts w:ascii="Times New Roman" w:hAnsi="Times New Roman" w:cs="Times New Roman"/>
              </w:rPr>
              <w:t>pū</w:t>
            </w:r>
            <w:r w:rsidRPr="00E138C4">
              <w:rPr>
                <w:rFonts w:ascii="Times New Roman" w:hAnsi="Times New Roman" w:cs="Times New Roman"/>
                <w:spacing w:val="-2"/>
              </w:rPr>
              <w:t>d</w:t>
            </w:r>
            <w:r w:rsidRPr="00E138C4">
              <w:rPr>
                <w:rFonts w:ascii="Times New Roman" w:hAnsi="Times New Roman" w:cs="Times New Roman"/>
                <w:spacing w:val="1"/>
              </w:rPr>
              <w:t>i</w:t>
            </w:r>
            <w:r w:rsidRPr="00E138C4">
              <w:rPr>
                <w:rFonts w:ascii="Times New Roman" w:hAnsi="Times New Roman" w:cs="Times New Roman"/>
              </w:rPr>
              <w:t>s</w:t>
            </w:r>
            <w:r w:rsidRPr="00B14475">
              <w:rPr>
                <w:rFonts w:ascii="Times New Roman" w:hAnsi="Times New Roman" w:cs="Times New Roman"/>
                <w:position w:val="10"/>
                <w:sz w:val="20"/>
                <w:szCs w:val="20"/>
              </w:rPr>
              <w:t>2</w:t>
            </w:r>
          </w:p>
        </w:tc>
        <w:tc>
          <w:tcPr>
            <w:tcW w:w="2827" w:type="dxa"/>
            <w:tcBorders>
              <w:top w:val="single" w:sz="5" w:space="0" w:color="000000"/>
              <w:left w:val="single" w:sz="5" w:space="0" w:color="000000"/>
              <w:bottom w:val="single" w:sz="5" w:space="0" w:color="000000"/>
              <w:right w:val="single" w:sz="5" w:space="0" w:color="000000"/>
            </w:tcBorders>
          </w:tcPr>
          <w:p w14:paraId="5FE0590F" w14:textId="77777777" w:rsidR="00DD069E" w:rsidRPr="00E138C4" w:rsidRDefault="00DD069E" w:rsidP="00DD069E">
            <w:pPr>
              <w:spacing w:after="0" w:line="240" w:lineRule="auto"/>
              <w:rPr>
                <w:rFonts w:ascii="Times New Roman" w:hAnsi="Times New Roman" w:cs="Times New Roman"/>
              </w:rPr>
            </w:pPr>
          </w:p>
        </w:tc>
      </w:tr>
      <w:tr w:rsidR="00E138C4" w:rsidRPr="00E138C4" w14:paraId="1AEB5CFC" w14:textId="77777777" w:rsidTr="002D28EE">
        <w:trPr>
          <w:trHeight w:hRule="exact" w:val="516"/>
        </w:trPr>
        <w:tc>
          <w:tcPr>
            <w:tcW w:w="3074" w:type="dxa"/>
            <w:tcBorders>
              <w:top w:val="single" w:sz="5" w:space="0" w:color="000000"/>
              <w:left w:val="single" w:sz="5" w:space="0" w:color="000000"/>
              <w:bottom w:val="single" w:sz="5" w:space="0" w:color="000000"/>
              <w:right w:val="single" w:sz="5" w:space="0" w:color="000000"/>
            </w:tcBorders>
          </w:tcPr>
          <w:p w14:paraId="7D9AB940" w14:textId="77777777" w:rsidR="00DD069E" w:rsidRPr="00E138C4" w:rsidRDefault="00DD069E" w:rsidP="00DD069E">
            <w:pPr>
              <w:spacing w:after="0" w:line="240" w:lineRule="auto"/>
              <w:ind w:left="102"/>
              <w:rPr>
                <w:rFonts w:ascii="Times New Roman" w:eastAsia="Calibri" w:hAnsi="Times New Roman" w:cs="Times New Roman"/>
              </w:rPr>
            </w:pPr>
            <w:r w:rsidRPr="00E138C4">
              <w:rPr>
                <w:rFonts w:ascii="Times New Roman" w:eastAsia="Calibri" w:hAnsi="Times New Roman" w:cs="Times New Roman"/>
                <w:i/>
                <w:spacing w:val="-1"/>
              </w:rPr>
              <w:t>K</w:t>
            </w:r>
            <w:r w:rsidRPr="00E138C4">
              <w:rPr>
                <w:rFonts w:ascii="Times New Roman" w:eastAsia="Calibri" w:hAnsi="Times New Roman" w:cs="Times New Roman"/>
                <w:i/>
              </w:rPr>
              <w:t>vėpa</w:t>
            </w:r>
            <w:r w:rsidRPr="00E138C4">
              <w:rPr>
                <w:rFonts w:ascii="Times New Roman" w:eastAsia="Calibri" w:hAnsi="Times New Roman" w:cs="Times New Roman"/>
                <w:i/>
                <w:spacing w:val="-2"/>
              </w:rPr>
              <w:t>v</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rPr>
              <w:t xml:space="preserve">o </w:t>
            </w:r>
            <w:r w:rsidRPr="00E138C4">
              <w:rPr>
                <w:rFonts w:ascii="Times New Roman" w:eastAsia="Calibri" w:hAnsi="Times New Roman" w:cs="Times New Roman"/>
                <w:i/>
                <w:spacing w:val="-2"/>
              </w:rPr>
              <w:t>s</w:t>
            </w:r>
            <w:r w:rsidRPr="00E138C4">
              <w:rPr>
                <w:rFonts w:ascii="Times New Roman" w:eastAsia="Calibri" w:hAnsi="Times New Roman" w:cs="Times New Roman"/>
                <w:i/>
                <w:spacing w:val="1"/>
              </w:rPr>
              <w:t>is</w:t>
            </w:r>
            <w:r w:rsidRPr="00E138C4">
              <w:rPr>
                <w:rFonts w:ascii="Times New Roman" w:eastAsia="Calibri" w:hAnsi="Times New Roman" w:cs="Times New Roman"/>
                <w:i/>
                <w:spacing w:val="-1"/>
              </w:rPr>
              <w:t>t</w:t>
            </w:r>
            <w:r w:rsidRPr="00E138C4">
              <w:rPr>
                <w:rFonts w:ascii="Times New Roman" w:eastAsia="Calibri" w:hAnsi="Times New Roman" w:cs="Times New Roman"/>
                <w:i/>
              </w:rPr>
              <w:t>e</w:t>
            </w:r>
            <w:r w:rsidRPr="00E138C4">
              <w:rPr>
                <w:rFonts w:ascii="Times New Roman" w:eastAsia="Calibri" w:hAnsi="Times New Roman" w:cs="Times New Roman"/>
                <w:i/>
                <w:spacing w:val="-1"/>
              </w:rPr>
              <w:t>m</w:t>
            </w:r>
            <w:r w:rsidRPr="00E138C4">
              <w:rPr>
                <w:rFonts w:ascii="Times New Roman" w:eastAsia="Calibri" w:hAnsi="Times New Roman" w:cs="Times New Roman"/>
                <w:i/>
              </w:rPr>
              <w:t>o</w:t>
            </w:r>
            <w:r w:rsidRPr="00E138C4">
              <w:rPr>
                <w:rFonts w:ascii="Times New Roman" w:eastAsia="Calibri" w:hAnsi="Times New Roman" w:cs="Times New Roman"/>
                <w:i/>
                <w:spacing w:val="1"/>
              </w:rPr>
              <w:t>s</w:t>
            </w:r>
            <w:r w:rsidRPr="00E138C4">
              <w:rPr>
                <w:rFonts w:ascii="Times New Roman" w:eastAsia="Calibri" w:hAnsi="Times New Roman" w:cs="Times New Roman"/>
                <w:i/>
              </w:rPr>
              <w:t xml:space="preserve">, </w:t>
            </w:r>
            <w:r w:rsidRPr="00E138C4">
              <w:rPr>
                <w:rFonts w:ascii="Times New Roman" w:eastAsia="Calibri" w:hAnsi="Times New Roman" w:cs="Times New Roman"/>
                <w:i/>
                <w:spacing w:val="-2"/>
              </w:rPr>
              <w:t>k</w:t>
            </w:r>
            <w:r w:rsidRPr="00E138C4">
              <w:rPr>
                <w:rFonts w:ascii="Times New Roman" w:eastAsia="Calibri" w:hAnsi="Times New Roman" w:cs="Times New Roman"/>
                <w:i/>
                <w:spacing w:val="1"/>
              </w:rPr>
              <w:t>r</w:t>
            </w:r>
            <w:r w:rsidRPr="00E138C4">
              <w:rPr>
                <w:rFonts w:ascii="Times New Roman" w:eastAsia="Calibri" w:hAnsi="Times New Roman" w:cs="Times New Roman"/>
                <w:i/>
              </w:rPr>
              <w:t>ū</w:t>
            </w:r>
            <w:r w:rsidRPr="00E138C4">
              <w:rPr>
                <w:rFonts w:ascii="Times New Roman" w:eastAsia="Calibri" w:hAnsi="Times New Roman" w:cs="Times New Roman"/>
                <w:i/>
                <w:spacing w:val="-1"/>
              </w:rPr>
              <w:t>t</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2"/>
              </w:rPr>
              <w:t>n</w:t>
            </w:r>
            <w:r w:rsidRPr="00E138C4">
              <w:rPr>
                <w:rFonts w:ascii="Times New Roman" w:eastAsia="Calibri" w:hAnsi="Times New Roman" w:cs="Times New Roman"/>
                <w:i/>
              </w:rPr>
              <w:t>ės</w:t>
            </w:r>
            <w:r w:rsidRPr="00E138C4">
              <w:rPr>
                <w:rFonts w:ascii="Times New Roman" w:eastAsia="Calibri" w:hAnsi="Times New Roman" w:cs="Times New Roman"/>
              </w:rPr>
              <w:t xml:space="preserve"> </w:t>
            </w:r>
            <w:r w:rsidRPr="00E138C4">
              <w:rPr>
                <w:rFonts w:ascii="Times New Roman" w:eastAsia="Calibri" w:hAnsi="Times New Roman" w:cs="Times New Roman"/>
                <w:i/>
                <w:spacing w:val="1"/>
              </w:rPr>
              <w:t>l</w:t>
            </w:r>
            <w:r w:rsidRPr="00E138C4">
              <w:rPr>
                <w:rFonts w:ascii="Times New Roman" w:eastAsia="Calibri" w:hAnsi="Times New Roman" w:cs="Times New Roman"/>
                <w:i/>
              </w:rPr>
              <w:t>ą</w:t>
            </w:r>
            <w:r w:rsidRPr="00E138C4">
              <w:rPr>
                <w:rFonts w:ascii="Times New Roman" w:eastAsia="Calibri" w:hAnsi="Times New Roman" w:cs="Times New Roman"/>
                <w:i/>
                <w:spacing w:val="-2"/>
              </w:rPr>
              <w:t>s</w:t>
            </w:r>
            <w:r w:rsidRPr="00E138C4">
              <w:rPr>
                <w:rFonts w:ascii="Times New Roman" w:eastAsia="Calibri" w:hAnsi="Times New Roman" w:cs="Times New Roman"/>
                <w:i/>
                <w:spacing w:val="1"/>
              </w:rPr>
              <w:t>t</w:t>
            </w:r>
            <w:r w:rsidRPr="00E138C4">
              <w:rPr>
                <w:rFonts w:ascii="Times New Roman" w:eastAsia="Calibri" w:hAnsi="Times New Roman" w:cs="Times New Roman"/>
                <w:i/>
              </w:rPr>
              <w:t>os</w:t>
            </w:r>
            <w:r w:rsidRPr="00E138C4">
              <w:rPr>
                <w:rFonts w:ascii="Times New Roman" w:eastAsia="Calibri" w:hAnsi="Times New Roman" w:cs="Times New Roman"/>
                <w:i/>
                <w:spacing w:val="-2"/>
              </w:rPr>
              <w:t xml:space="preserve"> </w:t>
            </w:r>
            <w:r w:rsidRPr="00E138C4">
              <w:rPr>
                <w:rFonts w:ascii="Times New Roman" w:eastAsia="Calibri" w:hAnsi="Times New Roman" w:cs="Times New Roman"/>
                <w:i/>
                <w:spacing w:val="1"/>
              </w:rPr>
              <w:t>i</w:t>
            </w:r>
            <w:r w:rsidRPr="00E138C4">
              <w:rPr>
                <w:rFonts w:ascii="Times New Roman" w:eastAsia="Calibri" w:hAnsi="Times New Roman" w:cs="Times New Roman"/>
                <w:i/>
              </w:rPr>
              <w:t>r</w:t>
            </w:r>
            <w:r w:rsidRPr="00E138C4">
              <w:rPr>
                <w:rFonts w:ascii="Times New Roman" w:eastAsia="Calibri" w:hAnsi="Times New Roman" w:cs="Times New Roman"/>
                <w:i/>
                <w:spacing w:val="-2"/>
              </w:rPr>
              <w:t xml:space="preserve"> </w:t>
            </w:r>
            <w:r w:rsidRPr="00E138C4">
              <w:rPr>
                <w:rFonts w:ascii="Times New Roman" w:eastAsia="Calibri" w:hAnsi="Times New Roman" w:cs="Times New Roman"/>
                <w:i/>
                <w:spacing w:val="1"/>
              </w:rPr>
              <w:t>t</w:t>
            </w:r>
            <w:r w:rsidRPr="00E138C4">
              <w:rPr>
                <w:rFonts w:ascii="Times New Roman" w:eastAsia="Calibri" w:hAnsi="Times New Roman" w:cs="Times New Roman"/>
                <w:i/>
              </w:rPr>
              <w:t>a</w:t>
            </w:r>
            <w:r w:rsidRPr="00E138C4">
              <w:rPr>
                <w:rFonts w:ascii="Times New Roman" w:eastAsia="Calibri" w:hAnsi="Times New Roman" w:cs="Times New Roman"/>
                <w:i/>
                <w:spacing w:val="1"/>
              </w:rPr>
              <w:t>r</w:t>
            </w:r>
            <w:r w:rsidRPr="00E138C4">
              <w:rPr>
                <w:rFonts w:ascii="Times New Roman" w:eastAsia="Calibri" w:hAnsi="Times New Roman" w:cs="Times New Roman"/>
                <w:i/>
              </w:rPr>
              <w:t>p</w:t>
            </w:r>
            <w:r w:rsidRPr="00E138C4">
              <w:rPr>
                <w:rFonts w:ascii="Times New Roman" w:eastAsia="Calibri" w:hAnsi="Times New Roman" w:cs="Times New Roman"/>
                <w:i/>
                <w:spacing w:val="-2"/>
              </w:rPr>
              <w:t>u</w:t>
            </w:r>
            <w:r w:rsidRPr="00E138C4">
              <w:rPr>
                <w:rFonts w:ascii="Times New Roman" w:eastAsia="Calibri" w:hAnsi="Times New Roman" w:cs="Times New Roman"/>
                <w:i/>
              </w:rPr>
              <w:t>p</w:t>
            </w:r>
            <w:r w:rsidRPr="00E138C4">
              <w:rPr>
                <w:rFonts w:ascii="Times New Roman" w:eastAsia="Calibri" w:hAnsi="Times New Roman" w:cs="Times New Roman"/>
                <w:i/>
                <w:spacing w:val="1"/>
              </w:rPr>
              <w:t>l</w:t>
            </w:r>
            <w:r w:rsidRPr="00E138C4">
              <w:rPr>
                <w:rFonts w:ascii="Times New Roman" w:eastAsia="Calibri" w:hAnsi="Times New Roman" w:cs="Times New Roman"/>
                <w:i/>
              </w:rPr>
              <w:t>a</w:t>
            </w:r>
            <w:r w:rsidRPr="00E138C4">
              <w:rPr>
                <w:rFonts w:ascii="Times New Roman" w:eastAsia="Calibri" w:hAnsi="Times New Roman" w:cs="Times New Roman"/>
                <w:i/>
                <w:spacing w:val="-2"/>
              </w:rPr>
              <w:t>u</w:t>
            </w:r>
            <w:r w:rsidRPr="00E138C4">
              <w:rPr>
                <w:rFonts w:ascii="Times New Roman" w:eastAsia="Calibri" w:hAnsi="Times New Roman" w:cs="Times New Roman"/>
                <w:i/>
              </w:rPr>
              <w:t>č</w:t>
            </w:r>
            <w:r w:rsidRPr="00E138C4">
              <w:rPr>
                <w:rFonts w:ascii="Times New Roman" w:eastAsia="Calibri" w:hAnsi="Times New Roman" w:cs="Times New Roman"/>
                <w:i/>
                <w:spacing w:val="1"/>
              </w:rPr>
              <w:t>i</w:t>
            </w:r>
            <w:r w:rsidRPr="00E138C4">
              <w:rPr>
                <w:rFonts w:ascii="Times New Roman" w:eastAsia="Calibri" w:hAnsi="Times New Roman" w:cs="Times New Roman"/>
                <w:i/>
              </w:rPr>
              <w:t>o</w:t>
            </w:r>
            <w:r w:rsidRPr="00E138C4">
              <w:rPr>
                <w:rFonts w:ascii="Times New Roman" w:eastAsia="Calibri" w:hAnsi="Times New Roman" w:cs="Times New Roman"/>
                <w:i/>
                <w:spacing w:val="-2"/>
              </w:rPr>
              <w:t xml:space="preserve"> </w:t>
            </w:r>
            <w:r w:rsidRPr="00E138C4">
              <w:rPr>
                <w:rFonts w:ascii="Times New Roman" w:eastAsia="Calibri" w:hAnsi="Times New Roman" w:cs="Times New Roman"/>
                <w:i/>
                <w:spacing w:val="1"/>
              </w:rPr>
              <w:t>s</w:t>
            </w:r>
            <w:r w:rsidRPr="00E138C4">
              <w:rPr>
                <w:rFonts w:ascii="Times New Roman" w:eastAsia="Calibri" w:hAnsi="Times New Roman" w:cs="Times New Roman"/>
                <w:i/>
                <w:spacing w:val="-2"/>
              </w:rPr>
              <w:t>u</w:t>
            </w:r>
            <w:r w:rsidRPr="00E138C4">
              <w:rPr>
                <w:rFonts w:ascii="Times New Roman" w:eastAsia="Calibri" w:hAnsi="Times New Roman" w:cs="Times New Roman"/>
                <w:i/>
                <w:spacing w:val="1"/>
              </w:rPr>
              <w:t>tr</w:t>
            </w:r>
            <w:r w:rsidRPr="00E138C4">
              <w:rPr>
                <w:rFonts w:ascii="Times New Roman" w:eastAsia="Calibri" w:hAnsi="Times New Roman" w:cs="Times New Roman"/>
                <w:i/>
                <w:spacing w:val="-1"/>
              </w:rPr>
              <w:t>i</w:t>
            </w:r>
            <w:r w:rsidRPr="00E138C4">
              <w:rPr>
                <w:rFonts w:ascii="Times New Roman" w:eastAsia="Calibri" w:hAnsi="Times New Roman" w:cs="Times New Roman"/>
                <w:i/>
              </w:rPr>
              <w:t>k</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rPr>
              <w:t>ai</w:t>
            </w:r>
          </w:p>
        </w:tc>
        <w:tc>
          <w:tcPr>
            <w:tcW w:w="3384" w:type="dxa"/>
            <w:tcBorders>
              <w:top w:val="single" w:sz="5" w:space="0" w:color="000000"/>
              <w:left w:val="single" w:sz="5" w:space="0" w:color="000000"/>
              <w:bottom w:val="single" w:sz="5" w:space="0" w:color="000000"/>
              <w:right w:val="single" w:sz="5" w:space="0" w:color="000000"/>
            </w:tcBorders>
          </w:tcPr>
          <w:p w14:paraId="33C1BC7E" w14:textId="77777777" w:rsidR="00DD069E" w:rsidRPr="00E138C4" w:rsidRDefault="00DD069E" w:rsidP="00DD069E">
            <w:pPr>
              <w:spacing w:after="0" w:line="240" w:lineRule="auto"/>
              <w:rPr>
                <w:rFonts w:ascii="Times New Roman" w:eastAsia="Calibri" w:hAnsi="Times New Roman" w:cs="Times New Roman"/>
              </w:rPr>
            </w:pPr>
          </w:p>
        </w:tc>
        <w:tc>
          <w:tcPr>
            <w:tcW w:w="2827" w:type="dxa"/>
            <w:tcBorders>
              <w:top w:val="single" w:sz="5" w:space="0" w:color="000000"/>
              <w:left w:val="single" w:sz="5" w:space="0" w:color="000000"/>
              <w:bottom w:val="single" w:sz="5" w:space="0" w:color="000000"/>
              <w:right w:val="single" w:sz="5" w:space="0" w:color="000000"/>
            </w:tcBorders>
          </w:tcPr>
          <w:p w14:paraId="2A690B8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w:t>
            </w:r>
            <w:r w:rsidRPr="00E138C4">
              <w:rPr>
                <w:rFonts w:ascii="Times New Roman" w:hAnsi="Times New Roman" w:cs="Times New Roman"/>
                <w:spacing w:val="1"/>
              </w:rPr>
              <w:t>l</w:t>
            </w:r>
            <w:r w:rsidRPr="00E138C4">
              <w:rPr>
                <w:rFonts w:ascii="Times New Roman" w:hAnsi="Times New Roman" w:cs="Times New Roman"/>
              </w:rPr>
              <w:t>o</w:t>
            </w:r>
            <w:r w:rsidRPr="00E138C4">
              <w:rPr>
                <w:rFonts w:ascii="Times New Roman" w:hAnsi="Times New Roman" w:cs="Times New Roman"/>
                <w:spacing w:val="-2"/>
              </w:rPr>
              <w:t>ga</w:t>
            </w:r>
          </w:p>
        </w:tc>
      </w:tr>
      <w:tr w:rsidR="00E138C4" w:rsidRPr="00E138C4" w14:paraId="00AAE47E" w14:textId="77777777" w:rsidTr="002D28EE">
        <w:trPr>
          <w:trHeight w:hRule="exact" w:val="453"/>
        </w:trPr>
        <w:tc>
          <w:tcPr>
            <w:tcW w:w="3074" w:type="dxa"/>
            <w:tcBorders>
              <w:top w:val="single" w:sz="5" w:space="0" w:color="000000"/>
              <w:left w:val="single" w:sz="5" w:space="0" w:color="000000"/>
              <w:bottom w:val="single" w:sz="5" w:space="0" w:color="000000"/>
              <w:right w:val="single" w:sz="5" w:space="0" w:color="000000"/>
            </w:tcBorders>
          </w:tcPr>
          <w:p w14:paraId="525AF275" w14:textId="77777777" w:rsidR="00DD069E" w:rsidRPr="00E138C4" w:rsidRDefault="00DD069E" w:rsidP="00DD069E">
            <w:pPr>
              <w:spacing w:after="0" w:line="240" w:lineRule="auto"/>
              <w:ind w:left="102"/>
              <w:rPr>
                <w:rFonts w:ascii="Times New Roman" w:hAnsi="Times New Roman" w:cs="Times New Roman"/>
              </w:rPr>
            </w:pPr>
            <w:r w:rsidRPr="00E138C4">
              <w:rPr>
                <w:rFonts w:ascii="Times New Roman" w:hAnsi="Times New Roman" w:cs="Times New Roman"/>
                <w:i/>
                <w:spacing w:val="-1"/>
              </w:rPr>
              <w:t>V</w:t>
            </w:r>
            <w:r w:rsidRPr="00E138C4">
              <w:rPr>
                <w:rFonts w:ascii="Times New Roman" w:hAnsi="Times New Roman" w:cs="Times New Roman"/>
                <w:i/>
                <w:spacing w:val="1"/>
              </w:rPr>
              <w:t>irš</w:t>
            </w:r>
            <w:r w:rsidRPr="00E138C4">
              <w:rPr>
                <w:rFonts w:ascii="Times New Roman" w:hAnsi="Times New Roman" w:cs="Times New Roman"/>
                <w:i/>
                <w:spacing w:val="-2"/>
              </w:rPr>
              <w:t>k</w:t>
            </w:r>
            <w:r w:rsidRPr="00E138C4">
              <w:rPr>
                <w:rFonts w:ascii="Times New Roman" w:hAnsi="Times New Roman" w:cs="Times New Roman"/>
                <w:i/>
                <w:spacing w:val="1"/>
              </w:rPr>
              <w:t>i</w:t>
            </w:r>
            <w:r w:rsidRPr="00E138C4">
              <w:rPr>
                <w:rFonts w:ascii="Times New Roman" w:hAnsi="Times New Roman" w:cs="Times New Roman"/>
                <w:i/>
                <w:spacing w:val="-2"/>
              </w:rPr>
              <w:t>n</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rPr>
              <w:t xml:space="preserve">o </w:t>
            </w:r>
            <w:r w:rsidRPr="00E138C4">
              <w:rPr>
                <w:rFonts w:ascii="Times New Roman" w:hAnsi="Times New Roman" w:cs="Times New Roman"/>
                <w:i/>
                <w:spacing w:val="-1"/>
              </w:rPr>
              <w:t>t</w:t>
            </w:r>
            <w:r w:rsidRPr="00E138C4">
              <w:rPr>
                <w:rFonts w:ascii="Times New Roman" w:hAnsi="Times New Roman" w:cs="Times New Roman"/>
                <w:i/>
                <w:spacing w:val="1"/>
              </w:rPr>
              <w:t>r</w:t>
            </w:r>
            <w:r w:rsidRPr="00E138C4">
              <w:rPr>
                <w:rFonts w:ascii="Times New Roman" w:hAnsi="Times New Roman" w:cs="Times New Roman"/>
                <w:i/>
              </w:rPr>
              <w:t>a</w:t>
            </w:r>
            <w:r w:rsidRPr="00E138C4">
              <w:rPr>
                <w:rFonts w:ascii="Times New Roman" w:hAnsi="Times New Roman" w:cs="Times New Roman"/>
                <w:i/>
                <w:spacing w:val="-2"/>
              </w:rPr>
              <w:t>k</w:t>
            </w:r>
            <w:r w:rsidRPr="00E138C4">
              <w:rPr>
                <w:rFonts w:ascii="Times New Roman" w:hAnsi="Times New Roman" w:cs="Times New Roman"/>
                <w:i/>
                <w:spacing w:val="1"/>
              </w:rPr>
              <w:t>t</w:t>
            </w:r>
            <w:r w:rsidRPr="00E138C4">
              <w:rPr>
                <w:rFonts w:ascii="Times New Roman" w:hAnsi="Times New Roman" w:cs="Times New Roman"/>
                <w:i/>
              </w:rPr>
              <w:t xml:space="preserve">o </w:t>
            </w:r>
            <w:r w:rsidRPr="00E138C4">
              <w:rPr>
                <w:rFonts w:ascii="Times New Roman" w:hAnsi="Times New Roman" w:cs="Times New Roman"/>
                <w:i/>
                <w:spacing w:val="1"/>
              </w:rPr>
              <w:t>s</w:t>
            </w:r>
            <w:r w:rsidRPr="00E138C4">
              <w:rPr>
                <w:rFonts w:ascii="Times New Roman" w:hAnsi="Times New Roman" w:cs="Times New Roman"/>
                <w:i/>
                <w:spacing w:val="-2"/>
              </w:rPr>
              <w:t>u</w:t>
            </w:r>
            <w:r w:rsidRPr="00E138C4">
              <w:rPr>
                <w:rFonts w:ascii="Times New Roman" w:hAnsi="Times New Roman" w:cs="Times New Roman"/>
                <w:i/>
                <w:spacing w:val="1"/>
              </w:rPr>
              <w:t>t</w:t>
            </w:r>
            <w:r w:rsidRPr="00E138C4">
              <w:rPr>
                <w:rFonts w:ascii="Times New Roman" w:hAnsi="Times New Roman" w:cs="Times New Roman"/>
                <w:i/>
                <w:spacing w:val="-2"/>
              </w:rPr>
              <w:t>r</w:t>
            </w:r>
            <w:r w:rsidRPr="00E138C4">
              <w:rPr>
                <w:rFonts w:ascii="Times New Roman" w:hAnsi="Times New Roman" w:cs="Times New Roman"/>
                <w:i/>
                <w:spacing w:val="1"/>
              </w:rPr>
              <w:t>i</w:t>
            </w:r>
            <w:r w:rsidRPr="00E138C4">
              <w:rPr>
                <w:rFonts w:ascii="Times New Roman" w:hAnsi="Times New Roman" w:cs="Times New Roman"/>
                <w:i/>
                <w:spacing w:val="-2"/>
              </w:rPr>
              <w:t>k</w:t>
            </w:r>
            <w:r w:rsidRPr="00E138C4">
              <w:rPr>
                <w:rFonts w:ascii="Times New Roman" w:hAnsi="Times New Roman" w:cs="Times New Roman"/>
                <w:i/>
                <w:spacing w:val="1"/>
              </w:rPr>
              <w:t>i</w:t>
            </w:r>
            <w:r w:rsidRPr="00E138C4">
              <w:rPr>
                <w:rFonts w:ascii="Times New Roman" w:hAnsi="Times New Roman" w:cs="Times New Roman"/>
                <w:i/>
                <w:spacing w:val="-1"/>
              </w:rPr>
              <w:t>m</w:t>
            </w:r>
            <w:r w:rsidRPr="00E138C4">
              <w:rPr>
                <w:rFonts w:ascii="Times New Roman" w:hAnsi="Times New Roman" w:cs="Times New Roman"/>
                <w:i/>
                <w:spacing w:val="-2"/>
              </w:rPr>
              <w:t>a</w:t>
            </w:r>
            <w:r w:rsidRPr="00E138C4">
              <w:rPr>
                <w:rFonts w:ascii="Times New Roman" w:hAnsi="Times New Roman" w:cs="Times New Roman"/>
                <w:i/>
              </w:rPr>
              <w:t>i</w:t>
            </w:r>
          </w:p>
        </w:tc>
        <w:tc>
          <w:tcPr>
            <w:tcW w:w="3384" w:type="dxa"/>
            <w:tcBorders>
              <w:top w:val="single" w:sz="5" w:space="0" w:color="000000"/>
              <w:left w:val="single" w:sz="5" w:space="0" w:color="000000"/>
              <w:bottom w:val="single" w:sz="5" w:space="0" w:color="000000"/>
              <w:right w:val="single" w:sz="5" w:space="0" w:color="000000"/>
            </w:tcBorders>
          </w:tcPr>
          <w:p w14:paraId="0614543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spacing w:val="1"/>
              </w:rPr>
              <w:t>V</w:t>
            </w:r>
            <w:r w:rsidRPr="00E138C4">
              <w:rPr>
                <w:rFonts w:ascii="Times New Roman" w:hAnsi="Times New Roman" w:cs="Times New Roman"/>
              </w:rPr>
              <w:t>ė</w:t>
            </w:r>
            <w:r w:rsidRPr="00E138C4">
              <w:rPr>
                <w:rFonts w:ascii="Times New Roman" w:hAnsi="Times New Roman" w:cs="Times New Roman"/>
                <w:spacing w:val="-4"/>
              </w:rPr>
              <w:t>m</w:t>
            </w:r>
            <w:r w:rsidRPr="00E138C4">
              <w:rPr>
                <w:rFonts w:ascii="Times New Roman" w:hAnsi="Times New Roman" w:cs="Times New Roman"/>
                <w:spacing w:val="1"/>
              </w:rPr>
              <w:t>i</w:t>
            </w:r>
            <w:r w:rsidRPr="00E138C4">
              <w:rPr>
                <w:rFonts w:ascii="Times New Roman" w:hAnsi="Times New Roman" w:cs="Times New Roman"/>
                <w:spacing w:val="-4"/>
              </w:rPr>
              <w:t>m</w:t>
            </w:r>
            <w:r w:rsidRPr="00E138C4">
              <w:rPr>
                <w:rFonts w:ascii="Times New Roman" w:hAnsi="Times New Roman" w:cs="Times New Roman"/>
              </w:rPr>
              <w:t>as</w:t>
            </w:r>
          </w:p>
        </w:tc>
        <w:tc>
          <w:tcPr>
            <w:tcW w:w="2827" w:type="dxa"/>
            <w:tcBorders>
              <w:top w:val="single" w:sz="5" w:space="0" w:color="000000"/>
              <w:left w:val="single" w:sz="5" w:space="0" w:color="000000"/>
              <w:bottom w:val="single" w:sz="5" w:space="0" w:color="000000"/>
              <w:right w:val="single" w:sz="5" w:space="0" w:color="000000"/>
            </w:tcBorders>
          </w:tcPr>
          <w:p w14:paraId="54EF700F" w14:textId="77777777" w:rsidR="00DD069E" w:rsidRPr="00E138C4" w:rsidRDefault="00DD069E" w:rsidP="00DD069E">
            <w:pPr>
              <w:spacing w:after="0" w:line="240" w:lineRule="auto"/>
              <w:rPr>
                <w:rFonts w:ascii="Times New Roman" w:hAnsi="Times New Roman" w:cs="Times New Roman"/>
              </w:rPr>
            </w:pPr>
          </w:p>
        </w:tc>
      </w:tr>
      <w:tr w:rsidR="00DD069E" w:rsidRPr="00E138C4" w14:paraId="08C89946" w14:textId="77777777" w:rsidTr="002D28EE">
        <w:trPr>
          <w:trHeight w:hRule="exact" w:val="516"/>
        </w:trPr>
        <w:tc>
          <w:tcPr>
            <w:tcW w:w="3074" w:type="dxa"/>
            <w:tcBorders>
              <w:top w:val="single" w:sz="5" w:space="0" w:color="000000"/>
              <w:left w:val="single" w:sz="5" w:space="0" w:color="000000"/>
              <w:bottom w:val="single" w:sz="5" w:space="0" w:color="000000"/>
              <w:right w:val="single" w:sz="5" w:space="0" w:color="000000"/>
            </w:tcBorders>
          </w:tcPr>
          <w:p w14:paraId="370C5E9C" w14:textId="77777777" w:rsidR="00DD069E" w:rsidRPr="00E138C4" w:rsidRDefault="00DD069E" w:rsidP="00DD069E">
            <w:pPr>
              <w:spacing w:after="0" w:line="240" w:lineRule="auto"/>
              <w:ind w:left="102"/>
              <w:rPr>
                <w:rFonts w:ascii="Times New Roman" w:eastAsia="Calibri" w:hAnsi="Times New Roman" w:cs="Times New Roman"/>
              </w:rPr>
            </w:pPr>
            <w:r w:rsidRPr="00E138C4">
              <w:rPr>
                <w:rFonts w:ascii="Times New Roman" w:eastAsia="Calibri" w:hAnsi="Times New Roman" w:cs="Times New Roman"/>
                <w:i/>
                <w:spacing w:val="-1"/>
              </w:rPr>
              <w:t>B</w:t>
            </w:r>
            <w:r w:rsidRPr="00E138C4">
              <w:rPr>
                <w:rFonts w:ascii="Times New Roman" w:eastAsia="Calibri" w:hAnsi="Times New Roman" w:cs="Times New Roman"/>
                <w:i/>
              </w:rPr>
              <w:t>end</w:t>
            </w:r>
            <w:r w:rsidRPr="00E138C4">
              <w:rPr>
                <w:rFonts w:ascii="Times New Roman" w:eastAsia="Calibri" w:hAnsi="Times New Roman" w:cs="Times New Roman"/>
                <w:i/>
                <w:spacing w:val="1"/>
              </w:rPr>
              <w:t>r</w:t>
            </w:r>
            <w:r w:rsidRPr="00E138C4">
              <w:rPr>
                <w:rFonts w:ascii="Times New Roman" w:eastAsia="Calibri" w:hAnsi="Times New Roman" w:cs="Times New Roman"/>
                <w:i/>
                <w:spacing w:val="-1"/>
              </w:rPr>
              <w:t>i</w:t>
            </w:r>
            <w:r w:rsidRPr="00E138C4">
              <w:rPr>
                <w:rFonts w:ascii="Times New Roman" w:eastAsia="Calibri" w:hAnsi="Times New Roman" w:cs="Times New Roman"/>
                <w:i/>
              </w:rPr>
              <w:t>e</w:t>
            </w:r>
            <w:r w:rsidRPr="00E138C4">
              <w:rPr>
                <w:rFonts w:ascii="Times New Roman" w:eastAsia="Calibri" w:hAnsi="Times New Roman" w:cs="Times New Roman"/>
                <w:i/>
                <w:spacing w:val="-1"/>
              </w:rPr>
              <w:t>j</w:t>
            </w:r>
            <w:r w:rsidRPr="00E138C4">
              <w:rPr>
                <w:rFonts w:ascii="Times New Roman" w:eastAsia="Calibri" w:hAnsi="Times New Roman" w:cs="Times New Roman"/>
                <w:i/>
              </w:rPr>
              <w:t>i</w:t>
            </w:r>
            <w:r w:rsidRPr="00E138C4">
              <w:rPr>
                <w:rFonts w:ascii="Times New Roman" w:eastAsia="Calibri" w:hAnsi="Times New Roman" w:cs="Times New Roman"/>
                <w:i/>
                <w:spacing w:val="1"/>
              </w:rPr>
              <w:t xml:space="preserve"> s</w:t>
            </w:r>
            <w:r w:rsidRPr="00E138C4">
              <w:rPr>
                <w:rFonts w:ascii="Times New Roman" w:eastAsia="Calibri" w:hAnsi="Times New Roman" w:cs="Times New Roman"/>
                <w:i/>
                <w:spacing w:val="-2"/>
              </w:rPr>
              <w:t>u</w:t>
            </w:r>
            <w:r w:rsidRPr="00E138C4">
              <w:rPr>
                <w:rFonts w:ascii="Times New Roman" w:eastAsia="Calibri" w:hAnsi="Times New Roman" w:cs="Times New Roman"/>
                <w:i/>
                <w:spacing w:val="1"/>
              </w:rPr>
              <w:t>t</w:t>
            </w:r>
            <w:r w:rsidRPr="00E138C4">
              <w:rPr>
                <w:rFonts w:ascii="Times New Roman" w:eastAsia="Calibri" w:hAnsi="Times New Roman" w:cs="Times New Roman"/>
                <w:i/>
                <w:spacing w:val="-2"/>
              </w:rPr>
              <w:t>r</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2"/>
              </w:rPr>
              <w:t>k</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rPr>
              <w:t>ai</w:t>
            </w:r>
            <w:r w:rsidRPr="00E138C4">
              <w:rPr>
                <w:rFonts w:ascii="Times New Roman" w:eastAsia="Calibri" w:hAnsi="Times New Roman" w:cs="Times New Roman"/>
                <w:i/>
                <w:spacing w:val="-1"/>
              </w:rPr>
              <w:t xml:space="preserve"> </w:t>
            </w:r>
            <w:r w:rsidRPr="00E138C4">
              <w:rPr>
                <w:rFonts w:ascii="Times New Roman" w:eastAsia="Calibri" w:hAnsi="Times New Roman" w:cs="Times New Roman"/>
                <w:i/>
                <w:spacing w:val="1"/>
              </w:rPr>
              <w:t>ir</w:t>
            </w:r>
            <w:r w:rsidRPr="00E138C4">
              <w:rPr>
                <w:rFonts w:ascii="Times New Roman" w:eastAsia="Calibri" w:hAnsi="Times New Roman" w:cs="Times New Roman"/>
              </w:rPr>
              <w:t xml:space="preserve"> </w:t>
            </w:r>
            <w:r w:rsidRPr="00E138C4">
              <w:rPr>
                <w:rFonts w:ascii="Times New Roman" w:eastAsia="Calibri" w:hAnsi="Times New Roman" w:cs="Times New Roman"/>
                <w:i/>
              </w:rPr>
              <w:t>var</w:t>
            </w:r>
            <w:r w:rsidRPr="00E138C4">
              <w:rPr>
                <w:rFonts w:ascii="Times New Roman" w:eastAsia="Calibri" w:hAnsi="Times New Roman" w:cs="Times New Roman"/>
                <w:i/>
                <w:spacing w:val="1"/>
              </w:rPr>
              <w:t>t</w:t>
            </w:r>
            <w:r w:rsidRPr="00E138C4">
              <w:rPr>
                <w:rFonts w:ascii="Times New Roman" w:eastAsia="Calibri" w:hAnsi="Times New Roman" w:cs="Times New Roman"/>
                <w:i/>
                <w:spacing w:val="-2"/>
              </w:rPr>
              <w:t>o</w:t>
            </w:r>
            <w:r w:rsidRPr="00E138C4">
              <w:rPr>
                <w:rFonts w:ascii="Times New Roman" w:eastAsia="Calibri" w:hAnsi="Times New Roman" w:cs="Times New Roman"/>
                <w:i/>
                <w:spacing w:val="-1"/>
              </w:rPr>
              <w:t>j</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rPr>
              <w:t>o v</w:t>
            </w:r>
            <w:r w:rsidRPr="00E138C4">
              <w:rPr>
                <w:rFonts w:ascii="Times New Roman" w:eastAsia="Calibri" w:hAnsi="Times New Roman" w:cs="Times New Roman"/>
                <w:i/>
                <w:spacing w:val="-1"/>
              </w:rPr>
              <w:t>i</w:t>
            </w:r>
            <w:r w:rsidRPr="00E138C4">
              <w:rPr>
                <w:rFonts w:ascii="Times New Roman" w:eastAsia="Calibri" w:hAnsi="Times New Roman" w:cs="Times New Roman"/>
                <w:i/>
              </w:rPr>
              <w:t>e</w:t>
            </w:r>
            <w:r w:rsidRPr="00E138C4">
              <w:rPr>
                <w:rFonts w:ascii="Times New Roman" w:eastAsia="Calibri" w:hAnsi="Times New Roman" w:cs="Times New Roman"/>
                <w:i/>
                <w:spacing w:val="1"/>
              </w:rPr>
              <w:t>t</w:t>
            </w:r>
            <w:r w:rsidRPr="00E138C4">
              <w:rPr>
                <w:rFonts w:ascii="Times New Roman" w:eastAsia="Calibri" w:hAnsi="Times New Roman" w:cs="Times New Roman"/>
                <w:i/>
                <w:spacing w:val="-2"/>
              </w:rPr>
              <w:t>o</w:t>
            </w:r>
            <w:r w:rsidRPr="00E138C4">
              <w:rPr>
                <w:rFonts w:ascii="Times New Roman" w:eastAsia="Calibri" w:hAnsi="Times New Roman" w:cs="Times New Roman"/>
                <w:i/>
              </w:rPr>
              <w:t>s</w:t>
            </w:r>
            <w:r w:rsidRPr="00E138C4">
              <w:rPr>
                <w:rFonts w:ascii="Times New Roman" w:eastAsia="Calibri" w:hAnsi="Times New Roman" w:cs="Times New Roman"/>
                <w:i/>
                <w:spacing w:val="1"/>
              </w:rPr>
              <w:t xml:space="preserve"> </w:t>
            </w:r>
            <w:r w:rsidRPr="00E138C4">
              <w:rPr>
                <w:rFonts w:ascii="Times New Roman" w:eastAsia="Calibri" w:hAnsi="Times New Roman" w:cs="Times New Roman"/>
                <w:i/>
              </w:rPr>
              <w:t>pa</w:t>
            </w:r>
            <w:r w:rsidRPr="00E138C4">
              <w:rPr>
                <w:rFonts w:ascii="Times New Roman" w:eastAsia="Calibri" w:hAnsi="Times New Roman" w:cs="Times New Roman"/>
                <w:i/>
                <w:spacing w:val="-2"/>
              </w:rPr>
              <w:t>ž</w:t>
            </w:r>
            <w:r w:rsidRPr="00E138C4">
              <w:rPr>
                <w:rFonts w:ascii="Times New Roman" w:eastAsia="Calibri" w:hAnsi="Times New Roman" w:cs="Times New Roman"/>
                <w:i/>
              </w:rPr>
              <w:t>e</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2"/>
              </w:rPr>
              <w:t>d</w:t>
            </w:r>
            <w:r w:rsidRPr="00E138C4">
              <w:rPr>
                <w:rFonts w:ascii="Times New Roman" w:eastAsia="Calibri" w:hAnsi="Times New Roman" w:cs="Times New Roman"/>
                <w:i/>
                <w:spacing w:val="1"/>
              </w:rPr>
              <w:t>i</w:t>
            </w:r>
            <w:r w:rsidRPr="00E138C4">
              <w:rPr>
                <w:rFonts w:ascii="Times New Roman" w:eastAsia="Calibri" w:hAnsi="Times New Roman" w:cs="Times New Roman"/>
                <w:i/>
                <w:spacing w:val="-1"/>
              </w:rPr>
              <w:t>m</w:t>
            </w:r>
            <w:r w:rsidRPr="00E138C4">
              <w:rPr>
                <w:rFonts w:ascii="Times New Roman" w:eastAsia="Calibri" w:hAnsi="Times New Roman" w:cs="Times New Roman"/>
                <w:i/>
                <w:spacing w:val="-2"/>
              </w:rPr>
              <w:t>a</w:t>
            </w:r>
            <w:r w:rsidRPr="00E138C4">
              <w:rPr>
                <w:rFonts w:ascii="Times New Roman" w:eastAsia="Calibri" w:hAnsi="Times New Roman" w:cs="Times New Roman"/>
                <w:i/>
              </w:rPr>
              <w:t>i</w:t>
            </w:r>
          </w:p>
        </w:tc>
        <w:tc>
          <w:tcPr>
            <w:tcW w:w="3384" w:type="dxa"/>
            <w:tcBorders>
              <w:top w:val="single" w:sz="5" w:space="0" w:color="000000"/>
              <w:left w:val="single" w:sz="5" w:space="0" w:color="000000"/>
              <w:bottom w:val="single" w:sz="5" w:space="0" w:color="000000"/>
              <w:right w:val="single" w:sz="5" w:space="0" w:color="000000"/>
            </w:tcBorders>
          </w:tcPr>
          <w:p w14:paraId="70966049" w14:textId="77777777" w:rsidR="00DD069E" w:rsidRPr="00E138C4" w:rsidRDefault="00DD069E" w:rsidP="00DD069E">
            <w:pPr>
              <w:spacing w:after="0" w:line="240" w:lineRule="auto"/>
              <w:rPr>
                <w:rFonts w:ascii="Times New Roman" w:eastAsia="Calibri" w:hAnsi="Times New Roman" w:cs="Times New Roman"/>
              </w:rPr>
            </w:pPr>
          </w:p>
        </w:tc>
        <w:tc>
          <w:tcPr>
            <w:tcW w:w="2827" w:type="dxa"/>
            <w:tcBorders>
              <w:top w:val="single" w:sz="5" w:space="0" w:color="000000"/>
              <w:left w:val="single" w:sz="5" w:space="0" w:color="000000"/>
              <w:bottom w:val="single" w:sz="5" w:space="0" w:color="000000"/>
              <w:right w:val="single" w:sz="5" w:space="0" w:color="000000"/>
            </w:tcBorders>
          </w:tcPr>
          <w:p w14:paraId="53F8BF1D" w14:textId="6C0A2CC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spacing w:val="-4"/>
              </w:rPr>
              <w:t>I</w:t>
            </w:r>
            <w:r w:rsidRPr="00E138C4">
              <w:rPr>
                <w:rFonts w:ascii="Times New Roman" w:hAnsi="Times New Roman" w:cs="Times New Roman"/>
                <w:spacing w:val="3"/>
              </w:rPr>
              <w:t>r</w:t>
            </w:r>
            <w:r w:rsidRPr="00E138C4">
              <w:rPr>
                <w:rFonts w:ascii="Times New Roman" w:hAnsi="Times New Roman" w:cs="Times New Roman"/>
                <w:spacing w:val="-2"/>
              </w:rPr>
              <w:t>z</w:t>
            </w:r>
            <w:r w:rsidRPr="00E138C4">
              <w:rPr>
                <w:rFonts w:ascii="Times New Roman" w:hAnsi="Times New Roman" w:cs="Times New Roman"/>
                <w:spacing w:val="1"/>
              </w:rPr>
              <w:t>l</w:t>
            </w:r>
            <w:r w:rsidRPr="00E138C4">
              <w:rPr>
                <w:rFonts w:ascii="Times New Roman" w:hAnsi="Times New Roman" w:cs="Times New Roman"/>
              </w:rPr>
              <w:t>u</w:t>
            </w:r>
            <w:r w:rsidRPr="00E138C4">
              <w:rPr>
                <w:rFonts w:ascii="Times New Roman" w:hAnsi="Times New Roman" w:cs="Times New Roman"/>
                <w:spacing w:val="-4"/>
              </w:rPr>
              <w:t>m</w:t>
            </w:r>
            <w:r w:rsidRPr="00E138C4">
              <w:rPr>
                <w:rFonts w:ascii="Times New Roman" w:hAnsi="Times New Roman" w:cs="Times New Roman"/>
              </w:rPr>
              <w:t>as</w:t>
            </w:r>
            <w:r w:rsidRPr="00B14475">
              <w:rPr>
                <w:rFonts w:ascii="Times New Roman" w:hAnsi="Times New Roman" w:cs="Times New Roman"/>
                <w:position w:val="10"/>
                <w:sz w:val="20"/>
                <w:szCs w:val="20"/>
              </w:rPr>
              <w:t>3</w:t>
            </w:r>
          </w:p>
        </w:tc>
      </w:tr>
    </w:tbl>
    <w:p w14:paraId="12ACCED3" w14:textId="77777777" w:rsidR="00DD069E" w:rsidRPr="00E138C4" w:rsidRDefault="00DD069E" w:rsidP="00DD069E">
      <w:pPr>
        <w:spacing w:after="0" w:line="240" w:lineRule="auto"/>
        <w:rPr>
          <w:rFonts w:ascii="Times New Roman" w:hAnsi="Times New Roman" w:cs="Times New Roman"/>
        </w:rPr>
      </w:pPr>
    </w:p>
    <w:p w14:paraId="0A873791" w14:textId="4F6B1C98"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vertAlign w:val="superscript"/>
        </w:rPr>
        <w:lastRenderedPageBreak/>
        <w:t>1</w:t>
      </w:r>
      <w:r w:rsidRPr="00E138C4">
        <w:rPr>
          <w:rFonts w:ascii="Times New Roman" w:hAnsi="Times New Roman" w:cs="Times New Roman"/>
        </w:rPr>
        <w:t xml:space="preserve"> Bet kuriuo laiku pacientams iki 18 metų nustatyta prolaktino koncentracija: &gt; 20 μg/l (&gt; 869,56 pmol/l) berniukams, &gt; 26 μg/l (&gt; 1130,428 pmol/l) mergaitėms. Mažiau kaip 1 % pacientų nustatyta prolaktino koncentracija &gt; 100 μg/l. </w:t>
      </w:r>
    </w:p>
    <w:p w14:paraId="006B710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vertAlign w:val="superscript"/>
        </w:rPr>
        <w:t>2</w:t>
      </w:r>
      <w:r w:rsidRPr="00E138C4">
        <w:rPr>
          <w:rFonts w:ascii="Times New Roman" w:hAnsi="Times New Roman" w:cs="Times New Roman"/>
        </w:rPr>
        <w:t xml:space="preserve"> Dviejų trumpalaikių (3-6 savaičių trukmės) placebu kontroliuojamų tyrimų, atliktų su vaikais ir paaugliais,</w:t>
      </w:r>
    </w:p>
    <w:p w14:paraId="34DBA143" w14:textId="544677A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metu bet kuriuo laiku nustatytas padidėjimas virš kliniškai reikšmingos ribos, adaptuotos pagal Nacionalinių sveikatos institutų kriterijus, arba &gt;</w:t>
      </w:r>
      <w:r w:rsidR="0028480E" w:rsidRPr="00E138C4">
        <w:rPr>
          <w:rFonts w:ascii="Times New Roman" w:hAnsi="Times New Roman" w:cs="Times New Roman"/>
        </w:rPr>
        <w:t> </w:t>
      </w:r>
      <w:r w:rsidRPr="00E138C4">
        <w:rPr>
          <w:rFonts w:ascii="Times New Roman" w:hAnsi="Times New Roman" w:cs="Times New Roman"/>
        </w:rPr>
        <w:t>20</w:t>
      </w:r>
      <w:r w:rsidR="0028480E" w:rsidRPr="00E138C4">
        <w:rPr>
          <w:rFonts w:ascii="Times New Roman" w:hAnsi="Times New Roman" w:cs="Times New Roman"/>
        </w:rPr>
        <w:t> </w:t>
      </w:r>
      <w:r w:rsidRPr="00E138C4">
        <w:rPr>
          <w:rFonts w:ascii="Times New Roman" w:hAnsi="Times New Roman" w:cs="Times New Roman"/>
        </w:rPr>
        <w:t>mmHg (sistolinis) ar &gt;</w:t>
      </w:r>
      <w:r w:rsidR="0028480E" w:rsidRPr="00E138C4">
        <w:rPr>
          <w:rFonts w:ascii="Times New Roman" w:hAnsi="Times New Roman" w:cs="Times New Roman"/>
        </w:rPr>
        <w:t> </w:t>
      </w:r>
      <w:r w:rsidRPr="00E138C4">
        <w:rPr>
          <w:rFonts w:ascii="Times New Roman" w:hAnsi="Times New Roman" w:cs="Times New Roman"/>
        </w:rPr>
        <w:t>10</w:t>
      </w:r>
      <w:r w:rsidR="0028480E" w:rsidRPr="00E138C4">
        <w:rPr>
          <w:rFonts w:ascii="Times New Roman" w:hAnsi="Times New Roman" w:cs="Times New Roman"/>
        </w:rPr>
        <w:t> </w:t>
      </w:r>
      <w:r w:rsidRPr="00E138C4">
        <w:rPr>
          <w:rFonts w:ascii="Times New Roman" w:hAnsi="Times New Roman" w:cs="Times New Roman"/>
        </w:rPr>
        <w:t xml:space="preserve">mmHg (diastolinis). </w:t>
      </w:r>
    </w:p>
    <w:p w14:paraId="68C6560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vertAlign w:val="superscript"/>
        </w:rPr>
        <w:t>3</w:t>
      </w:r>
      <w:r w:rsidRPr="00E138C4">
        <w:rPr>
          <w:rFonts w:ascii="Times New Roman" w:hAnsi="Times New Roman" w:cs="Times New Roman"/>
        </w:rPr>
        <w:t xml:space="preserve"> Pastaba: irzlumo pasireiškimo dažnis atitinka nustatytą suaugusiems, tačiau jo klinikinė reikšmė vaikams ir paaugliams gali būti kitokia.</w:t>
      </w:r>
    </w:p>
    <w:p w14:paraId="1BDEB22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vertAlign w:val="superscript"/>
        </w:rPr>
        <w:t>4</w:t>
      </w:r>
      <w:r w:rsidRPr="00E138C4">
        <w:rPr>
          <w:rFonts w:ascii="Times New Roman" w:hAnsi="Times New Roman" w:cs="Times New Roman"/>
        </w:rPr>
        <w:t xml:space="preserve"> Žr. 5.1 skyrių. </w:t>
      </w:r>
    </w:p>
    <w:p w14:paraId="49656A78" w14:textId="77777777" w:rsidR="00DD069E" w:rsidRPr="00E138C4" w:rsidRDefault="00DD069E" w:rsidP="00DD069E">
      <w:pPr>
        <w:spacing w:after="0" w:line="240" w:lineRule="auto"/>
        <w:rPr>
          <w:rFonts w:ascii="Times New Roman" w:hAnsi="Times New Roman" w:cs="Times New Roman"/>
        </w:rPr>
      </w:pPr>
    </w:p>
    <w:p w14:paraId="52B25170" w14:textId="77777777" w:rsidR="00DD069E" w:rsidRPr="00E138C4" w:rsidRDefault="00DD069E" w:rsidP="00871974">
      <w:pPr>
        <w:tabs>
          <w:tab w:val="left" w:pos="567"/>
        </w:tabs>
        <w:autoSpaceDE w:val="0"/>
        <w:autoSpaceDN w:val="0"/>
        <w:adjustRightInd w:val="0"/>
        <w:spacing w:after="0" w:line="240" w:lineRule="auto"/>
        <w:rPr>
          <w:rFonts w:ascii="Times New Roman" w:hAnsi="Times New Roman" w:cs="Times New Roman"/>
          <w:u w:val="single"/>
        </w:rPr>
      </w:pPr>
      <w:r w:rsidRPr="00E138C4">
        <w:rPr>
          <w:rFonts w:ascii="Times New Roman" w:hAnsi="Times New Roman" w:cs="Times New Roman"/>
          <w:u w:val="single"/>
        </w:rPr>
        <w:t>Pranešimas apie įtariamas nepageidaujamas reakcijas</w:t>
      </w:r>
    </w:p>
    <w:p w14:paraId="1DEB1958" w14:textId="57D49AB0" w:rsidR="00DD069E" w:rsidRPr="00E138C4" w:rsidRDefault="00DD069E" w:rsidP="00871974">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D40AD3" w:rsidRPr="00E138C4">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25" w:history="1">
        <w:r w:rsidR="00D40AD3" w:rsidRPr="00E138C4">
          <w:rPr>
            <w:rFonts w:ascii="Times New Roman" w:eastAsia="Times New Roman" w:hAnsi="Times New Roman" w:cs="Times New Roman"/>
            <w:noProof/>
            <w:snapToGrid w:val="0"/>
            <w:szCs w:val="24"/>
            <w:u w:val="single"/>
          </w:rPr>
          <w:t>https://vapris.vvkt.lt/vvkt-web/public/nrvSpecialist</w:t>
        </w:r>
      </w:hyperlink>
      <w:r w:rsidR="00D40AD3" w:rsidRPr="00E138C4">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26" w:history="1">
        <w:r w:rsidR="00D40AD3" w:rsidRPr="00E138C4">
          <w:rPr>
            <w:rFonts w:ascii="Times New Roman" w:eastAsia="Times New Roman" w:hAnsi="Times New Roman" w:cs="Times New Roman"/>
            <w:noProof/>
            <w:snapToGrid w:val="0"/>
            <w:szCs w:val="24"/>
            <w:u w:val="single"/>
          </w:rPr>
          <w:t>https://www.vvkt.lt/index.php?1399030386</w:t>
        </w:r>
      </w:hyperlink>
      <w:r w:rsidR="00D40AD3" w:rsidRPr="00E138C4">
        <w:rPr>
          <w:rFonts w:ascii="Times New Roman" w:eastAsia="Times New Roman" w:hAnsi="Times New Roman" w:cs="Times New Roman"/>
          <w:noProof/>
          <w:snapToGrid w:val="0"/>
          <w:szCs w:val="24"/>
        </w:rPr>
        <w:t xml:space="preserve">, ir atsiųsti elektroniniu paštu (adresu </w:t>
      </w:r>
      <w:hyperlink r:id="rId27" w:history="1">
        <w:r w:rsidR="00D40AD3" w:rsidRPr="00D17122">
          <w:rPr>
            <w:rStyle w:val="Hipersaitas"/>
            <w:rFonts w:ascii="Times New Roman" w:eastAsia="Times New Roman" w:hAnsi="Times New Roman" w:cs="Times New Roman"/>
            <w:noProof/>
            <w:snapToGrid w:val="0"/>
            <w:szCs w:val="24"/>
          </w:rPr>
          <w:t>NepageidaujamaR@vvkt.lt</w:t>
        </w:r>
      </w:hyperlink>
      <w:r w:rsidR="00D40AD3" w:rsidRPr="00E138C4">
        <w:rPr>
          <w:rFonts w:ascii="Times New Roman" w:eastAsia="Times New Roman" w:hAnsi="Times New Roman" w:cs="Times New Roman"/>
          <w:noProof/>
          <w:snapToGrid w:val="0"/>
          <w:szCs w:val="24"/>
        </w:rPr>
        <w:t>).</w:t>
      </w:r>
    </w:p>
    <w:p w14:paraId="5F380EC6" w14:textId="77777777" w:rsidR="00DD069E" w:rsidRPr="00E138C4" w:rsidRDefault="00DD069E" w:rsidP="00871974">
      <w:pPr>
        <w:autoSpaceDE w:val="0"/>
        <w:autoSpaceDN w:val="0"/>
        <w:adjustRightInd w:val="0"/>
        <w:spacing w:after="0" w:line="240" w:lineRule="auto"/>
        <w:rPr>
          <w:rFonts w:ascii="Times New Roman" w:hAnsi="Times New Roman" w:cs="Times New Roman"/>
        </w:rPr>
      </w:pPr>
    </w:p>
    <w:p w14:paraId="049B988D" w14:textId="77777777" w:rsidR="00DD069E" w:rsidRPr="00E138C4" w:rsidRDefault="00DD069E" w:rsidP="00DD069E">
      <w:pPr>
        <w:spacing w:after="0" w:line="240" w:lineRule="auto"/>
        <w:ind w:left="567" w:hanging="567"/>
        <w:outlineLvl w:val="0"/>
        <w:rPr>
          <w:rFonts w:ascii="Times New Roman" w:hAnsi="Times New Roman" w:cs="Times New Roman"/>
          <w:b/>
        </w:rPr>
      </w:pPr>
      <w:r w:rsidRPr="00E138C4">
        <w:rPr>
          <w:rFonts w:ascii="Times New Roman" w:hAnsi="Times New Roman" w:cs="Times New Roman"/>
          <w:b/>
        </w:rPr>
        <w:t>4.9</w:t>
      </w:r>
      <w:r w:rsidRPr="00E138C4">
        <w:rPr>
          <w:rFonts w:ascii="Times New Roman" w:hAnsi="Times New Roman" w:cs="Times New Roman"/>
          <w:b/>
        </w:rPr>
        <w:tab/>
        <w:t>Perdozavimas</w:t>
      </w:r>
    </w:p>
    <w:p w14:paraId="60380BCC" w14:textId="77777777" w:rsidR="00DD069E" w:rsidRPr="00E138C4" w:rsidRDefault="00DD069E" w:rsidP="00DD069E">
      <w:pPr>
        <w:spacing w:after="0" w:line="240" w:lineRule="auto"/>
        <w:ind w:left="567" w:hanging="567"/>
        <w:outlineLvl w:val="0"/>
        <w:rPr>
          <w:rFonts w:ascii="Times New Roman" w:hAnsi="Times New Roman" w:cs="Times New Roman"/>
        </w:rPr>
      </w:pPr>
    </w:p>
    <w:p w14:paraId="61298240"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Simptomai</w:t>
      </w:r>
    </w:p>
    <w:p w14:paraId="1076B5B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Dauguma pastebėtų apsinuodijimo simptomų ir požymių (mieguistumas, sedacija, tachikardija, hipotenzija ir anticholinerginis poveikis) buvo sustiprėjusio farmakologinio poveikio pasekmės.</w:t>
      </w:r>
    </w:p>
    <w:p w14:paraId="352690A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Perdozavus gali pailgėti QT intervalas, prasidėti traukuliai, ištikti epilepsinė būklė, vykti rabdomiolizė, susilpnėti kvėpavimas, susilaikyti šlapimas, sutrikti orientacija, pasireikšti delyras ir (ar) ažitacija, ištikti koma ir mirtis. Pacientams, sergantiems sunkiomis širdies ir kraujagyslių sistemos ligomis, perdozavimo sukeliamų sutrikimų pavojus gali būti didesnis (žr. 4.4 skyriuje „Ortostatinė hipotenzija“).</w:t>
      </w:r>
    </w:p>
    <w:p w14:paraId="23889969" w14:textId="77777777" w:rsidR="00DD069E" w:rsidRPr="00E138C4" w:rsidRDefault="00DD069E" w:rsidP="00DD069E">
      <w:pPr>
        <w:spacing w:after="0" w:line="240" w:lineRule="auto"/>
        <w:rPr>
          <w:rFonts w:ascii="Times New Roman" w:hAnsi="Times New Roman" w:cs="Times New Roman"/>
        </w:rPr>
      </w:pPr>
    </w:p>
    <w:p w14:paraId="4A7207D8"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Perdozavimo gydymas</w:t>
      </w:r>
    </w:p>
    <w:p w14:paraId="13A3B3E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Specifinio priešnuodžio kvetiapinui nėra. Sunkaus apsinuodijimo atveju reikia pagalvoti apie kelių vaistinių preparatų suvartojimo galimybę ir yra rekomenduojama taikyti intensyvios slaugos priemones, tarp jų kvėpavimo takų praeinamumo atkūrimą ir palaikymą, pakankamo aprūpinimo deguonimi užtikrinimą, plaučių ventiliaciją bei širdies ir kraujagyslių sistemos funkcijos stebėjimą ir palaikymą.</w:t>
      </w:r>
    </w:p>
    <w:p w14:paraId="0A385A04" w14:textId="77777777" w:rsidR="00DD069E" w:rsidRPr="00E138C4" w:rsidRDefault="00DD069E" w:rsidP="00DD069E">
      <w:pPr>
        <w:spacing w:after="0" w:line="240" w:lineRule="auto"/>
        <w:rPr>
          <w:rFonts w:ascii="Times New Roman" w:hAnsi="Times New Roman" w:cs="Times New Roman"/>
        </w:rPr>
      </w:pPr>
    </w:p>
    <w:p w14:paraId="2EE2036D" w14:textId="2619F81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Publikuotais duomenimis, delyrą, ažitaciją ir aiškų anticholinerginį sindromą galima gydyti fizostigminu (1-2 mg nuolat registruojant EKG). Vis dėlto tai nėra rekomenduojamas standartinis gydymas, nes fizostigminas gali bloginti širdies laidumą. Fizostigmino galima skirti tik kai nėra EKG pokyčių. Jeigu yra širdies aritmija, bet kurio laipsnio atrioventrikulinė blokada arba išsiplėtęs QRS intervalas, fizostigmino skirti negalima.</w:t>
      </w:r>
    </w:p>
    <w:p w14:paraId="2FAA3A60" w14:textId="77777777" w:rsidR="00DD069E" w:rsidRPr="00E138C4" w:rsidRDefault="00DD069E" w:rsidP="00DD069E">
      <w:pPr>
        <w:spacing w:after="0" w:line="240" w:lineRule="auto"/>
        <w:rPr>
          <w:rFonts w:ascii="Times New Roman" w:hAnsi="Times New Roman" w:cs="Times New Roman"/>
        </w:rPr>
      </w:pPr>
    </w:p>
    <w:p w14:paraId="308E3D2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Absorbcijos trikdymo perdozavus poveikis netirtas, tačiau, jei apsinuodijimas stipriai išreikštas, gali būti tikslinga plauti skrandį (jei įmanoma, per valandą po perdozavimo) ir duoti gerti aktyvintosios anglies.</w:t>
      </w:r>
    </w:p>
    <w:p w14:paraId="5BCDF26A" w14:textId="77777777" w:rsidR="00DD069E" w:rsidRPr="00E138C4" w:rsidRDefault="00DD069E" w:rsidP="00DD069E">
      <w:pPr>
        <w:spacing w:after="0" w:line="240" w:lineRule="auto"/>
        <w:rPr>
          <w:rFonts w:ascii="Times New Roman" w:hAnsi="Times New Roman" w:cs="Times New Roman"/>
        </w:rPr>
      </w:pPr>
    </w:p>
    <w:p w14:paraId="06D9AB25" w14:textId="77777777" w:rsidR="00DD069E" w:rsidRPr="00E138C4" w:rsidRDefault="00DD069E" w:rsidP="00DD069E">
      <w:pPr>
        <w:spacing w:after="0" w:line="240" w:lineRule="auto"/>
        <w:contextualSpacing/>
        <w:rPr>
          <w:rFonts w:ascii="Times New Roman" w:hAnsi="Times New Roman" w:cs="Times New Roman"/>
        </w:rPr>
      </w:pPr>
      <w:r w:rsidRPr="00E138C4">
        <w:rPr>
          <w:rFonts w:ascii="Times New Roman" w:hAnsi="Times New Roman" w:cs="Times New Roman"/>
        </w:rPr>
        <w:t>Perdozavus kvetiapino pasireiškusią gydymui nepasiduodančią hipotenziją reikia atitinkamai gydyti, t. y. skirti skysčių į veną ir (arba) simpatomimetikų, tačiau netinka epinefrinas ir dopaminas, kadangi kvetiapinui užblokavus alfa receptorius, gali pasunkėti hipotenzija dėl beta receptorių stimuliavimo.</w:t>
      </w:r>
    </w:p>
    <w:p w14:paraId="67876DBA" w14:textId="77777777" w:rsidR="00DD069E" w:rsidRPr="00E138C4" w:rsidRDefault="00DD069E" w:rsidP="00DD069E">
      <w:pPr>
        <w:spacing w:after="0" w:line="240" w:lineRule="auto"/>
        <w:rPr>
          <w:rFonts w:ascii="Times New Roman" w:hAnsi="Times New Roman" w:cs="Times New Roman"/>
        </w:rPr>
      </w:pPr>
    </w:p>
    <w:p w14:paraId="518956C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Atidi medicininė priežiūra ir būklės stebėjimas reikalingas tol, kol pacientas pasveiks.</w:t>
      </w:r>
    </w:p>
    <w:p w14:paraId="1CD21051" w14:textId="77777777" w:rsidR="00DD069E" w:rsidRPr="00E138C4" w:rsidRDefault="00DD069E" w:rsidP="00DD069E">
      <w:pPr>
        <w:spacing w:after="0" w:line="240" w:lineRule="auto"/>
        <w:rPr>
          <w:rFonts w:ascii="Times New Roman" w:hAnsi="Times New Roman" w:cs="Times New Roman"/>
        </w:rPr>
      </w:pPr>
    </w:p>
    <w:p w14:paraId="41C8C3F9" w14:textId="77777777" w:rsidR="00DD069E" w:rsidRPr="00E138C4" w:rsidRDefault="00DD069E" w:rsidP="00DD069E">
      <w:pPr>
        <w:spacing w:after="0" w:line="240" w:lineRule="auto"/>
        <w:rPr>
          <w:rFonts w:ascii="Times New Roman" w:hAnsi="Times New Roman" w:cs="Times New Roman"/>
        </w:rPr>
      </w:pPr>
    </w:p>
    <w:p w14:paraId="4E130B69"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b/>
        </w:rPr>
        <w:lastRenderedPageBreak/>
        <w:t>5.</w:t>
      </w:r>
      <w:r w:rsidRPr="00E138C4">
        <w:rPr>
          <w:rFonts w:ascii="Times New Roman" w:hAnsi="Times New Roman" w:cs="Times New Roman"/>
          <w:b/>
        </w:rPr>
        <w:tab/>
        <w:t xml:space="preserve">FARMAKOLOGINĖS </w:t>
      </w:r>
      <w:r w:rsidRPr="00E138C4">
        <w:rPr>
          <w:rFonts w:ascii="Times New Roman" w:hAnsi="Times New Roman" w:cs="Times New Roman"/>
          <w:b/>
          <w:caps/>
        </w:rPr>
        <w:t>savybės</w:t>
      </w:r>
    </w:p>
    <w:p w14:paraId="4BA9A0D2" w14:textId="77777777" w:rsidR="00DD069E" w:rsidRPr="00E138C4" w:rsidRDefault="00DD069E" w:rsidP="00DD069E">
      <w:pPr>
        <w:spacing w:after="0" w:line="240" w:lineRule="auto"/>
        <w:rPr>
          <w:rFonts w:ascii="Times New Roman" w:hAnsi="Times New Roman" w:cs="Times New Roman"/>
        </w:rPr>
      </w:pPr>
    </w:p>
    <w:p w14:paraId="458B84C9"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 xml:space="preserve">5.1 </w:t>
      </w:r>
      <w:r w:rsidRPr="00E138C4">
        <w:rPr>
          <w:rFonts w:ascii="Times New Roman" w:hAnsi="Times New Roman" w:cs="Times New Roman"/>
          <w:b/>
        </w:rPr>
        <w:tab/>
        <w:t>Farmakodinaminės savybės</w:t>
      </w:r>
    </w:p>
    <w:p w14:paraId="1471ED76" w14:textId="77777777" w:rsidR="00DD069E" w:rsidRPr="00E138C4" w:rsidRDefault="00DD069E" w:rsidP="00DD069E">
      <w:pPr>
        <w:spacing w:after="0" w:line="240" w:lineRule="auto"/>
        <w:rPr>
          <w:rFonts w:ascii="Times New Roman" w:hAnsi="Times New Roman" w:cs="Times New Roman"/>
        </w:rPr>
      </w:pPr>
    </w:p>
    <w:p w14:paraId="71AF848E" w14:textId="381A1B55"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Farmakoterapinė grupė – psicholeptikai, antipsichoziniai vaistai, diazepinai, oksazepinai, tiazepinai ir oksepinai. ATC kodas – N05AH04.</w:t>
      </w:r>
    </w:p>
    <w:p w14:paraId="757D40BB" w14:textId="77777777" w:rsidR="00DD069E" w:rsidRPr="00E138C4" w:rsidRDefault="00DD069E" w:rsidP="00DD069E">
      <w:pPr>
        <w:spacing w:after="0" w:line="240" w:lineRule="auto"/>
        <w:rPr>
          <w:rFonts w:ascii="Times New Roman" w:hAnsi="Times New Roman" w:cs="Times New Roman"/>
        </w:rPr>
      </w:pPr>
    </w:p>
    <w:p w14:paraId="61293D98"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Veikimo mechanizmas</w:t>
      </w:r>
    </w:p>
    <w:p w14:paraId="062CCD3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Kvetiapinas yra atipinis antipsichozinis vaist</w:t>
      </w:r>
      <w:r w:rsidR="00B939FA" w:rsidRPr="00E138C4">
        <w:rPr>
          <w:rFonts w:ascii="Times New Roman" w:hAnsi="Times New Roman" w:cs="Times New Roman"/>
        </w:rPr>
        <w:t>inis preparatas</w:t>
      </w:r>
      <w:r w:rsidRPr="00E138C4">
        <w:rPr>
          <w:rFonts w:ascii="Times New Roman" w:hAnsi="Times New Roman" w:cs="Times New Roman"/>
        </w:rPr>
        <w:t>. Kvetiapinas ir jo veiklus žmogaus plazmos metabolitas norkvetiapinas, sąveikauja su daugelio neuromediatorių receptoriais. Kvetiapinui ir norkvetiapinui yra būdingas afinitetas smegenų serotonino (5-HT</w:t>
      </w:r>
      <w:r w:rsidRPr="00E138C4">
        <w:rPr>
          <w:rFonts w:ascii="Times New Roman" w:hAnsi="Times New Roman" w:cs="Times New Roman"/>
          <w:vertAlign w:val="subscript"/>
        </w:rPr>
        <w:t>2</w:t>
      </w:r>
      <w:r w:rsidRPr="00E138C4">
        <w:rPr>
          <w:rFonts w:ascii="Times New Roman" w:hAnsi="Times New Roman" w:cs="Times New Roman"/>
          <w:b/>
          <w:i/>
          <w:vertAlign w:val="subscript"/>
        </w:rPr>
        <w:t xml:space="preserve"> A</w:t>
      </w:r>
      <w:r w:rsidRPr="00E138C4">
        <w:rPr>
          <w:rFonts w:ascii="Times New Roman" w:hAnsi="Times New Roman" w:cs="Times New Roman"/>
        </w:rPr>
        <w:t>) bei dopamino D</w:t>
      </w:r>
      <w:r w:rsidRPr="00E138C4">
        <w:rPr>
          <w:rFonts w:ascii="Times New Roman" w:hAnsi="Times New Roman" w:cs="Times New Roman"/>
          <w:vertAlign w:val="subscript"/>
        </w:rPr>
        <w:t>1</w:t>
      </w:r>
      <w:r w:rsidRPr="00E138C4">
        <w:rPr>
          <w:rFonts w:ascii="Times New Roman" w:hAnsi="Times New Roman" w:cs="Times New Roman"/>
        </w:rPr>
        <w:t xml:space="preserve"> ir D</w:t>
      </w:r>
      <w:r w:rsidRPr="00E138C4">
        <w:rPr>
          <w:rFonts w:ascii="Times New Roman" w:hAnsi="Times New Roman" w:cs="Times New Roman"/>
          <w:vertAlign w:val="subscript"/>
        </w:rPr>
        <w:t xml:space="preserve">2 </w:t>
      </w:r>
      <w:r w:rsidRPr="00E138C4">
        <w:rPr>
          <w:rFonts w:ascii="Times New Roman" w:hAnsi="Times New Roman" w:cs="Times New Roman"/>
        </w:rPr>
        <w:t>receptoriams. Manoma, kad šis antagonizmo receptoriams derinys, kurio selektyvumas 5-HT</w:t>
      </w:r>
      <w:r w:rsidRPr="00E138C4">
        <w:rPr>
          <w:rFonts w:ascii="Times New Roman" w:hAnsi="Times New Roman" w:cs="Times New Roman"/>
          <w:vertAlign w:val="subscript"/>
        </w:rPr>
        <w:t>2</w:t>
      </w:r>
      <w:r w:rsidRPr="00E138C4">
        <w:rPr>
          <w:rFonts w:ascii="Times New Roman" w:hAnsi="Times New Roman" w:cs="Times New Roman"/>
          <w:b/>
          <w:i/>
          <w:vertAlign w:val="subscript"/>
        </w:rPr>
        <w:t xml:space="preserve"> A</w:t>
      </w:r>
      <w:r w:rsidRPr="00E138C4">
        <w:rPr>
          <w:rFonts w:ascii="Times New Roman" w:hAnsi="Times New Roman" w:cs="Times New Roman"/>
        </w:rPr>
        <w:t xml:space="preserve"> receptoriams didesnis nei dopamino D</w:t>
      </w:r>
      <w:r w:rsidRPr="00E138C4">
        <w:rPr>
          <w:rFonts w:ascii="Times New Roman" w:hAnsi="Times New Roman" w:cs="Times New Roman"/>
          <w:vertAlign w:val="subscript"/>
        </w:rPr>
        <w:t>2</w:t>
      </w:r>
      <w:r w:rsidRPr="00E138C4">
        <w:rPr>
          <w:rFonts w:ascii="Times New Roman" w:hAnsi="Times New Roman" w:cs="Times New Roman"/>
        </w:rPr>
        <w:t>-</w:t>
      </w:r>
      <w:r w:rsidRPr="00E138C4">
        <w:rPr>
          <w:rFonts w:ascii="Times New Roman" w:hAnsi="Times New Roman" w:cs="Times New Roman"/>
          <w:vertAlign w:val="subscript"/>
        </w:rPr>
        <w:t xml:space="preserve"> </w:t>
      </w:r>
      <w:r w:rsidRPr="00E138C4">
        <w:rPr>
          <w:rFonts w:ascii="Times New Roman" w:hAnsi="Times New Roman" w:cs="Times New Roman"/>
        </w:rPr>
        <w:t xml:space="preserve">receptoriams, lemia klinikines antipsichozines kvetiapino savybes bei silpnesnį šalutinį poveikį ekstrapiramidinei sistemai, palyginti su tipiniais antipsichotikais. Kvetiapinas ir norkvetiapinas neturi pastebimo afiniteto benzodiazepinų receptoriams, tačiau turi didelį afinitetą histaminerginiams ir adrenerginiams alfa1 receptoriams ir vidutinį afinitetą adrenerginiams alfa receptoriams. </w:t>
      </w:r>
      <w:r w:rsidRPr="00E138C4">
        <w:rPr>
          <w:rFonts w:ascii="Times New Roman" w:eastAsia="Calibri" w:hAnsi="Times New Roman" w:cs="Times New Roman"/>
        </w:rPr>
        <w:t>Be to, kvetiapinas turi mažą afinitetą muskarino receptoriams arba jo neturi, o norkvetiapino afinitetas kai kuriems muskarino receptoriams yra vidutinis arba didelis – tuo paaiškinamas jo anticholinerginis (antimuskarininis) poveikis</w:t>
      </w:r>
      <w:r w:rsidRPr="00E138C4">
        <w:rPr>
          <w:rFonts w:ascii="Times New Roman" w:eastAsia="Calibri" w:hAnsi="Times New Roman" w:cs="Times New Roman"/>
          <w:bCs/>
        </w:rPr>
        <w:t xml:space="preserve">. </w:t>
      </w:r>
      <w:r w:rsidRPr="00E138C4">
        <w:rPr>
          <w:rFonts w:ascii="Times New Roman" w:hAnsi="Times New Roman" w:cs="Times New Roman"/>
        </w:rPr>
        <w:t>Įtakos Ketilept terapiniam antidepresiniam veiksmingumui gali turėti norkvetiapino sukeliamas norepinefrino nešiklio slopinimas ir dalinis agonizmas 5HT</w:t>
      </w:r>
      <w:r w:rsidRPr="00E138C4">
        <w:rPr>
          <w:rFonts w:ascii="Times New Roman" w:hAnsi="Times New Roman" w:cs="Times New Roman"/>
          <w:vertAlign w:val="subscript"/>
        </w:rPr>
        <w:t xml:space="preserve">1A </w:t>
      </w:r>
      <w:r w:rsidRPr="00E138C4">
        <w:rPr>
          <w:rFonts w:ascii="Times New Roman" w:hAnsi="Times New Roman" w:cs="Times New Roman"/>
        </w:rPr>
        <w:t>.</w:t>
      </w:r>
    </w:p>
    <w:p w14:paraId="7FC92DB0" w14:textId="77777777" w:rsidR="00DD069E" w:rsidRPr="00E138C4" w:rsidRDefault="00DD069E" w:rsidP="00DD069E">
      <w:pPr>
        <w:spacing w:after="0" w:line="240" w:lineRule="auto"/>
        <w:rPr>
          <w:rFonts w:ascii="Times New Roman" w:hAnsi="Times New Roman" w:cs="Times New Roman"/>
        </w:rPr>
      </w:pPr>
    </w:p>
    <w:p w14:paraId="63EAA50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Farmakodinaminis poveikis</w:t>
      </w:r>
    </w:p>
    <w:p w14:paraId="3BCB0E7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 aktyvumą patvirtina antipsichozinio poveikio tyrimų, pvz., sąlyginio išvengimo reflekso, duomenys. Elgsenos ir neurofiziologiniais tyrimais nustatyta, kad jis blokuoja dopamino agonistų poveikį ir didina dopamino metabolitų koncentraciją (šis pokytis yra neurocheminis D</w:t>
      </w:r>
      <w:r w:rsidRPr="00E138C4">
        <w:rPr>
          <w:rFonts w:ascii="Times New Roman" w:hAnsi="Times New Roman" w:cs="Times New Roman"/>
          <w:vertAlign w:val="subscript"/>
        </w:rPr>
        <w:t xml:space="preserve">2 </w:t>
      </w:r>
      <w:r w:rsidRPr="00E138C4">
        <w:rPr>
          <w:rFonts w:ascii="Times New Roman" w:hAnsi="Times New Roman" w:cs="Times New Roman"/>
        </w:rPr>
        <w:t>- receptorių blokados rodiklis).</w:t>
      </w:r>
    </w:p>
    <w:p w14:paraId="77F7834F" w14:textId="77777777" w:rsidR="00DD069E" w:rsidRPr="00E138C4" w:rsidRDefault="00DD069E" w:rsidP="00DD069E">
      <w:pPr>
        <w:spacing w:after="0" w:line="240" w:lineRule="auto"/>
        <w:rPr>
          <w:rFonts w:ascii="Times New Roman" w:hAnsi="Times New Roman" w:cs="Times New Roman"/>
        </w:rPr>
      </w:pPr>
    </w:p>
    <w:p w14:paraId="6D756CD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Ikiklinikinių tyrimų, kurie leidžia prognozuoti nepageidaujamus ekstrapiramidinius simptomus, duomenys parodė, kad kvetiapinas skiriasi nuo tipinių antipsichozinių preparatų ir jo profilis yra atipiškas. Po ilgalaikio vartojimo kvetiapinas nedidino D</w:t>
      </w:r>
      <w:r w:rsidRPr="00E138C4">
        <w:rPr>
          <w:rFonts w:ascii="Times New Roman" w:hAnsi="Times New Roman" w:cs="Times New Roman"/>
          <w:vertAlign w:val="subscript"/>
        </w:rPr>
        <w:t xml:space="preserve">2 </w:t>
      </w:r>
      <w:r w:rsidRPr="00E138C4">
        <w:rPr>
          <w:rFonts w:ascii="Times New Roman" w:hAnsi="Times New Roman" w:cs="Times New Roman"/>
        </w:rPr>
        <w:t>- receptorių jautrumo. Veiksmingomis D</w:t>
      </w:r>
      <w:r w:rsidRPr="00E138C4">
        <w:rPr>
          <w:rFonts w:ascii="Times New Roman" w:hAnsi="Times New Roman" w:cs="Times New Roman"/>
          <w:vertAlign w:val="subscript"/>
        </w:rPr>
        <w:t>2</w:t>
      </w:r>
      <w:r w:rsidRPr="00E138C4">
        <w:rPr>
          <w:rFonts w:ascii="Times New Roman" w:hAnsi="Times New Roman" w:cs="Times New Roman"/>
        </w:rPr>
        <w:t xml:space="preserve"> -receptorius blokuojančiomis dozėmis vartotas kvetiapinas sukėlė tik silpną katalepsiją. Kvetiapino poveikis limbinei sistemai yra selektyvus, nes po ilgalaikio vartojimo depoliarizacijos slopinimas pasireiškė tik mezolimbinės, bet ne nigrostriatinės, sistemos neuronuose, kuriuose yra dopamino. Ūmus ar ilgalaikis kvetiapino vartojimas haloperidoliu įjautrintoms ar šio vaist</w:t>
      </w:r>
      <w:r w:rsidR="00B939FA" w:rsidRPr="00E138C4">
        <w:rPr>
          <w:rFonts w:ascii="Times New Roman" w:hAnsi="Times New Roman" w:cs="Times New Roman"/>
        </w:rPr>
        <w:t>ini</w:t>
      </w:r>
      <w:r w:rsidRPr="00E138C4">
        <w:rPr>
          <w:rFonts w:ascii="Times New Roman" w:hAnsi="Times New Roman" w:cs="Times New Roman"/>
        </w:rPr>
        <w:t xml:space="preserve">o </w:t>
      </w:r>
      <w:r w:rsidR="00B939FA" w:rsidRPr="00E138C4">
        <w:rPr>
          <w:rFonts w:ascii="Times New Roman" w:hAnsi="Times New Roman" w:cs="Times New Roman"/>
        </w:rPr>
        <w:t xml:space="preserve">preparato </w:t>
      </w:r>
      <w:r w:rsidRPr="00E138C4">
        <w:rPr>
          <w:rFonts w:ascii="Times New Roman" w:hAnsi="Times New Roman" w:cs="Times New Roman"/>
        </w:rPr>
        <w:t>nevartojusioms kapucinų rūšies beždžionėms sukėlė tik minimalų distoninį labilumą (žr. 4.8 skyrių).</w:t>
      </w:r>
    </w:p>
    <w:p w14:paraId="4CDDCA7A" w14:textId="77777777" w:rsidR="00DD069E" w:rsidRPr="00E138C4" w:rsidRDefault="00DD069E" w:rsidP="00DD069E">
      <w:pPr>
        <w:spacing w:after="0" w:line="240" w:lineRule="auto"/>
        <w:rPr>
          <w:rFonts w:ascii="Times New Roman" w:hAnsi="Times New Roman" w:cs="Times New Roman"/>
        </w:rPr>
      </w:pPr>
    </w:p>
    <w:p w14:paraId="73AD77B8"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Klinikinis veiksmingumas</w:t>
      </w:r>
    </w:p>
    <w:p w14:paraId="60D6C008" w14:textId="77777777" w:rsidR="00DD069E" w:rsidRPr="00E138C4" w:rsidRDefault="00DD069E" w:rsidP="00DD069E">
      <w:pPr>
        <w:spacing w:after="0" w:line="240" w:lineRule="auto"/>
        <w:rPr>
          <w:rFonts w:ascii="Times New Roman" w:hAnsi="Times New Roman" w:cs="Times New Roman"/>
          <w:i/>
        </w:rPr>
      </w:pPr>
    </w:p>
    <w:p w14:paraId="2991EC38"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Šizofrenija</w:t>
      </w:r>
    </w:p>
    <w:p w14:paraId="5E1FD6BD" w14:textId="4D4F5DC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Trys placebu kontroliuojami klinikiniai tyrimai, kurių metu šizofrenija sergantys pacientai vartojo įvairias kvetiapino dozes, neparodė skirtingo ekstrapiramidinių sutrikimų pasireiškimo ar būtinybės</w:t>
      </w:r>
      <w:r w:rsidRPr="00E138C4" w:rsidDel="001552F2">
        <w:rPr>
          <w:rFonts w:ascii="Times New Roman" w:hAnsi="Times New Roman" w:cs="Times New Roman"/>
        </w:rPr>
        <w:t xml:space="preserve"> </w:t>
      </w:r>
      <w:r w:rsidRPr="00E138C4">
        <w:rPr>
          <w:rFonts w:ascii="Times New Roman" w:hAnsi="Times New Roman" w:cs="Times New Roman"/>
        </w:rPr>
        <w:t xml:space="preserve">skirti anticholinerginių vaistinių preparatų dažnio vartojant jo ir placebo. Placebu kontroliuojamas tyrimas, kurio metu vertintas fiksuotų kvetiapino dozių (75-750 mg per parą) poveikis, skirtingo ekstrapiramidinių sutrikimų pasireiškimo ar būtinybės skirti anticholinerginių vaistinių preparatų dažnio taip pat neparodė. Šizofrenijos atkryčių profilaktikos </w:t>
      </w:r>
      <w:r w:rsidR="00A02B5E" w:rsidRPr="00E138C4">
        <w:rPr>
          <w:rFonts w:ascii="Times New Roman" w:hAnsi="Times New Roman" w:cs="Times New Roman"/>
        </w:rPr>
        <w:t xml:space="preserve">greito atpalaidavimo </w:t>
      </w:r>
      <w:r w:rsidRPr="00E138C4">
        <w:rPr>
          <w:rFonts w:ascii="Times New Roman" w:hAnsi="Times New Roman" w:cs="Times New Roman"/>
        </w:rPr>
        <w:t>kvetiapinu ilgalaikis veiksmingumas koduotų klinikinių tyrimų metu neįvertintas. Atvirų tyrimų duomenimis, tęsiant gydymą, kvetiapinas veiksmingai palaikė šizofrenija sergančių pacientų, kuriems pasireiškė atsakas pradinio gydymo metu, klinikinės būklės pagerėjimą, o tai rodo tam tikrą ilgalaikį veiksmingumą.</w:t>
      </w:r>
    </w:p>
    <w:p w14:paraId="067E0BEC" w14:textId="77777777" w:rsidR="00DD069E" w:rsidRPr="00E138C4" w:rsidRDefault="00DD069E" w:rsidP="00DD069E">
      <w:pPr>
        <w:spacing w:after="0" w:line="240" w:lineRule="auto"/>
        <w:rPr>
          <w:rFonts w:ascii="Times New Roman" w:hAnsi="Times New Roman" w:cs="Times New Roman"/>
        </w:rPr>
      </w:pPr>
    </w:p>
    <w:p w14:paraId="2C9C087E"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Bipolinis sutrikimas</w:t>
      </w:r>
    </w:p>
    <w:p w14:paraId="78FEA69B" w14:textId="78CC6EF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Keturių placebu kontroliuotų tyrimų metu buvo vertinamas iki 800 mg kvetiapino paros dozės poveikis gydant vidutinio sunkumo ir sunkius manijos epizodus (dviejų tyrimų metu gydyta vien kvetiapinu, kitų dviejų – kartu su ličiu ar divalproeksu ). Ekstrapiramidinių simptomų ar poreikio vartoti anticholinerginių preparatų dažnis vartojant kvetiapiną ir placebą nesiskyrė.</w:t>
      </w:r>
    </w:p>
    <w:p w14:paraId="5C4A8A88" w14:textId="77777777" w:rsidR="00DD069E" w:rsidRPr="00E138C4" w:rsidRDefault="00DD069E" w:rsidP="00DD069E">
      <w:pPr>
        <w:spacing w:after="0" w:line="240" w:lineRule="auto"/>
        <w:rPr>
          <w:rFonts w:ascii="Times New Roman" w:hAnsi="Times New Roman" w:cs="Times New Roman"/>
        </w:rPr>
      </w:pPr>
    </w:p>
    <w:p w14:paraId="32B177E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Du monoterapijos klinikiniai tyrimai parodė geresnį už placebo kvetiapino veiksmingumą vidutinio sunkumo ir sunkių manijos epizodų simptomams, kurie jie buvo vertinami po 3 ir 12 savaičių, palengvinti. Ilgalaikių kvetiapino dozių veiksmingumo vėlesnių manijos ar depresijos epizodų profilaktikai tyrimų duomenų nėra. Kvetiapino dozių vartojimo kartu su divalproeksu ar ličiu ūminiams vidutinio sunkumo ir sunkiems manijoms epizodams gydyti duomenų, gautų po 3 ir 6 savaičių, yra nedaug, tačiau sudėtinis gydymas jais buvo toleruojamas gerai. Gauti duomenys rodo suminį poveikį po 3 savaičių, tačiau kitas tyrimas suminio poveikio po 6 savaičių neparodė.</w:t>
      </w:r>
    </w:p>
    <w:p w14:paraId="5D525D84" w14:textId="77777777" w:rsidR="00DD069E" w:rsidRPr="00E138C4" w:rsidRDefault="00DD069E" w:rsidP="00DD069E">
      <w:pPr>
        <w:spacing w:after="0" w:line="240" w:lineRule="auto"/>
        <w:rPr>
          <w:rFonts w:ascii="Times New Roman" w:hAnsi="Times New Roman" w:cs="Times New Roman"/>
        </w:rPr>
      </w:pPr>
    </w:p>
    <w:p w14:paraId="3BDA876A" w14:textId="30944F3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Pacientų, kurie reagavo į gydymą, vidutinė kvetiapino paros dozė paskutinę gydymo savaitę buvo 600 mg, maždaug 85% tokių pacientų vartojo 400–800 mg paros dozę.</w:t>
      </w:r>
    </w:p>
    <w:p w14:paraId="4989CE04" w14:textId="77777777" w:rsidR="00DD069E" w:rsidRPr="00E138C4" w:rsidRDefault="00DD069E" w:rsidP="00DD069E">
      <w:pPr>
        <w:spacing w:after="0" w:line="240" w:lineRule="auto"/>
        <w:rPr>
          <w:rFonts w:ascii="Times New Roman" w:hAnsi="Times New Roman" w:cs="Times New Roman"/>
        </w:rPr>
      </w:pPr>
    </w:p>
    <w:p w14:paraId="46B1477E" w14:textId="45215BF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Atlikti keturi 8 savaičių trukmės klinikiniai tyrimai, kuriuose dalyvavo I ar II tipo bipolinio sutrikimo vidutinio sunkumo ir sunkių depresijos epizodų patyrę pacientai. </w:t>
      </w:r>
      <w:r w:rsidR="00A02B5E" w:rsidRPr="00E138C4">
        <w:rPr>
          <w:rFonts w:ascii="Times New Roman" w:hAnsi="Times New Roman" w:cs="Times New Roman"/>
        </w:rPr>
        <w:t>Greito atpalaidavimo k</w:t>
      </w:r>
      <w:r w:rsidRPr="00E138C4">
        <w:rPr>
          <w:rFonts w:ascii="Times New Roman" w:hAnsi="Times New Roman" w:cs="Times New Roman"/>
        </w:rPr>
        <w:t>vetiapino 300</w:t>
      </w:r>
      <w:r w:rsidR="00A02B5E" w:rsidRPr="00E138C4">
        <w:rPr>
          <w:rFonts w:ascii="Times New Roman" w:hAnsi="Times New Roman" w:cs="Times New Roman"/>
        </w:rPr>
        <w:t> mg</w:t>
      </w:r>
      <w:r w:rsidRPr="00E138C4">
        <w:rPr>
          <w:rFonts w:ascii="Times New Roman" w:hAnsi="Times New Roman" w:cs="Times New Roman"/>
        </w:rPr>
        <w:t xml:space="preserve"> ir 600</w:t>
      </w:r>
      <w:r w:rsidR="00A02B5E" w:rsidRPr="00E138C4">
        <w:rPr>
          <w:rFonts w:ascii="Times New Roman" w:hAnsi="Times New Roman" w:cs="Times New Roman"/>
        </w:rPr>
        <w:t> mg</w:t>
      </w:r>
      <w:r w:rsidRPr="00E138C4">
        <w:rPr>
          <w:rFonts w:ascii="Times New Roman" w:hAnsi="Times New Roman" w:cs="Times New Roman"/>
        </w:rPr>
        <w:t xml:space="preserve"> dozių poveikis buvo reikšmingai palankesnis negu placebo vertinant pagal vidutinį pagerėjimą pagal MADRS skalę ir reakciją, apibūdinamą kaip MADRS bendrojo rodmens pagerėjimas bent 50 % palyginus su buvusiu iki gydymo. Poveikio dydžio skirtumų 300 mg ir 600 mg </w:t>
      </w:r>
      <w:r w:rsidR="00A02B5E" w:rsidRPr="00E138C4">
        <w:rPr>
          <w:rFonts w:ascii="Times New Roman" w:hAnsi="Times New Roman" w:cs="Times New Roman"/>
        </w:rPr>
        <w:t xml:space="preserve">greito atpalaidavimo </w:t>
      </w:r>
      <w:r w:rsidRPr="00E138C4">
        <w:rPr>
          <w:rFonts w:ascii="Times New Roman" w:hAnsi="Times New Roman" w:cs="Times New Roman"/>
        </w:rPr>
        <w:t>kvetiapino dozes vartojusiems pacientams nenustatyta.</w:t>
      </w:r>
    </w:p>
    <w:p w14:paraId="1A109706" w14:textId="77777777" w:rsidR="00DD069E" w:rsidRPr="00E138C4" w:rsidRDefault="00DD069E" w:rsidP="00DD069E">
      <w:pPr>
        <w:spacing w:after="0" w:line="240" w:lineRule="auto"/>
        <w:rPr>
          <w:rFonts w:ascii="Times New Roman" w:hAnsi="Times New Roman" w:cs="Times New Roman"/>
        </w:rPr>
      </w:pPr>
    </w:p>
    <w:p w14:paraId="568FBD33" w14:textId="06ADE40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Šių dviejų tyrimų tęstinė fazė parodė, kad pacientų, kuriems buvo veiksminga </w:t>
      </w:r>
      <w:r w:rsidR="00A02B5E" w:rsidRPr="00E138C4">
        <w:rPr>
          <w:rFonts w:ascii="Times New Roman" w:hAnsi="Times New Roman" w:cs="Times New Roman"/>
        </w:rPr>
        <w:t xml:space="preserve">greito atpalaidavimo </w:t>
      </w:r>
      <w:r w:rsidRPr="00E138C4">
        <w:rPr>
          <w:rFonts w:ascii="Times New Roman" w:hAnsi="Times New Roman" w:cs="Times New Roman"/>
        </w:rPr>
        <w:t>kvetiapino 300 arba 600</w:t>
      </w:r>
      <w:r w:rsidR="00A02B5E" w:rsidRPr="00E138C4">
        <w:rPr>
          <w:rFonts w:ascii="Times New Roman" w:hAnsi="Times New Roman" w:cs="Times New Roman"/>
        </w:rPr>
        <w:t> mg</w:t>
      </w:r>
      <w:r w:rsidRPr="00E138C4">
        <w:rPr>
          <w:rFonts w:ascii="Times New Roman" w:hAnsi="Times New Roman" w:cs="Times New Roman"/>
        </w:rPr>
        <w:t xml:space="preserve"> dozė, ilgalaikis gydymas šiuo vaistiniu preparatu yra veiksmingesnis negu placebu depresijos</w:t>
      </w:r>
      <w:r w:rsidR="00A02B5E" w:rsidRPr="00E138C4">
        <w:rPr>
          <w:rFonts w:ascii="Times New Roman" w:hAnsi="Times New Roman" w:cs="Times New Roman"/>
        </w:rPr>
        <w:t xml:space="preserve"> </w:t>
      </w:r>
      <w:r w:rsidRPr="00E138C4">
        <w:rPr>
          <w:rFonts w:ascii="Times New Roman" w:hAnsi="Times New Roman" w:cs="Times New Roman"/>
        </w:rPr>
        <w:t>(bet ne manijos) simptomų požiūriu.</w:t>
      </w:r>
    </w:p>
    <w:p w14:paraId="635A2112" w14:textId="77777777" w:rsidR="00DD069E" w:rsidRPr="00E138C4" w:rsidRDefault="00DD069E" w:rsidP="00DD069E">
      <w:pPr>
        <w:spacing w:after="0" w:line="240" w:lineRule="auto"/>
        <w:rPr>
          <w:rFonts w:ascii="Times New Roman" w:hAnsi="Times New Roman" w:cs="Times New Roman"/>
        </w:rPr>
      </w:pPr>
    </w:p>
    <w:p w14:paraId="13B39DB0" w14:textId="1BBB937E"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Dviejų ligos kartojimosi prevencijos klinikinių tyrimų, kurių metu buvo įvertintas kvetiapino, vartojamo kartu su nuotaikos stabilizatoriais, veiksmingumas pacientams, kuriems būna manijos, depresijos ar mišrių epizodų, duomenimis, pagal laiko iki bet kokio nuotaikos reiškinio (manijos, mišraus ar depresijos epizodo) pasikartojimo pailgėjimą derinys su kvetiapinu buvo pranašesnis už monoterapiją nuotaikos stabilizatoriumi. Kvetiapinas buvo vartojamas du kartus per parą 400–800 mg paros dozėmis kombinuotojo gydymo kartu su ličiu ar natrio valproato metu.</w:t>
      </w:r>
    </w:p>
    <w:p w14:paraId="6CB51CDC" w14:textId="77777777" w:rsidR="00DD069E" w:rsidRPr="00E138C4" w:rsidRDefault="00DD069E" w:rsidP="00DD069E">
      <w:pPr>
        <w:spacing w:after="0" w:line="240" w:lineRule="auto"/>
        <w:rPr>
          <w:rFonts w:ascii="Times New Roman" w:hAnsi="Times New Roman" w:cs="Times New Roman"/>
        </w:rPr>
      </w:pPr>
    </w:p>
    <w:p w14:paraId="7B211F67" w14:textId="4266EB1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6 savaičių trukmės atsitiktinės atrankos tyrimo metu ličio ir </w:t>
      </w:r>
      <w:r w:rsidR="00A02B5E" w:rsidRPr="00E138C4">
        <w:rPr>
          <w:rFonts w:ascii="Times New Roman" w:hAnsi="Times New Roman" w:cs="Times New Roman"/>
        </w:rPr>
        <w:t xml:space="preserve">greito atpalaidavimo </w:t>
      </w:r>
      <w:r w:rsidRPr="00E138C4">
        <w:rPr>
          <w:rFonts w:ascii="Times New Roman" w:hAnsi="Times New Roman" w:cs="Times New Roman"/>
        </w:rPr>
        <w:t>kvetiapino derinio poveikį ūmine manija sergantiems suaugusiems pacientams palyginus su placebo ir kvetiapino derinio poveikiu nustatyta, kad vidutinio pagerėjimo pagal YMRS skalę skirtumas tarp papildomo gydymo ličiu ir placebu grupių pacientų buvo 2,8 balo. Atsakas (YMRS rodiklio pagerėjimas bent 50 % palyginus su pradiniu) papildomo gydymo ličiu grupės pacientams pasireiškė 11 % dažniau negu placebo (atitinkamai 79 % ir 68 %).</w:t>
      </w:r>
    </w:p>
    <w:p w14:paraId="40BE9972" w14:textId="77777777" w:rsidR="00DD069E" w:rsidRPr="00E138C4" w:rsidRDefault="00DD069E" w:rsidP="00DD069E">
      <w:pPr>
        <w:spacing w:after="0" w:line="240" w:lineRule="auto"/>
        <w:rPr>
          <w:rFonts w:ascii="Times New Roman" w:hAnsi="Times New Roman" w:cs="Times New Roman"/>
        </w:rPr>
      </w:pPr>
    </w:p>
    <w:p w14:paraId="6B117AF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Vieno ilgalaikio klinikinio tyrimas (gydymo trukmė – iki 2 metų), kurio metu vertintas veiksmingumas atkryčio profilaktikai manijos, depresijos ir mišrių nuotaikos sutrikimų epizodų patyrusiems pacientams, parodė, kad kvetiapinas yra pranašesnis už placebą pagal laikotarpio iki bet kurio nuotaikos sutrikimo (manijos, depresijos, mišraus), susijusio su I tipo bipoliniu sutrikimu, atkryčio pailgėjimą. Nuotaikos reiškiniai pasireiškė atitinkamai 91 (22,5%) kvetiapino grupės pacientui, 208 (51,5%) placebo grupės pacientams ir 95 (26,1%) pacientams gydymo ličiu grupėje. Remiantis pacientų, kuriems pasireiškė atsakas į kvetiapiną, duomenų, gautų tęsiant gydymą kvetiapinu ir gydymą kvetiapinu pakeitus į gydymą ličiu, palyginimu, duomenys parodė, kad gydymo kvetiapinu pakeitimas į gydymą ličiu greičiausiai nesusijęs su laikotarpio iki nuotaikos reiškinio pasikartojimo pailgėjimu.</w:t>
      </w:r>
    </w:p>
    <w:p w14:paraId="18A71353" w14:textId="77777777" w:rsidR="00DD069E" w:rsidRPr="00E138C4" w:rsidRDefault="00DD069E" w:rsidP="00DD069E">
      <w:pPr>
        <w:spacing w:after="0" w:line="240" w:lineRule="auto"/>
        <w:rPr>
          <w:rFonts w:ascii="Times New Roman" w:hAnsi="Times New Roman" w:cs="Times New Roman"/>
        </w:rPr>
      </w:pPr>
    </w:p>
    <w:p w14:paraId="5C9D169D" w14:textId="0616082B"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Klinikinių tyrimų metu nustatyta, kad kvetiapinas, vartojamas du kartus per parą, veiksmingai gydo šizofreniją ir maniją, nors jo pusinės eliminacijos iš plazmos periodas yra maždaug 7 valandos. Tai patvirtina ir pozitronų emisijos tomografijos (PET) tyrimas, kuris parodė, kad kvetiapino poveikis 5-HT</w:t>
      </w:r>
      <w:r w:rsidRPr="00E138C4">
        <w:rPr>
          <w:rFonts w:ascii="Times New Roman" w:hAnsi="Times New Roman" w:cs="Times New Roman"/>
          <w:vertAlign w:val="subscript"/>
        </w:rPr>
        <w:t>2</w:t>
      </w:r>
      <w:r w:rsidRPr="00E138C4">
        <w:rPr>
          <w:rFonts w:ascii="Times New Roman" w:hAnsi="Times New Roman" w:cs="Times New Roman"/>
        </w:rPr>
        <w:t xml:space="preserve"> ir D</w:t>
      </w:r>
      <w:r w:rsidRPr="00E138C4">
        <w:rPr>
          <w:rFonts w:ascii="Times New Roman" w:hAnsi="Times New Roman" w:cs="Times New Roman"/>
          <w:vertAlign w:val="subscript"/>
        </w:rPr>
        <w:t xml:space="preserve">2 </w:t>
      </w:r>
      <w:r w:rsidRPr="00E138C4">
        <w:rPr>
          <w:rFonts w:ascii="Times New Roman" w:hAnsi="Times New Roman" w:cs="Times New Roman"/>
        </w:rPr>
        <w:t>- receptoriams truko 12 valandų. Didesnių nei 800 mg paros dozių veiksmingumas ir saugumas netirtas.</w:t>
      </w:r>
    </w:p>
    <w:p w14:paraId="11797F79" w14:textId="77777777" w:rsidR="00DD069E" w:rsidRPr="00E138C4" w:rsidRDefault="00DD069E" w:rsidP="00DD069E">
      <w:pPr>
        <w:spacing w:after="0" w:line="240" w:lineRule="auto"/>
        <w:rPr>
          <w:rFonts w:ascii="Times New Roman" w:hAnsi="Times New Roman" w:cs="Times New Roman"/>
        </w:rPr>
      </w:pPr>
    </w:p>
    <w:p w14:paraId="7D1BF0C9"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Klinikinis saugumas</w:t>
      </w:r>
    </w:p>
    <w:p w14:paraId="33F15930" w14:textId="77777777" w:rsidR="00DD069E" w:rsidRPr="00E138C4" w:rsidRDefault="00DD069E" w:rsidP="00DD069E">
      <w:pPr>
        <w:spacing w:after="0" w:line="240" w:lineRule="auto"/>
        <w:rPr>
          <w:rFonts w:ascii="Times New Roman" w:hAnsi="Times New Roman" w:cs="Times New Roman"/>
        </w:rPr>
      </w:pPr>
    </w:p>
    <w:p w14:paraId="4CF75E2E" w14:textId="5812004A"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lastRenderedPageBreak/>
        <w:t xml:space="preserve">Trumpalaikių placebu kontroliuojamųjų klinikinių šizofrenijos ir bipolinio sutrikimo manijos tyrimų duomenimis, suvestinis ekstrapiramidinių simptomų dažnis buvo panašus į placebo (šizofrenija: 7,8%, vartojant kvetiapiną, ir 8,0%, vartojant placebą; bipolinio sutrikimo manija: 11,2%, vartojant kvetiapiną, ir 11,4%, vartojant placebą). Kvetiapinu gydytiems pacientams buvo nustatytas didesnis ekstrapiramidinių simptomų dažnis, palyginti su gydytais placebu trumpalaikių placebu kontroliuojamųjų didžiosios depresijos sutrikimo ir bipolinio sutrikimo depresijos klinikinių tyrimų metu. Trumpalaikių placebu kontroliuojamųjų bipolinio sutrikimo depresijos klinikinių tyrimų metu suvestinis ekstrapiramidinių simptomų dažnis vartojant kvetiapiną buvo 8,9%, palyginti su 3,8%, vartojant placebą. Trumpalaikių placebu kontroliuojamų monoterapijos klinikinių tyrimų metu ekstrapiramidinių simptomų iš viso pasireiškė 5,4 % </w:t>
      </w:r>
      <w:r w:rsidR="002879C2" w:rsidRPr="00E138C4">
        <w:rPr>
          <w:rFonts w:ascii="Times New Roman" w:hAnsi="Times New Roman" w:cs="Times New Roman"/>
        </w:rPr>
        <w:t xml:space="preserve">greito atpalaidavimo kvetiapino </w:t>
      </w:r>
      <w:r w:rsidRPr="00E138C4">
        <w:rPr>
          <w:rFonts w:ascii="Times New Roman" w:hAnsi="Times New Roman" w:cs="Times New Roman"/>
        </w:rPr>
        <w:t>ir 3,2 % placebo vartojusių pacientų, sirgusių didžiuoju depresijos sutrikimu. Trumpalaikio placebu kontroliuojamo monoterapijos klinikinio tyrimo, kuriame dalyvavo didžiuoju depresiniu sutrikimu sirgę senyv</w:t>
      </w:r>
      <w:r w:rsidR="00DF5809" w:rsidRPr="00E138C4">
        <w:rPr>
          <w:rFonts w:ascii="Times New Roman" w:hAnsi="Times New Roman" w:cs="Times New Roman"/>
        </w:rPr>
        <w:t>i</w:t>
      </w:r>
      <w:r w:rsidRPr="00E138C4">
        <w:rPr>
          <w:rFonts w:ascii="Times New Roman" w:hAnsi="Times New Roman" w:cs="Times New Roman"/>
        </w:rPr>
        <w:t xml:space="preserve"> pacientai, metu suminis ekstrapiramidinių simptomų pasireiškimo dažnis vartojant </w:t>
      </w:r>
      <w:r w:rsidR="002879C2" w:rsidRPr="00E138C4">
        <w:rPr>
          <w:rFonts w:ascii="Times New Roman" w:hAnsi="Times New Roman" w:cs="Times New Roman"/>
        </w:rPr>
        <w:t xml:space="preserve">greito atpalaidavimo </w:t>
      </w:r>
      <w:r w:rsidRPr="00E138C4">
        <w:rPr>
          <w:rFonts w:ascii="Times New Roman" w:hAnsi="Times New Roman" w:cs="Times New Roman"/>
        </w:rPr>
        <w:t>kvetiapino buvo 9 %, vartojant placebo – 2,3 %. Ir bipolinio sutrikimo depresijos, ir didžiosios depresijos sutrikimo tyrimų duomenimis, atskirų nepageidaujamų reiškinių (pvz.: akatizijos, ekstrapiramidinio sutrikimo, drebulio, diskinezijos, distonijos, neramumo, nevalingų raumenų susitraukimų, psichomotorinio hiperaktyvumo ir raumenų sąstingio) dažnis neviršijo 4% nei vienoje gydymo grupėje.</w:t>
      </w:r>
    </w:p>
    <w:p w14:paraId="48E4D916" w14:textId="77777777" w:rsidR="00DD069E" w:rsidRPr="00E138C4" w:rsidRDefault="00DD069E" w:rsidP="00DD069E">
      <w:pPr>
        <w:spacing w:after="0" w:line="240" w:lineRule="auto"/>
        <w:rPr>
          <w:rFonts w:ascii="Times New Roman" w:hAnsi="Times New Roman" w:cs="Times New Roman"/>
        </w:rPr>
      </w:pPr>
    </w:p>
    <w:p w14:paraId="0E68FAAF" w14:textId="40E47F8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Trumpalaikių pastovios (nuo 50 mg per parą iki 800 mg per parą) dozės placebu kontroliuojamųjų tyrimų (trukmė nuo 3 iki 8 savaičių) duomenimis, vidutinis kvetiapinu gydytų pacientų kūno masės padidėjimas buvo nuo 0,8 kg, vartojant 50 mg paros dozę, iki 1,4 kg, vartojant 600 mg paros dozę (vartojant 800 mg paros dozę, kūno masės padidėjimas buvo mažesnis), palyginti su 0,2 kg padidėjimu pacientams, kurie vartojo placebą. Procentinės kvetiapinu gydytų pacientų, kurių kūno masė padidėjo ≥ 7%, dalies kitimo sritis buvo nuo 5,3 %, vartojant 50 mg paros dozę, iki 15,5%, vartojant 400 mg paros dozę (vartojant 600 mg ir 800 mg paros dozes, kūno masė padidėjo mažesnei daliai pacientų), palyginti su 3,7% pacientų, kurie vartojo placebą.</w:t>
      </w:r>
    </w:p>
    <w:p w14:paraId="6C65CF4F" w14:textId="77777777" w:rsidR="00DD069E" w:rsidRPr="00E138C4" w:rsidRDefault="00DD069E" w:rsidP="00DD069E">
      <w:pPr>
        <w:spacing w:after="0" w:line="240" w:lineRule="auto"/>
        <w:rPr>
          <w:rFonts w:ascii="Times New Roman" w:hAnsi="Times New Roman" w:cs="Times New Roman"/>
        </w:rPr>
      </w:pPr>
    </w:p>
    <w:p w14:paraId="18CEEB55" w14:textId="402A871F"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6 savaičių trukmės atsitiktinės atrankos tyrimo metu ličio ir </w:t>
      </w:r>
      <w:r w:rsidR="002879C2" w:rsidRPr="00E138C4">
        <w:rPr>
          <w:rFonts w:ascii="Times New Roman" w:hAnsi="Times New Roman" w:cs="Times New Roman"/>
        </w:rPr>
        <w:t xml:space="preserve">greito atpalaidavimo </w:t>
      </w:r>
      <w:r w:rsidRPr="00E138C4">
        <w:rPr>
          <w:rFonts w:ascii="Times New Roman" w:hAnsi="Times New Roman" w:cs="Times New Roman"/>
        </w:rPr>
        <w:t xml:space="preserve">kvetiapino derinio poveikį ūminemanija sergantiems suaugusiems pacientams lyginant su placebo ir </w:t>
      </w:r>
      <w:r w:rsidR="002879C2" w:rsidRPr="00E138C4">
        <w:rPr>
          <w:rFonts w:ascii="Times New Roman" w:hAnsi="Times New Roman" w:cs="Times New Roman"/>
        </w:rPr>
        <w:t xml:space="preserve">greito atpalaidavimo </w:t>
      </w:r>
      <w:r w:rsidRPr="00E138C4">
        <w:rPr>
          <w:rFonts w:ascii="Times New Roman" w:hAnsi="Times New Roman" w:cs="Times New Roman"/>
        </w:rPr>
        <w:t xml:space="preserve">kvetiapino derinio poveikiu, nepageidaujamų reiškinių patyrė daugiau (63 %) </w:t>
      </w:r>
      <w:r w:rsidR="002879C2" w:rsidRPr="00E138C4">
        <w:rPr>
          <w:rFonts w:ascii="Times New Roman" w:hAnsi="Times New Roman" w:cs="Times New Roman"/>
        </w:rPr>
        <w:t xml:space="preserve">greito atpalaidavimo </w:t>
      </w:r>
      <w:r w:rsidRPr="00E138C4">
        <w:rPr>
          <w:rFonts w:ascii="Times New Roman" w:hAnsi="Times New Roman" w:cs="Times New Roman"/>
        </w:rPr>
        <w:t xml:space="preserve">kvetiapiną ir litį vartojusių pacientų negu vartojusių kvetiapiną ir placebą (48 %). Gautais saugumo duomenimis, ekstrapiramidinių simptomų papildomo gydymo ličiu grupės pacientams (16,8 %) pasireiškė dažniau negu placebo (6,6 %) (dažniausiai tai buvo drebulys, užfiksuotas 15,6 % ličio ir 4,9 % placebo grupės pacientų). Mieguistumas taip pat dažniau pasireiškė gydymo </w:t>
      </w:r>
      <w:r w:rsidR="001165AF" w:rsidRPr="00E138C4">
        <w:rPr>
          <w:rFonts w:ascii="Times New Roman" w:hAnsi="Times New Roman" w:cs="Times New Roman"/>
        </w:rPr>
        <w:t xml:space="preserve">greito atpalaidavimo </w:t>
      </w:r>
      <w:r w:rsidRPr="00E138C4">
        <w:rPr>
          <w:rFonts w:ascii="Times New Roman" w:hAnsi="Times New Roman" w:cs="Times New Roman"/>
        </w:rPr>
        <w:t xml:space="preserve">kvetiapinu ir papildomai ličiu grupės pacientams (12,7 %) negu </w:t>
      </w:r>
      <w:r w:rsidR="001165AF" w:rsidRPr="00E138C4">
        <w:rPr>
          <w:rFonts w:ascii="Times New Roman" w:hAnsi="Times New Roman" w:cs="Times New Roman"/>
        </w:rPr>
        <w:t xml:space="preserve">greito atpalaidavimo </w:t>
      </w:r>
      <w:r w:rsidRPr="00E138C4">
        <w:rPr>
          <w:rFonts w:ascii="Times New Roman" w:hAnsi="Times New Roman" w:cs="Times New Roman"/>
        </w:rPr>
        <w:t>kvetiapino ir placebo (5,5 %). Be to, gydymo laikotarpiu ≥ 7 % svorio priaugo daugiau papildomo gydymo ličiu grupės pacientų (8,0 %) negu placebo (4,7 %).</w:t>
      </w:r>
    </w:p>
    <w:p w14:paraId="5526E96E" w14:textId="77777777" w:rsidR="00DD069E" w:rsidRPr="00E138C4" w:rsidRDefault="00DD069E" w:rsidP="00DD069E">
      <w:pPr>
        <w:spacing w:after="0" w:line="240" w:lineRule="auto"/>
        <w:rPr>
          <w:rFonts w:ascii="Times New Roman" w:hAnsi="Times New Roman" w:cs="Times New Roman"/>
        </w:rPr>
      </w:pPr>
    </w:p>
    <w:p w14:paraId="50D5FAB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Epizodų pasikartojimo profilaktikos ilgesnį laikotarpį tyrimai turėjo atvirą fazę (nuo 4 iki 36 savaičių trukmės), kurios metu pacientai buvo gydyti kvetiapinu, o vėliau jiems atsitiktiniu būdu buvo skirtas nutraukimo laikotarpis, per kurį pacientams atsitiktiniu būdu buvo paskirta vartoti kvetiapiną arba placebą. Pacientų, kuriems atsitiktiniu būdu buvo paskirta vartoti kvetiapiną, vidutinis kūno masės padidėjimas atviros fazės laikotarpiu buvo 2,56 kg, o 48-ąją atsitiktinio vartojimo laikotarpio savaitę vidutinis kūno masės padidėjimas buvo 3,22 kg, palyginti su atviros fazės laikotarpio pradine mase. Pacientų, kuriems atsitiktiniu būdu buvo paskirta vartoti placebą, vidutinis kūno masės padidėjimas atviros fazės laikotarpiu buvo 2,39 kg, o 48-ąją atsitiktinio vartojimo laikotarpio savaitę vidutinis kūno masės padidėjimas buvo 0,89 kg, palyginti su atviros fazės laikotarpio pradine mase.</w:t>
      </w:r>
    </w:p>
    <w:p w14:paraId="3C007C46" w14:textId="77777777" w:rsidR="00DD069E" w:rsidRPr="00E138C4" w:rsidRDefault="00DD069E" w:rsidP="00DD069E">
      <w:pPr>
        <w:spacing w:after="0" w:line="240" w:lineRule="auto"/>
        <w:rPr>
          <w:rFonts w:ascii="Times New Roman" w:hAnsi="Times New Roman" w:cs="Times New Roman"/>
        </w:rPr>
      </w:pPr>
    </w:p>
    <w:p w14:paraId="79AC66F0" w14:textId="77777777" w:rsidR="00DD069E" w:rsidRPr="00E138C4" w:rsidRDefault="005F7CC6" w:rsidP="00DD069E">
      <w:pPr>
        <w:spacing w:after="0" w:line="240" w:lineRule="auto"/>
        <w:rPr>
          <w:rFonts w:ascii="Times New Roman" w:hAnsi="Times New Roman" w:cs="Times New Roman"/>
        </w:rPr>
      </w:pPr>
      <w:r w:rsidRPr="00E138C4">
        <w:rPr>
          <w:rFonts w:ascii="Times New Roman" w:hAnsi="Times New Roman" w:cs="Times New Roman"/>
        </w:rPr>
        <w:t xml:space="preserve">Atlikti placebu kontroliuojami tyrimai, kuriuose dalyvavo senyvi su demencija susijusia psichoze sergantys pacientai, </w:t>
      </w:r>
      <w:r w:rsidR="00DD069E" w:rsidRPr="00E138C4">
        <w:rPr>
          <w:rFonts w:ascii="Times New Roman" w:hAnsi="Times New Roman" w:cs="Times New Roman"/>
        </w:rPr>
        <w:t>, cerebrovaskulinių nepageidaujamų reiškinių dažnis 100 paciento metų gydant kvetiapinu buvo ne didesnis kaip placebu gydytiems pacientams.</w:t>
      </w:r>
    </w:p>
    <w:p w14:paraId="65F5F966" w14:textId="77777777" w:rsidR="00DD069E" w:rsidRPr="00E138C4" w:rsidRDefault="00DD069E" w:rsidP="00DD069E">
      <w:pPr>
        <w:spacing w:after="0" w:line="240" w:lineRule="auto"/>
        <w:rPr>
          <w:rFonts w:ascii="Times New Roman" w:eastAsia="Calibri" w:hAnsi="Times New Roman" w:cs="Times New Roman"/>
        </w:rPr>
      </w:pPr>
    </w:p>
    <w:p w14:paraId="286DB3C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Visų placebu kontroliuojamųjų monoterapijos klinikinių tyrimų, kuriuose dalyvavusių pacientų neutrofilų kiekis prieš gydymą buvo ≥ 1,5 x 10</w:t>
      </w:r>
      <w:r w:rsidRPr="00E138C4">
        <w:rPr>
          <w:rFonts w:ascii="Times New Roman" w:hAnsi="Times New Roman" w:cs="Times New Roman"/>
          <w:vertAlign w:val="superscript"/>
        </w:rPr>
        <w:t>9</w:t>
      </w:r>
      <w:r w:rsidRPr="00E138C4">
        <w:rPr>
          <w:rFonts w:ascii="Times New Roman" w:hAnsi="Times New Roman" w:cs="Times New Roman"/>
        </w:rPr>
        <w:t>/l, duomenimis, bent vieną kartą neutrofilų kiekis &lt; 1,5 x 10</w:t>
      </w:r>
      <w:r w:rsidRPr="00E138C4">
        <w:rPr>
          <w:rFonts w:ascii="Times New Roman" w:hAnsi="Times New Roman" w:cs="Times New Roman"/>
          <w:vertAlign w:val="superscript"/>
        </w:rPr>
        <w:t>9</w:t>
      </w:r>
      <w:r w:rsidRPr="00E138C4">
        <w:rPr>
          <w:rFonts w:ascii="Times New Roman" w:hAnsi="Times New Roman" w:cs="Times New Roman"/>
        </w:rPr>
        <w:t>/l sumažėjo 1,</w:t>
      </w:r>
      <w:r w:rsidRPr="00E138C4">
        <w:rPr>
          <w:rFonts w:ascii="Times New Roman" w:eastAsia="Calibri" w:hAnsi="Times New Roman" w:cs="Times New Roman"/>
          <w:lang w:bidi="ar-SY"/>
        </w:rPr>
        <w:t>9</w:t>
      </w:r>
      <w:r w:rsidRPr="00E138C4">
        <w:rPr>
          <w:rFonts w:ascii="Times New Roman" w:hAnsi="Times New Roman" w:cs="Times New Roman"/>
        </w:rPr>
        <w:t xml:space="preserve">% kvetiapinu gydytų pacientų, palyginti su 1,5% pacientų, vartojusių </w:t>
      </w:r>
      <w:r w:rsidRPr="00E138C4">
        <w:rPr>
          <w:rFonts w:ascii="Times New Roman" w:hAnsi="Times New Roman" w:cs="Times New Roman"/>
        </w:rPr>
        <w:lastRenderedPageBreak/>
        <w:t>placebą. Sumažėjimo &gt; 0,5</w:t>
      </w:r>
      <w:r w:rsidRPr="00E138C4">
        <w:rPr>
          <w:rFonts w:ascii="Times New Roman" w:hAnsi="Times New Roman" w:cs="Times New Roman"/>
        </w:rPr>
        <w:noBreakHyphen/>
        <w:t>&lt; 1,0 x 10</w:t>
      </w:r>
      <w:r w:rsidRPr="00E138C4">
        <w:rPr>
          <w:rFonts w:ascii="Times New Roman" w:hAnsi="Times New Roman" w:cs="Times New Roman"/>
          <w:vertAlign w:val="superscript"/>
        </w:rPr>
        <w:t>9</w:t>
      </w:r>
      <w:r w:rsidRPr="00E138C4">
        <w:rPr>
          <w:rFonts w:ascii="Times New Roman" w:hAnsi="Times New Roman" w:cs="Times New Roman"/>
        </w:rPr>
        <w:t>/l dažnis kvetiapinu gydytiems pacientams buvo toks pat (0,2%), kaip ir placebą vartojusiems pacientams. Visų klinikinių tyrimų (kontroliuojamųjų placebu, atvirų, palyginimo su aktyviu palyginamuoju preparatu), kuriuose dalyvavo pacientai, kuriems prieš gydymą neutrofilų kiekis buvo ≥ 1,5 x 10</w:t>
      </w:r>
      <w:r w:rsidRPr="00E138C4">
        <w:rPr>
          <w:rFonts w:ascii="Times New Roman" w:hAnsi="Times New Roman" w:cs="Times New Roman"/>
          <w:vertAlign w:val="superscript"/>
        </w:rPr>
        <w:t>9</w:t>
      </w:r>
      <w:r w:rsidRPr="00E138C4">
        <w:rPr>
          <w:rFonts w:ascii="Times New Roman" w:hAnsi="Times New Roman" w:cs="Times New Roman"/>
        </w:rPr>
        <w:t>/l, bent vieną kartą neutrofilų kiekis &lt; 1,5 x 10</w:t>
      </w:r>
      <w:r w:rsidRPr="00E138C4">
        <w:rPr>
          <w:rFonts w:ascii="Times New Roman" w:hAnsi="Times New Roman" w:cs="Times New Roman"/>
          <w:vertAlign w:val="superscript"/>
        </w:rPr>
        <w:t>9</w:t>
      </w:r>
      <w:r w:rsidRPr="00E138C4">
        <w:rPr>
          <w:rFonts w:ascii="Times New Roman" w:hAnsi="Times New Roman" w:cs="Times New Roman"/>
        </w:rPr>
        <w:t>/l sumažėjo 2,9% ir &lt; 0,5 x 10</w:t>
      </w:r>
      <w:r w:rsidRPr="00E138C4">
        <w:rPr>
          <w:rFonts w:ascii="Times New Roman" w:hAnsi="Times New Roman" w:cs="Times New Roman"/>
          <w:vertAlign w:val="superscript"/>
        </w:rPr>
        <w:t>9</w:t>
      </w:r>
      <w:r w:rsidRPr="00E138C4">
        <w:rPr>
          <w:rFonts w:ascii="Times New Roman" w:hAnsi="Times New Roman" w:cs="Times New Roman"/>
        </w:rPr>
        <w:t>/l sumažėjo 0,21% kvetiapinu gydytų pacientų.</w:t>
      </w:r>
    </w:p>
    <w:p w14:paraId="13964DC2" w14:textId="77777777" w:rsidR="00DD069E" w:rsidRPr="00E138C4" w:rsidRDefault="00DD069E" w:rsidP="00DD069E">
      <w:pPr>
        <w:spacing w:after="0" w:line="240" w:lineRule="auto"/>
        <w:rPr>
          <w:rFonts w:ascii="Times New Roman" w:hAnsi="Times New Roman" w:cs="Times New Roman"/>
        </w:rPr>
      </w:pPr>
    </w:p>
    <w:p w14:paraId="0831C001"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Vartojant kvetiapino, priklausomai nuo dozės sumažėdavo skydliaukės hormonų koncentracijos. TSH koncentracijos pokyčių užfiksuota 3,2 % kvetiapino ir 2,7 % placebo vartojusių pacientų. Reciprokinių, potencialiai reikšmingų klinikai T</w:t>
      </w:r>
      <w:r w:rsidRPr="00E138C4">
        <w:rPr>
          <w:rFonts w:ascii="Times New Roman" w:hAnsi="Times New Roman" w:cs="Times New Roman"/>
          <w:vertAlign w:val="subscript"/>
        </w:rPr>
        <w:t>3</w:t>
      </w:r>
      <w:r w:rsidRPr="00E138C4">
        <w:rPr>
          <w:rFonts w:ascii="Times New Roman" w:hAnsi="Times New Roman" w:cs="Times New Roman"/>
        </w:rPr>
        <w:t xml:space="preserve"> ar T</w:t>
      </w:r>
      <w:r w:rsidRPr="00E138C4">
        <w:rPr>
          <w:rFonts w:ascii="Times New Roman" w:hAnsi="Times New Roman" w:cs="Times New Roman"/>
          <w:vertAlign w:val="subscript"/>
        </w:rPr>
        <w:t>4</w:t>
      </w:r>
      <w:r w:rsidRPr="00E138C4">
        <w:rPr>
          <w:rFonts w:ascii="Times New Roman" w:hAnsi="Times New Roman" w:cs="Times New Roman"/>
        </w:rPr>
        <w:t xml:space="preserve"> ir kartu TSH koncentracijos pokylių šių tyrimų metu pasitaikė retai, o pastebėtieji jų pokyčiai nebuvo susiję su klinikiniais hipotirozės simptomais.</w:t>
      </w:r>
    </w:p>
    <w:p w14:paraId="779FA68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Bendrojo ir laisvojo T4 koncentracijos ryškiausiai sumažėdavo per pirmąsias 6 kvetiapino vartojimo savaites, ilgalaikio gydymo metu jos toliau nemažėdavo. Maždaug 2/3 atvejų kvetiapino poveikis bendrojo ir laisvojo T</w:t>
      </w:r>
      <w:r w:rsidRPr="00E138C4">
        <w:rPr>
          <w:rFonts w:ascii="Times New Roman" w:hAnsi="Times New Roman" w:cs="Times New Roman"/>
          <w:vertAlign w:val="subscript"/>
        </w:rPr>
        <w:t>4</w:t>
      </w:r>
      <w:r w:rsidRPr="00E138C4">
        <w:rPr>
          <w:rFonts w:ascii="Times New Roman" w:hAnsi="Times New Roman" w:cs="Times New Roman"/>
        </w:rPr>
        <w:t xml:space="preserve"> koncentracijoms išnyko jo vartojimą nutraukus (nepriklausomai nuo jo trukmės).</w:t>
      </w:r>
    </w:p>
    <w:p w14:paraId="42C368EC" w14:textId="77777777" w:rsidR="00DD069E" w:rsidRPr="00E138C4" w:rsidRDefault="00DD069E" w:rsidP="00DD069E">
      <w:pPr>
        <w:spacing w:after="0" w:line="240" w:lineRule="auto"/>
        <w:rPr>
          <w:rFonts w:ascii="Times New Roman" w:hAnsi="Times New Roman" w:cs="Times New Roman"/>
        </w:rPr>
      </w:pPr>
    </w:p>
    <w:p w14:paraId="5D9CF947"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Katarakta / lęšio drumstys</w:t>
      </w:r>
    </w:p>
    <w:p w14:paraId="6A1406EF" w14:textId="0BA21E9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Klinikinio tyrimo, kuris buvo atliktas, norint įrodyti galimą kataraktogeninį kvetiapino (200</w:t>
      </w:r>
      <w:r w:rsidRPr="00E138C4">
        <w:rPr>
          <w:rFonts w:ascii="Times New Roman" w:hAnsi="Times New Roman" w:cs="Times New Roman"/>
        </w:rPr>
        <w:noBreakHyphen/>
        <w:t>800 mg per parą) poveikį, palyginti su risperidono (2</w:t>
      </w:r>
      <w:r w:rsidRPr="00E138C4">
        <w:rPr>
          <w:rFonts w:ascii="Times New Roman" w:hAnsi="Times New Roman" w:cs="Times New Roman"/>
        </w:rPr>
        <w:noBreakHyphen/>
        <w:t>8 mg per parą), šizofrenija arba šizoafektiniu sutrikimu sergantiems pacientams, duomenimis, procentinė pacientų, kuriems kataraktos laipsnis padidėjo, dalis kvetiapino grupėje (4 %) buvo ne didesnė, palyginti su risperidonu (10 %), kai ekspozicija pacientams buvo ne trumpesnė kaip 21 mėnuo.</w:t>
      </w:r>
    </w:p>
    <w:p w14:paraId="1D5AFF7B" w14:textId="77777777" w:rsidR="00DD069E" w:rsidRPr="00E138C4" w:rsidRDefault="00DD069E" w:rsidP="00DD069E">
      <w:pPr>
        <w:spacing w:after="0" w:line="240" w:lineRule="auto"/>
        <w:rPr>
          <w:rFonts w:ascii="Times New Roman" w:eastAsia="Calibri" w:hAnsi="Times New Roman" w:cs="Times New Roman"/>
        </w:rPr>
      </w:pPr>
    </w:p>
    <w:p w14:paraId="4707C07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 xml:space="preserve">Vaikų populiacija </w:t>
      </w:r>
    </w:p>
    <w:p w14:paraId="0F6E6FB8" w14:textId="77777777" w:rsidR="00DD069E" w:rsidRPr="00E138C4" w:rsidRDefault="00DD069E" w:rsidP="00DD069E">
      <w:pPr>
        <w:spacing w:after="0" w:line="240" w:lineRule="auto"/>
        <w:rPr>
          <w:rFonts w:ascii="Times New Roman" w:hAnsi="Times New Roman" w:cs="Times New Roman"/>
          <w:b/>
        </w:rPr>
      </w:pPr>
    </w:p>
    <w:p w14:paraId="1AC08FF5"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Klinikinis veiksmingumas</w:t>
      </w:r>
    </w:p>
    <w:p w14:paraId="685F60A0" w14:textId="3B13847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3 savaičių trukmės, placebu kontroliuojamo klinikinio manijos gydymo tyrimo metu (n = 284 tiriamieji, 7–10 metų iš JAV) buvo tiriamas kvetiapino veiksmingumas ir saugumas. Apie 45 % populiacijos turėjo papildomą ADHD diagnozę. Be to, buvo atliktas 6 savaičių trukmės placebu kontroliuojamas šizofrenijos gydymo tyrimas (n = 222 tiriamieji, 13–17 metų). Abiejų tyrimų metu tiriamieji, kuriems gydymas kvetiapinu buvo neveiksmingas, buvo išbraukti. Gydymas kvetiapinu buvo pradedamas 50 mg per parą, o 2-ąją dieną dozė didinama iki 100 mg per parą. Vėliau dozė buvo titruojama iki tikslinės dozės (manijai gydyti – 400–600 mg per parą; šizofrenijai – 400–800 mg per parą), didinant dozę 100 mg per parą ir vartojant ją du tris kartus per parą.</w:t>
      </w:r>
    </w:p>
    <w:p w14:paraId="2E0AC3ED" w14:textId="77777777" w:rsidR="00DD069E" w:rsidRPr="00E138C4" w:rsidRDefault="00DD069E" w:rsidP="00DD069E">
      <w:pPr>
        <w:spacing w:after="0" w:line="240" w:lineRule="auto"/>
        <w:rPr>
          <w:rFonts w:ascii="Times New Roman" w:hAnsi="Times New Roman" w:cs="Times New Roman"/>
        </w:rPr>
      </w:pPr>
    </w:p>
    <w:p w14:paraId="6E0B20DA" w14:textId="27BEE3C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Manijos tyrimo metu skirtumas tarp vidutinio LS pokyčio nuo pradinio lygmens YMRS bendrojoje skalėje (veiklus minus placebas) buvo -5,21, vartojant 400 mg per parą kvetiapino ir -6,56, vartojant 600 mg per parą kvetiapino. Pacientų, reagavusių į gydymą (YMRS pagerėjimas ≥ 50 %), buvo 64 % vartojant 400 mg per parą kvetiapino; 58 % – vartojant 600 mg per parą kvetiapino ir 37 % placebo grupėje.</w:t>
      </w:r>
    </w:p>
    <w:p w14:paraId="3BF84F85" w14:textId="77777777" w:rsidR="00DD069E" w:rsidRPr="00E138C4" w:rsidRDefault="00DD069E" w:rsidP="00DD069E">
      <w:pPr>
        <w:spacing w:after="0" w:line="240" w:lineRule="auto"/>
        <w:rPr>
          <w:rFonts w:ascii="Times New Roman" w:hAnsi="Times New Roman" w:cs="Times New Roman"/>
        </w:rPr>
      </w:pPr>
    </w:p>
    <w:p w14:paraId="400F72C4" w14:textId="7178E362"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Šizofrenijos tyrimo metu skirtumas tarp vidutinio LS pokyčio nuo pradinio lygmens PANSS bendrojoje skalėje (veiklus minus placebas) buvo -8,16, vartojant 400 mg per parą kvetiapino, ir -9,29, vartojant 800 mg per parą kvetiapino. Nei vartojant mažą dozę (400 mg per parą), nei didelę dozę (800 mg per parą) kvetiapinas nebuvo pranašesnis nei placebas, atsižvelgiant į pacientų, reagavusių į gydymą dalį, apibrėžtą kaip ≥ 30 % sumažėjimas nuo pradinio lygmens PANSS bendrojoje skalėje. Ir manijos, ir šizofrenijos tyrimų metu didesnės dozės sukelė daug mažesnį reakcijos dažnį.</w:t>
      </w:r>
    </w:p>
    <w:p w14:paraId="2BB28DB0" w14:textId="77777777" w:rsidR="00DD069E" w:rsidRPr="00E138C4" w:rsidRDefault="00DD069E" w:rsidP="00DD069E">
      <w:pPr>
        <w:spacing w:after="0" w:line="240" w:lineRule="auto"/>
        <w:rPr>
          <w:rFonts w:ascii="Times New Roman" w:hAnsi="Times New Roman" w:cs="Times New Roman"/>
        </w:rPr>
      </w:pPr>
    </w:p>
    <w:p w14:paraId="7BF27386" w14:textId="45B81C8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Trečias trumpalaikis placebu kontroliuojamas </w:t>
      </w:r>
      <w:r w:rsidR="001165AF" w:rsidRPr="00E138C4">
        <w:rPr>
          <w:rFonts w:ascii="Times New Roman" w:hAnsi="Times New Roman" w:cs="Times New Roman"/>
        </w:rPr>
        <w:t xml:space="preserve">greito atpalaidavimo </w:t>
      </w:r>
      <w:r w:rsidRPr="00E138C4">
        <w:rPr>
          <w:rFonts w:ascii="Times New Roman" w:hAnsi="Times New Roman" w:cs="Times New Roman"/>
        </w:rPr>
        <w:t>kvetiapino monoterapijos tyrimas neįrodė veiksmingumo bipolinio sutrikimo depresijos faze sergantiems 10-17 metų vaikams ir paaugliams.</w:t>
      </w:r>
    </w:p>
    <w:p w14:paraId="1F46CCAD" w14:textId="77777777" w:rsidR="00DD069E" w:rsidRPr="00E138C4" w:rsidRDefault="00DD069E" w:rsidP="00DD069E">
      <w:pPr>
        <w:spacing w:after="0" w:line="240" w:lineRule="auto"/>
        <w:rPr>
          <w:rFonts w:ascii="Times New Roman" w:hAnsi="Times New Roman" w:cs="Times New Roman"/>
        </w:rPr>
      </w:pPr>
    </w:p>
    <w:p w14:paraId="7A26B90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Nėra duomenų apie palaikomojo gydymo poveikį šiai amžiaus grupei arba ligos pasikartojimo prevenciją.</w:t>
      </w:r>
    </w:p>
    <w:p w14:paraId="3A951384" w14:textId="77777777" w:rsidR="00DD069E" w:rsidRPr="00E138C4" w:rsidRDefault="00DD069E" w:rsidP="00DD069E">
      <w:pPr>
        <w:spacing w:after="0" w:line="240" w:lineRule="auto"/>
        <w:rPr>
          <w:rFonts w:ascii="Times New Roman" w:hAnsi="Times New Roman" w:cs="Times New Roman"/>
        </w:rPr>
      </w:pPr>
    </w:p>
    <w:p w14:paraId="041A7E02"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Klinikinis saugumas</w:t>
      </w:r>
    </w:p>
    <w:p w14:paraId="0760B80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Atliekant aukščiau aprašytus trumpalaikius pediatrinius kvetiapino tyrimus, ekstrapiramidinių simptomų pasireiškė: šizofrenijos tyrimo metu – 12,9 % ir 5,3 %, bipolinio sutrikimo manijos fazės tyrimo metu – 3,6 % ir 1,1 %, o bipolinio sutrikimo depresijos fazės tyrimo metu – atitinkamai 1,1 % kvetiapino ir 0 % placebo grupės pacientų. Šizofrenijos ir bipolinio sutrikimo manijos fazės tyrimų metu ≥ 7 % svorio, palyginus su pradiniu, priaugo 17 % ir 2,5 %, o bipolinio sutrikimo depresijos fazės tyrimo metu – atitinkamai 13.7 % kvetiapino ir 6.8 % placebo grupės pacientų. Su savižudybe susijusių reiškinių šizofrenijos tyrimo metu patyrė 1,4 % ir 1,3 %, bipolinio sutrikimo manijos fazės tyrimo metu – 1,0 % ir 0 %, o bipolinio sutrikimo depresijos fazės tyrimo metu – atitinkamai 1,1 % kvetiapino ir 0 % placebo grupės pacientų. Pastarojo tyrimo ilgalaikės tęstinės stebėjimo fazės metu buvo dar 2 tokie reiškiniai 2 pacientams, iš kurių vienas tuo metu vartojo kvetiapiną.</w:t>
      </w:r>
    </w:p>
    <w:p w14:paraId="24814302" w14:textId="77777777" w:rsidR="00DD069E" w:rsidRPr="00E138C4" w:rsidRDefault="00DD069E" w:rsidP="00DD069E">
      <w:pPr>
        <w:spacing w:after="0" w:line="240" w:lineRule="auto"/>
        <w:rPr>
          <w:rFonts w:ascii="Times New Roman" w:hAnsi="Times New Roman" w:cs="Times New Roman"/>
        </w:rPr>
      </w:pPr>
    </w:p>
    <w:p w14:paraId="0DF4625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Ilgalaikis saugumas</w:t>
      </w:r>
    </w:p>
    <w:p w14:paraId="736E844A" w14:textId="45A1FA9D"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Po trumpalaikių tyrimų atlikus 26 savaičių trukmės atvirą tęstinį tyrimą, gauta papildomų saugumo duomenų (jame dalyvavo 380 pacientų, kvetiapino paros dozė buvo koreguojama 400-800</w:t>
      </w:r>
      <w:r w:rsidR="00A02B5E" w:rsidRPr="00E138C4">
        <w:rPr>
          <w:rFonts w:ascii="Times New Roman" w:hAnsi="Times New Roman" w:cs="Times New Roman"/>
        </w:rPr>
        <w:t> mg</w:t>
      </w:r>
      <w:r w:rsidRPr="00E138C4">
        <w:rPr>
          <w:rFonts w:ascii="Times New Roman" w:hAnsi="Times New Roman" w:cs="Times New Roman"/>
        </w:rPr>
        <w:t xml:space="preserve"> ribose). Gauta pranešimų apie padidėjusį vaikų ir paauglių kraujospūdį. Vaikams ir paaugliams dažniau negu suaugusiesiems užfiksuotas padidėjęs apetitas, ekstrapiramidinių simptomų ir padidėjusi prolaktino koncentracija serume (žr. 4.4 ir 4.8 skyrius). Vertinant svorio prieaugį, klinikai reikšmingu laikytas pagal normalų ilgalaikį augimą koreguotas kūno masės indekso padidėjimas, sudaręs bent 0,5 standartinio nuokrypio. Šį kriterijų atitiko 18,3 % pacientų, bent 26 savaites vartojusių kvetiapiną.</w:t>
      </w:r>
    </w:p>
    <w:p w14:paraId="71D60A68" w14:textId="77777777" w:rsidR="00DD069E" w:rsidRPr="00E138C4" w:rsidRDefault="00DD069E" w:rsidP="00DD069E">
      <w:pPr>
        <w:spacing w:after="0" w:line="240" w:lineRule="auto"/>
        <w:rPr>
          <w:rFonts w:ascii="Times New Roman" w:hAnsi="Times New Roman" w:cs="Times New Roman"/>
        </w:rPr>
      </w:pPr>
    </w:p>
    <w:p w14:paraId="3B5A3DFA"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5.2</w:t>
      </w:r>
      <w:r w:rsidRPr="00E138C4">
        <w:rPr>
          <w:rFonts w:ascii="Times New Roman" w:hAnsi="Times New Roman" w:cs="Times New Roman"/>
          <w:b/>
        </w:rPr>
        <w:tab/>
        <w:t>Farmakokinetinės savybės</w:t>
      </w:r>
    </w:p>
    <w:p w14:paraId="100885F3" w14:textId="77777777" w:rsidR="00DD069E" w:rsidRPr="00E138C4" w:rsidRDefault="00DD069E" w:rsidP="00DD069E">
      <w:pPr>
        <w:spacing w:after="0" w:line="240" w:lineRule="auto"/>
        <w:rPr>
          <w:rFonts w:ascii="Times New Roman" w:hAnsi="Times New Roman" w:cs="Times New Roman"/>
        </w:rPr>
      </w:pPr>
    </w:p>
    <w:p w14:paraId="320784DC"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Absorbcija</w:t>
      </w:r>
    </w:p>
    <w:p w14:paraId="6580ADA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Išgertas kvetiapinas gerai absorbuojamas ir ekstensyviai metabolizuojamas. Maistas neturi reikšmingos įtakos kvetiapino biologiniam prieinamumui. Aktyvaus metabolito norkvetiapino didžiausia pusiausvyrinė molinė koncentracija sudaro 35 % atitinkamos kvetiapino koncentracijos. Vartojant registruotas dozes, kvetiapino ir norkvetiapino farmakokinetika būna tiesinė.</w:t>
      </w:r>
    </w:p>
    <w:p w14:paraId="14920528" w14:textId="77777777" w:rsidR="00DD069E" w:rsidRPr="00E138C4" w:rsidRDefault="00DD069E" w:rsidP="00DD069E">
      <w:pPr>
        <w:spacing w:after="0" w:line="240" w:lineRule="auto"/>
        <w:rPr>
          <w:rFonts w:ascii="Times New Roman" w:hAnsi="Times New Roman" w:cs="Times New Roman"/>
        </w:rPr>
      </w:pPr>
    </w:p>
    <w:p w14:paraId="40DC9930"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Pasiskirstymas</w:t>
      </w:r>
    </w:p>
    <w:p w14:paraId="69ED8F1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Maždaug 83 % kvetiapino būna prisijungusio prie plazmos baltymų.</w:t>
      </w:r>
    </w:p>
    <w:p w14:paraId="59985314" w14:textId="77777777" w:rsidR="00DD069E" w:rsidRPr="00E138C4" w:rsidRDefault="00DD069E" w:rsidP="00DD069E">
      <w:pPr>
        <w:spacing w:after="0" w:line="240" w:lineRule="auto"/>
        <w:rPr>
          <w:rFonts w:ascii="Times New Roman" w:hAnsi="Times New Roman" w:cs="Times New Roman"/>
        </w:rPr>
      </w:pPr>
    </w:p>
    <w:p w14:paraId="43B816A8"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Biotransformacija</w:t>
      </w:r>
    </w:p>
    <w:p w14:paraId="084A168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Kvetiapinas ekstensyviai metabolizuojamas kepenyse. Pavartojus radioaktyviu izotopu žymėto kvetiapino, nepakitęs vaist</w:t>
      </w:r>
      <w:r w:rsidR="00B939FA" w:rsidRPr="00E138C4">
        <w:rPr>
          <w:rFonts w:ascii="Times New Roman" w:hAnsi="Times New Roman" w:cs="Times New Roman"/>
        </w:rPr>
        <w:t>ini preparat</w:t>
      </w:r>
      <w:r w:rsidRPr="00E138C4">
        <w:rPr>
          <w:rFonts w:ascii="Times New Roman" w:hAnsi="Times New Roman" w:cs="Times New Roman"/>
        </w:rPr>
        <w:t xml:space="preserve">as išmatose ir šlapime sudaro mažiau kaip 5 %. Tyrimais </w:t>
      </w:r>
      <w:r w:rsidRPr="00E138C4">
        <w:rPr>
          <w:rFonts w:ascii="Times New Roman" w:hAnsi="Times New Roman" w:cs="Times New Roman"/>
          <w:i/>
        </w:rPr>
        <w:t>in vitro</w:t>
      </w:r>
      <w:r w:rsidRPr="00E138C4">
        <w:rPr>
          <w:rFonts w:ascii="Times New Roman" w:hAnsi="Times New Roman" w:cs="Times New Roman"/>
        </w:rPr>
        <w:t xml:space="preserve"> nustatyta, kad pagrindinis nuo citochromo P450 priklausomo kvetiapino metabolizmo fermentas yra CYP3A4. Daugiausia norkvetiapino susidaro ir eliminuojama veikiant CYP3A4.</w:t>
      </w:r>
    </w:p>
    <w:p w14:paraId="1D50122A" w14:textId="77777777" w:rsidR="00DD069E" w:rsidRPr="00E138C4" w:rsidRDefault="00DD069E" w:rsidP="00DD069E">
      <w:pPr>
        <w:spacing w:after="0" w:line="240" w:lineRule="auto"/>
        <w:rPr>
          <w:rFonts w:ascii="Times New Roman" w:hAnsi="Times New Roman" w:cs="Times New Roman"/>
        </w:rPr>
      </w:pPr>
    </w:p>
    <w:p w14:paraId="23D5A12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Maždaug 73 % radioaktyvumo randama šlapime, 21 % – išmatose.</w:t>
      </w:r>
    </w:p>
    <w:p w14:paraId="55947BCF" w14:textId="77777777" w:rsidR="00DD069E" w:rsidRPr="00E138C4" w:rsidRDefault="00DD069E" w:rsidP="00DD069E">
      <w:pPr>
        <w:spacing w:after="0" w:line="240" w:lineRule="auto"/>
        <w:rPr>
          <w:rFonts w:ascii="Times New Roman" w:hAnsi="Times New Roman" w:cs="Times New Roman"/>
        </w:rPr>
      </w:pPr>
    </w:p>
    <w:p w14:paraId="3C5E8CD7" w14:textId="1917345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Nustatyta, kad kvetiapinas ir keli jo metabolitai (įskaitant norkvetiapiną) silpnai slopina žmogaus citochromo P450 izofermentus 1A2, 2C9, 2C19, 2D6 ir 3A4 in vitro, bet tik kai koncentracijos maždaug 5-50 kartų viršija susidarančias žmogui vartojant 300-800 mg per parą. Remiantis šių tyrimų in vitro duomenimis, nereikėtų tikėtis, kad kartu vartojamas kvetiapinas kliniškai reikšmingai slopintų nuo citochromo P450 priklausomą kitų vaist</w:t>
      </w:r>
      <w:r w:rsidR="00B939FA" w:rsidRPr="00E138C4">
        <w:rPr>
          <w:rFonts w:ascii="Times New Roman" w:hAnsi="Times New Roman" w:cs="Times New Roman"/>
        </w:rPr>
        <w:t>ini</w:t>
      </w:r>
      <w:r w:rsidRPr="00E138C4">
        <w:rPr>
          <w:rFonts w:ascii="Times New Roman" w:hAnsi="Times New Roman" w:cs="Times New Roman"/>
        </w:rPr>
        <w:t xml:space="preserve">ų </w:t>
      </w:r>
      <w:r w:rsidR="00B939FA" w:rsidRPr="00E138C4">
        <w:rPr>
          <w:rFonts w:ascii="Times New Roman" w:hAnsi="Times New Roman" w:cs="Times New Roman"/>
        </w:rPr>
        <w:t xml:space="preserve">preparatų </w:t>
      </w:r>
      <w:r w:rsidRPr="00E138C4">
        <w:rPr>
          <w:rFonts w:ascii="Times New Roman" w:hAnsi="Times New Roman" w:cs="Times New Roman"/>
        </w:rPr>
        <w:t>metabolizmą. Tyrimų su gyvūnais duomenimis, citochromo P450 izofermentus kvetiapinas gali indukuoti. Vis dėlto atliekant specialų sąveikos psichoze sergančių pacientų organizme tyrimą, citochromo P450 izofermentų aktyvumo padidėjimo vartojant kvetiapino nenustatyta.</w:t>
      </w:r>
    </w:p>
    <w:p w14:paraId="124DE961" w14:textId="77777777" w:rsidR="00DD069E" w:rsidRPr="00E138C4" w:rsidRDefault="00DD069E" w:rsidP="00DD069E">
      <w:pPr>
        <w:spacing w:after="0" w:line="240" w:lineRule="auto"/>
        <w:rPr>
          <w:rFonts w:ascii="Times New Roman" w:hAnsi="Times New Roman" w:cs="Times New Roman"/>
        </w:rPr>
      </w:pPr>
    </w:p>
    <w:p w14:paraId="51FED679"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Eliminacija</w:t>
      </w:r>
    </w:p>
    <w:p w14:paraId="3876CE8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Kvetiapino pusinis eliminacijos periodas yra apie 7 val., norkvetiapino – apie 12 val. Vidutinė laisvojo kvetiapino ir jo aktyvaus metabolito žmogaus plazmoje norkvetiapino molinė dozės dalis, išskiriama su šlapimu, yra mažesnė kaip 5 %.</w:t>
      </w:r>
    </w:p>
    <w:p w14:paraId="40DED4F5" w14:textId="77777777" w:rsidR="00DD069E" w:rsidRPr="00E138C4" w:rsidRDefault="00DD069E" w:rsidP="00DD069E">
      <w:pPr>
        <w:spacing w:after="0" w:line="240" w:lineRule="auto"/>
        <w:rPr>
          <w:rFonts w:ascii="Times New Roman" w:hAnsi="Times New Roman" w:cs="Times New Roman"/>
        </w:rPr>
      </w:pPr>
    </w:p>
    <w:p w14:paraId="3F9C9DC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u w:val="single"/>
        </w:rPr>
        <w:t>Ypatingos populiacijos</w:t>
      </w:r>
    </w:p>
    <w:p w14:paraId="765D04BF" w14:textId="77777777" w:rsidR="00DD069E" w:rsidRPr="00E138C4" w:rsidRDefault="00DD069E" w:rsidP="00DD069E">
      <w:pPr>
        <w:spacing w:after="0" w:line="240" w:lineRule="auto"/>
        <w:rPr>
          <w:rFonts w:ascii="Times New Roman" w:hAnsi="Times New Roman" w:cs="Times New Roman"/>
        </w:rPr>
      </w:pPr>
    </w:p>
    <w:p w14:paraId="698C1B74"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Lytis</w:t>
      </w:r>
    </w:p>
    <w:p w14:paraId="3F062BF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Kvetiapino farmakokinetika vyrų ir moterų organizme nesiskiria.</w:t>
      </w:r>
    </w:p>
    <w:p w14:paraId="6AD0D7F3" w14:textId="77777777" w:rsidR="00DD069E" w:rsidRPr="00E138C4" w:rsidRDefault="00DD069E" w:rsidP="00DD069E">
      <w:pPr>
        <w:spacing w:after="0" w:line="240" w:lineRule="auto"/>
        <w:rPr>
          <w:rFonts w:ascii="Times New Roman" w:hAnsi="Times New Roman" w:cs="Times New Roman"/>
        </w:rPr>
      </w:pPr>
    </w:p>
    <w:p w14:paraId="68F97AD6"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Senyvi žmonės</w:t>
      </w:r>
    </w:p>
    <w:p w14:paraId="45EA63C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Senyvų žmonių kvetiapino klirenso vidurkis yra apie 30–50% mažesnis negu klirenso vidurkis, stebimas suaugusiems žmonėms, kurių amžius nuo 18 iki 65 metų.</w:t>
      </w:r>
    </w:p>
    <w:p w14:paraId="4C034CD8" w14:textId="77777777" w:rsidR="00DD069E" w:rsidRPr="00E138C4" w:rsidRDefault="00DD069E" w:rsidP="00DD069E">
      <w:pPr>
        <w:spacing w:after="0" w:line="240" w:lineRule="auto"/>
        <w:rPr>
          <w:rFonts w:ascii="Times New Roman" w:hAnsi="Times New Roman" w:cs="Times New Roman"/>
        </w:rPr>
      </w:pPr>
    </w:p>
    <w:p w14:paraId="35A7DC1A"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Inkstų funkcijos sutrikimas</w:t>
      </w:r>
    </w:p>
    <w:p w14:paraId="03B39EE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Vidutinis kvetiapino plazminis klirensas sunkiu inkstų nepakankamumu (kreatinino klirensas &lt;30 ml/min/1,73 m</w:t>
      </w:r>
      <w:r w:rsidRPr="00E138C4">
        <w:rPr>
          <w:rFonts w:ascii="Times New Roman" w:hAnsi="Times New Roman" w:cs="Times New Roman"/>
          <w:vertAlign w:val="superscript"/>
        </w:rPr>
        <w:t>2</w:t>
      </w:r>
      <w:r w:rsidRPr="00E138C4">
        <w:rPr>
          <w:rFonts w:ascii="Times New Roman" w:hAnsi="Times New Roman" w:cs="Times New Roman"/>
        </w:rPr>
        <w:t>) sergančių žmonių organizme būna maždaug 25 % mažesnis, tačiau individualus klirensas išlieka tokiose ribose kaip sveikiems žmonėms.</w:t>
      </w:r>
    </w:p>
    <w:p w14:paraId="1CE49688" w14:textId="77777777" w:rsidR="00DD069E" w:rsidRPr="00E138C4" w:rsidRDefault="00DD069E" w:rsidP="00DD069E">
      <w:pPr>
        <w:spacing w:after="0" w:line="240" w:lineRule="auto"/>
        <w:rPr>
          <w:rFonts w:ascii="Times New Roman" w:hAnsi="Times New Roman" w:cs="Times New Roman"/>
        </w:rPr>
      </w:pPr>
    </w:p>
    <w:p w14:paraId="086FAE3C"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Kepenų funkcijos sutrikimas</w:t>
      </w:r>
    </w:p>
    <w:p w14:paraId="3F7BEA9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Žmonėms, kuriems nustatytas kepenų funkcijos sutrikimas (stabili alkoholinė cirozė), vidutinis kvetiapino plazmos klirensas sumažėja apie 25 %. Kadangi kvetiapinas yra ekstensyviai metabolizuojamas kepenyse, tikėtinas koncentracijos plazmoje padidėjimas pacientų grupėje, kuriems nustatytas kepenų funkcijos sutrikimas. Šiems pacientams gali prireikti koreguoti dozę (žr. 4.2 skyrių).</w:t>
      </w:r>
    </w:p>
    <w:p w14:paraId="0FE2B46A" w14:textId="77777777" w:rsidR="00DD069E" w:rsidRPr="00E138C4" w:rsidRDefault="00DD069E" w:rsidP="00DD069E">
      <w:pPr>
        <w:spacing w:after="0" w:line="240" w:lineRule="auto"/>
        <w:rPr>
          <w:rFonts w:ascii="Times New Roman" w:hAnsi="Times New Roman" w:cs="Times New Roman"/>
          <w:i/>
        </w:rPr>
      </w:pPr>
    </w:p>
    <w:p w14:paraId="07300407"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Vaikų populiacija</w:t>
      </w:r>
    </w:p>
    <w:p w14:paraId="581738E3" w14:textId="2A4032E5"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Farmakokinetikos duomenys gauti tiriant 9 vaikus (10-12 metų amžiaus) ir 12 paauglių, kuriems vartojant po 400 mg kvetiapino 2 kartus per parą buvo nusistovėjusi pusiausvyros koncentracija. Pusiausvyros sąlygomis pagal dozę koreguota nepakitusio kvetiapino koncentracija 10-17 metų vaikų ir paauglių plazmoje paprastai būdavo panaši kaip suaugusiųjų, tik C vaikams buvo ties viršutine suaugusiems nustatyto diapazono riba. Aktyvaus metabolito norkvetiapino AUC 10-12 metų vaikų plazmoje buvo didesnis negu suaugusiųjų 62 %, C</w:t>
      </w:r>
      <w:r w:rsidRPr="00E138C4">
        <w:rPr>
          <w:rFonts w:ascii="Times New Roman" w:hAnsi="Times New Roman" w:cs="Times New Roman"/>
          <w:vertAlign w:val="subscript"/>
        </w:rPr>
        <w:t>max</w:t>
      </w:r>
      <w:r w:rsidRPr="00E138C4">
        <w:rPr>
          <w:rFonts w:ascii="Times New Roman" w:hAnsi="Times New Roman" w:cs="Times New Roman"/>
        </w:rPr>
        <w:t xml:space="preserve"> – 49 %, o 13-17 metų paauglių – atitinkamai 28 % ir 14 %.</w:t>
      </w:r>
    </w:p>
    <w:p w14:paraId="0DEE4D16" w14:textId="77777777" w:rsidR="00DD069E" w:rsidRPr="00E138C4" w:rsidRDefault="00DD069E" w:rsidP="00DD069E">
      <w:pPr>
        <w:spacing w:after="0" w:line="240" w:lineRule="auto"/>
        <w:rPr>
          <w:rFonts w:ascii="Times New Roman" w:hAnsi="Times New Roman" w:cs="Times New Roman"/>
          <w:i/>
        </w:rPr>
      </w:pPr>
    </w:p>
    <w:p w14:paraId="0A0FF8B2"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5.3</w:t>
      </w:r>
      <w:r w:rsidRPr="00E138C4">
        <w:rPr>
          <w:rFonts w:ascii="Times New Roman" w:hAnsi="Times New Roman" w:cs="Times New Roman"/>
          <w:b/>
        </w:rPr>
        <w:tab/>
        <w:t>Ikiklinikinių saugumo tyrimų duomenys</w:t>
      </w:r>
    </w:p>
    <w:p w14:paraId="21C484E1" w14:textId="77777777" w:rsidR="00DD069E" w:rsidRPr="00E138C4" w:rsidRDefault="00DD069E" w:rsidP="00DD069E">
      <w:pPr>
        <w:spacing w:after="0" w:line="240" w:lineRule="auto"/>
        <w:rPr>
          <w:rFonts w:ascii="Times New Roman" w:hAnsi="Times New Roman" w:cs="Times New Roman"/>
        </w:rPr>
      </w:pPr>
    </w:p>
    <w:p w14:paraId="0B2A78C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Atlikus daug genotoksiškumo tyrimų </w:t>
      </w:r>
      <w:r w:rsidRPr="00E138C4">
        <w:rPr>
          <w:rFonts w:ascii="Times New Roman" w:hAnsi="Times New Roman" w:cs="Times New Roman"/>
          <w:i/>
        </w:rPr>
        <w:t>in vitro</w:t>
      </w:r>
      <w:r w:rsidRPr="00E138C4">
        <w:rPr>
          <w:rFonts w:ascii="Times New Roman" w:hAnsi="Times New Roman" w:cs="Times New Roman"/>
        </w:rPr>
        <w:t xml:space="preserve"> ir </w:t>
      </w:r>
      <w:r w:rsidRPr="00E138C4">
        <w:rPr>
          <w:rFonts w:ascii="Times New Roman" w:hAnsi="Times New Roman" w:cs="Times New Roman"/>
          <w:i/>
        </w:rPr>
        <w:t>in vivo</w:t>
      </w:r>
      <w:r w:rsidRPr="00E138C4">
        <w:rPr>
          <w:rFonts w:ascii="Times New Roman" w:hAnsi="Times New Roman" w:cs="Times New Roman"/>
        </w:rPr>
        <w:t>, genotoksiškumo nenustatyta. Laboratoriniams gyvūnams paskyrus klinikines vaist</w:t>
      </w:r>
      <w:r w:rsidR="00B939FA" w:rsidRPr="00E138C4">
        <w:rPr>
          <w:rFonts w:ascii="Times New Roman" w:hAnsi="Times New Roman" w:cs="Times New Roman"/>
        </w:rPr>
        <w:t>ini</w:t>
      </w:r>
      <w:r w:rsidRPr="00E138C4">
        <w:rPr>
          <w:rFonts w:ascii="Times New Roman" w:hAnsi="Times New Roman" w:cs="Times New Roman"/>
        </w:rPr>
        <w:t>o</w:t>
      </w:r>
      <w:r w:rsidR="00B939FA" w:rsidRPr="00E138C4">
        <w:rPr>
          <w:rFonts w:ascii="Times New Roman" w:hAnsi="Times New Roman" w:cs="Times New Roman"/>
        </w:rPr>
        <w:t xml:space="preserve"> preparato</w:t>
      </w:r>
      <w:r w:rsidRPr="00E138C4">
        <w:rPr>
          <w:rFonts w:ascii="Times New Roman" w:hAnsi="Times New Roman" w:cs="Times New Roman"/>
        </w:rPr>
        <w:t xml:space="preserve"> dozes, buvo pastebėti žemiau išvardyti nuokrypiai, kurie ilgalaikiais klinikiniais tyrimais dar nepatvirtinti.</w:t>
      </w:r>
    </w:p>
    <w:p w14:paraId="7767C68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Žiurkėms buvo nustatyta pigmento depozicija skydliaukėje, </w:t>
      </w:r>
      <w:r w:rsidRPr="00E138C4">
        <w:rPr>
          <w:rFonts w:ascii="Times New Roman" w:hAnsi="Times New Roman" w:cs="Times New Roman"/>
          <w:i/>
        </w:rPr>
        <w:t>Cynomolgus</w:t>
      </w:r>
      <w:r w:rsidRPr="00E138C4">
        <w:rPr>
          <w:rFonts w:ascii="Times New Roman" w:hAnsi="Times New Roman" w:cs="Times New Roman"/>
        </w:rPr>
        <w:t xml:space="preserve"> beždžionėms – skydliaukės folikulinių ląstelių hipertrofija, sumažėjusi T3, hemoglobino koncentracija kraujo plazmoje, sumažėjęs eritrocitų ir leukocitų skaičius. Šunims atsirado lęšiuko drumstumas ir katarakta (apie kataraktą ar lęšio drumstis žr. 5.1 skyriuje).</w:t>
      </w:r>
    </w:p>
    <w:p w14:paraId="6338F6C6" w14:textId="77777777" w:rsidR="00DD069E" w:rsidRPr="00E138C4" w:rsidRDefault="00DD069E" w:rsidP="00DD069E">
      <w:pPr>
        <w:spacing w:after="0" w:line="240" w:lineRule="auto"/>
        <w:rPr>
          <w:rFonts w:ascii="Times New Roman" w:hAnsi="Times New Roman" w:cs="Times New Roman"/>
        </w:rPr>
      </w:pPr>
    </w:p>
    <w:p w14:paraId="1B5FE4F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Tiriant toksinį poveikį triušių embrionų ir vaisių vystymuisi, dažniau rasta vaisių karpalinių ar tarsalinių linkių. Tai nustatyta esant akivaizdžiam poveikiui motinoms (pvz., sumažėjusiam svorio prieaugiui), kai jų ekspozicija buvo panaši kaip didžiausią terapinę dozę vartojantiems žmonėms arba šiek tiek už ją didesnė. Šio radinio reikšmė žmonėms nežinoma.</w:t>
      </w:r>
    </w:p>
    <w:p w14:paraId="48DFCC2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Tiriant poveikį žiurkių vaisingumui, nustatytas ribinis patinų vaisingumo sumažėjimas, pseudovaikingumų, prailgėjusių lytinio neaktyvumo (</w:t>
      </w:r>
      <w:r w:rsidRPr="00E138C4">
        <w:rPr>
          <w:rFonts w:ascii="Times New Roman" w:hAnsi="Times New Roman" w:cs="Times New Roman"/>
          <w:i/>
        </w:rPr>
        <w:t>diestrus</w:t>
      </w:r>
      <w:r w:rsidRPr="00E138C4">
        <w:rPr>
          <w:rFonts w:ascii="Times New Roman" w:hAnsi="Times New Roman" w:cs="Times New Roman"/>
        </w:rPr>
        <w:t>) periodų, pailgėjusių intervalų iki lytinio akto ir mažiau vaikingumų. Šis poveikis yra susijęs su padidėjusia prolaktino koncentracija ir dėl rūšinių hormoninės reprodukcijos reguliacijos skirtumų tiesioginės reikšmės žmogui neturi.</w:t>
      </w:r>
    </w:p>
    <w:p w14:paraId="4CA871CD" w14:textId="77777777" w:rsidR="00DD069E" w:rsidRPr="00E138C4" w:rsidRDefault="00DD069E" w:rsidP="00DD069E">
      <w:pPr>
        <w:spacing w:after="0" w:line="240" w:lineRule="auto"/>
        <w:rPr>
          <w:rFonts w:ascii="Times New Roman" w:hAnsi="Times New Roman" w:cs="Times New Roman"/>
        </w:rPr>
      </w:pPr>
    </w:p>
    <w:p w14:paraId="752299B0" w14:textId="77777777" w:rsidR="00DD069E" w:rsidRPr="00E138C4" w:rsidRDefault="00DD069E" w:rsidP="00DD069E">
      <w:pPr>
        <w:spacing w:after="0" w:line="240" w:lineRule="auto"/>
        <w:rPr>
          <w:rFonts w:ascii="Times New Roman" w:hAnsi="Times New Roman" w:cs="Times New Roman"/>
        </w:rPr>
      </w:pPr>
    </w:p>
    <w:p w14:paraId="4B6EFB6F"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r>
      <w:r w:rsidRPr="00E138C4">
        <w:rPr>
          <w:rFonts w:ascii="Times New Roman" w:hAnsi="Times New Roman" w:cs="Times New Roman"/>
          <w:b/>
          <w:caps/>
        </w:rPr>
        <w:t>farmacinė informacija</w:t>
      </w:r>
    </w:p>
    <w:p w14:paraId="7BB0ACF5" w14:textId="77777777" w:rsidR="00DD069E" w:rsidRPr="00E138C4" w:rsidRDefault="00DD069E" w:rsidP="00DD069E">
      <w:pPr>
        <w:spacing w:after="0" w:line="240" w:lineRule="auto"/>
        <w:rPr>
          <w:rFonts w:ascii="Times New Roman" w:hAnsi="Times New Roman" w:cs="Times New Roman"/>
        </w:rPr>
      </w:pPr>
    </w:p>
    <w:p w14:paraId="43E838D3"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6.1</w:t>
      </w:r>
      <w:r w:rsidRPr="00E138C4">
        <w:rPr>
          <w:rFonts w:ascii="Times New Roman" w:hAnsi="Times New Roman" w:cs="Times New Roman"/>
          <w:b/>
        </w:rPr>
        <w:tab/>
        <w:t>Pagalbinių medžiagų sąrašas</w:t>
      </w:r>
    </w:p>
    <w:p w14:paraId="3ED8E060" w14:textId="77777777" w:rsidR="00DD069E" w:rsidRPr="00E138C4" w:rsidRDefault="00DD069E" w:rsidP="00DD069E">
      <w:pPr>
        <w:spacing w:after="0" w:line="240" w:lineRule="auto"/>
        <w:rPr>
          <w:rFonts w:ascii="Times New Roman" w:hAnsi="Times New Roman" w:cs="Times New Roman"/>
        </w:rPr>
      </w:pPr>
    </w:p>
    <w:p w14:paraId="2124A808" w14:textId="7BED38A1"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Ketilept 25 mg plėvele dengtos tabletės</w:t>
      </w:r>
    </w:p>
    <w:p w14:paraId="164EF6A1"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branduolys</w:t>
      </w:r>
    </w:p>
    <w:p w14:paraId="6E58290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Magnio stearatas</w:t>
      </w:r>
    </w:p>
    <w:p w14:paraId="472B91C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Bevandenis koloidinis silicio dioksidas</w:t>
      </w:r>
    </w:p>
    <w:p w14:paraId="6D84E9E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Povidonas K-90</w:t>
      </w:r>
    </w:p>
    <w:p w14:paraId="1F0DC52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Karboksimetilkrakmolo A natrio druska</w:t>
      </w:r>
    </w:p>
    <w:p w14:paraId="6E51C77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 xml:space="preserve">Laktozės monohidratas </w:t>
      </w:r>
    </w:p>
    <w:p w14:paraId="525E90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Mikrokristalinė celiuliozė</w:t>
      </w:r>
    </w:p>
    <w:p w14:paraId="10E3F24A" w14:textId="77777777" w:rsidR="00DD069E" w:rsidRPr="00E138C4" w:rsidRDefault="00DD069E" w:rsidP="00DD069E">
      <w:pPr>
        <w:spacing w:after="0" w:line="240" w:lineRule="auto"/>
        <w:rPr>
          <w:rFonts w:ascii="Times New Roman" w:hAnsi="Times New Roman" w:cs="Times New Roman"/>
          <w:i/>
        </w:rPr>
      </w:pPr>
    </w:p>
    <w:p w14:paraId="13D2C0E0"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173E0980" w14:textId="7BB1341E"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E50C54" w:rsidRPr="00E138C4">
        <w:rPr>
          <w:rFonts w:ascii="Times New Roman" w:hAnsi="Times New Roman" w:cs="Times New Roman"/>
        </w:rPr>
        <w:t xml:space="preserve"> (E1518)</w:t>
      </w:r>
      <w:r w:rsidRPr="00E138C4">
        <w:rPr>
          <w:rFonts w:ascii="Times New Roman" w:hAnsi="Times New Roman" w:cs="Times New Roman"/>
        </w:rPr>
        <w:t>, makrogolis 3350, laktozė 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p>
    <w:p w14:paraId="41FF28D9" w14:textId="77777777" w:rsidR="00DD069E" w:rsidRPr="00E138C4" w:rsidRDefault="00DD069E" w:rsidP="00DD069E">
      <w:pPr>
        <w:spacing w:after="0" w:line="240" w:lineRule="auto"/>
        <w:rPr>
          <w:rFonts w:ascii="Times New Roman" w:hAnsi="Times New Roman" w:cs="Times New Roman"/>
        </w:rPr>
      </w:pPr>
    </w:p>
    <w:p w14:paraId="74CEF342" w14:textId="56A2769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Ketilept 100 mg plėvele dengtos tabletės</w:t>
      </w:r>
    </w:p>
    <w:p w14:paraId="4257106E"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branduolys</w:t>
      </w:r>
    </w:p>
    <w:p w14:paraId="211E23B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Magnio stearatas</w:t>
      </w:r>
    </w:p>
    <w:p w14:paraId="1C4C7EC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Bevandenis koloidinis silicio dioksidas</w:t>
      </w:r>
    </w:p>
    <w:p w14:paraId="3DA7FEE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Povidonas K-90</w:t>
      </w:r>
    </w:p>
    <w:p w14:paraId="70EA5AE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Karboksimetilkrakmolo A natrio druska</w:t>
      </w:r>
    </w:p>
    <w:p w14:paraId="69AF17B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Laktozės monohidratas</w:t>
      </w:r>
    </w:p>
    <w:p w14:paraId="7D2E2E7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Mikrokristalinė celiuliozė</w:t>
      </w:r>
    </w:p>
    <w:p w14:paraId="6FBA24CF" w14:textId="77777777" w:rsidR="00DD069E" w:rsidRPr="00E138C4" w:rsidRDefault="00DD069E" w:rsidP="00DD069E">
      <w:pPr>
        <w:spacing w:after="0" w:line="240" w:lineRule="auto"/>
        <w:rPr>
          <w:rFonts w:ascii="Times New Roman" w:hAnsi="Times New Roman" w:cs="Times New Roman"/>
          <w:i/>
        </w:rPr>
      </w:pPr>
    </w:p>
    <w:p w14:paraId="53230A6A"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02537009" w14:textId="2E6F4CC6"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E50C54" w:rsidRPr="00E138C4">
        <w:rPr>
          <w:rFonts w:ascii="Times New Roman" w:hAnsi="Times New Roman" w:cs="Times New Roman"/>
        </w:rPr>
        <w:t xml:space="preserve"> (E1518)</w:t>
      </w:r>
      <w:r w:rsidRPr="00E138C4">
        <w:rPr>
          <w:rFonts w:ascii="Times New Roman" w:hAnsi="Times New Roman" w:cs="Times New Roman"/>
        </w:rPr>
        <w:t>, makrogolis 3350, laktozės 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p>
    <w:p w14:paraId="55FDAF7B" w14:textId="77777777" w:rsidR="00DD069E" w:rsidRPr="00E138C4" w:rsidRDefault="00DD069E" w:rsidP="00DD069E">
      <w:pPr>
        <w:spacing w:after="0" w:line="240" w:lineRule="auto"/>
        <w:rPr>
          <w:rFonts w:ascii="Times New Roman" w:hAnsi="Times New Roman" w:cs="Times New Roman"/>
        </w:rPr>
      </w:pPr>
    </w:p>
    <w:p w14:paraId="0041F3F5" w14:textId="31AC73AB"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Ketilept 150 mg plėvele dengtos tabletės</w:t>
      </w:r>
    </w:p>
    <w:p w14:paraId="7D38A231"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branduolys</w:t>
      </w:r>
    </w:p>
    <w:p w14:paraId="00B327B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Magnio stearatas</w:t>
      </w:r>
    </w:p>
    <w:p w14:paraId="7408622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Bevandenis koloidinis silicio dioksidas</w:t>
      </w:r>
    </w:p>
    <w:p w14:paraId="00A9C8D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Povidonas K-90</w:t>
      </w:r>
    </w:p>
    <w:p w14:paraId="0C89886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Karboksimetilkrakmolo A natrio druska</w:t>
      </w:r>
    </w:p>
    <w:p w14:paraId="134219F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Laktozės monohidratas</w:t>
      </w:r>
    </w:p>
    <w:p w14:paraId="69EB734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Mikrokristalinė celiuliozė</w:t>
      </w:r>
    </w:p>
    <w:p w14:paraId="08B18E99" w14:textId="77777777" w:rsidR="00DD069E" w:rsidRPr="00E138C4" w:rsidRDefault="00DD069E" w:rsidP="00DD069E">
      <w:pPr>
        <w:spacing w:after="0" w:line="240" w:lineRule="auto"/>
        <w:rPr>
          <w:rFonts w:ascii="Times New Roman" w:hAnsi="Times New Roman" w:cs="Times New Roman"/>
          <w:i/>
        </w:rPr>
      </w:pPr>
    </w:p>
    <w:p w14:paraId="1EB836AF"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1C16ACC5" w14:textId="6EB9CCFD"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E50C54" w:rsidRPr="00E138C4">
        <w:rPr>
          <w:rFonts w:ascii="Times New Roman" w:hAnsi="Times New Roman" w:cs="Times New Roman"/>
        </w:rPr>
        <w:t xml:space="preserve"> (1518)</w:t>
      </w:r>
      <w:r w:rsidRPr="00E138C4">
        <w:rPr>
          <w:rFonts w:ascii="Times New Roman" w:hAnsi="Times New Roman" w:cs="Times New Roman"/>
        </w:rPr>
        <w:t>, makrogolis 3350, laktozės 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p>
    <w:p w14:paraId="2CEEC933" w14:textId="43F0FC69"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Rausvasis Opadry II 33G24283 (geltonasis geležies oksidas (E172), raudonasis geležies oksidas (E172), triacetinas</w:t>
      </w:r>
      <w:r w:rsidR="00E50C54" w:rsidRPr="00E138C4">
        <w:rPr>
          <w:rFonts w:ascii="Times New Roman" w:hAnsi="Times New Roman" w:cs="Times New Roman"/>
        </w:rPr>
        <w:t xml:space="preserve"> (E1518)</w:t>
      </w:r>
      <w:r w:rsidRPr="00E138C4">
        <w:rPr>
          <w:rFonts w:ascii="Times New Roman" w:hAnsi="Times New Roman" w:cs="Times New Roman"/>
        </w:rPr>
        <w:t>, makrogolis 3350, laktozės 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r w:rsidR="009E189C">
        <w:rPr>
          <w:rFonts w:ascii="Times New Roman" w:hAnsi="Times New Roman" w:cs="Times New Roman"/>
        </w:rPr>
        <w:t>)</w:t>
      </w:r>
      <w:r w:rsidRPr="00E138C4">
        <w:rPr>
          <w:rFonts w:ascii="Times New Roman" w:hAnsi="Times New Roman" w:cs="Times New Roman"/>
        </w:rPr>
        <w:t>.</w:t>
      </w:r>
    </w:p>
    <w:p w14:paraId="5FA975E1" w14:textId="77777777" w:rsidR="00DD069E" w:rsidRPr="00E138C4" w:rsidRDefault="00DD069E" w:rsidP="00DD069E">
      <w:pPr>
        <w:spacing w:after="0" w:line="240" w:lineRule="auto"/>
        <w:rPr>
          <w:rFonts w:ascii="Times New Roman" w:hAnsi="Times New Roman" w:cs="Times New Roman"/>
        </w:rPr>
      </w:pPr>
    </w:p>
    <w:p w14:paraId="031C161A" w14:textId="5459D0B2"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Ketilept 200 mg plėvele dengtos tabletės</w:t>
      </w:r>
    </w:p>
    <w:p w14:paraId="6788A35B" w14:textId="77777777"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Tabletės branduolys</w:t>
      </w:r>
    </w:p>
    <w:p w14:paraId="7FEFD7F0"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Magnio stearatas</w:t>
      </w:r>
    </w:p>
    <w:p w14:paraId="2F3C0906"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Bevandenis koloidinis silicio dioksidas</w:t>
      </w:r>
    </w:p>
    <w:p w14:paraId="2D330851"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Povidonas K-90</w:t>
      </w:r>
    </w:p>
    <w:p w14:paraId="19D2DCCD"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Karboksimetilkrakmolo A natrio druska</w:t>
      </w:r>
    </w:p>
    <w:p w14:paraId="496D61FD"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Laktozės monohidratas</w:t>
      </w:r>
    </w:p>
    <w:p w14:paraId="045505A0"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Mikrokristalinė celiuliozė</w:t>
      </w:r>
    </w:p>
    <w:p w14:paraId="4CC56F04" w14:textId="77777777" w:rsidR="00DD069E" w:rsidRPr="00E138C4" w:rsidRDefault="00DD069E" w:rsidP="00DD069E">
      <w:pPr>
        <w:spacing w:after="0" w:line="240" w:lineRule="auto"/>
        <w:rPr>
          <w:rFonts w:ascii="Times New Roman" w:eastAsia="Calibri" w:hAnsi="Times New Roman" w:cs="Times New Roman"/>
          <w:i/>
        </w:rPr>
      </w:pPr>
    </w:p>
    <w:p w14:paraId="4D40C684" w14:textId="77777777"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Tabletės plėvelė</w:t>
      </w:r>
    </w:p>
    <w:p w14:paraId="490C9C88" w14:textId="694A7989"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Baltasis Opadry II 33G28523 (triacetinas</w:t>
      </w:r>
      <w:r w:rsidR="00E50C54" w:rsidRPr="00E138C4">
        <w:rPr>
          <w:rFonts w:ascii="Times New Roman" w:eastAsia="Calibri" w:hAnsi="Times New Roman" w:cs="Times New Roman"/>
        </w:rPr>
        <w:t xml:space="preserve"> (E1518)</w:t>
      </w:r>
      <w:r w:rsidRPr="00E138C4">
        <w:rPr>
          <w:rFonts w:ascii="Times New Roman" w:eastAsia="Calibri" w:hAnsi="Times New Roman" w:cs="Times New Roman"/>
        </w:rPr>
        <w:t>, makrogolis 3350, laktozės monohidratas, titano dioksidas (E171), hipromeliozė</w:t>
      </w:r>
      <w:r w:rsidR="00E50C54" w:rsidRPr="00E138C4">
        <w:rPr>
          <w:rFonts w:ascii="Times New Roman" w:eastAsia="Calibri" w:hAnsi="Times New Roman" w:cs="Times New Roman"/>
        </w:rPr>
        <w:t xml:space="preserve"> 2910 (E464)</w:t>
      </w:r>
      <w:r w:rsidRPr="00E138C4">
        <w:rPr>
          <w:rFonts w:ascii="Times New Roman" w:eastAsia="Calibri" w:hAnsi="Times New Roman" w:cs="Times New Roman"/>
        </w:rPr>
        <w:t>);</w:t>
      </w:r>
    </w:p>
    <w:p w14:paraId="03DDDA70" w14:textId="5DF189EE" w:rsidR="00DD069E" w:rsidRPr="00E138C4" w:rsidRDefault="00DD069E" w:rsidP="00DD069E">
      <w:pPr>
        <w:spacing w:after="0" w:line="240" w:lineRule="auto"/>
        <w:rPr>
          <w:rFonts w:ascii="Times New Roman" w:eastAsia="Calibri" w:hAnsi="Times New Roman" w:cs="Times New Roman"/>
        </w:rPr>
      </w:pPr>
      <w:r w:rsidRPr="00E138C4">
        <w:rPr>
          <w:rFonts w:ascii="Times New Roman" w:hAnsi="Times New Roman" w:cs="Times New Roman"/>
        </w:rPr>
        <w:t>Rausvasis Opadry II 33G24283 (geltonasis geležies oksidas (E172), raudonasis geležies oksidas (E172), triacetinas</w:t>
      </w:r>
      <w:r w:rsidR="00E50C54" w:rsidRPr="00E138C4">
        <w:rPr>
          <w:rFonts w:ascii="Times New Roman" w:hAnsi="Times New Roman" w:cs="Times New Roman"/>
        </w:rPr>
        <w:t xml:space="preserve"> (E1518)</w:t>
      </w:r>
      <w:r w:rsidRPr="00E138C4">
        <w:rPr>
          <w:rFonts w:ascii="Times New Roman" w:hAnsi="Times New Roman" w:cs="Times New Roman"/>
        </w:rPr>
        <w:t>, makrogolis 3350</w:t>
      </w:r>
      <w:r w:rsidRPr="00E138C4">
        <w:rPr>
          <w:rFonts w:ascii="Times New Roman" w:eastAsia="Calibri" w:hAnsi="Times New Roman" w:cs="Times New Roman"/>
        </w:rPr>
        <w:t>, laktozės monohidratas, titano dioksidas (E171), hipromeliozė</w:t>
      </w:r>
      <w:r w:rsidR="00E50C54" w:rsidRPr="00E138C4">
        <w:rPr>
          <w:rFonts w:ascii="Times New Roman" w:eastAsia="Calibri" w:hAnsi="Times New Roman" w:cs="Times New Roman"/>
        </w:rPr>
        <w:t xml:space="preserve"> 2910 (E464)</w:t>
      </w:r>
      <w:r w:rsidRPr="00E138C4">
        <w:rPr>
          <w:rFonts w:ascii="Times New Roman" w:eastAsia="Calibri" w:hAnsi="Times New Roman" w:cs="Times New Roman"/>
        </w:rPr>
        <w:t>).</w:t>
      </w:r>
    </w:p>
    <w:p w14:paraId="7111A3AC" w14:textId="77777777" w:rsidR="00DD069E" w:rsidRPr="00E138C4" w:rsidRDefault="00DD069E" w:rsidP="00DD069E">
      <w:pPr>
        <w:spacing w:after="0" w:line="240" w:lineRule="auto"/>
        <w:rPr>
          <w:rFonts w:ascii="Times New Roman" w:eastAsia="Calibri" w:hAnsi="Times New Roman" w:cs="Times New Roman"/>
        </w:rPr>
      </w:pPr>
    </w:p>
    <w:p w14:paraId="4CC0E509" w14:textId="721829CE"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Ketilept 300</w:t>
      </w:r>
      <w:r w:rsidR="00A02B5E" w:rsidRPr="00E138C4">
        <w:rPr>
          <w:rFonts w:ascii="Times New Roman" w:eastAsia="Calibri" w:hAnsi="Times New Roman" w:cs="Times New Roman"/>
          <w:i/>
        </w:rPr>
        <w:t> mg</w:t>
      </w:r>
      <w:r w:rsidRPr="00E138C4">
        <w:rPr>
          <w:rFonts w:ascii="Times New Roman" w:eastAsia="Calibri" w:hAnsi="Times New Roman" w:cs="Times New Roman"/>
          <w:i/>
        </w:rPr>
        <w:t xml:space="preserve"> plėvele dengtos tabletės</w:t>
      </w:r>
    </w:p>
    <w:p w14:paraId="1F1F654F" w14:textId="77777777"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Tabletės branduolys</w:t>
      </w:r>
    </w:p>
    <w:p w14:paraId="127E55C7"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Magnio stearatas</w:t>
      </w:r>
    </w:p>
    <w:p w14:paraId="13AD711D"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Bevandenis koloidinis silicio dioksidas</w:t>
      </w:r>
    </w:p>
    <w:p w14:paraId="7FD91363"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lastRenderedPageBreak/>
        <w:t>Povidonas K-90</w:t>
      </w:r>
    </w:p>
    <w:p w14:paraId="45C9C376"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Karboksimetilkrakmolo A natrio druska</w:t>
      </w:r>
    </w:p>
    <w:p w14:paraId="685C6181"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Laktozės monohidratas</w:t>
      </w:r>
    </w:p>
    <w:p w14:paraId="3B157153"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Mikrokristalinė celiuliozė</w:t>
      </w:r>
    </w:p>
    <w:p w14:paraId="40A9405D" w14:textId="77777777" w:rsidR="00DD069E" w:rsidRPr="00E138C4" w:rsidRDefault="00DD069E" w:rsidP="00DD069E">
      <w:pPr>
        <w:spacing w:after="0" w:line="240" w:lineRule="auto"/>
        <w:rPr>
          <w:rFonts w:ascii="Times New Roman" w:eastAsia="Calibri" w:hAnsi="Times New Roman" w:cs="Times New Roman"/>
          <w:i/>
        </w:rPr>
      </w:pPr>
    </w:p>
    <w:p w14:paraId="38170701" w14:textId="77777777" w:rsidR="00DD069E" w:rsidRPr="00E138C4" w:rsidRDefault="00DD069E" w:rsidP="00DD069E">
      <w:pPr>
        <w:spacing w:after="0" w:line="240" w:lineRule="auto"/>
        <w:rPr>
          <w:rFonts w:ascii="Times New Roman" w:eastAsia="Calibri" w:hAnsi="Times New Roman" w:cs="Times New Roman"/>
          <w:i/>
        </w:rPr>
      </w:pPr>
      <w:r w:rsidRPr="00E138C4">
        <w:rPr>
          <w:rFonts w:ascii="Times New Roman" w:eastAsia="Calibri" w:hAnsi="Times New Roman" w:cs="Times New Roman"/>
          <w:i/>
        </w:rPr>
        <w:t>Tabletės plėvelė</w:t>
      </w:r>
    </w:p>
    <w:p w14:paraId="66747552" w14:textId="4CFB7FBE"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Baltasis Opadry II 33G28523 (triacetinas</w:t>
      </w:r>
      <w:r w:rsidR="00E50C54" w:rsidRPr="00E138C4">
        <w:rPr>
          <w:rFonts w:ascii="Times New Roman" w:eastAsia="Calibri" w:hAnsi="Times New Roman" w:cs="Times New Roman"/>
        </w:rPr>
        <w:t xml:space="preserve"> (1518)</w:t>
      </w:r>
      <w:r w:rsidRPr="00E138C4">
        <w:rPr>
          <w:rFonts w:ascii="Times New Roman" w:eastAsia="Calibri" w:hAnsi="Times New Roman" w:cs="Times New Roman"/>
        </w:rPr>
        <w:t xml:space="preserve">, makrogolis 3350, laktozės </w:t>
      </w:r>
      <w:r w:rsidRPr="00E138C4">
        <w:rPr>
          <w:rFonts w:ascii="Times New Roman" w:hAnsi="Times New Roman" w:cs="Times New Roman"/>
        </w:rPr>
        <w:t>monohidratas, titano dioksidas (E171), hipromeliozė</w:t>
      </w:r>
      <w:r w:rsidR="00E50C54" w:rsidRPr="00E138C4">
        <w:rPr>
          <w:rFonts w:ascii="Times New Roman" w:hAnsi="Times New Roman" w:cs="Times New Roman"/>
        </w:rPr>
        <w:t xml:space="preserve"> 2910 (E464)</w:t>
      </w:r>
      <w:r w:rsidRPr="00E138C4">
        <w:rPr>
          <w:rFonts w:ascii="Times New Roman" w:hAnsi="Times New Roman" w:cs="Times New Roman"/>
        </w:rPr>
        <w:t>).</w:t>
      </w:r>
    </w:p>
    <w:p w14:paraId="1CC5C154" w14:textId="77777777" w:rsidR="00DD069E" w:rsidRPr="00E138C4" w:rsidRDefault="00DD069E" w:rsidP="00DD069E">
      <w:pPr>
        <w:spacing w:after="0" w:line="240" w:lineRule="auto"/>
        <w:rPr>
          <w:rFonts w:ascii="Times New Roman" w:hAnsi="Times New Roman" w:cs="Times New Roman"/>
        </w:rPr>
      </w:pPr>
    </w:p>
    <w:p w14:paraId="699674A0"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6.2</w:t>
      </w:r>
      <w:r w:rsidRPr="00E138C4">
        <w:rPr>
          <w:rFonts w:ascii="Times New Roman" w:hAnsi="Times New Roman" w:cs="Times New Roman"/>
          <w:b/>
        </w:rPr>
        <w:tab/>
        <w:t>Nesuderinamumas</w:t>
      </w:r>
    </w:p>
    <w:p w14:paraId="4C051868" w14:textId="77777777" w:rsidR="00DD069E" w:rsidRPr="00E138C4" w:rsidRDefault="00DD069E" w:rsidP="00DD069E">
      <w:pPr>
        <w:spacing w:after="0" w:line="240" w:lineRule="auto"/>
        <w:rPr>
          <w:rFonts w:ascii="Times New Roman" w:hAnsi="Times New Roman" w:cs="Times New Roman"/>
        </w:rPr>
      </w:pPr>
    </w:p>
    <w:p w14:paraId="7A86386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Duomenys nebūtini.</w:t>
      </w:r>
    </w:p>
    <w:p w14:paraId="0A2EB378" w14:textId="77777777" w:rsidR="00DD069E" w:rsidRPr="00E138C4" w:rsidRDefault="00DD069E" w:rsidP="00DD069E">
      <w:pPr>
        <w:spacing w:after="0" w:line="240" w:lineRule="auto"/>
        <w:rPr>
          <w:rFonts w:ascii="Times New Roman" w:hAnsi="Times New Roman" w:cs="Times New Roman"/>
        </w:rPr>
      </w:pPr>
    </w:p>
    <w:p w14:paraId="3CA7B35F"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6.3</w:t>
      </w:r>
      <w:r w:rsidRPr="00E138C4">
        <w:rPr>
          <w:rFonts w:ascii="Times New Roman" w:hAnsi="Times New Roman" w:cs="Times New Roman"/>
          <w:b/>
        </w:rPr>
        <w:tab/>
        <w:t>Tinkamumo laikas</w:t>
      </w:r>
    </w:p>
    <w:p w14:paraId="089926DF" w14:textId="77777777" w:rsidR="00DD069E" w:rsidRPr="00E138C4" w:rsidRDefault="00DD069E" w:rsidP="00DD069E">
      <w:pPr>
        <w:spacing w:after="0" w:line="240" w:lineRule="auto"/>
        <w:rPr>
          <w:rFonts w:ascii="Times New Roman" w:hAnsi="Times New Roman" w:cs="Times New Roman"/>
        </w:rPr>
      </w:pPr>
    </w:p>
    <w:p w14:paraId="7674E6F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5 metai.</w:t>
      </w:r>
    </w:p>
    <w:p w14:paraId="7DCC92A6" w14:textId="77777777" w:rsidR="00DD069E" w:rsidRPr="00E138C4" w:rsidRDefault="00DD069E" w:rsidP="00DD069E">
      <w:pPr>
        <w:spacing w:after="0" w:line="240" w:lineRule="auto"/>
        <w:rPr>
          <w:rFonts w:ascii="Times New Roman" w:hAnsi="Times New Roman" w:cs="Times New Roman"/>
        </w:rPr>
      </w:pPr>
    </w:p>
    <w:p w14:paraId="2C22E81C"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6.4</w:t>
      </w:r>
      <w:r w:rsidRPr="00E138C4">
        <w:rPr>
          <w:rFonts w:ascii="Times New Roman" w:hAnsi="Times New Roman" w:cs="Times New Roman"/>
          <w:b/>
        </w:rPr>
        <w:tab/>
        <w:t>Specialios laikymo sąlygos</w:t>
      </w:r>
    </w:p>
    <w:p w14:paraId="522F531C" w14:textId="77777777" w:rsidR="00DD069E" w:rsidRPr="00E138C4" w:rsidRDefault="00DD069E" w:rsidP="00DD069E">
      <w:pPr>
        <w:spacing w:after="0" w:line="240" w:lineRule="auto"/>
        <w:rPr>
          <w:rFonts w:ascii="Times New Roman" w:hAnsi="Times New Roman" w:cs="Times New Roman"/>
        </w:rPr>
      </w:pPr>
    </w:p>
    <w:p w14:paraId="7C944A4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Laikyti </w:t>
      </w:r>
      <w:r w:rsidR="00F42DE9" w:rsidRPr="00E138C4">
        <w:rPr>
          <w:rFonts w:ascii="Times New Roman" w:hAnsi="Times New Roman" w:cs="Times New Roman"/>
        </w:rPr>
        <w:t>žemesnėje</w:t>
      </w:r>
      <w:r w:rsidRPr="00E138C4">
        <w:rPr>
          <w:rFonts w:ascii="Times New Roman" w:hAnsi="Times New Roman" w:cs="Times New Roman"/>
        </w:rPr>
        <w:t xml:space="preserv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5FF3C38A" w14:textId="77777777" w:rsidR="00DD069E" w:rsidRPr="00E138C4" w:rsidRDefault="00DD069E" w:rsidP="00DD069E">
      <w:pPr>
        <w:spacing w:after="0" w:line="240" w:lineRule="auto"/>
        <w:rPr>
          <w:rFonts w:ascii="Times New Roman" w:hAnsi="Times New Roman" w:cs="Times New Roman"/>
        </w:rPr>
      </w:pPr>
    </w:p>
    <w:p w14:paraId="25A1754D" w14:textId="77777777" w:rsidR="00DD069E" w:rsidRPr="00E138C4" w:rsidRDefault="004F6205" w:rsidP="00DD069E">
      <w:pPr>
        <w:numPr>
          <w:ilvl w:val="1"/>
          <w:numId w:val="3"/>
        </w:numPr>
        <w:spacing w:after="0" w:line="240" w:lineRule="auto"/>
        <w:outlineLvl w:val="0"/>
        <w:rPr>
          <w:rFonts w:ascii="Times New Roman" w:hAnsi="Times New Roman" w:cs="Times New Roman"/>
          <w:b/>
        </w:rPr>
      </w:pPr>
      <w:r w:rsidRPr="00E138C4">
        <w:rPr>
          <w:rFonts w:ascii="Times New Roman" w:hAnsi="Times New Roman" w:cs="Times New Roman"/>
          <w:b/>
        </w:rPr>
        <w:t xml:space="preserve">Talpyklės pobūdis </w:t>
      </w:r>
      <w:r w:rsidR="00DD069E" w:rsidRPr="00E138C4">
        <w:rPr>
          <w:rFonts w:ascii="Times New Roman" w:hAnsi="Times New Roman" w:cs="Times New Roman"/>
          <w:b/>
        </w:rPr>
        <w:t>ir jos</w:t>
      </w:r>
      <w:r w:rsidR="00DD069E" w:rsidRPr="00E138C4">
        <w:rPr>
          <w:rFonts w:ascii="Times New Roman" w:hAnsi="Times New Roman" w:cs="Times New Roman"/>
        </w:rPr>
        <w:t xml:space="preserve"> </w:t>
      </w:r>
      <w:r w:rsidR="00DD069E" w:rsidRPr="00E138C4">
        <w:rPr>
          <w:rFonts w:ascii="Times New Roman" w:hAnsi="Times New Roman" w:cs="Times New Roman"/>
          <w:b/>
        </w:rPr>
        <w:t>turinys</w:t>
      </w:r>
    </w:p>
    <w:p w14:paraId="3E1DE197" w14:textId="77777777" w:rsidR="00DD069E" w:rsidRPr="00E138C4" w:rsidRDefault="00DD069E" w:rsidP="00DD069E">
      <w:pPr>
        <w:spacing w:after="0" w:line="240" w:lineRule="auto"/>
        <w:rPr>
          <w:rFonts w:ascii="Times New Roman" w:hAnsi="Times New Roman" w:cs="Times New Roman"/>
        </w:rPr>
      </w:pPr>
    </w:p>
    <w:p w14:paraId="1B6436CC" w14:textId="67608465"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 xml:space="preserve">. </w:t>
      </w:r>
    </w:p>
    <w:p w14:paraId="6E96FAE3" w14:textId="7CC417DD"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w:t>
      </w:r>
    </w:p>
    <w:p w14:paraId="3123BAF2" w14:textId="09D47F3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150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w:t>
      </w:r>
    </w:p>
    <w:p w14:paraId="42C79FB8" w14:textId="381FF85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w:t>
      </w:r>
    </w:p>
    <w:p w14:paraId="7F472C75" w14:textId="3D86889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300 mg plėvele dengtos tabletės – 30, 50, 60, 70, 80, 90 ar 100 plėvele dengtų tablečių bespalvėje, skaidrioje PVC/PVdC/Al folijos lizdinėje plokštelėje</w:t>
      </w:r>
      <w:r w:rsidR="009D7CC0" w:rsidRPr="00E138C4">
        <w:rPr>
          <w:rFonts w:ascii="Times New Roman" w:hAnsi="Times New Roman" w:cs="Times New Roman"/>
        </w:rPr>
        <w:t>,</w:t>
      </w:r>
      <w:r w:rsidRPr="00E138C4">
        <w:rPr>
          <w:rFonts w:ascii="Times New Roman" w:hAnsi="Times New Roman" w:cs="Times New Roman"/>
        </w:rPr>
        <w:t xml:space="preserve"> kartono dėžut</w:t>
      </w:r>
      <w:r w:rsidR="009D7CC0" w:rsidRPr="00E138C4">
        <w:rPr>
          <w:rFonts w:ascii="Times New Roman" w:hAnsi="Times New Roman" w:cs="Times New Roman"/>
        </w:rPr>
        <w:t>ėje</w:t>
      </w:r>
      <w:r w:rsidRPr="00E138C4">
        <w:rPr>
          <w:rFonts w:ascii="Times New Roman" w:hAnsi="Times New Roman" w:cs="Times New Roman"/>
        </w:rPr>
        <w:t xml:space="preserve">. </w:t>
      </w:r>
    </w:p>
    <w:p w14:paraId="688183CE" w14:textId="77777777" w:rsidR="00DD069E" w:rsidRPr="00E138C4" w:rsidRDefault="00DD069E" w:rsidP="00DD069E">
      <w:pPr>
        <w:spacing w:after="0" w:line="240" w:lineRule="auto"/>
        <w:rPr>
          <w:rFonts w:ascii="Times New Roman" w:hAnsi="Times New Roman" w:cs="Times New Roman"/>
        </w:rPr>
      </w:pPr>
    </w:p>
    <w:p w14:paraId="4BAA670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Gali būti tiekiamos ne visų dydžių pakuotės.</w:t>
      </w:r>
    </w:p>
    <w:p w14:paraId="6340492B" w14:textId="77777777" w:rsidR="00DD069E" w:rsidRPr="00E138C4" w:rsidRDefault="00DD069E" w:rsidP="00DD069E">
      <w:pPr>
        <w:spacing w:after="0" w:line="240" w:lineRule="auto"/>
        <w:rPr>
          <w:rFonts w:ascii="Times New Roman" w:hAnsi="Times New Roman" w:cs="Times New Roman"/>
        </w:rPr>
      </w:pPr>
    </w:p>
    <w:p w14:paraId="3443E298" w14:textId="77777777" w:rsidR="00DD069E" w:rsidRPr="00E138C4" w:rsidRDefault="00DD069E" w:rsidP="00DD069E">
      <w:pPr>
        <w:spacing w:after="0" w:line="240" w:lineRule="auto"/>
        <w:ind w:left="567" w:hanging="567"/>
        <w:outlineLvl w:val="0"/>
        <w:rPr>
          <w:rFonts w:ascii="Times New Roman" w:hAnsi="Times New Roman" w:cs="Times New Roman"/>
        </w:rPr>
      </w:pPr>
      <w:r w:rsidRPr="00E138C4">
        <w:rPr>
          <w:rFonts w:ascii="Times New Roman" w:hAnsi="Times New Roman" w:cs="Times New Roman"/>
          <w:b/>
        </w:rPr>
        <w:t>6.6</w:t>
      </w:r>
      <w:r w:rsidRPr="00E138C4">
        <w:rPr>
          <w:rFonts w:ascii="Times New Roman" w:hAnsi="Times New Roman" w:cs="Times New Roman"/>
          <w:b/>
        </w:rPr>
        <w:tab/>
        <w:t>Specialūs reikalavimai atliekoms tvarkyti</w:t>
      </w:r>
    </w:p>
    <w:p w14:paraId="2B58B13E" w14:textId="77777777" w:rsidR="00DD069E" w:rsidRPr="00E138C4" w:rsidRDefault="00DD069E" w:rsidP="00DD069E">
      <w:pPr>
        <w:spacing w:after="0" w:line="240" w:lineRule="auto"/>
        <w:rPr>
          <w:rFonts w:ascii="Times New Roman" w:hAnsi="Times New Roman" w:cs="Times New Roman"/>
        </w:rPr>
      </w:pPr>
    </w:p>
    <w:p w14:paraId="0494711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Išduodamas tik pateikus receptą, kai diagnozė patikrinama specialisto arba ligoninėje, ir vaist</w:t>
      </w:r>
      <w:r w:rsidR="005D7B84" w:rsidRPr="00E138C4">
        <w:rPr>
          <w:rFonts w:ascii="Times New Roman" w:hAnsi="Times New Roman" w:cs="Times New Roman"/>
        </w:rPr>
        <w:t>inis preparat</w:t>
      </w:r>
      <w:r w:rsidRPr="00E138C4">
        <w:rPr>
          <w:rFonts w:ascii="Times New Roman" w:hAnsi="Times New Roman" w:cs="Times New Roman"/>
        </w:rPr>
        <w:t>as vartojamas prižiūrint gydytojui.</w:t>
      </w:r>
    </w:p>
    <w:p w14:paraId="4DC24EF9" w14:textId="77777777" w:rsidR="00DD069E" w:rsidRPr="00E138C4" w:rsidRDefault="00DD069E" w:rsidP="00DD069E">
      <w:pPr>
        <w:spacing w:after="0" w:line="240" w:lineRule="auto"/>
        <w:rPr>
          <w:rFonts w:ascii="Times New Roman" w:hAnsi="Times New Roman" w:cs="Times New Roman"/>
        </w:rPr>
      </w:pPr>
    </w:p>
    <w:p w14:paraId="325C905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Nesuvartotą vaistinį preparatą ar atliekas reikia tvarkyti laikantis vietinių reikalavimų.</w:t>
      </w:r>
    </w:p>
    <w:p w14:paraId="2419D99C" w14:textId="77777777" w:rsidR="00DD069E" w:rsidRPr="00E138C4" w:rsidRDefault="00DD069E" w:rsidP="00DD069E">
      <w:pPr>
        <w:spacing w:after="0" w:line="240" w:lineRule="auto"/>
        <w:rPr>
          <w:rFonts w:ascii="Times New Roman" w:hAnsi="Times New Roman" w:cs="Times New Roman"/>
        </w:rPr>
      </w:pPr>
    </w:p>
    <w:p w14:paraId="0EBDE927" w14:textId="77777777" w:rsidR="00DD069E" w:rsidRPr="00E138C4" w:rsidRDefault="00DD069E" w:rsidP="00DD069E">
      <w:pPr>
        <w:spacing w:after="0" w:line="240" w:lineRule="auto"/>
        <w:rPr>
          <w:rFonts w:ascii="Times New Roman" w:hAnsi="Times New Roman" w:cs="Times New Roman"/>
        </w:rPr>
      </w:pPr>
    </w:p>
    <w:p w14:paraId="26A6287A" w14:textId="77777777" w:rsidR="00DD069E" w:rsidRPr="00E138C4" w:rsidRDefault="00DD069E" w:rsidP="00DD069E">
      <w:pPr>
        <w:spacing w:after="0" w:line="240" w:lineRule="auto"/>
        <w:ind w:left="567" w:hanging="567"/>
        <w:rPr>
          <w:rFonts w:ascii="Times New Roman" w:hAnsi="Times New Roman" w:cs="Times New Roman"/>
          <w:b/>
          <w:caps/>
        </w:rPr>
      </w:pPr>
      <w:r w:rsidRPr="00E138C4">
        <w:rPr>
          <w:rFonts w:ascii="Times New Roman" w:hAnsi="Times New Roman" w:cs="Times New Roman"/>
          <w:b/>
        </w:rPr>
        <w:t>7.</w:t>
      </w:r>
      <w:r w:rsidRPr="00E138C4">
        <w:rPr>
          <w:rFonts w:ascii="Times New Roman" w:hAnsi="Times New Roman" w:cs="Times New Roman"/>
          <w:b/>
        </w:rPr>
        <w:tab/>
        <w:t>REGISTRUOTOJAS</w:t>
      </w:r>
    </w:p>
    <w:p w14:paraId="4F6BA9B6" w14:textId="77777777" w:rsidR="00DD069E" w:rsidRPr="00E138C4" w:rsidRDefault="00DD069E" w:rsidP="00DD069E">
      <w:pPr>
        <w:spacing w:after="0" w:line="240" w:lineRule="auto"/>
        <w:rPr>
          <w:rFonts w:ascii="Times New Roman" w:hAnsi="Times New Roman" w:cs="Times New Roman"/>
        </w:rPr>
      </w:pPr>
    </w:p>
    <w:p w14:paraId="705A7957" w14:textId="77777777" w:rsidR="00DD069E" w:rsidRPr="00E138C4" w:rsidRDefault="00A82538" w:rsidP="00DD069E">
      <w:pPr>
        <w:spacing w:after="0" w:line="240" w:lineRule="auto"/>
        <w:rPr>
          <w:rFonts w:ascii="Times New Roman" w:hAnsi="Times New Roman" w:cs="Times New Roman"/>
        </w:rPr>
      </w:pPr>
      <w:r w:rsidRPr="00E138C4">
        <w:rPr>
          <w:rFonts w:ascii="Times New Roman" w:hAnsi="Times New Roman" w:cs="Times New Roman"/>
        </w:rPr>
        <w:t>Egis</w:t>
      </w:r>
      <w:r w:rsidR="00FB5ECE" w:rsidRPr="00E138C4">
        <w:rPr>
          <w:rFonts w:ascii="Times New Roman" w:hAnsi="Times New Roman" w:cs="Times New Roman"/>
        </w:rPr>
        <w:t xml:space="preserve"> </w:t>
      </w:r>
      <w:r w:rsidR="00DD069E" w:rsidRPr="00E138C4">
        <w:rPr>
          <w:rFonts w:ascii="Times New Roman" w:hAnsi="Times New Roman" w:cs="Times New Roman"/>
        </w:rPr>
        <w:t>Pharmaceuticals PLC</w:t>
      </w:r>
    </w:p>
    <w:p w14:paraId="59EDF0B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r w:rsidR="0061418F" w:rsidRPr="00E138C4">
        <w:rPr>
          <w:rFonts w:ascii="Times New Roman" w:hAnsi="Times New Roman" w:cs="Times New Roman"/>
        </w:rPr>
        <w:t>,</w:t>
      </w:r>
    </w:p>
    <w:p w14:paraId="1838B54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528E8CD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41BD716A" w14:textId="77777777" w:rsidR="00DD069E" w:rsidRPr="00E138C4" w:rsidRDefault="00DD069E" w:rsidP="00DD069E">
      <w:pPr>
        <w:spacing w:after="0" w:line="240" w:lineRule="auto"/>
        <w:rPr>
          <w:rFonts w:ascii="Times New Roman" w:hAnsi="Times New Roman" w:cs="Times New Roman"/>
        </w:rPr>
      </w:pPr>
    </w:p>
    <w:p w14:paraId="1BB4C587" w14:textId="77777777" w:rsidR="00DD069E" w:rsidRPr="00E138C4" w:rsidRDefault="00DD069E" w:rsidP="00DD069E">
      <w:pPr>
        <w:spacing w:after="0" w:line="240" w:lineRule="auto"/>
        <w:rPr>
          <w:rFonts w:ascii="Times New Roman" w:hAnsi="Times New Roman" w:cs="Times New Roman"/>
        </w:rPr>
      </w:pPr>
    </w:p>
    <w:p w14:paraId="010A939B"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8.</w:t>
      </w:r>
      <w:r w:rsidRPr="00E138C4">
        <w:rPr>
          <w:rFonts w:ascii="Times New Roman" w:hAnsi="Times New Roman" w:cs="Times New Roman"/>
          <w:b/>
        </w:rPr>
        <w:tab/>
        <w:t>REGISTRACIJOS PAŽYMĖJIMO NUMERIS (-IAI)</w:t>
      </w:r>
    </w:p>
    <w:p w14:paraId="0DCD4055" w14:textId="77777777" w:rsidR="00DD069E" w:rsidRPr="00E138C4" w:rsidRDefault="00DD069E" w:rsidP="00DD069E">
      <w:pPr>
        <w:spacing w:after="0" w:line="240" w:lineRule="auto"/>
        <w:rPr>
          <w:rFonts w:ascii="Times New Roman" w:hAnsi="Times New Roman" w:cs="Times New Roman"/>
        </w:rPr>
      </w:pPr>
    </w:p>
    <w:p w14:paraId="1629B800" w14:textId="6D327C5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 mg</w:t>
      </w:r>
    </w:p>
    <w:p w14:paraId="5984A30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LT/1/07/0746/001</w:t>
      </w:r>
    </w:p>
    <w:p w14:paraId="506FA05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N50 – LT/1/07/0746/021</w:t>
      </w:r>
    </w:p>
    <w:p w14:paraId="6566385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LT/1/07/0746/002</w:t>
      </w:r>
    </w:p>
    <w:p w14:paraId="1D8B3CB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LT/1/07/0746/022</w:t>
      </w:r>
    </w:p>
    <w:p w14:paraId="01A40DC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LT/1/07/0746/023</w:t>
      </w:r>
    </w:p>
    <w:p w14:paraId="0DB2072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LT/1/07/0746/024</w:t>
      </w:r>
    </w:p>
    <w:p w14:paraId="01C8436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LT/1/07/0746/025</w:t>
      </w:r>
    </w:p>
    <w:p w14:paraId="7ACF61AE" w14:textId="77777777" w:rsidR="00DD069E" w:rsidRPr="00E138C4" w:rsidRDefault="00DD069E" w:rsidP="00DD069E">
      <w:pPr>
        <w:spacing w:after="0" w:line="240" w:lineRule="auto"/>
        <w:rPr>
          <w:rFonts w:ascii="Times New Roman" w:hAnsi="Times New Roman" w:cs="Times New Roman"/>
        </w:rPr>
      </w:pPr>
    </w:p>
    <w:p w14:paraId="00E357CD" w14:textId="44D908FF"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w:t>
      </w:r>
    </w:p>
    <w:p w14:paraId="2CABFE8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LT/1/07/0746/005</w:t>
      </w:r>
    </w:p>
    <w:p w14:paraId="5D51786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N50 – LT/1/07/0746/026</w:t>
      </w:r>
    </w:p>
    <w:p w14:paraId="1986206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LT/1/07/0746/006</w:t>
      </w:r>
    </w:p>
    <w:p w14:paraId="49965B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LT/1/07/0746/027</w:t>
      </w:r>
    </w:p>
    <w:p w14:paraId="284D74E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LT/1/07/0746/028</w:t>
      </w:r>
    </w:p>
    <w:p w14:paraId="3E8ADE8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LT/1/07/0746/029</w:t>
      </w:r>
    </w:p>
    <w:p w14:paraId="70875FE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LT/1/07/0746/030</w:t>
      </w:r>
    </w:p>
    <w:p w14:paraId="14779EC7" w14:textId="77777777" w:rsidR="00DD069E" w:rsidRPr="00E138C4" w:rsidRDefault="00DD069E" w:rsidP="00DD069E">
      <w:pPr>
        <w:spacing w:after="0" w:line="240" w:lineRule="auto"/>
        <w:rPr>
          <w:rFonts w:ascii="Times New Roman" w:hAnsi="Times New Roman" w:cs="Times New Roman"/>
        </w:rPr>
      </w:pPr>
    </w:p>
    <w:p w14:paraId="4C12FB0E" w14:textId="553AEDF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150 mg</w:t>
      </w:r>
    </w:p>
    <w:p w14:paraId="0F361BD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LT/1/07/0746/009</w:t>
      </w:r>
    </w:p>
    <w:p w14:paraId="29D77D3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N50 – LT/1/07/0746/031</w:t>
      </w:r>
    </w:p>
    <w:p w14:paraId="4AECA7D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LT/1/07/0746/010</w:t>
      </w:r>
    </w:p>
    <w:p w14:paraId="73EEACC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LT/1/07/0746/032</w:t>
      </w:r>
    </w:p>
    <w:p w14:paraId="2668374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LT/1/07/0746/033</w:t>
      </w:r>
    </w:p>
    <w:p w14:paraId="071E3E2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LT/1/07/0746/034</w:t>
      </w:r>
    </w:p>
    <w:p w14:paraId="2E42DB9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LT/1/07/0746/035</w:t>
      </w:r>
    </w:p>
    <w:p w14:paraId="55F035DB" w14:textId="77777777" w:rsidR="00DD069E" w:rsidRPr="00E138C4" w:rsidRDefault="00DD069E" w:rsidP="00DD069E">
      <w:pPr>
        <w:spacing w:after="0" w:line="240" w:lineRule="auto"/>
        <w:rPr>
          <w:rFonts w:ascii="Times New Roman" w:hAnsi="Times New Roman" w:cs="Times New Roman"/>
        </w:rPr>
      </w:pPr>
    </w:p>
    <w:p w14:paraId="7B4EFD41" w14:textId="50C8C419"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w:t>
      </w:r>
    </w:p>
    <w:p w14:paraId="205699A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LT/1/07/0746/013</w:t>
      </w:r>
    </w:p>
    <w:p w14:paraId="3550886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N50 – LT/1/07/0746/036</w:t>
      </w:r>
    </w:p>
    <w:p w14:paraId="6D8EE71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LT/1/07/0746/014</w:t>
      </w:r>
    </w:p>
    <w:p w14:paraId="1E440BE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LT/1/07/0746/037</w:t>
      </w:r>
    </w:p>
    <w:p w14:paraId="3388D5A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LT/1/07/0746/038</w:t>
      </w:r>
    </w:p>
    <w:p w14:paraId="2379983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LT/1/07/0746/039</w:t>
      </w:r>
    </w:p>
    <w:p w14:paraId="0AD0B44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LT/1/07/0746/040</w:t>
      </w:r>
    </w:p>
    <w:p w14:paraId="03A08972" w14:textId="77777777" w:rsidR="00DD069E" w:rsidRPr="00E138C4" w:rsidRDefault="00DD069E" w:rsidP="00DD069E">
      <w:pPr>
        <w:spacing w:after="0" w:line="240" w:lineRule="auto"/>
        <w:rPr>
          <w:rFonts w:ascii="Times New Roman" w:hAnsi="Times New Roman" w:cs="Times New Roman"/>
        </w:rPr>
      </w:pPr>
    </w:p>
    <w:p w14:paraId="40C58DBD" w14:textId="4117CDF8" w:rsidR="00DD069E" w:rsidRPr="00E138C4" w:rsidRDefault="00DD069E" w:rsidP="00DD069E">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Ketilept 300 mg</w:t>
      </w:r>
    </w:p>
    <w:p w14:paraId="75DB75C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LT/1/07/0746/017</w:t>
      </w:r>
    </w:p>
    <w:p w14:paraId="7F41751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N50 – LT/1/07/0746/041</w:t>
      </w:r>
    </w:p>
    <w:p w14:paraId="0D3680B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N60 - LT/1/07/0746/018</w:t>
      </w:r>
    </w:p>
    <w:p w14:paraId="7EF5130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N70 – LT/1/07/0746/042</w:t>
      </w:r>
    </w:p>
    <w:p w14:paraId="1AE8850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N80 – LT/1/07/0746/043</w:t>
      </w:r>
    </w:p>
    <w:p w14:paraId="65445D7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N90 – LT/1/07/0746/044</w:t>
      </w:r>
    </w:p>
    <w:p w14:paraId="0AC1BA9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N100 – LT/1/07/0746/045</w:t>
      </w:r>
    </w:p>
    <w:p w14:paraId="451F8347" w14:textId="77777777" w:rsidR="00DD069E" w:rsidRPr="00E138C4" w:rsidRDefault="00DD069E" w:rsidP="00DD069E">
      <w:pPr>
        <w:spacing w:after="0" w:line="240" w:lineRule="auto"/>
        <w:rPr>
          <w:rFonts w:ascii="Times New Roman" w:hAnsi="Times New Roman" w:cs="Times New Roman"/>
        </w:rPr>
      </w:pPr>
    </w:p>
    <w:p w14:paraId="64FC0785" w14:textId="77777777" w:rsidR="00DD069E" w:rsidRPr="00E138C4" w:rsidRDefault="00DD069E" w:rsidP="00DD069E">
      <w:pPr>
        <w:spacing w:after="0" w:line="240" w:lineRule="auto"/>
        <w:rPr>
          <w:rFonts w:ascii="Times New Roman" w:hAnsi="Times New Roman" w:cs="Times New Roman"/>
        </w:rPr>
      </w:pPr>
    </w:p>
    <w:p w14:paraId="33B95328"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b/>
        </w:rPr>
        <w:t>9.</w:t>
      </w:r>
      <w:r w:rsidRPr="00E138C4">
        <w:rPr>
          <w:rFonts w:ascii="Times New Roman" w:hAnsi="Times New Roman" w:cs="Times New Roman"/>
          <w:b/>
        </w:rPr>
        <w:tab/>
        <w:t>REGISTRAVIMO / PERREGISTRAVIMO DATA</w:t>
      </w:r>
    </w:p>
    <w:p w14:paraId="67B7F733" w14:textId="77777777" w:rsidR="00DD069E" w:rsidRPr="00E138C4" w:rsidRDefault="00DD069E" w:rsidP="00DD069E">
      <w:pPr>
        <w:spacing w:after="0" w:line="240" w:lineRule="auto"/>
        <w:rPr>
          <w:rFonts w:ascii="Times New Roman" w:hAnsi="Times New Roman" w:cs="Times New Roman"/>
        </w:rPr>
      </w:pPr>
    </w:p>
    <w:p w14:paraId="17935F4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Registravimo data 2007 m. liepos 4 d. </w:t>
      </w:r>
    </w:p>
    <w:p w14:paraId="0BBB1B6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Paskutinio perregistravimo data 2011 m. spalio 25 d.</w:t>
      </w:r>
    </w:p>
    <w:p w14:paraId="24164A5B" w14:textId="77777777" w:rsidR="00DD069E" w:rsidRPr="00E138C4" w:rsidRDefault="00DD069E" w:rsidP="00DD069E">
      <w:pPr>
        <w:spacing w:after="0" w:line="240" w:lineRule="auto"/>
        <w:rPr>
          <w:rFonts w:ascii="Times New Roman" w:hAnsi="Times New Roman" w:cs="Times New Roman"/>
        </w:rPr>
      </w:pPr>
    </w:p>
    <w:p w14:paraId="062F510A" w14:textId="77777777" w:rsidR="00DD069E" w:rsidRPr="00E138C4" w:rsidRDefault="00DD069E" w:rsidP="00DD069E">
      <w:pPr>
        <w:spacing w:after="0" w:line="240" w:lineRule="auto"/>
        <w:rPr>
          <w:rFonts w:ascii="Times New Roman" w:hAnsi="Times New Roman" w:cs="Times New Roman"/>
        </w:rPr>
      </w:pPr>
    </w:p>
    <w:p w14:paraId="6044A726" w14:textId="77777777" w:rsidR="00DD069E" w:rsidRPr="00E138C4" w:rsidRDefault="00DD069E" w:rsidP="00DD069E">
      <w:pPr>
        <w:numPr>
          <w:ilvl w:val="0"/>
          <w:numId w:val="6"/>
        </w:numPr>
        <w:tabs>
          <w:tab w:val="num" w:pos="567"/>
        </w:tabs>
        <w:spacing w:after="0" w:line="240" w:lineRule="auto"/>
        <w:ind w:hanging="930"/>
        <w:rPr>
          <w:rFonts w:ascii="Times New Roman" w:hAnsi="Times New Roman" w:cs="Times New Roman"/>
          <w:b/>
          <w:caps/>
        </w:rPr>
      </w:pPr>
      <w:r w:rsidRPr="00E138C4">
        <w:rPr>
          <w:rFonts w:ascii="Times New Roman" w:hAnsi="Times New Roman" w:cs="Times New Roman"/>
          <w:b/>
          <w:caps/>
        </w:rPr>
        <w:t xml:space="preserve">teksto peržiūros data </w:t>
      </w:r>
    </w:p>
    <w:p w14:paraId="44CD57B0" w14:textId="77777777" w:rsidR="00DD069E" w:rsidRPr="00E138C4" w:rsidRDefault="00DD069E" w:rsidP="00DD069E">
      <w:pPr>
        <w:spacing w:after="0" w:line="240" w:lineRule="auto"/>
        <w:rPr>
          <w:rFonts w:ascii="Times New Roman" w:hAnsi="Times New Roman" w:cs="Times New Roman"/>
        </w:rPr>
      </w:pPr>
    </w:p>
    <w:p w14:paraId="689C35D4" w14:textId="47CAC9A4" w:rsidR="005548A3" w:rsidRDefault="00871974" w:rsidP="00DD069E">
      <w:pPr>
        <w:spacing w:after="0" w:line="240" w:lineRule="auto"/>
        <w:rPr>
          <w:rFonts w:ascii="Times New Roman" w:hAnsi="Times New Roman" w:cs="Times New Roman"/>
        </w:rPr>
      </w:pPr>
      <w:r w:rsidRPr="00871974">
        <w:rPr>
          <w:rFonts w:ascii="Times New Roman" w:hAnsi="Times New Roman" w:cs="Times New Roman"/>
        </w:rPr>
        <w:t>2024m. rugpjūčio 11 d.</w:t>
      </w:r>
    </w:p>
    <w:p w14:paraId="50F9316C" w14:textId="77777777" w:rsidR="00C85053" w:rsidRPr="00E138C4" w:rsidRDefault="00C85053" w:rsidP="00DD069E">
      <w:pPr>
        <w:spacing w:after="0" w:line="240" w:lineRule="auto"/>
        <w:rPr>
          <w:rFonts w:ascii="Times New Roman" w:hAnsi="Times New Roman" w:cs="Times New Roman"/>
        </w:rPr>
      </w:pPr>
    </w:p>
    <w:p w14:paraId="670D5021" w14:textId="02E9CE49" w:rsidR="005D7B84" w:rsidRPr="00E138C4" w:rsidRDefault="00DD069E" w:rsidP="00C85053">
      <w:pPr>
        <w:spacing w:after="0" w:line="240" w:lineRule="auto"/>
        <w:rPr>
          <w:rFonts w:ascii="Times New Roman" w:hAnsi="Times New Roman" w:cs="Times New Roman"/>
        </w:rPr>
      </w:pPr>
      <w:r w:rsidRPr="00E138C4">
        <w:rPr>
          <w:rFonts w:ascii="Times New Roman" w:hAnsi="Times New Roman" w:cs="Times New Roman"/>
        </w:rPr>
        <w:t>Išsami informacija apie šį vaistinį preparatą pateikiama Valstybinės vaistų kontrolės tarnybos prie Lietuvos Respublikos sveikatos apsaugos ministerijos tinklalapyje</w:t>
      </w:r>
      <w:r w:rsidRPr="00E138C4">
        <w:rPr>
          <w:rFonts w:ascii="Times New Roman" w:hAnsi="Times New Roman" w:cs="Times New Roman"/>
          <w:i/>
        </w:rPr>
        <w:t xml:space="preserve"> </w:t>
      </w:r>
      <w:hyperlink r:id="rId28" w:history="1">
        <w:r w:rsidRPr="00E138C4">
          <w:rPr>
            <w:rFonts w:ascii="Times New Roman" w:eastAsia="SimSun" w:hAnsi="Times New Roman" w:cs="Times New Roman"/>
            <w:noProof/>
            <w:u w:val="single"/>
            <w:lang w:eastAsia="lt-LT"/>
          </w:rPr>
          <w:t>http://www.vvkt.lt</w:t>
        </w:r>
      </w:hyperlink>
      <w:r w:rsidR="00217194" w:rsidRPr="00E138C4">
        <w:rPr>
          <w:rFonts w:ascii="Times New Roman" w:eastAsia="SimSun" w:hAnsi="Times New Roman" w:cs="Times New Roman"/>
          <w:noProof/>
          <w:u w:val="single"/>
          <w:lang w:eastAsia="lt-LT"/>
        </w:rPr>
        <w:t>.</w:t>
      </w:r>
      <w:r w:rsidR="005D7B84" w:rsidRPr="00E138C4">
        <w:rPr>
          <w:rFonts w:ascii="Times New Roman" w:hAnsi="Times New Roman" w:cs="Times New Roman"/>
        </w:rPr>
        <w:br w:type="page"/>
      </w:r>
    </w:p>
    <w:p w14:paraId="04C7F981" w14:textId="77777777" w:rsidR="00DD069E" w:rsidRPr="00E138C4" w:rsidRDefault="00DD069E" w:rsidP="00DD069E">
      <w:pPr>
        <w:spacing w:after="0" w:line="240" w:lineRule="auto"/>
        <w:rPr>
          <w:rFonts w:ascii="Times New Roman" w:hAnsi="Times New Roman" w:cs="Times New Roman"/>
        </w:rPr>
      </w:pPr>
    </w:p>
    <w:p w14:paraId="06BB727A" w14:textId="77777777" w:rsidR="00DD069E" w:rsidRPr="00E138C4" w:rsidRDefault="00DD069E" w:rsidP="00DD069E">
      <w:pPr>
        <w:spacing w:after="0" w:line="240" w:lineRule="auto"/>
        <w:rPr>
          <w:rFonts w:ascii="Times New Roman" w:hAnsi="Times New Roman" w:cs="Times New Roman"/>
        </w:rPr>
      </w:pPr>
    </w:p>
    <w:p w14:paraId="60237707" w14:textId="77777777" w:rsidR="00DD069E" w:rsidRPr="00E138C4" w:rsidRDefault="00DD069E" w:rsidP="00DD069E">
      <w:pPr>
        <w:spacing w:after="0" w:line="240" w:lineRule="auto"/>
        <w:rPr>
          <w:rFonts w:ascii="Times New Roman" w:hAnsi="Times New Roman" w:cs="Times New Roman"/>
        </w:rPr>
      </w:pPr>
    </w:p>
    <w:p w14:paraId="4B9A3709" w14:textId="77777777" w:rsidR="00DD069E" w:rsidRPr="00E138C4" w:rsidRDefault="00DD069E" w:rsidP="00DD069E">
      <w:pPr>
        <w:spacing w:after="0" w:line="240" w:lineRule="auto"/>
        <w:rPr>
          <w:rFonts w:ascii="Times New Roman" w:hAnsi="Times New Roman" w:cs="Times New Roman"/>
        </w:rPr>
      </w:pPr>
    </w:p>
    <w:p w14:paraId="763E38E5" w14:textId="77777777" w:rsidR="00DD069E" w:rsidRPr="00E138C4" w:rsidRDefault="00DD069E" w:rsidP="00DD069E">
      <w:pPr>
        <w:spacing w:after="0" w:line="240" w:lineRule="auto"/>
        <w:rPr>
          <w:rFonts w:ascii="Times New Roman" w:hAnsi="Times New Roman" w:cs="Times New Roman"/>
        </w:rPr>
      </w:pPr>
    </w:p>
    <w:p w14:paraId="4C19A738" w14:textId="77777777" w:rsidR="00DD069E" w:rsidRPr="00E138C4" w:rsidRDefault="00DD069E" w:rsidP="00DD069E">
      <w:pPr>
        <w:spacing w:after="0" w:line="240" w:lineRule="auto"/>
        <w:rPr>
          <w:rFonts w:ascii="Times New Roman" w:hAnsi="Times New Roman" w:cs="Times New Roman"/>
        </w:rPr>
      </w:pPr>
    </w:p>
    <w:p w14:paraId="0F30FD44" w14:textId="77777777" w:rsidR="00DD069E" w:rsidRPr="00E138C4" w:rsidRDefault="00DD069E" w:rsidP="00DD069E">
      <w:pPr>
        <w:spacing w:after="0" w:line="240" w:lineRule="auto"/>
        <w:jc w:val="center"/>
        <w:rPr>
          <w:rFonts w:ascii="Times New Roman" w:hAnsi="Times New Roman" w:cs="Times New Roman"/>
        </w:rPr>
      </w:pPr>
    </w:p>
    <w:p w14:paraId="6570DF16" w14:textId="77777777" w:rsidR="00DD069E" w:rsidRPr="00E138C4" w:rsidRDefault="00DD069E" w:rsidP="00DD069E">
      <w:pPr>
        <w:spacing w:after="0" w:line="240" w:lineRule="auto"/>
        <w:jc w:val="center"/>
        <w:rPr>
          <w:rFonts w:ascii="Times New Roman" w:hAnsi="Times New Roman" w:cs="Times New Roman"/>
        </w:rPr>
      </w:pPr>
    </w:p>
    <w:p w14:paraId="362B307A" w14:textId="77777777" w:rsidR="00DD069E" w:rsidRPr="00E138C4" w:rsidRDefault="00DD069E" w:rsidP="00DD069E">
      <w:pPr>
        <w:spacing w:after="0" w:line="240" w:lineRule="auto"/>
        <w:jc w:val="center"/>
        <w:rPr>
          <w:rFonts w:ascii="Times New Roman" w:hAnsi="Times New Roman" w:cs="Times New Roman"/>
        </w:rPr>
      </w:pPr>
    </w:p>
    <w:p w14:paraId="31EF77DC" w14:textId="77777777" w:rsidR="00DD069E" w:rsidRPr="00E138C4" w:rsidRDefault="00DD069E" w:rsidP="00DD069E">
      <w:pPr>
        <w:spacing w:after="0" w:line="240" w:lineRule="auto"/>
        <w:jc w:val="center"/>
        <w:rPr>
          <w:rFonts w:ascii="Times New Roman" w:hAnsi="Times New Roman" w:cs="Times New Roman"/>
        </w:rPr>
      </w:pPr>
    </w:p>
    <w:p w14:paraId="4AD60DF6" w14:textId="77777777" w:rsidR="00DD069E" w:rsidRPr="00E138C4" w:rsidRDefault="00DD069E" w:rsidP="00DD069E">
      <w:pPr>
        <w:spacing w:after="0" w:line="240" w:lineRule="auto"/>
        <w:jc w:val="center"/>
        <w:rPr>
          <w:rFonts w:ascii="Times New Roman" w:hAnsi="Times New Roman" w:cs="Times New Roman"/>
        </w:rPr>
      </w:pPr>
    </w:p>
    <w:p w14:paraId="10E26472" w14:textId="77777777" w:rsidR="00DD069E" w:rsidRPr="00E138C4" w:rsidRDefault="00DD069E" w:rsidP="00DD069E">
      <w:pPr>
        <w:spacing w:after="0" w:line="240" w:lineRule="auto"/>
        <w:jc w:val="center"/>
        <w:rPr>
          <w:rFonts w:ascii="Times New Roman" w:hAnsi="Times New Roman" w:cs="Times New Roman"/>
        </w:rPr>
      </w:pPr>
    </w:p>
    <w:p w14:paraId="5834273B" w14:textId="77777777" w:rsidR="00DD069E" w:rsidRPr="00E138C4" w:rsidRDefault="00DD069E" w:rsidP="00DD069E">
      <w:pPr>
        <w:spacing w:after="0" w:line="240" w:lineRule="auto"/>
        <w:jc w:val="center"/>
        <w:rPr>
          <w:rFonts w:ascii="Times New Roman" w:hAnsi="Times New Roman" w:cs="Times New Roman"/>
        </w:rPr>
      </w:pPr>
    </w:p>
    <w:p w14:paraId="63D1D6A7" w14:textId="77777777" w:rsidR="00DD069E" w:rsidRPr="00E138C4" w:rsidRDefault="00DD069E" w:rsidP="00DD069E">
      <w:pPr>
        <w:spacing w:after="0" w:line="240" w:lineRule="auto"/>
        <w:jc w:val="center"/>
        <w:rPr>
          <w:rFonts w:ascii="Times New Roman" w:hAnsi="Times New Roman" w:cs="Times New Roman"/>
        </w:rPr>
      </w:pPr>
    </w:p>
    <w:p w14:paraId="0424A4CE" w14:textId="77777777" w:rsidR="00DD069E" w:rsidRPr="00E138C4" w:rsidRDefault="00DD069E" w:rsidP="00DD069E">
      <w:pPr>
        <w:spacing w:after="0" w:line="240" w:lineRule="auto"/>
        <w:jc w:val="center"/>
        <w:rPr>
          <w:rFonts w:ascii="Times New Roman" w:hAnsi="Times New Roman" w:cs="Times New Roman"/>
        </w:rPr>
      </w:pPr>
    </w:p>
    <w:p w14:paraId="0CD3280A" w14:textId="77777777" w:rsidR="00DD069E" w:rsidRPr="00E138C4" w:rsidRDefault="00DD069E" w:rsidP="00DD069E">
      <w:pPr>
        <w:spacing w:after="0" w:line="240" w:lineRule="auto"/>
        <w:jc w:val="center"/>
        <w:rPr>
          <w:rFonts w:ascii="Times New Roman" w:hAnsi="Times New Roman" w:cs="Times New Roman"/>
        </w:rPr>
      </w:pPr>
    </w:p>
    <w:p w14:paraId="1BB3B9C3" w14:textId="77777777" w:rsidR="00DD069E" w:rsidRPr="00E138C4" w:rsidRDefault="00DD069E" w:rsidP="00DD069E">
      <w:pPr>
        <w:spacing w:after="0" w:line="240" w:lineRule="auto"/>
        <w:jc w:val="center"/>
        <w:rPr>
          <w:rFonts w:ascii="Times New Roman" w:hAnsi="Times New Roman" w:cs="Times New Roman"/>
        </w:rPr>
      </w:pPr>
    </w:p>
    <w:p w14:paraId="58EA352C" w14:textId="77777777" w:rsidR="00DD069E" w:rsidRPr="00E138C4" w:rsidRDefault="00DD069E" w:rsidP="00DD069E">
      <w:pPr>
        <w:spacing w:after="0" w:line="240" w:lineRule="auto"/>
        <w:jc w:val="center"/>
        <w:rPr>
          <w:rFonts w:ascii="Times New Roman" w:hAnsi="Times New Roman" w:cs="Times New Roman"/>
        </w:rPr>
      </w:pPr>
    </w:p>
    <w:p w14:paraId="2C06AFD4" w14:textId="77777777" w:rsidR="00DD069E" w:rsidRPr="00E138C4" w:rsidRDefault="00DD069E" w:rsidP="00DD069E">
      <w:pPr>
        <w:spacing w:after="0" w:line="240" w:lineRule="auto"/>
        <w:jc w:val="center"/>
        <w:rPr>
          <w:rFonts w:ascii="Times New Roman" w:hAnsi="Times New Roman" w:cs="Times New Roman"/>
        </w:rPr>
      </w:pPr>
    </w:p>
    <w:p w14:paraId="17941F80" w14:textId="77777777" w:rsidR="00DD069E" w:rsidRPr="00E138C4" w:rsidRDefault="00DD069E" w:rsidP="00DD069E">
      <w:pPr>
        <w:spacing w:after="0" w:line="240" w:lineRule="auto"/>
        <w:jc w:val="center"/>
        <w:rPr>
          <w:rFonts w:ascii="Times New Roman" w:hAnsi="Times New Roman" w:cs="Times New Roman"/>
        </w:rPr>
      </w:pPr>
    </w:p>
    <w:p w14:paraId="28892FEB" w14:textId="77777777" w:rsidR="00DD069E" w:rsidRPr="00E138C4" w:rsidRDefault="00DD069E" w:rsidP="00DD069E">
      <w:pPr>
        <w:spacing w:after="0" w:line="240" w:lineRule="auto"/>
        <w:jc w:val="center"/>
        <w:rPr>
          <w:rFonts w:ascii="Times New Roman" w:hAnsi="Times New Roman" w:cs="Times New Roman"/>
        </w:rPr>
      </w:pPr>
    </w:p>
    <w:p w14:paraId="3200099D" w14:textId="77777777" w:rsidR="00DD069E" w:rsidRPr="00E138C4" w:rsidRDefault="00DD069E" w:rsidP="00DD069E">
      <w:pPr>
        <w:spacing w:after="0" w:line="240" w:lineRule="auto"/>
        <w:jc w:val="center"/>
        <w:rPr>
          <w:rFonts w:ascii="Times New Roman" w:hAnsi="Times New Roman" w:cs="Times New Roman"/>
        </w:rPr>
      </w:pPr>
    </w:p>
    <w:p w14:paraId="467D8B33" w14:textId="77777777" w:rsidR="00DD069E" w:rsidRPr="00E138C4" w:rsidRDefault="00DD069E" w:rsidP="00DD069E">
      <w:pPr>
        <w:spacing w:after="0" w:line="240" w:lineRule="auto"/>
        <w:jc w:val="center"/>
        <w:rPr>
          <w:rFonts w:ascii="Times New Roman" w:hAnsi="Times New Roman" w:cs="Times New Roman"/>
        </w:rPr>
      </w:pPr>
    </w:p>
    <w:p w14:paraId="59520216" w14:textId="77777777" w:rsidR="00DD069E" w:rsidRPr="00E138C4" w:rsidRDefault="00DD069E" w:rsidP="00DD069E">
      <w:pPr>
        <w:spacing w:after="0" w:line="240" w:lineRule="auto"/>
        <w:jc w:val="center"/>
        <w:outlineLvl w:val="0"/>
        <w:rPr>
          <w:rFonts w:ascii="Times New Roman" w:eastAsia="Calibri" w:hAnsi="Times New Roman" w:cs="Times New Roman"/>
          <w:b/>
        </w:rPr>
      </w:pPr>
      <w:r w:rsidRPr="00E138C4">
        <w:rPr>
          <w:rFonts w:ascii="Times New Roman" w:eastAsia="Calibri" w:hAnsi="Times New Roman" w:cs="Times New Roman"/>
          <w:b/>
        </w:rPr>
        <w:t>II PRIEDAS</w:t>
      </w:r>
    </w:p>
    <w:p w14:paraId="3A26E8AC" w14:textId="77777777" w:rsidR="00DD069E" w:rsidRPr="00E138C4" w:rsidRDefault="00DD069E" w:rsidP="00DD069E">
      <w:pPr>
        <w:spacing w:after="0" w:line="240" w:lineRule="auto"/>
        <w:jc w:val="center"/>
        <w:outlineLvl w:val="0"/>
        <w:rPr>
          <w:rFonts w:ascii="Times New Roman" w:eastAsia="Calibri" w:hAnsi="Times New Roman" w:cs="Times New Roman"/>
          <w:b/>
        </w:rPr>
      </w:pPr>
    </w:p>
    <w:p w14:paraId="01B8F0CB" w14:textId="77777777" w:rsidR="00DD069E" w:rsidRPr="00E138C4" w:rsidRDefault="00DD069E" w:rsidP="00DD069E">
      <w:pPr>
        <w:spacing w:after="0" w:line="240" w:lineRule="auto"/>
        <w:jc w:val="center"/>
        <w:outlineLvl w:val="0"/>
        <w:rPr>
          <w:rFonts w:ascii="Times New Roman" w:eastAsia="Calibri" w:hAnsi="Times New Roman" w:cs="Times New Roman"/>
          <w:b/>
          <w:caps/>
        </w:rPr>
      </w:pPr>
      <w:r w:rsidRPr="00E138C4">
        <w:rPr>
          <w:rFonts w:ascii="Times New Roman" w:hAnsi="Times New Roman" w:cs="Times New Roman"/>
          <w:b/>
        </w:rPr>
        <w:t>REGISTRACIJO</w:t>
      </w:r>
      <w:r w:rsidRPr="00E138C4">
        <w:rPr>
          <w:rFonts w:ascii="Times New Roman" w:eastAsia="Calibri" w:hAnsi="Times New Roman" w:cs="Times New Roman"/>
          <w:b/>
          <w:caps/>
        </w:rPr>
        <w:t>s sąlygos</w:t>
      </w:r>
    </w:p>
    <w:p w14:paraId="2EFA5B36" w14:textId="77777777" w:rsidR="00DD069E" w:rsidRPr="00E138C4" w:rsidRDefault="00DD069E" w:rsidP="00DD069E">
      <w:pPr>
        <w:spacing w:after="0" w:line="240" w:lineRule="auto"/>
        <w:rPr>
          <w:rFonts w:ascii="Times New Roman" w:eastAsia="Calibri" w:hAnsi="Times New Roman" w:cs="Times New Roman"/>
        </w:rPr>
      </w:pPr>
    </w:p>
    <w:p w14:paraId="5589FAB0" w14:textId="77777777" w:rsidR="00DD069E" w:rsidRPr="00E138C4" w:rsidRDefault="00DD069E" w:rsidP="00DD069E">
      <w:pPr>
        <w:tabs>
          <w:tab w:val="left" w:pos="540"/>
        </w:tabs>
        <w:spacing w:after="0" w:line="240" w:lineRule="auto"/>
        <w:ind w:left="540" w:hanging="540"/>
        <w:outlineLvl w:val="0"/>
        <w:rPr>
          <w:rFonts w:ascii="Times New Roman" w:eastAsia="Calibri" w:hAnsi="Times New Roman" w:cs="Times New Roman"/>
          <w:b/>
        </w:rPr>
      </w:pPr>
      <w:r w:rsidRPr="00E138C4">
        <w:rPr>
          <w:rFonts w:ascii="Times New Roman" w:eastAsia="Calibri" w:hAnsi="Times New Roman" w:cs="Times New Roman"/>
          <w:b/>
        </w:rPr>
        <w:t>A.</w:t>
      </w:r>
      <w:r w:rsidRPr="00E138C4">
        <w:rPr>
          <w:rFonts w:ascii="Times New Roman" w:eastAsia="Calibri" w:hAnsi="Times New Roman" w:cs="Times New Roman"/>
          <w:b/>
        </w:rPr>
        <w:tab/>
      </w:r>
      <w:r w:rsidRPr="00E138C4">
        <w:rPr>
          <w:rFonts w:ascii="Times New Roman" w:hAnsi="Times New Roman" w:cs="Times New Roman"/>
          <w:b/>
        </w:rPr>
        <w:t>GAMINTOJAS (-AI), ATSAKINGAS (-I) UŽ SERIJŲ IŠLEIDIMĄ</w:t>
      </w:r>
    </w:p>
    <w:p w14:paraId="29631B23" w14:textId="77777777" w:rsidR="00DD069E" w:rsidRPr="00E138C4" w:rsidRDefault="00DD069E" w:rsidP="00DD069E">
      <w:pPr>
        <w:tabs>
          <w:tab w:val="left" w:pos="540"/>
        </w:tabs>
        <w:spacing w:after="0" w:line="240" w:lineRule="auto"/>
        <w:rPr>
          <w:rFonts w:ascii="Times New Roman" w:eastAsia="Calibri" w:hAnsi="Times New Roman" w:cs="Times New Roman"/>
        </w:rPr>
      </w:pPr>
    </w:p>
    <w:p w14:paraId="5A14E874" w14:textId="77777777" w:rsidR="00DD069E" w:rsidRPr="00E138C4" w:rsidRDefault="00DD069E" w:rsidP="00DD069E">
      <w:pPr>
        <w:tabs>
          <w:tab w:val="left" w:pos="540"/>
        </w:tabs>
        <w:spacing w:after="0" w:line="240" w:lineRule="auto"/>
        <w:rPr>
          <w:rFonts w:ascii="Times New Roman" w:hAnsi="Times New Roman" w:cs="Times New Roman"/>
          <w:b/>
        </w:rPr>
      </w:pPr>
      <w:r w:rsidRPr="00E138C4">
        <w:rPr>
          <w:rFonts w:ascii="Times New Roman" w:hAnsi="Times New Roman" w:cs="Times New Roman"/>
          <w:b/>
        </w:rPr>
        <w:t>B.</w:t>
      </w:r>
      <w:r w:rsidRPr="00E138C4">
        <w:rPr>
          <w:rFonts w:ascii="Times New Roman" w:hAnsi="Times New Roman" w:cs="Times New Roman"/>
          <w:b/>
        </w:rPr>
        <w:tab/>
        <w:t>TIEKIMO IR VARTOJIMO SĄLYGOS AR APRIBOJIMAI</w:t>
      </w:r>
    </w:p>
    <w:p w14:paraId="6F2682B4" w14:textId="77777777" w:rsidR="00DD069E" w:rsidRPr="00E138C4" w:rsidRDefault="00DD069E" w:rsidP="00DD069E">
      <w:pPr>
        <w:tabs>
          <w:tab w:val="left" w:pos="540"/>
        </w:tabs>
        <w:spacing w:after="0" w:line="240" w:lineRule="auto"/>
        <w:rPr>
          <w:rFonts w:ascii="Times New Roman" w:hAnsi="Times New Roman" w:cs="Times New Roman"/>
          <w:b/>
        </w:rPr>
      </w:pPr>
    </w:p>
    <w:p w14:paraId="3371280E" w14:textId="77777777" w:rsidR="00DD069E" w:rsidRPr="00E138C4" w:rsidRDefault="00DD069E" w:rsidP="00DD069E">
      <w:pPr>
        <w:spacing w:after="0" w:line="240" w:lineRule="auto"/>
        <w:outlineLvl w:val="0"/>
        <w:rPr>
          <w:rFonts w:ascii="Times New Roman" w:hAnsi="Times New Roman" w:cs="Times New Roman"/>
          <w:b/>
        </w:rPr>
      </w:pPr>
    </w:p>
    <w:p w14:paraId="171A73E2" w14:textId="77777777" w:rsidR="00DD069E" w:rsidRPr="00E138C4" w:rsidRDefault="00DD069E" w:rsidP="00DD069E">
      <w:pPr>
        <w:tabs>
          <w:tab w:val="left" w:pos="540"/>
        </w:tabs>
        <w:spacing w:after="0" w:line="240" w:lineRule="auto"/>
        <w:rPr>
          <w:rFonts w:ascii="Times New Roman" w:hAnsi="Times New Roman" w:cs="Times New Roman"/>
          <w:b/>
        </w:rPr>
      </w:pPr>
    </w:p>
    <w:p w14:paraId="6CDC73EC" w14:textId="77777777" w:rsidR="00DD069E" w:rsidRPr="00E138C4" w:rsidRDefault="00DD069E" w:rsidP="00DD069E">
      <w:pPr>
        <w:spacing w:after="0" w:line="240" w:lineRule="auto"/>
        <w:jc w:val="center"/>
        <w:rPr>
          <w:rFonts w:ascii="Times New Roman" w:hAnsi="Times New Roman" w:cs="Times New Roman"/>
        </w:rPr>
      </w:pPr>
    </w:p>
    <w:p w14:paraId="6058283B" w14:textId="77777777" w:rsidR="00DD069E" w:rsidRPr="00E138C4" w:rsidRDefault="00DD069E" w:rsidP="00DD069E">
      <w:pPr>
        <w:tabs>
          <w:tab w:val="left" w:pos="540"/>
        </w:tabs>
        <w:spacing w:after="0" w:line="240" w:lineRule="auto"/>
        <w:ind w:left="540" w:hanging="540"/>
        <w:outlineLvl w:val="0"/>
        <w:rPr>
          <w:rFonts w:ascii="Times New Roman" w:hAnsi="Times New Roman" w:cs="Times New Roman"/>
          <w:b/>
        </w:rPr>
      </w:pPr>
      <w:r w:rsidRPr="00E138C4">
        <w:rPr>
          <w:rFonts w:ascii="Times New Roman" w:hAnsi="Times New Roman" w:cs="Times New Roman"/>
          <w:b/>
        </w:rPr>
        <w:br w:type="page"/>
      </w:r>
      <w:r w:rsidRPr="00E138C4">
        <w:rPr>
          <w:rFonts w:ascii="Times New Roman" w:hAnsi="Times New Roman" w:cs="Times New Roman"/>
          <w:b/>
        </w:rPr>
        <w:lastRenderedPageBreak/>
        <w:t xml:space="preserve">A. </w:t>
      </w:r>
      <w:r w:rsidRPr="00E138C4">
        <w:rPr>
          <w:rFonts w:ascii="Times New Roman" w:hAnsi="Times New Roman" w:cs="Times New Roman"/>
          <w:b/>
        </w:rPr>
        <w:tab/>
        <w:t>GAMINTOJAS (-AI), ATSAKINGAS (-I) UŽ SERIJŲ IŠLEIDIMĄ</w:t>
      </w:r>
    </w:p>
    <w:p w14:paraId="310C573F" w14:textId="77777777" w:rsidR="00DD069E" w:rsidRPr="00E138C4" w:rsidRDefault="00DD069E" w:rsidP="00DD069E">
      <w:pPr>
        <w:spacing w:after="0" w:line="240" w:lineRule="auto"/>
        <w:rPr>
          <w:rFonts w:ascii="Times New Roman" w:hAnsi="Times New Roman" w:cs="Times New Roman"/>
        </w:rPr>
      </w:pPr>
    </w:p>
    <w:p w14:paraId="417BD05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Gamintojo (-ų), atsakingo (-ų) už serijų išleidimą, pavadinimas (-ai) ir adresas (-ai)</w:t>
      </w:r>
    </w:p>
    <w:p w14:paraId="45F5A71A" w14:textId="77777777" w:rsidR="00DD069E" w:rsidRPr="00E138C4" w:rsidRDefault="00DD069E" w:rsidP="00DD069E">
      <w:pPr>
        <w:spacing w:after="0" w:line="240" w:lineRule="auto"/>
        <w:rPr>
          <w:rFonts w:ascii="Times New Roman" w:hAnsi="Times New Roman" w:cs="Times New Roman"/>
        </w:rPr>
      </w:pPr>
    </w:p>
    <w:p w14:paraId="7C185B12" w14:textId="77777777" w:rsidR="00DD069E" w:rsidRPr="00E138C4" w:rsidRDefault="00FB5ECE"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4D6ABE7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1165 Budapest </w:t>
      </w:r>
    </w:p>
    <w:p w14:paraId="1318ED7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Bökényföldi út 118-120 </w:t>
      </w:r>
    </w:p>
    <w:p w14:paraId="3E5A9DB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5621548" w14:textId="77777777" w:rsidR="00DD069E" w:rsidRPr="00E138C4" w:rsidRDefault="00DD069E" w:rsidP="00DD069E">
      <w:pPr>
        <w:spacing w:after="0" w:line="240" w:lineRule="auto"/>
        <w:rPr>
          <w:rFonts w:ascii="Times New Roman" w:hAnsi="Times New Roman" w:cs="Times New Roman"/>
        </w:rPr>
      </w:pPr>
    </w:p>
    <w:p w14:paraId="0ED738C9" w14:textId="77777777" w:rsidR="00DD069E" w:rsidRPr="00E138C4" w:rsidRDefault="00DD069E" w:rsidP="00DD069E">
      <w:pPr>
        <w:spacing w:after="0" w:line="240" w:lineRule="auto"/>
        <w:rPr>
          <w:rFonts w:ascii="Times New Roman" w:hAnsi="Times New Roman" w:cs="Times New Roman"/>
        </w:rPr>
      </w:pPr>
    </w:p>
    <w:p w14:paraId="71AA3163" w14:textId="77777777" w:rsidR="00DD069E" w:rsidRPr="00E138C4" w:rsidRDefault="00DD069E" w:rsidP="00DD069E">
      <w:pPr>
        <w:tabs>
          <w:tab w:val="left" w:pos="540"/>
        </w:tabs>
        <w:spacing w:after="0" w:line="240" w:lineRule="auto"/>
        <w:outlineLvl w:val="0"/>
        <w:rPr>
          <w:rFonts w:ascii="Times New Roman" w:hAnsi="Times New Roman" w:cs="Times New Roman"/>
          <w:b/>
        </w:rPr>
      </w:pPr>
      <w:r w:rsidRPr="00E138C4">
        <w:rPr>
          <w:rFonts w:ascii="Times New Roman" w:hAnsi="Times New Roman" w:cs="Times New Roman"/>
          <w:b/>
        </w:rPr>
        <w:t xml:space="preserve">B. </w:t>
      </w:r>
      <w:r w:rsidRPr="00E138C4">
        <w:rPr>
          <w:rFonts w:ascii="Times New Roman" w:hAnsi="Times New Roman" w:cs="Times New Roman"/>
          <w:b/>
        </w:rPr>
        <w:tab/>
        <w:t>TIEKIMO IR VARTOJIMO SĄLYGOS AR APRIBOJIMAI</w:t>
      </w:r>
    </w:p>
    <w:p w14:paraId="29358FEA" w14:textId="77777777" w:rsidR="00DD069E" w:rsidRPr="00E138C4" w:rsidRDefault="00DD069E" w:rsidP="00DD069E">
      <w:pPr>
        <w:spacing w:after="0" w:line="240" w:lineRule="auto"/>
        <w:rPr>
          <w:rFonts w:ascii="Times New Roman" w:hAnsi="Times New Roman" w:cs="Times New Roman"/>
        </w:rPr>
      </w:pPr>
    </w:p>
    <w:p w14:paraId="06DEBBAF" w14:textId="77777777" w:rsidR="00DD069E" w:rsidRPr="00E138C4" w:rsidRDefault="00DD069E" w:rsidP="00DD069E">
      <w:pPr>
        <w:spacing w:after="0" w:line="240" w:lineRule="auto"/>
        <w:outlineLvl w:val="0"/>
        <w:rPr>
          <w:rFonts w:ascii="Times New Roman" w:hAnsi="Times New Roman" w:cs="Times New Roman"/>
        </w:rPr>
      </w:pPr>
      <w:r w:rsidRPr="00E138C4">
        <w:rPr>
          <w:rFonts w:ascii="Times New Roman" w:hAnsi="Times New Roman" w:cs="Times New Roman"/>
        </w:rPr>
        <w:t>Receptinis vaistinis preparatas.</w:t>
      </w:r>
    </w:p>
    <w:p w14:paraId="29D2DA7A" w14:textId="77777777" w:rsidR="00DD069E" w:rsidRPr="00E138C4" w:rsidRDefault="00DD069E" w:rsidP="00DD069E">
      <w:pPr>
        <w:spacing w:after="0" w:line="240" w:lineRule="auto"/>
        <w:outlineLvl w:val="0"/>
        <w:rPr>
          <w:rFonts w:ascii="Times New Roman" w:hAnsi="Times New Roman" w:cs="Times New Roman"/>
          <w:b/>
        </w:rPr>
      </w:pPr>
    </w:p>
    <w:p w14:paraId="1914531D" w14:textId="77777777" w:rsidR="00DD069E" w:rsidRPr="00E138C4" w:rsidRDefault="00DD069E" w:rsidP="00DD069E">
      <w:pPr>
        <w:spacing w:after="0" w:line="240" w:lineRule="auto"/>
        <w:outlineLvl w:val="0"/>
        <w:rPr>
          <w:rFonts w:ascii="Times New Roman" w:hAnsi="Times New Roman" w:cs="Times New Roman"/>
          <w:b/>
        </w:rPr>
      </w:pPr>
    </w:p>
    <w:p w14:paraId="3BC53C61" w14:textId="77777777" w:rsidR="00DD069E" w:rsidRPr="00E138C4" w:rsidRDefault="00DD069E" w:rsidP="00DD069E">
      <w:pPr>
        <w:spacing w:after="0" w:line="240" w:lineRule="auto"/>
        <w:rPr>
          <w:rFonts w:ascii="Times New Roman" w:hAnsi="Times New Roman" w:cs="Times New Roman"/>
        </w:rPr>
      </w:pPr>
    </w:p>
    <w:p w14:paraId="18AA1B99" w14:textId="77777777" w:rsidR="00DD069E" w:rsidRPr="00E138C4" w:rsidRDefault="00DD069E" w:rsidP="00DD069E">
      <w:pPr>
        <w:spacing w:after="0" w:line="240" w:lineRule="auto"/>
        <w:rPr>
          <w:rFonts w:ascii="Times New Roman" w:hAnsi="Times New Roman" w:cs="Times New Roman"/>
        </w:rPr>
      </w:pPr>
    </w:p>
    <w:p w14:paraId="50F18590" w14:textId="77777777" w:rsidR="00DD069E" w:rsidRPr="00E138C4" w:rsidRDefault="00DD069E" w:rsidP="00DD069E">
      <w:pPr>
        <w:spacing w:after="0" w:line="240" w:lineRule="auto"/>
        <w:rPr>
          <w:rFonts w:ascii="Times New Roman" w:hAnsi="Times New Roman" w:cs="Times New Roman"/>
        </w:rPr>
      </w:pPr>
    </w:p>
    <w:p w14:paraId="5C9DBC0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br w:type="page"/>
      </w:r>
    </w:p>
    <w:p w14:paraId="2A425246" w14:textId="77777777" w:rsidR="00DD069E" w:rsidRPr="00E138C4" w:rsidRDefault="00DD069E" w:rsidP="00DD069E">
      <w:pPr>
        <w:spacing w:after="0" w:line="240" w:lineRule="auto"/>
        <w:rPr>
          <w:rFonts w:ascii="Times New Roman" w:hAnsi="Times New Roman" w:cs="Times New Roman"/>
        </w:rPr>
      </w:pPr>
    </w:p>
    <w:p w14:paraId="4D5B0E16" w14:textId="77777777" w:rsidR="00DD069E" w:rsidRPr="00E138C4" w:rsidRDefault="00DD069E" w:rsidP="00DD069E">
      <w:pPr>
        <w:spacing w:after="0" w:line="240" w:lineRule="auto"/>
        <w:rPr>
          <w:rFonts w:ascii="Times New Roman" w:hAnsi="Times New Roman" w:cs="Times New Roman"/>
        </w:rPr>
      </w:pPr>
    </w:p>
    <w:p w14:paraId="393846D9" w14:textId="77777777" w:rsidR="00DD069E" w:rsidRPr="00E138C4" w:rsidRDefault="00DD069E" w:rsidP="00DD069E">
      <w:pPr>
        <w:spacing w:after="0" w:line="240" w:lineRule="auto"/>
        <w:rPr>
          <w:rFonts w:ascii="Times New Roman" w:hAnsi="Times New Roman" w:cs="Times New Roman"/>
        </w:rPr>
      </w:pPr>
    </w:p>
    <w:p w14:paraId="3F02B90A" w14:textId="77777777" w:rsidR="00DD069E" w:rsidRPr="00E138C4" w:rsidRDefault="00DD069E" w:rsidP="00DD069E">
      <w:pPr>
        <w:spacing w:after="0" w:line="240" w:lineRule="auto"/>
        <w:rPr>
          <w:rFonts w:ascii="Times New Roman" w:hAnsi="Times New Roman" w:cs="Times New Roman"/>
        </w:rPr>
      </w:pPr>
    </w:p>
    <w:p w14:paraId="6681960A" w14:textId="77777777" w:rsidR="00DD069E" w:rsidRPr="00E138C4" w:rsidRDefault="00DD069E" w:rsidP="00DD069E">
      <w:pPr>
        <w:spacing w:after="0" w:line="240" w:lineRule="auto"/>
        <w:rPr>
          <w:rFonts w:ascii="Times New Roman" w:hAnsi="Times New Roman" w:cs="Times New Roman"/>
        </w:rPr>
      </w:pPr>
    </w:p>
    <w:p w14:paraId="1465DC92" w14:textId="77777777" w:rsidR="00DD069E" w:rsidRPr="00E138C4" w:rsidRDefault="00DD069E" w:rsidP="00DD069E">
      <w:pPr>
        <w:spacing w:after="0" w:line="240" w:lineRule="auto"/>
        <w:rPr>
          <w:rFonts w:ascii="Times New Roman" w:hAnsi="Times New Roman" w:cs="Times New Roman"/>
        </w:rPr>
      </w:pPr>
    </w:p>
    <w:p w14:paraId="22CB85D6" w14:textId="77777777" w:rsidR="00DD069E" w:rsidRPr="00E138C4" w:rsidRDefault="00DD069E" w:rsidP="00DD069E">
      <w:pPr>
        <w:spacing w:after="0" w:line="240" w:lineRule="auto"/>
        <w:rPr>
          <w:rFonts w:ascii="Times New Roman" w:hAnsi="Times New Roman" w:cs="Times New Roman"/>
        </w:rPr>
      </w:pPr>
    </w:p>
    <w:p w14:paraId="74DA3071" w14:textId="77777777" w:rsidR="00DD069E" w:rsidRPr="00E138C4" w:rsidRDefault="00DD069E" w:rsidP="00DD069E">
      <w:pPr>
        <w:spacing w:after="0" w:line="240" w:lineRule="auto"/>
        <w:rPr>
          <w:rFonts w:ascii="Times New Roman" w:hAnsi="Times New Roman" w:cs="Times New Roman"/>
        </w:rPr>
      </w:pPr>
    </w:p>
    <w:p w14:paraId="718146C0" w14:textId="77777777" w:rsidR="00DD069E" w:rsidRPr="00E138C4" w:rsidRDefault="00DD069E" w:rsidP="00DD069E">
      <w:pPr>
        <w:spacing w:after="0" w:line="240" w:lineRule="auto"/>
        <w:rPr>
          <w:rFonts w:ascii="Times New Roman" w:hAnsi="Times New Roman" w:cs="Times New Roman"/>
        </w:rPr>
      </w:pPr>
    </w:p>
    <w:p w14:paraId="07841C94" w14:textId="77777777" w:rsidR="00DD069E" w:rsidRPr="00E138C4" w:rsidRDefault="00DD069E" w:rsidP="00DD069E">
      <w:pPr>
        <w:spacing w:after="0" w:line="240" w:lineRule="auto"/>
        <w:rPr>
          <w:rFonts w:ascii="Times New Roman" w:hAnsi="Times New Roman" w:cs="Times New Roman"/>
        </w:rPr>
      </w:pPr>
    </w:p>
    <w:p w14:paraId="724911BC" w14:textId="77777777" w:rsidR="00DD069E" w:rsidRPr="00E138C4" w:rsidRDefault="00DD069E" w:rsidP="00DD069E">
      <w:pPr>
        <w:spacing w:after="0" w:line="240" w:lineRule="auto"/>
        <w:rPr>
          <w:rFonts w:ascii="Times New Roman" w:hAnsi="Times New Roman" w:cs="Times New Roman"/>
        </w:rPr>
      </w:pPr>
    </w:p>
    <w:p w14:paraId="783A4D6F" w14:textId="77777777" w:rsidR="00DD069E" w:rsidRPr="00E138C4" w:rsidRDefault="00DD069E" w:rsidP="00DD069E">
      <w:pPr>
        <w:spacing w:after="0" w:line="240" w:lineRule="auto"/>
        <w:rPr>
          <w:rFonts w:ascii="Times New Roman" w:hAnsi="Times New Roman" w:cs="Times New Roman"/>
        </w:rPr>
      </w:pPr>
    </w:p>
    <w:p w14:paraId="6FB98A24" w14:textId="77777777" w:rsidR="00DD069E" w:rsidRPr="00E138C4" w:rsidRDefault="00DD069E" w:rsidP="00DD069E">
      <w:pPr>
        <w:spacing w:after="0" w:line="240" w:lineRule="auto"/>
        <w:rPr>
          <w:rFonts w:ascii="Times New Roman" w:hAnsi="Times New Roman" w:cs="Times New Roman"/>
        </w:rPr>
      </w:pPr>
    </w:p>
    <w:p w14:paraId="3BF579CB" w14:textId="77777777" w:rsidR="00DD069E" w:rsidRPr="00E138C4" w:rsidRDefault="00DD069E" w:rsidP="00DD069E">
      <w:pPr>
        <w:spacing w:after="0" w:line="240" w:lineRule="auto"/>
        <w:rPr>
          <w:rFonts w:ascii="Times New Roman" w:hAnsi="Times New Roman" w:cs="Times New Roman"/>
        </w:rPr>
      </w:pPr>
    </w:p>
    <w:p w14:paraId="534E3E2E" w14:textId="77777777" w:rsidR="00DD069E" w:rsidRPr="00E138C4" w:rsidRDefault="00DD069E" w:rsidP="00DD069E">
      <w:pPr>
        <w:spacing w:after="0" w:line="240" w:lineRule="auto"/>
        <w:rPr>
          <w:rFonts w:ascii="Times New Roman" w:hAnsi="Times New Roman" w:cs="Times New Roman"/>
        </w:rPr>
      </w:pPr>
    </w:p>
    <w:p w14:paraId="7BB457F4" w14:textId="77777777" w:rsidR="00DD069E" w:rsidRPr="00E138C4" w:rsidRDefault="00DD069E" w:rsidP="00DD069E">
      <w:pPr>
        <w:spacing w:after="0" w:line="240" w:lineRule="auto"/>
        <w:rPr>
          <w:rFonts w:ascii="Times New Roman" w:hAnsi="Times New Roman" w:cs="Times New Roman"/>
        </w:rPr>
      </w:pPr>
    </w:p>
    <w:p w14:paraId="509F2566" w14:textId="77777777" w:rsidR="00DD069E" w:rsidRPr="00E138C4" w:rsidRDefault="00DD069E" w:rsidP="00DD069E">
      <w:pPr>
        <w:spacing w:after="0" w:line="240" w:lineRule="auto"/>
        <w:rPr>
          <w:rFonts w:ascii="Times New Roman" w:hAnsi="Times New Roman" w:cs="Times New Roman"/>
        </w:rPr>
      </w:pPr>
    </w:p>
    <w:p w14:paraId="046A9A57" w14:textId="77777777" w:rsidR="00DD069E" w:rsidRPr="00E138C4" w:rsidRDefault="00DD069E" w:rsidP="00DD069E">
      <w:pPr>
        <w:spacing w:after="0" w:line="240" w:lineRule="auto"/>
        <w:rPr>
          <w:rFonts w:ascii="Times New Roman" w:hAnsi="Times New Roman" w:cs="Times New Roman"/>
        </w:rPr>
      </w:pPr>
    </w:p>
    <w:p w14:paraId="08AFBEBF" w14:textId="77777777" w:rsidR="00DD069E" w:rsidRPr="00E138C4" w:rsidRDefault="00DD069E" w:rsidP="00DD069E">
      <w:pPr>
        <w:spacing w:after="0" w:line="240" w:lineRule="auto"/>
        <w:rPr>
          <w:rFonts w:ascii="Times New Roman" w:hAnsi="Times New Roman" w:cs="Times New Roman"/>
        </w:rPr>
      </w:pPr>
    </w:p>
    <w:p w14:paraId="59354F45" w14:textId="77777777" w:rsidR="00DD069E" w:rsidRPr="00E138C4" w:rsidRDefault="00DD069E" w:rsidP="00DD069E">
      <w:pPr>
        <w:spacing w:after="0" w:line="240" w:lineRule="auto"/>
        <w:rPr>
          <w:rFonts w:ascii="Times New Roman" w:hAnsi="Times New Roman" w:cs="Times New Roman"/>
        </w:rPr>
      </w:pPr>
    </w:p>
    <w:p w14:paraId="6D2EF882" w14:textId="77777777" w:rsidR="00DD069E" w:rsidRPr="00E138C4" w:rsidRDefault="00DD069E" w:rsidP="00DD069E">
      <w:pPr>
        <w:spacing w:after="0" w:line="240" w:lineRule="auto"/>
        <w:rPr>
          <w:rFonts w:ascii="Times New Roman" w:hAnsi="Times New Roman" w:cs="Times New Roman"/>
        </w:rPr>
      </w:pPr>
    </w:p>
    <w:p w14:paraId="3E008964" w14:textId="77777777" w:rsidR="00DD069E" w:rsidRPr="00E138C4" w:rsidRDefault="00DD069E" w:rsidP="00DD069E">
      <w:pPr>
        <w:spacing w:after="0" w:line="240" w:lineRule="auto"/>
        <w:rPr>
          <w:rFonts w:ascii="Times New Roman" w:hAnsi="Times New Roman" w:cs="Times New Roman"/>
        </w:rPr>
      </w:pPr>
    </w:p>
    <w:p w14:paraId="35A3860A" w14:textId="77777777" w:rsidR="005D7B84" w:rsidRPr="00E138C4" w:rsidRDefault="005D7B84" w:rsidP="00DD069E">
      <w:pPr>
        <w:spacing w:after="0" w:line="240" w:lineRule="auto"/>
        <w:rPr>
          <w:rFonts w:ascii="Times New Roman" w:hAnsi="Times New Roman" w:cs="Times New Roman"/>
        </w:rPr>
      </w:pPr>
    </w:p>
    <w:p w14:paraId="5D59F6C3" w14:textId="77777777" w:rsidR="00DD069E" w:rsidRPr="00E138C4" w:rsidRDefault="00DD069E" w:rsidP="00DD069E">
      <w:pPr>
        <w:spacing w:after="0" w:line="240" w:lineRule="auto"/>
        <w:jc w:val="center"/>
        <w:outlineLvl w:val="0"/>
        <w:rPr>
          <w:rFonts w:ascii="Times New Roman" w:hAnsi="Times New Roman" w:cs="Times New Roman"/>
          <w:b/>
        </w:rPr>
      </w:pPr>
      <w:r w:rsidRPr="00E138C4">
        <w:rPr>
          <w:rFonts w:ascii="Times New Roman" w:hAnsi="Times New Roman" w:cs="Times New Roman"/>
          <w:b/>
        </w:rPr>
        <w:t>III PRIEDAS</w:t>
      </w:r>
    </w:p>
    <w:p w14:paraId="5F5C7B78" w14:textId="77777777" w:rsidR="00DD069E" w:rsidRPr="00E138C4" w:rsidRDefault="00DD069E" w:rsidP="00DD069E">
      <w:pPr>
        <w:spacing w:after="0" w:line="240" w:lineRule="auto"/>
        <w:jc w:val="center"/>
        <w:rPr>
          <w:rFonts w:ascii="Times New Roman" w:hAnsi="Times New Roman" w:cs="Times New Roman"/>
        </w:rPr>
      </w:pPr>
    </w:p>
    <w:p w14:paraId="79F98242" w14:textId="77777777" w:rsidR="00DD069E" w:rsidRPr="00E138C4" w:rsidRDefault="00DD069E" w:rsidP="00DD069E">
      <w:pPr>
        <w:spacing w:after="0" w:line="240" w:lineRule="auto"/>
        <w:jc w:val="center"/>
        <w:outlineLvl w:val="0"/>
        <w:rPr>
          <w:rFonts w:ascii="Times New Roman" w:hAnsi="Times New Roman" w:cs="Times New Roman"/>
          <w:b/>
        </w:rPr>
      </w:pPr>
      <w:r w:rsidRPr="00E138C4">
        <w:rPr>
          <w:rFonts w:ascii="Times New Roman" w:hAnsi="Times New Roman" w:cs="Times New Roman"/>
          <w:b/>
        </w:rPr>
        <w:t>ŽENKLINIMAS IR PAKUOTĖS LAPELIS</w:t>
      </w:r>
    </w:p>
    <w:p w14:paraId="74070BBE"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r w:rsidRPr="00E138C4">
        <w:rPr>
          <w:rFonts w:ascii="Times New Roman" w:hAnsi="Times New Roman" w:cs="Times New Roman"/>
          <w:b/>
        </w:rPr>
        <w:br w:type="page"/>
      </w:r>
    </w:p>
    <w:p w14:paraId="4D5A7C45"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235E53D6"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4C2FA60"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70C3992"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2B098A41"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2809AEF7"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1689FAEC"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466BE442"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34209E7B"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626C9ABD"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B793E7E"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55F4EF2"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64649EC3"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032B7AA2"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360C3985"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0E0784A7"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5178C346"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20E82EA5"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06523E18"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1C24E381"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4E389BF6"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6CC40CDF" w14:textId="77777777" w:rsidR="00DD069E" w:rsidRPr="00E138C4" w:rsidRDefault="00DD069E"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382EC56B" w14:textId="77777777" w:rsidR="005D7B84" w:rsidRPr="00E138C4" w:rsidRDefault="005D7B84" w:rsidP="00DD069E">
      <w:pPr>
        <w:keepNext/>
        <w:tabs>
          <w:tab w:val="left" w:pos="567"/>
        </w:tabs>
        <w:spacing w:after="0" w:line="240" w:lineRule="auto"/>
        <w:jc w:val="both"/>
        <w:outlineLvl w:val="4"/>
        <w:rPr>
          <w:rFonts w:ascii="Times New Roman" w:eastAsia="Times New Roman" w:hAnsi="Times New Roman" w:cs="Times New Roman"/>
          <w:lang w:eastAsia="x-none"/>
        </w:rPr>
      </w:pPr>
    </w:p>
    <w:p w14:paraId="75585DD4" w14:textId="77777777" w:rsidR="00DD069E" w:rsidRPr="00E138C4" w:rsidRDefault="00DD069E" w:rsidP="00DD069E">
      <w:pPr>
        <w:keepNext/>
        <w:tabs>
          <w:tab w:val="left" w:pos="567"/>
        </w:tabs>
        <w:spacing w:after="0" w:line="240" w:lineRule="auto"/>
        <w:jc w:val="center"/>
        <w:outlineLvl w:val="4"/>
        <w:rPr>
          <w:rFonts w:ascii="Times New Roman" w:eastAsia="Times New Roman" w:hAnsi="Times New Roman" w:cs="Times New Roman"/>
          <w:b/>
          <w:lang w:eastAsia="x-none"/>
        </w:rPr>
      </w:pPr>
      <w:r w:rsidRPr="00E138C4">
        <w:rPr>
          <w:rFonts w:ascii="Times New Roman" w:eastAsia="Times New Roman" w:hAnsi="Times New Roman" w:cs="Times New Roman"/>
          <w:b/>
          <w:lang w:eastAsia="x-none"/>
        </w:rPr>
        <w:t>A. ŽENKLINIMAS</w:t>
      </w:r>
    </w:p>
    <w:p w14:paraId="5A14848D" w14:textId="77777777" w:rsidR="00DD069E" w:rsidRPr="00E138C4" w:rsidRDefault="00DD069E" w:rsidP="00DD069E">
      <w:pPr>
        <w:spacing w:after="0" w:line="240" w:lineRule="auto"/>
        <w:jc w:val="both"/>
        <w:rPr>
          <w:rFonts w:ascii="Times New Roman" w:hAnsi="Times New Roman" w:cs="Times New Roman"/>
        </w:rPr>
      </w:pPr>
      <w:r w:rsidRPr="00E138C4">
        <w:rPr>
          <w:rFonts w:ascii="Times New Roman" w:hAnsi="Times New Roman" w:cs="Times New Roman"/>
          <w:b/>
        </w:rPr>
        <w:br w:type="page"/>
      </w:r>
    </w:p>
    <w:p w14:paraId="602DFCD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lastRenderedPageBreak/>
        <w:t>INFORMACIJA ANT IŠORINĖS PAKUOTĖS</w:t>
      </w:r>
    </w:p>
    <w:p w14:paraId="5F49F2B0"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32F02C52"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42E10C39" w14:textId="77777777" w:rsidR="00DD069E" w:rsidRPr="00E138C4" w:rsidRDefault="00DD069E" w:rsidP="00DD069E">
      <w:pPr>
        <w:spacing w:after="0" w:line="240" w:lineRule="auto"/>
        <w:jc w:val="both"/>
        <w:rPr>
          <w:rFonts w:ascii="Times New Roman" w:hAnsi="Times New Roman" w:cs="Times New Roman"/>
        </w:rPr>
      </w:pPr>
    </w:p>
    <w:p w14:paraId="4E9EB6A8" w14:textId="77777777" w:rsidR="00DD069E" w:rsidRPr="00E138C4" w:rsidRDefault="00DD069E" w:rsidP="00DD069E">
      <w:pPr>
        <w:spacing w:after="0" w:line="240" w:lineRule="auto"/>
        <w:jc w:val="both"/>
        <w:rPr>
          <w:rFonts w:ascii="Times New Roman" w:hAnsi="Times New Roman" w:cs="Times New Roman"/>
        </w:rPr>
      </w:pPr>
    </w:p>
    <w:p w14:paraId="39D21D9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4CC67D3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5BF0391" w14:textId="1992B292"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Ketilept 25 mg </w:t>
      </w:r>
      <w:bookmarkStart w:id="1" w:name="OLE_LINK2"/>
      <w:r w:rsidRPr="00E138C4">
        <w:rPr>
          <w:rFonts w:ascii="Times New Roman" w:hAnsi="Times New Roman" w:cs="Times New Roman"/>
        </w:rPr>
        <w:t>plėvele dengtos tabletės</w:t>
      </w:r>
      <w:bookmarkEnd w:id="1"/>
    </w:p>
    <w:p w14:paraId="3BF8C84A"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5228870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7D1616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6926CE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2A69CF7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847C185" w14:textId="478827E7" w:rsidR="00DD069E" w:rsidRPr="00E138C4" w:rsidRDefault="00F32E7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25 mg kvetiapino, atitinkančio 28,78 mg kvetiapino hemifumarato.</w:t>
      </w:r>
    </w:p>
    <w:p w14:paraId="33D7F03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286E0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013391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2C82537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EC8DEE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1B1C72F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Daugiau informacijos rasite pakuotės lapelyje.</w:t>
      </w:r>
    </w:p>
    <w:p w14:paraId="2D72BA1B"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p>
    <w:p w14:paraId="255A71E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9CF96F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4BDE32A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649223B"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5EB2FFCF"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50 plėvele dengtų tablečių</w:t>
      </w:r>
    </w:p>
    <w:p w14:paraId="140C81E4"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60 plėvele dengtų tablečių</w:t>
      </w:r>
    </w:p>
    <w:p w14:paraId="3EDFCB90"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70 plėvele dengtų tablečių</w:t>
      </w:r>
    </w:p>
    <w:p w14:paraId="2A9134F2"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80 plėvele dengtų tablečių</w:t>
      </w:r>
    </w:p>
    <w:p w14:paraId="1FA8F564" w14:textId="77777777" w:rsidR="00DD069E" w:rsidRPr="00E138C4" w:rsidRDefault="00DD069E" w:rsidP="00DD069E">
      <w:pPr>
        <w:tabs>
          <w:tab w:val="left" w:pos="540"/>
        </w:tabs>
        <w:spacing w:after="0" w:line="240" w:lineRule="auto"/>
        <w:jc w:val="both"/>
        <w:rPr>
          <w:rFonts w:ascii="Times New Roman" w:hAnsi="Times New Roman" w:cs="Times New Roman"/>
          <w:highlight w:val="lightGray"/>
        </w:rPr>
      </w:pPr>
      <w:r w:rsidRPr="00E138C4">
        <w:rPr>
          <w:rFonts w:ascii="Times New Roman" w:hAnsi="Times New Roman" w:cs="Times New Roman"/>
          <w:highlight w:val="lightGray"/>
        </w:rPr>
        <w:t>90 plėvele dengtų tablečių</w:t>
      </w:r>
    </w:p>
    <w:p w14:paraId="2FDAD020"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highlight w:val="lightGray"/>
        </w:rPr>
        <w:t>100 plėvele dengtų tablečių</w:t>
      </w:r>
    </w:p>
    <w:p w14:paraId="786F2A7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BBC5AE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3F8947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5.</w:t>
      </w:r>
      <w:r w:rsidRPr="00E138C4">
        <w:rPr>
          <w:rFonts w:ascii="Times New Roman" w:hAnsi="Times New Roman" w:cs="Times New Roman"/>
          <w:b/>
        </w:rPr>
        <w:tab/>
        <w:t>VARTOJIMO METODAS IR BŪDAS (-AI)</w:t>
      </w:r>
    </w:p>
    <w:p w14:paraId="526410F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3EC947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Prieš vartojimą perskaitykite pakuotės lapelį.</w:t>
      </w:r>
    </w:p>
    <w:p w14:paraId="0609BD2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Vartoti taip, kaip nurodė gydytojas.</w:t>
      </w:r>
    </w:p>
    <w:p w14:paraId="3EA9718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Vartoti per burną.</w:t>
      </w:r>
    </w:p>
    <w:p w14:paraId="0575406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33982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C605AD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0"/>
          <w:tab w:val="left" w:pos="567"/>
        </w:tabs>
        <w:autoSpaceDE w:val="0"/>
        <w:autoSpaceDN w:val="0"/>
        <w:adjustRightInd w:val="0"/>
        <w:spacing w:after="0" w:line="240" w:lineRule="auto"/>
        <w:jc w:val="both"/>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3788F78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C8D4D64"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73DEAA2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032762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EC9EA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7.</w:t>
      </w:r>
      <w:r w:rsidRPr="00E138C4">
        <w:rPr>
          <w:rFonts w:ascii="Times New Roman" w:hAnsi="Times New Roman" w:cs="Times New Roman"/>
          <w:b/>
        </w:rPr>
        <w:tab/>
        <w:t>KITAS (-I) SPECIALUS (-ŪS) ĮSPĖJIMAS (-AI) (JEI REIKIA)</w:t>
      </w:r>
    </w:p>
    <w:p w14:paraId="128F1B4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71625A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7AFF7C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8.</w:t>
      </w:r>
      <w:r w:rsidRPr="00E138C4">
        <w:rPr>
          <w:rFonts w:ascii="Times New Roman" w:hAnsi="Times New Roman" w:cs="Times New Roman"/>
          <w:b/>
        </w:rPr>
        <w:tab/>
        <w:t>TINKAMUMO LAIKAS</w:t>
      </w:r>
    </w:p>
    <w:p w14:paraId="44C13AE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3FE6153" w14:textId="77777777" w:rsidR="00DD069E" w:rsidRPr="00E138C4" w:rsidRDefault="00620060"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F42DE9" w:rsidRPr="00E138C4">
        <w:rPr>
          <w:rFonts w:ascii="Times New Roman" w:hAnsi="Times New Roman" w:cs="Times New Roman"/>
        </w:rPr>
        <w:t>:</w:t>
      </w:r>
      <w:r w:rsidR="00DD069E" w:rsidRPr="00E138C4">
        <w:rPr>
          <w:rFonts w:ascii="Times New Roman" w:hAnsi="Times New Roman" w:cs="Times New Roman"/>
        </w:rPr>
        <w:t xml:space="preserve"> {mm MMMM}</w:t>
      </w:r>
    </w:p>
    <w:p w14:paraId="10E8951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5ABF7A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147D3B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9.</w:t>
      </w:r>
      <w:r w:rsidRPr="00E138C4">
        <w:rPr>
          <w:rFonts w:ascii="Times New Roman" w:hAnsi="Times New Roman" w:cs="Times New Roman"/>
          <w:b/>
        </w:rPr>
        <w:tab/>
        <w:t>SPECIALIOS LAIKYMO SĄLYGOS</w:t>
      </w:r>
    </w:p>
    <w:p w14:paraId="6B9334AE" w14:textId="77777777" w:rsidR="00DD069E" w:rsidRPr="00E138C4" w:rsidRDefault="00DD069E" w:rsidP="00DD069E">
      <w:pPr>
        <w:spacing w:after="0" w:line="240" w:lineRule="auto"/>
        <w:rPr>
          <w:rFonts w:ascii="Times New Roman" w:hAnsi="Times New Roman" w:cs="Times New Roman"/>
        </w:rPr>
      </w:pPr>
    </w:p>
    <w:p w14:paraId="0958DF7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318098A4" w14:textId="77777777" w:rsidR="00DD069E" w:rsidRPr="00E138C4" w:rsidRDefault="00DD069E" w:rsidP="00DD069E">
      <w:pPr>
        <w:spacing w:after="0" w:line="240" w:lineRule="auto"/>
        <w:jc w:val="both"/>
        <w:rPr>
          <w:rFonts w:ascii="Times New Roman" w:hAnsi="Times New Roman" w:cs="Times New Roman"/>
        </w:rPr>
      </w:pPr>
    </w:p>
    <w:p w14:paraId="2D6C93F6" w14:textId="77777777" w:rsidR="00DD069E" w:rsidRPr="00E138C4" w:rsidRDefault="00DD069E" w:rsidP="00DD069E">
      <w:pPr>
        <w:spacing w:after="0" w:line="240" w:lineRule="auto"/>
        <w:jc w:val="both"/>
        <w:rPr>
          <w:rFonts w:ascii="Times New Roman" w:hAnsi="Times New Roman" w:cs="Times New Roman"/>
        </w:rPr>
      </w:pPr>
    </w:p>
    <w:p w14:paraId="397509A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 w:val="left" w:pos="567"/>
        </w:tabs>
        <w:autoSpaceDE w:val="0"/>
        <w:autoSpaceDN w:val="0"/>
        <w:adjustRightInd w:val="0"/>
        <w:spacing w:after="0" w:line="240" w:lineRule="auto"/>
        <w:ind w:left="540" w:hanging="540"/>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5A010C5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5440F7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F116314" w14:textId="77777777" w:rsidR="00DD069E" w:rsidRPr="00E138C4" w:rsidRDefault="00DD069E" w:rsidP="00862DF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 PAVADINIMAS IR ADRESAS</w:t>
      </w:r>
    </w:p>
    <w:p w14:paraId="6912C803" w14:textId="77777777" w:rsidR="00DD069E" w:rsidRPr="00E138C4" w:rsidRDefault="00DD069E" w:rsidP="00DD069E">
      <w:pPr>
        <w:spacing w:after="0" w:line="240" w:lineRule="auto"/>
        <w:rPr>
          <w:rFonts w:ascii="Times New Roman" w:hAnsi="Times New Roman" w:cs="Times New Roman"/>
        </w:rPr>
      </w:pPr>
    </w:p>
    <w:p w14:paraId="108FFB7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E</w:t>
      </w:r>
      <w:r w:rsidR="006001BA" w:rsidRPr="00E138C4">
        <w:rPr>
          <w:rFonts w:ascii="Times New Roman" w:hAnsi="Times New Roman" w:cs="Times New Roman"/>
        </w:rPr>
        <w:t>gis</w:t>
      </w:r>
      <w:r w:rsidRPr="00E138C4">
        <w:rPr>
          <w:rFonts w:ascii="Times New Roman" w:hAnsi="Times New Roman" w:cs="Times New Roman"/>
        </w:rPr>
        <w:t xml:space="preserve"> Pharmaceuticals PLC</w:t>
      </w:r>
    </w:p>
    <w:p w14:paraId="7EAE34E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7C2F8E3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477035E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6D0382E" w14:textId="77777777" w:rsidR="00DD069E" w:rsidRPr="00E138C4" w:rsidRDefault="00DD069E" w:rsidP="00DD069E">
      <w:pPr>
        <w:tabs>
          <w:tab w:val="left" w:pos="540"/>
        </w:tabs>
        <w:spacing w:after="0" w:line="240" w:lineRule="auto"/>
        <w:rPr>
          <w:rFonts w:ascii="Times New Roman" w:hAnsi="Times New Roman" w:cs="Times New Roman"/>
          <w:i/>
        </w:rPr>
      </w:pPr>
    </w:p>
    <w:p w14:paraId="6D081A1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DD0AD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3CF4CB8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6306DD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LT/1/07/0746/001</w:t>
      </w:r>
    </w:p>
    <w:p w14:paraId="5AF246EA"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LT/1/07/0746/021</w:t>
      </w:r>
    </w:p>
    <w:p w14:paraId="1B97643D"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LT/1/07/0746/002</w:t>
      </w:r>
    </w:p>
    <w:p w14:paraId="19ED3AD9"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LT/1/07/0746/022</w:t>
      </w:r>
    </w:p>
    <w:p w14:paraId="3CF763A2"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LT/1/07/0746/023</w:t>
      </w:r>
    </w:p>
    <w:p w14:paraId="79B61EA8"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LT/1/07/0746/024</w:t>
      </w:r>
    </w:p>
    <w:p w14:paraId="5AC306F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LT/1/07/0746/025</w:t>
      </w:r>
    </w:p>
    <w:p w14:paraId="06EE4BC2" w14:textId="77777777" w:rsidR="00DD069E" w:rsidRPr="00E138C4" w:rsidRDefault="00DD069E" w:rsidP="00DD069E">
      <w:pPr>
        <w:spacing w:after="0" w:line="240" w:lineRule="auto"/>
        <w:rPr>
          <w:rFonts w:ascii="Times New Roman" w:hAnsi="Times New Roman" w:cs="Times New Roman"/>
        </w:rPr>
      </w:pPr>
    </w:p>
    <w:p w14:paraId="7EDCFCC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DA846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20167E7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9FDAE36" w14:textId="77777777" w:rsidR="00DD069E" w:rsidRPr="00E138C4" w:rsidRDefault="00620060"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F42DE9" w:rsidRPr="00E138C4">
        <w:rPr>
          <w:rFonts w:ascii="Times New Roman" w:hAnsi="Times New Roman" w:cs="Times New Roman"/>
        </w:rPr>
        <w:t>:</w:t>
      </w:r>
    </w:p>
    <w:p w14:paraId="34111C7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F7CF83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84A1AC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5DF35B1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BF9ECF9"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1E04FD1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06D9BF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805394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0B7458B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97CA6E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E1C6CE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738B749F" w14:textId="77777777" w:rsidR="00DD069E" w:rsidRPr="00E138C4" w:rsidRDefault="00DD069E" w:rsidP="00DD069E">
      <w:pPr>
        <w:spacing w:after="0" w:line="240" w:lineRule="auto"/>
        <w:rPr>
          <w:rFonts w:ascii="Times New Roman" w:hAnsi="Times New Roman" w:cs="Times New Roman"/>
        </w:rPr>
      </w:pPr>
    </w:p>
    <w:p w14:paraId="4805DE43" w14:textId="4D6F9D8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 mg</w:t>
      </w:r>
    </w:p>
    <w:p w14:paraId="242C9CC3" w14:textId="77777777" w:rsidR="00DD069E" w:rsidRPr="00E138C4" w:rsidRDefault="00DD069E" w:rsidP="00DD069E">
      <w:pPr>
        <w:spacing w:after="0" w:line="240" w:lineRule="auto"/>
        <w:rPr>
          <w:rFonts w:ascii="Times New Roman" w:hAnsi="Times New Roman" w:cs="Times New Roman"/>
        </w:rPr>
      </w:pPr>
    </w:p>
    <w:p w14:paraId="5E86B84F" w14:textId="77777777" w:rsidR="00DD069E" w:rsidRPr="00E138C4" w:rsidRDefault="00DD069E" w:rsidP="00DD069E">
      <w:pPr>
        <w:spacing w:after="0" w:line="240" w:lineRule="auto"/>
        <w:rPr>
          <w:rFonts w:ascii="Times New Roman" w:hAnsi="Times New Roman" w:cs="Times New Roman"/>
        </w:rPr>
      </w:pPr>
    </w:p>
    <w:p w14:paraId="715995D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14D790CA" w14:textId="77777777" w:rsidR="00DD069E" w:rsidRPr="00E138C4" w:rsidRDefault="00DD069E" w:rsidP="00DD069E">
      <w:pPr>
        <w:spacing w:after="0" w:line="240" w:lineRule="auto"/>
        <w:rPr>
          <w:rFonts w:ascii="Times New Roman" w:hAnsi="Times New Roman" w:cs="Times New Roman"/>
        </w:rPr>
      </w:pPr>
    </w:p>
    <w:p w14:paraId="2CDA43C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4C667A63" w14:textId="77777777" w:rsidR="00DD069E" w:rsidRPr="00E138C4" w:rsidRDefault="00DD069E" w:rsidP="00DD069E">
      <w:pPr>
        <w:spacing w:after="0" w:line="240" w:lineRule="auto"/>
        <w:rPr>
          <w:rFonts w:ascii="Times New Roman" w:hAnsi="Times New Roman" w:cs="Times New Roman"/>
        </w:rPr>
      </w:pPr>
    </w:p>
    <w:p w14:paraId="12720D0C" w14:textId="77777777" w:rsidR="00DD069E" w:rsidRPr="00E138C4" w:rsidRDefault="00DD069E" w:rsidP="00DD069E">
      <w:pPr>
        <w:spacing w:after="0" w:line="240" w:lineRule="auto"/>
        <w:rPr>
          <w:rFonts w:ascii="Times New Roman" w:hAnsi="Times New Roman" w:cs="Times New Roman"/>
        </w:rPr>
      </w:pPr>
    </w:p>
    <w:p w14:paraId="3C6B3A1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78A11936" w14:textId="77777777" w:rsidR="00DD069E" w:rsidRPr="00E138C4" w:rsidRDefault="00DD069E" w:rsidP="00DD069E">
      <w:pPr>
        <w:spacing w:after="0" w:line="240" w:lineRule="auto"/>
        <w:rPr>
          <w:rFonts w:ascii="Times New Roman" w:hAnsi="Times New Roman" w:cs="Times New Roman"/>
        </w:rPr>
      </w:pPr>
    </w:p>
    <w:p w14:paraId="5751330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 xml:space="preserve">PC: {numeris} </w:t>
      </w:r>
    </w:p>
    <w:p w14:paraId="611FDB6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SN: {numeris} </w:t>
      </w:r>
    </w:p>
    <w:p w14:paraId="1E2FDC6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NN: {numeris}</w:t>
      </w:r>
      <w:r w:rsidRPr="00E138C4">
        <w:rPr>
          <w:rFonts w:ascii="Times New Roman" w:hAnsi="Times New Roman" w:cs="Times New Roman"/>
        </w:rPr>
        <w:t xml:space="preserve"> </w:t>
      </w:r>
    </w:p>
    <w:p w14:paraId="2D280050"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72A0D82C"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F920B65"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40CBDB76" w14:textId="77777777" w:rsidR="00DD069E" w:rsidRPr="00E138C4" w:rsidRDefault="00DD069E" w:rsidP="00DD069E">
      <w:pPr>
        <w:spacing w:after="0" w:line="240" w:lineRule="auto"/>
        <w:jc w:val="both"/>
        <w:rPr>
          <w:rFonts w:ascii="Times New Roman" w:hAnsi="Times New Roman" w:cs="Times New Roman"/>
        </w:rPr>
      </w:pPr>
    </w:p>
    <w:p w14:paraId="67AF196D" w14:textId="77777777" w:rsidR="00DD069E" w:rsidRPr="00E138C4" w:rsidRDefault="00DD069E" w:rsidP="00DD069E">
      <w:pPr>
        <w:spacing w:after="0" w:line="240" w:lineRule="auto"/>
        <w:jc w:val="both"/>
        <w:rPr>
          <w:rFonts w:ascii="Times New Roman" w:hAnsi="Times New Roman" w:cs="Times New Roman"/>
        </w:rPr>
      </w:pPr>
    </w:p>
    <w:p w14:paraId="436F697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242D4E7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9284ECC" w14:textId="4DFA873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 mg plėvele dengtos tabletės</w:t>
      </w:r>
    </w:p>
    <w:p w14:paraId="1A63D5F5"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0313D693" w14:textId="77777777" w:rsidR="00DD069E" w:rsidRPr="00E138C4" w:rsidRDefault="00DD069E" w:rsidP="00DD069E">
      <w:pPr>
        <w:spacing w:after="0" w:line="240" w:lineRule="auto"/>
        <w:jc w:val="both"/>
        <w:rPr>
          <w:rFonts w:ascii="Times New Roman" w:hAnsi="Times New Roman" w:cs="Times New Roman"/>
        </w:rPr>
      </w:pPr>
    </w:p>
    <w:p w14:paraId="2B1B6C3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613574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w:t>
      </w:r>
      <w:r w:rsidRPr="00E138C4">
        <w:rPr>
          <w:rFonts w:ascii="Times New Roman" w:hAnsi="Times New Roman" w:cs="Times New Roman"/>
          <w:b/>
        </w:rPr>
        <w:t xml:space="preserve"> PAVADINIMAS </w:t>
      </w:r>
    </w:p>
    <w:p w14:paraId="3F07C20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7AAE607" w14:textId="77777777" w:rsidR="00DD069E" w:rsidRPr="00E138C4" w:rsidRDefault="006001BA" w:rsidP="00DD069E">
      <w:pPr>
        <w:spacing w:after="0" w:line="240" w:lineRule="auto"/>
        <w:jc w:val="both"/>
        <w:rPr>
          <w:rFonts w:ascii="Times New Roman" w:hAnsi="Times New Roman" w:cs="Times New Roman"/>
        </w:rPr>
      </w:pPr>
      <w:r w:rsidRPr="00E138C4">
        <w:rPr>
          <w:rFonts w:ascii="Times New Roman" w:hAnsi="Times New Roman" w:cs="Times New Roman"/>
        </w:rPr>
        <w:t xml:space="preserve">Egis </w:t>
      </w:r>
    </w:p>
    <w:p w14:paraId="6247547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5801C5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CD126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1C479B2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2175DAB" w14:textId="77777777" w:rsidR="00DD069E" w:rsidRPr="00E138C4" w:rsidRDefault="00620060"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DD069E" w:rsidRPr="00E138C4">
        <w:rPr>
          <w:rFonts w:ascii="Times New Roman" w:hAnsi="Times New Roman" w:cs="Times New Roman"/>
        </w:rPr>
        <w:t xml:space="preserve"> {mm MMMM}</w:t>
      </w:r>
    </w:p>
    <w:p w14:paraId="5571155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E4C17C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839ED9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615D674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7507832" w14:textId="77777777" w:rsidR="00DD069E" w:rsidRPr="00E138C4" w:rsidRDefault="00620060"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451FE8BC" w14:textId="77777777" w:rsidR="00DD069E" w:rsidRPr="00E138C4" w:rsidRDefault="00DD069E" w:rsidP="00DD069E">
      <w:pPr>
        <w:spacing w:after="0" w:line="240" w:lineRule="auto"/>
        <w:jc w:val="both"/>
        <w:rPr>
          <w:rFonts w:ascii="Times New Roman" w:hAnsi="Times New Roman" w:cs="Times New Roman"/>
        </w:rPr>
      </w:pPr>
    </w:p>
    <w:p w14:paraId="74305494" w14:textId="77777777" w:rsidR="00DD069E" w:rsidRPr="00E138C4" w:rsidRDefault="00DD069E" w:rsidP="00DD069E">
      <w:pPr>
        <w:spacing w:after="0" w:line="240" w:lineRule="auto"/>
        <w:jc w:val="both"/>
        <w:rPr>
          <w:rFonts w:ascii="Times New Roman" w:hAnsi="Times New Roman" w:cs="Times New Roman"/>
        </w:rPr>
      </w:pPr>
    </w:p>
    <w:p w14:paraId="7D299B4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40364FF4" w14:textId="77777777" w:rsidR="00DD069E" w:rsidRPr="00E138C4" w:rsidRDefault="00DD069E" w:rsidP="00862DF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rPr>
      </w:pPr>
      <w:r w:rsidRPr="00E138C4">
        <w:rPr>
          <w:rFonts w:ascii="Times New Roman" w:hAnsi="Times New Roman" w:cs="Times New Roman"/>
          <w:b/>
        </w:rPr>
        <w:br w:type="page"/>
      </w:r>
    </w:p>
    <w:p w14:paraId="7EA60BCB" w14:textId="77777777" w:rsidR="00DD069E" w:rsidRPr="00E138C4" w:rsidRDefault="00DD069E" w:rsidP="00DD069E">
      <w:pPr>
        <w:spacing w:after="0" w:line="240" w:lineRule="auto"/>
        <w:rPr>
          <w:rFonts w:ascii="Times New Roman" w:hAnsi="Times New Roman" w:cs="Times New Roman"/>
        </w:rPr>
      </w:pPr>
    </w:p>
    <w:p w14:paraId="431F67E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t>INFORMACIJA ANT IŠORINĖS PAKUOTĖS</w:t>
      </w:r>
    </w:p>
    <w:p w14:paraId="26E0E367"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1C80B6E5"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10F525D1" w14:textId="77777777" w:rsidR="00DD069E" w:rsidRPr="00E138C4" w:rsidRDefault="00DD069E" w:rsidP="00DD069E">
      <w:pPr>
        <w:spacing w:after="0" w:line="240" w:lineRule="auto"/>
        <w:jc w:val="both"/>
        <w:rPr>
          <w:rFonts w:ascii="Times New Roman" w:hAnsi="Times New Roman" w:cs="Times New Roman"/>
        </w:rPr>
      </w:pPr>
    </w:p>
    <w:p w14:paraId="27B8865D" w14:textId="77777777" w:rsidR="00DD069E" w:rsidRPr="00E138C4" w:rsidRDefault="00DD069E" w:rsidP="00DD069E">
      <w:pPr>
        <w:spacing w:after="0" w:line="240" w:lineRule="auto"/>
        <w:jc w:val="both"/>
        <w:rPr>
          <w:rFonts w:ascii="Times New Roman" w:hAnsi="Times New Roman" w:cs="Times New Roman"/>
        </w:rPr>
      </w:pPr>
    </w:p>
    <w:p w14:paraId="6D07638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4F82A97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2ABBEF3" w14:textId="1F219CD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 plėvele dengtos tabletės</w:t>
      </w:r>
    </w:p>
    <w:p w14:paraId="71C95B1F"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54B9B53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369C9A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C6B1C1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742145D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B813EBE" w14:textId="5C395940" w:rsidR="00DD069E" w:rsidRPr="00E138C4" w:rsidRDefault="00B014E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100 mg kvetiapino, atitinkančio 115,13 mg kvetiapino hemifumarato.</w:t>
      </w:r>
    </w:p>
    <w:p w14:paraId="6850DF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1A4DC1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C9B095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52C1F29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583B79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59264D2E"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Daugiau informacijos rasite pakuotės lapelyje.</w:t>
      </w:r>
    </w:p>
    <w:p w14:paraId="2D6BC257" w14:textId="77777777" w:rsidR="00DD069E" w:rsidRPr="00E138C4" w:rsidRDefault="00DD069E" w:rsidP="00DD069E">
      <w:pPr>
        <w:spacing w:after="0" w:line="240" w:lineRule="auto"/>
        <w:rPr>
          <w:rFonts w:ascii="Times New Roman" w:hAnsi="Times New Roman" w:cs="Times New Roman"/>
          <w:i/>
        </w:rPr>
      </w:pPr>
    </w:p>
    <w:p w14:paraId="1A0B5B4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0B953D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20D2168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6B808F3"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4D3C1111"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50 plėvele dengtų tablečių</w:t>
      </w:r>
    </w:p>
    <w:p w14:paraId="14679B43"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60 plėvele dengtų tablečių</w:t>
      </w:r>
    </w:p>
    <w:p w14:paraId="65BC03E6"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70 plėvele dengtų tablečių</w:t>
      </w:r>
    </w:p>
    <w:p w14:paraId="78EE6EFC"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80 plėvele dengtų tablečių</w:t>
      </w:r>
    </w:p>
    <w:p w14:paraId="6E24B0FB"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90 plėvele dengtų tablečių</w:t>
      </w:r>
    </w:p>
    <w:p w14:paraId="10A67BB5"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r w:rsidRPr="00E138C4">
        <w:rPr>
          <w:rFonts w:ascii="Times New Roman" w:eastAsia="Calibri" w:hAnsi="Times New Roman" w:cs="Times New Roman"/>
          <w:highlight w:val="lightGray"/>
        </w:rPr>
        <w:t>100 plėvele dengtų tablečių</w:t>
      </w:r>
    </w:p>
    <w:p w14:paraId="5DE47F3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1F1E84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868D09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5.</w:t>
      </w:r>
      <w:r w:rsidRPr="00E138C4">
        <w:rPr>
          <w:rFonts w:ascii="Times New Roman" w:eastAsia="Calibri" w:hAnsi="Times New Roman" w:cs="Times New Roman"/>
          <w:b/>
        </w:rPr>
        <w:tab/>
        <w:t>VARTOJIMO METODAS IR BŪDAS (-AI)</w:t>
      </w:r>
    </w:p>
    <w:p w14:paraId="481656A4"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1C06B71C" w14:textId="77777777" w:rsidR="00DD069E" w:rsidRPr="00E138C4" w:rsidRDefault="00DD069E" w:rsidP="00C712D0">
      <w:pPr>
        <w:spacing w:after="0" w:line="240" w:lineRule="auto"/>
        <w:rPr>
          <w:rFonts w:ascii="Times New Roman" w:eastAsia="Calibri" w:hAnsi="Times New Roman" w:cs="Times New Roman"/>
        </w:rPr>
      </w:pPr>
      <w:r w:rsidRPr="00E138C4">
        <w:rPr>
          <w:rFonts w:ascii="Times New Roman" w:eastAsia="Calibri" w:hAnsi="Times New Roman" w:cs="Times New Roman"/>
        </w:rPr>
        <w:t>Prieš vartojimą perskaitykite pakuotės lapelį.</w:t>
      </w:r>
    </w:p>
    <w:p w14:paraId="48AB655E" w14:textId="77777777" w:rsidR="00DD069E" w:rsidRPr="00E138C4" w:rsidRDefault="00DD069E" w:rsidP="00C712D0">
      <w:pPr>
        <w:spacing w:after="0" w:line="240" w:lineRule="auto"/>
        <w:rPr>
          <w:rFonts w:ascii="Times New Roman" w:hAnsi="Times New Roman" w:cs="Times New Roman"/>
        </w:rPr>
      </w:pPr>
      <w:r w:rsidRPr="00E138C4">
        <w:rPr>
          <w:rFonts w:ascii="Times New Roman" w:hAnsi="Times New Roman" w:cs="Times New Roman"/>
        </w:rPr>
        <w:t>Vartoti taip, kaip nurodė gydytojas.</w:t>
      </w:r>
    </w:p>
    <w:p w14:paraId="725CA9D4" w14:textId="77777777" w:rsidR="00DD069E" w:rsidRPr="00E138C4" w:rsidRDefault="00DD069E" w:rsidP="00C712D0">
      <w:pPr>
        <w:spacing w:after="0" w:line="240" w:lineRule="auto"/>
        <w:rPr>
          <w:rFonts w:ascii="Times New Roman" w:hAnsi="Times New Roman" w:cs="Times New Roman"/>
        </w:rPr>
      </w:pPr>
      <w:r w:rsidRPr="00E138C4">
        <w:rPr>
          <w:rFonts w:ascii="Times New Roman" w:hAnsi="Times New Roman" w:cs="Times New Roman"/>
        </w:rPr>
        <w:t>Vartoti per burną.</w:t>
      </w:r>
    </w:p>
    <w:p w14:paraId="67EC0C5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5A18B9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1760079"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26FCCDC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B6FA230"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14ADEEA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FAA664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72255D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7.</w:t>
      </w:r>
      <w:r w:rsidRPr="00E138C4">
        <w:rPr>
          <w:rFonts w:ascii="Times New Roman" w:hAnsi="Times New Roman" w:cs="Times New Roman"/>
          <w:b/>
        </w:rPr>
        <w:tab/>
        <w:t>KITAS (-I) SPECIALUS (-ŪS) ĮSPĖJIMAS (-AI) (JEI REIKIA)</w:t>
      </w:r>
    </w:p>
    <w:p w14:paraId="7B43B47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F6EAB8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3B6DE0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8.</w:t>
      </w:r>
      <w:r w:rsidRPr="00E138C4">
        <w:rPr>
          <w:rFonts w:ascii="Times New Roman" w:hAnsi="Times New Roman" w:cs="Times New Roman"/>
          <w:b/>
        </w:rPr>
        <w:tab/>
        <w:t>TINKAMUMO LAIKAS</w:t>
      </w:r>
    </w:p>
    <w:p w14:paraId="19700B0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A64FC7D"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B014ED" w:rsidRPr="00E138C4">
        <w:rPr>
          <w:rFonts w:ascii="Times New Roman" w:hAnsi="Times New Roman" w:cs="Times New Roman"/>
        </w:rPr>
        <w:t>:</w:t>
      </w:r>
      <w:r w:rsidRPr="00E138C4">
        <w:rPr>
          <w:rFonts w:ascii="Times New Roman" w:hAnsi="Times New Roman" w:cs="Times New Roman"/>
        </w:rPr>
        <w:t xml:space="preserve"> {mm MMMM}</w:t>
      </w:r>
    </w:p>
    <w:p w14:paraId="0F37308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34DCB9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8929B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9.</w:t>
      </w:r>
      <w:r w:rsidRPr="00E138C4">
        <w:rPr>
          <w:rFonts w:ascii="Times New Roman" w:hAnsi="Times New Roman" w:cs="Times New Roman"/>
          <w:b/>
        </w:rPr>
        <w:tab/>
        <w:t>SPECIALIOS LAIKYMO SĄLYGOS</w:t>
      </w:r>
    </w:p>
    <w:p w14:paraId="2B11351B" w14:textId="77777777" w:rsidR="00DD069E" w:rsidRPr="00E138C4" w:rsidRDefault="00DD069E" w:rsidP="00DD069E">
      <w:pPr>
        <w:spacing w:after="0" w:line="240" w:lineRule="auto"/>
        <w:rPr>
          <w:rFonts w:ascii="Times New Roman" w:hAnsi="Times New Roman" w:cs="Times New Roman"/>
        </w:rPr>
      </w:pPr>
    </w:p>
    <w:p w14:paraId="4E2F236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016EE58B" w14:textId="77777777" w:rsidR="00DD069E" w:rsidRPr="00E138C4" w:rsidRDefault="00DD069E" w:rsidP="00DD069E">
      <w:pPr>
        <w:spacing w:after="0" w:line="240" w:lineRule="auto"/>
        <w:jc w:val="both"/>
        <w:rPr>
          <w:rFonts w:ascii="Times New Roman" w:hAnsi="Times New Roman" w:cs="Times New Roman"/>
        </w:rPr>
      </w:pPr>
    </w:p>
    <w:p w14:paraId="1668A9EA" w14:textId="77777777" w:rsidR="00DD069E" w:rsidRPr="00E138C4" w:rsidRDefault="00DD069E" w:rsidP="00DD069E">
      <w:pPr>
        <w:spacing w:after="0" w:line="240" w:lineRule="auto"/>
        <w:jc w:val="both"/>
        <w:rPr>
          <w:rFonts w:ascii="Times New Roman" w:hAnsi="Times New Roman" w:cs="Times New Roman"/>
        </w:rPr>
      </w:pPr>
    </w:p>
    <w:p w14:paraId="484B3420"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jc w:val="both"/>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081B84D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2C4A3D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CCD761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w:t>
      </w:r>
      <w:r w:rsidRPr="00E138C4">
        <w:rPr>
          <w:rFonts w:ascii="Times New Roman" w:hAnsi="Times New Roman" w:cs="Times New Roman"/>
          <w:b/>
        </w:rPr>
        <w:t xml:space="preserve"> PAVADINIMAS IR ADRESAS</w:t>
      </w:r>
    </w:p>
    <w:p w14:paraId="21386983" w14:textId="77777777" w:rsidR="00DD069E" w:rsidRPr="00E138C4" w:rsidRDefault="00DD069E" w:rsidP="00C712D0">
      <w:pPr>
        <w:tabs>
          <w:tab w:val="left" w:pos="540"/>
        </w:tabs>
        <w:spacing w:after="0" w:line="240" w:lineRule="auto"/>
        <w:jc w:val="both"/>
        <w:rPr>
          <w:rFonts w:ascii="Times New Roman" w:hAnsi="Times New Roman" w:cs="Times New Roman"/>
        </w:rPr>
      </w:pPr>
    </w:p>
    <w:p w14:paraId="0C34848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E</w:t>
      </w:r>
      <w:r w:rsidR="007751D8" w:rsidRPr="00E138C4">
        <w:rPr>
          <w:rFonts w:ascii="Times New Roman" w:hAnsi="Times New Roman" w:cs="Times New Roman"/>
        </w:rPr>
        <w:t>gis</w:t>
      </w:r>
      <w:r w:rsidRPr="00E138C4">
        <w:rPr>
          <w:rFonts w:ascii="Times New Roman" w:hAnsi="Times New Roman" w:cs="Times New Roman"/>
        </w:rPr>
        <w:t xml:space="preserve"> Pharmaceuticals PLC</w:t>
      </w:r>
    </w:p>
    <w:p w14:paraId="55CE1DB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5F57D9E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484FC25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6DE953D" w14:textId="77777777" w:rsidR="00DD069E" w:rsidRPr="00E138C4" w:rsidRDefault="00DD069E" w:rsidP="00DD069E">
      <w:pPr>
        <w:tabs>
          <w:tab w:val="left" w:pos="540"/>
        </w:tabs>
        <w:spacing w:after="0" w:line="240" w:lineRule="auto"/>
        <w:rPr>
          <w:rFonts w:ascii="Times New Roman" w:hAnsi="Times New Roman" w:cs="Times New Roman"/>
          <w:i/>
        </w:rPr>
      </w:pPr>
    </w:p>
    <w:p w14:paraId="141009A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64ED98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59FC010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3C08CD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LT/1/07/0746/005</w:t>
      </w:r>
    </w:p>
    <w:p w14:paraId="7CE6D988"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LT/1/07/0746/026</w:t>
      </w:r>
    </w:p>
    <w:p w14:paraId="3F342BAB"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LT/1/07/0746/006</w:t>
      </w:r>
    </w:p>
    <w:p w14:paraId="4F7C234D"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LT/1/07/0746/027</w:t>
      </w:r>
    </w:p>
    <w:p w14:paraId="68631531"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LT/1/07/0746/028</w:t>
      </w:r>
    </w:p>
    <w:p w14:paraId="3C30D8EF"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LT/1/07/0746/029</w:t>
      </w:r>
    </w:p>
    <w:p w14:paraId="38FF246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LT/1/07/0746/030</w:t>
      </w:r>
    </w:p>
    <w:p w14:paraId="2F23C275" w14:textId="77777777" w:rsidR="00DD069E" w:rsidRPr="00E138C4" w:rsidRDefault="00DD069E" w:rsidP="00DD069E">
      <w:pPr>
        <w:spacing w:after="0" w:line="240" w:lineRule="auto"/>
        <w:rPr>
          <w:rFonts w:ascii="Times New Roman" w:hAnsi="Times New Roman" w:cs="Times New Roman"/>
        </w:rPr>
      </w:pPr>
    </w:p>
    <w:p w14:paraId="09E7C9D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C36ED9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02455AF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9BFE73C"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B014ED" w:rsidRPr="00E138C4">
        <w:rPr>
          <w:rFonts w:ascii="Times New Roman" w:hAnsi="Times New Roman" w:cs="Times New Roman"/>
        </w:rPr>
        <w:t>:</w:t>
      </w:r>
    </w:p>
    <w:p w14:paraId="1216CE6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FF91B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2A41EF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4D458D0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0410DF5"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5AC1288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F3B8EB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DDFC8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612CE9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3108BE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CD4AB6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05C0AA59" w14:textId="77777777" w:rsidR="00DD069E" w:rsidRPr="00E138C4" w:rsidRDefault="00DD069E" w:rsidP="00DD069E">
      <w:pPr>
        <w:spacing w:after="0" w:line="240" w:lineRule="auto"/>
        <w:rPr>
          <w:rFonts w:ascii="Times New Roman" w:hAnsi="Times New Roman" w:cs="Times New Roman"/>
        </w:rPr>
      </w:pPr>
    </w:p>
    <w:p w14:paraId="4B53CBA8" w14:textId="1F21CF28"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w:t>
      </w:r>
    </w:p>
    <w:p w14:paraId="68B8D621" w14:textId="77777777" w:rsidR="00DD069E" w:rsidRPr="00E138C4" w:rsidRDefault="00DD069E" w:rsidP="00DD069E">
      <w:pPr>
        <w:spacing w:after="0" w:line="240" w:lineRule="auto"/>
        <w:rPr>
          <w:rFonts w:ascii="Times New Roman" w:hAnsi="Times New Roman" w:cs="Times New Roman"/>
        </w:rPr>
      </w:pPr>
    </w:p>
    <w:p w14:paraId="15FB919F" w14:textId="77777777" w:rsidR="00DD069E" w:rsidRPr="00E138C4" w:rsidRDefault="00DD069E" w:rsidP="00DD069E">
      <w:pPr>
        <w:spacing w:after="0" w:line="240" w:lineRule="auto"/>
        <w:rPr>
          <w:rFonts w:ascii="Times New Roman" w:hAnsi="Times New Roman" w:cs="Times New Roman"/>
        </w:rPr>
      </w:pPr>
    </w:p>
    <w:p w14:paraId="6F0E4E3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12DC4CF6" w14:textId="77777777" w:rsidR="00DD069E" w:rsidRPr="00E138C4" w:rsidRDefault="00DD069E" w:rsidP="00DD069E">
      <w:pPr>
        <w:spacing w:after="0" w:line="240" w:lineRule="auto"/>
        <w:rPr>
          <w:rFonts w:ascii="Times New Roman" w:hAnsi="Times New Roman" w:cs="Times New Roman"/>
        </w:rPr>
      </w:pPr>
    </w:p>
    <w:p w14:paraId="288121E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7CFE7F05" w14:textId="77777777" w:rsidR="00DD069E" w:rsidRPr="00E138C4" w:rsidRDefault="00DD069E" w:rsidP="00DD069E">
      <w:pPr>
        <w:spacing w:after="0" w:line="240" w:lineRule="auto"/>
        <w:rPr>
          <w:rFonts w:ascii="Times New Roman" w:hAnsi="Times New Roman" w:cs="Times New Roman"/>
        </w:rPr>
      </w:pPr>
    </w:p>
    <w:p w14:paraId="4A5BD66E" w14:textId="77777777" w:rsidR="00DD069E" w:rsidRPr="00E138C4" w:rsidRDefault="00DD069E" w:rsidP="00DD069E">
      <w:pPr>
        <w:spacing w:after="0" w:line="240" w:lineRule="auto"/>
        <w:rPr>
          <w:rFonts w:ascii="Times New Roman" w:hAnsi="Times New Roman" w:cs="Times New Roman"/>
        </w:rPr>
      </w:pPr>
    </w:p>
    <w:p w14:paraId="403E1E4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2A1CDF0A" w14:textId="77777777" w:rsidR="00DD069E" w:rsidRPr="00E138C4" w:rsidRDefault="00DD069E" w:rsidP="00DD069E">
      <w:pPr>
        <w:spacing w:after="0" w:line="240" w:lineRule="auto"/>
        <w:rPr>
          <w:rFonts w:ascii="Times New Roman" w:hAnsi="Times New Roman" w:cs="Times New Roman"/>
        </w:rPr>
      </w:pPr>
    </w:p>
    <w:p w14:paraId="30A55A8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PC: {numeris} </w:t>
      </w:r>
    </w:p>
    <w:p w14:paraId="528EA2F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SN: {numeris</w:t>
      </w:r>
    </w:p>
    <w:p w14:paraId="450FBBB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NN: {numeris</w:t>
      </w:r>
      <w:r w:rsidRPr="00E138C4">
        <w:rPr>
          <w:rFonts w:ascii="Times New Roman" w:hAnsi="Times New Roman" w:cs="Times New Roman"/>
        </w:rPr>
        <w:t xml:space="preserve">} </w:t>
      </w:r>
    </w:p>
    <w:p w14:paraId="07A16CB2" w14:textId="77777777" w:rsidR="00DD069E" w:rsidRPr="00E138C4" w:rsidRDefault="00DD069E" w:rsidP="00DD069E">
      <w:pPr>
        <w:spacing w:after="0" w:line="240" w:lineRule="auto"/>
        <w:rPr>
          <w:rFonts w:ascii="Times New Roman" w:hAnsi="Times New Roman" w:cs="Times New Roman"/>
        </w:rPr>
      </w:pPr>
    </w:p>
    <w:p w14:paraId="56D39CE3"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0F36A176"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3DDCDC0C"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5CF28A54" w14:textId="77777777" w:rsidR="00DD069E" w:rsidRPr="00E138C4" w:rsidRDefault="00DD069E" w:rsidP="00DD069E">
      <w:pPr>
        <w:spacing w:after="0" w:line="240" w:lineRule="auto"/>
        <w:jc w:val="both"/>
        <w:rPr>
          <w:rFonts w:ascii="Times New Roman" w:hAnsi="Times New Roman" w:cs="Times New Roman"/>
        </w:rPr>
      </w:pPr>
    </w:p>
    <w:p w14:paraId="5FB1ADC7" w14:textId="77777777" w:rsidR="00DD069E" w:rsidRPr="00E138C4" w:rsidRDefault="00DD069E" w:rsidP="00DD069E">
      <w:pPr>
        <w:spacing w:after="0" w:line="240" w:lineRule="auto"/>
        <w:jc w:val="both"/>
        <w:rPr>
          <w:rFonts w:ascii="Times New Roman" w:hAnsi="Times New Roman" w:cs="Times New Roman"/>
        </w:rPr>
      </w:pPr>
    </w:p>
    <w:p w14:paraId="3E648F6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32DE094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B17D998" w14:textId="6F150260"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100 mg plėvele dengtos tabletės</w:t>
      </w:r>
    </w:p>
    <w:p w14:paraId="2D03510B" w14:textId="77777777" w:rsidR="00DD069E" w:rsidRPr="00E138C4" w:rsidRDefault="00F00AE7"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w:t>
      </w:r>
      <w:r w:rsidR="00DD069E" w:rsidRPr="00E138C4">
        <w:rPr>
          <w:rFonts w:ascii="Times New Roman" w:hAnsi="Times New Roman" w:cs="Times New Roman"/>
        </w:rPr>
        <w:t>vetiapinas</w:t>
      </w:r>
    </w:p>
    <w:p w14:paraId="7348EF01" w14:textId="77777777" w:rsidR="00DD069E" w:rsidRPr="00E138C4" w:rsidRDefault="00DD069E" w:rsidP="00DD069E">
      <w:pPr>
        <w:spacing w:after="0" w:line="240" w:lineRule="auto"/>
        <w:jc w:val="both"/>
        <w:rPr>
          <w:rFonts w:ascii="Times New Roman" w:hAnsi="Times New Roman" w:cs="Times New Roman"/>
        </w:rPr>
      </w:pPr>
    </w:p>
    <w:p w14:paraId="5005FBA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0947DCE"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w:t>
      </w:r>
      <w:r w:rsidRPr="00E138C4">
        <w:rPr>
          <w:rFonts w:ascii="Times New Roman" w:hAnsi="Times New Roman" w:cs="Times New Roman"/>
          <w:b/>
        </w:rPr>
        <w:t xml:space="preserve"> PAVADINIMAS </w:t>
      </w:r>
    </w:p>
    <w:p w14:paraId="2BAB018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A669300" w14:textId="77777777" w:rsidR="00DD069E" w:rsidRPr="00E138C4" w:rsidRDefault="00DD069E" w:rsidP="00DD069E">
      <w:pPr>
        <w:spacing w:after="0" w:line="240" w:lineRule="auto"/>
        <w:jc w:val="both"/>
        <w:rPr>
          <w:rFonts w:ascii="Times New Roman" w:hAnsi="Times New Roman" w:cs="Times New Roman"/>
        </w:rPr>
      </w:pPr>
      <w:r w:rsidRPr="00E138C4">
        <w:rPr>
          <w:rFonts w:ascii="Times New Roman" w:hAnsi="Times New Roman" w:cs="Times New Roman"/>
        </w:rPr>
        <w:t>E</w:t>
      </w:r>
      <w:r w:rsidR="007751D8" w:rsidRPr="00E138C4">
        <w:rPr>
          <w:rFonts w:ascii="Times New Roman" w:hAnsi="Times New Roman" w:cs="Times New Roman"/>
        </w:rPr>
        <w:t>gis</w:t>
      </w:r>
      <w:r w:rsidRPr="00E138C4">
        <w:rPr>
          <w:rFonts w:ascii="Times New Roman" w:hAnsi="Times New Roman" w:cs="Times New Roman"/>
        </w:rPr>
        <w:t xml:space="preserve"> </w:t>
      </w:r>
    </w:p>
    <w:p w14:paraId="2C22439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988A4F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A2E7EA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74BD0F4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400DFE2"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 {mm MMMM}</w:t>
      </w:r>
    </w:p>
    <w:p w14:paraId="00998B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D8CD2F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E85D63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2F7735A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B526F5C"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7486E387" w14:textId="77777777" w:rsidR="00DD069E" w:rsidRPr="00E138C4" w:rsidRDefault="00DD069E" w:rsidP="00DD069E">
      <w:pPr>
        <w:spacing w:after="0" w:line="240" w:lineRule="auto"/>
        <w:jc w:val="both"/>
        <w:rPr>
          <w:rFonts w:ascii="Times New Roman" w:hAnsi="Times New Roman" w:cs="Times New Roman"/>
        </w:rPr>
      </w:pPr>
    </w:p>
    <w:p w14:paraId="75D39A57" w14:textId="77777777" w:rsidR="00DD069E" w:rsidRPr="00E138C4" w:rsidRDefault="00DD069E" w:rsidP="00DD069E">
      <w:pPr>
        <w:spacing w:after="0" w:line="240" w:lineRule="auto"/>
        <w:jc w:val="both"/>
        <w:rPr>
          <w:rFonts w:ascii="Times New Roman" w:hAnsi="Times New Roman" w:cs="Times New Roman"/>
        </w:rPr>
      </w:pPr>
    </w:p>
    <w:p w14:paraId="51D4F5D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71E7104A" w14:textId="77777777" w:rsidR="00DD069E" w:rsidRPr="00E138C4" w:rsidRDefault="00DD069E" w:rsidP="00862DF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rPr>
      </w:pPr>
      <w:r w:rsidRPr="00E138C4">
        <w:rPr>
          <w:rFonts w:ascii="Times New Roman" w:hAnsi="Times New Roman" w:cs="Times New Roman"/>
          <w:b/>
        </w:rPr>
        <w:br w:type="page"/>
      </w:r>
    </w:p>
    <w:p w14:paraId="4868DE05" w14:textId="77777777" w:rsidR="00DD069E" w:rsidRPr="00E138C4" w:rsidRDefault="00DD069E" w:rsidP="00DD069E">
      <w:pPr>
        <w:spacing w:after="0" w:line="240" w:lineRule="auto"/>
        <w:rPr>
          <w:rFonts w:ascii="Times New Roman" w:hAnsi="Times New Roman" w:cs="Times New Roman"/>
        </w:rPr>
      </w:pPr>
    </w:p>
    <w:p w14:paraId="7A1A3876"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t>INFORMACIJA ANT IŠORINĖS PAKUOTĖS</w:t>
      </w:r>
    </w:p>
    <w:p w14:paraId="5AF4EE1E"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015FDA6E"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554B6628" w14:textId="77777777" w:rsidR="00DD069E" w:rsidRPr="00E138C4" w:rsidRDefault="00DD069E" w:rsidP="00DD069E">
      <w:pPr>
        <w:spacing w:after="0" w:line="240" w:lineRule="auto"/>
        <w:jc w:val="both"/>
        <w:rPr>
          <w:rFonts w:ascii="Times New Roman" w:hAnsi="Times New Roman" w:cs="Times New Roman"/>
        </w:rPr>
      </w:pPr>
    </w:p>
    <w:p w14:paraId="489AEF36" w14:textId="77777777" w:rsidR="00DD069E" w:rsidRPr="00E138C4" w:rsidRDefault="00DD069E" w:rsidP="00DD069E">
      <w:pPr>
        <w:spacing w:after="0" w:line="240" w:lineRule="auto"/>
        <w:jc w:val="both"/>
        <w:rPr>
          <w:rFonts w:ascii="Times New Roman" w:hAnsi="Times New Roman" w:cs="Times New Roman"/>
        </w:rPr>
      </w:pPr>
    </w:p>
    <w:p w14:paraId="7AD7D86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45952BC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6BD34A8" w14:textId="14091CB5"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150 mg plėvele dengtos tabletės</w:t>
      </w:r>
    </w:p>
    <w:p w14:paraId="2399CFD3"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5EC68D5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22A467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ADCF0C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790D138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5B3E73C" w14:textId="3A05D3DE" w:rsidR="00DD069E" w:rsidRPr="00E138C4" w:rsidRDefault="00B014E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150 mg kvetiapino, atitinkančio 172,7 mg kvetiapino hemifumarato.</w:t>
      </w:r>
    </w:p>
    <w:p w14:paraId="61BAA88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0E165E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20EC3E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3B7E5A3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958065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40F8E677"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Daugiau informacijos rasite pakuotės lapelyje.</w:t>
      </w:r>
    </w:p>
    <w:p w14:paraId="27AE4490" w14:textId="77777777" w:rsidR="00DD069E" w:rsidRPr="00E138C4" w:rsidRDefault="00DD069E" w:rsidP="00DD069E">
      <w:pPr>
        <w:spacing w:after="0" w:line="240" w:lineRule="auto"/>
        <w:rPr>
          <w:rFonts w:ascii="Times New Roman" w:hAnsi="Times New Roman" w:cs="Times New Roman"/>
          <w:i/>
        </w:rPr>
      </w:pPr>
    </w:p>
    <w:p w14:paraId="6389204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EA8271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33EFD13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23A894C"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6AB1D94F"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50 plėvele dengtų tablečių</w:t>
      </w:r>
    </w:p>
    <w:p w14:paraId="43EAAE73"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60 plėvele dengtų tablečių</w:t>
      </w:r>
    </w:p>
    <w:p w14:paraId="1D334A32"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70 plėvele dengtų tablečių</w:t>
      </w:r>
    </w:p>
    <w:p w14:paraId="53B22087"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80 plėvele dengtų tablečių</w:t>
      </w:r>
    </w:p>
    <w:p w14:paraId="7396B601"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90 plėvele dengtų tablečių</w:t>
      </w:r>
    </w:p>
    <w:p w14:paraId="77D131D5"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r w:rsidRPr="00E138C4">
        <w:rPr>
          <w:rFonts w:ascii="Times New Roman" w:eastAsia="Calibri" w:hAnsi="Times New Roman" w:cs="Times New Roman"/>
          <w:highlight w:val="lightGray"/>
        </w:rPr>
        <w:t>100 plėvele dengtų tablečių</w:t>
      </w:r>
    </w:p>
    <w:p w14:paraId="2F71A0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530E70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01AD181"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5.</w:t>
      </w:r>
      <w:r w:rsidRPr="00E138C4">
        <w:rPr>
          <w:rFonts w:ascii="Times New Roman" w:eastAsia="Calibri" w:hAnsi="Times New Roman" w:cs="Times New Roman"/>
          <w:b/>
        </w:rPr>
        <w:tab/>
        <w:t>VARTOJIMO METODAS IR BŪDAS (-AI)</w:t>
      </w:r>
    </w:p>
    <w:p w14:paraId="0FE407ED"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3A10BC35" w14:textId="77777777" w:rsidR="00DD069E" w:rsidRPr="00E138C4" w:rsidRDefault="00DD069E" w:rsidP="00C712D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Prieš vartojimą perskaitykite pakuotės lapelį.</w:t>
      </w:r>
    </w:p>
    <w:p w14:paraId="2F10FE11" w14:textId="77777777" w:rsidR="00DD069E" w:rsidRPr="00E138C4" w:rsidRDefault="00DD069E" w:rsidP="00C712D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Vartoti taip, kaip nurodė gydytojas.</w:t>
      </w:r>
    </w:p>
    <w:p w14:paraId="39EFB096" w14:textId="77777777" w:rsidR="00DD069E" w:rsidRPr="00E138C4" w:rsidRDefault="00DD069E" w:rsidP="00C712D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Vartoti per burną.</w:t>
      </w:r>
    </w:p>
    <w:p w14:paraId="3B563F3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6C4CB5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6B9D40B"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5208AB8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1A9F5F3"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604D27D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AFD742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85D3C2E"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7.</w:t>
      </w:r>
      <w:r w:rsidRPr="00E138C4">
        <w:rPr>
          <w:rFonts w:ascii="Times New Roman" w:eastAsia="Calibri" w:hAnsi="Times New Roman" w:cs="Times New Roman"/>
          <w:b/>
        </w:rPr>
        <w:tab/>
        <w:t>KITAS (-I) SPECIALUS (-ŪS) ĮSPĖJIMAS (-AI) (JEI REIKIA)</w:t>
      </w:r>
    </w:p>
    <w:p w14:paraId="6BDA85E7"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394FDCEA"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47DAC95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8.</w:t>
      </w:r>
      <w:r w:rsidRPr="00E138C4">
        <w:rPr>
          <w:rFonts w:ascii="Times New Roman" w:eastAsia="Calibri" w:hAnsi="Times New Roman" w:cs="Times New Roman"/>
          <w:b/>
        </w:rPr>
        <w:tab/>
        <w:t>TINKAMUMO LAIKAS</w:t>
      </w:r>
    </w:p>
    <w:p w14:paraId="2F6BABC9"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50A9FDEF"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B014ED" w:rsidRPr="00E138C4">
        <w:rPr>
          <w:rFonts w:ascii="Times New Roman" w:hAnsi="Times New Roman" w:cs="Times New Roman"/>
        </w:rPr>
        <w:t>:</w:t>
      </w:r>
      <w:r w:rsidRPr="00E138C4">
        <w:rPr>
          <w:rFonts w:ascii="Times New Roman" w:hAnsi="Times New Roman" w:cs="Times New Roman"/>
        </w:rPr>
        <w:t xml:space="preserve"> {mm MMMM}</w:t>
      </w:r>
    </w:p>
    <w:p w14:paraId="247F9158"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4CF79670"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51532CB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9.</w:t>
      </w:r>
      <w:r w:rsidRPr="00E138C4">
        <w:rPr>
          <w:rFonts w:ascii="Times New Roman" w:eastAsia="Calibri" w:hAnsi="Times New Roman" w:cs="Times New Roman"/>
          <w:b/>
        </w:rPr>
        <w:tab/>
        <w:t>SPECIALIOS LAIKYMO SĄLYGOS</w:t>
      </w:r>
    </w:p>
    <w:p w14:paraId="7EE837A2" w14:textId="77777777" w:rsidR="00DD069E" w:rsidRPr="00E138C4" w:rsidRDefault="00DD069E" w:rsidP="00DD069E">
      <w:pPr>
        <w:spacing w:after="0" w:line="240" w:lineRule="auto"/>
        <w:rPr>
          <w:rFonts w:ascii="Times New Roman" w:eastAsia="Calibri" w:hAnsi="Times New Roman" w:cs="Times New Roman"/>
        </w:rPr>
      </w:pPr>
    </w:p>
    <w:p w14:paraId="2DAB2E0D"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Laikyti žemesnėje kaip 25 </w:t>
      </w:r>
      <w:r w:rsidRPr="00E138C4">
        <w:rPr>
          <w:rFonts w:ascii="Times New Roman" w:hAnsi="Times New Roman" w:cs="Times New Roman"/>
        </w:rPr>
        <w:sym w:font="Symbol" w:char="F0B0"/>
      </w:r>
      <w:r w:rsidRPr="00E138C4">
        <w:rPr>
          <w:rFonts w:ascii="Times New Roman" w:eastAsia="Calibri" w:hAnsi="Times New Roman" w:cs="Times New Roman"/>
        </w:rPr>
        <w:t>C temperatūroje.</w:t>
      </w:r>
    </w:p>
    <w:p w14:paraId="1B12674A" w14:textId="77777777" w:rsidR="00DD069E" w:rsidRPr="00E138C4" w:rsidRDefault="00DD069E" w:rsidP="00DD069E">
      <w:pPr>
        <w:spacing w:after="0" w:line="240" w:lineRule="auto"/>
        <w:jc w:val="both"/>
        <w:rPr>
          <w:rFonts w:ascii="Times New Roman" w:eastAsia="Calibri" w:hAnsi="Times New Roman" w:cs="Times New Roman"/>
        </w:rPr>
      </w:pPr>
    </w:p>
    <w:p w14:paraId="2C114F0F" w14:textId="77777777" w:rsidR="00DD069E" w:rsidRPr="00E138C4" w:rsidRDefault="00DD069E" w:rsidP="00DD069E">
      <w:pPr>
        <w:spacing w:after="0" w:line="240" w:lineRule="auto"/>
        <w:jc w:val="both"/>
        <w:rPr>
          <w:rFonts w:ascii="Times New Roman" w:eastAsia="Calibri" w:hAnsi="Times New Roman" w:cs="Times New Roman"/>
        </w:rPr>
      </w:pPr>
    </w:p>
    <w:p w14:paraId="2F12CFBC"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7FB83E9A"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5A469BF2"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61D9727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 PAVADINIMAS IR ADRESAS</w:t>
      </w:r>
    </w:p>
    <w:p w14:paraId="6E086FF4" w14:textId="77777777" w:rsidR="00DD069E" w:rsidRPr="00E138C4" w:rsidRDefault="00DD069E" w:rsidP="00C712D0">
      <w:pPr>
        <w:spacing w:after="0" w:line="240" w:lineRule="auto"/>
        <w:rPr>
          <w:rFonts w:ascii="Times New Roman" w:hAnsi="Times New Roman" w:cs="Times New Roman"/>
        </w:rPr>
      </w:pPr>
    </w:p>
    <w:p w14:paraId="54BBDD19" w14:textId="77777777" w:rsidR="00DD069E" w:rsidRPr="00E138C4" w:rsidRDefault="00336CBF"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461DF2D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05FA8F2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7853A67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C25D309" w14:textId="77777777" w:rsidR="00DD069E" w:rsidRPr="00E138C4" w:rsidRDefault="00DD069E" w:rsidP="00DD069E">
      <w:pPr>
        <w:tabs>
          <w:tab w:val="left" w:pos="540"/>
        </w:tabs>
        <w:spacing w:after="0" w:line="240" w:lineRule="auto"/>
        <w:rPr>
          <w:rFonts w:ascii="Times New Roman" w:hAnsi="Times New Roman" w:cs="Times New Roman"/>
          <w:i/>
        </w:rPr>
      </w:pPr>
    </w:p>
    <w:p w14:paraId="121DD5E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DA43D1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40C84EF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F8AD2C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LT/1/07/0746/009</w:t>
      </w:r>
    </w:p>
    <w:p w14:paraId="6BC586E4"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LT/1/07/0746/031</w:t>
      </w:r>
    </w:p>
    <w:p w14:paraId="13D4CE2B"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LT/1/07/0746/010</w:t>
      </w:r>
    </w:p>
    <w:p w14:paraId="65F60C7A"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LT/1/07/0746/032</w:t>
      </w:r>
    </w:p>
    <w:p w14:paraId="2B49A1C0"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LT/1/07/0746/033</w:t>
      </w:r>
    </w:p>
    <w:p w14:paraId="42CF1F23"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LT/1/07/0746/034</w:t>
      </w:r>
    </w:p>
    <w:p w14:paraId="1EEA5A2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LT/1/07/0746/035</w:t>
      </w:r>
    </w:p>
    <w:p w14:paraId="1F908AB8" w14:textId="77777777" w:rsidR="00DD069E" w:rsidRPr="00E138C4" w:rsidRDefault="00DD069E" w:rsidP="00DD069E">
      <w:pPr>
        <w:spacing w:after="0" w:line="240" w:lineRule="auto"/>
        <w:rPr>
          <w:rFonts w:ascii="Times New Roman" w:hAnsi="Times New Roman" w:cs="Times New Roman"/>
        </w:rPr>
      </w:pPr>
    </w:p>
    <w:p w14:paraId="0726697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7A80185"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334F339E" w14:textId="77777777" w:rsidR="00DD069E" w:rsidRPr="00E138C4" w:rsidRDefault="00DD069E" w:rsidP="00C712D0">
      <w:pPr>
        <w:tabs>
          <w:tab w:val="left" w:pos="540"/>
        </w:tabs>
        <w:spacing w:after="0" w:line="240" w:lineRule="auto"/>
        <w:jc w:val="both"/>
        <w:rPr>
          <w:rFonts w:ascii="Times New Roman" w:hAnsi="Times New Roman" w:cs="Times New Roman"/>
        </w:rPr>
      </w:pPr>
    </w:p>
    <w:p w14:paraId="007C083F"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B014ED" w:rsidRPr="00E138C4">
        <w:rPr>
          <w:rFonts w:ascii="Times New Roman" w:hAnsi="Times New Roman" w:cs="Times New Roman"/>
        </w:rPr>
        <w:t>:</w:t>
      </w:r>
    </w:p>
    <w:p w14:paraId="3155162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840AC8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427261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7CEC682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4638538"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48FA76E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BB079A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C37A73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0E163DD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64E898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DFE59D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71C901CA" w14:textId="77777777" w:rsidR="00DD069E" w:rsidRPr="00E138C4" w:rsidRDefault="00DD069E" w:rsidP="00DD069E">
      <w:pPr>
        <w:spacing w:after="0" w:line="240" w:lineRule="auto"/>
        <w:rPr>
          <w:rFonts w:ascii="Times New Roman" w:hAnsi="Times New Roman" w:cs="Times New Roman"/>
        </w:rPr>
      </w:pPr>
    </w:p>
    <w:p w14:paraId="4756922D" w14:textId="0C9DAFC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150 mg</w:t>
      </w:r>
    </w:p>
    <w:p w14:paraId="5F32A27C" w14:textId="77777777" w:rsidR="00DD069E" w:rsidRPr="00E138C4" w:rsidRDefault="00DD069E" w:rsidP="00DD069E">
      <w:pPr>
        <w:spacing w:after="0" w:line="240" w:lineRule="auto"/>
        <w:rPr>
          <w:rFonts w:ascii="Times New Roman" w:hAnsi="Times New Roman" w:cs="Times New Roman"/>
        </w:rPr>
      </w:pPr>
    </w:p>
    <w:p w14:paraId="34905C98" w14:textId="77777777" w:rsidR="00DD069E" w:rsidRPr="00E138C4" w:rsidRDefault="00DD069E" w:rsidP="00DD069E">
      <w:pPr>
        <w:spacing w:after="0" w:line="240" w:lineRule="auto"/>
        <w:rPr>
          <w:rFonts w:ascii="Times New Roman" w:hAnsi="Times New Roman" w:cs="Times New Roman"/>
        </w:rPr>
      </w:pPr>
    </w:p>
    <w:p w14:paraId="213CFC2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3BA12759" w14:textId="77777777" w:rsidR="00DD069E" w:rsidRPr="00E138C4" w:rsidRDefault="00DD069E" w:rsidP="00DD069E">
      <w:pPr>
        <w:spacing w:after="0" w:line="240" w:lineRule="auto"/>
        <w:rPr>
          <w:rFonts w:ascii="Times New Roman" w:hAnsi="Times New Roman" w:cs="Times New Roman"/>
        </w:rPr>
      </w:pPr>
    </w:p>
    <w:p w14:paraId="306F655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3C906712" w14:textId="77777777" w:rsidR="00DD069E" w:rsidRPr="00E138C4" w:rsidRDefault="00DD069E" w:rsidP="00DD069E">
      <w:pPr>
        <w:spacing w:after="0" w:line="240" w:lineRule="auto"/>
        <w:rPr>
          <w:rFonts w:ascii="Times New Roman" w:hAnsi="Times New Roman" w:cs="Times New Roman"/>
        </w:rPr>
      </w:pPr>
    </w:p>
    <w:p w14:paraId="0ACEDF8E" w14:textId="77777777" w:rsidR="00DD069E" w:rsidRPr="00E138C4" w:rsidRDefault="00DD069E" w:rsidP="00DD069E">
      <w:pPr>
        <w:spacing w:after="0" w:line="240" w:lineRule="auto"/>
        <w:rPr>
          <w:rFonts w:ascii="Times New Roman" w:hAnsi="Times New Roman" w:cs="Times New Roman"/>
        </w:rPr>
      </w:pPr>
    </w:p>
    <w:p w14:paraId="3D62FF0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19DEDBCE" w14:textId="77777777" w:rsidR="00DD069E" w:rsidRPr="00E138C4" w:rsidRDefault="00DD069E" w:rsidP="00DD069E">
      <w:pPr>
        <w:spacing w:after="0" w:line="240" w:lineRule="auto"/>
        <w:rPr>
          <w:rFonts w:ascii="Times New Roman" w:hAnsi="Times New Roman" w:cs="Times New Roman"/>
        </w:rPr>
      </w:pPr>
    </w:p>
    <w:p w14:paraId="15A3380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PC: {numeris} </w:t>
      </w:r>
    </w:p>
    <w:p w14:paraId="31A8C48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SN: {numeris} </w:t>
      </w:r>
    </w:p>
    <w:p w14:paraId="3289198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NN: {numeris}</w:t>
      </w:r>
      <w:r w:rsidRPr="00E138C4">
        <w:rPr>
          <w:rFonts w:ascii="Times New Roman" w:hAnsi="Times New Roman" w:cs="Times New Roman"/>
        </w:rPr>
        <w:t xml:space="preserve"> </w:t>
      </w:r>
    </w:p>
    <w:p w14:paraId="50A64F9A" w14:textId="77777777" w:rsidR="00DD069E" w:rsidRPr="00E138C4" w:rsidRDefault="00DD069E" w:rsidP="00DD069E">
      <w:pPr>
        <w:spacing w:after="0" w:line="240" w:lineRule="auto"/>
        <w:rPr>
          <w:rFonts w:ascii="Times New Roman" w:hAnsi="Times New Roman" w:cs="Times New Roman"/>
        </w:rPr>
      </w:pPr>
    </w:p>
    <w:p w14:paraId="174899D2"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5741BCB8"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0FF1B7DD"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472744AB" w14:textId="77777777" w:rsidR="00DD069E" w:rsidRPr="00E138C4" w:rsidRDefault="00DD069E" w:rsidP="00DD069E">
      <w:pPr>
        <w:spacing w:after="0" w:line="240" w:lineRule="auto"/>
        <w:jc w:val="both"/>
        <w:rPr>
          <w:rFonts w:ascii="Times New Roman" w:hAnsi="Times New Roman" w:cs="Times New Roman"/>
        </w:rPr>
      </w:pPr>
    </w:p>
    <w:p w14:paraId="4882347B" w14:textId="77777777" w:rsidR="00DD069E" w:rsidRPr="00E138C4" w:rsidRDefault="00DD069E" w:rsidP="00DD069E">
      <w:pPr>
        <w:spacing w:after="0" w:line="240" w:lineRule="auto"/>
        <w:jc w:val="both"/>
        <w:rPr>
          <w:rFonts w:ascii="Times New Roman" w:hAnsi="Times New Roman" w:cs="Times New Roman"/>
        </w:rPr>
      </w:pPr>
    </w:p>
    <w:p w14:paraId="46241CC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72713D8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D51930B" w14:textId="186C839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150 mg plėvele dengtos tabletės</w:t>
      </w:r>
    </w:p>
    <w:p w14:paraId="3D82FFB6"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6598C68D" w14:textId="77777777" w:rsidR="00DD069E" w:rsidRPr="00E138C4" w:rsidRDefault="00DD069E" w:rsidP="00DD069E">
      <w:pPr>
        <w:spacing w:after="0" w:line="240" w:lineRule="auto"/>
        <w:jc w:val="both"/>
        <w:rPr>
          <w:rFonts w:ascii="Times New Roman" w:hAnsi="Times New Roman" w:cs="Times New Roman"/>
        </w:rPr>
      </w:pPr>
    </w:p>
    <w:p w14:paraId="3105FC7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DB35AF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 pavadinimas</w:t>
      </w:r>
      <w:r w:rsidRPr="00E138C4">
        <w:rPr>
          <w:rFonts w:ascii="Times New Roman" w:hAnsi="Times New Roman" w:cs="Times New Roman"/>
          <w:b/>
        </w:rPr>
        <w:t xml:space="preserve"> </w:t>
      </w:r>
    </w:p>
    <w:p w14:paraId="74B67C1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7C46D6F" w14:textId="77777777" w:rsidR="00DD069E" w:rsidRPr="00E138C4" w:rsidRDefault="006B190C" w:rsidP="00DD069E">
      <w:pPr>
        <w:spacing w:after="0" w:line="240" w:lineRule="auto"/>
        <w:jc w:val="both"/>
        <w:rPr>
          <w:rFonts w:ascii="Times New Roman" w:hAnsi="Times New Roman" w:cs="Times New Roman"/>
        </w:rPr>
      </w:pPr>
      <w:r w:rsidRPr="00E138C4">
        <w:rPr>
          <w:rFonts w:ascii="Times New Roman" w:hAnsi="Times New Roman" w:cs="Times New Roman"/>
        </w:rPr>
        <w:t>Egis</w:t>
      </w:r>
    </w:p>
    <w:p w14:paraId="65A6E96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F55097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C589CB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3E807F0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2952C7E"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 {mm MMMM}</w:t>
      </w:r>
    </w:p>
    <w:p w14:paraId="0FD8C38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9D1DF2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36A64C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33A849E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A28248B"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510ECB7A" w14:textId="77777777" w:rsidR="00DD069E" w:rsidRPr="00E138C4" w:rsidRDefault="00DD069E" w:rsidP="00DD069E">
      <w:pPr>
        <w:spacing w:after="0" w:line="240" w:lineRule="auto"/>
        <w:jc w:val="both"/>
        <w:rPr>
          <w:rFonts w:ascii="Times New Roman" w:hAnsi="Times New Roman" w:cs="Times New Roman"/>
        </w:rPr>
      </w:pPr>
    </w:p>
    <w:p w14:paraId="3FA0DF23" w14:textId="77777777" w:rsidR="00DD069E" w:rsidRPr="00E138C4" w:rsidRDefault="00DD069E" w:rsidP="00DD069E">
      <w:pPr>
        <w:spacing w:after="0" w:line="240" w:lineRule="auto"/>
        <w:jc w:val="both"/>
        <w:rPr>
          <w:rFonts w:ascii="Times New Roman" w:hAnsi="Times New Roman" w:cs="Times New Roman"/>
        </w:rPr>
      </w:pPr>
    </w:p>
    <w:p w14:paraId="199D171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3A8A7005" w14:textId="77777777" w:rsidR="00DD069E" w:rsidRPr="00E138C4" w:rsidRDefault="00DD069E" w:rsidP="00C712D0">
      <w:pPr>
        <w:spacing w:after="0" w:line="240" w:lineRule="auto"/>
        <w:rPr>
          <w:rFonts w:ascii="Times New Roman" w:hAnsi="Times New Roman" w:cs="Times New Roman"/>
        </w:rPr>
      </w:pPr>
      <w:r w:rsidRPr="00E138C4">
        <w:rPr>
          <w:rFonts w:ascii="Times New Roman" w:hAnsi="Times New Roman" w:cs="Times New Roman"/>
          <w:b/>
        </w:rPr>
        <w:br w:type="page"/>
      </w:r>
    </w:p>
    <w:p w14:paraId="6BF833E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lastRenderedPageBreak/>
        <w:t>INFORMACIJA ANT IŠORINĖS PAKUOTĖS</w:t>
      </w:r>
    </w:p>
    <w:p w14:paraId="2BECE936"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3ABB757D"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44971114" w14:textId="77777777" w:rsidR="00DD069E" w:rsidRPr="00E138C4" w:rsidRDefault="00DD069E" w:rsidP="00DD069E">
      <w:pPr>
        <w:spacing w:after="0" w:line="240" w:lineRule="auto"/>
        <w:jc w:val="both"/>
        <w:rPr>
          <w:rFonts w:ascii="Times New Roman" w:hAnsi="Times New Roman" w:cs="Times New Roman"/>
        </w:rPr>
      </w:pPr>
    </w:p>
    <w:p w14:paraId="72770FD8" w14:textId="77777777" w:rsidR="00DD069E" w:rsidRPr="00E138C4" w:rsidRDefault="00DD069E" w:rsidP="00DD069E">
      <w:pPr>
        <w:spacing w:after="0" w:line="240" w:lineRule="auto"/>
        <w:jc w:val="both"/>
        <w:rPr>
          <w:rFonts w:ascii="Times New Roman" w:hAnsi="Times New Roman" w:cs="Times New Roman"/>
        </w:rPr>
      </w:pPr>
    </w:p>
    <w:p w14:paraId="5CA7BAAB"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29B10CD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8472C7E" w14:textId="1600F0BB"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 plėvele dengtos tabletės</w:t>
      </w:r>
    </w:p>
    <w:p w14:paraId="2D8285B6"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035069D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EF924F6"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70BD2A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1B9C2C2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155A5F6" w14:textId="0B83DBBE" w:rsidR="00DD069E" w:rsidRPr="00E138C4" w:rsidRDefault="00B014E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200 mg kvetiapino, atitinkančio 230,26 mg kvetiapino hemifumarato.</w:t>
      </w:r>
    </w:p>
    <w:p w14:paraId="5DCC9C2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D8EFFC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1F6271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1B467BF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A0F828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40108622"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Daugiau informacijos rasite pakuotės lapelyje.</w:t>
      </w:r>
    </w:p>
    <w:p w14:paraId="54F6ACA1" w14:textId="77777777" w:rsidR="00DD069E" w:rsidRPr="00E138C4" w:rsidRDefault="00DD069E" w:rsidP="00DD069E">
      <w:pPr>
        <w:spacing w:after="0" w:line="240" w:lineRule="auto"/>
        <w:rPr>
          <w:rFonts w:ascii="Times New Roman" w:hAnsi="Times New Roman" w:cs="Times New Roman"/>
          <w:i/>
        </w:rPr>
      </w:pPr>
    </w:p>
    <w:p w14:paraId="1649740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AF42A33"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2403A63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B0C74F5"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67EFA0D6"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50 plėvele dengtų tablečių</w:t>
      </w:r>
    </w:p>
    <w:p w14:paraId="6EFA16AB"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60 plėvele dengtų tablečių</w:t>
      </w:r>
    </w:p>
    <w:p w14:paraId="0B4491AA"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70 plėvele dengtų tablečių</w:t>
      </w:r>
    </w:p>
    <w:p w14:paraId="6094DDD4"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80 plėvele dengtų tablečių</w:t>
      </w:r>
    </w:p>
    <w:p w14:paraId="4A0EFB43"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90 plėvele dengtų tablečių</w:t>
      </w:r>
    </w:p>
    <w:p w14:paraId="3BCA0CBC"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r w:rsidRPr="00E138C4">
        <w:rPr>
          <w:rFonts w:ascii="Times New Roman" w:eastAsia="Calibri" w:hAnsi="Times New Roman" w:cs="Times New Roman"/>
          <w:highlight w:val="lightGray"/>
        </w:rPr>
        <w:t>100 plėvele dengtų tablečių</w:t>
      </w:r>
    </w:p>
    <w:p w14:paraId="5157688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150FF6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B629A1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5.</w:t>
      </w:r>
      <w:r w:rsidRPr="00E138C4">
        <w:rPr>
          <w:rFonts w:ascii="Times New Roman" w:eastAsia="Calibri" w:hAnsi="Times New Roman" w:cs="Times New Roman"/>
          <w:b/>
        </w:rPr>
        <w:tab/>
        <w:t>VARTOJIMO METODAS IR BŪDAS (-AI)</w:t>
      </w:r>
    </w:p>
    <w:p w14:paraId="50BD1F85"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026F04A4"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Prieš vartojimą perskaitykite pakuotės lapelį.</w:t>
      </w:r>
    </w:p>
    <w:p w14:paraId="7811BA74"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Vartoti taip, kaip nurodė gydytojas.</w:t>
      </w:r>
    </w:p>
    <w:p w14:paraId="5B2ADACB"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Vartoti per burną.</w:t>
      </w:r>
    </w:p>
    <w:p w14:paraId="161888D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645A96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981527F" w14:textId="77777777" w:rsidR="00DD069E" w:rsidRPr="00E138C4" w:rsidRDefault="00DD069E" w:rsidP="00C712D0">
      <w:pPr>
        <w:pBdr>
          <w:top w:val="single" w:sz="4" w:space="1" w:color="auto"/>
          <w:left w:val="single" w:sz="4" w:space="4" w:color="auto"/>
          <w:bottom w:val="single" w:sz="4" w:space="1" w:color="auto"/>
          <w:right w:val="single" w:sz="4" w:space="4" w:color="auto"/>
        </w:pBdr>
        <w:tabs>
          <w:tab w:val="left" w:pos="0"/>
          <w:tab w:val="left" w:pos="567"/>
        </w:tabs>
        <w:autoSpaceDE w:val="0"/>
        <w:autoSpaceDN w:val="0"/>
        <w:adjustRightInd w:val="0"/>
        <w:spacing w:after="0" w:line="240" w:lineRule="auto"/>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7146D02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4ACC92D"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33AEAF2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F82ED1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CCDAD51"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7.</w:t>
      </w:r>
      <w:r w:rsidRPr="00E138C4">
        <w:rPr>
          <w:rFonts w:ascii="Times New Roman" w:eastAsia="Calibri" w:hAnsi="Times New Roman" w:cs="Times New Roman"/>
          <w:b/>
        </w:rPr>
        <w:tab/>
        <w:t>KITAS (-I) SPECIALUS (-ŪS) ĮSPĖJIMAS (-AI) (JEI REIKIA)</w:t>
      </w:r>
    </w:p>
    <w:p w14:paraId="297EFE34"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07EADB73"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57F173F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8.</w:t>
      </w:r>
      <w:r w:rsidRPr="00E138C4">
        <w:rPr>
          <w:rFonts w:ascii="Times New Roman" w:eastAsia="Calibri" w:hAnsi="Times New Roman" w:cs="Times New Roman"/>
          <w:b/>
        </w:rPr>
        <w:tab/>
        <w:t>TINKAMUMO LAIKAS</w:t>
      </w:r>
    </w:p>
    <w:p w14:paraId="64FB8700"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2076FFE4"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B014ED" w:rsidRPr="00E138C4">
        <w:rPr>
          <w:rFonts w:ascii="Times New Roman" w:hAnsi="Times New Roman" w:cs="Times New Roman"/>
        </w:rPr>
        <w:t>:</w:t>
      </w:r>
      <w:r w:rsidRPr="00E138C4">
        <w:rPr>
          <w:rFonts w:ascii="Times New Roman" w:hAnsi="Times New Roman" w:cs="Times New Roman"/>
        </w:rPr>
        <w:t xml:space="preserve"> {mm MMMM}</w:t>
      </w:r>
    </w:p>
    <w:p w14:paraId="10438F18"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0AD54737"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3319C50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9.</w:t>
      </w:r>
      <w:r w:rsidRPr="00E138C4">
        <w:rPr>
          <w:rFonts w:ascii="Times New Roman" w:eastAsia="Calibri" w:hAnsi="Times New Roman" w:cs="Times New Roman"/>
          <w:b/>
        </w:rPr>
        <w:tab/>
        <w:t>SPECIALIOS LAIKYMO SĄLYGOS</w:t>
      </w:r>
    </w:p>
    <w:p w14:paraId="7EA7576E" w14:textId="77777777" w:rsidR="00DD069E" w:rsidRPr="00E138C4" w:rsidRDefault="00DD069E" w:rsidP="00DD069E">
      <w:pPr>
        <w:spacing w:after="0" w:line="240" w:lineRule="auto"/>
        <w:rPr>
          <w:rFonts w:ascii="Times New Roman" w:eastAsia="Calibri" w:hAnsi="Times New Roman" w:cs="Times New Roman"/>
        </w:rPr>
      </w:pPr>
    </w:p>
    <w:p w14:paraId="74D20D45"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Laikyti žemesnėje kaip 25 </w:t>
      </w:r>
      <w:r w:rsidRPr="00E138C4">
        <w:rPr>
          <w:rFonts w:ascii="Times New Roman" w:hAnsi="Times New Roman" w:cs="Times New Roman"/>
        </w:rPr>
        <w:sym w:font="Symbol" w:char="F0B0"/>
      </w:r>
      <w:r w:rsidRPr="00E138C4">
        <w:rPr>
          <w:rFonts w:ascii="Times New Roman" w:eastAsia="Calibri" w:hAnsi="Times New Roman" w:cs="Times New Roman"/>
        </w:rPr>
        <w:t>C temperatūroje.</w:t>
      </w:r>
    </w:p>
    <w:p w14:paraId="39540914" w14:textId="77777777" w:rsidR="00DD069E" w:rsidRPr="00E138C4" w:rsidRDefault="00DD069E" w:rsidP="00DD069E">
      <w:pPr>
        <w:spacing w:after="0" w:line="240" w:lineRule="auto"/>
        <w:jc w:val="both"/>
        <w:rPr>
          <w:rFonts w:ascii="Times New Roman" w:eastAsia="Calibri" w:hAnsi="Times New Roman" w:cs="Times New Roman"/>
        </w:rPr>
      </w:pPr>
    </w:p>
    <w:p w14:paraId="67ED053A" w14:textId="77777777" w:rsidR="00DD069E" w:rsidRPr="00E138C4" w:rsidRDefault="00DD069E" w:rsidP="00DD069E">
      <w:pPr>
        <w:spacing w:after="0" w:line="240" w:lineRule="auto"/>
        <w:jc w:val="both"/>
        <w:rPr>
          <w:rFonts w:ascii="Times New Roman" w:eastAsia="Calibri" w:hAnsi="Times New Roman" w:cs="Times New Roman"/>
        </w:rPr>
      </w:pPr>
    </w:p>
    <w:p w14:paraId="0AEE6E6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780ECB5F"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6A9CE6CF"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204F713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 PAVADINIMAS IR ADRESAS</w:t>
      </w:r>
    </w:p>
    <w:p w14:paraId="22B7E311" w14:textId="77777777" w:rsidR="00DD069E" w:rsidRPr="00E138C4" w:rsidRDefault="00DD069E" w:rsidP="00DD069E">
      <w:pPr>
        <w:spacing w:after="0" w:line="240" w:lineRule="auto"/>
        <w:rPr>
          <w:rFonts w:ascii="Times New Roman" w:hAnsi="Times New Roman" w:cs="Times New Roman"/>
        </w:rPr>
      </w:pPr>
    </w:p>
    <w:p w14:paraId="038EB59B" w14:textId="77777777" w:rsidR="00DD069E" w:rsidRPr="00E138C4" w:rsidRDefault="006B190C"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14D9B82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7F7A768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1821E20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66E8D705" w14:textId="77777777" w:rsidR="00DD069E" w:rsidRPr="00E138C4" w:rsidRDefault="00DD069E" w:rsidP="00DD069E">
      <w:pPr>
        <w:tabs>
          <w:tab w:val="left" w:pos="540"/>
        </w:tabs>
        <w:spacing w:after="0" w:line="240" w:lineRule="auto"/>
        <w:rPr>
          <w:rFonts w:ascii="Times New Roman" w:hAnsi="Times New Roman" w:cs="Times New Roman"/>
          <w:i/>
        </w:rPr>
      </w:pPr>
    </w:p>
    <w:p w14:paraId="0D8DC8A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357E02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2D3FDD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624A90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LT/1/07/0746/013</w:t>
      </w:r>
    </w:p>
    <w:p w14:paraId="47750360"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LT/1/07/0746/036</w:t>
      </w:r>
    </w:p>
    <w:p w14:paraId="6F0F5C8E"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LT/1/07/0746/014</w:t>
      </w:r>
    </w:p>
    <w:p w14:paraId="3B5E95E4"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LT/1/07/0746/037</w:t>
      </w:r>
    </w:p>
    <w:p w14:paraId="36A931A8"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LT/1/07/0746/038</w:t>
      </w:r>
    </w:p>
    <w:p w14:paraId="13E2CE1B"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LT/1/07/0746/039</w:t>
      </w:r>
    </w:p>
    <w:p w14:paraId="7F098DA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LT/1/07/0746/040</w:t>
      </w:r>
    </w:p>
    <w:p w14:paraId="2C8BB062" w14:textId="77777777" w:rsidR="00DD069E" w:rsidRPr="00E138C4" w:rsidRDefault="00DD069E" w:rsidP="00DD069E">
      <w:pPr>
        <w:spacing w:after="0" w:line="240" w:lineRule="auto"/>
        <w:rPr>
          <w:rFonts w:ascii="Times New Roman" w:hAnsi="Times New Roman" w:cs="Times New Roman"/>
        </w:rPr>
      </w:pPr>
    </w:p>
    <w:p w14:paraId="05FA775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4C1395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33C1BEA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ABC1D35"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B014ED" w:rsidRPr="00E138C4">
        <w:rPr>
          <w:rFonts w:ascii="Times New Roman" w:hAnsi="Times New Roman" w:cs="Times New Roman"/>
        </w:rPr>
        <w:t>:</w:t>
      </w:r>
    </w:p>
    <w:p w14:paraId="0DB93C7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652772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4B1002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455FF03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C8E9D23"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562EFB9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375B7D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61A04C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1F36FC9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B844D8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D9FCBE7"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365E20CE" w14:textId="77777777" w:rsidR="00DD069E" w:rsidRPr="00E138C4" w:rsidRDefault="00DD069E" w:rsidP="00DD069E">
      <w:pPr>
        <w:spacing w:after="0" w:line="240" w:lineRule="auto"/>
        <w:rPr>
          <w:rFonts w:ascii="Times New Roman" w:hAnsi="Times New Roman" w:cs="Times New Roman"/>
        </w:rPr>
      </w:pPr>
    </w:p>
    <w:p w14:paraId="541D480A" w14:textId="5C91CAD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w:t>
      </w:r>
    </w:p>
    <w:p w14:paraId="0261933C" w14:textId="77777777" w:rsidR="00DD069E" w:rsidRPr="00E138C4" w:rsidRDefault="00DD069E" w:rsidP="00DD069E">
      <w:pPr>
        <w:spacing w:after="0" w:line="240" w:lineRule="auto"/>
        <w:rPr>
          <w:rFonts w:ascii="Times New Roman" w:hAnsi="Times New Roman" w:cs="Times New Roman"/>
        </w:rPr>
      </w:pPr>
    </w:p>
    <w:p w14:paraId="745A11FA" w14:textId="77777777" w:rsidR="00DD069E" w:rsidRPr="00E138C4" w:rsidRDefault="00DD069E" w:rsidP="00DD069E">
      <w:pPr>
        <w:spacing w:after="0" w:line="240" w:lineRule="auto"/>
        <w:rPr>
          <w:rFonts w:ascii="Times New Roman" w:hAnsi="Times New Roman" w:cs="Times New Roman"/>
        </w:rPr>
      </w:pPr>
    </w:p>
    <w:p w14:paraId="3E7091F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7F9CA218" w14:textId="77777777" w:rsidR="00DD069E" w:rsidRPr="00E138C4" w:rsidRDefault="00DD069E" w:rsidP="00DD069E">
      <w:pPr>
        <w:spacing w:after="0" w:line="240" w:lineRule="auto"/>
        <w:rPr>
          <w:rFonts w:ascii="Times New Roman" w:hAnsi="Times New Roman" w:cs="Times New Roman"/>
        </w:rPr>
      </w:pPr>
    </w:p>
    <w:p w14:paraId="37036C1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1957052D" w14:textId="77777777" w:rsidR="00DD069E" w:rsidRPr="00E138C4" w:rsidRDefault="00DD069E" w:rsidP="00DD069E">
      <w:pPr>
        <w:spacing w:after="0" w:line="240" w:lineRule="auto"/>
        <w:rPr>
          <w:rFonts w:ascii="Times New Roman" w:hAnsi="Times New Roman" w:cs="Times New Roman"/>
        </w:rPr>
      </w:pPr>
    </w:p>
    <w:p w14:paraId="3A6E601F" w14:textId="77777777" w:rsidR="00DD069E" w:rsidRPr="00E138C4" w:rsidRDefault="00DD069E" w:rsidP="00DD069E">
      <w:pPr>
        <w:spacing w:after="0" w:line="240" w:lineRule="auto"/>
        <w:rPr>
          <w:rFonts w:ascii="Times New Roman" w:hAnsi="Times New Roman" w:cs="Times New Roman"/>
        </w:rPr>
      </w:pPr>
    </w:p>
    <w:p w14:paraId="376A57C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05B586CC" w14:textId="77777777" w:rsidR="00DD069E" w:rsidRPr="00E138C4" w:rsidRDefault="00DD069E" w:rsidP="00DD069E">
      <w:pPr>
        <w:spacing w:after="0" w:line="240" w:lineRule="auto"/>
        <w:rPr>
          <w:rFonts w:ascii="Times New Roman" w:hAnsi="Times New Roman" w:cs="Times New Roman"/>
        </w:rPr>
      </w:pPr>
    </w:p>
    <w:p w14:paraId="2000E10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lastRenderedPageBreak/>
        <w:t xml:space="preserve">PC: {numeris} </w:t>
      </w:r>
    </w:p>
    <w:p w14:paraId="5CC4B33C"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SN: {numeris} </w:t>
      </w:r>
    </w:p>
    <w:p w14:paraId="011CF6C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NN: {numeris}</w:t>
      </w:r>
      <w:r w:rsidRPr="00E138C4">
        <w:rPr>
          <w:rFonts w:ascii="Times New Roman" w:hAnsi="Times New Roman" w:cs="Times New Roman"/>
        </w:rPr>
        <w:t xml:space="preserve"> </w:t>
      </w:r>
    </w:p>
    <w:p w14:paraId="4F337B3E" w14:textId="77777777" w:rsidR="00DD069E" w:rsidRPr="00E138C4" w:rsidRDefault="00DD069E" w:rsidP="00DD069E">
      <w:pPr>
        <w:spacing w:after="0" w:line="240" w:lineRule="auto"/>
        <w:rPr>
          <w:rFonts w:ascii="Times New Roman" w:hAnsi="Times New Roman" w:cs="Times New Roman"/>
        </w:rPr>
      </w:pPr>
    </w:p>
    <w:p w14:paraId="050BE2A7" w14:textId="77777777" w:rsidR="00DD069E" w:rsidRPr="00E138C4" w:rsidRDefault="00DD069E" w:rsidP="00DD069E">
      <w:pPr>
        <w:spacing w:after="0" w:line="240" w:lineRule="auto"/>
        <w:rPr>
          <w:rFonts w:ascii="Times New Roman" w:hAnsi="Times New Roman" w:cs="Times New Roman"/>
        </w:rPr>
      </w:pPr>
    </w:p>
    <w:p w14:paraId="3402D98A"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6C6057CD"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715370D"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13EDD700" w14:textId="77777777" w:rsidR="00DD069E" w:rsidRPr="00E138C4" w:rsidRDefault="00DD069E" w:rsidP="00DD069E">
      <w:pPr>
        <w:spacing w:after="0" w:line="240" w:lineRule="auto"/>
        <w:jc w:val="both"/>
        <w:rPr>
          <w:rFonts w:ascii="Times New Roman" w:hAnsi="Times New Roman" w:cs="Times New Roman"/>
        </w:rPr>
      </w:pPr>
    </w:p>
    <w:p w14:paraId="265DD658" w14:textId="77777777" w:rsidR="00DD069E" w:rsidRPr="00E138C4" w:rsidRDefault="00DD069E" w:rsidP="00DD069E">
      <w:pPr>
        <w:spacing w:after="0" w:line="240" w:lineRule="auto"/>
        <w:jc w:val="both"/>
        <w:rPr>
          <w:rFonts w:ascii="Times New Roman" w:hAnsi="Times New Roman" w:cs="Times New Roman"/>
        </w:rPr>
      </w:pPr>
    </w:p>
    <w:p w14:paraId="78F4C26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60D32B2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02C796D" w14:textId="602034A9"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200 mg plėvele dengtos tabletės</w:t>
      </w:r>
    </w:p>
    <w:p w14:paraId="653B0BC9"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253FF8E9" w14:textId="77777777" w:rsidR="00DD069E" w:rsidRPr="00E138C4" w:rsidRDefault="00DD069E" w:rsidP="00DD069E">
      <w:pPr>
        <w:spacing w:after="0" w:line="240" w:lineRule="auto"/>
        <w:jc w:val="both"/>
        <w:rPr>
          <w:rFonts w:ascii="Times New Roman" w:hAnsi="Times New Roman" w:cs="Times New Roman"/>
        </w:rPr>
      </w:pPr>
    </w:p>
    <w:p w14:paraId="223CC2C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0095F1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 pavadinimas</w:t>
      </w:r>
    </w:p>
    <w:p w14:paraId="529155B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C92F47A" w14:textId="77777777" w:rsidR="00DD069E" w:rsidRPr="00E138C4" w:rsidRDefault="006B190C" w:rsidP="00DD069E">
      <w:pPr>
        <w:spacing w:after="0" w:line="240" w:lineRule="auto"/>
        <w:jc w:val="both"/>
        <w:rPr>
          <w:rFonts w:ascii="Times New Roman" w:hAnsi="Times New Roman" w:cs="Times New Roman"/>
        </w:rPr>
      </w:pPr>
      <w:r w:rsidRPr="00E138C4">
        <w:rPr>
          <w:rFonts w:ascii="Times New Roman" w:hAnsi="Times New Roman" w:cs="Times New Roman"/>
        </w:rPr>
        <w:t>Egis</w:t>
      </w:r>
    </w:p>
    <w:p w14:paraId="1CB9A45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8E37EE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A87DB6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78F7D6F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6FE29C1"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 {mm MMMM}</w:t>
      </w:r>
    </w:p>
    <w:p w14:paraId="6F94A62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4B72C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236719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2DB0E52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6530837" w14:textId="77777777" w:rsidR="00620060" w:rsidRPr="00E138C4" w:rsidRDefault="00620060" w:rsidP="00620060">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6A6F0F07" w14:textId="77777777" w:rsidR="00DD069E" w:rsidRPr="00E138C4" w:rsidRDefault="00DD069E" w:rsidP="00DD069E">
      <w:pPr>
        <w:spacing w:after="0" w:line="240" w:lineRule="auto"/>
        <w:jc w:val="both"/>
        <w:rPr>
          <w:rFonts w:ascii="Times New Roman" w:hAnsi="Times New Roman" w:cs="Times New Roman"/>
        </w:rPr>
      </w:pPr>
    </w:p>
    <w:p w14:paraId="41A072DC" w14:textId="77777777" w:rsidR="00DD069E" w:rsidRPr="00E138C4" w:rsidRDefault="00DD069E" w:rsidP="00DD069E">
      <w:pPr>
        <w:spacing w:after="0" w:line="240" w:lineRule="auto"/>
        <w:jc w:val="both"/>
        <w:rPr>
          <w:rFonts w:ascii="Times New Roman" w:hAnsi="Times New Roman" w:cs="Times New Roman"/>
        </w:rPr>
      </w:pPr>
    </w:p>
    <w:p w14:paraId="43632A4D"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4E5AB7A5" w14:textId="77777777" w:rsidR="00DD069E" w:rsidRPr="00E138C4" w:rsidRDefault="00DD069E" w:rsidP="00862DF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rPr>
      </w:pPr>
      <w:r w:rsidRPr="00E138C4">
        <w:rPr>
          <w:rFonts w:ascii="Times New Roman" w:hAnsi="Times New Roman" w:cs="Times New Roman"/>
          <w:b/>
        </w:rPr>
        <w:br w:type="page"/>
      </w:r>
    </w:p>
    <w:p w14:paraId="09440F75" w14:textId="77777777" w:rsidR="00DD069E" w:rsidRPr="00E138C4" w:rsidRDefault="00DD069E" w:rsidP="00DD069E">
      <w:pPr>
        <w:spacing w:after="0" w:line="240" w:lineRule="auto"/>
        <w:rPr>
          <w:rFonts w:ascii="Times New Roman" w:hAnsi="Times New Roman" w:cs="Times New Roman"/>
        </w:rPr>
      </w:pPr>
    </w:p>
    <w:p w14:paraId="1311BF2B"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hAnsi="Times New Roman" w:cs="Times New Roman"/>
          <w:b/>
          <w:caps/>
        </w:rPr>
      </w:pPr>
      <w:r w:rsidRPr="00E138C4">
        <w:rPr>
          <w:rFonts w:ascii="Times New Roman" w:hAnsi="Times New Roman" w:cs="Times New Roman"/>
          <w:b/>
          <w:caps/>
        </w:rPr>
        <w:t>INFORMACIJA ANT IŠORINĖS PAKUOTĖS</w:t>
      </w:r>
    </w:p>
    <w:p w14:paraId="2ADF88EC"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5C949754"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rPr>
      </w:pPr>
      <w:r w:rsidRPr="00E138C4">
        <w:rPr>
          <w:rFonts w:ascii="Times New Roman" w:hAnsi="Times New Roman" w:cs="Times New Roman"/>
          <w:b/>
        </w:rPr>
        <w:t>KARTONO DĖŽUTĖ</w:t>
      </w:r>
    </w:p>
    <w:p w14:paraId="4B7E6A4D" w14:textId="77777777" w:rsidR="00DD069E" w:rsidRPr="00E138C4" w:rsidRDefault="00DD069E" w:rsidP="00DD069E">
      <w:pPr>
        <w:spacing w:after="0" w:line="240" w:lineRule="auto"/>
        <w:jc w:val="both"/>
        <w:rPr>
          <w:rFonts w:ascii="Times New Roman" w:hAnsi="Times New Roman" w:cs="Times New Roman"/>
        </w:rPr>
      </w:pPr>
    </w:p>
    <w:p w14:paraId="4BC0DE52" w14:textId="77777777" w:rsidR="00DD069E" w:rsidRPr="00E138C4" w:rsidRDefault="00DD069E" w:rsidP="00DD069E">
      <w:pPr>
        <w:spacing w:after="0" w:line="240" w:lineRule="auto"/>
        <w:jc w:val="both"/>
        <w:rPr>
          <w:rFonts w:ascii="Times New Roman" w:hAnsi="Times New Roman" w:cs="Times New Roman"/>
        </w:rPr>
      </w:pPr>
    </w:p>
    <w:p w14:paraId="411DBB2B"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2CA2301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51CE462" w14:textId="4E910FF6"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300 mg plėvele dengtos tabletės</w:t>
      </w:r>
    </w:p>
    <w:p w14:paraId="20727C9D"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632353E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D576A1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D8EAB2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t xml:space="preserve">VEIKLIOJI MEDŽIAGA IR JOS KIEKIS </w:t>
      </w:r>
    </w:p>
    <w:p w14:paraId="6549087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DD62BC6" w14:textId="548B58D7" w:rsidR="00DD069E" w:rsidRPr="00E138C4" w:rsidRDefault="00B014ED" w:rsidP="00DD069E">
      <w:pPr>
        <w:spacing w:after="0" w:line="240" w:lineRule="auto"/>
        <w:rPr>
          <w:rFonts w:ascii="Times New Roman" w:hAnsi="Times New Roman" w:cs="Times New Roman"/>
        </w:rPr>
      </w:pPr>
      <w:r w:rsidRPr="00E138C4">
        <w:rPr>
          <w:rFonts w:ascii="Times New Roman" w:hAnsi="Times New Roman" w:cs="Times New Roman"/>
        </w:rPr>
        <w:t>Kiekv</w:t>
      </w:r>
      <w:r w:rsidR="00DD069E" w:rsidRPr="00E138C4">
        <w:rPr>
          <w:rFonts w:ascii="Times New Roman" w:hAnsi="Times New Roman" w:cs="Times New Roman"/>
        </w:rPr>
        <w:t>ienoje plėvele dengtoje tabletėje yra 300 mg kvetiapino, atitinkančio 345,4 mg kvetiapino hemifumarato.</w:t>
      </w:r>
    </w:p>
    <w:p w14:paraId="5C5A186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767209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A599C9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PAGALBINIŲ MEDŽIAGŲ SĄRAŠAS</w:t>
      </w:r>
    </w:p>
    <w:p w14:paraId="7AD929FD" w14:textId="77777777" w:rsidR="00DD069E" w:rsidRPr="00E138C4" w:rsidRDefault="00DD069E" w:rsidP="00DD069E">
      <w:pPr>
        <w:spacing w:after="0" w:line="240" w:lineRule="auto"/>
        <w:rPr>
          <w:rFonts w:ascii="Times New Roman" w:hAnsi="Times New Roman" w:cs="Times New Roman"/>
        </w:rPr>
      </w:pPr>
    </w:p>
    <w:p w14:paraId="782CC6A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Sudėtyje yra laktozės monohidrato.</w:t>
      </w:r>
    </w:p>
    <w:p w14:paraId="68CD8BF8"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Daugiau informacijos rasite pakuotės lapelyje.</w:t>
      </w:r>
    </w:p>
    <w:p w14:paraId="307F95D1" w14:textId="77777777" w:rsidR="00DD069E" w:rsidRPr="00E138C4" w:rsidRDefault="00DD069E" w:rsidP="00DD069E">
      <w:pPr>
        <w:spacing w:after="0" w:line="240" w:lineRule="auto"/>
        <w:rPr>
          <w:rFonts w:ascii="Times New Roman" w:hAnsi="Times New Roman" w:cs="Times New Roman"/>
        </w:rPr>
      </w:pPr>
    </w:p>
    <w:p w14:paraId="29A33BE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63E09F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FARMACINĖ FORMA IR KIEKIS PAKUOTĖJE</w:t>
      </w:r>
    </w:p>
    <w:p w14:paraId="4511755E"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9D05DCE"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30 plėvele dengtų tablečių</w:t>
      </w:r>
    </w:p>
    <w:p w14:paraId="59AB8CB0"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50 plėvele dengtų tablečių</w:t>
      </w:r>
    </w:p>
    <w:p w14:paraId="25412883"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60 plėvele dengtų tablečių</w:t>
      </w:r>
    </w:p>
    <w:p w14:paraId="4FBBE4A2"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70 plėvele dengtų tablečių</w:t>
      </w:r>
    </w:p>
    <w:p w14:paraId="763EF9C8"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80 plėvele dengtų tablečių</w:t>
      </w:r>
    </w:p>
    <w:p w14:paraId="6901732D" w14:textId="77777777" w:rsidR="00DD069E" w:rsidRPr="00E138C4" w:rsidRDefault="00DD069E" w:rsidP="00DD069E">
      <w:pPr>
        <w:tabs>
          <w:tab w:val="left" w:pos="540"/>
        </w:tabs>
        <w:spacing w:after="0" w:line="240" w:lineRule="auto"/>
        <w:jc w:val="both"/>
        <w:rPr>
          <w:rFonts w:ascii="Times New Roman" w:eastAsia="Calibri" w:hAnsi="Times New Roman" w:cs="Times New Roman"/>
          <w:highlight w:val="lightGray"/>
        </w:rPr>
      </w:pPr>
      <w:r w:rsidRPr="00E138C4">
        <w:rPr>
          <w:rFonts w:ascii="Times New Roman" w:eastAsia="Calibri" w:hAnsi="Times New Roman" w:cs="Times New Roman"/>
          <w:highlight w:val="lightGray"/>
        </w:rPr>
        <w:t>90 plėvele dengtų tablečių</w:t>
      </w:r>
    </w:p>
    <w:p w14:paraId="77AC798F"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r w:rsidRPr="00E138C4">
        <w:rPr>
          <w:rFonts w:ascii="Times New Roman" w:eastAsia="Calibri" w:hAnsi="Times New Roman" w:cs="Times New Roman"/>
          <w:highlight w:val="lightGray"/>
        </w:rPr>
        <w:t>100 plėvele dengtų tablečių</w:t>
      </w:r>
    </w:p>
    <w:p w14:paraId="2EC0589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413533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46C9EA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E138C4">
        <w:rPr>
          <w:rFonts w:ascii="Times New Roman" w:eastAsia="Calibri" w:hAnsi="Times New Roman" w:cs="Times New Roman"/>
          <w:b/>
        </w:rPr>
        <w:t>5.</w:t>
      </w:r>
      <w:r w:rsidRPr="00E138C4">
        <w:rPr>
          <w:rFonts w:ascii="Times New Roman" w:eastAsia="Calibri" w:hAnsi="Times New Roman" w:cs="Times New Roman"/>
          <w:b/>
        </w:rPr>
        <w:tab/>
        <w:t>VARTOJIMO METODAS IR BŪDAS (-AI)</w:t>
      </w:r>
    </w:p>
    <w:p w14:paraId="260F4A8E" w14:textId="77777777" w:rsidR="00DD069E" w:rsidRPr="00E138C4" w:rsidRDefault="00DD069E" w:rsidP="00DD069E">
      <w:pPr>
        <w:tabs>
          <w:tab w:val="left" w:pos="540"/>
        </w:tabs>
        <w:spacing w:after="0" w:line="240" w:lineRule="auto"/>
        <w:jc w:val="both"/>
        <w:rPr>
          <w:rFonts w:ascii="Times New Roman" w:eastAsia="Calibri" w:hAnsi="Times New Roman" w:cs="Times New Roman"/>
        </w:rPr>
      </w:pPr>
    </w:p>
    <w:p w14:paraId="33ABF3EA" w14:textId="77777777" w:rsidR="00DD069E" w:rsidRPr="00E138C4" w:rsidRDefault="00DD069E" w:rsidP="00DD069E">
      <w:pPr>
        <w:spacing w:after="0" w:line="240" w:lineRule="auto"/>
        <w:rPr>
          <w:rFonts w:ascii="Times New Roman" w:eastAsia="Calibri" w:hAnsi="Times New Roman" w:cs="Times New Roman"/>
        </w:rPr>
      </w:pPr>
      <w:r w:rsidRPr="00E138C4">
        <w:rPr>
          <w:rFonts w:ascii="Times New Roman" w:eastAsia="Calibri" w:hAnsi="Times New Roman" w:cs="Times New Roman"/>
        </w:rPr>
        <w:t>Prieš vartojimą perskaitykite pakuotės lapelį.</w:t>
      </w:r>
    </w:p>
    <w:p w14:paraId="66B9390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Vartoti taip, kaip nurodė gydytojas.</w:t>
      </w:r>
    </w:p>
    <w:p w14:paraId="6ACE171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Vartoti per burną.</w:t>
      </w:r>
    </w:p>
    <w:p w14:paraId="7F589A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535D06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C87F339"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SPECIALUS ĮSPĖJIMAS, KAD VAISTINĮ PREPARATĄ BŪTINA LAIKYTI VAIKAMS NEPASTEBIMOJE IR NEPASIEKIAMOJE VIETOJE</w:t>
      </w:r>
    </w:p>
    <w:p w14:paraId="068AD7A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780FF5C"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Laikyti vaikams nepastebimoje ir nepasiekiamoje vietoje.</w:t>
      </w:r>
    </w:p>
    <w:p w14:paraId="4AD13B6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7E07CC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A1F3455"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7.</w:t>
      </w:r>
      <w:r w:rsidRPr="00E138C4">
        <w:rPr>
          <w:rFonts w:ascii="Times New Roman" w:hAnsi="Times New Roman" w:cs="Times New Roman"/>
          <w:b/>
        </w:rPr>
        <w:tab/>
        <w:t>KITAS (-I) SPECIALUS (-ŪS) ĮSPĖJIMAS (-AI) (JEI REIKIA)</w:t>
      </w:r>
    </w:p>
    <w:p w14:paraId="7A27858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939A3E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3514FC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8.</w:t>
      </w:r>
      <w:r w:rsidRPr="00E138C4">
        <w:rPr>
          <w:rFonts w:ascii="Times New Roman" w:hAnsi="Times New Roman" w:cs="Times New Roman"/>
          <w:b/>
        </w:rPr>
        <w:tab/>
        <w:t>TINKAMUMO LAIKAS</w:t>
      </w:r>
    </w:p>
    <w:p w14:paraId="316D3E23"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6F57FD5" w14:textId="77777777" w:rsidR="00E53AD7" w:rsidRPr="00E138C4" w:rsidRDefault="00E53AD7" w:rsidP="00E53AD7">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w:t>
      </w:r>
      <w:r w:rsidR="00B014ED" w:rsidRPr="00E138C4">
        <w:rPr>
          <w:rFonts w:ascii="Times New Roman" w:hAnsi="Times New Roman" w:cs="Times New Roman"/>
        </w:rPr>
        <w:t>:</w:t>
      </w:r>
      <w:r w:rsidRPr="00E138C4">
        <w:rPr>
          <w:rFonts w:ascii="Times New Roman" w:hAnsi="Times New Roman" w:cs="Times New Roman"/>
        </w:rPr>
        <w:t xml:space="preserve"> {mm MMMM}</w:t>
      </w:r>
    </w:p>
    <w:p w14:paraId="5335F44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7E9493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BA9D13E"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9.</w:t>
      </w:r>
      <w:r w:rsidRPr="00E138C4">
        <w:rPr>
          <w:rFonts w:ascii="Times New Roman" w:hAnsi="Times New Roman" w:cs="Times New Roman"/>
          <w:b/>
        </w:rPr>
        <w:tab/>
        <w:t>SPECIALIOS LAIKYMO SĄLYGOS</w:t>
      </w:r>
    </w:p>
    <w:p w14:paraId="2CCCF557" w14:textId="77777777" w:rsidR="00DD069E" w:rsidRPr="00E138C4" w:rsidRDefault="00DD069E" w:rsidP="00DD069E">
      <w:pPr>
        <w:spacing w:after="0" w:line="240" w:lineRule="auto"/>
        <w:rPr>
          <w:rFonts w:ascii="Times New Roman" w:hAnsi="Times New Roman" w:cs="Times New Roman"/>
        </w:rPr>
      </w:pPr>
    </w:p>
    <w:p w14:paraId="4DECDED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132D24CA" w14:textId="77777777" w:rsidR="00DD069E" w:rsidRPr="00E138C4" w:rsidRDefault="00DD069E" w:rsidP="00DD069E">
      <w:pPr>
        <w:spacing w:after="0" w:line="240" w:lineRule="auto"/>
        <w:jc w:val="both"/>
        <w:rPr>
          <w:rFonts w:ascii="Times New Roman" w:hAnsi="Times New Roman" w:cs="Times New Roman"/>
        </w:rPr>
      </w:pPr>
    </w:p>
    <w:p w14:paraId="45E90E95" w14:textId="77777777" w:rsidR="00DD069E" w:rsidRPr="00E138C4" w:rsidRDefault="00DD069E" w:rsidP="00DD069E">
      <w:pPr>
        <w:spacing w:after="0" w:line="240" w:lineRule="auto"/>
        <w:jc w:val="both"/>
        <w:rPr>
          <w:rFonts w:ascii="Times New Roman" w:hAnsi="Times New Roman" w:cs="Times New Roman"/>
        </w:rPr>
      </w:pPr>
    </w:p>
    <w:p w14:paraId="18E1429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567" w:hanging="567"/>
        <w:rPr>
          <w:rFonts w:ascii="Times New Roman" w:hAnsi="Times New Roman" w:cs="Times New Roman"/>
          <w:b/>
        </w:rPr>
      </w:pPr>
      <w:r w:rsidRPr="00E138C4">
        <w:rPr>
          <w:rFonts w:ascii="Times New Roman" w:hAnsi="Times New Roman" w:cs="Times New Roman"/>
          <w:b/>
        </w:rPr>
        <w:t>10.</w:t>
      </w:r>
      <w:r w:rsidRPr="00E138C4">
        <w:rPr>
          <w:rFonts w:ascii="Times New Roman" w:hAnsi="Times New Roman" w:cs="Times New Roman"/>
          <w:b/>
        </w:rPr>
        <w:tab/>
        <w:t>SPECIALIOS ATSARGUMO PRIEMONĖS DĖL NESUVARTOTO VAISTINIO PREPARATO ARBA JO ATLIEKŲ TVARKYMO (JEI REIKIA)</w:t>
      </w:r>
    </w:p>
    <w:p w14:paraId="14C5951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AF5908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9B7ABCB"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11.</w:t>
      </w:r>
      <w:r w:rsidRPr="00E138C4">
        <w:rPr>
          <w:rFonts w:ascii="Times New Roman" w:hAnsi="Times New Roman" w:cs="Times New Roman"/>
          <w:b/>
        </w:rPr>
        <w:tab/>
      </w:r>
      <w:r w:rsidRPr="00E138C4">
        <w:rPr>
          <w:rFonts w:ascii="Times New Roman" w:hAnsi="Times New Roman" w:cs="Times New Roman"/>
          <w:b/>
          <w:caps/>
        </w:rPr>
        <w:t>REGISTRUOTOJO PAVADINIMAS IR ADRESAS</w:t>
      </w:r>
    </w:p>
    <w:p w14:paraId="56466FAC" w14:textId="77777777" w:rsidR="00DD069E" w:rsidRPr="00E138C4" w:rsidRDefault="00DD069E" w:rsidP="00DD069E">
      <w:pPr>
        <w:spacing w:after="0" w:line="240" w:lineRule="auto"/>
        <w:rPr>
          <w:rFonts w:ascii="Times New Roman" w:hAnsi="Times New Roman" w:cs="Times New Roman"/>
        </w:rPr>
      </w:pPr>
    </w:p>
    <w:p w14:paraId="67370D06" w14:textId="77777777" w:rsidR="00DD069E" w:rsidRPr="00E138C4" w:rsidRDefault="00E4253E" w:rsidP="00DD069E">
      <w:pPr>
        <w:spacing w:after="0" w:line="240" w:lineRule="auto"/>
        <w:rPr>
          <w:rFonts w:ascii="Times New Roman" w:hAnsi="Times New Roman" w:cs="Times New Roman"/>
        </w:rPr>
      </w:pPr>
      <w:r w:rsidRPr="00E138C4">
        <w:rPr>
          <w:rFonts w:ascii="Times New Roman" w:hAnsi="Times New Roman" w:cs="Times New Roman"/>
        </w:rPr>
        <w:t>Egis</w:t>
      </w:r>
      <w:r w:rsidR="007B12B5" w:rsidRPr="00E138C4">
        <w:rPr>
          <w:rFonts w:ascii="Times New Roman" w:hAnsi="Times New Roman" w:cs="Times New Roman"/>
        </w:rPr>
        <w:t xml:space="preserve"> </w:t>
      </w:r>
      <w:r w:rsidR="00DD069E" w:rsidRPr="00E138C4">
        <w:rPr>
          <w:rFonts w:ascii="Times New Roman" w:hAnsi="Times New Roman" w:cs="Times New Roman"/>
        </w:rPr>
        <w:t>Pharmaceuticals PLC</w:t>
      </w:r>
    </w:p>
    <w:p w14:paraId="45FB7C7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5BE2C08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250149C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3D77EA07" w14:textId="77777777" w:rsidR="00DD069E" w:rsidRPr="00E138C4" w:rsidRDefault="00DD069E" w:rsidP="00DD069E">
      <w:pPr>
        <w:tabs>
          <w:tab w:val="left" w:pos="540"/>
        </w:tabs>
        <w:spacing w:after="0" w:line="240" w:lineRule="auto"/>
        <w:rPr>
          <w:rFonts w:ascii="Times New Roman" w:hAnsi="Times New Roman" w:cs="Times New Roman"/>
          <w:i/>
        </w:rPr>
      </w:pPr>
    </w:p>
    <w:p w14:paraId="3C59D1C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5CD0B05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12.</w:t>
      </w:r>
      <w:r w:rsidRPr="00E138C4">
        <w:rPr>
          <w:rFonts w:ascii="Times New Roman" w:hAnsi="Times New Roman" w:cs="Times New Roman"/>
          <w:b/>
        </w:rPr>
        <w:tab/>
        <w:t>REGISTRACIJOS PAŽYMĖJIMO NUMERIS (-IAI)</w:t>
      </w:r>
    </w:p>
    <w:p w14:paraId="4D0970D7"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E3AB84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N30 - LT/1/07/0746/017</w:t>
      </w:r>
    </w:p>
    <w:p w14:paraId="2DBC6345"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N50 – LT/1/07/0746/041</w:t>
      </w:r>
    </w:p>
    <w:p w14:paraId="2F392210"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N60 – LT/1/07/0746/018</w:t>
      </w:r>
    </w:p>
    <w:p w14:paraId="3DDC8B0A"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N70 – LT/1/07/0746/042</w:t>
      </w:r>
    </w:p>
    <w:p w14:paraId="50CEE68F"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N80 – LT/1/07/0746/043</w:t>
      </w:r>
    </w:p>
    <w:p w14:paraId="2C6FD351" w14:textId="77777777" w:rsidR="00DD069E" w:rsidRPr="00E138C4" w:rsidRDefault="00DD069E" w:rsidP="00DD069E">
      <w:pPr>
        <w:spacing w:after="0" w:line="240" w:lineRule="auto"/>
        <w:rPr>
          <w:rFonts w:ascii="Times New Roman" w:hAnsi="Times New Roman" w:cs="Times New Roman"/>
          <w:highlight w:val="lightGray"/>
        </w:rPr>
      </w:pPr>
      <w:r w:rsidRPr="00E138C4">
        <w:rPr>
          <w:rFonts w:ascii="Times New Roman" w:hAnsi="Times New Roman" w:cs="Times New Roman"/>
          <w:highlight w:val="lightGray"/>
        </w:rPr>
        <w:t>N90 – LT/1/07/0746/044</w:t>
      </w:r>
    </w:p>
    <w:p w14:paraId="590A9C5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N100 – LT/1/07/0746/045</w:t>
      </w:r>
    </w:p>
    <w:p w14:paraId="071BE416" w14:textId="77777777" w:rsidR="00DD069E" w:rsidRPr="00E138C4" w:rsidRDefault="00DD069E" w:rsidP="00DD069E">
      <w:pPr>
        <w:spacing w:after="0" w:line="240" w:lineRule="auto"/>
        <w:rPr>
          <w:rFonts w:ascii="Times New Roman" w:hAnsi="Times New Roman" w:cs="Times New Roman"/>
        </w:rPr>
      </w:pPr>
    </w:p>
    <w:p w14:paraId="5409E1DA"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A2A5B70"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13.</w:t>
      </w:r>
      <w:r w:rsidRPr="00E138C4">
        <w:rPr>
          <w:rFonts w:ascii="Times New Roman" w:hAnsi="Times New Roman" w:cs="Times New Roman"/>
          <w:b/>
        </w:rPr>
        <w:tab/>
        <w:t>SERIJOS NUMERIS</w:t>
      </w:r>
    </w:p>
    <w:p w14:paraId="66029919"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CB843E1" w14:textId="77777777" w:rsidR="00E53AD7" w:rsidRPr="00E138C4" w:rsidRDefault="00E53AD7" w:rsidP="00E53AD7">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r w:rsidR="00B014ED" w:rsidRPr="00E138C4">
        <w:rPr>
          <w:rFonts w:ascii="Times New Roman" w:hAnsi="Times New Roman" w:cs="Times New Roman"/>
        </w:rPr>
        <w:t>:</w:t>
      </w:r>
    </w:p>
    <w:p w14:paraId="1410C28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203092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9824C9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14.</w:t>
      </w:r>
      <w:r w:rsidRPr="00E138C4">
        <w:rPr>
          <w:rFonts w:ascii="Times New Roman" w:hAnsi="Times New Roman" w:cs="Times New Roman"/>
          <w:b/>
        </w:rPr>
        <w:tab/>
        <w:t>PARDAVIMO (IŠDAVIMO) TVARKA</w:t>
      </w:r>
    </w:p>
    <w:p w14:paraId="06C23F7D"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50A5C13" w14:textId="77777777" w:rsidR="00DD069E" w:rsidRPr="00E138C4" w:rsidRDefault="00DD069E"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Receptinis vaistas</w:t>
      </w:r>
    </w:p>
    <w:p w14:paraId="597B318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628B03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41FDC89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15.</w:t>
      </w:r>
      <w:r w:rsidRPr="00E138C4">
        <w:rPr>
          <w:rFonts w:ascii="Times New Roman" w:hAnsi="Times New Roman" w:cs="Times New Roman"/>
          <w:b/>
        </w:rPr>
        <w:tab/>
        <w:t>VARTOJIMO INSTRUKCIJA</w:t>
      </w:r>
    </w:p>
    <w:p w14:paraId="4005E83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DAA036F"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3E528C6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rPr>
      </w:pPr>
      <w:r w:rsidRPr="00E138C4">
        <w:rPr>
          <w:rFonts w:ascii="Times New Roman" w:hAnsi="Times New Roman" w:cs="Times New Roman"/>
          <w:b/>
        </w:rPr>
        <w:t>16.</w:t>
      </w:r>
      <w:r w:rsidRPr="00E138C4">
        <w:rPr>
          <w:rFonts w:ascii="Times New Roman" w:hAnsi="Times New Roman" w:cs="Times New Roman"/>
          <w:b/>
        </w:rPr>
        <w:tab/>
        <w:t>INFORMACIJA BRAILIO RAŠTU</w:t>
      </w:r>
    </w:p>
    <w:p w14:paraId="7FE1CF91" w14:textId="77777777" w:rsidR="00DD069E" w:rsidRPr="00E138C4" w:rsidRDefault="00DD069E" w:rsidP="00DD069E">
      <w:pPr>
        <w:spacing w:after="0" w:line="240" w:lineRule="auto"/>
        <w:rPr>
          <w:rFonts w:ascii="Times New Roman" w:hAnsi="Times New Roman" w:cs="Times New Roman"/>
        </w:rPr>
      </w:pPr>
    </w:p>
    <w:p w14:paraId="14E4E0B2" w14:textId="00DC1E5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300 mg</w:t>
      </w:r>
    </w:p>
    <w:p w14:paraId="2B8CB93F" w14:textId="77777777" w:rsidR="00DD069E" w:rsidRPr="00E138C4" w:rsidRDefault="00DD069E" w:rsidP="00DD069E">
      <w:pPr>
        <w:spacing w:after="0" w:line="240" w:lineRule="auto"/>
        <w:rPr>
          <w:rFonts w:ascii="Times New Roman" w:hAnsi="Times New Roman" w:cs="Times New Roman"/>
        </w:rPr>
      </w:pPr>
    </w:p>
    <w:p w14:paraId="50AB82A6" w14:textId="77777777" w:rsidR="00DD069E" w:rsidRPr="00E138C4" w:rsidRDefault="00DD069E" w:rsidP="00DD069E">
      <w:pPr>
        <w:spacing w:after="0" w:line="240" w:lineRule="auto"/>
        <w:rPr>
          <w:rFonts w:ascii="Times New Roman" w:hAnsi="Times New Roman" w:cs="Times New Roman"/>
        </w:rPr>
      </w:pPr>
    </w:p>
    <w:p w14:paraId="5EBFEF32"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17.</w:t>
      </w:r>
      <w:r w:rsidRPr="00E138C4">
        <w:rPr>
          <w:rFonts w:ascii="Times New Roman" w:hAnsi="Times New Roman" w:cs="Times New Roman"/>
          <w:b/>
        </w:rPr>
        <w:tab/>
        <w:t>UNIKALUS IDENTIFIKATORIUS – 2D BRŪKŠNINIS KODAS</w:t>
      </w:r>
    </w:p>
    <w:p w14:paraId="044849A7" w14:textId="77777777" w:rsidR="00DD069E" w:rsidRPr="00E138C4" w:rsidRDefault="00DD069E" w:rsidP="00DD069E">
      <w:pPr>
        <w:spacing w:after="0" w:line="240" w:lineRule="auto"/>
        <w:rPr>
          <w:rFonts w:ascii="Times New Roman" w:hAnsi="Times New Roman" w:cs="Times New Roman"/>
        </w:rPr>
      </w:pPr>
    </w:p>
    <w:p w14:paraId="643E422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&lt;2D brūkšninis kodas su nurodytu unikaliu identifikatoriumi.&gt;</w:t>
      </w:r>
    </w:p>
    <w:p w14:paraId="437C3AF1" w14:textId="77777777" w:rsidR="00DD069E" w:rsidRPr="00E138C4" w:rsidRDefault="00DD069E" w:rsidP="00DD069E">
      <w:pPr>
        <w:spacing w:after="0" w:line="240" w:lineRule="auto"/>
        <w:rPr>
          <w:rFonts w:ascii="Times New Roman" w:hAnsi="Times New Roman" w:cs="Times New Roman"/>
        </w:rPr>
      </w:pPr>
    </w:p>
    <w:p w14:paraId="0FEDFD8E" w14:textId="77777777" w:rsidR="00DD069E" w:rsidRPr="00E138C4" w:rsidRDefault="00DD069E" w:rsidP="00DD069E">
      <w:pPr>
        <w:spacing w:after="0" w:line="240" w:lineRule="auto"/>
        <w:rPr>
          <w:rFonts w:ascii="Times New Roman" w:hAnsi="Times New Roman" w:cs="Times New Roman"/>
        </w:rPr>
      </w:pPr>
    </w:p>
    <w:p w14:paraId="3824E76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E138C4">
        <w:rPr>
          <w:rFonts w:ascii="Times New Roman" w:hAnsi="Times New Roman" w:cs="Times New Roman"/>
          <w:b/>
        </w:rPr>
        <w:t>18.</w:t>
      </w:r>
      <w:r w:rsidRPr="00E138C4">
        <w:rPr>
          <w:rFonts w:ascii="Times New Roman" w:hAnsi="Times New Roman" w:cs="Times New Roman"/>
          <w:b/>
        </w:rPr>
        <w:tab/>
        <w:t>UNIKALUS IDENTIFIKATORIUS – ŽMONĖMS SUPRANTAMI DUOMENYS</w:t>
      </w:r>
    </w:p>
    <w:p w14:paraId="7ACF65A9" w14:textId="77777777" w:rsidR="00DD069E" w:rsidRPr="00E138C4" w:rsidRDefault="00DD069E" w:rsidP="00DD069E">
      <w:pPr>
        <w:spacing w:after="0" w:line="240" w:lineRule="auto"/>
        <w:rPr>
          <w:rFonts w:ascii="Times New Roman" w:hAnsi="Times New Roman" w:cs="Times New Roman"/>
        </w:rPr>
      </w:pPr>
    </w:p>
    <w:p w14:paraId="017C0A8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PC: {numeris} </w:t>
      </w:r>
    </w:p>
    <w:p w14:paraId="0EAC493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 xml:space="preserve">SN: {numeris} </w:t>
      </w:r>
    </w:p>
    <w:p w14:paraId="02808B1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highlight w:val="lightGray"/>
        </w:rPr>
        <w:t xml:space="preserve">NN: {numeris} </w:t>
      </w:r>
    </w:p>
    <w:p w14:paraId="186579E4" w14:textId="77777777" w:rsidR="00DD069E" w:rsidRPr="00E138C4" w:rsidRDefault="00DD069E" w:rsidP="00DD069E">
      <w:pPr>
        <w:spacing w:after="0" w:line="240" w:lineRule="auto"/>
        <w:rPr>
          <w:rFonts w:ascii="Times New Roman" w:hAnsi="Times New Roman" w:cs="Times New Roman"/>
        </w:rPr>
      </w:pPr>
    </w:p>
    <w:p w14:paraId="0801F152"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rPr>
        <w:br w:type="page"/>
      </w:r>
      <w:r w:rsidRPr="00E138C4">
        <w:rPr>
          <w:rFonts w:ascii="Times New Roman" w:hAnsi="Times New Roman" w:cs="Times New Roman"/>
          <w:b/>
        </w:rPr>
        <w:lastRenderedPageBreak/>
        <w:t>MINIMALI INFORMACIJA ANT LIZDINIŲ PLOKŠTELIŲ ARBA DVISLUOKSNIŲ JUOSTELIŲ</w:t>
      </w:r>
    </w:p>
    <w:p w14:paraId="4D937C37"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2E112CA0" w14:textId="77777777" w:rsidR="00DD069E" w:rsidRPr="00E138C4" w:rsidRDefault="00DD069E" w:rsidP="00DD06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38C4">
        <w:rPr>
          <w:rFonts w:ascii="Times New Roman" w:hAnsi="Times New Roman" w:cs="Times New Roman"/>
          <w:b/>
        </w:rPr>
        <w:t>LIZDINĖ PLOKŠTELĖ</w:t>
      </w:r>
    </w:p>
    <w:p w14:paraId="63E9C1CD" w14:textId="77777777" w:rsidR="00DD069E" w:rsidRPr="00E138C4" w:rsidRDefault="00DD069E" w:rsidP="00DD069E">
      <w:pPr>
        <w:spacing w:after="0" w:line="240" w:lineRule="auto"/>
        <w:jc w:val="both"/>
        <w:rPr>
          <w:rFonts w:ascii="Times New Roman" w:hAnsi="Times New Roman" w:cs="Times New Roman"/>
        </w:rPr>
      </w:pPr>
    </w:p>
    <w:p w14:paraId="19BCC0D9" w14:textId="77777777" w:rsidR="00DD069E" w:rsidRPr="00E138C4" w:rsidRDefault="00DD069E" w:rsidP="00DD069E">
      <w:pPr>
        <w:spacing w:after="0" w:line="240" w:lineRule="auto"/>
        <w:jc w:val="both"/>
        <w:rPr>
          <w:rFonts w:ascii="Times New Roman" w:hAnsi="Times New Roman" w:cs="Times New Roman"/>
        </w:rPr>
      </w:pPr>
    </w:p>
    <w:p w14:paraId="793F0378"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1.</w:t>
      </w:r>
      <w:r w:rsidRPr="00E138C4">
        <w:rPr>
          <w:rFonts w:ascii="Times New Roman" w:hAnsi="Times New Roman" w:cs="Times New Roman"/>
          <w:b/>
        </w:rPr>
        <w:tab/>
        <w:t>VAISTINIO PREPARATO PAVADINIMAS</w:t>
      </w:r>
    </w:p>
    <w:p w14:paraId="01750D1B"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28477B0" w14:textId="17843769"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300 mg plėvele dengtos tabletės</w:t>
      </w:r>
    </w:p>
    <w:p w14:paraId="2EF05B3A" w14:textId="77777777" w:rsidR="00DD069E" w:rsidRPr="00E138C4" w:rsidRDefault="001D0306" w:rsidP="00DD069E">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kvetiapinas</w:t>
      </w:r>
    </w:p>
    <w:p w14:paraId="55E89F90" w14:textId="77777777" w:rsidR="00DD069E" w:rsidRPr="00E138C4" w:rsidRDefault="00DD069E" w:rsidP="00DD069E">
      <w:pPr>
        <w:spacing w:after="0" w:line="240" w:lineRule="auto"/>
        <w:jc w:val="both"/>
        <w:rPr>
          <w:rFonts w:ascii="Times New Roman" w:hAnsi="Times New Roman" w:cs="Times New Roman"/>
        </w:rPr>
      </w:pPr>
    </w:p>
    <w:p w14:paraId="583E408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73F2C4C"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2.</w:t>
      </w:r>
      <w:r w:rsidRPr="00E138C4">
        <w:rPr>
          <w:rFonts w:ascii="Times New Roman" w:hAnsi="Times New Roman" w:cs="Times New Roman"/>
          <w:b/>
        </w:rPr>
        <w:tab/>
      </w:r>
      <w:r w:rsidRPr="00E138C4">
        <w:rPr>
          <w:rFonts w:ascii="Times New Roman" w:hAnsi="Times New Roman" w:cs="Times New Roman"/>
          <w:b/>
          <w:caps/>
        </w:rPr>
        <w:t>REGISTRUOTOJO pavadinimas</w:t>
      </w:r>
      <w:r w:rsidRPr="00E138C4">
        <w:rPr>
          <w:rFonts w:ascii="Times New Roman" w:hAnsi="Times New Roman" w:cs="Times New Roman"/>
          <w:b/>
        </w:rPr>
        <w:t xml:space="preserve"> </w:t>
      </w:r>
    </w:p>
    <w:p w14:paraId="7D935FF5"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9D53FFA" w14:textId="77777777" w:rsidR="00DD069E" w:rsidRPr="00E138C4" w:rsidRDefault="00DD069E" w:rsidP="00DD069E">
      <w:pPr>
        <w:spacing w:after="0" w:line="240" w:lineRule="auto"/>
        <w:jc w:val="both"/>
        <w:rPr>
          <w:rFonts w:ascii="Times New Roman" w:hAnsi="Times New Roman" w:cs="Times New Roman"/>
        </w:rPr>
      </w:pPr>
      <w:r w:rsidRPr="00E138C4">
        <w:rPr>
          <w:rFonts w:ascii="Times New Roman" w:hAnsi="Times New Roman" w:cs="Times New Roman"/>
        </w:rPr>
        <w:t>E</w:t>
      </w:r>
      <w:r w:rsidR="007B12B5" w:rsidRPr="00E138C4">
        <w:rPr>
          <w:rFonts w:ascii="Times New Roman" w:hAnsi="Times New Roman" w:cs="Times New Roman"/>
        </w:rPr>
        <w:t>gis</w:t>
      </w:r>
      <w:r w:rsidRPr="00E138C4">
        <w:rPr>
          <w:rFonts w:ascii="Times New Roman" w:hAnsi="Times New Roman" w:cs="Times New Roman"/>
        </w:rPr>
        <w:t xml:space="preserve"> </w:t>
      </w:r>
    </w:p>
    <w:p w14:paraId="25042AF8"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BF13B12"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6073E63F"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3.</w:t>
      </w:r>
      <w:r w:rsidRPr="00E138C4">
        <w:rPr>
          <w:rFonts w:ascii="Times New Roman" w:hAnsi="Times New Roman" w:cs="Times New Roman"/>
          <w:b/>
        </w:rPr>
        <w:tab/>
        <w:t>TINKAMUMO LAIKAS</w:t>
      </w:r>
    </w:p>
    <w:p w14:paraId="5954EE61"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2A49E3DE" w14:textId="77777777" w:rsidR="00E53AD7" w:rsidRPr="00E138C4" w:rsidRDefault="00E53AD7" w:rsidP="00E53AD7">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EXP {mm MMMM}</w:t>
      </w:r>
    </w:p>
    <w:p w14:paraId="6FB79350"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709B51D4"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119F3644"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b/>
        </w:rPr>
      </w:pPr>
      <w:r w:rsidRPr="00E138C4">
        <w:rPr>
          <w:rFonts w:ascii="Times New Roman" w:hAnsi="Times New Roman" w:cs="Times New Roman"/>
          <w:b/>
        </w:rPr>
        <w:t>4.</w:t>
      </w:r>
      <w:r w:rsidRPr="00E138C4">
        <w:rPr>
          <w:rFonts w:ascii="Times New Roman" w:hAnsi="Times New Roman" w:cs="Times New Roman"/>
          <w:b/>
        </w:rPr>
        <w:tab/>
        <w:t xml:space="preserve">SERIJOS NUMERIS </w:t>
      </w:r>
    </w:p>
    <w:p w14:paraId="23F1991C" w14:textId="77777777" w:rsidR="00DD069E" w:rsidRPr="00E138C4" w:rsidRDefault="00DD069E" w:rsidP="00DD069E">
      <w:pPr>
        <w:tabs>
          <w:tab w:val="left" w:pos="540"/>
        </w:tabs>
        <w:spacing w:after="0" w:line="240" w:lineRule="auto"/>
        <w:jc w:val="both"/>
        <w:rPr>
          <w:rFonts w:ascii="Times New Roman" w:hAnsi="Times New Roman" w:cs="Times New Roman"/>
        </w:rPr>
      </w:pPr>
    </w:p>
    <w:p w14:paraId="068B88D0" w14:textId="77777777" w:rsidR="00E53AD7" w:rsidRPr="00E138C4" w:rsidRDefault="00E53AD7" w:rsidP="00E53AD7">
      <w:pPr>
        <w:tabs>
          <w:tab w:val="left" w:pos="540"/>
        </w:tabs>
        <w:spacing w:after="0" w:line="240" w:lineRule="auto"/>
        <w:jc w:val="both"/>
        <w:rPr>
          <w:rFonts w:ascii="Times New Roman" w:hAnsi="Times New Roman" w:cs="Times New Roman"/>
        </w:rPr>
      </w:pPr>
      <w:r w:rsidRPr="00E138C4">
        <w:rPr>
          <w:rFonts w:ascii="Times New Roman" w:hAnsi="Times New Roman" w:cs="Times New Roman"/>
        </w:rPr>
        <w:t>Lot</w:t>
      </w:r>
    </w:p>
    <w:p w14:paraId="320C4B89" w14:textId="77777777" w:rsidR="00DD069E" w:rsidRPr="00E138C4" w:rsidRDefault="00DD069E" w:rsidP="00DD069E">
      <w:pPr>
        <w:spacing w:after="0" w:line="240" w:lineRule="auto"/>
        <w:jc w:val="both"/>
        <w:rPr>
          <w:rFonts w:ascii="Times New Roman" w:hAnsi="Times New Roman" w:cs="Times New Roman"/>
        </w:rPr>
      </w:pPr>
    </w:p>
    <w:p w14:paraId="1CBA948C" w14:textId="77777777" w:rsidR="00DD069E" w:rsidRPr="00E138C4" w:rsidRDefault="00DD069E" w:rsidP="00DD069E">
      <w:pPr>
        <w:spacing w:after="0" w:line="240" w:lineRule="auto"/>
        <w:jc w:val="both"/>
        <w:rPr>
          <w:rFonts w:ascii="Times New Roman" w:hAnsi="Times New Roman" w:cs="Times New Roman"/>
        </w:rPr>
      </w:pPr>
    </w:p>
    <w:p w14:paraId="3CE1872A" w14:textId="77777777" w:rsidR="00DD069E" w:rsidRPr="00E138C4" w:rsidRDefault="00DD069E" w:rsidP="00DD06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KITA</w:t>
      </w:r>
    </w:p>
    <w:p w14:paraId="330B3AF6" w14:textId="77777777" w:rsidR="00DD069E" w:rsidRPr="00E138C4" w:rsidRDefault="00DD069E" w:rsidP="00862DF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cs="Times New Roman"/>
        </w:rPr>
      </w:pPr>
      <w:r w:rsidRPr="00E138C4">
        <w:rPr>
          <w:rFonts w:ascii="Times New Roman" w:hAnsi="Times New Roman" w:cs="Times New Roman"/>
          <w:b/>
        </w:rPr>
        <w:br w:type="page"/>
      </w:r>
    </w:p>
    <w:p w14:paraId="50E1CE00" w14:textId="77777777" w:rsidR="00DD069E" w:rsidRPr="00E138C4" w:rsidRDefault="00DD069E" w:rsidP="00DD069E">
      <w:pPr>
        <w:spacing w:after="0" w:line="240" w:lineRule="auto"/>
        <w:rPr>
          <w:rFonts w:ascii="Times New Roman" w:hAnsi="Times New Roman" w:cs="Times New Roman"/>
        </w:rPr>
      </w:pPr>
    </w:p>
    <w:p w14:paraId="01A8BFA7" w14:textId="77777777" w:rsidR="00DD069E" w:rsidRPr="00E138C4" w:rsidRDefault="00DD069E" w:rsidP="00DD069E">
      <w:pPr>
        <w:spacing w:after="0" w:line="240" w:lineRule="auto"/>
        <w:rPr>
          <w:rFonts w:ascii="Times New Roman" w:hAnsi="Times New Roman" w:cs="Times New Roman"/>
        </w:rPr>
      </w:pPr>
    </w:p>
    <w:p w14:paraId="41CD217D" w14:textId="77777777" w:rsidR="00DD069E" w:rsidRPr="00E138C4" w:rsidRDefault="00DD069E" w:rsidP="00DD069E">
      <w:pPr>
        <w:spacing w:after="0" w:line="240" w:lineRule="auto"/>
        <w:rPr>
          <w:rFonts w:ascii="Times New Roman" w:hAnsi="Times New Roman" w:cs="Times New Roman"/>
        </w:rPr>
      </w:pPr>
    </w:p>
    <w:p w14:paraId="758A9E9C" w14:textId="77777777" w:rsidR="00DD069E" w:rsidRPr="00E138C4" w:rsidRDefault="00DD069E" w:rsidP="00DD069E">
      <w:pPr>
        <w:spacing w:after="0" w:line="240" w:lineRule="auto"/>
        <w:jc w:val="center"/>
        <w:rPr>
          <w:rFonts w:ascii="Times New Roman" w:hAnsi="Times New Roman" w:cs="Times New Roman"/>
        </w:rPr>
      </w:pPr>
    </w:p>
    <w:p w14:paraId="61F3C90C" w14:textId="77777777" w:rsidR="00DD069E" w:rsidRPr="00E138C4" w:rsidRDefault="00DD069E" w:rsidP="00DD069E">
      <w:pPr>
        <w:spacing w:after="0" w:line="240" w:lineRule="auto"/>
        <w:jc w:val="center"/>
        <w:rPr>
          <w:rFonts w:ascii="Times New Roman" w:hAnsi="Times New Roman" w:cs="Times New Roman"/>
        </w:rPr>
      </w:pPr>
    </w:p>
    <w:p w14:paraId="6074AD4B" w14:textId="77777777" w:rsidR="00DD069E" w:rsidRPr="00E138C4" w:rsidRDefault="00DD069E" w:rsidP="00DD069E">
      <w:pPr>
        <w:spacing w:after="0" w:line="240" w:lineRule="auto"/>
        <w:jc w:val="center"/>
        <w:rPr>
          <w:rFonts w:ascii="Times New Roman" w:hAnsi="Times New Roman" w:cs="Times New Roman"/>
        </w:rPr>
      </w:pPr>
    </w:p>
    <w:p w14:paraId="77291193" w14:textId="77777777" w:rsidR="00DD069E" w:rsidRPr="00E138C4" w:rsidRDefault="00DD069E" w:rsidP="00DD069E">
      <w:pPr>
        <w:spacing w:after="0" w:line="240" w:lineRule="auto"/>
        <w:jc w:val="center"/>
        <w:rPr>
          <w:rFonts w:ascii="Times New Roman" w:hAnsi="Times New Roman" w:cs="Times New Roman"/>
        </w:rPr>
      </w:pPr>
    </w:p>
    <w:p w14:paraId="7D9433DA" w14:textId="77777777" w:rsidR="00DD069E" w:rsidRPr="00E138C4" w:rsidRDefault="00DD069E" w:rsidP="00DD069E">
      <w:pPr>
        <w:spacing w:after="0" w:line="240" w:lineRule="auto"/>
        <w:jc w:val="center"/>
        <w:rPr>
          <w:rFonts w:ascii="Times New Roman" w:hAnsi="Times New Roman" w:cs="Times New Roman"/>
        </w:rPr>
      </w:pPr>
    </w:p>
    <w:p w14:paraId="39963159" w14:textId="77777777" w:rsidR="00DD069E" w:rsidRPr="00E138C4" w:rsidRDefault="00DD069E" w:rsidP="00DD069E">
      <w:pPr>
        <w:spacing w:after="0" w:line="240" w:lineRule="auto"/>
        <w:jc w:val="center"/>
        <w:rPr>
          <w:rFonts w:ascii="Times New Roman" w:hAnsi="Times New Roman" w:cs="Times New Roman"/>
        </w:rPr>
      </w:pPr>
    </w:p>
    <w:p w14:paraId="51F0069C" w14:textId="77777777" w:rsidR="00DD069E" w:rsidRPr="00E138C4" w:rsidRDefault="00DD069E" w:rsidP="00DD069E">
      <w:pPr>
        <w:spacing w:after="0" w:line="240" w:lineRule="auto"/>
        <w:jc w:val="center"/>
        <w:rPr>
          <w:rFonts w:ascii="Times New Roman" w:hAnsi="Times New Roman" w:cs="Times New Roman"/>
        </w:rPr>
      </w:pPr>
    </w:p>
    <w:p w14:paraId="003A825E" w14:textId="77777777" w:rsidR="00DD069E" w:rsidRPr="00E138C4" w:rsidRDefault="00DD069E" w:rsidP="00DD069E">
      <w:pPr>
        <w:spacing w:after="0" w:line="240" w:lineRule="auto"/>
        <w:jc w:val="center"/>
        <w:rPr>
          <w:rFonts w:ascii="Times New Roman" w:hAnsi="Times New Roman" w:cs="Times New Roman"/>
        </w:rPr>
      </w:pPr>
    </w:p>
    <w:p w14:paraId="5FA7EEA5" w14:textId="77777777" w:rsidR="00DD069E" w:rsidRPr="00E138C4" w:rsidRDefault="00DD069E" w:rsidP="00DD069E">
      <w:pPr>
        <w:spacing w:after="0" w:line="240" w:lineRule="auto"/>
        <w:jc w:val="center"/>
        <w:rPr>
          <w:rFonts w:ascii="Times New Roman" w:hAnsi="Times New Roman" w:cs="Times New Roman"/>
        </w:rPr>
      </w:pPr>
    </w:p>
    <w:p w14:paraId="487B0702" w14:textId="77777777" w:rsidR="00DD069E" w:rsidRPr="00E138C4" w:rsidRDefault="00DD069E" w:rsidP="00DD069E">
      <w:pPr>
        <w:spacing w:after="0" w:line="240" w:lineRule="auto"/>
        <w:jc w:val="center"/>
        <w:rPr>
          <w:rFonts w:ascii="Times New Roman" w:hAnsi="Times New Roman" w:cs="Times New Roman"/>
        </w:rPr>
      </w:pPr>
    </w:p>
    <w:p w14:paraId="32C8C280" w14:textId="77777777" w:rsidR="00DD069E" w:rsidRPr="00E138C4" w:rsidRDefault="00DD069E" w:rsidP="00DD069E">
      <w:pPr>
        <w:spacing w:after="0" w:line="240" w:lineRule="auto"/>
        <w:jc w:val="center"/>
        <w:rPr>
          <w:rFonts w:ascii="Times New Roman" w:hAnsi="Times New Roman" w:cs="Times New Roman"/>
        </w:rPr>
      </w:pPr>
    </w:p>
    <w:p w14:paraId="5ADA7C1E" w14:textId="77777777" w:rsidR="00DD069E" w:rsidRPr="00E138C4" w:rsidRDefault="00DD069E" w:rsidP="00DD069E">
      <w:pPr>
        <w:spacing w:after="0" w:line="240" w:lineRule="auto"/>
        <w:jc w:val="center"/>
        <w:rPr>
          <w:rFonts w:ascii="Times New Roman" w:hAnsi="Times New Roman" w:cs="Times New Roman"/>
        </w:rPr>
      </w:pPr>
    </w:p>
    <w:p w14:paraId="0AD88004" w14:textId="77777777" w:rsidR="00DD069E" w:rsidRPr="00E138C4" w:rsidRDefault="00DD069E" w:rsidP="00DD069E">
      <w:pPr>
        <w:spacing w:after="0" w:line="240" w:lineRule="auto"/>
        <w:jc w:val="center"/>
        <w:rPr>
          <w:rFonts w:ascii="Times New Roman" w:hAnsi="Times New Roman" w:cs="Times New Roman"/>
          <w:b/>
        </w:rPr>
      </w:pPr>
    </w:p>
    <w:p w14:paraId="2EB3C942" w14:textId="77777777" w:rsidR="00DD069E" w:rsidRPr="00E138C4" w:rsidRDefault="00DD069E" w:rsidP="00DD069E">
      <w:pPr>
        <w:spacing w:after="0" w:line="240" w:lineRule="auto"/>
        <w:jc w:val="center"/>
        <w:rPr>
          <w:rFonts w:ascii="Times New Roman" w:hAnsi="Times New Roman" w:cs="Times New Roman"/>
          <w:b/>
        </w:rPr>
      </w:pPr>
    </w:p>
    <w:p w14:paraId="423CBE78" w14:textId="77777777" w:rsidR="00DD069E" w:rsidRPr="00E138C4" w:rsidRDefault="00DD069E" w:rsidP="00DD069E">
      <w:pPr>
        <w:spacing w:after="0" w:line="240" w:lineRule="auto"/>
        <w:jc w:val="center"/>
        <w:rPr>
          <w:rFonts w:ascii="Times New Roman" w:hAnsi="Times New Roman" w:cs="Times New Roman"/>
          <w:b/>
        </w:rPr>
      </w:pPr>
    </w:p>
    <w:p w14:paraId="2F63E51A" w14:textId="77777777" w:rsidR="00DD069E" w:rsidRPr="00E138C4" w:rsidRDefault="00DD069E" w:rsidP="00DD069E">
      <w:pPr>
        <w:spacing w:after="0" w:line="240" w:lineRule="auto"/>
        <w:jc w:val="center"/>
        <w:rPr>
          <w:rFonts w:ascii="Times New Roman" w:hAnsi="Times New Roman" w:cs="Times New Roman"/>
          <w:b/>
        </w:rPr>
      </w:pPr>
    </w:p>
    <w:p w14:paraId="2658D251" w14:textId="77777777" w:rsidR="00DD069E" w:rsidRPr="00E138C4" w:rsidRDefault="00DD069E" w:rsidP="00DD069E">
      <w:pPr>
        <w:spacing w:after="0" w:line="240" w:lineRule="auto"/>
        <w:jc w:val="center"/>
        <w:rPr>
          <w:rFonts w:ascii="Times New Roman" w:hAnsi="Times New Roman" w:cs="Times New Roman"/>
          <w:b/>
        </w:rPr>
      </w:pPr>
    </w:p>
    <w:p w14:paraId="388925EC" w14:textId="77777777" w:rsidR="00DD069E" w:rsidRPr="00E138C4" w:rsidRDefault="00DD069E" w:rsidP="00DD069E">
      <w:pPr>
        <w:spacing w:after="0" w:line="240" w:lineRule="auto"/>
        <w:jc w:val="center"/>
        <w:rPr>
          <w:rFonts w:ascii="Times New Roman" w:hAnsi="Times New Roman" w:cs="Times New Roman"/>
          <w:b/>
        </w:rPr>
      </w:pPr>
    </w:p>
    <w:p w14:paraId="0080A6EE" w14:textId="77777777" w:rsidR="00DD069E" w:rsidRPr="00E138C4" w:rsidRDefault="00DD069E" w:rsidP="00DD069E">
      <w:pPr>
        <w:spacing w:after="0" w:line="240" w:lineRule="auto"/>
        <w:jc w:val="center"/>
        <w:rPr>
          <w:rFonts w:ascii="Times New Roman" w:hAnsi="Times New Roman" w:cs="Times New Roman"/>
          <w:b/>
        </w:rPr>
      </w:pPr>
    </w:p>
    <w:p w14:paraId="6290A3EB" w14:textId="77777777" w:rsidR="00DD069E" w:rsidRPr="00E138C4" w:rsidRDefault="00DD069E" w:rsidP="00DD069E">
      <w:pPr>
        <w:spacing w:after="0" w:line="240" w:lineRule="auto"/>
        <w:jc w:val="center"/>
        <w:rPr>
          <w:rFonts w:ascii="Times New Roman" w:hAnsi="Times New Roman" w:cs="Times New Roman"/>
          <w:b/>
        </w:rPr>
      </w:pPr>
    </w:p>
    <w:p w14:paraId="61ED55B2" w14:textId="77777777" w:rsidR="00DD069E" w:rsidRPr="00E138C4" w:rsidRDefault="00DD069E" w:rsidP="00DD069E">
      <w:pPr>
        <w:spacing w:after="0" w:line="240" w:lineRule="auto"/>
        <w:jc w:val="center"/>
        <w:rPr>
          <w:rFonts w:ascii="Times New Roman" w:hAnsi="Times New Roman" w:cs="Times New Roman"/>
          <w:b/>
        </w:rPr>
      </w:pPr>
    </w:p>
    <w:p w14:paraId="68FD8579" w14:textId="77777777" w:rsidR="00DD069E" w:rsidRPr="00E138C4" w:rsidRDefault="00DD069E" w:rsidP="00DD069E">
      <w:pPr>
        <w:spacing w:after="0" w:line="240" w:lineRule="auto"/>
        <w:jc w:val="center"/>
        <w:rPr>
          <w:rFonts w:ascii="Times New Roman" w:hAnsi="Times New Roman" w:cs="Times New Roman"/>
          <w:b/>
        </w:rPr>
      </w:pPr>
    </w:p>
    <w:p w14:paraId="60F65DCE" w14:textId="77777777"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B. PAKUOTĖS LAPELIS</w:t>
      </w:r>
    </w:p>
    <w:p w14:paraId="6679826C" w14:textId="77777777" w:rsidR="00DD069E" w:rsidRPr="00E138C4" w:rsidRDefault="00DD069E" w:rsidP="00DD069E">
      <w:pPr>
        <w:spacing w:after="0" w:line="240" w:lineRule="auto"/>
        <w:jc w:val="center"/>
        <w:outlineLvl w:val="0"/>
        <w:rPr>
          <w:rFonts w:ascii="Times New Roman" w:hAnsi="Times New Roman" w:cs="Times New Roman"/>
          <w:b/>
        </w:rPr>
      </w:pPr>
      <w:r w:rsidRPr="00E138C4">
        <w:rPr>
          <w:rFonts w:ascii="Times New Roman" w:hAnsi="Times New Roman" w:cs="Times New Roman"/>
          <w:b/>
        </w:rPr>
        <w:br w:type="page"/>
      </w:r>
      <w:r w:rsidRPr="00E138C4">
        <w:rPr>
          <w:rFonts w:ascii="Times New Roman" w:hAnsi="Times New Roman" w:cs="Times New Roman"/>
          <w:b/>
        </w:rPr>
        <w:lastRenderedPageBreak/>
        <w:t>Pakuotės lapelis: informacija vartotojui</w:t>
      </w:r>
    </w:p>
    <w:p w14:paraId="5E8D5A3A" w14:textId="77777777" w:rsidR="00DD069E" w:rsidRPr="00E138C4" w:rsidRDefault="00DD069E" w:rsidP="00DD069E">
      <w:pPr>
        <w:spacing w:after="0" w:line="240" w:lineRule="auto"/>
        <w:rPr>
          <w:rFonts w:ascii="Times New Roman" w:hAnsi="Times New Roman" w:cs="Times New Roman"/>
        </w:rPr>
      </w:pPr>
    </w:p>
    <w:p w14:paraId="6FCB399C" w14:textId="464E8825"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25 mg plėvele dengtos tabletės</w:t>
      </w:r>
    </w:p>
    <w:p w14:paraId="626E0E01" w14:textId="4DC9BFFB"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100 mg plėvele dengtos tabletės</w:t>
      </w:r>
    </w:p>
    <w:p w14:paraId="331C31C7" w14:textId="4FD6DBBF"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150 mg plėvele dengtos tabletės</w:t>
      </w:r>
    </w:p>
    <w:p w14:paraId="5BAE6AF8" w14:textId="00B906E2"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200 mg plėvele dengtos tabletės</w:t>
      </w:r>
    </w:p>
    <w:p w14:paraId="4D4A9777" w14:textId="5549AD12" w:rsidR="00DD069E" w:rsidRPr="00E138C4" w:rsidRDefault="00DD069E" w:rsidP="00DD069E">
      <w:pPr>
        <w:spacing w:after="0" w:line="240" w:lineRule="auto"/>
        <w:jc w:val="center"/>
        <w:rPr>
          <w:rFonts w:ascii="Times New Roman" w:hAnsi="Times New Roman" w:cs="Times New Roman"/>
          <w:b/>
        </w:rPr>
      </w:pPr>
      <w:r w:rsidRPr="00E138C4">
        <w:rPr>
          <w:rFonts w:ascii="Times New Roman" w:hAnsi="Times New Roman" w:cs="Times New Roman"/>
          <w:b/>
        </w:rPr>
        <w:t>Ketilept 300 mg plėvele dengtos tabletės</w:t>
      </w:r>
    </w:p>
    <w:p w14:paraId="41A1953C" w14:textId="77777777" w:rsidR="00DD069E" w:rsidRPr="00E138C4" w:rsidRDefault="001D0306" w:rsidP="00DD069E">
      <w:pPr>
        <w:spacing w:after="0" w:line="240" w:lineRule="auto"/>
        <w:jc w:val="center"/>
        <w:rPr>
          <w:rFonts w:ascii="Times New Roman" w:hAnsi="Times New Roman" w:cs="Times New Roman"/>
        </w:rPr>
      </w:pPr>
      <w:r w:rsidRPr="00E138C4">
        <w:rPr>
          <w:rFonts w:ascii="Times New Roman" w:hAnsi="Times New Roman" w:cs="Times New Roman"/>
        </w:rPr>
        <w:t>kvetiapinas</w:t>
      </w:r>
    </w:p>
    <w:p w14:paraId="6EE6F2F0" w14:textId="77777777" w:rsidR="00DD069E" w:rsidRPr="00E138C4" w:rsidRDefault="00DD069E" w:rsidP="00DD069E">
      <w:pPr>
        <w:spacing w:after="0" w:line="240" w:lineRule="auto"/>
        <w:jc w:val="both"/>
        <w:rPr>
          <w:rFonts w:ascii="Times New Roman" w:hAnsi="Times New Roman" w:cs="Times New Roman"/>
        </w:rPr>
      </w:pPr>
    </w:p>
    <w:p w14:paraId="2D02E0B8"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Atidžiai perskaitykite visą šį lapelį, prieš pradėdami vartoti vaistą, nes jame pateikiama Jums svarbi informacija.</w:t>
      </w:r>
    </w:p>
    <w:p w14:paraId="6273AC50"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Neišmeskite šio lapelio, nes vėl gali prireikti jį perskaityti.</w:t>
      </w:r>
    </w:p>
    <w:p w14:paraId="0AA65F1E"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Jeigu kiltų daugiau klausimų, kreipkitės į gydytoją arba vaistininką.</w:t>
      </w:r>
    </w:p>
    <w:p w14:paraId="2B9BC483" w14:textId="77777777"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Šis vaistas skirtas tik Jums, todėl kitiems žmonėms jo duoti negalima. Vaistas gali jiems pakenkti (net tiems, kurių ligos požymiai yra tokie patys kaip Jūsų).</w:t>
      </w:r>
    </w:p>
    <w:p w14:paraId="11CE9B6D" w14:textId="77777777"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Jeigu pasireiškė šalutinis poveikis (net jeigu jis šiame lapelyje nenurodytas), kreipkitės į gydytoją arba vaistininką. Žr. 4 skyrių.</w:t>
      </w:r>
    </w:p>
    <w:p w14:paraId="3E2D632A" w14:textId="77777777" w:rsidR="00DD069E" w:rsidRPr="00E138C4" w:rsidRDefault="00DD069E" w:rsidP="00DD069E">
      <w:pPr>
        <w:spacing w:after="0" w:line="240" w:lineRule="auto"/>
        <w:ind w:right="-2"/>
        <w:rPr>
          <w:rFonts w:ascii="Times New Roman" w:hAnsi="Times New Roman" w:cs="Times New Roman"/>
        </w:rPr>
      </w:pPr>
    </w:p>
    <w:p w14:paraId="6E420F6E"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Apie ką rašoma šiame lapelyje</w:t>
      </w:r>
      <w:r w:rsidRPr="00E138C4" w:rsidDel="00DB00CC">
        <w:rPr>
          <w:rFonts w:ascii="Times New Roman" w:hAnsi="Times New Roman" w:cs="Times New Roman"/>
          <w:b/>
        </w:rPr>
        <w:t xml:space="preserve"> </w:t>
      </w:r>
    </w:p>
    <w:p w14:paraId="7756F29B"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1.</w:t>
      </w:r>
      <w:r w:rsidRPr="00E138C4">
        <w:rPr>
          <w:rFonts w:ascii="Times New Roman" w:hAnsi="Times New Roman" w:cs="Times New Roman"/>
        </w:rPr>
        <w:tab/>
        <w:t>Kas yra Ketilept ir kam jis vartojamas</w:t>
      </w:r>
    </w:p>
    <w:p w14:paraId="5DA62A0E"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2.</w:t>
      </w:r>
      <w:r w:rsidRPr="00E138C4">
        <w:rPr>
          <w:rFonts w:ascii="Times New Roman" w:hAnsi="Times New Roman" w:cs="Times New Roman"/>
        </w:rPr>
        <w:tab/>
        <w:t>Kas žinotina prieš vartojant Ketilept</w:t>
      </w:r>
    </w:p>
    <w:p w14:paraId="4AA83DC4"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3.</w:t>
      </w:r>
      <w:r w:rsidRPr="00E138C4">
        <w:rPr>
          <w:rFonts w:ascii="Times New Roman" w:hAnsi="Times New Roman" w:cs="Times New Roman"/>
        </w:rPr>
        <w:tab/>
        <w:t>Kaip vartoti Ketilept</w:t>
      </w:r>
    </w:p>
    <w:p w14:paraId="33566A83"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4.</w:t>
      </w:r>
      <w:r w:rsidRPr="00E138C4">
        <w:rPr>
          <w:rFonts w:ascii="Times New Roman" w:hAnsi="Times New Roman" w:cs="Times New Roman"/>
        </w:rPr>
        <w:tab/>
        <w:t>Galimas šalutinis poveikis</w:t>
      </w:r>
    </w:p>
    <w:p w14:paraId="1540E30F"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5.</w:t>
      </w:r>
      <w:r w:rsidRPr="00E138C4">
        <w:rPr>
          <w:rFonts w:ascii="Times New Roman" w:hAnsi="Times New Roman" w:cs="Times New Roman"/>
        </w:rPr>
        <w:tab/>
        <w:t>Kaip laikyti Ketilept</w:t>
      </w:r>
    </w:p>
    <w:p w14:paraId="75536427"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6.</w:t>
      </w:r>
      <w:r w:rsidRPr="00E138C4">
        <w:rPr>
          <w:rFonts w:ascii="Times New Roman" w:hAnsi="Times New Roman" w:cs="Times New Roman"/>
        </w:rPr>
        <w:tab/>
        <w:t>Pakuotės turinys ir kita informacija</w:t>
      </w:r>
    </w:p>
    <w:p w14:paraId="1B3624BB" w14:textId="77777777" w:rsidR="00DD069E" w:rsidRPr="00E138C4" w:rsidRDefault="00DD069E" w:rsidP="00DD069E">
      <w:pPr>
        <w:numPr>
          <w:ilvl w:val="12"/>
          <w:numId w:val="0"/>
        </w:numPr>
        <w:spacing w:after="0" w:line="240" w:lineRule="auto"/>
        <w:rPr>
          <w:rFonts w:ascii="Times New Roman" w:hAnsi="Times New Roman" w:cs="Times New Roman"/>
        </w:rPr>
      </w:pPr>
    </w:p>
    <w:p w14:paraId="072BD774" w14:textId="77777777" w:rsidR="00DD069E" w:rsidRPr="00E138C4" w:rsidRDefault="00DD069E" w:rsidP="00DD069E">
      <w:pPr>
        <w:spacing w:after="0" w:line="240" w:lineRule="auto"/>
        <w:jc w:val="both"/>
        <w:rPr>
          <w:rFonts w:ascii="Times New Roman" w:hAnsi="Times New Roman" w:cs="Times New Roman"/>
        </w:rPr>
      </w:pPr>
    </w:p>
    <w:p w14:paraId="37F5357D" w14:textId="77777777" w:rsidR="00DD069E" w:rsidRPr="00E138C4" w:rsidRDefault="00DD069E" w:rsidP="00DD069E">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1.</w:t>
      </w:r>
      <w:r w:rsidRPr="00E138C4">
        <w:rPr>
          <w:rFonts w:ascii="Times New Roman" w:hAnsi="Times New Roman" w:cs="Times New Roman"/>
          <w:b/>
        </w:rPr>
        <w:tab/>
        <w:t>Kas yra Ketilept ir kam jis vartojamas</w:t>
      </w:r>
    </w:p>
    <w:p w14:paraId="5511C6AA" w14:textId="77777777" w:rsidR="00DD069E" w:rsidRPr="00E138C4" w:rsidRDefault="00DD069E" w:rsidP="00DD069E">
      <w:pPr>
        <w:spacing w:after="0" w:line="240" w:lineRule="auto"/>
        <w:jc w:val="both"/>
        <w:rPr>
          <w:rFonts w:ascii="Times New Roman" w:hAnsi="Times New Roman" w:cs="Times New Roman"/>
        </w:rPr>
      </w:pPr>
    </w:p>
    <w:p w14:paraId="25FF41D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sudėtyje yra medžiag</w:t>
      </w:r>
      <w:r w:rsidR="00D5289D" w:rsidRPr="00E138C4">
        <w:rPr>
          <w:rFonts w:ascii="Times New Roman" w:hAnsi="Times New Roman" w:cs="Times New Roman"/>
        </w:rPr>
        <w:t>os,</w:t>
      </w:r>
      <w:r w:rsidRPr="00E138C4">
        <w:rPr>
          <w:rFonts w:ascii="Times New Roman" w:hAnsi="Times New Roman" w:cs="Times New Roman"/>
        </w:rPr>
        <w:t xml:space="preserve"> </w:t>
      </w:r>
      <w:r w:rsidR="00D5289D" w:rsidRPr="00E138C4">
        <w:rPr>
          <w:rFonts w:ascii="Times New Roman" w:hAnsi="Times New Roman" w:cs="Times New Roman"/>
        </w:rPr>
        <w:t xml:space="preserve">vadinamos </w:t>
      </w:r>
      <w:r w:rsidRPr="00E138C4">
        <w:rPr>
          <w:rFonts w:ascii="Times New Roman" w:hAnsi="Times New Roman" w:cs="Times New Roman"/>
        </w:rPr>
        <w:t>kvetiapinu. Šis vaistas priklauso vaistų nuo psichozės grupei. Ketilept galima vartoti kelioms ligoms gydyti:</w:t>
      </w:r>
    </w:p>
    <w:p w14:paraId="4C8CFBDE" w14:textId="77777777" w:rsidR="00DD069E" w:rsidRPr="00E138C4" w:rsidRDefault="00DD069E" w:rsidP="00DD069E">
      <w:pPr>
        <w:spacing w:after="0" w:line="240" w:lineRule="auto"/>
        <w:rPr>
          <w:rFonts w:ascii="Times New Roman" w:hAnsi="Times New Roman" w:cs="Times New Roman"/>
        </w:rPr>
      </w:pPr>
    </w:p>
    <w:p w14:paraId="57A740AC"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depresijai (blogai nuotaikai), susijusiai su bipoliniu sutrikimu (sirgdami šia liga, galite jausti blogą nuotaiką, kaltę, energijos stygių, apetito stoką ar nemigą);</w:t>
      </w:r>
    </w:p>
    <w:p w14:paraId="4668FC32"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manijai (sirgdami šia liga, galite jausti labai didelį sujaudinimą, pakilią nuotaiką, gali būti daug entuziazmo, padidėjęs aktyvumas ar neapgalvotas elgesys, net agresyvumas ir griaunamasis elgesys); </w:t>
      </w:r>
    </w:p>
    <w:p w14:paraId="449FF1B7" w14:textId="77777777" w:rsidR="00DD069E" w:rsidRPr="00E138C4" w:rsidRDefault="00DD069E" w:rsidP="00DD069E">
      <w:p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šizofrenijai (sirgdami šia liga, galite girdėti ar jausti nesamus daiktus, tikėti nesamais dalykais, gali pasireikšti neįprastas įtarumas, nerimas, sutrikti orientacija, atsirasti kaltės jausmas, psichinė įtampa ar bloga nuotaika).</w:t>
      </w:r>
    </w:p>
    <w:p w14:paraId="4708D45E" w14:textId="77777777" w:rsidR="00DD069E" w:rsidRPr="00E138C4" w:rsidRDefault="00DD069E" w:rsidP="00DD069E">
      <w:pPr>
        <w:tabs>
          <w:tab w:val="left" w:pos="567"/>
        </w:tabs>
        <w:spacing w:after="0" w:line="240" w:lineRule="auto"/>
        <w:ind w:left="567" w:hanging="567"/>
        <w:rPr>
          <w:rFonts w:ascii="Times New Roman" w:hAnsi="Times New Roman" w:cs="Times New Roman"/>
        </w:rPr>
      </w:pPr>
    </w:p>
    <w:p w14:paraId="38C800A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Net Jums pasijutus geriau, gydytojas gali nurodyti toliau vartoti Ketilept.</w:t>
      </w:r>
    </w:p>
    <w:p w14:paraId="6BCDCCB9" w14:textId="77777777" w:rsidR="00DD069E" w:rsidRPr="00E138C4" w:rsidRDefault="00DD069E" w:rsidP="00DD069E">
      <w:pPr>
        <w:spacing w:after="0" w:line="240" w:lineRule="auto"/>
        <w:rPr>
          <w:rFonts w:ascii="Times New Roman" w:hAnsi="Times New Roman" w:cs="Times New Roman"/>
        </w:rPr>
      </w:pPr>
    </w:p>
    <w:p w14:paraId="5133CF0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4B9A99F5" w14:textId="77777777" w:rsidR="00DD069E" w:rsidRPr="00E138C4" w:rsidRDefault="00DD069E" w:rsidP="00DD069E">
      <w:pPr>
        <w:spacing w:after="0" w:line="240" w:lineRule="auto"/>
        <w:rPr>
          <w:rFonts w:ascii="Times New Roman" w:hAnsi="Times New Roman" w:cs="Times New Roman"/>
        </w:rPr>
      </w:pPr>
    </w:p>
    <w:p w14:paraId="0511385B" w14:textId="77777777" w:rsidR="00DD069E" w:rsidRPr="00E138C4" w:rsidRDefault="00DD069E" w:rsidP="00DD069E">
      <w:pPr>
        <w:spacing w:after="0" w:line="240" w:lineRule="auto"/>
        <w:rPr>
          <w:rFonts w:ascii="Times New Roman" w:hAnsi="Times New Roman" w:cs="Times New Roman"/>
        </w:rPr>
      </w:pPr>
    </w:p>
    <w:p w14:paraId="00ABA134" w14:textId="77777777" w:rsidR="00DD069E" w:rsidRPr="00E138C4" w:rsidRDefault="00DD069E" w:rsidP="00DD069E">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2.</w:t>
      </w:r>
      <w:r w:rsidRPr="00E138C4">
        <w:rPr>
          <w:rFonts w:ascii="Times New Roman" w:hAnsi="Times New Roman" w:cs="Times New Roman"/>
          <w:b/>
        </w:rPr>
        <w:tab/>
        <w:t>Kas žinotina prieš vartojant Ketilept</w:t>
      </w:r>
    </w:p>
    <w:p w14:paraId="5353E676" w14:textId="77777777" w:rsidR="00DD069E" w:rsidRPr="00E138C4" w:rsidRDefault="00DD069E" w:rsidP="00DD069E">
      <w:pPr>
        <w:spacing w:after="0" w:line="240" w:lineRule="auto"/>
        <w:rPr>
          <w:rFonts w:ascii="Times New Roman" w:hAnsi="Times New Roman" w:cs="Times New Roman"/>
        </w:rPr>
      </w:pPr>
    </w:p>
    <w:p w14:paraId="54BD1AE7" w14:textId="57F6314F" w:rsidR="00DD069E" w:rsidRPr="00E138C4" w:rsidRDefault="00DD069E" w:rsidP="00DD069E">
      <w:pPr>
        <w:spacing w:after="0" w:line="240" w:lineRule="auto"/>
        <w:ind w:left="567" w:hanging="567"/>
        <w:rPr>
          <w:rFonts w:ascii="Times New Roman" w:hAnsi="Times New Roman" w:cs="Times New Roman"/>
          <w:b/>
          <w:caps/>
        </w:rPr>
      </w:pPr>
      <w:r w:rsidRPr="00E138C4">
        <w:rPr>
          <w:rFonts w:ascii="Times New Roman" w:hAnsi="Times New Roman" w:cs="Times New Roman"/>
          <w:b/>
        </w:rPr>
        <w:t xml:space="preserve">Ketilept vartoti </w:t>
      </w:r>
      <w:r w:rsidR="00E2725A" w:rsidRPr="00E138C4">
        <w:rPr>
          <w:rFonts w:ascii="Times New Roman" w:hAnsi="Times New Roman" w:cs="Times New Roman"/>
          <w:b/>
        </w:rPr>
        <w:t>draudžiama</w:t>
      </w:r>
      <w:r w:rsidRPr="00E138C4">
        <w:rPr>
          <w:rFonts w:ascii="Times New Roman" w:hAnsi="Times New Roman" w:cs="Times New Roman"/>
          <w:b/>
        </w:rPr>
        <w:t>:</w:t>
      </w:r>
    </w:p>
    <w:p w14:paraId="75BDF3A5"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yra alergija kvetiapinui arba bet kuriai pagalbinei šio vaisto medžiagai (jos išvardytos 6  skyriuje);</w:t>
      </w:r>
    </w:p>
    <w:p w14:paraId="1338F815"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vartojate ar neseniai vartojote bet kokių iš šių vaistų:</w:t>
      </w:r>
    </w:p>
    <w:p w14:paraId="0B91E9EA" w14:textId="77777777" w:rsidR="00DD069E" w:rsidRPr="00E138C4" w:rsidRDefault="00DD069E" w:rsidP="00DD069E">
      <w:pPr>
        <w:numPr>
          <w:ilvl w:val="0"/>
          <w:numId w:val="10"/>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kai kurių vaistų nuo ŽIV;</w:t>
      </w:r>
    </w:p>
    <w:p w14:paraId="77C776E5" w14:textId="77777777" w:rsidR="00DD069E" w:rsidRPr="00E138C4" w:rsidRDefault="00DD069E" w:rsidP="00DD069E">
      <w:pPr>
        <w:numPr>
          <w:ilvl w:val="0"/>
          <w:numId w:val="10"/>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 xml:space="preserve">azolo grupės vaistų nuo grybelio; </w:t>
      </w:r>
    </w:p>
    <w:p w14:paraId="3A291492" w14:textId="77777777" w:rsidR="00DD069E" w:rsidRPr="00E138C4" w:rsidRDefault="00DD069E" w:rsidP="00DD069E">
      <w:pPr>
        <w:numPr>
          <w:ilvl w:val="0"/>
          <w:numId w:val="10"/>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lastRenderedPageBreak/>
        <w:t>eritromicino arba klaritromicino (nuo infekcijos);</w:t>
      </w:r>
    </w:p>
    <w:p w14:paraId="5506F5BC" w14:textId="77777777" w:rsidR="00DD069E" w:rsidRPr="00E138C4" w:rsidRDefault="00DD069E" w:rsidP="00DD069E">
      <w:pPr>
        <w:numPr>
          <w:ilvl w:val="0"/>
          <w:numId w:val="10"/>
        </w:numPr>
        <w:tabs>
          <w:tab w:val="left" w:pos="567"/>
        </w:tabs>
        <w:spacing w:after="0" w:line="240" w:lineRule="auto"/>
        <w:ind w:left="1134" w:hanging="567"/>
        <w:rPr>
          <w:rFonts w:ascii="Times New Roman" w:hAnsi="Times New Roman" w:cs="Times New Roman"/>
        </w:rPr>
      </w:pPr>
      <w:r w:rsidRPr="00E138C4">
        <w:rPr>
          <w:rFonts w:ascii="Times New Roman" w:eastAsia="Calibri" w:hAnsi="Times New Roman" w:cs="Times New Roman"/>
        </w:rPr>
        <w:t>nefazodono (nuo depresijos).</w:t>
      </w:r>
    </w:p>
    <w:p w14:paraId="070E1F31" w14:textId="77777777" w:rsidR="00DD069E" w:rsidRPr="00E138C4" w:rsidRDefault="00DD069E" w:rsidP="00DD069E">
      <w:pPr>
        <w:spacing w:after="0" w:line="240" w:lineRule="auto"/>
        <w:jc w:val="both"/>
        <w:rPr>
          <w:rFonts w:ascii="Times New Roman" w:hAnsi="Times New Roman" w:cs="Times New Roman"/>
        </w:rPr>
      </w:pPr>
    </w:p>
    <w:p w14:paraId="43CF51E0"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Nevartokite Ketilept, jeigu yra kuri nors iš aukščiau išvardytų problemų. Jeigu abejojate, apie tai pasakykite gydytojui arba vaistininkui, prieš pradėdami vartoti Ketilept.</w:t>
      </w:r>
    </w:p>
    <w:p w14:paraId="0384C543" w14:textId="77777777" w:rsidR="00DD069E" w:rsidRPr="00E138C4" w:rsidRDefault="00DD069E" w:rsidP="00DD069E">
      <w:pPr>
        <w:spacing w:after="0" w:line="240" w:lineRule="auto"/>
        <w:jc w:val="both"/>
        <w:rPr>
          <w:rFonts w:ascii="Times New Roman" w:hAnsi="Times New Roman" w:cs="Times New Roman"/>
        </w:rPr>
      </w:pPr>
    </w:p>
    <w:p w14:paraId="17904860" w14:textId="77777777" w:rsidR="00DD069E" w:rsidRPr="00E138C4" w:rsidRDefault="00DD069E" w:rsidP="00DD069E">
      <w:pPr>
        <w:keepNext/>
        <w:tabs>
          <w:tab w:val="left" w:pos="567"/>
        </w:tabs>
        <w:spacing w:after="0" w:line="240" w:lineRule="auto"/>
        <w:jc w:val="both"/>
        <w:outlineLvl w:val="3"/>
        <w:rPr>
          <w:rFonts w:ascii="Times New Roman" w:hAnsi="Times New Roman" w:cs="Times New Roman"/>
          <w:b/>
        </w:rPr>
      </w:pPr>
      <w:r w:rsidRPr="00E138C4">
        <w:rPr>
          <w:rFonts w:ascii="Times New Roman" w:hAnsi="Times New Roman" w:cs="Times New Roman"/>
          <w:b/>
        </w:rPr>
        <w:t>Įspėjimai ir atsargumo priemonės</w:t>
      </w:r>
    </w:p>
    <w:p w14:paraId="153544B9" w14:textId="77777777" w:rsidR="00DD069E" w:rsidRPr="00E138C4" w:rsidRDefault="00DD069E" w:rsidP="00DD069E">
      <w:pPr>
        <w:numPr>
          <w:ilvl w:val="12"/>
          <w:numId w:val="0"/>
        </w:numPr>
        <w:spacing w:after="0" w:line="240" w:lineRule="auto"/>
        <w:ind w:right="-2"/>
        <w:rPr>
          <w:rFonts w:ascii="Times New Roman" w:hAnsi="Times New Roman" w:cs="Times New Roman"/>
          <w:u w:val="single"/>
        </w:rPr>
      </w:pPr>
      <w:r w:rsidRPr="00E138C4">
        <w:rPr>
          <w:rFonts w:ascii="Times New Roman" w:hAnsi="Times New Roman" w:cs="Times New Roman"/>
          <w:u w:val="single"/>
        </w:rPr>
        <w:t>Pasitarkite su gydytoju arba vaistininku, prieš pradėdami vartoti Ketilept:</w:t>
      </w:r>
    </w:p>
    <w:p w14:paraId="379A2960"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ar kas nors iš šeimos narių turi kokių nors širdies sutrikimų (pvz., ritmo sutrikimais, širdies raumens susilpnėjimu arba širdies uždegimu) arba jeigu vartojate vaistų, kurie gali daryti įtaką širdies susitraukimų dažniui;</w:t>
      </w:r>
    </w:p>
    <w:p w14:paraId="30321C3F"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jeigu Jūsų žemas kraujospūdis;</w:t>
      </w:r>
    </w:p>
    <w:p w14:paraId="0D726499"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yra buvęs insultas (ypač jei esate senyvo amžiaus žmogus);</w:t>
      </w:r>
    </w:p>
    <w:p w14:paraId="7889EE89"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turite kepenų veiklos sutrikimų;</w:t>
      </w:r>
    </w:p>
    <w:p w14:paraId="5E90FD5F"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kada nors yra buvę traukulių;</w:t>
      </w:r>
    </w:p>
    <w:p w14:paraId="7B550C3C"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sergate cukriniu diabetu arba turite padidėjusią diabeto riziką (šeimoje yra sirgusių diabetu arba nėštumo metu buvo labai padidėjęs gliukozės kiekis kraujyje), Jūsų gydytojas gali tikrini gliukozės kiekį kraujyje;</w:t>
      </w:r>
    </w:p>
    <w:p w14:paraId="08C35B20" w14:textId="77777777" w:rsidR="00DD069E"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sergate pankreatitu (kasos uždegimu) ar turite požymių, susijusių su pankreatitu, pvz., tulžies pūslės akmenligė ar padidėjęs trigleciridų (tam tikrų kraujyje esančių riebalų) kiekis;</w:t>
      </w:r>
    </w:p>
    <w:p w14:paraId="2E735A19" w14:textId="2933B61F" w:rsidR="00D17122" w:rsidRPr="00E138C4" w:rsidRDefault="00D17122" w:rsidP="00DD069E">
      <w:pPr>
        <w:numPr>
          <w:ilvl w:val="0"/>
          <w:numId w:val="1"/>
        </w:numPr>
        <w:spacing w:after="0" w:line="240" w:lineRule="auto"/>
        <w:ind w:left="567" w:hanging="567"/>
        <w:rPr>
          <w:rFonts w:ascii="Times New Roman" w:hAnsi="Times New Roman" w:cs="Times New Roman"/>
        </w:rPr>
      </w:pPr>
      <w:r>
        <w:rPr>
          <w:rFonts w:ascii="Times New Roman" w:hAnsi="Times New Roman" w:cs="Times New Roman"/>
        </w:rPr>
        <w:t>j</w:t>
      </w:r>
      <w:r w:rsidRPr="00D17122">
        <w:rPr>
          <w:rFonts w:ascii="Times New Roman" w:hAnsi="Times New Roman" w:cs="Times New Roman"/>
        </w:rPr>
        <w:t xml:space="preserve">eigu sergate depresija arba turite kitą sutrikimą, gydomą antidepresantais. Šiuos vaistus vartojant kartu su </w:t>
      </w:r>
      <w:r>
        <w:rPr>
          <w:rFonts w:ascii="Times New Roman" w:hAnsi="Times New Roman" w:cs="Times New Roman"/>
        </w:rPr>
        <w:t>Ketilept</w:t>
      </w:r>
      <w:r w:rsidRPr="00D17122">
        <w:rPr>
          <w:rFonts w:ascii="Times New Roman" w:hAnsi="Times New Roman" w:cs="Times New Roman"/>
        </w:rPr>
        <w:t xml:space="preserve"> gali išsivystyti serotonino sindromas – sutrikimas, galintis kelti pavojų gyvybei (žr. „Kiti vaistai ir </w:t>
      </w:r>
      <w:r w:rsidR="003A2A9E">
        <w:rPr>
          <w:rFonts w:ascii="Times New Roman" w:hAnsi="Times New Roman" w:cs="Times New Roman"/>
        </w:rPr>
        <w:t>Ketilept</w:t>
      </w:r>
      <w:r w:rsidRPr="00D17122">
        <w:rPr>
          <w:rFonts w:ascii="Times New Roman" w:hAnsi="Times New Roman" w:cs="Times New Roman"/>
        </w:rPr>
        <w:t>“).</w:t>
      </w:r>
    </w:p>
    <w:p w14:paraId="498BA1E2" w14:textId="77777777"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žinote, kad praeityje Jūsų kraujyje buvo mažas baltųjų kraujo kūnelių kiekis, kurį galbūt sukėlė kiti vaistai;</w:t>
      </w:r>
    </w:p>
    <w:p w14:paraId="0CCE2AFB" w14:textId="77777777" w:rsidR="00706482" w:rsidRPr="00E138C4" w:rsidRDefault="00706482" w:rsidP="00862DF2">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Jūs esate senyvo amžiaus ir sergate demencija (liga, pasireiškiančia smegenų veiklos silpnėjimu) (ja sergant Ketilept vartoti negalima, kadangi nustatyta, kad demencija sergantiems senyviems pacientams Ketilept gali padidinti insulto ir kai kuriais atvejais net mirties riziką);</w:t>
      </w:r>
    </w:p>
    <w:p w14:paraId="5C53846C" w14:textId="49A681C7" w:rsidR="00515E64" w:rsidRPr="00E138C4" w:rsidRDefault="003A2A9E" w:rsidP="00515E64">
      <w:pPr>
        <w:numPr>
          <w:ilvl w:val="0"/>
          <w:numId w:val="1"/>
        </w:numPr>
        <w:spacing w:after="0" w:line="240" w:lineRule="auto"/>
        <w:ind w:left="567" w:hanging="567"/>
        <w:rPr>
          <w:rFonts w:ascii="Times New Roman" w:hAnsi="Times New Roman" w:cs="Times New Roman"/>
        </w:rPr>
      </w:pPr>
      <w:r>
        <w:rPr>
          <w:rFonts w:ascii="Times New Roman" w:hAnsi="Times New Roman" w:cs="Times New Roman"/>
          <w:lang w:eastAsia="lt-LT" w:bidi="lt-LT"/>
        </w:rPr>
        <w:t>j</w:t>
      </w:r>
      <w:r w:rsidR="00515E64" w:rsidRPr="00E138C4">
        <w:rPr>
          <w:rFonts w:ascii="Times New Roman" w:hAnsi="Times New Roman" w:cs="Times New Roman"/>
          <w:lang w:eastAsia="lt-LT" w:bidi="lt-LT"/>
        </w:rPr>
        <w:t>eigu Jūs esate senyvo amžiaus ir sergate Parkinsono liga (PL)/parkinsonizmu;</w:t>
      </w:r>
    </w:p>
    <w:p w14:paraId="0B0C07A4" w14:textId="13CD8A09"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ar Jūsų šeimos nariui buvo padidėjęs kraujo krešėjimas, nes vaistai, tokie kaip šis, gali paskatinti kraujo krešulių susidarymą</w:t>
      </w:r>
      <w:r w:rsidR="003A2A9E">
        <w:rPr>
          <w:rFonts w:ascii="Times New Roman" w:hAnsi="Times New Roman" w:cs="Times New Roman"/>
        </w:rPr>
        <w:t>;</w:t>
      </w:r>
    </w:p>
    <w:p w14:paraId="678DE156" w14:textId="4F352D79"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Jums dabar yra arba anksčiau yra buvęs sutrikimas, kuris pasireiškia trumpomis kvėpavimo pauzėmis normalaus nakties miego metu (jis vadinamas miego apnėja), arba vartojate vaistų, slopinančių normalią smegenų veiklą</w:t>
      </w:r>
      <w:r w:rsidR="003A2A9E">
        <w:rPr>
          <w:rFonts w:ascii="Times New Roman" w:hAnsi="Times New Roman" w:cs="Times New Roman"/>
        </w:rPr>
        <w:t>;</w:t>
      </w:r>
    </w:p>
    <w:p w14:paraId="490A9A60" w14:textId="461E4942" w:rsidR="00DD069E" w:rsidRPr="00E138C4"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veikia nervų ląstelių funkciją ir todėl vartojami tam tikroms ligoms gydyti</w:t>
      </w:r>
      <w:r w:rsidR="003A2A9E">
        <w:rPr>
          <w:rFonts w:ascii="Times New Roman" w:hAnsi="Times New Roman" w:cs="Times New Roman"/>
        </w:rPr>
        <w:t>;</w:t>
      </w:r>
    </w:p>
    <w:p w14:paraId="36D13190" w14:textId="12ED3BB3" w:rsidR="00515E64" w:rsidRPr="00E138C4" w:rsidRDefault="003A2A9E" w:rsidP="00DD069E">
      <w:pPr>
        <w:numPr>
          <w:ilvl w:val="0"/>
          <w:numId w:val="1"/>
        </w:numPr>
        <w:spacing w:after="0" w:line="240" w:lineRule="auto"/>
        <w:ind w:left="567" w:hanging="567"/>
        <w:rPr>
          <w:rFonts w:ascii="Times New Roman" w:hAnsi="Times New Roman" w:cs="Times New Roman"/>
        </w:rPr>
      </w:pPr>
      <w:r>
        <w:rPr>
          <w:rFonts w:ascii="Times New Roman" w:hAnsi="Times New Roman" w:cs="Times New Roman"/>
        </w:rPr>
        <w:t>j</w:t>
      </w:r>
      <w:r w:rsidR="00515E64" w:rsidRPr="00E138C4">
        <w:rPr>
          <w:rFonts w:ascii="Times New Roman" w:hAnsi="Times New Roman" w:cs="Times New Roman"/>
        </w:rPr>
        <w:t>eigu Jums yra arba buvo problemų, susijusių su piktnaudžiavimu alkoholiu arba vaistais.</w:t>
      </w:r>
    </w:p>
    <w:p w14:paraId="12672F3E" w14:textId="77777777" w:rsidR="00DD069E" w:rsidRPr="00E138C4" w:rsidRDefault="00DD069E" w:rsidP="00DD069E">
      <w:pPr>
        <w:spacing w:after="0" w:line="240" w:lineRule="auto"/>
        <w:jc w:val="both"/>
        <w:rPr>
          <w:rFonts w:ascii="Times New Roman" w:hAnsi="Times New Roman" w:cs="Times New Roman"/>
        </w:rPr>
      </w:pPr>
    </w:p>
    <w:p w14:paraId="1B8C0D68" w14:textId="77777777" w:rsidR="00DD069E" w:rsidRPr="00E138C4" w:rsidRDefault="00DD069E" w:rsidP="00DD069E">
      <w:pPr>
        <w:spacing w:after="0" w:line="240" w:lineRule="auto"/>
        <w:jc w:val="both"/>
        <w:rPr>
          <w:rFonts w:ascii="Times New Roman" w:hAnsi="Times New Roman" w:cs="Times New Roman"/>
        </w:rPr>
      </w:pPr>
      <w:r w:rsidRPr="00E138C4">
        <w:rPr>
          <w:rFonts w:ascii="Times New Roman" w:hAnsi="Times New Roman" w:cs="Times New Roman"/>
        </w:rPr>
        <w:t>Jeigu Jūs vykstate į ligoninę, svarbu pasakyti medicinos personalui, kad vartojate Ketilept.</w:t>
      </w:r>
    </w:p>
    <w:p w14:paraId="66EB04E1" w14:textId="77777777" w:rsidR="00DD069E" w:rsidRPr="00E138C4" w:rsidRDefault="00DD069E" w:rsidP="00DD069E">
      <w:pPr>
        <w:spacing w:after="0" w:line="240" w:lineRule="auto"/>
        <w:rPr>
          <w:rFonts w:ascii="Times New Roman" w:hAnsi="Times New Roman" w:cs="Times New Roman"/>
        </w:rPr>
      </w:pPr>
    </w:p>
    <w:p w14:paraId="61270B1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Nedelsdami pasakykite gydytojui, jeigu vartojant Ketilept Jums pasireikštų kuris nors iš šių sutrikimų:</w:t>
      </w:r>
    </w:p>
    <w:p w14:paraId="31E286DE"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karščiavimas kartu su dideliu raumenų stinguliu, prakaitavimu arba sąmonės sutrikimu (šis derinys vadinamas „piktybiniu neurolepsiniu sindromu“) - tokiu atveju Jums gali reikėti skubios gydytojo pagalbos; </w:t>
      </w:r>
    </w:p>
    <w:p w14:paraId="5A5CCDFC"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prasidėtų nekontroliuojami judesiai, ypač veido ar liežuvio;</w:t>
      </w:r>
    </w:p>
    <w:p w14:paraId="3557267F"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galvos svaigimas arba didelis mieguistumas – dėl jų senyv</w:t>
      </w:r>
      <w:r w:rsidR="009A18DE" w:rsidRPr="00E138C4">
        <w:rPr>
          <w:rFonts w:ascii="Times New Roman" w:hAnsi="Times New Roman" w:cs="Times New Roman"/>
        </w:rPr>
        <w:t xml:space="preserve">o amžiaus </w:t>
      </w:r>
      <w:r w:rsidRPr="00E138C4">
        <w:rPr>
          <w:rFonts w:ascii="Times New Roman" w:hAnsi="Times New Roman" w:cs="Times New Roman"/>
        </w:rPr>
        <w:t>pacientams gali padidėti griuvimo ir atsitiktinio susižalojimo pavojus;</w:t>
      </w:r>
    </w:p>
    <w:p w14:paraId="6B6CA9D4"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 xml:space="preserve">traukuliai; </w:t>
      </w:r>
    </w:p>
    <w:p w14:paraId="42BC2619"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ilgalaikė skausminga erekcija (priapizmas)</w:t>
      </w:r>
      <w:r w:rsidR="003A2C47" w:rsidRPr="00E138C4">
        <w:rPr>
          <w:rFonts w:ascii="Times New Roman" w:eastAsia="Calibri" w:hAnsi="Times New Roman" w:cs="Times New Roman"/>
        </w:rPr>
        <w:t>;</w:t>
      </w:r>
    </w:p>
    <w:p w14:paraId="470E5F21" w14:textId="77777777" w:rsidR="003A2C47" w:rsidRPr="00E138C4" w:rsidRDefault="003A2C47"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0D644ADC" w14:textId="77777777" w:rsidR="00DD069E" w:rsidRPr="00E138C4" w:rsidRDefault="00DD069E" w:rsidP="00DD069E">
      <w:pPr>
        <w:spacing w:after="0" w:line="240" w:lineRule="auto"/>
        <w:rPr>
          <w:rFonts w:ascii="Times New Roman" w:hAnsi="Times New Roman" w:cs="Times New Roman"/>
        </w:rPr>
      </w:pPr>
    </w:p>
    <w:p w14:paraId="5B98938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Tokių sutrikimų gali sukelti šios grupės vaistai.</w:t>
      </w:r>
    </w:p>
    <w:p w14:paraId="07610920" w14:textId="77777777" w:rsidR="00DD069E" w:rsidRPr="00E138C4" w:rsidRDefault="00DD069E" w:rsidP="00DD069E">
      <w:pPr>
        <w:spacing w:after="0" w:line="240" w:lineRule="auto"/>
        <w:rPr>
          <w:rFonts w:ascii="Times New Roman" w:hAnsi="Times New Roman" w:cs="Times New Roman"/>
        </w:rPr>
      </w:pPr>
    </w:p>
    <w:p w14:paraId="30A7CAFF" w14:textId="77777777" w:rsidR="00DD069E" w:rsidRPr="00E138C4" w:rsidRDefault="00DD069E" w:rsidP="00DD069E">
      <w:pPr>
        <w:spacing w:after="0" w:line="240" w:lineRule="auto"/>
        <w:rPr>
          <w:rFonts w:ascii="Times New Roman" w:hAnsi="Times New Roman" w:cs="Times New Roman"/>
          <w:u w:val="single"/>
        </w:rPr>
      </w:pPr>
      <w:r w:rsidRPr="00E138C4">
        <w:rPr>
          <w:rFonts w:ascii="Times New Roman" w:hAnsi="Times New Roman" w:cs="Times New Roman"/>
          <w:u w:val="single"/>
        </w:rPr>
        <w:t>Kiek įmanoma greičiau pasakykite gydytojui, jeigu vartojant Ketilept Jums pasireikštų kuris nors iš šių sutrikimų:</w:t>
      </w:r>
    </w:p>
    <w:p w14:paraId="30235F38"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karščiavimas, panašių į gripo simptomų, gerklės skausmas arba kokia nors kita infekcija – šių sutrikimų priežastis gali būti labai sumažėjęs baltųjų kraujo kūnelių skaičius, dėl kurio gali tekti nutraukti Ketilept vartojimą ir (arba) atitinkamai gydyti; </w:t>
      </w:r>
    </w:p>
    <w:p w14:paraId="5808C53A"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vidurių užkietėjimas ir kartu nuolatinis pilvo skausmas arba vidurių užkietėjimas, kurio nepalengvina vaistai (gali pavojingai užsikimšti žarnos).</w:t>
      </w:r>
    </w:p>
    <w:p w14:paraId="638332C3" w14:textId="77777777" w:rsidR="00DD069E" w:rsidRPr="00E138C4" w:rsidRDefault="00DD069E" w:rsidP="00DD069E">
      <w:pPr>
        <w:spacing w:after="0" w:line="240" w:lineRule="auto"/>
        <w:rPr>
          <w:rFonts w:ascii="Times New Roman" w:hAnsi="Times New Roman" w:cs="Times New Roman"/>
        </w:rPr>
      </w:pPr>
    </w:p>
    <w:p w14:paraId="3B3F43DF"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Mintys apie savižudybę ir depresijos pasunkėjimas</w:t>
      </w:r>
    </w:p>
    <w:p w14:paraId="051BA479" w14:textId="77777777" w:rsidR="00DD069E" w:rsidRPr="00E138C4" w:rsidRDefault="00DD069E" w:rsidP="00DD069E">
      <w:pPr>
        <w:spacing w:after="0" w:line="240" w:lineRule="auto"/>
        <w:rPr>
          <w:rFonts w:ascii="Times New Roman" w:hAnsi="Times New Roman" w:cs="Times New Roman"/>
        </w:rPr>
      </w:pPr>
      <w:r w:rsidRPr="00E138C4">
        <w:rPr>
          <w:rFonts w:ascii="Times New Roman" w:eastAsia="Calibri" w:hAnsi="Times New Roman" w:cs="Times New Roman"/>
        </w:rPr>
        <w:t>Sergant depresija, kartais gali kilti noras susižaloti ar nusižudyti. Pradedant gydymą</w:t>
      </w:r>
      <w:r w:rsidRPr="00E138C4">
        <w:rPr>
          <w:rFonts w:ascii="Times New Roman" w:hAnsi="Times New Roman" w:cs="Times New Roman"/>
        </w:rPr>
        <w:t>, tokių minčių gali kilti dažniau, nes turi praeiti šiek tiek laiko (paprastai apie dvi savaitės, bet kartais ir ilgiau), kol šie vaistai pradės veikti. Be to, tokių minčių atsiradimo pavojus gali būti didesnis staiga nutraukus šio vaisto vartojimą.</w:t>
      </w:r>
    </w:p>
    <w:p w14:paraId="10815CF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Tokia minčių tikimybė Jums yra didesnė šiais atvejais:</w:t>
      </w:r>
    </w:p>
    <w:p w14:paraId="4DD96E77" w14:textId="77777777" w:rsidR="00DD069E" w:rsidRPr="00E138C4" w:rsidRDefault="00DD069E" w:rsidP="00DD069E">
      <w:pPr>
        <w:numPr>
          <w:ilvl w:val="0"/>
          <w:numId w:val="1"/>
        </w:numPr>
        <w:tabs>
          <w:tab w:val="left" w:pos="709"/>
        </w:tabs>
        <w:spacing w:after="0" w:line="240" w:lineRule="auto"/>
        <w:ind w:left="567" w:hanging="567"/>
        <w:rPr>
          <w:rFonts w:ascii="Times New Roman" w:hAnsi="Times New Roman" w:cs="Times New Roman"/>
        </w:rPr>
      </w:pPr>
      <w:r w:rsidRPr="00E138C4">
        <w:rPr>
          <w:rFonts w:ascii="Times New Roman" w:hAnsi="Times New Roman" w:cs="Times New Roman"/>
        </w:rPr>
        <w:t>jeigu anksčiau mąstėte apie savižudybę arba savęs žalojimą;</w:t>
      </w:r>
    </w:p>
    <w:p w14:paraId="296F9E2E" w14:textId="77777777" w:rsidR="00DD069E" w:rsidRPr="00E138C4" w:rsidRDefault="00DD069E" w:rsidP="00DD069E">
      <w:pPr>
        <w:numPr>
          <w:ilvl w:val="0"/>
          <w:numId w:val="1"/>
        </w:numPr>
        <w:tabs>
          <w:tab w:val="left" w:pos="709"/>
        </w:tabs>
        <w:spacing w:after="0" w:line="240" w:lineRule="auto"/>
        <w:ind w:left="567" w:hanging="567"/>
        <w:rPr>
          <w:rFonts w:ascii="Times New Roman" w:hAnsi="Times New Roman" w:cs="Times New Roman"/>
        </w:rPr>
      </w:pPr>
      <w:r w:rsidRPr="00E138C4">
        <w:rPr>
          <w:rFonts w:ascii="Times New Roman" w:hAnsi="Times New Roman" w:cs="Times New Roman"/>
        </w:rPr>
        <w:t>jeigu esate jaunas suaugęs. Klinikinių tyrimų duomenys parodė, kad psichikos sutrikimais sergantiems jauniems suaugusiems (jaunesniems kaip 25 metų), vartojant antidepresantų, su savižudybe siejamo elgesio rizika yra didesnė.</w:t>
      </w:r>
    </w:p>
    <w:p w14:paraId="3A14011C" w14:textId="77777777" w:rsidR="00DD069E" w:rsidRPr="00E138C4" w:rsidRDefault="00DD069E" w:rsidP="00DD069E">
      <w:pPr>
        <w:tabs>
          <w:tab w:val="left" w:pos="567"/>
        </w:tabs>
        <w:spacing w:after="0" w:line="240" w:lineRule="auto"/>
        <w:rPr>
          <w:rFonts w:ascii="Times New Roman" w:hAnsi="Times New Roman" w:cs="Times New Roman"/>
        </w:rPr>
      </w:pPr>
    </w:p>
    <w:p w14:paraId="2C7B641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bet kuriuo metu galvojate apie savižudybę arba savęs žalojimą, nedelsdami kreipkitės į gydytoją arba vykite į ligoninės priėmimo skyrių.</w:t>
      </w:r>
    </w:p>
    <w:p w14:paraId="14BAB24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Gali būti naudinga pasakyti giminaičiui arba artimam draugui, kad sergate depresija, ir paprašyti perskaityti šį pakuotės lapelį. Galite jų paprašyti, kad Jus perspėtų, jeigu pastebės, kad Jūsų depresija ar nerimas pasunkėjo, arba jie nerimauja dėl Jūsų elgesio pokyčių.</w:t>
      </w:r>
    </w:p>
    <w:p w14:paraId="5956EA72" w14:textId="77777777" w:rsidR="00DD069E" w:rsidRPr="00E138C4" w:rsidRDefault="00DD069E" w:rsidP="00DD069E">
      <w:pPr>
        <w:spacing w:after="0" w:line="240" w:lineRule="auto"/>
        <w:rPr>
          <w:rFonts w:ascii="Times New Roman" w:hAnsi="Times New Roman" w:cs="Times New Roman"/>
        </w:rPr>
      </w:pPr>
    </w:p>
    <w:p w14:paraId="766CF346" w14:textId="77777777" w:rsidR="008F72DC" w:rsidRPr="00E138C4" w:rsidRDefault="008F72DC" w:rsidP="008F72DC">
      <w:pPr>
        <w:spacing w:after="0" w:line="240" w:lineRule="auto"/>
        <w:rPr>
          <w:rFonts w:ascii="Times New Roman" w:eastAsia="Times New Roman" w:hAnsi="Times New Roman" w:cs="Times New Roman"/>
          <w:b/>
          <w:szCs w:val="20"/>
          <w:lang w:eastAsia="hu-HU"/>
        </w:rPr>
      </w:pPr>
      <w:r w:rsidRPr="00E138C4">
        <w:rPr>
          <w:rFonts w:ascii="Times New Roman" w:eastAsia="Times New Roman" w:hAnsi="Times New Roman" w:cs="Times New Roman"/>
          <w:b/>
          <w:szCs w:val="20"/>
          <w:lang w:eastAsia="hu-HU"/>
        </w:rPr>
        <w:t>Sunkios nepageidaujamos odos reakcijos (SNOR)</w:t>
      </w:r>
    </w:p>
    <w:p w14:paraId="4CBDB8CB" w14:textId="77777777" w:rsidR="008F72DC" w:rsidRPr="00E138C4" w:rsidRDefault="008F72DC" w:rsidP="008F72DC">
      <w:pPr>
        <w:spacing w:after="0" w:line="240" w:lineRule="auto"/>
        <w:ind w:right="360"/>
        <w:rPr>
          <w:rFonts w:ascii="Times New Roman" w:eastAsia="Times New Roman" w:hAnsi="Times New Roman" w:cs="Times New Roman"/>
          <w:szCs w:val="20"/>
          <w:lang w:eastAsia="hu-HU"/>
        </w:rPr>
      </w:pPr>
      <w:r w:rsidRPr="00E138C4">
        <w:rPr>
          <w:rFonts w:ascii="Times New Roman" w:eastAsia="Times New Roman" w:hAnsi="Times New Roman" w:cs="Times New Roman"/>
          <w:szCs w:val="20"/>
          <w:lang w:eastAsia="hu-HU"/>
        </w:rPr>
        <w:t>Labai retai pranešta apie vartojant šį vaistą pasireiškusias sunkias nepageidaujamas odos reakcijas (SNOR), kurios gali būti pavojingos gyvybei ar mirtinos. Jos dažniausiai pasireiškia kaip:</w:t>
      </w:r>
    </w:p>
    <w:p w14:paraId="25672109" w14:textId="02563EE8" w:rsidR="008F72DC" w:rsidRPr="00E138C4" w:rsidRDefault="008F72DC" w:rsidP="008F72DC">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Stivenso</w:t>
      </w:r>
      <w:r w:rsidR="00DB18AE" w:rsidRPr="00E138C4">
        <w:rPr>
          <w:rFonts w:ascii="Times New Roman" w:eastAsia="Times New Roman" w:hAnsi="Times New Roman" w:cs="Times New Roman"/>
        </w:rPr>
        <w:t>-</w:t>
      </w:r>
      <w:r w:rsidRPr="00E138C4">
        <w:rPr>
          <w:rFonts w:ascii="Times New Roman" w:eastAsia="Times New Roman" w:hAnsi="Times New Roman" w:cs="Times New Roman"/>
        </w:rPr>
        <w:t>Džonsono (</w:t>
      </w:r>
      <w:r w:rsidRPr="00E138C4">
        <w:rPr>
          <w:rFonts w:ascii="Times New Roman" w:eastAsia="Times New Roman" w:hAnsi="Times New Roman" w:cs="Times New Roman"/>
          <w:i/>
          <w:iCs/>
        </w:rPr>
        <w:t>Stevens-Johnson</w:t>
      </w:r>
      <w:r w:rsidRPr="00E138C4">
        <w:rPr>
          <w:rFonts w:ascii="Times New Roman" w:eastAsia="Times New Roman" w:hAnsi="Times New Roman" w:cs="Times New Roman"/>
        </w:rPr>
        <w:t>) sindromas, t. y. išplitęs odos išbėrimas su pūslėmis ir lupimusi, ypač aplink burną, nosį, akis ir lytinius organus;</w:t>
      </w:r>
    </w:p>
    <w:p w14:paraId="006B0F38" w14:textId="77777777" w:rsidR="008F72DC" w:rsidRPr="00E138C4" w:rsidRDefault="008F72DC" w:rsidP="008F72DC">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toksinė epidermio nekrolizė (</w:t>
      </w:r>
      <w:r w:rsidRPr="00E138C4">
        <w:rPr>
          <w:rFonts w:ascii="Times New Roman" w:eastAsia="Times New Roman" w:hAnsi="Times New Roman" w:cs="Times New Roman"/>
          <w:i/>
          <w:iCs/>
        </w:rPr>
        <w:t>TEN</w:t>
      </w:r>
      <w:r w:rsidRPr="00E138C4">
        <w:rPr>
          <w:rFonts w:ascii="Times New Roman" w:eastAsia="Times New Roman" w:hAnsi="Times New Roman" w:cs="Times New Roman"/>
        </w:rPr>
        <w:t>) – sunkesnė forma, sukelianti išplitusį odos lupimąsi;</w:t>
      </w:r>
    </w:p>
    <w:p w14:paraId="26338C9F" w14:textId="41B804CD" w:rsidR="008F72DC" w:rsidRPr="00E138C4" w:rsidRDefault="008F72DC" w:rsidP="008F72DC">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reakcija į vaistą su eozinofilija ir sisteminiais simptomais (</w:t>
      </w:r>
      <w:r w:rsidRPr="00E138C4">
        <w:rPr>
          <w:rFonts w:ascii="Times New Roman" w:eastAsia="Times New Roman" w:hAnsi="Times New Roman" w:cs="Times New Roman"/>
          <w:i/>
          <w:iCs/>
        </w:rPr>
        <w:t>DRESS</w:t>
      </w:r>
      <w:r w:rsidRPr="00E138C4">
        <w:rPr>
          <w:rFonts w:ascii="Times New Roman" w:eastAsia="Times New Roman" w:hAnsi="Times New Roman" w:cs="Times New Roman"/>
        </w:rPr>
        <w:t>), kai atsiranda į gripą panašių simptomų su išbėrimu, karščiavimu, liaukų patinimu ir nenormaliais kraujo tyrimų rezultatais (įskaitant baltųjų kraujo ląstelių kiekio padidėjimą (eozinofiliją) ir kepenų fermentų suaktyvėjimą)</w:t>
      </w:r>
      <w:r w:rsidR="00DB18AE" w:rsidRPr="00E138C4">
        <w:rPr>
          <w:rFonts w:ascii="Times New Roman" w:eastAsia="Times New Roman" w:hAnsi="Times New Roman" w:cs="Times New Roman"/>
        </w:rPr>
        <w:t>;</w:t>
      </w:r>
    </w:p>
    <w:p w14:paraId="0E68EA65" w14:textId="09239B64" w:rsidR="00067F37" w:rsidRPr="00E138C4" w:rsidRDefault="00067F37" w:rsidP="00B14475">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ūminė generalizuota egzanteminė pustuliozė (ŪGEP), t. y. pūliais užpildytos smulkios pūslelės;</w:t>
      </w:r>
    </w:p>
    <w:p w14:paraId="29CC7A72" w14:textId="2A02A8BF" w:rsidR="00DB18AE" w:rsidRPr="00E138C4" w:rsidRDefault="00067F37" w:rsidP="00B14475">
      <w:pPr>
        <w:numPr>
          <w:ilvl w:val="0"/>
          <w:numId w:val="35"/>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daugiaformė eritema (DE), t. y. odos išbėrimas su niežtinčiomis raudonomis netaisyklingomis dėmėmis</w:t>
      </w:r>
      <w:r w:rsidR="00DB18AE" w:rsidRPr="00E138C4">
        <w:rPr>
          <w:rFonts w:ascii="Times New Roman" w:eastAsia="Times New Roman" w:hAnsi="Times New Roman" w:cs="Times New Roman"/>
        </w:rPr>
        <w:t>.</w:t>
      </w:r>
    </w:p>
    <w:p w14:paraId="22A668DC" w14:textId="77777777" w:rsidR="008F72DC" w:rsidRPr="00E138C4" w:rsidRDefault="008F72DC" w:rsidP="008F72DC">
      <w:pPr>
        <w:spacing w:after="0" w:line="240" w:lineRule="auto"/>
        <w:ind w:right="360"/>
        <w:rPr>
          <w:rFonts w:ascii="Times New Roman" w:eastAsia="Times New Roman" w:hAnsi="Times New Roman" w:cs="Times New Roman"/>
          <w:szCs w:val="20"/>
          <w:lang w:eastAsia="hu-HU"/>
        </w:rPr>
      </w:pPr>
    </w:p>
    <w:p w14:paraId="65118EA2" w14:textId="77777777" w:rsidR="008F72DC" w:rsidRPr="00E138C4" w:rsidRDefault="008F72DC" w:rsidP="008F72DC">
      <w:pPr>
        <w:spacing w:after="0" w:line="240" w:lineRule="auto"/>
        <w:ind w:right="360"/>
        <w:rPr>
          <w:rFonts w:ascii="Times New Roman" w:eastAsia="Times New Roman" w:hAnsi="Times New Roman" w:cs="Times New Roman"/>
          <w:szCs w:val="20"/>
          <w:lang w:eastAsia="hu-HU"/>
        </w:rPr>
      </w:pPr>
      <w:r w:rsidRPr="00E138C4">
        <w:rPr>
          <w:rFonts w:ascii="Times New Roman" w:eastAsia="Times New Roman" w:hAnsi="Times New Roman" w:cs="Times New Roman"/>
          <w:szCs w:val="20"/>
          <w:lang w:eastAsia="hu-HU"/>
        </w:rPr>
        <w:t>Jei Jums atsiranda tokių simptomų, nutraukite Ketilept vartojimą ir nedelsdami kreipkitės į gydytoją arba medicininės pagalbos.</w:t>
      </w:r>
    </w:p>
    <w:p w14:paraId="6D99C2B7" w14:textId="77777777" w:rsidR="008F72DC" w:rsidRPr="00E138C4" w:rsidRDefault="008F72DC" w:rsidP="00DD069E">
      <w:pPr>
        <w:spacing w:after="0" w:line="240" w:lineRule="auto"/>
        <w:rPr>
          <w:rFonts w:ascii="Times New Roman" w:hAnsi="Times New Roman" w:cs="Times New Roman"/>
        </w:rPr>
      </w:pPr>
    </w:p>
    <w:p w14:paraId="3ECFD12E"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Svorio prieaugis</w:t>
      </w:r>
    </w:p>
    <w:p w14:paraId="45989E5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Pacientams, vartojantiems Ketilept, pastebėtas svorio augimas. Jūs ir jūsų gydytojas turėtų reguliariai tikrinti Jūsų kūno svorį.</w:t>
      </w:r>
    </w:p>
    <w:p w14:paraId="0B0028A9" w14:textId="77777777" w:rsidR="00DD069E" w:rsidRPr="00E138C4" w:rsidRDefault="00DD069E" w:rsidP="00DD069E">
      <w:pPr>
        <w:spacing w:after="0" w:line="240" w:lineRule="auto"/>
        <w:jc w:val="both"/>
        <w:rPr>
          <w:rFonts w:ascii="Times New Roman" w:hAnsi="Times New Roman" w:cs="Times New Roman"/>
        </w:rPr>
      </w:pPr>
    </w:p>
    <w:p w14:paraId="20248AD4" w14:textId="77777777" w:rsidR="00DD069E" w:rsidRPr="00E138C4" w:rsidRDefault="00DD069E" w:rsidP="00DD069E">
      <w:pPr>
        <w:spacing w:after="0" w:line="240" w:lineRule="auto"/>
        <w:jc w:val="both"/>
        <w:rPr>
          <w:rFonts w:ascii="Times New Roman" w:hAnsi="Times New Roman" w:cs="Times New Roman"/>
          <w:b/>
        </w:rPr>
      </w:pPr>
      <w:r w:rsidRPr="00E138C4">
        <w:rPr>
          <w:rFonts w:ascii="Times New Roman" w:hAnsi="Times New Roman" w:cs="Times New Roman"/>
          <w:b/>
        </w:rPr>
        <w:t>Vaikams ir paaugliams</w:t>
      </w:r>
    </w:p>
    <w:p w14:paraId="34EE99A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saugumas ir veiksmingumas vaikams ir paaugliams nebuvo nustatytas. Ketilept nerekomenduojama vartoti vaikams ir paaugliams, jaunesniems kaip 18 metų.</w:t>
      </w:r>
    </w:p>
    <w:p w14:paraId="408A06DE" w14:textId="77777777" w:rsidR="00DD069E" w:rsidRPr="00E138C4" w:rsidRDefault="00DD069E" w:rsidP="00DD069E">
      <w:pPr>
        <w:spacing w:after="0" w:line="240" w:lineRule="auto"/>
        <w:jc w:val="both"/>
        <w:rPr>
          <w:rFonts w:ascii="Times New Roman" w:hAnsi="Times New Roman" w:cs="Times New Roman"/>
        </w:rPr>
      </w:pPr>
    </w:p>
    <w:p w14:paraId="0A365303"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Kiti vaistai ir Ketilept</w:t>
      </w:r>
    </w:p>
    <w:p w14:paraId="611B3DD4" w14:textId="77777777" w:rsidR="00DD069E" w:rsidRPr="00E138C4" w:rsidRDefault="00DD069E" w:rsidP="00DD069E">
      <w:pPr>
        <w:spacing w:after="0" w:line="240" w:lineRule="auto"/>
        <w:ind w:right="-2"/>
        <w:rPr>
          <w:rFonts w:ascii="Times New Roman" w:hAnsi="Times New Roman" w:cs="Times New Roman"/>
        </w:rPr>
      </w:pPr>
      <w:r w:rsidRPr="00E138C4">
        <w:rPr>
          <w:rFonts w:ascii="Times New Roman" w:hAnsi="Times New Roman" w:cs="Times New Roman"/>
        </w:rPr>
        <w:t>Jeigu vartojate ar neseniai vartojote kitų vaistų arba dėl to nesate tikri, apie tai pasakykite gydytojui arba vaistininkui.</w:t>
      </w:r>
    </w:p>
    <w:p w14:paraId="6D1FE081" w14:textId="77777777" w:rsidR="00DD069E" w:rsidRPr="00E138C4" w:rsidRDefault="00DD069E" w:rsidP="00DD069E">
      <w:pPr>
        <w:spacing w:after="0" w:line="240" w:lineRule="auto"/>
        <w:ind w:right="-2"/>
        <w:rPr>
          <w:rFonts w:ascii="Times New Roman" w:hAnsi="Times New Roman" w:cs="Times New Roman"/>
        </w:rPr>
      </w:pPr>
    </w:p>
    <w:p w14:paraId="7AF4A3AE" w14:textId="77777777" w:rsidR="00DD069E" w:rsidRPr="00E138C4" w:rsidRDefault="00DD069E" w:rsidP="00DD069E">
      <w:pPr>
        <w:spacing w:after="0" w:line="240" w:lineRule="auto"/>
        <w:ind w:right="-2"/>
        <w:rPr>
          <w:rFonts w:ascii="Times New Roman" w:hAnsi="Times New Roman" w:cs="Times New Roman"/>
        </w:rPr>
      </w:pPr>
      <w:r w:rsidRPr="00E138C4">
        <w:rPr>
          <w:rFonts w:ascii="Times New Roman" w:hAnsi="Times New Roman" w:cs="Times New Roman"/>
        </w:rPr>
        <w:t xml:space="preserve">Ketilept negalima vartoti kartu su: </w:t>
      </w:r>
    </w:p>
    <w:p w14:paraId="16383CEE" w14:textId="77777777" w:rsidR="00DD069E" w:rsidRPr="00E138C4" w:rsidRDefault="00DD069E" w:rsidP="00DD069E">
      <w:pPr>
        <w:numPr>
          <w:ilvl w:val="0"/>
          <w:numId w:val="11"/>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lastRenderedPageBreak/>
        <w:t>kai kuriais vaistais nuo ŽIV;</w:t>
      </w:r>
    </w:p>
    <w:p w14:paraId="06862D89" w14:textId="77777777" w:rsidR="00DD069E" w:rsidRPr="00E138C4" w:rsidRDefault="00DD069E" w:rsidP="00DD069E">
      <w:pPr>
        <w:numPr>
          <w:ilvl w:val="0"/>
          <w:numId w:val="11"/>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t>azolų grupės vaistais (nuo grybelio infekcijos);</w:t>
      </w:r>
    </w:p>
    <w:p w14:paraId="648DA7A6" w14:textId="77777777" w:rsidR="00DD069E" w:rsidRPr="00E138C4" w:rsidRDefault="00DD069E" w:rsidP="00DD069E">
      <w:pPr>
        <w:numPr>
          <w:ilvl w:val="0"/>
          <w:numId w:val="11"/>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t>eritromicinu, klaritromicinu (vaistais nuo infekcijų);</w:t>
      </w:r>
    </w:p>
    <w:p w14:paraId="29658511" w14:textId="77777777" w:rsidR="00DD069E" w:rsidRPr="00E138C4" w:rsidRDefault="00DD069E" w:rsidP="00DD069E">
      <w:pPr>
        <w:numPr>
          <w:ilvl w:val="0"/>
          <w:numId w:val="11"/>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t>nefazodonu (vaistu nuo depresijos).</w:t>
      </w:r>
    </w:p>
    <w:p w14:paraId="36AE9705" w14:textId="77777777" w:rsidR="00DD069E" w:rsidRPr="00E138C4" w:rsidRDefault="00DD069E" w:rsidP="00DD069E">
      <w:pPr>
        <w:spacing w:after="0" w:line="240" w:lineRule="auto"/>
        <w:ind w:right="-2"/>
        <w:rPr>
          <w:rFonts w:ascii="Times New Roman" w:hAnsi="Times New Roman" w:cs="Times New Roman"/>
        </w:rPr>
      </w:pPr>
    </w:p>
    <w:p w14:paraId="62E47D5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Pasakykite gydytojui, jeigu vartojate bet kurio nors iš šių vaistų:</w:t>
      </w:r>
    </w:p>
    <w:p w14:paraId="72A993B3" w14:textId="77777777" w:rsidR="00DD069E"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nuo epilepsijos, pvz., fenitoino arba karbamazepino;</w:t>
      </w:r>
    </w:p>
    <w:p w14:paraId="47CC11C7" w14:textId="19D48123" w:rsidR="003A2A9E" w:rsidRPr="00E138C4" w:rsidRDefault="003A2A9E" w:rsidP="00DD069E">
      <w:pPr>
        <w:numPr>
          <w:ilvl w:val="0"/>
          <w:numId w:val="12"/>
        </w:numPr>
        <w:tabs>
          <w:tab w:val="left" w:pos="567"/>
        </w:tabs>
        <w:spacing w:after="0" w:line="240" w:lineRule="auto"/>
        <w:ind w:left="567" w:hanging="567"/>
        <w:rPr>
          <w:rFonts w:ascii="Times New Roman" w:hAnsi="Times New Roman" w:cs="Times New Roman"/>
        </w:rPr>
      </w:pPr>
      <w:r w:rsidRPr="003A2A9E">
        <w:rPr>
          <w:rFonts w:ascii="Times New Roman" w:hAnsi="Times New Roman" w:cs="Times New Roman"/>
        </w:rPr>
        <w:t>antidepresant</w:t>
      </w:r>
      <w:r>
        <w:rPr>
          <w:rFonts w:ascii="Times New Roman" w:hAnsi="Times New Roman" w:cs="Times New Roman"/>
        </w:rPr>
        <w:t>ų</w:t>
      </w:r>
      <w:r w:rsidRPr="003A2A9E">
        <w:rPr>
          <w:rFonts w:ascii="Times New Roman" w:hAnsi="Times New Roman" w:cs="Times New Roman"/>
        </w:rPr>
        <w:t>. Šie vaistai gali sąveikauti su</w:t>
      </w:r>
      <w:r>
        <w:rPr>
          <w:rFonts w:ascii="Times New Roman" w:hAnsi="Times New Roman" w:cs="Times New Roman"/>
        </w:rPr>
        <w:t xml:space="preserve"> Ketilept</w:t>
      </w:r>
      <w:r w:rsidRPr="003A2A9E">
        <w:rPr>
          <w:rFonts w:ascii="Times New Roman" w:hAnsi="Times New Roman" w:cs="Times New Roman"/>
        </w:rPr>
        <w:t>, todėl galite patirti šiuos simptomus: nevalingus ritmiškus raumenų trūkčiojimus (įskaitant raumenis, valdančius akių judesius), neįprastą jaudulį (ažitaciją), haliucinacijas, komą, prakaitavimo sustiprėjimą, drebulį, refleksų sustiprėjimą, raumenų įtampos sustiprėjimą, kūno temperatūros pakilimą virš 38 °C (tai vadinama serotonino sindromu). Jeigu patiriate tokius simptomus, kreipkitės į gydytoją</w:t>
      </w:r>
      <w:r>
        <w:rPr>
          <w:rFonts w:ascii="Times New Roman" w:hAnsi="Times New Roman" w:cs="Times New Roman"/>
        </w:rPr>
        <w:t>;</w:t>
      </w:r>
    </w:p>
    <w:p w14:paraId="6E942818"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nuo aukšto kraujospūdžio;</w:t>
      </w:r>
    </w:p>
    <w:p w14:paraId="44D31A7A"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barbitūratų (migdomųjų);</w:t>
      </w:r>
    </w:p>
    <w:p w14:paraId="71AB9A9A"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tioridazino arba ličio preparatų (kitų vaistų nuo psichozės);</w:t>
      </w:r>
    </w:p>
    <w:p w14:paraId="5F56EF71"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veikiančių širdies susitraukimus: galinčių sutrikdyti elektrolitų pusiausvyrą (sumažinti kalio arba magnio kiekį, pvz., skatinančių išsiskirti šlapimą) arba kai kurių antibiotikų (vaistų nuo infekcijų);</w:t>
      </w:r>
    </w:p>
    <w:p w14:paraId="252CB8AA"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galinčių sukelti vidurių užkietėjimą.</w:t>
      </w:r>
    </w:p>
    <w:p w14:paraId="3FB519D7" w14:textId="77777777" w:rsidR="00DD069E" w:rsidRPr="00E138C4" w:rsidRDefault="00DD069E" w:rsidP="00DD069E">
      <w:pPr>
        <w:numPr>
          <w:ilvl w:val="0"/>
          <w:numId w:val="12"/>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vadinamų anticholinerginiais, veikiančių nervų ląstelių funkciją ir todėl vartojamų tam tikroms ligoms gydyti</w:t>
      </w:r>
    </w:p>
    <w:p w14:paraId="21AD1CE8" w14:textId="77777777" w:rsidR="00DD069E" w:rsidRPr="00E138C4" w:rsidRDefault="00DD069E" w:rsidP="00DD069E">
      <w:pPr>
        <w:spacing w:after="0" w:line="240" w:lineRule="auto"/>
        <w:rPr>
          <w:rFonts w:ascii="Times New Roman" w:hAnsi="Times New Roman" w:cs="Times New Roman"/>
        </w:rPr>
      </w:pPr>
    </w:p>
    <w:p w14:paraId="093AB4E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Prieš nutraukdami kokio nors vaisto vartojimą, pasitarkite su gydytoju.</w:t>
      </w:r>
    </w:p>
    <w:p w14:paraId="2C3B5D89" w14:textId="77777777" w:rsidR="00DD069E" w:rsidRPr="00E138C4" w:rsidRDefault="00DD069E" w:rsidP="00DD069E">
      <w:pPr>
        <w:spacing w:after="0" w:line="240" w:lineRule="auto"/>
        <w:rPr>
          <w:rFonts w:ascii="Times New Roman" w:hAnsi="Times New Roman" w:cs="Times New Roman"/>
        </w:rPr>
      </w:pPr>
    </w:p>
    <w:p w14:paraId="7C801327"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Jums atliekamas narkotikų nustatymo šlapime testas, ir Jūs vartojate Ketilept, testas gali parodyti teigiamus metadono ar vaistų nuo depresijos, vadinamų triciklių antidepresantų, rezultatus, net jeigu Jūs metadono ar triciklių antidepresantų nevartojate. Rezultatą reikėtų patikslinti atlikus papildomus tyrimus.</w:t>
      </w:r>
    </w:p>
    <w:p w14:paraId="586BBCD2" w14:textId="77777777" w:rsidR="00DD069E" w:rsidRPr="00E138C4" w:rsidRDefault="00DD069E" w:rsidP="00DD069E">
      <w:pPr>
        <w:spacing w:after="0" w:line="240" w:lineRule="auto"/>
        <w:rPr>
          <w:rFonts w:ascii="Times New Roman" w:hAnsi="Times New Roman" w:cs="Times New Roman"/>
        </w:rPr>
      </w:pPr>
    </w:p>
    <w:p w14:paraId="3837B5A8"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Ketilept vartojimas su maistu, gėrimais ir alkoholiu</w:t>
      </w:r>
    </w:p>
    <w:p w14:paraId="4C40C10D"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Ketilept galima vartoti su maistu arba atskirai.</w:t>
      </w:r>
    </w:p>
    <w:p w14:paraId="6B3AF373" w14:textId="77777777" w:rsidR="00DD069E" w:rsidRPr="00E138C4" w:rsidRDefault="00DD069E" w:rsidP="00DD069E">
      <w:pPr>
        <w:tabs>
          <w:tab w:val="left" w:pos="0"/>
        </w:tabs>
        <w:spacing w:after="0" w:line="240" w:lineRule="auto"/>
        <w:rPr>
          <w:rFonts w:ascii="Times New Roman" w:hAnsi="Times New Roman" w:cs="Times New Roman"/>
        </w:rPr>
      </w:pPr>
      <w:r w:rsidRPr="00E138C4">
        <w:rPr>
          <w:rFonts w:ascii="Times New Roman" w:hAnsi="Times New Roman" w:cs="Times New Roman"/>
        </w:rPr>
        <w:t xml:space="preserve">Vartodami Ketilept, venkite alkoholinių gėrimų. Alkoholio ir Ketilept poveikis gali sumuotis ir dėl to pasireikšti mieguistumas. </w:t>
      </w:r>
    </w:p>
    <w:p w14:paraId="4F9A79EA"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rPr>
        <w:t>Vartodami Ketilept, negerkite greipfrutų sulčių. Greipfrutų sultys gali turėti įtakos Ketilept poveikiui.</w:t>
      </w:r>
    </w:p>
    <w:p w14:paraId="7443D8A7" w14:textId="77777777" w:rsidR="00DD069E" w:rsidRPr="00E138C4" w:rsidRDefault="00DD069E" w:rsidP="00DD069E">
      <w:pPr>
        <w:numPr>
          <w:ilvl w:val="12"/>
          <w:numId w:val="0"/>
        </w:numPr>
        <w:tabs>
          <w:tab w:val="left" w:pos="1290"/>
        </w:tabs>
        <w:spacing w:after="0" w:line="240" w:lineRule="auto"/>
        <w:ind w:right="-2"/>
        <w:rPr>
          <w:rFonts w:ascii="Times New Roman" w:hAnsi="Times New Roman" w:cs="Times New Roman"/>
        </w:rPr>
      </w:pPr>
    </w:p>
    <w:p w14:paraId="69DB65EB"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Nėštumas ir žindymo laikotarpis</w:t>
      </w:r>
    </w:p>
    <w:p w14:paraId="20E1CDE7" w14:textId="77777777" w:rsidR="00DD069E" w:rsidRPr="00E138C4" w:rsidRDefault="00DD069E" w:rsidP="00DD069E">
      <w:pPr>
        <w:numPr>
          <w:ilvl w:val="12"/>
          <w:numId w:val="0"/>
        </w:numPr>
        <w:spacing w:after="0" w:line="240" w:lineRule="auto"/>
        <w:rPr>
          <w:rFonts w:ascii="Times New Roman" w:hAnsi="Times New Roman" w:cs="Times New Roman"/>
        </w:rPr>
      </w:pPr>
      <w:r w:rsidRPr="00E138C4">
        <w:rPr>
          <w:rFonts w:ascii="Times New Roman" w:hAnsi="Times New Roman" w:cs="Times New Roman"/>
        </w:rPr>
        <w:t>Jeigu esate nėščia, žindote kūdikį, manote, kad galbūt esate nėščia arba planuojate pastoti, tai prieš vartodama šį vaistą pasitarkite su gydytoju arba vaistininku.</w:t>
      </w:r>
    </w:p>
    <w:p w14:paraId="11A4CF1E"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Nėštumo metu Ketilept vartoti negalima, nebent tai būsite aptarę su gydytoju.</w:t>
      </w:r>
    </w:p>
    <w:p w14:paraId="7AAA6E36" w14:textId="77777777" w:rsidR="00DD069E" w:rsidRPr="00E138C4" w:rsidRDefault="00DD069E" w:rsidP="00DD069E">
      <w:pPr>
        <w:spacing w:after="0" w:line="240" w:lineRule="auto"/>
        <w:rPr>
          <w:rFonts w:ascii="Times New Roman" w:hAnsi="Times New Roman" w:cs="Times New Roman"/>
        </w:rPr>
      </w:pPr>
    </w:p>
    <w:p w14:paraId="7753164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Toliau išvardinti simptomai, kurie gali būti susiję su tuo, kad šio vaisto nebepatenka į organizmą, gali pasireikšti naujagimiams, kurių motinos vartojo Ketilept paskutinio trimestro (paskutinius tris nėštumo mėnesius) metu: drebėjimas, raumenų sustingimas ir / arba silpnumas, mieguistumas, sujaudinimas, kvėpavimo sutrikimai ir sunkumas maitintis. Jeigu Jūsų kūdikiui pasireiškia bet kuris iš šių simptomų, Jums gali reikėti kreiptis į gydytoją.</w:t>
      </w:r>
    </w:p>
    <w:p w14:paraId="498AD45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žindote, Ketilept vartoti negalima.</w:t>
      </w:r>
    </w:p>
    <w:p w14:paraId="6E012E79" w14:textId="77777777" w:rsidR="00DD069E" w:rsidRPr="00E138C4" w:rsidRDefault="00DD069E" w:rsidP="00DD069E">
      <w:pPr>
        <w:spacing w:after="0" w:line="240" w:lineRule="auto"/>
        <w:rPr>
          <w:rFonts w:ascii="Times New Roman" w:hAnsi="Times New Roman" w:cs="Times New Roman"/>
        </w:rPr>
      </w:pPr>
    </w:p>
    <w:p w14:paraId="3E60D77C"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Vairavimas ir mechanizmų valdymas</w:t>
      </w:r>
    </w:p>
    <w:p w14:paraId="24378FE2" w14:textId="77777777" w:rsidR="00DD069E" w:rsidRPr="00E138C4" w:rsidRDefault="00DD069E" w:rsidP="00DD069E">
      <w:pPr>
        <w:tabs>
          <w:tab w:val="left" w:pos="360"/>
          <w:tab w:val="left" w:pos="567"/>
        </w:tabs>
        <w:spacing w:after="0" w:line="240" w:lineRule="auto"/>
        <w:rPr>
          <w:rFonts w:ascii="Times New Roman" w:hAnsi="Times New Roman" w:cs="Times New Roman"/>
        </w:rPr>
      </w:pPr>
      <w:r w:rsidRPr="00E138C4">
        <w:rPr>
          <w:rFonts w:ascii="Times New Roman" w:hAnsi="Times New Roman" w:cs="Times New Roman"/>
        </w:rPr>
        <w:t>Ketilept gali sukelti mieguistumą. Kol nežinote, koks bus tablečių poveikis, vairuoti ir valdyti mechanizmų negalima.</w:t>
      </w:r>
    </w:p>
    <w:p w14:paraId="029790CB" w14:textId="77777777" w:rsidR="00DD069E" w:rsidRPr="00E138C4" w:rsidRDefault="00DD069E" w:rsidP="00DD069E">
      <w:pPr>
        <w:spacing w:after="0" w:line="240" w:lineRule="auto"/>
        <w:rPr>
          <w:rFonts w:ascii="Times New Roman" w:hAnsi="Times New Roman" w:cs="Times New Roman"/>
        </w:rPr>
      </w:pPr>
    </w:p>
    <w:p w14:paraId="0B9A7E5C"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Ketilept sudėtyje yra laktozės</w:t>
      </w:r>
      <w:r w:rsidR="008F72DC" w:rsidRPr="00E138C4">
        <w:rPr>
          <w:rFonts w:ascii="Times New Roman" w:hAnsi="Times New Roman" w:cs="Times New Roman"/>
          <w:b/>
        </w:rPr>
        <w:t xml:space="preserve"> ir natrio</w:t>
      </w:r>
    </w:p>
    <w:p w14:paraId="40EE5542" w14:textId="45480E51"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Laktozės netoleravimo atveju reikėtų atsižvelgti, kad kiekvienoje Ketilept 25 mg, 100 mg, 150 mg, 200 mg ar 300 mg plėvele dengtoje tabletėje atitinkamai yra 4</w:t>
      </w:r>
      <w:r w:rsidR="008F72DC" w:rsidRPr="00E138C4">
        <w:rPr>
          <w:rFonts w:ascii="Times New Roman" w:hAnsi="Times New Roman" w:cs="Times New Roman"/>
        </w:rPr>
        <w:t>,42</w:t>
      </w:r>
      <w:r w:rsidRPr="00E138C4">
        <w:rPr>
          <w:rFonts w:ascii="Times New Roman" w:hAnsi="Times New Roman" w:cs="Times New Roman"/>
        </w:rPr>
        <w:t> mg, 1</w:t>
      </w:r>
      <w:r w:rsidR="008F72DC" w:rsidRPr="00E138C4">
        <w:rPr>
          <w:rFonts w:ascii="Times New Roman" w:hAnsi="Times New Roman" w:cs="Times New Roman"/>
        </w:rPr>
        <w:t>7,05</w:t>
      </w:r>
      <w:r w:rsidRPr="00E138C4">
        <w:rPr>
          <w:rFonts w:ascii="Times New Roman" w:hAnsi="Times New Roman" w:cs="Times New Roman"/>
        </w:rPr>
        <w:t> mg, 2</w:t>
      </w:r>
      <w:r w:rsidR="008F72DC" w:rsidRPr="00E138C4">
        <w:rPr>
          <w:rFonts w:ascii="Times New Roman" w:hAnsi="Times New Roman" w:cs="Times New Roman"/>
        </w:rPr>
        <w:t>5,46</w:t>
      </w:r>
      <w:r w:rsidRPr="00E138C4">
        <w:rPr>
          <w:rFonts w:ascii="Times New Roman" w:hAnsi="Times New Roman" w:cs="Times New Roman"/>
        </w:rPr>
        <w:t> mg, 3</w:t>
      </w:r>
      <w:r w:rsidR="008F72DC" w:rsidRPr="00E138C4">
        <w:rPr>
          <w:rFonts w:ascii="Times New Roman" w:hAnsi="Times New Roman" w:cs="Times New Roman"/>
        </w:rPr>
        <w:t>4,1</w:t>
      </w:r>
      <w:r w:rsidRPr="00E138C4">
        <w:rPr>
          <w:rFonts w:ascii="Times New Roman" w:hAnsi="Times New Roman" w:cs="Times New Roman"/>
        </w:rPr>
        <w:t xml:space="preserve"> mg ar </w:t>
      </w:r>
      <w:r w:rsidR="008F72DC" w:rsidRPr="00E138C4">
        <w:rPr>
          <w:rFonts w:ascii="Times New Roman" w:hAnsi="Times New Roman" w:cs="Times New Roman"/>
        </w:rPr>
        <w:t>50,94</w:t>
      </w:r>
      <w:r w:rsidRPr="00E138C4">
        <w:rPr>
          <w:rFonts w:ascii="Times New Roman" w:hAnsi="Times New Roman" w:cs="Times New Roman"/>
        </w:rPr>
        <w:t> mg laktozės. Jeigu gydytojas Jums yra sakęs, kad netoleruojate kokių nors angliavandenių, prieš vartodami šį vaistą pasitarkite su gydytoju.</w:t>
      </w:r>
    </w:p>
    <w:p w14:paraId="12499A8A" w14:textId="785A1AE8" w:rsidR="00DD069E" w:rsidRPr="00E138C4" w:rsidRDefault="008F72DC" w:rsidP="005C0B64">
      <w:pPr>
        <w:spacing w:after="0" w:line="240" w:lineRule="auto"/>
        <w:rPr>
          <w:rFonts w:ascii="Times New Roman" w:hAnsi="Times New Roman" w:cs="Times New Roman"/>
        </w:rPr>
      </w:pPr>
      <w:r w:rsidRPr="00E138C4">
        <w:rPr>
          <w:rFonts w:ascii="Times New Roman" w:hAnsi="Times New Roman" w:cs="Times New Roman"/>
        </w:rPr>
        <w:lastRenderedPageBreak/>
        <w:t>Šio vaisto vienoje plėvele dengtoje tabletėje yra mažiau kaip 1 mmol (23 mg) natrio, t. y. jis beveik neturi reikšmės.</w:t>
      </w:r>
    </w:p>
    <w:p w14:paraId="2CBA54F5" w14:textId="77777777" w:rsidR="008F72DC" w:rsidRPr="00E138C4" w:rsidRDefault="008F72DC" w:rsidP="00DD069E">
      <w:pPr>
        <w:spacing w:after="0" w:line="240" w:lineRule="auto"/>
        <w:ind w:left="709" w:hanging="709"/>
        <w:rPr>
          <w:rFonts w:ascii="Times New Roman" w:hAnsi="Times New Roman" w:cs="Times New Roman"/>
          <w:b/>
        </w:rPr>
      </w:pPr>
    </w:p>
    <w:p w14:paraId="035A1705" w14:textId="77777777" w:rsidR="00DD069E" w:rsidRPr="00E138C4" w:rsidRDefault="00DD069E" w:rsidP="00DD069E">
      <w:pPr>
        <w:spacing w:after="0" w:line="240" w:lineRule="auto"/>
        <w:ind w:left="709" w:hanging="709"/>
        <w:rPr>
          <w:rFonts w:ascii="Times New Roman" w:hAnsi="Times New Roman" w:cs="Times New Roman"/>
          <w:b/>
        </w:rPr>
      </w:pPr>
      <w:r w:rsidRPr="00E138C4">
        <w:rPr>
          <w:rFonts w:ascii="Times New Roman" w:hAnsi="Times New Roman" w:cs="Times New Roman"/>
          <w:b/>
        </w:rPr>
        <w:t>Poveikis vaistų tyrimų šlapime duomenims</w:t>
      </w:r>
    </w:p>
    <w:p w14:paraId="3231D064" w14:textId="77777777" w:rsidR="00DD069E" w:rsidRPr="00E138C4" w:rsidRDefault="00DD069E" w:rsidP="00DD069E">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Vartojant Ketilept,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14:paraId="3C14614C" w14:textId="77777777" w:rsidR="00DD069E" w:rsidRPr="00E138C4" w:rsidRDefault="00DD069E" w:rsidP="00DD069E">
      <w:pPr>
        <w:autoSpaceDE w:val="0"/>
        <w:autoSpaceDN w:val="0"/>
        <w:adjustRightInd w:val="0"/>
        <w:spacing w:after="0" w:line="240" w:lineRule="auto"/>
        <w:rPr>
          <w:rFonts w:ascii="Times New Roman" w:hAnsi="Times New Roman" w:cs="Times New Roman"/>
          <w:b/>
        </w:rPr>
      </w:pPr>
    </w:p>
    <w:p w14:paraId="74E579B2" w14:textId="77777777" w:rsidR="00DD069E" w:rsidRPr="00E138C4" w:rsidRDefault="00DD069E" w:rsidP="00DD069E">
      <w:pPr>
        <w:spacing w:after="0" w:line="240" w:lineRule="auto"/>
        <w:ind w:left="709" w:hanging="709"/>
        <w:rPr>
          <w:rFonts w:ascii="Times New Roman" w:hAnsi="Times New Roman" w:cs="Times New Roman"/>
          <w:b/>
        </w:rPr>
      </w:pPr>
    </w:p>
    <w:p w14:paraId="227AA0BF" w14:textId="77777777" w:rsidR="00DD069E" w:rsidRPr="00E138C4" w:rsidRDefault="00DD069E" w:rsidP="00DD069E">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3.</w:t>
      </w:r>
      <w:r w:rsidRPr="00E138C4">
        <w:rPr>
          <w:rFonts w:ascii="Times New Roman" w:hAnsi="Times New Roman" w:cs="Times New Roman"/>
          <w:b/>
        </w:rPr>
        <w:tab/>
        <w:t>Kaip vartoti Ketilept</w:t>
      </w:r>
    </w:p>
    <w:p w14:paraId="55757542" w14:textId="77777777" w:rsidR="00DD069E" w:rsidRPr="00E138C4" w:rsidRDefault="00DD069E" w:rsidP="00DD069E">
      <w:pPr>
        <w:autoSpaceDE w:val="0"/>
        <w:autoSpaceDN w:val="0"/>
        <w:adjustRightInd w:val="0"/>
        <w:spacing w:after="0" w:line="240" w:lineRule="auto"/>
        <w:rPr>
          <w:rFonts w:ascii="Times New Roman" w:hAnsi="Times New Roman" w:cs="Times New Roman"/>
          <w:caps/>
        </w:rPr>
      </w:pPr>
    </w:p>
    <w:p w14:paraId="162055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Visada vartokite ši vaistą tiksliai, kaip nurodė gydytojas. Jeigu abejojate, kreipkitės į gydytoją arba vaistininką.</w:t>
      </w:r>
    </w:p>
    <w:p w14:paraId="718921E4" w14:textId="77777777" w:rsidR="00DD069E" w:rsidRPr="00E138C4" w:rsidRDefault="00DD069E" w:rsidP="00DD069E">
      <w:pPr>
        <w:spacing w:after="0" w:line="240" w:lineRule="auto"/>
        <w:rPr>
          <w:rFonts w:ascii="Times New Roman" w:hAnsi="Times New Roman" w:cs="Times New Roman"/>
        </w:rPr>
      </w:pPr>
    </w:p>
    <w:p w14:paraId="34E6286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Jūsų gydytojas nuspręs, kokią pradinę dozę Jums vartoti, ir ją palaipsniui didins. Kiekvienai indikacijai yra skirtingas vaisto dozavimas.</w:t>
      </w:r>
    </w:p>
    <w:p w14:paraId="7CA8EBEE" w14:textId="7891121C"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Palaikomoji dozė priklauso nuo Jūsų ligos ir poreikio, tačiau paprastai ji būna nuo 150 mg iki 800 mg per parą.</w:t>
      </w:r>
    </w:p>
    <w:p w14:paraId="776FF49B" w14:textId="77777777" w:rsidR="00DD069E" w:rsidRPr="00E138C4" w:rsidRDefault="00DD069E" w:rsidP="00DD069E">
      <w:pPr>
        <w:spacing w:after="0" w:line="240" w:lineRule="auto"/>
        <w:rPr>
          <w:rFonts w:ascii="Times New Roman" w:hAnsi="Times New Roman" w:cs="Times New Roman"/>
        </w:rPr>
      </w:pPr>
    </w:p>
    <w:p w14:paraId="1D07D4EC"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Šių tablečių geriama 1 kartą per parą (prieš miegą) arba 2 kartus per parą, priklausomai nuo ligos.</w:t>
      </w:r>
    </w:p>
    <w:p w14:paraId="508029E4"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Tabletes nurykite nepažeistas, užgerdami vandeniu.</w:t>
      </w:r>
    </w:p>
    <w:p w14:paraId="5FD3E698"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Šias tabletes galima vartoti valgant arba kitu laiku.</w:t>
      </w:r>
    </w:p>
    <w:p w14:paraId="5F423C18"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Kol vartojate Ketilept, negerkite greipfrutų sulčių, kadangi jos gali pakeisti šio vaisto veikimą.</w:t>
      </w:r>
    </w:p>
    <w:p w14:paraId="0B084D9F" w14:textId="77777777" w:rsidR="00DD069E" w:rsidRPr="00E138C4" w:rsidRDefault="00DD069E" w:rsidP="00DD069E">
      <w:pPr>
        <w:numPr>
          <w:ilvl w:val="0"/>
          <w:numId w:val="1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Nenutraukite šių tablečių vartojimo net pasijutę geriau, jeigu to nenurodė gydytojas. </w:t>
      </w:r>
    </w:p>
    <w:p w14:paraId="58968BA0" w14:textId="77777777" w:rsidR="00DD069E" w:rsidRPr="00E138C4" w:rsidRDefault="00DD069E" w:rsidP="00DD069E">
      <w:pPr>
        <w:spacing w:after="0" w:line="240" w:lineRule="auto"/>
        <w:rPr>
          <w:rFonts w:ascii="Times New Roman" w:hAnsi="Times New Roman" w:cs="Times New Roman"/>
        </w:rPr>
      </w:pPr>
    </w:p>
    <w:p w14:paraId="2277622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b/>
        </w:rPr>
        <w:t>Sutrikusi kepenų funkcija</w:t>
      </w:r>
    </w:p>
    <w:p w14:paraId="58FE2526"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sutrikusi Jūsų kepenų funkcija, gydytojas gali pakoreguoti vaisto dozę.</w:t>
      </w:r>
    </w:p>
    <w:p w14:paraId="28E4039D" w14:textId="77777777" w:rsidR="00DD069E" w:rsidRPr="00E138C4" w:rsidRDefault="00DD069E" w:rsidP="00DD069E">
      <w:pPr>
        <w:spacing w:after="0" w:line="240" w:lineRule="auto"/>
        <w:rPr>
          <w:rFonts w:ascii="Times New Roman" w:hAnsi="Times New Roman" w:cs="Times New Roman"/>
        </w:rPr>
      </w:pPr>
    </w:p>
    <w:p w14:paraId="4E6B6B96"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Senyviems</w:t>
      </w:r>
    </w:p>
    <w:p w14:paraId="0A0B334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Senyviems žmonėms gydytojas gali pakoreguoti dozę.</w:t>
      </w:r>
    </w:p>
    <w:p w14:paraId="6ABA35AE" w14:textId="77777777" w:rsidR="00DD069E" w:rsidRPr="00E138C4" w:rsidRDefault="00DD069E" w:rsidP="00DD069E">
      <w:pPr>
        <w:spacing w:after="0" w:line="240" w:lineRule="auto"/>
        <w:rPr>
          <w:rFonts w:ascii="Times New Roman" w:hAnsi="Times New Roman" w:cs="Times New Roman"/>
        </w:rPr>
      </w:pPr>
    </w:p>
    <w:p w14:paraId="04AA31BA"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Vartojimas vaikams ir paaugliams</w:t>
      </w:r>
    </w:p>
    <w:p w14:paraId="1042541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Vaikams ir jaunesniems kaip 18 metų paaugliams Ketilept vartoti negalima.</w:t>
      </w:r>
    </w:p>
    <w:p w14:paraId="5B9F92B9" w14:textId="77777777" w:rsidR="00DD069E" w:rsidRPr="00E138C4" w:rsidRDefault="00DD069E" w:rsidP="00DD069E">
      <w:pPr>
        <w:spacing w:after="0" w:line="240" w:lineRule="auto"/>
        <w:jc w:val="both"/>
        <w:rPr>
          <w:rFonts w:ascii="Times New Roman" w:hAnsi="Times New Roman" w:cs="Times New Roman"/>
        </w:rPr>
      </w:pPr>
    </w:p>
    <w:p w14:paraId="13CCA3CB" w14:textId="4B9D00FE"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Ką daryti pavartojus per didelę Ketilept dozę</w:t>
      </w:r>
      <w:r w:rsidR="00B15790">
        <w:rPr>
          <w:rFonts w:ascii="Times New Roman" w:hAnsi="Times New Roman" w:cs="Times New Roman"/>
          <w:b/>
        </w:rPr>
        <w:t>-</w:t>
      </w:r>
    </w:p>
    <w:p w14:paraId="2CB45B6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pavartojote didesnę dozę, nei Jums paskyrė gydytojas, galite pajusti mieguistumą, galvos svaigimą ir nenormalių širdies susitraukimų. Nedelsdami kreipkitės į savo gydytoją ar artimiausią ligoninę. Pasiimkite Ketilept tabletes.</w:t>
      </w:r>
    </w:p>
    <w:p w14:paraId="1E22F175" w14:textId="77777777" w:rsidR="00DD069E" w:rsidRPr="00E138C4" w:rsidRDefault="00DD069E" w:rsidP="00DD069E">
      <w:pPr>
        <w:spacing w:after="0" w:line="240" w:lineRule="auto"/>
        <w:ind w:left="567" w:hanging="567"/>
        <w:rPr>
          <w:rFonts w:ascii="Times New Roman" w:hAnsi="Times New Roman" w:cs="Times New Roman"/>
        </w:rPr>
      </w:pPr>
    </w:p>
    <w:p w14:paraId="3D95DF15" w14:textId="77777777" w:rsidR="00DD069E" w:rsidRPr="00E138C4" w:rsidRDefault="00DD069E" w:rsidP="00DD069E">
      <w:pPr>
        <w:spacing w:after="0" w:line="240" w:lineRule="auto"/>
        <w:ind w:left="567" w:hanging="567"/>
        <w:rPr>
          <w:rFonts w:ascii="Times New Roman" w:hAnsi="Times New Roman" w:cs="Times New Roman"/>
          <w:b/>
        </w:rPr>
      </w:pPr>
      <w:r w:rsidRPr="00E138C4">
        <w:rPr>
          <w:rFonts w:ascii="Times New Roman" w:hAnsi="Times New Roman" w:cs="Times New Roman"/>
          <w:b/>
        </w:rPr>
        <w:t>Pamiršus pavartoti Ketilept</w:t>
      </w:r>
    </w:p>
    <w:p w14:paraId="399C10B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pamiršote pavartoti dozę, suvartokite ją iškart, kai tik prisiminsite.</w:t>
      </w:r>
      <w:r w:rsidRPr="00E138C4" w:rsidDel="00270D0D">
        <w:rPr>
          <w:rFonts w:ascii="Times New Roman" w:hAnsi="Times New Roman" w:cs="Times New Roman"/>
        </w:rPr>
        <w:t xml:space="preserve"> </w:t>
      </w:r>
      <w:r w:rsidRPr="00E138C4">
        <w:rPr>
          <w:rFonts w:ascii="Times New Roman" w:hAnsi="Times New Roman" w:cs="Times New Roman"/>
        </w:rPr>
        <w:t>Jeigu jau beveik laikas gerti kitą dozę, tai užmirštąją praleiskite, o kitą gerkite įprastu laiku. Negalima vartoti dvigubos dozės norint kompensuoti praleistą dozę.</w:t>
      </w:r>
    </w:p>
    <w:p w14:paraId="3339AEB2" w14:textId="77777777" w:rsidR="00DD069E" w:rsidRPr="00E138C4" w:rsidRDefault="00DD069E" w:rsidP="00DD069E">
      <w:pPr>
        <w:spacing w:after="0" w:line="240" w:lineRule="auto"/>
        <w:ind w:left="567" w:hanging="567"/>
        <w:rPr>
          <w:rFonts w:ascii="Times New Roman" w:hAnsi="Times New Roman" w:cs="Times New Roman"/>
        </w:rPr>
      </w:pPr>
    </w:p>
    <w:p w14:paraId="46EFAC52" w14:textId="77777777" w:rsidR="00DD069E" w:rsidRPr="00E138C4" w:rsidRDefault="00DD069E" w:rsidP="00DD069E">
      <w:pPr>
        <w:spacing w:after="0" w:line="240" w:lineRule="auto"/>
        <w:ind w:left="567" w:hanging="567"/>
        <w:rPr>
          <w:rFonts w:ascii="Times New Roman" w:hAnsi="Times New Roman" w:cs="Times New Roman"/>
        </w:rPr>
      </w:pPr>
      <w:r w:rsidRPr="00E138C4">
        <w:rPr>
          <w:rFonts w:ascii="Times New Roman" w:hAnsi="Times New Roman" w:cs="Times New Roman"/>
          <w:b/>
        </w:rPr>
        <w:t>Nustojus vartoti Ketilept</w:t>
      </w:r>
    </w:p>
    <w:p w14:paraId="73B28E77" w14:textId="77777777" w:rsidR="00DD069E" w:rsidRPr="00E138C4" w:rsidRDefault="00DD069E" w:rsidP="00DD069E">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Nenustokite vartoti Ketilept, net jei ir pasijutote geriau, nebent Jums taip nurodė gydytojas.</w:t>
      </w:r>
    </w:p>
    <w:p w14:paraId="241072C7" w14:textId="77777777" w:rsidR="00DD069E" w:rsidRPr="00E138C4" w:rsidRDefault="00DD069E" w:rsidP="00DD069E">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Jeigu staigiai nustotumėte vartoti Ketilept, gali pasireikšti nemiga, pykinimas, galvos skausmas, viduriavimas, vėmimas, galvos svaigimas ar irzlumas. Gydytojas gali Jums pasiūlyti laipsniškai mažinti dozę prieš visai nutraukiant gydymą.</w:t>
      </w:r>
    </w:p>
    <w:p w14:paraId="26100666" w14:textId="77777777" w:rsidR="00DD069E" w:rsidRPr="00E138C4" w:rsidRDefault="00DD069E" w:rsidP="00DD069E">
      <w:pPr>
        <w:spacing w:after="0" w:line="240" w:lineRule="auto"/>
        <w:ind w:left="709" w:hanging="709"/>
        <w:jc w:val="both"/>
        <w:rPr>
          <w:rFonts w:ascii="Times New Roman" w:hAnsi="Times New Roman" w:cs="Times New Roman"/>
        </w:rPr>
      </w:pPr>
    </w:p>
    <w:p w14:paraId="4FD2432E" w14:textId="77777777" w:rsidR="00DD069E" w:rsidRPr="00E138C4" w:rsidRDefault="00DD069E" w:rsidP="00DD069E">
      <w:pPr>
        <w:numPr>
          <w:ilvl w:val="12"/>
          <w:numId w:val="0"/>
        </w:numPr>
        <w:spacing w:after="0" w:line="240" w:lineRule="auto"/>
        <w:ind w:right="-29"/>
        <w:rPr>
          <w:rFonts w:ascii="Times New Roman" w:hAnsi="Times New Roman" w:cs="Times New Roman"/>
        </w:rPr>
      </w:pPr>
      <w:r w:rsidRPr="00E138C4">
        <w:rPr>
          <w:rFonts w:ascii="Times New Roman" w:hAnsi="Times New Roman" w:cs="Times New Roman"/>
        </w:rPr>
        <w:t>Jeigu kiltų daugiau klausimų dėl šio vaisto vartojimo, kreipkitės į gydytoją arba vaistininką.</w:t>
      </w:r>
    </w:p>
    <w:p w14:paraId="50682A87" w14:textId="77777777" w:rsidR="00DD069E" w:rsidRPr="00E138C4" w:rsidRDefault="00DD069E" w:rsidP="00DD069E">
      <w:pPr>
        <w:spacing w:after="0" w:line="240" w:lineRule="auto"/>
        <w:ind w:left="709" w:hanging="709"/>
        <w:jc w:val="both"/>
        <w:rPr>
          <w:rFonts w:ascii="Times New Roman" w:hAnsi="Times New Roman" w:cs="Times New Roman"/>
        </w:rPr>
      </w:pPr>
    </w:p>
    <w:p w14:paraId="47346FAF" w14:textId="77777777" w:rsidR="00DD069E" w:rsidRPr="00E138C4" w:rsidRDefault="00DD069E" w:rsidP="00DD069E">
      <w:pPr>
        <w:spacing w:after="0" w:line="240" w:lineRule="auto"/>
        <w:ind w:left="709" w:hanging="709"/>
        <w:jc w:val="both"/>
        <w:rPr>
          <w:rFonts w:ascii="Times New Roman" w:hAnsi="Times New Roman" w:cs="Times New Roman"/>
        </w:rPr>
      </w:pPr>
    </w:p>
    <w:p w14:paraId="41AD62F7" w14:textId="77777777" w:rsidR="00DD069E" w:rsidRPr="00E138C4" w:rsidRDefault="00DD069E" w:rsidP="00DD069E">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caps/>
        </w:rPr>
        <w:t>4.</w:t>
      </w:r>
      <w:r w:rsidRPr="00E138C4">
        <w:rPr>
          <w:rFonts w:ascii="Times New Roman" w:hAnsi="Times New Roman" w:cs="Times New Roman"/>
          <w:b/>
          <w:caps/>
        </w:rPr>
        <w:tab/>
      </w:r>
      <w:r w:rsidRPr="00E138C4">
        <w:rPr>
          <w:rFonts w:ascii="Times New Roman" w:hAnsi="Times New Roman" w:cs="Times New Roman"/>
          <w:b/>
        </w:rPr>
        <w:t>Galimas šalutinis poveikis</w:t>
      </w:r>
    </w:p>
    <w:p w14:paraId="33BA8821" w14:textId="77777777" w:rsidR="00DD069E" w:rsidRPr="00E138C4" w:rsidRDefault="00DD069E" w:rsidP="00DD069E">
      <w:pPr>
        <w:spacing w:after="0" w:line="240" w:lineRule="auto"/>
        <w:jc w:val="both"/>
        <w:rPr>
          <w:rFonts w:ascii="Times New Roman" w:hAnsi="Times New Roman" w:cs="Times New Roman"/>
          <w:caps/>
        </w:rPr>
      </w:pPr>
    </w:p>
    <w:p w14:paraId="1605312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Šis vaistas, kaip ir visi kiti vaistai, gali sukelti šalutinį poveikį, nors jis pasireiškia ne visiems žmonėms.</w:t>
      </w:r>
    </w:p>
    <w:p w14:paraId="603AA257" w14:textId="77777777" w:rsidR="00DD069E" w:rsidRPr="00E138C4" w:rsidRDefault="00DD069E" w:rsidP="00DD069E">
      <w:pPr>
        <w:spacing w:after="0" w:line="240" w:lineRule="auto"/>
        <w:rPr>
          <w:rFonts w:ascii="Times New Roman" w:hAnsi="Times New Roman" w:cs="Times New Roman"/>
        </w:rPr>
      </w:pPr>
    </w:p>
    <w:p w14:paraId="4472DE43" w14:textId="5562ABBF" w:rsidR="00DD069E" w:rsidRPr="00B14475" w:rsidRDefault="00DD069E" w:rsidP="00DD069E">
      <w:pPr>
        <w:spacing w:after="0" w:line="240" w:lineRule="auto"/>
        <w:rPr>
          <w:rFonts w:ascii="Times New Roman" w:hAnsi="Times New Roman" w:cs="Times New Roman"/>
          <w:b/>
          <w:bCs/>
          <w:iCs/>
        </w:rPr>
      </w:pPr>
      <w:r w:rsidRPr="00B14475">
        <w:rPr>
          <w:rFonts w:ascii="Times New Roman" w:hAnsi="Times New Roman" w:cs="Times New Roman"/>
          <w:b/>
          <w:bCs/>
          <w:iCs/>
        </w:rPr>
        <w:t>Labai dažn</w:t>
      </w:r>
      <w:r w:rsidR="00DB18AE" w:rsidRPr="00B14475">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noProof/>
          <w:snapToGrid w:val="0"/>
        </w:rPr>
        <w:t xml:space="preserve">šalutinio poveikio reiškiniai </w:t>
      </w:r>
      <w:r w:rsidRPr="00B14475">
        <w:rPr>
          <w:rFonts w:ascii="Times New Roman" w:hAnsi="Times New Roman" w:cs="Times New Roman"/>
          <w:b/>
          <w:bCs/>
          <w:iCs/>
        </w:rPr>
        <w:t>(gali pasireikšti</w:t>
      </w:r>
      <w:r w:rsidRPr="00B14475" w:rsidDel="004D4FF6">
        <w:rPr>
          <w:rFonts w:ascii="Times New Roman" w:hAnsi="Times New Roman" w:cs="Times New Roman"/>
          <w:b/>
          <w:bCs/>
          <w:iCs/>
        </w:rPr>
        <w:t xml:space="preserve"> </w:t>
      </w:r>
      <w:r w:rsidRPr="00B14475">
        <w:rPr>
          <w:rFonts w:ascii="Times New Roman" w:hAnsi="Times New Roman" w:cs="Times New Roman"/>
          <w:b/>
          <w:bCs/>
          <w:iCs/>
        </w:rPr>
        <w:t xml:space="preserve">daugiau kaip 1 iš 10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05C59772"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galvos svaigimas (dėl jo galite pargriūti</w:t>
      </w:r>
      <w:r w:rsidRPr="00E138C4" w:rsidDel="00CA4698">
        <w:rPr>
          <w:rFonts w:ascii="Times New Roman" w:hAnsi="Times New Roman" w:cs="Times New Roman"/>
        </w:rPr>
        <w:t xml:space="preserve"> </w:t>
      </w:r>
      <w:r w:rsidRPr="00E138C4">
        <w:rPr>
          <w:rFonts w:ascii="Times New Roman" w:hAnsi="Times New Roman" w:cs="Times New Roman"/>
        </w:rPr>
        <w:t>), galvos skausmas, sausa burna;</w:t>
      </w:r>
    </w:p>
    <w:p w14:paraId="084FA17F"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mieguistumas (ilgiau vartojant Ketilept, jis gali išnykti) (gali sukelti alpimą);</w:t>
      </w:r>
    </w:p>
    <w:p w14:paraId="71F337A3"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nutraukimo simptomai (simptomai, kurių pasireiškia nutraukus Ketilept vartojimą): nemiga, pykinimas, galvos skausmas, viduriavimas, vėmimas, galvos svaigimas ir irzlumas (dėl to rekomenduojama šio vaisto dozę mažinti palaipsniui ir jo vartojimą nutraukti per bent 1-2 savaites);</w:t>
      </w:r>
    </w:p>
    <w:p w14:paraId="1AAA5264"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svorio padidėjimas;</w:t>
      </w:r>
    </w:p>
    <w:p w14:paraId="132788A5"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nenormalūs raumenų judesiai: gali būti sunku pradėti judėti, atsirasti drebulys, nenustygimas, neskausmingas raumenų stingulys;</w:t>
      </w:r>
    </w:p>
    <w:p w14:paraId="6EB1CBE6"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pakitęs tam tikrų riebalų (trigliceridų ir bendrojo cholesterolio) kiekis.</w:t>
      </w:r>
    </w:p>
    <w:p w14:paraId="35E82BF8"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26EB94D9" w14:textId="18F91910" w:rsidR="00DD069E" w:rsidRPr="00B14475" w:rsidRDefault="00DD069E" w:rsidP="00B14475">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Dažn</w:t>
      </w:r>
      <w:r w:rsidR="00DB18AE" w:rsidRPr="00E138C4">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rPr>
        <w:t xml:space="preserve">šalutinio poveikio reiškiniai </w:t>
      </w:r>
      <w:r w:rsidRPr="00B14475">
        <w:rPr>
          <w:rFonts w:ascii="Times New Roman" w:hAnsi="Times New Roman" w:cs="Times New Roman"/>
          <w:b/>
          <w:bCs/>
          <w:iCs/>
        </w:rPr>
        <w:t xml:space="preserve">(gali pasireikšti </w:t>
      </w:r>
      <w:r w:rsidR="0032733A" w:rsidRPr="00B14475">
        <w:rPr>
          <w:rFonts w:ascii="Times New Roman" w:hAnsi="Times New Roman" w:cs="Times New Roman"/>
          <w:b/>
          <w:bCs/>
          <w:iCs/>
        </w:rPr>
        <w:t>rečiau</w:t>
      </w:r>
      <w:r w:rsidRPr="00B14475" w:rsidDel="004D4FF6">
        <w:rPr>
          <w:rFonts w:ascii="Times New Roman" w:hAnsi="Times New Roman" w:cs="Times New Roman"/>
          <w:b/>
          <w:bCs/>
          <w:iCs/>
        </w:rPr>
        <w:t xml:space="preserve"> </w:t>
      </w:r>
      <w:r w:rsidR="0032733A" w:rsidRPr="00B14475">
        <w:rPr>
          <w:rFonts w:ascii="Times New Roman" w:hAnsi="Times New Roman" w:cs="Times New Roman"/>
          <w:b/>
          <w:bCs/>
          <w:iCs/>
        </w:rPr>
        <w:t>nei</w:t>
      </w:r>
      <w:r w:rsidRPr="00B14475">
        <w:rPr>
          <w:rFonts w:ascii="Times New Roman" w:hAnsi="Times New Roman" w:cs="Times New Roman"/>
          <w:b/>
          <w:bCs/>
          <w:iCs/>
        </w:rPr>
        <w:t xml:space="preserve"> 1 iš 10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36BA14CF"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greitas širdies plakimas;</w:t>
      </w:r>
    </w:p>
    <w:p w14:paraId="1BBD2A16" w14:textId="77777777"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jausmas, kad stipriai, dažnai plaka širdis arba neįvyksta kai kurie širdies susitraukimai;</w:t>
      </w:r>
    </w:p>
    <w:p w14:paraId="43043C26"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vidurių užkietėjimas, virškinimo sutrikimas;</w:t>
      </w:r>
    </w:p>
    <w:p w14:paraId="14845373"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silpnumas ;</w:t>
      </w:r>
    </w:p>
    <w:p w14:paraId="33822DDB"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rankų ar kojų pabrinkimas;</w:t>
      </w:r>
    </w:p>
    <w:p w14:paraId="2426048D"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kraujospūdžio sumažėjimas atsistojant (dėl to gali svaigti galva, galite net nualpti ir pargriūti);</w:t>
      </w:r>
    </w:p>
    <w:p w14:paraId="61894E77"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cukraus kiekis kraujyje;</w:t>
      </w:r>
    </w:p>
    <w:p w14:paraId="6B9422BD"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miglotas matymas;</w:t>
      </w:r>
    </w:p>
    <w:p w14:paraId="2D05A200"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neįprasti sapnai arba košmarai; </w:t>
      </w:r>
    </w:p>
    <w:p w14:paraId="4C249EDC"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alkio pojūtis;</w:t>
      </w:r>
    </w:p>
    <w:p w14:paraId="33EF34FD"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padidėjęs dirglumas</w:t>
      </w:r>
    </w:p>
    <w:p w14:paraId="7AD0AA4B" w14:textId="77777777" w:rsidR="00DD069E" w:rsidRPr="00E138C4" w:rsidRDefault="00DD069E" w:rsidP="00DD069E">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nosies užgulimas;</w:t>
      </w:r>
    </w:p>
    <w:p w14:paraId="3221FE07"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kalbos sutrikimai;</w:t>
      </w:r>
    </w:p>
    <w:p w14:paraId="5D1B12E8"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mintys apie savižudybę ir depresijos pasunkėjimas. </w:t>
      </w:r>
      <w:r w:rsidRPr="00E138C4">
        <w:rPr>
          <w:rFonts w:ascii="Times New Roman" w:hAnsi="Times New Roman" w:cs="Times New Roman"/>
          <w:b/>
        </w:rPr>
        <w:t>Kreipkitės į savo gydytoją ar artimiausią ligoninę kuo greičiau.</w:t>
      </w:r>
    </w:p>
    <w:p w14:paraId="72B1293E"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dusulys;</w:t>
      </w:r>
    </w:p>
    <w:p w14:paraId="11881CFF"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vėmimas (ypač senyviems pacientams);</w:t>
      </w:r>
    </w:p>
    <w:p w14:paraId="2DCD24A6"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karščiavimas;</w:t>
      </w:r>
    </w:p>
    <w:p w14:paraId="3203CF1E"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pakitęs skydliaukės hormonų kiekis kraujyje;</w:t>
      </w:r>
    </w:p>
    <w:p w14:paraId="572D916E" w14:textId="77777777" w:rsidR="00DD069E" w:rsidRPr="00E138C4" w:rsidRDefault="00DD069E" w:rsidP="00DD069E">
      <w:pPr>
        <w:numPr>
          <w:ilvl w:val="0"/>
          <w:numId w:val="13"/>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sumažėjęs tam tikrų kraujo kūnelių kiekis;</w:t>
      </w:r>
    </w:p>
    <w:p w14:paraId="0A311982" w14:textId="77777777" w:rsidR="00DD069E" w:rsidRPr="00E138C4" w:rsidRDefault="00DD069E" w:rsidP="00DD069E">
      <w:pPr>
        <w:numPr>
          <w:ilvl w:val="0"/>
          <w:numId w:val="13"/>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padidėjęs kepenų fermentų kiekis kraujyje;</w:t>
      </w:r>
    </w:p>
    <w:p w14:paraId="18AC3CF6" w14:textId="77777777" w:rsidR="00DD069E" w:rsidRPr="00E138C4" w:rsidRDefault="00DD069E" w:rsidP="00DD069E">
      <w:pPr>
        <w:numPr>
          <w:ilvl w:val="0"/>
          <w:numId w:val="13"/>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padidėjęs hormono prolaktino kiekis kraujyje. Dėl jo retais atvejais gali:</w:t>
      </w:r>
    </w:p>
    <w:p w14:paraId="22AB6DB4" w14:textId="77777777" w:rsidR="00DD069E" w:rsidRPr="00E138C4" w:rsidRDefault="00DD069E" w:rsidP="00DD069E">
      <w:pPr>
        <w:numPr>
          <w:ilvl w:val="0"/>
          <w:numId w:val="14"/>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padidėti krūtys ir netikėtai išsiskirti pieno (vyrams ir moterims);</w:t>
      </w:r>
    </w:p>
    <w:p w14:paraId="259C5F0B" w14:textId="77777777" w:rsidR="00DD069E" w:rsidRPr="00E138C4" w:rsidRDefault="00DD069E" w:rsidP="00DD069E">
      <w:pPr>
        <w:numPr>
          <w:ilvl w:val="0"/>
          <w:numId w:val="14"/>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išnykti arba pasidaryti nereguliarios mėnesinės (moterims).</w:t>
      </w:r>
    </w:p>
    <w:p w14:paraId="7AF6FBDD"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70294970" w14:textId="5ABA975E" w:rsidR="00DD069E" w:rsidRPr="00B14475" w:rsidRDefault="00DD069E" w:rsidP="00B14475">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Nedažn</w:t>
      </w:r>
      <w:r w:rsidR="00DB18AE" w:rsidRPr="00E138C4">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rPr>
        <w:t xml:space="preserve">šalutinio poveikio reiškiniai </w:t>
      </w:r>
      <w:r w:rsidRPr="00B14475">
        <w:rPr>
          <w:rFonts w:ascii="Times New Roman" w:hAnsi="Times New Roman" w:cs="Times New Roman"/>
          <w:b/>
          <w:bCs/>
          <w:iCs/>
        </w:rPr>
        <w:t xml:space="preserve">(gali pasireikšti </w:t>
      </w:r>
      <w:r w:rsidR="0032733A" w:rsidRPr="00B14475">
        <w:rPr>
          <w:rFonts w:ascii="Times New Roman" w:hAnsi="Times New Roman" w:cs="Times New Roman"/>
          <w:b/>
          <w:bCs/>
          <w:iCs/>
        </w:rPr>
        <w:t>rečiau nei</w:t>
      </w:r>
      <w:r w:rsidRPr="00B14475">
        <w:rPr>
          <w:rFonts w:ascii="Times New Roman" w:hAnsi="Times New Roman" w:cs="Times New Roman"/>
          <w:b/>
          <w:bCs/>
          <w:iCs/>
        </w:rPr>
        <w:t xml:space="preserve"> 1 iš 100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7AF34D23" w14:textId="77777777" w:rsidR="00DD069E" w:rsidRPr="00E138C4" w:rsidRDefault="00DD069E" w:rsidP="00DD069E">
      <w:pPr>
        <w:numPr>
          <w:ilvl w:val="2"/>
          <w:numId w:val="15"/>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eastAsia="Calibri" w:hAnsi="Times New Roman" w:cs="Times New Roman"/>
        </w:rPr>
        <w:t>traukuliai;</w:t>
      </w:r>
    </w:p>
    <w:p w14:paraId="62E336DE" w14:textId="77777777" w:rsidR="00DD069E" w:rsidRPr="00E138C4" w:rsidRDefault="00DD069E" w:rsidP="00DD069E">
      <w:pPr>
        <w:numPr>
          <w:ilvl w:val="2"/>
          <w:numId w:val="15"/>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eastAsia="Calibri" w:hAnsi="Times New Roman" w:cs="Times New Roman"/>
        </w:rPr>
        <w:t>alerginės reakcijos dėl kurių gali atsirasti ruplių (odos iškilimų), patinti oda ir aplink burną;</w:t>
      </w:r>
    </w:p>
    <w:p w14:paraId="41BCC5EE" w14:textId="77777777" w:rsidR="00DD069E" w:rsidRPr="00E138C4" w:rsidRDefault="00DD069E" w:rsidP="00DD069E">
      <w:pPr>
        <w:numPr>
          <w:ilvl w:val="2"/>
          <w:numId w:val="15"/>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hAnsi="Times New Roman" w:cs="Times New Roman"/>
        </w:rPr>
        <w:t>nemalonūs pojūčiai kojose (neramių kojų sindromas);</w:t>
      </w:r>
    </w:p>
    <w:p w14:paraId="020208CB"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rijimo sutrikimai;</w:t>
      </w:r>
    </w:p>
    <w:p w14:paraId="2317F23E"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nekontroliuojami judesiai, ypač veido ar liežuvio;</w:t>
      </w:r>
    </w:p>
    <w:p w14:paraId="68B50B97"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seksualinė disfunkcija;</w:t>
      </w:r>
    </w:p>
    <w:p w14:paraId="048A9340"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diabetas;</w:t>
      </w:r>
    </w:p>
    <w:p w14:paraId="533FA73C"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elektrinio širdies laidumo sutrikimas (QT intervalo pailgėjimas), matomas atlikus EKG;</w:t>
      </w:r>
    </w:p>
    <w:p w14:paraId="4BFF9059"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lėtesnis negu įprastai širdies su</w:t>
      </w:r>
      <w:r w:rsidR="002851F3" w:rsidRPr="00E138C4">
        <w:rPr>
          <w:rFonts w:ascii="Times New Roman" w:hAnsi="Times New Roman" w:cs="Times New Roman"/>
        </w:rPr>
        <w:t>s</w:t>
      </w:r>
      <w:r w:rsidRPr="00E138C4">
        <w:rPr>
          <w:rFonts w:ascii="Times New Roman" w:hAnsi="Times New Roman" w:cs="Times New Roman"/>
        </w:rPr>
        <w:t>itraukimų dažnis, kuris gali atsirasti gydymo pradžioje ir kuris gali būti susijęs su žemu kraujospūdžiu ir alpimu;</w:t>
      </w:r>
    </w:p>
    <w:p w14:paraId="26518139"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pasunkėjęs </w:t>
      </w:r>
      <w:r w:rsidR="001D0306" w:rsidRPr="00E138C4">
        <w:rPr>
          <w:rFonts w:ascii="Times New Roman" w:hAnsi="Times New Roman" w:cs="Times New Roman"/>
        </w:rPr>
        <w:t>šlapinamasis</w:t>
      </w:r>
      <w:r w:rsidRPr="00E138C4">
        <w:rPr>
          <w:rFonts w:ascii="Times New Roman" w:hAnsi="Times New Roman" w:cs="Times New Roman"/>
        </w:rPr>
        <w:t>;</w:t>
      </w:r>
    </w:p>
    <w:p w14:paraId="1FD727D9"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alpimas (dėl to galite pargriūti);</w:t>
      </w:r>
    </w:p>
    <w:p w14:paraId="1C2075E4"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užgulta nosis;</w:t>
      </w:r>
    </w:p>
    <w:p w14:paraId="24577F4D"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lastRenderedPageBreak/>
        <w:t>sumažėjęs raudonųjų kraujo ląstelių kiekis;</w:t>
      </w:r>
    </w:p>
    <w:p w14:paraId="4BBB6DC9"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sumažėjęs natrio kiekis kraujyje;</w:t>
      </w:r>
    </w:p>
    <w:p w14:paraId="706F966D" w14:textId="434DDBD9" w:rsidR="00DD069E" w:rsidRPr="00B14475" w:rsidRDefault="00DD069E" w:rsidP="00DD069E">
      <w:pPr>
        <w:numPr>
          <w:ilvl w:val="0"/>
          <w:numId w:val="1"/>
        </w:numPr>
        <w:spacing w:after="0" w:line="240" w:lineRule="auto"/>
        <w:ind w:left="567" w:hanging="567"/>
        <w:rPr>
          <w:rFonts w:ascii="Times New Roman" w:hAnsi="Times New Roman" w:cs="Times New Roman"/>
        </w:rPr>
      </w:pPr>
      <w:r w:rsidRPr="00E138C4">
        <w:rPr>
          <w:rFonts w:ascii="Times New Roman" w:eastAsia="Calibri" w:hAnsi="Times New Roman" w:cs="Times New Roman"/>
        </w:rPr>
        <w:t>esamo cukrinio diabeto pasunkėjimas</w:t>
      </w:r>
      <w:r w:rsidR="00B03423" w:rsidRPr="00E138C4">
        <w:rPr>
          <w:rFonts w:ascii="Times New Roman" w:eastAsia="Calibri" w:hAnsi="Times New Roman" w:cs="Times New Roman"/>
        </w:rPr>
        <w:t>;</w:t>
      </w:r>
    </w:p>
    <w:p w14:paraId="1BD853B3" w14:textId="0840ED75" w:rsidR="00B03423" w:rsidRPr="00E138C4" w:rsidRDefault="00B03423" w:rsidP="00DD069E">
      <w:pPr>
        <w:numPr>
          <w:ilvl w:val="0"/>
          <w:numId w:val="1"/>
        </w:numPr>
        <w:spacing w:after="0" w:line="240" w:lineRule="auto"/>
        <w:ind w:left="567" w:hanging="567"/>
        <w:rPr>
          <w:rFonts w:ascii="Times New Roman" w:hAnsi="Times New Roman" w:cs="Times New Roman"/>
        </w:rPr>
      </w:pPr>
      <w:r w:rsidRPr="00E138C4">
        <w:rPr>
          <w:rFonts w:ascii="Times New Roman" w:eastAsia="Calibri" w:hAnsi="Times New Roman" w:cs="Times New Roman"/>
        </w:rPr>
        <w:t>sumišimas.</w:t>
      </w:r>
    </w:p>
    <w:p w14:paraId="03EACEB5"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6208BA03" w14:textId="6C6BC7EA" w:rsidR="00DD069E" w:rsidRPr="00B14475" w:rsidRDefault="00DD069E" w:rsidP="00B14475">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Ret</w:t>
      </w:r>
      <w:r w:rsidR="00DB18AE" w:rsidRPr="00E138C4">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rPr>
        <w:t xml:space="preserve">šalutinio poveikio reiškiniai </w:t>
      </w:r>
      <w:r w:rsidRPr="00B14475">
        <w:rPr>
          <w:rFonts w:ascii="Times New Roman" w:hAnsi="Times New Roman" w:cs="Times New Roman"/>
          <w:b/>
          <w:bCs/>
          <w:iCs/>
        </w:rPr>
        <w:t>(gali pasireikšti</w:t>
      </w:r>
      <w:r w:rsidRPr="00B14475" w:rsidDel="000442BB">
        <w:rPr>
          <w:rFonts w:ascii="Times New Roman" w:hAnsi="Times New Roman" w:cs="Times New Roman"/>
          <w:b/>
          <w:bCs/>
          <w:iCs/>
        </w:rPr>
        <w:t xml:space="preserve"> </w:t>
      </w:r>
      <w:r w:rsidR="0032733A" w:rsidRPr="00B14475">
        <w:rPr>
          <w:rFonts w:ascii="Times New Roman" w:hAnsi="Times New Roman" w:cs="Times New Roman"/>
          <w:b/>
          <w:bCs/>
          <w:iCs/>
        </w:rPr>
        <w:t>rečiau nei</w:t>
      </w:r>
      <w:r w:rsidRPr="00B14475">
        <w:rPr>
          <w:rFonts w:ascii="Times New Roman" w:hAnsi="Times New Roman" w:cs="Times New Roman"/>
          <w:b/>
          <w:bCs/>
          <w:iCs/>
        </w:rPr>
        <w:t xml:space="preserve"> 1 iš 1</w:t>
      </w:r>
      <w:r w:rsidR="00DB18AE" w:rsidRPr="00E138C4">
        <w:rPr>
          <w:rFonts w:ascii="Times New Roman" w:hAnsi="Times New Roman" w:cs="Times New Roman"/>
          <w:b/>
          <w:bCs/>
          <w:iCs/>
        </w:rPr>
        <w:t> </w:t>
      </w:r>
      <w:r w:rsidRPr="00B14475">
        <w:rPr>
          <w:rFonts w:ascii="Times New Roman" w:hAnsi="Times New Roman" w:cs="Times New Roman"/>
          <w:b/>
          <w:bCs/>
          <w:iCs/>
        </w:rPr>
        <w:t xml:space="preserve">000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03D4F124"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karščiavimo, prakaitavimo, raumenų stingulio, didelio mieguistumo ar alpimo derinys (vadinamas piktybiniu neurolepsiniu sindromu);</w:t>
      </w:r>
    </w:p>
    <w:p w14:paraId="1B33A2B6"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pageltusios akys ir oda (gelta);</w:t>
      </w:r>
    </w:p>
    <w:p w14:paraId="26F5CF2D"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kepenų uždegimas (hepatitas);</w:t>
      </w:r>
    </w:p>
    <w:p w14:paraId="3F19A785"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ilgalaikė skausminga erekcija (priapizmas);</w:t>
      </w:r>
    </w:p>
    <w:p w14:paraId="563C7FAB"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krūtų padidėjimas, netikėtas pieno išsiskyrimas (galaktorėja);</w:t>
      </w:r>
    </w:p>
    <w:p w14:paraId="69FAA19A"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mėnesinių ciklo sutrikimai;</w:t>
      </w:r>
    </w:p>
    <w:p w14:paraId="4F169305"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30130D3F"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vaikščiojimas, kalbėjimas, valgymas ar kitos veiklos miegant;</w:t>
      </w:r>
    </w:p>
    <w:p w14:paraId="65EFE8F9"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sumažėjusi kūno temperatūra (hipotermija);</w:t>
      </w:r>
    </w:p>
    <w:p w14:paraId="3FC99669"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kasos uždegimas, kuris sukelia stiprų skausmą pilvo srityje ir nugaroje;</w:t>
      </w:r>
    </w:p>
    <w:p w14:paraId="339C20F2"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14:paraId="07A8C5D9"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karščiavimo, panašių į gripo simptomų ir gerklės skausmo derinys arba kitokia infekcija;</w:t>
      </w:r>
    </w:p>
    <w:p w14:paraId="70BAD8D1"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susijusi labai mažu baltųjų kraujo kūnelių kiekiu (ši būklė vadinama agranulocitoze);</w:t>
      </w:r>
    </w:p>
    <w:p w14:paraId="4B1CB29A"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žarnų obstrukcija (užsikimšimas);</w:t>
      </w:r>
    </w:p>
    <w:p w14:paraId="26FC8E58" w14:textId="77777777" w:rsidR="00DD069E" w:rsidRPr="00E138C4" w:rsidRDefault="00DD069E" w:rsidP="00DD069E">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padidėjęs kreatino kinazės (raumenų gaminamos medžiagos) kiekis kraujyje.</w:t>
      </w:r>
    </w:p>
    <w:p w14:paraId="41ED9BFD"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53860077" w14:textId="49001C59" w:rsidR="00DD069E" w:rsidRPr="00B14475" w:rsidRDefault="00DD069E" w:rsidP="00DD069E">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Labai ret</w:t>
      </w:r>
      <w:r w:rsidR="00DB18AE" w:rsidRPr="00E138C4">
        <w:rPr>
          <w:rFonts w:ascii="Times New Roman" w:hAnsi="Times New Roman" w:cs="Times New Roman"/>
          <w:b/>
          <w:bCs/>
          <w:iCs/>
        </w:rPr>
        <w:t>i</w:t>
      </w:r>
      <w:r w:rsidRPr="00B14475">
        <w:rPr>
          <w:rFonts w:ascii="Times New Roman" w:hAnsi="Times New Roman" w:cs="Times New Roman"/>
          <w:b/>
          <w:bCs/>
          <w:iCs/>
        </w:rPr>
        <w:t xml:space="preserve"> </w:t>
      </w:r>
      <w:r w:rsidR="00DB18AE" w:rsidRPr="00B14475">
        <w:rPr>
          <w:rFonts w:ascii="Times New Roman" w:hAnsi="Times New Roman" w:cs="Times New Roman"/>
          <w:b/>
          <w:bCs/>
          <w:iCs/>
          <w:noProof/>
          <w:snapToGrid w:val="0"/>
        </w:rPr>
        <w:t xml:space="preserve">šalutinio poveikio reiškiniai </w:t>
      </w:r>
      <w:r w:rsidRPr="00B14475">
        <w:rPr>
          <w:rFonts w:ascii="Times New Roman" w:hAnsi="Times New Roman" w:cs="Times New Roman"/>
          <w:b/>
          <w:bCs/>
          <w:iCs/>
        </w:rPr>
        <w:t xml:space="preserve">(gali pasireikšti </w:t>
      </w:r>
      <w:r w:rsidR="0032733A" w:rsidRPr="00B14475">
        <w:rPr>
          <w:rFonts w:ascii="Times New Roman" w:hAnsi="Times New Roman" w:cs="Times New Roman"/>
          <w:b/>
          <w:bCs/>
          <w:iCs/>
        </w:rPr>
        <w:t>rečiau nei</w:t>
      </w:r>
      <w:r w:rsidRPr="00B14475">
        <w:rPr>
          <w:rFonts w:ascii="Times New Roman" w:hAnsi="Times New Roman" w:cs="Times New Roman"/>
          <w:b/>
          <w:bCs/>
          <w:iCs/>
        </w:rPr>
        <w:t xml:space="preserve"> 1 iš 10</w:t>
      </w:r>
      <w:r w:rsidR="00DB18AE" w:rsidRPr="00E138C4">
        <w:rPr>
          <w:rFonts w:ascii="Times New Roman" w:hAnsi="Times New Roman" w:cs="Times New Roman"/>
          <w:b/>
          <w:bCs/>
          <w:iCs/>
        </w:rPr>
        <w:t> </w:t>
      </w:r>
      <w:r w:rsidRPr="00B14475">
        <w:rPr>
          <w:rFonts w:ascii="Times New Roman" w:hAnsi="Times New Roman" w:cs="Times New Roman"/>
          <w:b/>
          <w:bCs/>
          <w:iCs/>
        </w:rPr>
        <w:t xml:space="preserve">000 </w:t>
      </w:r>
      <w:r w:rsidR="00DB18AE" w:rsidRPr="00E138C4">
        <w:rPr>
          <w:rFonts w:ascii="Times New Roman" w:hAnsi="Times New Roman" w:cs="Times New Roman"/>
          <w:b/>
          <w:bCs/>
          <w:iCs/>
        </w:rPr>
        <w:t>asmenų</w:t>
      </w:r>
      <w:r w:rsidRPr="00B14475">
        <w:rPr>
          <w:rFonts w:ascii="Times New Roman" w:hAnsi="Times New Roman" w:cs="Times New Roman"/>
          <w:b/>
          <w:bCs/>
          <w:iCs/>
        </w:rPr>
        <w:t>):</w:t>
      </w:r>
    </w:p>
    <w:p w14:paraId="56CCC0FA"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stiprus odos išbėrimas, pūslės arba raudonos dėmės odoje;</w:t>
      </w:r>
    </w:p>
    <w:p w14:paraId="0814184E"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sunki alerginė reakcija (anafilaksija), dėl kurios gali pasunkėti kvėpavimas ar ištikti šokas;</w:t>
      </w:r>
    </w:p>
    <w:p w14:paraId="05F527E1"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greitai pasireiškiantis odos patinimas (dažniausiai aplink akis, taip pat lūpų ir gerklės angioedema);</w:t>
      </w:r>
    </w:p>
    <w:p w14:paraId="2907976A" w14:textId="20509778"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sunki būklė, pasireiškianti odos, burnos, akių ir lytinių organų pūslėmis (St</w:t>
      </w:r>
      <w:r w:rsidR="00E138C4" w:rsidRPr="00E138C4">
        <w:rPr>
          <w:rFonts w:ascii="Times New Roman" w:hAnsi="Times New Roman" w:cs="Times New Roman"/>
        </w:rPr>
        <w:t>ivenso</w:t>
      </w:r>
      <w:r w:rsidRPr="00E138C4">
        <w:rPr>
          <w:rFonts w:ascii="Times New Roman" w:hAnsi="Times New Roman" w:cs="Times New Roman"/>
        </w:rPr>
        <w:t>-</w:t>
      </w:r>
      <w:r w:rsidR="00E138C4" w:rsidRPr="00E138C4">
        <w:rPr>
          <w:rFonts w:ascii="Times New Roman" w:hAnsi="Times New Roman" w:cs="Times New Roman"/>
        </w:rPr>
        <w:t>Džonsono</w:t>
      </w:r>
      <w:r w:rsidRPr="00E138C4">
        <w:rPr>
          <w:rFonts w:ascii="Times New Roman" w:hAnsi="Times New Roman" w:cs="Times New Roman"/>
        </w:rPr>
        <w:t xml:space="preserve"> sindromas)</w:t>
      </w:r>
      <w:r w:rsidR="001D0306" w:rsidRPr="00E138C4">
        <w:rPr>
          <w:rFonts w:ascii="Times New Roman" w:hAnsi="Times New Roman" w:cs="Times New Roman"/>
        </w:rPr>
        <w:t xml:space="preserve"> (Žr. 2 skyrių)</w:t>
      </w:r>
      <w:r w:rsidRPr="00E138C4">
        <w:rPr>
          <w:rFonts w:ascii="Times New Roman" w:hAnsi="Times New Roman" w:cs="Times New Roman"/>
        </w:rPr>
        <w:t>;</w:t>
      </w:r>
    </w:p>
    <w:p w14:paraId="23488B96"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netinkama hormono, kuris kontroliuoja šlapimo tūrį, sekrecija;</w:t>
      </w:r>
    </w:p>
    <w:p w14:paraId="311FB74F" w14:textId="77777777" w:rsidR="00DD069E" w:rsidRPr="00E138C4" w:rsidRDefault="00DD069E" w:rsidP="00DD069E">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raumeninių skaidulų irimas ir raumenų skausmas (rabdomiolizė);</w:t>
      </w:r>
    </w:p>
    <w:p w14:paraId="28C825EC"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21638882" w14:textId="77777777" w:rsidR="00DD069E" w:rsidRPr="00B14475" w:rsidRDefault="00DD069E" w:rsidP="00DD069E">
      <w:pPr>
        <w:tabs>
          <w:tab w:val="left" w:pos="567"/>
        </w:tabs>
        <w:spacing w:after="0" w:line="240" w:lineRule="auto"/>
        <w:rPr>
          <w:rFonts w:ascii="Times New Roman" w:hAnsi="Times New Roman" w:cs="Times New Roman"/>
          <w:b/>
          <w:bCs/>
          <w:iCs/>
        </w:rPr>
      </w:pPr>
      <w:r w:rsidRPr="00B14475">
        <w:rPr>
          <w:rFonts w:ascii="Times New Roman" w:hAnsi="Times New Roman" w:cs="Times New Roman"/>
          <w:b/>
          <w:bCs/>
          <w:iCs/>
        </w:rPr>
        <w:t xml:space="preserve">Dažnis nežinomas (negali būti </w:t>
      </w:r>
      <w:r w:rsidR="0032733A" w:rsidRPr="00B14475">
        <w:rPr>
          <w:rFonts w:ascii="Times New Roman" w:hAnsi="Times New Roman" w:cs="Times New Roman"/>
          <w:b/>
          <w:bCs/>
          <w:iCs/>
        </w:rPr>
        <w:t>apskaičiuotas</w:t>
      </w:r>
      <w:r w:rsidRPr="00B14475">
        <w:rPr>
          <w:rFonts w:ascii="Times New Roman" w:hAnsi="Times New Roman" w:cs="Times New Roman"/>
          <w:b/>
          <w:bCs/>
          <w:iCs/>
        </w:rPr>
        <w:t xml:space="preserve"> pagal turimus duomenis):</w:t>
      </w:r>
    </w:p>
    <w:p w14:paraId="0278986E" w14:textId="77777777" w:rsidR="003A2C47" w:rsidRPr="00E138C4" w:rsidRDefault="003A2C47" w:rsidP="005C0B64">
      <w:pPr>
        <w:numPr>
          <w:ilvl w:val="0"/>
          <w:numId w:val="1"/>
        </w:numPr>
        <w:tabs>
          <w:tab w:val="left" w:pos="567"/>
        </w:tabs>
        <w:spacing w:after="0" w:line="240" w:lineRule="auto"/>
        <w:ind w:left="567" w:hanging="567"/>
      </w:pPr>
      <w:r w:rsidRPr="00E138C4">
        <w:rPr>
          <w:rFonts w:ascii="Times New Roman" w:hAnsi="Times New Roman" w:cs="Times New Roman"/>
        </w:rPr>
        <w:t>širdies raumens pažeidimas (kardiomiopatija);</w:t>
      </w:r>
    </w:p>
    <w:p w14:paraId="677C6616" w14:textId="77777777" w:rsidR="003A2C47" w:rsidRPr="00E138C4" w:rsidRDefault="003A2C47" w:rsidP="005C0B64">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širdies raumens uždegimas (miokarditas);</w:t>
      </w:r>
    </w:p>
    <w:p w14:paraId="2A6547B1" w14:textId="77777777"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odos išbėrimas nevienodomis raudonomis dėmėmis (daugiaformė eritema);</w:t>
      </w:r>
    </w:p>
    <w:p w14:paraId="0A7C18C9" w14:textId="4ECF9CF3"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sunki staigi alerginė reakcija, kurios simptomai yra karščiavimas, odos pūslės ir lupimasis (toksinė epidermio nekrolizė). </w:t>
      </w:r>
      <w:r w:rsidR="007C6546" w:rsidRPr="00E138C4">
        <w:rPr>
          <w:rFonts w:ascii="Times New Roman" w:hAnsi="Times New Roman" w:cs="Times New Roman"/>
        </w:rPr>
        <w:t>Žr. skyrių 2</w:t>
      </w:r>
      <w:r w:rsidR="00E138C4" w:rsidRPr="00E138C4">
        <w:rPr>
          <w:rFonts w:ascii="Times New Roman" w:hAnsi="Times New Roman" w:cs="Times New Roman"/>
        </w:rPr>
        <w:t>;</w:t>
      </w:r>
    </w:p>
    <w:p w14:paraId="2135BADD" w14:textId="32D0674D" w:rsidR="00996F95" w:rsidRPr="00E138C4" w:rsidRDefault="00B658FF" w:rsidP="00B14475">
      <w:pPr>
        <w:pStyle w:val="Sraopastraipa"/>
        <w:numPr>
          <w:ilvl w:val="0"/>
          <w:numId w:val="1"/>
        </w:numPr>
        <w:spacing w:line="240" w:lineRule="auto"/>
        <w:ind w:left="567" w:hanging="567"/>
      </w:pPr>
      <w:r w:rsidRPr="00E138C4">
        <w:rPr>
          <w:lang w:val="lt-LT"/>
        </w:rPr>
        <w:t>g</w:t>
      </w:r>
      <w:r w:rsidRPr="00B14475">
        <w:rPr>
          <w:lang w:val="lt-LT"/>
        </w:rPr>
        <w:t>reitai atsirandantys raudonos odos plotai, kuriuose yra daug smulkių pustulių (mažų pūslelių, užpildytų baltu ar geltonu skysčiu</w:t>
      </w:r>
      <w:r w:rsidRPr="00E138C4">
        <w:rPr>
          <w:lang w:val="lt-LT"/>
        </w:rPr>
        <w:t xml:space="preserve">, vadinama </w:t>
      </w:r>
      <w:r w:rsidRPr="00B14475">
        <w:rPr>
          <w:rFonts w:eastAsia="Times New Roman"/>
          <w:lang w:val="lt-LT"/>
        </w:rPr>
        <w:t>ūmine generalizuota egzantemine pustulioze (ŪGEP)</w:t>
      </w:r>
      <w:r w:rsidRPr="00E138C4">
        <w:rPr>
          <w:rFonts w:eastAsia="Times New Roman"/>
          <w:lang w:val="lt-LT"/>
        </w:rPr>
        <w:t>)</w:t>
      </w:r>
      <w:r w:rsidRPr="00B14475">
        <w:rPr>
          <w:lang w:val="lt-LT"/>
        </w:rPr>
        <w:t>.</w:t>
      </w:r>
      <w:r w:rsidRPr="00E138C4">
        <w:rPr>
          <w:lang w:val="lt-LT"/>
        </w:rPr>
        <w:t xml:space="preserve"> Žr. skyrių 2;</w:t>
      </w:r>
    </w:p>
    <w:p w14:paraId="55CF956F" w14:textId="0DC505A0" w:rsidR="001335C2" w:rsidRPr="00E138C4" w:rsidRDefault="0032733A" w:rsidP="00DD069E">
      <w:pPr>
        <w:numPr>
          <w:ilvl w:val="0"/>
          <w:numId w:val="1"/>
        </w:numPr>
        <w:tabs>
          <w:tab w:val="left" w:pos="567"/>
        </w:tabs>
        <w:spacing w:after="0" w:line="240" w:lineRule="auto"/>
        <w:ind w:left="567" w:hanging="567"/>
        <w:rPr>
          <w:rFonts w:ascii="Times New Roman" w:eastAsia="Calibri" w:hAnsi="Times New Roman" w:cs="Times New Roman"/>
        </w:rPr>
      </w:pPr>
      <w:r w:rsidRPr="00E138C4">
        <w:rPr>
          <w:rFonts w:ascii="Times New Roman" w:eastAsia="Times New Roman" w:hAnsi="Times New Roman" w:cs="Times New Roman"/>
          <w:szCs w:val="20"/>
          <w:lang w:eastAsia="hu-HU"/>
        </w:rPr>
        <w:t>r</w:t>
      </w:r>
      <w:r w:rsidR="007C6546" w:rsidRPr="00E138C4">
        <w:rPr>
          <w:rFonts w:ascii="Times New Roman" w:eastAsia="Times New Roman" w:hAnsi="Times New Roman" w:cs="Times New Roman"/>
          <w:szCs w:val="20"/>
          <w:lang w:eastAsia="hu-HU"/>
        </w:rPr>
        <w:t>eakcija į vaistą su eozinofilija ir sisteminiais simptomais (</w:t>
      </w:r>
      <w:r w:rsidR="007C6546" w:rsidRPr="00E138C4">
        <w:rPr>
          <w:rFonts w:ascii="Times New Roman" w:eastAsia="Times New Roman" w:hAnsi="Times New Roman" w:cs="Times New Roman"/>
          <w:i/>
          <w:iCs/>
          <w:szCs w:val="20"/>
          <w:lang w:eastAsia="hu-HU"/>
        </w:rPr>
        <w:t>DRESS</w:t>
      </w:r>
      <w:r w:rsidR="007C6546" w:rsidRPr="00E138C4">
        <w:rPr>
          <w:rFonts w:ascii="Times New Roman" w:eastAsia="Times New Roman" w:hAnsi="Times New Roman" w:cs="Times New Roman"/>
          <w:szCs w:val="20"/>
          <w:lang w:eastAsia="hu-HU"/>
        </w:rPr>
        <w:t>), kai atsiranda į gripą panašių simptomų su išbėrimu, karščiavimu, liaukų patinimu ir nenormaliais kraujo tyrimų rezultatais (įskaitant baltųjų kraujo ląstelių kiekio padidėjimą (eozinofiliją) ir kepenų fermentų suaktyvėjimą)</w:t>
      </w:r>
      <w:r w:rsidR="001335C2" w:rsidRPr="00E138C4">
        <w:rPr>
          <w:rFonts w:ascii="Times New Roman" w:hAnsi="Times New Roman" w:cs="Times New Roman"/>
        </w:rPr>
        <w:t>.</w:t>
      </w:r>
      <w:r w:rsidR="007C6546" w:rsidRPr="00E138C4">
        <w:rPr>
          <w:rFonts w:ascii="Times New Roman" w:hAnsi="Times New Roman" w:cs="Times New Roman"/>
        </w:rPr>
        <w:t xml:space="preserve"> Žr. skyrių 2</w:t>
      </w:r>
      <w:r w:rsidR="00E138C4" w:rsidRPr="00E138C4">
        <w:rPr>
          <w:rFonts w:ascii="Times New Roman" w:hAnsi="Times New Roman" w:cs="Times New Roman"/>
        </w:rPr>
        <w:t>;</w:t>
      </w:r>
    </w:p>
    <w:p w14:paraId="17A4A8EE" w14:textId="77777777" w:rsidR="003A2C47" w:rsidRPr="00E138C4" w:rsidRDefault="003A2C47" w:rsidP="00DD069E">
      <w:pPr>
        <w:numPr>
          <w:ilvl w:val="0"/>
          <w:numId w:val="1"/>
        </w:numPr>
        <w:tabs>
          <w:tab w:val="left" w:pos="567"/>
        </w:tabs>
        <w:spacing w:after="0" w:line="240" w:lineRule="auto"/>
        <w:ind w:left="567" w:hanging="567"/>
        <w:rPr>
          <w:rFonts w:ascii="Times New Roman" w:eastAsia="Calibri" w:hAnsi="Times New Roman" w:cs="Times New Roman"/>
        </w:rPr>
      </w:pPr>
      <w:r w:rsidRPr="00E138C4">
        <w:rPr>
          <w:rFonts w:ascii="Times New Roman" w:hAnsi="Times New Roman" w:cs="Times New Roman"/>
        </w:rPr>
        <w:t>kraujagyslių uždegimas (vaskulitas), kuris dažnai pasireiškia su odos išbėrimu mažomis raudonomis ar purpurinėmis iškilomis dėmelėmis</w:t>
      </w:r>
      <w:r w:rsidRPr="00E138C4">
        <w:t>;</w:t>
      </w:r>
    </w:p>
    <w:p w14:paraId="22F171A1" w14:textId="5A757B74" w:rsidR="00DD069E" w:rsidRPr="00E138C4" w:rsidRDefault="00DD069E"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nutraukimo simptomai (gali pasireikšti motinų, nėštumo metu vartojusių Ketilept, naujagimiams)</w:t>
      </w:r>
      <w:r w:rsidR="00E138C4" w:rsidRPr="00E138C4">
        <w:rPr>
          <w:rFonts w:ascii="Times New Roman" w:hAnsi="Times New Roman" w:cs="Times New Roman"/>
        </w:rPr>
        <w:t>;</w:t>
      </w:r>
    </w:p>
    <w:p w14:paraId="23A0E5B0" w14:textId="77777777" w:rsidR="003A38C7" w:rsidRPr="00E138C4" w:rsidRDefault="007C6546" w:rsidP="00DD069E">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i</w:t>
      </w:r>
      <w:r w:rsidR="003A38C7" w:rsidRPr="00E138C4">
        <w:rPr>
          <w:rFonts w:ascii="Times New Roman" w:hAnsi="Times New Roman" w:cs="Times New Roman"/>
        </w:rPr>
        <w:t>nsultas.</w:t>
      </w:r>
    </w:p>
    <w:p w14:paraId="6E984D41"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63D898EB" w14:textId="77777777" w:rsidR="00DD069E" w:rsidRPr="00E138C4" w:rsidRDefault="00DD069E" w:rsidP="00DD069E">
      <w:pPr>
        <w:tabs>
          <w:tab w:val="left" w:pos="567"/>
        </w:tabs>
        <w:spacing w:after="0" w:line="240" w:lineRule="auto"/>
        <w:rPr>
          <w:rFonts w:ascii="Times New Roman" w:hAnsi="Times New Roman" w:cs="Times New Roman"/>
        </w:rPr>
      </w:pPr>
      <w:r w:rsidRPr="00E138C4">
        <w:rPr>
          <w:rFonts w:ascii="Times New Roman" w:hAnsi="Times New Roman" w:cs="Times New Roman"/>
        </w:rPr>
        <w:t>Vaistų grupė, kuriai priklauso Ketilept, gali sukelti širdies ritmo sutrikimus, kurie gali būti sunkūs, o rimtais atvejais mirtini.</w:t>
      </w:r>
    </w:p>
    <w:p w14:paraId="076F5534"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55245999"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Kai kuris šalutinis poveikis nustatomas tik tiriant kraują – tai pakitęs tam tikrų riebalų (trigliceridų ir bendrojo cholesterolio) ar cukraus kiekis, pakitęs skydliaukės hormonų kiekis, padidėjęs kepenų fermentų kiekis, sumažėjęs tam tikrų (raudonųjų) kraujo kūnelių kiekis, padidėjęs kreatino kinazės (raumenyse susidarančios medžiagos) kiekis, sumažėjęs natrio kiekis ir padidėjęs hormono prolaktino kiekis. Padaugėjus hormono prolaktino, retais atvejais gali:</w:t>
      </w:r>
    </w:p>
    <w:p w14:paraId="6E8E14C7" w14:textId="77777777" w:rsidR="00DD069E" w:rsidRPr="00E138C4" w:rsidRDefault="00DD069E" w:rsidP="00DD069E">
      <w:pPr>
        <w:numPr>
          <w:ilvl w:val="0"/>
          <w:numId w:val="16"/>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padidėti krūtys ir netikėtai išsiskirti pieno (vyrams ir moterims);</w:t>
      </w:r>
    </w:p>
    <w:p w14:paraId="5BBFFA19" w14:textId="77777777" w:rsidR="00DD069E" w:rsidRPr="00E138C4" w:rsidRDefault="00DD069E" w:rsidP="00DD069E">
      <w:pPr>
        <w:numPr>
          <w:ilvl w:val="0"/>
          <w:numId w:val="16"/>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eastAsia="Calibri" w:hAnsi="Times New Roman" w:cs="Times New Roman"/>
        </w:rPr>
        <w:t>išnykti ar pasidaryti nereguliarios mėnesinės (moterims).</w:t>
      </w:r>
    </w:p>
    <w:p w14:paraId="6EEA68D2"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31C43507"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Gydytojas gali paprašyti periodiškai daryti kraujo tyrimus.</w:t>
      </w:r>
    </w:p>
    <w:p w14:paraId="4F332762" w14:textId="77777777" w:rsidR="00DD069E" w:rsidRPr="00E138C4" w:rsidRDefault="00DD069E" w:rsidP="00DD069E">
      <w:pPr>
        <w:autoSpaceDE w:val="0"/>
        <w:autoSpaceDN w:val="0"/>
        <w:adjustRightInd w:val="0"/>
        <w:spacing w:after="0" w:line="240" w:lineRule="auto"/>
        <w:jc w:val="both"/>
        <w:rPr>
          <w:rFonts w:ascii="Times New Roman" w:hAnsi="Times New Roman" w:cs="Times New Roman"/>
        </w:rPr>
      </w:pPr>
    </w:p>
    <w:p w14:paraId="787AAC45"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Šalutinis poveikis vaikams ir paaugliams</w:t>
      </w:r>
    </w:p>
    <w:p w14:paraId="152FD2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Vaikams ir paaugliams gali pasireikšti tokie pat nepageidaujami reiškiniai, kaip ir suaugusiems žmonėms. Žemiau nurodytas šalutinis poveikis, kuris vaikams ir paaugliams pastebėtas dažniau negu suaugusiesiems, arba kurio suaugusiesiems nepastebėta.</w:t>
      </w:r>
    </w:p>
    <w:p w14:paraId="66B79096" w14:textId="77777777" w:rsidR="00DD069E" w:rsidRPr="00E138C4" w:rsidRDefault="00DD069E" w:rsidP="00DD069E">
      <w:pPr>
        <w:spacing w:after="0" w:line="240" w:lineRule="auto"/>
        <w:rPr>
          <w:rFonts w:ascii="Times New Roman" w:hAnsi="Times New Roman" w:cs="Times New Roman"/>
        </w:rPr>
      </w:pPr>
    </w:p>
    <w:p w14:paraId="2B32C394" w14:textId="680DF10C" w:rsidR="00DD069E" w:rsidRPr="00E138C4" w:rsidRDefault="00996F95" w:rsidP="00DD069E">
      <w:pPr>
        <w:spacing w:after="0" w:line="240" w:lineRule="auto"/>
        <w:rPr>
          <w:rFonts w:ascii="Times New Roman" w:hAnsi="Times New Roman" w:cs="Times New Roman"/>
          <w:i/>
        </w:rPr>
      </w:pPr>
      <w:r w:rsidRPr="00E138C4">
        <w:rPr>
          <w:rFonts w:ascii="Times New Roman" w:hAnsi="Times New Roman" w:cs="Times New Roman"/>
          <w:b/>
          <w:bCs/>
          <w:iCs/>
        </w:rPr>
        <w:t xml:space="preserve">Labai dažni </w:t>
      </w:r>
      <w:r w:rsidRPr="00E138C4">
        <w:rPr>
          <w:rFonts w:ascii="Times New Roman" w:hAnsi="Times New Roman" w:cs="Times New Roman"/>
          <w:b/>
          <w:bCs/>
          <w:iCs/>
          <w:noProof/>
          <w:snapToGrid w:val="0"/>
        </w:rPr>
        <w:t xml:space="preserve">šalutinio poveikio reiškiniai </w:t>
      </w:r>
      <w:r w:rsidRPr="00E138C4">
        <w:rPr>
          <w:rFonts w:ascii="Times New Roman" w:hAnsi="Times New Roman" w:cs="Times New Roman"/>
          <w:b/>
          <w:bCs/>
          <w:iCs/>
        </w:rPr>
        <w:t>(gali pasireikšti</w:t>
      </w:r>
      <w:r w:rsidRPr="00E138C4" w:rsidDel="004D4FF6">
        <w:rPr>
          <w:rFonts w:ascii="Times New Roman" w:hAnsi="Times New Roman" w:cs="Times New Roman"/>
          <w:b/>
          <w:bCs/>
          <w:iCs/>
        </w:rPr>
        <w:t xml:space="preserve"> </w:t>
      </w:r>
      <w:r w:rsidRPr="00E138C4">
        <w:rPr>
          <w:rFonts w:ascii="Times New Roman" w:hAnsi="Times New Roman" w:cs="Times New Roman"/>
          <w:b/>
          <w:bCs/>
          <w:iCs/>
        </w:rPr>
        <w:t>daugiau kaip 1 iš 10 asmenų):</w:t>
      </w:r>
    </w:p>
    <w:p w14:paraId="5585CC9F"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hormono, vadinamo prolaktinu, kiekio padidėjimas kraujyje. Retais atvejais dėl to gali:</w:t>
      </w:r>
    </w:p>
    <w:p w14:paraId="0907D106" w14:textId="77777777" w:rsidR="00DD069E" w:rsidRPr="00E138C4" w:rsidRDefault="00DD069E" w:rsidP="00DD069E">
      <w:pPr>
        <w:numPr>
          <w:ilvl w:val="0"/>
          <w:numId w:val="1"/>
        </w:numPr>
        <w:autoSpaceDE w:val="0"/>
        <w:autoSpaceDN w:val="0"/>
        <w:adjustRightInd w:val="0"/>
        <w:spacing w:after="0" w:line="240" w:lineRule="auto"/>
        <w:ind w:left="1134" w:hanging="567"/>
        <w:rPr>
          <w:rFonts w:ascii="Times New Roman" w:hAnsi="Times New Roman" w:cs="Times New Roman"/>
        </w:rPr>
      </w:pPr>
      <w:r w:rsidRPr="00E138C4">
        <w:rPr>
          <w:rFonts w:ascii="Times New Roman" w:hAnsi="Times New Roman" w:cs="Times New Roman"/>
        </w:rPr>
        <w:t>padidėti krūtys ir netikėtai išsiskirti pieno (berniukams ir mergaitėms);</w:t>
      </w:r>
    </w:p>
    <w:p w14:paraId="0BEA7DD1" w14:textId="77777777" w:rsidR="00DD069E" w:rsidRPr="00E138C4" w:rsidRDefault="00DD069E" w:rsidP="00DD069E">
      <w:pPr>
        <w:numPr>
          <w:ilvl w:val="0"/>
          <w:numId w:val="1"/>
        </w:numPr>
        <w:autoSpaceDE w:val="0"/>
        <w:autoSpaceDN w:val="0"/>
        <w:adjustRightInd w:val="0"/>
        <w:spacing w:after="0" w:line="240" w:lineRule="auto"/>
        <w:ind w:left="1134" w:hanging="567"/>
        <w:rPr>
          <w:rFonts w:ascii="Times New Roman" w:hAnsi="Times New Roman" w:cs="Times New Roman"/>
        </w:rPr>
      </w:pPr>
      <w:r w:rsidRPr="00E138C4">
        <w:rPr>
          <w:rFonts w:ascii="Times New Roman" w:hAnsi="Times New Roman" w:cs="Times New Roman"/>
        </w:rPr>
        <w:t>išnykti arba pasidaryti nereguliarios mėnesinės (mergaitėms);</w:t>
      </w:r>
    </w:p>
    <w:p w14:paraId="3DE97BF7"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apetitas;</w:t>
      </w:r>
    </w:p>
    <w:p w14:paraId="41457FAF"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vėmimas;</w:t>
      </w:r>
    </w:p>
    <w:p w14:paraId="224024F5"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nenormalūs raumenų judesiai, įskaitant apsunkintą raumenų judėjimo pradžią, drebulį, nenustygimą arba neskausmingą raumenų sustingimą;</w:t>
      </w:r>
    </w:p>
    <w:p w14:paraId="11D69051" w14:textId="77777777" w:rsidR="00DD069E" w:rsidRPr="00E138C4" w:rsidRDefault="00DD069E" w:rsidP="00DD069E">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kraujospūdis.</w:t>
      </w:r>
    </w:p>
    <w:p w14:paraId="6F6B2793" w14:textId="77777777" w:rsidR="00DD069E" w:rsidRPr="00E138C4" w:rsidRDefault="00DD069E" w:rsidP="00DD069E">
      <w:pPr>
        <w:spacing w:after="0" w:line="240" w:lineRule="auto"/>
        <w:rPr>
          <w:rFonts w:ascii="Times New Roman" w:hAnsi="Times New Roman" w:cs="Times New Roman"/>
        </w:rPr>
      </w:pPr>
    </w:p>
    <w:p w14:paraId="7CDA1C6C" w14:textId="2B060753" w:rsidR="00DD069E" w:rsidRPr="00E138C4" w:rsidRDefault="00996F95" w:rsidP="00DD069E">
      <w:pPr>
        <w:spacing w:after="0" w:line="240" w:lineRule="auto"/>
        <w:rPr>
          <w:rFonts w:ascii="Times New Roman" w:hAnsi="Times New Roman" w:cs="Times New Roman"/>
          <w:i/>
        </w:rPr>
      </w:pPr>
      <w:r w:rsidRPr="00B14475">
        <w:rPr>
          <w:rFonts w:ascii="Times New Roman" w:hAnsi="Times New Roman" w:cs="Times New Roman"/>
          <w:b/>
          <w:bCs/>
          <w:noProof/>
          <w:snapToGrid w:val="0"/>
        </w:rPr>
        <w:t>Dažni šalutinio poveikio reiškiniai (gali pasireikšti rečiau kaip 1 iš 10 asmenų</w:t>
      </w:r>
      <w:r w:rsidRPr="00E138C4">
        <w:rPr>
          <w:rFonts w:ascii="Times New Roman" w:hAnsi="Times New Roman" w:cs="Times New Roman"/>
          <w:i/>
        </w:rPr>
        <w:t>)</w:t>
      </w:r>
      <w:r w:rsidRPr="00B14475">
        <w:rPr>
          <w:rFonts w:ascii="Times New Roman" w:hAnsi="Times New Roman" w:cs="Times New Roman"/>
          <w:b/>
          <w:bCs/>
          <w:iCs/>
        </w:rPr>
        <w:t>:</w:t>
      </w:r>
    </w:p>
    <w:p w14:paraId="56815C56" w14:textId="77777777" w:rsidR="00DD069E" w:rsidRPr="00E138C4" w:rsidRDefault="00DD069E" w:rsidP="00DD069E">
      <w:pPr>
        <w:numPr>
          <w:ilvl w:val="0"/>
          <w:numId w:val="17"/>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silpnumas, alpimas (dėl to galima pargriūti);</w:t>
      </w:r>
    </w:p>
    <w:p w14:paraId="3BC027E2" w14:textId="77777777" w:rsidR="00DD069E" w:rsidRPr="00E138C4" w:rsidRDefault="00DD069E" w:rsidP="00DD069E">
      <w:pPr>
        <w:numPr>
          <w:ilvl w:val="0"/>
          <w:numId w:val="17"/>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užgulta nosis;</w:t>
      </w:r>
    </w:p>
    <w:p w14:paraId="55C6DE5E" w14:textId="77777777" w:rsidR="00DD069E" w:rsidRPr="00E138C4" w:rsidRDefault="00DD069E" w:rsidP="00DD069E">
      <w:pPr>
        <w:numPr>
          <w:ilvl w:val="0"/>
          <w:numId w:val="17"/>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susierzinimas.</w:t>
      </w:r>
    </w:p>
    <w:p w14:paraId="494DB11C" w14:textId="77777777" w:rsidR="00DD069E" w:rsidRPr="00E138C4" w:rsidRDefault="00DD069E" w:rsidP="00DD069E">
      <w:pPr>
        <w:spacing w:after="0" w:line="240" w:lineRule="auto"/>
        <w:rPr>
          <w:rFonts w:ascii="Times New Roman" w:hAnsi="Times New Roman" w:cs="Times New Roman"/>
        </w:rPr>
      </w:pPr>
    </w:p>
    <w:p w14:paraId="44906DC4"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Pranešimas apie šalutinį poveikį</w:t>
      </w:r>
    </w:p>
    <w:p w14:paraId="17A70D04" w14:textId="0637EFFC" w:rsidR="00996F95" w:rsidRPr="00E138C4" w:rsidRDefault="00DD069E" w:rsidP="00B14475">
      <w:pPr>
        <w:tabs>
          <w:tab w:val="left" w:pos="567"/>
        </w:tabs>
        <w:spacing w:after="0" w:line="240" w:lineRule="auto"/>
        <w:rPr>
          <w:rFonts w:ascii="Times New Roman" w:hAnsi="Times New Roman" w:cs="Times New Roman"/>
        </w:rPr>
      </w:pPr>
      <w:r w:rsidRPr="00E138C4">
        <w:rPr>
          <w:rFonts w:ascii="Times New Roman" w:hAnsi="Times New Roman" w:cs="Times New Roman"/>
        </w:rPr>
        <w:t xml:space="preserve">Jeigu pasireiškė šalutinis poveikis, įskaitant šiame lapelyje nenurodytą, pasakykite gydytojui arba vaistininkui. </w:t>
      </w:r>
      <w:r w:rsidR="00996F95" w:rsidRPr="00E138C4">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9" w:history="1">
        <w:r w:rsidR="00996F95" w:rsidRPr="00E138C4">
          <w:rPr>
            <w:rFonts w:ascii="Times New Roman" w:eastAsia="Times New Roman" w:hAnsi="Times New Roman" w:cs="Times New Roman"/>
            <w:snapToGrid w:val="0"/>
            <w:szCs w:val="20"/>
            <w:u w:val="single"/>
          </w:rPr>
          <w:t>https://vapris.vvkt.lt/vvkt-web/public/nrv</w:t>
        </w:r>
      </w:hyperlink>
      <w:r w:rsidR="00996F95" w:rsidRPr="00E138C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30" w:history="1">
        <w:r w:rsidR="00996F95" w:rsidRPr="00E138C4">
          <w:rPr>
            <w:rFonts w:ascii="Times New Roman" w:eastAsia="Times New Roman" w:hAnsi="Times New Roman" w:cs="Times New Roman"/>
            <w:snapToGrid w:val="0"/>
            <w:szCs w:val="20"/>
            <w:u w:val="single"/>
          </w:rPr>
          <w:t>https://www.vvkt.lt/index.php?4004286486</w:t>
        </w:r>
      </w:hyperlink>
      <w:r w:rsidR="00996F95" w:rsidRPr="00E138C4">
        <w:rPr>
          <w:rFonts w:ascii="Times New Roman" w:eastAsia="Times New Roman" w:hAnsi="Times New Roman" w:cs="Times New Roman"/>
          <w:snapToGrid w:val="0"/>
          <w:szCs w:val="20"/>
        </w:rPr>
        <w:t xml:space="preserve">, ir atsiunčiant elektroniniu paštu (adresu </w:t>
      </w:r>
      <w:hyperlink r:id="rId31" w:history="1">
        <w:r w:rsidR="00996F95" w:rsidRPr="00B14475">
          <w:rPr>
            <w:rFonts w:ascii="Times New Roman" w:eastAsia="Times New Roman" w:hAnsi="Times New Roman" w:cs="Times New Roman"/>
            <w:snapToGrid w:val="0"/>
            <w:u w:val="single"/>
          </w:rPr>
          <w:t>NepageidaujamaR@vvkt.lt</w:t>
        </w:r>
      </w:hyperlink>
      <w:r w:rsidR="00996F95" w:rsidRPr="00E138C4">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074F3AF2" w14:textId="77777777" w:rsidR="00DD069E" w:rsidRPr="00E138C4" w:rsidRDefault="00DD069E" w:rsidP="00996F95">
      <w:pPr>
        <w:spacing w:after="0" w:line="240" w:lineRule="auto"/>
        <w:rPr>
          <w:rFonts w:ascii="Times New Roman" w:hAnsi="Times New Roman" w:cs="Times New Roman"/>
        </w:rPr>
      </w:pPr>
    </w:p>
    <w:p w14:paraId="059518FB" w14:textId="77777777" w:rsidR="00DD069E" w:rsidRPr="00E138C4" w:rsidRDefault="00DD069E" w:rsidP="00996F95">
      <w:pPr>
        <w:spacing w:after="0" w:line="240" w:lineRule="auto"/>
        <w:rPr>
          <w:rFonts w:ascii="Times New Roman" w:hAnsi="Times New Roman" w:cs="Times New Roman"/>
        </w:rPr>
      </w:pPr>
    </w:p>
    <w:p w14:paraId="43EBF81A" w14:textId="77777777" w:rsidR="00DD069E" w:rsidRPr="00E138C4" w:rsidRDefault="00DD069E" w:rsidP="00B14475">
      <w:pPr>
        <w:numPr>
          <w:ilvl w:val="12"/>
          <w:numId w:val="0"/>
        </w:numPr>
        <w:tabs>
          <w:tab w:val="left" w:pos="567"/>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Kaip laikyti Ketilept</w:t>
      </w:r>
    </w:p>
    <w:p w14:paraId="4E99C9A6" w14:textId="77777777" w:rsidR="00DD069E" w:rsidRPr="00E138C4" w:rsidRDefault="00DD069E" w:rsidP="00996F95">
      <w:pPr>
        <w:spacing w:after="0" w:line="240" w:lineRule="auto"/>
        <w:rPr>
          <w:rFonts w:ascii="Times New Roman" w:hAnsi="Times New Roman" w:cs="Times New Roman"/>
        </w:rPr>
      </w:pPr>
    </w:p>
    <w:p w14:paraId="7CD9B4BA" w14:textId="77777777" w:rsidR="00DD069E" w:rsidRPr="00E138C4" w:rsidRDefault="00DD069E" w:rsidP="00DD069E">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Šį vaistą laikykite vaikams nepastebimoje ir nepasiekiamoje vietoje.</w:t>
      </w:r>
    </w:p>
    <w:p w14:paraId="46F73217" w14:textId="77777777" w:rsidR="00DD069E" w:rsidRPr="00E138C4" w:rsidRDefault="00DD069E" w:rsidP="00DD069E">
      <w:pPr>
        <w:spacing w:after="0" w:line="240" w:lineRule="auto"/>
        <w:rPr>
          <w:rFonts w:ascii="Times New Roman" w:hAnsi="Times New Roman" w:cs="Times New Roman"/>
        </w:rPr>
      </w:pPr>
    </w:p>
    <w:p w14:paraId="1449733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14:paraId="60D53302" w14:textId="77777777" w:rsidR="00DD069E" w:rsidRPr="00E138C4" w:rsidRDefault="00DD069E" w:rsidP="00DD069E">
      <w:pPr>
        <w:spacing w:after="0" w:line="240" w:lineRule="auto"/>
        <w:rPr>
          <w:rFonts w:ascii="Times New Roman" w:hAnsi="Times New Roman" w:cs="Times New Roman"/>
        </w:rPr>
      </w:pPr>
    </w:p>
    <w:p w14:paraId="6E12B88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Ant pakuotės po</w:t>
      </w:r>
      <w:r w:rsidR="00F45FEA" w:rsidRPr="00E138C4">
        <w:rPr>
          <w:rFonts w:ascii="Times New Roman" w:hAnsi="Times New Roman" w:cs="Times New Roman"/>
        </w:rPr>
        <w:t xml:space="preserve"> </w:t>
      </w:r>
      <w:r w:rsidRPr="00E138C4">
        <w:rPr>
          <w:rFonts w:ascii="Times New Roman" w:hAnsi="Times New Roman" w:cs="Times New Roman"/>
        </w:rPr>
        <w:t>„EXP“ nurodytam tinkamumo laikui pasibaigus Ketilept vartoti negalima. Vaistas tinka vartoti iki paskutinės nurodyto mėnesio dienos.</w:t>
      </w:r>
    </w:p>
    <w:p w14:paraId="5F3D1277" w14:textId="77777777" w:rsidR="00DD069E" w:rsidRPr="00E138C4" w:rsidRDefault="00DD069E" w:rsidP="00DD069E">
      <w:pPr>
        <w:spacing w:after="0" w:line="240" w:lineRule="auto"/>
        <w:rPr>
          <w:rFonts w:ascii="Times New Roman" w:hAnsi="Times New Roman" w:cs="Times New Roman"/>
        </w:rPr>
      </w:pPr>
    </w:p>
    <w:p w14:paraId="44FA44C2" w14:textId="77777777" w:rsidR="00DD069E" w:rsidRPr="00E138C4" w:rsidRDefault="00DD069E" w:rsidP="00DD069E">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02CA509" w14:textId="77777777" w:rsidR="00DD069E" w:rsidRPr="00E138C4" w:rsidRDefault="00DD069E" w:rsidP="00DD069E">
      <w:pPr>
        <w:spacing w:after="0" w:line="240" w:lineRule="auto"/>
        <w:rPr>
          <w:rFonts w:ascii="Times New Roman" w:hAnsi="Times New Roman" w:cs="Times New Roman"/>
        </w:rPr>
      </w:pPr>
    </w:p>
    <w:p w14:paraId="5BC42CF3" w14:textId="77777777" w:rsidR="00DD069E" w:rsidRPr="00E138C4" w:rsidRDefault="00DD069E" w:rsidP="00DD069E">
      <w:pPr>
        <w:spacing w:after="0" w:line="240" w:lineRule="auto"/>
        <w:rPr>
          <w:rFonts w:ascii="Times New Roman" w:hAnsi="Times New Roman" w:cs="Times New Roman"/>
        </w:rPr>
      </w:pPr>
    </w:p>
    <w:p w14:paraId="0FFD4896" w14:textId="77777777" w:rsidR="00DD069E" w:rsidRPr="00E138C4" w:rsidRDefault="00DD069E" w:rsidP="00DD069E">
      <w:pPr>
        <w:numPr>
          <w:ilvl w:val="12"/>
          <w:numId w:val="0"/>
        </w:numPr>
        <w:tabs>
          <w:tab w:val="left" w:pos="567"/>
        </w:tabs>
        <w:spacing w:after="0" w:line="240" w:lineRule="auto"/>
        <w:ind w:right="-2"/>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Pakuotės turinys ir kita informacija</w:t>
      </w:r>
    </w:p>
    <w:p w14:paraId="02D661F6" w14:textId="77777777" w:rsidR="00DD069E" w:rsidRPr="00E138C4" w:rsidRDefault="00DD069E" w:rsidP="00DD069E">
      <w:pPr>
        <w:spacing w:after="0" w:line="240" w:lineRule="auto"/>
        <w:rPr>
          <w:rFonts w:ascii="Times New Roman" w:hAnsi="Times New Roman" w:cs="Times New Roman"/>
        </w:rPr>
      </w:pPr>
    </w:p>
    <w:p w14:paraId="7578C812"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Ketilept sudėtis</w:t>
      </w:r>
    </w:p>
    <w:p w14:paraId="35A0531A" w14:textId="77777777" w:rsidR="00DD069E" w:rsidRPr="00E138C4" w:rsidRDefault="00DD069E" w:rsidP="00DD069E">
      <w:pPr>
        <w:spacing w:after="0" w:line="240" w:lineRule="auto"/>
        <w:rPr>
          <w:rFonts w:ascii="Times New Roman" w:hAnsi="Times New Roman" w:cs="Times New Roman"/>
          <w:u w:val="single"/>
        </w:rPr>
      </w:pPr>
    </w:p>
    <w:p w14:paraId="62A0E0E3" w14:textId="776E57C0" w:rsidR="00DD069E" w:rsidRPr="00E138C4" w:rsidRDefault="00DD069E" w:rsidP="00DD069E">
      <w:pPr>
        <w:tabs>
          <w:tab w:val="left" w:pos="567"/>
        </w:tabs>
        <w:spacing w:after="0" w:line="240" w:lineRule="auto"/>
        <w:ind w:left="567" w:hanging="567"/>
        <w:rPr>
          <w:rFonts w:ascii="Times New Roman" w:hAnsi="Times New Roman" w:cs="Times New Roman"/>
          <w:i/>
        </w:rPr>
      </w:pPr>
      <w:r w:rsidRPr="00E138C4">
        <w:rPr>
          <w:rFonts w:ascii="Times New Roman" w:hAnsi="Times New Roman" w:cs="Times New Roman"/>
        </w:rPr>
        <w:t>-</w:t>
      </w:r>
      <w:r w:rsidRPr="00E138C4">
        <w:rPr>
          <w:rFonts w:ascii="Times New Roman" w:hAnsi="Times New Roman" w:cs="Times New Roman"/>
        </w:rPr>
        <w:tab/>
        <w:t xml:space="preserve">Veiklioji medžiaga yra kvetiapinas. </w:t>
      </w:r>
      <w:r w:rsidR="00F32E7D" w:rsidRPr="00E138C4">
        <w:rPr>
          <w:rFonts w:ascii="Times New Roman" w:hAnsi="Times New Roman" w:cs="Times New Roman"/>
        </w:rPr>
        <w:t>Kiekv</w:t>
      </w:r>
      <w:r w:rsidRPr="00E138C4">
        <w:rPr>
          <w:rFonts w:ascii="Times New Roman" w:hAnsi="Times New Roman" w:cs="Times New Roman"/>
        </w:rPr>
        <w:t>ienoje plėvele dengtoje tabletėje yra 25 mg, 100 mg, 150 mg, 200 mg arba 300 mg kvetiapino (atitinka 28,78 mg, 115,13 mg, 172,7 mg, 230,26 mg arba 345,4 mg kvetiapino hemifumarato).</w:t>
      </w:r>
    </w:p>
    <w:p w14:paraId="50E05981" w14:textId="77777777" w:rsidR="00DD069E" w:rsidRPr="00E138C4" w:rsidRDefault="00DD069E" w:rsidP="00DD069E">
      <w:pPr>
        <w:tabs>
          <w:tab w:val="left" w:pos="567"/>
        </w:tabs>
        <w:spacing w:after="0" w:line="240" w:lineRule="auto"/>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Pagalbinės medžiagos</w:t>
      </w:r>
    </w:p>
    <w:p w14:paraId="49D67910" w14:textId="5F295B42"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25 mg plėvele dengtos tabletės</w:t>
      </w:r>
    </w:p>
    <w:p w14:paraId="43EF346D"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4ABB1CBA" w14:textId="2D75E348"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baltasis Opadry II 33G28523 (triacetinas</w:t>
      </w:r>
      <w:r w:rsidR="00246848" w:rsidRPr="00E138C4">
        <w:rPr>
          <w:rFonts w:ascii="Times New Roman" w:hAnsi="Times New Roman" w:cs="Times New Roman"/>
        </w:rPr>
        <w:t xml:space="preserve"> </w:t>
      </w:r>
      <w:r w:rsidR="0024684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0749F154" w14:textId="509ECC37"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100 mg plėvele dengtos tabletės</w:t>
      </w:r>
    </w:p>
    <w:p w14:paraId="3ABBCA4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514AF5EE" w14:textId="0A0232C1"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baltasis Opadry II 33G28523 (triacetinas</w:t>
      </w:r>
      <w:r w:rsidR="00457E38" w:rsidRPr="00E138C4">
        <w:rPr>
          <w:rFonts w:ascii="Times New Roman" w:hAnsi="Times New Roman" w:cs="Times New Roman"/>
        </w:rPr>
        <w:t xml:space="preserve"> </w:t>
      </w:r>
      <w:r w:rsidR="00457E3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43C98EE4" w14:textId="770D40A1"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150 mg plėvele dengtos tabletės</w:t>
      </w:r>
    </w:p>
    <w:p w14:paraId="267B9C1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39E0180F" w14:textId="77777777" w:rsidR="00DD069E" w:rsidRPr="00E138C4" w:rsidRDefault="00DD069E" w:rsidP="00DD069E">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6507CCCA" w14:textId="712BC441"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246848" w:rsidRPr="00E138C4">
        <w:rPr>
          <w:rFonts w:ascii="Times New Roman" w:hAnsi="Times New Roman" w:cs="Times New Roman"/>
        </w:rPr>
        <w:t xml:space="preserve"> </w:t>
      </w:r>
      <w:r w:rsidR="0024684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77485D50" w14:textId="3714F124"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Rausvasis Opadry II 33G24283 (geltonasis geležies oksidas (E172), raudonasis geležies oksidas (E172), triacetinas</w:t>
      </w:r>
      <w:r w:rsidR="00457E38" w:rsidRPr="00E138C4">
        <w:rPr>
          <w:rFonts w:ascii="Times New Roman" w:hAnsi="Times New Roman" w:cs="Times New Roman"/>
        </w:rPr>
        <w:t xml:space="preserve"> </w:t>
      </w:r>
      <w:r w:rsidR="00457E3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2E30B089" w14:textId="52755AD8"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200 mg plėvele dengtos tabletės</w:t>
      </w:r>
    </w:p>
    <w:p w14:paraId="1CF155F5"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717B57D7" w14:textId="77777777" w:rsidR="00DD069E" w:rsidRPr="00E138C4" w:rsidRDefault="00DD069E" w:rsidP="00B14475">
      <w:pPr>
        <w:spacing w:after="0" w:line="240" w:lineRule="auto"/>
        <w:rPr>
          <w:rFonts w:ascii="Times New Roman" w:hAnsi="Times New Roman" w:cs="Times New Roman"/>
          <w:i/>
        </w:rPr>
      </w:pPr>
      <w:r w:rsidRPr="00E138C4">
        <w:rPr>
          <w:rFonts w:ascii="Times New Roman" w:hAnsi="Times New Roman" w:cs="Times New Roman"/>
          <w:i/>
        </w:rPr>
        <w:t>Tabletės plėvelė</w:t>
      </w:r>
    </w:p>
    <w:p w14:paraId="23E5CA05" w14:textId="2B48BDB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Baltasis Opadry II 33G28523 (triacetinas</w:t>
      </w:r>
      <w:r w:rsidR="00246848" w:rsidRPr="00E138C4">
        <w:rPr>
          <w:rFonts w:ascii="Times New Roman" w:hAnsi="Times New Roman" w:cs="Times New Roman"/>
        </w:rPr>
        <w:t xml:space="preserve"> </w:t>
      </w:r>
      <w:r w:rsidR="0024684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4183DF7C" w14:textId="0B49DF6A"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Rausvasis Opadry II 33G24283 (geltonasis geležies oksidas (E172), raudonasis geležies oksidas (E172), triacetinas</w:t>
      </w:r>
      <w:r w:rsidR="00457E38" w:rsidRPr="00E138C4">
        <w:rPr>
          <w:rFonts w:ascii="Times New Roman" w:hAnsi="Times New Roman" w:cs="Times New Roman"/>
        </w:rPr>
        <w:t xml:space="preserve"> </w:t>
      </w:r>
      <w:r w:rsidR="00457E3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7B215E54" w14:textId="7B2B0222" w:rsidR="00DD069E" w:rsidRPr="00E138C4" w:rsidRDefault="00DD069E" w:rsidP="00DD069E">
      <w:pPr>
        <w:spacing w:after="0" w:line="240" w:lineRule="auto"/>
        <w:ind w:left="567"/>
        <w:rPr>
          <w:rFonts w:ascii="Times New Roman" w:hAnsi="Times New Roman" w:cs="Times New Roman"/>
          <w:b/>
          <w:i/>
        </w:rPr>
      </w:pPr>
      <w:r w:rsidRPr="00E138C4">
        <w:rPr>
          <w:rFonts w:ascii="Times New Roman" w:hAnsi="Times New Roman" w:cs="Times New Roman"/>
          <w:b/>
          <w:i/>
        </w:rPr>
        <w:t>Ketilept 300 mg plėvele dengtos tabletės</w:t>
      </w:r>
    </w:p>
    <w:p w14:paraId="4A2CA4E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magnio stearatas, bevandenis koloidinis silicio dioksidas, povidonas K-90, karboksimetilkrakmolo A natrio druska, laktozės monohidratas, mikrokristalinė celiuliozė.</w:t>
      </w:r>
    </w:p>
    <w:p w14:paraId="2DBE99B8" w14:textId="7BFF3A13"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baltasis Opadry II 33G28523 (triacetinas</w:t>
      </w:r>
      <w:r w:rsidR="00246848" w:rsidRPr="00E138C4">
        <w:rPr>
          <w:rFonts w:ascii="Times New Roman" w:hAnsi="Times New Roman" w:cs="Times New Roman"/>
        </w:rPr>
        <w:t xml:space="preserve"> </w:t>
      </w:r>
      <w:r w:rsidR="00246848" w:rsidRPr="00E138C4">
        <w:rPr>
          <w:rFonts w:ascii="Times New Roman" w:eastAsia="Calibri" w:hAnsi="Times New Roman" w:cs="Times New Roman"/>
        </w:rPr>
        <w:t>(1518)</w:t>
      </w:r>
      <w:r w:rsidRPr="00E138C4">
        <w:rPr>
          <w:rFonts w:ascii="Times New Roman" w:hAnsi="Times New Roman" w:cs="Times New Roman"/>
        </w:rPr>
        <w:t>, makrogolis 3350, laktozės monohidratas, titano dioksidas (E171), hipromeliozė</w:t>
      </w:r>
      <w:r w:rsidR="00246848" w:rsidRPr="00E138C4">
        <w:rPr>
          <w:rFonts w:ascii="Times New Roman" w:hAnsi="Times New Roman" w:cs="Times New Roman"/>
        </w:rPr>
        <w:t xml:space="preserve"> 2910 (E464)</w:t>
      </w:r>
      <w:r w:rsidRPr="00E138C4">
        <w:rPr>
          <w:rFonts w:ascii="Times New Roman" w:hAnsi="Times New Roman" w:cs="Times New Roman"/>
        </w:rPr>
        <w:t>).</w:t>
      </w:r>
    </w:p>
    <w:p w14:paraId="041BE7FD" w14:textId="77777777" w:rsidR="00DD069E" w:rsidRPr="00E138C4" w:rsidRDefault="00DD069E" w:rsidP="00DD069E">
      <w:pPr>
        <w:spacing w:after="0" w:line="240" w:lineRule="auto"/>
        <w:rPr>
          <w:rFonts w:ascii="Times New Roman" w:hAnsi="Times New Roman" w:cs="Times New Roman"/>
        </w:rPr>
      </w:pPr>
    </w:p>
    <w:p w14:paraId="3D9F749B"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Ketilept išvaizda ir kiekis pakuotėje</w:t>
      </w:r>
    </w:p>
    <w:p w14:paraId="294931C8" w14:textId="77777777" w:rsidR="00DD069E" w:rsidRPr="00E138C4" w:rsidRDefault="00DD069E" w:rsidP="00DD069E">
      <w:pPr>
        <w:spacing w:after="0" w:line="240" w:lineRule="auto"/>
        <w:rPr>
          <w:rFonts w:ascii="Times New Roman" w:hAnsi="Times New Roman" w:cs="Times New Roman"/>
        </w:rPr>
      </w:pPr>
    </w:p>
    <w:p w14:paraId="78078677" w14:textId="77777777" w:rsidR="00DD069E" w:rsidRPr="00E138C4" w:rsidRDefault="00DD069E" w:rsidP="00DD069E">
      <w:pPr>
        <w:spacing w:after="0" w:line="240" w:lineRule="auto"/>
        <w:rPr>
          <w:rFonts w:ascii="Times New Roman" w:hAnsi="Times New Roman" w:cs="Times New Roman"/>
          <w:b/>
          <w:i/>
        </w:rPr>
      </w:pPr>
      <w:r w:rsidRPr="00E138C4">
        <w:rPr>
          <w:rFonts w:ascii="Times New Roman" w:hAnsi="Times New Roman" w:cs="Times New Roman"/>
          <w:b/>
          <w:i/>
        </w:rPr>
        <w:t>Išvaizda</w:t>
      </w:r>
    </w:p>
    <w:p w14:paraId="53BE8801" w14:textId="3BFDC13F" w:rsidR="00DD069E" w:rsidRPr="00E138C4" w:rsidRDefault="00444D0C" w:rsidP="00DD069E">
      <w:pPr>
        <w:spacing w:after="0" w:line="240" w:lineRule="auto"/>
        <w:rPr>
          <w:rFonts w:ascii="Times New Roman" w:hAnsi="Times New Roman" w:cs="Times New Roman"/>
        </w:rPr>
      </w:pPr>
      <w:hyperlink r:id="rId32"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25 mg plėvele dengtos tabletės – baltos arba beveik baltos, bekvapės arba beveik bekvapės, apvalios, abipus išgaubtos plėvele dengtos tabletės su įspaustu skaičiumi „201“ vienoje pusėje ir įspausta stilizuota raide „E“ – kitoje pusėje.</w:t>
      </w:r>
    </w:p>
    <w:p w14:paraId="4F74631B" w14:textId="10EB6123" w:rsidR="00DD069E" w:rsidRPr="00E138C4" w:rsidRDefault="00444D0C" w:rsidP="00DD069E">
      <w:pPr>
        <w:spacing w:after="0" w:line="240" w:lineRule="auto"/>
        <w:rPr>
          <w:rFonts w:ascii="Times New Roman" w:hAnsi="Times New Roman" w:cs="Times New Roman"/>
        </w:rPr>
      </w:pPr>
      <w:hyperlink r:id="rId33"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100 mg plėvele dengtos tabletės – baltos arba beveik baltos, bekvapės arba beveik bekvapės, apvalios, abipus išgaubtos plėvele dengtos tabletės su įspaudu „E202“ vienoje pusėje.</w:t>
      </w:r>
    </w:p>
    <w:p w14:paraId="3F0AED5B" w14:textId="30FA27A0" w:rsidR="00DD069E" w:rsidRPr="00E138C4" w:rsidRDefault="00444D0C" w:rsidP="00DD069E">
      <w:pPr>
        <w:spacing w:after="0" w:line="240" w:lineRule="auto"/>
        <w:rPr>
          <w:rFonts w:ascii="Times New Roman" w:hAnsi="Times New Roman" w:cs="Times New Roman"/>
        </w:rPr>
      </w:pPr>
      <w:hyperlink r:id="rId34"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150 mg plėvele dengtos tabletės – šviesiai rausvos spalvos, bekvapės ar beveik bekvapės, ovalios, abipus išgaubtos, plėvele dengtos tabletės, kurių vienoje pusėje yra įspaustos dvi stilizuotos, viena prieš kitą stovinčios E raidės, bei dalijimo įranta kitoje pusėje. Tabletę galima padalinti į dvi lygias dozes.</w:t>
      </w:r>
    </w:p>
    <w:p w14:paraId="2140A124" w14:textId="07CEE98A" w:rsidR="00DD069E" w:rsidRPr="00E138C4" w:rsidRDefault="00444D0C" w:rsidP="00DD069E">
      <w:pPr>
        <w:spacing w:after="0" w:line="240" w:lineRule="auto"/>
        <w:rPr>
          <w:rFonts w:ascii="Times New Roman" w:hAnsi="Times New Roman" w:cs="Times New Roman"/>
        </w:rPr>
      </w:pPr>
      <w:hyperlink r:id="rId35"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200 mg plėvele dengtos tabletės – rausvos, bekvapės arba beveik bekvapės, apvalios, abipus išgaubtos plėvele dengtos tabletės su įspaudu „E204“ vienoje pusėje.</w:t>
      </w:r>
    </w:p>
    <w:p w14:paraId="477296D4" w14:textId="27E20064" w:rsidR="00DD069E" w:rsidRPr="00E138C4" w:rsidRDefault="00444D0C" w:rsidP="00DD069E">
      <w:pPr>
        <w:spacing w:after="0" w:line="240" w:lineRule="auto"/>
        <w:rPr>
          <w:rFonts w:ascii="Times New Roman" w:hAnsi="Times New Roman" w:cs="Times New Roman"/>
        </w:rPr>
      </w:pPr>
      <w:hyperlink r:id="rId36" w:anchor="TOP" w:history="1">
        <w:r w:rsidR="00DD069E" w:rsidRPr="00E138C4">
          <w:rPr>
            <w:rFonts w:ascii="Times New Roman" w:hAnsi="Times New Roman" w:cs="Times New Roman"/>
          </w:rPr>
          <w:fldChar w:fldCharType="begin"/>
        </w:r>
        <w:r w:rsidR="00DD069E"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00DD069E" w:rsidRPr="00E138C4">
          <w:rPr>
            <w:rFonts w:ascii="Times New Roman" w:hAnsi="Times New Roman" w:cs="Times New Roman"/>
          </w:rPr>
          <w:fldChar w:fldCharType="end"/>
        </w:r>
      </w:hyperlink>
      <w:r w:rsidR="00DD069E" w:rsidRPr="00E138C4">
        <w:rPr>
          <w:rFonts w:ascii="Times New Roman" w:hAnsi="Times New Roman" w:cs="Times New Roman"/>
        </w:rPr>
        <w:t>Ketilept 300 mg plėvele dengtos tabletės – baltos arba beveik baltos, bekvapės arba beveik bekvapės, apvalios, abipus išgaubtos plėvele dengtos tabletės su įspaudu „E205“ vienoje pusėje.</w:t>
      </w:r>
    </w:p>
    <w:p w14:paraId="12111810" w14:textId="77777777" w:rsidR="00DD069E" w:rsidRPr="00E138C4" w:rsidRDefault="00DD069E" w:rsidP="00DD069E">
      <w:pPr>
        <w:spacing w:after="0" w:line="240" w:lineRule="auto"/>
        <w:rPr>
          <w:rFonts w:ascii="Times New Roman" w:hAnsi="Times New Roman" w:cs="Times New Roman"/>
        </w:rPr>
      </w:pPr>
    </w:p>
    <w:p w14:paraId="34D4D782" w14:textId="77777777" w:rsidR="00DD069E" w:rsidRPr="00E138C4" w:rsidRDefault="00DD069E" w:rsidP="00DD069E">
      <w:pPr>
        <w:spacing w:after="0" w:line="240" w:lineRule="auto"/>
        <w:rPr>
          <w:rFonts w:ascii="Times New Roman" w:hAnsi="Times New Roman" w:cs="Times New Roman"/>
          <w:b/>
          <w:i/>
        </w:rPr>
      </w:pPr>
      <w:r w:rsidRPr="00E138C4">
        <w:rPr>
          <w:rFonts w:ascii="Times New Roman" w:hAnsi="Times New Roman" w:cs="Times New Roman"/>
          <w:b/>
          <w:i/>
        </w:rPr>
        <w:t>Pakuotė</w:t>
      </w:r>
    </w:p>
    <w:p w14:paraId="645C6AD2"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30, 50, 60, 70, 80, 90 ar 100 plėvele dengtų tablečių bespalvėje permatomoje PVC/PVdC/Al folijos lizdinėje plokštelėje ir įdėta į kartono dėžutę. Gali būti tiekiamos ne visų dydžių pakuotės</w:t>
      </w:r>
      <w:r w:rsidR="007238F7" w:rsidRPr="00E138C4">
        <w:rPr>
          <w:rFonts w:ascii="Times New Roman" w:hAnsi="Times New Roman" w:cs="Times New Roman"/>
        </w:rPr>
        <w:t>.</w:t>
      </w:r>
    </w:p>
    <w:p w14:paraId="487AD6E6" w14:textId="77777777" w:rsidR="00DD069E" w:rsidRPr="00E138C4" w:rsidRDefault="00DD069E" w:rsidP="00DD069E">
      <w:pPr>
        <w:spacing w:after="0" w:line="240" w:lineRule="auto"/>
        <w:rPr>
          <w:rFonts w:ascii="Times New Roman" w:hAnsi="Times New Roman" w:cs="Times New Roman"/>
        </w:rPr>
      </w:pPr>
    </w:p>
    <w:p w14:paraId="2B9322E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Registruotojas</w:t>
      </w:r>
    </w:p>
    <w:p w14:paraId="46ADC5BD" w14:textId="77777777" w:rsidR="00DD069E" w:rsidRPr="00E138C4" w:rsidRDefault="003A38C7"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1387BFC0"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1106 Budapest</w:t>
      </w:r>
    </w:p>
    <w:p w14:paraId="59D3E54A"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Keresztúri út 30-38</w:t>
      </w:r>
    </w:p>
    <w:p w14:paraId="31103F18"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5751552F" w14:textId="77777777" w:rsidR="00DD069E" w:rsidRPr="00E138C4" w:rsidRDefault="00DD069E" w:rsidP="00DD069E">
      <w:pPr>
        <w:spacing w:after="0" w:line="240" w:lineRule="auto"/>
        <w:rPr>
          <w:rFonts w:ascii="Times New Roman" w:hAnsi="Times New Roman" w:cs="Times New Roman"/>
        </w:rPr>
      </w:pPr>
    </w:p>
    <w:p w14:paraId="663DC144"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b/>
        </w:rPr>
        <w:t>Gamintojas</w:t>
      </w:r>
    </w:p>
    <w:p w14:paraId="6A2C3BB2" w14:textId="77777777" w:rsidR="00DD069E" w:rsidRPr="00E138C4" w:rsidRDefault="003A38C7"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w:t>
      </w:r>
    </w:p>
    <w:p w14:paraId="3DFB0E61"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1165 Budapest</w:t>
      </w:r>
    </w:p>
    <w:p w14:paraId="63637C99"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Bökényföldi út 118-120</w:t>
      </w:r>
    </w:p>
    <w:p w14:paraId="7AAFDFD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p w14:paraId="482BD270" w14:textId="77777777" w:rsidR="00DD069E" w:rsidRPr="00E138C4" w:rsidRDefault="00DD069E" w:rsidP="00DD069E">
      <w:pPr>
        <w:spacing w:after="0" w:line="240" w:lineRule="auto"/>
        <w:rPr>
          <w:rFonts w:ascii="Times New Roman" w:hAnsi="Times New Roman" w:cs="Times New Roman"/>
        </w:rPr>
      </w:pPr>
    </w:p>
    <w:p w14:paraId="5434F285" w14:textId="380671F8"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 xml:space="preserve">Šis vaistas </w:t>
      </w:r>
      <w:r w:rsidR="00457E38" w:rsidRPr="00B14475">
        <w:rPr>
          <w:rFonts w:ascii="Times New Roman" w:hAnsi="Times New Roman" w:cs="Times New Roman"/>
          <w:b/>
          <w:snapToGrid w:val="0"/>
        </w:rPr>
        <w:t>Europos ekonominės erdvės</w:t>
      </w:r>
      <w:r w:rsidR="00457E38" w:rsidRPr="00E138C4">
        <w:rPr>
          <w:b/>
          <w:snapToGrid w:val="0"/>
        </w:rPr>
        <w:t xml:space="preserve"> </w:t>
      </w:r>
      <w:r w:rsidRPr="00E138C4">
        <w:rPr>
          <w:rFonts w:ascii="Times New Roman" w:hAnsi="Times New Roman" w:cs="Times New Roman"/>
          <w:b/>
        </w:rPr>
        <w:t>valstybėse narėse registruotas tokiais pavadinimais:</w:t>
      </w:r>
    </w:p>
    <w:p w14:paraId="0E48BE5F" w14:textId="77777777" w:rsidR="00DD069E" w:rsidRPr="00E138C4" w:rsidRDefault="00DD069E" w:rsidP="00DD069E">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2194"/>
        <w:gridCol w:w="6877"/>
      </w:tblGrid>
      <w:tr w:rsidR="00E138C4" w:rsidRPr="00E138C4" w14:paraId="3957076F" w14:textId="77777777" w:rsidTr="002D28EE">
        <w:tc>
          <w:tcPr>
            <w:tcW w:w="2235" w:type="dxa"/>
            <w:shd w:val="clear" w:color="auto" w:fill="auto"/>
          </w:tcPr>
          <w:p w14:paraId="17BC052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Čekija:</w:t>
            </w:r>
          </w:p>
        </w:tc>
        <w:tc>
          <w:tcPr>
            <w:tcW w:w="7052" w:type="dxa"/>
            <w:shd w:val="clear" w:color="auto" w:fill="auto"/>
          </w:tcPr>
          <w:p w14:paraId="231D6276" w14:textId="77777777" w:rsidR="00DD069E" w:rsidRPr="00E138C4" w:rsidRDefault="00DD069E" w:rsidP="005D43A1">
            <w:pPr>
              <w:spacing w:after="0" w:line="240" w:lineRule="auto"/>
              <w:rPr>
                <w:rFonts w:ascii="Times New Roman" w:hAnsi="Times New Roman" w:cs="Times New Roman"/>
                <w:b/>
              </w:rPr>
            </w:pPr>
            <w:r w:rsidRPr="00E138C4">
              <w:rPr>
                <w:rFonts w:ascii="Times New Roman" w:hAnsi="Times New Roman" w:cs="Times New Roman"/>
              </w:rPr>
              <w:t xml:space="preserve">Ketilept </w:t>
            </w:r>
          </w:p>
        </w:tc>
      </w:tr>
      <w:tr w:rsidR="00E138C4" w:rsidRPr="00E138C4" w14:paraId="6EAB4753" w14:textId="77777777" w:rsidTr="002D28EE">
        <w:tc>
          <w:tcPr>
            <w:tcW w:w="2235" w:type="dxa"/>
            <w:shd w:val="clear" w:color="auto" w:fill="auto"/>
          </w:tcPr>
          <w:p w14:paraId="5AC4FA8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Latvija:</w:t>
            </w:r>
          </w:p>
        </w:tc>
        <w:tc>
          <w:tcPr>
            <w:tcW w:w="7052" w:type="dxa"/>
            <w:shd w:val="clear" w:color="auto" w:fill="auto"/>
          </w:tcPr>
          <w:p w14:paraId="51CADDC9" w14:textId="7EA24014"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 xml:space="preserve">Ketilept 25/100/150/200/300 mg </w:t>
            </w:r>
            <w:bookmarkStart w:id="2" w:name="OLE_LINK3"/>
            <w:bookmarkStart w:id="3" w:name="OLE_LINK4"/>
            <w:r w:rsidRPr="00E138C4">
              <w:rPr>
                <w:rFonts w:ascii="Times New Roman" w:hAnsi="Times New Roman" w:cs="Times New Roman"/>
              </w:rPr>
              <w:t>film-coated tablets</w:t>
            </w:r>
            <w:bookmarkEnd w:id="2"/>
            <w:bookmarkEnd w:id="3"/>
          </w:p>
        </w:tc>
      </w:tr>
      <w:tr w:rsidR="00E138C4" w:rsidRPr="00E138C4" w14:paraId="54132392" w14:textId="77777777" w:rsidTr="002D28EE">
        <w:tc>
          <w:tcPr>
            <w:tcW w:w="2235" w:type="dxa"/>
            <w:shd w:val="clear" w:color="auto" w:fill="auto"/>
          </w:tcPr>
          <w:p w14:paraId="3BDC3D27"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Lenkija:</w:t>
            </w:r>
          </w:p>
        </w:tc>
        <w:tc>
          <w:tcPr>
            <w:tcW w:w="7052" w:type="dxa"/>
            <w:shd w:val="clear" w:color="auto" w:fill="auto"/>
          </w:tcPr>
          <w:p w14:paraId="0B22E0B5"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Ketilept</w:t>
            </w:r>
          </w:p>
        </w:tc>
      </w:tr>
      <w:tr w:rsidR="00E138C4" w:rsidRPr="00E138C4" w14:paraId="46E6D960" w14:textId="77777777" w:rsidTr="002D28EE">
        <w:tc>
          <w:tcPr>
            <w:tcW w:w="2235" w:type="dxa"/>
            <w:shd w:val="clear" w:color="auto" w:fill="auto"/>
          </w:tcPr>
          <w:p w14:paraId="7D486B22"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Lietuva:</w:t>
            </w:r>
          </w:p>
        </w:tc>
        <w:tc>
          <w:tcPr>
            <w:tcW w:w="7052" w:type="dxa"/>
            <w:shd w:val="clear" w:color="auto" w:fill="auto"/>
          </w:tcPr>
          <w:p w14:paraId="5E42E20C" w14:textId="4704D74A"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Ketilept 25/100/150/200/300 mg plėvele dengtos tabletės</w:t>
            </w:r>
          </w:p>
        </w:tc>
      </w:tr>
      <w:tr w:rsidR="00E138C4" w:rsidRPr="00E138C4" w14:paraId="210918BA" w14:textId="77777777" w:rsidTr="002D28EE">
        <w:tc>
          <w:tcPr>
            <w:tcW w:w="2235" w:type="dxa"/>
            <w:shd w:val="clear" w:color="auto" w:fill="auto"/>
          </w:tcPr>
          <w:p w14:paraId="212E0ABF"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Rumunija:</w:t>
            </w:r>
          </w:p>
        </w:tc>
        <w:tc>
          <w:tcPr>
            <w:tcW w:w="7052" w:type="dxa"/>
            <w:shd w:val="clear" w:color="auto" w:fill="auto"/>
          </w:tcPr>
          <w:p w14:paraId="7E5F172D" w14:textId="1FC4067B"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25/100/150/200/300 mg comprimate filmate</w:t>
            </w:r>
          </w:p>
        </w:tc>
      </w:tr>
      <w:tr w:rsidR="00E138C4" w:rsidRPr="00E138C4" w14:paraId="1E407147" w14:textId="77777777" w:rsidTr="002D28EE">
        <w:tc>
          <w:tcPr>
            <w:tcW w:w="2235" w:type="dxa"/>
            <w:shd w:val="clear" w:color="auto" w:fill="auto"/>
          </w:tcPr>
          <w:p w14:paraId="75066950" w14:textId="77777777"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rPr>
              <w:t>Slovakija:</w:t>
            </w:r>
          </w:p>
        </w:tc>
        <w:tc>
          <w:tcPr>
            <w:tcW w:w="7052" w:type="dxa"/>
            <w:shd w:val="clear" w:color="auto" w:fill="auto"/>
          </w:tcPr>
          <w:p w14:paraId="120328C9" w14:textId="3E3952EF"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25/100/150/200/300 mg</w:t>
            </w:r>
          </w:p>
        </w:tc>
      </w:tr>
      <w:tr w:rsidR="00DD069E" w:rsidRPr="00E138C4" w14:paraId="296E75B9" w14:textId="77777777" w:rsidTr="002D28EE">
        <w:tc>
          <w:tcPr>
            <w:tcW w:w="2235" w:type="dxa"/>
            <w:shd w:val="clear" w:color="auto" w:fill="auto"/>
          </w:tcPr>
          <w:p w14:paraId="2946647F"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Vengrija:</w:t>
            </w:r>
          </w:p>
        </w:tc>
        <w:tc>
          <w:tcPr>
            <w:tcW w:w="7052" w:type="dxa"/>
            <w:shd w:val="clear" w:color="auto" w:fill="auto"/>
          </w:tcPr>
          <w:p w14:paraId="0C8A1C5B" w14:textId="382F61C8"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Ketilept 25/100/150/200/300 mg filmtabletta</w:t>
            </w:r>
          </w:p>
        </w:tc>
      </w:tr>
    </w:tbl>
    <w:p w14:paraId="0DA7098F" w14:textId="77777777" w:rsidR="00DD069E" w:rsidRPr="00E138C4" w:rsidRDefault="00DD069E" w:rsidP="00DD069E">
      <w:pPr>
        <w:spacing w:after="0" w:line="240" w:lineRule="auto"/>
        <w:rPr>
          <w:rFonts w:ascii="Times New Roman" w:hAnsi="Times New Roman" w:cs="Times New Roman"/>
        </w:rPr>
      </w:pPr>
    </w:p>
    <w:p w14:paraId="5C267423"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Jeigu apie šį vaistą norite sužinoti daugiau, kreipkitės į vietinį registruotojo atstovą.</w:t>
      </w:r>
    </w:p>
    <w:p w14:paraId="4A423D9A" w14:textId="77777777" w:rsidR="00DD069E" w:rsidRPr="00E138C4" w:rsidRDefault="00DD069E" w:rsidP="00DD069E">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E138C4" w:rsidRPr="00E138C4" w14:paraId="1666D447" w14:textId="77777777" w:rsidTr="002D28EE">
        <w:tc>
          <w:tcPr>
            <w:tcW w:w="4678" w:type="dxa"/>
          </w:tcPr>
          <w:p w14:paraId="6A422372" w14:textId="77777777" w:rsidR="00DD069E" w:rsidRPr="00E138C4" w:rsidRDefault="00081B23" w:rsidP="00DD069E">
            <w:pPr>
              <w:spacing w:after="0" w:line="240" w:lineRule="auto"/>
              <w:rPr>
                <w:rFonts w:ascii="Times New Roman" w:hAnsi="Times New Roman" w:cs="Times New Roman"/>
              </w:rPr>
            </w:pPr>
            <w:r w:rsidRPr="00E138C4">
              <w:rPr>
                <w:rFonts w:ascii="Times New Roman" w:hAnsi="Times New Roman" w:cs="Times New Roman"/>
              </w:rPr>
              <w:t xml:space="preserve">Egis </w:t>
            </w:r>
            <w:r w:rsidR="00DD069E" w:rsidRPr="00E138C4">
              <w:rPr>
                <w:rFonts w:ascii="Times New Roman" w:hAnsi="Times New Roman" w:cs="Times New Roman"/>
              </w:rPr>
              <w:t>Pharmaceuticals PLC atstovybė</w:t>
            </w:r>
          </w:p>
          <w:p w14:paraId="6C50A7C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Tel. 370 5 231 4658</w:t>
            </w:r>
          </w:p>
          <w:p w14:paraId="6D41F527" w14:textId="77777777" w:rsidR="00DD069E" w:rsidRPr="00E138C4" w:rsidRDefault="00DD069E" w:rsidP="00DD069E">
            <w:pPr>
              <w:tabs>
                <w:tab w:val="left" w:pos="-720"/>
              </w:tabs>
              <w:suppressAutoHyphens/>
              <w:spacing w:after="0" w:line="240" w:lineRule="auto"/>
              <w:rPr>
                <w:rFonts w:ascii="Times New Roman" w:hAnsi="Times New Roman" w:cs="Times New Roman"/>
              </w:rPr>
            </w:pPr>
          </w:p>
        </w:tc>
      </w:tr>
    </w:tbl>
    <w:p w14:paraId="01EA6C0F" w14:textId="77777777" w:rsidR="00DD069E" w:rsidRPr="00E138C4" w:rsidRDefault="00DD069E" w:rsidP="00DD069E">
      <w:pPr>
        <w:spacing w:after="0" w:line="240" w:lineRule="auto"/>
        <w:rPr>
          <w:rFonts w:ascii="Times New Roman" w:hAnsi="Times New Roman" w:cs="Times New Roman"/>
          <w:b/>
        </w:rPr>
      </w:pPr>
    </w:p>
    <w:p w14:paraId="19401AC6" w14:textId="5E9B7606" w:rsidR="00DD069E" w:rsidRPr="00E138C4" w:rsidRDefault="00DD069E" w:rsidP="00DD069E">
      <w:pPr>
        <w:spacing w:after="0" w:line="240" w:lineRule="auto"/>
        <w:rPr>
          <w:rFonts w:ascii="Times New Roman" w:hAnsi="Times New Roman" w:cs="Times New Roman"/>
          <w:b/>
        </w:rPr>
      </w:pPr>
      <w:r w:rsidRPr="00E138C4">
        <w:rPr>
          <w:rFonts w:ascii="Times New Roman" w:hAnsi="Times New Roman" w:cs="Times New Roman"/>
          <w:b/>
        </w:rPr>
        <w:t>Šis pakuotės lapelis paskutinį kartą peržiūrėtas</w:t>
      </w:r>
      <w:r w:rsidR="00C85053">
        <w:rPr>
          <w:rFonts w:ascii="Times New Roman" w:hAnsi="Times New Roman" w:cs="Times New Roman"/>
          <w:b/>
        </w:rPr>
        <w:t xml:space="preserve"> </w:t>
      </w:r>
      <w:r w:rsidR="00871974">
        <w:rPr>
          <w:rFonts w:ascii="Times New Roman" w:hAnsi="Times New Roman" w:cs="Times New Roman"/>
          <w:b/>
        </w:rPr>
        <w:t>2024-08-11</w:t>
      </w:r>
      <w:r w:rsidR="00C712D0" w:rsidRPr="00E138C4">
        <w:rPr>
          <w:rFonts w:ascii="Times New Roman" w:hAnsi="Times New Roman" w:cs="Times New Roman"/>
          <w:b/>
        </w:rPr>
        <w:t>.</w:t>
      </w:r>
    </w:p>
    <w:p w14:paraId="4B4FCE8F" w14:textId="77777777" w:rsidR="00DD069E" w:rsidRPr="00E138C4" w:rsidRDefault="00DD069E" w:rsidP="00DD069E">
      <w:pPr>
        <w:spacing w:after="0" w:line="240" w:lineRule="auto"/>
        <w:rPr>
          <w:rFonts w:ascii="Times New Roman" w:hAnsi="Times New Roman" w:cs="Times New Roman"/>
          <w:b/>
        </w:rPr>
      </w:pPr>
    </w:p>
    <w:p w14:paraId="4FB4305F" w14:textId="77777777" w:rsidR="00DD069E" w:rsidRPr="00E138C4" w:rsidRDefault="00DD069E" w:rsidP="00DD069E">
      <w:pPr>
        <w:spacing w:after="0" w:line="240" w:lineRule="auto"/>
        <w:rPr>
          <w:rFonts w:ascii="Times New Roman" w:hAnsi="Times New Roman" w:cs="Times New Roman"/>
        </w:rPr>
      </w:pPr>
    </w:p>
    <w:p w14:paraId="4EB07FFB" w14:textId="77777777" w:rsidR="00DD069E" w:rsidRPr="00E138C4" w:rsidRDefault="00DD069E" w:rsidP="00DD069E">
      <w:pPr>
        <w:spacing w:after="0" w:line="240" w:lineRule="auto"/>
        <w:rPr>
          <w:rFonts w:ascii="Times New Roman" w:hAnsi="Times New Roman" w:cs="Times New Roman"/>
        </w:rPr>
      </w:pPr>
      <w:r w:rsidRPr="00E138C4">
        <w:rPr>
          <w:rFonts w:ascii="Times New Roman" w:hAnsi="Times New Roman" w:cs="Times New Roman"/>
        </w:rPr>
        <w:t>Išsami informacija apie šį vaistą pateikiama Valstybinės vaistų kontrolės tarnybos prie Lietuvos Respublikos sveikatos apsaugos ministerijos tinklalapyje</w:t>
      </w:r>
      <w:r w:rsidRPr="00E138C4">
        <w:rPr>
          <w:rFonts w:ascii="Times New Roman" w:hAnsi="Times New Roman" w:cs="Times New Roman"/>
          <w:i/>
        </w:rPr>
        <w:t xml:space="preserve"> </w:t>
      </w:r>
      <w:hyperlink r:id="rId37" w:history="1">
        <w:r w:rsidRPr="00E138C4">
          <w:rPr>
            <w:rStyle w:val="Hipersaitas"/>
            <w:rFonts w:ascii="Times New Roman" w:hAnsi="Times New Roman" w:cs="Times New Roman"/>
            <w:color w:val="auto"/>
          </w:rPr>
          <w:t>http://www.vvkt.lt/</w:t>
        </w:r>
      </w:hyperlink>
      <w:r w:rsidRPr="00E138C4">
        <w:rPr>
          <w:rFonts w:ascii="Times New Roman" w:hAnsi="Times New Roman" w:cs="Times New Roman"/>
        </w:rPr>
        <w:t>.</w:t>
      </w:r>
    </w:p>
    <w:p w14:paraId="642AA75C" w14:textId="77777777" w:rsidR="00DD069E" w:rsidRPr="00E138C4" w:rsidRDefault="00DD069E" w:rsidP="00DD069E">
      <w:pPr>
        <w:spacing w:after="0" w:line="240" w:lineRule="auto"/>
        <w:rPr>
          <w:rFonts w:ascii="Times New Roman" w:eastAsia="Calibri" w:hAnsi="Times New Roman" w:cs="Times New Roman"/>
        </w:rPr>
      </w:pPr>
    </w:p>
    <w:p w14:paraId="536352D5" w14:textId="77777777" w:rsidR="00DD069E" w:rsidRPr="00E138C4" w:rsidRDefault="00DD069E" w:rsidP="00DD069E">
      <w:pPr>
        <w:spacing w:after="0" w:line="240" w:lineRule="auto"/>
        <w:rPr>
          <w:rFonts w:ascii="Times New Roman" w:hAnsi="Times New Roman" w:cs="Times New Roman"/>
        </w:rPr>
      </w:pPr>
    </w:p>
    <w:p w14:paraId="246D8A20" w14:textId="77777777" w:rsidR="00DD069E" w:rsidRPr="00E138C4" w:rsidRDefault="00DD069E" w:rsidP="00DD069E">
      <w:pPr>
        <w:spacing w:after="0" w:line="240" w:lineRule="auto"/>
        <w:rPr>
          <w:rFonts w:ascii="Times New Roman" w:hAnsi="Times New Roman" w:cs="Times New Roman"/>
        </w:rPr>
      </w:pPr>
    </w:p>
    <w:p w14:paraId="1958B1D0" w14:textId="77777777" w:rsidR="00DD069E" w:rsidRPr="00E138C4" w:rsidRDefault="00DD069E" w:rsidP="00DD069E">
      <w:pPr>
        <w:rPr>
          <w:rFonts w:ascii="Times New Roman" w:hAnsi="Times New Roman" w:cs="Times New Roman"/>
        </w:rPr>
      </w:pPr>
    </w:p>
    <w:p w14:paraId="7AAA3746" w14:textId="77777777" w:rsidR="007E1963" w:rsidRPr="00E138C4" w:rsidRDefault="007E1963">
      <w:pPr>
        <w:rPr>
          <w:rFonts w:ascii="Times New Roman" w:hAnsi="Times New Roman" w:cs="Times New Roman"/>
        </w:rPr>
      </w:pPr>
    </w:p>
    <w:sectPr w:rsidR="007E1963" w:rsidRPr="00E138C4" w:rsidSect="00A05A93">
      <w:headerReference w:type="default" r:id="rId38"/>
      <w:footerReference w:type="even" r:id="rId39"/>
      <w:footerReference w:type="default" r:id="rId40"/>
      <w:footerReference w:type="first" r:id="rId41"/>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D1725" w14:textId="77777777" w:rsidR="006B219E" w:rsidRDefault="006B219E">
      <w:pPr>
        <w:spacing w:after="0" w:line="240" w:lineRule="auto"/>
      </w:pPr>
      <w:r>
        <w:separator/>
      </w:r>
    </w:p>
  </w:endnote>
  <w:endnote w:type="continuationSeparator" w:id="0">
    <w:p w14:paraId="0C35464B" w14:textId="77777777" w:rsidR="006B219E" w:rsidRDefault="006B219E">
      <w:pPr>
        <w:spacing w:after="0" w:line="240" w:lineRule="auto"/>
      </w:pPr>
      <w:r>
        <w:continuationSeparator/>
      </w:r>
    </w:p>
  </w:endnote>
  <w:endnote w:type="continuationNotice" w:id="1">
    <w:p w14:paraId="25500D21" w14:textId="77777777" w:rsidR="006B219E" w:rsidRDefault="006B2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82E1" w14:textId="77777777" w:rsidR="007238F7" w:rsidRDefault="007238F7" w:rsidP="00A05A9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78B1BA" w14:textId="77777777" w:rsidR="007238F7" w:rsidRDefault="007238F7" w:rsidP="00A05A93">
    <w:pPr>
      <w:pStyle w:val="Porat"/>
      <w:ind w:right="360"/>
    </w:pPr>
  </w:p>
  <w:p w14:paraId="2C470B0E" w14:textId="77777777" w:rsidR="007238F7" w:rsidRDefault="007238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BF8A" w14:textId="73585361" w:rsidR="007238F7" w:rsidRPr="00700739" w:rsidRDefault="007238F7" w:rsidP="00A05A93">
    <w:pPr>
      <w:pStyle w:val="Porat"/>
      <w:framePr w:wrap="around" w:vAnchor="text" w:hAnchor="margin" w:xAlign="right" w:y="1"/>
      <w:rPr>
        <w:rStyle w:val="Puslapionumeris"/>
        <w:sz w:val="20"/>
      </w:rPr>
    </w:pPr>
    <w:r w:rsidRPr="00700739">
      <w:rPr>
        <w:rStyle w:val="Puslapionumeris"/>
        <w:sz w:val="20"/>
      </w:rPr>
      <w:fldChar w:fldCharType="begin"/>
    </w:r>
    <w:r w:rsidRPr="00700739">
      <w:rPr>
        <w:rStyle w:val="Puslapionumeris"/>
        <w:sz w:val="20"/>
      </w:rPr>
      <w:instrText xml:space="preserve">PAGE  </w:instrText>
    </w:r>
    <w:r w:rsidRPr="00700739">
      <w:rPr>
        <w:rStyle w:val="Puslapionumeris"/>
        <w:sz w:val="20"/>
      </w:rPr>
      <w:fldChar w:fldCharType="separate"/>
    </w:r>
    <w:r w:rsidR="00444D0C">
      <w:rPr>
        <w:rStyle w:val="Puslapionumeris"/>
        <w:noProof/>
        <w:sz w:val="20"/>
      </w:rPr>
      <w:t>2</w:t>
    </w:r>
    <w:r w:rsidRPr="00700739">
      <w:rPr>
        <w:rStyle w:val="Puslapionumeris"/>
        <w:sz w:val="20"/>
      </w:rPr>
      <w:fldChar w:fldCharType="end"/>
    </w:r>
  </w:p>
  <w:p w14:paraId="3198D039" w14:textId="77777777" w:rsidR="007238F7" w:rsidRDefault="007238F7" w:rsidP="00A05A93">
    <w:pPr>
      <w:pStyle w:val="Porat"/>
      <w:tabs>
        <w:tab w:val="clear" w:pos="8930"/>
        <w:tab w:val="right" w:pos="8931"/>
      </w:tabs>
      <w:ind w:right="360"/>
      <w:jc w:val="center"/>
    </w:pPr>
  </w:p>
  <w:p w14:paraId="4E78F24C" w14:textId="77777777" w:rsidR="007238F7" w:rsidRDefault="007238F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B8214" w14:textId="77777777" w:rsidR="007238F7" w:rsidRDefault="007238F7">
    <w:pPr>
      <w:pStyle w:val="Porat"/>
      <w:tabs>
        <w:tab w:val="clear" w:pos="8930"/>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81008" w14:textId="77777777" w:rsidR="006B219E" w:rsidRDefault="006B219E">
      <w:pPr>
        <w:spacing w:after="0" w:line="240" w:lineRule="auto"/>
      </w:pPr>
      <w:r>
        <w:separator/>
      </w:r>
    </w:p>
  </w:footnote>
  <w:footnote w:type="continuationSeparator" w:id="0">
    <w:p w14:paraId="640D6CA2" w14:textId="77777777" w:rsidR="006B219E" w:rsidRDefault="006B219E">
      <w:pPr>
        <w:spacing w:after="0" w:line="240" w:lineRule="auto"/>
      </w:pPr>
      <w:r>
        <w:continuationSeparator/>
      </w:r>
    </w:p>
  </w:footnote>
  <w:footnote w:type="continuationNotice" w:id="1">
    <w:p w14:paraId="07A96CF5" w14:textId="77777777" w:rsidR="006B219E" w:rsidRDefault="006B2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34B8" w14:textId="77777777" w:rsidR="007238F7" w:rsidRDefault="00723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86"/>
    <w:multiLevelType w:val="hybridMultilevel"/>
    <w:tmpl w:val="7AB49DA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45F5936"/>
    <w:multiLevelType w:val="multilevel"/>
    <w:tmpl w:val="8506D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2E4BD3"/>
    <w:multiLevelType w:val="hybridMultilevel"/>
    <w:tmpl w:val="5CE64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E43C62"/>
    <w:multiLevelType w:val="hybridMultilevel"/>
    <w:tmpl w:val="5CB87DD8"/>
    <w:lvl w:ilvl="0" w:tplc="BE6844A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FC10F9"/>
    <w:multiLevelType w:val="hybridMultilevel"/>
    <w:tmpl w:val="CD84E58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8A60B0"/>
    <w:multiLevelType w:val="hybridMultilevel"/>
    <w:tmpl w:val="2194798A"/>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9E380E"/>
    <w:multiLevelType w:val="hybridMultilevel"/>
    <w:tmpl w:val="7A1E6BD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2FE7F4C"/>
    <w:multiLevelType w:val="hybridMultilevel"/>
    <w:tmpl w:val="B93CA3A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30874FF"/>
    <w:multiLevelType w:val="hybridMultilevel"/>
    <w:tmpl w:val="350A4A84"/>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B31B6"/>
    <w:multiLevelType w:val="hybridMultilevel"/>
    <w:tmpl w:val="8BB628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2420E2A"/>
    <w:multiLevelType w:val="hybridMultilevel"/>
    <w:tmpl w:val="129AEA7E"/>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D21AC8"/>
    <w:multiLevelType w:val="hybridMultilevel"/>
    <w:tmpl w:val="3BB88122"/>
    <w:lvl w:ilvl="0" w:tplc="AB462DDE">
      <w:start w:val="1"/>
      <w:numFmt w:val="bullet"/>
      <w:lvlText w:val="o"/>
      <w:lvlJc w:val="left"/>
      <w:pPr>
        <w:tabs>
          <w:tab w:val="num" w:pos="1494"/>
        </w:tabs>
        <w:ind w:left="1440" w:hanging="306"/>
      </w:pPr>
      <w:rPr>
        <w:rFonts w:hAnsi="Courier New" w:hint="default"/>
      </w:rPr>
    </w:lvl>
    <w:lvl w:ilvl="1" w:tplc="8D14CEE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E0757"/>
    <w:multiLevelType w:val="hybridMultilevel"/>
    <w:tmpl w:val="DB922DEE"/>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A12D7C"/>
    <w:multiLevelType w:val="hybridMultilevel"/>
    <w:tmpl w:val="7632C73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2C6CC6"/>
    <w:multiLevelType w:val="hybridMultilevel"/>
    <w:tmpl w:val="9B0CAA52"/>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A5D84"/>
    <w:multiLevelType w:val="hybridMultilevel"/>
    <w:tmpl w:val="93C43BF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4A2AC13E">
      <w:start w:val="1"/>
      <w:numFmt w:val="bullet"/>
      <w:lvlText w:val="-"/>
      <w:lvlJc w:val="left"/>
      <w:pPr>
        <w:ind w:left="1778" w:hanging="360"/>
      </w:pPr>
      <w:rPr>
        <w:rFonts w:ascii="Times New Roman" w:hAnsi="Times New Roman" w:cs="Times New Roman" w:hint="default"/>
        <w:color w:val="auto"/>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3421DB"/>
    <w:multiLevelType w:val="hybridMultilevel"/>
    <w:tmpl w:val="281CFDD4"/>
    <w:lvl w:ilvl="0" w:tplc="3E62881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2F7A4F"/>
    <w:multiLevelType w:val="hybridMultilevel"/>
    <w:tmpl w:val="F71209F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3F433D"/>
    <w:multiLevelType w:val="hybridMultilevel"/>
    <w:tmpl w:val="3C7CCC72"/>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0"/>
  </w:num>
  <w:num w:numId="3">
    <w:abstractNumId w:val="13"/>
  </w:num>
  <w:num w:numId="4">
    <w:abstractNumId w:val="9"/>
  </w:num>
  <w:num w:numId="5">
    <w:abstractNumId w:val="8"/>
  </w:num>
  <w:num w:numId="6">
    <w:abstractNumId w:val="4"/>
  </w:num>
  <w:num w:numId="7">
    <w:abstractNumId w:val="18"/>
  </w:num>
  <w:num w:numId="8">
    <w:abstractNumId w:val="3"/>
  </w:num>
  <w:num w:numId="9">
    <w:abstractNumId w:val="12"/>
  </w:num>
  <w:num w:numId="10">
    <w:abstractNumId w:val="23"/>
  </w:num>
  <w:num w:numId="11">
    <w:abstractNumId w:val="21"/>
  </w:num>
  <w:num w:numId="12">
    <w:abstractNumId w:val="16"/>
  </w:num>
  <w:num w:numId="13">
    <w:abstractNumId w:val="6"/>
  </w:num>
  <w:num w:numId="14">
    <w:abstractNumId w:val="17"/>
  </w:num>
  <w:num w:numId="15">
    <w:abstractNumId w:val="19"/>
  </w:num>
  <w:num w:numId="16">
    <w:abstractNumId w:val="14"/>
  </w:num>
  <w:num w:numId="17">
    <w:abstractNumId w:val="7"/>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5"/>
  </w:num>
  <w:num w:numId="33">
    <w:abstractNumId w:val="22"/>
  </w:num>
  <w:num w:numId="34">
    <w:abstractNumId w:val="10"/>
  </w:num>
  <w:num w:numId="35">
    <w:abstractNumId w:val="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9E"/>
    <w:rsid w:val="00010555"/>
    <w:rsid w:val="000148A5"/>
    <w:rsid w:val="000225F9"/>
    <w:rsid w:val="0002357E"/>
    <w:rsid w:val="00045FCD"/>
    <w:rsid w:val="000475FF"/>
    <w:rsid w:val="000502C6"/>
    <w:rsid w:val="00056E35"/>
    <w:rsid w:val="00062730"/>
    <w:rsid w:val="00063DBC"/>
    <w:rsid w:val="00064300"/>
    <w:rsid w:val="00067F37"/>
    <w:rsid w:val="0007249F"/>
    <w:rsid w:val="00077E38"/>
    <w:rsid w:val="00080AF4"/>
    <w:rsid w:val="00081B23"/>
    <w:rsid w:val="000874F8"/>
    <w:rsid w:val="000910AD"/>
    <w:rsid w:val="000A53C0"/>
    <w:rsid w:val="000C54EE"/>
    <w:rsid w:val="000D015A"/>
    <w:rsid w:val="000F17F5"/>
    <w:rsid w:val="000F419A"/>
    <w:rsid w:val="0010647F"/>
    <w:rsid w:val="001111D5"/>
    <w:rsid w:val="00112102"/>
    <w:rsid w:val="00114085"/>
    <w:rsid w:val="0011409B"/>
    <w:rsid w:val="001165AF"/>
    <w:rsid w:val="00121E1F"/>
    <w:rsid w:val="001308DA"/>
    <w:rsid w:val="001335C2"/>
    <w:rsid w:val="00134BFE"/>
    <w:rsid w:val="00135B8D"/>
    <w:rsid w:val="00145887"/>
    <w:rsid w:val="00150AF3"/>
    <w:rsid w:val="00152A80"/>
    <w:rsid w:val="00167BCE"/>
    <w:rsid w:val="001701E0"/>
    <w:rsid w:val="00171027"/>
    <w:rsid w:val="001813D1"/>
    <w:rsid w:val="0018711A"/>
    <w:rsid w:val="001A09BE"/>
    <w:rsid w:val="001B39D1"/>
    <w:rsid w:val="001D0306"/>
    <w:rsid w:val="001D063D"/>
    <w:rsid w:val="001E085C"/>
    <w:rsid w:val="001E51DA"/>
    <w:rsid w:val="001F6745"/>
    <w:rsid w:val="001F7EBE"/>
    <w:rsid w:val="00203A19"/>
    <w:rsid w:val="00203AF9"/>
    <w:rsid w:val="00212096"/>
    <w:rsid w:val="00214419"/>
    <w:rsid w:val="002150A4"/>
    <w:rsid w:val="002153FA"/>
    <w:rsid w:val="00217194"/>
    <w:rsid w:val="00224456"/>
    <w:rsid w:val="0022513D"/>
    <w:rsid w:val="0022549A"/>
    <w:rsid w:val="00233985"/>
    <w:rsid w:val="00242EC6"/>
    <w:rsid w:val="0024466C"/>
    <w:rsid w:val="00246848"/>
    <w:rsid w:val="00266861"/>
    <w:rsid w:val="00272C28"/>
    <w:rsid w:val="00276149"/>
    <w:rsid w:val="00276399"/>
    <w:rsid w:val="002810E5"/>
    <w:rsid w:val="00281F16"/>
    <w:rsid w:val="0028480E"/>
    <w:rsid w:val="002848D0"/>
    <w:rsid w:val="002851F3"/>
    <w:rsid w:val="00287366"/>
    <w:rsid w:val="002879C2"/>
    <w:rsid w:val="002A0036"/>
    <w:rsid w:val="002A0261"/>
    <w:rsid w:val="002A545E"/>
    <w:rsid w:val="002C43D2"/>
    <w:rsid w:val="002D28EE"/>
    <w:rsid w:val="002E1816"/>
    <w:rsid w:val="002E1CD6"/>
    <w:rsid w:val="002E7380"/>
    <w:rsid w:val="002F2A6E"/>
    <w:rsid w:val="002F6A9E"/>
    <w:rsid w:val="003004BC"/>
    <w:rsid w:val="00301384"/>
    <w:rsid w:val="00313263"/>
    <w:rsid w:val="003155A8"/>
    <w:rsid w:val="00320A40"/>
    <w:rsid w:val="0032733A"/>
    <w:rsid w:val="00336CBF"/>
    <w:rsid w:val="003450EB"/>
    <w:rsid w:val="0035413C"/>
    <w:rsid w:val="00365943"/>
    <w:rsid w:val="00396C5E"/>
    <w:rsid w:val="003A2A9E"/>
    <w:rsid w:val="003A2C47"/>
    <w:rsid w:val="003A38C7"/>
    <w:rsid w:val="003A7AA1"/>
    <w:rsid w:val="003B238B"/>
    <w:rsid w:val="003C20C4"/>
    <w:rsid w:val="003D3A4D"/>
    <w:rsid w:val="003E3EF1"/>
    <w:rsid w:val="003F11EB"/>
    <w:rsid w:val="003F2D8E"/>
    <w:rsid w:val="00412BF5"/>
    <w:rsid w:val="00412E2F"/>
    <w:rsid w:val="00415FBF"/>
    <w:rsid w:val="00444D0C"/>
    <w:rsid w:val="00455987"/>
    <w:rsid w:val="00457E38"/>
    <w:rsid w:val="00463761"/>
    <w:rsid w:val="004803BA"/>
    <w:rsid w:val="0048381E"/>
    <w:rsid w:val="00485723"/>
    <w:rsid w:val="004952E4"/>
    <w:rsid w:val="004A1569"/>
    <w:rsid w:val="004B567F"/>
    <w:rsid w:val="004B63B9"/>
    <w:rsid w:val="004C1488"/>
    <w:rsid w:val="004D2849"/>
    <w:rsid w:val="004D6400"/>
    <w:rsid w:val="004E6D76"/>
    <w:rsid w:val="004F6205"/>
    <w:rsid w:val="00507720"/>
    <w:rsid w:val="00515672"/>
    <w:rsid w:val="00515E64"/>
    <w:rsid w:val="00520C4B"/>
    <w:rsid w:val="00525407"/>
    <w:rsid w:val="00530DA1"/>
    <w:rsid w:val="005548A3"/>
    <w:rsid w:val="005642D4"/>
    <w:rsid w:val="00572876"/>
    <w:rsid w:val="00575A11"/>
    <w:rsid w:val="005806F1"/>
    <w:rsid w:val="005856DD"/>
    <w:rsid w:val="00587A97"/>
    <w:rsid w:val="00587B51"/>
    <w:rsid w:val="005A1CE2"/>
    <w:rsid w:val="005A3FD4"/>
    <w:rsid w:val="005A4E1E"/>
    <w:rsid w:val="005B4CDA"/>
    <w:rsid w:val="005C0B64"/>
    <w:rsid w:val="005D1196"/>
    <w:rsid w:val="005D43A1"/>
    <w:rsid w:val="005D7B84"/>
    <w:rsid w:val="005E0CF7"/>
    <w:rsid w:val="005F585E"/>
    <w:rsid w:val="005F6158"/>
    <w:rsid w:val="005F7CC6"/>
    <w:rsid w:val="006001BA"/>
    <w:rsid w:val="0061418F"/>
    <w:rsid w:val="00620060"/>
    <w:rsid w:val="006207C4"/>
    <w:rsid w:val="00625369"/>
    <w:rsid w:val="006277C3"/>
    <w:rsid w:val="006330D6"/>
    <w:rsid w:val="00662077"/>
    <w:rsid w:val="006840B0"/>
    <w:rsid w:val="006A1045"/>
    <w:rsid w:val="006B190C"/>
    <w:rsid w:val="006B219E"/>
    <w:rsid w:val="0070316D"/>
    <w:rsid w:val="00706482"/>
    <w:rsid w:val="00707EAF"/>
    <w:rsid w:val="007160AE"/>
    <w:rsid w:val="00720C06"/>
    <w:rsid w:val="007238F7"/>
    <w:rsid w:val="00723B55"/>
    <w:rsid w:val="007342A6"/>
    <w:rsid w:val="007401E3"/>
    <w:rsid w:val="00762E49"/>
    <w:rsid w:val="00766982"/>
    <w:rsid w:val="00772C17"/>
    <w:rsid w:val="007741EA"/>
    <w:rsid w:val="007751D8"/>
    <w:rsid w:val="00781BAF"/>
    <w:rsid w:val="007851E4"/>
    <w:rsid w:val="00791CAF"/>
    <w:rsid w:val="00796E4A"/>
    <w:rsid w:val="007B12B5"/>
    <w:rsid w:val="007B4711"/>
    <w:rsid w:val="007B7988"/>
    <w:rsid w:val="007C6546"/>
    <w:rsid w:val="007C70CB"/>
    <w:rsid w:val="007D20F1"/>
    <w:rsid w:val="007E1963"/>
    <w:rsid w:val="007E5051"/>
    <w:rsid w:val="007F263E"/>
    <w:rsid w:val="007F5C77"/>
    <w:rsid w:val="00817F85"/>
    <w:rsid w:val="008200CF"/>
    <w:rsid w:val="008205F2"/>
    <w:rsid w:val="00824819"/>
    <w:rsid w:val="00825A93"/>
    <w:rsid w:val="0083110D"/>
    <w:rsid w:val="0085261F"/>
    <w:rsid w:val="008548F8"/>
    <w:rsid w:val="008602EC"/>
    <w:rsid w:val="00862DF2"/>
    <w:rsid w:val="0086587A"/>
    <w:rsid w:val="00871974"/>
    <w:rsid w:val="00876260"/>
    <w:rsid w:val="00882BB6"/>
    <w:rsid w:val="008A202A"/>
    <w:rsid w:val="008A3B67"/>
    <w:rsid w:val="008A75D6"/>
    <w:rsid w:val="008B0A90"/>
    <w:rsid w:val="008D317D"/>
    <w:rsid w:val="008E4D02"/>
    <w:rsid w:val="008E4E03"/>
    <w:rsid w:val="008F72DC"/>
    <w:rsid w:val="009024BD"/>
    <w:rsid w:val="00904E3A"/>
    <w:rsid w:val="00941FC2"/>
    <w:rsid w:val="00944B7C"/>
    <w:rsid w:val="00955026"/>
    <w:rsid w:val="0095595B"/>
    <w:rsid w:val="0096671C"/>
    <w:rsid w:val="009775AA"/>
    <w:rsid w:val="00986920"/>
    <w:rsid w:val="0099462B"/>
    <w:rsid w:val="00996F95"/>
    <w:rsid w:val="009A1701"/>
    <w:rsid w:val="009A18DE"/>
    <w:rsid w:val="009A6E77"/>
    <w:rsid w:val="009B0652"/>
    <w:rsid w:val="009B60FA"/>
    <w:rsid w:val="009C2154"/>
    <w:rsid w:val="009C4FDC"/>
    <w:rsid w:val="009D7CC0"/>
    <w:rsid w:val="009E189C"/>
    <w:rsid w:val="009E6846"/>
    <w:rsid w:val="009F3198"/>
    <w:rsid w:val="009F52FB"/>
    <w:rsid w:val="009F6B49"/>
    <w:rsid w:val="00A02B5E"/>
    <w:rsid w:val="00A05A93"/>
    <w:rsid w:val="00A31B58"/>
    <w:rsid w:val="00A33EC5"/>
    <w:rsid w:val="00A33FC4"/>
    <w:rsid w:val="00A3725E"/>
    <w:rsid w:val="00A53174"/>
    <w:rsid w:val="00A5735A"/>
    <w:rsid w:val="00A659E3"/>
    <w:rsid w:val="00A75D10"/>
    <w:rsid w:val="00A76326"/>
    <w:rsid w:val="00A81A95"/>
    <w:rsid w:val="00A82538"/>
    <w:rsid w:val="00A86253"/>
    <w:rsid w:val="00A8682C"/>
    <w:rsid w:val="00A90801"/>
    <w:rsid w:val="00A941A1"/>
    <w:rsid w:val="00A96EFF"/>
    <w:rsid w:val="00AB6DDD"/>
    <w:rsid w:val="00AC2727"/>
    <w:rsid w:val="00AC3DE5"/>
    <w:rsid w:val="00AC5943"/>
    <w:rsid w:val="00AC7DB7"/>
    <w:rsid w:val="00AD29ED"/>
    <w:rsid w:val="00AD6AC5"/>
    <w:rsid w:val="00AD6EE4"/>
    <w:rsid w:val="00B014ED"/>
    <w:rsid w:val="00B03423"/>
    <w:rsid w:val="00B1156F"/>
    <w:rsid w:val="00B14475"/>
    <w:rsid w:val="00B15790"/>
    <w:rsid w:val="00B24FF3"/>
    <w:rsid w:val="00B420BE"/>
    <w:rsid w:val="00B443AB"/>
    <w:rsid w:val="00B55DAF"/>
    <w:rsid w:val="00B56EC0"/>
    <w:rsid w:val="00B6054E"/>
    <w:rsid w:val="00B658FF"/>
    <w:rsid w:val="00B77825"/>
    <w:rsid w:val="00B939FA"/>
    <w:rsid w:val="00BA1FFF"/>
    <w:rsid w:val="00BB01A1"/>
    <w:rsid w:val="00BB1A32"/>
    <w:rsid w:val="00BD1C7B"/>
    <w:rsid w:val="00BE1BB4"/>
    <w:rsid w:val="00BE553E"/>
    <w:rsid w:val="00C126E1"/>
    <w:rsid w:val="00C150CD"/>
    <w:rsid w:val="00C2058F"/>
    <w:rsid w:val="00C53163"/>
    <w:rsid w:val="00C66FD6"/>
    <w:rsid w:val="00C70CEA"/>
    <w:rsid w:val="00C712D0"/>
    <w:rsid w:val="00C848A7"/>
    <w:rsid w:val="00C85053"/>
    <w:rsid w:val="00C8791D"/>
    <w:rsid w:val="00C902FE"/>
    <w:rsid w:val="00C9074D"/>
    <w:rsid w:val="00C90F42"/>
    <w:rsid w:val="00CA3217"/>
    <w:rsid w:val="00CA40AA"/>
    <w:rsid w:val="00CC3D41"/>
    <w:rsid w:val="00CC4F9B"/>
    <w:rsid w:val="00CC6F3F"/>
    <w:rsid w:val="00CD3882"/>
    <w:rsid w:val="00CE1222"/>
    <w:rsid w:val="00CE24EB"/>
    <w:rsid w:val="00CF794F"/>
    <w:rsid w:val="00D04576"/>
    <w:rsid w:val="00D06095"/>
    <w:rsid w:val="00D17122"/>
    <w:rsid w:val="00D24077"/>
    <w:rsid w:val="00D31F68"/>
    <w:rsid w:val="00D365DD"/>
    <w:rsid w:val="00D40AD3"/>
    <w:rsid w:val="00D43CC9"/>
    <w:rsid w:val="00D5289D"/>
    <w:rsid w:val="00D54326"/>
    <w:rsid w:val="00D55BCD"/>
    <w:rsid w:val="00D56B92"/>
    <w:rsid w:val="00D76E8B"/>
    <w:rsid w:val="00D90EB2"/>
    <w:rsid w:val="00DA4BB8"/>
    <w:rsid w:val="00DA7BFE"/>
    <w:rsid w:val="00DB0454"/>
    <w:rsid w:val="00DB18AE"/>
    <w:rsid w:val="00DB5829"/>
    <w:rsid w:val="00DB70CB"/>
    <w:rsid w:val="00DC7DA9"/>
    <w:rsid w:val="00DD069E"/>
    <w:rsid w:val="00DD1C7A"/>
    <w:rsid w:val="00DD3345"/>
    <w:rsid w:val="00DE4E29"/>
    <w:rsid w:val="00DF15C4"/>
    <w:rsid w:val="00DF5809"/>
    <w:rsid w:val="00E053A1"/>
    <w:rsid w:val="00E10CB3"/>
    <w:rsid w:val="00E138C4"/>
    <w:rsid w:val="00E2725A"/>
    <w:rsid w:val="00E313E2"/>
    <w:rsid w:val="00E35AB9"/>
    <w:rsid w:val="00E35FC1"/>
    <w:rsid w:val="00E4253E"/>
    <w:rsid w:val="00E50C54"/>
    <w:rsid w:val="00E511D1"/>
    <w:rsid w:val="00E53AD7"/>
    <w:rsid w:val="00E61FB7"/>
    <w:rsid w:val="00E65900"/>
    <w:rsid w:val="00E7692F"/>
    <w:rsid w:val="00E82C50"/>
    <w:rsid w:val="00E82CE3"/>
    <w:rsid w:val="00E83624"/>
    <w:rsid w:val="00E85C3C"/>
    <w:rsid w:val="00EB0A4B"/>
    <w:rsid w:val="00ED3B28"/>
    <w:rsid w:val="00EE44A0"/>
    <w:rsid w:val="00EE7464"/>
    <w:rsid w:val="00F00AE7"/>
    <w:rsid w:val="00F02461"/>
    <w:rsid w:val="00F044C6"/>
    <w:rsid w:val="00F30F48"/>
    <w:rsid w:val="00F30FFD"/>
    <w:rsid w:val="00F328EE"/>
    <w:rsid w:val="00F32E7D"/>
    <w:rsid w:val="00F36D07"/>
    <w:rsid w:val="00F408E6"/>
    <w:rsid w:val="00F42DE9"/>
    <w:rsid w:val="00F45FEA"/>
    <w:rsid w:val="00F52F13"/>
    <w:rsid w:val="00F56368"/>
    <w:rsid w:val="00F72C03"/>
    <w:rsid w:val="00F968A9"/>
    <w:rsid w:val="00FA0AC1"/>
    <w:rsid w:val="00FA16AA"/>
    <w:rsid w:val="00FB1A0A"/>
    <w:rsid w:val="00FB3A45"/>
    <w:rsid w:val="00FB5ECE"/>
    <w:rsid w:val="00FB6DFF"/>
    <w:rsid w:val="00FC1121"/>
    <w:rsid w:val="00FC34E6"/>
    <w:rsid w:val="00FC3550"/>
    <w:rsid w:val="00FD02A5"/>
    <w:rsid w:val="00FD135D"/>
    <w:rsid w:val="00FD2392"/>
    <w:rsid w:val="00FD2C0B"/>
    <w:rsid w:val="00FD5F9B"/>
    <w:rsid w:val="00FF1F44"/>
    <w:rsid w:val="00FF5EA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2549"/>
  <w15:docId w15:val="{7B42A2E3-0913-4C7B-BB4C-9723D067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D069E"/>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x-none" w:eastAsia="x-none"/>
    </w:rPr>
  </w:style>
  <w:style w:type="paragraph" w:styleId="Antrat2">
    <w:name w:val="heading 2"/>
    <w:basedOn w:val="prastasis"/>
    <w:next w:val="prastasis"/>
    <w:link w:val="Antrat2Diagrama"/>
    <w:uiPriority w:val="9"/>
    <w:qFormat/>
    <w:rsid w:val="00DD069E"/>
    <w:pPr>
      <w:keepNext/>
      <w:tabs>
        <w:tab w:val="left" w:pos="567"/>
      </w:tabs>
      <w:spacing w:before="240" w:after="60" w:line="260" w:lineRule="exact"/>
      <w:outlineLvl w:val="1"/>
    </w:pPr>
    <w:rPr>
      <w:rFonts w:ascii="Helvetica" w:eastAsia="Times New Roman" w:hAnsi="Helvetica" w:cs="Times New Roman"/>
      <w:b/>
      <w:i/>
      <w:sz w:val="24"/>
      <w:szCs w:val="20"/>
      <w:lang w:eastAsia="x-none"/>
    </w:rPr>
  </w:style>
  <w:style w:type="paragraph" w:styleId="Antrat3">
    <w:name w:val="heading 3"/>
    <w:basedOn w:val="prastasis"/>
    <w:next w:val="prastasis"/>
    <w:link w:val="Antrat3Diagrama"/>
    <w:uiPriority w:val="9"/>
    <w:qFormat/>
    <w:rsid w:val="00DD069E"/>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x-none" w:eastAsia="x-none"/>
    </w:rPr>
  </w:style>
  <w:style w:type="paragraph" w:styleId="Antrat4">
    <w:name w:val="heading 4"/>
    <w:basedOn w:val="prastasis"/>
    <w:next w:val="prastasis"/>
    <w:link w:val="Antrat4Diagrama"/>
    <w:uiPriority w:val="9"/>
    <w:qFormat/>
    <w:rsid w:val="00DD069E"/>
    <w:pPr>
      <w:keepNext/>
      <w:tabs>
        <w:tab w:val="left" w:pos="567"/>
      </w:tabs>
      <w:spacing w:after="0" w:line="260" w:lineRule="exact"/>
      <w:jc w:val="both"/>
      <w:outlineLvl w:val="3"/>
    </w:pPr>
    <w:rPr>
      <w:rFonts w:ascii="Times New Roman" w:eastAsia="Times New Roman" w:hAnsi="Times New Roman" w:cs="Times New Roman"/>
      <w:b/>
      <w:noProof/>
      <w:szCs w:val="20"/>
      <w:lang w:eastAsia="x-none"/>
    </w:rPr>
  </w:style>
  <w:style w:type="paragraph" w:styleId="Antrat5">
    <w:name w:val="heading 5"/>
    <w:basedOn w:val="prastasis"/>
    <w:next w:val="prastasis"/>
    <w:link w:val="Antrat5Diagrama"/>
    <w:uiPriority w:val="9"/>
    <w:qFormat/>
    <w:rsid w:val="00DD069E"/>
    <w:pPr>
      <w:keepNext/>
      <w:tabs>
        <w:tab w:val="left" w:pos="567"/>
      </w:tabs>
      <w:spacing w:after="0" w:line="260" w:lineRule="exact"/>
      <w:jc w:val="both"/>
      <w:outlineLvl w:val="4"/>
    </w:pPr>
    <w:rPr>
      <w:rFonts w:ascii="Times New Roman" w:eastAsia="Times New Roman" w:hAnsi="Times New Roman" w:cs="Times New Roman"/>
      <w:noProof/>
      <w:szCs w:val="20"/>
      <w:lang w:eastAsia="x-none"/>
    </w:rPr>
  </w:style>
  <w:style w:type="paragraph" w:styleId="Antrat6">
    <w:name w:val="heading 6"/>
    <w:basedOn w:val="prastasis"/>
    <w:next w:val="prastasis"/>
    <w:link w:val="Antrat6Diagrama"/>
    <w:qFormat/>
    <w:rsid w:val="00DD069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eastAsia="x-none"/>
    </w:rPr>
  </w:style>
  <w:style w:type="paragraph" w:styleId="Antrat7">
    <w:name w:val="heading 7"/>
    <w:basedOn w:val="prastasis"/>
    <w:next w:val="prastasis"/>
    <w:link w:val="Antrat7Diagrama"/>
    <w:uiPriority w:val="9"/>
    <w:qFormat/>
    <w:rsid w:val="00DD069E"/>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eastAsia="x-none"/>
    </w:rPr>
  </w:style>
  <w:style w:type="paragraph" w:styleId="Antrat8">
    <w:name w:val="heading 8"/>
    <w:basedOn w:val="prastasis"/>
    <w:next w:val="prastasis"/>
    <w:link w:val="Antrat8Diagrama"/>
    <w:uiPriority w:val="9"/>
    <w:qFormat/>
    <w:rsid w:val="00DD069E"/>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eastAsia="x-none"/>
    </w:rPr>
  </w:style>
  <w:style w:type="paragraph" w:styleId="Antrat9">
    <w:name w:val="heading 9"/>
    <w:basedOn w:val="prastasis"/>
    <w:next w:val="prastasis"/>
    <w:link w:val="Antrat9Diagrama"/>
    <w:uiPriority w:val="9"/>
    <w:qFormat/>
    <w:rsid w:val="00DD069E"/>
    <w:pPr>
      <w:keepNext/>
      <w:tabs>
        <w:tab w:val="left" w:pos="567"/>
      </w:tabs>
      <w:spacing w:after="0" w:line="260" w:lineRule="exact"/>
      <w:jc w:val="both"/>
      <w:outlineLvl w:val="8"/>
    </w:pPr>
    <w:rPr>
      <w:rFonts w:ascii="Times New Roman" w:eastAsia="Times New Roman" w:hAnsi="Times New Roman" w:cs="Times New Roman"/>
      <w:b/>
      <w:i/>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069E"/>
    <w:rPr>
      <w:rFonts w:ascii="Times New Roman" w:eastAsia="Times New Roman" w:hAnsi="Times New Roman" w:cs="Times New Roman"/>
      <w:b/>
      <w:caps/>
      <w:sz w:val="26"/>
      <w:szCs w:val="20"/>
      <w:lang w:val="x-none" w:eastAsia="x-none"/>
    </w:rPr>
  </w:style>
  <w:style w:type="character" w:customStyle="1" w:styleId="Antrat2Diagrama">
    <w:name w:val="Antraštė 2 Diagrama"/>
    <w:basedOn w:val="Numatytasispastraiposriftas"/>
    <w:link w:val="Antrat2"/>
    <w:uiPriority w:val="9"/>
    <w:rsid w:val="00DD069E"/>
    <w:rPr>
      <w:rFonts w:ascii="Helvetica" w:eastAsia="Times New Roman" w:hAnsi="Helvetica" w:cs="Times New Roman"/>
      <w:b/>
      <w:i/>
      <w:sz w:val="24"/>
      <w:szCs w:val="20"/>
      <w:lang w:eastAsia="x-none"/>
    </w:rPr>
  </w:style>
  <w:style w:type="character" w:customStyle="1" w:styleId="Antrat3Diagrama">
    <w:name w:val="Antraštė 3 Diagrama"/>
    <w:basedOn w:val="Numatytasispastraiposriftas"/>
    <w:link w:val="Antrat3"/>
    <w:uiPriority w:val="9"/>
    <w:rsid w:val="00DD069E"/>
    <w:rPr>
      <w:rFonts w:ascii="Times New Roman" w:eastAsia="Times New Roman" w:hAnsi="Times New Roman" w:cs="Times New Roman"/>
      <w:b/>
      <w:kern w:val="28"/>
      <w:sz w:val="24"/>
      <w:szCs w:val="20"/>
      <w:lang w:val="x-none" w:eastAsia="x-none"/>
    </w:rPr>
  </w:style>
  <w:style w:type="character" w:customStyle="1" w:styleId="Antrat4Diagrama">
    <w:name w:val="Antraštė 4 Diagrama"/>
    <w:basedOn w:val="Numatytasispastraiposriftas"/>
    <w:link w:val="Antrat4"/>
    <w:uiPriority w:val="9"/>
    <w:rsid w:val="00DD069E"/>
    <w:rPr>
      <w:rFonts w:ascii="Times New Roman" w:eastAsia="Times New Roman" w:hAnsi="Times New Roman" w:cs="Times New Roman"/>
      <w:b/>
      <w:noProof/>
      <w:szCs w:val="20"/>
      <w:lang w:eastAsia="x-none"/>
    </w:rPr>
  </w:style>
  <w:style w:type="character" w:customStyle="1" w:styleId="Antrat5Diagrama">
    <w:name w:val="Antraštė 5 Diagrama"/>
    <w:basedOn w:val="Numatytasispastraiposriftas"/>
    <w:link w:val="Antrat5"/>
    <w:uiPriority w:val="9"/>
    <w:rsid w:val="00DD069E"/>
    <w:rPr>
      <w:rFonts w:ascii="Times New Roman" w:eastAsia="Times New Roman" w:hAnsi="Times New Roman" w:cs="Times New Roman"/>
      <w:noProof/>
      <w:szCs w:val="20"/>
      <w:lang w:eastAsia="x-none"/>
    </w:rPr>
  </w:style>
  <w:style w:type="character" w:customStyle="1" w:styleId="Antrat6Diagrama">
    <w:name w:val="Antraštė 6 Diagrama"/>
    <w:basedOn w:val="Numatytasispastraiposriftas"/>
    <w:link w:val="Antrat6"/>
    <w:rsid w:val="00DD069E"/>
    <w:rPr>
      <w:rFonts w:ascii="Times New Roman" w:eastAsia="Times New Roman" w:hAnsi="Times New Roman" w:cs="Times New Roman"/>
      <w:i/>
      <w:szCs w:val="20"/>
      <w:lang w:eastAsia="x-none"/>
    </w:rPr>
  </w:style>
  <w:style w:type="character" w:customStyle="1" w:styleId="Antrat7Diagrama">
    <w:name w:val="Antraštė 7 Diagrama"/>
    <w:basedOn w:val="Numatytasispastraiposriftas"/>
    <w:link w:val="Antrat7"/>
    <w:uiPriority w:val="9"/>
    <w:rsid w:val="00DD069E"/>
    <w:rPr>
      <w:rFonts w:ascii="Times New Roman" w:eastAsia="Times New Roman" w:hAnsi="Times New Roman" w:cs="Times New Roman"/>
      <w:i/>
      <w:szCs w:val="20"/>
      <w:lang w:eastAsia="x-none"/>
    </w:rPr>
  </w:style>
  <w:style w:type="character" w:customStyle="1" w:styleId="Antrat8Diagrama">
    <w:name w:val="Antraštė 8 Diagrama"/>
    <w:basedOn w:val="Numatytasispastraiposriftas"/>
    <w:link w:val="Antrat8"/>
    <w:uiPriority w:val="9"/>
    <w:rsid w:val="00DD069E"/>
    <w:rPr>
      <w:rFonts w:ascii="Times New Roman" w:eastAsia="Times New Roman" w:hAnsi="Times New Roman" w:cs="Times New Roman"/>
      <w:b/>
      <w:i/>
      <w:szCs w:val="20"/>
      <w:lang w:eastAsia="x-none"/>
    </w:rPr>
  </w:style>
  <w:style w:type="character" w:customStyle="1" w:styleId="Antrat9Diagrama">
    <w:name w:val="Antraštė 9 Diagrama"/>
    <w:basedOn w:val="Numatytasispastraiposriftas"/>
    <w:link w:val="Antrat9"/>
    <w:uiPriority w:val="9"/>
    <w:rsid w:val="00DD069E"/>
    <w:rPr>
      <w:rFonts w:ascii="Times New Roman" w:eastAsia="Times New Roman" w:hAnsi="Times New Roman" w:cs="Times New Roman"/>
      <w:b/>
      <w:i/>
      <w:szCs w:val="20"/>
      <w:lang w:eastAsia="x-none"/>
    </w:rPr>
  </w:style>
  <w:style w:type="numbering" w:customStyle="1" w:styleId="NoList1">
    <w:name w:val="No List1"/>
    <w:next w:val="Sraonra"/>
    <w:uiPriority w:val="99"/>
    <w:semiHidden/>
    <w:unhideWhenUsed/>
    <w:rsid w:val="00DD069E"/>
  </w:style>
  <w:style w:type="numbering" w:customStyle="1" w:styleId="NoList11">
    <w:name w:val="No List11"/>
    <w:next w:val="Sraonra"/>
    <w:uiPriority w:val="99"/>
    <w:semiHidden/>
    <w:unhideWhenUsed/>
    <w:rsid w:val="00DD069E"/>
  </w:style>
  <w:style w:type="paragraph" w:styleId="Antrats">
    <w:name w:val="header"/>
    <w:basedOn w:val="prastasis"/>
    <w:link w:val="AntratsDiagrama"/>
    <w:uiPriority w:val="99"/>
    <w:rsid w:val="00DD069E"/>
    <w:pPr>
      <w:tabs>
        <w:tab w:val="left" w:pos="567"/>
        <w:tab w:val="center" w:pos="4153"/>
        <w:tab w:val="right" w:pos="8306"/>
      </w:tabs>
      <w:spacing w:after="0" w:line="240" w:lineRule="auto"/>
    </w:pPr>
    <w:rPr>
      <w:rFonts w:ascii="Helvetica" w:eastAsia="Times New Roman" w:hAnsi="Helvetica" w:cs="Times New Roman"/>
      <w:sz w:val="20"/>
      <w:szCs w:val="20"/>
      <w:lang w:eastAsia="x-none"/>
    </w:rPr>
  </w:style>
  <w:style w:type="character" w:customStyle="1" w:styleId="AntratsDiagrama">
    <w:name w:val="Antraštės Diagrama"/>
    <w:basedOn w:val="Numatytasispastraiposriftas"/>
    <w:link w:val="Antrats"/>
    <w:uiPriority w:val="99"/>
    <w:rsid w:val="00DD069E"/>
    <w:rPr>
      <w:rFonts w:ascii="Helvetica" w:eastAsia="Times New Roman" w:hAnsi="Helvetica" w:cs="Times New Roman"/>
      <w:sz w:val="20"/>
      <w:szCs w:val="20"/>
      <w:lang w:eastAsia="x-none"/>
    </w:rPr>
  </w:style>
  <w:style w:type="paragraph" w:styleId="Porat">
    <w:name w:val="footer"/>
    <w:basedOn w:val="prastasis"/>
    <w:link w:val="PoratDiagrama"/>
    <w:uiPriority w:val="99"/>
    <w:rsid w:val="00DD069E"/>
    <w:pPr>
      <w:tabs>
        <w:tab w:val="left" w:pos="567"/>
        <w:tab w:val="center" w:pos="4536"/>
        <w:tab w:val="center" w:pos="8930"/>
      </w:tabs>
      <w:spacing w:after="0" w:line="240" w:lineRule="auto"/>
    </w:pPr>
    <w:rPr>
      <w:rFonts w:ascii="Helvetica" w:eastAsia="Times New Roman" w:hAnsi="Helvetica" w:cs="Times New Roman"/>
      <w:sz w:val="16"/>
      <w:szCs w:val="20"/>
      <w:lang w:eastAsia="x-none"/>
    </w:rPr>
  </w:style>
  <w:style w:type="character" w:customStyle="1" w:styleId="PoratDiagrama">
    <w:name w:val="Poraštė Diagrama"/>
    <w:basedOn w:val="Numatytasispastraiposriftas"/>
    <w:link w:val="Porat"/>
    <w:uiPriority w:val="99"/>
    <w:rsid w:val="00DD069E"/>
    <w:rPr>
      <w:rFonts w:ascii="Helvetica" w:eastAsia="Times New Roman" w:hAnsi="Helvetica" w:cs="Times New Roman"/>
      <w:sz w:val="16"/>
      <w:szCs w:val="20"/>
      <w:lang w:eastAsia="x-none"/>
    </w:rPr>
  </w:style>
  <w:style w:type="character" w:styleId="Puslapionumeris">
    <w:name w:val="page number"/>
    <w:basedOn w:val="Numatytasispastraiposriftas"/>
    <w:uiPriority w:val="99"/>
    <w:rsid w:val="00DD069E"/>
  </w:style>
  <w:style w:type="character" w:customStyle="1" w:styleId="PagrindiniotekstotraukaDiagrama">
    <w:name w:val="Pagrindinio teksto įtrauka Diagrama"/>
    <w:link w:val="Pagrindiniotekstotrauka"/>
    <w:uiPriority w:val="99"/>
    <w:rsid w:val="00DD069E"/>
    <w:rPr>
      <w:rFonts w:ascii="Times New Roman" w:eastAsia="Times New Roman" w:hAnsi="Times New Roman"/>
      <w:lang w:val="en-GB" w:eastAsia="en-GB"/>
    </w:rPr>
  </w:style>
  <w:style w:type="paragraph" w:styleId="Pagrindiniotekstotrauka">
    <w:name w:val="Body Text Indent"/>
    <w:basedOn w:val="prastasis"/>
    <w:link w:val="PagrindiniotekstotraukaDiagrama"/>
    <w:uiPriority w:val="99"/>
    <w:rsid w:val="00DD069E"/>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BodyTextIndentChar1">
    <w:name w:val="Body Text Indent Char1"/>
    <w:basedOn w:val="Numatytasispastraiposriftas"/>
    <w:uiPriority w:val="99"/>
    <w:semiHidden/>
    <w:rsid w:val="00DD069E"/>
  </w:style>
  <w:style w:type="character" w:customStyle="1" w:styleId="Pagrindinistekstas3Diagrama">
    <w:name w:val="Pagrindinis tekstas 3 Diagrama"/>
    <w:link w:val="Pagrindinistekstas3"/>
    <w:uiPriority w:val="99"/>
    <w:rsid w:val="00DD069E"/>
    <w:rPr>
      <w:rFonts w:ascii="Times New Roman" w:eastAsia="Times New Roman" w:hAnsi="Times New Roman"/>
      <w:color w:val="0000FF"/>
      <w:lang w:val="en-GB" w:eastAsia="en-GB"/>
    </w:rPr>
  </w:style>
  <w:style w:type="paragraph" w:styleId="Pagrindinistekstas3">
    <w:name w:val="Body Text 3"/>
    <w:basedOn w:val="prastasis"/>
    <w:link w:val="Pagrindinistekstas3Diagrama"/>
    <w:uiPriority w:val="99"/>
    <w:rsid w:val="00DD069E"/>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BodyText3Char1">
    <w:name w:val="Body Text 3 Char1"/>
    <w:basedOn w:val="Numatytasispastraiposriftas"/>
    <w:uiPriority w:val="99"/>
    <w:semiHidden/>
    <w:rsid w:val="00DD069E"/>
    <w:rPr>
      <w:sz w:val="16"/>
      <w:szCs w:val="16"/>
    </w:rPr>
  </w:style>
  <w:style w:type="character" w:customStyle="1" w:styleId="Pagrindiniotekstotrauka2Diagrama">
    <w:name w:val="Pagrindinio teksto įtrauka 2 Diagrama"/>
    <w:link w:val="Pagrindiniotekstotrauka2"/>
    <w:uiPriority w:val="99"/>
    <w:rsid w:val="00DD069E"/>
    <w:rPr>
      <w:rFonts w:ascii="Times New Roman" w:eastAsia="Times New Roman" w:hAnsi="Times New Roman"/>
      <w:b/>
      <w:bCs/>
      <w:color w:val="0000FF"/>
      <w:lang w:val="en-GB" w:eastAsia="x-none"/>
    </w:rPr>
  </w:style>
  <w:style w:type="paragraph" w:styleId="Pagrindiniotekstotrauka2">
    <w:name w:val="Body Text Indent 2"/>
    <w:basedOn w:val="prastasis"/>
    <w:link w:val="Pagrindiniotekstotrauka2Diagrama"/>
    <w:uiPriority w:val="99"/>
    <w:rsid w:val="00DD06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eastAsia="x-none"/>
    </w:rPr>
  </w:style>
  <w:style w:type="character" w:customStyle="1" w:styleId="BodyTextIndent2Char1">
    <w:name w:val="Body Text Indent 2 Char1"/>
    <w:basedOn w:val="Numatytasispastraiposriftas"/>
    <w:uiPriority w:val="99"/>
    <w:semiHidden/>
    <w:rsid w:val="00DD069E"/>
  </w:style>
  <w:style w:type="paragraph" w:styleId="Pagrindinistekstas">
    <w:name w:val="Body Text"/>
    <w:basedOn w:val="prastasis"/>
    <w:link w:val="PagrindinistekstasDiagrama"/>
    <w:uiPriority w:val="99"/>
    <w:rsid w:val="00DD069E"/>
    <w:pPr>
      <w:spacing w:after="0" w:line="240" w:lineRule="auto"/>
    </w:pPr>
    <w:rPr>
      <w:rFonts w:ascii="Times New Roman" w:eastAsia="Times New Roman" w:hAnsi="Times New Roman" w:cs="Times New Roman"/>
      <w:i/>
      <w:color w:val="008000"/>
      <w:szCs w:val="20"/>
      <w:lang w:eastAsia="x-none"/>
    </w:rPr>
  </w:style>
  <w:style w:type="character" w:customStyle="1" w:styleId="PagrindinistekstasDiagrama">
    <w:name w:val="Pagrindinis tekstas Diagrama"/>
    <w:basedOn w:val="Numatytasispastraiposriftas"/>
    <w:link w:val="Pagrindinistekstas"/>
    <w:uiPriority w:val="99"/>
    <w:rsid w:val="00DD069E"/>
    <w:rPr>
      <w:rFonts w:ascii="Times New Roman" w:eastAsia="Times New Roman" w:hAnsi="Times New Roman" w:cs="Times New Roman"/>
      <w:i/>
      <w:color w:val="008000"/>
      <w:szCs w:val="20"/>
      <w:lang w:eastAsia="x-none"/>
    </w:rPr>
  </w:style>
  <w:style w:type="paragraph" w:styleId="Pagrindinistekstas2">
    <w:name w:val="Body Text 2"/>
    <w:basedOn w:val="prastasis"/>
    <w:link w:val="Pagrindinistekstas2Diagrama"/>
    <w:uiPriority w:val="99"/>
    <w:rsid w:val="00DD06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eastAsia="x-none"/>
    </w:rPr>
  </w:style>
  <w:style w:type="character" w:customStyle="1" w:styleId="Pagrindinistekstas2Diagrama">
    <w:name w:val="Pagrindinis tekstas 2 Diagrama"/>
    <w:basedOn w:val="Numatytasispastraiposriftas"/>
    <w:link w:val="Pagrindinistekstas2"/>
    <w:uiPriority w:val="99"/>
    <w:rsid w:val="00DD069E"/>
    <w:rPr>
      <w:rFonts w:ascii="Times New Roman" w:eastAsia="Times New Roman" w:hAnsi="Times New Roman" w:cs="Times New Roman"/>
      <w:b/>
      <w:bCs/>
      <w:color w:val="0000FF"/>
      <w:u w:val="single"/>
      <w:lang w:eastAsia="x-none"/>
    </w:rPr>
  </w:style>
  <w:style w:type="character" w:customStyle="1" w:styleId="KomentarotekstasDiagrama">
    <w:name w:val="Komentaro tekstas Diagrama"/>
    <w:link w:val="Komentarotekstas"/>
    <w:uiPriority w:val="99"/>
    <w:semiHidden/>
    <w:rsid w:val="00DD069E"/>
    <w:rPr>
      <w:rFonts w:ascii="Times New Roman" w:eastAsia="Times New Roman" w:hAnsi="Times New Roman"/>
      <w:lang w:val="en-GB"/>
    </w:rPr>
  </w:style>
  <w:style w:type="paragraph" w:styleId="Komentarotekstas">
    <w:name w:val="annotation text"/>
    <w:basedOn w:val="prastasis"/>
    <w:link w:val="KomentarotekstasDiagrama"/>
    <w:uiPriority w:val="99"/>
    <w:semiHidden/>
    <w:rsid w:val="00DD069E"/>
    <w:pPr>
      <w:tabs>
        <w:tab w:val="left" w:pos="567"/>
      </w:tabs>
      <w:spacing w:after="0" w:line="260" w:lineRule="exact"/>
    </w:pPr>
    <w:rPr>
      <w:rFonts w:ascii="Times New Roman" w:eastAsia="Times New Roman" w:hAnsi="Times New Roman"/>
      <w:lang w:val="en-GB"/>
    </w:rPr>
  </w:style>
  <w:style w:type="character" w:customStyle="1" w:styleId="CommentTextChar1">
    <w:name w:val="Comment Text Char1"/>
    <w:basedOn w:val="Numatytasispastraiposriftas"/>
    <w:uiPriority w:val="99"/>
    <w:semiHidden/>
    <w:rsid w:val="00DD069E"/>
    <w:rPr>
      <w:sz w:val="20"/>
      <w:szCs w:val="20"/>
    </w:rPr>
  </w:style>
  <w:style w:type="character" w:customStyle="1" w:styleId="DokumentostruktraDiagrama">
    <w:name w:val="Dokumento struktūra Diagrama"/>
    <w:link w:val="Dokumentostruktra"/>
    <w:uiPriority w:val="99"/>
    <w:semiHidden/>
    <w:rsid w:val="00DD069E"/>
    <w:rPr>
      <w:rFonts w:ascii="Tahoma" w:eastAsia="Times New Roman" w:hAnsi="Tahoma" w:cs="Tahoma"/>
      <w:shd w:val="clear" w:color="auto" w:fill="000080"/>
    </w:rPr>
  </w:style>
  <w:style w:type="paragraph" w:styleId="Dokumentostruktra">
    <w:name w:val="Document Map"/>
    <w:basedOn w:val="prastasis"/>
    <w:link w:val="DokumentostruktraDiagrama"/>
    <w:uiPriority w:val="99"/>
    <w:semiHidden/>
    <w:rsid w:val="00DD069E"/>
    <w:pPr>
      <w:shd w:val="clear" w:color="auto" w:fill="000080"/>
      <w:tabs>
        <w:tab w:val="left" w:pos="567"/>
      </w:tabs>
      <w:spacing w:after="0" w:line="260" w:lineRule="exact"/>
    </w:pPr>
    <w:rPr>
      <w:rFonts w:ascii="Tahoma" w:eastAsia="Times New Roman" w:hAnsi="Tahoma" w:cs="Tahoma"/>
    </w:rPr>
  </w:style>
  <w:style w:type="character" w:customStyle="1" w:styleId="DocumentMapChar">
    <w:name w:val="Document Map Char"/>
    <w:basedOn w:val="Numatytasispastraiposriftas"/>
    <w:uiPriority w:val="99"/>
    <w:semiHidden/>
    <w:rsid w:val="00DD069E"/>
    <w:rPr>
      <w:rFonts w:ascii="Segoe UI" w:hAnsi="Segoe UI" w:cs="Segoe UI"/>
      <w:sz w:val="16"/>
      <w:szCs w:val="16"/>
    </w:rPr>
  </w:style>
  <w:style w:type="character" w:styleId="Hipersaitas">
    <w:name w:val="Hyperlink"/>
    <w:uiPriority w:val="99"/>
    <w:rsid w:val="00DD069E"/>
    <w:rPr>
      <w:color w:val="0000FF"/>
      <w:u w:val="single"/>
    </w:rPr>
  </w:style>
  <w:style w:type="paragraph" w:customStyle="1" w:styleId="AHeader1">
    <w:name w:val="AHeader 1"/>
    <w:basedOn w:val="prastasis"/>
    <w:uiPriority w:val="99"/>
    <w:rsid w:val="00862DF2"/>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uiPriority w:val="99"/>
    <w:rsid w:val="00862DF2"/>
    <w:pPr>
      <w:numPr>
        <w:ilvl w:val="1"/>
      </w:numPr>
      <w:tabs>
        <w:tab w:val="clear" w:pos="709"/>
        <w:tab w:val="num" w:pos="360"/>
      </w:tabs>
    </w:pPr>
    <w:rPr>
      <w:sz w:val="22"/>
    </w:rPr>
  </w:style>
  <w:style w:type="paragraph" w:customStyle="1" w:styleId="AHeader3">
    <w:name w:val="AHeader 3"/>
    <w:basedOn w:val="AHeader2"/>
    <w:uiPriority w:val="99"/>
    <w:rsid w:val="00862DF2"/>
    <w:pPr>
      <w:numPr>
        <w:ilvl w:val="2"/>
      </w:numPr>
      <w:tabs>
        <w:tab w:val="clear" w:pos="1276"/>
        <w:tab w:val="num" w:pos="360"/>
      </w:tabs>
    </w:pPr>
  </w:style>
  <w:style w:type="paragraph" w:customStyle="1" w:styleId="AHeader2abc">
    <w:name w:val="AHeader 2 abc"/>
    <w:basedOn w:val="AHeader3"/>
    <w:uiPriority w:val="99"/>
    <w:rsid w:val="00862DF2"/>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862DF2"/>
    <w:pPr>
      <w:numPr>
        <w:ilvl w:val="4"/>
      </w:numPr>
      <w:tabs>
        <w:tab w:val="clear" w:pos="1701"/>
        <w:tab w:val="num" w:pos="360"/>
      </w:tabs>
    </w:pPr>
  </w:style>
  <w:style w:type="character" w:customStyle="1" w:styleId="Pagrindiniotekstotrauka3Diagrama">
    <w:name w:val="Pagrindinio teksto įtrauka 3 Diagrama"/>
    <w:link w:val="Pagrindiniotekstotrauka3"/>
    <w:uiPriority w:val="99"/>
    <w:rsid w:val="00DD069E"/>
    <w:rPr>
      <w:rFonts w:ascii="Times New Roman" w:eastAsia="Times New Roman" w:hAnsi="Times New Roman"/>
      <w:szCs w:val="21"/>
      <w:lang w:val="en-GB" w:eastAsia="x-none"/>
    </w:rPr>
  </w:style>
  <w:style w:type="paragraph" w:styleId="Pagrindiniotekstotrauka3">
    <w:name w:val="Body Text Indent 3"/>
    <w:basedOn w:val="prastasis"/>
    <w:link w:val="Pagrindiniotekstotrauka3Diagrama"/>
    <w:uiPriority w:val="99"/>
    <w:rsid w:val="00DD069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eastAsia="x-none"/>
    </w:rPr>
  </w:style>
  <w:style w:type="character" w:customStyle="1" w:styleId="BodyTextIndent3Char1">
    <w:name w:val="Body Text Indent 3 Char1"/>
    <w:basedOn w:val="Numatytasispastraiposriftas"/>
    <w:uiPriority w:val="99"/>
    <w:semiHidden/>
    <w:rsid w:val="00DD069E"/>
    <w:rPr>
      <w:sz w:val="16"/>
      <w:szCs w:val="16"/>
    </w:rPr>
  </w:style>
  <w:style w:type="character" w:customStyle="1" w:styleId="DebesliotekstasDiagrama">
    <w:name w:val="Debesėlio tekstas Diagrama"/>
    <w:link w:val="Debesliotekstas"/>
    <w:uiPriority w:val="99"/>
    <w:semiHidden/>
    <w:rsid w:val="00DD069E"/>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rsid w:val="00DD069E"/>
    <w:pPr>
      <w:tabs>
        <w:tab w:val="left" w:pos="567"/>
      </w:tabs>
      <w:spacing w:after="0" w:line="260" w:lineRule="exact"/>
    </w:pPr>
    <w:rPr>
      <w:rFonts w:ascii="Tahoma" w:eastAsia="Times New Roman" w:hAnsi="Tahoma" w:cs="Tahoma"/>
      <w:sz w:val="16"/>
      <w:szCs w:val="16"/>
      <w:lang w:val="en-GB"/>
    </w:rPr>
  </w:style>
  <w:style w:type="character" w:customStyle="1" w:styleId="BalloonTextChar1">
    <w:name w:val="Balloon Text Char1"/>
    <w:basedOn w:val="Numatytasispastraiposriftas"/>
    <w:uiPriority w:val="99"/>
    <w:semiHidden/>
    <w:rsid w:val="00DD069E"/>
    <w:rPr>
      <w:rFonts w:ascii="Segoe UI" w:hAnsi="Segoe UI" w:cs="Segoe UI"/>
      <w:sz w:val="18"/>
      <w:szCs w:val="18"/>
    </w:rPr>
  </w:style>
  <w:style w:type="character" w:customStyle="1" w:styleId="KomentarotemaDiagrama">
    <w:name w:val="Komentaro tema Diagrama"/>
    <w:link w:val="Komentarotema"/>
    <w:uiPriority w:val="99"/>
    <w:semiHidden/>
    <w:rsid w:val="00DD069E"/>
    <w:rPr>
      <w:rFonts w:ascii="Times New Roman" w:eastAsia="Times New Roman" w:hAnsi="Times New Roman"/>
      <w:b/>
      <w:bCs/>
      <w:lang w:val="en-GB"/>
    </w:rPr>
  </w:style>
  <w:style w:type="paragraph" w:styleId="Komentarotema">
    <w:name w:val="annotation subject"/>
    <w:basedOn w:val="Komentarotekstas"/>
    <w:next w:val="Komentarotekstas"/>
    <w:link w:val="KomentarotemaDiagrama"/>
    <w:uiPriority w:val="99"/>
    <w:semiHidden/>
    <w:rsid w:val="00DD069E"/>
    <w:rPr>
      <w:b/>
      <w:bCs/>
    </w:rPr>
  </w:style>
  <w:style w:type="character" w:customStyle="1" w:styleId="CommentSubjectChar">
    <w:name w:val="Comment Subject Char"/>
    <w:basedOn w:val="CommentTextChar1"/>
    <w:uiPriority w:val="99"/>
    <w:semiHidden/>
    <w:rsid w:val="00DD069E"/>
    <w:rPr>
      <w:b/>
      <w:bCs/>
      <w:sz w:val="20"/>
      <w:szCs w:val="20"/>
    </w:rPr>
  </w:style>
  <w:style w:type="character" w:styleId="Komentaronuoroda">
    <w:name w:val="annotation reference"/>
    <w:uiPriority w:val="99"/>
    <w:rsid w:val="00DD069E"/>
    <w:rPr>
      <w:sz w:val="16"/>
      <w:szCs w:val="16"/>
    </w:rPr>
  </w:style>
  <w:style w:type="paragraph" w:customStyle="1" w:styleId="Default">
    <w:name w:val="Default"/>
    <w:uiPriority w:val="99"/>
    <w:rsid w:val="00DD069E"/>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bidi="te-IN"/>
    </w:rPr>
  </w:style>
  <w:style w:type="paragraph" w:customStyle="1" w:styleId="EMEAEnBodyText">
    <w:name w:val="EMEA En Body Text"/>
    <w:basedOn w:val="prastasis"/>
    <w:uiPriority w:val="99"/>
    <w:rsid w:val="00DD069E"/>
    <w:pPr>
      <w:spacing w:before="120" w:after="120" w:line="240" w:lineRule="auto"/>
      <w:jc w:val="both"/>
    </w:pPr>
    <w:rPr>
      <w:rFonts w:ascii="Times New Roman" w:eastAsia="Calibri" w:hAnsi="Times New Roman" w:cs="Times New Roman"/>
      <w:szCs w:val="20"/>
      <w:lang w:val="en-US"/>
    </w:rPr>
  </w:style>
  <w:style w:type="character" w:styleId="Perirtashipersaitas">
    <w:name w:val="FollowedHyperlink"/>
    <w:uiPriority w:val="99"/>
    <w:rsid w:val="00DD069E"/>
    <w:rPr>
      <w:rFonts w:cs="Times New Roman"/>
      <w:color w:val="800080"/>
      <w:u w:val="single"/>
    </w:rPr>
  </w:style>
  <w:style w:type="character" w:customStyle="1" w:styleId="longtext">
    <w:name w:val="long_text"/>
    <w:uiPriority w:val="99"/>
    <w:rsid w:val="00DD069E"/>
    <w:rPr>
      <w:rFonts w:cs="Times New Roman"/>
    </w:rPr>
  </w:style>
  <w:style w:type="character" w:customStyle="1" w:styleId="hps">
    <w:name w:val="hps"/>
    <w:uiPriority w:val="99"/>
    <w:rsid w:val="00DD069E"/>
    <w:rPr>
      <w:rFonts w:cs="Times New Roman"/>
    </w:rPr>
  </w:style>
  <w:style w:type="paragraph" w:customStyle="1" w:styleId="Sraopastraipa1">
    <w:name w:val="Sąrašo pastraipa1"/>
    <w:basedOn w:val="prastasis"/>
    <w:uiPriority w:val="99"/>
    <w:qFormat/>
    <w:rsid w:val="00DD069E"/>
    <w:pPr>
      <w:tabs>
        <w:tab w:val="left" w:pos="567"/>
      </w:tabs>
      <w:spacing w:after="0" w:line="260" w:lineRule="exact"/>
      <w:ind w:left="720"/>
    </w:pPr>
    <w:rPr>
      <w:rFonts w:ascii="Times New Roman" w:eastAsia="Calibri" w:hAnsi="Times New Roman" w:cs="Times New Roman"/>
      <w:szCs w:val="20"/>
      <w:lang w:val="en-GB"/>
    </w:rPr>
  </w:style>
  <w:style w:type="paragraph" w:customStyle="1" w:styleId="BodyText21">
    <w:name w:val="Body Text 21"/>
    <w:basedOn w:val="prastasis"/>
    <w:uiPriority w:val="99"/>
    <w:rsid w:val="00DD069E"/>
    <w:pPr>
      <w:spacing w:after="0" w:line="240" w:lineRule="auto"/>
      <w:ind w:left="709" w:hanging="709"/>
      <w:jc w:val="both"/>
    </w:pPr>
    <w:rPr>
      <w:rFonts w:ascii="Times New Roman" w:eastAsia="Calibri" w:hAnsi="Times New Roman" w:cs="Times New Roman"/>
      <w:sz w:val="24"/>
      <w:szCs w:val="20"/>
      <w:lang w:val="en-GB" w:eastAsia="hu-HU"/>
    </w:rPr>
  </w:style>
  <w:style w:type="paragraph" w:customStyle="1" w:styleId="PI-2EMEASMCA">
    <w:name w:val="PI-2 EMEA_SMCA"/>
    <w:basedOn w:val="Antrat3"/>
    <w:autoRedefine/>
    <w:uiPriority w:val="99"/>
    <w:rsid w:val="00DD069E"/>
    <w:p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uiPriority w:val="99"/>
    <w:rsid w:val="00DD069E"/>
    <w:pPr>
      <w:spacing w:after="0" w:line="240" w:lineRule="auto"/>
    </w:pPr>
    <w:rPr>
      <w:rFonts w:ascii="Times New Roman" w:eastAsia="Times New Roman" w:hAnsi="Times New Roman" w:cs="Times New Roman"/>
      <w:noProof/>
      <w:lang w:eastAsia="x-none"/>
    </w:rPr>
  </w:style>
  <w:style w:type="character" w:customStyle="1" w:styleId="BTEMEASMCAChar">
    <w:name w:val="BT EMEA_SMCA Char"/>
    <w:link w:val="BTEMEASMCA"/>
    <w:uiPriority w:val="99"/>
    <w:locked/>
    <w:rsid w:val="00DD069E"/>
    <w:rPr>
      <w:rFonts w:ascii="Times New Roman" w:eastAsia="Times New Roman" w:hAnsi="Times New Roman" w:cs="Times New Roman"/>
      <w:noProof/>
      <w:lang w:eastAsia="x-none"/>
    </w:rPr>
  </w:style>
  <w:style w:type="character" w:customStyle="1" w:styleId="googqs-tidbit1">
    <w:name w:val="goog_qs-tidbit1"/>
    <w:uiPriority w:val="99"/>
    <w:rsid w:val="00DD069E"/>
    <w:rPr>
      <w:rFonts w:cs="Times New Roman"/>
    </w:rPr>
  </w:style>
  <w:style w:type="character" w:styleId="Emfaz">
    <w:name w:val="Emphasis"/>
    <w:uiPriority w:val="20"/>
    <w:qFormat/>
    <w:rsid w:val="00DD069E"/>
    <w:rPr>
      <w:rFonts w:cs="Times New Roman"/>
      <w:b/>
      <w:bCs/>
    </w:rPr>
  </w:style>
  <w:style w:type="character" w:customStyle="1" w:styleId="st1">
    <w:name w:val="st1"/>
    <w:uiPriority w:val="99"/>
    <w:rsid w:val="00DD069E"/>
    <w:rPr>
      <w:rFonts w:cs="Times New Roman"/>
    </w:rPr>
  </w:style>
  <w:style w:type="paragraph" w:customStyle="1" w:styleId="BodyTextIndent21">
    <w:name w:val="Body Text Indent 21"/>
    <w:basedOn w:val="prastasis"/>
    <w:rsid w:val="00DD069E"/>
    <w:pPr>
      <w:spacing w:after="0" w:line="240" w:lineRule="auto"/>
      <w:ind w:left="709" w:hanging="1"/>
      <w:jc w:val="both"/>
    </w:pPr>
    <w:rPr>
      <w:rFonts w:ascii="Times New Roman" w:eastAsia="Times New Roman" w:hAnsi="Times New Roman" w:cs="Times New Roman"/>
      <w:sz w:val="24"/>
      <w:szCs w:val="20"/>
      <w:lang w:val="en-GB" w:eastAsia="hu-HU"/>
    </w:rPr>
  </w:style>
  <w:style w:type="paragraph" w:customStyle="1" w:styleId="Sraopastraipa2">
    <w:name w:val="Sąrašo pastraipa2"/>
    <w:basedOn w:val="prastasis"/>
    <w:uiPriority w:val="99"/>
    <w:qFormat/>
    <w:rsid w:val="00DD069E"/>
    <w:pPr>
      <w:tabs>
        <w:tab w:val="left" w:pos="567"/>
      </w:tabs>
      <w:spacing w:after="0" w:line="260" w:lineRule="exact"/>
      <w:ind w:left="720"/>
    </w:pPr>
    <w:rPr>
      <w:rFonts w:ascii="Times New Roman" w:eastAsia="Calibri" w:hAnsi="Times New Roman" w:cs="Times New Roman"/>
      <w:szCs w:val="20"/>
      <w:lang w:val="en-GB"/>
    </w:rPr>
  </w:style>
  <w:style w:type="table" w:styleId="Lentelstinklelis">
    <w:name w:val="Table Grid"/>
    <w:basedOn w:val="prastojilentel"/>
    <w:uiPriority w:val="59"/>
    <w:rsid w:val="00DD069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Header">
    <w:name w:val="A-Table Header"/>
    <w:next w:val="prastasis"/>
    <w:rsid w:val="00DD069E"/>
    <w:pPr>
      <w:keepNext/>
      <w:overflowPunct w:val="0"/>
      <w:autoSpaceDE w:val="0"/>
      <w:autoSpaceDN w:val="0"/>
      <w:adjustRightInd w:val="0"/>
      <w:spacing w:before="60" w:after="60" w:line="240" w:lineRule="auto"/>
    </w:pPr>
    <w:rPr>
      <w:rFonts w:ascii="Times New Roman" w:eastAsia="Times New Roman" w:hAnsi="Times New Roman" w:cs="Times New Roman"/>
      <w:b/>
      <w:bCs/>
      <w:lang w:val="en-GB"/>
    </w:rPr>
  </w:style>
  <w:style w:type="paragraph" w:styleId="Sraopastraipa">
    <w:name w:val="List Paragraph"/>
    <w:basedOn w:val="prastasis"/>
    <w:qFormat/>
    <w:rsid w:val="00DD069E"/>
    <w:pPr>
      <w:tabs>
        <w:tab w:val="left" w:pos="567"/>
      </w:tabs>
      <w:spacing w:after="0" w:line="260" w:lineRule="exact"/>
      <w:ind w:left="720"/>
    </w:pPr>
    <w:rPr>
      <w:rFonts w:ascii="Times New Roman" w:eastAsia="Calibri" w:hAnsi="Times New Roman" w:cs="Times New Roman"/>
      <w:szCs w:val="20"/>
      <w:lang w:val="en-GB"/>
    </w:rPr>
  </w:style>
  <w:style w:type="paragraph" w:styleId="Pataisymai">
    <w:name w:val="Revision"/>
    <w:hidden/>
    <w:uiPriority w:val="99"/>
    <w:semiHidden/>
    <w:rsid w:val="00DD069E"/>
    <w:pPr>
      <w:spacing w:after="0" w:line="240" w:lineRule="auto"/>
    </w:pPr>
    <w:rPr>
      <w:rFonts w:ascii="Calibri" w:eastAsia="Calibri" w:hAnsi="Calibri" w:cs="Times New Roman"/>
    </w:rPr>
  </w:style>
  <w:style w:type="numbering" w:customStyle="1" w:styleId="NoList2">
    <w:name w:val="No List2"/>
    <w:next w:val="Sraonra"/>
    <w:uiPriority w:val="99"/>
    <w:semiHidden/>
    <w:unhideWhenUsed/>
    <w:rsid w:val="00DD069E"/>
  </w:style>
  <w:style w:type="paragraph" w:styleId="Betarp">
    <w:name w:val="No Spacing"/>
    <w:uiPriority w:val="1"/>
    <w:qFormat/>
    <w:rsid w:val="00DD069E"/>
    <w:pPr>
      <w:spacing w:after="0" w:line="240" w:lineRule="auto"/>
    </w:pPr>
    <w:rPr>
      <w:rFonts w:ascii="Calibri" w:eastAsia="Calibri" w:hAnsi="Calibri" w:cs="Times New Roman"/>
    </w:rPr>
  </w:style>
  <w:style w:type="character" w:customStyle="1" w:styleId="PagrindiniotekstotraukaDiagrama1">
    <w:name w:val="Pagrindinio teksto įtrauka Diagrama1"/>
    <w:basedOn w:val="Numatytasispastraiposriftas"/>
    <w:uiPriority w:val="99"/>
    <w:semiHidden/>
    <w:rsid w:val="00DD069E"/>
    <w:rPr>
      <w:lang w:val="en-US"/>
    </w:rPr>
  </w:style>
  <w:style w:type="character" w:customStyle="1" w:styleId="Pagrindinistekstas3Diagrama1">
    <w:name w:val="Pagrindinis tekstas 3 Diagrama1"/>
    <w:basedOn w:val="Numatytasispastraiposriftas"/>
    <w:uiPriority w:val="99"/>
    <w:semiHidden/>
    <w:rsid w:val="00DD069E"/>
    <w:rPr>
      <w:sz w:val="16"/>
      <w:szCs w:val="16"/>
      <w:lang w:val="en-US"/>
    </w:rPr>
  </w:style>
  <w:style w:type="character" w:customStyle="1" w:styleId="Pagrindiniotekstotrauka2Diagrama1">
    <w:name w:val="Pagrindinio teksto įtrauka 2 Diagrama1"/>
    <w:basedOn w:val="Numatytasispastraiposriftas"/>
    <w:uiPriority w:val="99"/>
    <w:semiHidden/>
    <w:rsid w:val="00DD069E"/>
    <w:rPr>
      <w:lang w:val="en-US"/>
    </w:rPr>
  </w:style>
  <w:style w:type="character" w:customStyle="1" w:styleId="KomentarotekstasDiagrama1">
    <w:name w:val="Komentaro tekstas Diagrama1"/>
    <w:basedOn w:val="Numatytasispastraiposriftas"/>
    <w:uiPriority w:val="99"/>
    <w:semiHidden/>
    <w:rsid w:val="00DD069E"/>
    <w:rPr>
      <w:sz w:val="20"/>
      <w:szCs w:val="20"/>
      <w:lang w:val="en-US"/>
    </w:rPr>
  </w:style>
  <w:style w:type="character" w:customStyle="1" w:styleId="DokumentostruktraDiagrama1">
    <w:name w:val="Dokumento struktūra Diagrama1"/>
    <w:basedOn w:val="Numatytasispastraiposriftas"/>
    <w:uiPriority w:val="99"/>
    <w:semiHidden/>
    <w:rsid w:val="00DD069E"/>
    <w:rPr>
      <w:rFonts w:ascii="Segoe UI" w:hAnsi="Segoe UI" w:cs="Segoe UI"/>
      <w:sz w:val="16"/>
      <w:szCs w:val="16"/>
      <w:lang w:val="en-US"/>
    </w:rPr>
  </w:style>
  <w:style w:type="character" w:customStyle="1" w:styleId="Pagrindiniotekstotrauka3Diagrama1">
    <w:name w:val="Pagrindinio teksto įtrauka 3 Diagrama1"/>
    <w:basedOn w:val="Numatytasispastraiposriftas"/>
    <w:uiPriority w:val="99"/>
    <w:semiHidden/>
    <w:rsid w:val="00DD069E"/>
    <w:rPr>
      <w:sz w:val="16"/>
      <w:szCs w:val="16"/>
      <w:lang w:val="en-US"/>
    </w:rPr>
  </w:style>
  <w:style w:type="character" w:customStyle="1" w:styleId="DebesliotekstasDiagrama1">
    <w:name w:val="Debesėlio tekstas Diagrama1"/>
    <w:basedOn w:val="Numatytasispastraiposriftas"/>
    <w:uiPriority w:val="99"/>
    <w:semiHidden/>
    <w:rsid w:val="00DD069E"/>
    <w:rPr>
      <w:rFonts w:ascii="Segoe UI" w:hAnsi="Segoe UI" w:cs="Segoe UI"/>
      <w:sz w:val="18"/>
      <w:szCs w:val="18"/>
      <w:lang w:val="en-US"/>
    </w:rPr>
  </w:style>
  <w:style w:type="character" w:customStyle="1" w:styleId="KomentarotemaDiagrama1">
    <w:name w:val="Komentaro tema Diagrama1"/>
    <w:basedOn w:val="KomentarotekstasDiagrama1"/>
    <w:uiPriority w:val="99"/>
    <w:semiHidden/>
    <w:rsid w:val="00DD069E"/>
    <w:rPr>
      <w:b/>
      <w:bCs/>
      <w:sz w:val="20"/>
      <w:szCs w:val="20"/>
      <w:lang w:val="en-US"/>
    </w:rPr>
  </w:style>
  <w:style w:type="character" w:customStyle="1" w:styleId="Feloldatlanmegemlts1">
    <w:name w:val="Feloldatlan megemlítés1"/>
    <w:basedOn w:val="Numatytasispastraiposriftas"/>
    <w:uiPriority w:val="99"/>
    <w:semiHidden/>
    <w:unhideWhenUsed/>
    <w:rsid w:val="009F52FB"/>
    <w:rPr>
      <w:color w:val="605E5C"/>
      <w:shd w:val="clear" w:color="auto" w:fill="E1DFDD"/>
    </w:rPr>
  </w:style>
  <w:style w:type="character" w:customStyle="1" w:styleId="UnresolvedMention1">
    <w:name w:val="Unresolved Mention1"/>
    <w:basedOn w:val="Numatytasispastraiposriftas"/>
    <w:uiPriority w:val="99"/>
    <w:semiHidden/>
    <w:unhideWhenUsed/>
    <w:rsid w:val="00862DF2"/>
    <w:rPr>
      <w:color w:val="605E5C"/>
      <w:shd w:val="clear" w:color="auto" w:fill="E1DFDD"/>
    </w:rPr>
  </w:style>
  <w:style w:type="character" w:customStyle="1" w:styleId="UnresolvedMention">
    <w:name w:val="Unresolved Mention"/>
    <w:basedOn w:val="Numatytasispastraiposriftas"/>
    <w:uiPriority w:val="99"/>
    <w:semiHidden/>
    <w:unhideWhenUsed/>
    <w:rsid w:val="00D1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58394">
      <w:bodyDiv w:val="1"/>
      <w:marLeft w:val="0"/>
      <w:marRight w:val="0"/>
      <w:marTop w:val="0"/>
      <w:marBottom w:val="0"/>
      <w:divBdr>
        <w:top w:val="none" w:sz="0" w:space="0" w:color="auto"/>
        <w:left w:val="none" w:sz="0" w:space="0" w:color="auto"/>
        <w:bottom w:val="none" w:sz="0" w:space="0" w:color="auto"/>
        <w:right w:val="none" w:sz="0" w:space="0" w:color="auto"/>
      </w:divBdr>
    </w:div>
    <w:div w:id="922180918">
      <w:bodyDiv w:val="1"/>
      <w:marLeft w:val="0"/>
      <w:marRight w:val="0"/>
      <w:marTop w:val="0"/>
      <w:marBottom w:val="0"/>
      <w:divBdr>
        <w:top w:val="none" w:sz="0" w:space="0" w:color="auto"/>
        <w:left w:val="none" w:sz="0" w:space="0" w:color="auto"/>
        <w:bottom w:val="none" w:sz="0" w:space="0" w:color="auto"/>
        <w:right w:val="none" w:sz="0" w:space="0" w:color="auto"/>
      </w:divBdr>
    </w:div>
    <w:div w:id="1390153614">
      <w:bodyDiv w:val="1"/>
      <w:marLeft w:val="0"/>
      <w:marRight w:val="0"/>
      <w:marTop w:val="0"/>
      <w:marBottom w:val="0"/>
      <w:divBdr>
        <w:top w:val="none" w:sz="0" w:space="0" w:color="auto"/>
        <w:left w:val="none" w:sz="0" w:space="0" w:color="auto"/>
        <w:bottom w:val="none" w:sz="0" w:space="0" w:color="auto"/>
        <w:right w:val="none" w:sz="0" w:space="0" w:color="auto"/>
      </w:divBdr>
    </w:div>
    <w:div w:id="182400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mc.medicines.org.uk/emc/assets/c/html/" TargetMode="External"/><Relationship Id="rId18" Type="http://schemas.openxmlformats.org/officeDocument/2006/relationships/hyperlink" Target="http://emc.medicines.org.uk/emc/assets/c/html/" TargetMode="External"/><Relationship Id="rId26" Type="http://schemas.openxmlformats.org/officeDocument/2006/relationships/hyperlink" Target="https://www.vvkt.lt/index.php?1399030386" TargetMode="External"/><Relationship Id="rId39" Type="http://schemas.openxmlformats.org/officeDocument/2006/relationships/footer" Target="footer1.xml"/><Relationship Id="rId21" Type="http://schemas.openxmlformats.org/officeDocument/2006/relationships/hyperlink" Target="http://emc.medicines.org.uk/emc/assets/c/html/" TargetMode="External"/><Relationship Id="rId34" Type="http://schemas.openxmlformats.org/officeDocument/2006/relationships/hyperlink" Target="http://emc.medicines.org.uk/emc/assets/c/htm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mc.medicines.org.uk/emc/assets/c/html/" TargetMode="External"/><Relationship Id="rId20" Type="http://schemas.openxmlformats.org/officeDocument/2006/relationships/hyperlink" Target="http://emc.medicines.org.uk/emc/assets/c/html/" TargetMode="External"/><Relationship Id="rId29" Type="http://schemas.openxmlformats.org/officeDocument/2006/relationships/hyperlink" Target="https://vapris.vvkt.lt/vvkt-web/public/nrv"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mc.medicines.org.uk/emc/assets/c/html/" TargetMode="External"/><Relationship Id="rId24" Type="http://schemas.openxmlformats.org/officeDocument/2006/relationships/hyperlink" Target="http://emc.medicines.org.uk/emc/assets/c/html/" TargetMode="External"/><Relationship Id="rId32" Type="http://schemas.openxmlformats.org/officeDocument/2006/relationships/hyperlink" Target="http://emc.medicines.org.uk/emc/assets/c/html/" TargetMode="External"/><Relationship Id="rId37" Type="http://schemas.openxmlformats.org/officeDocument/2006/relationships/hyperlink" Target="http://www.vvkt.lt/"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emc.medicines.org.uk/emc/assets/c/html/" TargetMode="External"/><Relationship Id="rId23" Type="http://schemas.openxmlformats.org/officeDocument/2006/relationships/hyperlink" Target="http://emc.medicines.org.uk/emc/assets/c/html/" TargetMode="External"/><Relationship Id="rId28" Type="http://schemas.openxmlformats.org/officeDocument/2006/relationships/hyperlink" Target="http://www.vvkt.lt/" TargetMode="External"/><Relationship Id="rId36" Type="http://schemas.openxmlformats.org/officeDocument/2006/relationships/hyperlink" Target="http://emc.medicines.org.uk/emc/assets/c/html/" TargetMode="External"/><Relationship Id="rId10" Type="http://schemas.openxmlformats.org/officeDocument/2006/relationships/hyperlink" Target="http://emc.medicines.org.uk/emc/assets/c/html/" TargetMode="External"/><Relationship Id="rId19" Type="http://schemas.openxmlformats.org/officeDocument/2006/relationships/hyperlink" Target="http://emc.medicines.org.uk/emc/assets/c/html/" TargetMode="External"/><Relationship Id="rId31"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mc.medicines.org.uk/emc/assets/c/html/" TargetMode="External"/><Relationship Id="rId22" Type="http://schemas.openxmlformats.org/officeDocument/2006/relationships/hyperlink" Target="http://emc.medicines.org.uk/emc/assets/c/html/" TargetMode="External"/><Relationship Id="rId27" Type="http://schemas.openxmlformats.org/officeDocument/2006/relationships/hyperlink" Target="file:///C:\Users\aburkauskaite\AppData\Local\Microsoft\Windows\INetCache\Content.Outlook\JM9GNKUO\NepageidaujamaR@vvkt.lt" TargetMode="External"/><Relationship Id="rId30" Type="http://schemas.openxmlformats.org/officeDocument/2006/relationships/hyperlink" Target="https://www.vvkt.lt/index.php?4004286486" TargetMode="External"/><Relationship Id="rId35" Type="http://schemas.openxmlformats.org/officeDocument/2006/relationships/hyperlink" Target="http://emc.medicines.org.uk/emc/assets/c/html/"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emc.medicines.org.uk/emc/assets/c/html/" TargetMode="External"/><Relationship Id="rId17" Type="http://schemas.openxmlformats.org/officeDocument/2006/relationships/hyperlink" Target="http://emc.medicines.org.uk/emc/assets/c/html/" TargetMode="External"/><Relationship Id="rId25" Type="http://schemas.openxmlformats.org/officeDocument/2006/relationships/hyperlink" Target="https://vapris.vvkt.lt/vvkt-web/public/nrvSpecialist" TargetMode="External"/><Relationship Id="rId33" Type="http://schemas.openxmlformats.org/officeDocument/2006/relationships/hyperlink" Target="http://emc.medicines.org.uk/emc/assets/c/html/"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a881ab242ce6ba47ae62d1a6aa45eb86">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75a82d99e774c35b7abe3f1054a648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8AD04-E992-4B60-8BDF-BFF49C8D7FE4}">
  <ds:schemaRef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cb0b4dfd-1452-42df-bcc2-835b32a0f636"/>
    <ds:schemaRef ds:uri="8c54d1d4-8a50-4b16-b050-2289fc7c4d8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AE4EB5B-7B81-4C7D-86E6-B89EB44F7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F9674-D4A6-458C-AC94-9279FD641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77910</Words>
  <Characters>44409</Characters>
  <Application>Microsoft Office Word</Application>
  <DocSecurity>4</DocSecurity>
  <Lines>370</Lines>
  <Paragraphs>244</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EGIS Gyógyszergyár NyRt.</Company>
  <LinksUpToDate>false</LinksUpToDate>
  <CharactersWithSpaces>122075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dc:creator>
  <cp:lastModifiedBy>Albina Burkauskaitė</cp:lastModifiedBy>
  <cp:revision>2</cp:revision>
  <cp:lastPrinted>2018-08-06T09:55:00Z</cp:lastPrinted>
  <dcterms:created xsi:type="dcterms:W3CDTF">2024-09-10T12:13:00Z</dcterms:created>
  <dcterms:modified xsi:type="dcterms:W3CDTF">2024-09-10T12:13:00Z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