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0" w:name="_Toc129243221"/>
      <w:bookmarkStart w:id="1" w:name="_Toc129243096"/>
      <w:r w:rsidRPr="005577D3">
        <w:rPr>
          <w:rFonts w:ascii="Times New Roman" w:hAnsi="Times New Roman"/>
          <w:b/>
          <w:caps/>
          <w:lang w:val="lt-LT"/>
        </w:rPr>
        <w:t>I PRIEDAS</w:t>
      </w:r>
      <w:bookmarkEnd w:id="0"/>
      <w:bookmarkEnd w:id="1"/>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2" w:name="_Toc129243222"/>
      <w:bookmarkStart w:id="3" w:name="_Toc129243097"/>
      <w:r w:rsidRPr="005577D3">
        <w:rPr>
          <w:rFonts w:ascii="Times New Roman" w:hAnsi="Times New Roman"/>
          <w:b/>
          <w:caps/>
          <w:lang w:val="lt-LT"/>
        </w:rPr>
        <w:t>PREPARATO CHARAKTERISTIKŲ SANTRAUKA</w:t>
      </w:r>
      <w:bookmarkEnd w:id="2"/>
      <w:bookmarkEnd w:id="3"/>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r w:rsidRPr="005577D3">
        <w:rPr>
          <w:rFonts w:ascii="Times New Roman" w:hAnsi="Times New Roman"/>
          <w:b/>
          <w:lang w:val="lt-LT"/>
        </w:rPr>
        <w:br w:type="page"/>
      </w:r>
      <w:bookmarkStart w:id="4" w:name="_Toc129243223"/>
      <w:bookmarkStart w:id="5" w:name="_Toc129243098"/>
      <w:r w:rsidRPr="005577D3">
        <w:rPr>
          <w:rFonts w:ascii="Times New Roman" w:hAnsi="Times New Roman"/>
          <w:b/>
          <w:lang w:val="lt-LT"/>
        </w:rPr>
        <w:lastRenderedPageBreak/>
        <w:t>1.</w:t>
      </w:r>
      <w:r w:rsidRPr="005577D3">
        <w:rPr>
          <w:rFonts w:ascii="Times New Roman" w:hAnsi="Times New Roman"/>
          <w:b/>
          <w:lang w:val="lt-LT"/>
        </w:rPr>
        <w:tab/>
        <w:t>VAISTINIO PREPARATO PAVADINIMAS</w:t>
      </w:r>
      <w:bookmarkEnd w:id="4"/>
      <w:bookmarkEnd w:id="5"/>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20 mg skrandyje neirios tabletės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6" w:name="_Toc129243224"/>
      <w:bookmarkStart w:id="7" w:name="_Toc129243099"/>
      <w:r w:rsidRPr="005577D3">
        <w:rPr>
          <w:rFonts w:ascii="Times New Roman" w:hAnsi="Times New Roman"/>
          <w:b/>
          <w:lang w:val="lt-LT"/>
        </w:rPr>
        <w:t>2.</w:t>
      </w:r>
      <w:r w:rsidRPr="005577D3">
        <w:rPr>
          <w:rFonts w:ascii="Times New Roman" w:hAnsi="Times New Roman"/>
          <w:b/>
          <w:lang w:val="lt-LT"/>
        </w:rPr>
        <w:tab/>
        <w:t>KOKYBINĖ IR KIEKYBINĖ SUDĖTIS</w:t>
      </w:r>
      <w:bookmarkEnd w:id="6"/>
      <w:bookmarkEnd w:id="7"/>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Kiekvienoje skrandyje neirioje tabletėje yra 20 mg pantoprazolo (atitinka 22,6  mg pantoprazolo natrio druskos seskvihidrato).</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u w:val="single"/>
          <w:lang w:val="lt-LT"/>
        </w:rPr>
        <w:t>Pagalbinės medžiagos</w:t>
      </w:r>
      <w:r w:rsidRPr="005577D3">
        <w:rPr>
          <w:rFonts w:ascii="Times New Roman" w:eastAsia="Times New Roman" w:hAnsi="Times New Roman"/>
          <w:u w:val="single"/>
          <w:lang w:val="lt-LT"/>
        </w:rPr>
        <w:t>, kurių poveikis žinomas</w:t>
      </w:r>
      <w:r w:rsidRPr="005577D3">
        <w:rPr>
          <w:rFonts w:ascii="Times New Roman" w:hAnsi="Times New Roman"/>
          <w:u w:val="single"/>
          <w:lang w:val="lt-LT"/>
        </w:rPr>
        <w:t>:</w:t>
      </w:r>
      <w:r w:rsidRPr="005577D3">
        <w:rPr>
          <w:rFonts w:ascii="Times New Roman" w:hAnsi="Times New Roman"/>
          <w:lang w:val="lt-LT"/>
        </w:rPr>
        <w:t xml:space="preserve"> kiekvienoje skrandyje neirioje tabletėje yra 38,425 mg maltitolio</w:t>
      </w:r>
      <w:r w:rsidR="005A1434">
        <w:rPr>
          <w:rFonts w:ascii="Times New Roman" w:hAnsi="Times New Roman"/>
          <w:lang w:val="lt-LT"/>
        </w:rPr>
        <w:t>,</w:t>
      </w:r>
      <w:r w:rsidRPr="005577D3">
        <w:rPr>
          <w:rFonts w:ascii="Times New Roman" w:hAnsi="Times New Roman"/>
          <w:lang w:val="lt-LT"/>
        </w:rPr>
        <w:t xml:space="preserve"> 0,345 mg lecitino (iš sojų aliejaus)</w:t>
      </w:r>
      <w:r w:rsidR="005A1434">
        <w:rPr>
          <w:rFonts w:ascii="Times New Roman" w:hAnsi="Times New Roman"/>
          <w:lang w:val="lt-LT"/>
        </w:rPr>
        <w:t xml:space="preserve"> ir 1,7 mg natrio</w:t>
      </w:r>
      <w:r w:rsidRPr="005577D3">
        <w:rPr>
          <w:rFonts w:ascii="Times New Roman" w:hAnsi="Times New Roman"/>
          <w:lang w:val="lt-LT"/>
        </w:rPr>
        <w:t xml:space="preserve"> (žr. 4.4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Visos pagalbinės medžiagos išvardytos 6.1 skyriuje.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8" w:name="_Toc129243225"/>
      <w:bookmarkStart w:id="9" w:name="_Toc129243100"/>
      <w:r w:rsidRPr="005577D3">
        <w:rPr>
          <w:rFonts w:ascii="Times New Roman" w:hAnsi="Times New Roman"/>
          <w:b/>
          <w:lang w:val="lt-LT"/>
        </w:rPr>
        <w:t>3.</w:t>
      </w:r>
      <w:r w:rsidRPr="005577D3">
        <w:rPr>
          <w:rFonts w:ascii="Times New Roman" w:hAnsi="Times New Roman"/>
          <w:b/>
          <w:lang w:val="lt-LT"/>
        </w:rPr>
        <w:tab/>
        <w:t>FARMACINĖ FORMA</w:t>
      </w:r>
      <w:bookmarkEnd w:id="8"/>
      <w:bookmarkEnd w:id="9"/>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Skrandyje neiri tabletė.</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Geltona, ovali tabletė.</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10" w:name="_Toc129243226"/>
      <w:bookmarkStart w:id="11" w:name="_Toc129243101"/>
      <w:r w:rsidRPr="005577D3">
        <w:rPr>
          <w:rFonts w:ascii="Times New Roman" w:hAnsi="Times New Roman"/>
          <w:b/>
          <w:lang w:val="lt-LT"/>
        </w:rPr>
        <w:t>4.</w:t>
      </w:r>
      <w:r w:rsidRPr="005577D3">
        <w:rPr>
          <w:rFonts w:ascii="Times New Roman" w:hAnsi="Times New Roman"/>
          <w:b/>
          <w:lang w:val="lt-LT"/>
        </w:rPr>
        <w:tab/>
        <w:t>KLINIKINĖ INFORMACIJA</w:t>
      </w:r>
      <w:bookmarkEnd w:id="10"/>
      <w:bookmarkEnd w:id="11"/>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12" w:name="_Toc129243227"/>
      <w:bookmarkStart w:id="13" w:name="_Toc129243102"/>
      <w:r w:rsidRPr="005577D3">
        <w:rPr>
          <w:rFonts w:ascii="Times New Roman" w:hAnsi="Times New Roman"/>
          <w:b/>
          <w:kern w:val="28"/>
          <w:lang w:val="lt-LT"/>
        </w:rPr>
        <w:t>4.1</w:t>
      </w:r>
      <w:r w:rsidRPr="005577D3">
        <w:rPr>
          <w:rFonts w:ascii="Times New Roman" w:hAnsi="Times New Roman"/>
          <w:b/>
          <w:kern w:val="28"/>
          <w:lang w:val="lt-LT"/>
        </w:rPr>
        <w:tab/>
        <w:t>Terapinės indikacijos</w:t>
      </w:r>
      <w:bookmarkEnd w:id="12"/>
      <w:bookmarkEnd w:id="1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Suaugę žmonės ir 12 metų bei vyresni paaugliai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Simptomus sukelianti gastroezofaginio refliukso liga.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Ilgalaikis refliukso sukelto ezofagito gydymas ir jo atkryčio profilaktika.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Suaugę žmonės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Skrandžio ir dvylikapirštės žarnos opų, kurias sukelia neselektyvaus poveikio nesteroidiniai vaistai nuo uždegimo (NVNU), profilaktika, kai tęstinis gydymas NVNU reikalingas pacientams, kuriems yra padidėjusi šių opų atsiradimo rizika (žr. 4.4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14" w:name="_Toc129243228"/>
      <w:bookmarkStart w:id="15" w:name="_Toc129243103"/>
      <w:r w:rsidRPr="005577D3">
        <w:rPr>
          <w:rFonts w:ascii="Times New Roman" w:hAnsi="Times New Roman"/>
          <w:b/>
          <w:kern w:val="28"/>
          <w:lang w:val="lt-LT"/>
        </w:rPr>
        <w:t>4.2</w:t>
      </w:r>
      <w:r w:rsidRPr="005577D3">
        <w:rPr>
          <w:rFonts w:ascii="Times New Roman" w:hAnsi="Times New Roman"/>
          <w:b/>
          <w:kern w:val="28"/>
          <w:lang w:val="lt-LT"/>
        </w:rPr>
        <w:tab/>
        <w:t>Dozavimas ir vartojimo metodas</w:t>
      </w:r>
      <w:bookmarkEnd w:id="14"/>
      <w:bookmarkEnd w:id="15"/>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Dozavimas</w:t>
      </w: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Suaugusiems žmonėms ir 12 metų bei vyresniems paaugliams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Simptomus sukelianti gastroezofaginio refliukso liga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Rekomenduojama geriama dozė yra viena Pantul 20 mg skrandyje neiri tabletė per parą. Simptomai paprastai palengvėja per 2-4 savaites. Jei šio laikotarpio nepakanka, paprastai simptomai palengvėja per kitas 4 savaites. Palengvėjus simptomams, jų atsinaujinimą galima kontroliuoti pagal poreikį kartą per parą vartojant 20 mg dozę (kai reikia). Jeigu reikiamos simptomų kontrolės, vartojant vaistinį preparatą pagal poreikį, nėra, reikia apsvarstyti galimybę vėl pradėti tęstinį vaistinio preparato vartojimą.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Ilgalaikis refliukso sukelto ezofagito gydymas ir jo atkryčio profilaktika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Ilgalaikiam gydymui rekomenduojama palaikomoji paros dozė yra viena Pantul 20 mg skrandyje neiri tabletė. Ligos atkryčio atveju pantoprazolo paros dozę galima padidinti iki 40 mg. Tokiu atveju yra Pantul 40 mg. Išgydžius ligos atkrytį, pantoprazolo paros dozė vėl gali būti sumažinama iki 20 mg.</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Suaugusiems žmonėms</w:t>
      </w: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Skrandžio ir dvylikapirštės žarnos opų, kurias sukelia neselektyvaus poveikio nesteroidiniai vaistiniai preparatai nuo uždegimo (NVNU), profilaktika, kai ilgalaikis gydymas NVNU reikalingas pacientams, kuriems yra padidėjusi opos atsiradimo rizika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lastRenderedPageBreak/>
        <w:t>Rekomenduojama geriama paros dozė yra viena Pantul 20 mg skrandyje neiri tabletė.</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Specialios pacientų grupės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Jaunesniems kaip 12 metų vaikams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nerekomenduojama vartoti jaunesniems kaip 12 metų vaikams, nes duomenų apie tokio amžiaus vaikų gydymo saugumą ir veiksmingumą yra nedaug.</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Pacientams, kurių kepenų funkcija sutrikusi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Pacientams, kuriems yra sunkus kepenų funkcijos sutrikimas, negalima vartoti didesnės kaip 20 mg pantoprazolo paros dozės (žr. 4.4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Pacientams, kurių inkstų funkcija sutrikusi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Pacientams, kurių inkstų funkcija sutrikusi, dozės keisti nereikia.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 xml:space="preserve">Senyviems pacientams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Senyviems ligoniams dozės keisti nereikia.</w:t>
      </w:r>
    </w:p>
    <w:p w:rsidR="00C57BAB" w:rsidRPr="005577D3" w:rsidRDefault="00C57BAB" w:rsidP="00C57BAB">
      <w:pPr>
        <w:spacing w:after="0" w:line="240" w:lineRule="auto"/>
        <w:rPr>
          <w:rFonts w:ascii="Times New Roman" w:hAnsi="Times New Roman"/>
          <w:lang w:val="lt-LT"/>
        </w:rPr>
      </w:pPr>
    </w:p>
    <w:p w:rsidR="00C57BAB" w:rsidRPr="00890908" w:rsidRDefault="00C57BAB" w:rsidP="00C57BAB">
      <w:pPr>
        <w:spacing w:after="0" w:line="240" w:lineRule="auto"/>
        <w:rPr>
          <w:rFonts w:ascii="Times New Roman" w:eastAsia="Times New Roman" w:hAnsi="Times New Roman"/>
          <w:u w:val="single"/>
          <w:lang w:val="lt-LT"/>
        </w:rPr>
      </w:pPr>
      <w:r w:rsidRPr="00890908">
        <w:rPr>
          <w:rFonts w:ascii="Times New Roman" w:eastAsia="Times New Roman" w:hAnsi="Times New Roman"/>
          <w:u w:val="single"/>
          <w:lang w:val="lt-LT"/>
        </w:rPr>
        <w:t>Vartojimo metodas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Tablečių negalima kramtyti arba smulkinti, jas reikia nuryti sveikas užgeriant vandeniu likus 1 valandai iki valgio.</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16" w:name="_Toc129243229"/>
      <w:bookmarkStart w:id="17" w:name="_Toc129243104"/>
      <w:r w:rsidRPr="005577D3">
        <w:rPr>
          <w:rFonts w:ascii="Times New Roman" w:hAnsi="Times New Roman"/>
          <w:b/>
          <w:kern w:val="28"/>
          <w:lang w:val="lt-LT"/>
        </w:rPr>
        <w:t>4.3</w:t>
      </w:r>
      <w:r w:rsidRPr="005577D3">
        <w:rPr>
          <w:rFonts w:ascii="Times New Roman" w:hAnsi="Times New Roman"/>
          <w:b/>
          <w:kern w:val="28"/>
          <w:lang w:val="lt-LT"/>
        </w:rPr>
        <w:tab/>
        <w:t>Kontraindikacijos</w:t>
      </w:r>
      <w:bookmarkEnd w:id="16"/>
      <w:bookmarkEnd w:id="17"/>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Padidėjęs jautrumas veikliajai medžiagai, pakeistiems benzimidazoliams, sojai arba bet kuriai </w:t>
      </w:r>
      <w:r w:rsidRPr="005577D3">
        <w:rPr>
          <w:rFonts w:ascii="Times New Roman" w:hAnsi="Times New Roman"/>
          <w:noProof/>
          <w:lang w:val="lt-LT"/>
        </w:rPr>
        <w:t>6.1 skyriuje nurodytai</w:t>
      </w:r>
      <w:r w:rsidRPr="005577D3">
        <w:rPr>
          <w:rFonts w:ascii="Times New Roman" w:hAnsi="Times New Roman"/>
          <w:lang w:val="lt-LT"/>
        </w:rPr>
        <w:t xml:space="preserve"> pagalbinei medžiagai.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18" w:name="_Toc129243230"/>
      <w:bookmarkStart w:id="19" w:name="_Toc129243105"/>
      <w:r w:rsidRPr="005577D3">
        <w:rPr>
          <w:rFonts w:ascii="Times New Roman" w:hAnsi="Times New Roman"/>
          <w:b/>
          <w:kern w:val="28"/>
          <w:lang w:val="lt-LT"/>
        </w:rPr>
        <w:t>4.4</w:t>
      </w:r>
      <w:r w:rsidRPr="005577D3">
        <w:rPr>
          <w:rFonts w:ascii="Times New Roman" w:hAnsi="Times New Roman"/>
          <w:b/>
          <w:kern w:val="28"/>
          <w:lang w:val="lt-LT"/>
        </w:rPr>
        <w:tab/>
        <w:t>Specialūs įspėjimai ir atsargumo priemonės</w:t>
      </w:r>
      <w:bookmarkEnd w:id="18"/>
      <w:bookmarkEnd w:id="19"/>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Kepenų funkcijos sutrikimas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Kombinuotasis gydymas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Kombinuotojo gydymo atveju būtina atsižvelgti į atitinkamo vaistinio preparato charakteristikų santraukoje pateiktą informaciją.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Vartojimas kartus su NVNU</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Neselektyvaus poveikio nesteroidinių vaistinių preparatų nuo uždegimo (NVNU) sukeliamų opų profilaktikai Pantul 20 mg galima skirti tik tiems pacientams, kuriems NVNU reikia vartoti nuolat ir kuriems yra padidėjusi virškinimo trakto komplikacijų rizika. Rizikos padidėjimą reikia nustatyti, atsižvelgiant į individualius rizikos veiksnius, pvz., senyvą amžių (&gt;65 metai), anksčiau diagnozuotą skrandžio arba dvylikapirštės žarnos opą arba kraujavimą iš viršutinės virškinimo trakto dalies.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Jeigu yra perspėjamųjų simptomų</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Jeigu atsiranda perspėjamųjų simptomų (pvz., reikšmingas neplanuotas kūno svorio mažėjimas, pasikartojantis vėmimas, disfagija, vėmimas krauju, anemija ar melena), yra įtariama ar yra skrandžio opa, reikia ištirti, ar nėra piktybinio proceso, kadangi pantoprazolas gali lengvinti simptomus ir dėl to diagnozė gali būti nustatyta vėliau.</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Jeigu simptomai neišnyksta nepaisant tinkamo gydymo, būtina apsvarstyti tolesnį ligonio ištyrimą.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Vartojimas kartu su atazanaviru</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Atazanaviro vartoti kartu su protonų siurblio inhibitoriais nerekomenduojama (žr. 4.5 skyrių). Jei nusprendžiama, kad atazanaviro ir protonų siurblio inhibitorių kartu vartoti būtina, rekomenduojama atidžiai stebėti klinikinę paciento būklę (pvz., nustatinėti virusų kiekį), atazanaviro paros dozę didinti </w:t>
      </w:r>
      <w:r w:rsidRPr="005577D3">
        <w:rPr>
          <w:rFonts w:ascii="Times New Roman" w:hAnsi="Times New Roman"/>
          <w:lang w:val="lt-LT"/>
        </w:rPr>
        <w:lastRenderedPageBreak/>
        <w:t>iki 400 mg ir kartu skirti vartoti 100 mg ritonaviro paros dozę. Pantoprazolo paros dozė negali būti didesnė kaip 20 mg.</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Įtaka vitamino B12 absorbcijai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Pantoprazolas, kaip ir visi skrandžio rūgšties gamybą slopinantys vaistiniai preparatai,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Ilgalaikis gydymas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Ilgą laiką, ypač ilgiau kaip 1 metus, gydomus pacientus reikia reguliariai tikrinti.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Bakterinė virškinimo trakto infekcija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Pantoprazolas, kaip ir visi protonų siurblio inhibitoriai (PSI), gali didinti bakterijų, kurių paprastai būna viršutinėje virškinimo trakto dalyje, kiekį. Gydymas Pantul gali šiek tiek padidinti bakterinės virškinimo trakto infekcijos (pvz., sukeltos </w:t>
      </w:r>
      <w:r w:rsidRPr="005577D3">
        <w:rPr>
          <w:rFonts w:ascii="Times New Roman" w:hAnsi="Times New Roman"/>
          <w:i/>
          <w:lang w:val="lt-LT"/>
        </w:rPr>
        <w:t>Salmonella</w:t>
      </w:r>
      <w:r w:rsidRPr="005577D3">
        <w:rPr>
          <w:rFonts w:ascii="Times New Roman" w:hAnsi="Times New Roman"/>
          <w:lang w:val="lt-LT"/>
        </w:rPr>
        <w:t xml:space="preserve"> ir </w:t>
      </w:r>
      <w:r w:rsidRPr="005577D3">
        <w:rPr>
          <w:rFonts w:ascii="Times New Roman" w:hAnsi="Times New Roman"/>
          <w:i/>
          <w:lang w:val="lt-LT"/>
        </w:rPr>
        <w:t>Campylobacter</w:t>
      </w:r>
      <w:r w:rsidRPr="005577D3">
        <w:rPr>
          <w:rFonts w:ascii="Times New Roman" w:hAnsi="Times New Roman"/>
          <w:lang w:val="lt-LT"/>
        </w:rPr>
        <w:t xml:space="preserve"> ir </w:t>
      </w:r>
      <w:r w:rsidRPr="005577D3">
        <w:rPr>
          <w:rFonts w:ascii="Times New Roman" w:hAnsi="Times New Roman"/>
          <w:i/>
          <w:lang w:val="lt-LT"/>
        </w:rPr>
        <w:t>C. difficile</w:t>
      </w:r>
      <w:r w:rsidRPr="005577D3">
        <w:rPr>
          <w:rFonts w:ascii="Times New Roman" w:hAnsi="Times New Roman"/>
          <w:lang w:val="lt-LT"/>
        </w:rPr>
        <w:t xml:space="preserve"> bakterijų) riziką.</w:t>
      </w:r>
    </w:p>
    <w:p w:rsidR="00C57BAB" w:rsidRPr="005577D3"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Hipomagnezemija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Pranešama apie sunkią hipomagnezemiją, kuri susiformavo pacientams, gydytiems tokiu protonų siurblio inhibitoriumi (PSI) kaip pantoprazolas mažiausiai tris mėnesius, dažniausiai metus laiko. Gali pasireikšti tokie sunkūs hipomagnezemijos simptomai kaip nuovargis, ilgalaikis raumens susitraukimas, kliedėjimas, traukuliai, svaigulys, skilvelinė aritmija, kurie gali pasireikšti užmaskuotai ir šie reiškiniai gali likti nepastebėti. Daugumai tokių pacientų hipomagnezemijos būsena pagerėjo davus magnio turinčių pakaitalų ir nutraukus PSI vartojimą.</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Pacientams, kuriems numatomas ilgalaikis gydymas PSI arba  PSI vartojimas kartu su digoksinu arba vaistais, galinčiais sukelti hipomagnezemiją (pvz., diuretikais) sveikatos priežiūros specialistai turi spręsti dėl magnio koncentracijos nustatymo prieš gydymą PSI ir periodiškai jų vartojimo metu.</w:t>
      </w:r>
    </w:p>
    <w:p w:rsidR="00C57BAB" w:rsidRPr="005577D3"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eastAsia="Times New Roman" w:hAnsi="Times New Roman"/>
          <w:i/>
          <w:lang w:val="lt-LT"/>
        </w:rPr>
      </w:pPr>
      <w:r w:rsidRPr="005577D3">
        <w:rPr>
          <w:rFonts w:ascii="Times New Roman" w:eastAsia="Times New Roman" w:hAnsi="Times New Roman"/>
          <w:i/>
          <w:lang w:val="lt-LT"/>
        </w:rPr>
        <w:t>Kaulų lūžiai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Protonų siurblio inhibitorių (PSI) didelių dozių arba ilgalaikis (ilgiau kaip vienerius metus) vartojimas gali šiek tiek padidinti šlaunikaulio, riešo ir stuburo lūžių riziką, ypač senyviems pacientams arba kitų rizikos faktorių turintiems pacientams. Stebėjimo tyrimų duomenys rodo, kad PSI gali padidinti bendrą lūžimų riziką 10-40 %. Dalis tokio padidėjimo gali būti susijusi su kitais rizikos faktoriais. Pacientai, kuriems būdinga osteoporozės rizika, turi būti prižiūrimi laikantis klinikinių rekomendacijų, jie turi gauti pakankamą kalcio ir vitamino D kiekį.</w:t>
      </w:r>
    </w:p>
    <w:p w:rsidR="00C57BAB" w:rsidRDefault="00C57BAB" w:rsidP="00C57BAB">
      <w:pPr>
        <w:spacing w:after="0" w:line="240" w:lineRule="auto"/>
        <w:rPr>
          <w:rFonts w:ascii="Times New Roman" w:hAnsi="Times New Roman"/>
          <w:lang w:val="lt-LT"/>
        </w:rPr>
      </w:pPr>
    </w:p>
    <w:p w:rsidR="00C57BAB" w:rsidRPr="00C60CF1" w:rsidRDefault="00C57BAB" w:rsidP="00C57BAB">
      <w:pPr>
        <w:spacing w:after="0" w:line="240" w:lineRule="auto"/>
        <w:rPr>
          <w:rFonts w:ascii="Times New Roman" w:hAnsi="Times New Roman"/>
          <w:i/>
          <w:lang w:val="lt-LT"/>
        </w:rPr>
      </w:pPr>
      <w:r w:rsidRPr="00C60CF1">
        <w:rPr>
          <w:rFonts w:ascii="Times New Roman" w:hAnsi="Times New Roman"/>
          <w:i/>
          <w:lang w:val="lt-LT"/>
        </w:rPr>
        <w:t>Poūmė odos raudonoji vilkligė (PORL)</w:t>
      </w:r>
    </w:p>
    <w:p w:rsidR="00C57BAB" w:rsidRPr="00C60CF1" w:rsidRDefault="00C57BAB" w:rsidP="00C57BAB">
      <w:pPr>
        <w:spacing w:after="0" w:line="240" w:lineRule="auto"/>
        <w:rPr>
          <w:rFonts w:ascii="Times New Roman" w:hAnsi="Times New Roman"/>
          <w:lang w:val="lt-LT"/>
        </w:rPr>
      </w:pPr>
      <w:r w:rsidRPr="00C60CF1">
        <w:rPr>
          <w:rFonts w:ascii="Times New Roman" w:hAnsi="Times New Roman"/>
          <w:lang w:val="lt-LT"/>
        </w:rPr>
        <w:t xml:space="preserve">Protonų siurblio inhibitoriai susiję su </w:t>
      </w:r>
      <w:r>
        <w:rPr>
          <w:rFonts w:ascii="Times New Roman" w:hAnsi="Times New Roman"/>
          <w:lang w:val="lt-LT"/>
        </w:rPr>
        <w:t>labai retai</w:t>
      </w:r>
      <w:r w:rsidRPr="00C60CF1">
        <w:rPr>
          <w:rFonts w:ascii="Times New Roman" w:hAnsi="Times New Roman"/>
          <w:lang w:val="lt-LT"/>
        </w:rPr>
        <w:t xml:space="preserve"> pasitaikančiais PORL atvejais. Jeigu atsiranda pažeistų odos židinių, ypač saulės spinduliams atvirose vietose ir kartu pasireiškia sąnarių skausmas, pacientas nedelsiant turi kreiptis pagalbos ir sveikatos priežiūros specialistas turi nutraukti Pantul 20 mg vartojimą. PORL pasireiškimas protonų siurblio ankstesnio vartojimo metu gali padidinti šios patologijos riziką vartojant kitus protonų siurblio inhibitorius.</w:t>
      </w:r>
    </w:p>
    <w:p w:rsidR="00C57BAB" w:rsidRPr="0061681A"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eastAsia="Times New Roman" w:hAnsi="Times New Roman"/>
          <w:i/>
          <w:lang w:val="lt-LT"/>
        </w:rPr>
      </w:pPr>
      <w:r w:rsidRPr="005577D3">
        <w:rPr>
          <w:rFonts w:ascii="Times New Roman" w:eastAsia="Times New Roman" w:hAnsi="Times New Roman"/>
          <w:i/>
          <w:lang w:val="lt-LT"/>
        </w:rPr>
        <w:t>Laboratorinių tyrimų trukdžiai</w:t>
      </w:r>
    </w:p>
    <w:p w:rsidR="00C57BAB" w:rsidRPr="005577D3" w:rsidRDefault="00C57BAB" w:rsidP="00C57BAB">
      <w:pPr>
        <w:spacing w:after="0" w:line="240" w:lineRule="auto"/>
        <w:rPr>
          <w:rFonts w:ascii="Times New Roman" w:eastAsia="Times New Roman" w:hAnsi="Times New Roman"/>
          <w:lang w:val="lt-LT"/>
        </w:rPr>
      </w:pPr>
      <w:r w:rsidRPr="005577D3">
        <w:rPr>
          <w:rFonts w:ascii="Times New Roman" w:eastAsia="Times New Roman" w:hAnsi="Times New Roman"/>
          <w:lang w:val="lt-LT"/>
        </w:rPr>
        <w:t>Padidėjęs chromogranino A (CgA) kiekis gali trukdyti neuroendokrininių navikų tyrimus. Siekiant išvengti šių trukdžių, 5 dienas prieš CgA kiekio nustatymą reikia nutraukti Pantul vartojimą (žr. 5.1 skyrių). Jeigu CgA ir gastrino kiekis po pradinio nustatymo netampa normalus, nutraukus 14 dienų protonų siurblio vartojimą, tyrimą reikia pakartoti.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Šio vaistinio preparato sudėtyje yra maltitolio</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Pacientams, kuriems yra retas paveldimas fruktozės netoleravimas, šio vaistinio preparato vartoti negalima.</w:t>
      </w:r>
    </w:p>
    <w:p w:rsidR="00C57BAB" w:rsidRPr="005577D3" w:rsidRDefault="00C57BAB" w:rsidP="00C57BAB">
      <w:pPr>
        <w:spacing w:after="0" w:line="240" w:lineRule="auto"/>
        <w:rPr>
          <w:rFonts w:ascii="Times New Roman" w:hAnsi="Times New Roman"/>
          <w:lang w:val="lt-LT"/>
        </w:rPr>
      </w:pPr>
    </w:p>
    <w:p w:rsidR="00F04818" w:rsidRPr="00F04818" w:rsidRDefault="00F04818" w:rsidP="00F51BE9">
      <w:pPr>
        <w:pStyle w:val="BTEMEASMCA"/>
      </w:pPr>
      <w:r w:rsidRPr="00F04818">
        <w:t>Šio vaistinio preparato sudėtyje yra lecitino</w:t>
      </w:r>
    </w:p>
    <w:p w:rsidR="00F04818" w:rsidRDefault="00F04818" w:rsidP="00F51BE9">
      <w:pPr>
        <w:pStyle w:val="BTEMEASMCA"/>
      </w:pPr>
      <w:r w:rsidRPr="00B81AC3">
        <w:lastRenderedPageBreak/>
        <w:t>Šio vaistinio preparato sudėtyje yra lecitino, gaunamo iš sojų aliejaus.</w:t>
      </w:r>
      <w:r>
        <w:t xml:space="preserve"> </w:t>
      </w:r>
      <w:r w:rsidRPr="0080109C">
        <w:t>Jei pacientas alergiškas žemės riešutams arba sojai, jis šio vaistinio preparato vartoti negali.</w:t>
      </w:r>
    </w:p>
    <w:p w:rsidR="00F04818" w:rsidRPr="0080109C" w:rsidRDefault="00F04818" w:rsidP="00F51BE9">
      <w:pPr>
        <w:pStyle w:val="BTEMEASMCA"/>
      </w:pPr>
    </w:p>
    <w:p w:rsidR="00F04818" w:rsidRPr="00F04818" w:rsidRDefault="00F04818" w:rsidP="00492A4B">
      <w:pPr>
        <w:pStyle w:val="BTEMEASMCA"/>
      </w:pPr>
      <w:r w:rsidRPr="00F04818">
        <w:t>Šio vaistinio preparato sudėtyje yra natrio</w:t>
      </w:r>
    </w:p>
    <w:p w:rsidR="00F04818" w:rsidRPr="00F04818" w:rsidRDefault="00F04818" w:rsidP="00492A4B">
      <w:pPr>
        <w:pStyle w:val="BTEMEASMCA"/>
      </w:pPr>
      <w:r w:rsidRPr="00F04818">
        <w:t>Šio vaisto tabletėje yra mažiau kaip 1 mmol (23 mg) natrio, t.y. jis beveik neturi reikšmės.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20" w:name="_Toc129243231"/>
      <w:bookmarkStart w:id="21" w:name="_Toc129243106"/>
      <w:r w:rsidRPr="005577D3">
        <w:rPr>
          <w:rFonts w:ascii="Times New Roman" w:hAnsi="Times New Roman"/>
          <w:b/>
          <w:kern w:val="28"/>
          <w:lang w:val="lt-LT"/>
        </w:rPr>
        <w:t>4.5</w:t>
      </w:r>
      <w:r w:rsidRPr="005577D3">
        <w:rPr>
          <w:rFonts w:ascii="Times New Roman" w:hAnsi="Times New Roman"/>
          <w:b/>
          <w:kern w:val="28"/>
          <w:lang w:val="lt-LT"/>
        </w:rPr>
        <w:tab/>
        <w:t>Sąveika su kitais vaistiniais preparatais ir kitokia sąveika</w:t>
      </w:r>
      <w:bookmarkEnd w:id="20"/>
      <w:bookmarkEnd w:id="21"/>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Pantoprazolo poveikis kitų vaistinių preparatų absorbcijai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Kadangi pasireiškia stiprus ir ilgalaikis skrandžio rūgšties sekrecijos slopinimas, pantoprazolas gali mažinti vaistinių preparatų, kurių biologinis prieinamumas priklauso nuo skrandžio sulčių pH, pvz., kai kurių azolo grupės antigrybelinių preparatų (ketokonazolo, itrakonazolo, pozakonazolo) ir kitų vaistinių preparatų, pvz., erlotinibo, absorbciją.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Vaistiniai preparatai nuo ŽIV (atazanaviras)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 atazanaviro ir kitokių vaistinių preparatų nuo ŽIV, kurių absorbcija priklauso nuo pH, vartojama kartu su protonų siurblio inhibitoriais, biologinis tokių preparatų nuo ŽIV prieinamumas gali gerokai sumažėti, todėl gali pakisti jų veiksmingumas. Dėl šios priežasties protonų siurblio inhibitorių vartoti kartu su atazanaviru nerekomenduojama (žr. 4.4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Kumarino grupės antikoaguliantai (fenprokumonas arba varfarinas)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Nors klinikinių farmakokinetikos tyrimų metu pantoprazolo sąveikos su kartu vartojamu fenprokumonu ir varfarinu nepastebėta, po preparato patekimo į rinką pastebėti keli pavieniai tarptautinio normalizuoto santykio (TNS) pokyčių atvejai, kai minėtų preparatų buvo vartojama kartu. Vadinasi, kumarino grupės antikoaguliantais (pvz., fenprokumonu ar varfarinu) gydomiems pacientams protrombino laiką arba TNS rekomenduojama matuoti pradėjus ir baigus gydyti pantoprazolu bei nereguliaraus jo vartojimo metu.</w:t>
      </w:r>
    </w:p>
    <w:p w:rsidR="00C57BAB" w:rsidRPr="005577D3"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eastAsia="Times New Roman" w:hAnsi="Times New Roman"/>
          <w:i/>
          <w:lang w:val="lt-LT"/>
        </w:rPr>
      </w:pPr>
      <w:r w:rsidRPr="005577D3">
        <w:rPr>
          <w:rFonts w:ascii="Times New Roman" w:eastAsia="Times New Roman" w:hAnsi="Times New Roman"/>
          <w:i/>
          <w:lang w:val="lt-LT"/>
        </w:rPr>
        <w:t>Metotreksatas</w:t>
      </w:r>
    </w:p>
    <w:p w:rsidR="00C57BAB" w:rsidRPr="005577D3" w:rsidRDefault="00C57BAB" w:rsidP="00C57BAB">
      <w:pPr>
        <w:spacing w:after="0" w:line="240" w:lineRule="auto"/>
        <w:rPr>
          <w:rFonts w:ascii="Times New Roman" w:eastAsia="Times New Roman" w:hAnsi="Times New Roman"/>
          <w:lang w:val="lt-LT"/>
        </w:rPr>
      </w:pPr>
      <w:r w:rsidRPr="005577D3">
        <w:rPr>
          <w:rFonts w:ascii="Times New Roman" w:eastAsia="Times New Roman" w:hAnsi="Times New Roman"/>
          <w:lang w:val="lt-LT"/>
        </w:rPr>
        <w:t>Gauta pranešimų, kad didelių metotreksato dozių (pvz., 300 mg) ir protonų siurblio inhibitorių vartojimas kartu gali padidinti metotreksato koncentraciją kai kurių pacientų kraujyje. Todėl gydant ligas, kurių metu vartojama didelė metotreksato dozė, pavyzdžiui vėžį ir žvynelinę ligą, gali prireikti spręsti ar nereikia laikinai nutraukti pantoprazolo vartojimą.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Kiti sąveikos tyrimai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Pantoprazolą ekstensyviai metabolizuoja citochromo P 450 fermentų sistema kepenyse. Svarbiausias metabolinis procesas yra demetilinimas, kuriame dalyvauja CYP2C19, tačiau galimi ir kitokie metabolizmo mechanizmai, įskaitant oksidavimą, kuriame dalyvauja CYP3A4.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Sąveikos su kartu vartojamais antacidiniais preparatais nepasireiškia.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Atlikti pantoprazolo ir kartu vartojamų atitinkamų antibiotikų (klaritromicino, metronidazolo ir amoksicilino) sąveikos tyrimai. Kliniškai reikšmingos sąveikos nenustatyta.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numPr>
          <w:ilvl w:val="1"/>
          <w:numId w:val="4"/>
        </w:numPr>
        <w:spacing w:after="0" w:line="240" w:lineRule="auto"/>
        <w:outlineLvl w:val="2"/>
        <w:rPr>
          <w:rFonts w:ascii="Times New Roman" w:hAnsi="Times New Roman"/>
          <w:b/>
          <w:kern w:val="28"/>
          <w:lang w:val="lt-LT"/>
        </w:rPr>
      </w:pPr>
      <w:bookmarkStart w:id="22" w:name="_Toc129243232"/>
      <w:bookmarkStart w:id="23" w:name="_Toc129243107"/>
      <w:r w:rsidRPr="005577D3">
        <w:rPr>
          <w:rFonts w:ascii="Times New Roman" w:hAnsi="Times New Roman"/>
          <w:b/>
          <w:kern w:val="28"/>
          <w:lang w:val="lt-LT"/>
        </w:rPr>
        <w:t>Vaisingumas, nėštumo ir žindymo laikotarpis</w:t>
      </w:r>
      <w:bookmarkEnd w:id="22"/>
      <w:bookmarkEnd w:id="23"/>
    </w:p>
    <w:p w:rsidR="00C57BAB" w:rsidRDefault="00C57BAB" w:rsidP="00C57BAB">
      <w:pPr>
        <w:spacing w:after="0" w:line="240" w:lineRule="auto"/>
        <w:rPr>
          <w:rFonts w:ascii="Times New Roman" w:hAnsi="Times New Roman"/>
          <w:i/>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Nėštumas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lastRenderedPageBreak/>
        <w:t>Reikiamų duomenų apie pantoprazolo vartojimą nėštumo metu nėra. Su gyvūnais atlikti tyrimai parodė toksinį poveikį reprodukcijai (žr. 5.3 skyrių). Galimas pavojus žmogui nežinomas. Pantul nėštumo metu vartoti negalima, išskyrus neabejotinai būtinus atvejus.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Žindymas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Tyrimų su gyvūnais metu nustatyta, kad pantoprazolo į patelės pieną patenka. Gauta duomenų, kad pantoprazolo patenka į moters pieną. Sprendimą dėl žindymo ar Pantul vartojimo nutraukimo ar tęsimo reikia priimti tik atsižvelgus į maitinimo krūtimi naudą vaikui bei gydymo Pantul naudą moteriai.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hd w:val="clear" w:color="auto" w:fill="FFFFFF"/>
        <w:spacing w:after="0" w:line="240" w:lineRule="auto"/>
        <w:jc w:val="both"/>
        <w:rPr>
          <w:rFonts w:ascii="Times New Roman" w:eastAsia="Times New Roman" w:hAnsi="Times New Roman"/>
          <w:color w:val="222222"/>
          <w:lang w:val="lt-LT" w:eastAsia="lt-LT"/>
        </w:rPr>
      </w:pPr>
      <w:r w:rsidRPr="005577D3">
        <w:rPr>
          <w:rFonts w:ascii="Times New Roman" w:eastAsia="Times New Roman" w:hAnsi="Times New Roman"/>
          <w:i/>
          <w:iCs/>
          <w:color w:val="222222"/>
          <w:u w:val="single"/>
          <w:lang w:val="lt-LT" w:eastAsia="lt-LT"/>
        </w:rPr>
        <w:t>Vaisingumas</w:t>
      </w:r>
    </w:p>
    <w:p w:rsidR="00C57BAB" w:rsidRPr="005577D3" w:rsidRDefault="00C57BAB" w:rsidP="00C57BAB">
      <w:pPr>
        <w:shd w:val="clear" w:color="auto" w:fill="FFFFFF"/>
        <w:spacing w:after="0" w:line="240" w:lineRule="auto"/>
        <w:jc w:val="both"/>
        <w:rPr>
          <w:rFonts w:ascii="Times New Roman" w:eastAsia="Times New Roman" w:hAnsi="Times New Roman"/>
          <w:color w:val="222222"/>
          <w:lang w:val="lt-LT" w:eastAsia="lt-LT"/>
        </w:rPr>
      </w:pPr>
      <w:r w:rsidRPr="005577D3">
        <w:rPr>
          <w:rFonts w:ascii="Times New Roman" w:eastAsia="Times New Roman" w:hAnsi="Times New Roman"/>
          <w:color w:val="222222"/>
          <w:lang w:val="lt-LT" w:eastAsia="lt-LT"/>
        </w:rPr>
        <w:t>Tyrimų su gyvūnais metu duodant jiems pantoprazolo duomenų apie vaisingumo sutrikimą įrodymų negauta (žr. 5.3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24" w:name="_Toc129243233"/>
      <w:bookmarkStart w:id="25" w:name="_Toc129243108"/>
      <w:r w:rsidRPr="005577D3">
        <w:rPr>
          <w:rFonts w:ascii="Times New Roman" w:hAnsi="Times New Roman"/>
          <w:b/>
          <w:kern w:val="28"/>
          <w:lang w:val="lt-LT"/>
        </w:rPr>
        <w:t>4.7</w:t>
      </w:r>
      <w:r w:rsidRPr="005577D3">
        <w:rPr>
          <w:rFonts w:ascii="Times New Roman" w:hAnsi="Times New Roman"/>
          <w:b/>
          <w:kern w:val="28"/>
          <w:lang w:val="lt-LT"/>
        </w:rPr>
        <w:tab/>
        <w:t>Poveikis gebėjimui vairuoti ir valdyti mechanizmus</w:t>
      </w:r>
      <w:bookmarkEnd w:id="24"/>
      <w:bookmarkEnd w:id="25"/>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Gali atsirasti tokių nepageidaujamų reakcijų į vaistinį preparatą kaip svaigulys ar regos sutrikimas (žr. 4.8 skyrių). Tokiu atveju vairuoti ir valdyti mechanizmus negalima.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26" w:name="_Toc129243234"/>
      <w:bookmarkStart w:id="27" w:name="_Toc129243109"/>
      <w:r w:rsidRPr="005577D3">
        <w:rPr>
          <w:rFonts w:ascii="Times New Roman" w:hAnsi="Times New Roman"/>
          <w:b/>
          <w:kern w:val="28"/>
          <w:lang w:val="lt-LT"/>
        </w:rPr>
        <w:t>4.8</w:t>
      </w:r>
      <w:r w:rsidRPr="005577D3">
        <w:rPr>
          <w:rFonts w:ascii="Times New Roman" w:hAnsi="Times New Roman"/>
          <w:b/>
          <w:kern w:val="28"/>
          <w:lang w:val="lt-LT"/>
        </w:rPr>
        <w:tab/>
        <w:t>Nepageidaujamas poveikis</w:t>
      </w:r>
      <w:bookmarkEnd w:id="26"/>
      <w:bookmarkEnd w:id="27"/>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Tikėtina, kad nepageidaujamų reakcijų į vaistinį preparatą (NRV) gali pasireikšti maždaug 5 % pacientų. NRV, apie kurias dažniausiai pranešta, yra viduriavimas ir galvos skausmas (kiekviena iš šių reakcijų atsiranda maždaug 1 % ligonių).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Toliau esančioje lentelėje pateiktas vartojant pantoprazolo pasireiškusių nepageidaujamų reakcijų dažnumas.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Labai dažni (≥1/10), dažni (nuo ≥1/100 iki &lt;1/10), nedažni (nuo ≥1/1 000 iki ≤1/100), reti (nuo ≥1/10000 iki ≤1/1000), labai reti (≤1/10000), dažnis nežinomas (negali būti </w:t>
      </w:r>
      <w:r w:rsidR="00FB356A">
        <w:rPr>
          <w:rFonts w:ascii="Times New Roman" w:hAnsi="Times New Roman"/>
          <w:lang w:val="lt-LT"/>
        </w:rPr>
        <w:t>apskaičiuo</w:t>
      </w:r>
      <w:r w:rsidR="00FB356A" w:rsidRPr="005577D3">
        <w:rPr>
          <w:rFonts w:ascii="Times New Roman" w:hAnsi="Times New Roman"/>
          <w:lang w:val="lt-LT"/>
        </w:rPr>
        <w:t xml:space="preserve">tas </w:t>
      </w:r>
      <w:r w:rsidRPr="005577D3">
        <w:rPr>
          <w:rFonts w:ascii="Times New Roman" w:hAnsi="Times New Roman"/>
          <w:lang w:val="lt-LT"/>
        </w:rPr>
        <w:t>pagal turimus duomenis).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Visos po preparato pasirodymo rinkoje pastebėtos nepageidaujamos reakcijos negali būti priskirtos kuriai nors nepageidaujamų reakcijų dažnumo grupei, todėl jų dažnumas vertinamas kaip „nežinomas“.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Kiekvienoje dažnio grupėje nepageidaujamos reakcijos pateikiamos mažėjančio sunkumo tvarka.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1 lentelė. Klinikinių tyrimų metu bei po pantoprazolo pasirodymo rinkoje pastebėtos nepageidaujamos reakcijos.</w:t>
      </w:r>
    </w:p>
    <w:p w:rsidR="00C57BAB" w:rsidRPr="005577D3" w:rsidRDefault="00C57BAB" w:rsidP="00C57BAB">
      <w:pPr>
        <w:spacing w:after="0" w:line="240" w:lineRule="auto"/>
        <w:ind w:left="540"/>
        <w:outlineLvl w:val="0"/>
        <w:rPr>
          <w:rFonts w:ascii="Times New Roman" w:hAnsi="Times New Roman"/>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559"/>
        <w:gridCol w:w="1701"/>
        <w:gridCol w:w="1701"/>
      </w:tblGrid>
      <w:tr w:rsidR="00C57BAB" w:rsidRPr="005577D3" w:rsidTr="007C3B01">
        <w:trPr>
          <w:trHeight w:val="1448"/>
          <w:tblHeader/>
        </w:trPr>
        <w:tc>
          <w:tcPr>
            <w:tcW w:w="1560" w:type="dxa"/>
            <w:tcBorders>
              <w:top w:val="single" w:sz="4" w:space="0" w:color="auto"/>
              <w:left w:val="single" w:sz="4" w:space="0" w:color="auto"/>
              <w:bottom w:val="single" w:sz="4" w:space="0" w:color="auto"/>
              <w:right w:val="single" w:sz="4" w:space="0" w:color="auto"/>
              <w:tl2br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 xml:space="preserve">     Dažnumas</w:t>
            </w:r>
          </w:p>
          <w:p w:rsidR="00C57BAB" w:rsidRPr="005577D3" w:rsidRDefault="00C57BAB" w:rsidP="005A1434">
            <w:pPr>
              <w:spacing w:after="0" w:line="240" w:lineRule="auto"/>
              <w:rPr>
                <w:rFonts w:ascii="Times New Roman" w:hAnsi="Times New Roman"/>
                <w:lang w:val="lt-LT"/>
              </w:rPr>
            </w:pPr>
          </w:p>
          <w:p w:rsidR="00C57BAB" w:rsidRPr="005577D3" w:rsidRDefault="00C57BAB" w:rsidP="005A1434">
            <w:pPr>
              <w:spacing w:after="0" w:line="240" w:lineRule="auto"/>
              <w:rPr>
                <w:rFonts w:ascii="Times New Roman" w:hAnsi="Times New Roman"/>
                <w:lang w:val="lt-LT"/>
              </w:rPr>
            </w:pPr>
          </w:p>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Organų</w:t>
            </w:r>
          </w:p>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Sistemų klasė</w:t>
            </w:r>
          </w:p>
        </w:tc>
        <w:tc>
          <w:tcPr>
            <w:tcW w:w="1417" w:type="dxa"/>
            <w:tcBorders>
              <w:top w:val="single" w:sz="4" w:space="0" w:color="auto"/>
              <w:left w:val="single" w:sz="4" w:space="0" w:color="auto"/>
              <w:bottom w:val="single" w:sz="4" w:space="0" w:color="auto"/>
              <w:right w:val="single" w:sz="4" w:space="0" w:color="auto"/>
            </w:tcBorders>
          </w:tcPr>
          <w:p w:rsidR="00C57BAB" w:rsidRPr="00EF18E1" w:rsidRDefault="00C57BAB" w:rsidP="005A1434">
            <w:pPr>
              <w:spacing w:after="0" w:line="240" w:lineRule="auto"/>
              <w:jc w:val="center"/>
              <w:rPr>
                <w:rFonts w:ascii="Times New Roman" w:hAnsi="Times New Roman"/>
                <w:lang w:val="lt-LT"/>
              </w:rPr>
            </w:pPr>
            <w:r>
              <w:rPr>
                <w:rFonts w:ascii="Times New Roman" w:hAnsi="Times New Roman"/>
                <w:lang w:val="lt-LT"/>
              </w:rPr>
              <w:t>Dažni</w:t>
            </w: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Nedažni</w:t>
            </w: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Reti</w:t>
            </w: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Labai reti</w:t>
            </w: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Dažnis nežinomas</w:t>
            </w:r>
          </w:p>
        </w:tc>
      </w:tr>
      <w:tr w:rsidR="00C57BAB" w:rsidRPr="005577D3" w:rsidTr="007C3B01">
        <w:trPr>
          <w:trHeight w:val="90"/>
        </w:trPr>
        <w:tc>
          <w:tcPr>
            <w:tcW w:w="1560"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Kraujo ir limfinės sistemos sutrikimai</w:t>
            </w: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eastAsia="Times New Roman" w:hAnsi="Times New Roman"/>
                <w:lang w:val="lt-LT"/>
              </w:rPr>
              <w:t>Agranulocitozė</w:t>
            </w: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eastAsia="Times New Roman" w:hAnsi="Times New Roman"/>
                <w:lang w:val="lt-LT"/>
              </w:rPr>
              <w:t>Trombocitope-nija</w:t>
            </w:r>
            <w:r w:rsidRPr="005577D3">
              <w:rPr>
                <w:rFonts w:ascii="Times New Roman" w:hAnsi="Times New Roman"/>
                <w:lang w:val="lt-LT"/>
              </w:rPr>
              <w:t>, leukopenija</w:t>
            </w:r>
            <w:r w:rsidRPr="005577D3">
              <w:rPr>
                <w:rFonts w:ascii="Times New Roman" w:eastAsia="Times New Roman" w:hAnsi="Times New Roman"/>
                <w:lang w:val="lt-LT"/>
              </w:rPr>
              <w:t>, pancitopenija</w:t>
            </w:r>
            <w:r w:rsidRPr="005577D3">
              <w:rPr>
                <w:rFonts w:ascii="Times New Roman" w:hAnsi="Times New Roman"/>
                <w:lang w:val="lt-LT"/>
              </w:rPr>
              <w:t>.</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r>
      <w:tr w:rsidR="00C57BAB" w:rsidRPr="005577D3"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Imuninės sistemos sutrikimai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Padidėjęs jautrumas (įskaitant anafilaksines reakcijas ir anafilaksinį šoką).</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r>
      <w:tr w:rsidR="00C57BAB" w:rsidRPr="007C3B01" w:rsidTr="007C3B01">
        <w:trPr>
          <w:trHeight w:val="32"/>
        </w:trPr>
        <w:tc>
          <w:tcPr>
            <w:tcW w:w="1560"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lastRenderedPageBreak/>
              <w:t>Metabolizmo ir mitybos sutrikimai</w:t>
            </w: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Hiperlipidemija ir riebalų (trigliceridų, cholesterolio) koncentracijos padidėjimas, kūno svorio pokytis.</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 xml:space="preserve">Hiponatremija, hipomagnezemija </w:t>
            </w:r>
            <w:r w:rsidRPr="005577D3">
              <w:rPr>
                <w:rFonts w:ascii="Times New Roman" w:eastAsia="Times New Roman" w:hAnsi="Times New Roman"/>
                <w:lang w:val="lt-LT"/>
              </w:rPr>
              <w:t xml:space="preserve">(žr. 4.4 skyrių), hipokalcemija, susijusi su hipomagnezemija, hipokalemija </w:t>
            </w:r>
          </w:p>
        </w:tc>
      </w:tr>
      <w:tr w:rsidR="00C57BAB" w:rsidRPr="007C3B01"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 xml:space="preserve">Psichikos sutrikimai </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Miego sutrikimai</w:t>
            </w: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Depresija (bei bet koks jos pasunkėjimas).</w:t>
            </w: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Dezorientacija (bei bet koks jos pasunkėjimas).</w:t>
            </w: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Haliucinacijos, konfūzija, ypač į tai linkusiems pacientams, bei jau esančių šių simptomų pasunkėjimas.</w:t>
            </w:r>
          </w:p>
        </w:tc>
      </w:tr>
      <w:tr w:rsidR="00C57BAB" w:rsidRPr="005577D3" w:rsidTr="007C3B01">
        <w:trPr>
          <w:trHeight w:val="32"/>
        </w:trPr>
        <w:tc>
          <w:tcPr>
            <w:tcW w:w="1560"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Nervų sistemos sutrikimai</w:t>
            </w: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 xml:space="preserve">Galvos skausmas, svaigulys </w:t>
            </w: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eastAsia="Times New Roman" w:hAnsi="Times New Roman"/>
                <w:lang w:val="lt-LT"/>
              </w:rPr>
              <w:t>Skonio jutimo sutrikimas</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eastAsia="Times New Roman" w:hAnsi="Times New Roman"/>
                <w:lang w:val="lt-LT"/>
              </w:rPr>
              <w:t>Parestezija</w:t>
            </w:r>
          </w:p>
        </w:tc>
      </w:tr>
      <w:tr w:rsidR="00C57BAB" w:rsidRPr="005577D3" w:rsidTr="007C3B01">
        <w:trPr>
          <w:trHeight w:val="32"/>
        </w:trPr>
        <w:tc>
          <w:tcPr>
            <w:tcW w:w="1560"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Akių sutrikimai</w:t>
            </w: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Regos sutrikimas, matomo vaizdo neaiškumas.</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r>
      <w:tr w:rsidR="00C57BAB" w:rsidRPr="007C3B01"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Virškinimo trakto sutrikimai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Pr>
                <w:rFonts w:ascii="Times New Roman" w:hAnsi="Times New Roman"/>
                <w:lang w:val="lt-LT"/>
              </w:rPr>
              <w:t>Skrandžio dugno liaukų polypai (gerybiniai)</w:t>
            </w: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Viduriavimas, pykinimas, vėmimas, pilvo tempimas ir pūtimas, vidurių užkietėjimas, burnos džiūvimas, pilvo skausmas ir diskomfortas.</w:t>
            </w:r>
          </w:p>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F11111" w:rsidRDefault="00F11111" w:rsidP="005A1434">
            <w:pPr>
              <w:spacing w:after="0" w:line="240" w:lineRule="auto"/>
              <w:rPr>
                <w:rFonts w:ascii="Times New Roman" w:hAnsi="Times New Roman"/>
                <w:lang w:val="lt-LT"/>
              </w:rPr>
            </w:pPr>
            <w:proofErr w:type="spellStart"/>
            <w:r w:rsidRPr="00F11111">
              <w:rPr>
                <w:rFonts w:ascii="Times New Roman" w:hAnsi="Times New Roman"/>
              </w:rPr>
              <w:t>Mikroskopinis</w:t>
            </w:r>
            <w:proofErr w:type="spellEnd"/>
            <w:r w:rsidRPr="00F11111">
              <w:rPr>
                <w:rFonts w:ascii="Times New Roman" w:hAnsi="Times New Roman"/>
              </w:rPr>
              <w:t xml:space="preserve"> </w:t>
            </w:r>
            <w:proofErr w:type="spellStart"/>
            <w:r w:rsidRPr="00F11111">
              <w:rPr>
                <w:rFonts w:ascii="Times New Roman" w:hAnsi="Times New Roman"/>
              </w:rPr>
              <w:t>kolitas</w:t>
            </w:r>
            <w:proofErr w:type="spellEnd"/>
          </w:p>
        </w:tc>
      </w:tr>
      <w:tr w:rsidR="00C57BAB" w:rsidRPr="007C3B01"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Kepenų, tulžies pūslės ir latakų sutrikimai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Kepenų fermentų (transaminazių, γ-GT) koncentracijos padidėjimas.</w:t>
            </w: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Bilirubino koncentracijos padidėjimas.</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Kepenų ląstelių pažeidimas, gelta, kepenų ląstelių funkcijos nepakankamumas.</w:t>
            </w:r>
          </w:p>
          <w:p w:rsidR="00C57BAB" w:rsidRPr="005577D3" w:rsidRDefault="00C57BAB" w:rsidP="005A1434">
            <w:pPr>
              <w:spacing w:after="0" w:line="240" w:lineRule="auto"/>
              <w:rPr>
                <w:rFonts w:ascii="Times New Roman" w:hAnsi="Times New Roman"/>
                <w:lang w:val="lt-LT"/>
              </w:rPr>
            </w:pPr>
          </w:p>
        </w:tc>
      </w:tr>
      <w:tr w:rsidR="00C57BAB" w:rsidRPr="007C3B01"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Odos ir poodinio audinio sutrikimai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Išbėrimas, egzantema, erupcija, niežėjimas.</w:t>
            </w:r>
          </w:p>
        </w:tc>
        <w:tc>
          <w:tcPr>
            <w:tcW w:w="1559"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Dilgėlinė, angioneurozinė edema.</w:t>
            </w:r>
          </w:p>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Stivenso- Džonsono (</w:t>
            </w:r>
            <w:r w:rsidRPr="005577D3">
              <w:rPr>
                <w:rFonts w:ascii="Times New Roman" w:hAnsi="Times New Roman"/>
                <w:i/>
                <w:lang w:val="lt-LT"/>
              </w:rPr>
              <w:t>Stevens-Johnson</w:t>
            </w:r>
            <w:r w:rsidRPr="005577D3">
              <w:rPr>
                <w:rFonts w:ascii="Times New Roman" w:hAnsi="Times New Roman"/>
                <w:lang w:val="lt-LT"/>
              </w:rPr>
              <w:t xml:space="preserve">) sindromas, </w:t>
            </w:r>
            <w:r w:rsidRPr="005577D3">
              <w:rPr>
                <w:rFonts w:ascii="Times New Roman" w:hAnsi="Times New Roman"/>
                <w:lang w:val="lt-LT"/>
              </w:rPr>
              <w:lastRenderedPageBreak/>
              <w:t>toksinė epidermio nekrolizė [Lajelio (</w:t>
            </w:r>
            <w:r w:rsidRPr="005577D3">
              <w:rPr>
                <w:rFonts w:ascii="Times New Roman" w:hAnsi="Times New Roman"/>
                <w:i/>
                <w:lang w:val="lt-LT"/>
              </w:rPr>
              <w:t>Lyell</w:t>
            </w:r>
            <w:r w:rsidRPr="005577D3">
              <w:rPr>
                <w:rFonts w:ascii="Times New Roman" w:hAnsi="Times New Roman"/>
                <w:lang w:val="lt-LT"/>
              </w:rPr>
              <w:t>)</w:t>
            </w:r>
          </w:p>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sindromas], daugiaformė raudonė (eritema), jautrumas šviesai.</w:t>
            </w:r>
          </w:p>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Poūmė odos raudonoji vilkligė (žr. 4.4 skyrių)</w:t>
            </w:r>
          </w:p>
          <w:p w:rsidR="00C57BAB" w:rsidRPr="005577D3" w:rsidRDefault="00C57BAB" w:rsidP="005A1434">
            <w:pPr>
              <w:spacing w:after="0" w:line="240" w:lineRule="auto"/>
              <w:rPr>
                <w:rFonts w:ascii="Times New Roman" w:hAnsi="Times New Roman"/>
                <w:lang w:val="lt-LT"/>
              </w:rPr>
            </w:pPr>
          </w:p>
        </w:tc>
      </w:tr>
      <w:tr w:rsidR="00C57BAB" w:rsidRPr="007C3B01"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lastRenderedPageBreak/>
              <w:t>Skeleto, raumenų ir jungiamojo audinio sutrikimai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 xml:space="preserve">Šlaunikaulio, riešo arba stuburo lūžiai </w:t>
            </w:r>
            <w:r w:rsidRPr="005577D3">
              <w:rPr>
                <w:rFonts w:ascii="Times New Roman" w:eastAsia="Times New Roman" w:hAnsi="Times New Roman"/>
                <w:lang w:val="lt-LT"/>
              </w:rPr>
              <w:t>(žr. 4.4 skyrių</w:t>
            </w:r>
            <w:r w:rsidRPr="005577D3">
              <w:rPr>
                <w:rFonts w:ascii="Times New Roman" w:hAnsi="Times New Roman"/>
                <w:lang w:val="lt-LT"/>
              </w:rPr>
              <w:t>)</w:t>
            </w: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Artralgija, mialgija.</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eastAsia="Times New Roman" w:hAnsi="Times New Roman"/>
                <w:lang w:val="lt-LT"/>
              </w:rPr>
              <w:t>Dauginiai spazmai dėl elektrolitų pusiausvyros sutrikimo</w:t>
            </w:r>
          </w:p>
        </w:tc>
      </w:tr>
      <w:tr w:rsidR="00C57BAB" w:rsidRPr="005577D3"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Inkstų ir šlapimo takų sutrikimai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Intersticinis nefritas</w:t>
            </w:r>
            <w:r w:rsidRPr="005577D3">
              <w:rPr>
                <w:rFonts w:ascii="Times New Roman" w:eastAsia="Times New Roman" w:hAnsi="Times New Roman"/>
                <w:lang w:val="lt-LT"/>
              </w:rPr>
              <w:t xml:space="preserve"> (su galimu progresavimu iki inkstų nepakankamumo)</w:t>
            </w:r>
          </w:p>
        </w:tc>
      </w:tr>
      <w:tr w:rsidR="00C57BAB" w:rsidRPr="005577D3"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 xml:space="preserve">Lytinės sistemos ir krūties sutrikimai </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Ginekomastija</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r>
      <w:tr w:rsidR="00C57BAB" w:rsidRPr="005577D3" w:rsidTr="007C3B01">
        <w:trPr>
          <w:trHeight w:val="32"/>
        </w:trPr>
        <w:tc>
          <w:tcPr>
            <w:tcW w:w="1560"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Bendrieji sutrikimai ir vartojimo vietos pažeidimai</w:t>
            </w:r>
          </w:p>
          <w:p w:rsidR="00C57BAB" w:rsidRPr="005577D3" w:rsidRDefault="00C57BAB" w:rsidP="005A1434">
            <w:pPr>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418"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Astenija, nuovargis ir bendrasis negalavimas.</w:t>
            </w:r>
          </w:p>
        </w:tc>
        <w:tc>
          <w:tcPr>
            <w:tcW w:w="1559" w:type="dxa"/>
            <w:tcBorders>
              <w:top w:val="single" w:sz="4" w:space="0" w:color="auto"/>
              <w:left w:val="single" w:sz="4" w:space="0" w:color="auto"/>
              <w:bottom w:val="single" w:sz="4" w:space="0" w:color="auto"/>
              <w:right w:val="single" w:sz="4" w:space="0" w:color="auto"/>
            </w:tcBorders>
            <w:hideMark/>
          </w:tcPr>
          <w:p w:rsidR="00C57BAB" w:rsidRPr="005577D3" w:rsidRDefault="00C57BAB" w:rsidP="005A1434">
            <w:pPr>
              <w:spacing w:after="0" w:line="240" w:lineRule="auto"/>
              <w:rPr>
                <w:rFonts w:ascii="Times New Roman" w:hAnsi="Times New Roman"/>
                <w:lang w:val="lt-LT"/>
              </w:rPr>
            </w:pPr>
            <w:r w:rsidRPr="005577D3">
              <w:rPr>
                <w:rFonts w:ascii="Times New Roman" w:hAnsi="Times New Roman"/>
                <w:lang w:val="lt-LT"/>
              </w:rPr>
              <w:t>Kūno temperatūros padidėjimas, periferinė edema.</w:t>
            </w: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C57BAB" w:rsidRPr="005577D3" w:rsidRDefault="00C57BAB" w:rsidP="005A1434">
            <w:pPr>
              <w:spacing w:after="0" w:line="240" w:lineRule="auto"/>
              <w:rPr>
                <w:rFonts w:ascii="Times New Roman" w:hAnsi="Times New Roman"/>
                <w:lang w:val="lt-LT"/>
              </w:rPr>
            </w:pPr>
          </w:p>
        </w:tc>
      </w:tr>
    </w:tbl>
    <w:p w:rsidR="00C57BAB" w:rsidRPr="005577D3" w:rsidRDefault="00C57BAB" w:rsidP="00C57BAB">
      <w:pPr>
        <w:tabs>
          <w:tab w:val="left" w:pos="567"/>
        </w:tabs>
        <w:autoSpaceDE w:val="0"/>
        <w:autoSpaceDN w:val="0"/>
        <w:adjustRightInd w:val="0"/>
        <w:spacing w:after="0" w:line="240" w:lineRule="auto"/>
        <w:jc w:val="both"/>
        <w:rPr>
          <w:rFonts w:ascii="Times New Roman" w:eastAsia="Times New Roman" w:hAnsi="Times New Roman"/>
          <w:noProof/>
          <w:snapToGrid w:val="0"/>
          <w:u w:val="single"/>
          <w:lang w:val="lt-LT"/>
        </w:rPr>
      </w:pPr>
    </w:p>
    <w:p w:rsidR="00C57BAB" w:rsidRPr="005577D3" w:rsidRDefault="00C57BAB" w:rsidP="00C57BAB">
      <w:pPr>
        <w:tabs>
          <w:tab w:val="left" w:pos="567"/>
        </w:tabs>
        <w:autoSpaceDE w:val="0"/>
        <w:autoSpaceDN w:val="0"/>
        <w:adjustRightInd w:val="0"/>
        <w:spacing w:after="0" w:line="240" w:lineRule="auto"/>
        <w:jc w:val="both"/>
        <w:rPr>
          <w:rFonts w:ascii="Times New Roman" w:eastAsia="Times New Roman" w:hAnsi="Times New Roman"/>
          <w:snapToGrid w:val="0"/>
          <w:u w:val="single"/>
          <w:lang w:val="lt-LT"/>
        </w:rPr>
      </w:pPr>
      <w:r w:rsidRPr="005577D3">
        <w:rPr>
          <w:rFonts w:ascii="Times New Roman" w:eastAsia="Times New Roman" w:hAnsi="Times New Roman"/>
          <w:noProof/>
          <w:snapToGrid w:val="0"/>
          <w:u w:val="single"/>
          <w:lang w:val="lt-LT"/>
        </w:rPr>
        <w:t>Pranešimas apie įtariamas nepageidaujamas reakcijas</w:t>
      </w:r>
    </w:p>
    <w:p w:rsidR="00C57BAB" w:rsidRPr="00492A4B" w:rsidRDefault="00C57BAB" w:rsidP="00FB356A">
      <w:pPr>
        <w:pStyle w:val="BTEMEASMCA"/>
      </w:pPr>
      <w:r w:rsidRPr="00FB356A">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w:t>
      </w:r>
      <w:r w:rsidRPr="00F51BE9">
        <w:t>tainėje http://</w:t>
      </w:r>
      <w:hyperlink r:id="rId5" w:history="1">
        <w:r w:rsidRPr="00492A4B">
          <w:rPr>
            <w:rStyle w:val="Hipersaitas"/>
            <w:rFonts w:eastAsia="SimSun"/>
            <w:u w:val="none"/>
          </w:rPr>
          <w:t>www.vvkt.lt</w:t>
        </w:r>
      </w:hyperlink>
      <w:r w:rsidRPr="00492A4B">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492A4B">
          <w:rPr>
            <w:rStyle w:val="Hipersaitas"/>
            <w:rFonts w:eastAsia="SimSun"/>
            <w:u w:val="none"/>
          </w:rPr>
          <w:t>NepageidaujamaR@vvkt.lt</w:t>
        </w:r>
      </w:hyperlink>
      <w:r w:rsidRPr="00492A4B">
        <w:t>), per interneto svetainę (adresu http://www.vvkt.lt).</w:t>
      </w:r>
    </w:p>
    <w:p w:rsidR="00C57BAB" w:rsidRPr="005577D3" w:rsidRDefault="00C57BAB" w:rsidP="00C57BAB">
      <w:pPr>
        <w:widowControl w:val="0"/>
        <w:autoSpaceDE w:val="0"/>
        <w:autoSpaceDN w:val="0"/>
        <w:adjustRightInd w:val="0"/>
        <w:spacing w:after="0" w:line="240" w:lineRule="auto"/>
        <w:rPr>
          <w:rFonts w:ascii="Times New Roman" w:hAnsi="Times New Roman"/>
          <w:b/>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28" w:name="_Toc129243235"/>
      <w:bookmarkStart w:id="29" w:name="_Toc129243110"/>
      <w:r w:rsidRPr="005577D3">
        <w:rPr>
          <w:rFonts w:ascii="Times New Roman" w:hAnsi="Times New Roman"/>
          <w:b/>
          <w:kern w:val="28"/>
          <w:lang w:val="lt-LT"/>
        </w:rPr>
        <w:t>4.9</w:t>
      </w:r>
      <w:r w:rsidRPr="005577D3">
        <w:rPr>
          <w:rFonts w:ascii="Times New Roman" w:hAnsi="Times New Roman"/>
          <w:b/>
          <w:kern w:val="28"/>
          <w:lang w:val="lt-LT"/>
        </w:rPr>
        <w:tab/>
        <w:t>Perdozavimas</w:t>
      </w:r>
      <w:bookmarkEnd w:id="28"/>
      <w:bookmarkEnd w:id="29"/>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lastRenderedPageBreak/>
        <w:t>Žmogui atsirandančių perdozavimo simptomų nežinoma.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Sisteminė ekspozicija, kai į veną per 2 min. suleista ne didesnė kaip 240 mg dozė, toleruota gerai.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Didelė dalis pantoprazolo jungiasi prie baltymų, todėl dialize daug preparato nepašalinama.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Jei perdozuojama ir atsiranda klinikinių intoksikacijos požymių, taikomas simptominis ir palaikomasis gydymas, specifinių gydymo rekomendacijų nėra.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30" w:name="_Toc129243236"/>
      <w:bookmarkStart w:id="31" w:name="_Toc129243111"/>
      <w:r w:rsidRPr="005577D3">
        <w:rPr>
          <w:rFonts w:ascii="Times New Roman" w:hAnsi="Times New Roman"/>
          <w:b/>
          <w:lang w:val="lt-LT"/>
        </w:rPr>
        <w:t>5.</w:t>
      </w:r>
      <w:r w:rsidRPr="005577D3">
        <w:rPr>
          <w:rFonts w:ascii="Times New Roman" w:hAnsi="Times New Roman"/>
          <w:b/>
          <w:lang w:val="lt-LT"/>
        </w:rPr>
        <w:tab/>
        <w:t>FARMAKOLOGINĖS SAVYBĖS</w:t>
      </w:r>
      <w:bookmarkEnd w:id="30"/>
      <w:bookmarkEnd w:id="31"/>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32" w:name="_Toc129243237"/>
      <w:bookmarkStart w:id="33" w:name="_Toc129243112"/>
      <w:r w:rsidRPr="005577D3">
        <w:rPr>
          <w:rFonts w:ascii="Times New Roman" w:hAnsi="Times New Roman"/>
          <w:b/>
          <w:kern w:val="28"/>
          <w:lang w:val="lt-LT"/>
        </w:rPr>
        <w:t>5.1</w:t>
      </w:r>
      <w:r w:rsidRPr="005577D3">
        <w:rPr>
          <w:rFonts w:ascii="Times New Roman" w:hAnsi="Times New Roman"/>
          <w:b/>
          <w:kern w:val="28"/>
          <w:lang w:val="lt-LT"/>
        </w:rPr>
        <w:tab/>
        <w:t>Farmakodinaminės savybės</w:t>
      </w:r>
      <w:bookmarkEnd w:id="32"/>
      <w:bookmarkEnd w:id="3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Farmakoterapinė grupė – protonų siurblio inhibitoriai, ATC kodas – A02BC02.</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Veikimo mechanizmas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Pantoprazolas yra pakeistas benzimidazolas, kuris, specifiškai blokuodamas parietalinių ląstelių protonų siurblį, slopina druskos rūgšties sekreciją skrandyje.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Rūgščioje parietalinių ląstelių terpėje pantoprazolas virsta aktyvia forma ir slopina fermentą H</w:t>
      </w:r>
      <w:r w:rsidRPr="005577D3">
        <w:rPr>
          <w:rFonts w:ascii="Times New Roman" w:hAnsi="Times New Roman"/>
          <w:vertAlign w:val="superscript"/>
          <w:lang w:val="lt-LT"/>
        </w:rPr>
        <w:t>+</w:t>
      </w:r>
      <w:r w:rsidRPr="005577D3">
        <w:rPr>
          <w:rFonts w:ascii="Times New Roman" w:hAnsi="Times New Roman"/>
          <w:lang w:val="lt-LT"/>
        </w:rPr>
        <w:t>, K</w:t>
      </w:r>
      <w:r w:rsidRPr="005577D3">
        <w:rPr>
          <w:rFonts w:ascii="Times New Roman" w:hAnsi="Times New Roman"/>
          <w:vertAlign w:val="superscript"/>
          <w:lang w:val="lt-LT"/>
        </w:rPr>
        <w:t>+</w:t>
      </w:r>
      <w:r w:rsidRPr="005577D3">
        <w:rPr>
          <w:rFonts w:ascii="Times New Roman" w:hAnsi="Times New Roman"/>
          <w:lang w:val="lt-LT"/>
        </w:rPr>
        <w:t>- 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Vartojant sekreciją mažinančius vaistinius preparatus, sumažėjusiai rūgščių sekrecijai atsakas yra padidėjusi gastrino koncentracija kraujo serume.  Dėl sumažėjusio skrandžio rūgštingumo taip pat padidėja CgA kiekis. Toks CgA kiekio padidėjimas gali trukdyti neuroendokrininių navikų tyrimams.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Šiuo metu paskelbti duomenys rodo, kad prieš CgA kiekio tyrimus reikia nuo 5 dienų iki 2 savaičių nutraukti protonų siurblio inhibitorių (PSI) vartojimą. Toks vartojimo nutraukimas reikalingas, kad nežymiai padidėjęs CgA kiekis dėl PSI vartojimo taptų normalus.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Remiantis tyrimų su gyvūnais duomenimis, ilgalaikio (ilgiau nei metus trunkančio) gydymo pantoprazolu įtakos endokrininiams skydliaukės parametrams paneigti negalima.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34" w:name="_Toc129243238"/>
      <w:bookmarkStart w:id="35" w:name="_Toc129243113"/>
      <w:r w:rsidRPr="005577D3">
        <w:rPr>
          <w:rFonts w:ascii="Times New Roman" w:hAnsi="Times New Roman"/>
          <w:b/>
          <w:kern w:val="28"/>
          <w:lang w:val="lt-LT"/>
        </w:rPr>
        <w:t>5.2</w:t>
      </w:r>
      <w:r w:rsidRPr="005577D3">
        <w:rPr>
          <w:rFonts w:ascii="Times New Roman" w:hAnsi="Times New Roman"/>
          <w:b/>
          <w:kern w:val="28"/>
          <w:lang w:val="lt-LT"/>
        </w:rPr>
        <w:tab/>
        <w:t>Farmakokinetinės savybės</w:t>
      </w:r>
      <w:bookmarkEnd w:id="34"/>
      <w:bookmarkEnd w:id="35"/>
    </w:p>
    <w:p w:rsidR="00C57BAB" w:rsidRPr="005577D3" w:rsidRDefault="00C57BAB" w:rsidP="00C57BAB">
      <w:pPr>
        <w:widowControl w:val="0"/>
        <w:autoSpaceDE w:val="0"/>
        <w:autoSpaceDN w:val="0"/>
        <w:adjustRightInd w:val="0"/>
        <w:spacing w:after="0" w:line="240" w:lineRule="auto"/>
        <w:rPr>
          <w:rFonts w:ascii="Times New Roman" w:hAnsi="Times New Roman"/>
          <w:b/>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Absorbcija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Pantoprazolas greitai absorbuojamas. Didžiausia koncentracija kraujo plazmoje atsiranda net išgėrus vienkartinę 20 mg dozę. Didžiausia koncentracija serume (maždaug 1-1,5 mikrogramo/ml) atsiranda po preparato pavartojimo vidutiniškai praėjus 2,0-2,5 val., o vartojant kartotines dozes, šie rodmenys išlieka tokie pat. Vienkartinės ir kartotinių dozių farmakokinetika nesiskiria. Ir geriamos, ir į veną švirkščiamos 10-80 mg pantoprazolo dozės kinetika plazmoje yra linijinė.</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lastRenderedPageBreak/>
        <w:t>Pasiskirstymas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Maždaug 98 % pantoprazolo susijungia su kraujo serumo baltymais. Pasiskirstymo tūris yra maždaug 0,15 l/kg kūno svorio.</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Eliminacija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Medžiaga metabolizuojama beveik vien tik kepenyse. Svarbiausias metabolinis procesas yra demetilinimas, kuriame dalyvauja CYP2C19, ir po jo sekanti konjugacija su sulfatu, tačiau galimi ir kitokie metabolizmo mechanizmai, įskaitant oksidavimą, kuriame dalyvauja CYP3A4. 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Didžioji pantoprazolo metabolitų dalis (maždaug 80 %)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C57BAB" w:rsidRPr="005577D3" w:rsidRDefault="00C57BAB" w:rsidP="00C57BAB">
      <w:pPr>
        <w:spacing w:after="0" w:line="240" w:lineRule="auto"/>
        <w:rPr>
          <w:rFonts w:ascii="Times New Roman" w:hAnsi="Times New Roman"/>
          <w:lang w:val="lt-LT"/>
        </w:rPr>
      </w:pPr>
    </w:p>
    <w:p w:rsidR="00C57BAB" w:rsidRPr="00EF18E1" w:rsidRDefault="00C57BAB" w:rsidP="00C57BAB">
      <w:pPr>
        <w:spacing w:after="0" w:line="240" w:lineRule="auto"/>
        <w:rPr>
          <w:rFonts w:ascii="Times New Roman" w:hAnsi="Times New Roman"/>
          <w:i/>
          <w:lang w:val="lt-LT"/>
        </w:rPr>
      </w:pPr>
      <w:r w:rsidRPr="00EF18E1">
        <w:rPr>
          <w:rFonts w:ascii="Times New Roman" w:hAnsi="Times New Roman"/>
          <w:i/>
          <w:lang w:val="lt-LT"/>
        </w:rPr>
        <w:t>Ypatybės tam tikrų pacientų ir specialių grupių asmenų organizme</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Kepenų ciroze sergančių pacientų (A arba B klasė pagal </w:t>
      </w:r>
      <w:r w:rsidRPr="005577D3">
        <w:rPr>
          <w:rFonts w:ascii="Times New Roman" w:hAnsi="Times New Roman"/>
          <w:i/>
          <w:lang w:val="lt-LT"/>
        </w:rPr>
        <w:t>Child)</w:t>
      </w:r>
      <w:r w:rsidRPr="005577D3">
        <w:rPr>
          <w:rFonts w:ascii="Times New Roman" w:hAnsi="Times New Roman"/>
          <w:lang w:val="lt-LT"/>
        </w:rPr>
        <w:t xml:space="preserve"> organizme pusinės eliminacijos laikas pailgėja iki 3-6 val., o AUC padidėja 3-5 kartus, tačiau didžiausia koncentracija serume, palyginti su koncentracija sveikų asmenų kraujyje, padidėja tik šiek tiek (1,3 karto).</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Senyvų savanorių organizme pastebėtas kliniškai nereikšmingas nedidelis AUC ir C</w:t>
      </w:r>
      <w:r w:rsidRPr="005577D3">
        <w:rPr>
          <w:rFonts w:ascii="Times New Roman" w:hAnsi="Times New Roman"/>
          <w:vertAlign w:val="subscript"/>
          <w:lang w:val="lt-LT"/>
        </w:rPr>
        <w:t>max</w:t>
      </w:r>
      <w:r w:rsidRPr="005577D3">
        <w:rPr>
          <w:rFonts w:ascii="Times New Roman" w:hAnsi="Times New Roman"/>
          <w:lang w:val="lt-LT"/>
        </w:rPr>
        <w:t xml:space="preserve"> padidėjimas, palyginti su atitinkamais rodmenimis jaunesnių žmonių organizme.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Vaikai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5-16 metų vaikų, išgėrusių vienkartinę 20 mg ar 40 mg pantoprazolo dozę, AUC ir C</w:t>
      </w:r>
      <w:r w:rsidRPr="005577D3">
        <w:rPr>
          <w:rFonts w:ascii="Times New Roman" w:hAnsi="Times New Roman"/>
          <w:vertAlign w:val="subscript"/>
          <w:lang w:val="lt-LT"/>
        </w:rPr>
        <w:t>max</w:t>
      </w:r>
      <w:r w:rsidRPr="005577D3">
        <w:rPr>
          <w:rFonts w:ascii="Times New Roman" w:hAnsi="Times New Roman"/>
          <w:lang w:val="lt-LT"/>
        </w:rPr>
        <w:t xml:space="preserve"> atitiko suaugusių žmonių rodmenis.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2-16 metų vaikams į veną sušvirkštus 0,8 mg/kg kūno svorio arba 1,6 mg/kg kūno svorio pantoprazolo dozę, reikšmingo ryšio tarp pantoprazolo klirenso ir amžiaus ar kūno svorio nebuvo. AUC ir pasiskirstymo tūris atitiko suaugusių žmonių rodmenis. </w:t>
      </w: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36" w:name="_Toc129243239"/>
      <w:bookmarkStart w:id="37" w:name="_Toc129243114"/>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r w:rsidRPr="005577D3">
        <w:rPr>
          <w:rFonts w:ascii="Times New Roman" w:hAnsi="Times New Roman"/>
          <w:b/>
          <w:kern w:val="28"/>
          <w:lang w:val="lt-LT"/>
        </w:rPr>
        <w:t>5.3</w:t>
      </w:r>
      <w:r w:rsidRPr="005577D3">
        <w:rPr>
          <w:rFonts w:ascii="Times New Roman" w:hAnsi="Times New Roman"/>
          <w:b/>
          <w:kern w:val="28"/>
          <w:lang w:val="lt-LT"/>
        </w:rPr>
        <w:tab/>
        <w:t>Ikiklinikinių saugumo tyrimų duomenys</w:t>
      </w:r>
      <w:bookmarkEnd w:id="36"/>
      <w:bookmarkEnd w:id="37"/>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Įprastų farmakologinio saugumo, kartotinių dozių toksiškumo ir genotoksiškumo ikiklinikinių tyrimų duomenys specifinio pavojaus žmogui nerodo.</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Duomenų apie vaisingumo sumažėjimą ar teratogeninį poveikį negauta.</w:t>
      </w:r>
      <w:r>
        <w:rPr>
          <w:rFonts w:ascii="Times New Roman" w:hAnsi="Times New Roman"/>
          <w:lang w:val="lt-LT"/>
        </w:rPr>
        <w:t xml:space="preserve"> </w:t>
      </w:r>
      <w:r w:rsidRPr="005577D3">
        <w:rPr>
          <w:rFonts w:ascii="Times New Roman" w:hAnsi="Times New Roman"/>
          <w:lang w:val="lt-LT"/>
        </w:rPr>
        <w:t>Poveikio gyvūnų dauginimuisi tyrimų metu didesnė kaip 5 mg/kg kūno svorio dozė sukėlė lengvą fetotoksinį poveikį.</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Ar pantoprazolo prasiskverbia per placentą, nustatinėta tyrimais su žiurkėmis. Gauti rezultatai rodo, kad vaikingumo periodui ilgėjant, pantoprazolo prasiskverbia daugiau, todėl prieš pat atsivedimą vaisiuje pantoprazolo koncentracija padidėja.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38" w:name="_Toc129243240"/>
      <w:bookmarkStart w:id="39" w:name="_Toc129243115"/>
      <w:r w:rsidRPr="005577D3">
        <w:rPr>
          <w:rFonts w:ascii="Times New Roman" w:hAnsi="Times New Roman"/>
          <w:b/>
          <w:lang w:val="lt-LT"/>
        </w:rPr>
        <w:t>6.</w:t>
      </w:r>
      <w:r w:rsidRPr="005577D3">
        <w:rPr>
          <w:rFonts w:ascii="Times New Roman" w:hAnsi="Times New Roman"/>
          <w:b/>
          <w:lang w:val="lt-LT"/>
        </w:rPr>
        <w:tab/>
        <w:t>FARMACINĖ INFORMACIJA</w:t>
      </w:r>
      <w:bookmarkEnd w:id="38"/>
      <w:bookmarkEnd w:id="39"/>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40" w:name="_Toc129243241"/>
      <w:bookmarkStart w:id="41" w:name="_Toc129243116"/>
      <w:r w:rsidRPr="005577D3">
        <w:rPr>
          <w:rFonts w:ascii="Times New Roman" w:hAnsi="Times New Roman"/>
          <w:b/>
          <w:kern w:val="28"/>
          <w:lang w:val="lt-LT"/>
        </w:rPr>
        <w:t>6.1</w:t>
      </w:r>
      <w:r w:rsidRPr="005577D3">
        <w:rPr>
          <w:rFonts w:ascii="Times New Roman" w:hAnsi="Times New Roman"/>
          <w:b/>
          <w:kern w:val="28"/>
          <w:lang w:val="lt-LT"/>
        </w:rPr>
        <w:tab/>
        <w:t>Pagalbinių medžiagų sąrašas</w:t>
      </w:r>
      <w:bookmarkEnd w:id="40"/>
      <w:bookmarkEnd w:id="41"/>
    </w:p>
    <w:p w:rsidR="00C57BAB" w:rsidRPr="005577D3" w:rsidRDefault="00C57BAB" w:rsidP="00C57BAB">
      <w:pPr>
        <w:widowControl w:val="0"/>
        <w:autoSpaceDE w:val="0"/>
        <w:autoSpaceDN w:val="0"/>
        <w:adjustRightInd w:val="0"/>
        <w:spacing w:after="0" w:line="240" w:lineRule="auto"/>
        <w:rPr>
          <w:rFonts w:ascii="Times New Roman" w:hAnsi="Times New Roman"/>
          <w:i/>
          <w:lang w:val="lt-LT"/>
        </w:rPr>
      </w:pPr>
    </w:p>
    <w:p w:rsidR="00C57BAB" w:rsidRPr="005577D3" w:rsidRDefault="00C57BAB" w:rsidP="00C57BAB">
      <w:pPr>
        <w:widowControl w:val="0"/>
        <w:autoSpaceDE w:val="0"/>
        <w:autoSpaceDN w:val="0"/>
        <w:adjustRightInd w:val="0"/>
        <w:spacing w:after="0" w:line="240" w:lineRule="auto"/>
        <w:rPr>
          <w:rFonts w:ascii="Times New Roman" w:hAnsi="Times New Roman"/>
          <w:i/>
          <w:lang w:val="lt-LT"/>
        </w:rPr>
      </w:pPr>
      <w:r w:rsidRPr="005577D3">
        <w:rPr>
          <w:rFonts w:ascii="Times New Roman" w:hAnsi="Times New Roman"/>
          <w:i/>
          <w:lang w:val="lt-LT"/>
        </w:rPr>
        <w:t>Tabletės branduolys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Maltitolis (E 965)</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Krospovidonas B tipo</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Karmeliozės natrio druska</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Bevandenis natrio karbonatas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Kalcio stearatas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p>
    <w:p w:rsidR="00C57BAB" w:rsidRPr="005577D3" w:rsidRDefault="00C57BAB" w:rsidP="00C57BAB">
      <w:pPr>
        <w:widowControl w:val="0"/>
        <w:autoSpaceDE w:val="0"/>
        <w:autoSpaceDN w:val="0"/>
        <w:adjustRightInd w:val="0"/>
        <w:spacing w:after="0" w:line="240" w:lineRule="auto"/>
        <w:rPr>
          <w:rFonts w:ascii="Times New Roman" w:hAnsi="Times New Roman"/>
          <w:i/>
          <w:lang w:val="lt-LT"/>
        </w:rPr>
      </w:pPr>
      <w:r w:rsidRPr="005577D3">
        <w:rPr>
          <w:rFonts w:ascii="Times New Roman" w:hAnsi="Times New Roman"/>
          <w:i/>
          <w:lang w:val="lt-LT"/>
        </w:rPr>
        <w:t>Tabletės dangalas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Polivinilo alkoholis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Talkas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Titano dioksidas (E 171)</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Makrogolis 3350</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Sojų lecitinas (E 322)</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Geltonasis geležies oksidas (E 172)</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Bevandenis natrio karbonatas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 xml:space="preserve">Metakrilo rūgšties ir etilakrilato 1:1 kopolimeras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Natrio dodecilsulfatas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Polisorbatas 80</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Trietilo citratas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42" w:name="_Toc129243242"/>
      <w:bookmarkStart w:id="43" w:name="_Toc129243117"/>
      <w:r w:rsidRPr="005577D3">
        <w:rPr>
          <w:rFonts w:ascii="Times New Roman" w:hAnsi="Times New Roman"/>
          <w:b/>
          <w:kern w:val="28"/>
          <w:lang w:val="lt-LT"/>
        </w:rPr>
        <w:t>6.2</w:t>
      </w:r>
      <w:r w:rsidRPr="005577D3">
        <w:rPr>
          <w:rFonts w:ascii="Times New Roman" w:hAnsi="Times New Roman"/>
          <w:b/>
          <w:kern w:val="28"/>
          <w:lang w:val="lt-LT"/>
        </w:rPr>
        <w:tab/>
        <w:t>Nesuderinamumas</w:t>
      </w:r>
      <w:bookmarkEnd w:id="42"/>
      <w:bookmarkEnd w:id="4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Duomenys nebūtini.</w:t>
      </w: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44" w:name="_Toc129243243"/>
      <w:bookmarkStart w:id="45" w:name="_Toc129243118"/>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r w:rsidRPr="005577D3">
        <w:rPr>
          <w:rFonts w:ascii="Times New Roman" w:hAnsi="Times New Roman"/>
          <w:b/>
          <w:kern w:val="28"/>
          <w:lang w:val="lt-LT"/>
        </w:rPr>
        <w:t>6.3</w:t>
      </w:r>
      <w:r w:rsidRPr="005577D3">
        <w:rPr>
          <w:rFonts w:ascii="Times New Roman" w:hAnsi="Times New Roman"/>
          <w:b/>
          <w:kern w:val="28"/>
          <w:lang w:val="lt-LT"/>
        </w:rPr>
        <w:tab/>
        <w:t>Tinkamumo laikas</w:t>
      </w:r>
      <w:bookmarkEnd w:id="44"/>
      <w:bookmarkEnd w:id="45"/>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Al/Al lizdinių plokštelių pakuotė: 3 metai.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DTPE buteliuko pakuotė: 3 metai.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Buteliuką pirmą kartą atidarius, preparato tinkamumo laikas- 3 mėnesiai.</w:t>
      </w: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46" w:name="_Toc129243244"/>
      <w:bookmarkStart w:id="47" w:name="_Toc129243119"/>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r w:rsidRPr="005577D3">
        <w:rPr>
          <w:rFonts w:ascii="Times New Roman" w:hAnsi="Times New Roman"/>
          <w:b/>
          <w:kern w:val="28"/>
          <w:lang w:val="lt-LT"/>
        </w:rPr>
        <w:t>6.4</w:t>
      </w:r>
      <w:r w:rsidRPr="005577D3">
        <w:rPr>
          <w:rFonts w:ascii="Times New Roman" w:hAnsi="Times New Roman"/>
          <w:b/>
          <w:kern w:val="28"/>
          <w:lang w:val="lt-LT"/>
        </w:rPr>
        <w:tab/>
        <w:t>Specialios laikymo sąlygos</w:t>
      </w:r>
      <w:bookmarkEnd w:id="46"/>
      <w:bookmarkEnd w:id="47"/>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Šiam vaistiniam preparatui specialių laikymo sąlygų nereikia.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48" w:name="_Toc129243245"/>
      <w:bookmarkStart w:id="49" w:name="_Toc129243120"/>
      <w:r w:rsidRPr="005577D3">
        <w:rPr>
          <w:rFonts w:ascii="Times New Roman" w:hAnsi="Times New Roman"/>
          <w:b/>
          <w:kern w:val="28"/>
          <w:lang w:val="lt-LT"/>
        </w:rPr>
        <w:t>6.5</w:t>
      </w:r>
      <w:r w:rsidRPr="005577D3">
        <w:rPr>
          <w:rFonts w:ascii="Times New Roman" w:hAnsi="Times New Roman"/>
          <w:b/>
          <w:kern w:val="28"/>
          <w:lang w:val="lt-LT"/>
        </w:rPr>
        <w:tab/>
      </w:r>
      <w:r w:rsidRPr="005577D3">
        <w:rPr>
          <w:rFonts w:ascii="Times New Roman" w:hAnsi="Times New Roman"/>
          <w:b/>
          <w:lang w:val="lt-LT"/>
        </w:rPr>
        <w:t>Talpyklės pobūdis ir jos turinys</w:t>
      </w:r>
      <w:bookmarkEnd w:id="48"/>
      <w:bookmarkEnd w:id="49"/>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oPA/Al/PVC-Al lizdinė plokštelė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DTPE buteliukas su PP uždoriu, pažeidimui jautriu žiedu ir desikanto talpykle.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lastRenderedPageBreak/>
        <w:t>Pakuotės dydis: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 xml:space="preserve">7, 10, 14, 15, 20, 28, 30, 50, 56, 60, 98, 100, skrandyje neirių tablečių, supakuotų į lizdines plokšteles. </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7, 10, 14, 15, 20, 28, 30, 50, 56, 60, 98, 100 skrandyje neirių tablečių, supakuotų į DTPE buteliukus.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Gali būti tiekiamos ne visų dydžių pakuotės.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p>
    <w:p w:rsidR="00C57BAB" w:rsidRPr="005577D3" w:rsidRDefault="00C57BAB" w:rsidP="00C57BAB">
      <w:pPr>
        <w:keepNext/>
        <w:keepLines/>
        <w:tabs>
          <w:tab w:val="left" w:pos="567"/>
        </w:tabs>
        <w:spacing w:after="0" w:line="240" w:lineRule="auto"/>
        <w:ind w:left="567" w:hanging="567"/>
        <w:outlineLvl w:val="2"/>
        <w:rPr>
          <w:rFonts w:ascii="Times New Roman" w:hAnsi="Times New Roman"/>
          <w:b/>
          <w:kern w:val="28"/>
          <w:lang w:val="lt-LT"/>
        </w:rPr>
      </w:pPr>
      <w:bookmarkStart w:id="50" w:name="_Toc129243246"/>
      <w:bookmarkStart w:id="51" w:name="_Toc129243121"/>
      <w:r w:rsidRPr="005577D3">
        <w:rPr>
          <w:rFonts w:ascii="Times New Roman" w:hAnsi="Times New Roman"/>
          <w:b/>
          <w:kern w:val="28"/>
          <w:lang w:val="lt-LT"/>
        </w:rPr>
        <w:t>6.6</w:t>
      </w:r>
      <w:r w:rsidRPr="005577D3">
        <w:rPr>
          <w:rFonts w:ascii="Times New Roman" w:hAnsi="Times New Roman"/>
          <w:b/>
          <w:kern w:val="28"/>
          <w:lang w:val="lt-LT"/>
        </w:rPr>
        <w:tab/>
        <w:t>Specialūs reikalavimai atliekoms tvarkyti</w:t>
      </w:r>
      <w:bookmarkEnd w:id="50"/>
      <w:bookmarkEnd w:id="51"/>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Specialių reikalavimų nėra.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52" w:name="_Toc129243247"/>
      <w:bookmarkStart w:id="53" w:name="_Toc129243122"/>
      <w:r w:rsidRPr="005577D3">
        <w:rPr>
          <w:rFonts w:ascii="Times New Roman" w:hAnsi="Times New Roman"/>
          <w:b/>
          <w:lang w:val="lt-LT"/>
        </w:rPr>
        <w:t>7.</w:t>
      </w:r>
      <w:r w:rsidRPr="005577D3">
        <w:rPr>
          <w:rFonts w:ascii="Times New Roman" w:hAnsi="Times New Roman"/>
          <w:b/>
          <w:lang w:val="lt-LT"/>
        </w:rPr>
        <w:tab/>
        <w:t>REGISTRUOTOJAS</w:t>
      </w:r>
      <w:bookmarkEnd w:id="52"/>
      <w:bookmarkEnd w:id="5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G.L. Pharma GmbH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Schlossplatz 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8502 Lannach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Austrija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54" w:name="_Toc129243248"/>
      <w:bookmarkStart w:id="55" w:name="_Toc129243123"/>
      <w:r w:rsidRPr="005577D3">
        <w:rPr>
          <w:rFonts w:ascii="Times New Roman" w:hAnsi="Times New Roman"/>
          <w:b/>
          <w:lang w:val="lt-LT"/>
        </w:rPr>
        <w:t>8.</w:t>
      </w:r>
      <w:r w:rsidRPr="005577D3">
        <w:rPr>
          <w:rFonts w:ascii="Times New Roman" w:hAnsi="Times New Roman"/>
          <w:b/>
          <w:lang w:val="lt-LT"/>
        </w:rPr>
        <w:tab/>
        <w:t xml:space="preserve">REGISTRACIJOS </w:t>
      </w:r>
      <w:r w:rsidRPr="005577D3">
        <w:rPr>
          <w:rFonts w:ascii="Times New Roman" w:eastAsia="Times New Roman" w:hAnsi="Times New Roman"/>
          <w:b/>
          <w:lang w:val="lt-LT"/>
        </w:rPr>
        <w:t>PAŽYMĖJIMO</w:t>
      </w:r>
      <w:r w:rsidRPr="005577D3">
        <w:rPr>
          <w:rFonts w:ascii="Times New Roman" w:hAnsi="Times New Roman"/>
          <w:b/>
          <w:lang w:val="lt-LT"/>
        </w:rPr>
        <w:t xml:space="preserve"> NUMER</w:t>
      </w:r>
      <w:bookmarkEnd w:id="54"/>
      <w:bookmarkEnd w:id="55"/>
      <w:r w:rsidRPr="005577D3">
        <w:rPr>
          <w:rFonts w:ascii="Times New Roman" w:hAnsi="Times New Roman"/>
          <w:b/>
          <w:lang w:val="lt-LT"/>
        </w:rPr>
        <w:t>IS (-IAI)</w:t>
      </w:r>
    </w:p>
    <w:p w:rsidR="00C57BAB" w:rsidRPr="005577D3" w:rsidRDefault="00C57BAB" w:rsidP="00C57BAB">
      <w:pPr>
        <w:spacing w:after="0" w:line="240" w:lineRule="auto"/>
        <w:rPr>
          <w:rFonts w:ascii="Times New Roman" w:hAnsi="Times New Roman"/>
          <w:lang w:val="lt-LT"/>
        </w:rPr>
      </w:pPr>
    </w:p>
    <w:tbl>
      <w:tblPr>
        <w:tblW w:w="0" w:type="auto"/>
        <w:tblLook w:val="04A0" w:firstRow="1" w:lastRow="0" w:firstColumn="1" w:lastColumn="0" w:noHBand="0" w:noVBand="1"/>
      </w:tblPr>
      <w:tblGrid>
        <w:gridCol w:w="4530"/>
        <w:gridCol w:w="4530"/>
      </w:tblGrid>
      <w:tr w:rsidR="00C57BAB" w:rsidRPr="0056515F" w:rsidTr="005A1434">
        <w:tc>
          <w:tcPr>
            <w:tcW w:w="4530" w:type="dxa"/>
            <w:shd w:val="clear" w:color="auto" w:fill="auto"/>
            <w:hideMark/>
          </w:tcPr>
          <w:p w:rsidR="00C57BAB" w:rsidRPr="0056515F" w:rsidRDefault="00C57BAB" w:rsidP="005A1434">
            <w:pPr>
              <w:spacing w:after="0" w:line="240" w:lineRule="auto"/>
              <w:rPr>
                <w:rFonts w:ascii="Times New Roman" w:hAnsi="Times New Roman"/>
                <w:u w:val="single"/>
                <w:lang w:val="lt-LT"/>
              </w:rPr>
            </w:pPr>
            <w:r w:rsidRPr="0056515F">
              <w:rPr>
                <w:rFonts w:ascii="Times New Roman" w:hAnsi="Times New Roman"/>
                <w:u w:val="single"/>
                <w:lang w:val="lt-LT"/>
              </w:rPr>
              <w:t>Lizdinė plokštelė:</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N7 - LT/1/08/1041/001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N10 - LT/1/08/1041/002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N14 - LT/1/08/1041/003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N15 - LT/1/08/1041/004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N20 - LT/1/08/1041/005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N28 - LT/1/08/1041/006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N30 - LT/1/08/1041/007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N50 - LT/1/08/1041/008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N56 - LT/1/08/1041/009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N60 - LT/1/08/1041/010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N98 - LT/1/08/1041/011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N100 - LT/1/08/1041/012 </w:t>
            </w:r>
          </w:p>
        </w:tc>
        <w:tc>
          <w:tcPr>
            <w:tcW w:w="4530" w:type="dxa"/>
            <w:shd w:val="clear" w:color="auto" w:fill="auto"/>
            <w:hideMark/>
          </w:tcPr>
          <w:p w:rsidR="00C57BAB" w:rsidRPr="0056515F" w:rsidRDefault="00C57BAB" w:rsidP="005A1434">
            <w:pPr>
              <w:spacing w:after="0" w:line="240" w:lineRule="auto"/>
              <w:rPr>
                <w:rFonts w:ascii="Times New Roman" w:hAnsi="Times New Roman"/>
                <w:u w:val="single"/>
                <w:lang w:val="lt-LT"/>
              </w:rPr>
            </w:pPr>
            <w:r w:rsidRPr="0056515F">
              <w:rPr>
                <w:rFonts w:ascii="Times New Roman" w:hAnsi="Times New Roman"/>
                <w:u w:val="single"/>
                <w:lang w:val="lt-LT"/>
              </w:rPr>
              <w:t>Buteliukas:</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N7 - LT/1/08/1041/013</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N10 - LT/1/08/1041/014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N14 - LT/1/08/1041/015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N15 - LT/1/08/1041/016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N20 - LT/1/08/1041/017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N28 - LT/1/08/1041/018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N30 - LT/1/08/1041/019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N50 - LT/1/08/1041/020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N56 - LT/1/08/1041/021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N60 - LT/1/08/1041/022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 xml:space="preserve">N98 - LT/1/08/1041/023 </w:t>
            </w:r>
          </w:p>
          <w:p w:rsidR="00C57BAB" w:rsidRPr="0056515F" w:rsidRDefault="00C57BAB" w:rsidP="005A1434">
            <w:pPr>
              <w:spacing w:after="0" w:line="240" w:lineRule="auto"/>
              <w:rPr>
                <w:rFonts w:ascii="Times New Roman" w:hAnsi="Times New Roman"/>
                <w:lang w:val="lt-LT"/>
              </w:rPr>
            </w:pPr>
            <w:r w:rsidRPr="0056515F">
              <w:rPr>
                <w:rFonts w:ascii="Times New Roman" w:hAnsi="Times New Roman"/>
                <w:lang w:val="lt-LT"/>
              </w:rPr>
              <w:t>N100 - LT/1/08/1041/024</w:t>
            </w:r>
          </w:p>
        </w:tc>
      </w:tr>
    </w:tbl>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 </w:t>
      </w: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56" w:name="_Toc129243249"/>
      <w:bookmarkStart w:id="57" w:name="_Toc129243124"/>
      <w:r w:rsidRPr="005577D3">
        <w:rPr>
          <w:rFonts w:ascii="Times New Roman" w:hAnsi="Times New Roman"/>
          <w:b/>
          <w:lang w:val="lt-LT"/>
        </w:rPr>
        <w:t>9.</w:t>
      </w:r>
      <w:r w:rsidRPr="005577D3">
        <w:rPr>
          <w:rFonts w:ascii="Times New Roman" w:hAnsi="Times New Roman"/>
          <w:b/>
          <w:lang w:val="lt-LT"/>
        </w:rPr>
        <w:tab/>
        <w:t>REGISTRAVIMO/PERREGISTRAVIMO DATA</w:t>
      </w:r>
      <w:bookmarkEnd w:id="56"/>
      <w:bookmarkEnd w:id="57"/>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eastAsia="Times New Roman" w:hAnsi="Times New Roman"/>
          <w:lang w:val="lt-LT"/>
        </w:rPr>
      </w:pPr>
      <w:r w:rsidRPr="005577D3">
        <w:rPr>
          <w:rFonts w:ascii="Times New Roman" w:eastAsia="Times New Roman" w:hAnsi="Times New Roman"/>
          <w:noProof/>
          <w:lang w:val="lt-LT"/>
        </w:rPr>
        <w:t>Registravimo data 2008 m. kovo 6 d.</w:t>
      </w:r>
    </w:p>
    <w:p w:rsidR="00C57BAB" w:rsidRPr="005577D3" w:rsidRDefault="00C57BAB" w:rsidP="00C57BAB">
      <w:pPr>
        <w:tabs>
          <w:tab w:val="left" w:pos="1296"/>
        </w:tabs>
        <w:snapToGrid w:val="0"/>
        <w:spacing w:after="0" w:line="240" w:lineRule="auto"/>
        <w:rPr>
          <w:rFonts w:ascii="Times New Roman" w:eastAsia="Times New Roman" w:hAnsi="Times New Roman"/>
          <w:szCs w:val="24"/>
          <w:lang w:val="lt-LT"/>
        </w:rPr>
      </w:pPr>
      <w:r w:rsidRPr="005577D3">
        <w:rPr>
          <w:rFonts w:ascii="Times New Roman" w:eastAsia="Times New Roman" w:hAnsi="Times New Roman"/>
          <w:noProof/>
          <w:snapToGrid w:val="0"/>
          <w:lang w:val="lt-LT"/>
        </w:rPr>
        <w:t xml:space="preserve">Paskutinio </w:t>
      </w:r>
      <w:r w:rsidRPr="005577D3">
        <w:rPr>
          <w:rFonts w:ascii="Times New Roman" w:eastAsia="Times New Roman" w:hAnsi="Times New Roman"/>
          <w:noProof/>
          <w:snapToGrid w:val="0"/>
          <w:szCs w:val="24"/>
          <w:lang w:val="lt-LT"/>
        </w:rPr>
        <w:t xml:space="preserve">perregistravimo data </w:t>
      </w:r>
      <w:r w:rsidRPr="005577D3">
        <w:rPr>
          <w:rFonts w:ascii="Times New Roman" w:eastAsia="Times New Roman" w:hAnsi="Times New Roman"/>
          <w:szCs w:val="24"/>
          <w:lang w:val="lt-LT"/>
        </w:rPr>
        <w:t>2015 m. lapkričio 26 d.</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58" w:name="_Toc129243250"/>
      <w:bookmarkStart w:id="59" w:name="_Toc129243125"/>
      <w:r w:rsidRPr="005577D3">
        <w:rPr>
          <w:rFonts w:ascii="Times New Roman" w:hAnsi="Times New Roman"/>
          <w:b/>
          <w:lang w:val="lt-LT"/>
        </w:rPr>
        <w:t>10.</w:t>
      </w:r>
      <w:r w:rsidRPr="005577D3">
        <w:rPr>
          <w:rFonts w:ascii="Times New Roman" w:hAnsi="Times New Roman"/>
          <w:b/>
          <w:lang w:val="lt-LT"/>
        </w:rPr>
        <w:tab/>
        <w:t>TEKSTO PERŽIŪROS DATA</w:t>
      </w:r>
      <w:bookmarkEnd w:id="58"/>
      <w:bookmarkEnd w:id="59"/>
    </w:p>
    <w:p w:rsidR="00C57BAB" w:rsidRPr="005577D3" w:rsidRDefault="00C57BAB" w:rsidP="00C57BAB">
      <w:pPr>
        <w:spacing w:after="0" w:line="240" w:lineRule="auto"/>
        <w:rPr>
          <w:rFonts w:ascii="Times New Roman" w:hAnsi="Times New Roman"/>
          <w:lang w:val="lt-LT"/>
        </w:rPr>
      </w:pPr>
    </w:p>
    <w:p w:rsidR="00C57BAB" w:rsidRPr="005577D3" w:rsidRDefault="00492A4B" w:rsidP="00C57BAB">
      <w:pPr>
        <w:spacing w:after="0" w:line="240" w:lineRule="auto"/>
        <w:rPr>
          <w:rFonts w:ascii="Times New Roman" w:hAnsi="Times New Roman"/>
          <w:lang w:val="lt-LT"/>
        </w:rPr>
      </w:pPr>
      <w:r>
        <w:rPr>
          <w:rFonts w:ascii="Times New Roman" w:hAnsi="Times New Roman"/>
          <w:lang w:val="lt-LT"/>
        </w:rPr>
        <w:t xml:space="preserve">2019 m. </w:t>
      </w:r>
      <w:r w:rsidR="00D87D2F">
        <w:rPr>
          <w:rFonts w:ascii="Times New Roman" w:hAnsi="Times New Roman"/>
          <w:lang w:val="lt-LT"/>
        </w:rPr>
        <w:t>gruodžio</w:t>
      </w:r>
      <w:r w:rsidR="00D87D2F">
        <w:rPr>
          <w:rFonts w:ascii="Times New Roman" w:hAnsi="Times New Roman"/>
        </w:rPr>
        <w:t>13</w:t>
      </w:r>
      <w:r>
        <w:rPr>
          <w:rFonts w:ascii="Times New Roman" w:hAnsi="Times New Roman"/>
          <w:lang w:val="lt-LT"/>
        </w:rPr>
        <w:t xml:space="preserve"> d.</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eastAsia="Times New Roman" w:hAnsi="Times New Roman"/>
          <w:snapToGrid w:val="0"/>
          <w:color w:val="0000FF"/>
          <w:u w:val="single"/>
          <w:lang w:val="lt-LT"/>
        </w:rPr>
      </w:pPr>
      <w:r w:rsidRPr="005577D3">
        <w:rPr>
          <w:rFonts w:ascii="Times New Roman" w:hAnsi="Times New Roman"/>
          <w:noProof/>
          <w:lang w:val="lt-LT"/>
        </w:rPr>
        <w:t>Išsami informacija apie šį vaistinį preparatą</w:t>
      </w:r>
      <w:r w:rsidRPr="005577D3">
        <w:rPr>
          <w:rFonts w:ascii="Times New Roman" w:hAnsi="Times New Roman"/>
          <w:lang w:val="lt-LT"/>
        </w:rPr>
        <w:t xml:space="preserve"> pateikiama Valstybinės vaistų kontrolės tarnybos prie Lietuvos Respublikos sveikatos apsaugos ministerijos </w:t>
      </w:r>
      <w:r w:rsidRPr="005577D3">
        <w:rPr>
          <w:rFonts w:ascii="Times New Roman" w:hAnsi="Times New Roman"/>
          <w:noProof/>
          <w:lang w:val="lt-LT"/>
        </w:rPr>
        <w:t>tinklalapyje</w:t>
      </w:r>
      <w:r w:rsidRPr="005577D3">
        <w:rPr>
          <w:rFonts w:ascii="Times New Roman" w:hAnsi="Times New Roman"/>
          <w:lang w:val="lt-LT"/>
        </w:rPr>
        <w:t xml:space="preserve"> </w:t>
      </w:r>
      <w:hyperlink r:id="rId7" w:history="1">
        <w:r w:rsidRPr="005577D3">
          <w:rPr>
            <w:rStyle w:val="Hipersaitas"/>
            <w:rFonts w:ascii="Times New Roman" w:hAnsi="Times New Roman"/>
            <w:noProof/>
            <w:snapToGrid w:val="0"/>
            <w:lang w:val="lt-LT"/>
          </w:rPr>
          <w:t>http://www.</w:t>
        </w:r>
        <w:r w:rsidRPr="005577D3">
          <w:rPr>
            <w:rStyle w:val="Hipersaitas"/>
            <w:rFonts w:ascii="Times New Roman" w:hAnsi="Times New Roman"/>
            <w:snapToGrid w:val="0"/>
            <w:lang w:val="lt-LT"/>
          </w:rPr>
          <w:t>vvkt.lt</w:t>
        </w:r>
      </w:hyperlink>
    </w:p>
    <w:p w:rsidR="00C57BAB" w:rsidRPr="005577D3" w:rsidRDefault="00C57BAB" w:rsidP="00C57BAB">
      <w:pPr>
        <w:spacing w:after="0" w:line="240" w:lineRule="auto"/>
        <w:rPr>
          <w:rFonts w:ascii="Times New Roman" w:eastAsia="Times New Roman" w:hAnsi="Times New Roman"/>
          <w:snapToGrid w:val="0"/>
          <w:color w:val="0000FF"/>
          <w:u w:val="single"/>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60" w:name="_Toc129243253"/>
      <w:bookmarkStart w:id="61" w:name="_Toc129243128"/>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r w:rsidRPr="005577D3">
        <w:rPr>
          <w:rFonts w:ascii="Times New Roman" w:hAnsi="Times New Roman"/>
          <w:b/>
          <w:caps/>
          <w:lang w:val="lt-LT"/>
        </w:rPr>
        <w:t>II PRIEDAS</w:t>
      </w:r>
      <w:bookmarkEnd w:id="60"/>
      <w:bookmarkEnd w:id="61"/>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r w:rsidRPr="005577D3">
        <w:rPr>
          <w:rFonts w:ascii="Times New Roman" w:hAnsi="Times New Roman"/>
          <w:b/>
          <w:caps/>
          <w:lang w:val="lt-LT"/>
        </w:rPr>
        <w:t>REGISTRACIJOS SĄLYGOS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1701"/>
        </w:tabs>
        <w:spacing w:after="0" w:line="240" w:lineRule="auto"/>
        <w:ind w:left="1701" w:right="567" w:hanging="567"/>
        <w:rPr>
          <w:rFonts w:ascii="Times New Roman" w:eastAsia="Times New Roman" w:hAnsi="Times New Roman"/>
          <w:b/>
          <w:noProof/>
          <w:snapToGrid w:val="0"/>
          <w:szCs w:val="24"/>
          <w:lang w:val="lt-LT"/>
        </w:rPr>
      </w:pPr>
      <w:r w:rsidRPr="005577D3">
        <w:rPr>
          <w:rFonts w:ascii="Times New Roman" w:eastAsia="Times New Roman" w:hAnsi="Times New Roman"/>
          <w:b/>
          <w:noProof/>
          <w:snapToGrid w:val="0"/>
          <w:szCs w:val="24"/>
          <w:lang w:val="lt-LT"/>
        </w:rPr>
        <w:t>A.</w:t>
      </w:r>
      <w:r w:rsidRPr="005577D3">
        <w:rPr>
          <w:rFonts w:ascii="Times New Roman" w:eastAsia="Times New Roman" w:hAnsi="Times New Roman"/>
          <w:b/>
          <w:noProof/>
          <w:snapToGrid w:val="0"/>
          <w:szCs w:val="24"/>
          <w:lang w:val="lt-LT"/>
        </w:rPr>
        <w:tab/>
        <w:t>GAMINTOJAS (-AI), ATSAKINGAS (-I) UŽ SERIJŲ IŠLEIDIMĄ</w:t>
      </w:r>
    </w:p>
    <w:p w:rsidR="00C57BAB" w:rsidRPr="005577D3" w:rsidRDefault="00C57BAB" w:rsidP="00C57BAB">
      <w:pPr>
        <w:tabs>
          <w:tab w:val="left" w:pos="1701"/>
        </w:tabs>
        <w:spacing w:after="0" w:line="240" w:lineRule="auto"/>
        <w:ind w:left="567" w:right="567" w:hanging="567"/>
        <w:rPr>
          <w:rFonts w:ascii="Times New Roman" w:eastAsia="Times New Roman" w:hAnsi="Times New Roman"/>
          <w:noProof/>
          <w:snapToGrid w:val="0"/>
          <w:szCs w:val="24"/>
          <w:lang w:val="lt-LT"/>
        </w:rPr>
      </w:pPr>
    </w:p>
    <w:p w:rsidR="00C57BAB" w:rsidRPr="005577D3" w:rsidRDefault="00C57BAB" w:rsidP="00C57BAB">
      <w:pPr>
        <w:tabs>
          <w:tab w:val="left" w:pos="1701"/>
        </w:tabs>
        <w:spacing w:after="0" w:line="240" w:lineRule="auto"/>
        <w:ind w:left="1701" w:right="567" w:hanging="567"/>
        <w:rPr>
          <w:rFonts w:ascii="Times New Roman" w:eastAsia="Times New Roman" w:hAnsi="Times New Roman"/>
          <w:b/>
          <w:snapToGrid w:val="0"/>
          <w:lang w:val="lt-LT"/>
        </w:rPr>
      </w:pPr>
      <w:r w:rsidRPr="005577D3">
        <w:rPr>
          <w:rFonts w:ascii="Times New Roman" w:eastAsia="Times New Roman" w:hAnsi="Times New Roman"/>
          <w:b/>
          <w:snapToGrid w:val="0"/>
          <w:lang w:val="lt-LT"/>
        </w:rPr>
        <w:t>B.</w:t>
      </w:r>
      <w:r w:rsidRPr="005577D3">
        <w:rPr>
          <w:rFonts w:ascii="Times New Roman" w:eastAsia="Times New Roman" w:hAnsi="Times New Roman"/>
          <w:b/>
          <w:snapToGrid w:val="0"/>
          <w:lang w:val="lt-LT"/>
        </w:rPr>
        <w:tab/>
        <w:t>TIEKIMO IR VARTOJIMO SĄLYGOS AR APRIBOJIMAI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r w:rsidRPr="005577D3">
        <w:rPr>
          <w:rFonts w:ascii="Times New Roman" w:hAnsi="Times New Roman"/>
          <w:b/>
          <w:lang w:val="lt-LT"/>
        </w:rPr>
        <w:br w:type="page"/>
      </w:r>
      <w:r w:rsidRPr="005577D3">
        <w:rPr>
          <w:rFonts w:ascii="Times New Roman" w:hAnsi="Times New Roman"/>
          <w:b/>
          <w:lang w:val="lt-LT"/>
        </w:rPr>
        <w:lastRenderedPageBreak/>
        <w:t>A.</w:t>
      </w:r>
      <w:r w:rsidRPr="005577D3">
        <w:rPr>
          <w:rFonts w:ascii="Times New Roman" w:hAnsi="Times New Roman"/>
          <w:b/>
          <w:lang w:val="lt-LT"/>
        </w:rPr>
        <w:tab/>
      </w:r>
      <w:r w:rsidRPr="005577D3">
        <w:rPr>
          <w:rFonts w:ascii="Times New Roman" w:eastAsia="Times New Roman" w:hAnsi="Times New Roman"/>
          <w:b/>
          <w:snapToGrid w:val="0"/>
          <w:lang w:val="lt-LT"/>
        </w:rPr>
        <w:t>GAMINTOJAS (-AI), ATSAKINGAS (-I) UŽ SERIJŲ IŠLEIDIMĄ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jc w:val="both"/>
        <w:rPr>
          <w:rFonts w:ascii="Times New Roman" w:eastAsia="Times New Roman" w:hAnsi="Times New Roman"/>
          <w:snapToGrid w:val="0"/>
          <w:szCs w:val="24"/>
          <w:lang w:val="lt-LT"/>
        </w:rPr>
      </w:pPr>
      <w:r w:rsidRPr="005577D3">
        <w:rPr>
          <w:rFonts w:ascii="Times New Roman" w:eastAsia="Times New Roman" w:hAnsi="Times New Roman"/>
          <w:noProof/>
          <w:snapToGrid w:val="0"/>
          <w:szCs w:val="24"/>
          <w:u w:val="single"/>
          <w:lang w:val="lt-LT"/>
        </w:rPr>
        <w:t>Gamintojo (-ų), atsakingo (-ų) už serijų išleidimą, pavadinimas (-ai) ir adresas (-ai)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ind w:left="540" w:hanging="540"/>
        <w:rPr>
          <w:rFonts w:ascii="Times New Roman" w:hAnsi="Times New Roman"/>
          <w:lang w:val="lt-LT"/>
        </w:rPr>
      </w:pPr>
      <w:r w:rsidRPr="005577D3">
        <w:rPr>
          <w:rFonts w:ascii="Times New Roman" w:hAnsi="Times New Roman"/>
          <w:lang w:val="lt-LT"/>
        </w:rPr>
        <w:t>G.L. Pharma GmbH</w:t>
      </w: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lang w:val="lt-LT"/>
        </w:rPr>
        <w:t>Schlossplatz 1</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8502 Lannach</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Austrija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rPr>
          <w:rFonts w:ascii="Times New Roman" w:eastAsia="Times New Roman" w:hAnsi="Times New Roman"/>
          <w:snapToGrid w:val="0"/>
          <w:szCs w:val="24"/>
          <w:lang w:val="lt-LT"/>
        </w:rPr>
      </w:pPr>
      <w:r w:rsidRPr="005577D3">
        <w:rPr>
          <w:rFonts w:ascii="Times New Roman" w:eastAsia="Times New Roman" w:hAnsi="Times New Roman"/>
          <w:b/>
          <w:noProof/>
          <w:snapToGrid w:val="0"/>
          <w:szCs w:val="24"/>
          <w:lang w:val="lt-LT"/>
        </w:rPr>
        <w:t>B.</w:t>
      </w:r>
      <w:r w:rsidRPr="005577D3">
        <w:rPr>
          <w:rFonts w:ascii="Times New Roman" w:eastAsia="Times New Roman" w:hAnsi="Times New Roman"/>
          <w:b/>
          <w:snapToGrid w:val="0"/>
          <w:szCs w:val="24"/>
          <w:lang w:val="lt-LT"/>
        </w:rPr>
        <w:tab/>
      </w:r>
      <w:r w:rsidRPr="005577D3">
        <w:rPr>
          <w:rFonts w:ascii="Times New Roman" w:eastAsia="Times New Roman" w:hAnsi="Times New Roman"/>
          <w:b/>
          <w:noProof/>
          <w:snapToGrid w:val="0"/>
          <w:szCs w:val="24"/>
          <w:lang w:val="lt-LT"/>
        </w:rPr>
        <w:t>TIEKIMO IR VARTOJIMO SĄLYGOS AR APRIBOJIMAI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Receptinis vaistinis preparatas.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62" w:name="_Toc129243259"/>
      <w:bookmarkStart w:id="63" w:name="_Toc129243134"/>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r w:rsidRPr="005577D3">
        <w:rPr>
          <w:rFonts w:ascii="Times New Roman" w:hAnsi="Times New Roman"/>
          <w:b/>
          <w:caps/>
          <w:lang w:val="lt-LT"/>
        </w:rPr>
        <w:t>III PRIEDAS</w:t>
      </w:r>
      <w:bookmarkEnd w:id="62"/>
      <w:bookmarkEnd w:id="6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64" w:name="_Toc129243260"/>
      <w:bookmarkStart w:id="65" w:name="_Toc129243135"/>
      <w:r w:rsidRPr="005577D3">
        <w:rPr>
          <w:rFonts w:ascii="Times New Roman" w:hAnsi="Times New Roman"/>
          <w:b/>
          <w:caps/>
          <w:lang w:val="lt-LT"/>
        </w:rPr>
        <w:t>ŽENKLINIMAS IR PAKUOTĖS LAPELIS</w:t>
      </w:r>
      <w:bookmarkEnd w:id="64"/>
      <w:bookmarkEnd w:id="65"/>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66" w:name="_Toc129243261"/>
      <w:bookmarkStart w:id="67" w:name="_Toc129243136"/>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r w:rsidRPr="005577D3">
        <w:rPr>
          <w:rFonts w:ascii="Times New Roman" w:hAnsi="Times New Roman"/>
          <w:b/>
          <w:caps/>
          <w:lang w:val="lt-LT"/>
        </w:rPr>
        <w:t>A. ŽENKLINIMAS</w:t>
      </w:r>
      <w:bookmarkEnd w:id="66"/>
      <w:bookmarkEnd w:id="67"/>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lastRenderedPageBreak/>
        <w:t>INFORMACIJA ANT IŠORINĖS PAKUOTĖS</w:t>
      </w: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KARTONO DĖŽUTĖ</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w:t>
      </w:r>
      <w:r w:rsidRPr="005577D3">
        <w:rPr>
          <w:rFonts w:ascii="Times New Roman" w:hAnsi="Times New Roman"/>
          <w:b/>
          <w:lang w:val="lt-LT"/>
        </w:rPr>
        <w:tab/>
        <w:t>VAISTINIO PREPARATO PAVADINIMAS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20 mg skrandyje neirios tabletės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Pantoprazolum</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2.</w:t>
      </w:r>
      <w:r w:rsidRPr="005577D3">
        <w:rPr>
          <w:rFonts w:ascii="Times New Roman" w:hAnsi="Times New Roman"/>
          <w:b/>
          <w:lang w:val="lt-LT"/>
        </w:rPr>
        <w:tab/>
      </w:r>
      <w:r w:rsidRPr="005577D3">
        <w:rPr>
          <w:rFonts w:ascii="Times New Roman" w:eastAsia="Times New Roman" w:hAnsi="Times New Roman"/>
          <w:b/>
          <w:noProof/>
          <w:snapToGrid w:val="0"/>
          <w:szCs w:val="24"/>
          <w:lang w:val="lt-LT"/>
        </w:rPr>
        <w:t>VEIKLIOJI (-IOS) MEDŽIAGA (-OS) IR JOS (-Ų) KIEKIS (-IAI)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shd w:val="clear" w:color="auto" w:fill="FFFFFF"/>
          <w:lang w:val="lt-LT"/>
        </w:rPr>
        <w:t>Kiekvienoje tabletėje yra 20 mg pantoprazolo (pantoprazolo natrio druskos seskvihidrato pavidalu).</w:t>
      </w:r>
      <w:r w:rsidRPr="005577D3">
        <w:rPr>
          <w:rFonts w:ascii="Times New Roman" w:hAnsi="Times New Roman"/>
          <w:lang w:val="lt-LT"/>
        </w:rPr>
        <w:t xml:space="preserve">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3.</w:t>
      </w:r>
      <w:r w:rsidRPr="005577D3">
        <w:rPr>
          <w:rFonts w:ascii="Times New Roman" w:hAnsi="Times New Roman"/>
          <w:b/>
          <w:lang w:val="lt-LT"/>
        </w:rPr>
        <w:tab/>
        <w:t>PAGALBINIŲ MEDŽIAGŲ SĄRAŠAS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Sudėtyje yra maltitolio</w:t>
      </w:r>
      <w:r w:rsidR="00CA777E">
        <w:rPr>
          <w:rFonts w:ascii="Times New Roman" w:hAnsi="Times New Roman"/>
          <w:lang w:val="lt-LT"/>
        </w:rPr>
        <w:t xml:space="preserve">, </w:t>
      </w:r>
      <w:r w:rsidRPr="005577D3">
        <w:rPr>
          <w:rFonts w:ascii="Times New Roman" w:hAnsi="Times New Roman"/>
          <w:lang w:val="lt-LT"/>
        </w:rPr>
        <w:t>lecitino (iš sojų aliejaus)</w:t>
      </w:r>
      <w:r w:rsidR="00CA777E">
        <w:rPr>
          <w:rFonts w:ascii="Times New Roman" w:hAnsi="Times New Roman"/>
          <w:lang w:val="lt-LT"/>
        </w:rPr>
        <w:t xml:space="preserve"> ir natrio</w:t>
      </w:r>
      <w:r w:rsidRPr="005577D3">
        <w:rPr>
          <w:rFonts w:ascii="Times New Roman" w:hAnsi="Times New Roman"/>
          <w:lang w:val="lt-LT"/>
        </w:rPr>
        <w:t>.</w:t>
      </w:r>
    </w:p>
    <w:p w:rsidR="00C57BAB" w:rsidRPr="005577D3" w:rsidRDefault="00C57BAB" w:rsidP="00C57BAB">
      <w:pPr>
        <w:spacing w:after="0" w:line="240" w:lineRule="auto"/>
        <w:rPr>
          <w:rFonts w:ascii="Times New Roman" w:hAnsi="Times New Roman"/>
          <w:caps/>
          <w:lang w:val="lt-LT"/>
        </w:rPr>
      </w:pPr>
      <w:r w:rsidRPr="005577D3">
        <w:rPr>
          <w:rFonts w:ascii="Times New Roman" w:hAnsi="Times New Roman"/>
          <w:lang w:val="lt-LT"/>
        </w:rPr>
        <w:t>Daugiau informacijos pateikta pakuotės lapelyje.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4.</w:t>
      </w:r>
      <w:r w:rsidRPr="005577D3">
        <w:rPr>
          <w:rFonts w:ascii="Times New Roman" w:hAnsi="Times New Roman"/>
          <w:b/>
          <w:lang w:val="lt-LT"/>
        </w:rPr>
        <w:tab/>
        <w:t>FARMACINĖ FORMA IR KIEKIS PAKUOTĖJE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D87D2F">
        <w:rPr>
          <w:rFonts w:ascii="Times New Roman" w:hAnsi="Times New Roman"/>
          <w:highlight w:val="lightGray"/>
          <w:lang w:val="lt-LT"/>
        </w:rPr>
        <w:t>Skrandyje neirios tabletės</w:t>
      </w:r>
    </w:p>
    <w:p w:rsidR="00C57BAB" w:rsidRPr="005577D3" w:rsidRDefault="00C57BAB" w:rsidP="00C57BAB">
      <w:pPr>
        <w:spacing w:after="0" w:line="240" w:lineRule="auto"/>
        <w:rPr>
          <w:rFonts w:ascii="Times New Roman" w:hAnsi="Times New Roman"/>
          <w:shd w:val="clear" w:color="auto" w:fill="FFFFFF"/>
          <w:lang w:val="lt-LT"/>
        </w:rPr>
      </w:pPr>
      <w:r w:rsidRPr="005577D3">
        <w:rPr>
          <w:rFonts w:ascii="Times New Roman" w:hAnsi="Times New Roman"/>
          <w:shd w:val="clear" w:color="auto" w:fill="FFFFFF"/>
          <w:lang w:val="lt-LT"/>
        </w:rPr>
        <w:t xml:space="preserve">7 tabletės </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10 tablečių</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14 tablečių</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 xml:space="preserve">15 tablečių </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20 tablečių</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 xml:space="preserve">28 </w:t>
      </w:r>
      <w:r w:rsidRPr="00EE7003">
        <w:rPr>
          <w:rFonts w:ascii="Times New Roman" w:hAnsi="Times New Roman"/>
          <w:highlight w:val="lightGray"/>
          <w:lang w:val="lt-LT"/>
        </w:rPr>
        <w:t>tabletės</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 xml:space="preserve">30 </w:t>
      </w:r>
      <w:r w:rsidRPr="00EE7003">
        <w:rPr>
          <w:rFonts w:ascii="Times New Roman" w:hAnsi="Times New Roman"/>
          <w:highlight w:val="lightGray"/>
          <w:lang w:val="lt-LT"/>
        </w:rPr>
        <w:t>tablečių</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50 tablečių</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 xml:space="preserve">56 </w:t>
      </w:r>
      <w:r w:rsidRPr="00EE7003">
        <w:rPr>
          <w:rFonts w:ascii="Times New Roman" w:hAnsi="Times New Roman"/>
          <w:highlight w:val="lightGray"/>
          <w:lang w:val="lt-LT"/>
        </w:rPr>
        <w:t>tabletės</w:t>
      </w:r>
    </w:p>
    <w:p w:rsidR="00C57BAB" w:rsidRPr="005577D3" w:rsidRDefault="00C57BAB" w:rsidP="00C57BAB">
      <w:pPr>
        <w:spacing w:after="0" w:line="240" w:lineRule="auto"/>
        <w:rPr>
          <w:rFonts w:ascii="Times New Roman" w:hAnsi="Times New Roman"/>
          <w:shd w:val="clear" w:color="auto" w:fill="C0C0C0"/>
          <w:lang w:val="lt-LT"/>
        </w:rPr>
      </w:pPr>
      <w:r w:rsidRPr="00EE7003">
        <w:rPr>
          <w:rFonts w:ascii="Times New Roman" w:hAnsi="Times New Roman"/>
          <w:highlight w:val="lightGray"/>
          <w:shd w:val="clear" w:color="auto" w:fill="C0C0C0"/>
          <w:lang w:val="lt-LT"/>
        </w:rPr>
        <w:t>60 tablečių</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98 tabletės</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 xml:space="preserve">100 tablečių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5.</w:t>
      </w:r>
      <w:r w:rsidRPr="005577D3">
        <w:rPr>
          <w:rFonts w:ascii="Times New Roman" w:hAnsi="Times New Roman"/>
          <w:b/>
          <w:lang w:val="lt-LT"/>
        </w:rPr>
        <w:tab/>
        <w:t>VARTOJIMO METODAS IR BŪDAS (-AI)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Vartoti per burną.</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Prieš vartojimą perskaitykite pakuotės lapelį.</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Tablečių negalima kramtyti ar smulkinti.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6.</w:t>
      </w:r>
      <w:r w:rsidRPr="005577D3">
        <w:rPr>
          <w:rFonts w:ascii="Times New Roman" w:hAnsi="Times New Roman"/>
          <w:b/>
          <w:lang w:val="lt-LT"/>
        </w:rPr>
        <w:tab/>
        <w:t xml:space="preserve">SPECIALUS ĮSPĖJIMAS, KAD VAISTINĮ PREPARATĄ BŪTINA LAIKYTI VAIKAMS </w:t>
      </w:r>
      <w:r w:rsidRPr="005577D3">
        <w:rPr>
          <w:rFonts w:ascii="Times New Roman" w:eastAsia="Times New Roman" w:hAnsi="Times New Roman"/>
          <w:b/>
          <w:noProof/>
          <w:lang w:val="lt-LT"/>
        </w:rPr>
        <w:t xml:space="preserve">NEPASTEBIMOJE IR </w:t>
      </w:r>
      <w:r w:rsidRPr="005577D3">
        <w:rPr>
          <w:rFonts w:ascii="Times New Roman" w:hAnsi="Times New Roman"/>
          <w:b/>
          <w:lang w:val="lt-LT"/>
        </w:rPr>
        <w:t>NEPASIEKIAMOJE VIETOJE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Laikyti vaikams </w:t>
      </w:r>
      <w:r w:rsidRPr="005577D3">
        <w:rPr>
          <w:rFonts w:ascii="Times New Roman" w:eastAsia="Times New Roman" w:hAnsi="Times New Roman"/>
          <w:lang w:val="lt-LT"/>
        </w:rPr>
        <w:t xml:space="preserve">nepastebimoje ir </w:t>
      </w:r>
      <w:r w:rsidRPr="005577D3">
        <w:rPr>
          <w:rFonts w:ascii="Times New Roman" w:hAnsi="Times New Roman"/>
          <w:lang w:val="lt-LT"/>
        </w:rPr>
        <w:t>nepasiekiamoje vietoje.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7.</w:t>
      </w:r>
      <w:r w:rsidRPr="005577D3">
        <w:rPr>
          <w:rFonts w:ascii="Times New Roman" w:hAnsi="Times New Roman"/>
          <w:b/>
          <w:lang w:val="lt-LT"/>
        </w:rPr>
        <w:tab/>
        <w:t>KITAS (-I) SPECIALUS (-ŪS) ĮSPĖJIMAS (-AI) (JEI 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lastRenderedPageBreak/>
        <w:t>8.</w:t>
      </w:r>
      <w:r w:rsidRPr="005577D3">
        <w:rPr>
          <w:rFonts w:ascii="Times New Roman" w:hAnsi="Times New Roman"/>
          <w:b/>
          <w:lang w:val="lt-LT"/>
        </w:rPr>
        <w:tab/>
        <w:t>TINKAMUMO LAIKAS</w:t>
      </w:r>
    </w:p>
    <w:p w:rsidR="00C57BAB" w:rsidRPr="005577D3" w:rsidRDefault="00C57BAB" w:rsidP="00C57BAB">
      <w:pPr>
        <w:spacing w:after="0" w:line="240" w:lineRule="auto"/>
        <w:rPr>
          <w:rFonts w:ascii="Times New Roman" w:hAnsi="Times New Roman"/>
          <w:lang w:val="lt-LT"/>
        </w:rPr>
      </w:pPr>
    </w:p>
    <w:p w:rsidR="00C57BAB" w:rsidRPr="005577D3" w:rsidRDefault="00CA777E" w:rsidP="00C57BAB">
      <w:pPr>
        <w:spacing w:after="0" w:line="240" w:lineRule="auto"/>
        <w:rPr>
          <w:rFonts w:ascii="Times New Roman" w:hAnsi="Times New Roman"/>
          <w:lang w:val="lt-LT"/>
        </w:rPr>
      </w:pPr>
      <w:r>
        <w:rPr>
          <w:rFonts w:ascii="Times New Roman" w:hAnsi="Times New Roman"/>
          <w:lang w:val="lt-LT"/>
        </w:rPr>
        <w:t xml:space="preserve">EXP: </w:t>
      </w:r>
      <w:r w:rsidR="00C57BAB" w:rsidRPr="005577D3">
        <w:rPr>
          <w:rFonts w:ascii="Times New Roman" w:hAnsi="Times New Roman"/>
          <w:lang w:val="lt-LT"/>
        </w:rPr>
        <w:t xml:space="preserve"> mm.MMMM</w:t>
      </w:r>
    </w:p>
    <w:p w:rsidR="00C57BAB" w:rsidRPr="005577D3" w:rsidRDefault="00C57BAB" w:rsidP="00C57BAB">
      <w:pPr>
        <w:spacing w:after="0" w:line="240" w:lineRule="auto"/>
        <w:rPr>
          <w:rFonts w:ascii="Times New Roman" w:hAnsi="Times New Roman"/>
          <w:i/>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DTPE buteliukai</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Buteliuką pirmą kartą atidarius, preparato tinkamumo laikas 3 mėnesiai.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9.</w:t>
      </w:r>
      <w:r w:rsidRPr="005577D3">
        <w:rPr>
          <w:rFonts w:ascii="Times New Roman" w:hAnsi="Times New Roman"/>
          <w:b/>
          <w:lang w:val="lt-LT"/>
        </w:rPr>
        <w:tab/>
        <w:t>SPECIALIOS LAIKYMO SĄLYGOS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10.</w:t>
      </w:r>
      <w:r w:rsidRPr="005577D3">
        <w:rPr>
          <w:rFonts w:ascii="Times New Roman" w:hAnsi="Times New Roman"/>
          <w:b/>
          <w:lang w:val="lt-LT"/>
        </w:rPr>
        <w:tab/>
        <w:t>SPECIALIOS ATSARGUMO PRIEMONĖS DĖL NESUVARTOTO VAISTINIO PREPARATO AR JO ATLIEKŲ TVARKYMO (JEI 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11.</w:t>
      </w:r>
      <w:r w:rsidRPr="005577D3">
        <w:rPr>
          <w:rFonts w:ascii="Times New Roman" w:hAnsi="Times New Roman"/>
          <w:b/>
          <w:lang w:val="lt-LT"/>
        </w:rPr>
        <w:tab/>
        <w:t>REGISTRUOTOJO PAVADINIMAS IR ADRESAS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G.L. Pharma GmbH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Schlossplatz 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8502 Lannach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Austrija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12.</w:t>
      </w:r>
      <w:r w:rsidRPr="005577D3">
        <w:rPr>
          <w:rFonts w:ascii="Times New Roman" w:hAnsi="Times New Roman"/>
          <w:b/>
          <w:lang w:val="lt-LT"/>
        </w:rPr>
        <w:tab/>
        <w:t>REGISTRACIJOS PAŽYMĖJIMO NUMERIS (-IAI)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u w:val="single"/>
          <w:lang w:val="lt-LT"/>
        </w:rPr>
      </w:pPr>
      <w:r w:rsidRPr="005577D3">
        <w:rPr>
          <w:rFonts w:ascii="Times New Roman" w:hAnsi="Times New Roman"/>
          <w:u w:val="single"/>
          <w:lang w:val="lt-LT"/>
        </w:rPr>
        <w:t>Lizdinė plokštelė:</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N7 - LT/1/08/1041/001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N10 - LT/1/08/1041/002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N14 - LT/1/08/1041/003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N15 - LT/1/08/1041/004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N20 - LT/1/08/1041/005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N28 - LT/1/08/1041/006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N30 - LT/1/08/1041/007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N50 - LT/1/08/1041/008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N56 - LT/1/08/1041/009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N60 - LT/1/08/1041/010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N98 - LT/1/08/1041/011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N100 - LT/1/08/1041/012 </w:t>
      </w:r>
    </w:p>
    <w:p w:rsidR="00C57BAB" w:rsidRPr="005577D3" w:rsidRDefault="00C57BAB" w:rsidP="00C57BAB">
      <w:pPr>
        <w:spacing w:after="0" w:line="240" w:lineRule="auto"/>
        <w:rPr>
          <w:rFonts w:ascii="Times New Roman" w:hAnsi="Times New Roman"/>
          <w:u w:val="single"/>
          <w:lang w:val="lt-LT"/>
        </w:rPr>
      </w:pPr>
      <w:r w:rsidRPr="005577D3">
        <w:rPr>
          <w:rFonts w:ascii="Times New Roman" w:hAnsi="Times New Roman"/>
          <w:u w:val="single"/>
          <w:lang w:val="lt-LT"/>
        </w:rPr>
        <w:t>Buteliukas: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N7 - LT/1/08/1041/013</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N10 - LT/1/08/1041/014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N14 - LT/1/08/1041/015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N15 - LT/1/08/1041/016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N20 - LT/1/08/1041/017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N28 - LT/1/08/1041/018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N30 - LT/1/08/1041/019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N50 - LT/1/08/1041/020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N56 - LT/1/08/1041/021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N60 - LT/1/08/1041/022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N98 - LT/1/08/1041/023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N100 - LT/1/08/1041/024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13.</w:t>
      </w:r>
      <w:r w:rsidRPr="005577D3">
        <w:rPr>
          <w:rFonts w:ascii="Times New Roman" w:hAnsi="Times New Roman"/>
          <w:b/>
          <w:lang w:val="lt-LT"/>
        </w:rPr>
        <w:tab/>
        <w:t>SERIJOS NUMERIS</w:t>
      </w:r>
    </w:p>
    <w:p w:rsidR="00C57BAB" w:rsidRPr="005577D3" w:rsidRDefault="00C57BAB" w:rsidP="00C57BAB">
      <w:pPr>
        <w:spacing w:after="0" w:line="240" w:lineRule="auto"/>
        <w:rPr>
          <w:rFonts w:ascii="Times New Roman" w:hAnsi="Times New Roman"/>
          <w:lang w:val="lt-LT"/>
        </w:rPr>
      </w:pPr>
    </w:p>
    <w:p w:rsidR="00C57BAB" w:rsidRPr="005577D3" w:rsidRDefault="00CA777E" w:rsidP="00C57BAB">
      <w:pPr>
        <w:spacing w:after="0" w:line="240" w:lineRule="auto"/>
        <w:rPr>
          <w:rFonts w:ascii="Times New Roman" w:hAnsi="Times New Roman"/>
          <w:lang w:val="lt-LT"/>
        </w:rPr>
      </w:pPr>
      <w:r>
        <w:rPr>
          <w:rFonts w:ascii="Times New Roman" w:hAnsi="Times New Roman"/>
          <w:lang w:val="lt-LT"/>
        </w:rPr>
        <w:t>Lot:</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14.</w:t>
      </w:r>
      <w:r w:rsidRPr="005577D3">
        <w:rPr>
          <w:rFonts w:ascii="Times New Roman" w:hAnsi="Times New Roman"/>
          <w:b/>
          <w:lang w:val="lt-LT"/>
        </w:rPr>
        <w:tab/>
        <w:t>PARDAVIMO (IŠDAVIMO) TVARKA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Receptinis vaist</w:t>
      </w:r>
      <w:r w:rsidR="00CA777E">
        <w:rPr>
          <w:rFonts w:ascii="Times New Roman" w:hAnsi="Times New Roman"/>
          <w:lang w:val="lt-LT"/>
        </w:rPr>
        <w:t>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15.</w:t>
      </w:r>
      <w:r w:rsidRPr="005577D3">
        <w:rPr>
          <w:rFonts w:ascii="Times New Roman" w:hAnsi="Times New Roman"/>
          <w:b/>
          <w:lang w:val="lt-LT"/>
        </w:rPr>
        <w:tab/>
        <w:t>VARTOJIMO INSTRUKCIJA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16.</w:t>
      </w:r>
      <w:r w:rsidRPr="005577D3">
        <w:rPr>
          <w:rFonts w:ascii="Times New Roman" w:hAnsi="Times New Roman"/>
          <w:b/>
          <w:lang w:val="lt-LT"/>
        </w:rPr>
        <w:tab/>
        <w:t>INFORMACIJA BRAILIO RAŠTU</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Pantul 20 mg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lang w:val="de-DE"/>
        </w:rPr>
      </w:pPr>
      <w:r w:rsidRPr="005577D3">
        <w:rPr>
          <w:rFonts w:ascii="Times New Roman" w:hAnsi="Times New Roman"/>
          <w:b/>
          <w:noProof/>
          <w:lang w:val="de-DE"/>
        </w:rPr>
        <w:t>17.</w:t>
      </w:r>
      <w:r w:rsidRPr="005577D3">
        <w:rPr>
          <w:rFonts w:ascii="Times New Roman" w:hAnsi="Times New Roman"/>
          <w:b/>
          <w:noProof/>
          <w:lang w:val="de-DE"/>
        </w:rPr>
        <w:tab/>
        <w:t>UNIKALUS IDENTIFIKATORIUS – 2D BRŪKŠNINIS KODAS</w:t>
      </w:r>
    </w:p>
    <w:p w:rsidR="00C57BAB" w:rsidRPr="005577D3" w:rsidRDefault="00C57BAB" w:rsidP="00C57BAB">
      <w:pPr>
        <w:spacing w:after="0" w:line="240" w:lineRule="auto"/>
        <w:rPr>
          <w:rFonts w:ascii="Times New Roman" w:hAnsi="Times New Roman"/>
          <w:noProof/>
          <w:lang w:val="de-DE"/>
        </w:rPr>
      </w:pPr>
    </w:p>
    <w:p w:rsidR="00C57BAB" w:rsidRPr="005577D3" w:rsidRDefault="00C57BAB" w:rsidP="00C57BAB">
      <w:pPr>
        <w:spacing w:after="0" w:line="240" w:lineRule="auto"/>
        <w:rPr>
          <w:rFonts w:ascii="Times New Roman" w:hAnsi="Times New Roman"/>
          <w:noProof/>
          <w:shd w:val="clear" w:color="auto" w:fill="CCCCCC"/>
          <w:lang w:val="de-DE"/>
        </w:rPr>
      </w:pPr>
      <w:r w:rsidRPr="00EE7003">
        <w:rPr>
          <w:rFonts w:ascii="Times New Roman" w:hAnsi="Times New Roman"/>
          <w:noProof/>
          <w:highlight w:val="lightGray"/>
          <w:lang w:val="de-DE"/>
        </w:rPr>
        <w:t>2D brūkšninis kodas su nurodytu unikaliu identifikatoriumi.</w:t>
      </w:r>
    </w:p>
    <w:p w:rsidR="00C57BAB" w:rsidRPr="005577D3" w:rsidRDefault="00C57BAB" w:rsidP="00C57BAB">
      <w:pPr>
        <w:spacing w:after="0" w:line="240" w:lineRule="auto"/>
        <w:rPr>
          <w:rFonts w:ascii="Times New Roman" w:hAnsi="Times New Roman"/>
          <w:noProof/>
          <w:shd w:val="clear" w:color="auto" w:fill="CCCCCC"/>
          <w:lang w:val="de-DE"/>
        </w:rPr>
      </w:pPr>
    </w:p>
    <w:p w:rsidR="00C57BAB" w:rsidRPr="005577D3" w:rsidRDefault="00C57BAB" w:rsidP="00C57BAB">
      <w:pPr>
        <w:spacing w:after="0" w:line="240" w:lineRule="auto"/>
        <w:rPr>
          <w:rFonts w:ascii="Times New Roman" w:hAnsi="Times New Roman"/>
          <w:noProof/>
          <w:lang w:val="de-DE"/>
        </w:rPr>
      </w:pPr>
    </w:p>
    <w:p w:rsidR="00C57BAB" w:rsidRPr="005577D3" w:rsidRDefault="00C57BAB" w:rsidP="00C57BA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de-DE"/>
        </w:rPr>
      </w:pPr>
      <w:r w:rsidRPr="005577D3">
        <w:rPr>
          <w:rFonts w:ascii="Times New Roman" w:hAnsi="Times New Roman"/>
          <w:b/>
          <w:noProof/>
          <w:lang w:val="de-DE"/>
        </w:rPr>
        <w:t>18.</w:t>
      </w:r>
      <w:r w:rsidRPr="005577D3">
        <w:rPr>
          <w:rFonts w:ascii="Times New Roman" w:hAnsi="Times New Roman"/>
          <w:b/>
          <w:noProof/>
          <w:lang w:val="de-DE"/>
        </w:rPr>
        <w:tab/>
        <w:t>UNIKALUS IDENTIFIKATORIUS – ŽMONĖMS SUPRANTAMI DUOMENYS</w:t>
      </w:r>
    </w:p>
    <w:p w:rsidR="00C57BAB" w:rsidRPr="005577D3" w:rsidRDefault="00C57BAB" w:rsidP="00C57BAB">
      <w:pPr>
        <w:spacing w:after="0" w:line="240" w:lineRule="auto"/>
        <w:rPr>
          <w:rFonts w:ascii="Times New Roman" w:hAnsi="Times New Roman"/>
          <w:noProof/>
          <w:lang w:val="de-DE"/>
        </w:rPr>
      </w:pPr>
    </w:p>
    <w:p w:rsidR="00C57BAB" w:rsidRPr="005577D3" w:rsidRDefault="00C57BAB" w:rsidP="00C57BAB">
      <w:pPr>
        <w:spacing w:after="0" w:line="240" w:lineRule="auto"/>
        <w:rPr>
          <w:rFonts w:ascii="Times New Roman" w:hAnsi="Times New Roman"/>
          <w:lang w:val="de-DE"/>
        </w:rPr>
      </w:pPr>
      <w:r w:rsidRPr="005577D3">
        <w:rPr>
          <w:rFonts w:ascii="Times New Roman" w:hAnsi="Times New Roman"/>
          <w:lang w:val="de-DE"/>
        </w:rPr>
        <w:t xml:space="preserve">PC: {numeris} </w:t>
      </w:r>
    </w:p>
    <w:p w:rsidR="00C57BAB" w:rsidRPr="005577D3" w:rsidRDefault="00C57BAB" w:rsidP="00C57BAB">
      <w:pPr>
        <w:spacing w:after="0" w:line="240" w:lineRule="auto"/>
        <w:rPr>
          <w:rFonts w:ascii="Times New Roman" w:hAnsi="Times New Roman"/>
          <w:color w:val="008000"/>
          <w:lang w:val="de-DE"/>
        </w:rPr>
      </w:pPr>
      <w:r w:rsidRPr="005577D3">
        <w:rPr>
          <w:rFonts w:ascii="Times New Roman" w:hAnsi="Times New Roman"/>
          <w:lang w:val="de-DE"/>
        </w:rPr>
        <w:t xml:space="preserve">SN: {numeris} </w:t>
      </w:r>
    </w:p>
    <w:p w:rsidR="00C57BAB" w:rsidRPr="005577D3" w:rsidRDefault="00C57BAB" w:rsidP="00C57BAB">
      <w:pPr>
        <w:spacing w:after="0" w:line="240" w:lineRule="auto"/>
        <w:rPr>
          <w:rFonts w:ascii="Times New Roman" w:hAnsi="Times New Roman"/>
          <w:szCs w:val="24"/>
          <w:lang w:val="lt-LT"/>
        </w:rPr>
      </w:pPr>
      <w:r w:rsidRPr="00492A4B">
        <w:rPr>
          <w:rFonts w:ascii="Times New Roman" w:hAnsi="Times New Roman"/>
          <w:highlight w:val="lightGray"/>
          <w:lang w:val="de-DE"/>
        </w:rPr>
        <w:t>NN: {numeris}</w:t>
      </w:r>
      <w:r w:rsidRPr="005577D3">
        <w:rPr>
          <w:rFonts w:ascii="Times New Roman" w:hAnsi="Times New Roman"/>
          <w:lang w:val="de-DE"/>
        </w:rPr>
        <w:t xml:space="preserve">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lastRenderedPageBreak/>
        <w:t>INFORMACIJA ANT VIDINĖS PAKUOTĖS</w:t>
      </w: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BUTELIUKO ETIKETĖ</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w:t>
      </w:r>
      <w:r w:rsidRPr="005577D3">
        <w:rPr>
          <w:rFonts w:ascii="Times New Roman" w:hAnsi="Times New Roman"/>
          <w:b/>
          <w:lang w:val="lt-LT"/>
        </w:rPr>
        <w:tab/>
        <w:t>VAISTINIO PREPARATO PAVADINIMAS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20 mg skrandyje neirios tabletės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Pantoprazolum</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2.</w:t>
      </w:r>
      <w:r w:rsidRPr="005577D3">
        <w:rPr>
          <w:rFonts w:ascii="Times New Roman" w:hAnsi="Times New Roman"/>
          <w:b/>
          <w:lang w:val="lt-LT"/>
        </w:rPr>
        <w:tab/>
      </w:r>
      <w:r w:rsidRPr="005577D3">
        <w:rPr>
          <w:rFonts w:ascii="Times New Roman" w:eastAsia="Times New Roman" w:hAnsi="Times New Roman"/>
          <w:b/>
          <w:noProof/>
          <w:snapToGrid w:val="0"/>
          <w:szCs w:val="24"/>
          <w:lang w:val="lt-LT"/>
        </w:rPr>
        <w:t>VEIKLIOJI (-IOS) MEDŽIAGA (-OS) IR JOS (-Ų) KIEKIS (-IAI)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Kiekvienoje tabletėje yra 20 mg pantoprazolo (pantoprazolo natrio druskos seskvihidrato pavidalu).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3.</w:t>
      </w:r>
      <w:r w:rsidRPr="005577D3">
        <w:rPr>
          <w:rFonts w:ascii="Times New Roman" w:hAnsi="Times New Roman"/>
          <w:b/>
          <w:lang w:val="lt-LT"/>
        </w:rPr>
        <w:tab/>
        <w:t>PAGALBINIŲ MEDŽIAGŲ SĄRAŠAS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Sudėtyje yra maltitolio</w:t>
      </w:r>
      <w:r w:rsidR="00CA777E">
        <w:rPr>
          <w:rFonts w:ascii="Times New Roman" w:hAnsi="Times New Roman"/>
          <w:lang w:val="lt-LT"/>
        </w:rPr>
        <w:t>,</w:t>
      </w:r>
      <w:r w:rsidRPr="005577D3">
        <w:rPr>
          <w:rFonts w:ascii="Times New Roman" w:hAnsi="Times New Roman"/>
          <w:lang w:val="lt-LT"/>
        </w:rPr>
        <w:t xml:space="preserve"> lecitino (iš sojų aliejaus)</w:t>
      </w:r>
      <w:r w:rsidR="00CA777E">
        <w:rPr>
          <w:rFonts w:ascii="Times New Roman" w:hAnsi="Times New Roman"/>
          <w:lang w:val="lt-LT"/>
        </w:rPr>
        <w:t xml:space="preserve"> ir natrio</w:t>
      </w:r>
      <w:r w:rsidRPr="005577D3">
        <w:rPr>
          <w:rFonts w:ascii="Times New Roman" w:hAnsi="Times New Roman"/>
          <w:lang w:val="lt-LT"/>
        </w:rPr>
        <w:t>.</w:t>
      </w:r>
    </w:p>
    <w:p w:rsidR="00C57BAB" w:rsidRPr="005577D3" w:rsidRDefault="00C57BAB" w:rsidP="00C57BAB">
      <w:pPr>
        <w:spacing w:after="0" w:line="240" w:lineRule="auto"/>
        <w:rPr>
          <w:rFonts w:ascii="Times New Roman" w:hAnsi="Times New Roman"/>
          <w:caps/>
          <w:lang w:val="lt-LT"/>
        </w:rPr>
      </w:pPr>
      <w:r w:rsidRPr="005577D3">
        <w:rPr>
          <w:rFonts w:ascii="Times New Roman" w:hAnsi="Times New Roman"/>
          <w:lang w:val="lt-LT"/>
        </w:rPr>
        <w:t>Daugiau informacijos pateikta pakuotės lapelyje.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4.</w:t>
      </w:r>
      <w:r w:rsidRPr="005577D3">
        <w:rPr>
          <w:rFonts w:ascii="Times New Roman" w:hAnsi="Times New Roman"/>
          <w:b/>
          <w:lang w:val="lt-LT"/>
        </w:rPr>
        <w:tab/>
        <w:t>FARMACINĖ FORMA IR KIEKIS PAKUOTĖJE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D87D2F">
        <w:rPr>
          <w:rFonts w:ascii="Times New Roman" w:hAnsi="Times New Roman"/>
          <w:highlight w:val="lightGray"/>
          <w:lang w:val="lt-LT"/>
        </w:rPr>
        <w:t>Skrandyje neirios tabletės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shd w:val="clear" w:color="auto" w:fill="FFFFFF"/>
          <w:lang w:val="lt-LT"/>
        </w:rPr>
      </w:pPr>
      <w:r w:rsidRPr="005577D3">
        <w:rPr>
          <w:rFonts w:ascii="Times New Roman" w:hAnsi="Times New Roman"/>
          <w:shd w:val="clear" w:color="auto" w:fill="FFFFFF"/>
          <w:lang w:val="lt-LT"/>
        </w:rPr>
        <w:t xml:space="preserve">7 tabletės </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10 tablečių</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14 tablečių</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 xml:space="preserve">15 tablečių </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20 tablečių</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 xml:space="preserve">28 </w:t>
      </w:r>
      <w:r w:rsidRPr="00EE7003">
        <w:rPr>
          <w:rFonts w:ascii="Times New Roman" w:hAnsi="Times New Roman"/>
          <w:highlight w:val="lightGray"/>
          <w:lang w:val="lt-LT"/>
        </w:rPr>
        <w:t>tabletės</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 xml:space="preserve">30 </w:t>
      </w:r>
      <w:r w:rsidRPr="00EE7003">
        <w:rPr>
          <w:rFonts w:ascii="Times New Roman" w:hAnsi="Times New Roman"/>
          <w:highlight w:val="lightGray"/>
          <w:lang w:val="lt-LT"/>
        </w:rPr>
        <w:t>tablečių</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50 tablečių</w:t>
      </w:r>
    </w:p>
    <w:p w:rsidR="00C57BAB" w:rsidRPr="00EE7003" w:rsidRDefault="00C57BAB" w:rsidP="00C57BAB">
      <w:pPr>
        <w:spacing w:after="0" w:line="240" w:lineRule="auto"/>
        <w:rPr>
          <w:rFonts w:ascii="Times New Roman" w:hAnsi="Times New Roman"/>
          <w:highlight w:val="lightGray"/>
          <w:shd w:val="clear" w:color="auto" w:fill="C0C0C0"/>
          <w:lang w:val="lt-LT"/>
        </w:rPr>
      </w:pPr>
      <w:r w:rsidRPr="00EE7003">
        <w:rPr>
          <w:rFonts w:ascii="Times New Roman" w:hAnsi="Times New Roman"/>
          <w:highlight w:val="lightGray"/>
          <w:shd w:val="clear" w:color="auto" w:fill="C0C0C0"/>
          <w:lang w:val="lt-LT"/>
        </w:rPr>
        <w:t xml:space="preserve">56 </w:t>
      </w:r>
      <w:r w:rsidRPr="00EE7003">
        <w:rPr>
          <w:rFonts w:ascii="Times New Roman" w:hAnsi="Times New Roman"/>
          <w:highlight w:val="lightGray"/>
          <w:lang w:val="lt-LT"/>
        </w:rPr>
        <w:t>tabletės</w:t>
      </w:r>
    </w:p>
    <w:p w:rsidR="00C57BAB" w:rsidRPr="005577D3" w:rsidRDefault="00C57BAB" w:rsidP="00C57BAB">
      <w:pPr>
        <w:spacing w:after="0" w:line="240" w:lineRule="auto"/>
        <w:rPr>
          <w:rFonts w:ascii="Times New Roman" w:hAnsi="Times New Roman"/>
          <w:shd w:val="clear" w:color="auto" w:fill="C0C0C0"/>
          <w:lang w:val="lt-LT"/>
        </w:rPr>
      </w:pPr>
      <w:r w:rsidRPr="00EE7003">
        <w:rPr>
          <w:rFonts w:ascii="Times New Roman" w:hAnsi="Times New Roman"/>
          <w:highlight w:val="lightGray"/>
          <w:shd w:val="clear" w:color="auto" w:fill="C0C0C0"/>
          <w:lang w:val="lt-LT"/>
        </w:rPr>
        <w:t>60 tablečių</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98 tabletės</w:t>
      </w:r>
    </w:p>
    <w:p w:rsidR="00C57BAB" w:rsidRPr="005577D3" w:rsidRDefault="00C57BAB" w:rsidP="00C57BAB">
      <w:pPr>
        <w:spacing w:after="0" w:line="240" w:lineRule="auto"/>
        <w:rPr>
          <w:rFonts w:ascii="Times New Roman" w:hAnsi="Times New Roman"/>
          <w:shd w:val="clear" w:color="auto" w:fill="C0C0C0"/>
          <w:lang w:val="lt-LT"/>
        </w:rPr>
      </w:pPr>
      <w:r w:rsidRPr="005577D3">
        <w:rPr>
          <w:rFonts w:ascii="Times New Roman" w:hAnsi="Times New Roman"/>
          <w:shd w:val="clear" w:color="auto" w:fill="C0C0C0"/>
          <w:lang w:val="lt-LT"/>
        </w:rPr>
        <w:t xml:space="preserve">100 tablečių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5.</w:t>
      </w:r>
      <w:r w:rsidRPr="005577D3">
        <w:rPr>
          <w:rFonts w:ascii="Times New Roman" w:hAnsi="Times New Roman"/>
          <w:b/>
          <w:lang w:val="lt-LT"/>
        </w:rPr>
        <w:tab/>
        <w:t>VARTOJIMO METODAS IR BŪDAS (-AI)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Vartoti per burną.</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Prieš vartojimą perskaitykite pakuotės lapelį.</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Tablečių negalima kramtyti ar smulkinti.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6.</w:t>
      </w:r>
      <w:r w:rsidRPr="005577D3">
        <w:rPr>
          <w:rFonts w:ascii="Times New Roman" w:hAnsi="Times New Roman"/>
          <w:b/>
          <w:lang w:val="lt-LT"/>
        </w:rPr>
        <w:tab/>
        <w:t>SPECIALUS ĮSPĖJIMAS, KAD VAISTINĮ PREPARATĄ BŪTINA LAIKYTI VAIKAMS NEPASTEBIMOJE IR NEPASIEKIAMOJE VIETOJE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Laikyti vaikams nepastebimoje ir nepasiekiamoje vietoje.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7.</w:t>
      </w:r>
      <w:r w:rsidRPr="005577D3">
        <w:rPr>
          <w:rFonts w:ascii="Times New Roman" w:hAnsi="Times New Roman"/>
          <w:b/>
          <w:lang w:val="lt-LT"/>
        </w:rPr>
        <w:tab/>
        <w:t>KITAS (-I) SPECIALUS (-ŪS) ĮSPĖJIMAS (-AI) (JEI 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8.</w:t>
      </w:r>
      <w:r w:rsidRPr="005577D3">
        <w:rPr>
          <w:rFonts w:ascii="Times New Roman" w:hAnsi="Times New Roman"/>
          <w:b/>
          <w:lang w:val="lt-LT"/>
        </w:rPr>
        <w:tab/>
        <w:t>TINKAMUMO LAIKAS</w:t>
      </w:r>
    </w:p>
    <w:p w:rsidR="00C57BAB" w:rsidRPr="005577D3" w:rsidRDefault="00C57BAB" w:rsidP="00C57BAB">
      <w:pPr>
        <w:spacing w:after="0" w:line="240" w:lineRule="auto"/>
        <w:rPr>
          <w:rFonts w:ascii="Times New Roman" w:hAnsi="Times New Roman"/>
          <w:lang w:val="lt-LT"/>
        </w:rPr>
      </w:pPr>
    </w:p>
    <w:p w:rsidR="00C57BAB" w:rsidRPr="005577D3" w:rsidRDefault="00CA777E" w:rsidP="00C57BAB">
      <w:pPr>
        <w:spacing w:after="0" w:line="240" w:lineRule="auto"/>
        <w:rPr>
          <w:rFonts w:ascii="Times New Roman" w:hAnsi="Times New Roman"/>
          <w:lang w:val="lt-LT"/>
        </w:rPr>
      </w:pPr>
      <w:r>
        <w:rPr>
          <w:rFonts w:ascii="Times New Roman" w:hAnsi="Times New Roman"/>
          <w:lang w:val="lt-LT"/>
        </w:rPr>
        <w:t xml:space="preserve">EXP: </w:t>
      </w:r>
      <w:r w:rsidR="00C57BAB" w:rsidRPr="005577D3">
        <w:rPr>
          <w:rFonts w:ascii="Times New Roman" w:hAnsi="Times New Roman"/>
          <w:lang w:val="lt-LT"/>
        </w:rPr>
        <w:t xml:space="preserve"> mm.MMMM</w:t>
      </w:r>
    </w:p>
    <w:p w:rsidR="00C57BAB" w:rsidRPr="005577D3" w:rsidRDefault="00C57BAB" w:rsidP="00C57BAB">
      <w:pPr>
        <w:spacing w:after="0" w:line="240" w:lineRule="auto"/>
        <w:rPr>
          <w:rFonts w:ascii="Times New Roman" w:hAnsi="Times New Roman"/>
          <w:i/>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Buteliuką pirmą kartą atidarius, preparato tinkamumo laikas- 3 mėnesiai.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9.</w:t>
      </w:r>
      <w:r w:rsidRPr="005577D3">
        <w:rPr>
          <w:rFonts w:ascii="Times New Roman" w:hAnsi="Times New Roman"/>
          <w:b/>
          <w:lang w:val="lt-LT"/>
        </w:rPr>
        <w:tab/>
        <w:t>SPECIALIOS LAIKYMO SĄLYGOS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10.</w:t>
      </w:r>
      <w:r w:rsidRPr="005577D3">
        <w:rPr>
          <w:rFonts w:ascii="Times New Roman" w:hAnsi="Times New Roman"/>
          <w:b/>
          <w:lang w:val="lt-LT"/>
        </w:rPr>
        <w:tab/>
        <w:t>SPECIALIOS ATSARGUMO PRIEMONĖS DĖL NESUVARTOTO VAISTINIO PREPARATO AR JO ATLIEKŲ TVARKYMO (JEI 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11.</w:t>
      </w:r>
      <w:r w:rsidRPr="005577D3">
        <w:rPr>
          <w:rFonts w:ascii="Times New Roman" w:hAnsi="Times New Roman"/>
          <w:b/>
          <w:lang w:val="lt-LT"/>
        </w:rPr>
        <w:tab/>
        <w:t>REGISTRUOTOJO PAVADINIMAS IR ADRESAS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G.L. Pharma GmbH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Schlossplatz 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8502 Lannach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Austrija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12.</w:t>
      </w:r>
      <w:r w:rsidRPr="005577D3">
        <w:rPr>
          <w:rFonts w:ascii="Times New Roman" w:hAnsi="Times New Roman"/>
          <w:b/>
          <w:lang w:val="lt-LT"/>
        </w:rPr>
        <w:tab/>
        <w:t>REGISTRACIJOS PAŽYMĖJIMO NUMERIS (-IAI)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N7 - LT/1/08/1041/013</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N10 - LT/1/08/1041/014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N14 - LT/1/08/1041/015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N15 - LT/1/08/1041/016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N20 - LT/1/08/1041/017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N28 - LT/1/08/1041/018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N30 - LT/1/08/1041/019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N50 - LT/1/08/1041/020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N56 - LT/1/08/1041/021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N60 - LT/1/08/1041/022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N98 - LT/1/08/1041/023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N100 - LT/1/08/1041/024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13.</w:t>
      </w:r>
      <w:r w:rsidRPr="005577D3">
        <w:rPr>
          <w:rFonts w:ascii="Times New Roman" w:hAnsi="Times New Roman"/>
          <w:b/>
          <w:lang w:val="lt-LT"/>
        </w:rPr>
        <w:tab/>
        <w:t>SERIJOS NUMERIS</w:t>
      </w:r>
    </w:p>
    <w:p w:rsidR="00C57BAB" w:rsidRPr="005577D3" w:rsidRDefault="00C57BAB" w:rsidP="00C57BAB">
      <w:pPr>
        <w:spacing w:after="0" w:line="240" w:lineRule="auto"/>
        <w:rPr>
          <w:rFonts w:ascii="Times New Roman" w:hAnsi="Times New Roman"/>
          <w:lang w:val="lt-LT"/>
        </w:rPr>
      </w:pPr>
    </w:p>
    <w:p w:rsidR="00C57BAB" w:rsidRPr="005577D3" w:rsidRDefault="00CA777E" w:rsidP="00C57BAB">
      <w:pPr>
        <w:spacing w:after="0" w:line="240" w:lineRule="auto"/>
        <w:rPr>
          <w:rFonts w:ascii="Times New Roman" w:hAnsi="Times New Roman"/>
          <w:lang w:val="lt-LT"/>
        </w:rPr>
      </w:pPr>
      <w:r>
        <w:rPr>
          <w:rFonts w:ascii="Times New Roman" w:hAnsi="Times New Roman"/>
          <w:lang w:val="lt-LT"/>
        </w:rPr>
        <w:t>Lot:</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14.</w:t>
      </w:r>
      <w:r w:rsidRPr="005577D3">
        <w:rPr>
          <w:rFonts w:ascii="Times New Roman" w:hAnsi="Times New Roman"/>
          <w:b/>
          <w:lang w:val="lt-LT"/>
        </w:rPr>
        <w:tab/>
        <w:t>PARDAVIMO (IŠDAVIMO) TVARKA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Receptinis vaist</w:t>
      </w:r>
      <w:r w:rsidR="00CA777E">
        <w:rPr>
          <w:rFonts w:ascii="Times New Roman" w:hAnsi="Times New Roman"/>
          <w:lang w:val="lt-LT"/>
        </w:rPr>
        <w:t>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15.</w:t>
      </w:r>
      <w:r w:rsidRPr="005577D3">
        <w:rPr>
          <w:rFonts w:ascii="Times New Roman" w:hAnsi="Times New Roman"/>
          <w:b/>
          <w:lang w:val="lt-LT"/>
        </w:rPr>
        <w:tab/>
        <w:t>VARTOJIMO INSTRUKCIJA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16.</w:t>
      </w:r>
      <w:r w:rsidRPr="005577D3">
        <w:rPr>
          <w:rFonts w:ascii="Times New Roman" w:hAnsi="Times New Roman"/>
          <w:b/>
          <w:lang w:val="lt-LT"/>
        </w:rPr>
        <w:tab/>
        <w:t>INFORMACIJA BRAILIO RAŠTU</w:t>
      </w:r>
    </w:p>
    <w:p w:rsidR="00C16372" w:rsidRDefault="00C16372" w:rsidP="00C57BAB">
      <w:pPr>
        <w:spacing w:after="0" w:line="240" w:lineRule="auto"/>
        <w:rPr>
          <w:rFonts w:ascii="Times New Roman" w:hAnsi="Times New Roman"/>
          <w:lang w:val="lt-LT"/>
        </w:rPr>
      </w:pPr>
    </w:p>
    <w:p w:rsidR="00C16372" w:rsidRDefault="00C16372" w:rsidP="00C16372">
      <w:pPr>
        <w:rPr>
          <w:noProof/>
        </w:rPr>
      </w:pPr>
    </w:p>
    <w:p w:rsidR="00C16372" w:rsidRDefault="00C16372" w:rsidP="00C16372">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Pr>
          <w:b/>
          <w:noProof/>
        </w:rPr>
        <w:lastRenderedPageBreak/>
        <w:t>UNIKALUS IDENTIFIKATORIUS – 2D BRŪKŠNINIS KODAS</w:t>
      </w:r>
    </w:p>
    <w:p w:rsidR="00C16372" w:rsidRDefault="00C16372" w:rsidP="00C16372">
      <w:pPr>
        <w:tabs>
          <w:tab w:val="left" w:pos="720"/>
        </w:tabs>
        <w:ind w:left="567" w:hanging="567"/>
      </w:pPr>
    </w:p>
    <w:p w:rsidR="00C16372" w:rsidRPr="00C16372" w:rsidRDefault="00C16372" w:rsidP="00C16372">
      <w:pPr>
        <w:tabs>
          <w:tab w:val="left" w:pos="720"/>
        </w:tabs>
        <w:ind w:left="567" w:hanging="567"/>
        <w:rPr>
          <w:rFonts w:ascii="Times New Roman" w:hAnsi="Times New Roman"/>
          <w:noProof/>
          <w:vanish/>
        </w:rPr>
      </w:pPr>
    </w:p>
    <w:p w:rsidR="00C16372" w:rsidRPr="00EE7003" w:rsidRDefault="00C16372" w:rsidP="00C16372">
      <w:pPr>
        <w:ind w:left="567" w:hanging="567"/>
        <w:rPr>
          <w:rFonts w:ascii="Times New Roman" w:hAnsi="Times New Roman"/>
          <w:noProof/>
          <w:highlight w:val="lightGray"/>
        </w:rPr>
      </w:pPr>
      <w:r w:rsidRPr="00EE7003">
        <w:rPr>
          <w:rFonts w:ascii="Times New Roman" w:hAnsi="Times New Roman"/>
          <w:noProof/>
          <w:highlight w:val="lightGray"/>
        </w:rPr>
        <w:t>Duomenys nebūtini.</w:t>
      </w:r>
    </w:p>
    <w:p w:rsidR="00C16372" w:rsidRDefault="00C16372" w:rsidP="00C16372">
      <w:pPr>
        <w:tabs>
          <w:tab w:val="left" w:pos="720"/>
        </w:tabs>
        <w:ind w:left="567" w:hanging="567"/>
        <w:rPr>
          <w:noProof/>
        </w:rPr>
      </w:pPr>
    </w:p>
    <w:p w:rsidR="00C16372" w:rsidRDefault="00C16372" w:rsidP="00C16372">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ind w:hanging="1440"/>
        <w:outlineLvl w:val="0"/>
        <w:rPr>
          <w:i/>
          <w:noProof/>
        </w:rPr>
      </w:pPr>
      <w:r>
        <w:rPr>
          <w:b/>
          <w:noProof/>
        </w:rPr>
        <w:t>UNIKALUS IDENTIFIKATORIUS – ŽMONĖMS SUPRANTAMI DUOMENYS</w:t>
      </w:r>
    </w:p>
    <w:p w:rsidR="00C16372" w:rsidRDefault="00C16372" w:rsidP="00C16372">
      <w:pPr>
        <w:ind w:left="567" w:hanging="567"/>
      </w:pPr>
    </w:p>
    <w:p w:rsidR="00C16372" w:rsidRPr="00C16372" w:rsidRDefault="00C16372" w:rsidP="00C16372">
      <w:pPr>
        <w:tabs>
          <w:tab w:val="left" w:pos="720"/>
        </w:tabs>
        <w:ind w:left="567" w:hanging="567"/>
        <w:rPr>
          <w:rFonts w:ascii="Times New Roman" w:hAnsi="Times New Roman"/>
          <w:vanish/>
        </w:rPr>
      </w:pPr>
    </w:p>
    <w:p w:rsidR="00C16372" w:rsidRPr="00C16372" w:rsidRDefault="00C16372" w:rsidP="00C16372">
      <w:pPr>
        <w:ind w:left="567" w:hanging="567"/>
        <w:rPr>
          <w:rFonts w:ascii="Times New Roman" w:hAnsi="Times New Roman"/>
          <w:noProof/>
          <w:vanish/>
        </w:rPr>
      </w:pPr>
      <w:r w:rsidRPr="00EE7003">
        <w:rPr>
          <w:rFonts w:ascii="Times New Roman" w:hAnsi="Times New Roman"/>
          <w:noProof/>
          <w:highlight w:val="lightGray"/>
          <w:shd w:val="clear" w:color="auto" w:fill="CCCCCC"/>
        </w:rPr>
        <w:t>Duomenys nebūtini.</w:t>
      </w:r>
    </w:p>
    <w:p w:rsidR="00C16372" w:rsidRPr="00C16372" w:rsidRDefault="00C16372" w:rsidP="00C16372">
      <w:pPr>
        <w:tabs>
          <w:tab w:val="left" w:pos="720"/>
        </w:tabs>
        <w:ind w:left="567" w:hanging="567"/>
        <w:rPr>
          <w:rFonts w:ascii="Times New Roman" w:hAnsi="Times New Roman"/>
          <w:noProof/>
          <w:vanish/>
        </w:rPr>
      </w:pPr>
    </w:p>
    <w:p w:rsidR="00C16372" w:rsidRPr="00C16372" w:rsidRDefault="00C16372" w:rsidP="00C16372">
      <w:pPr>
        <w:pBdr>
          <w:top w:val="single" w:sz="4" w:space="1" w:color="auto"/>
          <w:left w:val="single" w:sz="4" w:space="4" w:color="auto"/>
          <w:bottom w:val="single" w:sz="4" w:space="1" w:color="auto"/>
          <w:right w:val="single" w:sz="4" w:space="4" w:color="auto"/>
        </w:pBdr>
        <w:tabs>
          <w:tab w:val="left" w:pos="720"/>
        </w:tabs>
        <w:ind w:left="567" w:hanging="567"/>
        <w:rPr>
          <w:rFonts w:ascii="Times New Roman" w:hAnsi="Times New Roman"/>
          <w:b/>
          <w:noProof/>
          <w:u w:val="single"/>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 xml:space="preserve">MINIMALI </w:t>
      </w:r>
      <w:r w:rsidRPr="005577D3">
        <w:rPr>
          <w:rFonts w:ascii="Times New Roman" w:hAnsi="Times New Roman"/>
          <w:b/>
          <w:caps/>
          <w:lang w:val="lt-LT"/>
        </w:rPr>
        <w:t xml:space="preserve">informacija ant </w:t>
      </w:r>
      <w:r w:rsidRPr="005577D3">
        <w:rPr>
          <w:rFonts w:ascii="Times New Roman" w:hAnsi="Times New Roman"/>
          <w:b/>
          <w:lang w:val="lt-LT"/>
        </w:rPr>
        <w:t>LIZDINIŲ PLOKŠTELIŲ ARBA DVISLUOKSNIŲ JUOSTELIŲ</w:t>
      </w: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LIZDINĖ PLOKŠTELĖ</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1.</w:t>
      </w:r>
      <w:r w:rsidRPr="005577D3">
        <w:rPr>
          <w:rFonts w:ascii="Times New Roman" w:hAnsi="Times New Roman"/>
          <w:b/>
          <w:lang w:val="lt-LT"/>
        </w:rPr>
        <w:tab/>
        <w:t>VAISTINIO PREPARATO PAVADINIMAS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20 mg skrandyje neirios tabletės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Pantoprazolum</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2.</w:t>
      </w:r>
      <w:r w:rsidRPr="005577D3">
        <w:rPr>
          <w:rFonts w:ascii="Times New Roman" w:hAnsi="Times New Roman"/>
          <w:b/>
          <w:lang w:val="lt-LT"/>
        </w:rPr>
        <w:tab/>
        <w:t>REGISTRUOTOJO PAVADINIMAS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G.L. Pharma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3.</w:t>
      </w:r>
      <w:r w:rsidRPr="005577D3">
        <w:rPr>
          <w:rFonts w:ascii="Times New Roman" w:hAnsi="Times New Roman"/>
          <w:b/>
          <w:lang w:val="lt-LT"/>
        </w:rPr>
        <w:tab/>
        <w:t>TINKAMUMO LAIKAS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EXP: mm.MMMM</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4.</w:t>
      </w:r>
      <w:r w:rsidRPr="005577D3">
        <w:rPr>
          <w:rFonts w:ascii="Times New Roman" w:hAnsi="Times New Roman"/>
          <w:b/>
          <w:lang w:val="lt-LT"/>
        </w:rPr>
        <w:tab/>
        <w:t>SERIJOS NUMERIS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Lot.:</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577D3">
        <w:rPr>
          <w:rFonts w:ascii="Times New Roman" w:hAnsi="Times New Roman"/>
          <w:b/>
          <w:lang w:val="lt-LT"/>
        </w:rPr>
        <w:t>5.</w:t>
      </w:r>
      <w:r w:rsidRPr="005577D3">
        <w:rPr>
          <w:rFonts w:ascii="Times New Roman" w:hAnsi="Times New Roman"/>
          <w:b/>
          <w:lang w:val="lt-LT"/>
        </w:rPr>
        <w:tab/>
        <w:t>KITA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br w:type="page"/>
      </w: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bookmarkStart w:id="68" w:name="_Toc129243262"/>
      <w:bookmarkStart w:id="69" w:name="_Toc129243137"/>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r w:rsidRPr="005577D3">
        <w:rPr>
          <w:rFonts w:ascii="Times New Roman" w:hAnsi="Times New Roman"/>
          <w:b/>
          <w:caps/>
          <w:lang w:val="lt-LT"/>
        </w:rPr>
        <w:t>B. PAKUOTĖS LAPELIS</w:t>
      </w:r>
      <w:bookmarkEnd w:id="68"/>
      <w:bookmarkEnd w:id="69"/>
    </w:p>
    <w:p w:rsidR="00C57BAB" w:rsidRPr="005577D3" w:rsidRDefault="00C57BAB" w:rsidP="00C57BAB">
      <w:pPr>
        <w:tabs>
          <w:tab w:val="left" w:pos="567"/>
        </w:tabs>
        <w:spacing w:after="0" w:line="240" w:lineRule="auto"/>
        <w:ind w:left="567" w:hanging="567"/>
        <w:jc w:val="center"/>
        <w:outlineLvl w:val="0"/>
        <w:rPr>
          <w:rFonts w:ascii="Times New Roman" w:hAnsi="Times New Roman"/>
          <w:b/>
          <w:caps/>
          <w:lang w:val="lt-LT"/>
        </w:rPr>
      </w:pPr>
      <w:r w:rsidRPr="005577D3">
        <w:rPr>
          <w:rFonts w:ascii="Times New Roman" w:hAnsi="Times New Roman"/>
          <w:b/>
          <w:caps/>
          <w:lang w:val="lt-LT"/>
        </w:rPr>
        <w:br w:type="page"/>
      </w:r>
      <w:bookmarkStart w:id="70" w:name="_Toc129243263"/>
      <w:bookmarkStart w:id="71" w:name="_Toc129243138"/>
      <w:r w:rsidRPr="005577D3">
        <w:rPr>
          <w:rFonts w:ascii="Times New Roman" w:eastAsia="Times New Roman" w:hAnsi="Times New Roman"/>
          <w:b/>
          <w:lang w:val="lt-LT"/>
        </w:rPr>
        <w:lastRenderedPageBreak/>
        <w:t xml:space="preserve">Pakuotės lapelis: informacija </w:t>
      </w:r>
      <w:bookmarkEnd w:id="70"/>
      <w:bookmarkEnd w:id="71"/>
      <w:r w:rsidRPr="005577D3">
        <w:rPr>
          <w:rFonts w:ascii="Times New Roman" w:eastAsia="Times New Roman" w:hAnsi="Times New Roman"/>
          <w:b/>
          <w:lang w:val="lt-LT"/>
        </w:rPr>
        <w:t>pacientui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jc w:val="center"/>
        <w:rPr>
          <w:rFonts w:ascii="Times New Roman" w:hAnsi="Times New Roman"/>
          <w:b/>
          <w:lang w:val="lt-LT"/>
        </w:rPr>
      </w:pPr>
      <w:r w:rsidRPr="005577D3">
        <w:rPr>
          <w:rFonts w:ascii="Times New Roman" w:hAnsi="Times New Roman"/>
          <w:b/>
          <w:lang w:val="lt-LT"/>
        </w:rPr>
        <w:t>Pantul 20 mg skrandyje neirios tabletės</w:t>
      </w:r>
    </w:p>
    <w:p w:rsidR="00C57BAB" w:rsidRPr="005577D3" w:rsidRDefault="00C57BAB" w:rsidP="00C57BAB">
      <w:pPr>
        <w:spacing w:after="0" w:line="240" w:lineRule="auto"/>
        <w:jc w:val="center"/>
        <w:rPr>
          <w:rFonts w:ascii="Times New Roman" w:hAnsi="Times New Roman"/>
          <w:lang w:val="lt-LT"/>
        </w:rPr>
      </w:pPr>
      <w:r w:rsidRPr="005577D3">
        <w:rPr>
          <w:rFonts w:ascii="Times New Roman" w:hAnsi="Times New Roman"/>
          <w:lang w:val="lt-LT"/>
        </w:rPr>
        <w:t>Pantoprazolas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Atidžiai perskaitykite visą šį lapelį, prieš pradėdami vartoti vaistą</w:t>
      </w:r>
      <w:r w:rsidRPr="005577D3">
        <w:rPr>
          <w:rFonts w:ascii="Times New Roman" w:eastAsia="Times New Roman" w:hAnsi="Times New Roman"/>
          <w:b/>
          <w:lang w:val="lt-LT"/>
        </w:rPr>
        <w:t xml:space="preserve">, </w:t>
      </w:r>
      <w:r w:rsidRPr="005577D3">
        <w:rPr>
          <w:rFonts w:ascii="Times New Roman" w:eastAsia="Times New Roman" w:hAnsi="Times New Roman"/>
          <w:b/>
          <w:noProof/>
          <w:snapToGrid w:val="0"/>
          <w:lang w:val="lt-LT"/>
        </w:rPr>
        <w:t xml:space="preserve"> nes jame pateikiama Jums svarbi informacija</w:t>
      </w:r>
      <w:r w:rsidRPr="005577D3">
        <w:rPr>
          <w:rFonts w:ascii="Times New Roman" w:hAnsi="Times New Roman"/>
          <w:b/>
          <w:lang w:val="lt-LT"/>
        </w:rPr>
        <w:t>.</w:t>
      </w:r>
    </w:p>
    <w:p w:rsidR="00C57BAB" w:rsidRPr="005577D3" w:rsidRDefault="00C57BAB" w:rsidP="00C57BAB">
      <w:pPr>
        <w:pStyle w:val="Sraopastraipa"/>
        <w:numPr>
          <w:ilvl w:val="0"/>
          <w:numId w:val="5"/>
        </w:numPr>
        <w:shd w:val="clear" w:color="auto" w:fill="FFFFFF"/>
        <w:ind w:left="567" w:hanging="567"/>
        <w:rPr>
          <w:sz w:val="22"/>
          <w:szCs w:val="22"/>
          <w:lang w:val="lt-LT" w:eastAsia="en-US"/>
        </w:rPr>
      </w:pPr>
      <w:r w:rsidRPr="005577D3">
        <w:rPr>
          <w:sz w:val="22"/>
          <w:szCs w:val="22"/>
          <w:lang w:val="lt-LT" w:eastAsia="en-US"/>
        </w:rPr>
        <w:t>Neišmeskite šio lapelio, nes vėl gali prireikti jį perskaityti.</w:t>
      </w:r>
    </w:p>
    <w:p w:rsidR="00C57BAB" w:rsidRPr="005577D3" w:rsidRDefault="00C57BAB" w:rsidP="00C57BAB">
      <w:pPr>
        <w:pStyle w:val="Sraopastraipa"/>
        <w:numPr>
          <w:ilvl w:val="0"/>
          <w:numId w:val="5"/>
        </w:numPr>
        <w:shd w:val="clear" w:color="auto" w:fill="FFFFFF"/>
        <w:ind w:left="567" w:hanging="567"/>
        <w:rPr>
          <w:sz w:val="22"/>
          <w:szCs w:val="22"/>
          <w:lang w:val="lt-LT" w:eastAsia="en-US"/>
        </w:rPr>
      </w:pPr>
      <w:r w:rsidRPr="005577D3">
        <w:rPr>
          <w:sz w:val="22"/>
          <w:szCs w:val="22"/>
          <w:lang w:val="lt-LT" w:eastAsia="en-US"/>
        </w:rPr>
        <w:t>Jeigu kiltų daugiau klausimų, kreipkitės į gydytoją arba vaistininką.</w:t>
      </w:r>
    </w:p>
    <w:p w:rsidR="00C57BAB" w:rsidRPr="005577D3" w:rsidRDefault="00C57BAB" w:rsidP="00C57BAB">
      <w:pPr>
        <w:pStyle w:val="Sraopastraipa"/>
        <w:numPr>
          <w:ilvl w:val="0"/>
          <w:numId w:val="5"/>
        </w:numPr>
        <w:shd w:val="clear" w:color="auto" w:fill="FFFFFF"/>
        <w:ind w:left="567" w:hanging="567"/>
        <w:rPr>
          <w:sz w:val="22"/>
          <w:szCs w:val="22"/>
          <w:lang w:val="lt-LT" w:eastAsia="en-US"/>
        </w:rPr>
      </w:pPr>
      <w:r w:rsidRPr="005577D3">
        <w:rPr>
          <w:sz w:val="22"/>
          <w:szCs w:val="22"/>
          <w:lang w:val="lt-LT" w:eastAsia="en-US"/>
        </w:rPr>
        <w:t>Šis vaistas skirtas tik Jums, todėl kitiems žmonėms jo duoti negalima. Vaistas gali jiems pakenkti (net tiems, kurių ligos požymiai yra tokie patys kaip Jūsų).</w:t>
      </w:r>
    </w:p>
    <w:p w:rsidR="00C57BAB" w:rsidRPr="005577D3" w:rsidRDefault="00C57BAB" w:rsidP="00C57BAB">
      <w:pPr>
        <w:pStyle w:val="Sraopastraipa"/>
        <w:numPr>
          <w:ilvl w:val="0"/>
          <w:numId w:val="5"/>
        </w:numPr>
        <w:shd w:val="clear" w:color="auto" w:fill="FFFFFF"/>
        <w:ind w:left="567" w:hanging="567"/>
        <w:rPr>
          <w:sz w:val="22"/>
          <w:szCs w:val="22"/>
          <w:lang w:val="lt-LT" w:eastAsia="en-US"/>
        </w:rPr>
      </w:pPr>
      <w:r w:rsidRPr="005577D3">
        <w:rPr>
          <w:sz w:val="22"/>
          <w:szCs w:val="22"/>
          <w:lang w:val="lt-LT" w:eastAsia="en-US"/>
        </w:rPr>
        <w:t>Jeigu pasireiškė šalutinis poveikis (net jeigu jis šiame lapelyje nenurodytas), kreipkitės į gydytoją arba vaistininką. Žr. 4 skyrių.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eastAsia="Times New Roman" w:hAnsi="Times New Roman"/>
          <w:b/>
          <w:lang w:val="lt-LT"/>
        </w:rPr>
      </w:pPr>
      <w:r w:rsidRPr="005577D3">
        <w:rPr>
          <w:rFonts w:ascii="Times New Roman" w:eastAsia="Times New Roman" w:hAnsi="Times New Roman"/>
          <w:b/>
          <w:lang w:val="lt-LT"/>
        </w:rPr>
        <w:t>Apie ką rašoma šiame lapelyje?</w:t>
      </w:r>
    </w:p>
    <w:p w:rsidR="00C57BAB" w:rsidRPr="005577D3" w:rsidRDefault="00C57BAB" w:rsidP="00C57BAB">
      <w:pPr>
        <w:spacing w:after="0" w:line="240" w:lineRule="auto"/>
        <w:ind w:left="540" w:hanging="540"/>
        <w:rPr>
          <w:rFonts w:ascii="Times New Roman" w:hAnsi="Times New Roman"/>
          <w:lang w:val="lt-LT"/>
        </w:rPr>
      </w:pPr>
      <w:r w:rsidRPr="005577D3">
        <w:rPr>
          <w:rFonts w:ascii="Times New Roman" w:hAnsi="Times New Roman"/>
          <w:lang w:val="lt-LT"/>
        </w:rPr>
        <w:t>1.</w:t>
      </w:r>
      <w:r w:rsidRPr="005577D3">
        <w:rPr>
          <w:rFonts w:ascii="Times New Roman" w:hAnsi="Times New Roman"/>
          <w:lang w:val="lt-LT"/>
        </w:rPr>
        <w:tab/>
        <w:t>Kas yra Pantul ir kam jis vartojamas</w:t>
      </w:r>
    </w:p>
    <w:p w:rsidR="00C57BAB" w:rsidRPr="005577D3" w:rsidRDefault="00C57BAB" w:rsidP="00C57BAB">
      <w:pPr>
        <w:spacing w:after="0" w:line="240" w:lineRule="auto"/>
        <w:ind w:left="540" w:hanging="540"/>
        <w:rPr>
          <w:rFonts w:ascii="Times New Roman" w:hAnsi="Times New Roman"/>
          <w:b/>
          <w:lang w:val="lt-LT"/>
        </w:rPr>
      </w:pPr>
      <w:r w:rsidRPr="005577D3">
        <w:rPr>
          <w:rFonts w:ascii="Times New Roman" w:hAnsi="Times New Roman"/>
          <w:lang w:val="lt-LT"/>
        </w:rPr>
        <w:t>2.</w:t>
      </w:r>
      <w:r w:rsidRPr="005577D3">
        <w:rPr>
          <w:rFonts w:ascii="Times New Roman" w:hAnsi="Times New Roman"/>
          <w:lang w:val="lt-LT"/>
        </w:rPr>
        <w:tab/>
        <w:t>Kas žinotina prieš vartojant Pantul</w:t>
      </w:r>
    </w:p>
    <w:p w:rsidR="00C57BAB" w:rsidRPr="005577D3" w:rsidRDefault="00C57BAB" w:rsidP="00C57BAB">
      <w:pPr>
        <w:spacing w:after="0" w:line="240" w:lineRule="auto"/>
        <w:ind w:left="540" w:hanging="540"/>
        <w:rPr>
          <w:rFonts w:ascii="Times New Roman" w:hAnsi="Times New Roman"/>
          <w:lang w:val="lt-LT"/>
        </w:rPr>
      </w:pPr>
      <w:r w:rsidRPr="005577D3">
        <w:rPr>
          <w:rFonts w:ascii="Times New Roman" w:hAnsi="Times New Roman"/>
          <w:lang w:val="lt-LT"/>
        </w:rPr>
        <w:t>3.</w:t>
      </w:r>
      <w:r w:rsidRPr="005577D3">
        <w:rPr>
          <w:rFonts w:ascii="Times New Roman" w:hAnsi="Times New Roman"/>
          <w:lang w:val="lt-LT"/>
        </w:rPr>
        <w:tab/>
        <w:t>Kaip vartoti Pantul</w:t>
      </w:r>
    </w:p>
    <w:p w:rsidR="00C57BAB" w:rsidRPr="005577D3" w:rsidRDefault="00C57BAB" w:rsidP="00C57BAB">
      <w:pPr>
        <w:spacing w:after="0" w:line="240" w:lineRule="auto"/>
        <w:ind w:left="540" w:hanging="540"/>
        <w:rPr>
          <w:rFonts w:ascii="Times New Roman" w:hAnsi="Times New Roman"/>
          <w:lang w:val="lt-LT"/>
        </w:rPr>
      </w:pPr>
      <w:r w:rsidRPr="005577D3">
        <w:rPr>
          <w:rFonts w:ascii="Times New Roman" w:hAnsi="Times New Roman"/>
          <w:lang w:val="lt-LT"/>
        </w:rPr>
        <w:t>4.</w:t>
      </w:r>
      <w:r w:rsidRPr="005577D3">
        <w:rPr>
          <w:rFonts w:ascii="Times New Roman" w:hAnsi="Times New Roman"/>
          <w:lang w:val="lt-LT"/>
        </w:rPr>
        <w:tab/>
        <w:t>Galimas šalutinis poveikis</w:t>
      </w:r>
    </w:p>
    <w:p w:rsidR="00C57BAB" w:rsidRPr="005577D3" w:rsidRDefault="00C57BAB" w:rsidP="00C57BAB">
      <w:pPr>
        <w:spacing w:after="0" w:line="240" w:lineRule="auto"/>
        <w:ind w:left="540" w:hanging="540"/>
        <w:rPr>
          <w:rFonts w:ascii="Times New Roman" w:hAnsi="Times New Roman"/>
          <w:b/>
          <w:lang w:val="lt-LT"/>
        </w:rPr>
      </w:pPr>
      <w:r w:rsidRPr="005577D3">
        <w:rPr>
          <w:rFonts w:ascii="Times New Roman" w:hAnsi="Times New Roman"/>
          <w:lang w:val="lt-LT"/>
        </w:rPr>
        <w:t>5.</w:t>
      </w:r>
      <w:r w:rsidRPr="005577D3">
        <w:rPr>
          <w:rFonts w:ascii="Times New Roman" w:hAnsi="Times New Roman"/>
          <w:lang w:val="lt-LT"/>
        </w:rPr>
        <w:tab/>
        <w:t>Kaip laikyti Pantul</w:t>
      </w:r>
    </w:p>
    <w:p w:rsidR="00C57BAB" w:rsidRPr="005577D3" w:rsidRDefault="00C57BAB" w:rsidP="00C57BAB">
      <w:pPr>
        <w:spacing w:after="0" w:line="240" w:lineRule="auto"/>
        <w:ind w:left="540" w:hanging="540"/>
        <w:rPr>
          <w:rFonts w:ascii="Times New Roman" w:hAnsi="Times New Roman"/>
          <w:lang w:val="lt-LT"/>
        </w:rPr>
      </w:pPr>
      <w:r w:rsidRPr="005577D3">
        <w:rPr>
          <w:rFonts w:ascii="Times New Roman" w:hAnsi="Times New Roman"/>
          <w:lang w:val="lt-LT"/>
        </w:rPr>
        <w:t>6.</w:t>
      </w:r>
      <w:r w:rsidRPr="005577D3">
        <w:rPr>
          <w:rFonts w:ascii="Times New Roman" w:hAnsi="Times New Roman"/>
          <w:lang w:val="lt-LT"/>
        </w:rPr>
        <w:tab/>
      </w:r>
      <w:r w:rsidRPr="005577D3">
        <w:rPr>
          <w:rFonts w:ascii="Times New Roman" w:eastAsia="Times New Roman" w:hAnsi="Times New Roman"/>
          <w:lang w:val="lt-LT"/>
        </w:rPr>
        <w:t>Pakuotės turinys ir kita</w:t>
      </w:r>
      <w:r w:rsidRPr="005577D3">
        <w:rPr>
          <w:rFonts w:ascii="Times New Roman" w:hAnsi="Times New Roman"/>
          <w:lang w:val="lt-LT"/>
        </w:rPr>
        <w:t xml:space="preserve"> informacija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eastAsia="Times New Roman" w:hAnsi="Times New Roman"/>
          <w:b/>
          <w:lang w:val="lt-LT"/>
        </w:rPr>
      </w:pPr>
      <w:bookmarkStart w:id="72" w:name="_Toc129243264"/>
      <w:bookmarkStart w:id="73" w:name="_Toc129243139"/>
      <w:r w:rsidRPr="005577D3">
        <w:rPr>
          <w:rFonts w:ascii="Times New Roman" w:eastAsia="Times New Roman" w:hAnsi="Times New Roman"/>
          <w:b/>
          <w:lang w:val="lt-LT"/>
        </w:rPr>
        <w:t>1.</w:t>
      </w:r>
      <w:r w:rsidRPr="005577D3">
        <w:rPr>
          <w:rFonts w:ascii="Times New Roman" w:eastAsia="Times New Roman" w:hAnsi="Times New Roman"/>
          <w:b/>
          <w:lang w:val="lt-LT"/>
        </w:rPr>
        <w:tab/>
        <w:t>Kas yra Pantul ir kam jis vartojamas</w:t>
      </w:r>
      <w:bookmarkEnd w:id="72"/>
      <w:bookmarkEnd w:id="7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yra selektyvaus poveikio protonų siurblio inhibitorius, t. y. vaistas, mažinantis rūgšties susidarymą skrandyje. Šiuo vaistu gydomos su rūgštimi susijusios skrandžio ir žarnų ligos.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vartojamas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Suaugę žmonės bei 12 metų ir vyresni paaugliai</w:t>
      </w:r>
    </w:p>
    <w:p w:rsidR="00C57BAB" w:rsidRPr="005577D3" w:rsidRDefault="00C57BAB" w:rsidP="00FB356A">
      <w:pPr>
        <w:pStyle w:val="BT-EMEASMCA"/>
        <w:rPr>
          <w:rFonts w:eastAsia="Calibri"/>
        </w:rPr>
      </w:pPr>
      <w:r w:rsidRPr="005577D3">
        <w:rPr>
          <w:rFonts w:eastAsia="Calibri"/>
        </w:rPr>
        <w:t>su gastroezofaginio refliukso liga, kurią sukelia rūgšties refliuksas iš skrandžio, susijusiems simptomams (pvz., rėmeniui, rūgšties atpylimui, skausmui ryjant) gydyti;</w:t>
      </w:r>
    </w:p>
    <w:p w:rsidR="00C57BAB" w:rsidRPr="005577D3" w:rsidRDefault="00C57BAB" w:rsidP="00FB356A">
      <w:pPr>
        <w:pStyle w:val="BT-EMEASMCA"/>
        <w:rPr>
          <w:rFonts w:eastAsia="Calibri"/>
        </w:rPr>
      </w:pPr>
      <w:r w:rsidRPr="005577D3">
        <w:rPr>
          <w:rFonts w:eastAsia="Calibri"/>
        </w:rPr>
        <w:t>ilgalaikiam refliukso sukelto ezofagito (stemplės uždegimo ir kartu pasireiškiančio skrandžio rūgšties atpylimo) gydymui ir atsinaujinimo profilaktikai.</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Suaugę žmonės</w:t>
      </w:r>
    </w:p>
    <w:p w:rsidR="00C57BAB" w:rsidRPr="005577D3" w:rsidRDefault="00C57BAB" w:rsidP="00C57BAB">
      <w:pPr>
        <w:numPr>
          <w:ilvl w:val="0"/>
          <w:numId w:val="6"/>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skrandžio ir dvylikapirštės žarnos opų, kurias sukelia neselektyvaus poveikio nesteroidiniai vaistai nuo uždegimo (NVNU), pvz., ibuprofenas, profilaktikai, jei ilgalaikis gydymas NVNU reikalingas pacientams, kuriems yra padidėjusi opos atsiradimo rizika. </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eastAsia="Times New Roman" w:hAnsi="Times New Roman"/>
          <w:b/>
          <w:lang w:val="lt-LT"/>
        </w:rPr>
      </w:pPr>
      <w:bookmarkStart w:id="74" w:name="_Toc129243265"/>
      <w:bookmarkStart w:id="75" w:name="_Toc129243140"/>
      <w:r w:rsidRPr="005577D3">
        <w:rPr>
          <w:rFonts w:ascii="Times New Roman" w:eastAsia="Times New Roman" w:hAnsi="Times New Roman"/>
          <w:b/>
          <w:lang w:val="lt-LT"/>
        </w:rPr>
        <w:t>2.</w:t>
      </w:r>
      <w:r w:rsidRPr="005577D3">
        <w:rPr>
          <w:rFonts w:ascii="Times New Roman" w:eastAsia="Times New Roman" w:hAnsi="Times New Roman"/>
          <w:b/>
          <w:lang w:val="lt-LT"/>
        </w:rPr>
        <w:tab/>
        <w:t>Kas žinotina prieš vartojant Pantul</w:t>
      </w:r>
      <w:bookmarkEnd w:id="74"/>
      <w:bookmarkEnd w:id="75"/>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Pantul vartoti negalima:</w:t>
      </w:r>
    </w:p>
    <w:p w:rsidR="00C57BAB" w:rsidRPr="005577D3" w:rsidRDefault="00C57BAB" w:rsidP="00C57BAB">
      <w:pPr>
        <w:spacing w:after="0" w:line="240" w:lineRule="auto"/>
        <w:rPr>
          <w:rFonts w:ascii="Times New Roman" w:hAnsi="Times New Roman"/>
          <w:b/>
          <w:lang w:val="lt-LT"/>
        </w:rPr>
      </w:pPr>
    </w:p>
    <w:p w:rsidR="00C57BAB" w:rsidRPr="005577D3" w:rsidRDefault="00C57BAB" w:rsidP="00C57BAB">
      <w:pPr>
        <w:numPr>
          <w:ilvl w:val="0"/>
          <w:numId w:val="7"/>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jeigu yra alergija pantoprazolui, soj</w:t>
      </w:r>
      <w:r w:rsidR="005A1434">
        <w:rPr>
          <w:rFonts w:ascii="Times New Roman" w:hAnsi="Times New Roman"/>
          <w:lang w:val="lt-LT"/>
        </w:rPr>
        <w:t>ai, žemės riešutams</w:t>
      </w:r>
      <w:r w:rsidRPr="005577D3">
        <w:rPr>
          <w:rFonts w:ascii="Times New Roman" w:hAnsi="Times New Roman"/>
          <w:lang w:val="lt-LT"/>
        </w:rPr>
        <w:t xml:space="preserve"> arba bet kuriai kitai pagalbinei šio vaisto medžiagai (jos išvardytos 6 skyriuje);</w:t>
      </w:r>
    </w:p>
    <w:p w:rsidR="00C57BAB" w:rsidRPr="005577D3" w:rsidRDefault="00C57BAB" w:rsidP="00C57BAB">
      <w:pPr>
        <w:numPr>
          <w:ilvl w:val="0"/>
          <w:numId w:val="7"/>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jeigu yra alergija vaistams, kurių sudėtyje yra kitų protonų siurblio inhibitorių. </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jc w:val="both"/>
        <w:outlineLvl w:val="3"/>
        <w:rPr>
          <w:rFonts w:ascii="Times New Roman" w:hAnsi="Times New Roman"/>
          <w:b/>
          <w:lang w:val="lt-LT"/>
        </w:rPr>
      </w:pPr>
      <w:r w:rsidRPr="005577D3">
        <w:rPr>
          <w:rFonts w:ascii="Times New Roman" w:eastAsia="Times New Roman" w:hAnsi="Times New Roman"/>
          <w:b/>
          <w:bCs/>
          <w:snapToGrid w:val="0"/>
          <w:lang w:val="lt-LT"/>
        </w:rPr>
        <w:t>Įspėjimai ir</w:t>
      </w:r>
      <w:r w:rsidRPr="005577D3">
        <w:rPr>
          <w:rFonts w:ascii="Times New Roman" w:hAnsi="Times New Roman"/>
          <w:b/>
          <w:lang w:val="lt-LT"/>
        </w:rPr>
        <w:t xml:space="preserve"> atsargumo </w:t>
      </w:r>
      <w:r w:rsidRPr="005577D3">
        <w:rPr>
          <w:rFonts w:ascii="Times New Roman" w:eastAsia="Times New Roman" w:hAnsi="Times New Roman"/>
          <w:b/>
          <w:bCs/>
          <w:snapToGrid w:val="0"/>
          <w:lang w:val="lt-LT"/>
        </w:rPr>
        <w:t xml:space="preserve">priemonės </w:t>
      </w:r>
    </w:p>
    <w:p w:rsidR="00C57BAB" w:rsidRPr="005577D3" w:rsidRDefault="00C57BAB" w:rsidP="00C57BAB">
      <w:pPr>
        <w:spacing w:after="0" w:line="240" w:lineRule="auto"/>
        <w:rPr>
          <w:rFonts w:ascii="Times New Roman" w:eastAsia="Times New Roman" w:hAnsi="Times New Roman"/>
          <w:b/>
          <w:bCs/>
          <w:lang w:val="lt-LT"/>
        </w:rPr>
      </w:pPr>
    </w:p>
    <w:p w:rsidR="00C57BAB" w:rsidRPr="005577D3" w:rsidRDefault="00C57BAB" w:rsidP="00C57BAB">
      <w:pPr>
        <w:numPr>
          <w:ilvl w:val="12"/>
          <w:numId w:val="0"/>
        </w:numPr>
        <w:spacing w:after="0" w:line="240" w:lineRule="auto"/>
        <w:ind w:right="-2"/>
        <w:rPr>
          <w:rFonts w:ascii="Times New Roman" w:eastAsia="Times New Roman" w:hAnsi="Times New Roman"/>
          <w:snapToGrid w:val="0"/>
          <w:lang w:val="lt-LT"/>
        </w:rPr>
      </w:pPr>
      <w:r w:rsidRPr="005577D3">
        <w:rPr>
          <w:rFonts w:ascii="Times New Roman" w:eastAsia="Times New Roman" w:hAnsi="Times New Roman"/>
          <w:noProof/>
          <w:snapToGrid w:val="0"/>
          <w:lang w:val="lt-LT"/>
        </w:rPr>
        <w:t>Pasitarkite su gydytoju arba vaistininku, prieš pradėdami vartoti Pantul.</w:t>
      </w:r>
    </w:p>
    <w:p w:rsidR="00C57BAB" w:rsidRPr="005577D3" w:rsidRDefault="00C57BAB" w:rsidP="00C57BAB">
      <w:pPr>
        <w:pStyle w:val="Sraopastraipa"/>
        <w:numPr>
          <w:ilvl w:val="0"/>
          <w:numId w:val="8"/>
        </w:numPr>
        <w:shd w:val="clear" w:color="auto" w:fill="FFFFFF"/>
        <w:rPr>
          <w:sz w:val="22"/>
          <w:szCs w:val="22"/>
          <w:lang w:val="lt-LT" w:eastAsia="en-US"/>
        </w:rPr>
      </w:pPr>
      <w:r w:rsidRPr="005577D3">
        <w:rPr>
          <w:sz w:val="22"/>
          <w:szCs w:val="22"/>
          <w:lang w:val="lt-LT" w:eastAsia="en-US"/>
        </w:rPr>
        <w:t>Jei yra sunkus kepenų sutrikimas. Jei Jums yra buvę kepenų sutrikimų, pasakykite gydytojui. Jis dažniau tirs kepenų fermentų kiekį, ypač gydymo Pantul pradžioje ir ilgalaikio gydymo atveju. Jei kepenų fermentų kiekis padidėja, gydymas turi būti nutrauktas.</w:t>
      </w:r>
    </w:p>
    <w:p w:rsidR="00C57BAB" w:rsidRPr="005577D3" w:rsidRDefault="00C57BAB" w:rsidP="00C57BAB">
      <w:pPr>
        <w:pStyle w:val="Sraopastraipa"/>
        <w:numPr>
          <w:ilvl w:val="0"/>
          <w:numId w:val="8"/>
        </w:numPr>
        <w:shd w:val="clear" w:color="auto" w:fill="FFFFFF"/>
        <w:rPr>
          <w:sz w:val="22"/>
          <w:szCs w:val="22"/>
          <w:lang w:val="lt-LT" w:eastAsia="en-US"/>
        </w:rPr>
      </w:pPr>
      <w:r w:rsidRPr="005577D3">
        <w:rPr>
          <w:sz w:val="22"/>
          <w:szCs w:val="22"/>
          <w:lang w:val="lt-LT" w:eastAsia="en-US"/>
        </w:rPr>
        <w:lastRenderedPageBreak/>
        <w:t>Jeigu reikia ilgai vartoti vaistų, vadinamų NVNU, bei Pantul, kadangi didėja skrandžio ir žarnų komplikacijų atsiradimo rizika. Rizikos padidėjimas bus įvertintas atsižvelgiant į esamus rizikos veiksnius: amžių (65 metai ir daugiau), buvusią skrandžio ar žarnos opą, kraujavimą iš skrandžio ar žarnų.</w:t>
      </w:r>
    </w:p>
    <w:p w:rsidR="00C57BAB" w:rsidRPr="005577D3" w:rsidRDefault="00C57BAB" w:rsidP="00C57BAB">
      <w:pPr>
        <w:pStyle w:val="Sraopastraipa"/>
        <w:numPr>
          <w:ilvl w:val="0"/>
          <w:numId w:val="8"/>
        </w:numPr>
        <w:shd w:val="clear" w:color="auto" w:fill="FFFFFF"/>
        <w:rPr>
          <w:sz w:val="22"/>
          <w:szCs w:val="22"/>
          <w:lang w:val="lt-LT" w:eastAsia="en-US"/>
        </w:rPr>
      </w:pPr>
      <w:r w:rsidRPr="005577D3">
        <w:rPr>
          <w:sz w:val="22"/>
          <w:szCs w:val="22"/>
          <w:lang w:val="lt-LT" w:eastAsia="en-US"/>
        </w:rPr>
        <w:t>Jei vitamino B12 kiekis organizme yra sumažėjęs arba yra šio vitamino kiekio sumažėjimo rizikos veiksnių, o pantoprazolo vartojama ilgai. Pantoprazolas, kaip ir visi rūgšties kiekį mažinantys preparatai, gali pabloginti vitamino B12 absorbciją.</w:t>
      </w:r>
    </w:p>
    <w:p w:rsidR="00C57BAB" w:rsidRPr="005577D3" w:rsidRDefault="00C57BAB" w:rsidP="00C57BAB">
      <w:pPr>
        <w:pStyle w:val="Sraopastraipa"/>
        <w:numPr>
          <w:ilvl w:val="0"/>
          <w:numId w:val="8"/>
        </w:numPr>
        <w:shd w:val="clear" w:color="auto" w:fill="FFFFFF"/>
        <w:rPr>
          <w:sz w:val="22"/>
          <w:szCs w:val="22"/>
          <w:lang w:val="lt-LT" w:eastAsia="en-US"/>
        </w:rPr>
      </w:pPr>
      <w:r w:rsidRPr="005577D3">
        <w:rPr>
          <w:sz w:val="22"/>
          <w:szCs w:val="22"/>
          <w:lang w:val="lt-LT" w:eastAsia="en-US"/>
        </w:rPr>
        <w:t>Jei vartojate vaistų, kurių sudėtyje yra atazanaviro (jais gydoma ŽIV infekcija), kartu su pantoprazolu (prašykite specifinio gydytojo patarimo).</w:t>
      </w:r>
    </w:p>
    <w:p w:rsidR="00C57BAB" w:rsidRPr="005577D3" w:rsidRDefault="00C57BAB" w:rsidP="00C57BAB">
      <w:pPr>
        <w:pStyle w:val="Sraopastraipa"/>
        <w:numPr>
          <w:ilvl w:val="0"/>
          <w:numId w:val="8"/>
        </w:numPr>
        <w:shd w:val="clear" w:color="auto" w:fill="FFFFFF"/>
        <w:rPr>
          <w:sz w:val="22"/>
          <w:szCs w:val="22"/>
          <w:lang w:val="lt-LT" w:eastAsia="en-US"/>
        </w:rPr>
      </w:pPr>
      <w:r w:rsidRPr="005577D3">
        <w:rPr>
          <w:sz w:val="22"/>
          <w:szCs w:val="22"/>
          <w:lang w:val="lt-LT" w:eastAsia="en-US"/>
        </w:rPr>
        <w:t>Jeigu atsirado arba pasitaikė anksčiau odos reakcijų vartojant vaistus, panašius į Pantul 20 mg, kurie mažina skrandžio rūgštingumą;</w:t>
      </w:r>
    </w:p>
    <w:p w:rsidR="00C57BAB" w:rsidRDefault="00C57BAB" w:rsidP="00C57BAB">
      <w:pPr>
        <w:pStyle w:val="Sraopastraipa"/>
        <w:numPr>
          <w:ilvl w:val="0"/>
          <w:numId w:val="8"/>
        </w:numPr>
        <w:shd w:val="clear" w:color="auto" w:fill="FFFFFF"/>
        <w:rPr>
          <w:sz w:val="22"/>
          <w:szCs w:val="22"/>
          <w:lang w:val="lt-LT" w:eastAsia="en-US"/>
        </w:rPr>
      </w:pPr>
      <w:r w:rsidRPr="005577D3">
        <w:rPr>
          <w:sz w:val="22"/>
          <w:szCs w:val="22"/>
          <w:lang w:val="lt-LT" w:eastAsia="en-US"/>
        </w:rPr>
        <w:t>Jeigu Jums atliekami specifiniai kraujo tyrimai (chromograninas A).</w:t>
      </w:r>
    </w:p>
    <w:p w:rsidR="005A1434" w:rsidRPr="00FB356A" w:rsidRDefault="005A1434" w:rsidP="00C57BAB">
      <w:pPr>
        <w:pStyle w:val="Sraopastraipa"/>
        <w:numPr>
          <w:ilvl w:val="0"/>
          <w:numId w:val="8"/>
        </w:numPr>
        <w:shd w:val="clear" w:color="auto" w:fill="FFFFFF"/>
        <w:rPr>
          <w:sz w:val="22"/>
          <w:szCs w:val="22"/>
          <w:lang w:val="lt-LT" w:eastAsia="en-US"/>
        </w:rPr>
      </w:pPr>
      <w:r w:rsidRPr="00492A4B">
        <w:rPr>
          <w:sz w:val="22"/>
          <w:szCs w:val="22"/>
        </w:rPr>
        <w:t>Jei pantoprazolo vartojate ilgiau nei tris mėnesius, gali sumažėti magnio kiekis kraujyje. Mažas magnio kiekis kraujyje gali pasireikšti nuovargiu, nevalingais raumenų susitraukimais, nesiorientavimu, traukuliais, svaiguliu,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C57BAB" w:rsidRPr="005577D3" w:rsidRDefault="00C57BAB" w:rsidP="00C57BAB">
      <w:pPr>
        <w:pStyle w:val="Sraopastraipa"/>
        <w:shd w:val="clear" w:color="auto" w:fill="FFFFFF"/>
        <w:rPr>
          <w:sz w:val="22"/>
          <w:szCs w:val="22"/>
          <w:lang w:val="lt-LT" w:eastAsia="en-US"/>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Jeigu atsirado odos bėrimas, ypač tose kūno vietose, kurios prieinamos saulės spinduliams, pasakykite kaip galint greičiau apie tai savo gydytojui, nes gali reikti nutraukti Pantul 20 mg vartojimą. Atminkite, kad tai tinka ir atsiradus kitiems sutrikimams, pavyzdžiui, sąnarių skausmui.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Protonų siurblio inhibitorių, tokių kaip Pantul, vartojimas ilgiau kaip metus, gali Jums padidinti šlaunikaulio, riešo ar stuburo lūžių riziką. Jeigu Jums nustatyta osteoporozė arba jeigu vartojate kortikosteroidus (jie gali padidinti osteoporozės riziką), pasakykite apie tai gydytojui.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Nedelsdamas pasakykite gydytojui, jei pastebėsite bet kurį iš toliau išvardytų simptomų.</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Netikėtas kūno svorio mažėjimas.</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Pasikartojantis vėmimas.</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Rijimo pasunkėjimas.</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Vėmimas krauju.</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Pablyškimas ir silpnumas (mažakraujystė).</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Kraujas išmatose.</w:t>
      </w:r>
    </w:p>
    <w:p w:rsidR="00C57BAB" w:rsidRPr="005577D3" w:rsidRDefault="00C57BAB" w:rsidP="00C57BAB">
      <w:pPr>
        <w:numPr>
          <w:ilvl w:val="0"/>
          <w:numId w:val="9"/>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Sunkus ir (arba) nuolatinis viduriavimas (Pantul vartojimas buvo susijęs su nedideliu infekcinio viduriavimo padažnėjimu).</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Jei Pantul vartojate ilgai (ilgiau kaip 1 metus), gydytojas tikriausiai norės reguliariai tirti Jūsų būklę. Kiekvieno apsilankymo metu gydytojui pasakykite apie visus naujus bei išskirtinius simptomus ir aplinkybes.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jc w:val="both"/>
        <w:outlineLvl w:val="3"/>
        <w:rPr>
          <w:rFonts w:ascii="Times New Roman" w:eastAsia="Times New Roman" w:hAnsi="Times New Roman"/>
          <w:b/>
          <w:bCs/>
          <w:snapToGrid w:val="0"/>
          <w:lang w:val="lt-LT"/>
        </w:rPr>
      </w:pPr>
      <w:r w:rsidRPr="005577D3">
        <w:rPr>
          <w:rFonts w:ascii="Times New Roman" w:eastAsia="Times New Roman" w:hAnsi="Times New Roman"/>
          <w:b/>
          <w:bCs/>
          <w:snapToGrid w:val="0"/>
          <w:lang w:val="lt-LT"/>
        </w:rPr>
        <w:t>Vaikams ir paaugliams</w:t>
      </w:r>
    </w:p>
    <w:p w:rsidR="00C57BAB" w:rsidRPr="005577D3" w:rsidRDefault="00C57BAB" w:rsidP="00C57BAB">
      <w:pPr>
        <w:keepNext/>
        <w:tabs>
          <w:tab w:val="left" w:pos="567"/>
        </w:tabs>
        <w:spacing w:after="0" w:line="240" w:lineRule="auto"/>
        <w:jc w:val="both"/>
        <w:outlineLvl w:val="3"/>
        <w:rPr>
          <w:rFonts w:ascii="Times New Roman" w:eastAsia="Times New Roman" w:hAnsi="Times New Roman"/>
          <w:bCs/>
          <w:snapToGrid w:val="0"/>
          <w:lang w:val="lt-LT"/>
        </w:rPr>
      </w:pPr>
      <w:r w:rsidRPr="005577D3">
        <w:rPr>
          <w:rFonts w:ascii="Times New Roman" w:eastAsia="Times New Roman" w:hAnsi="Times New Roman"/>
          <w:bCs/>
          <w:snapToGrid w:val="0"/>
          <w:lang w:val="lt-LT"/>
        </w:rPr>
        <w:t>Šių tablečių vaikams iki 12 metų vartoti nerekomenduojama.</w:t>
      </w:r>
    </w:p>
    <w:p w:rsidR="00C57BAB" w:rsidRPr="005577D3" w:rsidRDefault="00C57BAB" w:rsidP="00C57BAB">
      <w:pPr>
        <w:keepNext/>
        <w:tabs>
          <w:tab w:val="left" w:pos="567"/>
        </w:tabs>
        <w:spacing w:after="0" w:line="240" w:lineRule="auto"/>
        <w:jc w:val="both"/>
        <w:outlineLvl w:val="3"/>
        <w:rPr>
          <w:rFonts w:ascii="Times New Roman" w:eastAsia="Times New Roman" w:hAnsi="Times New Roman"/>
          <w:b/>
          <w:lang w:val="lt-LT"/>
        </w:rPr>
      </w:pPr>
    </w:p>
    <w:p w:rsidR="00C57BAB" w:rsidRPr="005577D3" w:rsidRDefault="00C57BAB" w:rsidP="00C57BAB">
      <w:pPr>
        <w:keepNext/>
        <w:tabs>
          <w:tab w:val="left" w:pos="567"/>
        </w:tabs>
        <w:spacing w:after="0" w:line="240" w:lineRule="auto"/>
        <w:jc w:val="both"/>
        <w:outlineLvl w:val="3"/>
        <w:rPr>
          <w:rFonts w:ascii="Times New Roman" w:eastAsia="Times New Roman" w:hAnsi="Times New Roman"/>
          <w:b/>
          <w:lang w:val="lt-LT"/>
        </w:rPr>
      </w:pPr>
      <w:r w:rsidRPr="005577D3">
        <w:rPr>
          <w:rFonts w:ascii="Times New Roman" w:eastAsia="Times New Roman" w:hAnsi="Times New Roman"/>
          <w:b/>
          <w:lang w:val="lt-LT"/>
        </w:rPr>
        <w:t>Kiti vaistai ir Pantul</w:t>
      </w:r>
    </w:p>
    <w:p w:rsidR="00C57BAB" w:rsidRPr="005577D3" w:rsidRDefault="00C57BAB" w:rsidP="00C57BAB">
      <w:pPr>
        <w:numPr>
          <w:ilvl w:val="12"/>
          <w:numId w:val="0"/>
        </w:numPr>
        <w:spacing w:after="0" w:line="240" w:lineRule="auto"/>
        <w:ind w:right="-2"/>
        <w:rPr>
          <w:rFonts w:ascii="Times New Roman" w:eastAsia="Times New Roman" w:hAnsi="Times New Roman"/>
          <w:snapToGrid w:val="0"/>
          <w:lang w:val="lt-LT"/>
        </w:rPr>
      </w:pPr>
      <w:r w:rsidRPr="005577D3">
        <w:rPr>
          <w:rFonts w:ascii="Times New Roman" w:eastAsia="Times New Roman" w:hAnsi="Times New Roman"/>
          <w:noProof/>
          <w:snapToGrid w:val="0"/>
          <w:lang w:val="lt-LT"/>
        </w:rPr>
        <w:t>Jeigu vartojate ar neseniai vartojote kitų vaistų arba dėl to nesate tikri, apie tai pasakykite gydytojui arba vaistininkui.</w:t>
      </w:r>
    </w:p>
    <w:p w:rsidR="00C57BAB" w:rsidRPr="005577D3" w:rsidRDefault="00C57BAB" w:rsidP="00C57BAB">
      <w:pPr>
        <w:spacing w:after="0" w:line="240" w:lineRule="auto"/>
        <w:rPr>
          <w:rFonts w:ascii="Times New Roman" w:hAnsi="Times New Roman"/>
          <w:b/>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gali keisti kitų vaistų veiksmingumą, todėl pasakykite gydytojui, jeigu vartojate:</w:t>
      </w:r>
    </w:p>
    <w:p w:rsidR="00C57BAB" w:rsidRPr="005577D3" w:rsidRDefault="00C57BAB" w:rsidP="00C57BAB">
      <w:pPr>
        <w:numPr>
          <w:ilvl w:val="0"/>
          <w:numId w:val="10"/>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tokių vaistų kaip ketokonazolas, itrakonazolas ir pozakonazolas (jais gydoma grybelių sukelta infekcinė liga) ar erlotinibo (juo gydomas tam tikras vėžys) arba metotreksato (vartojamo vėžiui arba žvynelinei ligai gydyti), nes Pantul gali sutrikdyti tinkamą šių ir kai kurių kitų vaistų poveikį;</w:t>
      </w:r>
    </w:p>
    <w:p w:rsidR="00C57BAB" w:rsidRPr="005577D3" w:rsidRDefault="00C57BAB" w:rsidP="00C57BAB">
      <w:pPr>
        <w:numPr>
          <w:ilvl w:val="0"/>
          <w:numId w:val="10"/>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lastRenderedPageBreak/>
        <w:t>varfarino ir fenprokumono (vaistų, veikiančių krešėjimą, t. y. skystinančių kraują). Gali reikti atlikti daugiau tyrimų;</w:t>
      </w:r>
    </w:p>
    <w:p w:rsidR="00C57BAB" w:rsidRPr="005577D3" w:rsidRDefault="00C57BAB" w:rsidP="00C57BAB">
      <w:pPr>
        <w:numPr>
          <w:ilvl w:val="0"/>
          <w:numId w:val="10"/>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atazanaviro (juo gydoma ŽIV infekcija).</w:t>
      </w:r>
    </w:p>
    <w:p w:rsidR="00C57BAB" w:rsidRPr="005577D3" w:rsidRDefault="00C57BAB" w:rsidP="00C57BAB">
      <w:pPr>
        <w:widowControl w:val="0"/>
        <w:autoSpaceDE w:val="0"/>
        <w:autoSpaceDN w:val="0"/>
        <w:adjustRightInd w:val="0"/>
        <w:spacing w:after="0" w:line="240" w:lineRule="auto"/>
        <w:jc w:val="both"/>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Nėštumas ir žindymo laikotarpis</w:t>
      </w:r>
    </w:p>
    <w:p w:rsidR="00C57BAB" w:rsidRPr="005577D3" w:rsidRDefault="00C57BAB" w:rsidP="00C57BAB">
      <w:pPr>
        <w:spacing w:after="0" w:line="240" w:lineRule="auto"/>
        <w:rPr>
          <w:rFonts w:ascii="Times New Roman" w:hAnsi="Times New Roman"/>
          <w:b/>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Reikiamų duomenų apie nėščių moterų gydymą pantoprazolu nėra. Gauta duomenų, kad pantoprazolo išsiskiria su žindyvės pienu.</w:t>
      </w:r>
    </w:p>
    <w:p w:rsidR="00C57BAB" w:rsidRPr="005577D3" w:rsidRDefault="00C57BAB" w:rsidP="00C57BAB">
      <w:pPr>
        <w:numPr>
          <w:ilvl w:val="12"/>
          <w:numId w:val="0"/>
        </w:numPr>
        <w:spacing w:after="0" w:line="240" w:lineRule="auto"/>
        <w:rPr>
          <w:rFonts w:ascii="Times New Roman" w:hAnsi="Times New Roman"/>
          <w:lang w:val="lt-LT"/>
        </w:rPr>
      </w:pPr>
      <w:r w:rsidRPr="005577D3">
        <w:rPr>
          <w:rFonts w:ascii="Times New Roman" w:eastAsia="Times New Roman" w:hAnsi="Times New Roman"/>
          <w:noProof/>
          <w:snapToGrid w:val="0"/>
          <w:lang w:val="lt-LT"/>
        </w:rPr>
        <w:t>Jeigu</w:t>
      </w:r>
      <w:r w:rsidRPr="005577D3">
        <w:rPr>
          <w:rFonts w:ascii="Times New Roman" w:hAnsi="Times New Roman"/>
          <w:lang w:val="lt-LT"/>
        </w:rPr>
        <w:t xml:space="preserve"> esate nėščia, </w:t>
      </w:r>
      <w:r w:rsidRPr="005577D3">
        <w:rPr>
          <w:rFonts w:ascii="Times New Roman" w:eastAsia="Times New Roman" w:hAnsi="Times New Roman"/>
          <w:noProof/>
          <w:snapToGrid w:val="0"/>
          <w:lang w:val="lt-LT"/>
        </w:rPr>
        <w:t xml:space="preserve">žindote kūdikį, </w:t>
      </w:r>
      <w:r w:rsidRPr="005577D3">
        <w:rPr>
          <w:rFonts w:ascii="Times New Roman" w:hAnsi="Times New Roman"/>
          <w:lang w:val="lt-LT"/>
        </w:rPr>
        <w:t xml:space="preserve">manote, kad </w:t>
      </w:r>
      <w:r w:rsidRPr="005577D3">
        <w:rPr>
          <w:rFonts w:ascii="Times New Roman" w:eastAsia="Times New Roman" w:hAnsi="Times New Roman"/>
          <w:noProof/>
          <w:snapToGrid w:val="0"/>
          <w:lang w:val="lt-LT"/>
        </w:rPr>
        <w:t>galbūt esate nėščia, arba planuojate</w:t>
      </w:r>
      <w:r w:rsidRPr="005577D3">
        <w:rPr>
          <w:rFonts w:ascii="Times New Roman" w:hAnsi="Times New Roman"/>
          <w:lang w:val="lt-LT"/>
        </w:rPr>
        <w:t xml:space="preserve"> pastoti, </w:t>
      </w:r>
      <w:r w:rsidRPr="005577D3">
        <w:rPr>
          <w:rFonts w:ascii="Times New Roman" w:eastAsia="Times New Roman" w:hAnsi="Times New Roman"/>
          <w:noProof/>
          <w:snapToGrid w:val="0"/>
          <w:lang w:val="lt-LT"/>
        </w:rPr>
        <w:t>tai prieš vartodama šį vaistą, pasitarkite su gydytoju arba vaistininku.</w:t>
      </w:r>
      <w:r w:rsidRPr="005577D3">
        <w:rPr>
          <w:rFonts w:ascii="Times New Roman" w:eastAsia="Times New Roman" w:hAnsi="Times New Roman"/>
          <w:snapToGrid w:val="0"/>
          <w:lang w:val="lt-LT"/>
        </w:rPr>
        <w:t xml:space="preserve"> </w:t>
      </w:r>
      <w:r w:rsidRPr="005577D3">
        <w:rPr>
          <w:rFonts w:ascii="Times New Roman" w:hAnsi="Times New Roman"/>
          <w:lang w:val="lt-LT"/>
        </w:rPr>
        <w:t>Šio vaisto galite vartoti tik tuo atveju, jei gydytojas mano, kad nauda Jums bus didesnė už galimą riziką negimusiam vaikui ar kūdikiui.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Vairavimas ir mechanizmų valdymas</w:t>
      </w:r>
    </w:p>
    <w:p w:rsidR="00C57BAB" w:rsidRPr="005577D3" w:rsidRDefault="00C57BAB" w:rsidP="00C57BAB">
      <w:pPr>
        <w:spacing w:after="0" w:line="240" w:lineRule="auto"/>
        <w:rPr>
          <w:rFonts w:ascii="Times New Roman" w:hAnsi="Times New Roman"/>
          <w:b/>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 pasireiškia toks šalutinis poveikis kaip svaigulys ar regos sutrikimas, vairuoti ir valdyti mechanizmų negalima.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eastAsia="Times New Roman" w:hAnsi="Times New Roman"/>
          <w:b/>
          <w:bCs/>
          <w:lang w:val="lt-LT"/>
        </w:rPr>
      </w:pPr>
      <w:r w:rsidRPr="005577D3">
        <w:rPr>
          <w:rFonts w:ascii="Times New Roman" w:hAnsi="Times New Roman"/>
          <w:b/>
          <w:lang w:val="lt-LT"/>
        </w:rPr>
        <w:t>Pantul</w:t>
      </w:r>
      <w:r w:rsidRPr="005577D3">
        <w:rPr>
          <w:rFonts w:ascii="Times New Roman" w:hAnsi="Times New Roman"/>
          <w:lang w:val="lt-LT"/>
        </w:rPr>
        <w:t xml:space="preserve"> </w:t>
      </w:r>
      <w:r w:rsidRPr="005577D3">
        <w:rPr>
          <w:rFonts w:ascii="Times New Roman" w:hAnsi="Times New Roman"/>
          <w:b/>
          <w:lang w:val="lt-LT"/>
        </w:rPr>
        <w:t>sudėtyje yra</w:t>
      </w:r>
      <w:r w:rsidRPr="005577D3">
        <w:rPr>
          <w:rFonts w:ascii="Times New Roman" w:hAnsi="Times New Roman"/>
          <w:lang w:val="lt-LT"/>
        </w:rPr>
        <w:t xml:space="preserve"> </w:t>
      </w:r>
      <w:r w:rsidRPr="005577D3">
        <w:rPr>
          <w:rFonts w:ascii="Times New Roman" w:eastAsia="Times New Roman" w:hAnsi="Times New Roman"/>
          <w:b/>
          <w:lang w:val="lt-LT"/>
        </w:rPr>
        <w:t xml:space="preserve">pagalbinės </w:t>
      </w:r>
      <w:r w:rsidRPr="005577D3">
        <w:rPr>
          <w:rFonts w:ascii="Times New Roman" w:eastAsia="Times New Roman" w:hAnsi="Times New Roman"/>
          <w:b/>
          <w:bCs/>
          <w:lang w:val="lt-LT"/>
        </w:rPr>
        <w:t xml:space="preserve">medžiagos </w:t>
      </w:r>
      <w:r w:rsidRPr="005577D3">
        <w:rPr>
          <w:rFonts w:ascii="Times New Roman" w:hAnsi="Times New Roman"/>
          <w:b/>
          <w:lang w:val="lt-LT"/>
        </w:rPr>
        <w:t>maltitolio</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 Jums gydytojas sakė, kad netoleruojate kai kurių angliavandenių, prieš vartodami šį vaistą pasitarkite su gydytoju.</w:t>
      </w:r>
    </w:p>
    <w:p w:rsidR="00C57BAB" w:rsidRPr="005577D3"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eastAsia="Times New Roman" w:hAnsi="Times New Roman"/>
          <w:lang w:val="lt-LT"/>
        </w:rPr>
      </w:pPr>
      <w:r w:rsidRPr="005577D3">
        <w:rPr>
          <w:rFonts w:ascii="Times New Roman" w:hAnsi="Times New Roman"/>
          <w:b/>
          <w:lang w:val="lt-LT"/>
        </w:rPr>
        <w:t>Pantul sudėtyje yra iš sojų išgauto lecitino.</w:t>
      </w:r>
      <w:r w:rsidRPr="005577D3">
        <w:rPr>
          <w:rFonts w:ascii="Times New Roman" w:hAnsi="Times New Roman"/>
          <w:lang w:val="lt-LT"/>
        </w:rPr>
        <w:t xml:space="preserve">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 esate alergiškas žemės riešutams arba sojai, šio vaistinio preparato vartoti negalima.</w:t>
      </w:r>
    </w:p>
    <w:p w:rsidR="00C57BAB" w:rsidRPr="005577D3" w:rsidRDefault="00C57BAB" w:rsidP="00C57BAB">
      <w:pPr>
        <w:spacing w:after="0" w:line="240" w:lineRule="auto"/>
        <w:rPr>
          <w:rFonts w:ascii="Times New Roman" w:hAnsi="Times New Roman"/>
          <w:lang w:val="lt-LT"/>
        </w:rPr>
      </w:pPr>
    </w:p>
    <w:p w:rsidR="001C2DEE" w:rsidRPr="001C2DEE" w:rsidRDefault="001C2DEE" w:rsidP="00FB356A">
      <w:pPr>
        <w:pStyle w:val="BTEMEASMCA"/>
      </w:pPr>
      <w:r w:rsidRPr="001C2DEE">
        <w:t>Pantul sudėtyje yra natrio</w:t>
      </w:r>
    </w:p>
    <w:p w:rsidR="001C2DEE" w:rsidRDefault="001C2DEE" w:rsidP="00F51BE9">
      <w:pPr>
        <w:pStyle w:val="BTEMEASMCA"/>
      </w:pPr>
      <w:r w:rsidRPr="00AA6039">
        <w:t xml:space="preserve">Šio </w:t>
      </w:r>
      <w:r>
        <w:t>vaisto tabletėje</w:t>
      </w:r>
      <w:r w:rsidRPr="00AA6039">
        <w:t xml:space="preserve"> yra mažiau kaip 1 mmol (23 mg) natrio, t.y. jis beveik neturi reikšmės.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76" w:name="_Toc129243266"/>
      <w:bookmarkStart w:id="77" w:name="_Toc129243141"/>
      <w:r w:rsidRPr="005577D3">
        <w:rPr>
          <w:rFonts w:ascii="Times New Roman" w:hAnsi="Times New Roman"/>
          <w:b/>
          <w:lang w:val="lt-LT"/>
        </w:rPr>
        <w:t>3.</w:t>
      </w:r>
      <w:r w:rsidRPr="005577D3">
        <w:rPr>
          <w:rFonts w:ascii="Times New Roman" w:hAnsi="Times New Roman"/>
          <w:b/>
          <w:lang w:val="lt-LT"/>
        </w:rPr>
        <w:tab/>
      </w:r>
      <w:r w:rsidRPr="005577D3">
        <w:rPr>
          <w:rFonts w:ascii="Times New Roman" w:eastAsia="Times New Roman" w:hAnsi="Times New Roman"/>
          <w:b/>
          <w:lang w:val="lt-LT"/>
        </w:rPr>
        <w:t xml:space="preserve">Kaip vartoti </w:t>
      </w:r>
      <w:bookmarkEnd w:id="76"/>
      <w:bookmarkEnd w:id="77"/>
      <w:r w:rsidRPr="005577D3">
        <w:rPr>
          <w:rFonts w:ascii="Times New Roman" w:eastAsia="Times New Roman" w:hAnsi="Times New Roman"/>
          <w:b/>
          <w:lang w:val="lt-LT"/>
        </w:rPr>
        <w:t>Pantul</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Visada vartokite šį vaistą tiksliai, kaip nurodė gydytojas. Jeigu abejojate, kreipkitės į gydytoją arba vaistininką.</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 gydytojas nenurodo kitaip, paprastai vartojamos toliau rekomenuojamos dozės.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Suaugę žmonės ir 12 metų bei vyresni paaugliai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Su gastroezofaginio refliukso liga susijusių simptomų (pvz., rėmens, rūgšties atpylimo, skausmo ryjant) gydymas</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Įprastinė paros dozė yra viena tabletė. Vartojant tokią dozę, simptomai paprastai palengvėja per 2- 4 savaites arba ne vėliau kaip per kitas 4 savaites. Kiek laiko vartoti vaisto, pasakys gydytojas. Po to, bet kokį pasikartojantį simptomą galima kontroliuoti pagal poreikį geriant </w:t>
      </w:r>
      <w:r w:rsidRPr="005577D3">
        <w:rPr>
          <w:rFonts w:ascii="Times New Roman" w:hAnsi="Times New Roman"/>
          <w:b/>
          <w:lang w:val="lt-LT"/>
        </w:rPr>
        <w:t>vieną tabletę per parą</w:t>
      </w:r>
      <w:r w:rsidRPr="005577D3">
        <w:rPr>
          <w:rFonts w:ascii="Times New Roman" w:hAnsi="Times New Roman"/>
          <w:lang w:val="lt-LT"/>
        </w:rPr>
        <w:t>.</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Ilgalaikis refliukso sukelto ezofagito gydymas bei jo atsinaujinimo profilaktika</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Įprastinė paros dozė yra viena tabletė. Jei liga atsinaujina, gydytojas dozę gali dvigubinti: tokiu atveju galima vartoti Pantul 40 mg tablečių (vieną tabletę per parą). Po išgijimo dozę galima sumažinti ir vėl vartoti vieną 20 mg tabletę per parą.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Suaugę žmonės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Dvylikapirštės žarnos ir skrandžio opos profilaktika, jei reikia nuolat vartoti NVNU</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Įprastinė paros dozė yra viena tabletė.</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Ypatingos pacientų grupės</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lang w:val="lt-LT"/>
        </w:rPr>
        <w:t>Jei yra sunkių kepenų sutrikimų, negalima vartoti daugiau kaip vieną 20 mg tabletę per parą.</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lang w:val="lt-LT"/>
        </w:rPr>
        <w:t>Kada ir kaip reikia vartoti Pantul</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Tablečių negalima kramtyti arba smulkinti, jas reikia nuryti sveikas, užgeriant vandeniu likus 1 valandai iki valgio.</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Ką daryti pavartojus per didelę Pantul dozę</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Pasakykite gydytojui arba vaistininkui. Perdozavimo simptomai nežinomi.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Pamiršus pavartoti Pantul</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Negalima vartoti dvigubos dozės norint kompensuoti praleistą dozę. Kitą įprastą dozę gerkite įprastu laiku.</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Nustojus vartoti Pantul</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Nenutraukite šių tablečių vartojimo nepasitarę su gydytoju arba vaistininku.</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Jeigu kiltų daugiau klausimų dėl šio vaisto vartojimo, kreipkitės į gydytoją arba vaistininką.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eastAsia="Times New Roman" w:hAnsi="Times New Roman"/>
          <w:b/>
          <w:lang w:val="lt-LT"/>
        </w:rPr>
      </w:pPr>
      <w:bookmarkStart w:id="78" w:name="_Toc129243267"/>
      <w:bookmarkStart w:id="79" w:name="_Toc129243142"/>
      <w:r w:rsidRPr="005577D3">
        <w:rPr>
          <w:rFonts w:ascii="Times New Roman" w:eastAsia="Times New Roman" w:hAnsi="Times New Roman"/>
          <w:b/>
          <w:lang w:val="lt-LT"/>
        </w:rPr>
        <w:t>4.</w:t>
      </w:r>
      <w:r w:rsidRPr="005577D3">
        <w:rPr>
          <w:rFonts w:ascii="Times New Roman" w:eastAsia="Times New Roman" w:hAnsi="Times New Roman"/>
          <w:b/>
          <w:lang w:val="lt-LT"/>
        </w:rPr>
        <w:tab/>
        <w:t>Galimas šalutinis poveikis</w:t>
      </w:r>
      <w:bookmarkEnd w:id="78"/>
      <w:bookmarkEnd w:id="79"/>
    </w:p>
    <w:p w:rsidR="00C57BAB" w:rsidRPr="005577D3"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Šis vaistas, kaip ir visi kiti, gali sukelti šalutinį poveikį, nors jis pasireiškia ne visiems žmonėms.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Nedelsdami nutraukite šių tablečių vartojimą ir pasakykite gydytojui arba kreipkitės į artimiausios ligoninės skubios pagalbos skyrių, jei pasireiškia bet kuris toliau išvardytas šalutinis poveikis.</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bCs/>
          <w:lang w:val="lt-LT"/>
        </w:rPr>
        <w:t xml:space="preserve">Sunkios alerginės reakcijos (jų atsiranda retai): </w:t>
      </w:r>
      <w:r w:rsidRPr="005577D3">
        <w:rPr>
          <w:rFonts w:ascii="Times New Roman" w:hAnsi="Times New Roman"/>
          <w:lang w:val="lt-LT"/>
        </w:rPr>
        <w:t>liežuvio ir (arba) ryklės patinimas, rijimo pasunkėjimas, ruplės (dilgėlinė), kvėpavimo pasunkėjimas, alerginis veido patinimas (angioneurozinė edema), stiprus svaigulys kartu su labai dažnu širdies plakimu ir smarkiu prakaitavimu.</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bCs/>
          <w:lang w:val="lt-LT"/>
        </w:rPr>
        <w:t>Sunkios odos reakcijos (dažnis nežinomas)</w:t>
      </w:r>
      <w:r w:rsidRPr="005577D3">
        <w:rPr>
          <w:rFonts w:ascii="Times New Roman" w:hAnsi="Times New Roman"/>
          <w:lang w:val="lt-LT"/>
        </w:rPr>
        <w:t>: odos pūslių atsiradimas ir greitas bendrosios būklės blogėjimas, akių, nosies, burnos bei lūpų ar lyties organų erozija (įskaitant nestiprų kraujavimą) (Stivenso-Džonsono (</w:t>
      </w:r>
      <w:r w:rsidRPr="005577D3">
        <w:rPr>
          <w:rFonts w:ascii="Times New Roman" w:hAnsi="Times New Roman"/>
          <w:i/>
          <w:lang w:val="lt-LT"/>
        </w:rPr>
        <w:t>Stevens-Johnon</w:t>
      </w:r>
      <w:r w:rsidRPr="005577D3">
        <w:rPr>
          <w:rFonts w:ascii="Times New Roman" w:hAnsi="Times New Roman"/>
          <w:lang w:val="lt-LT"/>
        </w:rPr>
        <w:t>) sindromas, toksinė epidermio nekrolizė [Lajelio (</w:t>
      </w:r>
      <w:r w:rsidRPr="005577D3">
        <w:rPr>
          <w:rFonts w:ascii="Times New Roman" w:hAnsi="Times New Roman"/>
          <w:i/>
          <w:lang w:val="lt-LT"/>
        </w:rPr>
        <w:t>Lyell</w:t>
      </w:r>
      <w:r w:rsidRPr="005577D3">
        <w:rPr>
          <w:rFonts w:ascii="Times New Roman" w:hAnsi="Times New Roman"/>
          <w:lang w:val="lt-LT"/>
        </w:rPr>
        <w:t>) sindromas], daugiaformė raudonė (eritema)), jautrumas šviesai ir bėrimas, galimas sąnarių skausmas.</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bCs/>
          <w:lang w:val="lt-LT"/>
        </w:rPr>
        <w:t>Kitokios sunkios reakcijos (dažnis nežinomas)</w:t>
      </w:r>
      <w:r w:rsidRPr="005577D3">
        <w:rPr>
          <w:rFonts w:ascii="Times New Roman" w:hAnsi="Times New Roman"/>
          <w:lang w:val="lt-LT"/>
        </w:rPr>
        <w:t>: odos ir akių baltymų pageltimas (sunkus kepenų ląstelių pažeidimas, gelta) ar karščiavimas, išbėrimas, inkstų padidėjimas (kartais atsiranda skausmingas šlapinimasis ir apatinės nugaros dalies skausmas) (sunkus inkstų uždegimas).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Kitoks šalutinis poveikis</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Pr>
          <w:rFonts w:ascii="Times New Roman" w:hAnsi="Times New Roman"/>
          <w:b/>
          <w:lang w:val="lt-LT"/>
        </w:rPr>
        <w:t>D</w:t>
      </w:r>
      <w:r w:rsidRPr="005577D3">
        <w:rPr>
          <w:rFonts w:ascii="Times New Roman" w:hAnsi="Times New Roman"/>
          <w:b/>
          <w:lang w:val="lt-LT"/>
        </w:rPr>
        <w:t xml:space="preserve">ažnas </w:t>
      </w:r>
      <w:r w:rsidRPr="005577D3">
        <w:rPr>
          <w:rFonts w:ascii="Times New Roman" w:hAnsi="Times New Roman"/>
          <w:lang w:val="lt-LT"/>
        </w:rPr>
        <w:t>(atsiranda 1-10 žmonių iš 100)</w:t>
      </w:r>
    </w:p>
    <w:p w:rsidR="00C57BAB" w:rsidRDefault="00C57BAB" w:rsidP="00C57BAB">
      <w:pPr>
        <w:shd w:val="clear" w:color="auto" w:fill="FFFFFF"/>
        <w:tabs>
          <w:tab w:val="num" w:pos="360"/>
        </w:tabs>
        <w:spacing w:after="0" w:line="240" w:lineRule="auto"/>
        <w:rPr>
          <w:rFonts w:ascii="Times New Roman" w:hAnsi="Times New Roman"/>
          <w:bCs/>
          <w:lang w:val="lt-LT"/>
        </w:rPr>
      </w:pPr>
      <w:r>
        <w:rPr>
          <w:rFonts w:ascii="Times New Roman" w:hAnsi="Times New Roman"/>
          <w:bCs/>
          <w:lang w:val="lt-LT"/>
        </w:rPr>
        <w:t>Ge</w:t>
      </w:r>
      <w:r w:rsidRPr="001028E2">
        <w:rPr>
          <w:rFonts w:ascii="Times New Roman" w:hAnsi="Times New Roman"/>
          <w:bCs/>
          <w:lang w:val="lt-LT"/>
        </w:rPr>
        <w:t xml:space="preserve">rybiniai </w:t>
      </w:r>
      <w:r>
        <w:rPr>
          <w:rFonts w:ascii="Times New Roman" w:hAnsi="Times New Roman"/>
          <w:bCs/>
          <w:lang w:val="lt-LT"/>
        </w:rPr>
        <w:t>skrandžio polypai.</w:t>
      </w:r>
    </w:p>
    <w:p w:rsidR="00C57BAB" w:rsidRPr="001028E2" w:rsidRDefault="00C57BAB" w:rsidP="00C57BAB">
      <w:pPr>
        <w:shd w:val="clear" w:color="auto" w:fill="FFFFFF"/>
        <w:tabs>
          <w:tab w:val="num" w:pos="360"/>
        </w:tabs>
        <w:spacing w:after="0" w:line="240" w:lineRule="auto"/>
        <w:rPr>
          <w:rFonts w:ascii="Times New Roman" w:hAnsi="Times New Roman"/>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Nedažnas </w:t>
      </w:r>
      <w:r w:rsidRPr="005577D3">
        <w:rPr>
          <w:rFonts w:ascii="Times New Roman" w:hAnsi="Times New Roman"/>
          <w:lang w:val="lt-LT"/>
        </w:rPr>
        <w:t>(atsiranda 1-10 žmonių iš 1000)</w:t>
      </w:r>
    </w:p>
    <w:p w:rsidR="00C57BAB" w:rsidRPr="005577D3" w:rsidRDefault="00C57BAB" w:rsidP="00C57BAB">
      <w:pPr>
        <w:shd w:val="clear" w:color="auto" w:fill="FFFFFF"/>
        <w:spacing w:after="0" w:line="240" w:lineRule="auto"/>
        <w:rPr>
          <w:rFonts w:ascii="Times New Roman" w:hAnsi="Times New Roman"/>
          <w:lang w:val="lt-LT"/>
        </w:rPr>
      </w:pPr>
      <w:r w:rsidRPr="005577D3">
        <w:rPr>
          <w:rFonts w:ascii="Times New Roman" w:hAnsi="Times New Roman"/>
          <w:lang w:val="lt-LT"/>
        </w:rPr>
        <w:t>Galvos skausmas, svaigulys, viduriavimas, pykinimas, vėmimas, pilvo pūtimas ir dujų kaupimasis, vidurių užkietėjimas, burnos džiūvimas, pilvo skausmas ir diskomfortas, odos išbėrimas, egzantema, dėmės (erupcija), niežulys, silpnumas, išsekimas ar bloga bendroji savijauta, miego sutrikimas, šlaunikaulio, riešo arba stuburo lūžiai.</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Retas </w:t>
      </w:r>
      <w:r w:rsidRPr="005577D3">
        <w:rPr>
          <w:rFonts w:ascii="Times New Roman" w:hAnsi="Times New Roman"/>
          <w:lang w:val="lt-LT"/>
        </w:rPr>
        <w:t>(atsiranda 1-10 žmonių iš 10000)</w:t>
      </w:r>
    </w:p>
    <w:p w:rsidR="00C57BAB" w:rsidRPr="005577D3" w:rsidRDefault="00C57BAB" w:rsidP="00C57BAB">
      <w:pPr>
        <w:shd w:val="clear" w:color="auto" w:fill="FFFFFF"/>
        <w:spacing w:after="0" w:line="240" w:lineRule="auto"/>
        <w:rPr>
          <w:rFonts w:ascii="Times New Roman" w:hAnsi="Times New Roman"/>
          <w:lang w:val="lt-LT"/>
        </w:rPr>
      </w:pPr>
      <w:r w:rsidRPr="005577D3">
        <w:rPr>
          <w:rFonts w:ascii="Times New Roman" w:hAnsi="Times New Roman"/>
          <w:lang w:val="lt-LT"/>
        </w:rPr>
        <w:t>Regos sutrikimas, pvz., neryškus matomas vaizdas, dilgėlinė, sąnarių skausmas, raumenų skausmas, kūno svorio pokytis, kūno temperatūros padidėjimas, galūnių patinimas (periferinė edema), alerginė reakcija, depresija, krūtų padidėjimas vyrams.</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Labai retas </w:t>
      </w:r>
      <w:r w:rsidRPr="005577D3">
        <w:rPr>
          <w:rFonts w:ascii="Times New Roman" w:hAnsi="Times New Roman"/>
          <w:lang w:val="lt-LT"/>
        </w:rPr>
        <w:t>(atsiranda mažiau kaip 1 žmogui iš 10000)</w:t>
      </w:r>
    </w:p>
    <w:p w:rsidR="00C57BAB" w:rsidRPr="005577D3" w:rsidRDefault="00C57BAB" w:rsidP="00C57BAB">
      <w:pPr>
        <w:shd w:val="clear" w:color="auto" w:fill="FFFFFF"/>
        <w:spacing w:after="0" w:line="240" w:lineRule="auto"/>
        <w:rPr>
          <w:rFonts w:ascii="Times New Roman" w:hAnsi="Times New Roman"/>
          <w:lang w:val="lt-LT"/>
        </w:rPr>
      </w:pPr>
      <w:r w:rsidRPr="005577D3">
        <w:rPr>
          <w:rFonts w:ascii="Times New Roman" w:hAnsi="Times New Roman"/>
          <w:lang w:val="lt-LT"/>
        </w:rPr>
        <w:t>Dezorientacija.</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Dažnis nežinomas </w:t>
      </w:r>
      <w:r w:rsidRPr="005577D3">
        <w:rPr>
          <w:rFonts w:ascii="Times New Roman" w:hAnsi="Times New Roman"/>
          <w:lang w:val="lt-LT"/>
        </w:rPr>
        <w:t xml:space="preserve">(negali būti </w:t>
      </w:r>
      <w:r w:rsidR="00FB356A">
        <w:rPr>
          <w:rFonts w:ascii="Times New Roman" w:hAnsi="Times New Roman"/>
          <w:lang w:val="lt-LT"/>
        </w:rPr>
        <w:t>apskaičiuo</w:t>
      </w:r>
      <w:r w:rsidR="00FB356A" w:rsidRPr="005577D3">
        <w:rPr>
          <w:rFonts w:ascii="Times New Roman" w:hAnsi="Times New Roman"/>
          <w:lang w:val="lt-LT"/>
        </w:rPr>
        <w:t xml:space="preserve">tas </w:t>
      </w:r>
      <w:r w:rsidRPr="005577D3">
        <w:rPr>
          <w:rFonts w:ascii="Times New Roman" w:hAnsi="Times New Roman"/>
          <w:lang w:val="lt-LT"/>
        </w:rPr>
        <w:t>pagal turimus duomenis)</w:t>
      </w:r>
    </w:p>
    <w:p w:rsidR="00C57BAB" w:rsidRPr="005577D3" w:rsidRDefault="00C57BAB" w:rsidP="00C57BAB">
      <w:pPr>
        <w:shd w:val="clear" w:color="auto" w:fill="FFFFFF"/>
        <w:spacing w:after="0" w:line="240" w:lineRule="auto"/>
        <w:rPr>
          <w:rFonts w:ascii="Times New Roman" w:hAnsi="Times New Roman"/>
          <w:lang w:val="lt-LT"/>
        </w:rPr>
      </w:pPr>
      <w:r w:rsidRPr="005577D3">
        <w:rPr>
          <w:rFonts w:ascii="Times New Roman" w:hAnsi="Times New Roman"/>
          <w:lang w:val="lt-LT"/>
        </w:rPr>
        <w:t xml:space="preserve">Haliucinacijos, sumišimas (ypač jei šių simptomų jau buvo), </w:t>
      </w:r>
      <w:proofErr w:type="spellStart"/>
      <w:r w:rsidRPr="005577D3">
        <w:rPr>
          <w:rFonts w:ascii="Times New Roman" w:hAnsi="Times New Roman"/>
          <w:lang w:val="lt-LT"/>
        </w:rPr>
        <w:t>parestezija</w:t>
      </w:r>
      <w:proofErr w:type="spellEnd"/>
      <w:r w:rsidR="005A0281">
        <w:rPr>
          <w:rFonts w:ascii="Times New Roman" w:hAnsi="Times New Roman"/>
          <w:lang w:val="lt-LT"/>
        </w:rPr>
        <w:t xml:space="preserve"> </w:t>
      </w:r>
      <w:r w:rsidR="005A0281" w:rsidRPr="00F51BE9">
        <w:rPr>
          <w:rFonts w:ascii="Times New Roman" w:hAnsi="Times New Roman"/>
          <w:lang w:val="lt-LT"/>
        </w:rPr>
        <w:t>(</w:t>
      </w:r>
      <w:r w:rsidR="005A0281" w:rsidRPr="00492A4B">
        <w:rPr>
          <w:rFonts w:ascii="Times New Roman" w:hAnsi="Times New Roman"/>
          <w:lang w:val="lt-LT"/>
        </w:rPr>
        <w:t>dilgčiojimo, diegimo, smeigtukų ir adatų durstymo pojūtis, deginimo pojūtis ar tirpimas)</w:t>
      </w:r>
      <w:r w:rsidRPr="005577D3">
        <w:rPr>
          <w:rFonts w:ascii="Times New Roman" w:hAnsi="Times New Roman"/>
          <w:lang w:val="lt-LT"/>
        </w:rPr>
        <w:t xml:space="preserve">, </w:t>
      </w:r>
      <w:proofErr w:type="spellStart"/>
      <w:r w:rsidR="00F11111" w:rsidRPr="00BB3AB9">
        <w:rPr>
          <w:rFonts w:ascii="Times New Roman" w:hAnsi="Times New Roman"/>
          <w:u w:val="single"/>
        </w:rPr>
        <w:t>storosios</w:t>
      </w:r>
      <w:proofErr w:type="spellEnd"/>
      <w:r w:rsidR="00F11111" w:rsidRPr="00BB3AB9">
        <w:rPr>
          <w:rFonts w:ascii="Times New Roman" w:hAnsi="Times New Roman"/>
          <w:u w:val="single"/>
        </w:rPr>
        <w:t xml:space="preserve"> </w:t>
      </w:r>
      <w:proofErr w:type="spellStart"/>
      <w:r w:rsidR="00F11111" w:rsidRPr="00BB3AB9">
        <w:rPr>
          <w:rFonts w:ascii="Times New Roman" w:hAnsi="Times New Roman"/>
          <w:u w:val="single"/>
        </w:rPr>
        <w:t>žarnos</w:t>
      </w:r>
      <w:proofErr w:type="spellEnd"/>
      <w:r w:rsidR="00F11111" w:rsidRPr="00BB3AB9">
        <w:rPr>
          <w:rFonts w:ascii="Times New Roman" w:hAnsi="Times New Roman"/>
          <w:u w:val="single"/>
        </w:rPr>
        <w:t xml:space="preserve"> </w:t>
      </w:r>
      <w:proofErr w:type="spellStart"/>
      <w:r w:rsidR="00F11111" w:rsidRPr="00BB3AB9">
        <w:rPr>
          <w:rFonts w:ascii="Times New Roman" w:hAnsi="Times New Roman"/>
          <w:u w:val="single"/>
        </w:rPr>
        <w:t>uždegimas</w:t>
      </w:r>
      <w:proofErr w:type="spellEnd"/>
      <w:r w:rsidR="00F11111" w:rsidRPr="00BB3AB9">
        <w:rPr>
          <w:rFonts w:ascii="Times New Roman" w:hAnsi="Times New Roman"/>
          <w:u w:val="single"/>
        </w:rPr>
        <w:t xml:space="preserve">, </w:t>
      </w:r>
      <w:proofErr w:type="spellStart"/>
      <w:r w:rsidR="00F11111" w:rsidRPr="00BB3AB9">
        <w:rPr>
          <w:rFonts w:ascii="Times New Roman" w:hAnsi="Times New Roman"/>
          <w:u w:val="single"/>
        </w:rPr>
        <w:lastRenderedPageBreak/>
        <w:t>sukeliantis</w:t>
      </w:r>
      <w:proofErr w:type="spellEnd"/>
      <w:r w:rsidR="00F11111" w:rsidRPr="00BB3AB9">
        <w:rPr>
          <w:rFonts w:ascii="Times New Roman" w:hAnsi="Times New Roman"/>
          <w:u w:val="single"/>
        </w:rPr>
        <w:t xml:space="preserve"> </w:t>
      </w:r>
      <w:proofErr w:type="spellStart"/>
      <w:r w:rsidR="00F11111" w:rsidRPr="00BB3AB9">
        <w:rPr>
          <w:rFonts w:ascii="Times New Roman" w:hAnsi="Times New Roman"/>
          <w:u w:val="single"/>
        </w:rPr>
        <w:t>nuolatinį</w:t>
      </w:r>
      <w:proofErr w:type="spellEnd"/>
      <w:r w:rsidR="00F11111" w:rsidRPr="00BB3AB9">
        <w:rPr>
          <w:rFonts w:ascii="Times New Roman" w:hAnsi="Times New Roman"/>
          <w:u w:val="single"/>
        </w:rPr>
        <w:t xml:space="preserve"> </w:t>
      </w:r>
      <w:proofErr w:type="spellStart"/>
      <w:r w:rsidR="00F11111" w:rsidRPr="00BB3AB9">
        <w:rPr>
          <w:rFonts w:ascii="Times New Roman" w:hAnsi="Times New Roman"/>
          <w:u w:val="single"/>
        </w:rPr>
        <w:t>vandeningą</w:t>
      </w:r>
      <w:proofErr w:type="spellEnd"/>
      <w:r w:rsidR="00F11111" w:rsidRPr="00BB3AB9">
        <w:rPr>
          <w:rFonts w:ascii="Times New Roman" w:hAnsi="Times New Roman"/>
          <w:u w:val="single"/>
        </w:rPr>
        <w:t xml:space="preserve"> </w:t>
      </w:r>
      <w:proofErr w:type="spellStart"/>
      <w:r w:rsidR="00F11111" w:rsidRPr="00BB3AB9">
        <w:rPr>
          <w:rFonts w:ascii="Times New Roman" w:hAnsi="Times New Roman"/>
          <w:u w:val="single"/>
        </w:rPr>
        <w:t>viduriavimą</w:t>
      </w:r>
      <w:proofErr w:type="spellEnd"/>
      <w:r w:rsidR="00F11111" w:rsidRPr="00BB3AB9">
        <w:rPr>
          <w:rFonts w:ascii="Times New Roman" w:hAnsi="Times New Roman"/>
          <w:u w:val="single"/>
        </w:rPr>
        <w:t>,</w:t>
      </w:r>
      <w:r w:rsidR="00F11111">
        <w:rPr>
          <w:rFonts w:ascii="Times New Roman" w:hAnsi="Times New Roman"/>
          <w:u w:val="single"/>
        </w:rPr>
        <w:t xml:space="preserve"> </w:t>
      </w:r>
      <w:r w:rsidRPr="005577D3">
        <w:rPr>
          <w:rFonts w:ascii="Times New Roman" w:hAnsi="Times New Roman"/>
          <w:lang w:val="lt-LT"/>
        </w:rPr>
        <w:t xml:space="preserve">raumenų spazmai dėl sutrikusios elektrolitų pusiausvyros.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i/>
          <w:lang w:val="lt-LT"/>
        </w:rPr>
      </w:pPr>
      <w:r w:rsidRPr="005577D3">
        <w:rPr>
          <w:rFonts w:ascii="Times New Roman" w:hAnsi="Times New Roman"/>
          <w:i/>
          <w:lang w:val="lt-LT"/>
        </w:rPr>
        <w:t>Šalutinis poveikis, nustatomas kraujo tyrimais</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Nedažnas </w:t>
      </w:r>
      <w:r w:rsidRPr="005577D3">
        <w:rPr>
          <w:rFonts w:ascii="Times New Roman" w:hAnsi="Times New Roman"/>
          <w:lang w:val="lt-LT"/>
        </w:rPr>
        <w:t>(atsiranda 1-10 žmonių iš 1000)</w:t>
      </w:r>
    </w:p>
    <w:p w:rsidR="00C57BAB" w:rsidRPr="005577D3" w:rsidRDefault="00C57BAB" w:rsidP="00C57BAB">
      <w:pPr>
        <w:shd w:val="clear" w:color="auto" w:fill="FFFFFF"/>
        <w:spacing w:after="0" w:line="240" w:lineRule="auto"/>
        <w:rPr>
          <w:rFonts w:ascii="Times New Roman" w:hAnsi="Times New Roman"/>
          <w:lang w:val="lt-LT"/>
        </w:rPr>
      </w:pPr>
      <w:r w:rsidRPr="005577D3">
        <w:rPr>
          <w:rFonts w:ascii="Times New Roman" w:hAnsi="Times New Roman"/>
          <w:lang w:val="lt-LT"/>
        </w:rPr>
        <w:t>Kepenų fermentų aktyvumo padidėjimas.</w:t>
      </w:r>
    </w:p>
    <w:p w:rsidR="00C57BAB" w:rsidRPr="005577D3" w:rsidRDefault="00C57BAB" w:rsidP="00C57BAB">
      <w:pPr>
        <w:shd w:val="clear" w:color="auto" w:fill="FFFFFF"/>
        <w:tabs>
          <w:tab w:val="num" w:pos="360"/>
        </w:tabs>
        <w:spacing w:after="0" w:line="240" w:lineRule="auto"/>
        <w:rPr>
          <w:rFonts w:ascii="Times New Roman" w:hAnsi="Times New Roman"/>
          <w:b/>
          <w:bCs/>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Retas </w:t>
      </w:r>
      <w:r w:rsidRPr="005577D3">
        <w:rPr>
          <w:rFonts w:ascii="Times New Roman" w:hAnsi="Times New Roman"/>
          <w:lang w:val="lt-LT"/>
        </w:rPr>
        <w:t>(atsiranda 1-10 žmonių iš 10000)</w:t>
      </w:r>
    </w:p>
    <w:p w:rsidR="00C57BAB" w:rsidRPr="005577D3" w:rsidRDefault="00C57BAB" w:rsidP="00C57BAB">
      <w:pPr>
        <w:shd w:val="clear" w:color="auto" w:fill="FFFFFF"/>
        <w:spacing w:after="0" w:line="240" w:lineRule="auto"/>
        <w:rPr>
          <w:rFonts w:ascii="Times New Roman" w:hAnsi="Times New Roman"/>
          <w:strike/>
          <w:lang w:val="lt-LT"/>
        </w:rPr>
      </w:pPr>
      <w:r w:rsidRPr="005577D3">
        <w:rPr>
          <w:rFonts w:ascii="Times New Roman" w:hAnsi="Times New Roman"/>
          <w:lang w:val="lt-LT"/>
        </w:rPr>
        <w:t>Bilirubino ir riebalų kiekio padidėjimas kraujyje, žymus baltųjų kraujo ląstelių kiekio sumažėjimas kraujotakoje, susijęs su stipriu karščiavimu.</w:t>
      </w:r>
    </w:p>
    <w:p w:rsidR="00C57BAB" w:rsidRPr="005577D3" w:rsidRDefault="00C57BAB" w:rsidP="00C57BAB">
      <w:pPr>
        <w:shd w:val="clear" w:color="auto" w:fill="FFFFFF"/>
        <w:spacing w:after="0" w:line="240" w:lineRule="auto"/>
        <w:rPr>
          <w:rFonts w:ascii="Times New Roman" w:hAnsi="Times New Roman"/>
          <w:lang w:val="lt-LT"/>
        </w:rPr>
      </w:pPr>
    </w:p>
    <w:p w:rsidR="00C57BAB" w:rsidRPr="005577D3" w:rsidRDefault="00C57BAB" w:rsidP="00C57BAB">
      <w:pPr>
        <w:shd w:val="clear" w:color="auto" w:fill="FFFFFF"/>
        <w:tabs>
          <w:tab w:val="num" w:pos="360"/>
        </w:tabs>
        <w:spacing w:after="0" w:line="240" w:lineRule="auto"/>
        <w:rPr>
          <w:rFonts w:ascii="Times New Roman" w:hAnsi="Times New Roman"/>
          <w:lang w:val="lt-LT"/>
        </w:rPr>
      </w:pPr>
      <w:r w:rsidRPr="005577D3">
        <w:rPr>
          <w:rFonts w:ascii="Times New Roman" w:hAnsi="Times New Roman"/>
          <w:b/>
          <w:lang w:val="lt-LT"/>
        </w:rPr>
        <w:t xml:space="preserve">Labai retas </w:t>
      </w:r>
      <w:r w:rsidRPr="005577D3">
        <w:rPr>
          <w:rFonts w:ascii="Times New Roman" w:hAnsi="Times New Roman"/>
          <w:lang w:val="lt-LT"/>
        </w:rPr>
        <w:t>(atsiranda mažiau kaip 1 žmogui iš 10000)</w:t>
      </w:r>
    </w:p>
    <w:p w:rsidR="00C57BAB" w:rsidRPr="005577D3" w:rsidRDefault="00C57BAB" w:rsidP="00C57BAB">
      <w:pPr>
        <w:shd w:val="clear" w:color="auto" w:fill="FFFFFF"/>
        <w:spacing w:after="0" w:line="240" w:lineRule="auto"/>
        <w:rPr>
          <w:rFonts w:ascii="Times New Roman" w:hAnsi="Times New Roman"/>
          <w:lang w:val="lt-LT"/>
        </w:rPr>
      </w:pPr>
      <w:r w:rsidRPr="005577D3">
        <w:rPr>
          <w:rFonts w:ascii="Times New Roman" w:hAnsi="Times New Roman"/>
          <w:lang w:val="lt-LT"/>
        </w:rPr>
        <w:t>Trombocitų kiekio sumažėjimas (dėl to gali lengviau nei įprasta prasidėti kraujavimas ar atsirasti mėlynių), baltųjų kraujo ląstelių kiekio sumažėjimas, dėl kurio gali dažniau pasireikšti infekcija;  gali sumažėti kartu eritrocitų, baltųjų kraujo ląstelių ir trombocitų kiekis.</w:t>
      </w:r>
    </w:p>
    <w:p w:rsidR="00C57BAB" w:rsidRPr="005577D3" w:rsidRDefault="00C57BAB" w:rsidP="00C57BAB">
      <w:pPr>
        <w:tabs>
          <w:tab w:val="left" w:pos="540"/>
        </w:tabs>
        <w:spacing w:after="0" w:line="240" w:lineRule="auto"/>
        <w:ind w:left="720" w:hanging="360"/>
        <w:rPr>
          <w:rFonts w:ascii="Times New Roman" w:eastAsia="Times New Roman" w:hAnsi="Times New Roman"/>
          <w:b/>
          <w:bCs/>
          <w:lang w:val="lt-LT"/>
        </w:rPr>
      </w:pPr>
    </w:p>
    <w:p w:rsidR="00C57BAB" w:rsidRPr="005577D3" w:rsidRDefault="00C57BAB" w:rsidP="00C57BAB">
      <w:pPr>
        <w:tabs>
          <w:tab w:val="left" w:pos="540"/>
        </w:tabs>
        <w:spacing w:after="0" w:line="240" w:lineRule="auto"/>
        <w:rPr>
          <w:rFonts w:ascii="Times New Roman" w:hAnsi="Times New Roman"/>
          <w:lang w:val="lt-LT"/>
        </w:rPr>
      </w:pPr>
      <w:r w:rsidRPr="005577D3">
        <w:rPr>
          <w:rFonts w:ascii="Times New Roman" w:hAnsi="Times New Roman"/>
          <w:b/>
          <w:lang w:val="lt-LT"/>
        </w:rPr>
        <w:t xml:space="preserve">Dažnis nežinomas </w:t>
      </w:r>
      <w:r w:rsidRPr="005577D3">
        <w:rPr>
          <w:rFonts w:ascii="Times New Roman" w:hAnsi="Times New Roman"/>
          <w:lang w:val="lt-LT"/>
        </w:rPr>
        <w:t xml:space="preserve">(negali būti </w:t>
      </w:r>
      <w:r w:rsidR="00FB356A">
        <w:rPr>
          <w:rFonts w:ascii="Times New Roman" w:hAnsi="Times New Roman"/>
          <w:lang w:val="lt-LT"/>
        </w:rPr>
        <w:t>apskaičiuot</w:t>
      </w:r>
      <w:r w:rsidR="00FB356A" w:rsidRPr="005577D3">
        <w:rPr>
          <w:rFonts w:ascii="Times New Roman" w:hAnsi="Times New Roman"/>
          <w:lang w:val="lt-LT"/>
        </w:rPr>
        <w:t xml:space="preserve">as </w:t>
      </w:r>
      <w:r w:rsidRPr="005577D3">
        <w:rPr>
          <w:rFonts w:ascii="Times New Roman" w:hAnsi="Times New Roman"/>
          <w:lang w:val="lt-LT"/>
        </w:rPr>
        <w:t>pagal turimus duomenis)</w:t>
      </w:r>
    </w:p>
    <w:p w:rsidR="00C57BAB" w:rsidRPr="005577D3" w:rsidRDefault="00C57BAB" w:rsidP="00C57BAB">
      <w:pPr>
        <w:spacing w:after="0" w:line="240" w:lineRule="auto"/>
        <w:rPr>
          <w:rFonts w:ascii="Times New Roman" w:eastAsia="Times New Roman" w:hAnsi="Times New Roman"/>
          <w:lang w:val="lt-LT"/>
        </w:rPr>
      </w:pPr>
      <w:r w:rsidRPr="005577D3">
        <w:rPr>
          <w:rFonts w:ascii="Times New Roman" w:eastAsia="Times New Roman" w:hAnsi="Times New Roman"/>
          <w:lang w:val="lt-LT"/>
        </w:rPr>
        <w:t>Sumažėjęs natrio kiekis kraujyje.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Jeigu Jūs vartojate Pantul ilgiau kaip 3 mėnesius, gali sumažėti magnio koncentracija kraujyje. Magnio koncentracijos sumažėjimas gali pasireikšti nuovargiu, nevalingais raumenų susitraukimais, sutrikusia orientacija, traukuliais, galvos svaigimu, padažnėjusiu širdies plakimu. Atsiradus šių simptomų, nedelsiant pasakykite apie tai gydytojui. Maža magnio koncentracija kraujyje gali taip pat sumažinti kalcio koncentraciją. Gydytojas gali nuspręsti ir nurodyti Jums reguliariai atlikti magnio koncentracijos kraujyje tyrimus.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spacing w:after="0" w:line="240" w:lineRule="auto"/>
        <w:rPr>
          <w:rFonts w:ascii="Times New Roman" w:eastAsia="Times New Roman" w:hAnsi="Times New Roman"/>
          <w:b/>
          <w:snapToGrid w:val="0"/>
          <w:lang w:val="lt-LT"/>
        </w:rPr>
      </w:pPr>
      <w:r w:rsidRPr="005577D3">
        <w:rPr>
          <w:rFonts w:ascii="Times New Roman" w:eastAsia="Times New Roman" w:hAnsi="Times New Roman"/>
          <w:b/>
          <w:noProof/>
          <w:snapToGrid w:val="0"/>
          <w:lang w:val="lt-LT"/>
        </w:rPr>
        <w:t>Pranešimas apie šalutinį poveikį</w:t>
      </w:r>
    </w:p>
    <w:p w:rsidR="00C57BAB" w:rsidRPr="00F51BE9" w:rsidRDefault="00C57BAB" w:rsidP="00C57BAB">
      <w:pPr>
        <w:tabs>
          <w:tab w:val="left" w:pos="567"/>
        </w:tabs>
        <w:spacing w:after="0" w:line="240" w:lineRule="auto"/>
        <w:ind w:right="-449"/>
        <w:rPr>
          <w:rFonts w:ascii="Times New Roman" w:eastAsia="Times New Roman" w:hAnsi="Times New Roman"/>
          <w:noProof/>
          <w:snapToGrid w:val="0"/>
          <w:lang w:val="lt-LT"/>
        </w:rPr>
      </w:pPr>
      <w:r w:rsidRPr="005577D3">
        <w:rPr>
          <w:rFonts w:ascii="Times New Roman" w:eastAsia="Times New Roman" w:hAnsi="Times New Roman"/>
          <w:noProof/>
          <w:snapToGrid w:val="0"/>
          <w:szCs w:val="24"/>
          <w:lang w:val="lt-LT"/>
        </w:rPr>
        <w:t xml:space="preserve">Jeigu pasireiškė šalutinis poveikis, įskaitant šiame lapelyje nenurodytą, pasakykite gydytojui arba </w:t>
      </w:r>
      <w:r w:rsidRPr="00F51BE9">
        <w:rPr>
          <w:rFonts w:ascii="Times New Roman" w:eastAsia="Times New Roman" w:hAnsi="Times New Roman"/>
          <w:noProof/>
          <w:snapToGrid w:val="0"/>
          <w:szCs w:val="24"/>
          <w:lang w:val="lt-LT"/>
        </w:rPr>
        <w:t>vaistininkui</w:t>
      </w:r>
      <w:r w:rsidRPr="00F51BE9">
        <w:rPr>
          <w:rFonts w:ascii="Times New Roman" w:eastAsia="Times New Roman" w:hAnsi="Times New Roman"/>
          <w:snapToGrid w:val="0"/>
          <w:lang w:val="lt-LT"/>
        </w:rPr>
        <w:t>.</w:t>
      </w:r>
      <w:r w:rsidRPr="00F51BE9">
        <w:rPr>
          <w:rFonts w:ascii="Times New Roman" w:eastAsia="Times New Roman" w:hAnsi="Times New Roman"/>
          <w:noProof/>
          <w:snapToGrid w:val="0"/>
          <w:szCs w:val="24"/>
          <w:lang w:val="lt-LT"/>
        </w:rPr>
        <w:t xml:space="preserve"> </w:t>
      </w:r>
      <w:r w:rsidRPr="00492A4B">
        <w:rPr>
          <w:rStyle w:val="BTEMEASMCAChar"/>
          <w:rFonts w:eastAsia="Calibri"/>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8" w:history="1">
        <w:r w:rsidRPr="00492A4B">
          <w:rPr>
            <w:rStyle w:val="BTEMEASMCAChar"/>
            <w:rFonts w:eastAsia="SimSun"/>
            <w:lang w:val="lt-LT"/>
          </w:rPr>
          <w:t>www.vvkt.lt</w:t>
        </w:r>
      </w:hyperlink>
      <w:r w:rsidRPr="00492A4B">
        <w:rPr>
          <w:rStyle w:val="BTEMEASMCAChar"/>
          <w:rFonts w:eastAsia="Calibri"/>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492A4B">
          <w:rPr>
            <w:rStyle w:val="BTEMEASMCAChar"/>
            <w:rFonts w:eastAsia="SimSun"/>
            <w:lang w:val="lt-LT"/>
          </w:rPr>
          <w:t>NepageidaujamaR@vvkt.lt</w:t>
        </w:r>
      </w:hyperlink>
      <w:r w:rsidRPr="00492A4B">
        <w:rPr>
          <w:rStyle w:val="BTEMEASMCAChar"/>
          <w:rFonts w:eastAsia="Calibri"/>
          <w:lang w:val="lt-LT"/>
        </w:rPr>
        <w:t xml:space="preserve">, taip pat per Valstybinės vaistų kontrolės tarnybos prie Lietuvos Respublikos sveikatos apsaugos ministerijos interneto svetainę (adresu </w:t>
      </w:r>
      <w:hyperlink r:id="rId10" w:history="1">
        <w:r w:rsidRPr="00492A4B">
          <w:rPr>
            <w:rStyle w:val="BTEMEASMCAChar"/>
            <w:rFonts w:eastAsia="SimSun"/>
            <w:lang w:val="lt-LT"/>
          </w:rPr>
          <w:t>http://www.vvkt.lt</w:t>
        </w:r>
      </w:hyperlink>
      <w:r w:rsidRPr="00492A4B">
        <w:rPr>
          <w:rStyle w:val="BTEMEASMCAChar"/>
          <w:rFonts w:eastAsia="Calibri"/>
          <w:lang w:val="lt-LT"/>
        </w:rPr>
        <w:t>). Pranešdami apie šalutinį poveikį galite mums padėti gauti daugiau informacijos apie šio vaisto saugumą.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hAnsi="Times New Roman"/>
          <w:b/>
          <w:lang w:val="lt-LT"/>
        </w:rPr>
      </w:pPr>
      <w:bookmarkStart w:id="80" w:name="_Toc129243268"/>
      <w:bookmarkStart w:id="81" w:name="_Toc129243143"/>
      <w:r w:rsidRPr="005577D3">
        <w:rPr>
          <w:rFonts w:ascii="Times New Roman" w:hAnsi="Times New Roman"/>
          <w:b/>
          <w:lang w:val="lt-LT"/>
        </w:rPr>
        <w:t>5.</w:t>
      </w:r>
      <w:r w:rsidRPr="005577D3">
        <w:rPr>
          <w:rFonts w:ascii="Times New Roman" w:hAnsi="Times New Roman"/>
          <w:b/>
          <w:lang w:val="lt-LT"/>
        </w:rPr>
        <w:tab/>
      </w:r>
      <w:r w:rsidRPr="005577D3">
        <w:rPr>
          <w:rFonts w:ascii="Times New Roman" w:eastAsia="Times New Roman" w:hAnsi="Times New Roman"/>
          <w:b/>
          <w:lang w:val="lt-LT"/>
        </w:rPr>
        <w:t xml:space="preserve">Kaip laikyti </w:t>
      </w:r>
      <w:bookmarkEnd w:id="80"/>
      <w:bookmarkEnd w:id="81"/>
      <w:r w:rsidRPr="005577D3">
        <w:rPr>
          <w:rFonts w:ascii="Times New Roman" w:eastAsia="Times New Roman" w:hAnsi="Times New Roman"/>
          <w:b/>
          <w:lang w:val="lt-LT"/>
        </w:rPr>
        <w:t>Pantul</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Šį vaistą laikykite vaikams </w:t>
      </w:r>
      <w:r w:rsidRPr="005577D3">
        <w:rPr>
          <w:rFonts w:ascii="Times New Roman" w:eastAsia="Times New Roman" w:hAnsi="Times New Roman"/>
          <w:lang w:val="lt-LT"/>
        </w:rPr>
        <w:t xml:space="preserve">nepastebimoje ir </w:t>
      </w:r>
      <w:r w:rsidRPr="005577D3">
        <w:rPr>
          <w:rFonts w:ascii="Times New Roman" w:hAnsi="Times New Roman"/>
          <w:lang w:val="lt-LT"/>
        </w:rPr>
        <w:t>nepasiekiamoje vietoje.</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Šiam vaistiniam preparatui specialių laikymo sąlygų nereikia.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Ant dėžutės ir lizdinės plokštelės po „</w:t>
      </w:r>
      <w:r w:rsidR="00A71AD0">
        <w:rPr>
          <w:rFonts w:ascii="Times New Roman" w:hAnsi="Times New Roman"/>
          <w:lang w:val="lt-LT"/>
        </w:rPr>
        <w:t>EXP</w:t>
      </w:r>
      <w:r w:rsidRPr="005577D3">
        <w:rPr>
          <w:rFonts w:ascii="Times New Roman" w:hAnsi="Times New Roman"/>
          <w:lang w:val="lt-LT"/>
        </w:rPr>
        <w:t xml:space="preserve">“ nurodytam tinkamumo laikui pasibaigus, </w:t>
      </w:r>
      <w:r w:rsidRPr="005577D3">
        <w:rPr>
          <w:rFonts w:ascii="Times New Roman" w:eastAsia="Times New Roman" w:hAnsi="Times New Roman"/>
          <w:lang w:val="lt-LT"/>
        </w:rPr>
        <w:t>šio vaisto</w:t>
      </w:r>
      <w:r w:rsidRPr="005577D3">
        <w:rPr>
          <w:rFonts w:ascii="Times New Roman" w:hAnsi="Times New Roman"/>
          <w:lang w:val="lt-LT"/>
        </w:rPr>
        <w:t xml:space="preserve"> vartoti negalima. Vaistas tinkamas vartoti iki paskutinės nurodyto mėnesio dienos.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Plastikinio buteliuko pakuotė: buteliuką pirmą kartą atidarius, Pantul tinkamumo laikas - 3 mėnesiai.</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Vaistų negalima </w:t>
      </w:r>
      <w:r w:rsidRPr="005577D3">
        <w:rPr>
          <w:rFonts w:ascii="Times New Roman" w:eastAsia="Times New Roman" w:hAnsi="Times New Roman"/>
          <w:lang w:val="lt-LT"/>
        </w:rPr>
        <w:t>išmesti</w:t>
      </w:r>
      <w:r w:rsidRPr="005577D3">
        <w:rPr>
          <w:rFonts w:ascii="Times New Roman" w:hAnsi="Times New Roman"/>
          <w:lang w:val="lt-LT"/>
        </w:rPr>
        <w:t xml:space="preserve"> į kanalizaciją arba su buitinėmis atliekomis. Kaip </w:t>
      </w:r>
      <w:r w:rsidRPr="005577D3">
        <w:rPr>
          <w:rFonts w:ascii="Times New Roman" w:eastAsia="Times New Roman" w:hAnsi="Times New Roman"/>
          <w:lang w:val="lt-LT"/>
        </w:rPr>
        <w:t>išmesti</w:t>
      </w:r>
      <w:r w:rsidRPr="005577D3">
        <w:rPr>
          <w:rFonts w:ascii="Times New Roman" w:hAnsi="Times New Roman"/>
          <w:lang w:val="lt-LT"/>
        </w:rPr>
        <w:t xml:space="preserve"> nereikalingus vaistus, klauskite vaistininko. Šios priemonės padės apsaugoti aplinką.</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keepNext/>
        <w:tabs>
          <w:tab w:val="left" w:pos="567"/>
        </w:tabs>
        <w:spacing w:after="0" w:line="240" w:lineRule="auto"/>
        <w:ind w:left="567" w:hanging="567"/>
        <w:outlineLvl w:val="1"/>
        <w:rPr>
          <w:rFonts w:ascii="Times New Roman" w:eastAsia="Times New Roman" w:hAnsi="Times New Roman"/>
          <w:b/>
          <w:lang w:val="lt-LT"/>
        </w:rPr>
      </w:pPr>
      <w:bookmarkStart w:id="82" w:name="_Toc129243269"/>
      <w:bookmarkStart w:id="83" w:name="_Toc129243144"/>
      <w:r w:rsidRPr="005577D3">
        <w:rPr>
          <w:rFonts w:ascii="Times New Roman" w:eastAsia="Times New Roman" w:hAnsi="Times New Roman"/>
          <w:b/>
          <w:lang w:val="lt-LT"/>
        </w:rPr>
        <w:t>6.</w:t>
      </w:r>
      <w:r w:rsidRPr="005577D3">
        <w:rPr>
          <w:rFonts w:ascii="Times New Roman" w:eastAsia="Times New Roman" w:hAnsi="Times New Roman"/>
          <w:b/>
          <w:lang w:val="lt-LT"/>
        </w:rPr>
        <w:tab/>
        <w:t>Pakuotės turinys ir kita informacija</w:t>
      </w:r>
      <w:bookmarkEnd w:id="82"/>
      <w:bookmarkEnd w:id="83"/>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Pantul sudėtis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numPr>
          <w:ilvl w:val="0"/>
          <w:numId w:val="11"/>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Veiklioji medžiaga yra pantoprazolas. Kiekvienoje skrandyje neirioje tabletėje yra 20 mg pantoprazolo (pantoprazolio natrio druskos seskvihidrato pavidalu).</w:t>
      </w:r>
    </w:p>
    <w:p w:rsidR="00C57BAB" w:rsidRPr="005577D3" w:rsidRDefault="00C57BAB" w:rsidP="00C57BAB">
      <w:pPr>
        <w:numPr>
          <w:ilvl w:val="0"/>
          <w:numId w:val="12"/>
        </w:numPr>
        <w:shd w:val="clear" w:color="auto" w:fill="FFFFFF"/>
        <w:spacing w:after="0" w:line="240" w:lineRule="auto"/>
        <w:contextualSpacing/>
        <w:rPr>
          <w:rFonts w:ascii="Times New Roman" w:hAnsi="Times New Roman"/>
          <w:lang w:val="lt-LT"/>
        </w:rPr>
      </w:pPr>
      <w:r w:rsidRPr="005577D3">
        <w:rPr>
          <w:rFonts w:ascii="Times New Roman" w:hAnsi="Times New Roman"/>
          <w:lang w:val="lt-LT"/>
        </w:rPr>
        <w:t xml:space="preserve">Pagalbinės medžiagos. </w:t>
      </w:r>
      <w:r w:rsidRPr="005577D3">
        <w:rPr>
          <w:rFonts w:ascii="Times New Roman" w:hAnsi="Times New Roman"/>
          <w:i/>
          <w:lang w:val="lt-LT"/>
        </w:rPr>
        <w:t>Tabletės branduolys</w:t>
      </w:r>
      <w:r w:rsidRPr="005577D3">
        <w:rPr>
          <w:rFonts w:ascii="Times New Roman" w:hAnsi="Times New Roman"/>
          <w:lang w:val="lt-LT"/>
        </w:rPr>
        <w:t xml:space="preserve">: maltitolis (E965), krospovidonas B tipo, karmeliozės natrio druska, bevandenis natrio karbonatas, kalcio stearatas; </w:t>
      </w:r>
      <w:r w:rsidRPr="005577D3">
        <w:rPr>
          <w:rFonts w:ascii="Times New Roman" w:hAnsi="Times New Roman"/>
          <w:i/>
          <w:lang w:val="lt-LT"/>
        </w:rPr>
        <w:t>tabletės dangalas</w:t>
      </w:r>
      <w:r w:rsidRPr="005577D3">
        <w:rPr>
          <w:rFonts w:ascii="Times New Roman" w:hAnsi="Times New Roman"/>
          <w:lang w:val="lt-LT"/>
        </w:rPr>
        <w:t>: polivinilo alkoholis, talkas, titano dioksidas (E171), makrogolis 3350, sojų lecitinas (E322), geltonasis geležies oksidas (E172), bevandenis natrio karbonatas, metakrilo rūgšties ir etilakrilato 1:1 kopolimeras, natrio dodecilsulfatas, polisorbatas 80, trietilo citratas.</w:t>
      </w:r>
    </w:p>
    <w:p w:rsidR="00C57BAB" w:rsidRPr="005577D3" w:rsidRDefault="00C57BAB" w:rsidP="00C57BAB">
      <w:pPr>
        <w:shd w:val="clear" w:color="auto" w:fill="FFFFFF"/>
        <w:tabs>
          <w:tab w:val="num" w:pos="360"/>
        </w:tabs>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Pantul išvaizda ir kiekis pakuotėje</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Pantul yra ovalios geltonos skrandyje neirios tabletės.</w:t>
      </w: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p>
    <w:p w:rsidR="00C57BAB" w:rsidRPr="005577D3" w:rsidRDefault="00C57BAB" w:rsidP="00C57BAB">
      <w:pPr>
        <w:widowControl w:val="0"/>
        <w:autoSpaceDE w:val="0"/>
        <w:autoSpaceDN w:val="0"/>
        <w:adjustRightInd w:val="0"/>
        <w:spacing w:after="0" w:line="240" w:lineRule="auto"/>
        <w:rPr>
          <w:rFonts w:ascii="Times New Roman" w:hAnsi="Times New Roman"/>
          <w:lang w:val="lt-LT"/>
        </w:rPr>
      </w:pPr>
      <w:r w:rsidRPr="005577D3">
        <w:rPr>
          <w:rFonts w:ascii="Times New Roman" w:hAnsi="Times New Roman"/>
          <w:lang w:val="lt-LT"/>
        </w:rPr>
        <w:t>Pantul yra pakuojamas į lizdines plokšteles po 7, 10, 14, 15, 20, 28, 30, 50, 56, 60, 98 arba 100 tablečių ir buteliukus po 7, 10, 14, 15, 20, 28, 30, 50, 56, 60, 98 arba 100 tablečių.</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Gali būti tiekiamos ne visų dydžių pakuotės.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b/>
          <w:lang w:val="lt-LT"/>
        </w:rPr>
      </w:pPr>
      <w:r w:rsidRPr="005577D3">
        <w:rPr>
          <w:rFonts w:ascii="Times New Roman" w:hAnsi="Times New Roman"/>
          <w:b/>
          <w:lang w:val="lt-LT"/>
        </w:rPr>
        <w:t>Registruotojas ir gamintojas</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G.L. Pharma GmbH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Schlossplatz 1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 xml:space="preserve">8502 Lannach </w:t>
      </w: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Austrija</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Jeigu apie šį vaistą norite sužinoti daugiau, kreipkitės į vietinį registruotojo atstovą.</w:t>
      </w:r>
    </w:p>
    <w:p w:rsidR="00C57BAB" w:rsidRPr="005577D3" w:rsidRDefault="00C57BAB" w:rsidP="00C57BAB">
      <w:pPr>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C57BAB" w:rsidRPr="005577D3" w:rsidTr="005A1434">
        <w:tc>
          <w:tcPr>
            <w:tcW w:w="4678" w:type="dxa"/>
          </w:tcPr>
          <w:p w:rsidR="00C57BAB" w:rsidRPr="005577D3" w:rsidRDefault="00C57BAB" w:rsidP="005A1434">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UAB „GL Pharma Vilnius“</w:t>
            </w:r>
          </w:p>
          <w:p w:rsidR="00C57BAB" w:rsidRPr="005577D3" w:rsidRDefault="00C57BAB" w:rsidP="005A1434">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A.Jakšto g. 12</w:t>
            </w:r>
          </w:p>
          <w:p w:rsidR="00C57BAB" w:rsidRPr="005577D3" w:rsidRDefault="00C57BAB" w:rsidP="005A1434">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LT-01105 Vilnius</w:t>
            </w:r>
          </w:p>
          <w:p w:rsidR="00C57BAB" w:rsidRPr="005577D3" w:rsidRDefault="00C57BAB" w:rsidP="005A1434">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Tel. + 370 5 2610705</w:t>
            </w:r>
          </w:p>
          <w:p w:rsidR="00C57BAB" w:rsidRPr="005577D3" w:rsidRDefault="00C57BAB" w:rsidP="005A1434">
            <w:pPr>
              <w:keepNext/>
              <w:tabs>
                <w:tab w:val="left" w:pos="567"/>
              </w:tabs>
              <w:spacing w:after="0" w:line="240" w:lineRule="auto"/>
              <w:ind w:left="567" w:hanging="567"/>
              <w:outlineLvl w:val="1"/>
              <w:rPr>
                <w:rFonts w:ascii="Times New Roman" w:hAnsi="Times New Roman"/>
                <w:lang w:val="lt-LT"/>
              </w:rPr>
            </w:pPr>
            <w:r w:rsidRPr="005577D3">
              <w:rPr>
                <w:rFonts w:ascii="Times New Roman" w:hAnsi="Times New Roman"/>
                <w:lang w:val="lt-LT"/>
              </w:rPr>
              <w:t>El. paštas: office@gl-pharma.lt</w:t>
            </w:r>
          </w:p>
          <w:p w:rsidR="00C57BAB" w:rsidRPr="005577D3" w:rsidRDefault="00C57BAB" w:rsidP="005A1434">
            <w:pPr>
              <w:tabs>
                <w:tab w:val="left" w:pos="-720"/>
              </w:tabs>
              <w:suppressAutoHyphens/>
              <w:spacing w:after="0" w:line="240" w:lineRule="auto"/>
              <w:rPr>
                <w:rFonts w:ascii="Times New Roman" w:hAnsi="Times New Roman"/>
                <w:lang w:val="lt-LT"/>
              </w:rPr>
            </w:pPr>
          </w:p>
        </w:tc>
      </w:tr>
    </w:tbl>
    <w:p w:rsidR="00C57BAB" w:rsidRPr="005577D3"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lt-LT"/>
        </w:rPr>
      </w:pPr>
      <w:r w:rsidRPr="005577D3">
        <w:rPr>
          <w:rFonts w:ascii="Times New Roman" w:hAnsi="Times New Roman"/>
          <w:b/>
          <w:lang w:val="lt-LT"/>
        </w:rPr>
        <w:t>Šis vaistas EEE valstybėse narėse registruotas tokiais pavadinimais</w:t>
      </w:r>
      <w:r w:rsidRPr="005577D3">
        <w:rPr>
          <w:rFonts w:ascii="Times New Roman" w:hAnsi="Times New Roman"/>
          <w:lang w:val="lt-LT"/>
        </w:rPr>
        <w:t>:</w:t>
      </w:r>
    </w:p>
    <w:p w:rsidR="00C57BAB" w:rsidRPr="005577D3"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lt-LT"/>
        </w:rPr>
      </w:pPr>
      <w:r w:rsidRPr="005577D3">
        <w:rPr>
          <w:rFonts w:ascii="Times New Roman" w:hAnsi="Times New Roman"/>
          <w:lang w:val="lt-LT"/>
        </w:rPr>
        <w:t>Austrija: Pantoprazol G.L. 20 mg magensaftresistente Tabletten</w:t>
      </w:r>
    </w:p>
    <w:p w:rsidR="00FB356A"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Čekija</w:t>
      </w:r>
      <w:r w:rsidR="00FB356A">
        <w:rPr>
          <w:rFonts w:ascii="Times New Roman" w:hAnsi="Times New Roman"/>
          <w:lang w:val="it-IT"/>
        </w:rPr>
        <w:t>:</w:t>
      </w:r>
      <w:r w:rsidR="00FB356A" w:rsidRPr="007C3B01">
        <w:rPr>
          <w:lang w:val="lt-LT"/>
        </w:rPr>
        <w:t xml:space="preserve"> </w:t>
      </w:r>
      <w:r w:rsidR="00FB356A" w:rsidRPr="00FB356A">
        <w:rPr>
          <w:rFonts w:ascii="Times New Roman" w:hAnsi="Times New Roman"/>
          <w:lang w:val="it-IT"/>
        </w:rPr>
        <w:t>Pantul 20 mg</w:t>
      </w:r>
    </w:p>
    <w:p w:rsidR="00FB356A"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Estija</w:t>
      </w:r>
      <w:r w:rsidR="00FB356A">
        <w:rPr>
          <w:rFonts w:ascii="Times New Roman" w:hAnsi="Times New Roman"/>
          <w:lang w:val="it-IT"/>
        </w:rPr>
        <w:t>: Pantul</w:t>
      </w:r>
    </w:p>
    <w:p w:rsidR="00FB356A"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Latvija</w:t>
      </w:r>
      <w:r w:rsidR="00FB356A">
        <w:rPr>
          <w:rFonts w:ascii="Times New Roman" w:hAnsi="Times New Roman"/>
          <w:lang w:val="it-IT"/>
        </w:rPr>
        <w:t>:</w:t>
      </w:r>
      <w:r w:rsidR="00FB356A" w:rsidRPr="007C3B01">
        <w:rPr>
          <w:lang w:val="lt-LT"/>
        </w:rPr>
        <w:t xml:space="preserve"> </w:t>
      </w:r>
      <w:r w:rsidR="00FB356A" w:rsidRPr="00FB356A">
        <w:rPr>
          <w:rFonts w:ascii="Times New Roman" w:hAnsi="Times New Roman"/>
          <w:lang w:val="it-IT"/>
        </w:rPr>
        <w:t>Pantul 20 mg</w:t>
      </w:r>
      <w:r w:rsidR="00FB356A">
        <w:rPr>
          <w:rFonts w:ascii="Times New Roman" w:hAnsi="Times New Roman"/>
          <w:lang w:val="it-IT"/>
        </w:rPr>
        <w:t xml:space="preserve"> </w:t>
      </w:r>
      <w:r w:rsidR="00FB356A" w:rsidRPr="00FB356A">
        <w:rPr>
          <w:rFonts w:ascii="Times New Roman" w:hAnsi="Times New Roman"/>
          <w:lang w:val="it-IT"/>
        </w:rPr>
        <w:t>zarnās šķīstošā tabletes</w:t>
      </w:r>
    </w:p>
    <w:p w:rsidR="00C57BAB" w:rsidRPr="005577D3"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Lietuva: Pantul 20 mg</w:t>
      </w:r>
      <w:r w:rsidR="00FB356A">
        <w:rPr>
          <w:rFonts w:ascii="Times New Roman" w:hAnsi="Times New Roman"/>
          <w:lang w:val="it-IT"/>
        </w:rPr>
        <w:t xml:space="preserve"> skrandyje neirios tabletės</w:t>
      </w:r>
    </w:p>
    <w:p w:rsidR="00C57BAB" w:rsidRPr="005577D3" w:rsidRDefault="00C57BAB" w:rsidP="00C57BAB">
      <w:pPr>
        <w:tabs>
          <w:tab w:val="left" w:pos="923"/>
          <w:tab w:val="left" w:pos="3969"/>
          <w:tab w:val="left" w:pos="4820"/>
          <w:tab w:val="left" w:pos="5670"/>
          <w:tab w:val="left" w:leader="dot" w:pos="8789"/>
        </w:tabs>
        <w:spacing w:after="0" w:line="240" w:lineRule="auto"/>
        <w:rPr>
          <w:rFonts w:ascii="Times New Roman" w:hAnsi="Times New Roman"/>
          <w:lang w:val="it-IT"/>
        </w:rPr>
      </w:pPr>
      <w:r w:rsidRPr="005577D3">
        <w:rPr>
          <w:rFonts w:ascii="Times New Roman" w:hAnsi="Times New Roman"/>
          <w:lang w:val="it-IT"/>
        </w:rPr>
        <w:t xml:space="preserve">Vokietija: Pantoprazol Lannacher </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tabs>
          <w:tab w:val="left" w:pos="567"/>
        </w:tabs>
        <w:autoSpaceDE w:val="0"/>
        <w:autoSpaceDN w:val="0"/>
        <w:adjustRightInd w:val="0"/>
        <w:spacing w:after="0" w:line="240" w:lineRule="auto"/>
        <w:rPr>
          <w:rFonts w:ascii="Times New Roman" w:hAnsi="Times New Roman"/>
          <w:b/>
          <w:lang w:val="lt-LT"/>
        </w:rPr>
      </w:pPr>
      <w:r w:rsidRPr="005577D3">
        <w:rPr>
          <w:rFonts w:ascii="Times New Roman" w:hAnsi="Times New Roman"/>
          <w:b/>
          <w:lang w:val="lt-LT"/>
        </w:rPr>
        <w:t>Šis pakuotės lapelis paskutinį kartą peržiūrėtas</w:t>
      </w:r>
      <w:r>
        <w:rPr>
          <w:rFonts w:ascii="Times New Roman" w:hAnsi="Times New Roman"/>
          <w:b/>
          <w:lang w:val="lt-LT"/>
        </w:rPr>
        <w:t xml:space="preserve"> </w:t>
      </w:r>
      <w:r w:rsidR="00492A4B">
        <w:rPr>
          <w:rFonts w:ascii="Times New Roman" w:hAnsi="Times New Roman"/>
          <w:b/>
          <w:lang w:val="lt-LT"/>
        </w:rPr>
        <w:t>2019-</w:t>
      </w:r>
      <w:r w:rsidR="00D87D2F">
        <w:rPr>
          <w:rFonts w:ascii="Times New Roman" w:hAnsi="Times New Roman"/>
          <w:b/>
          <w:lang w:val="lt-LT"/>
        </w:rPr>
        <w:t>12-13</w:t>
      </w:r>
      <w:r w:rsidR="00492A4B">
        <w:rPr>
          <w:rFonts w:ascii="Times New Roman" w:hAnsi="Times New Roman"/>
          <w:b/>
          <w:lang w:val="lt-LT"/>
        </w:rPr>
        <w:t>.</w:t>
      </w: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r w:rsidRPr="005577D3">
        <w:rPr>
          <w:rFonts w:ascii="Times New Roman" w:hAnsi="Times New Roman"/>
          <w:lang w:val="lt-LT"/>
        </w:rPr>
        <w:t>Išsami informacija apie šį vaistą pateikiama Valstybinės vaistų kontrolės tarnybos prie Lietuvos Respublikos sveikatos apsaugos ministerijos tinklalapyje</w:t>
      </w:r>
      <w:r w:rsidRPr="005577D3">
        <w:rPr>
          <w:rFonts w:ascii="Times New Roman" w:hAnsi="Times New Roman"/>
          <w:i/>
          <w:lang w:val="lt-LT"/>
        </w:rPr>
        <w:t xml:space="preserve"> </w:t>
      </w:r>
      <w:hyperlink r:id="rId11" w:history="1">
        <w:r w:rsidRPr="005577D3">
          <w:rPr>
            <w:rStyle w:val="Hipersaitas"/>
            <w:rFonts w:ascii="Times New Roman" w:hAnsi="Times New Roman"/>
            <w:lang w:val="lt-LT"/>
          </w:rPr>
          <w:t>http://www.vvkt.lt/</w:t>
        </w:r>
      </w:hyperlink>
    </w:p>
    <w:p w:rsidR="00C57BAB" w:rsidRPr="005577D3" w:rsidRDefault="00C57BAB" w:rsidP="00C57BAB">
      <w:pPr>
        <w:spacing w:after="0" w:line="240" w:lineRule="auto"/>
        <w:rPr>
          <w:rFonts w:ascii="Times New Roman" w:eastAsia="Times New Roman" w:hAnsi="Times New Roman"/>
          <w:lang w:val="lt-LT"/>
        </w:rPr>
      </w:pPr>
    </w:p>
    <w:p w:rsidR="00C57BAB" w:rsidRPr="005577D3" w:rsidRDefault="00C57BAB" w:rsidP="00C57BAB">
      <w:pPr>
        <w:spacing w:after="0" w:line="240" w:lineRule="auto"/>
        <w:rPr>
          <w:rFonts w:ascii="Times New Roman" w:hAnsi="Times New Roman"/>
          <w:lang w:val="lt-LT"/>
        </w:rPr>
      </w:pPr>
      <w:bookmarkStart w:id="84" w:name="_GoBack"/>
      <w:bookmarkEnd w:id="84"/>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C57BAB" w:rsidRPr="005577D3" w:rsidRDefault="00C57BAB" w:rsidP="00C57BAB">
      <w:pPr>
        <w:spacing w:after="0" w:line="240" w:lineRule="auto"/>
        <w:rPr>
          <w:rFonts w:ascii="Times New Roman" w:hAnsi="Times New Roman"/>
          <w:lang w:val="lt-LT"/>
        </w:rPr>
      </w:pPr>
    </w:p>
    <w:p w:rsidR="00661804" w:rsidRPr="007C3B01" w:rsidRDefault="00661804">
      <w:pPr>
        <w:rPr>
          <w:lang w:val="lt-LT"/>
        </w:rPr>
      </w:pPr>
    </w:p>
    <w:sectPr w:rsidR="00661804" w:rsidRPr="007C3B01" w:rsidSect="007C3B0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D77"/>
    <w:multiLevelType w:val="hybridMultilevel"/>
    <w:tmpl w:val="5150EAA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2A7117"/>
    <w:multiLevelType w:val="hybridMultilevel"/>
    <w:tmpl w:val="AA864B54"/>
    <w:lvl w:ilvl="0" w:tplc="3FFC3248">
      <w:start w:val="1"/>
      <w:numFmt w:val="bullet"/>
      <w:pStyle w:val="BTAnIIEMEASMCA"/>
      <w:lvlText w:val="-"/>
      <w:lvlJc w:val="left"/>
      <w:pPr>
        <w:ind w:left="720" w:hanging="360"/>
      </w:pPr>
      <w:rPr>
        <w:rFonts w:ascii="Vrinda" w:hAnsi="Vrinda" w:cs="Vrind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37E7737"/>
    <w:multiLevelType w:val="hybridMultilevel"/>
    <w:tmpl w:val="32A8E200"/>
    <w:lvl w:ilvl="0" w:tplc="843C924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3B0B76"/>
    <w:multiLevelType w:val="hybridMultilevel"/>
    <w:tmpl w:val="DDCED81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C21BF0"/>
    <w:multiLevelType w:val="hybridMultilevel"/>
    <w:tmpl w:val="47EA5B62"/>
    <w:lvl w:ilvl="0" w:tplc="3122300A">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3AA495B"/>
    <w:multiLevelType w:val="hybridMultilevel"/>
    <w:tmpl w:val="F36E666E"/>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4AA1D51"/>
    <w:multiLevelType w:val="hybridMultilevel"/>
    <w:tmpl w:val="A52062DE"/>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ADC4B01"/>
    <w:multiLevelType w:val="hybridMultilevel"/>
    <w:tmpl w:val="746CD3E8"/>
    <w:lvl w:ilvl="0" w:tplc="4492FE18">
      <w:start w:val="18"/>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A96F1E"/>
    <w:multiLevelType w:val="hybridMultilevel"/>
    <w:tmpl w:val="2F7C235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002525"/>
    <w:multiLevelType w:val="hybridMultilevel"/>
    <w:tmpl w:val="8B748B62"/>
    <w:lvl w:ilvl="0" w:tplc="42A05132">
      <w:start w:val="17"/>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62CDA"/>
    <w:multiLevelType w:val="hybridMultilevel"/>
    <w:tmpl w:val="DC3A44C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9FF79C3"/>
    <w:multiLevelType w:val="hybridMultilevel"/>
    <w:tmpl w:val="18AE2700"/>
    <w:lvl w:ilvl="0" w:tplc="E6E232E0">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613A2D06"/>
    <w:multiLevelType w:val="hybridMultilevel"/>
    <w:tmpl w:val="F7144F9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B0C016E"/>
    <w:multiLevelType w:val="multilevel"/>
    <w:tmpl w:val="0CA68D5A"/>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num>
  <w:num w:numId="2">
    <w:abstractNumId w:val="4"/>
  </w:num>
  <w:num w:numId="3">
    <w:abstractNumId w:val="13"/>
  </w:num>
  <w:num w:numId="4">
    <w:abstractNumId w:val="1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6"/>
  </w:num>
  <w:num w:numId="8">
    <w:abstractNumId w:val="2"/>
  </w:num>
  <w:num w:numId="9">
    <w:abstractNumId w:val="12"/>
  </w:num>
  <w:num w:numId="10">
    <w:abstractNumId w:val="8"/>
  </w:num>
  <w:num w:numId="11">
    <w:abstractNumId w:val="10"/>
  </w:num>
  <w:num w:numId="12">
    <w:abstractNumId w:val="5"/>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AB"/>
    <w:rsid w:val="001C2DEE"/>
    <w:rsid w:val="00492A4B"/>
    <w:rsid w:val="004E40BA"/>
    <w:rsid w:val="005A0281"/>
    <w:rsid w:val="005A1434"/>
    <w:rsid w:val="00661804"/>
    <w:rsid w:val="007C3B01"/>
    <w:rsid w:val="00A71AD0"/>
    <w:rsid w:val="00A85E25"/>
    <w:rsid w:val="00AA7585"/>
    <w:rsid w:val="00C16372"/>
    <w:rsid w:val="00C57BAB"/>
    <w:rsid w:val="00CA777E"/>
    <w:rsid w:val="00CF2F13"/>
    <w:rsid w:val="00D20A1C"/>
    <w:rsid w:val="00D87D2F"/>
    <w:rsid w:val="00EE7003"/>
    <w:rsid w:val="00F04818"/>
    <w:rsid w:val="00F11111"/>
    <w:rsid w:val="00F51BE9"/>
    <w:rsid w:val="00FB3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58FD1-656E-484D-9062-171AC66B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7BAB"/>
    <w:pPr>
      <w:spacing w:after="160" w:line="259" w:lineRule="auto"/>
    </w:pPr>
    <w:rPr>
      <w:sz w:val="22"/>
      <w:szCs w:val="22"/>
      <w:lang w:val="en-US" w:eastAsia="en-US"/>
    </w:rPr>
  </w:style>
  <w:style w:type="paragraph" w:styleId="Antrat1">
    <w:name w:val="heading 1"/>
    <w:basedOn w:val="prastasis"/>
    <w:next w:val="prastasis"/>
    <w:link w:val="Antrat1Diagrama"/>
    <w:qFormat/>
    <w:rsid w:val="00C57BA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rsid w:val="00C57BAB"/>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eastAsia="sl-SI"/>
    </w:rPr>
  </w:style>
  <w:style w:type="paragraph" w:styleId="Antrat3">
    <w:name w:val="heading 3"/>
    <w:basedOn w:val="prastasis"/>
    <w:next w:val="prastasis"/>
    <w:link w:val="Antrat3Diagrama"/>
    <w:semiHidden/>
    <w:unhideWhenUsed/>
    <w:qFormat/>
    <w:rsid w:val="00C57BAB"/>
    <w:pPr>
      <w:keepNext/>
      <w:tabs>
        <w:tab w:val="decimal" w:pos="6760"/>
      </w:tabs>
      <w:spacing w:after="0" w:line="480" w:lineRule="atLeast"/>
      <w:outlineLvl w:val="2"/>
    </w:pPr>
    <w:rPr>
      <w:rFonts w:ascii="Times New Roman" w:eastAsia="Times New Roman" w:hAnsi="Times New Roman"/>
      <w:b/>
      <w:sz w:val="24"/>
      <w:szCs w:val="20"/>
      <w:lang w:eastAsia="sl-SI"/>
    </w:rPr>
  </w:style>
  <w:style w:type="paragraph" w:styleId="Antrat4">
    <w:name w:val="heading 4"/>
    <w:basedOn w:val="prastasis"/>
    <w:next w:val="prastasis"/>
    <w:link w:val="Antrat4Diagrama"/>
    <w:uiPriority w:val="9"/>
    <w:semiHidden/>
    <w:unhideWhenUsed/>
    <w:qFormat/>
    <w:rsid w:val="00C57BAB"/>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5">
    <w:name w:val="heading 5"/>
    <w:basedOn w:val="prastasis"/>
    <w:next w:val="prastasis"/>
    <w:link w:val="Antrat5Diagrama"/>
    <w:uiPriority w:val="99"/>
    <w:semiHidden/>
    <w:unhideWhenUsed/>
    <w:qFormat/>
    <w:rsid w:val="00C57BAB"/>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semiHidden/>
    <w:unhideWhenUsed/>
    <w:qFormat/>
    <w:rsid w:val="00C57BAB"/>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eastAsia="sl-SI"/>
    </w:rPr>
  </w:style>
  <w:style w:type="paragraph" w:styleId="Antrat7">
    <w:name w:val="heading 7"/>
    <w:basedOn w:val="prastasis"/>
    <w:next w:val="prastasis"/>
    <w:link w:val="Antrat7Diagrama"/>
    <w:uiPriority w:val="99"/>
    <w:semiHidden/>
    <w:unhideWhenUsed/>
    <w:qFormat/>
    <w:rsid w:val="00C57BAB"/>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semiHidden/>
    <w:unhideWhenUsed/>
    <w:qFormat/>
    <w:rsid w:val="00C57BAB"/>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semiHidden/>
    <w:unhideWhenUsed/>
    <w:qFormat/>
    <w:rsid w:val="00C57BAB"/>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57BAB"/>
    <w:rPr>
      <w:rFonts w:ascii="Arial" w:eastAsia="Times New Roman" w:hAnsi="Arial" w:cs="Arial"/>
      <w:b/>
      <w:bCs/>
      <w:kern w:val="32"/>
      <w:sz w:val="32"/>
      <w:szCs w:val="32"/>
      <w:lang w:val="sl-SI" w:eastAsia="sl-SI"/>
    </w:rPr>
  </w:style>
  <w:style w:type="character" w:customStyle="1" w:styleId="Antrat2Diagrama">
    <w:name w:val="Antraštė 2 Diagrama"/>
    <w:link w:val="Antrat2"/>
    <w:semiHidden/>
    <w:rsid w:val="00C57BAB"/>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semiHidden/>
    <w:rsid w:val="00C57BAB"/>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
    <w:semiHidden/>
    <w:rsid w:val="00C57BAB"/>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semiHidden/>
    <w:rsid w:val="00C57BAB"/>
    <w:rPr>
      <w:rFonts w:ascii="Times New Roman" w:eastAsia="SimSun" w:hAnsi="Times New Roman" w:cs="Times New Roman"/>
      <w:noProof/>
      <w:szCs w:val="20"/>
      <w:lang w:val="en-GB"/>
    </w:rPr>
  </w:style>
  <w:style w:type="character" w:customStyle="1" w:styleId="Antrat6Diagrama">
    <w:name w:val="Antraštė 6 Diagrama"/>
    <w:link w:val="Antrat6"/>
    <w:uiPriority w:val="99"/>
    <w:semiHidden/>
    <w:rsid w:val="00C57BAB"/>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semiHidden/>
    <w:rsid w:val="00C57BAB"/>
    <w:rPr>
      <w:rFonts w:ascii="Times New Roman" w:eastAsia="SimSun" w:hAnsi="Times New Roman" w:cs="Times New Roman"/>
      <w:i/>
      <w:szCs w:val="20"/>
      <w:lang w:val="en-GB"/>
    </w:rPr>
  </w:style>
  <w:style w:type="character" w:customStyle="1" w:styleId="Antrat8Diagrama">
    <w:name w:val="Antraštė 8 Diagrama"/>
    <w:link w:val="Antrat8"/>
    <w:uiPriority w:val="99"/>
    <w:semiHidden/>
    <w:rsid w:val="00C57BAB"/>
    <w:rPr>
      <w:rFonts w:ascii="Times New Roman" w:eastAsia="SimSun" w:hAnsi="Times New Roman" w:cs="Times New Roman"/>
      <w:b/>
      <w:i/>
      <w:szCs w:val="20"/>
      <w:lang w:val="en-GB"/>
    </w:rPr>
  </w:style>
  <w:style w:type="character" w:customStyle="1" w:styleId="Antrat9Diagrama">
    <w:name w:val="Antraštė 9 Diagrama"/>
    <w:link w:val="Antrat9"/>
    <w:uiPriority w:val="99"/>
    <w:semiHidden/>
    <w:rsid w:val="00C57BAB"/>
    <w:rPr>
      <w:rFonts w:ascii="Times New Roman" w:eastAsia="SimSun" w:hAnsi="Times New Roman" w:cs="Times New Roman"/>
      <w:b/>
      <w:i/>
      <w:szCs w:val="20"/>
      <w:lang w:val="en-GB"/>
    </w:rPr>
  </w:style>
  <w:style w:type="character" w:styleId="Hipersaitas">
    <w:name w:val="Hyperlink"/>
    <w:semiHidden/>
    <w:unhideWhenUsed/>
    <w:rsid w:val="00C57BAB"/>
    <w:rPr>
      <w:color w:val="0000FF"/>
      <w:u w:val="single"/>
    </w:rPr>
  </w:style>
  <w:style w:type="character" w:styleId="Perirtashipersaitas">
    <w:name w:val="FollowedHyperlink"/>
    <w:uiPriority w:val="99"/>
    <w:semiHidden/>
    <w:unhideWhenUsed/>
    <w:rsid w:val="00C57BAB"/>
    <w:rPr>
      <w:color w:val="800080"/>
      <w:u w:val="single"/>
    </w:rPr>
  </w:style>
  <w:style w:type="character" w:styleId="Grietas">
    <w:name w:val="Strong"/>
    <w:uiPriority w:val="99"/>
    <w:qFormat/>
    <w:rsid w:val="00C57BAB"/>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C57BAB"/>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semiHidden/>
    <w:rsid w:val="00C57BAB"/>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C57BAB"/>
    <w:pPr>
      <w:tabs>
        <w:tab w:val="center" w:pos="4320"/>
        <w:tab w:val="right" w:pos="8640"/>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semiHidden/>
    <w:rsid w:val="00C57BAB"/>
    <w:rPr>
      <w:rFonts w:ascii="Times New Roman" w:eastAsia="Times New Roman" w:hAnsi="Times New Roman" w:cs="Times New Roman"/>
      <w:sz w:val="24"/>
      <w:szCs w:val="24"/>
      <w:lang w:val="en-US"/>
    </w:rPr>
  </w:style>
  <w:style w:type="paragraph" w:styleId="Porat">
    <w:name w:val="footer"/>
    <w:basedOn w:val="prastasis"/>
    <w:link w:val="PoratDiagrama"/>
    <w:uiPriority w:val="99"/>
    <w:semiHidden/>
    <w:unhideWhenUsed/>
    <w:rsid w:val="00C57BAB"/>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semiHidden/>
    <w:rsid w:val="00C57BAB"/>
    <w:rPr>
      <w:rFonts w:ascii="Times New Roman" w:eastAsia="Times New Roman" w:hAnsi="Times New Roman" w:cs="Times New Roman"/>
      <w:sz w:val="24"/>
      <w:szCs w:val="24"/>
    </w:rPr>
  </w:style>
  <w:style w:type="paragraph" w:styleId="Antrat">
    <w:name w:val="caption"/>
    <w:basedOn w:val="prastasis"/>
    <w:next w:val="prastasis"/>
    <w:semiHidden/>
    <w:unhideWhenUsed/>
    <w:qFormat/>
    <w:rsid w:val="00C57BAB"/>
    <w:pPr>
      <w:spacing w:after="0" w:line="240" w:lineRule="auto"/>
      <w:jc w:val="both"/>
    </w:pPr>
    <w:rPr>
      <w:rFonts w:ascii="Times New Roman" w:eastAsia="Times New Roman" w:hAnsi="Times New Roman"/>
      <w:sz w:val="24"/>
      <w:szCs w:val="20"/>
      <w:lang w:val="en-GB" w:eastAsia="sl-SI"/>
    </w:rPr>
  </w:style>
  <w:style w:type="paragraph" w:styleId="Pavadinimas">
    <w:name w:val="Title"/>
    <w:basedOn w:val="prastasis"/>
    <w:link w:val="PavadinimasDiagrama"/>
    <w:qFormat/>
    <w:rsid w:val="00C57BAB"/>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rsid w:val="00C57BAB"/>
    <w:rPr>
      <w:rFonts w:ascii="Times New Roman" w:eastAsia="SimSun" w:hAnsi="Times New Roman" w:cs="Times New Roman"/>
      <w:b/>
      <w:szCs w:val="20"/>
      <w:lang w:val="en-GB"/>
    </w:rPr>
  </w:style>
  <w:style w:type="paragraph" w:styleId="Komentarotema">
    <w:name w:val="annotation subject"/>
    <w:basedOn w:val="Komentarotekstas"/>
    <w:next w:val="Komentarotekstas"/>
    <w:link w:val="KomentarotemaDiagrama"/>
    <w:semiHidden/>
    <w:unhideWhenUsed/>
    <w:rsid w:val="00C57BAB"/>
    <w:rPr>
      <w:b/>
      <w:bCs/>
    </w:rPr>
  </w:style>
  <w:style w:type="character" w:customStyle="1" w:styleId="KomentarotemaDiagrama">
    <w:name w:val="Komentaro tema Diagrama"/>
    <w:link w:val="Komentarotema"/>
    <w:semiHidden/>
    <w:rsid w:val="00C57BAB"/>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C57BAB"/>
    <w:pPr>
      <w:spacing w:after="0" w:line="240" w:lineRule="auto"/>
    </w:pPr>
    <w:rPr>
      <w:rFonts w:ascii="Tahoma" w:eastAsia="Times New Roman" w:hAnsi="Tahoma"/>
      <w:sz w:val="16"/>
      <w:szCs w:val="16"/>
      <w:lang w:val="lt-LT"/>
    </w:rPr>
  </w:style>
  <w:style w:type="character" w:customStyle="1" w:styleId="DebesliotekstasDiagrama">
    <w:name w:val="Debesėlio tekstas Diagrama"/>
    <w:link w:val="Debesliotekstas"/>
    <w:semiHidden/>
    <w:rsid w:val="00C57BAB"/>
    <w:rPr>
      <w:rFonts w:ascii="Tahoma" w:eastAsia="Times New Roman" w:hAnsi="Tahoma" w:cs="Times New Roman"/>
      <w:sz w:val="16"/>
      <w:szCs w:val="16"/>
    </w:rPr>
  </w:style>
  <w:style w:type="paragraph" w:styleId="Betarp">
    <w:name w:val="No Spacing"/>
    <w:uiPriority w:val="1"/>
    <w:qFormat/>
    <w:rsid w:val="00C57BAB"/>
    <w:pPr>
      <w:tabs>
        <w:tab w:val="left" w:pos="567"/>
      </w:tabs>
      <w:snapToGrid w:val="0"/>
    </w:pPr>
    <w:rPr>
      <w:rFonts w:ascii="Times New Roman" w:eastAsia="Times New Roman" w:hAnsi="Times New Roman"/>
      <w:sz w:val="22"/>
      <w:lang w:val="en-GB" w:eastAsia="en-US"/>
    </w:rPr>
  </w:style>
  <w:style w:type="paragraph" w:styleId="Sraopastraipa">
    <w:name w:val="List Paragraph"/>
    <w:basedOn w:val="prastasis"/>
    <w:uiPriority w:val="34"/>
    <w:qFormat/>
    <w:rsid w:val="00C57BAB"/>
    <w:pPr>
      <w:spacing w:after="0" w:line="240" w:lineRule="auto"/>
      <w:ind w:left="720"/>
      <w:contextualSpacing/>
    </w:pPr>
    <w:rPr>
      <w:rFonts w:ascii="Times New Roman" w:eastAsia="Times New Roman" w:hAnsi="Times New Roman"/>
      <w:sz w:val="24"/>
      <w:szCs w:val="20"/>
      <w:lang w:val="sl-SI" w:eastAsia="sl-SI"/>
    </w:rPr>
  </w:style>
  <w:style w:type="paragraph" w:customStyle="1" w:styleId="PI-1EMEASMCA">
    <w:name w:val="PI-1 EMEA_SMCA"/>
    <w:basedOn w:val="Antrat2"/>
    <w:autoRedefine/>
    <w:rsid w:val="00C57BAB"/>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locked/>
    <w:rsid w:val="00C57BAB"/>
    <w:rPr>
      <w:rFonts w:ascii="Times New Roman" w:eastAsia="Times New Roman" w:hAnsi="Times New Roman"/>
      <w:b/>
      <w:noProof/>
    </w:rPr>
  </w:style>
  <w:style w:type="paragraph" w:customStyle="1" w:styleId="PI-1labEMEASMCA">
    <w:name w:val="PI-1_lab EMEA_SMCA"/>
    <w:basedOn w:val="prastasis"/>
    <w:link w:val="PI-1labEMEASMCAChar"/>
    <w:autoRedefine/>
    <w:rsid w:val="00C57BA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paragraph" w:customStyle="1" w:styleId="PI-2EMEASMCA">
    <w:name w:val="PI-2 EMEA_SMCA"/>
    <w:basedOn w:val="Antrat3"/>
    <w:autoRedefine/>
    <w:rsid w:val="00C57BAB"/>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sid w:val="00FB356A"/>
    <w:rPr>
      <w:rFonts w:ascii="Times New Roman" w:eastAsia="Times New Roman" w:hAnsi="Times New Roman"/>
      <w:noProof/>
      <w:sz w:val="22"/>
      <w:szCs w:val="22"/>
      <w:lang w:eastAsia="en-US"/>
    </w:rPr>
  </w:style>
  <w:style w:type="paragraph" w:customStyle="1" w:styleId="BTEMEASMCA">
    <w:name w:val="BT EMEA_SMCA"/>
    <w:basedOn w:val="prastasis"/>
    <w:link w:val="BTEMEASMCAChar"/>
    <w:autoRedefine/>
    <w:rsid w:val="00FB356A"/>
    <w:pPr>
      <w:spacing w:after="0" w:line="240" w:lineRule="auto"/>
    </w:pPr>
    <w:rPr>
      <w:rFonts w:ascii="Times New Roman" w:eastAsia="Times New Roman" w:hAnsi="Times New Roman"/>
      <w:noProof/>
      <w:lang w:val="lt-LT"/>
    </w:rPr>
  </w:style>
  <w:style w:type="character" w:customStyle="1" w:styleId="TTEMEASMCAChar">
    <w:name w:val="TT EMEA_SMCA Char"/>
    <w:link w:val="TTEMEASMCA"/>
    <w:locked/>
    <w:rsid w:val="00C57BAB"/>
    <w:rPr>
      <w:rFonts w:ascii="Times New Roman" w:eastAsia="Times New Roman" w:hAnsi="Times New Roman"/>
      <w:b/>
      <w:caps/>
    </w:rPr>
  </w:style>
  <w:style w:type="paragraph" w:customStyle="1" w:styleId="TTEMEASMCA">
    <w:name w:val="TT EMEA_SMCA"/>
    <w:basedOn w:val="Antrat1"/>
    <w:link w:val="TTEMEASMCAChar"/>
    <w:autoRedefine/>
    <w:rsid w:val="00C57BAB"/>
    <w:pPr>
      <w:keepNext w:val="0"/>
      <w:tabs>
        <w:tab w:val="left" w:pos="567"/>
      </w:tabs>
      <w:spacing w:before="0" w:after="0"/>
      <w:ind w:left="567" w:hanging="567"/>
      <w:jc w:val="center"/>
    </w:pPr>
    <w:rPr>
      <w:rFonts w:ascii="Times New Roman" w:hAnsi="Times New Roman" w:cs="Times New Roman"/>
      <w:bCs w:val="0"/>
      <w:caps/>
      <w:kern w:val="0"/>
      <w:sz w:val="22"/>
      <w:szCs w:val="22"/>
      <w:lang w:val="lt-LT" w:eastAsia="en-US"/>
    </w:rPr>
  </w:style>
  <w:style w:type="paragraph" w:customStyle="1" w:styleId="BTAnIIEMEASMCA">
    <w:name w:val="BT(AnII) EMEA_SMCA"/>
    <w:basedOn w:val="Debesliotekstas"/>
    <w:autoRedefine/>
    <w:rsid w:val="00C57BAB"/>
    <w:pPr>
      <w:numPr>
        <w:numId w:val="1"/>
      </w:numPr>
      <w:tabs>
        <w:tab w:val="left" w:pos="1701"/>
      </w:tabs>
      <w:ind w:left="1701" w:hanging="567"/>
    </w:pPr>
    <w:rPr>
      <w:rFonts w:ascii="Times New Roman" w:hAnsi="Times New Roman" w:cs="Tahoma"/>
      <w:b/>
      <w:sz w:val="22"/>
      <w:szCs w:val="22"/>
      <w:lang w:val="en-GB"/>
    </w:rPr>
  </w:style>
  <w:style w:type="character" w:customStyle="1" w:styleId="BT-EMEASMCAChar">
    <w:name w:val="BT- EMEA_SMCA Char"/>
    <w:link w:val="BT-EMEASMCA"/>
    <w:locked/>
    <w:rsid w:val="00C57BAB"/>
    <w:rPr>
      <w:rFonts w:ascii="Times New Roman" w:eastAsia="Times New Roman" w:hAnsi="Times New Roman" w:cs="Arial"/>
      <w:shd w:val="clear" w:color="auto" w:fill="FFFFFF"/>
    </w:rPr>
  </w:style>
  <w:style w:type="paragraph" w:customStyle="1" w:styleId="BT-EMEASMCA">
    <w:name w:val="BT- EMEA_SMCA"/>
    <w:basedOn w:val="BTEMEASMCA"/>
    <w:link w:val="BT-EMEASMCAChar"/>
    <w:autoRedefine/>
    <w:rsid w:val="00C57BAB"/>
    <w:pPr>
      <w:numPr>
        <w:numId w:val="2"/>
      </w:numPr>
      <w:shd w:val="clear" w:color="auto" w:fill="FFFFFF"/>
    </w:pPr>
    <w:rPr>
      <w:rFonts w:cs="Arial"/>
      <w:noProof w:val="0"/>
    </w:rPr>
  </w:style>
  <w:style w:type="paragraph" w:customStyle="1" w:styleId="PI-3EMEASMCA">
    <w:name w:val="PI-3 EMEA_SMCA"/>
    <w:basedOn w:val="prastasis"/>
    <w:autoRedefine/>
    <w:rsid w:val="00C57BAB"/>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C57BAB"/>
    <w:rPr>
      <w:b/>
    </w:rPr>
  </w:style>
  <w:style w:type="paragraph" w:customStyle="1" w:styleId="BTeEMEASMCA">
    <w:name w:val="BT(e) EMEA_SMCA"/>
    <w:basedOn w:val="BTEMEASMCA"/>
    <w:autoRedefine/>
    <w:rsid w:val="00C57BAB"/>
    <w:pPr>
      <w:jc w:val="center"/>
    </w:pPr>
    <w:rPr>
      <w:b/>
    </w:rPr>
  </w:style>
  <w:style w:type="character" w:customStyle="1" w:styleId="BTgEMEASMCAChar">
    <w:name w:val="BT(g) EMEA_SMCA Char"/>
    <w:link w:val="BTgEMEASMCA"/>
    <w:locked/>
    <w:rsid w:val="00C57BAB"/>
    <w:rPr>
      <w:rFonts w:ascii="Times New Roman" w:eastAsia="Times New Roman" w:hAnsi="Times New Roman" w:cs="Arial"/>
      <w:i/>
      <w:color w:val="008000"/>
    </w:rPr>
  </w:style>
  <w:style w:type="paragraph" w:customStyle="1" w:styleId="BTgEMEASMCA">
    <w:name w:val="BT(g) EMEA_SMCA"/>
    <w:basedOn w:val="BTEMEASMCA"/>
    <w:link w:val="BTgEMEASMCAChar"/>
    <w:autoRedefine/>
    <w:rsid w:val="00C57BAB"/>
    <w:rPr>
      <w:rFonts w:cs="Arial"/>
      <w:i/>
      <w:noProof w:val="0"/>
      <w:color w:val="008000"/>
    </w:rPr>
  </w:style>
  <w:style w:type="paragraph" w:customStyle="1" w:styleId="BTuEMEASMCA">
    <w:name w:val="BT(u) EMEA_SMCA"/>
    <w:basedOn w:val="BTEMEASMCA"/>
    <w:autoRedefine/>
    <w:rsid w:val="00C57BAB"/>
  </w:style>
  <w:style w:type="paragraph" w:customStyle="1" w:styleId="BTbeEMEASMCA">
    <w:name w:val="BT(be) EMEA_SMCA"/>
    <w:basedOn w:val="BTEMEASMCA"/>
    <w:autoRedefine/>
    <w:rsid w:val="00C57BAB"/>
    <w:pPr>
      <w:jc w:val="center"/>
    </w:pPr>
    <w:rPr>
      <w:b/>
    </w:rPr>
  </w:style>
  <w:style w:type="paragraph" w:customStyle="1" w:styleId="Formatvorlage1">
    <w:name w:val="Formatvorlage1"/>
    <w:basedOn w:val="prastasis"/>
    <w:rsid w:val="00C57BAB"/>
    <w:pPr>
      <w:spacing w:after="0" w:line="240" w:lineRule="auto"/>
    </w:pPr>
    <w:rPr>
      <w:rFonts w:ascii="Verdana" w:eastAsia="Times New Roman" w:hAnsi="Verdana"/>
      <w:szCs w:val="24"/>
      <w:lang w:val="de-DE" w:eastAsia="de-DE"/>
    </w:rPr>
  </w:style>
  <w:style w:type="character" w:styleId="Komentaronuoroda">
    <w:name w:val="annotation reference"/>
    <w:semiHidden/>
    <w:unhideWhenUsed/>
    <w:rsid w:val="00C57BAB"/>
    <w:rPr>
      <w:sz w:val="16"/>
      <w:szCs w:val="16"/>
    </w:rPr>
  </w:style>
  <w:style w:type="table" w:styleId="Lentelstinklelis">
    <w:name w:val="Table Grid"/>
    <w:basedOn w:val="prastojilentel"/>
    <w:uiPriority w:val="59"/>
    <w:rsid w:val="00C57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1C2DEE"/>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rsid w:val="001C2DEE"/>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31590</Words>
  <Characters>18007</Characters>
  <Application>Microsoft Office Word</Application>
  <DocSecurity>4</DocSecurity>
  <Lines>150</Lines>
  <Paragraphs>98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49499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2</cp:revision>
  <dcterms:created xsi:type="dcterms:W3CDTF">2019-12-16T08:11:00Z</dcterms:created>
  <dcterms:modified xsi:type="dcterms:W3CDTF">2019-12-16T08:11:00Z</dcterms:modified>
</cp:coreProperties>
</file>