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2B" w:rsidRPr="00A20CA2" w:rsidRDefault="00BF662B" w:rsidP="00BF662B">
      <w:pPr>
        <w:pStyle w:val="TTEMEASMCA"/>
        <w:pageBreakBefore/>
      </w:pPr>
      <w:r w:rsidRPr="00A20CA2">
        <w:t>Pakuotės lapelis: informacija pacientui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beEMEASMCA"/>
      </w:pPr>
      <w:proofErr w:type="spellStart"/>
      <w:r w:rsidRPr="00A20CA2">
        <w:t>Indapen</w:t>
      </w:r>
      <w:proofErr w:type="spellEnd"/>
      <w:r w:rsidRPr="00A20CA2">
        <w:t xml:space="preserve"> SR 1,5 mg pailginto atpalaidavimo tabletės</w:t>
      </w:r>
    </w:p>
    <w:p w:rsidR="00BF662B" w:rsidRPr="00A20CA2" w:rsidRDefault="00BF662B" w:rsidP="00BF662B">
      <w:pPr>
        <w:pStyle w:val="BTeEMEASMCA"/>
      </w:pPr>
      <w:proofErr w:type="spellStart"/>
      <w:r w:rsidRPr="00A20CA2">
        <w:t>Indapamidas</w:t>
      </w:r>
      <w:proofErr w:type="spellEnd"/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bEMEASMCA"/>
      </w:pPr>
      <w:r w:rsidRPr="00A20CA2">
        <w:t>Atidžiai perskaitykite visą šį lapelį, prieš pradėdami vartoti vaistą, nes jame pateikiama Jums svarbi informacija.</w:t>
      </w:r>
    </w:p>
    <w:p w:rsidR="00BF662B" w:rsidRPr="00A20CA2" w:rsidRDefault="00BF662B" w:rsidP="00BF662B">
      <w:pPr>
        <w:pStyle w:val="BT-EMEASMCA"/>
      </w:pPr>
      <w:r w:rsidRPr="00A20CA2">
        <w:t>Neišmeskite šio lapelio, nes vėl gali prireikti jį perskaityti.</w:t>
      </w:r>
    </w:p>
    <w:p w:rsidR="00BF662B" w:rsidRPr="00A20CA2" w:rsidRDefault="00BF662B" w:rsidP="00BF662B">
      <w:pPr>
        <w:pStyle w:val="BT-EMEASMCA"/>
      </w:pPr>
      <w:r w:rsidRPr="00A20CA2">
        <w:t>Jeigu kiltų daugiau klausimų, kreipkitės į gydytoją.</w:t>
      </w:r>
    </w:p>
    <w:p w:rsidR="00BF662B" w:rsidRPr="00A20CA2" w:rsidRDefault="00BF662B" w:rsidP="00BF662B">
      <w:pPr>
        <w:pStyle w:val="BT-EMEASMCA"/>
      </w:pPr>
      <w:r w:rsidRPr="00A20CA2">
        <w:t>Šis vaistas skirtas tik Jums, todėl kitiems žmonėms jo duoti negalima. Vaistas gali jiems pakenkti (net tiems, kurių ligos požymiai yra tokie patys kaip Jūsų).</w:t>
      </w:r>
    </w:p>
    <w:p w:rsidR="00BF662B" w:rsidRPr="00A20CA2" w:rsidRDefault="00BF662B" w:rsidP="00BF662B">
      <w:pPr>
        <w:pStyle w:val="BT-EMEASMCA"/>
      </w:pPr>
      <w:r w:rsidRPr="00A20CA2">
        <w:t>Jeigu pasireiškė šalutinis poveikis (net jeigu jis šiame lapelyje nenurodytas), kreipkitės į gydytoją arba vaistininką. Žr. 4 skyrių.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bEMEASMCA"/>
      </w:pPr>
      <w:r w:rsidRPr="00A20CA2">
        <w:t>Apie ką rašoma šiame lapelyje?</w:t>
      </w:r>
    </w:p>
    <w:p w:rsidR="00BF662B" w:rsidRPr="00A20CA2" w:rsidRDefault="00BF662B" w:rsidP="00BF662B">
      <w:pPr>
        <w:pStyle w:val="BTbEMEASMCA"/>
      </w:pPr>
    </w:p>
    <w:p w:rsidR="00BF662B" w:rsidRPr="00A20CA2" w:rsidRDefault="00BF662B" w:rsidP="00BF662B">
      <w:pPr>
        <w:pStyle w:val="BTEMEASMCA"/>
      </w:pPr>
      <w:r w:rsidRPr="00A20CA2">
        <w:t>1.</w:t>
      </w:r>
      <w:r w:rsidRPr="00A20CA2">
        <w:tab/>
        <w:t xml:space="preserve">Kas yra </w:t>
      </w:r>
      <w:proofErr w:type="spellStart"/>
      <w:r w:rsidRPr="00A20CA2">
        <w:t>Indapen</w:t>
      </w:r>
      <w:proofErr w:type="spellEnd"/>
      <w:r w:rsidRPr="00A20CA2">
        <w:t xml:space="preserve"> SR ir kam jis vartojamas</w:t>
      </w:r>
    </w:p>
    <w:p w:rsidR="00BF662B" w:rsidRPr="00A20CA2" w:rsidRDefault="00BF662B" w:rsidP="00BF662B">
      <w:pPr>
        <w:pStyle w:val="BTEMEASMCA"/>
      </w:pPr>
      <w:r w:rsidRPr="00A20CA2">
        <w:t>2.</w:t>
      </w:r>
      <w:r w:rsidRPr="00A20CA2">
        <w:tab/>
        <w:t xml:space="preserve">Kas žinotina prieš vartojant </w:t>
      </w:r>
      <w:proofErr w:type="spellStart"/>
      <w:r w:rsidRPr="00A20CA2">
        <w:t>Indapen</w:t>
      </w:r>
      <w:proofErr w:type="spellEnd"/>
      <w:r w:rsidRPr="00A20CA2">
        <w:t xml:space="preserve"> SR</w:t>
      </w:r>
    </w:p>
    <w:p w:rsidR="00BF662B" w:rsidRPr="00A20CA2" w:rsidRDefault="00BF662B" w:rsidP="00BF662B">
      <w:pPr>
        <w:pStyle w:val="BTEMEASMCA"/>
      </w:pPr>
      <w:r w:rsidRPr="00A20CA2">
        <w:t>3.</w:t>
      </w:r>
      <w:r w:rsidRPr="00A20CA2">
        <w:tab/>
        <w:t xml:space="preserve">Kaip vartoti </w:t>
      </w:r>
      <w:proofErr w:type="spellStart"/>
      <w:r w:rsidRPr="00A20CA2">
        <w:t>Indapen</w:t>
      </w:r>
      <w:proofErr w:type="spellEnd"/>
      <w:r w:rsidRPr="00A20CA2">
        <w:t xml:space="preserve"> SR</w:t>
      </w:r>
    </w:p>
    <w:p w:rsidR="00BF662B" w:rsidRPr="00A20CA2" w:rsidRDefault="00BF662B" w:rsidP="00BF662B">
      <w:pPr>
        <w:pStyle w:val="BTEMEASMCA"/>
      </w:pPr>
      <w:r w:rsidRPr="00A20CA2">
        <w:t>4.</w:t>
      </w:r>
      <w:r w:rsidRPr="00A20CA2">
        <w:tab/>
        <w:t>Galimas šalutinis poveikis</w:t>
      </w:r>
    </w:p>
    <w:p w:rsidR="00BF662B" w:rsidRPr="00A20CA2" w:rsidRDefault="00BF662B" w:rsidP="00BF662B">
      <w:pPr>
        <w:pStyle w:val="BTEMEASMCA"/>
      </w:pPr>
      <w:r w:rsidRPr="00A20CA2">
        <w:t>5.</w:t>
      </w:r>
      <w:r w:rsidRPr="00A20CA2">
        <w:tab/>
        <w:t xml:space="preserve">Kaip laikyti </w:t>
      </w:r>
      <w:proofErr w:type="spellStart"/>
      <w:r w:rsidRPr="00A20CA2">
        <w:t>Indapen</w:t>
      </w:r>
      <w:proofErr w:type="spellEnd"/>
      <w:r w:rsidRPr="00A20CA2">
        <w:t xml:space="preserve"> SR</w:t>
      </w:r>
    </w:p>
    <w:p w:rsidR="00BF662B" w:rsidRPr="00A20CA2" w:rsidRDefault="00BF662B" w:rsidP="00BF662B">
      <w:pPr>
        <w:pStyle w:val="BTEMEASMCA"/>
      </w:pPr>
      <w:r w:rsidRPr="00A20CA2">
        <w:t>6.</w:t>
      </w:r>
      <w:r w:rsidRPr="00A20CA2">
        <w:tab/>
        <w:t>Pakuotės turinys ir kita informacija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1EMEASMCA"/>
      </w:pPr>
      <w:bookmarkStart w:id="0" w:name="_Toc129243264"/>
      <w:bookmarkStart w:id="1" w:name="_Toc129243139"/>
      <w:r w:rsidRPr="00B27B31">
        <w:t>1</w:t>
      </w:r>
      <w:r w:rsidRPr="00A20CA2">
        <w:t>.</w:t>
      </w:r>
      <w:r w:rsidRPr="00A20CA2">
        <w:tab/>
        <w:t xml:space="preserve">Kas yra </w:t>
      </w:r>
      <w:proofErr w:type="spellStart"/>
      <w:r w:rsidRPr="00A20CA2">
        <w:t>Indapen</w:t>
      </w:r>
      <w:proofErr w:type="spellEnd"/>
      <w:r w:rsidRPr="00A20CA2">
        <w:t xml:space="preserve"> SR ir kam jis vartojamas</w:t>
      </w:r>
      <w:bookmarkEnd w:id="0"/>
      <w:bookmarkEnd w:id="1"/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  <w:rPr>
          <w:iCs/>
        </w:rPr>
      </w:pPr>
      <w:proofErr w:type="spellStart"/>
      <w:r w:rsidRPr="00A20CA2">
        <w:t>Indapen</w:t>
      </w:r>
      <w:proofErr w:type="spellEnd"/>
      <w:r w:rsidRPr="00A20CA2">
        <w:t xml:space="preserve"> SR yra vaistinis preparatas, diuretikas, kuris didina inkstuose gaminamo šlapimo kiekį.</w:t>
      </w:r>
    </w:p>
    <w:p w:rsidR="00BF662B" w:rsidRPr="00A20CA2" w:rsidRDefault="00BF662B" w:rsidP="00BF662B">
      <w:pPr>
        <w:rPr>
          <w:sz w:val="22"/>
          <w:szCs w:val="22"/>
        </w:rPr>
      </w:pPr>
      <w:r w:rsidRPr="00B27B31">
        <w:rPr>
          <w:iCs/>
          <w:sz w:val="22"/>
          <w:szCs w:val="22"/>
        </w:rPr>
        <w:t>Š</w:t>
      </w:r>
      <w:r w:rsidRPr="00A20CA2">
        <w:rPr>
          <w:iCs/>
          <w:sz w:val="22"/>
          <w:szCs w:val="22"/>
        </w:rPr>
        <w:t>is vaistinis preparatas skirtas didelio kraujospūdžio ligai (hipertenzijai) gydyti.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</w:p>
    <w:p w:rsidR="00BF662B" w:rsidRPr="00E4636E" w:rsidRDefault="00BF662B" w:rsidP="00BF662B">
      <w:pPr>
        <w:pStyle w:val="PI-1EMEASMCA"/>
      </w:pPr>
      <w:bookmarkStart w:id="2" w:name="_Toc129243265"/>
      <w:bookmarkStart w:id="3" w:name="_Toc129243140"/>
      <w:r w:rsidRPr="00E4636E">
        <w:t>2.</w:t>
      </w:r>
      <w:r w:rsidRPr="00E4636E">
        <w:tab/>
        <w:t xml:space="preserve">Kas žinotina prieš vartojant </w:t>
      </w:r>
      <w:proofErr w:type="spellStart"/>
      <w:r w:rsidRPr="00E4636E">
        <w:t>Indapen</w:t>
      </w:r>
      <w:proofErr w:type="spellEnd"/>
      <w:r w:rsidRPr="00E4636E">
        <w:t xml:space="preserve"> SR</w:t>
      </w:r>
      <w:bookmarkEnd w:id="2"/>
      <w:bookmarkEnd w:id="3"/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</w:pPr>
      <w:proofErr w:type="spellStart"/>
      <w:r w:rsidRPr="00B27B31">
        <w:t>I</w:t>
      </w:r>
      <w:r w:rsidRPr="00A20CA2">
        <w:t>ndapen</w:t>
      </w:r>
      <w:proofErr w:type="spellEnd"/>
      <w:r w:rsidRPr="00A20CA2">
        <w:t xml:space="preserve"> SR vartoti </w:t>
      </w:r>
      <w:r>
        <w:t>draudžiama</w:t>
      </w:r>
      <w:r w:rsidRPr="00A20CA2">
        <w:t>:</w:t>
      </w:r>
    </w:p>
    <w:p w:rsidR="00BF662B" w:rsidRPr="00A20CA2" w:rsidRDefault="00BF662B" w:rsidP="00BF662B">
      <w:pPr>
        <w:pStyle w:val="BT-EMEASMCA"/>
      </w:pPr>
      <w:r w:rsidRPr="00A20CA2">
        <w:t xml:space="preserve">jeigu yra alergija </w:t>
      </w:r>
      <w:proofErr w:type="spellStart"/>
      <w:r w:rsidRPr="00A20CA2">
        <w:t>indapamidui</w:t>
      </w:r>
      <w:proofErr w:type="spellEnd"/>
      <w:r w:rsidRPr="00A20CA2">
        <w:t xml:space="preserve"> arba bet kuriai pagalbinei šio vaisto medžiagai (jos išvardytos 6 skyriuje);</w:t>
      </w:r>
    </w:p>
    <w:p w:rsidR="00BF662B" w:rsidRPr="00A20CA2" w:rsidRDefault="00BF662B" w:rsidP="00BF662B">
      <w:pPr>
        <w:pStyle w:val="BT-EMEASMCA"/>
      </w:pPr>
      <w:r w:rsidRPr="00A20CA2">
        <w:t xml:space="preserve">jeigu yra alergija bet kuriam kitam </w:t>
      </w:r>
      <w:proofErr w:type="spellStart"/>
      <w:r w:rsidRPr="00A20CA2">
        <w:t>sulfonamidui</w:t>
      </w:r>
      <w:proofErr w:type="spellEnd"/>
      <w:r w:rsidRPr="00A20CA2">
        <w:t xml:space="preserve">, tokiam kaip </w:t>
      </w:r>
      <w:proofErr w:type="spellStart"/>
      <w:r w:rsidRPr="00A20CA2">
        <w:t>trimetoprimas</w:t>
      </w:r>
      <w:proofErr w:type="spellEnd"/>
      <w:r w:rsidRPr="00A20CA2">
        <w:t xml:space="preserve">, </w:t>
      </w:r>
      <w:proofErr w:type="spellStart"/>
      <w:r w:rsidRPr="00A20CA2">
        <w:t>kotrimoksazolas</w:t>
      </w:r>
      <w:proofErr w:type="spellEnd"/>
      <w:r w:rsidRPr="00A20CA2">
        <w:t>;</w:t>
      </w:r>
    </w:p>
    <w:p w:rsidR="00BF662B" w:rsidRPr="00A20CA2" w:rsidRDefault="00BF662B" w:rsidP="00BF662B">
      <w:pPr>
        <w:pStyle w:val="BT-EMEASMCA"/>
      </w:pPr>
      <w:r w:rsidRPr="00A20CA2">
        <w:t xml:space="preserve">jei sergate sunkia kepenų liga ar jums nustatyta būklė, vadinama </w:t>
      </w:r>
      <w:proofErr w:type="spellStart"/>
      <w:r w:rsidRPr="00A20CA2">
        <w:t>hepatine</w:t>
      </w:r>
      <w:proofErr w:type="spellEnd"/>
      <w:r w:rsidRPr="00A20CA2">
        <w:t xml:space="preserve"> </w:t>
      </w:r>
      <w:proofErr w:type="spellStart"/>
      <w:r w:rsidRPr="00A20CA2">
        <w:t>encefalopatija</w:t>
      </w:r>
      <w:proofErr w:type="spellEnd"/>
      <w:r w:rsidRPr="00A20CA2">
        <w:t xml:space="preserve"> (degeneracinė smegenų liga);</w:t>
      </w:r>
    </w:p>
    <w:p w:rsidR="00BF662B" w:rsidRPr="00A20CA2" w:rsidRDefault="00BF662B" w:rsidP="00BF662B">
      <w:pPr>
        <w:pStyle w:val="BT-EMEASMCA"/>
      </w:pPr>
      <w:r w:rsidRPr="00A20CA2">
        <w:t>jei sergate sunkia inkstų liga;</w:t>
      </w:r>
    </w:p>
    <w:p w:rsidR="00BF662B" w:rsidRPr="00A20CA2" w:rsidRDefault="00BF662B" w:rsidP="00BF662B">
      <w:pPr>
        <w:pStyle w:val="BT-EMEASMCA"/>
      </w:pPr>
      <w:r w:rsidRPr="00A20CA2">
        <w:t>jei gydytojas Jums yra sakęs, kad Jūsų kraujyje mažas kalio kiekis.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tabs>
          <w:tab w:val="left" w:pos="567"/>
        </w:tabs>
        <w:jc w:val="both"/>
        <w:rPr>
          <w:sz w:val="22"/>
          <w:szCs w:val="22"/>
        </w:rPr>
      </w:pPr>
      <w:r w:rsidRPr="00B27B31">
        <w:rPr>
          <w:b/>
          <w:bCs/>
          <w:sz w:val="22"/>
          <w:szCs w:val="22"/>
        </w:rPr>
        <w:t>Į</w:t>
      </w:r>
      <w:r w:rsidRPr="00A20CA2">
        <w:rPr>
          <w:b/>
          <w:bCs/>
          <w:sz w:val="22"/>
          <w:szCs w:val="22"/>
        </w:rPr>
        <w:t>spėjimai ir atsargumo priemonės</w:t>
      </w:r>
    </w:p>
    <w:p w:rsidR="00BF662B" w:rsidRPr="00A20CA2" w:rsidRDefault="00BF662B" w:rsidP="00BF662B">
      <w:pPr>
        <w:ind w:right="-2"/>
        <w:rPr>
          <w:sz w:val="22"/>
          <w:szCs w:val="22"/>
        </w:rPr>
      </w:pPr>
      <w:r w:rsidRPr="00A20CA2">
        <w:rPr>
          <w:sz w:val="22"/>
          <w:szCs w:val="22"/>
        </w:rPr>
        <w:t xml:space="preserve">Pasitarkite su gydytoju, prieš pradėdami vartoti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SR.</w:t>
      </w:r>
    </w:p>
    <w:p w:rsidR="00BF662B" w:rsidRPr="00A20CA2" w:rsidRDefault="00BF662B" w:rsidP="00BF662B">
      <w:pPr>
        <w:pStyle w:val="PI-3EMEASMCA"/>
      </w:pPr>
      <w:r w:rsidRPr="00B27B31">
        <w:t xml:space="preserve">Prieš </w:t>
      </w:r>
      <w:r w:rsidRPr="00A20CA2">
        <w:t>pradėdami vartoti šio vaisto, pasakykite gydytojui, jeigu Jums yra arba anksčiau buvo pasireiškusi bet kuri iš toliau nurodytų ligų ar sutrikimų:</w:t>
      </w:r>
    </w:p>
    <w:p w:rsidR="00BF662B" w:rsidRPr="00A20CA2" w:rsidRDefault="00BF662B" w:rsidP="00BF662B">
      <w:pPr>
        <w:pStyle w:val="BT-EMEASMCA"/>
      </w:pPr>
      <w:r w:rsidRPr="00A20CA2">
        <w:t>jeigu Jūs sergate širdies liga, širdies nepakankamumu ar yra sutrikęs širdies ritmas;</w:t>
      </w:r>
    </w:p>
    <w:p w:rsidR="00BF662B" w:rsidRPr="00A20CA2" w:rsidRDefault="00BF662B" w:rsidP="00BF662B">
      <w:pPr>
        <w:pStyle w:val="BT-EMEASMCA"/>
      </w:pPr>
      <w:r w:rsidRPr="00A20CA2">
        <w:t>jei sergate cukriniu diabetu (prašom reguliariai tikrinti cukraus kiekį kraujyje);</w:t>
      </w:r>
    </w:p>
    <w:p w:rsidR="00BF662B" w:rsidRPr="00A20CA2" w:rsidRDefault="00BF662B" w:rsidP="00BF662B">
      <w:pPr>
        <w:pStyle w:val="BT-EMEASMCA"/>
      </w:pPr>
      <w:r w:rsidRPr="00A20CA2">
        <w:t>jei sergate podagra;</w:t>
      </w:r>
    </w:p>
    <w:p w:rsidR="00BF662B" w:rsidRPr="00A20CA2" w:rsidRDefault="00BF662B" w:rsidP="00BF662B">
      <w:pPr>
        <w:pStyle w:val="BT-EMEASMCA"/>
      </w:pPr>
      <w:r w:rsidRPr="00A20CA2">
        <w:t>jei sutrikusi inkstų veikla;</w:t>
      </w:r>
    </w:p>
    <w:p w:rsidR="00BF662B" w:rsidRPr="00A20CA2" w:rsidRDefault="00BF662B" w:rsidP="00BF662B">
      <w:pPr>
        <w:pStyle w:val="BT-EMEASMCA"/>
      </w:pPr>
      <w:r w:rsidRPr="00A20CA2">
        <w:t>jeigu sutrikusi Jūsų kepenų veikla.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autoSpaceDE w:val="0"/>
        <w:autoSpaceDN w:val="0"/>
        <w:adjustRightInd w:val="0"/>
        <w:rPr>
          <w:sz w:val="22"/>
          <w:szCs w:val="22"/>
        </w:rPr>
      </w:pPr>
      <w:r w:rsidRPr="00A20CA2">
        <w:rPr>
          <w:sz w:val="22"/>
          <w:szCs w:val="22"/>
        </w:rPr>
        <w:t xml:space="preserve">Jeigu jums susilpnėja regėjimas arba atsiranda akies skausmas. Šie simptomai gali būti skysčio susikaupimo akies kraujagysliniame dangale (tarp </w:t>
      </w:r>
      <w:proofErr w:type="spellStart"/>
      <w:r w:rsidRPr="00A20CA2">
        <w:rPr>
          <w:sz w:val="22"/>
          <w:szCs w:val="22"/>
        </w:rPr>
        <w:t>gyslainės</w:t>
      </w:r>
      <w:proofErr w:type="spellEnd"/>
      <w:r w:rsidRPr="00A20CA2">
        <w:rPr>
          <w:sz w:val="22"/>
          <w:szCs w:val="22"/>
        </w:rPr>
        <w:t xml:space="preserve"> ir </w:t>
      </w:r>
      <w:proofErr w:type="spellStart"/>
      <w:r w:rsidRPr="00A20CA2">
        <w:rPr>
          <w:sz w:val="22"/>
          <w:szCs w:val="22"/>
        </w:rPr>
        <w:t>skleros</w:t>
      </w:r>
      <w:proofErr w:type="spellEnd"/>
      <w:r w:rsidRPr="00A20CA2">
        <w:rPr>
          <w:sz w:val="22"/>
          <w:szCs w:val="22"/>
        </w:rPr>
        <w:t xml:space="preserve">) arba padidėjusio akispūdžio požymiai ir gali atsirasti po kelių valandų ar net po savaitės nuo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vartojimo pradžios.</w:t>
      </w:r>
    </w:p>
    <w:p w:rsidR="00BF662B" w:rsidRPr="00A20CA2" w:rsidRDefault="00BF662B" w:rsidP="00BF662B">
      <w:pPr>
        <w:autoSpaceDE w:val="0"/>
        <w:autoSpaceDN w:val="0"/>
        <w:adjustRightInd w:val="0"/>
        <w:rPr>
          <w:sz w:val="22"/>
          <w:szCs w:val="22"/>
        </w:rPr>
      </w:pPr>
      <w:r w:rsidRPr="00A20CA2">
        <w:rPr>
          <w:sz w:val="22"/>
          <w:szCs w:val="22"/>
        </w:rPr>
        <w:t xml:space="preserve">Tai gali lemti nuolatinį aklumą, jeigu negydoma. Didesnė rizika bus tam išsivystyti, jeigu anksčiau Jums buvo pasireiškusi alergija penicilinui ar </w:t>
      </w:r>
      <w:proofErr w:type="spellStart"/>
      <w:r w:rsidRPr="00A20CA2">
        <w:rPr>
          <w:sz w:val="22"/>
          <w:szCs w:val="22"/>
        </w:rPr>
        <w:t>sulfonamidams</w:t>
      </w:r>
      <w:proofErr w:type="spellEnd"/>
      <w:r w:rsidRPr="00A20CA2">
        <w:rPr>
          <w:sz w:val="22"/>
          <w:szCs w:val="22"/>
        </w:rPr>
        <w:t>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proofErr w:type="spellStart"/>
      <w:r w:rsidRPr="00A20CA2">
        <w:lastRenderedPageBreak/>
        <w:t>Indapen</w:t>
      </w:r>
      <w:proofErr w:type="spellEnd"/>
      <w:r w:rsidRPr="00A20CA2">
        <w:t xml:space="preserve"> SR veikia kalio ir natrio kiekį kraujyje. Jūsų gydytojas gali Jums liepti atlikti kraujo tyrimus, kad galėtų nustatyti kalio ir natrio kiekį kraujyje prieš gydymą ir gydymo metu.</w:t>
      </w:r>
    </w:p>
    <w:p w:rsidR="00BF662B" w:rsidRPr="00A20CA2" w:rsidRDefault="00BF662B" w:rsidP="00BF662B">
      <w:pPr>
        <w:pStyle w:val="BTEMEASMCA"/>
      </w:pPr>
      <w:r w:rsidRPr="00A20CA2">
        <w:t>Tai ypač svarbu žmonėms, kuriems elektrolitų pusiausvyros sutrikimų pasireiškimo rizika yra didelė, pvz., senyvi, vartojantys daug medikamentų pacientai ar prastai besimaitinantys žmonės.</w:t>
      </w:r>
    </w:p>
    <w:p w:rsidR="00BF662B" w:rsidRPr="00B27B31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gali sukelti odos jautrumo šviesai reakcijų. </w:t>
      </w:r>
      <w:r w:rsidRPr="00A20CA2">
        <w:rPr>
          <w:iCs/>
          <w:sz w:val="22"/>
          <w:szCs w:val="22"/>
        </w:rPr>
        <w:t xml:space="preserve">Jeigu taip atsitinka, turite pasakyti savo gydytojui, kad gydymą medikamentu nutrauktų.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vartojimo metu neuždengtas kūno vietas rekomenduojama saugoti nuo saulės ir dirbtinių UVA spindulių.</w:t>
      </w:r>
    </w:p>
    <w:p w:rsidR="00BF662B" w:rsidRPr="00A20CA2" w:rsidRDefault="00BF662B" w:rsidP="00BF662B">
      <w:pPr>
        <w:rPr>
          <w:iCs/>
          <w:sz w:val="22"/>
          <w:szCs w:val="22"/>
        </w:rPr>
      </w:pPr>
      <w:r w:rsidRPr="00A20CA2">
        <w:rPr>
          <w:sz w:val="22"/>
          <w:szCs w:val="22"/>
        </w:rPr>
        <w:t xml:space="preserve">Jeigu Jums reikia atlikti </w:t>
      </w:r>
      <w:proofErr w:type="spellStart"/>
      <w:r w:rsidRPr="00A20CA2">
        <w:rPr>
          <w:sz w:val="22"/>
          <w:szCs w:val="22"/>
        </w:rPr>
        <w:t>prieskydinių</w:t>
      </w:r>
      <w:proofErr w:type="spellEnd"/>
      <w:r w:rsidRPr="00A20CA2">
        <w:rPr>
          <w:sz w:val="22"/>
          <w:szCs w:val="22"/>
        </w:rPr>
        <w:t xml:space="preserve"> liaukų veiklos tyrimą: pasakykite apie tai gydytojui, kad gydymą </w:t>
      </w:r>
      <w:proofErr w:type="spellStart"/>
      <w:r w:rsidRPr="00A20CA2">
        <w:rPr>
          <w:sz w:val="22"/>
          <w:szCs w:val="22"/>
        </w:rPr>
        <w:t>indapamidu</w:t>
      </w:r>
      <w:proofErr w:type="spellEnd"/>
      <w:r w:rsidRPr="00A20CA2">
        <w:rPr>
          <w:sz w:val="22"/>
          <w:szCs w:val="22"/>
        </w:rPr>
        <w:t xml:space="preserve"> sustabdytų.</w:t>
      </w:r>
    </w:p>
    <w:p w:rsidR="00BF662B" w:rsidRPr="00A20CA2" w:rsidRDefault="00BF662B" w:rsidP="00BF662B">
      <w:pPr>
        <w:rPr>
          <w:iCs/>
          <w:sz w:val="22"/>
          <w:szCs w:val="22"/>
        </w:rPr>
      </w:pPr>
    </w:p>
    <w:p w:rsidR="00BF662B" w:rsidRPr="00A20CA2" w:rsidRDefault="00BF662B" w:rsidP="00BF662B">
      <w:pPr>
        <w:rPr>
          <w:iCs/>
          <w:sz w:val="22"/>
          <w:szCs w:val="22"/>
        </w:rPr>
      </w:pPr>
      <w:r w:rsidRPr="00A20CA2">
        <w:rPr>
          <w:iCs/>
          <w:sz w:val="22"/>
          <w:szCs w:val="22"/>
        </w:rPr>
        <w:t xml:space="preserve">Sportininkai privalo žinoti, kad dėl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</w:t>
      </w:r>
      <w:r w:rsidRPr="00A20CA2">
        <w:rPr>
          <w:iCs/>
          <w:sz w:val="22"/>
          <w:szCs w:val="22"/>
        </w:rPr>
        <w:t>gali būti tariamai teigiamas dopingo testas.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iCs/>
          <w:sz w:val="22"/>
          <w:szCs w:val="22"/>
        </w:rPr>
        <w:t>Jei manote, kad kuri nors iš paminėtų būklių Jums tinka, arba turite klausimų ar abejonių dėl šio vaisto vartojimo, pasitarkite su gydytoju arba vaistininku.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</w:pPr>
      <w:r w:rsidRPr="00B27B31">
        <w:t>K</w:t>
      </w:r>
      <w:r w:rsidRPr="00A20CA2">
        <w:t xml:space="preserve">iti vaistai ir </w:t>
      </w:r>
      <w:proofErr w:type="spellStart"/>
      <w:r w:rsidRPr="00A20CA2">
        <w:t>Indapen</w:t>
      </w:r>
      <w:proofErr w:type="spellEnd"/>
      <w:r w:rsidRPr="00A20CA2">
        <w:t xml:space="preserve"> SR</w:t>
      </w:r>
    </w:p>
    <w:p w:rsidR="00BF662B" w:rsidRPr="00A20CA2" w:rsidRDefault="00BF662B" w:rsidP="00BF662B">
      <w:pPr>
        <w:pStyle w:val="PI-3EMEASMCA"/>
      </w:pPr>
    </w:p>
    <w:p w:rsidR="00BF662B" w:rsidRPr="00A20CA2" w:rsidRDefault="00BF662B" w:rsidP="00BF662B">
      <w:pPr>
        <w:pStyle w:val="BTEMEASMCA"/>
      </w:pPr>
      <w:r w:rsidRPr="00A20CA2">
        <w:t>Jeigu vartojate ar neseniai vartojote kitų vaistų arba dėl to nesate tikri, apie tai pasakykite gydytojui arba vaistininkui.</w:t>
      </w:r>
    </w:p>
    <w:p w:rsidR="00BF662B" w:rsidRPr="00A20CA2" w:rsidRDefault="00BF662B" w:rsidP="00BF662B">
      <w:pPr>
        <w:pStyle w:val="BTEMEASMCA"/>
        <w:rPr>
          <w:i/>
          <w:u w:val="single"/>
        </w:rPr>
      </w:pPr>
      <w:proofErr w:type="spellStart"/>
      <w:r w:rsidRPr="00A20CA2">
        <w:t>Indapen</w:t>
      </w:r>
      <w:proofErr w:type="spellEnd"/>
      <w:r w:rsidRPr="00A20CA2">
        <w:t xml:space="preserve"> SR poveikis, vartojant vaistą su kitais preparatais išvardytais toliau, gali būti pavojingas ar sukelti šalutinį poveikį. Pasakykite savo gydytojui jeigu vartojate bet kurį iš šių vaistinių preparatų:</w:t>
      </w:r>
    </w:p>
    <w:p w:rsidR="00BF662B" w:rsidRPr="00B27B31" w:rsidRDefault="00BF662B" w:rsidP="00BF662B">
      <w:pPr>
        <w:rPr>
          <w:bCs/>
          <w:i/>
          <w:sz w:val="22"/>
          <w:szCs w:val="22"/>
          <w:u w:val="single"/>
        </w:rPr>
      </w:pPr>
    </w:p>
    <w:p w:rsidR="00BF662B" w:rsidRPr="007D742C" w:rsidRDefault="00BF662B" w:rsidP="00BF662B">
      <w:pPr>
        <w:rPr>
          <w:iCs/>
          <w:sz w:val="22"/>
          <w:szCs w:val="22"/>
        </w:rPr>
      </w:pPr>
      <w:r w:rsidRPr="00A20CA2">
        <w:rPr>
          <w:bCs/>
          <w:sz w:val="22"/>
          <w:szCs w:val="22"/>
          <w:u w:val="single"/>
        </w:rPr>
        <w:t xml:space="preserve">Preparatai, kurių kartu su </w:t>
      </w:r>
      <w:proofErr w:type="spellStart"/>
      <w:r w:rsidRPr="00A20CA2">
        <w:rPr>
          <w:sz w:val="22"/>
          <w:szCs w:val="22"/>
          <w:u w:val="single"/>
        </w:rPr>
        <w:t>Indapen</w:t>
      </w:r>
      <w:proofErr w:type="spellEnd"/>
      <w:r w:rsidRPr="00A20CA2">
        <w:rPr>
          <w:sz w:val="22"/>
          <w:szCs w:val="22"/>
          <w:u w:val="single"/>
        </w:rPr>
        <w:t xml:space="preserve"> SR</w:t>
      </w:r>
      <w:r w:rsidRPr="00A20CA2">
        <w:rPr>
          <w:sz w:val="22"/>
          <w:szCs w:val="22"/>
        </w:rPr>
        <w:t xml:space="preserve"> </w:t>
      </w:r>
      <w:r w:rsidRPr="00A20CA2">
        <w:rPr>
          <w:bCs/>
          <w:sz w:val="22"/>
          <w:szCs w:val="22"/>
          <w:u w:val="single"/>
        </w:rPr>
        <w:t>vartoti nerekomenduojama</w:t>
      </w:r>
    </w:p>
    <w:p w:rsidR="00BF662B" w:rsidRPr="00A20CA2" w:rsidRDefault="00BF662B" w:rsidP="00BF662B">
      <w:pPr>
        <w:numPr>
          <w:ilvl w:val="0"/>
          <w:numId w:val="2"/>
        </w:numPr>
        <w:tabs>
          <w:tab w:val="clear" w:pos="360"/>
          <w:tab w:val="left" w:pos="540"/>
          <w:tab w:val="num" w:pos="567"/>
        </w:tabs>
        <w:ind w:left="567" w:hanging="567"/>
        <w:rPr>
          <w:bCs/>
          <w:iCs/>
          <w:sz w:val="22"/>
          <w:szCs w:val="22"/>
        </w:rPr>
      </w:pPr>
      <w:r w:rsidRPr="00A20CA2">
        <w:rPr>
          <w:bCs/>
          <w:iCs/>
          <w:sz w:val="22"/>
          <w:szCs w:val="22"/>
        </w:rPr>
        <w:t>Ličio preparatai (vaistai depresijai gydyti): n</w:t>
      </w:r>
      <w:r w:rsidRPr="00A20CA2">
        <w:rPr>
          <w:iCs/>
          <w:sz w:val="22"/>
          <w:szCs w:val="22"/>
        </w:rPr>
        <w:t xml:space="preserve">evartokite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</w:t>
      </w:r>
      <w:r w:rsidRPr="00A20CA2">
        <w:rPr>
          <w:iCs/>
          <w:sz w:val="22"/>
          <w:szCs w:val="22"/>
        </w:rPr>
        <w:t>kartu su ličio preparatais, nes gali padidėti ličio kiekis kraujyje ir atsirasti perdozavimų simptomų.</w:t>
      </w:r>
    </w:p>
    <w:p w:rsidR="00BF662B" w:rsidRPr="00A20CA2" w:rsidRDefault="00BF662B" w:rsidP="00BF662B">
      <w:pPr>
        <w:rPr>
          <w:bCs/>
          <w:iCs/>
          <w:sz w:val="22"/>
          <w:szCs w:val="22"/>
        </w:rPr>
      </w:pP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bCs/>
          <w:sz w:val="22"/>
          <w:szCs w:val="22"/>
          <w:u w:val="single"/>
        </w:rPr>
        <w:t xml:space="preserve">Preparatai, kurių kartu su </w:t>
      </w:r>
      <w:proofErr w:type="spellStart"/>
      <w:r w:rsidRPr="00A20CA2">
        <w:rPr>
          <w:sz w:val="22"/>
          <w:szCs w:val="22"/>
          <w:u w:val="single"/>
        </w:rPr>
        <w:t>Indapen</w:t>
      </w:r>
      <w:proofErr w:type="spellEnd"/>
      <w:r w:rsidRPr="00A20CA2">
        <w:rPr>
          <w:sz w:val="22"/>
          <w:szCs w:val="22"/>
          <w:u w:val="single"/>
        </w:rPr>
        <w:t xml:space="preserve"> SR</w:t>
      </w:r>
      <w:r w:rsidRPr="00A20CA2">
        <w:rPr>
          <w:sz w:val="22"/>
          <w:szCs w:val="22"/>
        </w:rPr>
        <w:t xml:space="preserve"> </w:t>
      </w:r>
      <w:r w:rsidRPr="00A20CA2">
        <w:rPr>
          <w:bCs/>
          <w:sz w:val="22"/>
          <w:szCs w:val="22"/>
          <w:u w:val="single"/>
        </w:rPr>
        <w:t>reikia vartoti atsargiai</w:t>
      </w: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A20CA2">
        <w:rPr>
          <w:i/>
          <w:sz w:val="22"/>
          <w:szCs w:val="22"/>
        </w:rPr>
        <w:t>Torsade</w:t>
      </w:r>
      <w:proofErr w:type="spellEnd"/>
      <w:r w:rsidRPr="00A20CA2">
        <w:rPr>
          <w:i/>
          <w:sz w:val="22"/>
          <w:szCs w:val="22"/>
        </w:rPr>
        <w:t xml:space="preserve"> de </w:t>
      </w:r>
      <w:proofErr w:type="spellStart"/>
      <w:r w:rsidRPr="00A20CA2">
        <w:rPr>
          <w:i/>
          <w:sz w:val="22"/>
          <w:szCs w:val="22"/>
        </w:rPr>
        <w:t>pointes</w:t>
      </w:r>
      <w:proofErr w:type="spellEnd"/>
      <w:r w:rsidRPr="00A20CA2">
        <w:rPr>
          <w:sz w:val="22"/>
          <w:szCs w:val="22"/>
        </w:rPr>
        <w:t xml:space="preserve"> (ypatinga širdies ritmo sutrikimo forma) gali sukelti kartu vartojami šie vaistiniai preparatai:</w:t>
      </w:r>
    </w:p>
    <w:p w:rsidR="00BF662B" w:rsidRPr="00A20CA2" w:rsidRDefault="00BF662B" w:rsidP="00BF662B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vaistai sutrikusiam širdies ritmui gydyti (pvz., </w:t>
      </w:r>
      <w:proofErr w:type="spellStart"/>
      <w:r w:rsidRPr="00A20CA2">
        <w:rPr>
          <w:sz w:val="22"/>
          <w:szCs w:val="22"/>
        </w:rPr>
        <w:t>chinidinas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hidrochinidinas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dizopiramidas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amjodaronas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sotalolis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dofetilidas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ibutilidas</w:t>
      </w:r>
      <w:proofErr w:type="spellEnd"/>
      <w:r w:rsidRPr="00A20CA2">
        <w:rPr>
          <w:sz w:val="22"/>
          <w:szCs w:val="22"/>
        </w:rPr>
        <w:t>);</w:t>
      </w:r>
    </w:p>
    <w:p w:rsidR="00BF662B" w:rsidRPr="00A20CA2" w:rsidRDefault="00BF662B" w:rsidP="00BF662B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vaistai psichikos sutrikimams gydyti (pvz., </w:t>
      </w:r>
      <w:proofErr w:type="spellStart"/>
      <w:r w:rsidRPr="00A20CA2">
        <w:rPr>
          <w:iCs/>
          <w:sz w:val="22"/>
          <w:szCs w:val="22"/>
        </w:rPr>
        <w:t>chlorpromazinas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ciamemazinas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levomepromazinas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tioridazinas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trifluoperazinas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amisulpridas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sulpiridas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sultopridas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tiapridas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droperidolis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haloperidolis</w:t>
      </w:r>
      <w:proofErr w:type="spellEnd"/>
      <w:r w:rsidRPr="00A20CA2">
        <w:rPr>
          <w:iCs/>
          <w:sz w:val="22"/>
          <w:szCs w:val="22"/>
        </w:rPr>
        <w:t>);</w:t>
      </w:r>
    </w:p>
    <w:p w:rsidR="00BF662B" w:rsidRPr="00A20CA2" w:rsidRDefault="00BF662B" w:rsidP="00BF662B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Kiti vaistai: </w:t>
      </w:r>
      <w:proofErr w:type="spellStart"/>
      <w:r w:rsidRPr="00A20CA2">
        <w:rPr>
          <w:sz w:val="22"/>
          <w:szCs w:val="22"/>
        </w:rPr>
        <w:t>bepridilis</w:t>
      </w:r>
      <w:proofErr w:type="spellEnd"/>
      <w:r w:rsidRPr="00A20CA2">
        <w:rPr>
          <w:sz w:val="22"/>
          <w:szCs w:val="22"/>
        </w:rPr>
        <w:t xml:space="preserve"> (vaistas nuo krūtinės anginos), </w:t>
      </w:r>
      <w:proofErr w:type="spellStart"/>
      <w:r w:rsidRPr="00A20CA2">
        <w:rPr>
          <w:sz w:val="22"/>
          <w:szCs w:val="22"/>
        </w:rPr>
        <w:t>cisapridas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difemanilis</w:t>
      </w:r>
      <w:proofErr w:type="spellEnd"/>
      <w:r w:rsidRPr="00A20CA2">
        <w:rPr>
          <w:sz w:val="22"/>
          <w:szCs w:val="22"/>
        </w:rPr>
        <w:t xml:space="preserve"> (vaistai, vartojami virškinimo trakto sutrikimams gydyti), </w:t>
      </w:r>
      <w:r w:rsidRPr="00A20CA2">
        <w:rPr>
          <w:iCs/>
          <w:sz w:val="22"/>
          <w:szCs w:val="22"/>
        </w:rPr>
        <w:t xml:space="preserve">į veną leidžiami </w:t>
      </w:r>
      <w:proofErr w:type="spellStart"/>
      <w:r w:rsidRPr="00A20CA2">
        <w:rPr>
          <w:iCs/>
          <w:sz w:val="22"/>
          <w:szCs w:val="22"/>
        </w:rPr>
        <w:t>eritromicino</w:t>
      </w:r>
      <w:proofErr w:type="spellEnd"/>
      <w:r w:rsidRPr="00A20CA2">
        <w:rPr>
          <w:iCs/>
          <w:sz w:val="22"/>
          <w:szCs w:val="22"/>
        </w:rPr>
        <w:t xml:space="preserve"> preparatai, </w:t>
      </w:r>
      <w:proofErr w:type="spellStart"/>
      <w:r w:rsidRPr="00A20CA2">
        <w:rPr>
          <w:iCs/>
          <w:sz w:val="22"/>
          <w:szCs w:val="22"/>
        </w:rPr>
        <w:t>pentamidinas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moksifloksacinas</w:t>
      </w:r>
      <w:proofErr w:type="spellEnd"/>
      <w:r w:rsidRPr="00A20CA2">
        <w:rPr>
          <w:iCs/>
          <w:sz w:val="22"/>
          <w:szCs w:val="22"/>
        </w:rPr>
        <w:t xml:space="preserve">, </w:t>
      </w:r>
      <w:proofErr w:type="spellStart"/>
      <w:r w:rsidRPr="00A20CA2">
        <w:rPr>
          <w:iCs/>
          <w:sz w:val="22"/>
          <w:szCs w:val="22"/>
        </w:rPr>
        <w:t>sparfloksacinas</w:t>
      </w:r>
      <w:proofErr w:type="spellEnd"/>
      <w:r w:rsidRPr="00A20CA2">
        <w:rPr>
          <w:iCs/>
          <w:sz w:val="22"/>
          <w:szCs w:val="22"/>
        </w:rPr>
        <w:t xml:space="preserve"> (vartojami infekcinių ligoms gydyti), </w:t>
      </w:r>
      <w:proofErr w:type="spellStart"/>
      <w:r w:rsidRPr="00A20CA2">
        <w:rPr>
          <w:iCs/>
          <w:sz w:val="22"/>
          <w:szCs w:val="22"/>
        </w:rPr>
        <w:t>halofantrinas</w:t>
      </w:r>
      <w:proofErr w:type="spellEnd"/>
      <w:r w:rsidRPr="00A20CA2">
        <w:rPr>
          <w:iCs/>
          <w:sz w:val="22"/>
          <w:szCs w:val="22"/>
        </w:rPr>
        <w:t xml:space="preserve"> (vaistas nuo maliarijos), </w:t>
      </w:r>
      <w:proofErr w:type="spellStart"/>
      <w:r w:rsidRPr="00A20CA2">
        <w:rPr>
          <w:iCs/>
          <w:sz w:val="22"/>
          <w:szCs w:val="22"/>
        </w:rPr>
        <w:t>mizolastinas</w:t>
      </w:r>
      <w:proofErr w:type="spellEnd"/>
      <w:r w:rsidRPr="00A20CA2">
        <w:rPr>
          <w:iCs/>
          <w:sz w:val="22"/>
          <w:szCs w:val="22"/>
        </w:rPr>
        <w:t xml:space="preserve"> (vaistas nuo alergijos), į veną leidžiami </w:t>
      </w:r>
      <w:proofErr w:type="spellStart"/>
      <w:r w:rsidRPr="00A20CA2">
        <w:rPr>
          <w:iCs/>
          <w:sz w:val="22"/>
          <w:szCs w:val="22"/>
        </w:rPr>
        <w:t>vinkamino</w:t>
      </w:r>
      <w:proofErr w:type="spellEnd"/>
      <w:r w:rsidRPr="00A20CA2">
        <w:rPr>
          <w:iCs/>
          <w:sz w:val="22"/>
          <w:szCs w:val="22"/>
        </w:rPr>
        <w:t xml:space="preserve"> preparatai (smegenų kraujo apytakos sutrikimams gydyti).</w:t>
      </w:r>
    </w:p>
    <w:p w:rsidR="00BF662B" w:rsidRPr="00A20CA2" w:rsidRDefault="00BF662B" w:rsidP="00BF662B">
      <w:pPr>
        <w:tabs>
          <w:tab w:val="left" w:pos="540"/>
        </w:tabs>
        <w:rPr>
          <w:sz w:val="22"/>
          <w:szCs w:val="22"/>
        </w:rPr>
      </w:pP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 xml:space="preserve">Nesteroidiniai vaistai nuo uždegimo (kartais vadinami NVNU), vartojami skausmui malšinti ir uždegimui mažinti (pvz., </w:t>
      </w:r>
      <w:proofErr w:type="spellStart"/>
      <w:r w:rsidRPr="00A20CA2">
        <w:rPr>
          <w:sz w:val="22"/>
          <w:szCs w:val="22"/>
        </w:rPr>
        <w:t>ibuprofenas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diklofenakas</w:t>
      </w:r>
      <w:proofErr w:type="spellEnd"/>
      <w:r w:rsidRPr="00A20CA2">
        <w:rPr>
          <w:sz w:val="22"/>
          <w:szCs w:val="22"/>
        </w:rPr>
        <w:t xml:space="preserve"> ar </w:t>
      </w:r>
      <w:proofErr w:type="spellStart"/>
      <w:r w:rsidRPr="00A20CA2">
        <w:rPr>
          <w:sz w:val="22"/>
          <w:szCs w:val="22"/>
        </w:rPr>
        <w:t>indometacinas</w:t>
      </w:r>
      <w:proofErr w:type="spellEnd"/>
      <w:r w:rsidRPr="00A20CA2">
        <w:rPr>
          <w:sz w:val="22"/>
          <w:szCs w:val="22"/>
        </w:rPr>
        <w:t xml:space="preserve">), įskaitant </w:t>
      </w:r>
      <w:r w:rsidRPr="00A20CA2">
        <w:rPr>
          <w:bCs/>
          <w:iCs/>
          <w:sz w:val="22"/>
          <w:szCs w:val="22"/>
        </w:rPr>
        <w:t xml:space="preserve">selektyvaus poveikio ciklooksigenazės-2 (COX-2) inhibitorius, tokius kaip </w:t>
      </w:r>
      <w:proofErr w:type="spellStart"/>
      <w:r w:rsidRPr="00A20CA2">
        <w:rPr>
          <w:bCs/>
          <w:iCs/>
          <w:sz w:val="22"/>
          <w:szCs w:val="22"/>
        </w:rPr>
        <w:t>Celekoksibas</w:t>
      </w:r>
      <w:proofErr w:type="spellEnd"/>
      <w:r w:rsidRPr="00A20CA2">
        <w:rPr>
          <w:bCs/>
          <w:iCs/>
          <w:sz w:val="22"/>
          <w:szCs w:val="22"/>
        </w:rPr>
        <w:t xml:space="preserve">, </w:t>
      </w:r>
      <w:proofErr w:type="spellStart"/>
      <w:r w:rsidRPr="00A20CA2">
        <w:rPr>
          <w:bCs/>
          <w:iCs/>
          <w:sz w:val="22"/>
          <w:szCs w:val="22"/>
        </w:rPr>
        <w:t>Etorikoksibas</w:t>
      </w:r>
      <w:proofErr w:type="spellEnd"/>
      <w:r w:rsidRPr="00A20CA2">
        <w:rPr>
          <w:bCs/>
          <w:iCs/>
          <w:sz w:val="22"/>
          <w:szCs w:val="22"/>
        </w:rPr>
        <w:t xml:space="preserve"> ir dideles </w:t>
      </w:r>
      <w:proofErr w:type="spellStart"/>
      <w:r w:rsidRPr="00A20CA2">
        <w:rPr>
          <w:bCs/>
          <w:iCs/>
          <w:sz w:val="22"/>
          <w:szCs w:val="22"/>
        </w:rPr>
        <w:t>acetilsalicilo</w:t>
      </w:r>
      <w:proofErr w:type="spellEnd"/>
      <w:r w:rsidRPr="00A20CA2">
        <w:rPr>
          <w:bCs/>
          <w:iCs/>
          <w:sz w:val="22"/>
          <w:szCs w:val="22"/>
        </w:rPr>
        <w:t xml:space="preserve"> rūgšties dozes (≥ 3 g per parą):</w:t>
      </w:r>
    </w:p>
    <w:p w:rsidR="00BF662B" w:rsidRPr="00A20CA2" w:rsidRDefault="00BF662B" w:rsidP="00BF662B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gali silpnėti </w:t>
      </w:r>
      <w:proofErr w:type="spellStart"/>
      <w:r w:rsidRPr="00A20CA2">
        <w:rPr>
          <w:sz w:val="22"/>
          <w:szCs w:val="22"/>
        </w:rPr>
        <w:t>indapamido</w:t>
      </w:r>
      <w:proofErr w:type="spellEnd"/>
      <w:r w:rsidRPr="00A20CA2">
        <w:rPr>
          <w:sz w:val="22"/>
          <w:szCs w:val="22"/>
        </w:rPr>
        <w:t xml:space="preserve"> sukeliamas kraujo spaudimą mažinantis poveikis. Dėl sumažėjusio vandens kiekio organizme (dehidratacija) pacientams gali pasireikšti ūminio inkstų nepakankamumo rizika. Prieš gydymą reikia </w:t>
      </w:r>
      <w:proofErr w:type="spellStart"/>
      <w:r w:rsidRPr="00A20CA2">
        <w:rPr>
          <w:sz w:val="22"/>
          <w:szCs w:val="22"/>
        </w:rPr>
        <w:t>sunormalinti</w:t>
      </w:r>
      <w:proofErr w:type="spellEnd"/>
      <w:r w:rsidRPr="00A20CA2">
        <w:rPr>
          <w:sz w:val="22"/>
          <w:szCs w:val="22"/>
        </w:rPr>
        <w:t xml:space="preserve"> skysčių kiekį.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Angiotenziną</w:t>
      </w:r>
      <w:proofErr w:type="spellEnd"/>
      <w:r w:rsidRPr="00A20CA2">
        <w:rPr>
          <w:sz w:val="22"/>
          <w:szCs w:val="22"/>
        </w:rPr>
        <w:t xml:space="preserve"> konvertuojančių fermentų (AKF) inhibitoriai vartojami nuo didelio kraujospūdžio ligos ir širdies nepakankamumo (pvz., </w:t>
      </w:r>
      <w:proofErr w:type="spellStart"/>
      <w:r w:rsidRPr="00A20CA2">
        <w:rPr>
          <w:sz w:val="22"/>
          <w:szCs w:val="22"/>
        </w:rPr>
        <w:t>kaptoprilis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enalaprilis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perindoprilis</w:t>
      </w:r>
      <w:proofErr w:type="spellEnd"/>
      <w:r w:rsidRPr="00A20CA2">
        <w:rPr>
          <w:sz w:val="22"/>
          <w:szCs w:val="22"/>
        </w:rPr>
        <w:t>):</w:t>
      </w:r>
    </w:p>
    <w:p w:rsidR="00BF662B" w:rsidRPr="00A20CA2" w:rsidRDefault="00BF662B" w:rsidP="00BF662B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pradėjus gydyti AKF inhibitoriais, ligoniams, kurių organizme trūksta natrio (ypač tuo atveju, jeigu yra inkstų arterijų stenozė), yra staigaus kraujospūdžio sumažėjimo ir (arba) ūminio inkstų nepakankamumo rizika.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  <w:u w:val="single"/>
        </w:rPr>
        <w:t xml:space="preserve">Preparatai kuriuos vartojant kartu su </w:t>
      </w:r>
      <w:proofErr w:type="spellStart"/>
      <w:r w:rsidRPr="00A20CA2">
        <w:rPr>
          <w:sz w:val="22"/>
          <w:szCs w:val="22"/>
          <w:u w:val="single"/>
        </w:rPr>
        <w:t>Indapen</w:t>
      </w:r>
      <w:proofErr w:type="spellEnd"/>
      <w:r w:rsidRPr="00A20CA2">
        <w:rPr>
          <w:sz w:val="22"/>
          <w:szCs w:val="22"/>
          <w:u w:val="single"/>
        </w:rPr>
        <w:t xml:space="preserve"> SR, jo poveikis gali būti pavojingas ar sukelti šalutinį poveikį:</w:t>
      </w:r>
    </w:p>
    <w:p w:rsidR="00BF662B" w:rsidRPr="00A20CA2" w:rsidRDefault="00BF662B" w:rsidP="00BF662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metforminas</w:t>
      </w:r>
      <w:proofErr w:type="spellEnd"/>
      <w:r w:rsidRPr="00A20CA2">
        <w:rPr>
          <w:sz w:val="22"/>
          <w:szCs w:val="22"/>
        </w:rPr>
        <w:t xml:space="preserve"> (vaistas cukriniam diabetui gydyti);</w:t>
      </w:r>
    </w:p>
    <w:p w:rsidR="00BF662B" w:rsidRPr="00A20CA2" w:rsidRDefault="00BF662B" w:rsidP="00BF662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lastRenderedPageBreak/>
        <w:t>baklofenas</w:t>
      </w:r>
      <w:proofErr w:type="spellEnd"/>
      <w:r w:rsidRPr="00A20CA2">
        <w:rPr>
          <w:sz w:val="22"/>
          <w:szCs w:val="22"/>
        </w:rPr>
        <w:t xml:space="preserve"> (vaistas raumenų spazmams gydyti);</w:t>
      </w:r>
    </w:p>
    <w:p w:rsidR="00BF662B" w:rsidRPr="00A20CA2" w:rsidRDefault="00BF662B" w:rsidP="00BF662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ciklosporinas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takrolimuzas</w:t>
      </w:r>
      <w:proofErr w:type="spellEnd"/>
      <w:r w:rsidRPr="00A20CA2">
        <w:rPr>
          <w:sz w:val="22"/>
          <w:szCs w:val="22"/>
        </w:rPr>
        <w:t xml:space="preserve"> (vaistai autoimuninėms ligoms gydyti ar imuninei sistemai slopinti po organų transplantacijos);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geriamieji kortikosteroidai (pvz., prednizolonas, hidrokortizonas ar </w:t>
      </w:r>
      <w:proofErr w:type="spellStart"/>
      <w:r w:rsidRPr="00A20CA2">
        <w:rPr>
          <w:sz w:val="22"/>
          <w:szCs w:val="22"/>
        </w:rPr>
        <w:t>fludrokortizonas</w:t>
      </w:r>
      <w:proofErr w:type="spellEnd"/>
      <w:r w:rsidRPr="00A20CA2">
        <w:rPr>
          <w:sz w:val="22"/>
          <w:szCs w:val="22"/>
        </w:rPr>
        <w:t>), kurie vartojami įvairioms būklėms gydyti, įskaitant sunkią astmą ir reumatoidinį artritą;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stimuliuojantys vidurių laisvinamieji preparatai (pvz., Senos preparatai);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kai kurie vaistai širdies nepakankamumui ir širdies ritmo sutrikimams gydyti (pvz., </w:t>
      </w:r>
      <w:proofErr w:type="spellStart"/>
      <w:r w:rsidRPr="00A20CA2">
        <w:rPr>
          <w:sz w:val="22"/>
          <w:szCs w:val="22"/>
        </w:rPr>
        <w:t>digoksinas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digitoksinas</w:t>
      </w:r>
      <w:proofErr w:type="spellEnd"/>
      <w:r w:rsidRPr="00A20CA2">
        <w:rPr>
          <w:sz w:val="22"/>
          <w:szCs w:val="22"/>
        </w:rPr>
        <w:t>);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kai kurie kalį organizme sulaikantys šlapimą varantys vaistai, pvz., </w:t>
      </w:r>
      <w:proofErr w:type="spellStart"/>
      <w:r w:rsidRPr="00A20CA2">
        <w:rPr>
          <w:sz w:val="22"/>
          <w:szCs w:val="22"/>
        </w:rPr>
        <w:t>amiloridas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spironolaktonas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triamterenas</w:t>
      </w:r>
      <w:proofErr w:type="spellEnd"/>
      <w:r w:rsidRPr="00A20CA2">
        <w:rPr>
          <w:sz w:val="22"/>
          <w:szCs w:val="22"/>
        </w:rPr>
        <w:t>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kai kurie šlapimą varantys vaistai gali sumažinti kalio kiekį kraujyje (pvz., </w:t>
      </w:r>
      <w:proofErr w:type="spellStart"/>
      <w:r w:rsidRPr="00A20CA2">
        <w:rPr>
          <w:sz w:val="22"/>
          <w:szCs w:val="22"/>
        </w:rPr>
        <w:t>bendroflumetiazidas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furozemidas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piretanidas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bumetanidas</w:t>
      </w:r>
      <w:proofErr w:type="spellEnd"/>
      <w:r w:rsidRPr="00A20CA2">
        <w:rPr>
          <w:sz w:val="22"/>
          <w:szCs w:val="22"/>
        </w:rPr>
        <w:t xml:space="preserve"> ir </w:t>
      </w:r>
      <w:proofErr w:type="spellStart"/>
      <w:r w:rsidRPr="00A20CA2">
        <w:rPr>
          <w:sz w:val="22"/>
          <w:szCs w:val="22"/>
        </w:rPr>
        <w:t>ksipamidas</w:t>
      </w:r>
      <w:proofErr w:type="spellEnd"/>
      <w:r w:rsidRPr="00A20CA2">
        <w:rPr>
          <w:sz w:val="22"/>
          <w:szCs w:val="22"/>
        </w:rPr>
        <w:t>);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Cs/>
          <w:iCs/>
          <w:sz w:val="22"/>
          <w:szCs w:val="22"/>
        </w:rPr>
      </w:pPr>
      <w:r w:rsidRPr="00A20CA2">
        <w:rPr>
          <w:sz w:val="22"/>
          <w:szCs w:val="22"/>
        </w:rPr>
        <w:t xml:space="preserve">kai kurie antidepresantai (pvz., </w:t>
      </w:r>
      <w:proofErr w:type="spellStart"/>
      <w:r w:rsidRPr="00A20CA2">
        <w:rPr>
          <w:sz w:val="22"/>
          <w:szCs w:val="22"/>
        </w:rPr>
        <w:t>imipraminas</w:t>
      </w:r>
      <w:proofErr w:type="spellEnd"/>
      <w:r w:rsidRPr="00A20CA2">
        <w:rPr>
          <w:sz w:val="22"/>
          <w:szCs w:val="22"/>
        </w:rPr>
        <w:t xml:space="preserve">), </w:t>
      </w:r>
      <w:proofErr w:type="spellStart"/>
      <w:r w:rsidRPr="00A20CA2">
        <w:rPr>
          <w:sz w:val="22"/>
          <w:szCs w:val="22"/>
        </w:rPr>
        <w:t>neuroleptikai</w:t>
      </w:r>
      <w:proofErr w:type="spellEnd"/>
      <w:r w:rsidRPr="00A20CA2">
        <w:rPr>
          <w:sz w:val="22"/>
          <w:szCs w:val="22"/>
        </w:rPr>
        <w:t xml:space="preserve"> (vaistai psichikos sutrikimams gydyti);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bCs/>
          <w:iCs/>
          <w:sz w:val="22"/>
          <w:szCs w:val="22"/>
        </w:rPr>
        <w:t>kai kurie preparatai, kuriuose yra jodo (</w:t>
      </w:r>
      <w:r w:rsidRPr="00A20CA2">
        <w:rPr>
          <w:sz w:val="22"/>
          <w:szCs w:val="22"/>
        </w:rPr>
        <w:t>medikamentai, vartojami kai kurių ligų tyrimui)</w:t>
      </w:r>
      <w:r w:rsidRPr="00A20CA2">
        <w:rPr>
          <w:bCs/>
          <w:iCs/>
          <w:sz w:val="22"/>
          <w:szCs w:val="22"/>
        </w:rPr>
        <w:t>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tetrakozaktidas</w:t>
      </w:r>
      <w:proofErr w:type="spellEnd"/>
      <w:r w:rsidRPr="00A20CA2">
        <w:rPr>
          <w:sz w:val="22"/>
          <w:szCs w:val="22"/>
        </w:rPr>
        <w:t xml:space="preserve"> (vaistas, vartojamas kai kurių ligų tyrimui bei virškinimo trakto sutrikimams gydyti);</w:t>
      </w:r>
    </w:p>
    <w:p w:rsidR="00BF662B" w:rsidRPr="00A20CA2" w:rsidRDefault="00BF662B" w:rsidP="00BF662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preparatai, kuriuose yra kalcio.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pStyle w:val="PI-3EMEASMCA"/>
      </w:pPr>
      <w:proofErr w:type="spellStart"/>
      <w:r w:rsidRPr="00B27B31">
        <w:t>Indapen</w:t>
      </w:r>
      <w:proofErr w:type="spellEnd"/>
      <w:r w:rsidRPr="00B27B31">
        <w:t xml:space="preserve"> SR vartojimas su maistu ir gėrimais</w:t>
      </w:r>
    </w:p>
    <w:p w:rsidR="00BF662B" w:rsidRPr="00A20CA2" w:rsidRDefault="00BF662B" w:rsidP="00BF662B">
      <w:pPr>
        <w:pStyle w:val="PI-3EMEASMCA"/>
      </w:pPr>
    </w:p>
    <w:p w:rsidR="00BF662B" w:rsidRPr="00A20CA2" w:rsidRDefault="00BF662B" w:rsidP="00BF662B">
      <w:pPr>
        <w:pStyle w:val="PI-3EMEASMCA"/>
      </w:pPr>
      <w:r w:rsidRPr="00A20CA2">
        <w:t>Maistas ir gėrimai poveikio vaistui organizme nedaro. Jūs galite vartoti vaistą su maistu ar prieš, taip pat ir nevalgius.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</w:pPr>
      <w:r w:rsidRPr="00B27B31">
        <w:t>N</w:t>
      </w:r>
      <w:r w:rsidRPr="00A20CA2">
        <w:t>ėštumas ir žindymo laikotarpis</w:t>
      </w:r>
    </w:p>
    <w:p w:rsidR="00BF662B" w:rsidRPr="00A20CA2" w:rsidRDefault="00BF662B" w:rsidP="00BF662B">
      <w:pPr>
        <w:pStyle w:val="PI-3EMEASMCA"/>
      </w:pPr>
      <w:r w:rsidRPr="00A20CA2">
        <w:t>Jeigu esate nėščia, žindote kūdikį, manote, kad galbūt esate nėščia, arba planuojate pastoti, tai prieš vartodama šį vaistą, pasitarkite su gydytoju arba vaistininku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>Nėštumas</w:t>
      </w:r>
    </w:p>
    <w:p w:rsidR="00BF662B" w:rsidRPr="00A20CA2" w:rsidRDefault="00BF662B" w:rsidP="00BF662B">
      <w:pPr>
        <w:pStyle w:val="BTEMEASMCA"/>
        <w:rPr>
          <w:iCs/>
        </w:rPr>
      </w:pPr>
      <w:r w:rsidRPr="00A20CA2">
        <w:t>Šio vaisto nerekomenduojama vartoti nėštumo metu. Jei esate nėščia ar planuojate pastoti, pasakykite savo gydytojui.</w:t>
      </w:r>
    </w:p>
    <w:p w:rsidR="00BF662B" w:rsidRPr="00B27B31" w:rsidRDefault="00BF662B" w:rsidP="00BF662B">
      <w:pPr>
        <w:rPr>
          <w:iCs/>
          <w:sz w:val="22"/>
          <w:szCs w:val="22"/>
        </w:rPr>
      </w:pPr>
    </w:p>
    <w:p w:rsidR="00BF662B" w:rsidRPr="00A20CA2" w:rsidRDefault="00BF662B" w:rsidP="00BF662B">
      <w:pPr>
        <w:rPr>
          <w:iCs/>
          <w:sz w:val="22"/>
          <w:szCs w:val="22"/>
        </w:rPr>
      </w:pPr>
      <w:r w:rsidRPr="00A20CA2">
        <w:rPr>
          <w:iCs/>
          <w:sz w:val="22"/>
          <w:szCs w:val="22"/>
          <w:u w:val="single"/>
        </w:rPr>
        <w:t>Žindymas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iCs/>
          <w:sz w:val="22"/>
          <w:szCs w:val="22"/>
        </w:rPr>
        <w:t>Veikliosios medžiagos patenka į motinos pieną. Jei vartojate vaistą, maitinti krūtimi nepatariama.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</w:pPr>
      <w:r w:rsidRPr="00B27B31">
        <w:t>V</w:t>
      </w:r>
      <w:r w:rsidRPr="00A20CA2">
        <w:t>airavimas ir mechanizmų valdymas</w:t>
      </w:r>
    </w:p>
    <w:p w:rsidR="00BF662B" w:rsidRPr="00A20CA2" w:rsidRDefault="00BF662B" w:rsidP="00BF662B">
      <w:pPr>
        <w:pStyle w:val="PI-3EMEASMCA"/>
      </w:pP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mažina kraujo spaudimą, dėl kurio, ypač gydymo pradžioje arba pradėjus kartu vartoti kitų </w:t>
      </w:r>
      <w:proofErr w:type="spellStart"/>
      <w:r w:rsidRPr="00A20CA2">
        <w:rPr>
          <w:sz w:val="22"/>
          <w:szCs w:val="22"/>
        </w:rPr>
        <w:t>antihipertenzinių</w:t>
      </w:r>
      <w:proofErr w:type="spellEnd"/>
      <w:r w:rsidRPr="00A20CA2">
        <w:rPr>
          <w:sz w:val="22"/>
          <w:szCs w:val="22"/>
        </w:rPr>
        <w:t xml:space="preserve"> preparatų, galite pasijusti lengvai apsvaigęs ir suktis galva. Jeigu taip atsitinka, vairuoti ir mechanizmų valdyti negalima. 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pStyle w:val="PI-3EMEASMCA"/>
      </w:pPr>
      <w:r w:rsidRPr="00A20CA2">
        <w:t xml:space="preserve">Svarbi informacija apie kai kurias pagalbines </w:t>
      </w:r>
      <w:proofErr w:type="spellStart"/>
      <w:r w:rsidRPr="00A20CA2">
        <w:t>Indapen</w:t>
      </w:r>
      <w:proofErr w:type="spellEnd"/>
      <w:r w:rsidRPr="00A20CA2">
        <w:t xml:space="preserve"> SR medžiagas</w:t>
      </w:r>
    </w:p>
    <w:p w:rsidR="00BF662B" w:rsidRPr="00A20CA2" w:rsidRDefault="00BF662B" w:rsidP="00BF662B">
      <w:pPr>
        <w:pStyle w:val="PI-3EMEASMCA"/>
      </w:pP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iCs/>
          <w:sz w:val="22"/>
          <w:szCs w:val="22"/>
        </w:rPr>
        <w:t xml:space="preserve">Šio vaisto sudėtyje yra laktozės </w:t>
      </w:r>
      <w:proofErr w:type="spellStart"/>
      <w:r w:rsidRPr="00A20CA2">
        <w:rPr>
          <w:iCs/>
          <w:sz w:val="22"/>
          <w:szCs w:val="22"/>
        </w:rPr>
        <w:t>monohidrato</w:t>
      </w:r>
      <w:proofErr w:type="spellEnd"/>
      <w:r w:rsidRPr="00A20CA2">
        <w:rPr>
          <w:iCs/>
          <w:sz w:val="22"/>
          <w:szCs w:val="22"/>
        </w:rPr>
        <w:t>. Jeigu gydytojas Jums yra sakęs, kad netoleruojate kai kurių angliavandenių, kreipkitės į jį prieš pradėdami vartoti šį vaistą.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</w:p>
    <w:p w:rsidR="00BF662B" w:rsidRPr="004567F8" w:rsidRDefault="00BF662B" w:rsidP="00BF662B">
      <w:pPr>
        <w:pStyle w:val="PI-1EMEASMCA"/>
      </w:pPr>
      <w:bookmarkStart w:id="4" w:name="_Toc129243266"/>
      <w:bookmarkStart w:id="5" w:name="_Toc129243141"/>
      <w:r w:rsidRPr="00E4636E">
        <w:t>3</w:t>
      </w:r>
      <w:r w:rsidRPr="00125444">
        <w:t>.</w:t>
      </w:r>
      <w:r w:rsidRPr="00125444">
        <w:tab/>
        <w:t xml:space="preserve">Kaip vartoti </w:t>
      </w:r>
      <w:proofErr w:type="spellStart"/>
      <w:r w:rsidRPr="00125444">
        <w:t>Indape</w:t>
      </w:r>
      <w:r w:rsidRPr="004567F8">
        <w:t>n</w:t>
      </w:r>
      <w:proofErr w:type="spellEnd"/>
      <w:r w:rsidRPr="004567F8">
        <w:t xml:space="preserve"> SR</w:t>
      </w:r>
      <w:bookmarkEnd w:id="4"/>
      <w:bookmarkEnd w:id="5"/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 xml:space="preserve">Visada vartokite šį vaistą tiksliai kaip nurodė gydytojas. Jeigu abejojate, kreipkitės į gydytoją. </w:t>
      </w:r>
    </w:p>
    <w:p w:rsidR="00BF662B" w:rsidRPr="00A20CA2" w:rsidRDefault="00BF662B" w:rsidP="00BF662B">
      <w:pPr>
        <w:pStyle w:val="BTEMEASMCA"/>
      </w:pPr>
      <w:r w:rsidRPr="00A20CA2">
        <w:t>Rekomenduojama dozė yra 1 tabletė per parą. Ją patariama gerti ryte.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rPr>
          <w:sz w:val="22"/>
          <w:szCs w:val="22"/>
        </w:rPr>
      </w:pPr>
      <w:r w:rsidRPr="00B27B31">
        <w:rPr>
          <w:sz w:val="22"/>
          <w:szCs w:val="22"/>
          <w:u w:val="single"/>
        </w:rPr>
        <w:t>P</w:t>
      </w:r>
      <w:r w:rsidRPr="00A20CA2">
        <w:rPr>
          <w:sz w:val="22"/>
          <w:szCs w:val="22"/>
          <w:u w:val="single"/>
        </w:rPr>
        <w:t>acientams, kurių inkstų funkcija sutrikusi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>Pacientams, sergantiems sunkiu inkstų nepakankamumu (</w:t>
      </w:r>
      <w:proofErr w:type="spellStart"/>
      <w:r w:rsidRPr="00A20CA2">
        <w:rPr>
          <w:sz w:val="22"/>
          <w:szCs w:val="22"/>
        </w:rPr>
        <w:t>kreatinino</w:t>
      </w:r>
      <w:proofErr w:type="spellEnd"/>
      <w:r w:rsidRPr="00A20CA2">
        <w:rPr>
          <w:sz w:val="22"/>
          <w:szCs w:val="22"/>
        </w:rPr>
        <w:t xml:space="preserve"> klirensas yra mažesnis negu 30 ml/min) šio vaistinio preparato vartoti negalima (žr. skyrių „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vartoti negalima“).</w:t>
      </w:r>
    </w:p>
    <w:p w:rsidR="00BF662B" w:rsidRPr="00A20CA2" w:rsidRDefault="00BF662B" w:rsidP="00BF662B">
      <w:pPr>
        <w:rPr>
          <w:sz w:val="22"/>
          <w:szCs w:val="22"/>
          <w:u w:val="single"/>
        </w:rPr>
      </w:pPr>
      <w:r w:rsidRPr="00A20CA2">
        <w:rPr>
          <w:sz w:val="22"/>
          <w:szCs w:val="22"/>
        </w:rPr>
        <w:t xml:space="preserve">Visiškas </w:t>
      </w:r>
      <w:proofErr w:type="spellStart"/>
      <w:r w:rsidRPr="00A20CA2">
        <w:rPr>
          <w:sz w:val="22"/>
          <w:szCs w:val="22"/>
        </w:rPr>
        <w:t>tiazidų</w:t>
      </w:r>
      <w:proofErr w:type="spellEnd"/>
      <w:r w:rsidRPr="00A20CA2">
        <w:rPr>
          <w:sz w:val="22"/>
          <w:szCs w:val="22"/>
        </w:rPr>
        <w:t xml:space="preserve"> ir kitų diuretikų, veikiančių panašiai kaip </w:t>
      </w:r>
      <w:proofErr w:type="spellStart"/>
      <w:r w:rsidRPr="00A20CA2">
        <w:rPr>
          <w:sz w:val="22"/>
          <w:szCs w:val="22"/>
        </w:rPr>
        <w:t>tiazidai</w:t>
      </w:r>
      <w:proofErr w:type="spellEnd"/>
      <w:r w:rsidRPr="00A20CA2">
        <w:rPr>
          <w:sz w:val="22"/>
          <w:szCs w:val="22"/>
        </w:rPr>
        <w:t>, poveikis pasireiškia tik tada, kai inkstų funkcija yra normali arba tik šiek tiek sutrikusi.</w:t>
      </w:r>
    </w:p>
    <w:p w:rsidR="00BF662B" w:rsidRPr="00A20CA2" w:rsidRDefault="00BF662B" w:rsidP="00BF662B">
      <w:pPr>
        <w:rPr>
          <w:sz w:val="22"/>
          <w:szCs w:val="22"/>
          <w:u w:val="single"/>
        </w:rPr>
      </w:pP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  <w:u w:val="single"/>
        </w:rPr>
        <w:lastRenderedPageBreak/>
        <w:t xml:space="preserve">Pacientams, kurių kepenų funkcija sutrikusi </w:t>
      </w:r>
    </w:p>
    <w:p w:rsidR="00BF662B" w:rsidRPr="00A20CA2" w:rsidRDefault="00BF662B" w:rsidP="00BF662B">
      <w:pPr>
        <w:pStyle w:val="BTEMEASMCA"/>
      </w:pPr>
      <w:r w:rsidRPr="00A20CA2">
        <w:t>Pacientams, kurių kepenų funkcija sunkiai sutrikusi, šio vaistinio preparato vartoti negalima (žr. skyrių „</w:t>
      </w:r>
      <w:proofErr w:type="spellStart"/>
      <w:r w:rsidRPr="00A20CA2">
        <w:t>Indapen</w:t>
      </w:r>
      <w:proofErr w:type="spellEnd"/>
      <w:r w:rsidRPr="00A20CA2">
        <w:t xml:space="preserve"> SR vartoti negalima“).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rPr>
          <w:sz w:val="22"/>
          <w:szCs w:val="22"/>
        </w:rPr>
      </w:pPr>
      <w:r w:rsidRPr="00B27B31">
        <w:rPr>
          <w:sz w:val="22"/>
          <w:szCs w:val="22"/>
          <w:u w:val="single"/>
        </w:rPr>
        <w:t>S</w:t>
      </w:r>
      <w:r w:rsidRPr="002A4654">
        <w:rPr>
          <w:sz w:val="22"/>
          <w:szCs w:val="22"/>
          <w:u w:val="single"/>
        </w:rPr>
        <w:t>enyviems p</w:t>
      </w:r>
      <w:r w:rsidRPr="00A20CA2">
        <w:rPr>
          <w:sz w:val="22"/>
          <w:szCs w:val="22"/>
          <w:u w:val="single"/>
        </w:rPr>
        <w:t xml:space="preserve">acientams </w:t>
      </w: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galima vartoti tiems senyviems pacientams, kurių inkstų funkcija yra normali arba tik šiek tiek sutrikusi.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b/>
          <w:sz w:val="22"/>
          <w:szCs w:val="22"/>
        </w:rPr>
        <w:t>Vartojimas vaikams ir paaugliams</w:t>
      </w: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nerekomenduojama vartoti vaikams ir paaugliams, nes duomenų apie saugumą ir veiksmingumą nepakanka.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>Vartojimo metodas</w:t>
      </w:r>
    </w:p>
    <w:p w:rsidR="00BF662B" w:rsidRPr="00A20CA2" w:rsidRDefault="00BF662B" w:rsidP="00BF662B">
      <w:pPr>
        <w:pStyle w:val="BTEMEASMCA"/>
      </w:pPr>
      <w:r w:rsidRPr="00A20CA2">
        <w:t>Tabletę reikia nuryti užgeriant pakankamu kiekiu skysčio, pvz., stikline vandens. Tabletę reikia nuryti nesmulkintą ar nesukramtytą.</w:t>
      </w:r>
      <w:r w:rsidRPr="00A20CA2">
        <w:rPr>
          <w:iCs/>
        </w:rPr>
        <w:t xml:space="preserve"> Tabletę galima gerti nepriklausomai nuo valgymo laiko.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>Vartojimo trukmė</w:t>
      </w:r>
    </w:p>
    <w:p w:rsidR="00BF662B" w:rsidRPr="00A20CA2" w:rsidRDefault="00BF662B" w:rsidP="00BF662B">
      <w:pPr>
        <w:pStyle w:val="BTEMEASMCA"/>
      </w:pPr>
      <w:r w:rsidRPr="00A20CA2">
        <w:t>Vaisto vartojimo trukmę nustato gydytojas.</w:t>
      </w:r>
    </w:p>
    <w:p w:rsidR="00BF662B" w:rsidRPr="00A20CA2" w:rsidRDefault="00BF662B" w:rsidP="00BF662B">
      <w:pPr>
        <w:pStyle w:val="BTEMEASMCA"/>
      </w:pPr>
      <w:r w:rsidRPr="00A20CA2">
        <w:t xml:space="preserve">Jeigu manote, kad </w:t>
      </w:r>
      <w:proofErr w:type="spellStart"/>
      <w:r w:rsidRPr="00A20CA2">
        <w:t>Indapen</w:t>
      </w:r>
      <w:proofErr w:type="spellEnd"/>
      <w:r w:rsidRPr="00A20CA2">
        <w:t xml:space="preserve"> SR poveikis per stiprus ar per silpnas, kreipkitės į savo gydytoją.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</w:pPr>
      <w:r w:rsidRPr="00B27B31">
        <w:t>K</w:t>
      </w:r>
      <w:r w:rsidRPr="002A4654">
        <w:t xml:space="preserve">ą daryti pavartojus per didelę </w:t>
      </w:r>
      <w:proofErr w:type="spellStart"/>
      <w:r w:rsidRPr="002A4654">
        <w:t>Indapen</w:t>
      </w:r>
      <w:proofErr w:type="spellEnd"/>
      <w:r w:rsidRPr="002A4654">
        <w:t xml:space="preserve"> SR dozę?</w:t>
      </w:r>
    </w:p>
    <w:p w:rsidR="00BF662B" w:rsidRPr="00A20CA2" w:rsidRDefault="00BF662B" w:rsidP="00BF662B">
      <w:pPr>
        <w:pStyle w:val="BTEMEASMCA"/>
        <w:rPr>
          <w:iCs/>
        </w:rPr>
      </w:pPr>
      <w:r w:rsidRPr="00A20CA2">
        <w:t>Perdozavus vaistinio preparato gali padidėti nepageidaujamų reiškinių tikimybė, padidėti šlapimo varomasis poveikis su kraujospūdžio kritimo rizika ir vandens bei elektrolitų pusiausvyros sutrikimais.</w:t>
      </w:r>
    </w:p>
    <w:p w:rsidR="00BF662B" w:rsidRPr="00A20CA2" w:rsidRDefault="00BF662B" w:rsidP="00BF662B">
      <w:pPr>
        <w:rPr>
          <w:sz w:val="22"/>
          <w:szCs w:val="22"/>
        </w:rPr>
      </w:pPr>
      <w:r w:rsidRPr="00B27B31">
        <w:rPr>
          <w:iCs/>
          <w:sz w:val="22"/>
          <w:szCs w:val="22"/>
        </w:rPr>
        <w:t>J</w:t>
      </w:r>
      <w:r w:rsidRPr="002A4654">
        <w:rPr>
          <w:iCs/>
          <w:sz w:val="22"/>
          <w:szCs w:val="22"/>
        </w:rPr>
        <w:t xml:space="preserve">ei išgėrėte per daug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</w:t>
      </w:r>
      <w:r w:rsidRPr="00A20CA2">
        <w:rPr>
          <w:iCs/>
          <w:sz w:val="22"/>
          <w:szCs w:val="22"/>
        </w:rPr>
        <w:t>tablečių, nedelsdami kreipkitės į gydytoją konsultacijos. P</w:t>
      </w:r>
      <w:r w:rsidRPr="00A20CA2">
        <w:rPr>
          <w:sz w:val="22"/>
          <w:szCs w:val="22"/>
        </w:rPr>
        <w:t>erdozavimo simptomai yra pykinimas, vėmimas, sumažėjęs kraujospūdis (pasireiškia svaiguliu), spazmai, galvos sukimasis, mieguistumas, konfūzija, pernelyg didelis šlapimo pagausėjimas ar sumažėjęs šlapimo išsiskyrimas.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2A4654" w:rsidRDefault="00BF662B" w:rsidP="00BF662B">
      <w:pPr>
        <w:pStyle w:val="PI-3EMEASMCA"/>
      </w:pPr>
      <w:r w:rsidRPr="00B27B31">
        <w:t xml:space="preserve">Pamiršus pavartoti </w:t>
      </w:r>
      <w:proofErr w:type="spellStart"/>
      <w:r w:rsidRPr="00B27B31">
        <w:t>Indapen</w:t>
      </w:r>
      <w:proofErr w:type="spellEnd"/>
      <w:r w:rsidRPr="00B27B31">
        <w:t xml:space="preserve"> SR</w:t>
      </w:r>
    </w:p>
    <w:p w:rsidR="00BF662B" w:rsidRPr="00A20CA2" w:rsidRDefault="00BF662B" w:rsidP="00BF662B">
      <w:pPr>
        <w:pStyle w:val="BTEMEASMCA"/>
      </w:pPr>
      <w:r w:rsidRPr="00A20CA2">
        <w:t>Jei užmiršote išgerti tabletę, ją išgerkite iškart po to kai prisiminėte.</w:t>
      </w:r>
    </w:p>
    <w:p w:rsidR="00BF662B" w:rsidRPr="00A20CA2" w:rsidRDefault="00BF662B" w:rsidP="00BF662B">
      <w:pPr>
        <w:pStyle w:val="BTEMEASMCA"/>
      </w:pPr>
      <w:r w:rsidRPr="00A20CA2">
        <w:t>Negalima vartoti dvigubos dozės norint kompensuoti praleistą tabletę.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  <w:rPr>
          <w:iCs/>
        </w:rPr>
      </w:pPr>
      <w:r w:rsidRPr="00B27B31">
        <w:t>N</w:t>
      </w:r>
      <w:r w:rsidRPr="002A4654">
        <w:t xml:space="preserve">ustojus vartoti </w:t>
      </w:r>
      <w:proofErr w:type="spellStart"/>
      <w:r w:rsidRPr="002A4654">
        <w:t>Indapen</w:t>
      </w:r>
      <w:proofErr w:type="spellEnd"/>
      <w:r w:rsidRPr="002A4654">
        <w:t xml:space="preserve"> SR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iCs/>
          <w:sz w:val="22"/>
          <w:szCs w:val="22"/>
        </w:rPr>
        <w:t>Kadangi didelio kraujospūdžio ligos gydymas paprastai trunka visą likusį gyvenimą, prieš nustodami vartoti šį vaistą, pirmiausia pasitarkite su gydytoju.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>Jeigu kiltų daugiau klausimų dėl šio vaisto vartojimo, kreipkitės į gydytoją arba vaistininką.</w:t>
      </w:r>
    </w:p>
    <w:p w:rsidR="00BF662B" w:rsidRPr="00A20CA2" w:rsidRDefault="00BF662B" w:rsidP="00BF662B">
      <w:pPr>
        <w:pStyle w:val="BTEMEASMCA"/>
      </w:pPr>
    </w:p>
    <w:p w:rsidR="00BF662B" w:rsidRPr="004567F8" w:rsidRDefault="00BF662B" w:rsidP="00BF662B">
      <w:pPr>
        <w:pStyle w:val="BTEMEASMCA"/>
      </w:pPr>
    </w:p>
    <w:p w:rsidR="00BF662B" w:rsidRPr="00560F10" w:rsidRDefault="00BF662B" w:rsidP="00BF662B">
      <w:pPr>
        <w:pStyle w:val="PI-1EMEASMCA"/>
      </w:pPr>
      <w:bookmarkStart w:id="6" w:name="_Toc129243267"/>
      <w:bookmarkStart w:id="7" w:name="_Toc129243142"/>
      <w:r w:rsidRPr="00E4636E">
        <w:t>4</w:t>
      </w:r>
      <w:r w:rsidRPr="00125444">
        <w:t>.</w:t>
      </w:r>
      <w:r w:rsidRPr="00125444">
        <w:tab/>
        <w:t>Galimas šalutinis poveikis</w:t>
      </w:r>
      <w:bookmarkEnd w:id="6"/>
      <w:bookmarkEnd w:id="7"/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  <w:rPr>
          <w:iCs/>
        </w:rPr>
      </w:pPr>
      <w:r w:rsidRPr="00A20CA2">
        <w:t>Šis vaistas, kaip ir visi kiti, gali sukelti šalutinį poveikį, nors jis pasireiškia ne visiems žmonėms.</w:t>
      </w:r>
    </w:p>
    <w:p w:rsidR="00BF662B" w:rsidRPr="00B27B31" w:rsidRDefault="00BF662B" w:rsidP="00BF662B">
      <w:pPr>
        <w:rPr>
          <w:iCs/>
          <w:sz w:val="22"/>
          <w:szCs w:val="22"/>
        </w:rPr>
      </w:pPr>
    </w:p>
    <w:p w:rsidR="00BF662B" w:rsidRPr="00A20CA2" w:rsidRDefault="00BF662B" w:rsidP="00BF662B">
      <w:pPr>
        <w:rPr>
          <w:i/>
          <w:sz w:val="22"/>
          <w:szCs w:val="22"/>
        </w:rPr>
      </w:pPr>
      <w:r w:rsidRPr="00A20CA2">
        <w:rPr>
          <w:iCs/>
          <w:sz w:val="22"/>
          <w:szCs w:val="22"/>
        </w:rPr>
        <w:t>Galimas šalutinis poveikis:</w:t>
      </w:r>
    </w:p>
    <w:p w:rsidR="00BF662B" w:rsidRPr="00A20CA2" w:rsidRDefault="00BF662B" w:rsidP="00BF662B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>Dažni šalutinio poveikio reiškiniai (gali pasireikšti rečiau kaip 1 iš 10 asmenų)</w:t>
      </w:r>
      <w:r w:rsidRPr="00A20CA2">
        <w:rPr>
          <w:sz w:val="22"/>
          <w:szCs w:val="22"/>
        </w:rPr>
        <w:t>:</w:t>
      </w:r>
    </w:p>
    <w:p w:rsidR="00BF662B" w:rsidRDefault="00BF662B" w:rsidP="00BF662B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25444">
        <w:rPr>
          <w:sz w:val="22"/>
          <w:szCs w:val="22"/>
        </w:rPr>
        <w:t>maža kalio koncentracija kraujyje</w:t>
      </w:r>
      <w:r>
        <w:rPr>
          <w:sz w:val="22"/>
          <w:szCs w:val="22"/>
        </w:rPr>
        <w:t>.</w:t>
      </w:r>
    </w:p>
    <w:p w:rsidR="00BF662B" w:rsidRPr="00A20CA2" w:rsidRDefault="00BF662B" w:rsidP="00BF662B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alerginės reakcijos (ypatingai žmonėms, kurie turi polinkį į alergines ir </w:t>
      </w:r>
      <w:proofErr w:type="spellStart"/>
      <w:r w:rsidRPr="00A20CA2">
        <w:rPr>
          <w:sz w:val="22"/>
          <w:szCs w:val="22"/>
        </w:rPr>
        <w:t>astmines</w:t>
      </w:r>
      <w:proofErr w:type="spellEnd"/>
      <w:r w:rsidRPr="00A20CA2">
        <w:rPr>
          <w:sz w:val="22"/>
          <w:szCs w:val="22"/>
        </w:rPr>
        <w:t xml:space="preserve"> reakcijas), kurios pasireiškia odos išbėrimais dėmėmis ir </w:t>
      </w:r>
      <w:proofErr w:type="spellStart"/>
      <w:r w:rsidRPr="00A20CA2">
        <w:rPr>
          <w:sz w:val="22"/>
          <w:szCs w:val="22"/>
        </w:rPr>
        <w:t>papulėmis</w:t>
      </w:r>
      <w:proofErr w:type="spellEnd"/>
      <w:r w:rsidRPr="00A20CA2">
        <w:rPr>
          <w:sz w:val="22"/>
          <w:szCs w:val="22"/>
        </w:rPr>
        <w:t>.</w:t>
      </w:r>
    </w:p>
    <w:p w:rsidR="00BF662B" w:rsidRPr="00A20CA2" w:rsidRDefault="00BF662B" w:rsidP="00BF662B">
      <w:pPr>
        <w:ind w:left="540" w:hanging="540"/>
        <w:rPr>
          <w:sz w:val="22"/>
          <w:szCs w:val="22"/>
        </w:rPr>
      </w:pPr>
    </w:p>
    <w:p w:rsidR="00BF662B" w:rsidRPr="00A20CA2" w:rsidRDefault="00BF662B" w:rsidP="00BF662B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>Nedažni šalutinio poveikio reiškiniai (gali pasireikšti rečiau kaip 1 iš 100 asmenų</w:t>
      </w:r>
      <w:r>
        <w:rPr>
          <w:sz w:val="22"/>
          <w:szCs w:val="22"/>
        </w:rPr>
        <w:t>)</w:t>
      </w:r>
      <w:r w:rsidRPr="00A20CA2">
        <w:rPr>
          <w:sz w:val="22"/>
          <w:szCs w:val="22"/>
        </w:rPr>
        <w:t xml:space="preserve">: </w:t>
      </w:r>
    </w:p>
    <w:p w:rsidR="00BF662B" w:rsidRPr="00A20CA2" w:rsidRDefault="00BF662B" w:rsidP="00BF662B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vėmimas;</w:t>
      </w:r>
    </w:p>
    <w:p w:rsidR="00BF662B" w:rsidRPr="007D742C" w:rsidRDefault="00BF662B" w:rsidP="00BF662B">
      <w:pPr>
        <w:numPr>
          <w:ilvl w:val="0"/>
          <w:numId w:val="3"/>
        </w:numPr>
        <w:tabs>
          <w:tab w:val="left" w:pos="567"/>
        </w:tabs>
        <w:ind w:left="567" w:hanging="567"/>
        <w:rPr>
          <w:i/>
          <w:sz w:val="22"/>
          <w:szCs w:val="22"/>
        </w:rPr>
      </w:pPr>
      <w:r w:rsidRPr="00A20CA2">
        <w:rPr>
          <w:sz w:val="22"/>
          <w:szCs w:val="22"/>
        </w:rPr>
        <w:t xml:space="preserve">alerginės reakcijos (ypatingai žmonėms, kurie turi polinkį į alergines ir </w:t>
      </w:r>
      <w:proofErr w:type="spellStart"/>
      <w:r w:rsidRPr="00A20CA2">
        <w:rPr>
          <w:sz w:val="22"/>
          <w:szCs w:val="22"/>
        </w:rPr>
        <w:t>astmines</w:t>
      </w:r>
      <w:proofErr w:type="spellEnd"/>
      <w:r w:rsidRPr="00A20CA2">
        <w:rPr>
          <w:sz w:val="22"/>
          <w:szCs w:val="22"/>
        </w:rPr>
        <w:t xml:space="preserve"> reakcijas), kurios pasireiškia tamsiai raudonais taškeliais ar dėmėmis odoje).</w:t>
      </w:r>
    </w:p>
    <w:p w:rsidR="00BF662B" w:rsidRPr="007D742C" w:rsidRDefault="00BF662B" w:rsidP="00BF662B">
      <w:pPr>
        <w:numPr>
          <w:ilvl w:val="0"/>
          <w:numId w:val="3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125444">
        <w:rPr>
          <w:iCs/>
          <w:sz w:val="22"/>
          <w:szCs w:val="22"/>
        </w:rPr>
        <w:t>m</w:t>
      </w:r>
      <w:r w:rsidRPr="007D742C">
        <w:rPr>
          <w:iCs/>
          <w:sz w:val="22"/>
          <w:szCs w:val="22"/>
        </w:rPr>
        <w:t>aža natrio koncentracija kraujyje, dėl kurios gali pasireikšti skysčių trūkumas (dehidratacija) ir kraujospūdžio sumažėjimas.</w:t>
      </w:r>
    </w:p>
    <w:p w:rsidR="00BF662B" w:rsidRPr="007D742C" w:rsidRDefault="00BF662B" w:rsidP="00BF662B">
      <w:pPr>
        <w:numPr>
          <w:ilvl w:val="0"/>
          <w:numId w:val="3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proofErr w:type="spellStart"/>
      <w:r w:rsidRPr="00125444">
        <w:rPr>
          <w:iCs/>
          <w:sz w:val="22"/>
          <w:szCs w:val="22"/>
        </w:rPr>
        <w:t>n</w:t>
      </w:r>
      <w:r w:rsidRPr="007D742C">
        <w:rPr>
          <w:iCs/>
          <w:sz w:val="22"/>
          <w:szCs w:val="22"/>
        </w:rPr>
        <w:t>esugebėjimas</w:t>
      </w:r>
      <w:proofErr w:type="spellEnd"/>
      <w:r w:rsidRPr="007D742C">
        <w:rPr>
          <w:iCs/>
          <w:sz w:val="22"/>
          <w:szCs w:val="22"/>
        </w:rPr>
        <w:t xml:space="preserve"> pasiekti ar išlaikyti erekciją (impotencija).</w:t>
      </w:r>
    </w:p>
    <w:p w:rsidR="00BF662B" w:rsidRPr="00A20CA2" w:rsidRDefault="00BF662B" w:rsidP="00BF662B">
      <w:pPr>
        <w:ind w:left="540" w:hanging="540"/>
        <w:rPr>
          <w:i/>
          <w:sz w:val="22"/>
          <w:szCs w:val="22"/>
        </w:rPr>
      </w:pPr>
    </w:p>
    <w:p w:rsidR="00BF662B" w:rsidRPr="00A20CA2" w:rsidRDefault="00BF662B" w:rsidP="00BF662B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Reti šalutinio poveikio reiškiniai (gali pasireikšti rečiau kaip 1 iš 1 000 asmenų</w:t>
      </w:r>
      <w:r>
        <w:rPr>
          <w:i/>
          <w:sz w:val="22"/>
          <w:szCs w:val="22"/>
        </w:rPr>
        <w:t>)</w:t>
      </w:r>
      <w:r w:rsidRPr="00A20CA2">
        <w:rPr>
          <w:sz w:val="22"/>
          <w:szCs w:val="22"/>
        </w:rPr>
        <w:t xml:space="preserve">: </w:t>
      </w:r>
    </w:p>
    <w:p w:rsidR="00BF662B" w:rsidRPr="00A20CA2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A20CA2">
        <w:rPr>
          <w:sz w:val="22"/>
          <w:szCs w:val="22"/>
        </w:rPr>
        <w:t>galvos svaigimas (svaigulys);</w:t>
      </w:r>
    </w:p>
    <w:p w:rsidR="00BF662B" w:rsidRPr="00A20CA2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A20CA2">
        <w:rPr>
          <w:sz w:val="22"/>
          <w:szCs w:val="22"/>
        </w:rPr>
        <w:t xml:space="preserve">nuovargis; </w:t>
      </w:r>
    </w:p>
    <w:p w:rsidR="00BF662B" w:rsidRPr="00A20CA2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A20CA2">
        <w:rPr>
          <w:sz w:val="22"/>
          <w:szCs w:val="22"/>
        </w:rPr>
        <w:t>galvos skausmas;</w:t>
      </w:r>
    </w:p>
    <w:p w:rsidR="00BF662B" w:rsidRPr="00A20CA2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A20CA2">
        <w:rPr>
          <w:sz w:val="22"/>
          <w:szCs w:val="22"/>
        </w:rPr>
        <w:t>dilgčiojimo ir tirpulio pojūtis (</w:t>
      </w:r>
      <w:proofErr w:type="spellStart"/>
      <w:r w:rsidRPr="00A20CA2">
        <w:rPr>
          <w:sz w:val="22"/>
          <w:szCs w:val="22"/>
        </w:rPr>
        <w:t>parestezija</w:t>
      </w:r>
      <w:proofErr w:type="spellEnd"/>
      <w:r w:rsidRPr="00A20CA2">
        <w:rPr>
          <w:sz w:val="22"/>
          <w:szCs w:val="22"/>
        </w:rPr>
        <w:t>);</w:t>
      </w:r>
    </w:p>
    <w:p w:rsidR="00BF662B" w:rsidRPr="00A20CA2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A20CA2">
        <w:rPr>
          <w:sz w:val="22"/>
          <w:szCs w:val="22"/>
        </w:rPr>
        <w:t>pykinimas (šleikštulio pojūtis burnoje);</w:t>
      </w:r>
    </w:p>
    <w:p w:rsidR="00BF662B" w:rsidRPr="00A20CA2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A20CA2">
        <w:rPr>
          <w:sz w:val="22"/>
          <w:szCs w:val="22"/>
        </w:rPr>
        <w:t>vidurių užkietėjimas (retas tuštinimasis; kietos, sausos išmatos);</w:t>
      </w:r>
    </w:p>
    <w:p w:rsidR="00BF662B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A20CA2">
        <w:rPr>
          <w:sz w:val="22"/>
          <w:szCs w:val="22"/>
        </w:rPr>
        <w:t>burnos džiūvimas.</w:t>
      </w:r>
    </w:p>
    <w:p w:rsidR="00BF662B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560F10">
        <w:rPr>
          <w:sz w:val="22"/>
          <w:szCs w:val="22"/>
        </w:rPr>
        <w:t>maža chloridų koncentracija kraujyje.</w:t>
      </w:r>
    </w:p>
    <w:p w:rsidR="00BF662B" w:rsidRPr="00A20CA2" w:rsidRDefault="00BF662B" w:rsidP="00BF662B">
      <w:pPr>
        <w:numPr>
          <w:ilvl w:val="0"/>
          <w:numId w:val="4"/>
        </w:numPr>
        <w:tabs>
          <w:tab w:val="left" w:pos="567"/>
        </w:tabs>
        <w:ind w:left="540" w:hanging="540"/>
        <w:rPr>
          <w:sz w:val="22"/>
          <w:szCs w:val="22"/>
        </w:rPr>
      </w:pPr>
      <w:r w:rsidRPr="00560F10">
        <w:rPr>
          <w:sz w:val="22"/>
          <w:szCs w:val="22"/>
        </w:rPr>
        <w:t>maža magnio koncentracija kraujyje.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>Labai reti šalutinio poveikio reiškiniai (gali pasireikšti rečiau kaip 1 iš 10 000 asmenų</w:t>
      </w:r>
      <w:r>
        <w:rPr>
          <w:sz w:val="22"/>
          <w:szCs w:val="22"/>
        </w:rPr>
        <w:t>)</w:t>
      </w:r>
      <w:r w:rsidRPr="00A20CA2">
        <w:rPr>
          <w:sz w:val="22"/>
          <w:szCs w:val="22"/>
        </w:rPr>
        <w:t xml:space="preserve">: 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trombocitų kiekio sumažėjimas kraujyje, sukeliantis kraujavimą iš nosies ir kraujosruvas; 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leukocitų skaičiaus sumažėjimas kraujyje, sukeliantis į infekciją panašius simptomus, kurie gali būti sunkūs (</w:t>
      </w:r>
      <w:proofErr w:type="spellStart"/>
      <w:r w:rsidRPr="00A20CA2">
        <w:rPr>
          <w:sz w:val="22"/>
          <w:szCs w:val="22"/>
        </w:rPr>
        <w:t>agranulocitozė</w:t>
      </w:r>
      <w:proofErr w:type="spellEnd"/>
      <w:r w:rsidRPr="00A20CA2">
        <w:rPr>
          <w:sz w:val="22"/>
          <w:szCs w:val="22"/>
        </w:rPr>
        <w:t>);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bendras kraujo ląstelių kiekio sumažėjimas, kuris pasireiškia silpnumu, kraujosruvomis ar gali sukelti į infekciją panašius simptomus (hemolizinė anemija), </w:t>
      </w:r>
      <w:proofErr w:type="spellStart"/>
      <w:r w:rsidRPr="00A20CA2">
        <w:rPr>
          <w:sz w:val="22"/>
          <w:szCs w:val="22"/>
        </w:rPr>
        <w:t>aplazinė</w:t>
      </w:r>
      <w:proofErr w:type="spellEnd"/>
      <w:r w:rsidRPr="00A20CA2">
        <w:rPr>
          <w:sz w:val="22"/>
          <w:szCs w:val="22"/>
        </w:rPr>
        <w:t xml:space="preserve"> anemija (kaulų čiulpų slopinimas);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kasos uždegimas (pankreatitas), sukeliantis stiprų skausmą pilvo ir nugaros srityje;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širdies ritmo sutrikimas;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mažas kraujospūdis, sukeliantis svaigulį;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inkstų ligos;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kepenų ligos (nustatomos kraujo tyrimais);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kalcio kiekio kraujyje sumažėjimas;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>sunkios alerginės reakcijos (</w:t>
      </w:r>
      <w:proofErr w:type="spellStart"/>
      <w:r w:rsidRPr="00A20CA2">
        <w:rPr>
          <w:sz w:val="22"/>
          <w:szCs w:val="22"/>
        </w:rPr>
        <w:t>angioedema</w:t>
      </w:r>
      <w:proofErr w:type="spellEnd"/>
      <w:r w:rsidRPr="00A20CA2">
        <w:rPr>
          <w:sz w:val="22"/>
          <w:szCs w:val="22"/>
        </w:rPr>
        <w:t xml:space="preserve">, ypatingai žmonėms, kurie turi polinkį į alergines ir </w:t>
      </w:r>
      <w:proofErr w:type="spellStart"/>
      <w:r w:rsidRPr="00A20CA2">
        <w:rPr>
          <w:sz w:val="22"/>
          <w:szCs w:val="22"/>
        </w:rPr>
        <w:t>astmines</w:t>
      </w:r>
      <w:proofErr w:type="spellEnd"/>
      <w:r w:rsidRPr="00A20CA2">
        <w:rPr>
          <w:sz w:val="22"/>
          <w:szCs w:val="22"/>
        </w:rPr>
        <w:t xml:space="preserve"> reakcijas), kurios pasireiškia veido odos, lūpų ir liežuvio sutinimu, dilgėline, taip pat gerklės ar kvėpavimo takų gleivinės sutinimu, kuris gali sukelti oro trūkumą ar rijimo pasunkėjimą. Jei tai pasireiškia, nedelsdami kreipkitės į gydytoją;</w:t>
      </w:r>
    </w:p>
    <w:p w:rsidR="00BF662B" w:rsidRPr="00A20CA2" w:rsidRDefault="00BF662B" w:rsidP="00BF662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sunkios alerginės reakcijos sukeliančios į gripo panašius simptomus, odos, burnos, akių, lytinių organų gleivinių pūslelinę (toksinė epidermio </w:t>
      </w:r>
      <w:proofErr w:type="spellStart"/>
      <w:r w:rsidRPr="00A20CA2">
        <w:rPr>
          <w:sz w:val="22"/>
          <w:szCs w:val="22"/>
        </w:rPr>
        <w:t>nekrolizė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Stivenso</w:t>
      </w:r>
      <w:proofErr w:type="spellEnd"/>
      <w:r w:rsidRPr="00A20CA2">
        <w:rPr>
          <w:sz w:val="22"/>
          <w:szCs w:val="22"/>
        </w:rPr>
        <w:t>-Džonsono (</w:t>
      </w:r>
      <w:proofErr w:type="spellStart"/>
      <w:r w:rsidRPr="00A20CA2">
        <w:rPr>
          <w:i/>
          <w:sz w:val="22"/>
          <w:szCs w:val="22"/>
        </w:rPr>
        <w:t>Stevens-Johnson</w:t>
      </w:r>
      <w:proofErr w:type="spellEnd"/>
      <w:r w:rsidRPr="00A20CA2">
        <w:rPr>
          <w:sz w:val="22"/>
          <w:szCs w:val="22"/>
        </w:rPr>
        <w:t>) sindromas). Jei tai pasireiškia, nedelsdami kreipkitės į gydytoją.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widowControl w:val="0"/>
        <w:tabs>
          <w:tab w:val="left" w:pos="567"/>
        </w:tabs>
        <w:rPr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</w:rPr>
        <w:t>Šalutinio poveikio reiškiniai, kurių dažnis nežinomas (negali būti apskaičiuotas pagal turimus duomenis</w:t>
      </w:r>
      <w:r>
        <w:rPr>
          <w:bCs/>
          <w:sz w:val="22"/>
          <w:szCs w:val="22"/>
          <w:lang w:eastAsia="lt-LT"/>
        </w:rPr>
        <w:t>)</w:t>
      </w:r>
      <w:r w:rsidRPr="00A20CA2">
        <w:rPr>
          <w:bCs/>
          <w:sz w:val="22"/>
          <w:szCs w:val="22"/>
          <w:lang w:eastAsia="lt-LT"/>
        </w:rPr>
        <w:t>:</w:t>
      </w:r>
    </w:p>
    <w:p w:rsidR="00BF662B" w:rsidRPr="00A20CA2" w:rsidRDefault="00BF662B" w:rsidP="00BF662B">
      <w:pPr>
        <w:pStyle w:val="Sraopastraipa"/>
        <w:widowControl w:val="0"/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Susilpnėjęs regėjimas ar akių skausmas dėl padidėjusio akispūdžio (galimi skysčio susikaupimo akies kraujagysliniame dangale (tarp </w:t>
      </w:r>
      <w:proofErr w:type="spellStart"/>
      <w:r w:rsidRPr="00A20CA2">
        <w:rPr>
          <w:sz w:val="22"/>
          <w:szCs w:val="22"/>
        </w:rPr>
        <w:t>gyslainės</w:t>
      </w:r>
      <w:proofErr w:type="spellEnd"/>
      <w:r w:rsidRPr="00A20CA2">
        <w:rPr>
          <w:sz w:val="22"/>
          <w:szCs w:val="22"/>
        </w:rPr>
        <w:t xml:space="preserve"> ir </w:t>
      </w:r>
      <w:proofErr w:type="spellStart"/>
      <w:r w:rsidRPr="00A20CA2">
        <w:rPr>
          <w:sz w:val="22"/>
          <w:szCs w:val="22"/>
        </w:rPr>
        <w:t>skleros</w:t>
      </w:r>
      <w:proofErr w:type="spellEnd"/>
      <w:r w:rsidRPr="00A20CA2">
        <w:rPr>
          <w:sz w:val="22"/>
          <w:szCs w:val="22"/>
        </w:rPr>
        <w:t>) arba ūminės uždarojo kampo glaukomos požymiai).</w:t>
      </w:r>
    </w:p>
    <w:p w:rsidR="00BF662B" w:rsidRPr="00A20CA2" w:rsidRDefault="00BF662B" w:rsidP="00BF662B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gali didinti cukraus kiekį kraujyje.</w:t>
      </w:r>
    </w:p>
    <w:p w:rsidR="00BF662B" w:rsidRPr="00A20CA2" w:rsidRDefault="00BF662B" w:rsidP="00BF662B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Jeigu sergate kepenų nepakankamumu,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gali sukelti būklę, vadinamą </w:t>
      </w:r>
      <w:proofErr w:type="spellStart"/>
      <w:r w:rsidRPr="00A20CA2">
        <w:rPr>
          <w:sz w:val="22"/>
          <w:szCs w:val="22"/>
        </w:rPr>
        <w:t>hepatine</w:t>
      </w:r>
      <w:proofErr w:type="spellEnd"/>
      <w:r w:rsidRPr="00A20CA2">
        <w:rPr>
          <w:sz w:val="22"/>
          <w:szCs w:val="22"/>
        </w:rPr>
        <w:t xml:space="preserve"> </w:t>
      </w:r>
      <w:proofErr w:type="spellStart"/>
      <w:r w:rsidRPr="00A20CA2">
        <w:rPr>
          <w:sz w:val="22"/>
          <w:szCs w:val="22"/>
        </w:rPr>
        <w:t>encefalopatija</w:t>
      </w:r>
      <w:proofErr w:type="spellEnd"/>
      <w:r w:rsidRPr="00A20CA2">
        <w:rPr>
          <w:sz w:val="22"/>
          <w:szCs w:val="22"/>
        </w:rPr>
        <w:t xml:space="preserve"> (smegenų ir nervų pažeidimas, kurį sukelia kepenų ligos komplikacijos).</w:t>
      </w:r>
    </w:p>
    <w:p w:rsidR="00BF662B" w:rsidRPr="00A20CA2" w:rsidRDefault="00BF662B" w:rsidP="00BF662B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Jei skundžiatės būkle, vadinama „sistemine raudonąja vilklige“ (reta, plačiai paplitusi uždegiminė liga), ji gali pasunkėti vartojant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SR.</w:t>
      </w:r>
    </w:p>
    <w:p w:rsidR="00BF662B" w:rsidRPr="00A20CA2" w:rsidRDefault="00BF662B" w:rsidP="00BF662B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20CA2">
        <w:rPr>
          <w:sz w:val="22"/>
          <w:szCs w:val="22"/>
        </w:rPr>
        <w:t xml:space="preserve">Vartojant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gali padidėti Jūsų odos jautrumas UV (ultravioletinei) šviesai (žr. skyrių „Įspėjimai ir atsargumo priemonės“).</w:t>
      </w:r>
    </w:p>
    <w:p w:rsidR="00BF662B" w:rsidRPr="00A20CA2" w:rsidRDefault="00BF662B" w:rsidP="00BF662B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gali sukelti šlapimo rūgšties, kuri gali sukelti podagrą, kiekio padidėjimą.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tabs>
          <w:tab w:val="left" w:pos="567"/>
        </w:tabs>
        <w:rPr>
          <w:sz w:val="22"/>
          <w:szCs w:val="22"/>
        </w:rPr>
      </w:pPr>
      <w:r w:rsidRPr="00B27B31">
        <w:rPr>
          <w:b/>
          <w:sz w:val="22"/>
          <w:szCs w:val="22"/>
        </w:rPr>
        <w:t>P</w:t>
      </w:r>
      <w:r w:rsidRPr="00A20CA2">
        <w:rPr>
          <w:b/>
          <w:sz w:val="22"/>
          <w:szCs w:val="22"/>
        </w:rPr>
        <w:t>ranešimas apie šalutinį poveikį</w:t>
      </w:r>
    </w:p>
    <w:p w:rsidR="00BF662B" w:rsidRPr="00A20CA2" w:rsidRDefault="00BF662B" w:rsidP="00BF662B">
      <w:pPr>
        <w:pStyle w:val="Betarp"/>
        <w:rPr>
          <w:sz w:val="22"/>
          <w:szCs w:val="22"/>
        </w:rPr>
      </w:pPr>
      <w:r w:rsidRPr="008D04CD">
        <w:rPr>
          <w:snapToGrid w:val="0"/>
          <w:sz w:val="22"/>
          <w:szCs w:val="22"/>
        </w:rPr>
        <w:t>Jeigu pasireiškė šalutinis poveikis, įskaitant šiame lapelyje nenurodytą, pasakykite gydytojui</w:t>
      </w:r>
      <w:r>
        <w:rPr>
          <w:snapToGrid w:val="0"/>
          <w:sz w:val="22"/>
          <w:szCs w:val="22"/>
        </w:rPr>
        <w:t xml:space="preserve"> </w:t>
      </w:r>
      <w:r w:rsidRPr="008D04CD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8D04CD">
        <w:rPr>
          <w:snapToGrid w:val="0"/>
          <w:sz w:val="22"/>
          <w:szCs w:val="22"/>
        </w:rPr>
        <w:t>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Sveikatos priežiūros ar farmacijos specialisto pranešimo apie įtariamą nepageidaujamą reakciją formą, kuri skelbiama https://www.vvkt.lt/index.php?4004286486, ir atsiunčiant elektroniniu paštu (adresu NepageidaujamaR@vvkt.lt) arba nemokamu telefonu 8 800 73 568.</w:t>
      </w:r>
      <w:r>
        <w:rPr>
          <w:snapToGrid w:val="0"/>
          <w:sz w:val="22"/>
          <w:szCs w:val="22"/>
        </w:rPr>
        <w:t xml:space="preserve"> </w:t>
      </w:r>
      <w:r w:rsidRPr="00A20CA2">
        <w:rPr>
          <w:sz w:val="22"/>
          <w:szCs w:val="22"/>
        </w:rPr>
        <w:t>Pranešdami apie šalutinį poveikį galite mums padėti gauti daugiau informacijos apie šio vaisto saugumą.</w:t>
      </w:r>
    </w:p>
    <w:p w:rsidR="00BF662B" w:rsidRPr="00A20CA2" w:rsidRDefault="00BF662B" w:rsidP="00BF662B">
      <w:pPr>
        <w:pStyle w:val="BTEMEASMCA"/>
      </w:pPr>
    </w:p>
    <w:p w:rsidR="00BF662B" w:rsidRPr="004567F8" w:rsidRDefault="00BF662B" w:rsidP="00BF662B">
      <w:pPr>
        <w:pStyle w:val="BTEMEASMCA"/>
      </w:pPr>
    </w:p>
    <w:p w:rsidR="00BF662B" w:rsidRPr="00560F10" w:rsidRDefault="00BF662B" w:rsidP="00BF662B">
      <w:pPr>
        <w:pStyle w:val="PI-1EMEASMCA"/>
      </w:pPr>
      <w:bookmarkStart w:id="8" w:name="_Toc129243268"/>
      <w:bookmarkStart w:id="9" w:name="_Toc129243143"/>
      <w:r w:rsidRPr="00E4636E">
        <w:t>5</w:t>
      </w:r>
      <w:r w:rsidRPr="00125444">
        <w:t>.</w:t>
      </w:r>
      <w:r w:rsidRPr="00125444">
        <w:tab/>
        <w:t xml:space="preserve">Kaip laikyti </w:t>
      </w:r>
      <w:proofErr w:type="spellStart"/>
      <w:r w:rsidRPr="00125444">
        <w:t>Indapen</w:t>
      </w:r>
      <w:proofErr w:type="spellEnd"/>
      <w:r w:rsidRPr="00125444">
        <w:t xml:space="preserve"> SR</w:t>
      </w:r>
      <w:bookmarkEnd w:id="8"/>
      <w:bookmarkEnd w:id="9"/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>Šį vaistą laikykite vaikams nepastebimoje ir nepasiekiamoje vietoje.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rPr>
          <w:sz w:val="22"/>
          <w:szCs w:val="22"/>
        </w:rPr>
      </w:pPr>
      <w:r w:rsidRPr="00B27B31">
        <w:rPr>
          <w:sz w:val="22"/>
          <w:szCs w:val="22"/>
        </w:rPr>
        <w:t>L</w:t>
      </w:r>
      <w:r w:rsidRPr="00A20CA2">
        <w:rPr>
          <w:sz w:val="22"/>
          <w:szCs w:val="22"/>
        </w:rPr>
        <w:t xml:space="preserve">aikyti </w:t>
      </w:r>
      <w:r w:rsidRPr="00A20CA2">
        <w:rPr>
          <w:noProof/>
          <w:sz w:val="22"/>
          <w:szCs w:val="22"/>
        </w:rPr>
        <w:t>žemesnėje kaip</w:t>
      </w:r>
      <w:r w:rsidRPr="00A20CA2">
        <w:rPr>
          <w:sz w:val="22"/>
          <w:szCs w:val="22"/>
        </w:rPr>
        <w:t xml:space="preserve"> 25°C temperatūroje.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>Ant dėžutės po „EXP“ nurodytam tinkamumo laikui pasibaigus, šio vaisto vartoti negalima. Vaistas tinkamas vartoti iki paskutinės nurodyto mėnesio dienos.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>Vaistų negalima išmesti į kanalizaciją arba su buitinėmis atliekomis. Kaip išmesti nereikalingus vaistus, klauskite vaistininko. Šios priemonės padės apsaugoti aplinką.</w:t>
      </w:r>
    </w:p>
    <w:p w:rsidR="00BF662B" w:rsidRPr="00A20CA2" w:rsidRDefault="00BF662B" w:rsidP="00BF662B">
      <w:pPr>
        <w:pStyle w:val="BTEMEASMCA"/>
      </w:pPr>
    </w:p>
    <w:p w:rsidR="00BF662B" w:rsidRPr="004567F8" w:rsidRDefault="00BF662B" w:rsidP="00BF662B">
      <w:pPr>
        <w:pStyle w:val="BTEMEASMCA"/>
      </w:pPr>
    </w:p>
    <w:p w:rsidR="00BF662B" w:rsidRPr="00560F10" w:rsidRDefault="00BF662B" w:rsidP="00BF662B">
      <w:pPr>
        <w:pStyle w:val="PI-1EMEASMCA"/>
      </w:pPr>
      <w:bookmarkStart w:id="10" w:name="_Toc129243269"/>
      <w:bookmarkStart w:id="11" w:name="_Toc129243144"/>
      <w:r w:rsidRPr="00E4636E">
        <w:t>6</w:t>
      </w:r>
      <w:r w:rsidRPr="00125444">
        <w:t>.</w:t>
      </w:r>
      <w:r w:rsidRPr="00125444">
        <w:tab/>
        <w:t>Pakuotės turinys ir kita informacija</w:t>
      </w:r>
      <w:bookmarkEnd w:id="10"/>
      <w:bookmarkEnd w:id="11"/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</w:pPr>
      <w:proofErr w:type="spellStart"/>
      <w:r w:rsidRPr="00B27B31">
        <w:t>I</w:t>
      </w:r>
      <w:r w:rsidRPr="00A20CA2">
        <w:t>ndapen</w:t>
      </w:r>
      <w:proofErr w:type="spellEnd"/>
      <w:r w:rsidRPr="00A20CA2">
        <w:t xml:space="preserve"> SR sudėtis</w:t>
      </w:r>
    </w:p>
    <w:p w:rsidR="00BF662B" w:rsidRPr="00A20CA2" w:rsidRDefault="00BF662B" w:rsidP="00BF662B">
      <w:pPr>
        <w:pStyle w:val="BT-EMEASMCA"/>
      </w:pPr>
      <w:r w:rsidRPr="00A20CA2">
        <w:t xml:space="preserve">Veiklioji medžiaga yra </w:t>
      </w:r>
      <w:proofErr w:type="spellStart"/>
      <w:r w:rsidRPr="00A20CA2">
        <w:t>indapamidas</w:t>
      </w:r>
      <w:proofErr w:type="spellEnd"/>
      <w:r w:rsidRPr="00A20CA2">
        <w:t xml:space="preserve">. Vienoje pailginto atpalaidavimo tabletėje yra 1,5 mg </w:t>
      </w:r>
      <w:proofErr w:type="spellStart"/>
      <w:r w:rsidRPr="00A20CA2">
        <w:t>indapamido</w:t>
      </w:r>
      <w:proofErr w:type="spellEnd"/>
      <w:r w:rsidRPr="00A20CA2">
        <w:t>.</w:t>
      </w:r>
    </w:p>
    <w:p w:rsidR="00BF662B" w:rsidRPr="00A20CA2" w:rsidRDefault="00BF662B" w:rsidP="00BF662B">
      <w:pPr>
        <w:tabs>
          <w:tab w:val="left" w:pos="567"/>
        </w:tabs>
        <w:rPr>
          <w:sz w:val="22"/>
          <w:szCs w:val="22"/>
        </w:rPr>
      </w:pPr>
      <w:r w:rsidRPr="00B27B31">
        <w:rPr>
          <w:sz w:val="22"/>
          <w:szCs w:val="22"/>
        </w:rPr>
        <w:t>-</w:t>
      </w:r>
      <w:r w:rsidRPr="00A20CA2">
        <w:rPr>
          <w:sz w:val="22"/>
          <w:szCs w:val="22"/>
        </w:rPr>
        <w:tab/>
        <w:t xml:space="preserve">Pagalbinės medžiagos yra laktozė </w:t>
      </w:r>
      <w:proofErr w:type="spellStart"/>
      <w:r w:rsidRPr="00A20CA2">
        <w:rPr>
          <w:sz w:val="22"/>
          <w:szCs w:val="22"/>
        </w:rPr>
        <w:t>monohidratas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karbomeras</w:t>
      </w:r>
      <w:proofErr w:type="spellEnd"/>
      <w:r w:rsidRPr="00A20CA2">
        <w:rPr>
          <w:sz w:val="22"/>
          <w:szCs w:val="22"/>
        </w:rPr>
        <w:t xml:space="preserve">, </w:t>
      </w:r>
      <w:proofErr w:type="spellStart"/>
      <w:r w:rsidRPr="00A20CA2">
        <w:rPr>
          <w:sz w:val="22"/>
          <w:szCs w:val="22"/>
        </w:rPr>
        <w:t>hidroksipropilceliuliozė</w:t>
      </w:r>
      <w:proofErr w:type="spellEnd"/>
      <w:r w:rsidRPr="00A20CA2">
        <w:rPr>
          <w:sz w:val="22"/>
          <w:szCs w:val="22"/>
        </w:rPr>
        <w:t xml:space="preserve">, magnio </w:t>
      </w:r>
      <w:proofErr w:type="spellStart"/>
      <w:r w:rsidRPr="00A20CA2">
        <w:rPr>
          <w:sz w:val="22"/>
          <w:szCs w:val="22"/>
        </w:rPr>
        <w:t>stearatas</w:t>
      </w:r>
      <w:proofErr w:type="spellEnd"/>
      <w:r w:rsidRPr="00A20CA2">
        <w:rPr>
          <w:sz w:val="22"/>
          <w:szCs w:val="22"/>
        </w:rPr>
        <w:t xml:space="preserve">, koloidinis bevandenis silicio dioksidas, talkas, </w:t>
      </w:r>
      <w:proofErr w:type="spellStart"/>
      <w:r w:rsidRPr="00A20CA2">
        <w:rPr>
          <w:sz w:val="22"/>
          <w:szCs w:val="22"/>
        </w:rPr>
        <w:t>hipromeliozė</w:t>
      </w:r>
      <w:proofErr w:type="spellEnd"/>
      <w:r w:rsidRPr="00A20CA2">
        <w:rPr>
          <w:sz w:val="22"/>
          <w:szCs w:val="22"/>
        </w:rPr>
        <w:t xml:space="preserve">, titano dioksidas (171), </w:t>
      </w:r>
      <w:proofErr w:type="spellStart"/>
      <w:r w:rsidRPr="00A20CA2">
        <w:rPr>
          <w:sz w:val="22"/>
          <w:szCs w:val="22"/>
        </w:rPr>
        <w:t>makrogolis</w:t>
      </w:r>
      <w:proofErr w:type="spellEnd"/>
      <w:r w:rsidRPr="00A20CA2">
        <w:rPr>
          <w:sz w:val="22"/>
          <w:szCs w:val="22"/>
        </w:rPr>
        <w:t xml:space="preserve">/ PEG 3000, </w:t>
      </w:r>
      <w:proofErr w:type="spellStart"/>
      <w:r w:rsidRPr="00A20CA2">
        <w:rPr>
          <w:sz w:val="22"/>
          <w:szCs w:val="22"/>
        </w:rPr>
        <w:t>glicerolio</w:t>
      </w:r>
      <w:proofErr w:type="spellEnd"/>
      <w:r w:rsidRPr="00A20CA2">
        <w:rPr>
          <w:sz w:val="22"/>
          <w:szCs w:val="22"/>
        </w:rPr>
        <w:t xml:space="preserve"> </w:t>
      </w:r>
      <w:proofErr w:type="spellStart"/>
      <w:r w:rsidRPr="00A20CA2">
        <w:rPr>
          <w:sz w:val="22"/>
          <w:szCs w:val="22"/>
        </w:rPr>
        <w:t>triacetatas</w:t>
      </w:r>
      <w:proofErr w:type="spellEnd"/>
      <w:r w:rsidRPr="00A20CA2">
        <w:rPr>
          <w:sz w:val="22"/>
          <w:szCs w:val="22"/>
        </w:rPr>
        <w:t>, geltonasis geležies oksidas (E172), raudonasis geležies oksidas (E172), juodasis geležies oksidas (E172).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</w:pPr>
      <w:proofErr w:type="spellStart"/>
      <w:r w:rsidRPr="00B27B31">
        <w:t>I</w:t>
      </w:r>
      <w:r w:rsidRPr="00A20CA2">
        <w:t>ndapen</w:t>
      </w:r>
      <w:proofErr w:type="spellEnd"/>
      <w:r w:rsidRPr="00A20CA2">
        <w:t xml:space="preserve"> SR išvaizda ir kiekis pakuotėje</w:t>
      </w:r>
    </w:p>
    <w:p w:rsidR="00BF662B" w:rsidRPr="00A20CA2" w:rsidRDefault="00BF662B" w:rsidP="00BF662B">
      <w:pPr>
        <w:pStyle w:val="BTEMEASMCA"/>
      </w:pPr>
      <w:proofErr w:type="spellStart"/>
      <w:r w:rsidRPr="00A20CA2">
        <w:t>Indapen</w:t>
      </w:r>
      <w:proofErr w:type="spellEnd"/>
      <w:r w:rsidRPr="00A20CA2">
        <w:t xml:space="preserve"> SR pailginto atpalaidavimo tabletės yra šviesiai rausvos spalvos, apvalios (apie 8 mm), abipus </w:t>
      </w:r>
      <w:proofErr w:type="spellStart"/>
      <w:r w:rsidRPr="00A20CA2">
        <w:t>išgaubtos.Vienoje</w:t>
      </w:r>
      <w:proofErr w:type="spellEnd"/>
      <w:r w:rsidRPr="00A20CA2">
        <w:t xml:space="preserve"> pakuotėje yra 28, 30, 56 ar 60 tablečių. 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>Gali būti tiekiamos ne visų dydžių pakuotės.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PI-3EMEASMCA"/>
      </w:pPr>
      <w:r w:rsidRPr="00B27B31">
        <w:t>R</w:t>
      </w:r>
      <w:r w:rsidRPr="00A20CA2">
        <w:t>egistruotojas ir gamintojas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ind w:right="-2"/>
        <w:rPr>
          <w:b/>
          <w:bCs/>
          <w:iCs/>
          <w:sz w:val="22"/>
          <w:szCs w:val="22"/>
        </w:rPr>
      </w:pPr>
      <w:r w:rsidRPr="00A20CA2">
        <w:rPr>
          <w:b/>
          <w:bCs/>
          <w:iCs/>
          <w:sz w:val="22"/>
          <w:szCs w:val="22"/>
        </w:rPr>
        <w:t>Registruotojas</w:t>
      </w: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B27B31">
        <w:rPr>
          <w:sz w:val="22"/>
          <w:szCs w:val="22"/>
        </w:rPr>
        <w:t>Pharmaceutical</w:t>
      </w:r>
      <w:proofErr w:type="spellEnd"/>
      <w:r w:rsidRPr="00B27B31">
        <w:rPr>
          <w:sz w:val="22"/>
          <w:szCs w:val="22"/>
        </w:rPr>
        <w:t xml:space="preserve"> Works POLPHARMA SA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 xml:space="preserve">19 </w:t>
      </w:r>
      <w:proofErr w:type="spellStart"/>
      <w:r w:rsidRPr="00A20CA2">
        <w:rPr>
          <w:sz w:val="22"/>
          <w:szCs w:val="22"/>
        </w:rPr>
        <w:t>Pelplińska</w:t>
      </w:r>
      <w:proofErr w:type="spellEnd"/>
      <w:r w:rsidRPr="00A20CA2">
        <w:rPr>
          <w:sz w:val="22"/>
          <w:szCs w:val="22"/>
        </w:rPr>
        <w:t xml:space="preserve"> </w:t>
      </w:r>
      <w:proofErr w:type="spellStart"/>
      <w:r w:rsidRPr="00A20CA2">
        <w:rPr>
          <w:sz w:val="22"/>
          <w:szCs w:val="22"/>
        </w:rPr>
        <w:t>Street</w:t>
      </w:r>
      <w:proofErr w:type="spellEnd"/>
      <w:r w:rsidRPr="00A20CA2">
        <w:rPr>
          <w:sz w:val="22"/>
          <w:szCs w:val="22"/>
        </w:rPr>
        <w:t xml:space="preserve"> 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 xml:space="preserve">83-200 </w:t>
      </w:r>
      <w:proofErr w:type="spellStart"/>
      <w:r w:rsidRPr="00A20CA2">
        <w:rPr>
          <w:sz w:val="22"/>
          <w:szCs w:val="22"/>
        </w:rPr>
        <w:t>Starogard</w:t>
      </w:r>
      <w:proofErr w:type="spellEnd"/>
      <w:r w:rsidRPr="00A20CA2">
        <w:rPr>
          <w:sz w:val="22"/>
          <w:szCs w:val="22"/>
        </w:rPr>
        <w:t xml:space="preserve"> </w:t>
      </w:r>
      <w:proofErr w:type="spellStart"/>
      <w:r w:rsidRPr="00A20CA2">
        <w:rPr>
          <w:sz w:val="22"/>
          <w:szCs w:val="22"/>
        </w:rPr>
        <w:t>Gdański</w:t>
      </w:r>
      <w:proofErr w:type="spellEnd"/>
      <w:r w:rsidRPr="00A20CA2">
        <w:rPr>
          <w:sz w:val="22"/>
          <w:szCs w:val="22"/>
        </w:rPr>
        <w:t xml:space="preserve"> 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>Lenkija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rPr>
          <w:b/>
          <w:bCs/>
          <w:iCs/>
          <w:sz w:val="22"/>
          <w:szCs w:val="22"/>
        </w:rPr>
      </w:pPr>
      <w:r w:rsidRPr="00A20CA2">
        <w:rPr>
          <w:b/>
          <w:bCs/>
          <w:iCs/>
          <w:sz w:val="22"/>
          <w:szCs w:val="22"/>
        </w:rPr>
        <w:t>Gamintojas</w:t>
      </w: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B27B31">
        <w:rPr>
          <w:sz w:val="22"/>
          <w:szCs w:val="22"/>
        </w:rPr>
        <w:t>Pharmaceutical</w:t>
      </w:r>
      <w:proofErr w:type="spellEnd"/>
      <w:r w:rsidRPr="00B27B31">
        <w:rPr>
          <w:sz w:val="22"/>
          <w:szCs w:val="22"/>
        </w:rPr>
        <w:t xml:space="preserve"> Works POLPHARMA SA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 xml:space="preserve">19 </w:t>
      </w:r>
      <w:proofErr w:type="spellStart"/>
      <w:r w:rsidRPr="00A20CA2">
        <w:rPr>
          <w:sz w:val="22"/>
          <w:szCs w:val="22"/>
        </w:rPr>
        <w:t>Pelplińska</w:t>
      </w:r>
      <w:proofErr w:type="spellEnd"/>
      <w:r w:rsidRPr="00A20CA2">
        <w:rPr>
          <w:sz w:val="22"/>
          <w:szCs w:val="22"/>
        </w:rPr>
        <w:t xml:space="preserve"> </w:t>
      </w:r>
      <w:proofErr w:type="spellStart"/>
      <w:r w:rsidRPr="00A20CA2">
        <w:rPr>
          <w:sz w:val="22"/>
          <w:szCs w:val="22"/>
        </w:rPr>
        <w:t>Street</w:t>
      </w:r>
      <w:proofErr w:type="spellEnd"/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 xml:space="preserve">83-200 </w:t>
      </w:r>
      <w:proofErr w:type="spellStart"/>
      <w:r w:rsidRPr="00A20CA2">
        <w:rPr>
          <w:sz w:val="22"/>
          <w:szCs w:val="22"/>
        </w:rPr>
        <w:t>Starogard</w:t>
      </w:r>
      <w:proofErr w:type="spellEnd"/>
      <w:r w:rsidRPr="00A20CA2">
        <w:rPr>
          <w:sz w:val="22"/>
          <w:szCs w:val="22"/>
        </w:rPr>
        <w:t xml:space="preserve"> </w:t>
      </w:r>
      <w:proofErr w:type="spellStart"/>
      <w:r w:rsidRPr="00A20CA2">
        <w:rPr>
          <w:sz w:val="22"/>
          <w:szCs w:val="22"/>
        </w:rPr>
        <w:t>Gdański</w:t>
      </w:r>
      <w:proofErr w:type="spellEnd"/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>Lenkija</w:t>
      </w:r>
    </w:p>
    <w:p w:rsidR="00BF662B" w:rsidRPr="00A20CA2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tabs>
          <w:tab w:val="left" w:pos="567"/>
        </w:tabs>
        <w:ind w:right="-2"/>
        <w:rPr>
          <w:sz w:val="22"/>
          <w:szCs w:val="22"/>
        </w:rPr>
      </w:pPr>
      <w:r w:rsidRPr="00A20CA2">
        <w:rPr>
          <w:sz w:val="22"/>
          <w:szCs w:val="22"/>
        </w:rPr>
        <w:t>Jeigu apie šį vaistą norite sužinoti daugiau, kreipkitės į vietinį registruotojo atstovą: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>POLPHARMA S.A. atstovybė Lietuvoje</w:t>
      </w:r>
    </w:p>
    <w:p w:rsidR="00BF662B" w:rsidRPr="00A20CA2" w:rsidRDefault="00BF662B" w:rsidP="00BF662B">
      <w:pPr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E.Ožeškienės</w:t>
      </w:r>
      <w:proofErr w:type="spellEnd"/>
      <w:r w:rsidRPr="00A20CA2">
        <w:rPr>
          <w:sz w:val="22"/>
          <w:szCs w:val="22"/>
        </w:rPr>
        <w:t xml:space="preserve"> g. 18A,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>LT-44254 Kaunas</w:t>
      </w:r>
    </w:p>
    <w:p w:rsidR="00BF662B" w:rsidRPr="00A20CA2" w:rsidRDefault="00BF662B" w:rsidP="00BF662B">
      <w:pPr>
        <w:rPr>
          <w:sz w:val="22"/>
          <w:szCs w:val="22"/>
        </w:rPr>
      </w:pPr>
      <w:r w:rsidRPr="00A20CA2">
        <w:rPr>
          <w:sz w:val="22"/>
          <w:szCs w:val="22"/>
        </w:rPr>
        <w:t>Tel. +370 37 325131</w:t>
      </w:r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EMEASMCA"/>
      </w:pPr>
      <w:r w:rsidRPr="00A20CA2">
        <w:t xml:space="preserve">Šios vaistas </w:t>
      </w:r>
      <w:r w:rsidRPr="001C4281">
        <w:rPr>
          <w:rFonts w:eastAsia="Times New Roman"/>
          <w:b/>
          <w:snapToGrid w:val="0"/>
        </w:rPr>
        <w:t>Europos ekonominės erdvės</w:t>
      </w:r>
      <w:r>
        <w:rPr>
          <w:rFonts w:eastAsia="Times New Roman"/>
          <w:b/>
          <w:snapToGrid w:val="0"/>
        </w:rPr>
        <w:t xml:space="preserve"> </w:t>
      </w:r>
      <w:r w:rsidRPr="00A20CA2">
        <w:t xml:space="preserve"> valstybėse narėse registruotas tokiais pavadinimais:</w:t>
      </w:r>
    </w:p>
    <w:p w:rsidR="00BF662B" w:rsidRPr="00A20CA2" w:rsidRDefault="00BF662B" w:rsidP="00BF662B">
      <w:pPr>
        <w:ind w:right="-2"/>
        <w:rPr>
          <w:color w:val="000000"/>
          <w:sz w:val="22"/>
          <w:szCs w:val="22"/>
        </w:rPr>
      </w:pPr>
      <w:r w:rsidRPr="00B27B31">
        <w:rPr>
          <w:color w:val="000000"/>
          <w:sz w:val="22"/>
          <w:szCs w:val="22"/>
        </w:rPr>
        <w:t>L</w:t>
      </w:r>
      <w:r w:rsidRPr="00A20CA2">
        <w:rPr>
          <w:color w:val="000000"/>
          <w:sz w:val="22"/>
          <w:szCs w:val="22"/>
        </w:rPr>
        <w:t xml:space="preserve">ietuva: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</w:t>
      </w:r>
      <w:r w:rsidRPr="00A20CA2">
        <w:rPr>
          <w:color w:val="000000"/>
          <w:sz w:val="22"/>
          <w:szCs w:val="22"/>
        </w:rPr>
        <w:t>1,5 mg pailginto atpalaidavimo tabletės</w:t>
      </w:r>
    </w:p>
    <w:p w:rsidR="00BF662B" w:rsidRPr="00A20CA2" w:rsidRDefault="00BF662B" w:rsidP="00BF662B">
      <w:pPr>
        <w:ind w:right="-2"/>
        <w:rPr>
          <w:sz w:val="22"/>
          <w:szCs w:val="22"/>
        </w:rPr>
      </w:pPr>
      <w:r w:rsidRPr="00A20CA2">
        <w:rPr>
          <w:color w:val="000000"/>
          <w:sz w:val="22"/>
          <w:szCs w:val="22"/>
        </w:rPr>
        <w:t xml:space="preserve">Latvija: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</w:t>
      </w:r>
      <w:r w:rsidRPr="00A20CA2">
        <w:rPr>
          <w:color w:val="000000"/>
          <w:sz w:val="22"/>
          <w:szCs w:val="22"/>
        </w:rPr>
        <w:t xml:space="preserve">1,5 mg </w:t>
      </w:r>
      <w:proofErr w:type="spellStart"/>
      <w:r w:rsidRPr="00A20CA2">
        <w:rPr>
          <w:color w:val="000000"/>
          <w:sz w:val="22"/>
          <w:szCs w:val="22"/>
        </w:rPr>
        <w:t>ilgstošas</w:t>
      </w:r>
      <w:proofErr w:type="spellEnd"/>
      <w:r w:rsidRPr="00A20CA2">
        <w:rPr>
          <w:color w:val="000000"/>
          <w:sz w:val="22"/>
          <w:szCs w:val="22"/>
        </w:rPr>
        <w:t xml:space="preserve"> </w:t>
      </w:r>
      <w:proofErr w:type="spellStart"/>
      <w:r w:rsidRPr="00A20CA2">
        <w:rPr>
          <w:color w:val="000000"/>
          <w:sz w:val="22"/>
          <w:szCs w:val="22"/>
        </w:rPr>
        <w:t>darbības</w:t>
      </w:r>
      <w:proofErr w:type="spellEnd"/>
      <w:r w:rsidRPr="00A20CA2">
        <w:rPr>
          <w:color w:val="000000"/>
          <w:sz w:val="22"/>
          <w:szCs w:val="22"/>
        </w:rPr>
        <w:t xml:space="preserve"> tabletes</w:t>
      </w:r>
    </w:p>
    <w:p w:rsidR="00BF662B" w:rsidRPr="00A20CA2" w:rsidRDefault="00BF662B" w:rsidP="00BF662B">
      <w:pPr>
        <w:ind w:right="-2"/>
        <w:rPr>
          <w:sz w:val="22"/>
          <w:szCs w:val="22"/>
        </w:rPr>
      </w:pPr>
      <w:proofErr w:type="spellStart"/>
      <w:r w:rsidRPr="00A20CA2">
        <w:rPr>
          <w:sz w:val="22"/>
          <w:szCs w:val="22"/>
        </w:rPr>
        <w:t>Bugarija</w:t>
      </w:r>
      <w:proofErr w:type="spellEnd"/>
      <w:r w:rsidRPr="00A20CA2">
        <w:rPr>
          <w:color w:val="000000"/>
          <w:sz w:val="22"/>
          <w:szCs w:val="22"/>
        </w:rPr>
        <w:t xml:space="preserve">: </w:t>
      </w:r>
      <w:proofErr w:type="spellStart"/>
      <w:r w:rsidRPr="00A20CA2">
        <w:rPr>
          <w:sz w:val="22"/>
          <w:szCs w:val="22"/>
        </w:rPr>
        <w:t>Indapen</w:t>
      </w:r>
      <w:proofErr w:type="spellEnd"/>
      <w:r w:rsidRPr="00A20CA2">
        <w:rPr>
          <w:sz w:val="22"/>
          <w:szCs w:val="22"/>
        </w:rPr>
        <w:t xml:space="preserve"> SR </w:t>
      </w:r>
      <w:r w:rsidRPr="00A20CA2">
        <w:rPr>
          <w:color w:val="000000"/>
          <w:sz w:val="22"/>
          <w:szCs w:val="22"/>
        </w:rPr>
        <w:t xml:space="preserve">1,5 </w:t>
      </w:r>
      <w:proofErr w:type="spellStart"/>
      <w:r w:rsidRPr="00A20CA2">
        <w:rPr>
          <w:color w:val="000000"/>
          <w:sz w:val="22"/>
          <w:szCs w:val="22"/>
        </w:rPr>
        <w:t>мг</w:t>
      </w:r>
      <w:proofErr w:type="spellEnd"/>
      <w:r w:rsidRPr="00A20CA2">
        <w:rPr>
          <w:color w:val="000000"/>
          <w:sz w:val="22"/>
          <w:szCs w:val="22"/>
        </w:rPr>
        <w:t xml:space="preserve"> </w:t>
      </w:r>
      <w:proofErr w:type="spellStart"/>
      <w:r w:rsidRPr="00A20CA2">
        <w:rPr>
          <w:color w:val="000000"/>
          <w:sz w:val="22"/>
          <w:szCs w:val="22"/>
        </w:rPr>
        <w:t>таблетка</w:t>
      </w:r>
      <w:proofErr w:type="spellEnd"/>
      <w:r w:rsidRPr="00A20CA2">
        <w:rPr>
          <w:color w:val="000000"/>
          <w:sz w:val="22"/>
          <w:szCs w:val="22"/>
        </w:rPr>
        <w:t xml:space="preserve"> с </w:t>
      </w:r>
      <w:proofErr w:type="spellStart"/>
      <w:r w:rsidRPr="00A20CA2">
        <w:rPr>
          <w:color w:val="000000"/>
          <w:sz w:val="22"/>
          <w:szCs w:val="22"/>
        </w:rPr>
        <w:t>удължено</w:t>
      </w:r>
      <w:proofErr w:type="spellEnd"/>
      <w:r w:rsidRPr="00A20CA2">
        <w:rPr>
          <w:color w:val="000000"/>
          <w:sz w:val="22"/>
          <w:szCs w:val="22"/>
        </w:rPr>
        <w:t xml:space="preserve"> </w:t>
      </w:r>
      <w:proofErr w:type="spellStart"/>
      <w:r w:rsidRPr="00A20CA2">
        <w:rPr>
          <w:color w:val="000000"/>
          <w:sz w:val="22"/>
          <w:szCs w:val="22"/>
        </w:rPr>
        <w:t>освобождаване</w:t>
      </w:r>
      <w:proofErr w:type="spellEnd"/>
    </w:p>
    <w:p w:rsidR="00BF662B" w:rsidRPr="00A20CA2" w:rsidRDefault="00BF662B" w:rsidP="00BF662B">
      <w:pPr>
        <w:pStyle w:val="BTEMEASMCA"/>
      </w:pPr>
    </w:p>
    <w:p w:rsidR="00BF662B" w:rsidRPr="00A20CA2" w:rsidRDefault="00BF662B" w:rsidP="00BF662B">
      <w:pPr>
        <w:pStyle w:val="BTbEMEASMCA"/>
      </w:pPr>
      <w:r w:rsidRPr="00A20CA2">
        <w:t xml:space="preserve">Šis pakuotės lapelis paskutinį kartą peržiūrėtas </w:t>
      </w:r>
      <w:r>
        <w:t>2021-12-07.</w:t>
      </w:r>
    </w:p>
    <w:p w:rsidR="00BF662B" w:rsidRPr="00B27B31" w:rsidRDefault="00BF662B" w:rsidP="00BF662B">
      <w:pPr>
        <w:rPr>
          <w:sz w:val="22"/>
          <w:szCs w:val="22"/>
        </w:rPr>
      </w:pPr>
    </w:p>
    <w:p w:rsidR="00BF662B" w:rsidRPr="00A20CA2" w:rsidRDefault="00BF662B" w:rsidP="00BF662B">
      <w:pPr>
        <w:tabs>
          <w:tab w:val="left" w:pos="567"/>
        </w:tabs>
        <w:ind w:right="-2"/>
        <w:rPr>
          <w:sz w:val="22"/>
          <w:szCs w:val="22"/>
        </w:rPr>
      </w:pPr>
      <w:r w:rsidRPr="00A20CA2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A20CA2">
        <w:rPr>
          <w:i/>
          <w:sz w:val="22"/>
          <w:szCs w:val="22"/>
        </w:rPr>
        <w:t xml:space="preserve"> </w:t>
      </w:r>
      <w:hyperlink r:id="rId5" w:history="1">
        <w:r w:rsidRPr="00A20CA2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B27B31">
        <w:rPr>
          <w:sz w:val="22"/>
          <w:szCs w:val="22"/>
        </w:rPr>
        <w:t>.</w:t>
      </w:r>
    </w:p>
    <w:p w:rsidR="009041DB" w:rsidRDefault="009041DB">
      <w:bookmarkStart w:id="12" w:name="_GoBack"/>
      <w:bookmarkEnd w:id="12"/>
    </w:p>
    <w:sectPr w:rsidR="009041DB" w:rsidSect="00D95EFF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80E1A98"/>
    <w:name w:val="WWNum1"/>
    <w:lvl w:ilvl="0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7867E0B"/>
    <w:multiLevelType w:val="hybridMultilevel"/>
    <w:tmpl w:val="83E8E4FE"/>
    <w:lvl w:ilvl="0" w:tplc="17BA9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2B"/>
    <w:rsid w:val="009041DB"/>
    <w:rsid w:val="00BF662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748E9-9B15-4AFB-B889-E46FC711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662B"/>
    <w:pPr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66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66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BF662B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BF662B"/>
    <w:pPr>
      <w:keepNext w:val="0"/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paragraph" w:customStyle="1" w:styleId="BTEMEASMCA">
    <w:name w:val="BT EMEA_SMCA"/>
    <w:basedOn w:val="prastasis"/>
    <w:autoRedefine/>
    <w:rsid w:val="00BF662B"/>
    <w:pPr>
      <w:tabs>
        <w:tab w:val="left" w:pos="360"/>
      </w:tabs>
    </w:pPr>
    <w:rPr>
      <w:rFonts w:eastAsia="Arial Unicode MS"/>
      <w:bCs/>
      <w:sz w:val="22"/>
      <w:szCs w:val="22"/>
    </w:rPr>
  </w:style>
  <w:style w:type="paragraph" w:customStyle="1" w:styleId="TTEMEASMCA">
    <w:name w:val="TT EMEA_SMCA"/>
    <w:basedOn w:val="Antrat1"/>
    <w:autoRedefine/>
    <w:rsid w:val="00BF662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00000A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BF662B"/>
    <w:pPr>
      <w:numPr>
        <w:numId w:val="1"/>
      </w:numPr>
      <w:tabs>
        <w:tab w:val="clear" w:pos="360"/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BF662B"/>
    <w:pPr>
      <w:spacing w:line="220" w:lineRule="exact"/>
    </w:pPr>
    <w:rPr>
      <w:sz w:val="22"/>
      <w:szCs w:val="22"/>
    </w:rPr>
  </w:style>
  <w:style w:type="paragraph" w:customStyle="1" w:styleId="BTbEMEASMCA">
    <w:name w:val="BT(b) EMEA_SMCA"/>
    <w:basedOn w:val="BTEMEASMCA"/>
    <w:autoRedefine/>
    <w:rsid w:val="00BF662B"/>
    <w:rPr>
      <w:b/>
    </w:rPr>
  </w:style>
  <w:style w:type="paragraph" w:customStyle="1" w:styleId="BTbeEMEASMCA">
    <w:name w:val="BT(be) EMEA_SMCA"/>
    <w:basedOn w:val="BTEMEASMCA"/>
    <w:autoRedefine/>
    <w:rsid w:val="00BF662B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BF662B"/>
    <w:pPr>
      <w:jc w:val="center"/>
    </w:pPr>
  </w:style>
  <w:style w:type="paragraph" w:styleId="Sraopastraipa">
    <w:name w:val="List Paragraph"/>
    <w:basedOn w:val="prastasis"/>
    <w:uiPriority w:val="34"/>
    <w:qFormat/>
    <w:rsid w:val="00BF662B"/>
    <w:pPr>
      <w:ind w:left="720"/>
      <w:contextualSpacing/>
    </w:pPr>
  </w:style>
  <w:style w:type="paragraph" w:styleId="Betarp">
    <w:name w:val="No Spacing"/>
    <w:uiPriority w:val="1"/>
    <w:qFormat/>
    <w:rsid w:val="00BF662B"/>
    <w:pPr>
      <w:spacing w:after="0" w:line="240" w:lineRule="auto"/>
    </w:pPr>
    <w:rPr>
      <w:rFonts w:ascii="Times New Roman" w:hAnsi="Times New Roman" w:cs="Times New Roman"/>
      <w:sz w:val="20"/>
      <w:szCs w:val="20"/>
      <w:lang w:val="nl-NL" w:eastAsia="nl-NL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662B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F662B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11141</Words>
  <Characters>6351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2022-01-06T12:46:00Z</dcterms:created>
  <dcterms:modified xsi:type="dcterms:W3CDTF">2022-01-06T12:46:00Z</dcterms:modified>
</cp:coreProperties>
</file>