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140F" w14:textId="77777777" w:rsidR="00146578" w:rsidRPr="00491BF9" w:rsidRDefault="00146578" w:rsidP="00146578">
      <w:pPr>
        <w:tabs>
          <w:tab w:val="clear" w:pos="567"/>
        </w:tabs>
        <w:jc w:val="center"/>
        <w:rPr>
          <w:lang w:val="lt-LT"/>
        </w:rPr>
      </w:pPr>
    </w:p>
    <w:p w14:paraId="5ADB5BB7" w14:textId="77777777" w:rsidR="00146578" w:rsidRPr="004F35D3" w:rsidRDefault="00146578" w:rsidP="00146578">
      <w:pPr>
        <w:ind w:left="567" w:hanging="567"/>
        <w:jc w:val="center"/>
        <w:rPr>
          <w:lang w:val="lt-LT"/>
        </w:rPr>
      </w:pPr>
    </w:p>
    <w:p w14:paraId="2C5A5446" w14:textId="77777777" w:rsidR="00146578" w:rsidRPr="004F35D3" w:rsidRDefault="00146578" w:rsidP="00146578">
      <w:pPr>
        <w:ind w:left="567" w:hanging="567"/>
        <w:jc w:val="center"/>
        <w:rPr>
          <w:lang w:val="lt-LT"/>
        </w:rPr>
      </w:pPr>
    </w:p>
    <w:p w14:paraId="205FBE46" w14:textId="77777777" w:rsidR="00146578" w:rsidRPr="004F35D3" w:rsidRDefault="00146578" w:rsidP="00146578">
      <w:pPr>
        <w:ind w:left="567" w:hanging="567"/>
        <w:jc w:val="center"/>
        <w:rPr>
          <w:lang w:val="lt-LT"/>
        </w:rPr>
      </w:pPr>
    </w:p>
    <w:p w14:paraId="141349CA" w14:textId="77777777" w:rsidR="00146578" w:rsidRPr="004F35D3" w:rsidRDefault="00146578" w:rsidP="00146578">
      <w:pPr>
        <w:ind w:left="567" w:hanging="567"/>
        <w:jc w:val="center"/>
        <w:rPr>
          <w:lang w:val="lt-LT"/>
        </w:rPr>
      </w:pPr>
    </w:p>
    <w:p w14:paraId="4302935D" w14:textId="77777777" w:rsidR="00146578" w:rsidRPr="004F35D3" w:rsidRDefault="00146578" w:rsidP="00146578">
      <w:pPr>
        <w:ind w:left="567" w:hanging="567"/>
        <w:jc w:val="center"/>
        <w:rPr>
          <w:lang w:val="lt-LT"/>
        </w:rPr>
      </w:pPr>
    </w:p>
    <w:p w14:paraId="54DC2D7A" w14:textId="77777777" w:rsidR="00146578" w:rsidRPr="004F35D3" w:rsidRDefault="00146578" w:rsidP="00146578">
      <w:pPr>
        <w:ind w:left="567" w:hanging="567"/>
        <w:jc w:val="center"/>
        <w:rPr>
          <w:lang w:val="lt-LT"/>
        </w:rPr>
      </w:pPr>
    </w:p>
    <w:p w14:paraId="1DC9813B" w14:textId="77777777" w:rsidR="00146578" w:rsidRPr="004F35D3" w:rsidRDefault="00146578" w:rsidP="00146578">
      <w:pPr>
        <w:ind w:left="567" w:hanging="567"/>
        <w:jc w:val="center"/>
        <w:rPr>
          <w:lang w:val="lt-LT"/>
        </w:rPr>
      </w:pPr>
    </w:p>
    <w:p w14:paraId="566F7B17" w14:textId="77777777" w:rsidR="00146578" w:rsidRPr="004F35D3" w:rsidRDefault="00146578" w:rsidP="00146578">
      <w:pPr>
        <w:ind w:left="567" w:hanging="567"/>
        <w:jc w:val="center"/>
        <w:rPr>
          <w:lang w:val="lt-LT"/>
        </w:rPr>
      </w:pPr>
    </w:p>
    <w:p w14:paraId="0DD20636" w14:textId="77777777" w:rsidR="00146578" w:rsidRPr="004F35D3" w:rsidRDefault="00146578" w:rsidP="00146578">
      <w:pPr>
        <w:ind w:left="567" w:hanging="567"/>
        <w:jc w:val="center"/>
        <w:rPr>
          <w:lang w:val="lt-LT"/>
        </w:rPr>
      </w:pPr>
    </w:p>
    <w:p w14:paraId="4D450BD3" w14:textId="77777777" w:rsidR="00146578" w:rsidRPr="004F35D3" w:rsidRDefault="00146578" w:rsidP="00146578">
      <w:pPr>
        <w:ind w:left="567" w:hanging="567"/>
        <w:jc w:val="center"/>
        <w:rPr>
          <w:lang w:val="lt-LT"/>
        </w:rPr>
      </w:pPr>
    </w:p>
    <w:p w14:paraId="6CE37F0F" w14:textId="77777777" w:rsidR="00146578" w:rsidRPr="004F35D3" w:rsidRDefault="00146578" w:rsidP="00146578">
      <w:pPr>
        <w:ind w:left="567" w:hanging="567"/>
        <w:jc w:val="center"/>
        <w:rPr>
          <w:lang w:val="lt-LT"/>
        </w:rPr>
      </w:pPr>
    </w:p>
    <w:p w14:paraId="6E8E4161" w14:textId="77777777" w:rsidR="00146578" w:rsidRPr="004F35D3" w:rsidRDefault="00146578" w:rsidP="00146578">
      <w:pPr>
        <w:ind w:left="567" w:hanging="567"/>
        <w:jc w:val="center"/>
        <w:rPr>
          <w:lang w:val="lt-LT"/>
        </w:rPr>
      </w:pPr>
    </w:p>
    <w:p w14:paraId="626F2BD5" w14:textId="77777777" w:rsidR="00146578" w:rsidRPr="004F35D3" w:rsidRDefault="00146578" w:rsidP="00146578">
      <w:pPr>
        <w:ind w:left="567" w:hanging="567"/>
        <w:jc w:val="center"/>
        <w:rPr>
          <w:lang w:val="lt-LT"/>
        </w:rPr>
      </w:pPr>
    </w:p>
    <w:p w14:paraId="5DF1857C" w14:textId="77777777" w:rsidR="00146578" w:rsidRPr="004F35D3" w:rsidRDefault="00146578" w:rsidP="00146578">
      <w:pPr>
        <w:ind w:left="567" w:hanging="567"/>
        <w:jc w:val="center"/>
        <w:rPr>
          <w:lang w:val="lt-LT"/>
        </w:rPr>
      </w:pPr>
    </w:p>
    <w:p w14:paraId="159AD099" w14:textId="77777777" w:rsidR="00146578" w:rsidRPr="004F35D3" w:rsidRDefault="00146578" w:rsidP="00146578">
      <w:pPr>
        <w:ind w:left="567" w:hanging="567"/>
        <w:jc w:val="center"/>
        <w:rPr>
          <w:lang w:val="lt-LT"/>
        </w:rPr>
      </w:pPr>
    </w:p>
    <w:p w14:paraId="6F413C4B" w14:textId="77777777" w:rsidR="00146578" w:rsidRPr="004F35D3" w:rsidRDefault="00146578" w:rsidP="00146578">
      <w:pPr>
        <w:ind w:left="567" w:hanging="567"/>
        <w:jc w:val="center"/>
        <w:rPr>
          <w:lang w:val="lt-LT"/>
        </w:rPr>
      </w:pPr>
    </w:p>
    <w:p w14:paraId="34B30AB9" w14:textId="77777777" w:rsidR="00146578" w:rsidRPr="004F35D3" w:rsidRDefault="00146578" w:rsidP="00146578">
      <w:pPr>
        <w:ind w:left="567" w:hanging="567"/>
        <w:jc w:val="center"/>
        <w:rPr>
          <w:lang w:val="lt-LT"/>
        </w:rPr>
      </w:pPr>
    </w:p>
    <w:p w14:paraId="53AF3040" w14:textId="77777777" w:rsidR="00146578" w:rsidRPr="004F35D3" w:rsidRDefault="00146578" w:rsidP="00146578">
      <w:pPr>
        <w:ind w:left="567" w:hanging="567"/>
        <w:jc w:val="center"/>
        <w:rPr>
          <w:lang w:val="lt-LT"/>
        </w:rPr>
      </w:pPr>
    </w:p>
    <w:p w14:paraId="02DAE750" w14:textId="77777777" w:rsidR="00146578" w:rsidRPr="004F35D3" w:rsidRDefault="00146578" w:rsidP="00146578">
      <w:pPr>
        <w:ind w:left="567" w:hanging="567"/>
        <w:jc w:val="center"/>
        <w:rPr>
          <w:lang w:val="lt-LT"/>
        </w:rPr>
      </w:pPr>
    </w:p>
    <w:p w14:paraId="22E8964C" w14:textId="77777777" w:rsidR="00146578" w:rsidRPr="004F35D3" w:rsidRDefault="00146578" w:rsidP="00146578">
      <w:pPr>
        <w:ind w:left="567" w:hanging="567"/>
        <w:jc w:val="center"/>
        <w:rPr>
          <w:lang w:val="lt-LT"/>
        </w:rPr>
      </w:pPr>
    </w:p>
    <w:p w14:paraId="1937811A" w14:textId="77777777" w:rsidR="0006516A" w:rsidRPr="004F35D3" w:rsidRDefault="0006516A" w:rsidP="0006516A">
      <w:pPr>
        <w:ind w:left="567" w:hanging="567"/>
        <w:jc w:val="center"/>
        <w:rPr>
          <w:b/>
          <w:lang w:val="pt-PT"/>
        </w:rPr>
      </w:pPr>
      <w:r w:rsidRPr="004F35D3">
        <w:rPr>
          <w:b/>
          <w:lang w:val="pt-PT"/>
        </w:rPr>
        <w:t>I PRIEDAS</w:t>
      </w:r>
    </w:p>
    <w:p w14:paraId="058E9F67" w14:textId="77777777" w:rsidR="00146578" w:rsidRPr="00491BF9" w:rsidRDefault="00146578" w:rsidP="00146578">
      <w:pPr>
        <w:widowControl w:val="0"/>
        <w:rPr>
          <w:lang w:val="lt-LT"/>
        </w:rPr>
      </w:pPr>
    </w:p>
    <w:p w14:paraId="4B85E8F7" w14:textId="77777777" w:rsidR="00146578" w:rsidRPr="00FB4FDA" w:rsidRDefault="00146578" w:rsidP="00146578">
      <w:pPr>
        <w:ind w:left="567" w:hanging="567"/>
        <w:jc w:val="center"/>
        <w:rPr>
          <w:b/>
          <w:lang w:val="lt-LT"/>
        </w:rPr>
      </w:pPr>
      <w:bookmarkStart w:id="0" w:name="_Toc129243222"/>
      <w:bookmarkStart w:id="1" w:name="_Toc129243097"/>
      <w:r w:rsidRPr="00491BF9">
        <w:rPr>
          <w:b/>
          <w:lang w:val="lt-LT"/>
        </w:rPr>
        <w:t>PREPARATO CHARAKTERISTIKŲ SANTRAUKA</w:t>
      </w:r>
      <w:bookmarkEnd w:id="0"/>
      <w:bookmarkEnd w:id="1"/>
    </w:p>
    <w:p w14:paraId="1FF1CDF9" w14:textId="77777777" w:rsidR="00D860B9" w:rsidRPr="00491BF9" w:rsidRDefault="00D860B9" w:rsidP="00146578">
      <w:pPr>
        <w:ind w:left="567" w:hanging="567"/>
        <w:jc w:val="center"/>
        <w:rPr>
          <w:b/>
          <w:lang w:val="lt-LT"/>
        </w:rPr>
      </w:pPr>
    </w:p>
    <w:p w14:paraId="09A66D1D" w14:textId="77777777" w:rsidR="00D860B9" w:rsidRPr="00491BF9" w:rsidRDefault="00D860B9" w:rsidP="004F35D3">
      <w:pPr>
        <w:jc w:val="center"/>
        <w:rPr>
          <w:lang w:val="lt-LT"/>
        </w:rPr>
      </w:pPr>
      <w:r w:rsidRPr="00491BF9">
        <w:rPr>
          <w:lang w:val="lt-LT"/>
        </w:rPr>
        <w:t>Technescan Sestamibi 1 mg rinkinys radiofarmaciniam preparatui</w:t>
      </w:r>
    </w:p>
    <w:p w14:paraId="71CF1293" w14:textId="77777777" w:rsidR="00D860B9" w:rsidRPr="00491BF9" w:rsidRDefault="00D860B9" w:rsidP="00146578">
      <w:pPr>
        <w:ind w:left="567" w:hanging="567"/>
        <w:jc w:val="center"/>
        <w:rPr>
          <w:lang w:val="lt-LT"/>
        </w:rPr>
      </w:pPr>
    </w:p>
    <w:p w14:paraId="6B472E8F" w14:textId="77777777" w:rsidR="00146578" w:rsidRPr="00491BF9" w:rsidRDefault="00146578" w:rsidP="00146578">
      <w:pPr>
        <w:widowControl w:val="0"/>
        <w:ind w:left="567" w:hanging="567"/>
        <w:rPr>
          <w:lang w:val="lt-LT"/>
        </w:rPr>
      </w:pPr>
      <w:r w:rsidRPr="00491BF9">
        <w:rPr>
          <w:bCs/>
          <w:iCs/>
          <w:lang w:val="lt-LT"/>
        </w:rPr>
        <w:br w:type="page"/>
      </w:r>
      <w:r w:rsidRPr="00491BF9">
        <w:rPr>
          <w:b/>
          <w:bCs/>
          <w:iCs/>
          <w:lang w:val="lt-LT"/>
        </w:rPr>
        <w:lastRenderedPageBreak/>
        <w:t>1</w:t>
      </w:r>
      <w:r w:rsidRPr="00491BF9">
        <w:rPr>
          <w:bCs/>
          <w:iCs/>
          <w:lang w:val="lt-LT"/>
        </w:rPr>
        <w:t>.</w:t>
      </w:r>
      <w:r w:rsidRPr="00491BF9">
        <w:rPr>
          <w:bCs/>
          <w:iCs/>
          <w:lang w:val="lt-LT"/>
        </w:rPr>
        <w:tab/>
      </w:r>
      <w:r w:rsidRPr="00491BF9">
        <w:rPr>
          <w:b/>
          <w:caps/>
          <w:lang w:val="lt-LT"/>
        </w:rPr>
        <w:t>VAISTINIO</w:t>
      </w:r>
      <w:r w:rsidRPr="00491BF9">
        <w:rPr>
          <w:b/>
          <w:lang w:val="lt-LT"/>
        </w:rPr>
        <w:t xml:space="preserve"> PREPARATO PAVADINIMAS</w:t>
      </w:r>
    </w:p>
    <w:p w14:paraId="24D21432" w14:textId="77777777" w:rsidR="00146578" w:rsidRPr="00491BF9" w:rsidRDefault="00146578" w:rsidP="00146578">
      <w:pPr>
        <w:rPr>
          <w:iCs/>
          <w:lang w:val="lt-LT"/>
        </w:rPr>
      </w:pPr>
    </w:p>
    <w:p w14:paraId="2A5D798A" w14:textId="1E63535C" w:rsidR="00146578" w:rsidRPr="00491BF9" w:rsidRDefault="00146578" w:rsidP="00146578">
      <w:pPr>
        <w:rPr>
          <w:lang w:val="lt-LT"/>
        </w:rPr>
      </w:pPr>
      <w:r w:rsidRPr="00491BF9">
        <w:rPr>
          <w:lang w:val="lt-LT"/>
        </w:rPr>
        <w:t>Technescan Sestamibi</w:t>
      </w:r>
      <w:r w:rsidR="00BB25A3">
        <w:rPr>
          <w:lang w:val="lt-LT"/>
        </w:rPr>
        <w:t xml:space="preserve"> </w:t>
      </w:r>
      <w:r w:rsidRPr="00491BF9">
        <w:rPr>
          <w:lang w:val="lt-LT"/>
        </w:rPr>
        <w:t>1 mg rinkinys radiofarmaciniam preparatui</w:t>
      </w:r>
    </w:p>
    <w:p w14:paraId="5F0C5F86" w14:textId="77777777" w:rsidR="00146578" w:rsidRPr="00491BF9" w:rsidRDefault="00146578" w:rsidP="00146578">
      <w:pPr>
        <w:rPr>
          <w:lang w:val="lt-LT"/>
        </w:rPr>
      </w:pPr>
    </w:p>
    <w:p w14:paraId="78B980F3" w14:textId="77777777" w:rsidR="00146578" w:rsidRPr="00491BF9" w:rsidRDefault="00146578" w:rsidP="00146578">
      <w:pPr>
        <w:widowControl w:val="0"/>
        <w:rPr>
          <w:b/>
          <w:lang w:val="lt-LT"/>
        </w:rPr>
      </w:pPr>
    </w:p>
    <w:p w14:paraId="7F94F258" w14:textId="77777777" w:rsidR="00146578" w:rsidRPr="00491BF9" w:rsidRDefault="00146578" w:rsidP="00146578">
      <w:pPr>
        <w:widowControl w:val="0"/>
        <w:ind w:left="567" w:hanging="567"/>
        <w:rPr>
          <w:lang w:val="lt-LT"/>
        </w:rPr>
      </w:pPr>
      <w:r w:rsidRPr="00491BF9">
        <w:rPr>
          <w:b/>
          <w:lang w:val="lt-LT"/>
        </w:rPr>
        <w:t>2.</w:t>
      </w:r>
      <w:r w:rsidRPr="00491BF9">
        <w:rPr>
          <w:b/>
          <w:lang w:val="lt-LT"/>
        </w:rPr>
        <w:tab/>
      </w:r>
      <w:r w:rsidRPr="00491BF9">
        <w:rPr>
          <w:b/>
          <w:caps/>
          <w:lang w:val="lt-LT"/>
        </w:rPr>
        <w:t>kokybinė ir kiekybinė sudėtis</w:t>
      </w:r>
    </w:p>
    <w:p w14:paraId="102214C8" w14:textId="77777777" w:rsidR="00146578" w:rsidRPr="00491BF9" w:rsidRDefault="00146578" w:rsidP="00146578">
      <w:pPr>
        <w:rPr>
          <w:lang w:val="lt-LT"/>
        </w:rPr>
      </w:pPr>
    </w:p>
    <w:p w14:paraId="0683E50C" w14:textId="77777777" w:rsidR="00146578" w:rsidRPr="00491BF9" w:rsidRDefault="00146578" w:rsidP="00146578">
      <w:pPr>
        <w:rPr>
          <w:lang w:val="lt-LT"/>
        </w:rPr>
      </w:pPr>
      <w:r w:rsidRPr="00491BF9">
        <w:rPr>
          <w:lang w:val="lt-LT"/>
        </w:rPr>
        <w:t>Kiekviename flakone yra 1 mg [tetrakis(2-metoksi-2-metilpropil-1 izocianido)vario(I)] tetrafluorborato.</w:t>
      </w:r>
    </w:p>
    <w:p w14:paraId="0CF6AD2B" w14:textId="77777777" w:rsidR="00146578" w:rsidRPr="00491BF9" w:rsidRDefault="00146578" w:rsidP="00146578">
      <w:pPr>
        <w:rPr>
          <w:color w:val="008000"/>
          <w:lang w:val="lt-LT"/>
        </w:rPr>
      </w:pPr>
      <w:r w:rsidRPr="00491BF9">
        <w:rPr>
          <w:lang w:val="lt-LT"/>
        </w:rPr>
        <w:t>Radionuklido šiame rinkinyje nėra</w:t>
      </w:r>
      <w:r w:rsidRPr="00491BF9">
        <w:rPr>
          <w:color w:val="008000"/>
          <w:lang w:val="lt-LT"/>
        </w:rPr>
        <w:t>.</w:t>
      </w:r>
    </w:p>
    <w:p w14:paraId="6E5DF9C0" w14:textId="77777777" w:rsidR="00146578" w:rsidRPr="00491BF9" w:rsidRDefault="00146578" w:rsidP="00146578">
      <w:pPr>
        <w:rPr>
          <w:lang w:val="lt-LT"/>
        </w:rPr>
      </w:pPr>
    </w:p>
    <w:p w14:paraId="26431E42" w14:textId="77777777" w:rsidR="00146578" w:rsidRPr="00491BF9" w:rsidRDefault="00146578" w:rsidP="00146578">
      <w:pPr>
        <w:rPr>
          <w:lang w:val="lt-LT"/>
        </w:rPr>
      </w:pPr>
      <w:r w:rsidRPr="00491BF9">
        <w:rPr>
          <w:lang w:val="lt-LT"/>
        </w:rPr>
        <w:t>Visos pagalbinės medžiagos išvardytos 6.1 skyriuje.</w:t>
      </w:r>
    </w:p>
    <w:p w14:paraId="77EC85D7" w14:textId="77777777" w:rsidR="00146578" w:rsidRPr="00491BF9" w:rsidRDefault="00146578" w:rsidP="00146578">
      <w:pPr>
        <w:rPr>
          <w:lang w:val="lt-LT"/>
        </w:rPr>
      </w:pPr>
    </w:p>
    <w:p w14:paraId="47D78E54" w14:textId="77777777" w:rsidR="00146578" w:rsidRPr="00491BF9" w:rsidRDefault="00146578" w:rsidP="00146578">
      <w:pPr>
        <w:rPr>
          <w:lang w:val="lt-LT"/>
        </w:rPr>
      </w:pPr>
    </w:p>
    <w:p w14:paraId="337C04DB" w14:textId="77777777" w:rsidR="00146578" w:rsidRPr="00491BF9" w:rsidRDefault="00146578" w:rsidP="00146578">
      <w:pPr>
        <w:ind w:left="567" w:hanging="567"/>
        <w:rPr>
          <w:b/>
          <w:caps/>
          <w:lang w:val="lt-LT"/>
        </w:rPr>
      </w:pPr>
      <w:r w:rsidRPr="00491BF9">
        <w:rPr>
          <w:b/>
          <w:lang w:val="lt-LT"/>
        </w:rPr>
        <w:t>3.</w:t>
      </w:r>
      <w:r w:rsidRPr="00491BF9">
        <w:rPr>
          <w:b/>
          <w:lang w:val="lt-LT"/>
        </w:rPr>
        <w:tab/>
      </w:r>
      <w:r w:rsidRPr="00491BF9">
        <w:rPr>
          <w:b/>
          <w:caps/>
          <w:lang w:val="lt-LT"/>
        </w:rPr>
        <w:t>FARMACINĖ forma</w:t>
      </w:r>
    </w:p>
    <w:p w14:paraId="37D32551" w14:textId="77777777" w:rsidR="00146578" w:rsidRPr="00491BF9" w:rsidRDefault="00146578" w:rsidP="00146578">
      <w:pPr>
        <w:rPr>
          <w:lang w:val="lt-LT"/>
        </w:rPr>
      </w:pPr>
    </w:p>
    <w:p w14:paraId="3A4B7383" w14:textId="77777777" w:rsidR="00146578" w:rsidRPr="00491BF9" w:rsidRDefault="00146578" w:rsidP="00146578">
      <w:pPr>
        <w:rPr>
          <w:lang w:val="lt-LT"/>
        </w:rPr>
      </w:pPr>
      <w:bookmarkStart w:id="2" w:name="OLE_LINK19"/>
      <w:bookmarkStart w:id="3" w:name="OLE_LINK20"/>
      <w:r w:rsidRPr="00491BF9">
        <w:rPr>
          <w:lang w:val="lt-LT"/>
        </w:rPr>
        <w:t>Rinkinys radiofarmaciniam preparatui.</w:t>
      </w:r>
    </w:p>
    <w:bookmarkEnd w:id="2"/>
    <w:bookmarkEnd w:id="3"/>
    <w:p w14:paraId="7B9B2F52" w14:textId="77777777" w:rsidR="00146578" w:rsidRPr="00491BF9" w:rsidRDefault="00146578" w:rsidP="00146578">
      <w:pPr>
        <w:rPr>
          <w:lang w:val="lt-LT"/>
        </w:rPr>
      </w:pPr>
      <w:r w:rsidRPr="00491BF9">
        <w:rPr>
          <w:lang w:val="lt-LT"/>
        </w:rPr>
        <w:t>Baltos arba beveik baltos granulės arba milteliai.</w:t>
      </w:r>
    </w:p>
    <w:p w14:paraId="60B57132" w14:textId="77777777" w:rsidR="00146578" w:rsidRPr="00491BF9" w:rsidRDefault="00146578" w:rsidP="00146578">
      <w:pPr>
        <w:rPr>
          <w:lang w:val="lt-LT"/>
        </w:rPr>
      </w:pPr>
    </w:p>
    <w:p w14:paraId="2BC473EA" w14:textId="77777777" w:rsidR="00146578" w:rsidRPr="00491BF9" w:rsidRDefault="00146578" w:rsidP="00146578">
      <w:pPr>
        <w:rPr>
          <w:lang w:val="lt-LT"/>
        </w:rPr>
      </w:pPr>
    </w:p>
    <w:p w14:paraId="2A9FAF4D" w14:textId="77777777" w:rsidR="00146578" w:rsidRPr="00491BF9" w:rsidRDefault="00146578" w:rsidP="00146578">
      <w:pPr>
        <w:ind w:left="567" w:hanging="567"/>
        <w:rPr>
          <w:caps/>
          <w:lang w:val="lt-LT"/>
        </w:rPr>
      </w:pPr>
      <w:r w:rsidRPr="00491BF9">
        <w:rPr>
          <w:b/>
          <w:caps/>
          <w:lang w:val="lt-LT"/>
        </w:rPr>
        <w:t>4.</w:t>
      </w:r>
      <w:r w:rsidRPr="00491BF9">
        <w:rPr>
          <w:b/>
          <w:caps/>
          <w:lang w:val="lt-LT"/>
        </w:rPr>
        <w:tab/>
        <w:t>klinikinĖ informacija</w:t>
      </w:r>
    </w:p>
    <w:p w14:paraId="4B14E7E7" w14:textId="77777777" w:rsidR="00146578" w:rsidRPr="00491BF9" w:rsidRDefault="00146578" w:rsidP="00146578">
      <w:pPr>
        <w:rPr>
          <w:lang w:val="lt-LT"/>
        </w:rPr>
      </w:pPr>
    </w:p>
    <w:p w14:paraId="7C1154F8" w14:textId="77777777" w:rsidR="00146578" w:rsidRPr="00491BF9" w:rsidRDefault="00146578" w:rsidP="00146578">
      <w:pPr>
        <w:ind w:left="567" w:hanging="567"/>
        <w:rPr>
          <w:lang w:val="lt-LT"/>
        </w:rPr>
      </w:pPr>
      <w:r w:rsidRPr="00491BF9">
        <w:rPr>
          <w:b/>
          <w:lang w:val="lt-LT"/>
        </w:rPr>
        <w:t>4.1</w:t>
      </w:r>
      <w:r w:rsidRPr="00491BF9">
        <w:rPr>
          <w:b/>
          <w:lang w:val="lt-LT"/>
        </w:rPr>
        <w:tab/>
        <w:t>Terapinės indikacijos</w:t>
      </w:r>
    </w:p>
    <w:p w14:paraId="3FF595F2" w14:textId="77777777" w:rsidR="00146578" w:rsidRPr="00491BF9" w:rsidRDefault="00146578" w:rsidP="00146578">
      <w:pPr>
        <w:rPr>
          <w:lang w:val="lt-LT"/>
        </w:rPr>
      </w:pPr>
    </w:p>
    <w:p w14:paraId="4B863576" w14:textId="77777777" w:rsidR="00146578" w:rsidRPr="00491BF9" w:rsidRDefault="00146578" w:rsidP="00146578">
      <w:pPr>
        <w:rPr>
          <w:lang w:val="lt-LT"/>
        </w:rPr>
      </w:pPr>
      <w:r w:rsidRPr="00491BF9">
        <w:rPr>
          <w:lang w:val="lt-LT"/>
        </w:rPr>
        <w:t>Šis vaistinis preparatas vartojamas tik diagnostikai. Jis skirtas suaugusiesiems. Vartojimo vaikams informacija pateikiama 4.2 skyriuje</w:t>
      </w:r>
      <w:r w:rsidRPr="004F35D3">
        <w:rPr>
          <w:lang w:val="lt-LT"/>
        </w:rPr>
        <w:t>.</w:t>
      </w:r>
    </w:p>
    <w:p w14:paraId="76BDD3D2" w14:textId="77777777" w:rsidR="00146578" w:rsidRPr="00491BF9" w:rsidRDefault="00146578" w:rsidP="00146578">
      <w:pPr>
        <w:rPr>
          <w:lang w:val="lt-LT"/>
        </w:rPr>
      </w:pPr>
      <w:r w:rsidRPr="00491BF9">
        <w:rPr>
          <w:lang w:val="lt-LT"/>
        </w:rPr>
        <w:t>Technetium (</w:t>
      </w:r>
      <w:r w:rsidRPr="00491BF9">
        <w:rPr>
          <w:vertAlign w:val="superscript"/>
          <w:lang w:val="lt-LT"/>
        </w:rPr>
        <w:t>99m</w:t>
      </w:r>
      <w:r w:rsidRPr="00491BF9">
        <w:rPr>
          <w:lang w:val="lt-LT"/>
        </w:rPr>
        <w:t>Tc) Sestamibi tirpalas, gautas radioaktyviai pažymėjus natrio pertechnetato (</w:t>
      </w:r>
      <w:r w:rsidRPr="00491BF9">
        <w:rPr>
          <w:vertAlign w:val="superscript"/>
          <w:lang w:val="lt-LT"/>
        </w:rPr>
        <w:t>99m</w:t>
      </w:r>
      <w:r w:rsidRPr="00491BF9">
        <w:rPr>
          <w:lang w:val="lt-LT"/>
        </w:rPr>
        <w:t>Tc) tirpalu, skirtas vartoti toliau nurodytais atvejais.</w:t>
      </w:r>
    </w:p>
    <w:p w14:paraId="6B7404F7" w14:textId="77777777" w:rsidR="00146578" w:rsidRPr="00491BF9" w:rsidRDefault="00146578" w:rsidP="00146578">
      <w:pPr>
        <w:numPr>
          <w:ilvl w:val="0"/>
          <w:numId w:val="37"/>
        </w:numPr>
        <w:tabs>
          <w:tab w:val="clear" w:pos="360"/>
          <w:tab w:val="num" w:pos="567"/>
        </w:tabs>
        <w:ind w:left="567" w:hanging="567"/>
        <w:rPr>
          <w:lang w:val="lt-LT"/>
        </w:rPr>
      </w:pPr>
      <w:r w:rsidRPr="00491BF9">
        <w:rPr>
          <w:lang w:val="lt-LT"/>
        </w:rPr>
        <w:t>Miokardo perfuzijos scintigrafija:</w:t>
      </w:r>
    </w:p>
    <w:p w14:paraId="5CEF644D" w14:textId="77777777" w:rsidR="00146578" w:rsidRPr="00491BF9" w:rsidRDefault="00146578" w:rsidP="00146578">
      <w:pPr>
        <w:ind w:left="567"/>
        <w:rPr>
          <w:lang w:val="lt-LT"/>
        </w:rPr>
      </w:pPr>
      <w:r w:rsidRPr="00491BF9">
        <w:rPr>
          <w:lang w:val="lt-LT"/>
        </w:rPr>
        <w:t>išeminei (koronarinei) širdies ligai (krūtinės anginai ir miokardo infarktui) nustatyti ir lokalizuoti.</w:t>
      </w:r>
    </w:p>
    <w:p w14:paraId="66E7BF74" w14:textId="77777777" w:rsidR="00146578" w:rsidRPr="00491BF9" w:rsidRDefault="00146578" w:rsidP="00146578">
      <w:pPr>
        <w:numPr>
          <w:ilvl w:val="0"/>
          <w:numId w:val="37"/>
        </w:numPr>
        <w:tabs>
          <w:tab w:val="clear" w:pos="360"/>
          <w:tab w:val="num" w:pos="567"/>
        </w:tabs>
        <w:ind w:left="567" w:hanging="567"/>
        <w:rPr>
          <w:lang w:val="lt-LT"/>
        </w:rPr>
      </w:pPr>
      <w:r w:rsidRPr="00491BF9">
        <w:rPr>
          <w:lang w:val="lt-LT"/>
        </w:rPr>
        <w:t xml:space="preserve">Bendrosios skilvelių funkcijos įvertinimas: </w:t>
      </w:r>
    </w:p>
    <w:p w14:paraId="63A8AB0B" w14:textId="77777777" w:rsidR="00146578" w:rsidRPr="00491BF9" w:rsidRDefault="00146578" w:rsidP="00146578">
      <w:pPr>
        <w:ind w:left="567"/>
        <w:rPr>
          <w:lang w:val="lt-LT"/>
        </w:rPr>
      </w:pPr>
      <w:r w:rsidRPr="00491BF9">
        <w:rPr>
          <w:lang w:val="lt-LT"/>
        </w:rPr>
        <w:t>pirmojo pratekėjimo metodika nustatant išstūmimo frakciją ir (arba) atliekant sinchronizuotą su EKG vieno fotono emisijos kompiuterinę tomografiją (SPECT), įvertinant kairiojo skilvelio išstūmimo frakciją, tūrius ir tam tikros srities sienelės judesius.</w:t>
      </w:r>
    </w:p>
    <w:p w14:paraId="58B6A008" w14:textId="77777777" w:rsidR="00146578" w:rsidRPr="00491BF9" w:rsidRDefault="00146578" w:rsidP="00146578">
      <w:pPr>
        <w:numPr>
          <w:ilvl w:val="0"/>
          <w:numId w:val="37"/>
        </w:numPr>
        <w:tabs>
          <w:tab w:val="clear" w:pos="360"/>
        </w:tabs>
        <w:ind w:left="567" w:hanging="567"/>
        <w:rPr>
          <w:lang w:val="lt-LT"/>
        </w:rPr>
      </w:pPr>
      <w:r w:rsidRPr="00491BF9">
        <w:rPr>
          <w:lang w:val="lt-LT"/>
        </w:rPr>
        <w:t>Scintimamografija, kuri atliekama įtariamam krūties vėžiui nustatyti tais atvejais, kai mamografinio tyrimo duomenys abejotini, nepakankami ar neaiškūs.</w:t>
      </w:r>
    </w:p>
    <w:p w14:paraId="71264758" w14:textId="77777777" w:rsidR="00146578" w:rsidRPr="00491BF9" w:rsidRDefault="00146578" w:rsidP="00146578">
      <w:pPr>
        <w:numPr>
          <w:ilvl w:val="0"/>
          <w:numId w:val="37"/>
        </w:numPr>
        <w:tabs>
          <w:tab w:val="clear" w:pos="360"/>
          <w:tab w:val="num" w:pos="567"/>
        </w:tabs>
        <w:ind w:left="567" w:hanging="567"/>
        <w:rPr>
          <w:lang w:val="lt-LT"/>
        </w:rPr>
      </w:pPr>
      <w:r w:rsidRPr="00491BF9">
        <w:rPr>
          <w:lang w:val="lt-LT"/>
        </w:rPr>
        <w:t>Pernelyg aktyvaus paratiroidinio audinio lokalizacijos nustatymas pacientams, sergantiems pasikartojančia ar nuolatine liga pirmine ir antrine hiperparatiroze, ir pacientams, sergantiems pirmine hiperparatiroze, kuriems planuojama atlikti pradinę prieskydinių liaukų operaciją.</w:t>
      </w:r>
    </w:p>
    <w:p w14:paraId="648BDF25" w14:textId="77777777" w:rsidR="00146578" w:rsidRPr="00491BF9" w:rsidRDefault="00146578" w:rsidP="00146578">
      <w:pPr>
        <w:rPr>
          <w:lang w:val="lt-LT"/>
        </w:rPr>
      </w:pPr>
    </w:p>
    <w:p w14:paraId="64FC8919" w14:textId="77777777" w:rsidR="00146578" w:rsidRPr="00491BF9" w:rsidRDefault="00146578" w:rsidP="00146578">
      <w:pPr>
        <w:ind w:left="567" w:hanging="567"/>
        <w:rPr>
          <w:b/>
          <w:lang w:val="lt-LT"/>
        </w:rPr>
      </w:pPr>
      <w:r w:rsidRPr="00491BF9">
        <w:rPr>
          <w:b/>
          <w:lang w:val="lt-LT"/>
        </w:rPr>
        <w:t>4.2</w:t>
      </w:r>
      <w:r w:rsidRPr="00491BF9">
        <w:rPr>
          <w:b/>
          <w:lang w:val="lt-LT"/>
        </w:rPr>
        <w:tab/>
        <w:t>Dozavimas ir vartojimo metodas</w:t>
      </w:r>
    </w:p>
    <w:p w14:paraId="47246B2F" w14:textId="77777777" w:rsidR="00146578" w:rsidRPr="00491BF9" w:rsidRDefault="00146578" w:rsidP="00146578">
      <w:pPr>
        <w:rPr>
          <w:lang w:val="lt-LT"/>
        </w:rPr>
      </w:pPr>
    </w:p>
    <w:p w14:paraId="5B30C184" w14:textId="77777777" w:rsidR="00146578" w:rsidRPr="00491BF9" w:rsidRDefault="00146578" w:rsidP="00146578">
      <w:pPr>
        <w:rPr>
          <w:u w:val="single"/>
          <w:lang w:val="lt-LT"/>
        </w:rPr>
      </w:pPr>
      <w:r w:rsidRPr="00491BF9">
        <w:rPr>
          <w:u w:val="single"/>
          <w:lang w:val="lt-LT"/>
        </w:rPr>
        <w:t>Dozavimas</w:t>
      </w:r>
    </w:p>
    <w:p w14:paraId="787CBDD1" w14:textId="77777777" w:rsidR="00146578" w:rsidRPr="00491BF9" w:rsidRDefault="00146578" w:rsidP="00146578">
      <w:pPr>
        <w:rPr>
          <w:u w:val="single"/>
          <w:lang w:val="lt-LT"/>
        </w:rPr>
      </w:pPr>
    </w:p>
    <w:p w14:paraId="648AE519" w14:textId="33F5CBAD" w:rsidR="00146578" w:rsidRPr="00491BF9" w:rsidRDefault="00E76DA2" w:rsidP="00146578">
      <w:pPr>
        <w:rPr>
          <w:i/>
          <w:u w:val="single"/>
          <w:lang w:val="lt-LT"/>
        </w:rPr>
      </w:pPr>
      <w:r w:rsidRPr="00491BF9">
        <w:rPr>
          <w:i/>
          <w:u w:val="single"/>
          <w:lang w:val="lt-LT"/>
        </w:rPr>
        <w:t>Suaugusie</w:t>
      </w:r>
      <w:r>
        <w:rPr>
          <w:i/>
          <w:u w:val="single"/>
          <w:lang w:val="lt-LT"/>
        </w:rPr>
        <w:t>siems</w:t>
      </w:r>
      <w:r w:rsidRPr="00491BF9">
        <w:rPr>
          <w:i/>
          <w:u w:val="single"/>
          <w:lang w:val="lt-LT"/>
        </w:rPr>
        <w:t xml:space="preserve"> </w:t>
      </w:r>
      <w:r w:rsidR="00146578" w:rsidRPr="00491BF9">
        <w:rPr>
          <w:i/>
          <w:u w:val="single"/>
          <w:lang w:val="lt-LT"/>
        </w:rPr>
        <w:t>ir senyv</w:t>
      </w:r>
      <w:r>
        <w:rPr>
          <w:i/>
          <w:u w:val="single"/>
          <w:lang w:val="lt-LT"/>
        </w:rPr>
        <w:t>iems pacientams</w:t>
      </w:r>
    </w:p>
    <w:p w14:paraId="3F83D8C2" w14:textId="77777777" w:rsidR="00146578" w:rsidRPr="00491BF9" w:rsidRDefault="00146578" w:rsidP="00146578">
      <w:pPr>
        <w:rPr>
          <w:i/>
          <w:u w:val="single"/>
          <w:lang w:val="lt-LT"/>
        </w:rPr>
      </w:pPr>
    </w:p>
    <w:p w14:paraId="401F5ACD" w14:textId="68770DD5" w:rsidR="00146578" w:rsidRPr="004F35D3" w:rsidRDefault="00146578" w:rsidP="00146578">
      <w:pPr>
        <w:rPr>
          <w:lang w:val="lt-LT"/>
        </w:rPr>
      </w:pPr>
      <w:r w:rsidRPr="00491BF9">
        <w:rPr>
          <w:lang w:val="lt-LT"/>
        </w:rPr>
        <w:t>Dozavimas gali skirtis priklausomai nuo gama kameros charakteristikų ir rekonstrukcijos metodų.</w:t>
      </w:r>
      <w:r w:rsidRPr="004F35D3">
        <w:rPr>
          <w:lang w:val="lt-LT"/>
        </w:rPr>
        <w:t xml:space="preserve"> </w:t>
      </w:r>
      <w:r w:rsidR="00551CC8" w:rsidRPr="004F35D3">
        <w:rPr>
          <w:lang w:val="lt-LT"/>
        </w:rPr>
        <w:t xml:space="preserve">Būtina laikytis </w:t>
      </w:r>
      <w:r w:rsidR="00551CC8" w:rsidRPr="00491BF9">
        <w:rPr>
          <w:lang w:val="lt-LT"/>
        </w:rPr>
        <w:t>vietinio diagnostikos kontrolinio lygio</w:t>
      </w:r>
      <w:r w:rsidR="002C579F" w:rsidRPr="00491BF9">
        <w:rPr>
          <w:lang w:val="lt-LT"/>
        </w:rPr>
        <w:t xml:space="preserve"> </w:t>
      </w:r>
      <w:r w:rsidR="00551CC8" w:rsidRPr="00491BF9">
        <w:rPr>
          <w:lang w:val="lt-LT"/>
        </w:rPr>
        <w:t xml:space="preserve">(DRL, </w:t>
      </w:r>
      <w:r w:rsidR="00551CC8" w:rsidRPr="00491BF9">
        <w:rPr>
          <w:i/>
          <w:lang w:val="lt-LT"/>
        </w:rPr>
        <w:t>Diagnostic Reference Level</w:t>
      </w:r>
      <w:r w:rsidR="00551CC8" w:rsidRPr="00491BF9">
        <w:rPr>
          <w:lang w:val="lt-LT"/>
        </w:rPr>
        <w:t xml:space="preserve">). </w:t>
      </w:r>
      <w:r w:rsidRPr="00491BF9">
        <w:rPr>
          <w:lang w:val="lt-LT"/>
        </w:rPr>
        <w:t>Injekcijos, kurių aktyvumas didesnis nei numato vietinis diagnostikos kontrolinis lygis, turi būti pagrįstos.</w:t>
      </w:r>
    </w:p>
    <w:p w14:paraId="0DEB3986" w14:textId="77777777" w:rsidR="00146578" w:rsidRPr="00491BF9" w:rsidRDefault="00146578" w:rsidP="00146578">
      <w:pPr>
        <w:rPr>
          <w:lang w:val="lt-LT"/>
        </w:rPr>
      </w:pPr>
    </w:p>
    <w:p w14:paraId="140A955C" w14:textId="77777777" w:rsidR="00146578" w:rsidRPr="00491BF9" w:rsidRDefault="00146578" w:rsidP="00146578">
      <w:pPr>
        <w:rPr>
          <w:lang w:val="lt-LT"/>
        </w:rPr>
      </w:pPr>
      <w:r w:rsidRPr="00491BF9">
        <w:rPr>
          <w:lang w:val="lt-LT"/>
        </w:rPr>
        <w:t>Rekomenduojamos tokios į veną leidžiamo preparato aktyvumo ribos vidutinio svorio (</w:t>
      </w:r>
      <w:smartTag w:uri="urn:schemas-microsoft-com:office:smarttags" w:element="metricconverter">
        <w:smartTagPr>
          <w:attr w:name="ProductID" w:val="70ﾠkg"/>
        </w:smartTagPr>
        <w:r w:rsidRPr="00491BF9">
          <w:rPr>
            <w:lang w:val="lt-LT"/>
          </w:rPr>
          <w:t>70 kg</w:t>
        </w:r>
      </w:smartTag>
      <w:r w:rsidRPr="00491BF9">
        <w:rPr>
          <w:lang w:val="lt-LT"/>
        </w:rPr>
        <w:t>) suaugusiam pacientui:</w:t>
      </w:r>
    </w:p>
    <w:p w14:paraId="7510AF6E" w14:textId="77777777" w:rsidR="00146578" w:rsidRPr="00491BF9" w:rsidRDefault="00146578" w:rsidP="00146578">
      <w:pPr>
        <w:rPr>
          <w:lang w:val="lt-LT"/>
        </w:rPr>
      </w:pPr>
    </w:p>
    <w:p w14:paraId="1C26F3F7" w14:textId="77777777" w:rsidR="00146578" w:rsidRPr="00491BF9" w:rsidRDefault="00146578" w:rsidP="00146578">
      <w:pPr>
        <w:jc w:val="both"/>
        <w:rPr>
          <w:i/>
          <w:lang w:val="lt-LT"/>
        </w:rPr>
      </w:pPr>
      <w:r w:rsidRPr="00491BF9">
        <w:rPr>
          <w:i/>
          <w:lang w:val="lt-LT"/>
        </w:rPr>
        <w:t>Sumažintos koronarinės perfuzijos ir miokardo infarkto diagnostikai</w:t>
      </w:r>
    </w:p>
    <w:p w14:paraId="31319DD1" w14:textId="77777777" w:rsidR="00146578" w:rsidRPr="00491BF9" w:rsidRDefault="00146578" w:rsidP="00146578">
      <w:pPr>
        <w:rPr>
          <w:lang w:val="lt-LT"/>
        </w:rPr>
      </w:pPr>
    </w:p>
    <w:p w14:paraId="5780330A" w14:textId="3DD3EE91" w:rsidR="00146578" w:rsidRPr="00491BF9" w:rsidRDefault="00146578" w:rsidP="00146578">
      <w:pPr>
        <w:autoSpaceDE w:val="0"/>
        <w:autoSpaceDN w:val="0"/>
        <w:adjustRightInd w:val="0"/>
        <w:rPr>
          <w:lang w:val="lt-LT"/>
        </w:rPr>
      </w:pPr>
      <w:r w:rsidRPr="00491BF9">
        <w:rPr>
          <w:lang w:val="lt-LT"/>
        </w:rPr>
        <w:lastRenderedPageBreak/>
        <w:t xml:space="preserve">Pagal </w:t>
      </w:r>
      <w:r w:rsidR="0091574C" w:rsidRPr="00491BF9">
        <w:rPr>
          <w:lang w:val="lt-LT"/>
        </w:rPr>
        <w:t xml:space="preserve">Europos branduolinės medicinos asociacijos 2019 m. </w:t>
      </w:r>
      <w:r w:rsidRPr="00491BF9">
        <w:rPr>
          <w:lang w:val="lt-LT"/>
        </w:rPr>
        <w:t xml:space="preserve">Europos </w:t>
      </w:r>
      <w:r w:rsidR="0091574C" w:rsidRPr="00491BF9">
        <w:rPr>
          <w:lang w:val="lt-LT"/>
        </w:rPr>
        <w:t xml:space="preserve">branduolinės medicinos vadovą </w:t>
      </w:r>
      <w:r w:rsidRPr="00491BF9">
        <w:rPr>
          <w:lang w:val="lt-LT"/>
        </w:rPr>
        <w:t>rekomenduojamų aktyvumo ribos diagnozuojant išeminę širdies ligą yra tokios:</w:t>
      </w:r>
    </w:p>
    <w:p w14:paraId="6C32F7D9" w14:textId="18BCEBC8" w:rsidR="00146578" w:rsidRPr="00491BF9" w:rsidRDefault="00146578" w:rsidP="00146578">
      <w:pPr>
        <w:autoSpaceDE w:val="0"/>
        <w:autoSpaceDN w:val="0"/>
        <w:adjustRightInd w:val="0"/>
        <w:rPr>
          <w:lang w:val="lt-LT"/>
        </w:rPr>
      </w:pPr>
      <w:r w:rsidRPr="00491BF9">
        <w:rPr>
          <w:lang w:val="lt-LT"/>
        </w:rPr>
        <w:t xml:space="preserve">– taikant dviejų dienų protokolą: </w:t>
      </w:r>
      <w:r w:rsidR="0091574C" w:rsidRPr="00491BF9">
        <w:rPr>
          <w:lang w:val="lt-LT"/>
        </w:rPr>
        <w:t>300</w:t>
      </w:r>
      <w:r w:rsidRPr="00491BF9">
        <w:rPr>
          <w:lang w:val="lt-LT"/>
        </w:rPr>
        <w:t>–</w:t>
      </w:r>
      <w:r w:rsidR="0091574C" w:rsidRPr="00491BF9">
        <w:rPr>
          <w:lang w:val="lt-LT"/>
        </w:rPr>
        <w:t>600 </w:t>
      </w:r>
      <w:r w:rsidRPr="00491BF9">
        <w:rPr>
          <w:lang w:val="lt-LT"/>
        </w:rPr>
        <w:t>MBq/tyrimui</w:t>
      </w:r>
      <w:r w:rsidR="0091574C" w:rsidRPr="00491BF9">
        <w:rPr>
          <w:lang w:val="lt-LT"/>
        </w:rPr>
        <w:t xml:space="preserve">, jei naudojama </w:t>
      </w:r>
      <w:r w:rsidR="009674DA" w:rsidRPr="00491BF9">
        <w:rPr>
          <w:lang w:val="lt-LT"/>
        </w:rPr>
        <w:t>tradicinė gam</w:t>
      </w:r>
      <w:r w:rsidR="00F05DD0">
        <w:rPr>
          <w:lang w:val="lt-LT"/>
        </w:rPr>
        <w:t>a</w:t>
      </w:r>
      <w:r w:rsidR="009674DA" w:rsidRPr="00491BF9">
        <w:rPr>
          <w:lang w:val="lt-LT"/>
        </w:rPr>
        <w:t xml:space="preserve"> kamera, arba 180–500 MBq, jei vaizd</w:t>
      </w:r>
      <w:r w:rsidR="009B008C" w:rsidRPr="00491BF9">
        <w:rPr>
          <w:lang w:val="lt-LT"/>
        </w:rPr>
        <w:t xml:space="preserve">ų </w:t>
      </w:r>
      <w:r w:rsidR="006A7D0F" w:rsidRPr="00491BF9">
        <w:rPr>
          <w:lang w:val="lt-LT"/>
        </w:rPr>
        <w:t>gavimui</w:t>
      </w:r>
      <w:r w:rsidR="009674DA" w:rsidRPr="00491BF9">
        <w:rPr>
          <w:lang w:val="lt-LT"/>
        </w:rPr>
        <w:t xml:space="preserve"> naudojama specializuota kardiologinė gam</w:t>
      </w:r>
      <w:r w:rsidR="000622D3">
        <w:rPr>
          <w:lang w:val="lt-LT"/>
        </w:rPr>
        <w:t>a</w:t>
      </w:r>
      <w:r w:rsidR="009674DA" w:rsidRPr="00491BF9">
        <w:rPr>
          <w:lang w:val="lt-LT"/>
        </w:rPr>
        <w:t xml:space="preserve"> kamera;</w:t>
      </w:r>
    </w:p>
    <w:p w14:paraId="7A5B2B47" w14:textId="10484F78" w:rsidR="00146578" w:rsidRPr="00491BF9" w:rsidRDefault="00146578" w:rsidP="00146578">
      <w:pPr>
        <w:autoSpaceDE w:val="0"/>
        <w:autoSpaceDN w:val="0"/>
        <w:adjustRightInd w:val="0"/>
        <w:rPr>
          <w:lang w:val="lt-LT"/>
        </w:rPr>
      </w:pPr>
      <w:r w:rsidRPr="00491BF9">
        <w:rPr>
          <w:lang w:val="lt-LT"/>
        </w:rPr>
        <w:t xml:space="preserve">– taikant vienos dienos protokolą: </w:t>
      </w:r>
      <w:r w:rsidR="0091574C" w:rsidRPr="00491BF9">
        <w:rPr>
          <w:lang w:val="lt-LT"/>
        </w:rPr>
        <w:t>250</w:t>
      </w:r>
      <w:r w:rsidRPr="00491BF9">
        <w:rPr>
          <w:lang w:val="lt-LT"/>
        </w:rPr>
        <w:t>–</w:t>
      </w:r>
      <w:r w:rsidR="0091574C" w:rsidRPr="00491BF9">
        <w:rPr>
          <w:lang w:val="lt-LT"/>
        </w:rPr>
        <w:t>400 </w:t>
      </w:r>
      <w:r w:rsidRPr="00491BF9">
        <w:rPr>
          <w:lang w:val="lt-LT"/>
        </w:rPr>
        <w:t>MBq pirmajai injekcijai, tris kartus didesnės antrajai injekcijai</w:t>
      </w:r>
      <w:r w:rsidR="0091574C" w:rsidRPr="00491BF9">
        <w:rPr>
          <w:lang w:val="lt-LT"/>
        </w:rPr>
        <w:t xml:space="preserve">, </w:t>
      </w:r>
      <w:r w:rsidR="009674DA" w:rsidRPr="00491BF9">
        <w:rPr>
          <w:lang w:val="lt-LT"/>
        </w:rPr>
        <w:t>jei naudojama tradicinė gam</w:t>
      </w:r>
      <w:r w:rsidR="009B008C" w:rsidRPr="00491BF9">
        <w:rPr>
          <w:lang w:val="lt-LT"/>
        </w:rPr>
        <w:t>os</w:t>
      </w:r>
      <w:r w:rsidR="009674DA" w:rsidRPr="00491BF9">
        <w:rPr>
          <w:lang w:val="lt-LT"/>
        </w:rPr>
        <w:t xml:space="preserve"> kamera, arba 150–300 MBq, jei vaizd</w:t>
      </w:r>
      <w:r w:rsidR="009B008C" w:rsidRPr="00491BF9">
        <w:rPr>
          <w:lang w:val="lt-LT"/>
        </w:rPr>
        <w:t>ų gavimui</w:t>
      </w:r>
      <w:r w:rsidR="009674DA" w:rsidRPr="00491BF9">
        <w:rPr>
          <w:lang w:val="lt-LT"/>
        </w:rPr>
        <w:t xml:space="preserve"> naudojama specializuota kardiologinė gam</w:t>
      </w:r>
      <w:r w:rsidR="000622D3">
        <w:rPr>
          <w:lang w:val="lt-LT"/>
        </w:rPr>
        <w:t>a</w:t>
      </w:r>
      <w:r w:rsidR="009674DA" w:rsidRPr="00491BF9">
        <w:rPr>
          <w:lang w:val="lt-LT"/>
        </w:rPr>
        <w:t xml:space="preserve"> kamera</w:t>
      </w:r>
      <w:r w:rsidRPr="00491BF9">
        <w:rPr>
          <w:lang w:val="lt-LT"/>
        </w:rPr>
        <w:t>.</w:t>
      </w:r>
    </w:p>
    <w:p w14:paraId="16982EEB" w14:textId="77777777" w:rsidR="00146578" w:rsidRPr="00491BF9" w:rsidRDefault="00146578" w:rsidP="00146578">
      <w:pPr>
        <w:autoSpaceDE w:val="0"/>
        <w:autoSpaceDN w:val="0"/>
        <w:adjustRightInd w:val="0"/>
        <w:rPr>
          <w:lang w:val="lt-LT"/>
        </w:rPr>
      </w:pPr>
    </w:p>
    <w:p w14:paraId="674CA50A" w14:textId="04C03406" w:rsidR="00146578" w:rsidRPr="00491BF9" w:rsidRDefault="00146578" w:rsidP="00146578">
      <w:pPr>
        <w:autoSpaceDE w:val="0"/>
        <w:autoSpaceDN w:val="0"/>
        <w:adjustRightInd w:val="0"/>
        <w:rPr>
          <w:lang w:val="lt-LT"/>
        </w:rPr>
      </w:pPr>
      <w:bookmarkStart w:id="4" w:name="OLE_LINK31"/>
      <w:bookmarkStart w:id="5" w:name="OLE_LINK32"/>
      <w:r w:rsidRPr="00491BF9">
        <w:rPr>
          <w:lang w:val="lt-LT"/>
        </w:rPr>
        <w:t xml:space="preserve">Taikant vienos dienos protokolą turi būti skiriama ne didesnė kaip </w:t>
      </w:r>
      <w:r w:rsidR="009674DA" w:rsidRPr="00491BF9">
        <w:rPr>
          <w:lang w:val="lt-LT"/>
        </w:rPr>
        <w:t>16</w:t>
      </w:r>
      <w:r w:rsidRPr="00491BF9">
        <w:rPr>
          <w:lang w:val="lt-LT"/>
        </w:rPr>
        <w:t>00 MBq dozė, o taikant dviejų dienų protokolą – ne didesnė kaip 1</w:t>
      </w:r>
      <w:r w:rsidR="00F70A92">
        <w:rPr>
          <w:lang w:val="lt-LT"/>
        </w:rPr>
        <w:t>2</w:t>
      </w:r>
      <w:r w:rsidRPr="00491BF9">
        <w:rPr>
          <w:lang w:val="lt-LT"/>
        </w:rPr>
        <w:t>00 MBq dozė. Taikant vienos dienos protokolą tarp dviejų injekcijų (streso ir ramybės) turi būti bent dviejų valandų pertrauka. Po injekcijos streso būklėje fizinis krūvis turėtų tęstis viena minute ilgiau (jei tai įmanoma).</w:t>
      </w:r>
    </w:p>
    <w:bookmarkEnd w:id="4"/>
    <w:bookmarkEnd w:id="5"/>
    <w:p w14:paraId="02646F44" w14:textId="77777777" w:rsidR="00146578" w:rsidRPr="00491BF9" w:rsidRDefault="00146578" w:rsidP="00146578">
      <w:pPr>
        <w:rPr>
          <w:lang w:val="lt-LT"/>
        </w:rPr>
      </w:pPr>
    </w:p>
    <w:p w14:paraId="620D3621" w14:textId="77777777" w:rsidR="00146578" w:rsidRPr="00491BF9" w:rsidRDefault="00146578" w:rsidP="00146578">
      <w:pPr>
        <w:rPr>
          <w:lang w:val="lt-LT"/>
        </w:rPr>
      </w:pPr>
      <w:r w:rsidRPr="00491BF9">
        <w:rPr>
          <w:lang w:val="lt-LT"/>
        </w:rPr>
        <w:t>Miokardo infarkto diagnostikai paprastai pakanka vienos injekcijos ramybėje.</w:t>
      </w:r>
    </w:p>
    <w:p w14:paraId="2FE27332" w14:textId="77777777" w:rsidR="00146578" w:rsidRPr="00491BF9" w:rsidRDefault="00146578" w:rsidP="00146578">
      <w:pPr>
        <w:rPr>
          <w:lang w:val="lt-LT"/>
        </w:rPr>
      </w:pPr>
    </w:p>
    <w:p w14:paraId="1D6A2287" w14:textId="77777777" w:rsidR="00146578" w:rsidRPr="00491BF9" w:rsidRDefault="00146578" w:rsidP="00146578">
      <w:pPr>
        <w:rPr>
          <w:lang w:val="lt-LT"/>
        </w:rPr>
      </w:pPr>
      <w:r w:rsidRPr="00491BF9">
        <w:rPr>
          <w:lang w:val="lt-LT"/>
        </w:rPr>
        <w:t>Diagnozuojant išeminę širdies ligą ir diferencijuojant trumpalaikį miokardo kraujotakos sumažėjimą nuo ilgalaikio, reikia dviejų injekcijų (streso ir ramybės).</w:t>
      </w:r>
    </w:p>
    <w:p w14:paraId="0BBB54F6" w14:textId="77777777" w:rsidR="00146578" w:rsidRPr="00491BF9" w:rsidRDefault="00146578" w:rsidP="00146578">
      <w:pPr>
        <w:rPr>
          <w:lang w:val="lt-LT"/>
        </w:rPr>
      </w:pPr>
    </w:p>
    <w:p w14:paraId="2CB71286" w14:textId="77777777" w:rsidR="00146578" w:rsidRPr="00491BF9" w:rsidRDefault="00146578" w:rsidP="00146578">
      <w:pPr>
        <w:rPr>
          <w:i/>
          <w:lang w:val="lt-LT"/>
        </w:rPr>
      </w:pPr>
      <w:r w:rsidRPr="00491BF9">
        <w:rPr>
          <w:i/>
          <w:lang w:val="lt-LT"/>
        </w:rPr>
        <w:t>Bendrosios skilvelių funkcijos įvertinimui</w:t>
      </w:r>
    </w:p>
    <w:p w14:paraId="064E5827" w14:textId="77777777" w:rsidR="00146578" w:rsidRPr="00491BF9" w:rsidRDefault="00146578" w:rsidP="00146578">
      <w:pPr>
        <w:rPr>
          <w:lang w:val="lt-LT"/>
        </w:rPr>
      </w:pPr>
    </w:p>
    <w:p w14:paraId="06988FDC" w14:textId="77777777" w:rsidR="00146578" w:rsidRPr="00491BF9" w:rsidRDefault="00146578" w:rsidP="00146578">
      <w:pPr>
        <w:rPr>
          <w:lang w:val="lt-LT"/>
        </w:rPr>
      </w:pPr>
      <w:r w:rsidRPr="00491BF9">
        <w:rPr>
          <w:lang w:val="lt-LT"/>
        </w:rPr>
        <w:t>600–800 MBq Bolus injekcija.</w:t>
      </w:r>
    </w:p>
    <w:p w14:paraId="25D3AD89" w14:textId="77777777" w:rsidR="00146578" w:rsidRPr="00491BF9" w:rsidRDefault="00146578" w:rsidP="00146578">
      <w:pPr>
        <w:rPr>
          <w:lang w:val="lt-LT"/>
        </w:rPr>
      </w:pPr>
    </w:p>
    <w:p w14:paraId="44B5269A" w14:textId="77777777" w:rsidR="00146578" w:rsidRPr="00491BF9" w:rsidRDefault="00146578" w:rsidP="00146578">
      <w:pPr>
        <w:tabs>
          <w:tab w:val="left" w:pos="3969"/>
        </w:tabs>
        <w:rPr>
          <w:i/>
          <w:lang w:val="lt-LT"/>
        </w:rPr>
      </w:pPr>
      <w:r w:rsidRPr="00491BF9">
        <w:rPr>
          <w:i/>
          <w:lang w:val="lt-LT"/>
        </w:rPr>
        <w:t>Scintimamografija</w:t>
      </w:r>
    </w:p>
    <w:p w14:paraId="7496C6DF" w14:textId="77777777" w:rsidR="00146578" w:rsidRPr="00491BF9" w:rsidRDefault="00146578" w:rsidP="00146578">
      <w:pPr>
        <w:rPr>
          <w:lang w:val="lt-LT"/>
        </w:rPr>
      </w:pPr>
    </w:p>
    <w:p w14:paraId="57584C8D" w14:textId="77777777" w:rsidR="00146578" w:rsidRPr="00491BF9" w:rsidRDefault="00146578" w:rsidP="00146578">
      <w:pPr>
        <w:tabs>
          <w:tab w:val="left" w:pos="3969"/>
        </w:tabs>
        <w:rPr>
          <w:lang w:val="lt-LT"/>
        </w:rPr>
      </w:pPr>
      <w:r w:rsidRPr="00491BF9">
        <w:rPr>
          <w:lang w:val="lt-LT"/>
        </w:rPr>
        <w:t>700</w:t>
      </w:r>
      <w:r w:rsidRPr="00491BF9">
        <w:rPr>
          <w:lang w:val="lt-LT"/>
        </w:rPr>
        <w:noBreakHyphen/>
        <w:t>1 000 MBq Bolus injekcija, paprastai į priešingos pažeidimui pusės ranką.</w:t>
      </w:r>
    </w:p>
    <w:p w14:paraId="717D9AA8" w14:textId="77777777" w:rsidR="00146578" w:rsidRPr="00491BF9" w:rsidRDefault="00146578" w:rsidP="00146578">
      <w:pPr>
        <w:rPr>
          <w:lang w:val="lt-LT"/>
        </w:rPr>
      </w:pPr>
    </w:p>
    <w:p w14:paraId="7AA30C46" w14:textId="77777777" w:rsidR="00146578" w:rsidRPr="00491BF9" w:rsidRDefault="00146578" w:rsidP="00146578">
      <w:pPr>
        <w:tabs>
          <w:tab w:val="left" w:pos="3969"/>
        </w:tabs>
        <w:rPr>
          <w:i/>
          <w:lang w:val="lt-LT"/>
        </w:rPr>
      </w:pPr>
      <w:r w:rsidRPr="00491BF9">
        <w:rPr>
          <w:i/>
          <w:lang w:val="lt-LT"/>
        </w:rPr>
        <w:t>Pernelyg aktyvaus paratiroidinio audinio lokalizacijos nustatymas</w:t>
      </w:r>
    </w:p>
    <w:p w14:paraId="5C1AD356" w14:textId="77777777" w:rsidR="00146578" w:rsidRPr="00491BF9" w:rsidRDefault="00146578" w:rsidP="00146578">
      <w:pPr>
        <w:rPr>
          <w:lang w:val="lt-LT"/>
        </w:rPr>
      </w:pPr>
    </w:p>
    <w:p w14:paraId="0C2A7877" w14:textId="0134EE5B" w:rsidR="00146578" w:rsidRPr="00491BF9" w:rsidRDefault="009B008C" w:rsidP="00146578">
      <w:pPr>
        <w:tabs>
          <w:tab w:val="left" w:pos="3969"/>
        </w:tabs>
        <w:rPr>
          <w:lang w:val="lt-LT"/>
        </w:rPr>
      </w:pPr>
      <w:r w:rsidRPr="00491BF9">
        <w:rPr>
          <w:lang w:val="lt-LT"/>
        </w:rPr>
        <w:t>Dvi</w:t>
      </w:r>
      <w:r w:rsidR="006A7D0F">
        <w:rPr>
          <w:lang w:val="lt-LT"/>
        </w:rPr>
        <w:t xml:space="preserve">ejų </w:t>
      </w:r>
      <w:r w:rsidRPr="00491BF9">
        <w:rPr>
          <w:lang w:val="lt-LT"/>
        </w:rPr>
        <w:t>faziu metodu: 400</w:t>
      </w:r>
      <w:r w:rsidR="00146578" w:rsidRPr="00491BF9">
        <w:rPr>
          <w:lang w:val="lt-LT"/>
        </w:rPr>
        <w:t>–</w:t>
      </w:r>
      <w:r w:rsidRPr="00491BF9">
        <w:rPr>
          <w:lang w:val="lt-LT"/>
        </w:rPr>
        <w:t>900 </w:t>
      </w:r>
      <w:r w:rsidR="00146578" w:rsidRPr="00491BF9">
        <w:rPr>
          <w:lang w:val="lt-LT"/>
        </w:rPr>
        <w:t>MBq Bolus injekcija. Tipinis aktyvumas yra 500–700 MBq.</w:t>
      </w:r>
    </w:p>
    <w:p w14:paraId="0507FDBA" w14:textId="20C7C94F" w:rsidR="009B008C" w:rsidRPr="004F35D3" w:rsidRDefault="009B008C" w:rsidP="00146578">
      <w:pPr>
        <w:tabs>
          <w:tab w:val="left" w:pos="3969"/>
        </w:tabs>
        <w:rPr>
          <w:szCs w:val="22"/>
          <w:lang w:val="lt-LT" w:eastAsia="da-DK"/>
        </w:rPr>
      </w:pPr>
      <w:r w:rsidRPr="00491BF9">
        <w:rPr>
          <w:lang w:val="lt-LT"/>
        </w:rPr>
        <w:t>Sub</w:t>
      </w:r>
      <w:r w:rsidR="0035312C">
        <w:rPr>
          <w:lang w:val="lt-LT"/>
        </w:rPr>
        <w:t>t</w:t>
      </w:r>
      <w:r w:rsidRPr="00491BF9">
        <w:rPr>
          <w:lang w:val="lt-LT"/>
        </w:rPr>
        <w:t>rakcijos metodu</w:t>
      </w:r>
      <w:r w:rsidR="00EE177A">
        <w:rPr>
          <w:lang w:val="lt-LT"/>
        </w:rPr>
        <w:t xml:space="preserve">i su </w:t>
      </w:r>
      <w:r w:rsidRPr="00491BF9">
        <w:rPr>
          <w:lang w:val="lt-LT"/>
        </w:rPr>
        <w:t xml:space="preserve"> natrio </w:t>
      </w:r>
      <w:r w:rsidRPr="006A7D0F">
        <w:rPr>
          <w:szCs w:val="22"/>
          <w:lang w:val="lt-LT"/>
        </w:rPr>
        <w:t>pertechnetat</w:t>
      </w:r>
      <w:r w:rsidR="00EE177A">
        <w:rPr>
          <w:szCs w:val="22"/>
          <w:lang w:val="lt-LT"/>
        </w:rPr>
        <w:t>u</w:t>
      </w:r>
      <w:r w:rsidRPr="006A7D0F">
        <w:rPr>
          <w:szCs w:val="22"/>
          <w:lang w:val="lt-LT"/>
        </w:rPr>
        <w:t xml:space="preserve"> </w:t>
      </w:r>
      <w:r w:rsidRPr="004F35D3">
        <w:rPr>
          <w:szCs w:val="22"/>
          <w:lang w:val="lt-LT" w:eastAsia="da-DK"/>
        </w:rPr>
        <w:t>(</w:t>
      </w:r>
      <w:r w:rsidRPr="004F35D3">
        <w:rPr>
          <w:szCs w:val="22"/>
          <w:vertAlign w:val="superscript"/>
          <w:lang w:val="lt-LT" w:eastAsia="da-DK"/>
        </w:rPr>
        <w:t>99m</w:t>
      </w:r>
      <w:r w:rsidRPr="004F35D3">
        <w:rPr>
          <w:szCs w:val="22"/>
          <w:lang w:val="lt-LT" w:eastAsia="da-DK"/>
        </w:rPr>
        <w:t xml:space="preserve">Tc): 75–110 MBq </w:t>
      </w:r>
      <w:r w:rsidR="00294512" w:rsidRPr="004F35D3">
        <w:rPr>
          <w:szCs w:val="22"/>
          <w:lang w:val="lt-LT" w:eastAsia="da-DK"/>
        </w:rPr>
        <w:t>natrio pertechnetato</w:t>
      </w:r>
      <w:r w:rsidRPr="004F35D3">
        <w:rPr>
          <w:szCs w:val="22"/>
          <w:lang w:val="lt-LT" w:eastAsia="da-DK"/>
        </w:rPr>
        <w:t xml:space="preserve"> (</w:t>
      </w:r>
      <w:r w:rsidRPr="004F35D3">
        <w:rPr>
          <w:szCs w:val="22"/>
          <w:vertAlign w:val="superscript"/>
          <w:lang w:val="lt-LT" w:eastAsia="da-DK"/>
        </w:rPr>
        <w:t>99m</w:t>
      </w:r>
      <w:r w:rsidRPr="004F35D3">
        <w:rPr>
          <w:szCs w:val="22"/>
          <w:lang w:val="lt-LT" w:eastAsia="da-DK"/>
        </w:rPr>
        <w:t>Tc)</w:t>
      </w:r>
      <w:r w:rsidR="00294512" w:rsidRPr="004F35D3">
        <w:rPr>
          <w:szCs w:val="22"/>
          <w:lang w:val="lt-LT" w:eastAsia="da-DK"/>
        </w:rPr>
        <w:t xml:space="preserve"> </w:t>
      </w:r>
      <w:r w:rsidR="0020383B">
        <w:rPr>
          <w:szCs w:val="22"/>
          <w:lang w:val="lt-LT" w:eastAsia="da-DK"/>
        </w:rPr>
        <w:t>leisti į veną</w:t>
      </w:r>
      <w:r w:rsidR="00294512" w:rsidRPr="004F35D3">
        <w:rPr>
          <w:szCs w:val="22"/>
          <w:lang w:val="lt-LT" w:eastAsia="da-DK"/>
        </w:rPr>
        <w:t xml:space="preserve">, po </w:t>
      </w:r>
      <w:r w:rsidR="00BD7CCF">
        <w:rPr>
          <w:szCs w:val="22"/>
          <w:lang w:val="lt-LT" w:eastAsia="da-DK"/>
        </w:rPr>
        <w:t>to</w:t>
      </w:r>
      <w:r w:rsidR="00133758">
        <w:rPr>
          <w:szCs w:val="22"/>
          <w:lang w:val="lt-LT" w:eastAsia="da-DK"/>
        </w:rPr>
        <w:t xml:space="preserve"> leisti į veną</w:t>
      </w:r>
      <w:r w:rsidR="00294512" w:rsidRPr="004F35D3">
        <w:rPr>
          <w:szCs w:val="22"/>
          <w:lang w:val="lt-LT" w:eastAsia="da-DK"/>
        </w:rPr>
        <w:t xml:space="preserve"> 400–900 MBq (</w:t>
      </w:r>
      <w:r w:rsidR="00294512" w:rsidRPr="004F35D3">
        <w:rPr>
          <w:szCs w:val="22"/>
          <w:vertAlign w:val="superscript"/>
          <w:lang w:val="lt-LT" w:eastAsia="da-DK"/>
        </w:rPr>
        <w:t>99m</w:t>
      </w:r>
      <w:r w:rsidR="00294512" w:rsidRPr="004F35D3">
        <w:rPr>
          <w:szCs w:val="22"/>
          <w:lang w:val="lt-LT" w:eastAsia="da-DK"/>
        </w:rPr>
        <w:t xml:space="preserve">Tc) </w:t>
      </w:r>
      <w:r w:rsidR="006A7D0F">
        <w:rPr>
          <w:szCs w:val="22"/>
          <w:lang w:val="lt-LT" w:eastAsia="da-DK"/>
        </w:rPr>
        <w:t>S</w:t>
      </w:r>
      <w:r w:rsidR="00294512" w:rsidRPr="004F35D3">
        <w:rPr>
          <w:szCs w:val="22"/>
          <w:lang w:val="lt-LT" w:eastAsia="da-DK"/>
        </w:rPr>
        <w:t>estamibi</w:t>
      </w:r>
      <w:r w:rsidR="00BD7CCF">
        <w:rPr>
          <w:szCs w:val="22"/>
          <w:lang w:val="lt-LT" w:eastAsia="da-DK"/>
        </w:rPr>
        <w:t xml:space="preserve"> </w:t>
      </w:r>
      <w:r w:rsidR="00294512" w:rsidRPr="004F35D3">
        <w:rPr>
          <w:szCs w:val="22"/>
          <w:lang w:val="lt-LT" w:eastAsia="da-DK"/>
        </w:rPr>
        <w:t>arba 400–900 MBq (</w:t>
      </w:r>
      <w:r w:rsidR="00294512" w:rsidRPr="004F35D3">
        <w:rPr>
          <w:szCs w:val="22"/>
          <w:vertAlign w:val="superscript"/>
          <w:lang w:val="lt-LT" w:eastAsia="da-DK"/>
        </w:rPr>
        <w:t>99m</w:t>
      </w:r>
      <w:r w:rsidR="00294512" w:rsidRPr="004F35D3">
        <w:rPr>
          <w:szCs w:val="22"/>
          <w:lang w:val="lt-LT" w:eastAsia="da-DK"/>
        </w:rPr>
        <w:t xml:space="preserve">Tc) </w:t>
      </w:r>
      <w:r w:rsidR="006A7D0F">
        <w:rPr>
          <w:szCs w:val="22"/>
          <w:lang w:val="lt-LT" w:eastAsia="da-DK"/>
        </w:rPr>
        <w:t>S</w:t>
      </w:r>
      <w:r w:rsidR="00294512" w:rsidRPr="004F35D3">
        <w:rPr>
          <w:szCs w:val="22"/>
          <w:lang w:val="lt-LT" w:eastAsia="da-DK"/>
        </w:rPr>
        <w:t xml:space="preserve">estamibi, po </w:t>
      </w:r>
      <w:r w:rsidR="009B096B">
        <w:rPr>
          <w:szCs w:val="22"/>
          <w:lang w:val="lt-LT" w:eastAsia="da-DK"/>
        </w:rPr>
        <w:t>to</w:t>
      </w:r>
      <w:r w:rsidR="00294512" w:rsidRPr="004F35D3">
        <w:rPr>
          <w:szCs w:val="22"/>
          <w:lang w:val="lt-LT" w:eastAsia="da-DK"/>
        </w:rPr>
        <w:t xml:space="preserve"> skiriama </w:t>
      </w:r>
      <w:r w:rsidR="00491BF9" w:rsidRPr="004F35D3">
        <w:rPr>
          <w:szCs w:val="22"/>
          <w:lang w:val="lt-LT" w:eastAsia="da-DK"/>
        </w:rPr>
        <w:t>150 MBq natrio pertechnetato (</w:t>
      </w:r>
      <w:r w:rsidR="00491BF9" w:rsidRPr="004F35D3">
        <w:rPr>
          <w:szCs w:val="22"/>
          <w:vertAlign w:val="superscript"/>
          <w:lang w:val="lt-LT" w:eastAsia="da-DK"/>
        </w:rPr>
        <w:t>99m</w:t>
      </w:r>
      <w:r w:rsidR="00491BF9" w:rsidRPr="004F35D3">
        <w:rPr>
          <w:szCs w:val="22"/>
          <w:lang w:val="lt-LT" w:eastAsia="da-DK"/>
        </w:rPr>
        <w:t>Tc)</w:t>
      </w:r>
      <w:r w:rsidR="009B096B">
        <w:rPr>
          <w:szCs w:val="22"/>
          <w:lang w:val="lt-LT" w:eastAsia="da-DK"/>
        </w:rPr>
        <w:t xml:space="preserve"> </w:t>
      </w:r>
      <w:r w:rsidR="0046790E">
        <w:rPr>
          <w:szCs w:val="22"/>
          <w:lang w:val="lt-LT" w:eastAsia="da-DK"/>
        </w:rPr>
        <w:t xml:space="preserve">leisti </w:t>
      </w:r>
      <w:r w:rsidR="009B096B">
        <w:rPr>
          <w:szCs w:val="22"/>
          <w:lang w:val="lt-LT" w:eastAsia="da-DK"/>
        </w:rPr>
        <w:t>į veną</w:t>
      </w:r>
      <w:r w:rsidR="00491BF9" w:rsidRPr="004F35D3">
        <w:rPr>
          <w:szCs w:val="22"/>
          <w:lang w:val="lt-LT" w:eastAsia="da-DK"/>
        </w:rPr>
        <w:t>.</w:t>
      </w:r>
    </w:p>
    <w:p w14:paraId="5DE1A2CE" w14:textId="6C2A8E7C" w:rsidR="009C1221" w:rsidRPr="004F35D3" w:rsidRDefault="009C1221" w:rsidP="009C1221">
      <w:pPr>
        <w:tabs>
          <w:tab w:val="left" w:pos="3969"/>
        </w:tabs>
        <w:rPr>
          <w:szCs w:val="22"/>
          <w:lang w:val="lt-LT" w:eastAsia="da-DK"/>
        </w:rPr>
      </w:pPr>
      <w:r w:rsidRPr="006A7D0F">
        <w:rPr>
          <w:szCs w:val="22"/>
          <w:lang w:val="lt-LT"/>
        </w:rPr>
        <w:t>Sub</w:t>
      </w:r>
      <w:r w:rsidR="009B096B">
        <w:rPr>
          <w:szCs w:val="22"/>
          <w:lang w:val="lt-LT"/>
        </w:rPr>
        <w:t>t</w:t>
      </w:r>
      <w:r w:rsidRPr="006A7D0F">
        <w:rPr>
          <w:szCs w:val="22"/>
          <w:lang w:val="lt-LT"/>
        </w:rPr>
        <w:t>rakcijos metodu</w:t>
      </w:r>
      <w:r w:rsidR="00F87825">
        <w:rPr>
          <w:szCs w:val="22"/>
          <w:lang w:val="lt-LT"/>
        </w:rPr>
        <w:t>i</w:t>
      </w:r>
      <w:r w:rsidRPr="006A7D0F">
        <w:rPr>
          <w:szCs w:val="22"/>
          <w:lang w:val="lt-LT"/>
        </w:rPr>
        <w:t xml:space="preserve"> naudojant natrio jodidą </w:t>
      </w:r>
      <w:r w:rsidRPr="004F35D3">
        <w:rPr>
          <w:szCs w:val="22"/>
          <w:lang w:val="lt-LT" w:eastAsia="da-DK"/>
        </w:rPr>
        <w:t>(</w:t>
      </w:r>
      <w:r w:rsidRPr="004F35D3">
        <w:rPr>
          <w:szCs w:val="22"/>
          <w:vertAlign w:val="superscript"/>
          <w:lang w:val="lt-LT" w:eastAsia="da-DK"/>
        </w:rPr>
        <w:t>123</w:t>
      </w:r>
      <w:r w:rsidRPr="004F35D3">
        <w:rPr>
          <w:szCs w:val="22"/>
          <w:lang w:val="lt-LT" w:eastAsia="da-DK"/>
        </w:rPr>
        <w:t>I): 7,5–15 MBq natrio jodido (</w:t>
      </w:r>
      <w:r w:rsidRPr="004F35D3">
        <w:rPr>
          <w:szCs w:val="22"/>
          <w:vertAlign w:val="superscript"/>
          <w:lang w:val="lt-LT" w:eastAsia="da-DK"/>
        </w:rPr>
        <w:t>123</w:t>
      </w:r>
      <w:r w:rsidRPr="004F35D3">
        <w:rPr>
          <w:szCs w:val="22"/>
          <w:lang w:val="lt-LT" w:eastAsia="da-DK"/>
        </w:rPr>
        <w:t>I) varto</w:t>
      </w:r>
      <w:r w:rsidR="00F87825">
        <w:rPr>
          <w:szCs w:val="22"/>
          <w:lang w:val="lt-LT" w:eastAsia="da-DK"/>
        </w:rPr>
        <w:t xml:space="preserve">ti </w:t>
      </w:r>
      <w:r w:rsidRPr="004F35D3">
        <w:rPr>
          <w:szCs w:val="22"/>
          <w:lang w:val="lt-LT" w:eastAsia="da-DK"/>
        </w:rPr>
        <w:t xml:space="preserve">per burną arba </w:t>
      </w:r>
      <w:r w:rsidR="00F87825">
        <w:rPr>
          <w:szCs w:val="22"/>
          <w:lang w:val="lt-LT" w:eastAsia="da-DK"/>
        </w:rPr>
        <w:t>leisti į veną</w:t>
      </w:r>
      <w:r w:rsidRPr="004F35D3">
        <w:rPr>
          <w:szCs w:val="22"/>
          <w:lang w:val="lt-LT" w:eastAsia="da-DK"/>
        </w:rPr>
        <w:t>, po 2 valandų skiriama 400–900 MBq (</w:t>
      </w:r>
      <w:r w:rsidRPr="004F35D3">
        <w:rPr>
          <w:szCs w:val="22"/>
          <w:vertAlign w:val="superscript"/>
          <w:lang w:val="lt-LT" w:eastAsia="da-DK"/>
        </w:rPr>
        <w:t>99m</w:t>
      </w:r>
      <w:r w:rsidRPr="004F35D3">
        <w:rPr>
          <w:szCs w:val="22"/>
          <w:lang w:val="lt-LT" w:eastAsia="da-DK"/>
        </w:rPr>
        <w:t xml:space="preserve">Tc) </w:t>
      </w:r>
      <w:r w:rsidR="006A7D0F">
        <w:rPr>
          <w:szCs w:val="22"/>
          <w:lang w:val="lt-LT" w:eastAsia="da-DK"/>
        </w:rPr>
        <w:t>S</w:t>
      </w:r>
      <w:r w:rsidRPr="004F35D3">
        <w:rPr>
          <w:szCs w:val="22"/>
          <w:lang w:val="lt-LT" w:eastAsia="da-DK"/>
        </w:rPr>
        <w:t>estamibi</w:t>
      </w:r>
      <w:r w:rsidR="00F87825">
        <w:rPr>
          <w:szCs w:val="22"/>
          <w:lang w:val="lt-LT" w:eastAsia="da-DK"/>
        </w:rPr>
        <w:t xml:space="preserve"> leisti į veną</w:t>
      </w:r>
      <w:r w:rsidRPr="004F35D3">
        <w:rPr>
          <w:szCs w:val="22"/>
          <w:lang w:val="lt-LT" w:eastAsia="da-DK"/>
        </w:rPr>
        <w:t>.</w:t>
      </w:r>
    </w:p>
    <w:p w14:paraId="0A071F00" w14:textId="77777777" w:rsidR="00146578" w:rsidRPr="00491BF9" w:rsidRDefault="00146578" w:rsidP="00146578">
      <w:pPr>
        <w:rPr>
          <w:i/>
          <w:u w:val="single"/>
          <w:lang w:val="lt-LT"/>
        </w:rPr>
      </w:pPr>
    </w:p>
    <w:p w14:paraId="4E3D084F" w14:textId="1A774530" w:rsidR="00146578" w:rsidRPr="00491BF9" w:rsidRDefault="002E330E" w:rsidP="00146578">
      <w:pPr>
        <w:rPr>
          <w:i/>
          <w:u w:val="single"/>
          <w:lang w:val="lt-LT"/>
        </w:rPr>
      </w:pPr>
      <w:r>
        <w:rPr>
          <w:i/>
          <w:u w:val="single"/>
          <w:lang w:val="lt-LT"/>
        </w:rPr>
        <w:t>Pacientams, kurių i</w:t>
      </w:r>
      <w:r w:rsidR="00146578" w:rsidRPr="00491BF9">
        <w:rPr>
          <w:i/>
          <w:u w:val="single"/>
          <w:lang w:val="lt-LT"/>
        </w:rPr>
        <w:t xml:space="preserve">nkstų </w:t>
      </w:r>
      <w:r w:rsidR="00EA51C7">
        <w:rPr>
          <w:i/>
          <w:u w:val="single"/>
          <w:lang w:val="lt-LT"/>
        </w:rPr>
        <w:t xml:space="preserve">funkcija </w:t>
      </w:r>
      <w:r w:rsidR="00146578" w:rsidRPr="00491BF9">
        <w:rPr>
          <w:i/>
          <w:u w:val="single"/>
          <w:lang w:val="lt-LT"/>
        </w:rPr>
        <w:t>sutrik</w:t>
      </w:r>
      <w:r w:rsidR="00EA51C7">
        <w:rPr>
          <w:i/>
          <w:u w:val="single"/>
          <w:lang w:val="lt-LT"/>
        </w:rPr>
        <w:t>us</w:t>
      </w:r>
      <w:r w:rsidR="00146578" w:rsidRPr="00491BF9">
        <w:rPr>
          <w:i/>
          <w:u w:val="single"/>
          <w:lang w:val="lt-LT"/>
        </w:rPr>
        <w:t>i</w:t>
      </w:r>
    </w:p>
    <w:p w14:paraId="16749937" w14:textId="77777777" w:rsidR="00146578" w:rsidRPr="00491BF9" w:rsidRDefault="00146578" w:rsidP="00146578">
      <w:pPr>
        <w:rPr>
          <w:lang w:val="lt-LT"/>
        </w:rPr>
      </w:pPr>
      <w:r w:rsidRPr="00491BF9">
        <w:rPr>
          <w:lang w:val="lt-LT"/>
        </w:rPr>
        <w:t>Reikia labai kruopščiai apgalvoti skiriamą aktyvumą, nes radiacijos poveikis šiems pacientams gali būti stipresnis.</w:t>
      </w:r>
    </w:p>
    <w:p w14:paraId="122696A5" w14:textId="77777777" w:rsidR="00146578" w:rsidRPr="00491BF9" w:rsidRDefault="00146578" w:rsidP="00146578">
      <w:pPr>
        <w:rPr>
          <w:lang w:val="lt-LT"/>
        </w:rPr>
      </w:pPr>
    </w:p>
    <w:p w14:paraId="2D0CD81F" w14:textId="2E0F41E3" w:rsidR="00146578" w:rsidRPr="00491BF9" w:rsidRDefault="00EA51C7" w:rsidP="00146578">
      <w:pPr>
        <w:rPr>
          <w:lang w:val="lt-LT"/>
        </w:rPr>
      </w:pPr>
      <w:r>
        <w:rPr>
          <w:i/>
          <w:u w:val="single"/>
          <w:lang w:val="lt-LT"/>
        </w:rPr>
        <w:t>Pacientams, kurių k</w:t>
      </w:r>
      <w:r w:rsidR="00146578" w:rsidRPr="00491BF9">
        <w:rPr>
          <w:i/>
          <w:u w:val="single"/>
          <w:lang w:val="lt-LT"/>
        </w:rPr>
        <w:t>epenų</w:t>
      </w:r>
      <w:r>
        <w:rPr>
          <w:i/>
          <w:u w:val="single"/>
          <w:lang w:val="lt-LT"/>
        </w:rPr>
        <w:t xml:space="preserve"> funkcija</w:t>
      </w:r>
      <w:r w:rsidR="00146578" w:rsidRPr="00491BF9">
        <w:rPr>
          <w:i/>
          <w:u w:val="single"/>
          <w:lang w:val="lt-LT"/>
        </w:rPr>
        <w:t xml:space="preserve"> sutrik</w:t>
      </w:r>
      <w:r>
        <w:rPr>
          <w:i/>
          <w:u w:val="single"/>
          <w:lang w:val="lt-LT"/>
        </w:rPr>
        <w:t>us</w:t>
      </w:r>
      <w:r w:rsidR="00146578" w:rsidRPr="00491BF9">
        <w:rPr>
          <w:i/>
          <w:u w:val="single"/>
          <w:lang w:val="lt-LT"/>
        </w:rPr>
        <w:t>i</w:t>
      </w:r>
      <w:r w:rsidR="00146578" w:rsidRPr="00491BF9">
        <w:rPr>
          <w:lang w:val="lt-LT"/>
        </w:rPr>
        <w:t xml:space="preserve">Esant susilpnėjusiai kepenų funkcijai, aktyvumą reikia parinkti atsargiai, paprastai pradedant nuo mažiausio tinkamo. </w:t>
      </w:r>
    </w:p>
    <w:p w14:paraId="60CBEFC2" w14:textId="77777777" w:rsidR="00146578" w:rsidRPr="00491BF9" w:rsidRDefault="00146578" w:rsidP="00146578">
      <w:pPr>
        <w:rPr>
          <w:lang w:val="lt-LT"/>
        </w:rPr>
      </w:pPr>
    </w:p>
    <w:p w14:paraId="0AB9BECB" w14:textId="77777777" w:rsidR="00146578" w:rsidRPr="00491BF9" w:rsidRDefault="00146578" w:rsidP="00146578">
      <w:pPr>
        <w:rPr>
          <w:i/>
          <w:u w:val="single"/>
          <w:lang w:val="lt-LT"/>
        </w:rPr>
      </w:pPr>
      <w:r w:rsidRPr="00491BF9">
        <w:rPr>
          <w:i/>
          <w:u w:val="single"/>
          <w:lang w:val="lt-LT"/>
        </w:rPr>
        <w:t>Vaikų populiacija</w:t>
      </w:r>
    </w:p>
    <w:p w14:paraId="12D93902" w14:textId="77777777" w:rsidR="00146578" w:rsidRPr="00491BF9" w:rsidRDefault="00146578" w:rsidP="00146578">
      <w:pPr>
        <w:rPr>
          <w:lang w:val="lt-LT"/>
        </w:rPr>
      </w:pPr>
      <w:r w:rsidRPr="00491BF9">
        <w:rPr>
          <w:lang w:val="lt-LT"/>
        </w:rPr>
        <w:t xml:space="preserve">Panaudojimas vaikams ir paaugliams turi būti kruopščiai apgalvotas, pagrįstas klinikiniais poreikiais ir rizikos-naudos santykio įvertinimu šioje pacientų grupėje. Vaikams ir paaugliams skiriamas aktyvumas gali būti kruopščiai apgalvotas pagal Europos branduolinės medicinos asociacijos (EANM, </w:t>
      </w:r>
      <w:r w:rsidRPr="00491BF9">
        <w:rPr>
          <w:i/>
          <w:lang w:val="lt-LT"/>
        </w:rPr>
        <w:t>European Association of Nuclear Medicine</w:t>
      </w:r>
      <w:r w:rsidRPr="00491BF9">
        <w:rPr>
          <w:lang w:val="lt-LT"/>
        </w:rPr>
        <w:t>) dozavimo vaikams kortelę; vaikams ir paaugliams skiriamas aktyvumas gali būti skaičiuojamas padauginant pradinį aktyvumą (skaičiavimo tikslais) iš nuo svorio priklausančių kartotinių, pateikiamų lentelėje toliau.</w:t>
      </w:r>
    </w:p>
    <w:p w14:paraId="326CAB3D" w14:textId="77777777" w:rsidR="00146578" w:rsidRPr="00491BF9" w:rsidRDefault="00146578" w:rsidP="00146578">
      <w:pPr>
        <w:rPr>
          <w:lang w:val="lt-LT"/>
        </w:rPr>
      </w:pPr>
      <w:r w:rsidRPr="00491BF9">
        <w:rPr>
          <w:lang w:val="lt-LT"/>
        </w:rPr>
        <w:t>Skiriamas A[MBq] = pradinis aktyvumas × kartotinis</w:t>
      </w:r>
    </w:p>
    <w:p w14:paraId="0DF20EC4" w14:textId="77777777" w:rsidR="00146578" w:rsidRPr="00491BF9" w:rsidRDefault="00146578" w:rsidP="00146578">
      <w:pPr>
        <w:rPr>
          <w:lang w:val="lt-LT"/>
        </w:rPr>
      </w:pPr>
    </w:p>
    <w:p w14:paraId="1A2D333F" w14:textId="77777777" w:rsidR="00146578" w:rsidRPr="00491BF9" w:rsidRDefault="00146578" w:rsidP="00146578">
      <w:pPr>
        <w:rPr>
          <w:lang w:val="lt-LT"/>
        </w:rPr>
      </w:pPr>
      <w:r w:rsidRPr="00491BF9">
        <w:rPr>
          <w:lang w:val="lt-LT"/>
        </w:rPr>
        <w:t>Pradinis aktyvumas yra 63 MBq, vartojant kaip vėžio ieškantį preparatą. Vartojant širdies skenavimui, naudojant dviejų dienų širdies skenavimo ramybės ir streso būklėje protokolą, minimalus ir maksimalus pradinis aktyvumas yra atitinkamai 42 bei 63 MBq. Naudojant vienos dienos širdies skenavimo protokolą, pradinis aktyvumas yra 28 MBq ramybės būklėje ir 84 MBq streso būklėje.</w:t>
      </w:r>
    </w:p>
    <w:p w14:paraId="5313BAA6" w14:textId="77777777" w:rsidR="00146578" w:rsidRPr="00491BF9" w:rsidRDefault="00146578" w:rsidP="00146578">
      <w:pPr>
        <w:rPr>
          <w:lang w:val="lt-LT"/>
        </w:rPr>
      </w:pPr>
      <w:r w:rsidRPr="00491BF9">
        <w:rPr>
          <w:lang w:val="lt-LT"/>
        </w:rPr>
        <w:t>Minimalus aktyvumas bet kurio skenavimo tyrimo metu yra 80 MBq.</w:t>
      </w:r>
    </w:p>
    <w:p w14:paraId="36EC4613" w14:textId="77777777" w:rsidR="00146578" w:rsidRPr="00491BF9" w:rsidRDefault="00146578" w:rsidP="00146578">
      <w:pPr>
        <w:rPr>
          <w:lang w:val="lt-LT"/>
        </w:rPr>
      </w:pPr>
    </w:p>
    <w:tbl>
      <w:tblPr>
        <w:tblW w:w="0" w:type="auto"/>
        <w:tblInd w:w="102" w:type="dxa"/>
        <w:tblLayout w:type="fixed"/>
        <w:tblCellMar>
          <w:left w:w="0" w:type="dxa"/>
          <w:right w:w="0" w:type="dxa"/>
        </w:tblCellMar>
        <w:tblLook w:val="01E0" w:firstRow="1" w:lastRow="1" w:firstColumn="1" w:lastColumn="1" w:noHBand="0" w:noVBand="0"/>
      </w:tblPr>
      <w:tblGrid>
        <w:gridCol w:w="1056"/>
        <w:gridCol w:w="974"/>
        <w:gridCol w:w="919"/>
        <w:gridCol w:w="1001"/>
        <w:gridCol w:w="902"/>
        <w:gridCol w:w="1030"/>
      </w:tblGrid>
      <w:tr w:rsidR="00146578" w:rsidRPr="00491BF9" w14:paraId="7B972841" w14:textId="77777777" w:rsidTr="00E31119">
        <w:trPr>
          <w:trHeight w:hRule="exact" w:val="572"/>
        </w:trPr>
        <w:tc>
          <w:tcPr>
            <w:tcW w:w="1056" w:type="dxa"/>
            <w:tcBorders>
              <w:top w:val="single" w:sz="8" w:space="0" w:color="000000"/>
              <w:left w:val="single" w:sz="8" w:space="0" w:color="000000"/>
              <w:bottom w:val="single" w:sz="8" w:space="0" w:color="000000"/>
              <w:right w:val="single" w:sz="8" w:space="0" w:color="000000"/>
            </w:tcBorders>
          </w:tcPr>
          <w:p w14:paraId="21492397" w14:textId="77777777" w:rsidR="00146578" w:rsidRPr="004F35D3" w:rsidRDefault="00146578" w:rsidP="00E31119">
            <w:pPr>
              <w:rPr>
                <w:lang w:val="lt-LT"/>
              </w:rPr>
            </w:pPr>
            <w:r w:rsidRPr="00491BF9">
              <w:rPr>
                <w:b/>
                <w:lang w:val="lt-LT"/>
              </w:rPr>
              <w:lastRenderedPageBreak/>
              <w:t>Svoris</w:t>
            </w:r>
          </w:p>
          <w:p w14:paraId="0DE725C9" w14:textId="77777777" w:rsidR="00146578" w:rsidRPr="004F35D3" w:rsidRDefault="00146578" w:rsidP="00E31119">
            <w:pPr>
              <w:rPr>
                <w:lang w:val="lt-LT"/>
              </w:rPr>
            </w:pPr>
            <w:r w:rsidRPr="00491BF9">
              <w:rPr>
                <w:b/>
                <w:lang w:val="lt-LT"/>
              </w:rPr>
              <w:t>[kg]</w:t>
            </w:r>
          </w:p>
        </w:tc>
        <w:tc>
          <w:tcPr>
            <w:tcW w:w="974" w:type="dxa"/>
            <w:tcBorders>
              <w:top w:val="single" w:sz="8" w:space="0" w:color="000000"/>
              <w:left w:val="single" w:sz="8" w:space="0" w:color="000000"/>
              <w:bottom w:val="single" w:sz="8" w:space="0" w:color="000000"/>
              <w:right w:val="single" w:sz="8" w:space="0" w:color="000000"/>
            </w:tcBorders>
          </w:tcPr>
          <w:p w14:paraId="77A13FE5" w14:textId="77777777" w:rsidR="00146578" w:rsidRPr="004F35D3" w:rsidRDefault="00146578" w:rsidP="00E31119">
            <w:pPr>
              <w:rPr>
                <w:lang w:val="lt-LT"/>
              </w:rPr>
            </w:pPr>
            <w:r w:rsidRPr="00491BF9">
              <w:rPr>
                <w:lang w:val="lt-LT"/>
              </w:rPr>
              <w:t>Kartotinis</w:t>
            </w:r>
          </w:p>
        </w:tc>
        <w:tc>
          <w:tcPr>
            <w:tcW w:w="919" w:type="dxa"/>
            <w:tcBorders>
              <w:top w:val="single" w:sz="8" w:space="0" w:color="000000"/>
              <w:left w:val="single" w:sz="8" w:space="0" w:color="000000"/>
              <w:bottom w:val="single" w:sz="8" w:space="0" w:color="000000"/>
              <w:right w:val="single" w:sz="8" w:space="0" w:color="000000"/>
            </w:tcBorders>
          </w:tcPr>
          <w:p w14:paraId="001D3705" w14:textId="77777777" w:rsidR="00146578" w:rsidRPr="004F35D3" w:rsidRDefault="00146578" w:rsidP="00E31119">
            <w:pPr>
              <w:rPr>
                <w:lang w:val="lt-LT"/>
              </w:rPr>
            </w:pPr>
            <w:r w:rsidRPr="00491BF9">
              <w:rPr>
                <w:b/>
                <w:lang w:val="lt-LT"/>
              </w:rPr>
              <w:t>Svoris</w:t>
            </w:r>
          </w:p>
          <w:p w14:paraId="7BD473FC" w14:textId="77777777" w:rsidR="00146578" w:rsidRPr="004F35D3" w:rsidRDefault="00146578" w:rsidP="00E31119">
            <w:pPr>
              <w:rPr>
                <w:lang w:val="lt-LT"/>
              </w:rPr>
            </w:pPr>
            <w:r w:rsidRPr="00491BF9">
              <w:rPr>
                <w:b/>
                <w:lang w:val="lt-LT"/>
              </w:rPr>
              <w:t>[kg]</w:t>
            </w:r>
          </w:p>
        </w:tc>
        <w:tc>
          <w:tcPr>
            <w:tcW w:w="1001" w:type="dxa"/>
            <w:tcBorders>
              <w:top w:val="single" w:sz="8" w:space="0" w:color="000000"/>
              <w:left w:val="single" w:sz="8" w:space="0" w:color="000000"/>
              <w:bottom w:val="single" w:sz="8" w:space="0" w:color="000000"/>
              <w:right w:val="single" w:sz="8" w:space="0" w:color="000000"/>
            </w:tcBorders>
          </w:tcPr>
          <w:p w14:paraId="20727B18" w14:textId="77777777" w:rsidR="00146578" w:rsidRPr="004F35D3" w:rsidRDefault="00146578" w:rsidP="00E31119">
            <w:pPr>
              <w:rPr>
                <w:lang w:val="lt-LT"/>
              </w:rPr>
            </w:pPr>
            <w:r w:rsidRPr="00491BF9">
              <w:rPr>
                <w:lang w:val="lt-LT"/>
              </w:rPr>
              <w:t>Kartotinis</w:t>
            </w:r>
          </w:p>
        </w:tc>
        <w:tc>
          <w:tcPr>
            <w:tcW w:w="902" w:type="dxa"/>
            <w:tcBorders>
              <w:top w:val="single" w:sz="8" w:space="0" w:color="000000"/>
              <w:left w:val="single" w:sz="8" w:space="0" w:color="000000"/>
              <w:bottom w:val="single" w:sz="8" w:space="0" w:color="000000"/>
              <w:right w:val="single" w:sz="8" w:space="0" w:color="000000"/>
            </w:tcBorders>
          </w:tcPr>
          <w:p w14:paraId="62E902D6" w14:textId="77777777" w:rsidR="00146578" w:rsidRPr="004F35D3" w:rsidRDefault="00146578" w:rsidP="00E31119">
            <w:pPr>
              <w:rPr>
                <w:lang w:val="lt-LT"/>
              </w:rPr>
            </w:pPr>
            <w:r w:rsidRPr="00491BF9">
              <w:rPr>
                <w:b/>
                <w:lang w:val="lt-LT"/>
              </w:rPr>
              <w:t>Svoris</w:t>
            </w:r>
          </w:p>
          <w:p w14:paraId="201EB1A6" w14:textId="77777777" w:rsidR="00146578" w:rsidRPr="004F35D3" w:rsidRDefault="00146578" w:rsidP="00E31119">
            <w:pPr>
              <w:rPr>
                <w:lang w:val="lt-LT"/>
              </w:rPr>
            </w:pPr>
            <w:r w:rsidRPr="00491BF9">
              <w:rPr>
                <w:b/>
                <w:lang w:val="lt-LT"/>
              </w:rPr>
              <w:t>[kg]</w:t>
            </w:r>
          </w:p>
        </w:tc>
        <w:tc>
          <w:tcPr>
            <w:tcW w:w="1030" w:type="dxa"/>
            <w:tcBorders>
              <w:top w:val="single" w:sz="8" w:space="0" w:color="000000"/>
              <w:left w:val="single" w:sz="8" w:space="0" w:color="000000"/>
              <w:bottom w:val="single" w:sz="8" w:space="0" w:color="000000"/>
              <w:right w:val="single" w:sz="8" w:space="0" w:color="000000"/>
            </w:tcBorders>
          </w:tcPr>
          <w:p w14:paraId="5491E1FA" w14:textId="77777777" w:rsidR="00146578" w:rsidRPr="004F35D3" w:rsidRDefault="00146578" w:rsidP="00E31119">
            <w:pPr>
              <w:rPr>
                <w:lang w:val="lt-LT"/>
              </w:rPr>
            </w:pPr>
            <w:r w:rsidRPr="00491BF9">
              <w:rPr>
                <w:lang w:val="lt-LT"/>
              </w:rPr>
              <w:t>Kartotinis</w:t>
            </w:r>
          </w:p>
        </w:tc>
      </w:tr>
      <w:tr w:rsidR="00146578" w:rsidRPr="00491BF9" w14:paraId="65CF593F" w14:textId="77777777" w:rsidTr="00E31119">
        <w:trPr>
          <w:trHeight w:hRule="exact" w:val="274"/>
        </w:trPr>
        <w:tc>
          <w:tcPr>
            <w:tcW w:w="1056" w:type="dxa"/>
            <w:tcBorders>
              <w:top w:val="single" w:sz="8" w:space="0" w:color="000000"/>
              <w:left w:val="single" w:sz="8" w:space="0" w:color="000000"/>
              <w:bottom w:val="single" w:sz="8" w:space="0" w:color="000000"/>
              <w:right w:val="single" w:sz="8" w:space="0" w:color="000000"/>
            </w:tcBorders>
          </w:tcPr>
          <w:p w14:paraId="70F05027" w14:textId="77777777" w:rsidR="00146578" w:rsidRPr="004F35D3" w:rsidRDefault="00146578" w:rsidP="00E31119">
            <w:pPr>
              <w:rPr>
                <w:lang w:val="lt-LT"/>
              </w:rPr>
            </w:pPr>
            <w:r w:rsidRPr="004F35D3">
              <w:rPr>
                <w:b/>
                <w:lang w:val="lt-LT"/>
              </w:rPr>
              <w:t>3</w:t>
            </w:r>
          </w:p>
        </w:tc>
        <w:tc>
          <w:tcPr>
            <w:tcW w:w="974" w:type="dxa"/>
            <w:tcBorders>
              <w:top w:val="single" w:sz="8" w:space="0" w:color="000000"/>
              <w:left w:val="single" w:sz="8" w:space="0" w:color="000000"/>
              <w:bottom w:val="single" w:sz="8" w:space="0" w:color="000000"/>
              <w:right w:val="single" w:sz="8" w:space="0" w:color="000000"/>
            </w:tcBorders>
          </w:tcPr>
          <w:p w14:paraId="4E3FE2D3" w14:textId="77777777" w:rsidR="00146578" w:rsidRPr="004F35D3" w:rsidRDefault="00146578" w:rsidP="00E31119">
            <w:pPr>
              <w:rPr>
                <w:lang w:val="lt-LT"/>
              </w:rPr>
            </w:pPr>
            <w:r w:rsidRPr="004F35D3">
              <w:rPr>
                <w:lang w:val="lt-LT"/>
              </w:rPr>
              <w:t>1</w:t>
            </w:r>
          </w:p>
        </w:tc>
        <w:tc>
          <w:tcPr>
            <w:tcW w:w="919" w:type="dxa"/>
            <w:tcBorders>
              <w:top w:val="single" w:sz="8" w:space="0" w:color="000000"/>
              <w:left w:val="single" w:sz="8" w:space="0" w:color="000000"/>
              <w:bottom w:val="single" w:sz="8" w:space="0" w:color="000000"/>
              <w:right w:val="single" w:sz="8" w:space="0" w:color="000000"/>
            </w:tcBorders>
          </w:tcPr>
          <w:p w14:paraId="03ED9FD5" w14:textId="77777777" w:rsidR="00146578" w:rsidRPr="004F35D3" w:rsidRDefault="00146578" w:rsidP="00E31119">
            <w:pPr>
              <w:rPr>
                <w:lang w:val="lt-LT"/>
              </w:rPr>
            </w:pPr>
            <w:r w:rsidRPr="004F35D3">
              <w:rPr>
                <w:lang w:val="lt-LT"/>
              </w:rPr>
              <w:t>22</w:t>
            </w:r>
          </w:p>
        </w:tc>
        <w:tc>
          <w:tcPr>
            <w:tcW w:w="1001" w:type="dxa"/>
            <w:tcBorders>
              <w:top w:val="single" w:sz="8" w:space="0" w:color="000000"/>
              <w:left w:val="single" w:sz="8" w:space="0" w:color="000000"/>
              <w:bottom w:val="single" w:sz="8" w:space="0" w:color="000000"/>
              <w:right w:val="single" w:sz="8" w:space="0" w:color="000000"/>
            </w:tcBorders>
          </w:tcPr>
          <w:p w14:paraId="4E19666D" w14:textId="77777777" w:rsidR="00146578" w:rsidRPr="004F35D3" w:rsidRDefault="00146578" w:rsidP="00E31119">
            <w:pPr>
              <w:rPr>
                <w:lang w:val="lt-LT"/>
              </w:rPr>
            </w:pPr>
            <w:r w:rsidRPr="004F35D3">
              <w:rPr>
                <w:lang w:val="lt-LT"/>
              </w:rPr>
              <w:t>5,29</w:t>
            </w:r>
          </w:p>
        </w:tc>
        <w:tc>
          <w:tcPr>
            <w:tcW w:w="902" w:type="dxa"/>
            <w:tcBorders>
              <w:top w:val="single" w:sz="8" w:space="0" w:color="000000"/>
              <w:left w:val="single" w:sz="8" w:space="0" w:color="000000"/>
              <w:bottom w:val="single" w:sz="8" w:space="0" w:color="000000"/>
              <w:right w:val="single" w:sz="8" w:space="0" w:color="000000"/>
            </w:tcBorders>
          </w:tcPr>
          <w:p w14:paraId="3F7B3858" w14:textId="77777777" w:rsidR="00146578" w:rsidRPr="004F35D3" w:rsidRDefault="00146578" w:rsidP="00E31119">
            <w:pPr>
              <w:rPr>
                <w:lang w:val="lt-LT"/>
              </w:rPr>
            </w:pPr>
            <w:r w:rsidRPr="004F35D3">
              <w:rPr>
                <w:b/>
                <w:lang w:val="lt-LT"/>
              </w:rPr>
              <w:t>42</w:t>
            </w:r>
          </w:p>
        </w:tc>
        <w:tc>
          <w:tcPr>
            <w:tcW w:w="1030" w:type="dxa"/>
            <w:tcBorders>
              <w:top w:val="single" w:sz="8" w:space="0" w:color="000000"/>
              <w:left w:val="single" w:sz="8" w:space="0" w:color="000000"/>
              <w:bottom w:val="single" w:sz="8" w:space="0" w:color="000000"/>
              <w:right w:val="single" w:sz="8" w:space="0" w:color="000000"/>
            </w:tcBorders>
          </w:tcPr>
          <w:p w14:paraId="752D4C27" w14:textId="77777777" w:rsidR="00146578" w:rsidRPr="004F35D3" w:rsidRDefault="00146578" w:rsidP="00E31119">
            <w:pPr>
              <w:rPr>
                <w:lang w:val="lt-LT"/>
              </w:rPr>
            </w:pPr>
            <w:r w:rsidRPr="004F35D3">
              <w:rPr>
                <w:lang w:val="lt-LT"/>
              </w:rPr>
              <w:t>9,14</w:t>
            </w:r>
          </w:p>
        </w:tc>
      </w:tr>
      <w:tr w:rsidR="00146578" w:rsidRPr="00491BF9" w14:paraId="764B240F" w14:textId="77777777" w:rsidTr="00E31119">
        <w:trPr>
          <w:trHeight w:hRule="exact" w:val="274"/>
        </w:trPr>
        <w:tc>
          <w:tcPr>
            <w:tcW w:w="1056" w:type="dxa"/>
            <w:tcBorders>
              <w:top w:val="single" w:sz="8" w:space="0" w:color="000000"/>
              <w:left w:val="single" w:sz="8" w:space="0" w:color="000000"/>
              <w:bottom w:val="single" w:sz="8" w:space="0" w:color="000000"/>
              <w:right w:val="single" w:sz="8" w:space="0" w:color="000000"/>
            </w:tcBorders>
          </w:tcPr>
          <w:p w14:paraId="5E9FA113" w14:textId="77777777" w:rsidR="00146578" w:rsidRPr="004F35D3" w:rsidRDefault="00146578" w:rsidP="00E31119">
            <w:pPr>
              <w:rPr>
                <w:lang w:val="lt-LT"/>
              </w:rPr>
            </w:pPr>
            <w:r w:rsidRPr="004F35D3">
              <w:rPr>
                <w:b/>
                <w:lang w:val="lt-LT"/>
              </w:rPr>
              <w:t>4</w:t>
            </w:r>
          </w:p>
        </w:tc>
        <w:tc>
          <w:tcPr>
            <w:tcW w:w="974" w:type="dxa"/>
            <w:tcBorders>
              <w:top w:val="single" w:sz="8" w:space="0" w:color="000000"/>
              <w:left w:val="single" w:sz="8" w:space="0" w:color="000000"/>
              <w:bottom w:val="single" w:sz="8" w:space="0" w:color="000000"/>
              <w:right w:val="single" w:sz="8" w:space="0" w:color="000000"/>
            </w:tcBorders>
          </w:tcPr>
          <w:p w14:paraId="2CF331EA" w14:textId="77777777" w:rsidR="00146578" w:rsidRPr="004F35D3" w:rsidRDefault="00146578" w:rsidP="00E31119">
            <w:pPr>
              <w:rPr>
                <w:lang w:val="lt-LT"/>
              </w:rPr>
            </w:pPr>
            <w:r w:rsidRPr="004F35D3">
              <w:rPr>
                <w:lang w:val="lt-LT"/>
              </w:rPr>
              <w:t>1,14</w:t>
            </w:r>
          </w:p>
        </w:tc>
        <w:tc>
          <w:tcPr>
            <w:tcW w:w="919" w:type="dxa"/>
            <w:tcBorders>
              <w:top w:val="single" w:sz="8" w:space="0" w:color="000000"/>
              <w:left w:val="single" w:sz="8" w:space="0" w:color="000000"/>
              <w:bottom w:val="single" w:sz="8" w:space="0" w:color="000000"/>
              <w:right w:val="single" w:sz="8" w:space="0" w:color="000000"/>
            </w:tcBorders>
          </w:tcPr>
          <w:p w14:paraId="08CEB9F3" w14:textId="77777777" w:rsidR="00146578" w:rsidRPr="004F35D3" w:rsidRDefault="00146578" w:rsidP="00E31119">
            <w:pPr>
              <w:rPr>
                <w:lang w:val="lt-LT"/>
              </w:rPr>
            </w:pPr>
            <w:r w:rsidRPr="004F35D3">
              <w:rPr>
                <w:b/>
                <w:lang w:val="lt-LT"/>
              </w:rPr>
              <w:t>24</w:t>
            </w:r>
          </w:p>
        </w:tc>
        <w:tc>
          <w:tcPr>
            <w:tcW w:w="1001" w:type="dxa"/>
            <w:tcBorders>
              <w:top w:val="single" w:sz="8" w:space="0" w:color="000000"/>
              <w:left w:val="single" w:sz="8" w:space="0" w:color="000000"/>
              <w:bottom w:val="single" w:sz="8" w:space="0" w:color="000000"/>
              <w:right w:val="single" w:sz="8" w:space="0" w:color="000000"/>
            </w:tcBorders>
          </w:tcPr>
          <w:p w14:paraId="7DC04DE1" w14:textId="77777777" w:rsidR="00146578" w:rsidRPr="004F35D3" w:rsidRDefault="00146578" w:rsidP="00E31119">
            <w:pPr>
              <w:rPr>
                <w:lang w:val="lt-LT"/>
              </w:rPr>
            </w:pPr>
            <w:r w:rsidRPr="004F35D3">
              <w:rPr>
                <w:lang w:val="lt-LT"/>
              </w:rPr>
              <w:t>5,71</w:t>
            </w:r>
          </w:p>
        </w:tc>
        <w:tc>
          <w:tcPr>
            <w:tcW w:w="902" w:type="dxa"/>
            <w:tcBorders>
              <w:top w:val="single" w:sz="8" w:space="0" w:color="000000"/>
              <w:left w:val="single" w:sz="8" w:space="0" w:color="000000"/>
              <w:bottom w:val="single" w:sz="8" w:space="0" w:color="000000"/>
              <w:right w:val="single" w:sz="8" w:space="0" w:color="000000"/>
            </w:tcBorders>
          </w:tcPr>
          <w:p w14:paraId="5578B031" w14:textId="77777777" w:rsidR="00146578" w:rsidRPr="004F35D3" w:rsidRDefault="00146578" w:rsidP="00E31119">
            <w:pPr>
              <w:rPr>
                <w:lang w:val="lt-LT"/>
              </w:rPr>
            </w:pPr>
            <w:r w:rsidRPr="004F35D3">
              <w:rPr>
                <w:b/>
                <w:lang w:val="lt-LT"/>
              </w:rPr>
              <w:t>44</w:t>
            </w:r>
          </w:p>
        </w:tc>
        <w:tc>
          <w:tcPr>
            <w:tcW w:w="1030" w:type="dxa"/>
            <w:tcBorders>
              <w:top w:val="single" w:sz="8" w:space="0" w:color="000000"/>
              <w:left w:val="single" w:sz="8" w:space="0" w:color="000000"/>
              <w:bottom w:val="single" w:sz="8" w:space="0" w:color="000000"/>
              <w:right w:val="single" w:sz="8" w:space="0" w:color="000000"/>
            </w:tcBorders>
          </w:tcPr>
          <w:p w14:paraId="120C2098" w14:textId="77777777" w:rsidR="00146578" w:rsidRPr="004F35D3" w:rsidRDefault="00146578" w:rsidP="00E31119">
            <w:pPr>
              <w:rPr>
                <w:lang w:val="lt-LT"/>
              </w:rPr>
            </w:pPr>
            <w:r w:rsidRPr="004F35D3">
              <w:rPr>
                <w:lang w:val="lt-LT"/>
              </w:rPr>
              <w:t>9,57</w:t>
            </w:r>
          </w:p>
        </w:tc>
      </w:tr>
      <w:tr w:rsidR="00146578" w:rsidRPr="00491BF9" w14:paraId="0563FE4E" w14:textId="77777777" w:rsidTr="00E31119">
        <w:trPr>
          <w:trHeight w:hRule="exact" w:val="271"/>
        </w:trPr>
        <w:tc>
          <w:tcPr>
            <w:tcW w:w="1056" w:type="dxa"/>
            <w:tcBorders>
              <w:top w:val="single" w:sz="8" w:space="0" w:color="000000"/>
              <w:left w:val="single" w:sz="8" w:space="0" w:color="000000"/>
              <w:bottom w:val="single" w:sz="8" w:space="0" w:color="000000"/>
              <w:right w:val="single" w:sz="8" w:space="0" w:color="000000"/>
            </w:tcBorders>
          </w:tcPr>
          <w:p w14:paraId="3BB3402C" w14:textId="77777777" w:rsidR="00146578" w:rsidRPr="004F35D3" w:rsidRDefault="00146578" w:rsidP="00E31119">
            <w:pPr>
              <w:rPr>
                <w:lang w:val="lt-LT"/>
              </w:rPr>
            </w:pPr>
            <w:r w:rsidRPr="004F35D3">
              <w:rPr>
                <w:b/>
                <w:lang w:val="lt-LT"/>
              </w:rPr>
              <w:t>6</w:t>
            </w:r>
          </w:p>
        </w:tc>
        <w:tc>
          <w:tcPr>
            <w:tcW w:w="974" w:type="dxa"/>
            <w:tcBorders>
              <w:top w:val="single" w:sz="8" w:space="0" w:color="000000"/>
              <w:left w:val="single" w:sz="8" w:space="0" w:color="000000"/>
              <w:bottom w:val="single" w:sz="8" w:space="0" w:color="000000"/>
              <w:right w:val="single" w:sz="8" w:space="0" w:color="000000"/>
            </w:tcBorders>
          </w:tcPr>
          <w:p w14:paraId="66B1A10A" w14:textId="77777777" w:rsidR="00146578" w:rsidRPr="004F35D3" w:rsidRDefault="00146578" w:rsidP="00E31119">
            <w:pPr>
              <w:rPr>
                <w:lang w:val="lt-LT"/>
              </w:rPr>
            </w:pPr>
            <w:r w:rsidRPr="004F35D3">
              <w:rPr>
                <w:lang w:val="lt-LT"/>
              </w:rPr>
              <w:t>1,71</w:t>
            </w:r>
          </w:p>
        </w:tc>
        <w:tc>
          <w:tcPr>
            <w:tcW w:w="919" w:type="dxa"/>
            <w:tcBorders>
              <w:top w:val="single" w:sz="8" w:space="0" w:color="000000"/>
              <w:left w:val="single" w:sz="8" w:space="0" w:color="000000"/>
              <w:bottom w:val="single" w:sz="8" w:space="0" w:color="000000"/>
              <w:right w:val="single" w:sz="8" w:space="0" w:color="000000"/>
            </w:tcBorders>
          </w:tcPr>
          <w:p w14:paraId="477BDA4B" w14:textId="77777777" w:rsidR="00146578" w:rsidRPr="004F35D3" w:rsidRDefault="00146578" w:rsidP="00E31119">
            <w:pPr>
              <w:rPr>
                <w:lang w:val="lt-LT"/>
              </w:rPr>
            </w:pPr>
            <w:r w:rsidRPr="004F35D3">
              <w:rPr>
                <w:b/>
                <w:lang w:val="lt-LT"/>
              </w:rPr>
              <w:t>26</w:t>
            </w:r>
          </w:p>
        </w:tc>
        <w:tc>
          <w:tcPr>
            <w:tcW w:w="1001" w:type="dxa"/>
            <w:tcBorders>
              <w:top w:val="single" w:sz="8" w:space="0" w:color="000000"/>
              <w:left w:val="single" w:sz="8" w:space="0" w:color="000000"/>
              <w:bottom w:val="single" w:sz="8" w:space="0" w:color="000000"/>
              <w:right w:val="single" w:sz="8" w:space="0" w:color="000000"/>
            </w:tcBorders>
          </w:tcPr>
          <w:p w14:paraId="75724B08" w14:textId="77777777" w:rsidR="00146578" w:rsidRPr="004F35D3" w:rsidRDefault="00146578" w:rsidP="00E31119">
            <w:pPr>
              <w:rPr>
                <w:lang w:val="lt-LT"/>
              </w:rPr>
            </w:pPr>
            <w:r w:rsidRPr="004F35D3">
              <w:rPr>
                <w:lang w:val="lt-LT"/>
              </w:rPr>
              <w:t>6,14</w:t>
            </w:r>
          </w:p>
        </w:tc>
        <w:tc>
          <w:tcPr>
            <w:tcW w:w="902" w:type="dxa"/>
            <w:tcBorders>
              <w:top w:val="single" w:sz="8" w:space="0" w:color="000000"/>
              <w:left w:val="single" w:sz="8" w:space="0" w:color="000000"/>
              <w:bottom w:val="single" w:sz="8" w:space="0" w:color="000000"/>
              <w:right w:val="single" w:sz="8" w:space="0" w:color="000000"/>
            </w:tcBorders>
          </w:tcPr>
          <w:p w14:paraId="3CB55F4D" w14:textId="77777777" w:rsidR="00146578" w:rsidRPr="004F35D3" w:rsidRDefault="00146578" w:rsidP="00E31119">
            <w:pPr>
              <w:rPr>
                <w:lang w:val="lt-LT"/>
              </w:rPr>
            </w:pPr>
            <w:r w:rsidRPr="004F35D3">
              <w:rPr>
                <w:b/>
                <w:lang w:val="lt-LT"/>
              </w:rPr>
              <w:t>46</w:t>
            </w:r>
          </w:p>
        </w:tc>
        <w:tc>
          <w:tcPr>
            <w:tcW w:w="1030" w:type="dxa"/>
            <w:tcBorders>
              <w:top w:val="single" w:sz="8" w:space="0" w:color="000000"/>
              <w:left w:val="single" w:sz="8" w:space="0" w:color="000000"/>
              <w:bottom w:val="single" w:sz="8" w:space="0" w:color="000000"/>
              <w:right w:val="single" w:sz="8" w:space="0" w:color="000000"/>
            </w:tcBorders>
          </w:tcPr>
          <w:p w14:paraId="1515EE4F" w14:textId="77777777" w:rsidR="00146578" w:rsidRPr="004F35D3" w:rsidRDefault="00146578" w:rsidP="00E31119">
            <w:pPr>
              <w:rPr>
                <w:lang w:val="lt-LT"/>
              </w:rPr>
            </w:pPr>
            <w:r w:rsidRPr="004F35D3">
              <w:rPr>
                <w:lang w:val="lt-LT"/>
              </w:rPr>
              <w:t>10,00</w:t>
            </w:r>
          </w:p>
        </w:tc>
      </w:tr>
      <w:tr w:rsidR="00146578" w:rsidRPr="00491BF9" w14:paraId="7AB9E4AB" w14:textId="77777777" w:rsidTr="00E31119">
        <w:trPr>
          <w:trHeight w:hRule="exact" w:val="274"/>
        </w:trPr>
        <w:tc>
          <w:tcPr>
            <w:tcW w:w="1056" w:type="dxa"/>
            <w:tcBorders>
              <w:top w:val="single" w:sz="8" w:space="0" w:color="000000"/>
              <w:left w:val="single" w:sz="8" w:space="0" w:color="000000"/>
              <w:bottom w:val="single" w:sz="8" w:space="0" w:color="000000"/>
              <w:right w:val="single" w:sz="8" w:space="0" w:color="000000"/>
            </w:tcBorders>
          </w:tcPr>
          <w:p w14:paraId="681FB340" w14:textId="77777777" w:rsidR="00146578" w:rsidRPr="004F35D3" w:rsidRDefault="00146578" w:rsidP="00E31119">
            <w:pPr>
              <w:rPr>
                <w:lang w:val="lt-LT"/>
              </w:rPr>
            </w:pPr>
            <w:r w:rsidRPr="004F35D3">
              <w:rPr>
                <w:b/>
                <w:lang w:val="lt-LT"/>
              </w:rPr>
              <w:t>8</w:t>
            </w:r>
          </w:p>
        </w:tc>
        <w:tc>
          <w:tcPr>
            <w:tcW w:w="974" w:type="dxa"/>
            <w:tcBorders>
              <w:top w:val="single" w:sz="8" w:space="0" w:color="000000"/>
              <w:left w:val="single" w:sz="8" w:space="0" w:color="000000"/>
              <w:bottom w:val="single" w:sz="8" w:space="0" w:color="000000"/>
              <w:right w:val="single" w:sz="8" w:space="0" w:color="000000"/>
            </w:tcBorders>
          </w:tcPr>
          <w:p w14:paraId="232C91F1" w14:textId="77777777" w:rsidR="00146578" w:rsidRPr="004F35D3" w:rsidRDefault="00146578" w:rsidP="00E31119">
            <w:pPr>
              <w:rPr>
                <w:lang w:val="lt-LT"/>
              </w:rPr>
            </w:pPr>
            <w:r w:rsidRPr="004F35D3">
              <w:rPr>
                <w:lang w:val="lt-LT"/>
              </w:rPr>
              <w:t>2,14</w:t>
            </w:r>
          </w:p>
        </w:tc>
        <w:tc>
          <w:tcPr>
            <w:tcW w:w="919" w:type="dxa"/>
            <w:tcBorders>
              <w:top w:val="single" w:sz="8" w:space="0" w:color="000000"/>
              <w:left w:val="single" w:sz="8" w:space="0" w:color="000000"/>
              <w:bottom w:val="single" w:sz="8" w:space="0" w:color="000000"/>
              <w:right w:val="single" w:sz="8" w:space="0" w:color="000000"/>
            </w:tcBorders>
          </w:tcPr>
          <w:p w14:paraId="7FE78F68" w14:textId="77777777" w:rsidR="00146578" w:rsidRPr="004F35D3" w:rsidRDefault="00146578" w:rsidP="00E31119">
            <w:pPr>
              <w:rPr>
                <w:lang w:val="lt-LT"/>
              </w:rPr>
            </w:pPr>
            <w:r w:rsidRPr="004F35D3">
              <w:rPr>
                <w:b/>
                <w:lang w:val="lt-LT"/>
              </w:rPr>
              <w:t>28</w:t>
            </w:r>
          </w:p>
        </w:tc>
        <w:tc>
          <w:tcPr>
            <w:tcW w:w="1001" w:type="dxa"/>
            <w:tcBorders>
              <w:top w:val="single" w:sz="8" w:space="0" w:color="000000"/>
              <w:left w:val="single" w:sz="8" w:space="0" w:color="000000"/>
              <w:bottom w:val="single" w:sz="8" w:space="0" w:color="000000"/>
              <w:right w:val="single" w:sz="8" w:space="0" w:color="000000"/>
            </w:tcBorders>
          </w:tcPr>
          <w:p w14:paraId="71758635" w14:textId="77777777" w:rsidR="00146578" w:rsidRPr="004F35D3" w:rsidRDefault="00146578" w:rsidP="00E31119">
            <w:pPr>
              <w:rPr>
                <w:lang w:val="lt-LT"/>
              </w:rPr>
            </w:pPr>
            <w:r w:rsidRPr="004F35D3">
              <w:rPr>
                <w:lang w:val="lt-LT"/>
              </w:rPr>
              <w:t>6,43</w:t>
            </w:r>
          </w:p>
        </w:tc>
        <w:tc>
          <w:tcPr>
            <w:tcW w:w="902" w:type="dxa"/>
            <w:tcBorders>
              <w:top w:val="single" w:sz="8" w:space="0" w:color="000000"/>
              <w:left w:val="single" w:sz="8" w:space="0" w:color="000000"/>
              <w:bottom w:val="single" w:sz="8" w:space="0" w:color="000000"/>
              <w:right w:val="single" w:sz="8" w:space="0" w:color="000000"/>
            </w:tcBorders>
          </w:tcPr>
          <w:p w14:paraId="44AAA227" w14:textId="77777777" w:rsidR="00146578" w:rsidRPr="004F35D3" w:rsidRDefault="00146578" w:rsidP="00E31119">
            <w:pPr>
              <w:rPr>
                <w:lang w:val="lt-LT"/>
              </w:rPr>
            </w:pPr>
            <w:r w:rsidRPr="004F35D3">
              <w:rPr>
                <w:b/>
                <w:lang w:val="lt-LT"/>
              </w:rPr>
              <w:t>48</w:t>
            </w:r>
          </w:p>
        </w:tc>
        <w:tc>
          <w:tcPr>
            <w:tcW w:w="1030" w:type="dxa"/>
            <w:tcBorders>
              <w:top w:val="single" w:sz="8" w:space="0" w:color="000000"/>
              <w:left w:val="single" w:sz="8" w:space="0" w:color="000000"/>
              <w:bottom w:val="single" w:sz="8" w:space="0" w:color="000000"/>
              <w:right w:val="single" w:sz="8" w:space="0" w:color="000000"/>
            </w:tcBorders>
          </w:tcPr>
          <w:p w14:paraId="611B9898" w14:textId="77777777" w:rsidR="00146578" w:rsidRPr="004F35D3" w:rsidRDefault="00146578" w:rsidP="00E31119">
            <w:pPr>
              <w:rPr>
                <w:lang w:val="lt-LT"/>
              </w:rPr>
            </w:pPr>
            <w:r w:rsidRPr="004F35D3">
              <w:rPr>
                <w:lang w:val="lt-LT"/>
              </w:rPr>
              <w:t>10,29</w:t>
            </w:r>
          </w:p>
        </w:tc>
      </w:tr>
      <w:tr w:rsidR="00146578" w:rsidRPr="00491BF9" w14:paraId="6E8E929F" w14:textId="77777777" w:rsidTr="00E31119">
        <w:trPr>
          <w:trHeight w:hRule="exact" w:val="274"/>
        </w:trPr>
        <w:tc>
          <w:tcPr>
            <w:tcW w:w="1056" w:type="dxa"/>
            <w:tcBorders>
              <w:top w:val="single" w:sz="8" w:space="0" w:color="000000"/>
              <w:left w:val="single" w:sz="8" w:space="0" w:color="000000"/>
              <w:bottom w:val="single" w:sz="8" w:space="0" w:color="000000"/>
              <w:right w:val="single" w:sz="8" w:space="0" w:color="000000"/>
            </w:tcBorders>
          </w:tcPr>
          <w:p w14:paraId="48867213" w14:textId="77777777" w:rsidR="00146578" w:rsidRPr="004F35D3" w:rsidRDefault="00146578" w:rsidP="00E31119">
            <w:pPr>
              <w:rPr>
                <w:lang w:val="lt-LT"/>
              </w:rPr>
            </w:pPr>
            <w:r w:rsidRPr="004F35D3">
              <w:rPr>
                <w:b/>
                <w:lang w:val="lt-LT"/>
              </w:rPr>
              <w:t>10</w:t>
            </w:r>
          </w:p>
        </w:tc>
        <w:tc>
          <w:tcPr>
            <w:tcW w:w="974" w:type="dxa"/>
            <w:tcBorders>
              <w:top w:val="single" w:sz="8" w:space="0" w:color="000000"/>
              <w:left w:val="single" w:sz="8" w:space="0" w:color="000000"/>
              <w:bottom w:val="single" w:sz="8" w:space="0" w:color="000000"/>
              <w:right w:val="single" w:sz="8" w:space="0" w:color="000000"/>
            </w:tcBorders>
          </w:tcPr>
          <w:p w14:paraId="68D329C7" w14:textId="77777777" w:rsidR="00146578" w:rsidRPr="004F35D3" w:rsidRDefault="00146578" w:rsidP="00E31119">
            <w:pPr>
              <w:rPr>
                <w:lang w:val="lt-LT"/>
              </w:rPr>
            </w:pPr>
            <w:r w:rsidRPr="004F35D3">
              <w:rPr>
                <w:lang w:val="lt-LT"/>
              </w:rPr>
              <w:t>2,71</w:t>
            </w:r>
          </w:p>
        </w:tc>
        <w:tc>
          <w:tcPr>
            <w:tcW w:w="919" w:type="dxa"/>
            <w:tcBorders>
              <w:top w:val="single" w:sz="8" w:space="0" w:color="000000"/>
              <w:left w:val="single" w:sz="8" w:space="0" w:color="000000"/>
              <w:bottom w:val="single" w:sz="8" w:space="0" w:color="000000"/>
              <w:right w:val="single" w:sz="8" w:space="0" w:color="000000"/>
            </w:tcBorders>
          </w:tcPr>
          <w:p w14:paraId="07F6A032" w14:textId="77777777" w:rsidR="00146578" w:rsidRPr="004F35D3" w:rsidRDefault="00146578" w:rsidP="00E31119">
            <w:pPr>
              <w:rPr>
                <w:lang w:val="lt-LT"/>
              </w:rPr>
            </w:pPr>
            <w:r w:rsidRPr="004F35D3">
              <w:rPr>
                <w:b/>
                <w:lang w:val="lt-LT"/>
              </w:rPr>
              <w:t>30</w:t>
            </w:r>
          </w:p>
        </w:tc>
        <w:tc>
          <w:tcPr>
            <w:tcW w:w="1001" w:type="dxa"/>
            <w:tcBorders>
              <w:top w:val="single" w:sz="8" w:space="0" w:color="000000"/>
              <w:left w:val="single" w:sz="8" w:space="0" w:color="000000"/>
              <w:bottom w:val="single" w:sz="8" w:space="0" w:color="000000"/>
              <w:right w:val="single" w:sz="8" w:space="0" w:color="000000"/>
            </w:tcBorders>
          </w:tcPr>
          <w:p w14:paraId="1B6C5D08" w14:textId="77777777" w:rsidR="00146578" w:rsidRPr="004F35D3" w:rsidRDefault="00146578" w:rsidP="00E31119">
            <w:pPr>
              <w:rPr>
                <w:lang w:val="lt-LT"/>
              </w:rPr>
            </w:pPr>
            <w:r w:rsidRPr="004F35D3">
              <w:rPr>
                <w:lang w:val="lt-LT"/>
              </w:rPr>
              <w:t>6,86</w:t>
            </w:r>
          </w:p>
        </w:tc>
        <w:tc>
          <w:tcPr>
            <w:tcW w:w="902" w:type="dxa"/>
            <w:tcBorders>
              <w:top w:val="single" w:sz="8" w:space="0" w:color="000000"/>
              <w:left w:val="single" w:sz="8" w:space="0" w:color="000000"/>
              <w:bottom w:val="single" w:sz="8" w:space="0" w:color="000000"/>
              <w:right w:val="single" w:sz="8" w:space="0" w:color="000000"/>
            </w:tcBorders>
          </w:tcPr>
          <w:p w14:paraId="2739BE98" w14:textId="77777777" w:rsidR="00146578" w:rsidRPr="004F35D3" w:rsidRDefault="00146578" w:rsidP="00E31119">
            <w:pPr>
              <w:rPr>
                <w:lang w:val="lt-LT"/>
              </w:rPr>
            </w:pPr>
            <w:r w:rsidRPr="004F35D3">
              <w:rPr>
                <w:b/>
                <w:lang w:val="lt-LT"/>
              </w:rPr>
              <w:t>50</w:t>
            </w:r>
          </w:p>
        </w:tc>
        <w:tc>
          <w:tcPr>
            <w:tcW w:w="1030" w:type="dxa"/>
            <w:tcBorders>
              <w:top w:val="single" w:sz="8" w:space="0" w:color="000000"/>
              <w:left w:val="single" w:sz="8" w:space="0" w:color="000000"/>
              <w:bottom w:val="single" w:sz="8" w:space="0" w:color="000000"/>
              <w:right w:val="single" w:sz="8" w:space="0" w:color="000000"/>
            </w:tcBorders>
          </w:tcPr>
          <w:p w14:paraId="6D519A05" w14:textId="77777777" w:rsidR="00146578" w:rsidRPr="004F35D3" w:rsidRDefault="00146578" w:rsidP="00E31119">
            <w:pPr>
              <w:rPr>
                <w:lang w:val="lt-LT"/>
              </w:rPr>
            </w:pPr>
            <w:r w:rsidRPr="004F35D3">
              <w:rPr>
                <w:lang w:val="lt-LT"/>
              </w:rPr>
              <w:t>10,71</w:t>
            </w:r>
          </w:p>
        </w:tc>
      </w:tr>
      <w:tr w:rsidR="00146578" w:rsidRPr="00491BF9" w14:paraId="3BBFB684" w14:textId="77777777" w:rsidTr="00E31119">
        <w:trPr>
          <w:trHeight w:hRule="exact" w:val="271"/>
        </w:trPr>
        <w:tc>
          <w:tcPr>
            <w:tcW w:w="1056" w:type="dxa"/>
            <w:tcBorders>
              <w:top w:val="single" w:sz="8" w:space="0" w:color="000000"/>
              <w:left w:val="single" w:sz="8" w:space="0" w:color="000000"/>
              <w:bottom w:val="single" w:sz="8" w:space="0" w:color="000000"/>
              <w:right w:val="single" w:sz="8" w:space="0" w:color="000000"/>
            </w:tcBorders>
          </w:tcPr>
          <w:p w14:paraId="6E9BD1AC" w14:textId="77777777" w:rsidR="00146578" w:rsidRPr="004F35D3" w:rsidRDefault="00146578" w:rsidP="00E31119">
            <w:pPr>
              <w:rPr>
                <w:lang w:val="lt-LT"/>
              </w:rPr>
            </w:pPr>
            <w:r w:rsidRPr="004F35D3">
              <w:rPr>
                <w:b/>
                <w:lang w:val="lt-LT"/>
              </w:rPr>
              <w:t>12</w:t>
            </w:r>
          </w:p>
        </w:tc>
        <w:tc>
          <w:tcPr>
            <w:tcW w:w="974" w:type="dxa"/>
            <w:tcBorders>
              <w:top w:val="single" w:sz="8" w:space="0" w:color="000000"/>
              <w:left w:val="single" w:sz="8" w:space="0" w:color="000000"/>
              <w:bottom w:val="single" w:sz="8" w:space="0" w:color="000000"/>
              <w:right w:val="single" w:sz="8" w:space="0" w:color="000000"/>
            </w:tcBorders>
          </w:tcPr>
          <w:p w14:paraId="6AC7B3AF" w14:textId="77777777" w:rsidR="00146578" w:rsidRPr="004F35D3" w:rsidRDefault="00146578" w:rsidP="00E31119">
            <w:pPr>
              <w:rPr>
                <w:lang w:val="lt-LT"/>
              </w:rPr>
            </w:pPr>
            <w:r w:rsidRPr="004F35D3">
              <w:rPr>
                <w:lang w:val="lt-LT"/>
              </w:rPr>
              <w:t>3,14</w:t>
            </w:r>
          </w:p>
        </w:tc>
        <w:tc>
          <w:tcPr>
            <w:tcW w:w="919" w:type="dxa"/>
            <w:tcBorders>
              <w:top w:val="single" w:sz="8" w:space="0" w:color="000000"/>
              <w:left w:val="single" w:sz="8" w:space="0" w:color="000000"/>
              <w:bottom w:val="single" w:sz="8" w:space="0" w:color="000000"/>
              <w:right w:val="single" w:sz="8" w:space="0" w:color="000000"/>
            </w:tcBorders>
          </w:tcPr>
          <w:p w14:paraId="0A4538B0" w14:textId="77777777" w:rsidR="00146578" w:rsidRPr="004F35D3" w:rsidRDefault="00146578" w:rsidP="00E31119">
            <w:pPr>
              <w:rPr>
                <w:lang w:val="lt-LT"/>
              </w:rPr>
            </w:pPr>
            <w:r w:rsidRPr="004F35D3">
              <w:rPr>
                <w:b/>
                <w:lang w:val="lt-LT"/>
              </w:rPr>
              <w:t>32</w:t>
            </w:r>
          </w:p>
        </w:tc>
        <w:tc>
          <w:tcPr>
            <w:tcW w:w="1001" w:type="dxa"/>
            <w:tcBorders>
              <w:top w:val="single" w:sz="8" w:space="0" w:color="000000"/>
              <w:left w:val="single" w:sz="8" w:space="0" w:color="000000"/>
              <w:bottom w:val="single" w:sz="8" w:space="0" w:color="000000"/>
              <w:right w:val="single" w:sz="8" w:space="0" w:color="000000"/>
            </w:tcBorders>
          </w:tcPr>
          <w:p w14:paraId="1C9C7202" w14:textId="77777777" w:rsidR="00146578" w:rsidRPr="004F35D3" w:rsidRDefault="00146578" w:rsidP="00E31119">
            <w:pPr>
              <w:rPr>
                <w:lang w:val="lt-LT"/>
              </w:rPr>
            </w:pPr>
            <w:r w:rsidRPr="004F35D3">
              <w:rPr>
                <w:lang w:val="lt-LT"/>
              </w:rPr>
              <w:t>7,29</w:t>
            </w:r>
          </w:p>
        </w:tc>
        <w:tc>
          <w:tcPr>
            <w:tcW w:w="902" w:type="dxa"/>
            <w:tcBorders>
              <w:top w:val="single" w:sz="8" w:space="0" w:color="000000"/>
              <w:left w:val="single" w:sz="8" w:space="0" w:color="000000"/>
              <w:bottom w:val="single" w:sz="8" w:space="0" w:color="000000"/>
              <w:right w:val="single" w:sz="8" w:space="0" w:color="000000"/>
            </w:tcBorders>
          </w:tcPr>
          <w:p w14:paraId="38CE87CD" w14:textId="77777777" w:rsidR="00146578" w:rsidRPr="004F35D3" w:rsidRDefault="00146578" w:rsidP="00E31119">
            <w:pPr>
              <w:rPr>
                <w:lang w:val="lt-LT"/>
              </w:rPr>
            </w:pPr>
            <w:r w:rsidRPr="004F35D3">
              <w:rPr>
                <w:b/>
                <w:lang w:val="lt-LT"/>
              </w:rPr>
              <w:t>52-54</w:t>
            </w:r>
          </w:p>
        </w:tc>
        <w:tc>
          <w:tcPr>
            <w:tcW w:w="1030" w:type="dxa"/>
            <w:tcBorders>
              <w:top w:val="single" w:sz="8" w:space="0" w:color="000000"/>
              <w:left w:val="single" w:sz="8" w:space="0" w:color="000000"/>
              <w:bottom w:val="single" w:sz="8" w:space="0" w:color="000000"/>
              <w:right w:val="single" w:sz="8" w:space="0" w:color="000000"/>
            </w:tcBorders>
          </w:tcPr>
          <w:p w14:paraId="663C8B7A" w14:textId="77777777" w:rsidR="00146578" w:rsidRPr="004F35D3" w:rsidRDefault="00146578" w:rsidP="00E31119">
            <w:pPr>
              <w:rPr>
                <w:lang w:val="lt-LT"/>
              </w:rPr>
            </w:pPr>
            <w:r w:rsidRPr="004F35D3">
              <w:rPr>
                <w:lang w:val="lt-LT"/>
              </w:rPr>
              <w:t>11,29</w:t>
            </w:r>
          </w:p>
        </w:tc>
      </w:tr>
      <w:tr w:rsidR="00146578" w:rsidRPr="00491BF9" w14:paraId="195A6FCD" w14:textId="77777777" w:rsidTr="00E31119">
        <w:trPr>
          <w:trHeight w:hRule="exact" w:val="274"/>
        </w:trPr>
        <w:tc>
          <w:tcPr>
            <w:tcW w:w="1056" w:type="dxa"/>
            <w:tcBorders>
              <w:top w:val="single" w:sz="8" w:space="0" w:color="000000"/>
              <w:left w:val="single" w:sz="8" w:space="0" w:color="000000"/>
              <w:bottom w:val="single" w:sz="8" w:space="0" w:color="000000"/>
              <w:right w:val="single" w:sz="8" w:space="0" w:color="000000"/>
            </w:tcBorders>
          </w:tcPr>
          <w:p w14:paraId="44C9AEB5" w14:textId="77777777" w:rsidR="00146578" w:rsidRPr="004F35D3" w:rsidRDefault="00146578" w:rsidP="00E31119">
            <w:pPr>
              <w:rPr>
                <w:lang w:val="lt-LT"/>
              </w:rPr>
            </w:pPr>
            <w:r w:rsidRPr="004F35D3">
              <w:rPr>
                <w:b/>
                <w:lang w:val="lt-LT"/>
              </w:rPr>
              <w:t>14</w:t>
            </w:r>
          </w:p>
        </w:tc>
        <w:tc>
          <w:tcPr>
            <w:tcW w:w="974" w:type="dxa"/>
            <w:tcBorders>
              <w:top w:val="single" w:sz="8" w:space="0" w:color="000000"/>
              <w:left w:val="single" w:sz="8" w:space="0" w:color="000000"/>
              <w:bottom w:val="single" w:sz="8" w:space="0" w:color="000000"/>
              <w:right w:val="single" w:sz="8" w:space="0" w:color="000000"/>
            </w:tcBorders>
          </w:tcPr>
          <w:p w14:paraId="08403DE8" w14:textId="77777777" w:rsidR="00146578" w:rsidRPr="004F35D3" w:rsidRDefault="00146578" w:rsidP="00E31119">
            <w:pPr>
              <w:rPr>
                <w:lang w:val="lt-LT"/>
              </w:rPr>
            </w:pPr>
            <w:r w:rsidRPr="004F35D3">
              <w:rPr>
                <w:lang w:val="lt-LT"/>
              </w:rPr>
              <w:t>3,57</w:t>
            </w:r>
          </w:p>
        </w:tc>
        <w:tc>
          <w:tcPr>
            <w:tcW w:w="919" w:type="dxa"/>
            <w:tcBorders>
              <w:top w:val="single" w:sz="8" w:space="0" w:color="000000"/>
              <w:left w:val="single" w:sz="8" w:space="0" w:color="000000"/>
              <w:bottom w:val="single" w:sz="8" w:space="0" w:color="000000"/>
              <w:right w:val="single" w:sz="8" w:space="0" w:color="000000"/>
            </w:tcBorders>
          </w:tcPr>
          <w:p w14:paraId="2393B331" w14:textId="77777777" w:rsidR="00146578" w:rsidRPr="004F35D3" w:rsidRDefault="00146578" w:rsidP="00E31119">
            <w:pPr>
              <w:rPr>
                <w:lang w:val="lt-LT"/>
              </w:rPr>
            </w:pPr>
            <w:r w:rsidRPr="004F35D3">
              <w:rPr>
                <w:b/>
                <w:lang w:val="lt-LT"/>
              </w:rPr>
              <w:t>34</w:t>
            </w:r>
          </w:p>
        </w:tc>
        <w:tc>
          <w:tcPr>
            <w:tcW w:w="1001" w:type="dxa"/>
            <w:tcBorders>
              <w:top w:val="single" w:sz="8" w:space="0" w:color="000000"/>
              <w:left w:val="single" w:sz="8" w:space="0" w:color="000000"/>
              <w:bottom w:val="single" w:sz="8" w:space="0" w:color="000000"/>
              <w:right w:val="single" w:sz="8" w:space="0" w:color="000000"/>
            </w:tcBorders>
          </w:tcPr>
          <w:p w14:paraId="744E2455" w14:textId="77777777" w:rsidR="00146578" w:rsidRPr="004F35D3" w:rsidRDefault="00146578" w:rsidP="00E31119">
            <w:pPr>
              <w:rPr>
                <w:lang w:val="lt-LT"/>
              </w:rPr>
            </w:pPr>
            <w:r w:rsidRPr="004F35D3">
              <w:rPr>
                <w:lang w:val="lt-LT"/>
              </w:rPr>
              <w:t>7,72</w:t>
            </w:r>
          </w:p>
        </w:tc>
        <w:tc>
          <w:tcPr>
            <w:tcW w:w="902" w:type="dxa"/>
            <w:tcBorders>
              <w:top w:val="single" w:sz="8" w:space="0" w:color="000000"/>
              <w:left w:val="single" w:sz="8" w:space="0" w:color="000000"/>
              <w:bottom w:val="single" w:sz="8" w:space="0" w:color="000000"/>
              <w:right w:val="single" w:sz="8" w:space="0" w:color="000000"/>
            </w:tcBorders>
          </w:tcPr>
          <w:p w14:paraId="74D4C04B" w14:textId="77777777" w:rsidR="00146578" w:rsidRPr="004F35D3" w:rsidRDefault="00146578" w:rsidP="00E31119">
            <w:pPr>
              <w:rPr>
                <w:lang w:val="lt-LT"/>
              </w:rPr>
            </w:pPr>
            <w:r w:rsidRPr="004F35D3">
              <w:rPr>
                <w:b/>
                <w:lang w:val="lt-LT"/>
              </w:rPr>
              <w:t>56-58</w:t>
            </w:r>
          </w:p>
        </w:tc>
        <w:tc>
          <w:tcPr>
            <w:tcW w:w="1030" w:type="dxa"/>
            <w:tcBorders>
              <w:top w:val="single" w:sz="8" w:space="0" w:color="000000"/>
              <w:left w:val="single" w:sz="8" w:space="0" w:color="000000"/>
              <w:bottom w:val="single" w:sz="8" w:space="0" w:color="000000"/>
              <w:right w:val="single" w:sz="8" w:space="0" w:color="000000"/>
            </w:tcBorders>
          </w:tcPr>
          <w:p w14:paraId="20E20159" w14:textId="77777777" w:rsidR="00146578" w:rsidRPr="004F35D3" w:rsidRDefault="00146578" w:rsidP="00E31119">
            <w:pPr>
              <w:rPr>
                <w:lang w:val="lt-LT"/>
              </w:rPr>
            </w:pPr>
            <w:r w:rsidRPr="004F35D3">
              <w:rPr>
                <w:lang w:val="lt-LT"/>
              </w:rPr>
              <w:t>12,00</w:t>
            </w:r>
          </w:p>
        </w:tc>
      </w:tr>
      <w:tr w:rsidR="00146578" w:rsidRPr="00491BF9" w14:paraId="0036D5ED" w14:textId="77777777" w:rsidTr="00E31119">
        <w:trPr>
          <w:trHeight w:hRule="exact" w:val="274"/>
        </w:trPr>
        <w:tc>
          <w:tcPr>
            <w:tcW w:w="1056" w:type="dxa"/>
            <w:tcBorders>
              <w:top w:val="single" w:sz="8" w:space="0" w:color="000000"/>
              <w:left w:val="single" w:sz="8" w:space="0" w:color="000000"/>
              <w:bottom w:val="single" w:sz="8" w:space="0" w:color="000000"/>
              <w:right w:val="single" w:sz="8" w:space="0" w:color="000000"/>
            </w:tcBorders>
          </w:tcPr>
          <w:p w14:paraId="3D7FD55A" w14:textId="77777777" w:rsidR="00146578" w:rsidRPr="004F35D3" w:rsidRDefault="00146578" w:rsidP="00E31119">
            <w:pPr>
              <w:rPr>
                <w:lang w:val="lt-LT"/>
              </w:rPr>
            </w:pPr>
            <w:r w:rsidRPr="004F35D3">
              <w:rPr>
                <w:b/>
                <w:lang w:val="lt-LT"/>
              </w:rPr>
              <w:t>16</w:t>
            </w:r>
          </w:p>
        </w:tc>
        <w:tc>
          <w:tcPr>
            <w:tcW w:w="974" w:type="dxa"/>
            <w:tcBorders>
              <w:top w:val="single" w:sz="8" w:space="0" w:color="000000"/>
              <w:left w:val="single" w:sz="8" w:space="0" w:color="000000"/>
              <w:bottom w:val="single" w:sz="8" w:space="0" w:color="000000"/>
              <w:right w:val="single" w:sz="8" w:space="0" w:color="000000"/>
            </w:tcBorders>
          </w:tcPr>
          <w:p w14:paraId="6C28BB47" w14:textId="77777777" w:rsidR="00146578" w:rsidRPr="004F35D3" w:rsidRDefault="00146578" w:rsidP="00E31119">
            <w:pPr>
              <w:rPr>
                <w:lang w:val="lt-LT"/>
              </w:rPr>
            </w:pPr>
            <w:r w:rsidRPr="004F35D3">
              <w:rPr>
                <w:lang w:val="lt-LT"/>
              </w:rPr>
              <w:t>4,00</w:t>
            </w:r>
          </w:p>
        </w:tc>
        <w:tc>
          <w:tcPr>
            <w:tcW w:w="919" w:type="dxa"/>
            <w:tcBorders>
              <w:top w:val="single" w:sz="8" w:space="0" w:color="000000"/>
              <w:left w:val="single" w:sz="8" w:space="0" w:color="000000"/>
              <w:bottom w:val="single" w:sz="8" w:space="0" w:color="000000"/>
              <w:right w:val="single" w:sz="8" w:space="0" w:color="000000"/>
            </w:tcBorders>
          </w:tcPr>
          <w:p w14:paraId="71A58DF9" w14:textId="77777777" w:rsidR="00146578" w:rsidRPr="004F35D3" w:rsidRDefault="00146578" w:rsidP="00E31119">
            <w:pPr>
              <w:rPr>
                <w:lang w:val="lt-LT"/>
              </w:rPr>
            </w:pPr>
            <w:r w:rsidRPr="004F35D3">
              <w:rPr>
                <w:b/>
                <w:lang w:val="lt-LT"/>
              </w:rPr>
              <w:t>36</w:t>
            </w:r>
          </w:p>
        </w:tc>
        <w:tc>
          <w:tcPr>
            <w:tcW w:w="1001" w:type="dxa"/>
            <w:tcBorders>
              <w:top w:val="single" w:sz="8" w:space="0" w:color="000000"/>
              <w:left w:val="single" w:sz="8" w:space="0" w:color="000000"/>
              <w:bottom w:val="single" w:sz="8" w:space="0" w:color="000000"/>
              <w:right w:val="single" w:sz="8" w:space="0" w:color="000000"/>
            </w:tcBorders>
          </w:tcPr>
          <w:p w14:paraId="77447AF8" w14:textId="77777777" w:rsidR="00146578" w:rsidRPr="004F35D3" w:rsidRDefault="00146578" w:rsidP="00E31119">
            <w:pPr>
              <w:rPr>
                <w:lang w:val="lt-LT"/>
              </w:rPr>
            </w:pPr>
            <w:r w:rsidRPr="004F35D3">
              <w:rPr>
                <w:lang w:val="lt-LT"/>
              </w:rPr>
              <w:t>8,00</w:t>
            </w:r>
          </w:p>
        </w:tc>
        <w:tc>
          <w:tcPr>
            <w:tcW w:w="902" w:type="dxa"/>
            <w:tcBorders>
              <w:top w:val="single" w:sz="8" w:space="0" w:color="000000"/>
              <w:left w:val="single" w:sz="8" w:space="0" w:color="000000"/>
              <w:bottom w:val="single" w:sz="8" w:space="0" w:color="000000"/>
              <w:right w:val="single" w:sz="8" w:space="0" w:color="000000"/>
            </w:tcBorders>
          </w:tcPr>
          <w:p w14:paraId="192E837E" w14:textId="77777777" w:rsidR="00146578" w:rsidRPr="004F35D3" w:rsidRDefault="00146578" w:rsidP="00E31119">
            <w:pPr>
              <w:rPr>
                <w:lang w:val="lt-LT"/>
              </w:rPr>
            </w:pPr>
            <w:r w:rsidRPr="004F35D3">
              <w:rPr>
                <w:b/>
                <w:lang w:val="lt-LT"/>
              </w:rPr>
              <w:t>60-62</w:t>
            </w:r>
          </w:p>
        </w:tc>
        <w:tc>
          <w:tcPr>
            <w:tcW w:w="1030" w:type="dxa"/>
            <w:tcBorders>
              <w:top w:val="single" w:sz="8" w:space="0" w:color="000000"/>
              <w:left w:val="single" w:sz="8" w:space="0" w:color="000000"/>
              <w:bottom w:val="single" w:sz="8" w:space="0" w:color="000000"/>
              <w:right w:val="single" w:sz="8" w:space="0" w:color="000000"/>
            </w:tcBorders>
          </w:tcPr>
          <w:p w14:paraId="287734F1" w14:textId="77777777" w:rsidR="00146578" w:rsidRPr="004F35D3" w:rsidRDefault="00146578" w:rsidP="00E31119">
            <w:pPr>
              <w:rPr>
                <w:lang w:val="lt-LT"/>
              </w:rPr>
            </w:pPr>
            <w:r w:rsidRPr="004F35D3">
              <w:rPr>
                <w:lang w:val="lt-LT"/>
              </w:rPr>
              <w:t>12,71</w:t>
            </w:r>
          </w:p>
        </w:tc>
      </w:tr>
      <w:tr w:rsidR="00146578" w:rsidRPr="00491BF9" w14:paraId="13502005" w14:textId="77777777" w:rsidTr="00E31119">
        <w:trPr>
          <w:trHeight w:hRule="exact" w:val="274"/>
        </w:trPr>
        <w:tc>
          <w:tcPr>
            <w:tcW w:w="1056" w:type="dxa"/>
            <w:tcBorders>
              <w:top w:val="single" w:sz="8" w:space="0" w:color="000000"/>
              <w:left w:val="single" w:sz="8" w:space="0" w:color="000000"/>
              <w:bottom w:val="single" w:sz="8" w:space="0" w:color="000000"/>
              <w:right w:val="single" w:sz="8" w:space="0" w:color="000000"/>
            </w:tcBorders>
          </w:tcPr>
          <w:p w14:paraId="52B98671" w14:textId="77777777" w:rsidR="00146578" w:rsidRPr="004F35D3" w:rsidRDefault="00146578" w:rsidP="00E31119">
            <w:pPr>
              <w:rPr>
                <w:lang w:val="lt-LT"/>
              </w:rPr>
            </w:pPr>
            <w:r w:rsidRPr="004F35D3">
              <w:rPr>
                <w:b/>
                <w:lang w:val="lt-LT"/>
              </w:rPr>
              <w:t>18</w:t>
            </w:r>
          </w:p>
        </w:tc>
        <w:tc>
          <w:tcPr>
            <w:tcW w:w="974" w:type="dxa"/>
            <w:tcBorders>
              <w:top w:val="single" w:sz="8" w:space="0" w:color="000000"/>
              <w:left w:val="single" w:sz="8" w:space="0" w:color="000000"/>
              <w:bottom w:val="single" w:sz="8" w:space="0" w:color="000000"/>
              <w:right w:val="single" w:sz="8" w:space="0" w:color="000000"/>
            </w:tcBorders>
          </w:tcPr>
          <w:p w14:paraId="32677060" w14:textId="77777777" w:rsidR="00146578" w:rsidRPr="004F35D3" w:rsidRDefault="00146578" w:rsidP="00E31119">
            <w:pPr>
              <w:rPr>
                <w:lang w:val="lt-LT"/>
              </w:rPr>
            </w:pPr>
            <w:r w:rsidRPr="004F35D3">
              <w:rPr>
                <w:lang w:val="lt-LT"/>
              </w:rPr>
              <w:t>4,43</w:t>
            </w:r>
          </w:p>
        </w:tc>
        <w:tc>
          <w:tcPr>
            <w:tcW w:w="919" w:type="dxa"/>
            <w:tcBorders>
              <w:top w:val="single" w:sz="8" w:space="0" w:color="000000"/>
              <w:left w:val="single" w:sz="8" w:space="0" w:color="000000"/>
              <w:bottom w:val="single" w:sz="8" w:space="0" w:color="000000"/>
              <w:right w:val="single" w:sz="8" w:space="0" w:color="000000"/>
            </w:tcBorders>
          </w:tcPr>
          <w:p w14:paraId="454ED423" w14:textId="77777777" w:rsidR="00146578" w:rsidRPr="004F35D3" w:rsidRDefault="00146578" w:rsidP="00E31119">
            <w:pPr>
              <w:rPr>
                <w:lang w:val="lt-LT"/>
              </w:rPr>
            </w:pPr>
            <w:r w:rsidRPr="004F35D3">
              <w:rPr>
                <w:b/>
                <w:lang w:val="lt-LT"/>
              </w:rPr>
              <w:t>38</w:t>
            </w:r>
          </w:p>
        </w:tc>
        <w:tc>
          <w:tcPr>
            <w:tcW w:w="1001" w:type="dxa"/>
            <w:tcBorders>
              <w:top w:val="single" w:sz="8" w:space="0" w:color="000000"/>
              <w:left w:val="single" w:sz="8" w:space="0" w:color="000000"/>
              <w:bottom w:val="single" w:sz="8" w:space="0" w:color="000000"/>
              <w:right w:val="single" w:sz="8" w:space="0" w:color="000000"/>
            </w:tcBorders>
          </w:tcPr>
          <w:p w14:paraId="7C2D2491" w14:textId="77777777" w:rsidR="00146578" w:rsidRPr="004F35D3" w:rsidRDefault="00146578" w:rsidP="00E31119">
            <w:pPr>
              <w:rPr>
                <w:lang w:val="lt-LT"/>
              </w:rPr>
            </w:pPr>
            <w:r w:rsidRPr="004F35D3">
              <w:rPr>
                <w:lang w:val="lt-LT"/>
              </w:rPr>
              <w:t>8,43</w:t>
            </w:r>
          </w:p>
        </w:tc>
        <w:tc>
          <w:tcPr>
            <w:tcW w:w="902" w:type="dxa"/>
            <w:tcBorders>
              <w:top w:val="single" w:sz="8" w:space="0" w:color="000000"/>
              <w:left w:val="single" w:sz="8" w:space="0" w:color="000000"/>
              <w:bottom w:val="single" w:sz="8" w:space="0" w:color="000000"/>
              <w:right w:val="single" w:sz="8" w:space="0" w:color="000000"/>
            </w:tcBorders>
          </w:tcPr>
          <w:p w14:paraId="6AE0D76B" w14:textId="77777777" w:rsidR="00146578" w:rsidRPr="004F35D3" w:rsidRDefault="00146578" w:rsidP="00E31119">
            <w:pPr>
              <w:rPr>
                <w:lang w:val="lt-LT"/>
              </w:rPr>
            </w:pPr>
            <w:r w:rsidRPr="004F35D3">
              <w:rPr>
                <w:b/>
                <w:lang w:val="lt-LT"/>
              </w:rPr>
              <w:t>64-66</w:t>
            </w:r>
          </w:p>
        </w:tc>
        <w:tc>
          <w:tcPr>
            <w:tcW w:w="1030" w:type="dxa"/>
            <w:tcBorders>
              <w:top w:val="single" w:sz="8" w:space="0" w:color="000000"/>
              <w:left w:val="single" w:sz="8" w:space="0" w:color="000000"/>
              <w:bottom w:val="single" w:sz="8" w:space="0" w:color="000000"/>
              <w:right w:val="single" w:sz="8" w:space="0" w:color="000000"/>
            </w:tcBorders>
          </w:tcPr>
          <w:p w14:paraId="4EB510BE" w14:textId="77777777" w:rsidR="00146578" w:rsidRPr="004F35D3" w:rsidRDefault="00146578" w:rsidP="00E31119">
            <w:pPr>
              <w:rPr>
                <w:lang w:val="lt-LT"/>
              </w:rPr>
            </w:pPr>
            <w:r w:rsidRPr="004F35D3">
              <w:rPr>
                <w:lang w:val="lt-LT"/>
              </w:rPr>
              <w:t>13,43</w:t>
            </w:r>
          </w:p>
        </w:tc>
      </w:tr>
      <w:tr w:rsidR="00146578" w:rsidRPr="00491BF9" w14:paraId="47B7FB59" w14:textId="77777777" w:rsidTr="00E31119">
        <w:trPr>
          <w:trHeight w:hRule="exact" w:val="274"/>
        </w:trPr>
        <w:tc>
          <w:tcPr>
            <w:tcW w:w="1056" w:type="dxa"/>
            <w:tcBorders>
              <w:top w:val="single" w:sz="8" w:space="0" w:color="000000"/>
              <w:left w:val="single" w:sz="8" w:space="0" w:color="000000"/>
              <w:bottom w:val="single" w:sz="8" w:space="0" w:color="000000"/>
              <w:right w:val="single" w:sz="8" w:space="0" w:color="000000"/>
            </w:tcBorders>
          </w:tcPr>
          <w:p w14:paraId="03E90EE0" w14:textId="77777777" w:rsidR="00146578" w:rsidRPr="004F35D3" w:rsidRDefault="00146578" w:rsidP="00E31119">
            <w:pPr>
              <w:rPr>
                <w:lang w:val="lt-LT"/>
              </w:rPr>
            </w:pPr>
            <w:r w:rsidRPr="004F35D3">
              <w:rPr>
                <w:b/>
                <w:lang w:val="lt-LT"/>
              </w:rPr>
              <w:t>20</w:t>
            </w:r>
          </w:p>
        </w:tc>
        <w:tc>
          <w:tcPr>
            <w:tcW w:w="974" w:type="dxa"/>
            <w:tcBorders>
              <w:top w:val="single" w:sz="8" w:space="0" w:color="000000"/>
              <w:left w:val="single" w:sz="8" w:space="0" w:color="000000"/>
              <w:bottom w:val="single" w:sz="8" w:space="0" w:color="000000"/>
              <w:right w:val="single" w:sz="8" w:space="0" w:color="000000"/>
            </w:tcBorders>
          </w:tcPr>
          <w:p w14:paraId="1EEC5D8D" w14:textId="77777777" w:rsidR="00146578" w:rsidRPr="004F35D3" w:rsidRDefault="00146578" w:rsidP="00E31119">
            <w:pPr>
              <w:rPr>
                <w:lang w:val="lt-LT"/>
              </w:rPr>
            </w:pPr>
            <w:r w:rsidRPr="004F35D3">
              <w:rPr>
                <w:lang w:val="lt-LT"/>
              </w:rPr>
              <w:t>4,86</w:t>
            </w:r>
          </w:p>
        </w:tc>
        <w:tc>
          <w:tcPr>
            <w:tcW w:w="919" w:type="dxa"/>
            <w:tcBorders>
              <w:top w:val="single" w:sz="8" w:space="0" w:color="000000"/>
              <w:left w:val="single" w:sz="8" w:space="0" w:color="000000"/>
              <w:bottom w:val="single" w:sz="8" w:space="0" w:color="000000"/>
              <w:right w:val="single" w:sz="8" w:space="0" w:color="000000"/>
            </w:tcBorders>
          </w:tcPr>
          <w:p w14:paraId="6CCDAA36" w14:textId="77777777" w:rsidR="00146578" w:rsidRPr="004F35D3" w:rsidRDefault="00146578" w:rsidP="00E31119">
            <w:pPr>
              <w:rPr>
                <w:lang w:val="lt-LT"/>
              </w:rPr>
            </w:pPr>
            <w:r w:rsidRPr="004F35D3">
              <w:rPr>
                <w:b/>
                <w:lang w:val="lt-LT"/>
              </w:rPr>
              <w:t>40</w:t>
            </w:r>
          </w:p>
        </w:tc>
        <w:tc>
          <w:tcPr>
            <w:tcW w:w="1001" w:type="dxa"/>
            <w:tcBorders>
              <w:top w:val="single" w:sz="8" w:space="0" w:color="000000"/>
              <w:left w:val="single" w:sz="8" w:space="0" w:color="000000"/>
              <w:bottom w:val="single" w:sz="8" w:space="0" w:color="000000"/>
              <w:right w:val="single" w:sz="8" w:space="0" w:color="000000"/>
            </w:tcBorders>
          </w:tcPr>
          <w:p w14:paraId="2907B81A" w14:textId="77777777" w:rsidR="00146578" w:rsidRPr="004F35D3" w:rsidRDefault="00146578" w:rsidP="00E31119">
            <w:pPr>
              <w:rPr>
                <w:lang w:val="lt-LT"/>
              </w:rPr>
            </w:pPr>
            <w:r w:rsidRPr="004F35D3">
              <w:rPr>
                <w:lang w:val="lt-LT"/>
              </w:rPr>
              <w:t>8,86</w:t>
            </w:r>
          </w:p>
        </w:tc>
        <w:tc>
          <w:tcPr>
            <w:tcW w:w="902" w:type="dxa"/>
            <w:tcBorders>
              <w:top w:val="single" w:sz="8" w:space="0" w:color="000000"/>
              <w:left w:val="single" w:sz="8" w:space="0" w:color="000000"/>
              <w:bottom w:val="single" w:sz="8" w:space="0" w:color="000000"/>
              <w:right w:val="single" w:sz="8" w:space="0" w:color="000000"/>
            </w:tcBorders>
          </w:tcPr>
          <w:p w14:paraId="282E993C" w14:textId="77777777" w:rsidR="00146578" w:rsidRPr="004F35D3" w:rsidRDefault="00146578" w:rsidP="00E31119">
            <w:pPr>
              <w:rPr>
                <w:lang w:val="lt-LT"/>
              </w:rPr>
            </w:pPr>
            <w:r w:rsidRPr="004F35D3">
              <w:rPr>
                <w:b/>
                <w:lang w:val="lt-LT"/>
              </w:rPr>
              <w:t>68</w:t>
            </w:r>
          </w:p>
        </w:tc>
        <w:tc>
          <w:tcPr>
            <w:tcW w:w="1030" w:type="dxa"/>
            <w:tcBorders>
              <w:top w:val="single" w:sz="8" w:space="0" w:color="000000"/>
              <w:left w:val="single" w:sz="8" w:space="0" w:color="000000"/>
              <w:bottom w:val="single" w:sz="8" w:space="0" w:color="000000"/>
              <w:right w:val="single" w:sz="8" w:space="0" w:color="000000"/>
            </w:tcBorders>
          </w:tcPr>
          <w:p w14:paraId="1EB959D5" w14:textId="77777777" w:rsidR="00146578" w:rsidRPr="004F35D3" w:rsidRDefault="00146578" w:rsidP="00E31119">
            <w:pPr>
              <w:rPr>
                <w:lang w:val="lt-LT"/>
              </w:rPr>
            </w:pPr>
            <w:r w:rsidRPr="004F35D3">
              <w:rPr>
                <w:lang w:val="lt-LT"/>
              </w:rPr>
              <w:t>14,00</w:t>
            </w:r>
          </w:p>
        </w:tc>
      </w:tr>
    </w:tbl>
    <w:p w14:paraId="78325D4B" w14:textId="77777777" w:rsidR="00146578" w:rsidRPr="004F35D3" w:rsidRDefault="00146578" w:rsidP="00146578">
      <w:pPr>
        <w:rPr>
          <w:lang w:val="lt-LT"/>
        </w:rPr>
      </w:pPr>
    </w:p>
    <w:p w14:paraId="3F320FE4" w14:textId="77777777" w:rsidR="00146578" w:rsidRPr="004F35D3" w:rsidRDefault="00146578" w:rsidP="00146578">
      <w:pPr>
        <w:rPr>
          <w:u w:val="single"/>
          <w:lang w:val="lt-LT"/>
        </w:rPr>
      </w:pPr>
      <w:r w:rsidRPr="004F35D3">
        <w:rPr>
          <w:u w:val="single"/>
          <w:lang w:val="lt-LT"/>
        </w:rPr>
        <w:t>Vartojimo metodas</w:t>
      </w:r>
    </w:p>
    <w:p w14:paraId="7E986B3A" w14:textId="77777777" w:rsidR="00146578" w:rsidRPr="004F35D3" w:rsidRDefault="00146578" w:rsidP="00146578">
      <w:pPr>
        <w:rPr>
          <w:lang w:val="lt-LT"/>
        </w:rPr>
      </w:pPr>
      <w:r w:rsidRPr="00491BF9">
        <w:rPr>
          <w:lang w:val="lt-LT"/>
        </w:rPr>
        <w:t>Leisti į veną.</w:t>
      </w:r>
    </w:p>
    <w:p w14:paraId="38568243" w14:textId="77777777" w:rsidR="00146578" w:rsidRPr="004F35D3" w:rsidRDefault="00146578" w:rsidP="00146578">
      <w:pPr>
        <w:rPr>
          <w:lang w:val="lt-LT"/>
        </w:rPr>
      </w:pPr>
      <w:r w:rsidRPr="00491BF9">
        <w:rPr>
          <w:lang w:val="lt-LT"/>
        </w:rPr>
        <w:t>Dėl potencialaus audinių pažeidimo reikia stengtis visiškai išvengti šio radioaktyvaus preparato ekstravazacijos injekcijos metu.</w:t>
      </w:r>
    </w:p>
    <w:p w14:paraId="69D01749" w14:textId="77777777" w:rsidR="00146578" w:rsidRPr="004F35D3" w:rsidRDefault="00146578" w:rsidP="00146578">
      <w:pPr>
        <w:rPr>
          <w:lang w:val="lt-LT"/>
        </w:rPr>
      </w:pPr>
      <w:r w:rsidRPr="00491BF9">
        <w:rPr>
          <w:lang w:val="lt-LT"/>
        </w:rPr>
        <w:t>Daugiadoziam vartojimui.</w:t>
      </w:r>
    </w:p>
    <w:p w14:paraId="6F1A2847" w14:textId="77777777" w:rsidR="00146578" w:rsidRPr="004F35D3" w:rsidRDefault="00146578" w:rsidP="00146578">
      <w:pPr>
        <w:rPr>
          <w:i/>
          <w:lang w:val="lt-LT"/>
        </w:rPr>
      </w:pPr>
    </w:p>
    <w:p w14:paraId="5988270C" w14:textId="77777777" w:rsidR="00146578" w:rsidRPr="004F35D3" w:rsidRDefault="00146578" w:rsidP="00146578">
      <w:pPr>
        <w:rPr>
          <w:lang w:val="lt-LT"/>
        </w:rPr>
      </w:pPr>
      <w:r w:rsidRPr="00491BF9">
        <w:rPr>
          <w:i/>
          <w:lang w:val="lt-LT"/>
        </w:rPr>
        <w:t>Atsargumo priemonės prieš ruošiant ar vartojant šį vaistinį preparatą</w:t>
      </w:r>
    </w:p>
    <w:p w14:paraId="574EEFEB" w14:textId="77777777" w:rsidR="00146578" w:rsidRPr="004F35D3" w:rsidRDefault="00146578" w:rsidP="00146578">
      <w:pPr>
        <w:rPr>
          <w:lang w:val="lt-LT"/>
        </w:rPr>
      </w:pPr>
      <w:r w:rsidRPr="00491BF9">
        <w:rPr>
          <w:lang w:val="lt-LT"/>
        </w:rPr>
        <w:t>Prieš vartojant pacientui, šį vaistinį preparatą reikia paruošti.</w:t>
      </w:r>
      <w:r w:rsidRPr="004F35D3">
        <w:rPr>
          <w:lang w:val="lt-LT"/>
        </w:rPr>
        <w:t xml:space="preserve"> </w:t>
      </w:r>
      <w:r w:rsidRPr="00491BF9">
        <w:rPr>
          <w:lang w:val="lt-LT"/>
        </w:rPr>
        <w:t>Vaistinio preparato ruošimo ir radiocheminio grynumo kontrolės prieš vartojant instrukcija pateikiama 12 skyriuje.</w:t>
      </w:r>
    </w:p>
    <w:p w14:paraId="0A56EE2E" w14:textId="77777777" w:rsidR="00146578" w:rsidRPr="004F35D3" w:rsidRDefault="00146578" w:rsidP="00146578">
      <w:pPr>
        <w:rPr>
          <w:lang w:val="lt-LT"/>
        </w:rPr>
      </w:pPr>
    </w:p>
    <w:p w14:paraId="43FC0C17" w14:textId="77777777" w:rsidR="00146578" w:rsidRPr="004F35D3" w:rsidRDefault="00146578" w:rsidP="00146578">
      <w:pPr>
        <w:rPr>
          <w:lang w:val="lt-LT"/>
        </w:rPr>
      </w:pPr>
      <w:r w:rsidRPr="00491BF9">
        <w:rPr>
          <w:lang w:val="lt-LT"/>
        </w:rPr>
        <w:t>Kaip paruošti pacientą, žr. 4.4 skyrių.</w:t>
      </w:r>
    </w:p>
    <w:p w14:paraId="37689CBB" w14:textId="77777777" w:rsidR="00146578" w:rsidRPr="004F35D3" w:rsidRDefault="00146578" w:rsidP="00146578">
      <w:pPr>
        <w:rPr>
          <w:i/>
          <w:u w:val="single"/>
          <w:lang w:val="lt-LT"/>
        </w:rPr>
      </w:pPr>
    </w:p>
    <w:p w14:paraId="43518B9F" w14:textId="77777777" w:rsidR="00146578" w:rsidRPr="004F35D3" w:rsidRDefault="00146578" w:rsidP="00146578">
      <w:pPr>
        <w:rPr>
          <w:i/>
          <w:u w:val="single"/>
          <w:lang w:val="lt-LT"/>
        </w:rPr>
      </w:pPr>
      <w:r w:rsidRPr="00491BF9">
        <w:rPr>
          <w:i/>
          <w:u w:val="single"/>
          <w:lang w:val="lt-LT"/>
        </w:rPr>
        <w:t>Vaizdo gavimas</w:t>
      </w:r>
    </w:p>
    <w:p w14:paraId="2A663CDD" w14:textId="77777777" w:rsidR="00146578" w:rsidRPr="00491BF9" w:rsidRDefault="00146578" w:rsidP="00146578">
      <w:pPr>
        <w:rPr>
          <w:lang w:val="lt-LT"/>
        </w:rPr>
      </w:pPr>
    </w:p>
    <w:p w14:paraId="2F39A58E" w14:textId="77777777" w:rsidR="00146578" w:rsidRPr="00491BF9" w:rsidRDefault="00146578" w:rsidP="00146578">
      <w:pPr>
        <w:jc w:val="both"/>
        <w:rPr>
          <w:i/>
          <w:iCs/>
          <w:lang w:val="lt-LT"/>
        </w:rPr>
      </w:pPr>
      <w:r w:rsidRPr="00491BF9">
        <w:rPr>
          <w:i/>
          <w:iCs/>
          <w:lang w:val="lt-LT"/>
        </w:rPr>
        <w:t>Širdies skenavimas</w:t>
      </w:r>
    </w:p>
    <w:p w14:paraId="51910610" w14:textId="77777777" w:rsidR="00146578" w:rsidRPr="00491BF9" w:rsidRDefault="00146578" w:rsidP="00146578">
      <w:pPr>
        <w:rPr>
          <w:lang w:val="lt-LT"/>
        </w:rPr>
      </w:pPr>
      <w:r w:rsidRPr="00491BF9">
        <w:rPr>
          <w:lang w:val="lt-LT"/>
        </w:rPr>
        <w:t>Skenavimą reikia pradėti daryti praėjus apytikriai 30</w:t>
      </w:r>
      <w:r w:rsidRPr="00491BF9">
        <w:rPr>
          <w:lang w:val="lt-LT"/>
        </w:rPr>
        <w:noBreakHyphen/>
        <w:t>60 min. po injekcijos, tai leidžia preparatui išsiskirti su tulžimi. Kadangi skenuojant ramybėje ar streso būklėje naudojant vien kraujagysles plečiančius preparatus yra didesnė podiafragminio technecio (</w:t>
      </w:r>
      <w:r w:rsidRPr="00491BF9">
        <w:rPr>
          <w:vertAlign w:val="superscript"/>
          <w:lang w:val="lt-LT"/>
        </w:rPr>
        <w:t>99m</w:t>
      </w:r>
      <w:r w:rsidRPr="00491BF9">
        <w:rPr>
          <w:lang w:val="lt-LT"/>
        </w:rPr>
        <w:t>Tc) aktyvumo rizika, gali prireikti ilgesniam laikui atidėti tyrimą. Nėra duomenų apie reikšmingus širdies raumens radioaktyvaus žymens koncentracijos ar pasiskirstymo pokyčius, todėl skenavimą galima atlikti praėjus po injekcijos iki 6 valandų. Tyrimą galima atlikti naudojant vienos dienos ar dviejų dienų protokolą.</w:t>
      </w:r>
    </w:p>
    <w:p w14:paraId="43A2669C" w14:textId="77777777" w:rsidR="00146578" w:rsidRPr="00491BF9" w:rsidRDefault="00146578" w:rsidP="00146578">
      <w:pPr>
        <w:rPr>
          <w:lang w:val="lt-LT"/>
        </w:rPr>
      </w:pPr>
    </w:p>
    <w:p w14:paraId="48473D7F" w14:textId="77777777" w:rsidR="00146578" w:rsidRPr="00491BF9" w:rsidRDefault="00146578" w:rsidP="00146578">
      <w:pPr>
        <w:rPr>
          <w:lang w:val="lt-LT"/>
        </w:rPr>
      </w:pPr>
      <w:r w:rsidRPr="00491BF9">
        <w:rPr>
          <w:lang w:val="lt-LT"/>
        </w:rPr>
        <w:t>Pageidautina, kad būtų atliekamos tomografinės nuotraukos (SPECT) su EKG sinchronizavimu ar be jo.</w:t>
      </w:r>
    </w:p>
    <w:p w14:paraId="700F0E45" w14:textId="77777777" w:rsidR="00146578" w:rsidRPr="00491BF9" w:rsidRDefault="00146578" w:rsidP="00146578">
      <w:pPr>
        <w:rPr>
          <w:lang w:val="lt-LT"/>
        </w:rPr>
      </w:pPr>
    </w:p>
    <w:p w14:paraId="0CA364CE" w14:textId="77777777" w:rsidR="00146578" w:rsidRPr="00491BF9" w:rsidRDefault="00146578" w:rsidP="00146578">
      <w:pPr>
        <w:rPr>
          <w:i/>
          <w:lang w:val="lt-LT"/>
        </w:rPr>
      </w:pPr>
      <w:r w:rsidRPr="00491BF9">
        <w:rPr>
          <w:i/>
          <w:lang w:val="lt-LT"/>
        </w:rPr>
        <w:t>Scintimamografija</w:t>
      </w:r>
    </w:p>
    <w:p w14:paraId="735EF080" w14:textId="77777777" w:rsidR="00146578" w:rsidRPr="00491BF9" w:rsidRDefault="00146578" w:rsidP="00146578">
      <w:pPr>
        <w:rPr>
          <w:lang w:val="lt-LT"/>
        </w:rPr>
      </w:pPr>
      <w:r w:rsidRPr="00491BF9">
        <w:rPr>
          <w:lang w:val="lt-LT"/>
        </w:rPr>
        <w:t xml:space="preserve">Krūties skenogramas geriausia daryti praėjus nuo 5 iki 10 minučių po injekcijos pacientei gulint ir krūčiai laisvai judant. </w:t>
      </w:r>
    </w:p>
    <w:p w14:paraId="1C3D4B26" w14:textId="77777777" w:rsidR="00146578" w:rsidRPr="00491BF9" w:rsidRDefault="00146578" w:rsidP="00146578">
      <w:pPr>
        <w:rPr>
          <w:lang w:val="lt-LT"/>
        </w:rPr>
      </w:pPr>
    </w:p>
    <w:p w14:paraId="7678B2F7" w14:textId="77777777" w:rsidR="00146578" w:rsidRPr="00491BF9" w:rsidRDefault="00146578" w:rsidP="00146578">
      <w:pPr>
        <w:rPr>
          <w:lang w:val="lt-LT"/>
        </w:rPr>
      </w:pPr>
      <w:r w:rsidRPr="00491BF9">
        <w:rPr>
          <w:lang w:val="lt-LT"/>
        </w:rPr>
        <w:t>Preparatą reikia leisti į rankos veną kontralateraliai krūčiai su įtariama anomalija. Jei liga yra abiejose pusėse, pageidautina leisti į dorsalinę pėdos veną.</w:t>
      </w:r>
    </w:p>
    <w:p w14:paraId="0F76967C" w14:textId="77777777" w:rsidR="00146578" w:rsidRPr="00491BF9" w:rsidRDefault="00146578" w:rsidP="00146578">
      <w:pPr>
        <w:rPr>
          <w:lang w:val="lt-LT"/>
        </w:rPr>
      </w:pPr>
    </w:p>
    <w:p w14:paraId="5377C420" w14:textId="77777777" w:rsidR="00146578" w:rsidRPr="00491BF9" w:rsidRDefault="00146578" w:rsidP="00146578">
      <w:pPr>
        <w:rPr>
          <w:lang w:val="lt-LT"/>
        </w:rPr>
      </w:pPr>
      <w:r w:rsidRPr="00491BF9">
        <w:rPr>
          <w:lang w:val="lt-LT"/>
        </w:rPr>
        <w:t>Tradicinė gamos kamera</w:t>
      </w:r>
    </w:p>
    <w:p w14:paraId="34ABD87E" w14:textId="77777777" w:rsidR="00146578" w:rsidRPr="00491BF9" w:rsidRDefault="00146578" w:rsidP="00146578">
      <w:pPr>
        <w:rPr>
          <w:lang w:val="lt-LT"/>
        </w:rPr>
      </w:pPr>
      <w:r w:rsidRPr="00491BF9">
        <w:rPr>
          <w:lang w:val="lt-LT"/>
        </w:rPr>
        <w:t>Po to pacientės padėtis turėtų būti pakeista taip, kad kita krūtis atsipalaiduotų, ir padaryti šios krūties šoninę nuotrauką. Po to reikia padaryti priekinę nuotrauką atsilošus ir pacientei uždėjus rankas ant pakaušio.</w:t>
      </w:r>
    </w:p>
    <w:p w14:paraId="3F9D1D95" w14:textId="77777777" w:rsidR="00146578" w:rsidRPr="00491BF9" w:rsidRDefault="00146578" w:rsidP="00146578">
      <w:pPr>
        <w:rPr>
          <w:lang w:val="lt-LT"/>
        </w:rPr>
      </w:pPr>
    </w:p>
    <w:p w14:paraId="0984C5BC" w14:textId="5A01E86A" w:rsidR="00146578" w:rsidRPr="00491BF9" w:rsidRDefault="00B12DDA" w:rsidP="00146578">
      <w:pPr>
        <w:rPr>
          <w:lang w:val="lt-LT"/>
        </w:rPr>
      </w:pPr>
      <w:r>
        <w:rPr>
          <w:lang w:val="lt-LT"/>
        </w:rPr>
        <w:t>Kamera</w:t>
      </w:r>
      <w:r w:rsidR="00146578" w:rsidRPr="00491BF9">
        <w:rPr>
          <w:lang w:val="lt-LT"/>
        </w:rPr>
        <w:t>, skirta krūties skenavimui</w:t>
      </w:r>
    </w:p>
    <w:p w14:paraId="45A2604A" w14:textId="43EC1597" w:rsidR="00146578" w:rsidRPr="00491BF9" w:rsidRDefault="00146578" w:rsidP="00146578">
      <w:pPr>
        <w:rPr>
          <w:lang w:val="lt-LT"/>
        </w:rPr>
      </w:pPr>
      <w:r w:rsidRPr="00491BF9">
        <w:rPr>
          <w:lang w:val="lt-LT"/>
        </w:rPr>
        <w:t xml:space="preserve">Jei naudojama </w:t>
      </w:r>
      <w:r w:rsidR="00B12DDA">
        <w:rPr>
          <w:lang w:val="lt-LT"/>
        </w:rPr>
        <w:t>kamera</w:t>
      </w:r>
      <w:r w:rsidRPr="00491BF9">
        <w:rPr>
          <w:lang w:val="lt-LT"/>
        </w:rPr>
        <w:t>, skirta krūties skenavimui, reikia laikytis atitinkamo tam prietaisui taikomo protokolo, kad būtų užtikrinta geriausia įmanoma skenavimo kokybė.</w:t>
      </w:r>
    </w:p>
    <w:p w14:paraId="0154CA0F" w14:textId="77777777" w:rsidR="00146578" w:rsidRPr="00491BF9" w:rsidRDefault="00146578" w:rsidP="00146578">
      <w:pPr>
        <w:rPr>
          <w:lang w:val="lt-LT"/>
        </w:rPr>
      </w:pPr>
    </w:p>
    <w:p w14:paraId="2CD84664" w14:textId="77777777" w:rsidR="00146578" w:rsidRPr="00491BF9" w:rsidRDefault="00146578" w:rsidP="00146578">
      <w:pPr>
        <w:rPr>
          <w:i/>
          <w:iCs/>
          <w:lang w:val="lt-LT"/>
        </w:rPr>
      </w:pPr>
      <w:r w:rsidRPr="00491BF9">
        <w:rPr>
          <w:i/>
          <w:lang w:val="lt-LT"/>
        </w:rPr>
        <w:t>Prieskydinių liaukų skenavimas</w:t>
      </w:r>
    </w:p>
    <w:p w14:paraId="001132DD" w14:textId="77777777" w:rsidR="00146578" w:rsidRPr="00491BF9" w:rsidRDefault="00146578" w:rsidP="00146578">
      <w:pPr>
        <w:autoSpaceDE w:val="0"/>
        <w:autoSpaceDN w:val="0"/>
        <w:adjustRightInd w:val="0"/>
        <w:rPr>
          <w:lang w:val="lt-LT"/>
        </w:rPr>
      </w:pPr>
      <w:r w:rsidRPr="00491BF9">
        <w:rPr>
          <w:lang w:val="lt-LT"/>
        </w:rPr>
        <w:lastRenderedPageBreak/>
        <w:t>Prieskydinių liaukų vaizdo gavimas priklauso nuo pasirinkto protokolo. Dažniausiai naudojami subtrakcijos ir (arba) dviejų fazių tyrimo metodai, kurie gali būti taikomi kartu.</w:t>
      </w:r>
    </w:p>
    <w:p w14:paraId="2ED900AC" w14:textId="77777777" w:rsidR="00146578" w:rsidRPr="00491BF9" w:rsidRDefault="00146578" w:rsidP="00146578">
      <w:pPr>
        <w:autoSpaceDE w:val="0"/>
        <w:autoSpaceDN w:val="0"/>
        <w:adjustRightInd w:val="0"/>
        <w:rPr>
          <w:lang w:val="lt-LT"/>
        </w:rPr>
      </w:pPr>
    </w:p>
    <w:p w14:paraId="2E2BA8B1" w14:textId="77777777" w:rsidR="00B12DDA" w:rsidRDefault="00146578" w:rsidP="00146578">
      <w:pPr>
        <w:rPr>
          <w:lang w:val="lt-LT"/>
        </w:rPr>
      </w:pPr>
      <w:r w:rsidRPr="00491BF9">
        <w:rPr>
          <w:lang w:val="lt-LT"/>
        </w:rPr>
        <w:t>Naudojant subtrakcijos metodą, skydliaukei skenuoti galima naudoti natrio jodidą (</w:t>
      </w:r>
      <w:r w:rsidRPr="00491BF9">
        <w:rPr>
          <w:vertAlign w:val="superscript"/>
          <w:lang w:val="lt-LT"/>
        </w:rPr>
        <w:t>123</w:t>
      </w:r>
      <w:r w:rsidRPr="00491BF9">
        <w:rPr>
          <w:lang w:val="lt-LT"/>
        </w:rPr>
        <w:t>I) arba natrio pertechnetatą (</w:t>
      </w:r>
      <w:r w:rsidRPr="00491BF9">
        <w:rPr>
          <w:vertAlign w:val="superscript"/>
          <w:lang w:val="lt-LT"/>
        </w:rPr>
        <w:t>99m</w:t>
      </w:r>
      <w:r w:rsidRPr="00491BF9">
        <w:rPr>
          <w:lang w:val="lt-LT"/>
        </w:rPr>
        <w:t>Tc), nes šie radiofarmaciniai preparatai kaupiasi aktyvios skydliaukės audiniuose. Šis vaizdas atimamas iš Technetium (</w:t>
      </w:r>
      <w:r w:rsidRPr="00491BF9">
        <w:rPr>
          <w:vertAlign w:val="superscript"/>
          <w:lang w:val="lt-LT"/>
        </w:rPr>
        <w:t>99m</w:t>
      </w:r>
      <w:r w:rsidRPr="00491BF9">
        <w:rPr>
          <w:lang w:val="lt-LT"/>
        </w:rPr>
        <w:t>Tc) Sestamibi vaizdo ir po šios subtrakcijos lieka matomas patologiškai pernelyg aktyvus paratiroidinis audinys.</w:t>
      </w:r>
    </w:p>
    <w:p w14:paraId="7C9C709D" w14:textId="75E50039" w:rsidR="00655C0C" w:rsidRDefault="00146578" w:rsidP="00146578">
      <w:pPr>
        <w:rPr>
          <w:lang w:val="lt-LT"/>
        </w:rPr>
      </w:pPr>
      <w:r w:rsidRPr="00491BF9">
        <w:rPr>
          <w:lang w:val="lt-LT"/>
        </w:rPr>
        <w:t>Kai vartojamas natrio jodidas (</w:t>
      </w:r>
      <w:r w:rsidRPr="00491BF9">
        <w:rPr>
          <w:vertAlign w:val="superscript"/>
          <w:lang w:val="lt-LT"/>
        </w:rPr>
        <w:t>123</w:t>
      </w:r>
      <w:r w:rsidRPr="00491BF9">
        <w:rPr>
          <w:lang w:val="lt-LT"/>
        </w:rPr>
        <w:t xml:space="preserve">I), vaizdai gaunami </w:t>
      </w:r>
      <w:r w:rsidR="00B12DDA">
        <w:rPr>
          <w:lang w:val="lt-LT"/>
        </w:rPr>
        <w:t xml:space="preserve">tuo pat metu, </w:t>
      </w:r>
      <w:r w:rsidRPr="00491BF9">
        <w:rPr>
          <w:lang w:val="lt-LT"/>
        </w:rPr>
        <w:t xml:space="preserve">praėjus </w:t>
      </w:r>
      <w:r w:rsidR="00B12DDA">
        <w:rPr>
          <w:lang w:val="lt-LT"/>
        </w:rPr>
        <w:t xml:space="preserve">5 minutėms po </w:t>
      </w:r>
      <w:r w:rsidR="00B12DDA" w:rsidRPr="004F35D3">
        <w:rPr>
          <w:sz w:val="24"/>
          <w:szCs w:val="24"/>
          <w:lang w:val="lt-LT" w:eastAsia="da-DK"/>
        </w:rPr>
        <w:t>(</w:t>
      </w:r>
      <w:r w:rsidR="00B12DDA" w:rsidRPr="004F35D3">
        <w:rPr>
          <w:sz w:val="24"/>
          <w:szCs w:val="24"/>
          <w:vertAlign w:val="superscript"/>
          <w:lang w:val="lt-LT" w:eastAsia="da-DK"/>
        </w:rPr>
        <w:t>99m</w:t>
      </w:r>
      <w:r w:rsidR="00B12DDA" w:rsidRPr="004F35D3">
        <w:rPr>
          <w:sz w:val="24"/>
          <w:szCs w:val="24"/>
          <w:lang w:val="lt-LT" w:eastAsia="da-DK"/>
        </w:rPr>
        <w:t>Tc) Sestamibi</w:t>
      </w:r>
      <w:r w:rsidR="00B12DDA">
        <w:rPr>
          <w:lang w:val="lt-LT"/>
        </w:rPr>
        <w:t xml:space="preserve"> injekcijos. Vaizdai patikrinami vizualiai, </w:t>
      </w:r>
      <w:r w:rsidR="00655C0C">
        <w:rPr>
          <w:lang w:val="lt-LT"/>
        </w:rPr>
        <w:t xml:space="preserve">normalizuojami pagal skydliaukės rodiklius, </w:t>
      </w:r>
      <w:r w:rsidR="00B12DDA">
        <w:rPr>
          <w:lang w:val="lt-LT"/>
        </w:rPr>
        <w:t>tada atliekama su natrio jodidu gautų vaizd</w:t>
      </w:r>
      <w:r w:rsidR="00626801">
        <w:rPr>
          <w:lang w:val="lt-LT"/>
        </w:rPr>
        <w:t xml:space="preserve">ų </w:t>
      </w:r>
      <w:r w:rsidR="00B12DDA">
        <w:rPr>
          <w:lang w:val="lt-LT"/>
        </w:rPr>
        <w:t>subtrakcija</w:t>
      </w:r>
      <w:r w:rsidR="00655C0C">
        <w:rPr>
          <w:lang w:val="lt-LT"/>
        </w:rPr>
        <w:t xml:space="preserve"> </w:t>
      </w:r>
      <w:r w:rsidR="00655C0C" w:rsidRPr="006C65AB">
        <w:rPr>
          <w:lang w:val="lt-LT"/>
        </w:rPr>
        <w:t xml:space="preserve">iš </w:t>
      </w:r>
      <w:r w:rsidR="00655C0C" w:rsidRPr="004F35D3">
        <w:rPr>
          <w:szCs w:val="22"/>
          <w:lang w:val="lt-LT" w:eastAsia="da-DK"/>
        </w:rPr>
        <w:t>(</w:t>
      </w:r>
      <w:r w:rsidR="00655C0C" w:rsidRPr="004F35D3">
        <w:rPr>
          <w:szCs w:val="22"/>
          <w:vertAlign w:val="superscript"/>
          <w:lang w:val="lt-LT" w:eastAsia="da-DK"/>
        </w:rPr>
        <w:t>99m</w:t>
      </w:r>
      <w:r w:rsidR="00655C0C" w:rsidRPr="004F35D3">
        <w:rPr>
          <w:szCs w:val="22"/>
          <w:lang w:val="lt-LT" w:eastAsia="da-DK"/>
        </w:rPr>
        <w:t>Tc) Sestamibi</w:t>
      </w:r>
      <w:r w:rsidR="00655C0C" w:rsidRPr="004F35D3">
        <w:rPr>
          <w:sz w:val="20"/>
          <w:szCs w:val="18"/>
          <w:lang w:val="lt-LT"/>
        </w:rPr>
        <w:t xml:space="preserve"> </w:t>
      </w:r>
      <w:r w:rsidR="00655C0C">
        <w:rPr>
          <w:lang w:val="lt-LT"/>
        </w:rPr>
        <w:t>vaizdų.</w:t>
      </w:r>
    </w:p>
    <w:p w14:paraId="55FB810B" w14:textId="264507EF" w:rsidR="00146578" w:rsidRPr="00491BF9" w:rsidRDefault="00146578" w:rsidP="00146578">
      <w:pPr>
        <w:rPr>
          <w:lang w:val="lt-LT"/>
        </w:rPr>
      </w:pPr>
      <w:r w:rsidRPr="00491BF9">
        <w:rPr>
          <w:lang w:val="lt-LT"/>
        </w:rPr>
        <w:t>Kai vartojamas natrio pertechnetatas (</w:t>
      </w:r>
      <w:r w:rsidRPr="00491BF9">
        <w:rPr>
          <w:vertAlign w:val="superscript"/>
          <w:lang w:val="lt-LT"/>
        </w:rPr>
        <w:t>99m</w:t>
      </w:r>
      <w:r w:rsidRPr="00491BF9">
        <w:rPr>
          <w:lang w:val="lt-LT"/>
        </w:rPr>
        <w:t xml:space="preserve">Tc), </w:t>
      </w:r>
      <w:r w:rsidR="00655C0C">
        <w:rPr>
          <w:lang w:val="lt-LT"/>
        </w:rPr>
        <w:t xml:space="preserve">vaizdų gavimas su </w:t>
      </w:r>
      <w:r w:rsidR="00655C0C" w:rsidRPr="00491BF9">
        <w:rPr>
          <w:lang w:val="lt-LT"/>
        </w:rPr>
        <w:t>natrio pertechnetat</w:t>
      </w:r>
      <w:r w:rsidR="00655C0C">
        <w:rPr>
          <w:lang w:val="lt-LT"/>
        </w:rPr>
        <w:t>u</w:t>
      </w:r>
      <w:r w:rsidR="00655C0C" w:rsidRPr="00491BF9">
        <w:rPr>
          <w:lang w:val="lt-LT"/>
        </w:rPr>
        <w:t xml:space="preserve"> (</w:t>
      </w:r>
      <w:r w:rsidR="00655C0C" w:rsidRPr="00491BF9">
        <w:rPr>
          <w:vertAlign w:val="superscript"/>
          <w:lang w:val="lt-LT"/>
        </w:rPr>
        <w:t>99m</w:t>
      </w:r>
      <w:r w:rsidR="00655C0C" w:rsidRPr="00491BF9">
        <w:rPr>
          <w:lang w:val="lt-LT"/>
        </w:rPr>
        <w:t>Tc)</w:t>
      </w:r>
      <w:r w:rsidR="00655C0C">
        <w:rPr>
          <w:lang w:val="lt-LT"/>
        </w:rPr>
        <w:t xml:space="preserve"> pradedamas po injekcijos praėjus 20–30 minučių. Vaizdų gavimas su </w:t>
      </w:r>
      <w:r w:rsidR="00655C0C" w:rsidRPr="00491BF9">
        <w:rPr>
          <w:lang w:val="lt-LT"/>
        </w:rPr>
        <w:t>(</w:t>
      </w:r>
      <w:r w:rsidR="00655C0C" w:rsidRPr="00491BF9">
        <w:rPr>
          <w:vertAlign w:val="superscript"/>
          <w:lang w:val="lt-LT"/>
        </w:rPr>
        <w:t>99m</w:t>
      </w:r>
      <w:r w:rsidR="00655C0C" w:rsidRPr="00491BF9">
        <w:rPr>
          <w:lang w:val="lt-LT"/>
        </w:rPr>
        <w:t xml:space="preserve">Tc) Sestamibi </w:t>
      </w:r>
      <w:r w:rsidR="00655C0C">
        <w:rPr>
          <w:lang w:val="lt-LT"/>
        </w:rPr>
        <w:t xml:space="preserve">pradedamas po injekcijos pradėjus 10–15 minučių. Tada atliekama skaitmeninė arba kognityvinė </w:t>
      </w:r>
      <w:r w:rsidR="00655C0C" w:rsidRPr="00491BF9">
        <w:rPr>
          <w:lang w:val="lt-LT"/>
        </w:rPr>
        <w:t>natrio pertechnetat</w:t>
      </w:r>
      <w:r w:rsidR="00655C0C">
        <w:rPr>
          <w:lang w:val="lt-LT"/>
        </w:rPr>
        <w:t>o</w:t>
      </w:r>
      <w:r w:rsidR="00655C0C" w:rsidRPr="00491BF9">
        <w:rPr>
          <w:lang w:val="lt-LT"/>
        </w:rPr>
        <w:t xml:space="preserve"> (</w:t>
      </w:r>
      <w:r w:rsidR="00655C0C" w:rsidRPr="00491BF9">
        <w:rPr>
          <w:vertAlign w:val="superscript"/>
          <w:lang w:val="lt-LT"/>
        </w:rPr>
        <w:t>99m</w:t>
      </w:r>
      <w:r w:rsidR="00655C0C" w:rsidRPr="00491BF9">
        <w:rPr>
          <w:lang w:val="lt-LT"/>
        </w:rPr>
        <w:t>Tc)</w:t>
      </w:r>
      <w:r w:rsidR="00655C0C">
        <w:rPr>
          <w:lang w:val="lt-LT"/>
        </w:rPr>
        <w:t xml:space="preserve"> vaizdų subtrakcija iš </w:t>
      </w:r>
      <w:r w:rsidR="00655C0C" w:rsidRPr="00491BF9">
        <w:rPr>
          <w:lang w:val="lt-LT"/>
        </w:rPr>
        <w:t>(</w:t>
      </w:r>
      <w:r w:rsidR="00655C0C" w:rsidRPr="00491BF9">
        <w:rPr>
          <w:vertAlign w:val="superscript"/>
          <w:lang w:val="lt-LT"/>
        </w:rPr>
        <w:t>99m</w:t>
      </w:r>
      <w:r w:rsidR="00655C0C" w:rsidRPr="00491BF9">
        <w:rPr>
          <w:lang w:val="lt-LT"/>
        </w:rPr>
        <w:t xml:space="preserve">Tc) Sestamibi </w:t>
      </w:r>
      <w:r w:rsidR="00655C0C">
        <w:rPr>
          <w:lang w:val="lt-LT"/>
        </w:rPr>
        <w:t>vaizdų.</w:t>
      </w:r>
    </w:p>
    <w:p w14:paraId="2C925575" w14:textId="77777777" w:rsidR="00146578" w:rsidRPr="00491BF9" w:rsidRDefault="00146578" w:rsidP="00146578">
      <w:pPr>
        <w:rPr>
          <w:lang w:val="lt-LT"/>
        </w:rPr>
      </w:pPr>
    </w:p>
    <w:p w14:paraId="04E52C32" w14:textId="71072351" w:rsidR="00146578" w:rsidRPr="00491BF9" w:rsidRDefault="00655C0C" w:rsidP="00146578">
      <w:pPr>
        <w:rPr>
          <w:lang w:val="lt-LT"/>
        </w:rPr>
      </w:pPr>
      <w:r>
        <w:rPr>
          <w:lang w:val="lt-LT"/>
        </w:rPr>
        <w:t>Kai</w:t>
      </w:r>
      <w:r w:rsidRPr="00491BF9">
        <w:rPr>
          <w:lang w:val="lt-LT"/>
        </w:rPr>
        <w:t xml:space="preserve"> </w:t>
      </w:r>
      <w:r w:rsidR="00146578" w:rsidRPr="00491BF9">
        <w:rPr>
          <w:lang w:val="lt-LT"/>
        </w:rPr>
        <w:t xml:space="preserve">naudojamas dviejų fazių metodas, pirmoji kaklo ir </w:t>
      </w:r>
      <w:r w:rsidR="00323727" w:rsidRPr="00491BF9">
        <w:rPr>
          <w:lang w:val="lt-LT"/>
        </w:rPr>
        <w:t>tarpu</w:t>
      </w:r>
      <w:r w:rsidR="00323727">
        <w:rPr>
          <w:lang w:val="lt-LT"/>
        </w:rPr>
        <w:t>plaučio</w:t>
      </w:r>
      <w:r w:rsidR="00323727" w:rsidRPr="00491BF9">
        <w:rPr>
          <w:lang w:val="lt-LT"/>
        </w:rPr>
        <w:t xml:space="preserve"> </w:t>
      </w:r>
      <w:r w:rsidR="00146578" w:rsidRPr="00491BF9">
        <w:rPr>
          <w:lang w:val="lt-LT"/>
        </w:rPr>
        <w:t xml:space="preserve">nuotrauka padaroma po 10 minučių. Po išsivalymo, kuris trunka nuo 1 iki 2 valandų, vėl padaroma kaklo ir </w:t>
      </w:r>
      <w:r w:rsidR="00323727" w:rsidRPr="00491BF9">
        <w:rPr>
          <w:lang w:val="lt-LT"/>
        </w:rPr>
        <w:t>tarpu</w:t>
      </w:r>
      <w:r w:rsidR="00323727">
        <w:rPr>
          <w:lang w:val="lt-LT"/>
        </w:rPr>
        <w:t>plaučio</w:t>
      </w:r>
      <w:r w:rsidR="00323727" w:rsidRPr="00491BF9">
        <w:rPr>
          <w:lang w:val="lt-LT"/>
        </w:rPr>
        <w:t xml:space="preserve"> </w:t>
      </w:r>
      <w:r w:rsidR="00146578" w:rsidRPr="00491BF9">
        <w:rPr>
          <w:lang w:val="lt-LT"/>
        </w:rPr>
        <w:t>nuotrauka.</w:t>
      </w:r>
    </w:p>
    <w:p w14:paraId="66DD209A" w14:textId="77777777" w:rsidR="00146578" w:rsidRPr="00491BF9" w:rsidRDefault="00146578" w:rsidP="00146578">
      <w:pPr>
        <w:rPr>
          <w:lang w:val="lt-LT"/>
        </w:rPr>
      </w:pPr>
    </w:p>
    <w:p w14:paraId="4C3894C1" w14:textId="77777777" w:rsidR="00146578" w:rsidRPr="00491BF9" w:rsidRDefault="00146578" w:rsidP="00146578">
      <w:pPr>
        <w:rPr>
          <w:lang w:val="lt-LT"/>
        </w:rPr>
      </w:pPr>
      <w:r w:rsidRPr="00491BF9">
        <w:rPr>
          <w:lang w:val="lt-LT"/>
        </w:rPr>
        <w:t>Su planarinėmis nuotraukomis papildomai dar galima atlikti ankstyvąjį ir atidėtąjį SPECT arba SPECT/CT tyrimus.</w:t>
      </w:r>
    </w:p>
    <w:p w14:paraId="31AF7DAA" w14:textId="77777777" w:rsidR="00146578" w:rsidRPr="00491BF9" w:rsidRDefault="00146578" w:rsidP="00146578">
      <w:pPr>
        <w:rPr>
          <w:lang w:val="lt-LT"/>
        </w:rPr>
      </w:pPr>
    </w:p>
    <w:p w14:paraId="3474BC86" w14:textId="77777777" w:rsidR="00146578" w:rsidRPr="00491BF9" w:rsidRDefault="00146578" w:rsidP="00146578">
      <w:pPr>
        <w:ind w:left="567" w:hanging="567"/>
        <w:rPr>
          <w:lang w:val="lt-LT"/>
        </w:rPr>
      </w:pPr>
      <w:r w:rsidRPr="00491BF9">
        <w:rPr>
          <w:b/>
          <w:lang w:val="lt-LT"/>
        </w:rPr>
        <w:t>4.3</w:t>
      </w:r>
      <w:r w:rsidRPr="00491BF9">
        <w:rPr>
          <w:b/>
          <w:lang w:val="lt-LT"/>
        </w:rPr>
        <w:tab/>
        <w:t>Kontraindikacijos</w:t>
      </w:r>
    </w:p>
    <w:p w14:paraId="7D712B61" w14:textId="77777777" w:rsidR="00146578" w:rsidRPr="00491BF9" w:rsidRDefault="00146578" w:rsidP="00146578">
      <w:pPr>
        <w:rPr>
          <w:lang w:val="lt-LT"/>
        </w:rPr>
      </w:pPr>
    </w:p>
    <w:p w14:paraId="799A2C1C" w14:textId="39E2E0EC" w:rsidR="00146578" w:rsidRPr="00491BF9" w:rsidRDefault="00146578" w:rsidP="00146578">
      <w:pPr>
        <w:rPr>
          <w:lang w:val="lt-LT"/>
        </w:rPr>
      </w:pPr>
      <w:r w:rsidRPr="00491BF9">
        <w:rPr>
          <w:lang w:val="lt-LT"/>
        </w:rPr>
        <w:t xml:space="preserve">Padidėjęs jautrumas veikliajai </w:t>
      </w:r>
      <w:r w:rsidR="0073031A">
        <w:rPr>
          <w:lang w:val="lt-LT"/>
        </w:rPr>
        <w:t>medžiagai,</w:t>
      </w:r>
      <w:r w:rsidR="0073031A" w:rsidRPr="00491BF9">
        <w:rPr>
          <w:lang w:val="lt-LT"/>
        </w:rPr>
        <w:t xml:space="preserve"> </w:t>
      </w:r>
      <w:r w:rsidRPr="00491BF9">
        <w:rPr>
          <w:lang w:val="lt-LT"/>
        </w:rPr>
        <w:t xml:space="preserve">bet kuriai </w:t>
      </w:r>
      <w:r w:rsidRPr="004F35D3">
        <w:rPr>
          <w:szCs w:val="24"/>
          <w:lang w:val="lt-LT"/>
        </w:rPr>
        <w:t xml:space="preserve">6.1 skyriuje nurodytai </w:t>
      </w:r>
      <w:r w:rsidRPr="00491BF9">
        <w:rPr>
          <w:lang w:val="lt-LT"/>
        </w:rPr>
        <w:t>pagalbinei medžiagai</w:t>
      </w:r>
      <w:r w:rsidR="0073031A">
        <w:rPr>
          <w:lang w:val="lt-LT"/>
        </w:rPr>
        <w:t xml:space="preserve"> arba bet kuriai žymėto radiofarmacinio preparato sudėtinei daliai</w:t>
      </w:r>
      <w:r w:rsidRPr="00491BF9">
        <w:rPr>
          <w:lang w:val="lt-LT"/>
        </w:rPr>
        <w:t>.</w:t>
      </w:r>
    </w:p>
    <w:p w14:paraId="2A9B2263" w14:textId="77777777" w:rsidR="00146578" w:rsidRPr="00491BF9" w:rsidRDefault="00146578" w:rsidP="00146578">
      <w:pPr>
        <w:rPr>
          <w:lang w:val="lt-LT"/>
        </w:rPr>
      </w:pPr>
    </w:p>
    <w:p w14:paraId="1C82FF51" w14:textId="77777777" w:rsidR="00146578" w:rsidRPr="00491BF9" w:rsidRDefault="00146578" w:rsidP="00146578">
      <w:pPr>
        <w:rPr>
          <w:lang w:val="lt-LT"/>
        </w:rPr>
      </w:pPr>
      <w:r w:rsidRPr="00491BF9">
        <w:rPr>
          <w:lang w:val="lt-LT"/>
        </w:rPr>
        <w:t>Atliekant miokardo scintigrafiją streso sąlygomis reikia atsižvelgti į bendrąsias kontraindikacijas ir atsargumo priemones, susijusias su ergometrinio ar farmakologinio streso indukcija.</w:t>
      </w:r>
    </w:p>
    <w:p w14:paraId="6889879C" w14:textId="77777777" w:rsidR="00146578" w:rsidRPr="00491BF9" w:rsidRDefault="00146578" w:rsidP="00146578">
      <w:pPr>
        <w:rPr>
          <w:lang w:val="lt-LT"/>
        </w:rPr>
      </w:pPr>
    </w:p>
    <w:p w14:paraId="7F246CEB" w14:textId="77777777" w:rsidR="00146578" w:rsidRPr="00491BF9" w:rsidRDefault="00146578" w:rsidP="00146578">
      <w:pPr>
        <w:ind w:left="567" w:hanging="567"/>
        <w:rPr>
          <w:lang w:val="lt-LT"/>
        </w:rPr>
      </w:pPr>
      <w:r w:rsidRPr="00491BF9">
        <w:rPr>
          <w:b/>
          <w:lang w:val="lt-LT"/>
        </w:rPr>
        <w:t>4.4</w:t>
      </w:r>
      <w:r w:rsidRPr="00491BF9">
        <w:rPr>
          <w:b/>
          <w:lang w:val="lt-LT"/>
        </w:rPr>
        <w:tab/>
        <w:t>Specialūs įspėjimai ir atsargumo priemonės</w:t>
      </w:r>
    </w:p>
    <w:p w14:paraId="3373803D" w14:textId="77777777" w:rsidR="00146578" w:rsidRPr="00491BF9" w:rsidRDefault="00146578" w:rsidP="00146578">
      <w:pPr>
        <w:rPr>
          <w:lang w:val="lt-LT"/>
        </w:rPr>
      </w:pPr>
    </w:p>
    <w:p w14:paraId="710B6A37" w14:textId="77777777" w:rsidR="00146578" w:rsidRPr="00491BF9" w:rsidRDefault="00146578" w:rsidP="00146578">
      <w:pPr>
        <w:autoSpaceDE w:val="0"/>
        <w:autoSpaceDN w:val="0"/>
        <w:adjustRightInd w:val="0"/>
        <w:rPr>
          <w:lang w:val="lt-LT"/>
        </w:rPr>
      </w:pPr>
      <w:r w:rsidRPr="00491BF9">
        <w:rPr>
          <w:u w:val="single"/>
          <w:lang w:val="lt-LT"/>
        </w:rPr>
        <w:t>Padidėjusio jautrumo arba anafilaksinių reakcijų galimybė</w:t>
      </w:r>
    </w:p>
    <w:p w14:paraId="5DF6B9D0" w14:textId="77777777" w:rsidR="00146578" w:rsidRPr="00491BF9" w:rsidRDefault="00146578" w:rsidP="00146578">
      <w:pPr>
        <w:autoSpaceDE w:val="0"/>
        <w:autoSpaceDN w:val="0"/>
        <w:adjustRightInd w:val="0"/>
        <w:rPr>
          <w:lang w:val="lt-LT"/>
        </w:rPr>
      </w:pPr>
      <w:r w:rsidRPr="00491BF9">
        <w:rPr>
          <w:lang w:val="lt-LT"/>
        </w:rPr>
        <w:t>Jei atsiranda padidėjusio jautrumo ar anafilaktoidinės reakcijos, šio preparato vartojimą reikia nedelsiant nutraukti ir, esant reikalui, turi būti pradėtas intraveninis gydymas. Norint nedelsiant pradėti veikti kritinėje situacijoje, turi būti parengti būti medikamentai ir tokia įranga, kaip endotrachėjinis vamzdelis ir plaučių ventiliatorius.</w:t>
      </w:r>
    </w:p>
    <w:p w14:paraId="5D4347E3" w14:textId="77777777" w:rsidR="00146578" w:rsidRPr="00491BF9" w:rsidRDefault="00146578" w:rsidP="00146578">
      <w:pPr>
        <w:autoSpaceDE w:val="0"/>
        <w:autoSpaceDN w:val="0"/>
        <w:adjustRightInd w:val="0"/>
        <w:rPr>
          <w:lang w:val="lt-LT"/>
        </w:rPr>
      </w:pPr>
    </w:p>
    <w:p w14:paraId="7929BBCF" w14:textId="77777777" w:rsidR="00146578" w:rsidRPr="00491BF9" w:rsidRDefault="00146578" w:rsidP="00146578">
      <w:pPr>
        <w:rPr>
          <w:lang w:val="lt-LT"/>
        </w:rPr>
      </w:pPr>
      <w:r w:rsidRPr="00491BF9">
        <w:rPr>
          <w:u w:val="single"/>
          <w:lang w:val="lt-LT"/>
        </w:rPr>
        <w:t>Individualios naudos / rizikos pagrindimas</w:t>
      </w:r>
    </w:p>
    <w:p w14:paraId="5116E710" w14:textId="77777777" w:rsidR="00146578" w:rsidRPr="00491BF9" w:rsidRDefault="00146578" w:rsidP="00146578">
      <w:pPr>
        <w:rPr>
          <w:lang w:val="lt-LT"/>
        </w:rPr>
      </w:pPr>
      <w:r w:rsidRPr="00491BF9">
        <w:rPr>
          <w:lang w:val="lt-LT"/>
        </w:rPr>
        <w:t>Kiekvienam pacientui spinduliuotės poveikis turi būti pagrįstas galima nauda. Skiriamas aktyvumas kiekvienu atveju turi būti kiek įmanoma mažas, tačiau pakankamas gauti laukiamą diagnostinę informaciją.</w:t>
      </w:r>
    </w:p>
    <w:p w14:paraId="76AB3C2F" w14:textId="77777777" w:rsidR="00146578" w:rsidRPr="00491BF9" w:rsidRDefault="00146578" w:rsidP="00146578">
      <w:pPr>
        <w:rPr>
          <w:u w:val="single"/>
          <w:lang w:val="lt-LT"/>
        </w:rPr>
      </w:pPr>
    </w:p>
    <w:p w14:paraId="2230BC14" w14:textId="77777777" w:rsidR="00146578" w:rsidRPr="00491BF9" w:rsidRDefault="00146578" w:rsidP="00146578">
      <w:pPr>
        <w:rPr>
          <w:lang w:val="lt-LT"/>
        </w:rPr>
      </w:pPr>
      <w:r w:rsidRPr="00491BF9">
        <w:rPr>
          <w:u w:val="single"/>
          <w:lang w:val="lt-LT"/>
        </w:rPr>
        <w:t>Inkstų</w:t>
      </w:r>
      <w:r w:rsidRPr="00491BF9">
        <w:rPr>
          <w:spacing w:val="-4"/>
          <w:u w:val="single"/>
          <w:lang w:val="lt-LT"/>
        </w:rPr>
        <w:t xml:space="preserve"> </w:t>
      </w:r>
      <w:r w:rsidRPr="00491BF9">
        <w:rPr>
          <w:u w:val="single"/>
          <w:lang w:val="lt-LT"/>
        </w:rPr>
        <w:t>arba</w:t>
      </w:r>
      <w:r w:rsidRPr="00491BF9">
        <w:rPr>
          <w:spacing w:val="-5"/>
          <w:u w:val="single"/>
          <w:lang w:val="lt-LT"/>
        </w:rPr>
        <w:t xml:space="preserve"> </w:t>
      </w:r>
      <w:r w:rsidRPr="00491BF9">
        <w:rPr>
          <w:u w:val="single"/>
          <w:lang w:val="lt-LT"/>
        </w:rPr>
        <w:t>kepenų</w:t>
      </w:r>
      <w:r w:rsidRPr="00491BF9">
        <w:rPr>
          <w:spacing w:val="-5"/>
          <w:u w:val="single"/>
          <w:lang w:val="lt-LT"/>
        </w:rPr>
        <w:t xml:space="preserve"> </w:t>
      </w:r>
      <w:r w:rsidRPr="00491BF9">
        <w:rPr>
          <w:u w:val="single"/>
          <w:lang w:val="lt-LT"/>
        </w:rPr>
        <w:t>sutrikimas</w:t>
      </w:r>
    </w:p>
    <w:p w14:paraId="42AC1F69" w14:textId="77777777" w:rsidR="00146578" w:rsidRPr="00491BF9" w:rsidRDefault="00146578" w:rsidP="00146578">
      <w:pPr>
        <w:autoSpaceDE w:val="0"/>
        <w:autoSpaceDN w:val="0"/>
        <w:adjustRightInd w:val="0"/>
        <w:rPr>
          <w:lang w:val="lt-LT"/>
        </w:rPr>
      </w:pPr>
      <w:r w:rsidRPr="00491BF9">
        <w:rPr>
          <w:lang w:val="lt-LT"/>
        </w:rPr>
        <w:t>Reikia labai atidžiai apsvarstyti naudos ir rizikos santykį šiems pacientams, nes radiacijos poveikis gali būti stipresnis (žr. 4.2 skyrių).</w:t>
      </w:r>
    </w:p>
    <w:p w14:paraId="603DD84F" w14:textId="77777777" w:rsidR="00146578" w:rsidRPr="00491BF9" w:rsidRDefault="00146578" w:rsidP="00146578">
      <w:pPr>
        <w:autoSpaceDE w:val="0"/>
        <w:autoSpaceDN w:val="0"/>
        <w:adjustRightInd w:val="0"/>
        <w:rPr>
          <w:lang w:val="lt-LT"/>
        </w:rPr>
      </w:pPr>
    </w:p>
    <w:p w14:paraId="3FA02E62" w14:textId="77777777" w:rsidR="00146578" w:rsidRPr="00491BF9" w:rsidRDefault="00146578" w:rsidP="00146578">
      <w:pPr>
        <w:autoSpaceDE w:val="0"/>
        <w:autoSpaceDN w:val="0"/>
        <w:adjustRightInd w:val="0"/>
        <w:rPr>
          <w:lang w:val="lt-LT"/>
        </w:rPr>
      </w:pPr>
      <w:r w:rsidRPr="00491BF9">
        <w:rPr>
          <w:u w:val="single"/>
          <w:lang w:val="lt-LT"/>
        </w:rPr>
        <w:t>Vaikų populiacija</w:t>
      </w:r>
    </w:p>
    <w:p w14:paraId="7F203DB7" w14:textId="77777777" w:rsidR="00146578" w:rsidRPr="00491BF9" w:rsidRDefault="00146578" w:rsidP="00146578">
      <w:pPr>
        <w:autoSpaceDE w:val="0"/>
        <w:autoSpaceDN w:val="0"/>
        <w:adjustRightInd w:val="0"/>
        <w:rPr>
          <w:lang w:val="lt-LT"/>
        </w:rPr>
      </w:pPr>
      <w:r w:rsidRPr="00491BF9">
        <w:rPr>
          <w:lang w:val="lt-LT"/>
        </w:rPr>
        <w:t>Vartojimo vaikams informacija pateikiama 4.2 skyriuje.</w:t>
      </w:r>
    </w:p>
    <w:p w14:paraId="12EC86B3" w14:textId="77777777" w:rsidR="00146578" w:rsidRPr="00491BF9" w:rsidRDefault="00146578" w:rsidP="00146578">
      <w:pPr>
        <w:autoSpaceDE w:val="0"/>
        <w:autoSpaceDN w:val="0"/>
        <w:adjustRightInd w:val="0"/>
        <w:rPr>
          <w:lang w:val="lt-LT"/>
        </w:rPr>
      </w:pPr>
      <w:r w:rsidRPr="00491BF9">
        <w:rPr>
          <w:lang w:val="lt-LT"/>
        </w:rPr>
        <w:t>Reikia atidžiai apsvarstyti indikaciją, nes veiksminga dozė vienam MBq yra didesnė nei suaugusiesiems (žr. 11 skyrių).</w:t>
      </w:r>
    </w:p>
    <w:p w14:paraId="16F84630" w14:textId="77777777" w:rsidR="00146578" w:rsidRPr="00491BF9" w:rsidRDefault="00146578" w:rsidP="00146578">
      <w:pPr>
        <w:autoSpaceDE w:val="0"/>
        <w:autoSpaceDN w:val="0"/>
        <w:adjustRightInd w:val="0"/>
        <w:rPr>
          <w:lang w:val="lt-LT"/>
        </w:rPr>
      </w:pPr>
    </w:p>
    <w:p w14:paraId="4DA96C04" w14:textId="77777777" w:rsidR="00146578" w:rsidRPr="00491BF9" w:rsidRDefault="00146578" w:rsidP="00146578">
      <w:pPr>
        <w:autoSpaceDE w:val="0"/>
        <w:autoSpaceDN w:val="0"/>
        <w:adjustRightInd w:val="0"/>
        <w:rPr>
          <w:lang w:val="lt-LT"/>
        </w:rPr>
      </w:pPr>
      <w:r w:rsidRPr="00491BF9">
        <w:rPr>
          <w:u w:val="single"/>
          <w:lang w:val="lt-LT"/>
        </w:rPr>
        <w:t>Paciento paruošimas</w:t>
      </w:r>
    </w:p>
    <w:p w14:paraId="77A1A15A" w14:textId="77777777" w:rsidR="00146578" w:rsidRPr="00491BF9" w:rsidRDefault="00146578" w:rsidP="00146578">
      <w:pPr>
        <w:autoSpaceDE w:val="0"/>
        <w:autoSpaceDN w:val="0"/>
        <w:adjustRightInd w:val="0"/>
        <w:rPr>
          <w:lang w:val="lt-LT"/>
        </w:rPr>
      </w:pPr>
      <w:r w:rsidRPr="00491BF9">
        <w:rPr>
          <w:lang w:val="lt-LT"/>
        </w:rPr>
        <w:t>Siekiant sumažinti apšvitą, prieš pradedant tyrimą, pacientui būtina naudoti daug skysčių ir pirmąsias valandas po tyrimo kiek galima dažniau šlapintis.</w:t>
      </w:r>
    </w:p>
    <w:p w14:paraId="0EB7F9FA" w14:textId="77777777" w:rsidR="00146578" w:rsidRPr="00491BF9" w:rsidRDefault="00146578" w:rsidP="00146578">
      <w:pPr>
        <w:autoSpaceDE w:val="0"/>
        <w:autoSpaceDN w:val="0"/>
        <w:adjustRightInd w:val="0"/>
        <w:rPr>
          <w:lang w:val="lt-LT"/>
        </w:rPr>
      </w:pPr>
    </w:p>
    <w:p w14:paraId="42FD9E19" w14:textId="77777777" w:rsidR="00146578" w:rsidRPr="00491BF9" w:rsidRDefault="00146578" w:rsidP="00146578">
      <w:pPr>
        <w:autoSpaceDE w:val="0"/>
        <w:autoSpaceDN w:val="0"/>
        <w:adjustRightInd w:val="0"/>
        <w:rPr>
          <w:lang w:val="lt-LT"/>
        </w:rPr>
      </w:pPr>
      <w:r w:rsidRPr="00491BF9">
        <w:rPr>
          <w:u w:val="single"/>
          <w:lang w:val="lt-LT"/>
        </w:rPr>
        <w:t>Širdies skenavimas</w:t>
      </w:r>
    </w:p>
    <w:p w14:paraId="16A6FA5A" w14:textId="77777777" w:rsidR="00146578" w:rsidRPr="00491BF9" w:rsidRDefault="00146578" w:rsidP="00146578">
      <w:pPr>
        <w:autoSpaceDE w:val="0"/>
        <w:autoSpaceDN w:val="0"/>
        <w:adjustRightInd w:val="0"/>
        <w:rPr>
          <w:lang w:val="lt-LT"/>
        </w:rPr>
      </w:pPr>
      <w:r w:rsidRPr="00491BF9">
        <w:rPr>
          <w:lang w:val="lt-LT"/>
        </w:rPr>
        <w:lastRenderedPageBreak/>
        <w:t>Jei įmanoma, pacientas turi būti nevalgęs bent keturias valandas prieš tyrimą. Rekomenduojama, kad po kiekvienos injekcijos prieš skenavimą pacientai pavalgytų riebaus maisto ir išgertų stiklinę ar dvi pieno. Tai paskatins greitą Technetium (</w:t>
      </w:r>
      <w:r w:rsidRPr="00491BF9">
        <w:rPr>
          <w:vertAlign w:val="superscript"/>
          <w:lang w:val="lt-LT"/>
        </w:rPr>
        <w:t>99m</w:t>
      </w:r>
      <w:r w:rsidRPr="00491BF9">
        <w:rPr>
          <w:lang w:val="lt-LT"/>
        </w:rPr>
        <w:t>Tc) Sestamibi išsiskyrimą su tulžimi ir sumažins kepenų spindulinę apkrovą tyrimo metu.</w:t>
      </w:r>
    </w:p>
    <w:p w14:paraId="1EDF1D4C" w14:textId="77777777" w:rsidR="00146578" w:rsidRPr="00491BF9" w:rsidRDefault="00146578" w:rsidP="00146578">
      <w:pPr>
        <w:autoSpaceDE w:val="0"/>
        <w:autoSpaceDN w:val="0"/>
        <w:adjustRightInd w:val="0"/>
        <w:rPr>
          <w:lang w:val="lt-LT"/>
        </w:rPr>
      </w:pPr>
    </w:p>
    <w:p w14:paraId="7073B4D6" w14:textId="77777777" w:rsidR="00146578" w:rsidRPr="00491BF9" w:rsidRDefault="00146578" w:rsidP="00146578">
      <w:pPr>
        <w:autoSpaceDE w:val="0"/>
        <w:autoSpaceDN w:val="0"/>
        <w:adjustRightInd w:val="0"/>
        <w:rPr>
          <w:lang w:val="lt-LT"/>
        </w:rPr>
      </w:pPr>
      <w:r w:rsidRPr="00491BF9">
        <w:rPr>
          <w:u w:val="single"/>
          <w:lang w:val="lt-LT"/>
        </w:rPr>
        <w:t>Technetium (</w:t>
      </w:r>
      <w:r w:rsidRPr="00491BF9">
        <w:rPr>
          <w:u w:val="single"/>
          <w:vertAlign w:val="superscript"/>
          <w:lang w:val="lt-LT"/>
        </w:rPr>
        <w:t>99m</w:t>
      </w:r>
      <w:r w:rsidRPr="00491BF9">
        <w:rPr>
          <w:u w:val="single"/>
          <w:lang w:val="lt-LT"/>
        </w:rPr>
        <w:t>Tc) Sestamibi vaizdų interpretacija</w:t>
      </w:r>
    </w:p>
    <w:p w14:paraId="21ED79D8" w14:textId="77777777" w:rsidR="00146578" w:rsidRPr="00491BF9" w:rsidRDefault="00146578" w:rsidP="00146578">
      <w:pPr>
        <w:autoSpaceDE w:val="0"/>
        <w:autoSpaceDN w:val="0"/>
        <w:adjustRightInd w:val="0"/>
        <w:rPr>
          <w:lang w:val="lt-LT"/>
        </w:rPr>
      </w:pPr>
    </w:p>
    <w:p w14:paraId="2E680FF0" w14:textId="77777777" w:rsidR="00146578" w:rsidRPr="00491BF9" w:rsidRDefault="00146578" w:rsidP="00146578">
      <w:pPr>
        <w:tabs>
          <w:tab w:val="left" w:pos="540"/>
        </w:tabs>
        <w:rPr>
          <w:lang w:val="lt-LT"/>
        </w:rPr>
      </w:pPr>
      <w:r w:rsidRPr="00491BF9">
        <w:rPr>
          <w:lang w:val="lt-LT"/>
        </w:rPr>
        <w:t>Scintimamografijos interpretacija</w:t>
      </w:r>
    </w:p>
    <w:p w14:paraId="69383411" w14:textId="77777777" w:rsidR="00146578" w:rsidRPr="00491BF9" w:rsidRDefault="00146578" w:rsidP="00146578">
      <w:pPr>
        <w:tabs>
          <w:tab w:val="left" w:pos="540"/>
        </w:tabs>
        <w:rPr>
          <w:lang w:val="lt-LT"/>
        </w:rPr>
      </w:pPr>
      <w:r w:rsidRPr="00491BF9">
        <w:rPr>
          <w:lang w:val="lt-LT"/>
        </w:rPr>
        <w:t>Mažesni nei 1 cm diametro krūties dariniai ne visada gali būti aptikti naudojant scintimamografiją, kadangi Technetium (</w:t>
      </w:r>
      <w:r w:rsidRPr="00491BF9">
        <w:rPr>
          <w:vertAlign w:val="superscript"/>
          <w:lang w:val="lt-LT"/>
        </w:rPr>
        <w:t>99m</w:t>
      </w:r>
      <w:r w:rsidRPr="00491BF9">
        <w:rPr>
          <w:lang w:val="lt-LT"/>
        </w:rPr>
        <w:t>Tc) Sestamibi jautrumas aptinkant tokius darinius mažas. Neigiamas tyrimo rezultatas neleidžia paneigti krūties vėžio diagnozės, ypač jei dariniai tokie maži.</w:t>
      </w:r>
    </w:p>
    <w:p w14:paraId="2C324DC3" w14:textId="77777777" w:rsidR="00146578" w:rsidRPr="00491BF9" w:rsidRDefault="00146578" w:rsidP="00146578">
      <w:pPr>
        <w:rPr>
          <w:lang w:val="lt-LT"/>
        </w:rPr>
      </w:pPr>
    </w:p>
    <w:p w14:paraId="20DE06A9" w14:textId="77777777" w:rsidR="00146578" w:rsidRPr="00491BF9" w:rsidRDefault="00146578" w:rsidP="00146578">
      <w:pPr>
        <w:rPr>
          <w:lang w:val="lt-LT"/>
        </w:rPr>
      </w:pPr>
      <w:r w:rsidRPr="00491BF9">
        <w:rPr>
          <w:u w:val="single"/>
          <w:lang w:val="lt-LT"/>
        </w:rPr>
        <w:t>Po procedūros</w:t>
      </w:r>
    </w:p>
    <w:p w14:paraId="00B24C8D" w14:textId="77777777" w:rsidR="00146578" w:rsidRPr="00491BF9" w:rsidRDefault="00146578" w:rsidP="00146578">
      <w:pPr>
        <w:rPr>
          <w:lang w:val="lt-LT"/>
        </w:rPr>
      </w:pPr>
      <w:r w:rsidRPr="00491BF9">
        <w:rPr>
          <w:lang w:val="lt-LT"/>
        </w:rPr>
        <w:t>Pirmąją parą po injekcijos artimas kontaktas su kūdikiais ir nėščiomis moterimis turi būti apribotas.</w:t>
      </w:r>
    </w:p>
    <w:p w14:paraId="532F77D1" w14:textId="77777777" w:rsidR="00146578" w:rsidRPr="00491BF9" w:rsidRDefault="00146578" w:rsidP="00146578">
      <w:pPr>
        <w:rPr>
          <w:lang w:val="lt-LT"/>
        </w:rPr>
      </w:pPr>
    </w:p>
    <w:p w14:paraId="5F14686A" w14:textId="77777777" w:rsidR="00146578" w:rsidRPr="00491BF9" w:rsidRDefault="00146578" w:rsidP="00146578">
      <w:pPr>
        <w:rPr>
          <w:lang w:val="lt-LT"/>
        </w:rPr>
      </w:pPr>
      <w:r w:rsidRPr="00491BF9">
        <w:rPr>
          <w:u w:val="single"/>
          <w:lang w:val="lt-LT"/>
        </w:rPr>
        <w:t>Specialūs įspėjimai</w:t>
      </w:r>
    </w:p>
    <w:p w14:paraId="2CF6877F" w14:textId="77777777" w:rsidR="00146578" w:rsidRPr="00491BF9" w:rsidRDefault="00146578" w:rsidP="00146578">
      <w:pPr>
        <w:rPr>
          <w:lang w:val="lt-LT"/>
        </w:rPr>
      </w:pPr>
      <w:r w:rsidRPr="00491BF9">
        <w:rPr>
          <w:lang w:val="lt-LT"/>
        </w:rPr>
        <w:t>Atliekant miokardo scintigrafiją streso sąlygomis reikia atsižvelgti į bendrąsias kontraindikacijas ir atsargumo priemones, susijusias su ergometrinio ar farmakologinio streso indukcija.</w:t>
      </w:r>
    </w:p>
    <w:p w14:paraId="08B8D693" w14:textId="77777777" w:rsidR="00146578" w:rsidRPr="00491BF9" w:rsidRDefault="00146578" w:rsidP="00146578">
      <w:pPr>
        <w:rPr>
          <w:lang w:val="lt-LT"/>
        </w:rPr>
      </w:pPr>
    </w:p>
    <w:p w14:paraId="360C8B29" w14:textId="77777777" w:rsidR="00146578" w:rsidRPr="00491BF9" w:rsidRDefault="00146578" w:rsidP="00146578">
      <w:pPr>
        <w:rPr>
          <w:lang w:val="lt-LT"/>
        </w:rPr>
      </w:pPr>
      <w:r w:rsidRPr="00491BF9">
        <w:rPr>
          <w:lang w:val="lt-LT"/>
        </w:rPr>
        <w:t>Šio vaisto flakone yra mažiau kaip 1 mmol (23 mg) natrio, t.y. jis beveik neturi reikšmės.</w:t>
      </w:r>
    </w:p>
    <w:p w14:paraId="1A4381DB" w14:textId="77777777" w:rsidR="00146578" w:rsidRPr="00491BF9" w:rsidRDefault="00146578" w:rsidP="00146578">
      <w:pPr>
        <w:rPr>
          <w:lang w:val="lt-LT"/>
        </w:rPr>
      </w:pPr>
    </w:p>
    <w:p w14:paraId="2AD97FDB" w14:textId="77777777" w:rsidR="00146578" w:rsidRPr="00491BF9" w:rsidRDefault="00146578" w:rsidP="00146578">
      <w:pPr>
        <w:rPr>
          <w:lang w:val="lt-LT"/>
        </w:rPr>
      </w:pPr>
      <w:r w:rsidRPr="00491BF9">
        <w:rPr>
          <w:lang w:val="lt-LT"/>
        </w:rPr>
        <w:t>Atsargumo priemonės, susijusios su pavojumi aplinkai, pateikiamos 6.6 skyriuje.</w:t>
      </w:r>
    </w:p>
    <w:p w14:paraId="750AD177" w14:textId="77777777" w:rsidR="00146578" w:rsidRPr="00491BF9" w:rsidRDefault="00146578" w:rsidP="00146578">
      <w:pPr>
        <w:rPr>
          <w:lang w:val="lt-LT"/>
        </w:rPr>
      </w:pPr>
    </w:p>
    <w:p w14:paraId="3B12CB6D" w14:textId="77777777" w:rsidR="00146578" w:rsidRDefault="00146578" w:rsidP="00146578">
      <w:pPr>
        <w:ind w:left="567" w:hanging="567"/>
        <w:rPr>
          <w:b/>
          <w:lang w:val="lt-LT"/>
        </w:rPr>
      </w:pPr>
      <w:r w:rsidRPr="00491BF9">
        <w:rPr>
          <w:b/>
          <w:lang w:val="lt-LT"/>
        </w:rPr>
        <w:t>4.5</w:t>
      </w:r>
      <w:r w:rsidRPr="00491BF9">
        <w:rPr>
          <w:b/>
          <w:lang w:val="lt-LT"/>
        </w:rPr>
        <w:tab/>
        <w:t>Sąveika su kitais vaistiniais preparatais ir kitokia sąveika</w:t>
      </w:r>
    </w:p>
    <w:p w14:paraId="4C8C06B6" w14:textId="77777777" w:rsidR="007F1937" w:rsidRPr="00491BF9" w:rsidRDefault="007F1937" w:rsidP="00146578">
      <w:pPr>
        <w:ind w:left="567" w:hanging="567"/>
        <w:rPr>
          <w:lang w:val="lt-LT"/>
        </w:rPr>
      </w:pPr>
    </w:p>
    <w:p w14:paraId="5B12DE8D" w14:textId="77777777" w:rsidR="00146578" w:rsidRPr="00491BF9" w:rsidRDefault="00825661" w:rsidP="00146578">
      <w:pPr>
        <w:rPr>
          <w:lang w:val="lt-LT"/>
        </w:rPr>
      </w:pPr>
      <w:r w:rsidRPr="00491BF9">
        <w:rPr>
          <w:lang w:val="lt-LT"/>
        </w:rPr>
        <w:t>Vaistai nuo širdies ligų</w:t>
      </w:r>
    </w:p>
    <w:p w14:paraId="7DF0ABC6" w14:textId="6EB483D1" w:rsidR="00146578" w:rsidRPr="00491BF9" w:rsidRDefault="00146578" w:rsidP="00146578">
      <w:pPr>
        <w:autoSpaceDE w:val="0"/>
        <w:autoSpaceDN w:val="0"/>
        <w:adjustRightInd w:val="0"/>
        <w:rPr>
          <w:lang w:val="lt-LT"/>
        </w:rPr>
      </w:pPr>
      <w:r w:rsidRPr="00491BF9">
        <w:rPr>
          <w:lang w:val="lt-LT"/>
        </w:rPr>
        <w:t>Preparatai, darantys poveikį miokardo funkcijai ir (arba) kraujotakai diagnozuojant koronarinę širdies ligą gali būti apgaulingai neigiamų rezultatų priežastimi. Pavyzdžiui, beta blokatoriai ir kalcio antagonistai mažina deguonies suvartojimą, tai taip pat veikia perfuziją, beta blokatoriai slopina širdies susitraukimų dažnio ir kraujospūdžio padidėjimą streso būklėje. Dėl šios priežasties, interpretuojant scintigrafinio tyrimo rezultatus, reikia atsižvelgti į kartu vartojamus</w:t>
      </w:r>
      <w:r w:rsidR="004E6D10">
        <w:rPr>
          <w:lang w:val="lt-LT"/>
        </w:rPr>
        <w:t xml:space="preserve"> vaistinius</w:t>
      </w:r>
      <w:r w:rsidRPr="00491BF9">
        <w:rPr>
          <w:lang w:val="lt-LT"/>
        </w:rPr>
        <w:t xml:space="preserve"> preparatus. Reikia laikytis taikomų rekomendacijų ergometrinio ar farmakologinio streso tyrimams.</w:t>
      </w:r>
    </w:p>
    <w:p w14:paraId="14FAC1FE" w14:textId="77777777" w:rsidR="00146578" w:rsidRPr="00491BF9" w:rsidRDefault="00146578" w:rsidP="00146578">
      <w:pPr>
        <w:autoSpaceDE w:val="0"/>
        <w:autoSpaceDN w:val="0"/>
        <w:adjustRightInd w:val="0"/>
        <w:rPr>
          <w:lang w:val="lt-LT"/>
        </w:rPr>
      </w:pPr>
    </w:p>
    <w:p w14:paraId="72F0F8E0" w14:textId="77777777" w:rsidR="00825661" w:rsidRPr="00491BF9" w:rsidRDefault="00825661" w:rsidP="00825661">
      <w:pPr>
        <w:autoSpaceDE w:val="0"/>
        <w:autoSpaceDN w:val="0"/>
        <w:adjustRightInd w:val="0"/>
        <w:rPr>
          <w:i/>
          <w:iCs/>
          <w:lang w:val="lt-LT"/>
        </w:rPr>
      </w:pPr>
      <w:r w:rsidRPr="00491BF9">
        <w:rPr>
          <w:i/>
          <w:iCs/>
          <w:lang w:val="lt-LT"/>
        </w:rPr>
        <w:t>Protonų siurblio inhibitoriai</w:t>
      </w:r>
    </w:p>
    <w:p w14:paraId="21888DC8" w14:textId="589D7162" w:rsidR="00825661" w:rsidRPr="00491BF9" w:rsidRDefault="00825661" w:rsidP="00825661">
      <w:pPr>
        <w:autoSpaceDE w:val="0"/>
        <w:autoSpaceDN w:val="0"/>
        <w:adjustRightInd w:val="0"/>
        <w:rPr>
          <w:lang w:val="lt-LT"/>
        </w:rPr>
      </w:pPr>
      <w:r w:rsidRPr="00491BF9">
        <w:rPr>
          <w:lang w:val="lt-LT"/>
        </w:rPr>
        <w:t xml:space="preserve">Protonų siurblio inhibitorių vartojimas pasirodė esąs reikšmingai susijęs su skrandžio sienos absorbcija. Jos buvimas šalia </w:t>
      </w:r>
      <w:r w:rsidR="003A635C" w:rsidRPr="00491BF9">
        <w:rPr>
          <w:lang w:val="lt-LT"/>
        </w:rPr>
        <w:t>apatinės</w:t>
      </w:r>
      <w:r w:rsidRPr="00491BF9">
        <w:rPr>
          <w:lang w:val="lt-LT"/>
        </w:rPr>
        <w:t xml:space="preserve"> miokardo sienos gali lemti arba klaidingai neigiamus, arba klaidingai teigiamus rezultatus, todėl diagnozė bus netiksli. Rekomenduojamas mažiausiai 3 dienų nutraukimo laikotarpis.</w:t>
      </w:r>
    </w:p>
    <w:p w14:paraId="0EB3F46C" w14:textId="77777777" w:rsidR="00825661" w:rsidRPr="00491BF9" w:rsidRDefault="00825661" w:rsidP="00825661">
      <w:pPr>
        <w:autoSpaceDE w:val="0"/>
        <w:autoSpaceDN w:val="0"/>
        <w:adjustRightInd w:val="0"/>
        <w:rPr>
          <w:lang w:val="lt-LT"/>
        </w:rPr>
      </w:pPr>
    </w:p>
    <w:p w14:paraId="28B480A5" w14:textId="77777777" w:rsidR="00825661" w:rsidRPr="00491BF9" w:rsidRDefault="00825661" w:rsidP="00146578">
      <w:pPr>
        <w:autoSpaceDE w:val="0"/>
        <w:autoSpaceDN w:val="0"/>
        <w:adjustRightInd w:val="0"/>
        <w:rPr>
          <w:lang w:val="lt-LT"/>
        </w:rPr>
      </w:pPr>
      <w:r w:rsidRPr="00491BF9">
        <w:rPr>
          <w:i/>
          <w:iCs/>
          <w:lang w:val="lt-LT"/>
        </w:rPr>
        <w:t>Jodo produktai</w:t>
      </w:r>
    </w:p>
    <w:p w14:paraId="2FB7F044" w14:textId="77777777" w:rsidR="00146578" w:rsidRPr="00491BF9" w:rsidRDefault="00146578" w:rsidP="00146578">
      <w:pPr>
        <w:autoSpaceDE w:val="0"/>
        <w:autoSpaceDN w:val="0"/>
        <w:adjustRightInd w:val="0"/>
        <w:rPr>
          <w:lang w:val="lt-LT"/>
        </w:rPr>
      </w:pPr>
      <w:r w:rsidRPr="00491BF9">
        <w:rPr>
          <w:lang w:val="lt-LT"/>
        </w:rPr>
        <w:t>Kai naudojamas subtrakcijos metodas pernelyg aktyviam paratiroidiniam audiniui skenuoti, tikėtina, kad nesenai vartotos kontrastinės medžiagos, kurių sudėtyje yra jodo, vaistiniai preparatai, vartojami hipertirozei ar hipotirozei gydyti, arba keli kiti vaistiniai preparatai mažina skydliaukės skenavimo kokybę ir net daro subtrakciją neįmanoma. Visas galinčių sąveikauti vaistinių preparatų sąrašas pateikiamas natrio jodido (</w:t>
      </w:r>
      <w:r w:rsidRPr="00491BF9">
        <w:rPr>
          <w:vertAlign w:val="superscript"/>
          <w:lang w:val="lt-LT"/>
        </w:rPr>
        <w:t>123</w:t>
      </w:r>
      <w:r w:rsidRPr="00491BF9">
        <w:rPr>
          <w:lang w:val="lt-LT"/>
        </w:rPr>
        <w:t>I) ar natrio pertechnetato (</w:t>
      </w:r>
      <w:r w:rsidRPr="00491BF9">
        <w:rPr>
          <w:vertAlign w:val="superscript"/>
          <w:lang w:val="lt-LT"/>
        </w:rPr>
        <w:t>99m</w:t>
      </w:r>
      <w:r w:rsidRPr="00491BF9">
        <w:rPr>
          <w:lang w:val="lt-LT"/>
        </w:rPr>
        <w:t>Tc) PCS.</w:t>
      </w:r>
    </w:p>
    <w:p w14:paraId="3E892EA1" w14:textId="77777777" w:rsidR="00146578" w:rsidRPr="00491BF9" w:rsidRDefault="00146578" w:rsidP="00146578">
      <w:pPr>
        <w:autoSpaceDE w:val="0"/>
        <w:autoSpaceDN w:val="0"/>
        <w:adjustRightInd w:val="0"/>
        <w:rPr>
          <w:lang w:val="lt-LT"/>
        </w:rPr>
      </w:pPr>
    </w:p>
    <w:p w14:paraId="2FCEACBB" w14:textId="77777777" w:rsidR="00146578" w:rsidRPr="00491BF9" w:rsidRDefault="00146578" w:rsidP="00146578">
      <w:pPr>
        <w:autoSpaceDE w:val="0"/>
        <w:autoSpaceDN w:val="0"/>
        <w:adjustRightInd w:val="0"/>
        <w:rPr>
          <w:lang w:val="lt-LT"/>
        </w:rPr>
      </w:pPr>
      <w:r w:rsidRPr="00491BF9">
        <w:rPr>
          <w:u w:val="single"/>
          <w:lang w:val="lt-LT"/>
        </w:rPr>
        <w:t>Vaikų populiacija</w:t>
      </w:r>
    </w:p>
    <w:p w14:paraId="26C55E66" w14:textId="77777777" w:rsidR="00146578" w:rsidRPr="00491BF9" w:rsidRDefault="00146578" w:rsidP="00146578">
      <w:pPr>
        <w:autoSpaceDE w:val="0"/>
        <w:autoSpaceDN w:val="0"/>
        <w:adjustRightInd w:val="0"/>
        <w:rPr>
          <w:lang w:val="lt-LT"/>
        </w:rPr>
      </w:pPr>
      <w:r w:rsidRPr="00491BF9">
        <w:rPr>
          <w:lang w:val="lt-LT"/>
        </w:rPr>
        <w:t>Sąveikos tyrimai atlikti tik suaugusiesiems.</w:t>
      </w:r>
    </w:p>
    <w:p w14:paraId="7CC32812" w14:textId="77777777" w:rsidR="00146578" w:rsidRPr="00491BF9" w:rsidRDefault="00146578" w:rsidP="00146578">
      <w:pPr>
        <w:rPr>
          <w:lang w:val="lt-LT"/>
        </w:rPr>
      </w:pPr>
    </w:p>
    <w:p w14:paraId="65E54382" w14:textId="77777777" w:rsidR="00146578" w:rsidRPr="00491BF9" w:rsidRDefault="00146578" w:rsidP="00146578">
      <w:pPr>
        <w:ind w:left="567" w:hanging="567"/>
        <w:rPr>
          <w:lang w:val="lt-LT"/>
        </w:rPr>
      </w:pPr>
      <w:r w:rsidRPr="00491BF9">
        <w:rPr>
          <w:b/>
          <w:lang w:val="lt-LT"/>
        </w:rPr>
        <w:t>4.6</w:t>
      </w:r>
      <w:r w:rsidRPr="00491BF9">
        <w:rPr>
          <w:b/>
          <w:lang w:val="lt-LT"/>
        </w:rPr>
        <w:tab/>
        <w:t xml:space="preserve">Vaisingumas, nėštumo </w:t>
      </w:r>
      <w:r w:rsidRPr="00491BF9">
        <w:rPr>
          <w:b/>
          <w:bCs/>
          <w:lang w:val="lt-LT"/>
        </w:rPr>
        <w:t>ir žindymo laikotarpis</w:t>
      </w:r>
    </w:p>
    <w:p w14:paraId="275BAD91" w14:textId="77777777" w:rsidR="00146578" w:rsidRPr="00491BF9" w:rsidRDefault="00146578" w:rsidP="00146578">
      <w:pPr>
        <w:ind w:left="567" w:hanging="567"/>
        <w:rPr>
          <w:b/>
          <w:lang w:val="lt-LT"/>
        </w:rPr>
      </w:pPr>
    </w:p>
    <w:p w14:paraId="031E5744" w14:textId="4FDB995F" w:rsidR="00146578" w:rsidRPr="00491BF9" w:rsidRDefault="00146578" w:rsidP="00146578">
      <w:pPr>
        <w:autoSpaceDE w:val="0"/>
        <w:autoSpaceDN w:val="0"/>
        <w:adjustRightInd w:val="0"/>
        <w:rPr>
          <w:u w:val="single"/>
          <w:lang w:val="lt-LT"/>
        </w:rPr>
      </w:pPr>
      <w:r w:rsidRPr="00491BF9">
        <w:rPr>
          <w:u w:val="single"/>
          <w:lang w:val="lt-LT"/>
        </w:rPr>
        <w:t>Vaisingo</w:t>
      </w:r>
      <w:r w:rsidR="007F1937">
        <w:rPr>
          <w:u w:val="single"/>
          <w:lang w:val="lt-LT"/>
        </w:rPr>
        <w:t>s</w:t>
      </w:r>
      <w:r w:rsidRPr="00491BF9">
        <w:rPr>
          <w:u w:val="single"/>
          <w:lang w:val="lt-LT"/>
        </w:rPr>
        <w:t xml:space="preserve"> moterys</w:t>
      </w:r>
    </w:p>
    <w:p w14:paraId="3E067909" w14:textId="77777777" w:rsidR="00146578" w:rsidRPr="00491BF9" w:rsidRDefault="00146578" w:rsidP="00146578">
      <w:pPr>
        <w:rPr>
          <w:lang w:val="lt-LT"/>
        </w:rPr>
      </w:pPr>
      <w:r w:rsidRPr="00491BF9">
        <w:rPr>
          <w:lang w:val="lt-LT"/>
        </w:rPr>
        <w:t xml:space="preserve">Jei ketinama suleisti radiofarmacinius preparatus vaisingo amžiaus moteriai, svarbu nustatyti, ar ji nėra nėščia. Bet kuri moteris, kuriai nebuvo eilinių mėnesinių, turėtų būti laikoma nėščia tol, kol tai nėra paneigta. Bet kuri moteris, kuriai nebuvo eilinių mėnesinių, turėtų būti laikoma nėščia tol, kol tai nėra paneigta. Kai yra abejonių dėl galimo nėštumo (jei moteriai nebuvo eilinių mėnesinių, jei mėnesinės </w:t>
      </w:r>
      <w:r w:rsidRPr="00491BF9">
        <w:rPr>
          <w:lang w:val="lt-LT"/>
        </w:rPr>
        <w:lastRenderedPageBreak/>
        <w:t>yra labai nereguliarios ir pan.), pacientei reikia pasiūlyti kitus metodus, kurių metu nenaudojama jonizuojanti radiacija (jei tokių yra).</w:t>
      </w:r>
    </w:p>
    <w:p w14:paraId="195E23FE" w14:textId="77777777" w:rsidR="00146578" w:rsidRPr="00491BF9" w:rsidRDefault="00146578" w:rsidP="00146578">
      <w:pPr>
        <w:rPr>
          <w:lang w:val="lt-LT"/>
        </w:rPr>
      </w:pPr>
    </w:p>
    <w:p w14:paraId="4B9789F6" w14:textId="77777777" w:rsidR="00146578" w:rsidRPr="00491BF9" w:rsidRDefault="00146578" w:rsidP="00146578">
      <w:pPr>
        <w:autoSpaceDE w:val="0"/>
        <w:autoSpaceDN w:val="0"/>
        <w:adjustRightInd w:val="0"/>
        <w:rPr>
          <w:u w:val="single"/>
          <w:lang w:val="lt-LT"/>
        </w:rPr>
      </w:pPr>
      <w:r w:rsidRPr="00491BF9">
        <w:rPr>
          <w:u w:val="single"/>
          <w:lang w:val="lt-LT"/>
        </w:rPr>
        <w:t>Nėštumas</w:t>
      </w:r>
    </w:p>
    <w:p w14:paraId="0F946F2C" w14:textId="77777777" w:rsidR="00146578" w:rsidRPr="00491BF9" w:rsidRDefault="00146578" w:rsidP="00146578">
      <w:pPr>
        <w:autoSpaceDE w:val="0"/>
        <w:autoSpaceDN w:val="0"/>
        <w:adjustRightInd w:val="0"/>
        <w:rPr>
          <w:lang w:val="lt-LT"/>
        </w:rPr>
      </w:pPr>
      <w:r w:rsidRPr="00491BF9">
        <w:rPr>
          <w:lang w:val="lt-LT"/>
        </w:rPr>
        <w:t xml:space="preserve">Atliekant procedūras su radionuklidais nėščiosioms, radiacinis apšvietimas tenka ir vaisiui. Todėl nėštumo metu gali būti atliekami tik būtiniausi tyrimai, kai galima nauda stipriai viršija gresiančią riziką motinai ir vaisiui. </w:t>
      </w:r>
    </w:p>
    <w:p w14:paraId="4C79A56E" w14:textId="77777777" w:rsidR="00146578" w:rsidRPr="00491BF9" w:rsidRDefault="00146578" w:rsidP="00146578">
      <w:pPr>
        <w:autoSpaceDE w:val="0"/>
        <w:autoSpaceDN w:val="0"/>
        <w:adjustRightInd w:val="0"/>
        <w:rPr>
          <w:lang w:val="lt-LT"/>
        </w:rPr>
      </w:pPr>
    </w:p>
    <w:p w14:paraId="71CC3A82" w14:textId="77777777" w:rsidR="00146578" w:rsidRPr="00491BF9" w:rsidRDefault="00146578" w:rsidP="00146578">
      <w:pPr>
        <w:autoSpaceDE w:val="0"/>
        <w:autoSpaceDN w:val="0"/>
        <w:adjustRightInd w:val="0"/>
        <w:rPr>
          <w:u w:val="single"/>
          <w:lang w:val="lt-LT"/>
        </w:rPr>
      </w:pPr>
      <w:r w:rsidRPr="00491BF9">
        <w:rPr>
          <w:u w:val="single"/>
          <w:lang w:val="lt-LT"/>
        </w:rPr>
        <w:t>Žindymas</w:t>
      </w:r>
    </w:p>
    <w:p w14:paraId="42ED8D5B" w14:textId="77777777" w:rsidR="00146578" w:rsidRPr="00491BF9" w:rsidRDefault="00146578" w:rsidP="00146578">
      <w:pPr>
        <w:rPr>
          <w:lang w:val="lt-LT"/>
        </w:rPr>
      </w:pPr>
      <w:r w:rsidRPr="00491BF9">
        <w:rPr>
          <w:lang w:val="lt-LT"/>
        </w:rPr>
        <w:t>Prieš skiriant radiofarmacinį preparatą žindančiai moteriai, reikia apsvarstyti galimybę atidėti radionuklido vartojimą iki to laiko, kai motina nustos žindyti, ir tai, koks yra tinkamiausias radiofarmacinis preparatas, atsižvelgiant į tai, kad aktyvus preparatas patenka į motinos pieną. Jei nusprendžiama, kad būtina skirti radiofarmacinį preparatą, maitinimas krūtimi turi būti nutrauktas 24 valandoms, o išskirtas motinos pienas sunaikintas.</w:t>
      </w:r>
    </w:p>
    <w:p w14:paraId="2E54A6EA" w14:textId="77777777" w:rsidR="00146578" w:rsidRPr="00491BF9" w:rsidRDefault="00146578" w:rsidP="00146578">
      <w:pPr>
        <w:rPr>
          <w:lang w:val="lt-LT"/>
        </w:rPr>
      </w:pPr>
    </w:p>
    <w:p w14:paraId="00942419" w14:textId="77777777" w:rsidR="00146578" w:rsidRPr="00491BF9" w:rsidRDefault="00146578" w:rsidP="00146578">
      <w:pPr>
        <w:rPr>
          <w:lang w:val="lt-LT"/>
        </w:rPr>
      </w:pPr>
      <w:r w:rsidRPr="00491BF9">
        <w:rPr>
          <w:lang w:val="lt-LT"/>
        </w:rPr>
        <w:t>Pirmąsias 24 valandas po injekcijos artimas kontaktas su kūdikiais turi būti apribotas.</w:t>
      </w:r>
    </w:p>
    <w:p w14:paraId="4E397254" w14:textId="77777777" w:rsidR="00146578" w:rsidRPr="00491BF9" w:rsidRDefault="00146578" w:rsidP="00146578">
      <w:pPr>
        <w:rPr>
          <w:lang w:val="lt-LT"/>
        </w:rPr>
      </w:pPr>
    </w:p>
    <w:p w14:paraId="0CE3D08B" w14:textId="77777777" w:rsidR="00146578" w:rsidRPr="004F35D3" w:rsidRDefault="00146578" w:rsidP="00146578">
      <w:pPr>
        <w:rPr>
          <w:lang w:val="lt-LT"/>
        </w:rPr>
      </w:pPr>
      <w:r w:rsidRPr="00491BF9">
        <w:rPr>
          <w:u w:val="single"/>
          <w:lang w:val="lt-LT"/>
        </w:rPr>
        <w:t>Vaisingumas</w:t>
      </w:r>
    </w:p>
    <w:p w14:paraId="1AC42324" w14:textId="77777777" w:rsidR="00146578" w:rsidRPr="004F35D3" w:rsidRDefault="00146578" w:rsidP="00146578">
      <w:pPr>
        <w:rPr>
          <w:lang w:val="lt-LT"/>
        </w:rPr>
      </w:pPr>
      <w:r w:rsidRPr="00491BF9">
        <w:rPr>
          <w:lang w:val="lt-LT"/>
        </w:rPr>
        <w:t>Poveikio vaisingumui tyrimų neatlikta.</w:t>
      </w:r>
    </w:p>
    <w:p w14:paraId="7184C9DB" w14:textId="77777777" w:rsidR="00146578" w:rsidRPr="00491BF9" w:rsidRDefault="00146578" w:rsidP="00146578">
      <w:pPr>
        <w:rPr>
          <w:lang w:val="lt-LT"/>
        </w:rPr>
      </w:pPr>
    </w:p>
    <w:p w14:paraId="0E40D617" w14:textId="77777777" w:rsidR="00146578" w:rsidRPr="00491BF9" w:rsidRDefault="00146578" w:rsidP="00146578">
      <w:pPr>
        <w:ind w:left="567" w:hanging="567"/>
        <w:rPr>
          <w:lang w:val="lt-LT"/>
        </w:rPr>
      </w:pPr>
      <w:r w:rsidRPr="00491BF9">
        <w:rPr>
          <w:b/>
          <w:lang w:val="lt-LT"/>
        </w:rPr>
        <w:t>4.7</w:t>
      </w:r>
      <w:r w:rsidRPr="00491BF9">
        <w:rPr>
          <w:b/>
          <w:lang w:val="lt-LT"/>
        </w:rPr>
        <w:tab/>
        <w:t>Poveikis gebėjimui vairuoti ir valdyti mechanizmus</w:t>
      </w:r>
    </w:p>
    <w:p w14:paraId="6861E9D3" w14:textId="77777777" w:rsidR="00146578" w:rsidRPr="00491BF9" w:rsidRDefault="00146578" w:rsidP="00146578">
      <w:pPr>
        <w:rPr>
          <w:lang w:val="lt-LT"/>
        </w:rPr>
      </w:pPr>
    </w:p>
    <w:p w14:paraId="0F5429B5" w14:textId="77777777" w:rsidR="00146578" w:rsidRPr="00491BF9" w:rsidRDefault="00146578" w:rsidP="00146578">
      <w:pPr>
        <w:rPr>
          <w:lang w:val="lt-LT"/>
        </w:rPr>
      </w:pPr>
      <w:r w:rsidRPr="00491BF9">
        <w:rPr>
          <w:lang w:val="lt-LT"/>
        </w:rPr>
        <w:t xml:space="preserve">Technescan Sestamibi gebėjimo vairuoti ir valdyti mechanizmus neveikia </w:t>
      </w:r>
      <w:r w:rsidRPr="004F35D3">
        <w:rPr>
          <w:szCs w:val="24"/>
          <w:lang w:val="lt-LT"/>
        </w:rPr>
        <w:t>arba veikia nereikšmingai</w:t>
      </w:r>
      <w:r w:rsidRPr="00491BF9">
        <w:rPr>
          <w:lang w:val="lt-LT"/>
        </w:rPr>
        <w:t>.</w:t>
      </w:r>
    </w:p>
    <w:p w14:paraId="2AD0C75E" w14:textId="77777777" w:rsidR="00146578" w:rsidRPr="00491BF9" w:rsidRDefault="00146578" w:rsidP="00146578">
      <w:pPr>
        <w:rPr>
          <w:lang w:val="lt-LT"/>
        </w:rPr>
      </w:pPr>
    </w:p>
    <w:p w14:paraId="267D26FC" w14:textId="77777777" w:rsidR="00146578" w:rsidRPr="00491BF9" w:rsidRDefault="00146578" w:rsidP="00146578">
      <w:pPr>
        <w:numPr>
          <w:ilvl w:val="1"/>
          <w:numId w:val="10"/>
        </w:numPr>
        <w:rPr>
          <w:b/>
          <w:lang w:val="lt-LT"/>
        </w:rPr>
      </w:pPr>
      <w:r w:rsidRPr="00491BF9">
        <w:rPr>
          <w:b/>
          <w:lang w:val="lt-LT"/>
        </w:rPr>
        <w:t>Nepageidaujamas poveikis</w:t>
      </w:r>
    </w:p>
    <w:p w14:paraId="2A4D501D" w14:textId="77777777" w:rsidR="00146578" w:rsidRPr="00491BF9" w:rsidRDefault="00146578" w:rsidP="00146578">
      <w:pPr>
        <w:rPr>
          <w:lang w:val="lt-LT"/>
        </w:rPr>
      </w:pPr>
    </w:p>
    <w:p w14:paraId="730735B5" w14:textId="77777777" w:rsidR="00146578" w:rsidRPr="00491BF9" w:rsidRDefault="00146578" w:rsidP="00146578">
      <w:pPr>
        <w:rPr>
          <w:lang w:val="lt-LT"/>
        </w:rPr>
      </w:pPr>
      <w:r w:rsidRPr="00491BF9">
        <w:rPr>
          <w:lang w:val="lt-LT"/>
        </w:rPr>
        <w:t>Toliau lentelėje apibūdinamos šiame skyriuje naudojamų dažnių reikšmės:</w:t>
      </w:r>
    </w:p>
    <w:p w14:paraId="76A46466" w14:textId="77777777" w:rsidR="00146578" w:rsidRPr="00491BF9" w:rsidRDefault="00146578" w:rsidP="00146578">
      <w:pPr>
        <w:rPr>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tblGrid>
      <w:tr w:rsidR="00146578" w:rsidRPr="00491BF9" w14:paraId="48EE7527" w14:textId="77777777" w:rsidTr="00E31119">
        <w:tc>
          <w:tcPr>
            <w:tcW w:w="7513" w:type="dxa"/>
          </w:tcPr>
          <w:p w14:paraId="1BACA2CE" w14:textId="77777777" w:rsidR="00146578" w:rsidRPr="00491BF9" w:rsidRDefault="00146578" w:rsidP="00E31119">
            <w:pPr>
              <w:spacing w:before="40" w:after="40"/>
              <w:rPr>
                <w:szCs w:val="24"/>
                <w:lang w:val="lt-LT" w:eastAsia="de-DE"/>
              </w:rPr>
            </w:pPr>
            <w:r w:rsidRPr="00491BF9">
              <w:rPr>
                <w:szCs w:val="24"/>
                <w:lang w:val="lt-LT" w:eastAsia="de-DE"/>
              </w:rPr>
              <w:t>Labai dažni (</w:t>
            </w:r>
            <w:r w:rsidRPr="00491BF9">
              <w:rPr>
                <w:szCs w:val="24"/>
                <w:lang w:val="lt-LT" w:eastAsia="de-DE"/>
              </w:rPr>
              <w:sym w:font="Symbol" w:char="F0B3"/>
            </w:r>
            <w:r w:rsidRPr="00491BF9">
              <w:rPr>
                <w:szCs w:val="24"/>
                <w:lang w:val="lt-LT" w:eastAsia="de-DE"/>
              </w:rPr>
              <w:t> 1/10)</w:t>
            </w:r>
          </w:p>
        </w:tc>
      </w:tr>
      <w:tr w:rsidR="00146578" w:rsidRPr="00491BF9" w14:paraId="532376C9" w14:textId="77777777" w:rsidTr="00E31119">
        <w:tc>
          <w:tcPr>
            <w:tcW w:w="7513" w:type="dxa"/>
          </w:tcPr>
          <w:p w14:paraId="7F113B78" w14:textId="77777777" w:rsidR="00146578" w:rsidRPr="00491BF9" w:rsidRDefault="00146578" w:rsidP="00E31119">
            <w:pPr>
              <w:spacing w:before="40" w:after="40"/>
              <w:rPr>
                <w:szCs w:val="24"/>
                <w:lang w:val="lt-LT" w:eastAsia="de-DE"/>
              </w:rPr>
            </w:pPr>
            <w:r w:rsidRPr="00491BF9">
              <w:rPr>
                <w:szCs w:val="24"/>
                <w:lang w:val="lt-LT" w:eastAsia="de-DE"/>
              </w:rPr>
              <w:t xml:space="preserve">Dažni (nuo </w:t>
            </w:r>
            <w:r w:rsidRPr="00491BF9">
              <w:rPr>
                <w:szCs w:val="24"/>
                <w:lang w:val="lt-LT" w:eastAsia="de-DE"/>
              </w:rPr>
              <w:sym w:font="Symbol" w:char="F0B3"/>
            </w:r>
            <w:r w:rsidRPr="00491BF9">
              <w:rPr>
                <w:szCs w:val="24"/>
                <w:lang w:val="lt-LT" w:eastAsia="de-DE"/>
              </w:rPr>
              <w:t> 1/100 iki &lt; 1/10)</w:t>
            </w:r>
          </w:p>
        </w:tc>
      </w:tr>
      <w:tr w:rsidR="00146578" w:rsidRPr="00491BF9" w14:paraId="58B5116C" w14:textId="77777777" w:rsidTr="00E31119">
        <w:tc>
          <w:tcPr>
            <w:tcW w:w="7513" w:type="dxa"/>
          </w:tcPr>
          <w:p w14:paraId="1290D12B" w14:textId="77777777" w:rsidR="00146578" w:rsidRPr="00491BF9" w:rsidRDefault="00146578" w:rsidP="00E31119">
            <w:pPr>
              <w:spacing w:before="40" w:after="40"/>
              <w:rPr>
                <w:szCs w:val="24"/>
                <w:lang w:val="lt-LT" w:eastAsia="de-DE"/>
              </w:rPr>
            </w:pPr>
            <w:r w:rsidRPr="00491BF9">
              <w:rPr>
                <w:szCs w:val="24"/>
                <w:lang w:val="lt-LT" w:eastAsia="de-DE"/>
              </w:rPr>
              <w:t xml:space="preserve">Nedažni (nuo </w:t>
            </w:r>
            <w:r w:rsidRPr="00491BF9">
              <w:rPr>
                <w:szCs w:val="24"/>
                <w:lang w:val="lt-LT" w:eastAsia="de-DE"/>
              </w:rPr>
              <w:sym w:font="Symbol" w:char="F0B3"/>
            </w:r>
            <w:r w:rsidRPr="00491BF9">
              <w:rPr>
                <w:szCs w:val="24"/>
                <w:lang w:val="lt-LT" w:eastAsia="de-DE"/>
              </w:rPr>
              <w:t> 1/1 000 iki &lt; 1/100)</w:t>
            </w:r>
          </w:p>
        </w:tc>
      </w:tr>
      <w:tr w:rsidR="00146578" w:rsidRPr="00491BF9" w14:paraId="47897E7D" w14:textId="77777777" w:rsidTr="00E31119">
        <w:tc>
          <w:tcPr>
            <w:tcW w:w="7513" w:type="dxa"/>
          </w:tcPr>
          <w:p w14:paraId="356A3BEB" w14:textId="77777777" w:rsidR="00146578" w:rsidRPr="00491BF9" w:rsidRDefault="00146578" w:rsidP="00E31119">
            <w:pPr>
              <w:spacing w:before="40" w:after="40"/>
              <w:rPr>
                <w:szCs w:val="24"/>
                <w:lang w:val="lt-LT" w:eastAsia="de-DE"/>
              </w:rPr>
            </w:pPr>
            <w:r w:rsidRPr="00491BF9">
              <w:rPr>
                <w:szCs w:val="24"/>
                <w:lang w:val="lt-LT" w:eastAsia="de-DE"/>
              </w:rPr>
              <w:t xml:space="preserve">Reti (nuo </w:t>
            </w:r>
            <w:r w:rsidRPr="00491BF9">
              <w:rPr>
                <w:szCs w:val="24"/>
                <w:lang w:val="lt-LT" w:eastAsia="de-DE"/>
              </w:rPr>
              <w:sym w:font="Symbol" w:char="F0B3"/>
            </w:r>
            <w:r w:rsidRPr="00491BF9">
              <w:rPr>
                <w:szCs w:val="24"/>
                <w:lang w:val="lt-LT" w:eastAsia="de-DE"/>
              </w:rPr>
              <w:t> 1/10 000 iki &lt; 1/1 000)</w:t>
            </w:r>
          </w:p>
        </w:tc>
      </w:tr>
      <w:tr w:rsidR="00146578" w:rsidRPr="00491BF9" w14:paraId="526891C9" w14:textId="77777777" w:rsidTr="00E31119">
        <w:tc>
          <w:tcPr>
            <w:tcW w:w="7513" w:type="dxa"/>
          </w:tcPr>
          <w:p w14:paraId="00C64C45" w14:textId="77777777" w:rsidR="00146578" w:rsidRPr="00491BF9" w:rsidRDefault="00146578" w:rsidP="00E31119">
            <w:pPr>
              <w:spacing w:before="40" w:after="40"/>
              <w:rPr>
                <w:szCs w:val="24"/>
                <w:lang w:val="lt-LT" w:eastAsia="de-DE"/>
              </w:rPr>
            </w:pPr>
            <w:r w:rsidRPr="00491BF9">
              <w:rPr>
                <w:szCs w:val="24"/>
                <w:lang w:val="lt-LT" w:eastAsia="de-DE"/>
              </w:rPr>
              <w:t>Labai reti (&lt; 1/10 000)</w:t>
            </w:r>
          </w:p>
        </w:tc>
      </w:tr>
      <w:tr w:rsidR="00146578" w:rsidRPr="000E559B" w14:paraId="737866C2" w14:textId="77777777" w:rsidTr="00E31119">
        <w:tc>
          <w:tcPr>
            <w:tcW w:w="7513" w:type="dxa"/>
          </w:tcPr>
          <w:p w14:paraId="10ADB7FF" w14:textId="3697B0F9" w:rsidR="00146578" w:rsidRPr="00491BF9" w:rsidRDefault="00146578" w:rsidP="00E31119">
            <w:pPr>
              <w:spacing w:before="40" w:after="40"/>
              <w:rPr>
                <w:szCs w:val="24"/>
                <w:lang w:val="lt-LT" w:eastAsia="de-DE"/>
              </w:rPr>
            </w:pPr>
            <w:r w:rsidRPr="00491BF9">
              <w:rPr>
                <w:szCs w:val="24"/>
                <w:lang w:val="lt-LT" w:eastAsia="de-DE"/>
              </w:rPr>
              <w:t xml:space="preserve">Dažnis nežinomas (negali būti </w:t>
            </w:r>
            <w:r w:rsidR="00AE5C0D">
              <w:rPr>
                <w:szCs w:val="24"/>
                <w:lang w:val="lt-LT" w:eastAsia="de-DE"/>
              </w:rPr>
              <w:t>apskaičiuotas</w:t>
            </w:r>
            <w:r w:rsidR="00AE5C0D" w:rsidRPr="00491BF9">
              <w:rPr>
                <w:szCs w:val="24"/>
                <w:lang w:val="lt-LT" w:eastAsia="de-DE"/>
              </w:rPr>
              <w:t xml:space="preserve"> </w:t>
            </w:r>
            <w:r w:rsidRPr="00491BF9">
              <w:rPr>
                <w:szCs w:val="24"/>
                <w:lang w:val="lt-LT" w:eastAsia="de-DE"/>
              </w:rPr>
              <w:t>pagal turimus duomenis)</w:t>
            </w:r>
          </w:p>
        </w:tc>
      </w:tr>
    </w:tbl>
    <w:p w14:paraId="6D0B185C" w14:textId="77777777" w:rsidR="00146578" w:rsidRPr="00491BF9" w:rsidRDefault="00146578" w:rsidP="00146578">
      <w:pPr>
        <w:rPr>
          <w:lang w:val="lt-LT"/>
        </w:rPr>
      </w:pPr>
    </w:p>
    <w:p w14:paraId="5DB2733D" w14:textId="77777777" w:rsidR="00146578" w:rsidRPr="00491BF9" w:rsidRDefault="00146578" w:rsidP="00146578">
      <w:pPr>
        <w:autoSpaceDE w:val="0"/>
        <w:autoSpaceDN w:val="0"/>
        <w:adjustRightInd w:val="0"/>
        <w:rPr>
          <w:i/>
          <w:lang w:val="lt-LT"/>
        </w:rPr>
      </w:pPr>
      <w:r w:rsidRPr="00491BF9">
        <w:rPr>
          <w:i/>
          <w:lang w:val="lt-LT"/>
        </w:rPr>
        <w:t>Imuninės sistemos sutrikimai:</w:t>
      </w:r>
    </w:p>
    <w:p w14:paraId="21FBC1B4" w14:textId="77777777" w:rsidR="00146578" w:rsidRPr="00491BF9" w:rsidRDefault="00146578" w:rsidP="00146578">
      <w:pPr>
        <w:rPr>
          <w:lang w:val="lt-LT"/>
        </w:rPr>
      </w:pPr>
      <w:r w:rsidRPr="00491BF9">
        <w:rPr>
          <w:lang w:val="lt-LT"/>
        </w:rPr>
        <w:t>Reti: Sunkios padidėjusio jautrumo reakcijos, pvz., dusulys, hipotenzija, bradikardija, astenija ir vėmimas (paprastai per dvi valandas po injekcijos), angioedema.</w:t>
      </w:r>
      <w:r w:rsidRPr="00491BF9">
        <w:rPr>
          <w:spacing w:val="-1"/>
          <w:lang w:val="lt-LT"/>
        </w:rPr>
        <w:t xml:space="preserve"> </w:t>
      </w:r>
      <w:r w:rsidRPr="00491BF9">
        <w:rPr>
          <w:lang w:val="lt-LT"/>
        </w:rPr>
        <w:t>Kitos padidėjusio jautrumo reakcijos (alerginės odos ir gleivinių reakcijos su egzantema (niežuliu, dilgėline, edema), kraujagyslių išsiplėtimu).</w:t>
      </w:r>
    </w:p>
    <w:p w14:paraId="5242E85D" w14:textId="77777777" w:rsidR="00146578" w:rsidRPr="00491BF9" w:rsidRDefault="00146578" w:rsidP="00146578">
      <w:pPr>
        <w:rPr>
          <w:lang w:val="lt-LT"/>
        </w:rPr>
      </w:pPr>
      <w:r w:rsidRPr="00491BF9">
        <w:rPr>
          <w:lang w:val="lt-LT"/>
        </w:rPr>
        <w:t>Labai reti: Turintiems polinkį alergijai pacientams buvo aprašytos ir kitos padidėjusio jautrumo reakcijos.</w:t>
      </w:r>
    </w:p>
    <w:p w14:paraId="6BD906AF" w14:textId="77777777" w:rsidR="00146578" w:rsidRPr="00491BF9" w:rsidRDefault="00146578" w:rsidP="00146578">
      <w:pPr>
        <w:rPr>
          <w:lang w:val="lt-LT"/>
        </w:rPr>
      </w:pPr>
    </w:p>
    <w:p w14:paraId="7FE24BAD" w14:textId="77777777" w:rsidR="00146578" w:rsidRPr="00491BF9" w:rsidRDefault="00146578" w:rsidP="00146578">
      <w:pPr>
        <w:autoSpaceDE w:val="0"/>
        <w:autoSpaceDN w:val="0"/>
        <w:adjustRightInd w:val="0"/>
        <w:rPr>
          <w:i/>
          <w:lang w:val="lt-LT"/>
        </w:rPr>
      </w:pPr>
      <w:r w:rsidRPr="00491BF9">
        <w:rPr>
          <w:i/>
          <w:lang w:val="lt-LT"/>
        </w:rPr>
        <w:t>Nervų sistemos sutrikimai:</w:t>
      </w:r>
    </w:p>
    <w:p w14:paraId="277E1F77" w14:textId="77777777" w:rsidR="00146578" w:rsidRPr="00491BF9" w:rsidRDefault="00146578" w:rsidP="00146578">
      <w:pPr>
        <w:autoSpaceDE w:val="0"/>
        <w:autoSpaceDN w:val="0"/>
        <w:adjustRightInd w:val="0"/>
        <w:rPr>
          <w:lang w:val="lt-LT"/>
        </w:rPr>
      </w:pPr>
      <w:r w:rsidRPr="00491BF9">
        <w:rPr>
          <w:lang w:val="lt-LT"/>
        </w:rPr>
        <w:t>Nedažni: Galvos skausmas</w:t>
      </w:r>
    </w:p>
    <w:p w14:paraId="2C89D633" w14:textId="77777777" w:rsidR="00146578" w:rsidRPr="00491BF9" w:rsidRDefault="00146578" w:rsidP="00146578">
      <w:pPr>
        <w:autoSpaceDE w:val="0"/>
        <w:autoSpaceDN w:val="0"/>
        <w:adjustRightInd w:val="0"/>
        <w:rPr>
          <w:lang w:val="lt-LT"/>
        </w:rPr>
      </w:pPr>
      <w:r w:rsidRPr="00491BF9">
        <w:rPr>
          <w:lang w:val="lt-LT"/>
        </w:rPr>
        <w:t>Reti: Traukulių priepuoliai (netrukus po injekcijos), apalpimas.</w:t>
      </w:r>
    </w:p>
    <w:p w14:paraId="3EEB1E52" w14:textId="77777777" w:rsidR="00146578" w:rsidRPr="00491BF9" w:rsidRDefault="00146578" w:rsidP="00146578">
      <w:pPr>
        <w:autoSpaceDE w:val="0"/>
        <w:autoSpaceDN w:val="0"/>
        <w:adjustRightInd w:val="0"/>
        <w:rPr>
          <w:lang w:val="lt-LT"/>
        </w:rPr>
      </w:pPr>
    </w:p>
    <w:p w14:paraId="5CF707AE" w14:textId="77777777" w:rsidR="00146578" w:rsidRPr="00491BF9" w:rsidRDefault="00146578" w:rsidP="00146578">
      <w:pPr>
        <w:autoSpaceDE w:val="0"/>
        <w:autoSpaceDN w:val="0"/>
        <w:adjustRightInd w:val="0"/>
        <w:rPr>
          <w:i/>
          <w:iCs/>
          <w:lang w:val="lt-LT"/>
        </w:rPr>
      </w:pPr>
      <w:r w:rsidRPr="00491BF9">
        <w:rPr>
          <w:i/>
          <w:lang w:val="lt-LT"/>
        </w:rPr>
        <w:t>Širdies sutrikimai:</w:t>
      </w:r>
    </w:p>
    <w:p w14:paraId="0BEE7A87" w14:textId="77777777" w:rsidR="00146578" w:rsidRPr="00491BF9" w:rsidRDefault="00146578" w:rsidP="00146578">
      <w:pPr>
        <w:rPr>
          <w:lang w:val="lt-LT"/>
        </w:rPr>
      </w:pPr>
      <w:r w:rsidRPr="00491BF9">
        <w:rPr>
          <w:lang w:val="lt-LT"/>
        </w:rPr>
        <w:t>Nedažni: Skausmai krūtinėje ir (ar) krūtinės angina, nenormali EKG.</w:t>
      </w:r>
    </w:p>
    <w:p w14:paraId="56DF3820" w14:textId="77777777" w:rsidR="00146578" w:rsidRPr="00491BF9" w:rsidRDefault="00146578" w:rsidP="00146578">
      <w:pPr>
        <w:autoSpaceDE w:val="0"/>
        <w:autoSpaceDN w:val="0"/>
        <w:adjustRightInd w:val="0"/>
        <w:rPr>
          <w:lang w:val="lt-LT"/>
        </w:rPr>
      </w:pPr>
      <w:r w:rsidRPr="00491BF9">
        <w:rPr>
          <w:lang w:val="lt-LT"/>
        </w:rPr>
        <w:t>Reti: Aritmija.</w:t>
      </w:r>
    </w:p>
    <w:p w14:paraId="4C790E79" w14:textId="77777777" w:rsidR="00146578" w:rsidRPr="00491BF9" w:rsidRDefault="00146578" w:rsidP="00146578">
      <w:pPr>
        <w:autoSpaceDE w:val="0"/>
        <w:autoSpaceDN w:val="0"/>
        <w:adjustRightInd w:val="0"/>
        <w:rPr>
          <w:lang w:val="lt-LT"/>
        </w:rPr>
      </w:pPr>
    </w:p>
    <w:p w14:paraId="5B2D128B" w14:textId="77777777" w:rsidR="00146578" w:rsidRPr="00491BF9" w:rsidRDefault="00146578" w:rsidP="00146578">
      <w:pPr>
        <w:autoSpaceDE w:val="0"/>
        <w:autoSpaceDN w:val="0"/>
        <w:adjustRightInd w:val="0"/>
        <w:rPr>
          <w:i/>
          <w:iCs/>
          <w:lang w:val="lt-LT"/>
        </w:rPr>
      </w:pPr>
      <w:r w:rsidRPr="00491BF9">
        <w:rPr>
          <w:i/>
          <w:lang w:val="lt-LT"/>
        </w:rPr>
        <w:t>Virškinimo trakto sutrikimai</w:t>
      </w:r>
      <w:r w:rsidRPr="00491BF9">
        <w:rPr>
          <w:i/>
          <w:iCs/>
          <w:lang w:val="lt-LT"/>
        </w:rPr>
        <w:t>:</w:t>
      </w:r>
    </w:p>
    <w:p w14:paraId="6B2D4F7C" w14:textId="77777777" w:rsidR="00146578" w:rsidRPr="00491BF9" w:rsidRDefault="00146578" w:rsidP="00146578">
      <w:pPr>
        <w:autoSpaceDE w:val="0"/>
        <w:autoSpaceDN w:val="0"/>
        <w:adjustRightInd w:val="0"/>
        <w:rPr>
          <w:lang w:val="lt-LT"/>
        </w:rPr>
      </w:pPr>
      <w:r w:rsidRPr="00491BF9">
        <w:rPr>
          <w:lang w:val="lt-LT"/>
        </w:rPr>
        <w:t>Nedažni: Pykinimas</w:t>
      </w:r>
    </w:p>
    <w:p w14:paraId="444F44F4" w14:textId="52ECA4AD" w:rsidR="00146578" w:rsidRPr="00491BF9" w:rsidRDefault="00146578" w:rsidP="00146578">
      <w:pPr>
        <w:autoSpaceDE w:val="0"/>
        <w:autoSpaceDN w:val="0"/>
        <w:adjustRightInd w:val="0"/>
        <w:rPr>
          <w:lang w:val="lt-LT"/>
        </w:rPr>
      </w:pPr>
      <w:r w:rsidRPr="00491BF9">
        <w:rPr>
          <w:lang w:val="lt-LT"/>
        </w:rPr>
        <w:t>Reti: Pilvo skausmai</w:t>
      </w:r>
      <w:r w:rsidR="00937F78">
        <w:rPr>
          <w:lang w:val="lt-LT"/>
        </w:rPr>
        <w:t>, dispepsija</w:t>
      </w:r>
      <w:r w:rsidRPr="00491BF9">
        <w:rPr>
          <w:lang w:val="lt-LT"/>
        </w:rPr>
        <w:t>.</w:t>
      </w:r>
    </w:p>
    <w:p w14:paraId="301516B0" w14:textId="77777777" w:rsidR="00146578" w:rsidRPr="00491BF9" w:rsidRDefault="00146578" w:rsidP="00146578">
      <w:pPr>
        <w:autoSpaceDE w:val="0"/>
        <w:autoSpaceDN w:val="0"/>
        <w:adjustRightInd w:val="0"/>
        <w:rPr>
          <w:lang w:val="lt-LT"/>
        </w:rPr>
      </w:pPr>
    </w:p>
    <w:p w14:paraId="341433CE" w14:textId="77777777" w:rsidR="00146578" w:rsidRPr="00491BF9" w:rsidRDefault="00146578" w:rsidP="00146578">
      <w:pPr>
        <w:autoSpaceDE w:val="0"/>
        <w:autoSpaceDN w:val="0"/>
        <w:adjustRightInd w:val="0"/>
        <w:rPr>
          <w:i/>
          <w:iCs/>
          <w:lang w:val="lt-LT"/>
        </w:rPr>
      </w:pPr>
      <w:r w:rsidRPr="00491BF9">
        <w:rPr>
          <w:i/>
          <w:lang w:val="lt-LT"/>
        </w:rPr>
        <w:lastRenderedPageBreak/>
        <w:t>Odos ir poodinio audinio sutrikimai</w:t>
      </w:r>
      <w:r w:rsidRPr="00491BF9">
        <w:rPr>
          <w:i/>
          <w:iCs/>
          <w:lang w:val="lt-LT"/>
        </w:rPr>
        <w:t>:</w:t>
      </w:r>
    </w:p>
    <w:p w14:paraId="061445D3" w14:textId="77777777" w:rsidR="00146578" w:rsidRPr="00491BF9" w:rsidRDefault="00146578" w:rsidP="00146578">
      <w:pPr>
        <w:autoSpaceDE w:val="0"/>
        <w:autoSpaceDN w:val="0"/>
        <w:adjustRightInd w:val="0"/>
        <w:rPr>
          <w:lang w:val="lt-LT"/>
        </w:rPr>
      </w:pPr>
      <w:r w:rsidRPr="00491BF9">
        <w:rPr>
          <w:lang w:val="lt-LT"/>
        </w:rPr>
        <w:t>Reti: Reakcijos injekcijos vietoje, hipostezija ir parestezija, karščio pylimas.</w:t>
      </w:r>
    </w:p>
    <w:p w14:paraId="52C756EA" w14:textId="77777777" w:rsidR="00146578" w:rsidRPr="00491BF9" w:rsidRDefault="00146578" w:rsidP="00146578">
      <w:pPr>
        <w:autoSpaceDE w:val="0"/>
        <w:autoSpaceDN w:val="0"/>
        <w:adjustRightInd w:val="0"/>
        <w:rPr>
          <w:lang w:val="lt-LT"/>
        </w:rPr>
      </w:pPr>
      <w:r w:rsidRPr="00491BF9">
        <w:rPr>
          <w:szCs w:val="24"/>
          <w:lang w:val="lt-LT" w:eastAsia="de-DE"/>
        </w:rPr>
        <w:t>Dažnis nežinomas</w:t>
      </w:r>
      <w:r w:rsidRPr="00491BF9">
        <w:rPr>
          <w:lang w:val="lt-LT"/>
        </w:rPr>
        <w:t>: Daugiaformė eritema.</w:t>
      </w:r>
    </w:p>
    <w:p w14:paraId="445E2FBE" w14:textId="77777777" w:rsidR="00146578" w:rsidRPr="00491BF9" w:rsidRDefault="00146578" w:rsidP="00146578">
      <w:pPr>
        <w:autoSpaceDE w:val="0"/>
        <w:autoSpaceDN w:val="0"/>
        <w:adjustRightInd w:val="0"/>
        <w:rPr>
          <w:lang w:val="lt-LT"/>
        </w:rPr>
      </w:pPr>
    </w:p>
    <w:p w14:paraId="6C5A529A" w14:textId="77777777" w:rsidR="00146578" w:rsidRPr="00491BF9" w:rsidRDefault="00146578" w:rsidP="00146578">
      <w:pPr>
        <w:autoSpaceDE w:val="0"/>
        <w:autoSpaceDN w:val="0"/>
        <w:adjustRightInd w:val="0"/>
        <w:rPr>
          <w:i/>
          <w:lang w:val="lt-LT"/>
        </w:rPr>
      </w:pPr>
      <w:r w:rsidRPr="00491BF9">
        <w:rPr>
          <w:i/>
          <w:lang w:val="lt-LT"/>
        </w:rPr>
        <w:t>Bendrieji sutrikimai ir vartojimo vietos pažeidimai</w:t>
      </w:r>
    </w:p>
    <w:p w14:paraId="601FE231" w14:textId="77777777" w:rsidR="00146578" w:rsidRPr="00491BF9" w:rsidRDefault="00146578" w:rsidP="00146578">
      <w:pPr>
        <w:rPr>
          <w:lang w:val="lt-LT"/>
        </w:rPr>
      </w:pPr>
      <w:r w:rsidRPr="00491BF9">
        <w:rPr>
          <w:lang w:val="lt-LT"/>
        </w:rPr>
        <w:t>Dažni: Iš karto po injekcijos gali būti jaučiamas metalo skonis ar kartumas burnoje, iš dalies kartu su burnos sausumu, taip pat gali sutrikti uoslė.</w:t>
      </w:r>
    </w:p>
    <w:p w14:paraId="42356291" w14:textId="746D03AA" w:rsidR="00146578" w:rsidRPr="00491BF9" w:rsidRDefault="00146578" w:rsidP="00146578">
      <w:pPr>
        <w:rPr>
          <w:lang w:val="lt-LT"/>
        </w:rPr>
      </w:pPr>
      <w:r w:rsidRPr="00491BF9">
        <w:rPr>
          <w:lang w:val="lt-LT"/>
        </w:rPr>
        <w:t>Reti: Karščiavimas, nuovargis, galvos svaigimas, praeinantys į artritą panašūs skausmai.</w:t>
      </w:r>
    </w:p>
    <w:p w14:paraId="15133CAE" w14:textId="77777777" w:rsidR="00146578" w:rsidRPr="00491BF9" w:rsidRDefault="00146578" w:rsidP="00146578">
      <w:pPr>
        <w:autoSpaceDE w:val="0"/>
        <w:autoSpaceDN w:val="0"/>
        <w:adjustRightInd w:val="0"/>
        <w:rPr>
          <w:lang w:val="lt-LT"/>
        </w:rPr>
      </w:pPr>
    </w:p>
    <w:p w14:paraId="1E0B972F" w14:textId="77777777" w:rsidR="00146578" w:rsidRPr="00491BF9" w:rsidRDefault="00146578" w:rsidP="00146578">
      <w:pPr>
        <w:autoSpaceDE w:val="0"/>
        <w:autoSpaceDN w:val="0"/>
        <w:adjustRightInd w:val="0"/>
        <w:rPr>
          <w:i/>
          <w:iCs/>
          <w:lang w:val="lt-LT"/>
        </w:rPr>
      </w:pPr>
      <w:r w:rsidRPr="00491BF9">
        <w:rPr>
          <w:i/>
          <w:iCs/>
          <w:lang w:val="lt-LT"/>
        </w:rPr>
        <w:t>Kiti sutrikimai</w:t>
      </w:r>
    </w:p>
    <w:p w14:paraId="3DB3B3DA" w14:textId="5782CADD" w:rsidR="00146578" w:rsidRPr="00491BF9" w:rsidRDefault="00146578" w:rsidP="00146578">
      <w:pPr>
        <w:autoSpaceDE w:val="0"/>
        <w:autoSpaceDN w:val="0"/>
        <w:adjustRightInd w:val="0"/>
        <w:rPr>
          <w:lang w:val="lt-LT"/>
        </w:rPr>
      </w:pPr>
      <w:r w:rsidRPr="00491BF9">
        <w:rPr>
          <w:lang w:val="lt-LT"/>
        </w:rPr>
        <w:t xml:space="preserve">Jonizuojančios spinduliuotės poveikis susijęs su vėžio indukcija ir galimu paveldimų sutrikimų vystymusi. Kadangi veiksminga dozė yra </w:t>
      </w:r>
      <w:r w:rsidR="00F83455">
        <w:rPr>
          <w:lang w:val="lt-LT"/>
        </w:rPr>
        <w:t>apie 13,0</w:t>
      </w:r>
      <w:r w:rsidRPr="00491BF9">
        <w:rPr>
          <w:lang w:val="lt-LT"/>
        </w:rPr>
        <w:t xml:space="preserve"> mSv esant didžiausiam rekomenduojamam </w:t>
      </w:r>
      <w:r w:rsidR="00F83455">
        <w:rPr>
          <w:lang w:val="lt-LT"/>
        </w:rPr>
        <w:t>1 6</w:t>
      </w:r>
      <w:r w:rsidRPr="00491BF9">
        <w:rPr>
          <w:lang w:val="lt-LT"/>
        </w:rPr>
        <w:t>00 MBq aktyvumui (</w:t>
      </w:r>
      <w:r w:rsidR="00F83455">
        <w:rPr>
          <w:lang w:val="lt-LT"/>
        </w:rPr>
        <w:t>4</w:t>
      </w:r>
      <w:r w:rsidR="00F83455" w:rsidRPr="00491BF9">
        <w:rPr>
          <w:lang w:val="lt-LT"/>
        </w:rPr>
        <w:t>00</w:t>
      </w:r>
      <w:r w:rsidR="006C65AB">
        <w:rPr>
          <w:lang w:val="lt-LT"/>
        </w:rPr>
        <w:t xml:space="preserve"> atliekant</w:t>
      </w:r>
      <w:r w:rsidR="00F83455" w:rsidRPr="00491BF9">
        <w:rPr>
          <w:lang w:val="lt-LT"/>
        </w:rPr>
        <w:t xml:space="preserve"> </w:t>
      </w:r>
      <w:r w:rsidR="006C65AB">
        <w:rPr>
          <w:lang w:val="lt-LT"/>
        </w:rPr>
        <w:t>krūvio testą</w:t>
      </w:r>
      <w:r w:rsidR="00F83455" w:rsidRPr="00491BF9" w:rsidDel="00F83455">
        <w:rPr>
          <w:lang w:val="lt-LT"/>
        </w:rPr>
        <w:t xml:space="preserve"> </w:t>
      </w:r>
      <w:r w:rsidRPr="00491BF9">
        <w:rPr>
          <w:lang w:val="lt-LT"/>
        </w:rPr>
        <w:t>ir 1 </w:t>
      </w:r>
      <w:r w:rsidR="00F83455">
        <w:rPr>
          <w:lang w:val="lt-LT"/>
        </w:rPr>
        <w:t>2</w:t>
      </w:r>
      <w:r w:rsidR="00F83455" w:rsidRPr="00491BF9">
        <w:rPr>
          <w:lang w:val="lt-LT"/>
        </w:rPr>
        <w:t>00 </w:t>
      </w:r>
      <w:r w:rsidRPr="00491BF9">
        <w:rPr>
          <w:lang w:val="lt-LT"/>
        </w:rPr>
        <w:t xml:space="preserve">MBq </w:t>
      </w:r>
      <w:r w:rsidR="00F83455">
        <w:rPr>
          <w:lang w:val="lt-LT"/>
        </w:rPr>
        <w:t>ramybės</w:t>
      </w:r>
      <w:r w:rsidR="00F83455" w:rsidRPr="00491BF9">
        <w:rPr>
          <w:lang w:val="lt-LT"/>
        </w:rPr>
        <w:t xml:space="preserve"> </w:t>
      </w:r>
      <w:r w:rsidRPr="00491BF9">
        <w:rPr>
          <w:lang w:val="lt-LT"/>
        </w:rPr>
        <w:t>būklėje) taikant 1 dienos protokolą, manoma, kad šių nepageidaujamų reakcijų pasireiškimo tikimybė yra maža.</w:t>
      </w:r>
    </w:p>
    <w:p w14:paraId="32077A81" w14:textId="77777777" w:rsidR="00146578" w:rsidRPr="00491BF9" w:rsidRDefault="00146578" w:rsidP="00146578">
      <w:pPr>
        <w:autoSpaceDE w:val="0"/>
        <w:autoSpaceDN w:val="0"/>
        <w:adjustRightInd w:val="0"/>
        <w:rPr>
          <w:lang w:val="lt-LT"/>
        </w:rPr>
      </w:pPr>
    </w:p>
    <w:p w14:paraId="63F36534" w14:textId="77777777" w:rsidR="00146578" w:rsidRPr="00491BF9" w:rsidRDefault="00146578" w:rsidP="00146578">
      <w:pPr>
        <w:autoSpaceDE w:val="0"/>
        <w:autoSpaceDN w:val="0"/>
        <w:adjustRightInd w:val="0"/>
        <w:jc w:val="both"/>
        <w:rPr>
          <w:szCs w:val="24"/>
          <w:u w:val="single"/>
          <w:lang w:val="lt-LT"/>
        </w:rPr>
      </w:pPr>
      <w:r w:rsidRPr="004F35D3">
        <w:rPr>
          <w:szCs w:val="24"/>
          <w:u w:val="single"/>
          <w:lang w:val="lt-LT"/>
        </w:rPr>
        <w:t>Pranešimas apie įtariamas nepageidaujamas reakcijas</w:t>
      </w:r>
    </w:p>
    <w:p w14:paraId="5EBF3B7A" w14:textId="03A75A89" w:rsidR="00C22580" w:rsidRPr="00010D0C" w:rsidRDefault="00146578" w:rsidP="004F35D3">
      <w:pPr>
        <w:autoSpaceDE w:val="0"/>
        <w:autoSpaceDN w:val="0"/>
        <w:adjustRightInd w:val="0"/>
        <w:rPr>
          <w:rFonts w:eastAsia="Calibri"/>
          <w:color w:val="000000"/>
          <w:szCs w:val="22"/>
          <w:lang w:val="lt-LT" w:eastAsia="en-GB"/>
        </w:rPr>
      </w:pPr>
      <w:r w:rsidRPr="004F35D3">
        <w:rPr>
          <w:szCs w:val="24"/>
          <w:lang w:val="lt-LT"/>
        </w:rPr>
        <w:t>Svarbu pranešti apie įtariamas nepageidaujamas reakcijas</w:t>
      </w:r>
      <w:r w:rsidR="000F2728">
        <w:rPr>
          <w:szCs w:val="24"/>
          <w:lang w:val="lt-LT"/>
        </w:rPr>
        <w:t>, pasteb</w:t>
      </w:r>
      <w:r w:rsidR="009F60BE">
        <w:rPr>
          <w:szCs w:val="24"/>
          <w:lang w:val="lt-LT"/>
        </w:rPr>
        <w:t>ė</w:t>
      </w:r>
      <w:r w:rsidR="000F2728">
        <w:rPr>
          <w:szCs w:val="24"/>
          <w:lang w:val="lt-LT"/>
        </w:rPr>
        <w:t>tas</w:t>
      </w:r>
      <w:r w:rsidRPr="004F35D3">
        <w:rPr>
          <w:szCs w:val="24"/>
          <w:lang w:val="lt-LT"/>
        </w:rPr>
        <w:t xml:space="preserve"> po vaistinio preparato registracijos, nes tai leidžia nuolat stebėti vaistinio preparato naudos ir rizikos santykį.</w:t>
      </w:r>
      <w:r w:rsidRPr="00491BF9">
        <w:rPr>
          <w:szCs w:val="24"/>
          <w:lang w:val="lt-LT"/>
        </w:rPr>
        <w:t xml:space="preserve"> </w:t>
      </w:r>
      <w:r w:rsidRPr="004F35D3">
        <w:rPr>
          <w:szCs w:val="24"/>
          <w:lang w:val="lt-LT"/>
        </w:rPr>
        <w:t xml:space="preserve">Sveikatos priežiūros </w:t>
      </w:r>
      <w:r w:rsidR="009F60BE">
        <w:rPr>
          <w:szCs w:val="24"/>
          <w:lang w:val="lt-LT"/>
        </w:rPr>
        <w:t>ar</w:t>
      </w:r>
      <w:r w:rsidR="00E60BAE">
        <w:rPr>
          <w:szCs w:val="24"/>
          <w:lang w:val="lt-LT"/>
        </w:rPr>
        <w:t xml:space="preserve"> farmacijos </w:t>
      </w:r>
      <w:r w:rsidRPr="004F35D3">
        <w:rPr>
          <w:szCs w:val="24"/>
          <w:lang w:val="lt-LT"/>
        </w:rPr>
        <w:t>specialistai turi pranešti apie bet kokias įtariamas nepageidaujamas reakcijas</w:t>
      </w:r>
      <w:r w:rsidR="00E60BAE">
        <w:rPr>
          <w:szCs w:val="24"/>
          <w:lang w:val="lt-LT"/>
        </w:rPr>
        <w:t>, užpildę ir pateikę pranešimo form</w:t>
      </w:r>
      <w:r w:rsidR="009379E4">
        <w:rPr>
          <w:szCs w:val="24"/>
          <w:lang w:val="lt-LT"/>
        </w:rPr>
        <w:t>ą</w:t>
      </w:r>
      <w:r w:rsidR="009379E4">
        <w:rPr>
          <w:rFonts w:eastAsia="Calibri"/>
          <w:color w:val="000000"/>
          <w:szCs w:val="22"/>
          <w:lang w:val="lt-LT" w:eastAsia="zh-CN"/>
        </w:rPr>
        <w:t xml:space="preserve"> </w:t>
      </w:r>
      <w:r w:rsidR="00C22580">
        <w:rPr>
          <w:rFonts w:eastAsia="Calibri"/>
          <w:color w:val="000000"/>
          <w:szCs w:val="22"/>
          <w:lang w:val="lt-LT" w:eastAsia="zh-CN"/>
        </w:rPr>
        <w:t>Valstybinė</w:t>
      </w:r>
      <w:r w:rsidR="009379E4">
        <w:rPr>
          <w:rFonts w:eastAsia="Calibri"/>
          <w:color w:val="000000"/>
          <w:szCs w:val="22"/>
          <w:lang w:val="lt-LT" w:eastAsia="zh-CN"/>
        </w:rPr>
        <w:t>s</w:t>
      </w:r>
      <w:r w:rsidR="00C22580">
        <w:rPr>
          <w:rFonts w:eastAsia="Calibri"/>
          <w:color w:val="000000"/>
          <w:szCs w:val="22"/>
          <w:lang w:val="lt-LT" w:eastAsia="zh-CN"/>
        </w:rPr>
        <w:t xml:space="preserve"> vaistų kontrolės tarnyb</w:t>
      </w:r>
      <w:r w:rsidR="009379E4">
        <w:rPr>
          <w:rFonts w:eastAsia="Calibri"/>
          <w:color w:val="000000"/>
          <w:szCs w:val="22"/>
          <w:lang w:val="lt-LT" w:eastAsia="zh-CN"/>
        </w:rPr>
        <w:t>os</w:t>
      </w:r>
      <w:r w:rsidR="00C22580">
        <w:rPr>
          <w:rFonts w:eastAsia="Calibri"/>
          <w:color w:val="000000"/>
          <w:szCs w:val="22"/>
          <w:lang w:val="lt-LT" w:eastAsia="zh-CN"/>
        </w:rPr>
        <w:t xml:space="preserve"> prie Lietuvos Respublikos sveikatos apsaugos ministerijos</w:t>
      </w:r>
      <w:r w:rsidR="009379E4">
        <w:rPr>
          <w:rFonts w:eastAsia="Calibri"/>
          <w:color w:val="000000"/>
          <w:szCs w:val="22"/>
          <w:lang w:val="lt-LT" w:eastAsia="zh-CN"/>
        </w:rPr>
        <w:t xml:space="preserve"> tinklalapyje </w:t>
      </w:r>
      <w:hyperlink r:id="rId7" w:history="1">
        <w:r w:rsidR="00C22580">
          <w:rPr>
            <w:rStyle w:val="Hipersaitas"/>
            <w:rFonts w:eastAsia="Calibri"/>
            <w:szCs w:val="22"/>
            <w:lang w:val="lt-LT"/>
          </w:rPr>
          <w:t>https://vvkt.lrv.lt/lt/</w:t>
        </w:r>
      </w:hyperlink>
      <w:r w:rsidR="00010D0C" w:rsidRPr="004F35D3">
        <w:rPr>
          <w:lang w:val="lt-LT"/>
        </w:rPr>
        <w:t xml:space="preserve"> </w:t>
      </w:r>
      <w:r w:rsidR="00010D0C">
        <w:rPr>
          <w:lang w:val="lt-LT"/>
        </w:rPr>
        <w:t>nurodytais būdais.</w:t>
      </w:r>
    </w:p>
    <w:p w14:paraId="5F9F9E1F" w14:textId="498474C2" w:rsidR="00146578" w:rsidRPr="00491BF9" w:rsidRDefault="00146578" w:rsidP="00146578">
      <w:pPr>
        <w:autoSpaceDE w:val="0"/>
        <w:autoSpaceDN w:val="0"/>
        <w:adjustRightInd w:val="0"/>
        <w:rPr>
          <w:lang w:val="lt-LT"/>
        </w:rPr>
      </w:pPr>
    </w:p>
    <w:p w14:paraId="577585A9" w14:textId="77777777" w:rsidR="00146578" w:rsidRPr="00491BF9" w:rsidRDefault="00146578" w:rsidP="00146578">
      <w:pPr>
        <w:ind w:left="567" w:hanging="567"/>
        <w:rPr>
          <w:lang w:val="lt-LT"/>
        </w:rPr>
      </w:pPr>
      <w:r w:rsidRPr="00491BF9">
        <w:rPr>
          <w:b/>
          <w:lang w:val="lt-LT"/>
        </w:rPr>
        <w:t>4.9</w:t>
      </w:r>
      <w:r w:rsidRPr="00491BF9">
        <w:rPr>
          <w:b/>
          <w:lang w:val="lt-LT"/>
        </w:rPr>
        <w:tab/>
        <w:t>Perdozavimas</w:t>
      </w:r>
    </w:p>
    <w:p w14:paraId="52957C36" w14:textId="77777777" w:rsidR="00146578" w:rsidRPr="00491BF9" w:rsidRDefault="00146578" w:rsidP="00146578">
      <w:pPr>
        <w:rPr>
          <w:lang w:val="lt-LT"/>
        </w:rPr>
      </w:pPr>
    </w:p>
    <w:p w14:paraId="4BCAF8F6" w14:textId="77777777" w:rsidR="00146578" w:rsidRPr="00491BF9" w:rsidRDefault="00146578" w:rsidP="00146578">
      <w:pPr>
        <w:rPr>
          <w:lang w:val="lt-LT"/>
        </w:rPr>
      </w:pPr>
      <w:r w:rsidRPr="00491BF9">
        <w:rPr>
          <w:lang w:val="lt-LT"/>
        </w:rPr>
        <w:t>Jei skiriant Technetium (</w:t>
      </w:r>
      <w:r w:rsidRPr="00491BF9">
        <w:rPr>
          <w:vertAlign w:val="superscript"/>
          <w:lang w:val="lt-LT"/>
        </w:rPr>
        <w:t>99m</w:t>
      </w:r>
      <w:r w:rsidRPr="00491BF9">
        <w:rPr>
          <w:lang w:val="lt-LT"/>
        </w:rPr>
        <w:t>Tc) Sestamibi radiacijos dozė pernelyg didelė, paciento absorbuojama dozė turi būti kiek įmanoma sumažinama didinant radionuklido išskyrimą iš organizmo, skatinant dažną šlapinimąsi ir tuštinimąsi. Gali būti naudinga įvertinti skirtą veiksmingą dozę.</w:t>
      </w:r>
    </w:p>
    <w:p w14:paraId="44BDCAEF" w14:textId="77777777" w:rsidR="00146578" w:rsidRPr="00491BF9" w:rsidRDefault="00146578" w:rsidP="00146578">
      <w:pPr>
        <w:rPr>
          <w:lang w:val="lt-LT"/>
        </w:rPr>
      </w:pPr>
    </w:p>
    <w:p w14:paraId="401F1D4C" w14:textId="77777777" w:rsidR="00146578" w:rsidRPr="00491BF9" w:rsidRDefault="00146578" w:rsidP="00146578">
      <w:pPr>
        <w:rPr>
          <w:lang w:val="lt-LT"/>
        </w:rPr>
      </w:pPr>
    </w:p>
    <w:p w14:paraId="04B3CAB9" w14:textId="77777777" w:rsidR="00146578" w:rsidRPr="00491BF9" w:rsidRDefault="00146578" w:rsidP="00146578">
      <w:pPr>
        <w:ind w:left="567" w:hanging="567"/>
        <w:rPr>
          <w:lang w:val="lt-LT"/>
        </w:rPr>
      </w:pPr>
      <w:r w:rsidRPr="00491BF9">
        <w:rPr>
          <w:b/>
          <w:lang w:val="lt-LT"/>
        </w:rPr>
        <w:t>5.</w:t>
      </w:r>
      <w:r w:rsidRPr="00491BF9">
        <w:rPr>
          <w:b/>
          <w:lang w:val="lt-LT"/>
        </w:rPr>
        <w:tab/>
        <w:t xml:space="preserve">FARMAKOLOGINĖS </w:t>
      </w:r>
      <w:r w:rsidRPr="00491BF9">
        <w:rPr>
          <w:b/>
          <w:caps/>
          <w:lang w:val="lt-LT"/>
        </w:rPr>
        <w:t>savybės</w:t>
      </w:r>
    </w:p>
    <w:p w14:paraId="0074D415" w14:textId="77777777" w:rsidR="00146578" w:rsidRPr="00491BF9" w:rsidRDefault="00146578" w:rsidP="00146578">
      <w:pPr>
        <w:rPr>
          <w:b/>
          <w:lang w:val="lt-LT"/>
        </w:rPr>
      </w:pPr>
    </w:p>
    <w:p w14:paraId="1CF8D7F0" w14:textId="77777777" w:rsidR="00146578" w:rsidRPr="00491BF9" w:rsidRDefault="00146578" w:rsidP="00146578">
      <w:pPr>
        <w:ind w:left="567" w:hanging="567"/>
        <w:rPr>
          <w:lang w:val="lt-LT"/>
        </w:rPr>
      </w:pPr>
      <w:r w:rsidRPr="00491BF9">
        <w:rPr>
          <w:b/>
          <w:lang w:val="lt-LT"/>
        </w:rPr>
        <w:t>5.1</w:t>
      </w:r>
      <w:r w:rsidRPr="00491BF9">
        <w:rPr>
          <w:b/>
          <w:lang w:val="lt-LT"/>
        </w:rPr>
        <w:tab/>
        <w:t>Farmakodinaminės savybės</w:t>
      </w:r>
    </w:p>
    <w:p w14:paraId="1180CF69" w14:textId="77777777" w:rsidR="00146578" w:rsidRPr="00491BF9" w:rsidRDefault="00146578" w:rsidP="00146578">
      <w:pPr>
        <w:rPr>
          <w:lang w:val="lt-LT"/>
        </w:rPr>
      </w:pPr>
    </w:p>
    <w:p w14:paraId="15A1971F" w14:textId="77777777" w:rsidR="00146578" w:rsidRPr="00491BF9" w:rsidRDefault="00146578" w:rsidP="00146578">
      <w:pPr>
        <w:rPr>
          <w:lang w:val="lt-LT"/>
        </w:rPr>
      </w:pPr>
      <w:r w:rsidRPr="00491BF9">
        <w:rPr>
          <w:lang w:val="lt-LT"/>
        </w:rPr>
        <w:t>Farmakoterapinė grupė – diagnostiniai radiofarmaciniai preparatai, Technetium (</w:t>
      </w:r>
      <w:r w:rsidRPr="00491BF9">
        <w:rPr>
          <w:vertAlign w:val="superscript"/>
          <w:lang w:val="lt-LT"/>
        </w:rPr>
        <w:t>99m</w:t>
      </w:r>
      <w:r w:rsidRPr="00491BF9">
        <w:rPr>
          <w:lang w:val="lt-LT"/>
        </w:rPr>
        <w:t>Tc) junginiai, ATC kodas – V09GA01.</w:t>
      </w:r>
    </w:p>
    <w:p w14:paraId="732F4348" w14:textId="77777777" w:rsidR="00146578" w:rsidRPr="00491BF9" w:rsidRDefault="00146578" w:rsidP="00146578">
      <w:pPr>
        <w:rPr>
          <w:lang w:val="lt-LT"/>
        </w:rPr>
      </w:pPr>
    </w:p>
    <w:p w14:paraId="7735207E" w14:textId="77777777" w:rsidR="00146578" w:rsidRPr="00491BF9" w:rsidRDefault="00146578" w:rsidP="00146578">
      <w:pPr>
        <w:rPr>
          <w:u w:val="single"/>
          <w:lang w:val="lt-LT"/>
        </w:rPr>
      </w:pPr>
      <w:r w:rsidRPr="00491BF9">
        <w:rPr>
          <w:u w:val="single"/>
          <w:lang w:val="lt-LT"/>
        </w:rPr>
        <w:t>Farmakodinaminis poveikis</w:t>
      </w:r>
    </w:p>
    <w:p w14:paraId="4C2C899E" w14:textId="77777777" w:rsidR="00146578" w:rsidRPr="00491BF9" w:rsidRDefault="00146578" w:rsidP="00146578">
      <w:pPr>
        <w:rPr>
          <w:lang w:val="lt-LT"/>
        </w:rPr>
      </w:pPr>
      <w:r w:rsidRPr="00491BF9">
        <w:rPr>
          <w:lang w:val="lt-LT"/>
        </w:rPr>
        <w:t>Vartojant diagnostiniams tyrimams skirtomis cheminėmis koncentracijomis, Technetium (</w:t>
      </w:r>
      <w:r w:rsidRPr="00491BF9">
        <w:rPr>
          <w:vertAlign w:val="superscript"/>
          <w:lang w:val="lt-LT"/>
        </w:rPr>
        <w:t>99m</w:t>
      </w:r>
      <w:r w:rsidRPr="00491BF9">
        <w:rPr>
          <w:lang w:val="lt-LT"/>
        </w:rPr>
        <w:t>Tc) Sestamibi tirpalo farmakodinaminis aktyvumas nėra tikėtinas.</w:t>
      </w:r>
    </w:p>
    <w:p w14:paraId="63A85860" w14:textId="77777777" w:rsidR="00146578" w:rsidRPr="00491BF9" w:rsidRDefault="00146578" w:rsidP="00146578">
      <w:pPr>
        <w:rPr>
          <w:lang w:val="lt-LT"/>
        </w:rPr>
      </w:pPr>
    </w:p>
    <w:p w14:paraId="4C533CE1" w14:textId="77777777" w:rsidR="00146578" w:rsidRPr="00491BF9" w:rsidRDefault="00146578" w:rsidP="00146578">
      <w:pPr>
        <w:ind w:left="567" w:hanging="567"/>
        <w:rPr>
          <w:lang w:val="lt-LT"/>
        </w:rPr>
      </w:pPr>
      <w:r w:rsidRPr="00491BF9">
        <w:rPr>
          <w:b/>
          <w:lang w:val="lt-LT"/>
        </w:rPr>
        <w:t>5.2</w:t>
      </w:r>
      <w:r w:rsidRPr="00491BF9">
        <w:rPr>
          <w:b/>
          <w:lang w:val="lt-LT"/>
        </w:rPr>
        <w:tab/>
        <w:t>Farmakokinetinės savybės</w:t>
      </w:r>
    </w:p>
    <w:p w14:paraId="3053740F" w14:textId="77777777" w:rsidR="00146578" w:rsidRPr="00491BF9" w:rsidRDefault="00146578" w:rsidP="00146578">
      <w:pPr>
        <w:rPr>
          <w:lang w:val="lt-LT"/>
        </w:rPr>
      </w:pPr>
    </w:p>
    <w:p w14:paraId="0C9821A5" w14:textId="77777777" w:rsidR="00146578" w:rsidRDefault="00146578" w:rsidP="00146578">
      <w:pPr>
        <w:rPr>
          <w:lang w:val="lt-LT"/>
        </w:rPr>
      </w:pPr>
      <w:r w:rsidRPr="00491BF9">
        <w:rPr>
          <w:lang w:val="lt-LT"/>
        </w:rPr>
        <w:t>Paruošus preparatą vartojant natrio pertechnetatą (</w:t>
      </w:r>
      <w:r w:rsidRPr="00491BF9">
        <w:rPr>
          <w:vertAlign w:val="superscript"/>
          <w:lang w:val="lt-LT"/>
        </w:rPr>
        <w:t>99m</w:t>
      </w:r>
      <w:r w:rsidRPr="00491BF9">
        <w:rPr>
          <w:lang w:val="lt-LT"/>
        </w:rPr>
        <w:t>Tc), susiformuoja šis Technetium (</w:t>
      </w:r>
      <w:r w:rsidRPr="00491BF9">
        <w:rPr>
          <w:vertAlign w:val="superscript"/>
          <w:lang w:val="lt-LT"/>
        </w:rPr>
        <w:t>99m</w:t>
      </w:r>
      <w:r w:rsidRPr="00491BF9">
        <w:rPr>
          <w:lang w:val="lt-LT"/>
        </w:rPr>
        <w:t>Tc) Sestamibi kompleksas:</w:t>
      </w:r>
    </w:p>
    <w:p w14:paraId="0E98624F" w14:textId="77777777" w:rsidR="00F83455" w:rsidRPr="00491BF9" w:rsidRDefault="00F83455" w:rsidP="00146578">
      <w:pPr>
        <w:rPr>
          <w:lang w:val="lt-LT"/>
        </w:rPr>
      </w:pPr>
    </w:p>
    <w:p w14:paraId="434F6147" w14:textId="77777777" w:rsidR="00146578" w:rsidRPr="00491BF9" w:rsidRDefault="00146578" w:rsidP="00146578">
      <w:pPr>
        <w:keepNext/>
        <w:rPr>
          <w:lang w:val="lt-LT"/>
        </w:rPr>
      </w:pPr>
      <w:r w:rsidRPr="00491BF9">
        <w:rPr>
          <w:lang w:val="lt-LT"/>
        </w:rPr>
        <w:tab/>
      </w:r>
      <w:r w:rsidRPr="00491BF9">
        <w:rPr>
          <w:lang w:val="lt-LT"/>
        </w:rPr>
        <w:tab/>
        <w:t>[</w:t>
      </w:r>
      <w:r w:rsidRPr="00491BF9">
        <w:rPr>
          <w:vertAlign w:val="superscript"/>
          <w:lang w:val="lt-LT"/>
        </w:rPr>
        <w:t>99m</w:t>
      </w:r>
      <w:r w:rsidRPr="00491BF9">
        <w:rPr>
          <w:lang w:val="lt-LT"/>
        </w:rPr>
        <w:t>Tc (MIBI)</w:t>
      </w:r>
      <w:r w:rsidRPr="00491BF9">
        <w:rPr>
          <w:vertAlign w:val="subscript"/>
          <w:lang w:val="lt-LT"/>
        </w:rPr>
        <w:t>6</w:t>
      </w:r>
      <w:r w:rsidRPr="00491BF9">
        <w:rPr>
          <w:lang w:val="lt-LT"/>
        </w:rPr>
        <w:t>]</w:t>
      </w:r>
      <w:r w:rsidRPr="00491BF9">
        <w:rPr>
          <w:vertAlign w:val="superscript"/>
          <w:lang w:val="lt-LT"/>
        </w:rPr>
        <w:t>+</w:t>
      </w:r>
      <w:r w:rsidRPr="00491BF9">
        <w:rPr>
          <w:lang w:val="lt-LT"/>
        </w:rPr>
        <w:tab/>
        <w:t>kur: MIBI = 2-metoksiizobutilizonitrilas</w:t>
      </w:r>
    </w:p>
    <w:p w14:paraId="5753AC52" w14:textId="77777777" w:rsidR="00146578" w:rsidRPr="00491BF9" w:rsidRDefault="00146578" w:rsidP="00146578">
      <w:pPr>
        <w:rPr>
          <w:lang w:val="lt-LT"/>
        </w:rPr>
      </w:pPr>
    </w:p>
    <w:p w14:paraId="4006A33A" w14:textId="77777777" w:rsidR="00146578" w:rsidRPr="00491BF9" w:rsidRDefault="00146578" w:rsidP="00146578">
      <w:pPr>
        <w:autoSpaceDE w:val="0"/>
        <w:autoSpaceDN w:val="0"/>
        <w:adjustRightInd w:val="0"/>
        <w:rPr>
          <w:sz w:val="20"/>
          <w:lang w:val="lt-LT"/>
        </w:rPr>
      </w:pPr>
      <w:r w:rsidRPr="00491BF9">
        <w:rPr>
          <w:u w:val="single"/>
          <w:lang w:val="lt-LT"/>
        </w:rPr>
        <w:t>Biologinis pasiskirstymas</w:t>
      </w:r>
    </w:p>
    <w:p w14:paraId="59B0AEF4" w14:textId="77777777" w:rsidR="00146578" w:rsidRPr="00491BF9" w:rsidRDefault="00146578" w:rsidP="00146578">
      <w:pPr>
        <w:rPr>
          <w:lang w:val="lt-LT"/>
        </w:rPr>
      </w:pPr>
      <w:r w:rsidRPr="00491BF9">
        <w:rPr>
          <w:lang w:val="lt-LT"/>
        </w:rPr>
        <w:t>Technetium (</w:t>
      </w:r>
      <w:r w:rsidRPr="00491BF9">
        <w:rPr>
          <w:vertAlign w:val="superscript"/>
          <w:lang w:val="lt-LT"/>
        </w:rPr>
        <w:t>99m</w:t>
      </w:r>
      <w:r w:rsidRPr="00491BF9">
        <w:rPr>
          <w:lang w:val="lt-LT"/>
        </w:rPr>
        <w:t>Tc) Sestamibi iš kraujo greitai pasiskirsto audiniuose: praėjus 5 minutėms po injekcijos tik apie 8 % suleistos dozės lieka kraujo depe. Fiziologinio pasiskirstymo požiūriu Technetium (</w:t>
      </w:r>
      <w:r w:rsidRPr="00491BF9">
        <w:rPr>
          <w:vertAlign w:val="superscript"/>
          <w:lang w:val="lt-LT"/>
        </w:rPr>
        <w:t>99m</w:t>
      </w:r>
      <w:r w:rsidRPr="00491BF9">
        <w:rPr>
          <w:lang w:val="lt-LT"/>
        </w:rPr>
        <w:t xml:space="preserve">Tc) Sestamibi koncentraciją </w:t>
      </w:r>
      <w:r w:rsidRPr="00491BF9">
        <w:rPr>
          <w:i/>
          <w:lang w:val="lt-LT"/>
        </w:rPr>
        <w:t>in vivo</w:t>
      </w:r>
      <w:r w:rsidRPr="00491BF9">
        <w:rPr>
          <w:lang w:val="lt-LT"/>
        </w:rPr>
        <w:t xml:space="preserve"> galima matyti keliuose organuose. Pavyzdžiui, akivaizdus normalus žymėtojo atomo patekimas į seilių liaukas, skydliaukę, miokardą, kepenis, tulžies pūslę, plonąją ir storąją žarną, inkstus, šlapimo pūslę, kraujagyslinius rezginius ir skeleto raumenis, kartais į spenelius. Nežymus vienodas patekimas į krūtį arba pažastį yra normalus.</w:t>
      </w:r>
    </w:p>
    <w:p w14:paraId="6A349A09" w14:textId="77777777" w:rsidR="00146578" w:rsidRPr="00491BF9" w:rsidRDefault="00146578" w:rsidP="00146578">
      <w:pPr>
        <w:rPr>
          <w:lang w:val="lt-LT"/>
        </w:rPr>
      </w:pPr>
    </w:p>
    <w:p w14:paraId="7F062B79" w14:textId="77777777" w:rsidR="00146578" w:rsidRPr="00491BF9" w:rsidRDefault="00146578" w:rsidP="00146578">
      <w:pPr>
        <w:rPr>
          <w:u w:val="single"/>
          <w:lang w:val="lt-LT"/>
        </w:rPr>
      </w:pPr>
      <w:r w:rsidRPr="00491BF9">
        <w:rPr>
          <w:u w:val="single"/>
          <w:lang w:val="lt-LT"/>
        </w:rPr>
        <w:t>Miokardo perfuzijos scintigrafija</w:t>
      </w:r>
    </w:p>
    <w:p w14:paraId="2ABEC9DA" w14:textId="77777777" w:rsidR="00146578" w:rsidRPr="00491BF9" w:rsidRDefault="00146578" w:rsidP="00146578">
      <w:pPr>
        <w:rPr>
          <w:lang w:val="lt-LT"/>
        </w:rPr>
      </w:pPr>
      <w:r w:rsidRPr="00491BF9">
        <w:rPr>
          <w:lang w:val="lt-LT"/>
        </w:rPr>
        <w:lastRenderedPageBreak/>
        <w:t>Technetium (</w:t>
      </w:r>
      <w:r w:rsidRPr="00491BF9">
        <w:rPr>
          <w:vertAlign w:val="superscript"/>
          <w:lang w:val="lt-LT"/>
        </w:rPr>
        <w:t>99m</w:t>
      </w:r>
      <w:r w:rsidRPr="00491BF9">
        <w:rPr>
          <w:lang w:val="lt-LT"/>
        </w:rPr>
        <w:t xml:space="preserve">Tc) Sestamibi – tai katijoninis kompleksas, kuris pasyviai pasklinda per kapiliarų ir ląstelių membraną. Ląstelės viduje preparatas nustatomas mitochondrijose, į kurias jis patenka, ir išlieka </w:t>
      </w:r>
      <w:r w:rsidRPr="00491BF9">
        <w:rPr>
          <w:color w:val="141314"/>
          <w:lang w:val="lt-LT"/>
        </w:rPr>
        <w:t xml:space="preserve">nepažeistose </w:t>
      </w:r>
      <w:r w:rsidRPr="00491BF9">
        <w:rPr>
          <w:lang w:val="lt-LT"/>
        </w:rPr>
        <w:t>mitochondrijose, tai rodo gyvybingus miocitus. Suleidus į veną, jis pasiskirsto miokarde pagal miokardo perfuziją ir gyvybingumą. Pasisavinimas miokarde, kuris priklauso nuo koronarinės kraujotakos, streso metu sudaro 1,5 % suleistos dozės, o ramybėje – 1,2 % suleistos dozės. Tačiau negrįžtamai pažeistos ląstelės nepasisavina Technetium (</w:t>
      </w:r>
      <w:r w:rsidRPr="00491BF9">
        <w:rPr>
          <w:vertAlign w:val="superscript"/>
          <w:lang w:val="lt-LT"/>
        </w:rPr>
        <w:t>99m</w:t>
      </w:r>
      <w:r w:rsidRPr="00491BF9">
        <w:rPr>
          <w:lang w:val="lt-LT"/>
        </w:rPr>
        <w:t>Tc) Sestamibi. Hipoksija mažina pasišalinimą iš miokardo. Jo persiskirstymas yra labai mažas, todėl reikalingos atskiros injekcijos tyrimams streso ir ramybės būsenoje.</w:t>
      </w:r>
    </w:p>
    <w:p w14:paraId="745284A3" w14:textId="77777777" w:rsidR="00146578" w:rsidRPr="00491BF9" w:rsidRDefault="00146578" w:rsidP="00146578">
      <w:pPr>
        <w:rPr>
          <w:lang w:val="lt-LT"/>
        </w:rPr>
      </w:pPr>
    </w:p>
    <w:p w14:paraId="1CB75641" w14:textId="77777777" w:rsidR="00146578" w:rsidRPr="00491BF9" w:rsidRDefault="00146578" w:rsidP="00146578">
      <w:pPr>
        <w:rPr>
          <w:lang w:val="lt-LT"/>
        </w:rPr>
      </w:pPr>
      <w:r w:rsidRPr="00491BF9">
        <w:rPr>
          <w:u w:val="single"/>
          <w:lang w:val="lt-LT"/>
        </w:rPr>
        <w:t>Scintimamografija</w:t>
      </w:r>
    </w:p>
    <w:p w14:paraId="4074CAF6" w14:textId="77777777" w:rsidR="00146578" w:rsidRPr="00491BF9" w:rsidRDefault="00146578" w:rsidP="00146578">
      <w:pPr>
        <w:rPr>
          <w:lang w:val="lt-LT"/>
        </w:rPr>
      </w:pPr>
      <w:r w:rsidRPr="00491BF9">
        <w:rPr>
          <w:lang w:val="lt-LT"/>
        </w:rPr>
        <w:t>Technetium (</w:t>
      </w:r>
      <w:r w:rsidRPr="00491BF9">
        <w:rPr>
          <w:vertAlign w:val="superscript"/>
          <w:lang w:val="lt-LT"/>
        </w:rPr>
        <w:t>99m</w:t>
      </w:r>
      <w:r w:rsidRPr="00491BF9">
        <w:rPr>
          <w:lang w:val="lt-LT"/>
        </w:rPr>
        <w:t>Tc) Sestamibi pasisavinimas audiniuose priklauso pirmiausia nuo vaskuliarizacijos, kuri paprastai būna padidėjusi navikiniuose audiniuose. Technetium (</w:t>
      </w:r>
      <w:r w:rsidRPr="00491BF9">
        <w:rPr>
          <w:vertAlign w:val="superscript"/>
          <w:lang w:val="lt-LT"/>
        </w:rPr>
        <w:t>99m</w:t>
      </w:r>
      <w:r w:rsidRPr="00491BF9">
        <w:rPr>
          <w:lang w:val="lt-LT"/>
        </w:rPr>
        <w:t>Tc) Sestamibi kaupiasi įvairiose neoplazmose, ryškiausiai – mitochondrijose. Jo patekimas yra susijęs su padidėjusiu nuo energijos priklausomu metabolizmu ir ląstelių proliferacija. Jo kaupimasis ląstelėje sumažėja, kai yra per didelė dauginio vaisto atsparumo baltymo raiška.</w:t>
      </w:r>
    </w:p>
    <w:p w14:paraId="5B9B26EB" w14:textId="77777777" w:rsidR="00146578" w:rsidRPr="00491BF9" w:rsidRDefault="00146578" w:rsidP="00146578">
      <w:pPr>
        <w:rPr>
          <w:lang w:val="lt-LT"/>
        </w:rPr>
      </w:pPr>
    </w:p>
    <w:p w14:paraId="6A30E042" w14:textId="77777777" w:rsidR="00146578" w:rsidRPr="00491BF9" w:rsidRDefault="00146578" w:rsidP="00146578">
      <w:pPr>
        <w:rPr>
          <w:lang w:val="lt-LT"/>
        </w:rPr>
      </w:pPr>
      <w:r w:rsidRPr="00491BF9">
        <w:rPr>
          <w:u w:val="single"/>
          <w:lang w:val="lt-LT"/>
        </w:rPr>
        <w:t>Pernelyg aktyvaus paratiroidinio audinio skenavimas</w:t>
      </w:r>
    </w:p>
    <w:p w14:paraId="70182A7A" w14:textId="77777777" w:rsidR="00146578" w:rsidRPr="00491BF9" w:rsidRDefault="00146578" w:rsidP="00146578">
      <w:pPr>
        <w:rPr>
          <w:lang w:val="lt-LT"/>
        </w:rPr>
      </w:pPr>
      <w:r w:rsidRPr="00491BF9">
        <w:rPr>
          <w:lang w:val="lt-LT"/>
        </w:rPr>
        <w:t>Technetium (</w:t>
      </w:r>
      <w:r w:rsidRPr="00491BF9">
        <w:rPr>
          <w:vertAlign w:val="superscript"/>
          <w:lang w:val="lt-LT"/>
        </w:rPr>
        <w:t>99m</w:t>
      </w:r>
      <w:r w:rsidRPr="00491BF9">
        <w:rPr>
          <w:lang w:val="lt-LT"/>
        </w:rPr>
        <w:t>Tc) Sestamibi patenka į paratiroidinio audinį ir aktyvios skydliaukės audinį, bet paprastai pasišalina iš normalios skydliaukės audinio greičiau nei iš nenormalaus paratiroidinio audinio.</w:t>
      </w:r>
    </w:p>
    <w:p w14:paraId="6A2276BD" w14:textId="77777777" w:rsidR="00146578" w:rsidRPr="00491BF9" w:rsidRDefault="00146578" w:rsidP="00146578">
      <w:pPr>
        <w:rPr>
          <w:lang w:val="lt-LT"/>
        </w:rPr>
      </w:pPr>
    </w:p>
    <w:p w14:paraId="47322A92" w14:textId="77777777" w:rsidR="00146578" w:rsidRPr="00491BF9" w:rsidRDefault="00146578" w:rsidP="00146578">
      <w:pPr>
        <w:rPr>
          <w:u w:val="single"/>
          <w:lang w:val="lt-LT"/>
        </w:rPr>
      </w:pPr>
      <w:r w:rsidRPr="00491BF9">
        <w:rPr>
          <w:u w:val="single"/>
          <w:lang w:val="lt-LT"/>
        </w:rPr>
        <w:t>Eliminacija</w:t>
      </w:r>
    </w:p>
    <w:p w14:paraId="6A97EAD1" w14:textId="77777777" w:rsidR="00146578" w:rsidRPr="00491BF9" w:rsidRDefault="00146578" w:rsidP="00146578">
      <w:pPr>
        <w:rPr>
          <w:lang w:val="lt-LT"/>
        </w:rPr>
      </w:pPr>
      <w:r w:rsidRPr="00491BF9">
        <w:rPr>
          <w:lang w:val="lt-LT"/>
        </w:rPr>
        <w:t>Daugiausiai Technetium (</w:t>
      </w:r>
      <w:r w:rsidRPr="00491BF9">
        <w:rPr>
          <w:vertAlign w:val="superscript"/>
          <w:lang w:val="lt-LT"/>
        </w:rPr>
        <w:t>99m</w:t>
      </w:r>
      <w:r w:rsidRPr="00491BF9">
        <w:rPr>
          <w:lang w:val="lt-LT"/>
        </w:rPr>
        <w:t>Tc) Sestamibi pašalinama per inkstus ir kepenų, tulžies pūslės ir latakų sistemą. Technetium (</w:t>
      </w:r>
      <w:r w:rsidRPr="00491BF9">
        <w:rPr>
          <w:vertAlign w:val="superscript"/>
          <w:lang w:val="lt-LT"/>
        </w:rPr>
        <w:t>99m</w:t>
      </w:r>
      <w:r w:rsidRPr="00491BF9">
        <w:rPr>
          <w:lang w:val="lt-LT"/>
        </w:rPr>
        <w:t>Tc) Sestamibi aktyvumas nuo tulžies pūslės per vieną valandą po injekcijos matomas žarnyne . Apie 27 % suleistos dozės pašalinama per inkstus per 24 valandas ir apytikriai 33 % suleistos dozės pašalinama su išmatomis per 48 valandas. Farmakokinetika pacientų, kurių inkstų ar kepenų veikla sutrikusi, organizme, necharakterizuota.</w:t>
      </w:r>
    </w:p>
    <w:p w14:paraId="61185493" w14:textId="77777777" w:rsidR="00146578" w:rsidRPr="00491BF9" w:rsidRDefault="00146578" w:rsidP="00146578">
      <w:pPr>
        <w:rPr>
          <w:lang w:val="lt-LT"/>
        </w:rPr>
      </w:pPr>
    </w:p>
    <w:p w14:paraId="7D7186E1" w14:textId="77777777" w:rsidR="00146578" w:rsidRPr="00491BF9" w:rsidRDefault="00146578" w:rsidP="00146578">
      <w:pPr>
        <w:rPr>
          <w:u w:val="single"/>
          <w:lang w:val="lt-LT"/>
        </w:rPr>
      </w:pPr>
      <w:r w:rsidRPr="00491BF9">
        <w:rPr>
          <w:u w:val="single"/>
          <w:lang w:val="lt-LT"/>
        </w:rPr>
        <w:t>Pusinis išskyrimo laikas</w:t>
      </w:r>
    </w:p>
    <w:p w14:paraId="07507322" w14:textId="77777777" w:rsidR="00146578" w:rsidRPr="00491BF9" w:rsidRDefault="00146578" w:rsidP="00146578">
      <w:pPr>
        <w:rPr>
          <w:lang w:val="lt-LT"/>
        </w:rPr>
      </w:pPr>
      <w:r w:rsidRPr="00491BF9">
        <w:rPr>
          <w:lang w:val="lt-LT"/>
        </w:rPr>
        <w:t>Biologinis miokardo Technetium (</w:t>
      </w:r>
      <w:r w:rsidRPr="00491BF9">
        <w:rPr>
          <w:vertAlign w:val="superscript"/>
          <w:lang w:val="lt-LT"/>
        </w:rPr>
        <w:t>99m</w:t>
      </w:r>
      <w:r w:rsidRPr="00491BF9">
        <w:rPr>
          <w:lang w:val="lt-LT"/>
        </w:rPr>
        <w:t>Tc) Sestamibi pusinio išskyrimo laikas yra apie 7 valandos ramybės ir streso būklėje. Veiksmingas pusinio išskyrimo laikas (kuris apima ir biologinį, ir fizinį pusinio išskyrimo laiką) yra apytikriai 3 valandos širdžiai ir apytikriai 30 minučių kepenims.</w:t>
      </w:r>
    </w:p>
    <w:p w14:paraId="345D898A" w14:textId="77777777" w:rsidR="00146578" w:rsidRPr="00491BF9" w:rsidRDefault="00146578" w:rsidP="00146578">
      <w:pPr>
        <w:rPr>
          <w:lang w:val="lt-LT"/>
        </w:rPr>
      </w:pPr>
    </w:p>
    <w:p w14:paraId="037230BA" w14:textId="77777777" w:rsidR="00146578" w:rsidRPr="00491BF9" w:rsidRDefault="00146578" w:rsidP="00146578">
      <w:pPr>
        <w:ind w:left="567" w:hanging="567"/>
        <w:rPr>
          <w:lang w:val="lt-LT"/>
        </w:rPr>
      </w:pPr>
      <w:r w:rsidRPr="00491BF9">
        <w:rPr>
          <w:b/>
          <w:lang w:val="lt-LT"/>
        </w:rPr>
        <w:t>5.3</w:t>
      </w:r>
      <w:r w:rsidRPr="00491BF9">
        <w:rPr>
          <w:b/>
          <w:lang w:val="lt-LT"/>
        </w:rPr>
        <w:tab/>
        <w:t>Ikiklinikinių saugumo tyrimų duomenys</w:t>
      </w:r>
    </w:p>
    <w:p w14:paraId="4EC40EE2" w14:textId="77777777" w:rsidR="00146578" w:rsidRPr="00491BF9" w:rsidRDefault="00146578" w:rsidP="00146578">
      <w:pPr>
        <w:rPr>
          <w:lang w:val="lt-LT"/>
        </w:rPr>
      </w:pPr>
    </w:p>
    <w:p w14:paraId="527BE099" w14:textId="77777777" w:rsidR="00146578" w:rsidRPr="00491BF9" w:rsidRDefault="00146578" w:rsidP="00146578">
      <w:pPr>
        <w:rPr>
          <w:lang w:val="lt-LT"/>
        </w:rPr>
      </w:pPr>
      <w:r w:rsidRPr="00491BF9">
        <w:rPr>
          <w:lang w:val="lt-LT"/>
        </w:rPr>
        <w:t>Ūmaus intraveninio toksiškumo bandymuose su pelėmis, žiurkėmis ir šunimis mažiausia praskiesto Sestamibi rinkinio dozė, sukėlusi mirtį, buvo žiurkių patelėms skirti 7 mg/kg (išreikšta kaip Cu (MIBI)</w:t>
      </w:r>
      <w:r w:rsidRPr="00491BF9">
        <w:rPr>
          <w:vertAlign w:val="subscript"/>
          <w:lang w:val="lt-LT"/>
        </w:rPr>
        <w:t>4</w:t>
      </w:r>
      <w:r w:rsidRPr="00491BF9">
        <w:rPr>
          <w:lang w:val="lt-LT"/>
        </w:rPr>
        <w:t xml:space="preserve"> BF</w:t>
      </w:r>
      <w:r w:rsidRPr="00491BF9">
        <w:rPr>
          <w:vertAlign w:val="subscript"/>
          <w:lang w:val="lt-LT"/>
        </w:rPr>
        <w:t>4</w:t>
      </w:r>
      <w:r w:rsidRPr="00491BF9">
        <w:rPr>
          <w:lang w:val="lt-LT"/>
        </w:rPr>
        <w:t xml:space="preserve"> turinio). Tai atitinka 500 didžiausias skiriamas žmonėms dozes (MHD, </w:t>
      </w:r>
      <w:r w:rsidRPr="00491BF9">
        <w:rPr>
          <w:i/>
          <w:lang w:val="lt-LT"/>
        </w:rPr>
        <w:t>maximal human dose</w:t>
      </w:r>
      <w:r w:rsidRPr="00491BF9">
        <w:rPr>
          <w:lang w:val="lt-LT"/>
        </w:rPr>
        <w:t>) – 0,014 mg/kg suaugusiajam (</w:t>
      </w:r>
      <w:smartTag w:uri="urn:schemas-microsoft-com:office:smarttags" w:element="metricconverter">
        <w:smartTagPr>
          <w:attr w:name="ProductID" w:val="70ﾠkg"/>
        </w:smartTagPr>
        <w:r w:rsidRPr="00491BF9">
          <w:rPr>
            <w:lang w:val="lt-LT"/>
          </w:rPr>
          <w:t>70 kg</w:t>
        </w:r>
      </w:smartTag>
      <w:r w:rsidRPr="00491BF9">
        <w:rPr>
          <w:lang w:val="lt-LT"/>
        </w:rPr>
        <w:t>). Nei žiurkėms, nei šunims nestebėta susijusio su gydymu poveikio 28 dienas skiriant 0,42 mg/kg (30 kartu didesnė nei MHD) ir 0,07 mg/kg (5 kartus didesnė nei MHD) praskiesto Sestamibi rinkinio. Pakartotinai paskyrus dozes, pirmieji toksiškumo simptomai atsirado 28 dienas skiriant dozes, 150 kartu didesnes už paros dozę.</w:t>
      </w:r>
    </w:p>
    <w:p w14:paraId="75642804" w14:textId="77777777" w:rsidR="00146578" w:rsidRPr="00491BF9" w:rsidRDefault="00146578" w:rsidP="00146578">
      <w:pPr>
        <w:rPr>
          <w:lang w:val="lt-LT"/>
        </w:rPr>
      </w:pPr>
    </w:p>
    <w:p w14:paraId="1E602AE0" w14:textId="77777777" w:rsidR="00146578" w:rsidRPr="00491BF9" w:rsidRDefault="00146578" w:rsidP="00146578">
      <w:pPr>
        <w:rPr>
          <w:lang w:val="lt-LT"/>
        </w:rPr>
      </w:pPr>
      <w:r w:rsidRPr="00491BF9">
        <w:rPr>
          <w:lang w:val="lt-LT"/>
        </w:rPr>
        <w:t>Gyvūnams sukėlus ekstravazaciją, injekcijos vietoje atsirado ūmus uždegimas su edema ir hemoragijomis.</w:t>
      </w:r>
    </w:p>
    <w:p w14:paraId="6A598BF2" w14:textId="77777777" w:rsidR="00146578" w:rsidRPr="00491BF9" w:rsidRDefault="00146578" w:rsidP="00146578">
      <w:pPr>
        <w:rPr>
          <w:lang w:val="lt-LT"/>
        </w:rPr>
      </w:pPr>
    </w:p>
    <w:p w14:paraId="085AA214" w14:textId="77777777" w:rsidR="00146578" w:rsidRPr="00491BF9" w:rsidRDefault="00146578" w:rsidP="00146578">
      <w:pPr>
        <w:rPr>
          <w:lang w:val="lt-LT"/>
        </w:rPr>
      </w:pPr>
      <w:r w:rsidRPr="00491BF9">
        <w:rPr>
          <w:lang w:val="lt-LT"/>
        </w:rPr>
        <w:t>Nebuvo atlikta toksinio poveikio reprodukcijai tyrimų.</w:t>
      </w:r>
    </w:p>
    <w:p w14:paraId="1808809B" w14:textId="77777777" w:rsidR="00146578" w:rsidRPr="00491BF9" w:rsidRDefault="00146578" w:rsidP="00146578">
      <w:pPr>
        <w:rPr>
          <w:lang w:val="lt-LT"/>
        </w:rPr>
      </w:pPr>
    </w:p>
    <w:p w14:paraId="193A7BA6" w14:textId="77777777" w:rsidR="00146578" w:rsidRPr="00491BF9" w:rsidRDefault="00146578" w:rsidP="00146578">
      <w:pPr>
        <w:rPr>
          <w:lang w:val="lt-LT"/>
        </w:rPr>
      </w:pPr>
      <w:r w:rsidRPr="00491BF9">
        <w:rPr>
          <w:lang w:val="lt-LT"/>
        </w:rPr>
        <w:t>Ames, CHO/HPRT ir seserų chromatidžių apsikeitimo testų metu nebuvo stebėta Cu (MIBI)</w:t>
      </w:r>
      <w:r w:rsidRPr="00491BF9">
        <w:rPr>
          <w:vertAlign w:val="subscript"/>
          <w:lang w:val="lt-LT"/>
        </w:rPr>
        <w:t>4</w:t>
      </w:r>
      <w:r w:rsidRPr="00491BF9">
        <w:rPr>
          <w:lang w:val="lt-LT"/>
        </w:rPr>
        <w:t xml:space="preserve"> BF</w:t>
      </w:r>
      <w:r w:rsidRPr="00491BF9">
        <w:rPr>
          <w:vertAlign w:val="subscript"/>
          <w:lang w:val="lt-LT"/>
        </w:rPr>
        <w:t>4</w:t>
      </w:r>
      <w:r w:rsidRPr="00491BF9">
        <w:rPr>
          <w:lang w:val="lt-LT"/>
        </w:rPr>
        <w:t xml:space="preserve"> genotoksinio aktyvumo. Esant citotoksinėms koncentracijoms, </w:t>
      </w:r>
      <w:r w:rsidRPr="00491BF9">
        <w:rPr>
          <w:i/>
          <w:lang w:val="lt-LT"/>
        </w:rPr>
        <w:t>in vitro</w:t>
      </w:r>
      <w:r w:rsidRPr="00491BF9">
        <w:rPr>
          <w:lang w:val="lt-LT"/>
        </w:rPr>
        <w:t xml:space="preserve"> žmogaus limfocitų tyrime buvo stebėtas chromosomų aberacijų pagausėjimas. </w:t>
      </w:r>
      <w:r w:rsidRPr="00491BF9">
        <w:rPr>
          <w:i/>
          <w:lang w:val="lt-LT"/>
        </w:rPr>
        <w:t>In vivo</w:t>
      </w:r>
      <w:r w:rsidRPr="00491BF9">
        <w:rPr>
          <w:lang w:val="lt-LT"/>
        </w:rPr>
        <w:t xml:space="preserve"> pelių mikrobranduolių testo metu genotoksinio aktyvumo nestebėta esant 9 mg/kg dozei.</w:t>
      </w:r>
    </w:p>
    <w:p w14:paraId="73A651C3" w14:textId="77777777" w:rsidR="00146578" w:rsidRPr="00491BF9" w:rsidRDefault="00146578" w:rsidP="00146578">
      <w:pPr>
        <w:rPr>
          <w:lang w:val="lt-LT"/>
        </w:rPr>
      </w:pPr>
    </w:p>
    <w:p w14:paraId="4E9BAA76" w14:textId="77777777" w:rsidR="00146578" w:rsidRPr="00491BF9" w:rsidRDefault="00146578" w:rsidP="00146578">
      <w:pPr>
        <w:rPr>
          <w:lang w:val="lt-LT"/>
        </w:rPr>
      </w:pPr>
      <w:r w:rsidRPr="00491BF9">
        <w:rPr>
          <w:lang w:val="lt-LT"/>
        </w:rPr>
        <w:t>Nebuvo atlikta radiofarmacinio preparato kancerogeninio poveikio tyrimų.</w:t>
      </w:r>
    </w:p>
    <w:p w14:paraId="44E75E30" w14:textId="77777777" w:rsidR="00146578" w:rsidRPr="00491BF9" w:rsidRDefault="00146578" w:rsidP="00146578">
      <w:pPr>
        <w:rPr>
          <w:lang w:val="lt-LT"/>
        </w:rPr>
      </w:pPr>
    </w:p>
    <w:p w14:paraId="7B1531CC" w14:textId="77777777" w:rsidR="00146578" w:rsidRPr="00491BF9" w:rsidRDefault="00146578" w:rsidP="00146578">
      <w:pPr>
        <w:rPr>
          <w:lang w:val="lt-LT"/>
        </w:rPr>
      </w:pPr>
    </w:p>
    <w:p w14:paraId="7724618E" w14:textId="77777777" w:rsidR="00146578" w:rsidRPr="00491BF9" w:rsidRDefault="00146578" w:rsidP="00146578">
      <w:pPr>
        <w:ind w:left="567" w:hanging="567"/>
        <w:rPr>
          <w:b/>
          <w:lang w:val="lt-LT"/>
        </w:rPr>
      </w:pPr>
      <w:r w:rsidRPr="00491BF9">
        <w:rPr>
          <w:b/>
          <w:lang w:val="lt-LT"/>
        </w:rPr>
        <w:t>6.</w:t>
      </w:r>
      <w:r w:rsidRPr="00491BF9">
        <w:rPr>
          <w:b/>
          <w:lang w:val="lt-LT"/>
        </w:rPr>
        <w:tab/>
      </w:r>
      <w:r w:rsidRPr="00491BF9">
        <w:rPr>
          <w:b/>
          <w:caps/>
          <w:lang w:val="lt-LT"/>
        </w:rPr>
        <w:t>farmacinė informacija</w:t>
      </w:r>
    </w:p>
    <w:p w14:paraId="49BF8DEE" w14:textId="77777777" w:rsidR="00146578" w:rsidRPr="00491BF9" w:rsidRDefault="00146578" w:rsidP="00146578">
      <w:pPr>
        <w:rPr>
          <w:lang w:val="lt-LT"/>
        </w:rPr>
      </w:pPr>
    </w:p>
    <w:p w14:paraId="54B4BB5A" w14:textId="77777777" w:rsidR="00146578" w:rsidRPr="00491BF9" w:rsidRDefault="00146578" w:rsidP="00146578">
      <w:pPr>
        <w:ind w:left="567" w:hanging="567"/>
        <w:rPr>
          <w:b/>
          <w:lang w:val="lt-LT"/>
        </w:rPr>
      </w:pPr>
      <w:r w:rsidRPr="00491BF9">
        <w:rPr>
          <w:b/>
          <w:lang w:val="lt-LT"/>
        </w:rPr>
        <w:t>6.1</w:t>
      </w:r>
      <w:r w:rsidRPr="00491BF9">
        <w:rPr>
          <w:b/>
          <w:lang w:val="lt-LT"/>
        </w:rPr>
        <w:tab/>
        <w:t>Pagalbinių medžiagų sąrašas</w:t>
      </w:r>
    </w:p>
    <w:p w14:paraId="34844802" w14:textId="77777777" w:rsidR="00146578" w:rsidRPr="00491BF9" w:rsidRDefault="00146578" w:rsidP="00146578">
      <w:pPr>
        <w:rPr>
          <w:lang w:val="lt-LT"/>
        </w:rPr>
      </w:pPr>
    </w:p>
    <w:p w14:paraId="51CB462C" w14:textId="77777777" w:rsidR="00146578" w:rsidRPr="00491BF9" w:rsidRDefault="00146578" w:rsidP="00146578">
      <w:pPr>
        <w:rPr>
          <w:lang w:val="lt-LT"/>
        </w:rPr>
      </w:pPr>
      <w:r w:rsidRPr="00491BF9">
        <w:rPr>
          <w:lang w:val="lt-LT"/>
        </w:rPr>
        <w:t>Alavo (II) chloridas dihidratas</w:t>
      </w:r>
    </w:p>
    <w:p w14:paraId="7E4FF0D4" w14:textId="77777777" w:rsidR="00146578" w:rsidRPr="00491BF9" w:rsidRDefault="00146578" w:rsidP="00146578">
      <w:pPr>
        <w:rPr>
          <w:lang w:val="lt-LT"/>
        </w:rPr>
      </w:pPr>
      <w:r w:rsidRPr="00491BF9">
        <w:rPr>
          <w:lang w:val="lt-LT"/>
        </w:rPr>
        <w:t>Cisteino hidrochloridas monohidratas</w:t>
      </w:r>
    </w:p>
    <w:p w14:paraId="5BD6F5F7" w14:textId="77777777" w:rsidR="00146578" w:rsidRPr="00491BF9" w:rsidRDefault="00146578" w:rsidP="00146578">
      <w:pPr>
        <w:rPr>
          <w:lang w:val="lt-LT"/>
        </w:rPr>
      </w:pPr>
      <w:r w:rsidRPr="00491BF9">
        <w:rPr>
          <w:lang w:val="lt-LT"/>
        </w:rPr>
        <w:t>Natrio citratas</w:t>
      </w:r>
    </w:p>
    <w:p w14:paraId="60A6F5CC" w14:textId="77777777" w:rsidR="00146578" w:rsidRPr="00491BF9" w:rsidRDefault="00146578" w:rsidP="00146578">
      <w:pPr>
        <w:rPr>
          <w:lang w:val="lt-LT"/>
        </w:rPr>
      </w:pPr>
      <w:r w:rsidRPr="00491BF9">
        <w:rPr>
          <w:lang w:val="lt-LT"/>
        </w:rPr>
        <w:t>Manitolis</w:t>
      </w:r>
    </w:p>
    <w:p w14:paraId="003070A0" w14:textId="77777777" w:rsidR="00146578" w:rsidRPr="00491BF9" w:rsidRDefault="00146578" w:rsidP="00146578">
      <w:pPr>
        <w:rPr>
          <w:lang w:val="lt-LT"/>
        </w:rPr>
      </w:pPr>
      <w:r w:rsidRPr="00491BF9">
        <w:rPr>
          <w:lang w:val="lt-LT"/>
        </w:rPr>
        <w:t>Vandenilio chlorido rūgštis (pH koregavimui)</w:t>
      </w:r>
    </w:p>
    <w:p w14:paraId="5D5D519C" w14:textId="77777777" w:rsidR="00146578" w:rsidRPr="00491BF9" w:rsidRDefault="00146578" w:rsidP="00146578">
      <w:pPr>
        <w:rPr>
          <w:lang w:val="lt-LT"/>
        </w:rPr>
      </w:pPr>
      <w:r w:rsidRPr="00491BF9">
        <w:rPr>
          <w:lang w:val="lt-LT"/>
        </w:rPr>
        <w:t>Natrio hidroksidas (pH koregavimui)</w:t>
      </w:r>
    </w:p>
    <w:p w14:paraId="6010C34F" w14:textId="77777777" w:rsidR="00146578" w:rsidRPr="00491BF9" w:rsidRDefault="00146578" w:rsidP="00146578">
      <w:pPr>
        <w:rPr>
          <w:lang w:val="lt-LT"/>
        </w:rPr>
      </w:pPr>
    </w:p>
    <w:p w14:paraId="7E219CAA" w14:textId="77777777" w:rsidR="00146578" w:rsidRPr="00491BF9" w:rsidRDefault="00146578" w:rsidP="00146578">
      <w:pPr>
        <w:ind w:left="567" w:hanging="567"/>
        <w:rPr>
          <w:lang w:val="lt-LT"/>
        </w:rPr>
      </w:pPr>
      <w:r w:rsidRPr="00491BF9">
        <w:rPr>
          <w:b/>
          <w:lang w:val="lt-LT"/>
        </w:rPr>
        <w:t>6.2</w:t>
      </w:r>
      <w:r w:rsidRPr="00491BF9">
        <w:rPr>
          <w:b/>
          <w:lang w:val="lt-LT"/>
        </w:rPr>
        <w:tab/>
        <w:t>Nesuderinamumas</w:t>
      </w:r>
    </w:p>
    <w:p w14:paraId="6A842655" w14:textId="77777777" w:rsidR="00146578" w:rsidRPr="00491BF9" w:rsidRDefault="00146578" w:rsidP="00146578">
      <w:pPr>
        <w:rPr>
          <w:lang w:val="lt-LT"/>
        </w:rPr>
      </w:pPr>
    </w:p>
    <w:p w14:paraId="6ABF7F64" w14:textId="77777777" w:rsidR="00146578" w:rsidRPr="00491BF9" w:rsidRDefault="00146578" w:rsidP="00146578">
      <w:pPr>
        <w:rPr>
          <w:lang w:val="lt-LT"/>
        </w:rPr>
      </w:pPr>
      <w:r w:rsidRPr="00491BF9">
        <w:rPr>
          <w:lang w:val="lt-LT"/>
        </w:rPr>
        <w:t>Šio vaistinio preparato negalima maišyti su kitais, išskyrus nurodytus 12 skyriuje.</w:t>
      </w:r>
    </w:p>
    <w:p w14:paraId="4F870A7A" w14:textId="77777777" w:rsidR="00146578" w:rsidRPr="00491BF9" w:rsidRDefault="00146578" w:rsidP="00146578">
      <w:pPr>
        <w:rPr>
          <w:lang w:val="lt-LT"/>
        </w:rPr>
      </w:pPr>
    </w:p>
    <w:p w14:paraId="0AA9BA6C" w14:textId="77777777" w:rsidR="00146578" w:rsidRPr="00491BF9" w:rsidRDefault="00146578" w:rsidP="00146578">
      <w:pPr>
        <w:keepNext/>
        <w:ind w:left="567" w:hanging="567"/>
        <w:rPr>
          <w:lang w:val="lt-LT"/>
        </w:rPr>
      </w:pPr>
      <w:r w:rsidRPr="00491BF9">
        <w:rPr>
          <w:b/>
          <w:lang w:val="lt-LT"/>
        </w:rPr>
        <w:t>6.3</w:t>
      </w:r>
      <w:r w:rsidRPr="00491BF9">
        <w:rPr>
          <w:b/>
          <w:lang w:val="lt-LT"/>
        </w:rPr>
        <w:tab/>
        <w:t>Tinkamumo laikas</w:t>
      </w:r>
    </w:p>
    <w:p w14:paraId="2C617B61" w14:textId="77777777" w:rsidR="00146578" w:rsidRPr="00491BF9" w:rsidRDefault="00146578" w:rsidP="00146578">
      <w:pPr>
        <w:rPr>
          <w:lang w:val="lt-LT"/>
        </w:rPr>
      </w:pPr>
    </w:p>
    <w:p w14:paraId="32C71048" w14:textId="77777777" w:rsidR="00146578" w:rsidRPr="00491BF9" w:rsidRDefault="00146578" w:rsidP="00146578">
      <w:pPr>
        <w:rPr>
          <w:lang w:val="lt-LT"/>
        </w:rPr>
      </w:pPr>
      <w:r w:rsidRPr="00491BF9">
        <w:rPr>
          <w:lang w:val="lt-LT"/>
        </w:rPr>
        <w:t>2 metai.</w:t>
      </w:r>
    </w:p>
    <w:p w14:paraId="19C85E0B" w14:textId="77777777" w:rsidR="00146578" w:rsidRPr="00491BF9" w:rsidRDefault="00146578" w:rsidP="00146578">
      <w:pPr>
        <w:rPr>
          <w:lang w:val="lt-LT"/>
        </w:rPr>
      </w:pPr>
      <w:r w:rsidRPr="00491BF9">
        <w:rPr>
          <w:lang w:val="lt-LT"/>
        </w:rPr>
        <w:t>Radioaktyviai pažymėjus: 10 valandų. Radioaktyviai pažymėtą tirpalą laikyti ne aukštesnėje kaip 25 </w:t>
      </w:r>
      <w:r w:rsidRPr="00491BF9">
        <w:rPr>
          <w:lang w:val="lt-LT"/>
        </w:rPr>
        <w:sym w:font="Symbol" w:char="F0B0"/>
      </w:r>
      <w:r w:rsidRPr="00491BF9">
        <w:rPr>
          <w:lang w:val="lt-LT"/>
        </w:rPr>
        <w:t>C temperatūroje.</w:t>
      </w:r>
    </w:p>
    <w:p w14:paraId="36CC9534" w14:textId="77777777" w:rsidR="00146578" w:rsidRPr="00491BF9" w:rsidRDefault="00146578" w:rsidP="00146578">
      <w:pPr>
        <w:rPr>
          <w:b/>
          <w:lang w:val="lt-LT"/>
        </w:rPr>
      </w:pPr>
    </w:p>
    <w:p w14:paraId="6184B11F" w14:textId="77777777" w:rsidR="00146578" w:rsidRPr="00491BF9" w:rsidRDefault="00146578" w:rsidP="00146578">
      <w:pPr>
        <w:ind w:left="567" w:hanging="567"/>
        <w:rPr>
          <w:b/>
          <w:lang w:val="lt-LT"/>
        </w:rPr>
      </w:pPr>
      <w:r w:rsidRPr="00491BF9">
        <w:rPr>
          <w:b/>
          <w:lang w:val="lt-LT"/>
        </w:rPr>
        <w:t>6.4</w:t>
      </w:r>
      <w:r w:rsidRPr="00491BF9">
        <w:rPr>
          <w:b/>
          <w:lang w:val="lt-LT"/>
        </w:rPr>
        <w:tab/>
        <w:t>Specialios laikymo sąlygos</w:t>
      </w:r>
    </w:p>
    <w:p w14:paraId="3A8BEC2C" w14:textId="77777777" w:rsidR="00146578" w:rsidRPr="00491BF9" w:rsidRDefault="00146578" w:rsidP="00146578">
      <w:pPr>
        <w:rPr>
          <w:lang w:val="lt-LT"/>
        </w:rPr>
      </w:pPr>
    </w:p>
    <w:p w14:paraId="24F01BC5" w14:textId="77777777" w:rsidR="00146578" w:rsidRPr="00491BF9" w:rsidRDefault="00146578" w:rsidP="00146578">
      <w:pPr>
        <w:rPr>
          <w:lang w:val="lt-LT"/>
        </w:rPr>
      </w:pPr>
      <w:r w:rsidRPr="00491BF9">
        <w:rPr>
          <w:lang w:val="lt-LT"/>
        </w:rPr>
        <w:t>Laikyti ne aukštesnėje kaip 25 </w:t>
      </w:r>
      <w:r w:rsidRPr="00491BF9">
        <w:rPr>
          <w:lang w:val="lt-LT"/>
        </w:rPr>
        <w:sym w:font="Symbol" w:char="F0B0"/>
      </w:r>
      <w:r w:rsidRPr="00491BF9">
        <w:rPr>
          <w:lang w:val="lt-LT"/>
        </w:rPr>
        <w:t>C temperatūroje. Flakonus laikyti išorinėje dėžutėje, kad preparatas būtų apsaugotas nuo šviesos.</w:t>
      </w:r>
    </w:p>
    <w:p w14:paraId="2A66087E" w14:textId="77777777" w:rsidR="00146578" w:rsidRPr="00491BF9" w:rsidRDefault="00146578" w:rsidP="00146578">
      <w:pPr>
        <w:rPr>
          <w:lang w:val="lt-LT"/>
        </w:rPr>
      </w:pPr>
      <w:r w:rsidRPr="00491BF9">
        <w:rPr>
          <w:lang w:val="lt-LT"/>
        </w:rPr>
        <w:t>Radioaktyviai pažymėto vaistinio preparato laikymo sąlygos pateikiamos 6.3 skyriuje.</w:t>
      </w:r>
    </w:p>
    <w:p w14:paraId="27609EE5" w14:textId="77777777" w:rsidR="00146578" w:rsidRPr="00491BF9" w:rsidRDefault="00146578" w:rsidP="00146578">
      <w:pPr>
        <w:rPr>
          <w:lang w:val="lt-LT"/>
        </w:rPr>
      </w:pPr>
    </w:p>
    <w:p w14:paraId="40BC77DB" w14:textId="77777777" w:rsidR="00146578" w:rsidRPr="00491BF9" w:rsidRDefault="00146578" w:rsidP="00146578">
      <w:pPr>
        <w:rPr>
          <w:lang w:val="lt-LT"/>
        </w:rPr>
      </w:pPr>
      <w:r w:rsidRPr="00491BF9">
        <w:rPr>
          <w:bCs/>
          <w:color w:val="000000"/>
          <w:lang w:val="lt-LT"/>
        </w:rPr>
        <w:t>Radiofarmacinius preparatus laikyti</w:t>
      </w:r>
      <w:r w:rsidRPr="00491BF9">
        <w:rPr>
          <w:color w:val="000000"/>
          <w:lang w:val="lt-LT"/>
        </w:rPr>
        <w:t xml:space="preserve"> laikantis radioaktyviųjų medžiagų laikymo taisyklių</w:t>
      </w:r>
      <w:r w:rsidRPr="00491BF9">
        <w:rPr>
          <w:lang w:val="lt-LT"/>
        </w:rPr>
        <w:t>.</w:t>
      </w:r>
    </w:p>
    <w:p w14:paraId="194EDD09" w14:textId="77777777" w:rsidR="00146578" w:rsidRPr="00491BF9" w:rsidRDefault="00146578" w:rsidP="00146578">
      <w:pPr>
        <w:rPr>
          <w:lang w:val="lt-LT"/>
        </w:rPr>
      </w:pPr>
    </w:p>
    <w:p w14:paraId="018258E5" w14:textId="77777777" w:rsidR="00146578" w:rsidRPr="00491BF9" w:rsidRDefault="00146578" w:rsidP="00146578">
      <w:pPr>
        <w:numPr>
          <w:ilvl w:val="1"/>
          <w:numId w:val="11"/>
        </w:numPr>
        <w:rPr>
          <w:b/>
          <w:lang w:val="lt-LT"/>
        </w:rPr>
      </w:pPr>
      <w:r w:rsidRPr="00491BF9">
        <w:rPr>
          <w:b/>
          <w:bCs/>
          <w:lang w:val="lt-LT"/>
        </w:rPr>
        <w:t>Talpyklės pobūdis ir jos</w:t>
      </w:r>
      <w:r w:rsidRPr="00491BF9">
        <w:rPr>
          <w:lang w:val="lt-LT"/>
        </w:rPr>
        <w:t xml:space="preserve"> </w:t>
      </w:r>
      <w:r w:rsidRPr="00491BF9">
        <w:rPr>
          <w:b/>
          <w:lang w:val="lt-LT"/>
        </w:rPr>
        <w:t>turinys</w:t>
      </w:r>
    </w:p>
    <w:p w14:paraId="00990CA2" w14:textId="77777777" w:rsidR="00146578" w:rsidRPr="00491BF9" w:rsidRDefault="00146578" w:rsidP="00146578">
      <w:pPr>
        <w:rPr>
          <w:lang w:val="lt-LT"/>
        </w:rPr>
      </w:pPr>
    </w:p>
    <w:p w14:paraId="0A864240" w14:textId="77777777" w:rsidR="00146578" w:rsidRPr="00491BF9" w:rsidRDefault="00146578" w:rsidP="00146578">
      <w:pPr>
        <w:rPr>
          <w:lang w:val="lt-LT"/>
        </w:rPr>
      </w:pPr>
      <w:r w:rsidRPr="00491BF9">
        <w:rPr>
          <w:lang w:val="lt-LT"/>
        </w:rPr>
        <w:t>10 ml daugiadoziai stikliniai flakonai, pagaminti iš 1 tipo borosilikato stiklo, uždaryti chlorbutilo gumos kamščiu.</w:t>
      </w:r>
    </w:p>
    <w:p w14:paraId="5BA85458" w14:textId="77777777" w:rsidR="00146578" w:rsidRPr="00491BF9" w:rsidRDefault="00146578" w:rsidP="00146578">
      <w:pPr>
        <w:rPr>
          <w:lang w:val="lt-LT"/>
        </w:rPr>
      </w:pPr>
    </w:p>
    <w:p w14:paraId="3D5CF6CB" w14:textId="79800479" w:rsidR="00146578" w:rsidRPr="00491BF9" w:rsidRDefault="00146578" w:rsidP="00957E92">
      <w:pPr>
        <w:rPr>
          <w:lang w:val="lt-LT"/>
        </w:rPr>
      </w:pPr>
      <w:r w:rsidRPr="00491BF9">
        <w:rPr>
          <w:lang w:val="lt-LT"/>
        </w:rPr>
        <w:t>Pakuotės dydis:</w:t>
      </w:r>
      <w:r w:rsidR="00957E92">
        <w:rPr>
          <w:lang w:val="lt-LT"/>
        </w:rPr>
        <w:t xml:space="preserve"> </w:t>
      </w:r>
      <w:r w:rsidRPr="00491BF9">
        <w:rPr>
          <w:lang w:val="lt-LT"/>
        </w:rPr>
        <w:t>5 flakonai.</w:t>
      </w:r>
    </w:p>
    <w:p w14:paraId="3274AA54" w14:textId="77777777" w:rsidR="00146578" w:rsidRPr="00491BF9" w:rsidRDefault="00146578" w:rsidP="00146578">
      <w:pPr>
        <w:rPr>
          <w:lang w:val="lt-LT"/>
        </w:rPr>
      </w:pPr>
    </w:p>
    <w:p w14:paraId="40B73786" w14:textId="77777777" w:rsidR="00146578" w:rsidRPr="00491BF9" w:rsidRDefault="00146578" w:rsidP="00146578">
      <w:pPr>
        <w:ind w:left="567" w:hanging="567"/>
        <w:outlineLvl w:val="0"/>
        <w:rPr>
          <w:lang w:val="lt-LT"/>
        </w:rPr>
      </w:pPr>
      <w:r w:rsidRPr="00491BF9">
        <w:rPr>
          <w:b/>
          <w:lang w:val="lt-LT"/>
        </w:rPr>
        <w:t>6.6</w:t>
      </w:r>
      <w:r w:rsidRPr="00491BF9">
        <w:rPr>
          <w:b/>
          <w:lang w:val="lt-LT"/>
        </w:rPr>
        <w:tab/>
      </w:r>
      <w:r w:rsidRPr="00491BF9">
        <w:rPr>
          <w:b/>
          <w:color w:val="000000"/>
          <w:lang w:val="lt-LT"/>
        </w:rPr>
        <w:t>Specialūs reikalavimai atliekoms tvarkyti ir vaistiniam preparatui ruošti</w:t>
      </w:r>
    </w:p>
    <w:p w14:paraId="4FD9F5CE" w14:textId="77777777" w:rsidR="00146578" w:rsidRPr="00491BF9" w:rsidRDefault="00146578" w:rsidP="00146578">
      <w:pPr>
        <w:rPr>
          <w:lang w:val="lt-LT"/>
        </w:rPr>
      </w:pPr>
    </w:p>
    <w:p w14:paraId="77B7CFC7" w14:textId="77777777" w:rsidR="00146578" w:rsidRPr="00491BF9" w:rsidRDefault="00146578" w:rsidP="00146578">
      <w:pPr>
        <w:rPr>
          <w:lang w:val="lt-LT"/>
        </w:rPr>
      </w:pPr>
      <w:r w:rsidRPr="00491BF9">
        <w:rPr>
          <w:u w:val="single"/>
          <w:lang w:val="lt-LT"/>
        </w:rPr>
        <w:t>Bendri įspėjimai</w:t>
      </w:r>
    </w:p>
    <w:p w14:paraId="61AAED5E" w14:textId="77777777" w:rsidR="00146578" w:rsidRPr="00491BF9" w:rsidRDefault="00146578" w:rsidP="00146578">
      <w:pPr>
        <w:rPr>
          <w:lang w:val="lt-LT"/>
        </w:rPr>
      </w:pPr>
      <w:r w:rsidRPr="00491BF9">
        <w:rPr>
          <w:lang w:val="lt-LT"/>
        </w:rPr>
        <w:t>Radiofarmacinius preparatus turi gauti, vartoti ir skirti tik įgalioti asmenys nurodytomis klinikinėmis sąlygomis. Jų gavimas, sandėliavimas, naudojimas ir sunaikinimas priklauso nuo vietinių kompetentingų ir (arba) licencijuotų oficialių organizacijų taisyklių.</w:t>
      </w:r>
    </w:p>
    <w:p w14:paraId="75611486" w14:textId="77777777" w:rsidR="00146578" w:rsidRPr="00491BF9" w:rsidRDefault="00146578" w:rsidP="00146578">
      <w:pPr>
        <w:rPr>
          <w:lang w:val="lt-LT"/>
        </w:rPr>
      </w:pPr>
    </w:p>
    <w:p w14:paraId="285D4FAB" w14:textId="77777777" w:rsidR="00146578" w:rsidRPr="00491BF9" w:rsidRDefault="00146578" w:rsidP="00146578">
      <w:pPr>
        <w:rPr>
          <w:lang w:val="lt-LT"/>
        </w:rPr>
      </w:pPr>
      <w:r w:rsidRPr="00491BF9">
        <w:rPr>
          <w:lang w:val="lt-LT"/>
        </w:rPr>
        <w:t>Vartotojai turi ruošti radiofarmacinius preparatus tokiu būdu, kad būtų laikomasi tiek radiacinio saugumo, tiek farmacinės kokybės reikalavimų. Turi būti laikomasi atitinkamų aseptikos reikalavimų.</w:t>
      </w:r>
    </w:p>
    <w:p w14:paraId="1EC617AF" w14:textId="77777777" w:rsidR="00146578" w:rsidRPr="00491BF9" w:rsidRDefault="00146578" w:rsidP="00146578">
      <w:pPr>
        <w:rPr>
          <w:lang w:val="lt-LT"/>
        </w:rPr>
      </w:pPr>
    </w:p>
    <w:p w14:paraId="30874FC5" w14:textId="77777777" w:rsidR="00146578" w:rsidRPr="00491BF9" w:rsidRDefault="00146578" w:rsidP="00146578">
      <w:pPr>
        <w:rPr>
          <w:lang w:val="lt-LT"/>
        </w:rPr>
      </w:pPr>
      <w:r w:rsidRPr="00491BF9">
        <w:rPr>
          <w:lang w:val="lt-LT"/>
        </w:rPr>
        <w:t>Flakono turinys skirtas tik Technetium (</w:t>
      </w:r>
      <w:r w:rsidRPr="00491BF9">
        <w:rPr>
          <w:vertAlign w:val="superscript"/>
          <w:lang w:val="lt-LT"/>
        </w:rPr>
        <w:t>99m</w:t>
      </w:r>
      <w:r w:rsidRPr="00491BF9">
        <w:rPr>
          <w:lang w:val="lt-LT"/>
        </w:rPr>
        <w:t>Tc) Sestamibi paruošimui, jo negalima tiesiogiai skirti pacientui prieš tai neatlikus paruošiamosios procedūros.</w:t>
      </w:r>
    </w:p>
    <w:p w14:paraId="520BFF13" w14:textId="77777777" w:rsidR="00146578" w:rsidRPr="00491BF9" w:rsidRDefault="00146578" w:rsidP="00146578">
      <w:pPr>
        <w:rPr>
          <w:lang w:val="lt-LT"/>
        </w:rPr>
      </w:pPr>
    </w:p>
    <w:p w14:paraId="314552D2" w14:textId="77777777" w:rsidR="00146578" w:rsidRPr="00491BF9" w:rsidRDefault="00146578" w:rsidP="00146578">
      <w:pPr>
        <w:rPr>
          <w:lang w:val="lt-LT"/>
        </w:rPr>
      </w:pPr>
      <w:r w:rsidRPr="00491BF9">
        <w:rPr>
          <w:lang w:val="lt-LT"/>
        </w:rPr>
        <w:t xml:space="preserve">Vaistinio preparato laikinojo ruošimo prieš vartojant instrukcija pateikiama 12 skyriuje. </w:t>
      </w:r>
    </w:p>
    <w:p w14:paraId="4B8710BD" w14:textId="77777777" w:rsidR="00146578" w:rsidRPr="00491BF9" w:rsidRDefault="00146578" w:rsidP="00146578">
      <w:pPr>
        <w:rPr>
          <w:lang w:val="lt-LT"/>
        </w:rPr>
      </w:pPr>
    </w:p>
    <w:p w14:paraId="179A0352" w14:textId="77777777" w:rsidR="00146578" w:rsidRPr="00491BF9" w:rsidRDefault="00146578" w:rsidP="00146578">
      <w:pPr>
        <w:rPr>
          <w:lang w:val="lt-LT"/>
        </w:rPr>
      </w:pPr>
      <w:r w:rsidRPr="00491BF9">
        <w:rPr>
          <w:lang w:val="lt-LT"/>
        </w:rPr>
        <w:t>Bet kuriuo paruošimo momentu pažeidus šio flakono vientisumą, jo vartoti negalima.</w:t>
      </w:r>
    </w:p>
    <w:p w14:paraId="0A7E2068" w14:textId="77777777" w:rsidR="00146578" w:rsidRPr="00491BF9" w:rsidRDefault="00146578" w:rsidP="00146578">
      <w:pPr>
        <w:rPr>
          <w:lang w:val="lt-LT"/>
        </w:rPr>
      </w:pPr>
    </w:p>
    <w:p w14:paraId="23ADF16D" w14:textId="77777777" w:rsidR="00146578" w:rsidRPr="00491BF9" w:rsidRDefault="00146578" w:rsidP="00146578">
      <w:pPr>
        <w:rPr>
          <w:lang w:val="lt-LT"/>
        </w:rPr>
      </w:pPr>
      <w:r w:rsidRPr="00491BF9">
        <w:rPr>
          <w:lang w:val="lt-LT"/>
        </w:rPr>
        <w:t>Vartojimo procedūros turi būti atliekamos taip, kad būtų sumažinta vaistinio preparato užteršimo ir apšvitos rizika. Reikia užtikrinti tinkamą apsaugą.</w:t>
      </w:r>
    </w:p>
    <w:p w14:paraId="6313AC8D" w14:textId="77777777" w:rsidR="00146578" w:rsidRPr="00491BF9" w:rsidRDefault="00146578" w:rsidP="00146578">
      <w:pPr>
        <w:rPr>
          <w:lang w:val="lt-LT"/>
        </w:rPr>
      </w:pPr>
    </w:p>
    <w:p w14:paraId="04CF81C8" w14:textId="77777777" w:rsidR="00146578" w:rsidRPr="00491BF9" w:rsidRDefault="00146578" w:rsidP="00146578">
      <w:pPr>
        <w:rPr>
          <w:lang w:val="lt-LT"/>
        </w:rPr>
      </w:pPr>
      <w:r w:rsidRPr="00491BF9">
        <w:rPr>
          <w:lang w:val="lt-LT"/>
        </w:rPr>
        <w:t>Rinkinio turinys iki laikinojo paruošimo nėra radioaktyvus. Tačiau po to, kai pridedama natrio pertechnetato (</w:t>
      </w:r>
      <w:r w:rsidRPr="00491BF9">
        <w:rPr>
          <w:vertAlign w:val="superscript"/>
          <w:lang w:val="lt-LT"/>
        </w:rPr>
        <w:t>99m</w:t>
      </w:r>
      <w:r w:rsidRPr="00491BF9">
        <w:rPr>
          <w:lang w:val="lt-LT"/>
        </w:rPr>
        <w:t>Tc), reikia užtikrinti tinkamą galutinio preparato apsaugą.</w:t>
      </w:r>
    </w:p>
    <w:p w14:paraId="27B27FFE" w14:textId="77777777" w:rsidR="00146578" w:rsidRPr="00491BF9" w:rsidRDefault="00146578" w:rsidP="00146578">
      <w:pPr>
        <w:rPr>
          <w:lang w:val="lt-LT"/>
        </w:rPr>
      </w:pPr>
    </w:p>
    <w:p w14:paraId="05E4FECE" w14:textId="77777777" w:rsidR="00146578" w:rsidRPr="00491BF9" w:rsidRDefault="00146578" w:rsidP="00146578">
      <w:pPr>
        <w:rPr>
          <w:lang w:val="lt-LT"/>
        </w:rPr>
      </w:pPr>
      <w:r w:rsidRPr="00491BF9">
        <w:rPr>
          <w:lang w:val="lt-LT"/>
        </w:rPr>
        <w:t>Skiriant radiofarmacines medžiagas atsiranda išorinio spinduliavimo ar užkrėtimo nuo išsiliejusio šlapimo, vėmimo turinio ar bet kokių kitų biologinių skysčių rizika. Todėl reikia imtis atsargumo priemonių dėl radiacinio saugumo laikantis vietinių reikalavimų.</w:t>
      </w:r>
    </w:p>
    <w:p w14:paraId="3D0FDBE9" w14:textId="77777777" w:rsidR="00146578" w:rsidRPr="00491BF9" w:rsidRDefault="00146578" w:rsidP="00146578">
      <w:pPr>
        <w:rPr>
          <w:lang w:val="lt-LT"/>
        </w:rPr>
      </w:pPr>
    </w:p>
    <w:p w14:paraId="24744087" w14:textId="3F389988" w:rsidR="00146578" w:rsidRPr="00491BF9" w:rsidRDefault="00146578" w:rsidP="00146578">
      <w:pPr>
        <w:rPr>
          <w:lang w:val="lt-LT"/>
        </w:rPr>
      </w:pPr>
      <w:r w:rsidRPr="00491BF9">
        <w:rPr>
          <w:lang w:val="lt-LT"/>
        </w:rPr>
        <w:t>Nesuvartotą vaistinį preparatą ar atliekas reikia tvarkyti laikantis vietinių reikalavimų.</w:t>
      </w:r>
    </w:p>
    <w:p w14:paraId="1ADC4E71" w14:textId="77777777" w:rsidR="00146578" w:rsidRPr="00491BF9" w:rsidRDefault="00146578" w:rsidP="00146578">
      <w:pPr>
        <w:rPr>
          <w:lang w:val="lt-LT"/>
        </w:rPr>
      </w:pPr>
    </w:p>
    <w:p w14:paraId="10B9FEE6" w14:textId="77777777" w:rsidR="00146578" w:rsidRPr="00491BF9" w:rsidRDefault="00146578" w:rsidP="00146578">
      <w:pPr>
        <w:rPr>
          <w:lang w:val="lt-LT"/>
        </w:rPr>
      </w:pPr>
    </w:p>
    <w:p w14:paraId="4A7479B9" w14:textId="7966CEBE" w:rsidR="00146578" w:rsidRPr="00491BF9" w:rsidRDefault="00146578" w:rsidP="00146578">
      <w:pPr>
        <w:ind w:left="567" w:hanging="567"/>
        <w:rPr>
          <w:lang w:val="lt-LT"/>
        </w:rPr>
      </w:pPr>
      <w:r w:rsidRPr="00491BF9">
        <w:rPr>
          <w:b/>
          <w:lang w:val="lt-LT"/>
        </w:rPr>
        <w:t>7.</w:t>
      </w:r>
      <w:r w:rsidRPr="00491BF9">
        <w:rPr>
          <w:b/>
          <w:lang w:val="lt-LT"/>
        </w:rPr>
        <w:tab/>
      </w:r>
      <w:r w:rsidRPr="00491BF9">
        <w:rPr>
          <w:b/>
          <w:caps/>
          <w:lang w:val="lt-LT"/>
        </w:rPr>
        <w:t>R</w:t>
      </w:r>
      <w:r w:rsidR="007B44B7">
        <w:rPr>
          <w:b/>
          <w:caps/>
          <w:lang w:val="lt-LT"/>
        </w:rPr>
        <w:t>EGISTRUOTOJAS</w:t>
      </w:r>
    </w:p>
    <w:p w14:paraId="716E8293" w14:textId="77777777" w:rsidR="00146578" w:rsidRPr="00491BF9" w:rsidRDefault="00146578" w:rsidP="00146578">
      <w:pPr>
        <w:rPr>
          <w:lang w:val="lt-LT"/>
        </w:rPr>
      </w:pPr>
    </w:p>
    <w:p w14:paraId="37942F79" w14:textId="77777777" w:rsidR="00146578" w:rsidRPr="00491BF9" w:rsidRDefault="00AD4796" w:rsidP="00146578">
      <w:pPr>
        <w:rPr>
          <w:lang w:val="lt-LT"/>
        </w:rPr>
      </w:pPr>
      <w:r w:rsidRPr="00491BF9">
        <w:rPr>
          <w:lang w:val="lt-LT"/>
        </w:rPr>
        <w:t xml:space="preserve">Curium Netherlands </w:t>
      </w:r>
      <w:r w:rsidR="00146578" w:rsidRPr="00491BF9">
        <w:rPr>
          <w:lang w:val="lt-LT"/>
        </w:rPr>
        <w:t>B.V.</w:t>
      </w:r>
    </w:p>
    <w:p w14:paraId="4AEE085A" w14:textId="77777777" w:rsidR="00146578" w:rsidRPr="00491BF9" w:rsidRDefault="00146578" w:rsidP="00146578">
      <w:pPr>
        <w:rPr>
          <w:lang w:val="lt-LT"/>
        </w:rPr>
      </w:pPr>
      <w:r w:rsidRPr="00491BF9">
        <w:rPr>
          <w:lang w:val="lt-LT"/>
        </w:rPr>
        <w:t>Westerduinweg 3</w:t>
      </w:r>
    </w:p>
    <w:p w14:paraId="28C344E8" w14:textId="77777777" w:rsidR="00146578" w:rsidRPr="00491BF9" w:rsidRDefault="00146578" w:rsidP="00146578">
      <w:pPr>
        <w:rPr>
          <w:lang w:val="lt-LT"/>
        </w:rPr>
      </w:pPr>
      <w:r w:rsidRPr="00491BF9">
        <w:rPr>
          <w:lang w:val="lt-LT"/>
        </w:rPr>
        <w:t>1755 LE PETTEN</w:t>
      </w:r>
    </w:p>
    <w:p w14:paraId="66373472" w14:textId="77777777" w:rsidR="00146578" w:rsidRPr="00491BF9" w:rsidRDefault="00146578" w:rsidP="00146578">
      <w:pPr>
        <w:rPr>
          <w:lang w:val="lt-LT"/>
        </w:rPr>
      </w:pPr>
      <w:r w:rsidRPr="00491BF9">
        <w:rPr>
          <w:lang w:val="lt-LT"/>
        </w:rPr>
        <w:t>Nyderlandai</w:t>
      </w:r>
    </w:p>
    <w:p w14:paraId="6EE3F425" w14:textId="77777777" w:rsidR="00146578" w:rsidRPr="00491BF9" w:rsidRDefault="00146578" w:rsidP="00146578">
      <w:pPr>
        <w:rPr>
          <w:lang w:val="lt-LT"/>
        </w:rPr>
      </w:pPr>
    </w:p>
    <w:p w14:paraId="3A1A1D83" w14:textId="77777777" w:rsidR="00146578" w:rsidRPr="00491BF9" w:rsidRDefault="00146578" w:rsidP="00146578">
      <w:pPr>
        <w:rPr>
          <w:lang w:val="lt-LT"/>
        </w:rPr>
      </w:pPr>
    </w:p>
    <w:p w14:paraId="16EAFDFD" w14:textId="5DDD0097" w:rsidR="00146578" w:rsidRPr="00491BF9" w:rsidRDefault="00146578" w:rsidP="00146578">
      <w:pPr>
        <w:ind w:left="567" w:hanging="567"/>
        <w:rPr>
          <w:b/>
          <w:lang w:val="lt-LT"/>
        </w:rPr>
      </w:pPr>
      <w:r w:rsidRPr="00491BF9">
        <w:rPr>
          <w:b/>
          <w:lang w:val="lt-LT"/>
        </w:rPr>
        <w:t>8.</w:t>
      </w:r>
      <w:r w:rsidRPr="00491BF9">
        <w:rPr>
          <w:b/>
          <w:lang w:val="lt-LT"/>
        </w:rPr>
        <w:tab/>
      </w:r>
      <w:r w:rsidRPr="00491BF9">
        <w:rPr>
          <w:b/>
          <w:caps/>
          <w:lang w:val="lt-LT"/>
        </w:rPr>
        <w:t>R</w:t>
      </w:r>
      <w:r w:rsidR="00752D28">
        <w:rPr>
          <w:b/>
          <w:caps/>
          <w:lang w:val="lt-LT"/>
        </w:rPr>
        <w:t xml:space="preserve">EGISTRACIJOS PAŽYMĖJIMO </w:t>
      </w:r>
      <w:r w:rsidRPr="00491BF9">
        <w:rPr>
          <w:b/>
          <w:caps/>
          <w:lang w:val="lt-LT"/>
        </w:rPr>
        <w:t>numeris</w:t>
      </w:r>
      <w:r w:rsidRPr="00491BF9">
        <w:rPr>
          <w:b/>
          <w:lang w:val="lt-LT"/>
        </w:rPr>
        <w:t xml:space="preserve"> </w:t>
      </w:r>
      <w:r w:rsidRPr="00491BF9">
        <w:rPr>
          <w:b/>
          <w:caps/>
          <w:lang w:val="lt-LT"/>
        </w:rPr>
        <w:t>(-IAI)</w:t>
      </w:r>
    </w:p>
    <w:p w14:paraId="501E8CC1" w14:textId="77777777" w:rsidR="00146578" w:rsidRPr="00491BF9" w:rsidRDefault="00146578" w:rsidP="00146578">
      <w:pPr>
        <w:rPr>
          <w:i/>
          <w:lang w:val="lt-LT"/>
        </w:rPr>
      </w:pPr>
    </w:p>
    <w:p w14:paraId="3F0AAAA5" w14:textId="77777777" w:rsidR="00146578" w:rsidRPr="00491BF9" w:rsidRDefault="00146578" w:rsidP="00146578">
      <w:pPr>
        <w:rPr>
          <w:lang w:val="lt-LT"/>
        </w:rPr>
      </w:pPr>
      <w:r w:rsidRPr="00491BF9">
        <w:rPr>
          <w:lang w:val="lt-LT"/>
        </w:rPr>
        <w:t>LT/1/08/1366/001</w:t>
      </w:r>
    </w:p>
    <w:p w14:paraId="17415050" w14:textId="77777777" w:rsidR="00146578" w:rsidRPr="00491BF9" w:rsidRDefault="00146578" w:rsidP="00146578">
      <w:pPr>
        <w:rPr>
          <w:lang w:val="lt-LT"/>
        </w:rPr>
      </w:pPr>
    </w:p>
    <w:p w14:paraId="3FB2D4C5" w14:textId="77777777" w:rsidR="00146578" w:rsidRPr="00491BF9" w:rsidRDefault="00146578" w:rsidP="00146578">
      <w:pPr>
        <w:rPr>
          <w:lang w:val="lt-LT"/>
        </w:rPr>
      </w:pPr>
    </w:p>
    <w:p w14:paraId="4A995CE3" w14:textId="192CD380" w:rsidR="00146578" w:rsidRPr="00491BF9" w:rsidRDefault="00146578" w:rsidP="00146578">
      <w:pPr>
        <w:ind w:left="567" w:hanging="567"/>
        <w:rPr>
          <w:lang w:val="lt-LT"/>
        </w:rPr>
      </w:pPr>
      <w:r w:rsidRPr="00491BF9">
        <w:rPr>
          <w:b/>
          <w:lang w:val="lt-LT"/>
        </w:rPr>
        <w:t>9.</w:t>
      </w:r>
      <w:r w:rsidRPr="00491BF9">
        <w:rPr>
          <w:b/>
          <w:lang w:val="lt-LT"/>
        </w:rPr>
        <w:tab/>
      </w:r>
      <w:r w:rsidRPr="00491BF9">
        <w:rPr>
          <w:b/>
          <w:caps/>
          <w:lang w:val="lt-LT"/>
        </w:rPr>
        <w:t>r</w:t>
      </w:r>
      <w:r w:rsidR="00752D28">
        <w:rPr>
          <w:b/>
          <w:caps/>
          <w:lang w:val="lt-LT"/>
        </w:rPr>
        <w:t xml:space="preserve">EGISTRACIJOS </w:t>
      </w:r>
      <w:r w:rsidRPr="00491BF9">
        <w:rPr>
          <w:b/>
          <w:caps/>
          <w:lang w:val="lt-LT"/>
        </w:rPr>
        <w:t xml:space="preserve">/ </w:t>
      </w:r>
      <w:r w:rsidR="00752D28">
        <w:rPr>
          <w:b/>
          <w:caps/>
          <w:lang w:val="lt-LT"/>
        </w:rPr>
        <w:t>PERREGISTRAVIM</w:t>
      </w:r>
      <w:r w:rsidR="00752D28" w:rsidRPr="00491BF9">
        <w:rPr>
          <w:b/>
          <w:caps/>
          <w:lang w:val="lt-LT"/>
        </w:rPr>
        <w:t xml:space="preserve">O </w:t>
      </w:r>
      <w:r w:rsidRPr="00491BF9">
        <w:rPr>
          <w:b/>
          <w:caps/>
          <w:lang w:val="lt-LT"/>
        </w:rPr>
        <w:t>data</w:t>
      </w:r>
    </w:p>
    <w:p w14:paraId="788D49B4" w14:textId="77777777" w:rsidR="00146578" w:rsidRPr="00491BF9" w:rsidRDefault="00146578" w:rsidP="00146578">
      <w:pPr>
        <w:rPr>
          <w:lang w:val="lt-LT"/>
        </w:rPr>
      </w:pPr>
    </w:p>
    <w:p w14:paraId="5F51650A" w14:textId="7A56A54B" w:rsidR="00146578" w:rsidRPr="00491BF9" w:rsidRDefault="00752D28" w:rsidP="00146578">
      <w:pPr>
        <w:rPr>
          <w:lang w:val="lt-LT"/>
        </w:rPr>
      </w:pPr>
      <w:r>
        <w:rPr>
          <w:lang w:val="lt-LT"/>
        </w:rPr>
        <w:t xml:space="preserve">Registravimo data </w:t>
      </w:r>
      <w:r w:rsidR="00146578" w:rsidRPr="00491BF9">
        <w:rPr>
          <w:lang w:val="lt-LT"/>
        </w:rPr>
        <w:t>2008 m. lapkričio 27 d.</w:t>
      </w:r>
    </w:p>
    <w:p w14:paraId="509E2B24" w14:textId="2C658871" w:rsidR="00146578" w:rsidRPr="00491BF9" w:rsidRDefault="00752D28" w:rsidP="00146578">
      <w:pPr>
        <w:rPr>
          <w:lang w:val="lt-LT"/>
        </w:rPr>
      </w:pPr>
      <w:r>
        <w:rPr>
          <w:lang w:val="lt-LT"/>
        </w:rPr>
        <w:t>Perregistravimo data</w:t>
      </w:r>
      <w:r w:rsidR="00146578" w:rsidRPr="00491BF9">
        <w:rPr>
          <w:lang w:val="lt-LT"/>
        </w:rPr>
        <w:t xml:space="preserve"> 2013 m. birželio 07 d.</w:t>
      </w:r>
    </w:p>
    <w:p w14:paraId="5EE9DD3E" w14:textId="77777777" w:rsidR="00146578" w:rsidRPr="00491BF9" w:rsidRDefault="00146578" w:rsidP="00146578">
      <w:pPr>
        <w:rPr>
          <w:lang w:val="lt-LT"/>
        </w:rPr>
      </w:pPr>
    </w:p>
    <w:p w14:paraId="4CD97335" w14:textId="77777777" w:rsidR="00146578" w:rsidRPr="00491BF9" w:rsidRDefault="00146578" w:rsidP="00146578">
      <w:pPr>
        <w:rPr>
          <w:lang w:val="lt-LT"/>
        </w:rPr>
      </w:pPr>
    </w:p>
    <w:p w14:paraId="4D25905E" w14:textId="77777777" w:rsidR="00146578" w:rsidRPr="00491BF9" w:rsidRDefault="00146578" w:rsidP="00146578">
      <w:pPr>
        <w:ind w:left="567" w:hanging="567"/>
        <w:rPr>
          <w:b/>
          <w:lang w:val="lt-LT"/>
        </w:rPr>
      </w:pPr>
      <w:r w:rsidRPr="00491BF9">
        <w:rPr>
          <w:b/>
          <w:lang w:val="lt-LT"/>
        </w:rPr>
        <w:t>10.</w:t>
      </w:r>
      <w:r w:rsidRPr="00491BF9">
        <w:rPr>
          <w:b/>
          <w:lang w:val="lt-LT"/>
        </w:rPr>
        <w:tab/>
      </w:r>
      <w:r w:rsidRPr="00491BF9">
        <w:rPr>
          <w:b/>
          <w:caps/>
          <w:lang w:val="lt-LT"/>
        </w:rPr>
        <w:t>teksto peržiūros data</w:t>
      </w:r>
    </w:p>
    <w:p w14:paraId="3520575E" w14:textId="77777777" w:rsidR="00146578" w:rsidRPr="00491BF9" w:rsidRDefault="00146578" w:rsidP="00146578">
      <w:pPr>
        <w:rPr>
          <w:lang w:val="lt-LT"/>
        </w:rPr>
      </w:pPr>
    </w:p>
    <w:p w14:paraId="34C4763C" w14:textId="4086D7C4" w:rsidR="00C03492" w:rsidRPr="00491BF9" w:rsidRDefault="002C436A" w:rsidP="00146578">
      <w:pPr>
        <w:rPr>
          <w:lang w:val="lt-LT"/>
        </w:rPr>
      </w:pPr>
      <w:r>
        <w:rPr>
          <w:lang w:val="lt-LT"/>
        </w:rPr>
        <w:t>2025 m. spalio 1 d.</w:t>
      </w:r>
    </w:p>
    <w:p w14:paraId="3054E2CE" w14:textId="77777777" w:rsidR="00146578" w:rsidRPr="00491BF9" w:rsidRDefault="00146578" w:rsidP="00146578">
      <w:pPr>
        <w:numPr>
          <w:ilvl w:val="12"/>
          <w:numId w:val="0"/>
        </w:numPr>
        <w:ind w:right="-2"/>
        <w:rPr>
          <w:iCs/>
          <w:lang w:val="lt-LT"/>
        </w:rPr>
      </w:pPr>
    </w:p>
    <w:p w14:paraId="438DD260" w14:textId="77777777" w:rsidR="00146578" w:rsidRPr="00491BF9" w:rsidRDefault="00146578" w:rsidP="00146578">
      <w:pPr>
        <w:keepNext/>
        <w:ind w:left="567" w:hanging="567"/>
        <w:rPr>
          <w:b/>
          <w:lang w:val="lt-LT"/>
        </w:rPr>
      </w:pPr>
      <w:r w:rsidRPr="00491BF9">
        <w:rPr>
          <w:b/>
          <w:lang w:val="lt-LT"/>
        </w:rPr>
        <w:t>11.</w:t>
      </w:r>
      <w:r w:rsidRPr="00491BF9">
        <w:rPr>
          <w:b/>
          <w:lang w:val="lt-LT"/>
        </w:rPr>
        <w:tab/>
        <w:t>DOZIMETRIJA</w:t>
      </w:r>
    </w:p>
    <w:p w14:paraId="32CC890A" w14:textId="77777777" w:rsidR="00146578" w:rsidRPr="00491BF9" w:rsidRDefault="00146578" w:rsidP="00146578">
      <w:pPr>
        <w:numPr>
          <w:ilvl w:val="12"/>
          <w:numId w:val="0"/>
        </w:numPr>
        <w:ind w:right="-2"/>
        <w:rPr>
          <w:lang w:val="lt-LT"/>
        </w:rPr>
      </w:pPr>
    </w:p>
    <w:p w14:paraId="6BB20824" w14:textId="77777777" w:rsidR="00146578" w:rsidRPr="00491BF9" w:rsidRDefault="00146578" w:rsidP="00146578">
      <w:pPr>
        <w:rPr>
          <w:lang w:val="lt-LT"/>
        </w:rPr>
      </w:pPr>
      <w:r w:rsidRPr="00491BF9">
        <w:rPr>
          <w:lang w:val="lt-LT"/>
        </w:rPr>
        <w:t>Technecis (</w:t>
      </w:r>
      <w:r w:rsidRPr="00491BF9">
        <w:rPr>
          <w:vertAlign w:val="superscript"/>
          <w:lang w:val="lt-LT"/>
        </w:rPr>
        <w:t>99m</w:t>
      </w:r>
      <w:r w:rsidRPr="00491BF9">
        <w:rPr>
          <w:lang w:val="lt-LT"/>
        </w:rPr>
        <w:t>Tc) gaminamas naudojant (</w:t>
      </w:r>
      <w:r w:rsidRPr="00491BF9">
        <w:rPr>
          <w:vertAlign w:val="superscript"/>
          <w:lang w:val="lt-LT"/>
        </w:rPr>
        <w:t>99</w:t>
      </w:r>
      <w:r w:rsidRPr="00491BF9">
        <w:rPr>
          <w:lang w:val="lt-LT"/>
        </w:rPr>
        <w:t>Mo/</w:t>
      </w:r>
      <w:r w:rsidRPr="00491BF9">
        <w:rPr>
          <w:vertAlign w:val="superscript"/>
          <w:lang w:val="lt-LT"/>
        </w:rPr>
        <w:t>99m</w:t>
      </w:r>
      <w:r w:rsidRPr="00491BF9">
        <w:rPr>
          <w:lang w:val="lt-LT"/>
        </w:rPr>
        <w:t>Tc) generatorių ir skyla spinduliuodamas gama spindulius, kurių vidutinė energija 140 keV, o pusinis skilimo laikas 6,02 valandos, palyginus su (</w:t>
      </w:r>
      <w:r w:rsidRPr="00491BF9">
        <w:rPr>
          <w:vertAlign w:val="superscript"/>
          <w:lang w:val="lt-LT"/>
        </w:rPr>
        <w:t>99</w:t>
      </w:r>
      <w:r w:rsidRPr="00491BF9">
        <w:rPr>
          <w:lang w:val="lt-LT"/>
        </w:rPr>
        <w:t>Tc) kurio yra ilgas pusinis skilimo laikas (2,13 x 10</w:t>
      </w:r>
      <w:r w:rsidRPr="00491BF9">
        <w:rPr>
          <w:vertAlign w:val="superscript"/>
          <w:lang w:val="lt-LT"/>
        </w:rPr>
        <w:t>5</w:t>
      </w:r>
      <w:r w:rsidRPr="00491BF9">
        <w:rPr>
          <w:lang w:val="lt-LT"/>
        </w:rPr>
        <w:t> metų), kas leidžia jį laikyti kvazistabiliu.</w:t>
      </w:r>
    </w:p>
    <w:p w14:paraId="27EF402B" w14:textId="77777777" w:rsidR="00146578" w:rsidRPr="00491BF9" w:rsidRDefault="00146578" w:rsidP="00146578">
      <w:pPr>
        <w:tabs>
          <w:tab w:val="left" w:pos="2235"/>
        </w:tabs>
        <w:autoSpaceDE w:val="0"/>
        <w:autoSpaceDN w:val="0"/>
        <w:adjustRightInd w:val="0"/>
        <w:rPr>
          <w:lang w:val="lt-LT"/>
        </w:rPr>
      </w:pPr>
    </w:p>
    <w:p w14:paraId="207D8B76" w14:textId="10105266" w:rsidR="00146578" w:rsidRPr="00491BF9" w:rsidRDefault="00146578" w:rsidP="00146578">
      <w:pPr>
        <w:autoSpaceDE w:val="0"/>
        <w:autoSpaceDN w:val="0"/>
        <w:adjustRightInd w:val="0"/>
        <w:rPr>
          <w:lang w:val="lt-LT"/>
        </w:rPr>
      </w:pPr>
      <w:r w:rsidRPr="00491BF9">
        <w:rPr>
          <w:lang w:val="lt-LT"/>
        </w:rPr>
        <w:t>Žemiau pateikti duomenys iš ICRP </w:t>
      </w:r>
      <w:r w:rsidR="00F83455">
        <w:rPr>
          <w:lang w:val="lt-LT"/>
        </w:rPr>
        <w:t>128</w:t>
      </w:r>
      <w:r w:rsidRPr="00491BF9">
        <w:rPr>
          <w:lang w:val="lt-LT"/>
        </w:rPr>
        <w:t>, apskaičiuoti remiantis tokiomis prielaidomis: po intraveninės injekcijos medžiaga sparčiai pašalinama iš kraujo ir kaupiasi daugiausia raumeniniame audinyje (įskaitant širdį), kepenyse, inkstuose, o mažesni kiekiai – seilių liaukose ir skydliaukėje. Kai medžiaga suleidžiama atliekant streso testą, kaupimasis širdyje ir skeleto raumenyse žymiai padidėja, o kituose organuose ir audiniuose atitinkamai sumažėja. 75 % medžiaga išsiskiria per kepenis ir 25 % – per inkstus.</w:t>
      </w:r>
    </w:p>
    <w:p w14:paraId="0B5BFF8B" w14:textId="77777777" w:rsidR="00146578" w:rsidRPr="00491BF9" w:rsidRDefault="00146578" w:rsidP="00146578">
      <w:pPr>
        <w:rPr>
          <w:lang w:val="lt-LT"/>
        </w:rPr>
      </w:pPr>
    </w:p>
    <w:tbl>
      <w:tblPr>
        <w:tblW w:w="512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64"/>
        <w:gridCol w:w="1313"/>
        <w:gridCol w:w="1443"/>
        <w:gridCol w:w="1578"/>
        <w:gridCol w:w="1443"/>
        <w:gridCol w:w="1443"/>
      </w:tblGrid>
      <w:tr w:rsidR="00146578" w:rsidRPr="00491BF9" w14:paraId="6434B93F" w14:textId="77777777" w:rsidTr="004F35D3">
        <w:trPr>
          <w:tblHeader/>
        </w:trPr>
        <w:tc>
          <w:tcPr>
            <w:tcW w:w="1112" w:type="pct"/>
            <w:tcBorders>
              <w:bottom w:val="nil"/>
            </w:tcBorders>
          </w:tcPr>
          <w:p w14:paraId="63672A85" w14:textId="77777777" w:rsidR="00146578" w:rsidRPr="00491BF9" w:rsidRDefault="00146578" w:rsidP="00E31119">
            <w:pPr>
              <w:keepNext/>
              <w:rPr>
                <w:lang w:val="lt-LT"/>
              </w:rPr>
            </w:pPr>
            <w:r w:rsidRPr="00491BF9">
              <w:rPr>
                <w:b/>
                <w:bCs/>
                <w:lang w:val="lt-LT"/>
              </w:rPr>
              <w:t>Organas</w:t>
            </w:r>
          </w:p>
        </w:tc>
        <w:tc>
          <w:tcPr>
            <w:tcW w:w="3888" w:type="pct"/>
            <w:gridSpan w:val="5"/>
            <w:tcBorders>
              <w:bottom w:val="nil"/>
            </w:tcBorders>
          </w:tcPr>
          <w:p w14:paraId="07D724E9" w14:textId="77777777" w:rsidR="00146578" w:rsidRPr="00491BF9" w:rsidRDefault="00146578" w:rsidP="00E31119">
            <w:pPr>
              <w:keepNext/>
              <w:autoSpaceDE w:val="0"/>
              <w:autoSpaceDN w:val="0"/>
              <w:adjustRightInd w:val="0"/>
              <w:jc w:val="center"/>
              <w:rPr>
                <w:b/>
                <w:bCs/>
                <w:lang w:val="lt-LT"/>
              </w:rPr>
            </w:pPr>
            <w:r w:rsidRPr="00491BF9">
              <w:rPr>
                <w:b/>
                <w:bCs/>
                <w:lang w:val="lt-LT"/>
              </w:rPr>
              <w:t>Absorbuota dozė vienetui skirtojo aktyvumo (mGy/MBq)</w:t>
            </w:r>
          </w:p>
          <w:p w14:paraId="63AFA408" w14:textId="77777777" w:rsidR="00146578" w:rsidRPr="00491BF9" w:rsidRDefault="00146578" w:rsidP="00E31119">
            <w:pPr>
              <w:keepNext/>
              <w:jc w:val="center"/>
              <w:rPr>
                <w:lang w:val="lt-LT"/>
              </w:rPr>
            </w:pPr>
            <w:r w:rsidRPr="00491BF9">
              <w:rPr>
                <w:b/>
                <w:bCs/>
                <w:lang w:val="lt-LT"/>
              </w:rPr>
              <w:t>(tiriamasis ramybėje)</w:t>
            </w:r>
          </w:p>
        </w:tc>
      </w:tr>
      <w:tr w:rsidR="00146578" w:rsidRPr="00491BF9" w14:paraId="27650FCD" w14:textId="77777777" w:rsidTr="004F35D3">
        <w:trPr>
          <w:tblHeader/>
        </w:trPr>
        <w:tc>
          <w:tcPr>
            <w:tcW w:w="1112" w:type="pct"/>
            <w:tcBorders>
              <w:top w:val="nil"/>
              <w:bottom w:val="single" w:sz="4" w:space="0" w:color="auto"/>
            </w:tcBorders>
          </w:tcPr>
          <w:p w14:paraId="55B386C5" w14:textId="77777777" w:rsidR="00146578" w:rsidRPr="00491BF9" w:rsidRDefault="00146578" w:rsidP="00E31119">
            <w:pPr>
              <w:rPr>
                <w:lang w:val="lt-LT"/>
              </w:rPr>
            </w:pPr>
          </w:p>
        </w:tc>
        <w:tc>
          <w:tcPr>
            <w:tcW w:w="707" w:type="pct"/>
            <w:tcBorders>
              <w:top w:val="nil"/>
              <w:bottom w:val="single" w:sz="4" w:space="0" w:color="auto"/>
            </w:tcBorders>
            <w:vAlign w:val="bottom"/>
          </w:tcPr>
          <w:p w14:paraId="63460815" w14:textId="77777777" w:rsidR="00146578" w:rsidRPr="00491BF9" w:rsidRDefault="00146578" w:rsidP="00E31119">
            <w:pPr>
              <w:autoSpaceDE w:val="0"/>
              <w:autoSpaceDN w:val="0"/>
              <w:adjustRightInd w:val="0"/>
              <w:rPr>
                <w:sz w:val="20"/>
                <w:lang w:val="lt-LT"/>
              </w:rPr>
            </w:pPr>
            <w:r w:rsidRPr="00491BF9">
              <w:rPr>
                <w:lang w:val="lt-LT"/>
              </w:rPr>
              <w:t>Suaugusieji</w:t>
            </w:r>
          </w:p>
        </w:tc>
        <w:tc>
          <w:tcPr>
            <w:tcW w:w="777" w:type="pct"/>
            <w:tcBorders>
              <w:top w:val="nil"/>
              <w:bottom w:val="single" w:sz="4" w:space="0" w:color="auto"/>
            </w:tcBorders>
            <w:vAlign w:val="bottom"/>
          </w:tcPr>
          <w:p w14:paraId="10B109A3" w14:textId="77777777" w:rsidR="00146578" w:rsidRPr="00491BF9" w:rsidRDefault="00146578" w:rsidP="00E31119">
            <w:pPr>
              <w:rPr>
                <w:rFonts w:ascii="Arial" w:hAnsi="Arial" w:cs="Arial"/>
                <w:sz w:val="20"/>
                <w:lang w:val="lt-LT"/>
              </w:rPr>
            </w:pPr>
            <w:r w:rsidRPr="00491BF9">
              <w:rPr>
                <w:lang w:val="lt-LT"/>
              </w:rPr>
              <w:t>15 metų</w:t>
            </w:r>
          </w:p>
        </w:tc>
        <w:tc>
          <w:tcPr>
            <w:tcW w:w="850" w:type="pct"/>
            <w:tcBorders>
              <w:top w:val="nil"/>
              <w:bottom w:val="single" w:sz="4" w:space="0" w:color="auto"/>
            </w:tcBorders>
            <w:vAlign w:val="bottom"/>
          </w:tcPr>
          <w:p w14:paraId="72CB7D4A" w14:textId="77777777" w:rsidR="00146578" w:rsidRPr="00491BF9" w:rsidRDefault="00146578" w:rsidP="00E31119">
            <w:pPr>
              <w:rPr>
                <w:rFonts w:ascii="Arial" w:hAnsi="Arial" w:cs="Arial"/>
                <w:sz w:val="20"/>
                <w:lang w:val="lt-LT"/>
              </w:rPr>
            </w:pPr>
            <w:r w:rsidRPr="00491BF9">
              <w:rPr>
                <w:lang w:val="lt-LT"/>
              </w:rPr>
              <w:t>10 metų</w:t>
            </w:r>
          </w:p>
        </w:tc>
        <w:tc>
          <w:tcPr>
            <w:tcW w:w="777" w:type="pct"/>
            <w:tcBorders>
              <w:top w:val="nil"/>
              <w:bottom w:val="single" w:sz="4" w:space="0" w:color="auto"/>
            </w:tcBorders>
            <w:vAlign w:val="bottom"/>
          </w:tcPr>
          <w:p w14:paraId="0392803D" w14:textId="77777777" w:rsidR="00146578" w:rsidRPr="00491BF9" w:rsidRDefault="00146578" w:rsidP="00E31119">
            <w:pPr>
              <w:rPr>
                <w:rFonts w:ascii="Arial" w:hAnsi="Arial" w:cs="Arial"/>
                <w:sz w:val="20"/>
                <w:lang w:val="lt-LT"/>
              </w:rPr>
            </w:pPr>
            <w:r w:rsidRPr="00491BF9">
              <w:rPr>
                <w:lang w:val="lt-LT"/>
              </w:rPr>
              <w:t>5 metų</w:t>
            </w:r>
          </w:p>
        </w:tc>
        <w:tc>
          <w:tcPr>
            <w:tcW w:w="777" w:type="pct"/>
            <w:tcBorders>
              <w:top w:val="nil"/>
              <w:bottom w:val="single" w:sz="4" w:space="0" w:color="auto"/>
            </w:tcBorders>
            <w:vAlign w:val="bottom"/>
          </w:tcPr>
          <w:p w14:paraId="264E5D7B" w14:textId="77777777" w:rsidR="00146578" w:rsidRPr="00491BF9" w:rsidRDefault="00146578" w:rsidP="00E31119">
            <w:pPr>
              <w:rPr>
                <w:rFonts w:ascii="Arial" w:hAnsi="Arial" w:cs="Arial"/>
                <w:sz w:val="20"/>
                <w:lang w:val="lt-LT"/>
              </w:rPr>
            </w:pPr>
            <w:r w:rsidRPr="00491BF9">
              <w:rPr>
                <w:lang w:val="lt-LT"/>
              </w:rPr>
              <w:t>1 metų</w:t>
            </w:r>
          </w:p>
        </w:tc>
      </w:tr>
      <w:tr w:rsidR="00146578" w:rsidRPr="00491BF9" w14:paraId="2A08F0B0" w14:textId="77777777" w:rsidTr="004F35D3">
        <w:tc>
          <w:tcPr>
            <w:tcW w:w="1112" w:type="pct"/>
            <w:tcBorders>
              <w:top w:val="single" w:sz="4" w:space="0" w:color="auto"/>
            </w:tcBorders>
          </w:tcPr>
          <w:p w14:paraId="6B1BF653" w14:textId="77777777" w:rsidR="00146578" w:rsidRPr="00491BF9" w:rsidRDefault="00146578" w:rsidP="00E31119">
            <w:pPr>
              <w:rPr>
                <w:lang w:val="lt-LT"/>
              </w:rPr>
            </w:pPr>
            <w:r w:rsidRPr="00491BF9">
              <w:rPr>
                <w:lang w:val="lt-LT"/>
              </w:rPr>
              <w:t>Antinksčiai</w:t>
            </w:r>
          </w:p>
        </w:tc>
        <w:tc>
          <w:tcPr>
            <w:tcW w:w="707" w:type="pct"/>
            <w:tcBorders>
              <w:top w:val="single" w:sz="4" w:space="0" w:color="auto"/>
            </w:tcBorders>
          </w:tcPr>
          <w:p w14:paraId="2AC5B99A" w14:textId="77777777" w:rsidR="00146578" w:rsidRPr="00491BF9" w:rsidRDefault="00146578" w:rsidP="00E31119">
            <w:pPr>
              <w:rPr>
                <w:lang w:val="lt-LT"/>
              </w:rPr>
            </w:pPr>
            <w:r w:rsidRPr="00491BF9">
              <w:rPr>
                <w:lang w:val="lt-LT"/>
              </w:rPr>
              <w:t>0,0075</w:t>
            </w:r>
          </w:p>
        </w:tc>
        <w:tc>
          <w:tcPr>
            <w:tcW w:w="777" w:type="pct"/>
            <w:tcBorders>
              <w:top w:val="single" w:sz="4" w:space="0" w:color="auto"/>
            </w:tcBorders>
          </w:tcPr>
          <w:p w14:paraId="7E6E0EB3" w14:textId="77777777" w:rsidR="00146578" w:rsidRPr="00491BF9" w:rsidRDefault="00146578" w:rsidP="00E31119">
            <w:pPr>
              <w:rPr>
                <w:lang w:val="lt-LT"/>
              </w:rPr>
            </w:pPr>
            <w:r w:rsidRPr="00491BF9">
              <w:rPr>
                <w:lang w:val="lt-LT"/>
              </w:rPr>
              <w:t>0,0099</w:t>
            </w:r>
          </w:p>
        </w:tc>
        <w:tc>
          <w:tcPr>
            <w:tcW w:w="850" w:type="pct"/>
            <w:tcBorders>
              <w:top w:val="single" w:sz="4" w:space="0" w:color="auto"/>
            </w:tcBorders>
          </w:tcPr>
          <w:p w14:paraId="5F36ED59" w14:textId="77777777" w:rsidR="00146578" w:rsidRPr="00491BF9" w:rsidRDefault="00146578" w:rsidP="00E31119">
            <w:pPr>
              <w:rPr>
                <w:lang w:val="lt-LT"/>
              </w:rPr>
            </w:pPr>
            <w:r w:rsidRPr="00491BF9">
              <w:rPr>
                <w:lang w:val="lt-LT"/>
              </w:rPr>
              <w:t>0,015</w:t>
            </w:r>
          </w:p>
        </w:tc>
        <w:tc>
          <w:tcPr>
            <w:tcW w:w="777" w:type="pct"/>
            <w:tcBorders>
              <w:top w:val="single" w:sz="4" w:space="0" w:color="auto"/>
            </w:tcBorders>
          </w:tcPr>
          <w:p w14:paraId="593C6724" w14:textId="77777777" w:rsidR="00146578" w:rsidRPr="00491BF9" w:rsidRDefault="00146578" w:rsidP="00E31119">
            <w:pPr>
              <w:rPr>
                <w:lang w:val="lt-LT"/>
              </w:rPr>
            </w:pPr>
            <w:r w:rsidRPr="00491BF9">
              <w:rPr>
                <w:lang w:val="lt-LT"/>
              </w:rPr>
              <w:t>0,022</w:t>
            </w:r>
          </w:p>
        </w:tc>
        <w:tc>
          <w:tcPr>
            <w:tcW w:w="777" w:type="pct"/>
            <w:tcBorders>
              <w:top w:val="single" w:sz="4" w:space="0" w:color="auto"/>
            </w:tcBorders>
          </w:tcPr>
          <w:p w14:paraId="7D4DBAEC" w14:textId="77777777" w:rsidR="00146578" w:rsidRPr="00491BF9" w:rsidRDefault="00146578" w:rsidP="00E31119">
            <w:pPr>
              <w:rPr>
                <w:lang w:val="lt-LT"/>
              </w:rPr>
            </w:pPr>
            <w:r w:rsidRPr="00491BF9">
              <w:rPr>
                <w:lang w:val="lt-LT"/>
              </w:rPr>
              <w:t>0,038</w:t>
            </w:r>
          </w:p>
        </w:tc>
      </w:tr>
      <w:tr w:rsidR="00146578" w:rsidRPr="00491BF9" w14:paraId="63B4BDAE" w14:textId="77777777" w:rsidTr="004F35D3">
        <w:tc>
          <w:tcPr>
            <w:tcW w:w="1112" w:type="pct"/>
          </w:tcPr>
          <w:p w14:paraId="34065AA4" w14:textId="5D35BE83" w:rsidR="00146578" w:rsidRPr="00491BF9" w:rsidRDefault="00146578" w:rsidP="00E31119">
            <w:pPr>
              <w:rPr>
                <w:lang w:val="lt-LT"/>
              </w:rPr>
            </w:pPr>
          </w:p>
        </w:tc>
        <w:tc>
          <w:tcPr>
            <w:tcW w:w="707" w:type="pct"/>
          </w:tcPr>
          <w:p w14:paraId="72D02316" w14:textId="71DA8EEA" w:rsidR="00146578" w:rsidRPr="00491BF9" w:rsidRDefault="00146578" w:rsidP="00E31119">
            <w:pPr>
              <w:rPr>
                <w:lang w:val="lt-LT"/>
              </w:rPr>
            </w:pPr>
          </w:p>
        </w:tc>
        <w:tc>
          <w:tcPr>
            <w:tcW w:w="777" w:type="pct"/>
          </w:tcPr>
          <w:p w14:paraId="35DEF735" w14:textId="68A9935A" w:rsidR="00146578" w:rsidRPr="00491BF9" w:rsidRDefault="00146578" w:rsidP="00E31119">
            <w:pPr>
              <w:rPr>
                <w:lang w:val="lt-LT"/>
              </w:rPr>
            </w:pPr>
          </w:p>
        </w:tc>
        <w:tc>
          <w:tcPr>
            <w:tcW w:w="850" w:type="pct"/>
          </w:tcPr>
          <w:p w14:paraId="45BE7B9A" w14:textId="4C86D6B6" w:rsidR="00146578" w:rsidRPr="00491BF9" w:rsidRDefault="00146578" w:rsidP="00E31119">
            <w:pPr>
              <w:rPr>
                <w:lang w:val="lt-LT"/>
              </w:rPr>
            </w:pPr>
          </w:p>
        </w:tc>
        <w:tc>
          <w:tcPr>
            <w:tcW w:w="777" w:type="pct"/>
          </w:tcPr>
          <w:p w14:paraId="3798AA7F" w14:textId="6BE7D6FC" w:rsidR="00146578" w:rsidRPr="00491BF9" w:rsidRDefault="00146578" w:rsidP="00E31119">
            <w:pPr>
              <w:rPr>
                <w:lang w:val="lt-LT"/>
              </w:rPr>
            </w:pPr>
          </w:p>
        </w:tc>
        <w:tc>
          <w:tcPr>
            <w:tcW w:w="777" w:type="pct"/>
          </w:tcPr>
          <w:p w14:paraId="76D1A506" w14:textId="382F7DB4" w:rsidR="00146578" w:rsidRPr="00491BF9" w:rsidRDefault="00146578" w:rsidP="00E31119">
            <w:pPr>
              <w:rPr>
                <w:lang w:val="lt-LT"/>
              </w:rPr>
            </w:pPr>
          </w:p>
        </w:tc>
      </w:tr>
      <w:tr w:rsidR="00146578" w:rsidRPr="00491BF9" w14:paraId="2A88B606" w14:textId="77777777" w:rsidTr="004F35D3">
        <w:tc>
          <w:tcPr>
            <w:tcW w:w="1112" w:type="pct"/>
          </w:tcPr>
          <w:p w14:paraId="27DDA8A2" w14:textId="77777777" w:rsidR="00146578" w:rsidRPr="00491BF9" w:rsidRDefault="00146578" w:rsidP="00E31119">
            <w:pPr>
              <w:rPr>
                <w:lang w:val="lt-LT"/>
              </w:rPr>
            </w:pPr>
            <w:r w:rsidRPr="00491BF9">
              <w:rPr>
                <w:lang w:val="lt-LT"/>
              </w:rPr>
              <w:t>Kaulų paviršiai</w:t>
            </w:r>
          </w:p>
        </w:tc>
        <w:tc>
          <w:tcPr>
            <w:tcW w:w="707" w:type="pct"/>
          </w:tcPr>
          <w:p w14:paraId="7D9B2251" w14:textId="77777777" w:rsidR="00146578" w:rsidRPr="00491BF9" w:rsidRDefault="00146578" w:rsidP="00E31119">
            <w:pPr>
              <w:rPr>
                <w:lang w:val="lt-LT"/>
              </w:rPr>
            </w:pPr>
            <w:r w:rsidRPr="00491BF9">
              <w:rPr>
                <w:lang w:val="lt-LT"/>
              </w:rPr>
              <w:t>0,0082</w:t>
            </w:r>
          </w:p>
        </w:tc>
        <w:tc>
          <w:tcPr>
            <w:tcW w:w="777" w:type="pct"/>
          </w:tcPr>
          <w:p w14:paraId="43808AF7" w14:textId="77777777" w:rsidR="00146578" w:rsidRPr="00491BF9" w:rsidRDefault="00146578" w:rsidP="00E31119">
            <w:pPr>
              <w:rPr>
                <w:lang w:val="lt-LT"/>
              </w:rPr>
            </w:pPr>
            <w:r w:rsidRPr="00491BF9">
              <w:rPr>
                <w:lang w:val="lt-LT"/>
              </w:rPr>
              <w:t>0,010</w:t>
            </w:r>
          </w:p>
        </w:tc>
        <w:tc>
          <w:tcPr>
            <w:tcW w:w="850" w:type="pct"/>
          </w:tcPr>
          <w:p w14:paraId="35600437" w14:textId="77777777" w:rsidR="00146578" w:rsidRPr="00491BF9" w:rsidRDefault="00146578" w:rsidP="00E31119">
            <w:pPr>
              <w:rPr>
                <w:lang w:val="lt-LT"/>
              </w:rPr>
            </w:pPr>
            <w:r w:rsidRPr="00491BF9">
              <w:rPr>
                <w:lang w:val="lt-LT"/>
              </w:rPr>
              <w:t>0,016</w:t>
            </w:r>
          </w:p>
        </w:tc>
        <w:tc>
          <w:tcPr>
            <w:tcW w:w="777" w:type="pct"/>
          </w:tcPr>
          <w:p w14:paraId="3F8E8DB1" w14:textId="77777777" w:rsidR="00146578" w:rsidRPr="00491BF9" w:rsidRDefault="00146578" w:rsidP="00E31119">
            <w:pPr>
              <w:rPr>
                <w:lang w:val="lt-LT"/>
              </w:rPr>
            </w:pPr>
            <w:r w:rsidRPr="00491BF9">
              <w:rPr>
                <w:lang w:val="lt-LT"/>
              </w:rPr>
              <w:t>0,021</w:t>
            </w:r>
          </w:p>
        </w:tc>
        <w:tc>
          <w:tcPr>
            <w:tcW w:w="777" w:type="pct"/>
          </w:tcPr>
          <w:p w14:paraId="5ADEA5BA" w14:textId="77777777" w:rsidR="00146578" w:rsidRPr="00491BF9" w:rsidRDefault="00146578" w:rsidP="00E31119">
            <w:pPr>
              <w:rPr>
                <w:lang w:val="lt-LT"/>
              </w:rPr>
            </w:pPr>
            <w:r w:rsidRPr="00491BF9">
              <w:rPr>
                <w:lang w:val="lt-LT"/>
              </w:rPr>
              <w:t>0,038</w:t>
            </w:r>
          </w:p>
        </w:tc>
      </w:tr>
      <w:tr w:rsidR="00146578" w:rsidRPr="00491BF9" w14:paraId="7BBA4219" w14:textId="77777777" w:rsidTr="004F35D3">
        <w:tc>
          <w:tcPr>
            <w:tcW w:w="1112" w:type="pct"/>
          </w:tcPr>
          <w:p w14:paraId="59BBDBC5" w14:textId="77777777" w:rsidR="00146578" w:rsidRPr="00491BF9" w:rsidRDefault="00146578" w:rsidP="00E31119">
            <w:pPr>
              <w:rPr>
                <w:lang w:val="lt-LT"/>
              </w:rPr>
            </w:pPr>
            <w:r w:rsidRPr="00491BF9">
              <w:rPr>
                <w:lang w:val="lt-LT"/>
              </w:rPr>
              <w:t>Smegenys</w:t>
            </w:r>
          </w:p>
        </w:tc>
        <w:tc>
          <w:tcPr>
            <w:tcW w:w="707" w:type="pct"/>
          </w:tcPr>
          <w:p w14:paraId="16EAFB5F" w14:textId="77777777" w:rsidR="00146578" w:rsidRPr="00491BF9" w:rsidRDefault="00146578" w:rsidP="00E31119">
            <w:pPr>
              <w:rPr>
                <w:lang w:val="lt-LT"/>
              </w:rPr>
            </w:pPr>
            <w:r w:rsidRPr="00491BF9">
              <w:rPr>
                <w:lang w:val="lt-LT"/>
              </w:rPr>
              <w:t>0,0052</w:t>
            </w:r>
          </w:p>
        </w:tc>
        <w:tc>
          <w:tcPr>
            <w:tcW w:w="777" w:type="pct"/>
          </w:tcPr>
          <w:p w14:paraId="4FBA2714" w14:textId="77777777" w:rsidR="00146578" w:rsidRPr="00491BF9" w:rsidRDefault="00146578" w:rsidP="00E31119">
            <w:pPr>
              <w:rPr>
                <w:lang w:val="lt-LT"/>
              </w:rPr>
            </w:pPr>
            <w:r w:rsidRPr="00491BF9">
              <w:rPr>
                <w:lang w:val="lt-LT"/>
              </w:rPr>
              <w:t>0,0071</w:t>
            </w:r>
          </w:p>
        </w:tc>
        <w:tc>
          <w:tcPr>
            <w:tcW w:w="850" w:type="pct"/>
          </w:tcPr>
          <w:p w14:paraId="337A139E" w14:textId="77777777" w:rsidR="00146578" w:rsidRPr="00491BF9" w:rsidRDefault="00146578" w:rsidP="00E31119">
            <w:pPr>
              <w:rPr>
                <w:lang w:val="lt-LT"/>
              </w:rPr>
            </w:pPr>
            <w:r w:rsidRPr="00491BF9">
              <w:rPr>
                <w:lang w:val="lt-LT"/>
              </w:rPr>
              <w:t>0,011</w:t>
            </w:r>
          </w:p>
        </w:tc>
        <w:tc>
          <w:tcPr>
            <w:tcW w:w="777" w:type="pct"/>
          </w:tcPr>
          <w:p w14:paraId="6D4F56B5" w14:textId="77777777" w:rsidR="00146578" w:rsidRPr="00491BF9" w:rsidRDefault="00146578" w:rsidP="00E31119">
            <w:pPr>
              <w:rPr>
                <w:lang w:val="lt-LT"/>
              </w:rPr>
            </w:pPr>
            <w:r w:rsidRPr="00491BF9">
              <w:rPr>
                <w:lang w:val="lt-LT"/>
              </w:rPr>
              <w:t>0,016</w:t>
            </w:r>
          </w:p>
        </w:tc>
        <w:tc>
          <w:tcPr>
            <w:tcW w:w="777" w:type="pct"/>
          </w:tcPr>
          <w:p w14:paraId="17BE5471" w14:textId="77777777" w:rsidR="00146578" w:rsidRPr="00491BF9" w:rsidRDefault="00146578" w:rsidP="00E31119">
            <w:pPr>
              <w:rPr>
                <w:lang w:val="lt-LT"/>
              </w:rPr>
            </w:pPr>
            <w:r w:rsidRPr="00491BF9">
              <w:rPr>
                <w:lang w:val="lt-LT"/>
              </w:rPr>
              <w:t>0,027</w:t>
            </w:r>
          </w:p>
        </w:tc>
      </w:tr>
      <w:tr w:rsidR="00146578" w:rsidRPr="00491BF9" w14:paraId="4F60914B" w14:textId="77777777" w:rsidTr="004F35D3">
        <w:tc>
          <w:tcPr>
            <w:tcW w:w="1112" w:type="pct"/>
          </w:tcPr>
          <w:p w14:paraId="3386AB20" w14:textId="77777777" w:rsidR="00146578" w:rsidRPr="00491BF9" w:rsidRDefault="00146578" w:rsidP="00E31119">
            <w:pPr>
              <w:rPr>
                <w:lang w:val="lt-LT"/>
              </w:rPr>
            </w:pPr>
            <w:r w:rsidRPr="00491BF9">
              <w:rPr>
                <w:lang w:val="lt-LT"/>
              </w:rPr>
              <w:t>Krūtis</w:t>
            </w:r>
          </w:p>
        </w:tc>
        <w:tc>
          <w:tcPr>
            <w:tcW w:w="707" w:type="pct"/>
          </w:tcPr>
          <w:p w14:paraId="505FAFC8" w14:textId="77777777" w:rsidR="00146578" w:rsidRPr="00491BF9" w:rsidRDefault="00146578" w:rsidP="00E31119">
            <w:pPr>
              <w:rPr>
                <w:lang w:val="lt-LT"/>
              </w:rPr>
            </w:pPr>
            <w:r w:rsidRPr="00491BF9">
              <w:rPr>
                <w:lang w:val="lt-LT"/>
              </w:rPr>
              <w:t>0,0038</w:t>
            </w:r>
          </w:p>
        </w:tc>
        <w:tc>
          <w:tcPr>
            <w:tcW w:w="777" w:type="pct"/>
          </w:tcPr>
          <w:p w14:paraId="01E77E9A" w14:textId="77777777" w:rsidR="00146578" w:rsidRPr="00491BF9" w:rsidRDefault="00146578" w:rsidP="00E31119">
            <w:pPr>
              <w:rPr>
                <w:lang w:val="lt-LT"/>
              </w:rPr>
            </w:pPr>
            <w:r w:rsidRPr="00491BF9">
              <w:rPr>
                <w:lang w:val="lt-LT"/>
              </w:rPr>
              <w:t>0,0053</w:t>
            </w:r>
          </w:p>
        </w:tc>
        <w:tc>
          <w:tcPr>
            <w:tcW w:w="850" w:type="pct"/>
          </w:tcPr>
          <w:p w14:paraId="28F07F7C" w14:textId="77777777" w:rsidR="00146578" w:rsidRPr="00491BF9" w:rsidRDefault="00146578" w:rsidP="00E31119">
            <w:pPr>
              <w:rPr>
                <w:lang w:val="lt-LT"/>
              </w:rPr>
            </w:pPr>
            <w:r w:rsidRPr="00491BF9">
              <w:rPr>
                <w:lang w:val="lt-LT"/>
              </w:rPr>
              <w:t>0,0071</w:t>
            </w:r>
          </w:p>
        </w:tc>
        <w:tc>
          <w:tcPr>
            <w:tcW w:w="777" w:type="pct"/>
          </w:tcPr>
          <w:p w14:paraId="2D5791F7" w14:textId="77777777" w:rsidR="00146578" w:rsidRPr="00491BF9" w:rsidRDefault="00146578" w:rsidP="00E31119">
            <w:pPr>
              <w:rPr>
                <w:lang w:val="lt-LT"/>
              </w:rPr>
            </w:pPr>
            <w:r w:rsidRPr="00491BF9">
              <w:rPr>
                <w:lang w:val="lt-LT"/>
              </w:rPr>
              <w:t>0,011</w:t>
            </w:r>
          </w:p>
        </w:tc>
        <w:tc>
          <w:tcPr>
            <w:tcW w:w="777" w:type="pct"/>
          </w:tcPr>
          <w:p w14:paraId="13877A03" w14:textId="77777777" w:rsidR="00146578" w:rsidRPr="00491BF9" w:rsidRDefault="00146578" w:rsidP="00E31119">
            <w:pPr>
              <w:rPr>
                <w:lang w:val="lt-LT"/>
              </w:rPr>
            </w:pPr>
            <w:r w:rsidRPr="00491BF9">
              <w:rPr>
                <w:lang w:val="lt-LT"/>
              </w:rPr>
              <w:t>0,020</w:t>
            </w:r>
          </w:p>
        </w:tc>
      </w:tr>
      <w:tr w:rsidR="00146578" w:rsidRPr="00491BF9" w14:paraId="65C3B8EC" w14:textId="77777777" w:rsidTr="004F35D3">
        <w:tc>
          <w:tcPr>
            <w:tcW w:w="1112" w:type="pct"/>
          </w:tcPr>
          <w:p w14:paraId="46B2B9AC" w14:textId="69C1313F" w:rsidR="00146578" w:rsidRPr="00491BF9" w:rsidRDefault="00146578" w:rsidP="00E31119">
            <w:pPr>
              <w:rPr>
                <w:lang w:val="lt-LT"/>
              </w:rPr>
            </w:pPr>
            <w:r w:rsidRPr="00491BF9">
              <w:rPr>
                <w:lang w:val="lt-LT"/>
              </w:rPr>
              <w:t>Tulžies pūslė</w:t>
            </w:r>
            <w:r w:rsidR="00296587">
              <w:rPr>
                <w:lang w:val="lt-LT"/>
              </w:rPr>
              <w:t>s sien</w:t>
            </w:r>
            <w:r w:rsidR="009B20FA">
              <w:rPr>
                <w:lang w:val="lt-LT"/>
              </w:rPr>
              <w:t>a</w:t>
            </w:r>
          </w:p>
        </w:tc>
        <w:tc>
          <w:tcPr>
            <w:tcW w:w="707" w:type="pct"/>
          </w:tcPr>
          <w:p w14:paraId="5189C3A4" w14:textId="77777777" w:rsidR="00146578" w:rsidRPr="00491BF9" w:rsidRDefault="00146578" w:rsidP="00E31119">
            <w:pPr>
              <w:rPr>
                <w:lang w:val="lt-LT"/>
              </w:rPr>
            </w:pPr>
            <w:r w:rsidRPr="00491BF9">
              <w:rPr>
                <w:lang w:val="lt-LT"/>
              </w:rPr>
              <w:t>0,039</w:t>
            </w:r>
          </w:p>
        </w:tc>
        <w:tc>
          <w:tcPr>
            <w:tcW w:w="777" w:type="pct"/>
          </w:tcPr>
          <w:p w14:paraId="2D234159" w14:textId="77777777" w:rsidR="00146578" w:rsidRPr="00491BF9" w:rsidRDefault="00146578" w:rsidP="00E31119">
            <w:pPr>
              <w:rPr>
                <w:lang w:val="lt-LT"/>
              </w:rPr>
            </w:pPr>
            <w:r w:rsidRPr="00491BF9">
              <w:rPr>
                <w:lang w:val="lt-LT"/>
              </w:rPr>
              <w:t>0,045</w:t>
            </w:r>
          </w:p>
        </w:tc>
        <w:tc>
          <w:tcPr>
            <w:tcW w:w="850" w:type="pct"/>
          </w:tcPr>
          <w:p w14:paraId="3C8EB3D9" w14:textId="77777777" w:rsidR="00146578" w:rsidRPr="00491BF9" w:rsidRDefault="00146578" w:rsidP="00E31119">
            <w:pPr>
              <w:rPr>
                <w:lang w:val="lt-LT"/>
              </w:rPr>
            </w:pPr>
            <w:r w:rsidRPr="00491BF9">
              <w:rPr>
                <w:lang w:val="lt-LT"/>
              </w:rPr>
              <w:t>0,058</w:t>
            </w:r>
          </w:p>
        </w:tc>
        <w:tc>
          <w:tcPr>
            <w:tcW w:w="777" w:type="pct"/>
          </w:tcPr>
          <w:p w14:paraId="49964E5E" w14:textId="77777777" w:rsidR="00146578" w:rsidRPr="00491BF9" w:rsidRDefault="00146578" w:rsidP="00E31119">
            <w:pPr>
              <w:rPr>
                <w:lang w:val="lt-LT"/>
              </w:rPr>
            </w:pPr>
            <w:r w:rsidRPr="00491BF9">
              <w:rPr>
                <w:lang w:val="lt-LT"/>
              </w:rPr>
              <w:t>0,10</w:t>
            </w:r>
          </w:p>
        </w:tc>
        <w:tc>
          <w:tcPr>
            <w:tcW w:w="777" w:type="pct"/>
          </w:tcPr>
          <w:p w14:paraId="26495161" w14:textId="77777777" w:rsidR="00146578" w:rsidRPr="00491BF9" w:rsidRDefault="00146578" w:rsidP="00E31119">
            <w:pPr>
              <w:rPr>
                <w:lang w:val="lt-LT"/>
              </w:rPr>
            </w:pPr>
            <w:r w:rsidRPr="00491BF9">
              <w:rPr>
                <w:lang w:val="lt-LT"/>
              </w:rPr>
              <w:t>0,32</w:t>
            </w:r>
          </w:p>
        </w:tc>
      </w:tr>
      <w:tr w:rsidR="00146578" w:rsidRPr="00491BF9" w14:paraId="444AB1CF" w14:textId="77777777" w:rsidTr="004F35D3">
        <w:tc>
          <w:tcPr>
            <w:tcW w:w="1112" w:type="pct"/>
          </w:tcPr>
          <w:p w14:paraId="209A28E7" w14:textId="77777777" w:rsidR="00146578" w:rsidRPr="00491BF9" w:rsidRDefault="00146578" w:rsidP="00E31119">
            <w:pPr>
              <w:rPr>
                <w:lang w:val="lt-LT"/>
              </w:rPr>
            </w:pPr>
            <w:r w:rsidRPr="00491BF9">
              <w:rPr>
                <w:lang w:val="lt-LT"/>
              </w:rPr>
              <w:t>Virškinimo traktas:</w:t>
            </w:r>
          </w:p>
        </w:tc>
        <w:tc>
          <w:tcPr>
            <w:tcW w:w="707" w:type="pct"/>
          </w:tcPr>
          <w:p w14:paraId="551FE05C" w14:textId="77777777" w:rsidR="00146578" w:rsidRPr="00491BF9" w:rsidRDefault="00146578" w:rsidP="00E31119">
            <w:pPr>
              <w:rPr>
                <w:lang w:val="lt-LT"/>
              </w:rPr>
            </w:pPr>
          </w:p>
        </w:tc>
        <w:tc>
          <w:tcPr>
            <w:tcW w:w="777" w:type="pct"/>
          </w:tcPr>
          <w:p w14:paraId="42EF1D56" w14:textId="77777777" w:rsidR="00146578" w:rsidRPr="00491BF9" w:rsidRDefault="00146578" w:rsidP="00E31119">
            <w:pPr>
              <w:rPr>
                <w:lang w:val="lt-LT"/>
              </w:rPr>
            </w:pPr>
          </w:p>
        </w:tc>
        <w:tc>
          <w:tcPr>
            <w:tcW w:w="850" w:type="pct"/>
          </w:tcPr>
          <w:p w14:paraId="6A454601" w14:textId="77777777" w:rsidR="00146578" w:rsidRPr="00491BF9" w:rsidRDefault="00146578" w:rsidP="00E31119">
            <w:pPr>
              <w:rPr>
                <w:lang w:val="lt-LT"/>
              </w:rPr>
            </w:pPr>
          </w:p>
        </w:tc>
        <w:tc>
          <w:tcPr>
            <w:tcW w:w="777" w:type="pct"/>
          </w:tcPr>
          <w:p w14:paraId="7E9B856D" w14:textId="77777777" w:rsidR="00146578" w:rsidRPr="00491BF9" w:rsidRDefault="00146578" w:rsidP="00E31119">
            <w:pPr>
              <w:rPr>
                <w:lang w:val="lt-LT"/>
              </w:rPr>
            </w:pPr>
          </w:p>
        </w:tc>
        <w:tc>
          <w:tcPr>
            <w:tcW w:w="777" w:type="pct"/>
          </w:tcPr>
          <w:p w14:paraId="2F5AAA79" w14:textId="77777777" w:rsidR="00146578" w:rsidRPr="00491BF9" w:rsidRDefault="00146578" w:rsidP="00E31119">
            <w:pPr>
              <w:rPr>
                <w:lang w:val="lt-LT"/>
              </w:rPr>
            </w:pPr>
          </w:p>
        </w:tc>
      </w:tr>
      <w:tr w:rsidR="00146578" w:rsidRPr="00491BF9" w14:paraId="25738E78" w14:textId="77777777" w:rsidTr="004F35D3">
        <w:tc>
          <w:tcPr>
            <w:tcW w:w="1112" w:type="pct"/>
          </w:tcPr>
          <w:p w14:paraId="0094217A" w14:textId="10F63B7C" w:rsidR="00146578" w:rsidRPr="00491BF9" w:rsidRDefault="00146578" w:rsidP="00E31119">
            <w:pPr>
              <w:rPr>
                <w:lang w:val="lt-LT"/>
              </w:rPr>
            </w:pPr>
            <w:r w:rsidRPr="00491BF9">
              <w:rPr>
                <w:lang w:val="lt-LT"/>
              </w:rPr>
              <w:t>Skrand</w:t>
            </w:r>
            <w:r w:rsidR="00296587">
              <w:rPr>
                <w:lang w:val="lt-LT"/>
              </w:rPr>
              <w:t>žio sien</w:t>
            </w:r>
            <w:r w:rsidR="009B20FA">
              <w:rPr>
                <w:lang w:val="lt-LT"/>
              </w:rPr>
              <w:t>a</w:t>
            </w:r>
          </w:p>
        </w:tc>
        <w:tc>
          <w:tcPr>
            <w:tcW w:w="707" w:type="pct"/>
          </w:tcPr>
          <w:p w14:paraId="4DD4FF8A" w14:textId="77777777" w:rsidR="00146578" w:rsidRPr="00491BF9" w:rsidRDefault="00146578" w:rsidP="00E31119">
            <w:pPr>
              <w:rPr>
                <w:lang w:val="lt-LT"/>
              </w:rPr>
            </w:pPr>
            <w:r w:rsidRPr="00491BF9">
              <w:rPr>
                <w:lang w:val="lt-LT"/>
              </w:rPr>
              <w:t>0,0065</w:t>
            </w:r>
          </w:p>
        </w:tc>
        <w:tc>
          <w:tcPr>
            <w:tcW w:w="777" w:type="pct"/>
          </w:tcPr>
          <w:p w14:paraId="7F5C3024" w14:textId="77777777" w:rsidR="00146578" w:rsidRPr="00491BF9" w:rsidRDefault="00146578" w:rsidP="00E31119">
            <w:pPr>
              <w:rPr>
                <w:lang w:val="lt-LT"/>
              </w:rPr>
            </w:pPr>
            <w:r w:rsidRPr="00491BF9">
              <w:rPr>
                <w:lang w:val="lt-LT"/>
              </w:rPr>
              <w:t>0,0090</w:t>
            </w:r>
          </w:p>
        </w:tc>
        <w:tc>
          <w:tcPr>
            <w:tcW w:w="850" w:type="pct"/>
          </w:tcPr>
          <w:p w14:paraId="0EAFC6AC" w14:textId="77777777" w:rsidR="00146578" w:rsidRPr="00491BF9" w:rsidRDefault="00146578" w:rsidP="00E31119">
            <w:pPr>
              <w:rPr>
                <w:lang w:val="lt-LT"/>
              </w:rPr>
            </w:pPr>
            <w:r w:rsidRPr="00491BF9">
              <w:rPr>
                <w:lang w:val="lt-LT"/>
              </w:rPr>
              <w:t>0,015</w:t>
            </w:r>
          </w:p>
        </w:tc>
        <w:tc>
          <w:tcPr>
            <w:tcW w:w="777" w:type="pct"/>
          </w:tcPr>
          <w:p w14:paraId="0865760D" w14:textId="77777777" w:rsidR="00146578" w:rsidRPr="00491BF9" w:rsidRDefault="00146578" w:rsidP="00E31119">
            <w:pPr>
              <w:rPr>
                <w:lang w:val="lt-LT"/>
              </w:rPr>
            </w:pPr>
            <w:r w:rsidRPr="00491BF9">
              <w:rPr>
                <w:lang w:val="lt-LT"/>
              </w:rPr>
              <w:t>0,021</w:t>
            </w:r>
          </w:p>
        </w:tc>
        <w:tc>
          <w:tcPr>
            <w:tcW w:w="777" w:type="pct"/>
          </w:tcPr>
          <w:p w14:paraId="376E81BA" w14:textId="77777777" w:rsidR="00146578" w:rsidRPr="00491BF9" w:rsidRDefault="00146578" w:rsidP="00E31119">
            <w:pPr>
              <w:rPr>
                <w:lang w:val="lt-LT"/>
              </w:rPr>
            </w:pPr>
            <w:r w:rsidRPr="00491BF9">
              <w:rPr>
                <w:lang w:val="lt-LT"/>
              </w:rPr>
              <w:t>0,035</w:t>
            </w:r>
          </w:p>
        </w:tc>
      </w:tr>
      <w:tr w:rsidR="00146578" w:rsidRPr="00491BF9" w14:paraId="08D8512D" w14:textId="77777777" w:rsidTr="004F35D3">
        <w:tc>
          <w:tcPr>
            <w:tcW w:w="1112" w:type="pct"/>
          </w:tcPr>
          <w:p w14:paraId="5D2D5986" w14:textId="34146187" w:rsidR="00146578" w:rsidRPr="00491BF9" w:rsidRDefault="00146578" w:rsidP="00E31119">
            <w:pPr>
              <w:rPr>
                <w:lang w:val="lt-LT"/>
              </w:rPr>
            </w:pPr>
            <w:r w:rsidRPr="00491BF9">
              <w:rPr>
                <w:lang w:val="lt-LT"/>
              </w:rPr>
              <w:t>Plonosios žarnos</w:t>
            </w:r>
            <w:r w:rsidR="009B20FA">
              <w:rPr>
                <w:lang w:val="lt-LT"/>
              </w:rPr>
              <w:t xml:space="preserve"> siena</w:t>
            </w:r>
          </w:p>
        </w:tc>
        <w:tc>
          <w:tcPr>
            <w:tcW w:w="707" w:type="pct"/>
          </w:tcPr>
          <w:p w14:paraId="2FD051E8" w14:textId="77777777" w:rsidR="00146578" w:rsidRPr="00491BF9" w:rsidRDefault="00146578" w:rsidP="00E31119">
            <w:pPr>
              <w:rPr>
                <w:lang w:val="lt-LT"/>
              </w:rPr>
            </w:pPr>
            <w:r w:rsidRPr="00491BF9">
              <w:rPr>
                <w:lang w:val="lt-LT"/>
              </w:rPr>
              <w:t>0,015</w:t>
            </w:r>
          </w:p>
        </w:tc>
        <w:tc>
          <w:tcPr>
            <w:tcW w:w="777" w:type="pct"/>
          </w:tcPr>
          <w:p w14:paraId="65E2FE28" w14:textId="77777777" w:rsidR="00146578" w:rsidRPr="00491BF9" w:rsidRDefault="00146578" w:rsidP="00E31119">
            <w:pPr>
              <w:rPr>
                <w:lang w:val="lt-LT"/>
              </w:rPr>
            </w:pPr>
            <w:r w:rsidRPr="00491BF9">
              <w:rPr>
                <w:lang w:val="lt-LT"/>
              </w:rPr>
              <w:t>0,018</w:t>
            </w:r>
          </w:p>
        </w:tc>
        <w:tc>
          <w:tcPr>
            <w:tcW w:w="850" w:type="pct"/>
          </w:tcPr>
          <w:p w14:paraId="503D2C4E" w14:textId="77777777" w:rsidR="00146578" w:rsidRPr="00491BF9" w:rsidRDefault="00146578" w:rsidP="00E31119">
            <w:pPr>
              <w:rPr>
                <w:lang w:val="lt-LT"/>
              </w:rPr>
            </w:pPr>
            <w:r w:rsidRPr="00491BF9">
              <w:rPr>
                <w:lang w:val="lt-LT"/>
              </w:rPr>
              <w:t>0,029</w:t>
            </w:r>
          </w:p>
        </w:tc>
        <w:tc>
          <w:tcPr>
            <w:tcW w:w="777" w:type="pct"/>
          </w:tcPr>
          <w:p w14:paraId="55D99C21" w14:textId="77777777" w:rsidR="00146578" w:rsidRPr="00491BF9" w:rsidRDefault="00146578" w:rsidP="00E31119">
            <w:pPr>
              <w:rPr>
                <w:lang w:val="lt-LT"/>
              </w:rPr>
            </w:pPr>
            <w:r w:rsidRPr="00491BF9">
              <w:rPr>
                <w:lang w:val="lt-LT"/>
              </w:rPr>
              <w:t>0,045</w:t>
            </w:r>
          </w:p>
        </w:tc>
        <w:tc>
          <w:tcPr>
            <w:tcW w:w="777" w:type="pct"/>
          </w:tcPr>
          <w:p w14:paraId="18477821" w14:textId="77777777" w:rsidR="00146578" w:rsidRPr="00491BF9" w:rsidRDefault="00146578" w:rsidP="00E31119">
            <w:pPr>
              <w:rPr>
                <w:lang w:val="lt-LT"/>
              </w:rPr>
            </w:pPr>
            <w:r w:rsidRPr="00491BF9">
              <w:rPr>
                <w:lang w:val="lt-LT"/>
              </w:rPr>
              <w:t>0,080</w:t>
            </w:r>
          </w:p>
        </w:tc>
      </w:tr>
      <w:tr w:rsidR="00146578" w:rsidRPr="00491BF9" w14:paraId="363F97F2" w14:textId="77777777" w:rsidTr="004F35D3">
        <w:tc>
          <w:tcPr>
            <w:tcW w:w="1112" w:type="pct"/>
          </w:tcPr>
          <w:p w14:paraId="6DAECDE3" w14:textId="5154B666" w:rsidR="00146578" w:rsidRPr="00491BF9" w:rsidRDefault="00146578" w:rsidP="00E31119">
            <w:pPr>
              <w:rPr>
                <w:lang w:val="lt-LT"/>
              </w:rPr>
            </w:pPr>
            <w:r w:rsidRPr="00491BF9">
              <w:rPr>
                <w:lang w:val="lt-LT"/>
              </w:rPr>
              <w:lastRenderedPageBreak/>
              <w:t>Gaubtinė</w:t>
            </w:r>
            <w:r w:rsidR="009B20FA">
              <w:rPr>
                <w:lang w:val="lt-LT"/>
              </w:rPr>
              <w:t>s</w:t>
            </w:r>
            <w:r w:rsidRPr="00491BF9">
              <w:rPr>
                <w:lang w:val="lt-LT"/>
              </w:rPr>
              <w:t xml:space="preserve"> žarn</w:t>
            </w:r>
            <w:r w:rsidR="009B20FA">
              <w:rPr>
                <w:lang w:val="lt-LT"/>
              </w:rPr>
              <w:t>os siena</w:t>
            </w:r>
          </w:p>
        </w:tc>
        <w:tc>
          <w:tcPr>
            <w:tcW w:w="707" w:type="pct"/>
          </w:tcPr>
          <w:p w14:paraId="661D738D" w14:textId="77777777" w:rsidR="00146578" w:rsidRPr="00491BF9" w:rsidRDefault="00146578" w:rsidP="00E31119">
            <w:pPr>
              <w:rPr>
                <w:lang w:val="lt-LT"/>
              </w:rPr>
            </w:pPr>
            <w:r w:rsidRPr="00491BF9">
              <w:rPr>
                <w:lang w:val="lt-LT"/>
              </w:rPr>
              <w:t>0,024</w:t>
            </w:r>
          </w:p>
        </w:tc>
        <w:tc>
          <w:tcPr>
            <w:tcW w:w="777" w:type="pct"/>
          </w:tcPr>
          <w:p w14:paraId="12E6CC41" w14:textId="77777777" w:rsidR="00146578" w:rsidRPr="00491BF9" w:rsidRDefault="00146578" w:rsidP="00E31119">
            <w:pPr>
              <w:rPr>
                <w:lang w:val="lt-LT"/>
              </w:rPr>
            </w:pPr>
            <w:r w:rsidRPr="00491BF9">
              <w:rPr>
                <w:lang w:val="lt-LT"/>
              </w:rPr>
              <w:t>0,031</w:t>
            </w:r>
          </w:p>
        </w:tc>
        <w:tc>
          <w:tcPr>
            <w:tcW w:w="850" w:type="pct"/>
          </w:tcPr>
          <w:p w14:paraId="3B369FE6" w14:textId="77777777" w:rsidR="00146578" w:rsidRPr="00491BF9" w:rsidRDefault="00146578" w:rsidP="00E31119">
            <w:pPr>
              <w:rPr>
                <w:lang w:val="lt-LT"/>
              </w:rPr>
            </w:pPr>
            <w:r w:rsidRPr="00491BF9">
              <w:rPr>
                <w:lang w:val="lt-LT"/>
              </w:rPr>
              <w:t>0,050</w:t>
            </w:r>
          </w:p>
        </w:tc>
        <w:tc>
          <w:tcPr>
            <w:tcW w:w="777" w:type="pct"/>
          </w:tcPr>
          <w:p w14:paraId="39A0FC91" w14:textId="77777777" w:rsidR="00146578" w:rsidRPr="00491BF9" w:rsidRDefault="00146578" w:rsidP="00E31119">
            <w:pPr>
              <w:rPr>
                <w:lang w:val="lt-LT"/>
              </w:rPr>
            </w:pPr>
            <w:r w:rsidRPr="00491BF9">
              <w:rPr>
                <w:lang w:val="lt-LT"/>
              </w:rPr>
              <w:t>0,079</w:t>
            </w:r>
          </w:p>
        </w:tc>
        <w:tc>
          <w:tcPr>
            <w:tcW w:w="777" w:type="pct"/>
          </w:tcPr>
          <w:p w14:paraId="7006217C" w14:textId="77777777" w:rsidR="00146578" w:rsidRPr="00491BF9" w:rsidRDefault="00146578" w:rsidP="00E31119">
            <w:pPr>
              <w:rPr>
                <w:lang w:val="lt-LT"/>
              </w:rPr>
            </w:pPr>
            <w:r w:rsidRPr="00491BF9">
              <w:rPr>
                <w:lang w:val="lt-LT"/>
              </w:rPr>
              <w:t>0,015</w:t>
            </w:r>
          </w:p>
        </w:tc>
      </w:tr>
      <w:tr w:rsidR="00146578" w:rsidRPr="00491BF9" w14:paraId="1251533F" w14:textId="77777777" w:rsidTr="004F35D3">
        <w:tc>
          <w:tcPr>
            <w:tcW w:w="1112" w:type="pct"/>
          </w:tcPr>
          <w:p w14:paraId="40B4E92B" w14:textId="120CB8B1" w:rsidR="00146578" w:rsidRPr="00491BF9" w:rsidRDefault="00146578" w:rsidP="00E31119">
            <w:pPr>
              <w:rPr>
                <w:lang w:val="lt-LT"/>
              </w:rPr>
            </w:pPr>
            <w:r w:rsidRPr="00491BF9">
              <w:rPr>
                <w:lang w:val="lt-LT"/>
              </w:rPr>
              <w:t>Viršutinė</w:t>
            </w:r>
            <w:r w:rsidR="009B20FA">
              <w:rPr>
                <w:lang w:val="lt-LT"/>
              </w:rPr>
              <w:t>s</w:t>
            </w:r>
            <w:r w:rsidRPr="00491BF9">
              <w:rPr>
                <w:lang w:val="lt-LT"/>
              </w:rPr>
              <w:t xml:space="preserve"> storosios žarnos dali</w:t>
            </w:r>
            <w:r w:rsidR="009B20FA">
              <w:rPr>
                <w:lang w:val="lt-LT"/>
              </w:rPr>
              <w:t>e</w:t>
            </w:r>
            <w:r w:rsidRPr="00491BF9">
              <w:rPr>
                <w:lang w:val="lt-LT"/>
              </w:rPr>
              <w:t>s</w:t>
            </w:r>
            <w:r w:rsidR="009B20FA">
              <w:rPr>
                <w:lang w:val="lt-LT"/>
              </w:rPr>
              <w:t xml:space="preserve"> siena</w:t>
            </w:r>
          </w:p>
        </w:tc>
        <w:tc>
          <w:tcPr>
            <w:tcW w:w="707" w:type="pct"/>
          </w:tcPr>
          <w:p w14:paraId="7761F0AF" w14:textId="77777777" w:rsidR="00146578" w:rsidRPr="00491BF9" w:rsidRDefault="00146578" w:rsidP="00E31119">
            <w:pPr>
              <w:rPr>
                <w:lang w:val="lt-LT"/>
              </w:rPr>
            </w:pPr>
            <w:r w:rsidRPr="00491BF9">
              <w:rPr>
                <w:lang w:val="lt-LT"/>
              </w:rPr>
              <w:t>0,027</w:t>
            </w:r>
          </w:p>
        </w:tc>
        <w:tc>
          <w:tcPr>
            <w:tcW w:w="777" w:type="pct"/>
          </w:tcPr>
          <w:p w14:paraId="035B5028" w14:textId="77777777" w:rsidR="00146578" w:rsidRPr="00491BF9" w:rsidRDefault="00146578" w:rsidP="00E31119">
            <w:pPr>
              <w:rPr>
                <w:lang w:val="lt-LT"/>
              </w:rPr>
            </w:pPr>
            <w:r w:rsidRPr="00491BF9">
              <w:rPr>
                <w:lang w:val="lt-LT"/>
              </w:rPr>
              <w:t>0,035</w:t>
            </w:r>
          </w:p>
        </w:tc>
        <w:tc>
          <w:tcPr>
            <w:tcW w:w="850" w:type="pct"/>
          </w:tcPr>
          <w:p w14:paraId="611EB544" w14:textId="77777777" w:rsidR="00146578" w:rsidRPr="00491BF9" w:rsidRDefault="00146578" w:rsidP="00E31119">
            <w:pPr>
              <w:rPr>
                <w:lang w:val="lt-LT"/>
              </w:rPr>
            </w:pPr>
            <w:r w:rsidRPr="00491BF9">
              <w:rPr>
                <w:lang w:val="lt-LT"/>
              </w:rPr>
              <w:t>0,057</w:t>
            </w:r>
          </w:p>
        </w:tc>
        <w:tc>
          <w:tcPr>
            <w:tcW w:w="777" w:type="pct"/>
          </w:tcPr>
          <w:p w14:paraId="721CEE62" w14:textId="77777777" w:rsidR="00146578" w:rsidRPr="00491BF9" w:rsidRDefault="00146578" w:rsidP="00E31119">
            <w:pPr>
              <w:rPr>
                <w:lang w:val="lt-LT"/>
              </w:rPr>
            </w:pPr>
            <w:r w:rsidRPr="00491BF9">
              <w:rPr>
                <w:lang w:val="lt-LT"/>
              </w:rPr>
              <w:t>0,089</w:t>
            </w:r>
          </w:p>
        </w:tc>
        <w:tc>
          <w:tcPr>
            <w:tcW w:w="777" w:type="pct"/>
          </w:tcPr>
          <w:p w14:paraId="5AF20908" w14:textId="77777777" w:rsidR="00146578" w:rsidRPr="00491BF9" w:rsidRDefault="00146578" w:rsidP="00E31119">
            <w:pPr>
              <w:rPr>
                <w:lang w:val="lt-LT"/>
              </w:rPr>
            </w:pPr>
            <w:r w:rsidRPr="00491BF9">
              <w:rPr>
                <w:lang w:val="lt-LT"/>
              </w:rPr>
              <w:t>0,17</w:t>
            </w:r>
          </w:p>
        </w:tc>
      </w:tr>
      <w:tr w:rsidR="00146578" w:rsidRPr="00491BF9" w14:paraId="468F5589" w14:textId="77777777" w:rsidTr="004F35D3">
        <w:tc>
          <w:tcPr>
            <w:tcW w:w="1112" w:type="pct"/>
          </w:tcPr>
          <w:p w14:paraId="54F35B79" w14:textId="5D54336C" w:rsidR="00146578" w:rsidRPr="00491BF9" w:rsidRDefault="00146578" w:rsidP="00E31119">
            <w:pPr>
              <w:rPr>
                <w:lang w:val="lt-LT"/>
              </w:rPr>
            </w:pPr>
            <w:r w:rsidRPr="00491BF9">
              <w:rPr>
                <w:lang w:val="lt-LT"/>
              </w:rPr>
              <w:t>Apatinė</w:t>
            </w:r>
            <w:r w:rsidR="009B20FA">
              <w:rPr>
                <w:lang w:val="lt-LT"/>
              </w:rPr>
              <w:t>s</w:t>
            </w:r>
            <w:r w:rsidRPr="00491BF9">
              <w:rPr>
                <w:lang w:val="lt-LT"/>
              </w:rPr>
              <w:t xml:space="preserve"> storosios žarnos dali</w:t>
            </w:r>
            <w:r w:rsidR="009B20FA">
              <w:rPr>
                <w:lang w:val="lt-LT"/>
              </w:rPr>
              <w:t>e</w:t>
            </w:r>
            <w:r w:rsidRPr="00491BF9">
              <w:rPr>
                <w:lang w:val="lt-LT"/>
              </w:rPr>
              <w:t>s</w:t>
            </w:r>
            <w:r w:rsidR="009B20FA">
              <w:rPr>
                <w:lang w:val="lt-LT"/>
              </w:rPr>
              <w:t xml:space="preserve"> siena</w:t>
            </w:r>
          </w:p>
        </w:tc>
        <w:tc>
          <w:tcPr>
            <w:tcW w:w="707" w:type="pct"/>
          </w:tcPr>
          <w:p w14:paraId="170904A8" w14:textId="77777777" w:rsidR="00146578" w:rsidRPr="00491BF9" w:rsidRDefault="00146578" w:rsidP="00E31119">
            <w:pPr>
              <w:rPr>
                <w:lang w:val="lt-LT"/>
              </w:rPr>
            </w:pPr>
            <w:r w:rsidRPr="00491BF9">
              <w:rPr>
                <w:lang w:val="lt-LT"/>
              </w:rPr>
              <w:t>0,019</w:t>
            </w:r>
          </w:p>
        </w:tc>
        <w:tc>
          <w:tcPr>
            <w:tcW w:w="777" w:type="pct"/>
          </w:tcPr>
          <w:p w14:paraId="50045063" w14:textId="77777777" w:rsidR="00146578" w:rsidRPr="00491BF9" w:rsidRDefault="00146578" w:rsidP="00E31119">
            <w:pPr>
              <w:rPr>
                <w:lang w:val="lt-LT"/>
              </w:rPr>
            </w:pPr>
            <w:r w:rsidRPr="00491BF9">
              <w:rPr>
                <w:lang w:val="lt-LT"/>
              </w:rPr>
              <w:t>0,025</w:t>
            </w:r>
          </w:p>
        </w:tc>
        <w:tc>
          <w:tcPr>
            <w:tcW w:w="850" w:type="pct"/>
          </w:tcPr>
          <w:p w14:paraId="508CB803" w14:textId="77777777" w:rsidR="00146578" w:rsidRPr="00491BF9" w:rsidRDefault="00146578" w:rsidP="00E31119">
            <w:pPr>
              <w:rPr>
                <w:lang w:val="lt-LT"/>
              </w:rPr>
            </w:pPr>
            <w:r w:rsidRPr="00491BF9">
              <w:rPr>
                <w:lang w:val="lt-LT"/>
              </w:rPr>
              <w:t>0,041</w:t>
            </w:r>
          </w:p>
        </w:tc>
        <w:tc>
          <w:tcPr>
            <w:tcW w:w="777" w:type="pct"/>
          </w:tcPr>
          <w:p w14:paraId="417C20F5" w14:textId="77777777" w:rsidR="00146578" w:rsidRPr="00491BF9" w:rsidRDefault="00146578" w:rsidP="00E31119">
            <w:pPr>
              <w:rPr>
                <w:lang w:val="lt-LT"/>
              </w:rPr>
            </w:pPr>
            <w:r w:rsidRPr="00491BF9">
              <w:rPr>
                <w:lang w:val="lt-LT"/>
              </w:rPr>
              <w:t>0,065</w:t>
            </w:r>
          </w:p>
        </w:tc>
        <w:tc>
          <w:tcPr>
            <w:tcW w:w="777" w:type="pct"/>
          </w:tcPr>
          <w:p w14:paraId="520936FC" w14:textId="77777777" w:rsidR="00146578" w:rsidRPr="00491BF9" w:rsidRDefault="00146578" w:rsidP="00E31119">
            <w:pPr>
              <w:rPr>
                <w:lang w:val="lt-LT"/>
              </w:rPr>
            </w:pPr>
            <w:r w:rsidRPr="00491BF9">
              <w:rPr>
                <w:lang w:val="lt-LT"/>
              </w:rPr>
              <w:t>0,12</w:t>
            </w:r>
          </w:p>
        </w:tc>
      </w:tr>
      <w:tr w:rsidR="00146578" w:rsidRPr="00491BF9" w14:paraId="7B98C6FC" w14:textId="77777777" w:rsidTr="004F35D3">
        <w:tc>
          <w:tcPr>
            <w:tcW w:w="1112" w:type="pct"/>
          </w:tcPr>
          <w:p w14:paraId="0EFDA073" w14:textId="0E277EEB" w:rsidR="00146578" w:rsidRPr="00491BF9" w:rsidRDefault="00146578" w:rsidP="00E31119">
            <w:pPr>
              <w:rPr>
                <w:lang w:val="lt-LT"/>
              </w:rPr>
            </w:pPr>
            <w:r w:rsidRPr="00491BF9">
              <w:rPr>
                <w:lang w:val="lt-LT"/>
              </w:rPr>
              <w:t>Širdi</w:t>
            </w:r>
            <w:r w:rsidR="009B20FA">
              <w:rPr>
                <w:lang w:val="lt-LT"/>
              </w:rPr>
              <w:t>e</w:t>
            </w:r>
            <w:r w:rsidRPr="00491BF9">
              <w:rPr>
                <w:lang w:val="lt-LT"/>
              </w:rPr>
              <w:t>s</w:t>
            </w:r>
            <w:r w:rsidR="009B20FA">
              <w:rPr>
                <w:lang w:val="lt-LT"/>
              </w:rPr>
              <w:t xml:space="preserve"> sienelė</w:t>
            </w:r>
          </w:p>
        </w:tc>
        <w:tc>
          <w:tcPr>
            <w:tcW w:w="707" w:type="pct"/>
          </w:tcPr>
          <w:p w14:paraId="4B4E3B4D" w14:textId="77777777" w:rsidR="00146578" w:rsidRPr="00491BF9" w:rsidRDefault="00146578" w:rsidP="00E31119">
            <w:pPr>
              <w:rPr>
                <w:lang w:val="lt-LT"/>
              </w:rPr>
            </w:pPr>
            <w:r w:rsidRPr="00491BF9">
              <w:rPr>
                <w:lang w:val="lt-LT"/>
              </w:rPr>
              <w:t>0,0063</w:t>
            </w:r>
          </w:p>
        </w:tc>
        <w:tc>
          <w:tcPr>
            <w:tcW w:w="777" w:type="pct"/>
          </w:tcPr>
          <w:p w14:paraId="79C93AD1" w14:textId="77777777" w:rsidR="00146578" w:rsidRPr="00491BF9" w:rsidRDefault="00146578" w:rsidP="00E31119">
            <w:pPr>
              <w:rPr>
                <w:lang w:val="lt-LT"/>
              </w:rPr>
            </w:pPr>
            <w:r w:rsidRPr="00491BF9">
              <w:rPr>
                <w:lang w:val="lt-LT"/>
              </w:rPr>
              <w:t>0,0082</w:t>
            </w:r>
          </w:p>
        </w:tc>
        <w:tc>
          <w:tcPr>
            <w:tcW w:w="850" w:type="pct"/>
          </w:tcPr>
          <w:p w14:paraId="014AED35" w14:textId="77777777" w:rsidR="00146578" w:rsidRPr="00491BF9" w:rsidRDefault="00146578" w:rsidP="00E31119">
            <w:pPr>
              <w:rPr>
                <w:lang w:val="lt-LT"/>
              </w:rPr>
            </w:pPr>
            <w:r w:rsidRPr="00491BF9">
              <w:rPr>
                <w:lang w:val="lt-LT"/>
              </w:rPr>
              <w:t>0,012</w:t>
            </w:r>
          </w:p>
        </w:tc>
        <w:tc>
          <w:tcPr>
            <w:tcW w:w="777" w:type="pct"/>
          </w:tcPr>
          <w:p w14:paraId="29D0607B" w14:textId="77777777" w:rsidR="00146578" w:rsidRPr="00491BF9" w:rsidRDefault="00146578" w:rsidP="00E31119">
            <w:pPr>
              <w:rPr>
                <w:lang w:val="lt-LT"/>
              </w:rPr>
            </w:pPr>
            <w:r w:rsidRPr="00491BF9">
              <w:rPr>
                <w:lang w:val="lt-LT"/>
              </w:rPr>
              <w:t>0,018</w:t>
            </w:r>
          </w:p>
        </w:tc>
        <w:tc>
          <w:tcPr>
            <w:tcW w:w="777" w:type="pct"/>
          </w:tcPr>
          <w:p w14:paraId="60F3949A" w14:textId="77777777" w:rsidR="00146578" w:rsidRPr="00491BF9" w:rsidRDefault="00146578" w:rsidP="00E31119">
            <w:pPr>
              <w:rPr>
                <w:lang w:val="lt-LT"/>
              </w:rPr>
            </w:pPr>
            <w:r w:rsidRPr="00491BF9">
              <w:rPr>
                <w:lang w:val="lt-LT"/>
              </w:rPr>
              <w:t>0,030</w:t>
            </w:r>
          </w:p>
        </w:tc>
      </w:tr>
      <w:tr w:rsidR="00146578" w:rsidRPr="00491BF9" w14:paraId="748E3609" w14:textId="77777777" w:rsidTr="004F35D3">
        <w:tc>
          <w:tcPr>
            <w:tcW w:w="1112" w:type="pct"/>
          </w:tcPr>
          <w:p w14:paraId="2F16B918" w14:textId="77777777" w:rsidR="00146578" w:rsidRPr="00491BF9" w:rsidRDefault="00146578" w:rsidP="00E31119">
            <w:pPr>
              <w:rPr>
                <w:lang w:val="lt-LT"/>
              </w:rPr>
            </w:pPr>
            <w:r w:rsidRPr="00491BF9">
              <w:rPr>
                <w:lang w:val="lt-LT"/>
              </w:rPr>
              <w:t>Inkstai</w:t>
            </w:r>
          </w:p>
        </w:tc>
        <w:tc>
          <w:tcPr>
            <w:tcW w:w="707" w:type="pct"/>
          </w:tcPr>
          <w:p w14:paraId="15C797D3" w14:textId="77777777" w:rsidR="00146578" w:rsidRPr="00491BF9" w:rsidRDefault="00146578" w:rsidP="00E31119">
            <w:pPr>
              <w:rPr>
                <w:lang w:val="lt-LT"/>
              </w:rPr>
            </w:pPr>
            <w:r w:rsidRPr="00491BF9">
              <w:rPr>
                <w:lang w:val="lt-LT"/>
              </w:rPr>
              <w:t>0,036</w:t>
            </w:r>
          </w:p>
        </w:tc>
        <w:tc>
          <w:tcPr>
            <w:tcW w:w="777" w:type="pct"/>
          </w:tcPr>
          <w:p w14:paraId="251845C8" w14:textId="77777777" w:rsidR="00146578" w:rsidRPr="00491BF9" w:rsidRDefault="00146578" w:rsidP="00E31119">
            <w:pPr>
              <w:rPr>
                <w:lang w:val="lt-LT"/>
              </w:rPr>
            </w:pPr>
            <w:r w:rsidRPr="00491BF9">
              <w:rPr>
                <w:lang w:val="lt-LT"/>
              </w:rPr>
              <w:t>0,043</w:t>
            </w:r>
          </w:p>
        </w:tc>
        <w:tc>
          <w:tcPr>
            <w:tcW w:w="850" w:type="pct"/>
          </w:tcPr>
          <w:p w14:paraId="2F39D21D" w14:textId="77777777" w:rsidR="00146578" w:rsidRPr="00491BF9" w:rsidRDefault="00146578" w:rsidP="00E31119">
            <w:pPr>
              <w:rPr>
                <w:lang w:val="lt-LT"/>
              </w:rPr>
            </w:pPr>
            <w:r w:rsidRPr="00491BF9">
              <w:rPr>
                <w:lang w:val="lt-LT"/>
              </w:rPr>
              <w:t>0,059</w:t>
            </w:r>
          </w:p>
        </w:tc>
        <w:tc>
          <w:tcPr>
            <w:tcW w:w="777" w:type="pct"/>
          </w:tcPr>
          <w:p w14:paraId="583E6ED0" w14:textId="77777777" w:rsidR="00146578" w:rsidRPr="00491BF9" w:rsidRDefault="00146578" w:rsidP="00E31119">
            <w:pPr>
              <w:rPr>
                <w:lang w:val="lt-LT"/>
              </w:rPr>
            </w:pPr>
            <w:r w:rsidRPr="00491BF9">
              <w:rPr>
                <w:lang w:val="lt-LT"/>
              </w:rPr>
              <w:t>0,085</w:t>
            </w:r>
          </w:p>
        </w:tc>
        <w:tc>
          <w:tcPr>
            <w:tcW w:w="777" w:type="pct"/>
          </w:tcPr>
          <w:p w14:paraId="6E2DF7F4" w14:textId="77777777" w:rsidR="00146578" w:rsidRPr="00491BF9" w:rsidRDefault="00146578" w:rsidP="00E31119">
            <w:pPr>
              <w:rPr>
                <w:lang w:val="lt-LT"/>
              </w:rPr>
            </w:pPr>
            <w:r w:rsidRPr="00491BF9">
              <w:rPr>
                <w:lang w:val="lt-LT"/>
              </w:rPr>
              <w:t>0,15</w:t>
            </w:r>
          </w:p>
        </w:tc>
      </w:tr>
      <w:tr w:rsidR="00146578" w:rsidRPr="00491BF9" w14:paraId="4C98C068" w14:textId="77777777" w:rsidTr="004F35D3">
        <w:tc>
          <w:tcPr>
            <w:tcW w:w="1112" w:type="pct"/>
          </w:tcPr>
          <w:p w14:paraId="0EBBF4C7" w14:textId="77777777" w:rsidR="00146578" w:rsidRPr="00491BF9" w:rsidRDefault="00146578" w:rsidP="00E31119">
            <w:pPr>
              <w:rPr>
                <w:lang w:val="lt-LT"/>
              </w:rPr>
            </w:pPr>
            <w:r w:rsidRPr="00491BF9">
              <w:rPr>
                <w:lang w:val="lt-LT"/>
              </w:rPr>
              <w:t>Kepenys</w:t>
            </w:r>
          </w:p>
        </w:tc>
        <w:tc>
          <w:tcPr>
            <w:tcW w:w="707" w:type="pct"/>
          </w:tcPr>
          <w:p w14:paraId="5BAA335C" w14:textId="77777777" w:rsidR="00146578" w:rsidRPr="00491BF9" w:rsidRDefault="00146578" w:rsidP="00E31119">
            <w:pPr>
              <w:rPr>
                <w:lang w:val="lt-LT"/>
              </w:rPr>
            </w:pPr>
            <w:r w:rsidRPr="00491BF9">
              <w:rPr>
                <w:lang w:val="lt-LT"/>
              </w:rPr>
              <w:t>0,011</w:t>
            </w:r>
          </w:p>
        </w:tc>
        <w:tc>
          <w:tcPr>
            <w:tcW w:w="777" w:type="pct"/>
          </w:tcPr>
          <w:p w14:paraId="2B812BB0" w14:textId="77777777" w:rsidR="00146578" w:rsidRPr="00491BF9" w:rsidRDefault="00146578" w:rsidP="00E31119">
            <w:pPr>
              <w:rPr>
                <w:lang w:val="lt-LT"/>
              </w:rPr>
            </w:pPr>
            <w:r w:rsidRPr="00491BF9">
              <w:rPr>
                <w:lang w:val="lt-LT"/>
              </w:rPr>
              <w:t>0,014</w:t>
            </w:r>
          </w:p>
        </w:tc>
        <w:tc>
          <w:tcPr>
            <w:tcW w:w="850" w:type="pct"/>
          </w:tcPr>
          <w:p w14:paraId="1575BB8F" w14:textId="77777777" w:rsidR="00146578" w:rsidRPr="00491BF9" w:rsidRDefault="00146578" w:rsidP="00E31119">
            <w:pPr>
              <w:rPr>
                <w:lang w:val="lt-LT"/>
              </w:rPr>
            </w:pPr>
            <w:r w:rsidRPr="00491BF9">
              <w:rPr>
                <w:lang w:val="lt-LT"/>
              </w:rPr>
              <w:t>0,021</w:t>
            </w:r>
          </w:p>
        </w:tc>
        <w:tc>
          <w:tcPr>
            <w:tcW w:w="777" w:type="pct"/>
          </w:tcPr>
          <w:p w14:paraId="60A90E66" w14:textId="77777777" w:rsidR="00146578" w:rsidRPr="00491BF9" w:rsidRDefault="00146578" w:rsidP="00E31119">
            <w:pPr>
              <w:rPr>
                <w:lang w:val="lt-LT"/>
              </w:rPr>
            </w:pPr>
            <w:r w:rsidRPr="00491BF9">
              <w:rPr>
                <w:lang w:val="lt-LT"/>
              </w:rPr>
              <w:t>0,030</w:t>
            </w:r>
          </w:p>
        </w:tc>
        <w:tc>
          <w:tcPr>
            <w:tcW w:w="777" w:type="pct"/>
          </w:tcPr>
          <w:p w14:paraId="509A5AC3" w14:textId="77777777" w:rsidR="00146578" w:rsidRPr="00491BF9" w:rsidRDefault="00146578" w:rsidP="00E31119">
            <w:pPr>
              <w:rPr>
                <w:lang w:val="lt-LT"/>
              </w:rPr>
            </w:pPr>
            <w:r w:rsidRPr="00491BF9">
              <w:rPr>
                <w:lang w:val="lt-LT"/>
              </w:rPr>
              <w:t>0,052</w:t>
            </w:r>
          </w:p>
        </w:tc>
      </w:tr>
      <w:tr w:rsidR="00146578" w:rsidRPr="00491BF9" w14:paraId="45AC8110" w14:textId="77777777" w:rsidTr="004F35D3">
        <w:tc>
          <w:tcPr>
            <w:tcW w:w="1112" w:type="pct"/>
          </w:tcPr>
          <w:p w14:paraId="1B1A4042" w14:textId="77777777" w:rsidR="00146578" w:rsidRPr="00491BF9" w:rsidRDefault="00146578" w:rsidP="00E31119">
            <w:pPr>
              <w:rPr>
                <w:lang w:val="lt-LT"/>
              </w:rPr>
            </w:pPr>
            <w:r w:rsidRPr="00491BF9">
              <w:rPr>
                <w:lang w:val="lt-LT"/>
              </w:rPr>
              <w:t>Plaučiai</w:t>
            </w:r>
          </w:p>
        </w:tc>
        <w:tc>
          <w:tcPr>
            <w:tcW w:w="707" w:type="pct"/>
          </w:tcPr>
          <w:p w14:paraId="591FDBB9" w14:textId="77777777" w:rsidR="00146578" w:rsidRPr="00491BF9" w:rsidRDefault="00146578" w:rsidP="00E31119">
            <w:pPr>
              <w:rPr>
                <w:lang w:val="lt-LT"/>
              </w:rPr>
            </w:pPr>
            <w:r w:rsidRPr="00491BF9">
              <w:rPr>
                <w:lang w:val="lt-LT"/>
              </w:rPr>
              <w:t>0,0046</w:t>
            </w:r>
          </w:p>
        </w:tc>
        <w:tc>
          <w:tcPr>
            <w:tcW w:w="777" w:type="pct"/>
          </w:tcPr>
          <w:p w14:paraId="363D2771" w14:textId="77777777" w:rsidR="00146578" w:rsidRPr="00491BF9" w:rsidRDefault="00146578" w:rsidP="00E31119">
            <w:pPr>
              <w:rPr>
                <w:lang w:val="lt-LT"/>
              </w:rPr>
            </w:pPr>
            <w:r w:rsidRPr="00491BF9">
              <w:rPr>
                <w:lang w:val="lt-LT"/>
              </w:rPr>
              <w:t>0,0064</w:t>
            </w:r>
          </w:p>
        </w:tc>
        <w:tc>
          <w:tcPr>
            <w:tcW w:w="850" w:type="pct"/>
          </w:tcPr>
          <w:p w14:paraId="631EEEB8" w14:textId="77777777" w:rsidR="00146578" w:rsidRPr="00491BF9" w:rsidRDefault="00146578" w:rsidP="00E31119">
            <w:pPr>
              <w:rPr>
                <w:lang w:val="lt-LT"/>
              </w:rPr>
            </w:pPr>
            <w:r w:rsidRPr="00491BF9">
              <w:rPr>
                <w:lang w:val="lt-LT"/>
              </w:rPr>
              <w:t>0,0097</w:t>
            </w:r>
          </w:p>
        </w:tc>
        <w:tc>
          <w:tcPr>
            <w:tcW w:w="777" w:type="pct"/>
          </w:tcPr>
          <w:p w14:paraId="34B8EC6D" w14:textId="77777777" w:rsidR="00146578" w:rsidRPr="00491BF9" w:rsidRDefault="00146578" w:rsidP="00E31119">
            <w:pPr>
              <w:rPr>
                <w:lang w:val="lt-LT"/>
              </w:rPr>
            </w:pPr>
            <w:r w:rsidRPr="00491BF9">
              <w:rPr>
                <w:lang w:val="lt-LT"/>
              </w:rPr>
              <w:t>0,014</w:t>
            </w:r>
          </w:p>
        </w:tc>
        <w:tc>
          <w:tcPr>
            <w:tcW w:w="777" w:type="pct"/>
          </w:tcPr>
          <w:p w14:paraId="3552D46F" w14:textId="77777777" w:rsidR="00146578" w:rsidRPr="00491BF9" w:rsidRDefault="00146578" w:rsidP="00E31119">
            <w:pPr>
              <w:rPr>
                <w:lang w:val="lt-LT"/>
              </w:rPr>
            </w:pPr>
            <w:r w:rsidRPr="00491BF9">
              <w:rPr>
                <w:lang w:val="lt-LT"/>
              </w:rPr>
              <w:t>0,025</w:t>
            </w:r>
          </w:p>
        </w:tc>
      </w:tr>
      <w:tr w:rsidR="00146578" w:rsidRPr="00491BF9" w14:paraId="08750B34" w14:textId="77777777" w:rsidTr="004F35D3">
        <w:tc>
          <w:tcPr>
            <w:tcW w:w="1112" w:type="pct"/>
          </w:tcPr>
          <w:p w14:paraId="05E01B62" w14:textId="77777777" w:rsidR="00146578" w:rsidRPr="00491BF9" w:rsidRDefault="00146578" w:rsidP="00E31119">
            <w:pPr>
              <w:rPr>
                <w:lang w:val="lt-LT"/>
              </w:rPr>
            </w:pPr>
            <w:r w:rsidRPr="00491BF9">
              <w:rPr>
                <w:lang w:val="lt-LT"/>
              </w:rPr>
              <w:t>Raumenys</w:t>
            </w:r>
          </w:p>
        </w:tc>
        <w:tc>
          <w:tcPr>
            <w:tcW w:w="707" w:type="pct"/>
          </w:tcPr>
          <w:p w14:paraId="0187268B" w14:textId="77777777" w:rsidR="00146578" w:rsidRPr="00491BF9" w:rsidRDefault="00146578" w:rsidP="00E31119">
            <w:pPr>
              <w:rPr>
                <w:lang w:val="lt-LT"/>
              </w:rPr>
            </w:pPr>
            <w:r w:rsidRPr="00491BF9">
              <w:rPr>
                <w:lang w:val="lt-LT"/>
              </w:rPr>
              <w:t>0,0029</w:t>
            </w:r>
          </w:p>
        </w:tc>
        <w:tc>
          <w:tcPr>
            <w:tcW w:w="777" w:type="pct"/>
          </w:tcPr>
          <w:p w14:paraId="38DE4EDB" w14:textId="77777777" w:rsidR="00146578" w:rsidRPr="00491BF9" w:rsidRDefault="00146578" w:rsidP="00E31119">
            <w:pPr>
              <w:rPr>
                <w:lang w:val="lt-LT"/>
              </w:rPr>
            </w:pPr>
            <w:r w:rsidRPr="00491BF9">
              <w:rPr>
                <w:lang w:val="lt-LT"/>
              </w:rPr>
              <w:t>0,0037</w:t>
            </w:r>
          </w:p>
        </w:tc>
        <w:tc>
          <w:tcPr>
            <w:tcW w:w="850" w:type="pct"/>
          </w:tcPr>
          <w:p w14:paraId="4383EF6B" w14:textId="77777777" w:rsidR="00146578" w:rsidRPr="00491BF9" w:rsidRDefault="00146578" w:rsidP="00E31119">
            <w:pPr>
              <w:rPr>
                <w:lang w:val="lt-LT"/>
              </w:rPr>
            </w:pPr>
            <w:r w:rsidRPr="00491BF9">
              <w:rPr>
                <w:lang w:val="lt-LT"/>
              </w:rPr>
              <w:t>0,0054</w:t>
            </w:r>
          </w:p>
        </w:tc>
        <w:tc>
          <w:tcPr>
            <w:tcW w:w="777" w:type="pct"/>
          </w:tcPr>
          <w:p w14:paraId="3784A23B" w14:textId="77777777" w:rsidR="00146578" w:rsidRPr="00491BF9" w:rsidRDefault="00146578" w:rsidP="00E31119">
            <w:pPr>
              <w:rPr>
                <w:lang w:val="lt-LT"/>
              </w:rPr>
            </w:pPr>
            <w:r w:rsidRPr="00491BF9">
              <w:rPr>
                <w:lang w:val="lt-LT"/>
              </w:rPr>
              <w:t>0,0076</w:t>
            </w:r>
          </w:p>
        </w:tc>
        <w:tc>
          <w:tcPr>
            <w:tcW w:w="777" w:type="pct"/>
          </w:tcPr>
          <w:p w14:paraId="76507A69" w14:textId="77777777" w:rsidR="00146578" w:rsidRPr="00491BF9" w:rsidRDefault="00146578" w:rsidP="00E31119">
            <w:pPr>
              <w:rPr>
                <w:lang w:val="lt-LT"/>
              </w:rPr>
            </w:pPr>
            <w:r w:rsidRPr="00491BF9">
              <w:rPr>
                <w:lang w:val="lt-LT"/>
              </w:rPr>
              <w:t>0,014</w:t>
            </w:r>
          </w:p>
        </w:tc>
      </w:tr>
      <w:tr w:rsidR="00146578" w:rsidRPr="00491BF9" w14:paraId="383240AF" w14:textId="77777777" w:rsidTr="004F35D3">
        <w:tc>
          <w:tcPr>
            <w:tcW w:w="1112" w:type="pct"/>
          </w:tcPr>
          <w:p w14:paraId="3F310637" w14:textId="77777777" w:rsidR="00146578" w:rsidRPr="00491BF9" w:rsidRDefault="00146578" w:rsidP="00E31119">
            <w:pPr>
              <w:rPr>
                <w:lang w:val="lt-LT"/>
              </w:rPr>
            </w:pPr>
            <w:r w:rsidRPr="00491BF9">
              <w:rPr>
                <w:lang w:val="lt-LT"/>
              </w:rPr>
              <w:t>Stemplė</w:t>
            </w:r>
          </w:p>
        </w:tc>
        <w:tc>
          <w:tcPr>
            <w:tcW w:w="707" w:type="pct"/>
          </w:tcPr>
          <w:p w14:paraId="5D33CF10" w14:textId="77777777" w:rsidR="00146578" w:rsidRPr="00491BF9" w:rsidRDefault="00146578" w:rsidP="00E31119">
            <w:pPr>
              <w:rPr>
                <w:lang w:val="lt-LT"/>
              </w:rPr>
            </w:pPr>
            <w:r w:rsidRPr="00491BF9">
              <w:rPr>
                <w:lang w:val="lt-LT"/>
              </w:rPr>
              <w:t>0,0041</w:t>
            </w:r>
          </w:p>
        </w:tc>
        <w:tc>
          <w:tcPr>
            <w:tcW w:w="777" w:type="pct"/>
          </w:tcPr>
          <w:p w14:paraId="12257B5C" w14:textId="77777777" w:rsidR="00146578" w:rsidRPr="00491BF9" w:rsidRDefault="00146578" w:rsidP="00E31119">
            <w:pPr>
              <w:rPr>
                <w:lang w:val="lt-LT"/>
              </w:rPr>
            </w:pPr>
            <w:r w:rsidRPr="00491BF9">
              <w:rPr>
                <w:lang w:val="lt-LT"/>
              </w:rPr>
              <w:t>0,0057</w:t>
            </w:r>
          </w:p>
        </w:tc>
        <w:tc>
          <w:tcPr>
            <w:tcW w:w="850" w:type="pct"/>
          </w:tcPr>
          <w:p w14:paraId="1386DBD0" w14:textId="77777777" w:rsidR="00146578" w:rsidRPr="00491BF9" w:rsidRDefault="00146578" w:rsidP="00E31119">
            <w:pPr>
              <w:rPr>
                <w:lang w:val="lt-LT"/>
              </w:rPr>
            </w:pPr>
            <w:r w:rsidRPr="00491BF9">
              <w:rPr>
                <w:lang w:val="lt-LT"/>
              </w:rPr>
              <w:t>0,0086</w:t>
            </w:r>
          </w:p>
        </w:tc>
        <w:tc>
          <w:tcPr>
            <w:tcW w:w="777" w:type="pct"/>
          </w:tcPr>
          <w:p w14:paraId="4A8BDA8F" w14:textId="77777777" w:rsidR="00146578" w:rsidRPr="00491BF9" w:rsidRDefault="00146578" w:rsidP="00E31119">
            <w:pPr>
              <w:rPr>
                <w:lang w:val="lt-LT"/>
              </w:rPr>
            </w:pPr>
            <w:r w:rsidRPr="00491BF9">
              <w:rPr>
                <w:lang w:val="lt-LT"/>
              </w:rPr>
              <w:t>0,013</w:t>
            </w:r>
          </w:p>
        </w:tc>
        <w:tc>
          <w:tcPr>
            <w:tcW w:w="777" w:type="pct"/>
          </w:tcPr>
          <w:p w14:paraId="79E097F3" w14:textId="77777777" w:rsidR="00146578" w:rsidRPr="00491BF9" w:rsidRDefault="00146578" w:rsidP="00E31119">
            <w:pPr>
              <w:rPr>
                <w:lang w:val="lt-LT"/>
              </w:rPr>
            </w:pPr>
            <w:r w:rsidRPr="00491BF9">
              <w:rPr>
                <w:lang w:val="lt-LT"/>
              </w:rPr>
              <w:t>0,023</w:t>
            </w:r>
          </w:p>
        </w:tc>
      </w:tr>
      <w:tr w:rsidR="00146578" w:rsidRPr="00491BF9" w14:paraId="2E6C0950" w14:textId="77777777" w:rsidTr="004F35D3">
        <w:tc>
          <w:tcPr>
            <w:tcW w:w="1112" w:type="pct"/>
          </w:tcPr>
          <w:p w14:paraId="7AE859B4" w14:textId="77777777" w:rsidR="00146578" w:rsidRPr="00491BF9" w:rsidRDefault="00146578" w:rsidP="00E31119">
            <w:pPr>
              <w:rPr>
                <w:lang w:val="lt-LT"/>
              </w:rPr>
            </w:pPr>
            <w:r w:rsidRPr="00491BF9">
              <w:rPr>
                <w:lang w:val="lt-LT"/>
              </w:rPr>
              <w:t>Kiaušidės</w:t>
            </w:r>
          </w:p>
        </w:tc>
        <w:tc>
          <w:tcPr>
            <w:tcW w:w="707" w:type="pct"/>
          </w:tcPr>
          <w:p w14:paraId="3EC65051" w14:textId="77777777" w:rsidR="00146578" w:rsidRPr="00491BF9" w:rsidRDefault="00146578" w:rsidP="00E31119">
            <w:pPr>
              <w:rPr>
                <w:lang w:val="lt-LT"/>
              </w:rPr>
            </w:pPr>
            <w:r w:rsidRPr="00491BF9">
              <w:rPr>
                <w:lang w:val="lt-LT"/>
              </w:rPr>
              <w:t>0,0091</w:t>
            </w:r>
          </w:p>
        </w:tc>
        <w:tc>
          <w:tcPr>
            <w:tcW w:w="777" w:type="pct"/>
          </w:tcPr>
          <w:p w14:paraId="59040C11" w14:textId="77777777" w:rsidR="00146578" w:rsidRPr="00491BF9" w:rsidRDefault="00146578" w:rsidP="00E31119">
            <w:pPr>
              <w:rPr>
                <w:lang w:val="lt-LT"/>
              </w:rPr>
            </w:pPr>
            <w:r w:rsidRPr="00491BF9">
              <w:rPr>
                <w:lang w:val="lt-LT"/>
              </w:rPr>
              <w:t>0,012</w:t>
            </w:r>
          </w:p>
        </w:tc>
        <w:tc>
          <w:tcPr>
            <w:tcW w:w="850" w:type="pct"/>
          </w:tcPr>
          <w:p w14:paraId="0B4FBD73" w14:textId="77777777" w:rsidR="00146578" w:rsidRPr="00491BF9" w:rsidRDefault="00146578" w:rsidP="00E31119">
            <w:pPr>
              <w:rPr>
                <w:lang w:val="lt-LT"/>
              </w:rPr>
            </w:pPr>
            <w:r w:rsidRPr="00491BF9">
              <w:rPr>
                <w:lang w:val="lt-LT"/>
              </w:rPr>
              <w:t>0,018</w:t>
            </w:r>
          </w:p>
        </w:tc>
        <w:tc>
          <w:tcPr>
            <w:tcW w:w="777" w:type="pct"/>
          </w:tcPr>
          <w:p w14:paraId="0D238D04" w14:textId="77777777" w:rsidR="00146578" w:rsidRPr="00491BF9" w:rsidRDefault="00146578" w:rsidP="00E31119">
            <w:pPr>
              <w:rPr>
                <w:lang w:val="lt-LT"/>
              </w:rPr>
            </w:pPr>
            <w:r w:rsidRPr="00491BF9">
              <w:rPr>
                <w:lang w:val="lt-LT"/>
              </w:rPr>
              <w:t>0,025</w:t>
            </w:r>
          </w:p>
        </w:tc>
        <w:tc>
          <w:tcPr>
            <w:tcW w:w="777" w:type="pct"/>
          </w:tcPr>
          <w:p w14:paraId="27E59AB0" w14:textId="77777777" w:rsidR="00146578" w:rsidRPr="00491BF9" w:rsidRDefault="00146578" w:rsidP="00E31119">
            <w:pPr>
              <w:rPr>
                <w:lang w:val="lt-LT"/>
              </w:rPr>
            </w:pPr>
            <w:r w:rsidRPr="00491BF9">
              <w:rPr>
                <w:lang w:val="lt-LT"/>
              </w:rPr>
              <w:t>0,045</w:t>
            </w:r>
          </w:p>
        </w:tc>
      </w:tr>
      <w:tr w:rsidR="00146578" w:rsidRPr="00491BF9" w14:paraId="6767B19E" w14:textId="77777777" w:rsidTr="004F35D3">
        <w:tc>
          <w:tcPr>
            <w:tcW w:w="1112" w:type="pct"/>
          </w:tcPr>
          <w:p w14:paraId="01ADFE75" w14:textId="77777777" w:rsidR="00146578" w:rsidRPr="00491BF9" w:rsidRDefault="00146578" w:rsidP="00E31119">
            <w:pPr>
              <w:rPr>
                <w:lang w:val="lt-LT"/>
              </w:rPr>
            </w:pPr>
            <w:r w:rsidRPr="00491BF9">
              <w:rPr>
                <w:lang w:val="lt-LT"/>
              </w:rPr>
              <w:t>Kasa</w:t>
            </w:r>
          </w:p>
        </w:tc>
        <w:tc>
          <w:tcPr>
            <w:tcW w:w="707" w:type="pct"/>
          </w:tcPr>
          <w:p w14:paraId="0B07916B" w14:textId="77777777" w:rsidR="00146578" w:rsidRPr="00491BF9" w:rsidRDefault="00146578" w:rsidP="00E31119">
            <w:pPr>
              <w:rPr>
                <w:lang w:val="lt-LT"/>
              </w:rPr>
            </w:pPr>
            <w:r w:rsidRPr="00491BF9">
              <w:rPr>
                <w:lang w:val="lt-LT"/>
              </w:rPr>
              <w:t>0,0077</w:t>
            </w:r>
          </w:p>
        </w:tc>
        <w:tc>
          <w:tcPr>
            <w:tcW w:w="777" w:type="pct"/>
          </w:tcPr>
          <w:p w14:paraId="3C627138" w14:textId="77777777" w:rsidR="00146578" w:rsidRPr="00491BF9" w:rsidRDefault="00146578" w:rsidP="00E31119">
            <w:pPr>
              <w:rPr>
                <w:lang w:val="lt-LT"/>
              </w:rPr>
            </w:pPr>
            <w:r w:rsidRPr="00491BF9">
              <w:rPr>
                <w:lang w:val="lt-LT"/>
              </w:rPr>
              <w:t>0,010</w:t>
            </w:r>
          </w:p>
        </w:tc>
        <w:tc>
          <w:tcPr>
            <w:tcW w:w="850" w:type="pct"/>
          </w:tcPr>
          <w:p w14:paraId="279E366C" w14:textId="77777777" w:rsidR="00146578" w:rsidRPr="00491BF9" w:rsidRDefault="00146578" w:rsidP="00E31119">
            <w:pPr>
              <w:rPr>
                <w:lang w:val="lt-LT"/>
              </w:rPr>
            </w:pPr>
            <w:r w:rsidRPr="00491BF9">
              <w:rPr>
                <w:lang w:val="lt-LT"/>
              </w:rPr>
              <w:t>0,016</w:t>
            </w:r>
          </w:p>
        </w:tc>
        <w:tc>
          <w:tcPr>
            <w:tcW w:w="777" w:type="pct"/>
          </w:tcPr>
          <w:p w14:paraId="7B9A838E" w14:textId="77777777" w:rsidR="00146578" w:rsidRPr="00491BF9" w:rsidRDefault="00146578" w:rsidP="00E31119">
            <w:pPr>
              <w:rPr>
                <w:lang w:val="lt-LT"/>
              </w:rPr>
            </w:pPr>
            <w:r w:rsidRPr="00491BF9">
              <w:rPr>
                <w:lang w:val="lt-LT"/>
              </w:rPr>
              <w:t>0,024</w:t>
            </w:r>
          </w:p>
        </w:tc>
        <w:tc>
          <w:tcPr>
            <w:tcW w:w="777" w:type="pct"/>
          </w:tcPr>
          <w:p w14:paraId="71B5D2DF" w14:textId="77777777" w:rsidR="00146578" w:rsidRPr="00491BF9" w:rsidRDefault="00146578" w:rsidP="00E31119">
            <w:pPr>
              <w:rPr>
                <w:lang w:val="lt-LT"/>
              </w:rPr>
            </w:pPr>
            <w:r w:rsidRPr="00491BF9">
              <w:rPr>
                <w:lang w:val="lt-LT"/>
              </w:rPr>
              <w:t>0,039</w:t>
            </w:r>
          </w:p>
        </w:tc>
      </w:tr>
      <w:tr w:rsidR="00146578" w:rsidRPr="00491BF9" w14:paraId="290537A3" w14:textId="77777777" w:rsidTr="004F35D3">
        <w:tc>
          <w:tcPr>
            <w:tcW w:w="1112" w:type="pct"/>
          </w:tcPr>
          <w:p w14:paraId="1015D6F0" w14:textId="77777777" w:rsidR="00146578" w:rsidRPr="00491BF9" w:rsidRDefault="00146578" w:rsidP="00E31119">
            <w:pPr>
              <w:rPr>
                <w:lang w:val="lt-LT"/>
              </w:rPr>
            </w:pPr>
            <w:r w:rsidRPr="00491BF9">
              <w:rPr>
                <w:lang w:val="lt-LT"/>
              </w:rPr>
              <w:t>Raudonieji kaulų čiulpai</w:t>
            </w:r>
          </w:p>
        </w:tc>
        <w:tc>
          <w:tcPr>
            <w:tcW w:w="707" w:type="pct"/>
          </w:tcPr>
          <w:p w14:paraId="30E3752D" w14:textId="77777777" w:rsidR="00146578" w:rsidRPr="00491BF9" w:rsidRDefault="00146578" w:rsidP="00E31119">
            <w:pPr>
              <w:rPr>
                <w:lang w:val="lt-LT"/>
              </w:rPr>
            </w:pPr>
            <w:r w:rsidRPr="00491BF9">
              <w:rPr>
                <w:lang w:val="lt-LT"/>
              </w:rPr>
              <w:t>0,0055</w:t>
            </w:r>
          </w:p>
        </w:tc>
        <w:tc>
          <w:tcPr>
            <w:tcW w:w="777" w:type="pct"/>
          </w:tcPr>
          <w:p w14:paraId="21131DD6" w14:textId="77777777" w:rsidR="00146578" w:rsidRPr="00491BF9" w:rsidRDefault="00146578" w:rsidP="00E31119">
            <w:pPr>
              <w:rPr>
                <w:lang w:val="lt-LT"/>
              </w:rPr>
            </w:pPr>
            <w:r w:rsidRPr="00491BF9">
              <w:rPr>
                <w:lang w:val="lt-LT"/>
              </w:rPr>
              <w:t>0,0071</w:t>
            </w:r>
          </w:p>
        </w:tc>
        <w:tc>
          <w:tcPr>
            <w:tcW w:w="850" w:type="pct"/>
          </w:tcPr>
          <w:p w14:paraId="756C5017" w14:textId="77777777" w:rsidR="00146578" w:rsidRPr="00491BF9" w:rsidRDefault="00146578" w:rsidP="00E31119">
            <w:pPr>
              <w:rPr>
                <w:lang w:val="lt-LT"/>
              </w:rPr>
            </w:pPr>
            <w:r w:rsidRPr="00491BF9">
              <w:rPr>
                <w:lang w:val="lt-LT"/>
              </w:rPr>
              <w:t>0,011</w:t>
            </w:r>
          </w:p>
        </w:tc>
        <w:tc>
          <w:tcPr>
            <w:tcW w:w="777" w:type="pct"/>
          </w:tcPr>
          <w:p w14:paraId="574968C8" w14:textId="77777777" w:rsidR="00146578" w:rsidRPr="00491BF9" w:rsidRDefault="00146578" w:rsidP="00E31119">
            <w:pPr>
              <w:rPr>
                <w:lang w:val="lt-LT"/>
              </w:rPr>
            </w:pPr>
            <w:r w:rsidRPr="00491BF9">
              <w:rPr>
                <w:lang w:val="lt-LT"/>
              </w:rPr>
              <w:t>0,030</w:t>
            </w:r>
          </w:p>
        </w:tc>
        <w:tc>
          <w:tcPr>
            <w:tcW w:w="777" w:type="pct"/>
          </w:tcPr>
          <w:p w14:paraId="3645A62F" w14:textId="77777777" w:rsidR="00146578" w:rsidRPr="00491BF9" w:rsidRDefault="00146578" w:rsidP="00E31119">
            <w:pPr>
              <w:rPr>
                <w:lang w:val="lt-LT"/>
              </w:rPr>
            </w:pPr>
            <w:r w:rsidRPr="00491BF9">
              <w:rPr>
                <w:lang w:val="lt-LT"/>
              </w:rPr>
              <w:t>0,044</w:t>
            </w:r>
          </w:p>
        </w:tc>
      </w:tr>
      <w:tr w:rsidR="00146578" w:rsidRPr="00491BF9" w14:paraId="167BF2B1" w14:textId="77777777" w:rsidTr="004F35D3">
        <w:tc>
          <w:tcPr>
            <w:tcW w:w="1112" w:type="pct"/>
          </w:tcPr>
          <w:p w14:paraId="48342488" w14:textId="77777777" w:rsidR="00146578" w:rsidRPr="00491BF9" w:rsidRDefault="00146578" w:rsidP="00E31119">
            <w:pPr>
              <w:rPr>
                <w:lang w:val="lt-LT"/>
              </w:rPr>
            </w:pPr>
            <w:r w:rsidRPr="00491BF9">
              <w:rPr>
                <w:lang w:val="lt-LT"/>
              </w:rPr>
              <w:t>Seilių liaukos</w:t>
            </w:r>
          </w:p>
        </w:tc>
        <w:tc>
          <w:tcPr>
            <w:tcW w:w="707" w:type="pct"/>
          </w:tcPr>
          <w:p w14:paraId="136A57B7" w14:textId="77777777" w:rsidR="00146578" w:rsidRPr="00491BF9" w:rsidRDefault="00146578" w:rsidP="00E31119">
            <w:pPr>
              <w:rPr>
                <w:lang w:val="lt-LT"/>
              </w:rPr>
            </w:pPr>
            <w:r w:rsidRPr="00491BF9">
              <w:rPr>
                <w:lang w:val="lt-LT"/>
              </w:rPr>
              <w:t>0,014</w:t>
            </w:r>
          </w:p>
        </w:tc>
        <w:tc>
          <w:tcPr>
            <w:tcW w:w="777" w:type="pct"/>
          </w:tcPr>
          <w:p w14:paraId="71B3C6F1" w14:textId="77777777" w:rsidR="00146578" w:rsidRPr="00491BF9" w:rsidRDefault="00146578" w:rsidP="00E31119">
            <w:pPr>
              <w:rPr>
                <w:lang w:val="lt-LT"/>
              </w:rPr>
            </w:pPr>
            <w:r w:rsidRPr="00491BF9">
              <w:rPr>
                <w:lang w:val="lt-LT"/>
              </w:rPr>
              <w:t>0,017</w:t>
            </w:r>
          </w:p>
        </w:tc>
        <w:tc>
          <w:tcPr>
            <w:tcW w:w="850" w:type="pct"/>
          </w:tcPr>
          <w:p w14:paraId="18E405FD" w14:textId="77777777" w:rsidR="00146578" w:rsidRPr="00491BF9" w:rsidRDefault="00146578" w:rsidP="00E31119">
            <w:pPr>
              <w:rPr>
                <w:lang w:val="lt-LT"/>
              </w:rPr>
            </w:pPr>
            <w:r w:rsidRPr="00491BF9">
              <w:rPr>
                <w:lang w:val="lt-LT"/>
              </w:rPr>
              <w:t>0,022</w:t>
            </w:r>
          </w:p>
        </w:tc>
        <w:tc>
          <w:tcPr>
            <w:tcW w:w="777" w:type="pct"/>
          </w:tcPr>
          <w:p w14:paraId="7EC666E4" w14:textId="77777777" w:rsidR="00146578" w:rsidRPr="00491BF9" w:rsidRDefault="00146578" w:rsidP="00E31119">
            <w:pPr>
              <w:rPr>
                <w:lang w:val="lt-LT"/>
              </w:rPr>
            </w:pPr>
            <w:r w:rsidRPr="00491BF9">
              <w:rPr>
                <w:lang w:val="lt-LT"/>
              </w:rPr>
              <w:t>0,015</w:t>
            </w:r>
          </w:p>
        </w:tc>
        <w:tc>
          <w:tcPr>
            <w:tcW w:w="777" w:type="pct"/>
          </w:tcPr>
          <w:p w14:paraId="1C662A92" w14:textId="77777777" w:rsidR="00146578" w:rsidRPr="00491BF9" w:rsidRDefault="00146578" w:rsidP="00E31119">
            <w:pPr>
              <w:rPr>
                <w:lang w:val="lt-LT"/>
              </w:rPr>
            </w:pPr>
            <w:r w:rsidRPr="00491BF9">
              <w:rPr>
                <w:lang w:val="lt-LT"/>
              </w:rPr>
              <w:t>0,026</w:t>
            </w:r>
          </w:p>
        </w:tc>
      </w:tr>
      <w:tr w:rsidR="00146578" w:rsidRPr="00491BF9" w14:paraId="4CC559A0" w14:textId="77777777" w:rsidTr="004F35D3">
        <w:tc>
          <w:tcPr>
            <w:tcW w:w="1112" w:type="pct"/>
          </w:tcPr>
          <w:p w14:paraId="2C1A2700" w14:textId="77777777" w:rsidR="00146578" w:rsidRPr="00491BF9" w:rsidRDefault="00146578" w:rsidP="00E31119">
            <w:pPr>
              <w:rPr>
                <w:lang w:val="lt-LT"/>
              </w:rPr>
            </w:pPr>
            <w:r w:rsidRPr="00491BF9">
              <w:rPr>
                <w:lang w:val="lt-LT"/>
              </w:rPr>
              <w:t>Oda</w:t>
            </w:r>
          </w:p>
        </w:tc>
        <w:tc>
          <w:tcPr>
            <w:tcW w:w="707" w:type="pct"/>
          </w:tcPr>
          <w:p w14:paraId="0256F568" w14:textId="77777777" w:rsidR="00146578" w:rsidRPr="00491BF9" w:rsidRDefault="00146578" w:rsidP="00E31119">
            <w:pPr>
              <w:rPr>
                <w:lang w:val="lt-LT"/>
              </w:rPr>
            </w:pPr>
            <w:r w:rsidRPr="00491BF9">
              <w:rPr>
                <w:lang w:val="lt-LT"/>
              </w:rPr>
              <w:t>0,0031</w:t>
            </w:r>
          </w:p>
        </w:tc>
        <w:tc>
          <w:tcPr>
            <w:tcW w:w="777" w:type="pct"/>
          </w:tcPr>
          <w:p w14:paraId="5D11586B" w14:textId="77777777" w:rsidR="00146578" w:rsidRPr="00491BF9" w:rsidRDefault="00146578" w:rsidP="00E31119">
            <w:pPr>
              <w:rPr>
                <w:lang w:val="lt-LT"/>
              </w:rPr>
            </w:pPr>
            <w:r w:rsidRPr="00491BF9">
              <w:rPr>
                <w:lang w:val="lt-LT"/>
              </w:rPr>
              <w:t>0,0041</w:t>
            </w:r>
          </w:p>
        </w:tc>
        <w:tc>
          <w:tcPr>
            <w:tcW w:w="850" w:type="pct"/>
          </w:tcPr>
          <w:p w14:paraId="7D79DF34" w14:textId="77777777" w:rsidR="00146578" w:rsidRPr="00491BF9" w:rsidRDefault="00146578" w:rsidP="00E31119">
            <w:pPr>
              <w:rPr>
                <w:lang w:val="lt-LT"/>
              </w:rPr>
            </w:pPr>
            <w:r w:rsidRPr="00491BF9">
              <w:rPr>
                <w:lang w:val="lt-LT"/>
              </w:rPr>
              <w:t>0,0064</w:t>
            </w:r>
          </w:p>
        </w:tc>
        <w:tc>
          <w:tcPr>
            <w:tcW w:w="777" w:type="pct"/>
          </w:tcPr>
          <w:p w14:paraId="4774D908" w14:textId="77777777" w:rsidR="00146578" w:rsidRPr="00491BF9" w:rsidRDefault="00146578" w:rsidP="00E31119">
            <w:pPr>
              <w:rPr>
                <w:lang w:val="lt-LT"/>
              </w:rPr>
            </w:pPr>
            <w:r w:rsidRPr="00491BF9">
              <w:rPr>
                <w:lang w:val="lt-LT"/>
              </w:rPr>
              <w:t>0,0098</w:t>
            </w:r>
          </w:p>
        </w:tc>
        <w:tc>
          <w:tcPr>
            <w:tcW w:w="777" w:type="pct"/>
          </w:tcPr>
          <w:p w14:paraId="68B6ED95" w14:textId="77777777" w:rsidR="00146578" w:rsidRPr="00491BF9" w:rsidRDefault="00146578" w:rsidP="00E31119">
            <w:pPr>
              <w:rPr>
                <w:lang w:val="lt-LT"/>
              </w:rPr>
            </w:pPr>
            <w:r w:rsidRPr="00491BF9">
              <w:rPr>
                <w:lang w:val="lt-LT"/>
              </w:rPr>
              <w:t>0,019</w:t>
            </w:r>
          </w:p>
        </w:tc>
      </w:tr>
      <w:tr w:rsidR="00146578" w:rsidRPr="00491BF9" w14:paraId="5BCB9F78" w14:textId="77777777" w:rsidTr="004F35D3">
        <w:tc>
          <w:tcPr>
            <w:tcW w:w="1112" w:type="pct"/>
          </w:tcPr>
          <w:p w14:paraId="4FA35C5E" w14:textId="77777777" w:rsidR="00146578" w:rsidRPr="00491BF9" w:rsidRDefault="00146578" w:rsidP="00E31119">
            <w:pPr>
              <w:rPr>
                <w:lang w:val="lt-LT"/>
              </w:rPr>
            </w:pPr>
            <w:r w:rsidRPr="00491BF9">
              <w:rPr>
                <w:lang w:val="lt-LT"/>
              </w:rPr>
              <w:t>Blužnis</w:t>
            </w:r>
          </w:p>
        </w:tc>
        <w:tc>
          <w:tcPr>
            <w:tcW w:w="707" w:type="pct"/>
          </w:tcPr>
          <w:p w14:paraId="3A62820C" w14:textId="77777777" w:rsidR="00146578" w:rsidRPr="00491BF9" w:rsidRDefault="00146578" w:rsidP="00E31119">
            <w:pPr>
              <w:rPr>
                <w:lang w:val="lt-LT"/>
              </w:rPr>
            </w:pPr>
            <w:r w:rsidRPr="00491BF9">
              <w:rPr>
                <w:lang w:val="lt-LT"/>
              </w:rPr>
              <w:t>0,0065</w:t>
            </w:r>
          </w:p>
        </w:tc>
        <w:tc>
          <w:tcPr>
            <w:tcW w:w="777" w:type="pct"/>
          </w:tcPr>
          <w:p w14:paraId="2AC75CED" w14:textId="77777777" w:rsidR="00146578" w:rsidRPr="00491BF9" w:rsidRDefault="00146578" w:rsidP="00E31119">
            <w:pPr>
              <w:rPr>
                <w:lang w:val="lt-LT"/>
              </w:rPr>
            </w:pPr>
            <w:r w:rsidRPr="00491BF9">
              <w:rPr>
                <w:lang w:val="lt-LT"/>
              </w:rPr>
              <w:t>0,0086</w:t>
            </w:r>
          </w:p>
        </w:tc>
        <w:tc>
          <w:tcPr>
            <w:tcW w:w="850" w:type="pct"/>
          </w:tcPr>
          <w:p w14:paraId="1096E9CC" w14:textId="77777777" w:rsidR="00146578" w:rsidRPr="00491BF9" w:rsidRDefault="00146578" w:rsidP="00E31119">
            <w:pPr>
              <w:rPr>
                <w:lang w:val="lt-LT"/>
              </w:rPr>
            </w:pPr>
            <w:r w:rsidRPr="00491BF9">
              <w:rPr>
                <w:lang w:val="lt-LT"/>
              </w:rPr>
              <w:t>0,014</w:t>
            </w:r>
          </w:p>
        </w:tc>
        <w:tc>
          <w:tcPr>
            <w:tcW w:w="777" w:type="pct"/>
          </w:tcPr>
          <w:p w14:paraId="2EB5017E" w14:textId="77777777" w:rsidR="00146578" w:rsidRPr="00491BF9" w:rsidRDefault="00146578" w:rsidP="00E31119">
            <w:pPr>
              <w:rPr>
                <w:lang w:val="lt-LT"/>
              </w:rPr>
            </w:pPr>
            <w:r w:rsidRPr="00491BF9">
              <w:rPr>
                <w:lang w:val="lt-LT"/>
              </w:rPr>
              <w:t>0,020</w:t>
            </w:r>
          </w:p>
        </w:tc>
        <w:tc>
          <w:tcPr>
            <w:tcW w:w="777" w:type="pct"/>
          </w:tcPr>
          <w:p w14:paraId="352EB467" w14:textId="77777777" w:rsidR="00146578" w:rsidRPr="00491BF9" w:rsidRDefault="00146578" w:rsidP="00E31119">
            <w:pPr>
              <w:rPr>
                <w:lang w:val="lt-LT"/>
              </w:rPr>
            </w:pPr>
            <w:r w:rsidRPr="00491BF9">
              <w:rPr>
                <w:lang w:val="lt-LT"/>
              </w:rPr>
              <w:t>0,034</w:t>
            </w:r>
          </w:p>
        </w:tc>
      </w:tr>
      <w:tr w:rsidR="00146578" w:rsidRPr="00491BF9" w14:paraId="7BD877F7" w14:textId="77777777" w:rsidTr="004F35D3">
        <w:tc>
          <w:tcPr>
            <w:tcW w:w="1112" w:type="pct"/>
          </w:tcPr>
          <w:p w14:paraId="2DB1A672" w14:textId="77777777" w:rsidR="00146578" w:rsidRPr="00491BF9" w:rsidRDefault="00146578" w:rsidP="00E31119">
            <w:pPr>
              <w:rPr>
                <w:lang w:val="lt-LT"/>
              </w:rPr>
            </w:pPr>
            <w:r w:rsidRPr="00491BF9">
              <w:rPr>
                <w:lang w:val="lt-LT"/>
              </w:rPr>
              <w:t>Sėklidės</w:t>
            </w:r>
          </w:p>
        </w:tc>
        <w:tc>
          <w:tcPr>
            <w:tcW w:w="707" w:type="pct"/>
          </w:tcPr>
          <w:p w14:paraId="134B33D1" w14:textId="77777777" w:rsidR="00146578" w:rsidRPr="00491BF9" w:rsidRDefault="00146578" w:rsidP="00E31119">
            <w:pPr>
              <w:rPr>
                <w:lang w:val="lt-LT"/>
              </w:rPr>
            </w:pPr>
            <w:r w:rsidRPr="00491BF9">
              <w:rPr>
                <w:lang w:val="lt-LT"/>
              </w:rPr>
              <w:t>0,0038</w:t>
            </w:r>
          </w:p>
        </w:tc>
        <w:tc>
          <w:tcPr>
            <w:tcW w:w="777" w:type="pct"/>
          </w:tcPr>
          <w:p w14:paraId="470F8894" w14:textId="77777777" w:rsidR="00146578" w:rsidRPr="00491BF9" w:rsidRDefault="00146578" w:rsidP="00E31119">
            <w:pPr>
              <w:rPr>
                <w:lang w:val="lt-LT"/>
              </w:rPr>
            </w:pPr>
            <w:r w:rsidRPr="00491BF9">
              <w:rPr>
                <w:lang w:val="lt-LT"/>
              </w:rPr>
              <w:t>0,0050</w:t>
            </w:r>
          </w:p>
        </w:tc>
        <w:tc>
          <w:tcPr>
            <w:tcW w:w="850" w:type="pct"/>
          </w:tcPr>
          <w:p w14:paraId="39F783B0" w14:textId="77777777" w:rsidR="00146578" w:rsidRPr="00491BF9" w:rsidRDefault="00146578" w:rsidP="00E31119">
            <w:pPr>
              <w:rPr>
                <w:lang w:val="lt-LT"/>
              </w:rPr>
            </w:pPr>
            <w:r w:rsidRPr="00491BF9">
              <w:rPr>
                <w:lang w:val="lt-LT"/>
              </w:rPr>
              <w:t>0,0075</w:t>
            </w:r>
          </w:p>
        </w:tc>
        <w:tc>
          <w:tcPr>
            <w:tcW w:w="777" w:type="pct"/>
          </w:tcPr>
          <w:p w14:paraId="6783BC52" w14:textId="77777777" w:rsidR="00146578" w:rsidRPr="00491BF9" w:rsidRDefault="00146578" w:rsidP="00E31119">
            <w:pPr>
              <w:rPr>
                <w:lang w:val="lt-LT"/>
              </w:rPr>
            </w:pPr>
            <w:r w:rsidRPr="00491BF9">
              <w:rPr>
                <w:lang w:val="lt-LT"/>
              </w:rPr>
              <w:t>0,011</w:t>
            </w:r>
          </w:p>
        </w:tc>
        <w:tc>
          <w:tcPr>
            <w:tcW w:w="777" w:type="pct"/>
          </w:tcPr>
          <w:p w14:paraId="43DC7745" w14:textId="77777777" w:rsidR="00146578" w:rsidRPr="00491BF9" w:rsidRDefault="00146578" w:rsidP="00E31119">
            <w:pPr>
              <w:rPr>
                <w:lang w:val="lt-LT"/>
              </w:rPr>
            </w:pPr>
            <w:r w:rsidRPr="00491BF9">
              <w:rPr>
                <w:lang w:val="lt-LT"/>
              </w:rPr>
              <w:t>0,021</w:t>
            </w:r>
          </w:p>
        </w:tc>
      </w:tr>
      <w:tr w:rsidR="00146578" w:rsidRPr="00491BF9" w14:paraId="653FA2F6" w14:textId="77777777" w:rsidTr="004F35D3">
        <w:tc>
          <w:tcPr>
            <w:tcW w:w="1112" w:type="pct"/>
          </w:tcPr>
          <w:p w14:paraId="3A7F4022" w14:textId="77777777" w:rsidR="00146578" w:rsidRPr="00491BF9" w:rsidRDefault="00146578" w:rsidP="00E31119">
            <w:pPr>
              <w:rPr>
                <w:lang w:val="lt-LT"/>
              </w:rPr>
            </w:pPr>
            <w:r w:rsidRPr="00491BF9">
              <w:rPr>
                <w:lang w:val="lt-LT"/>
              </w:rPr>
              <w:t>Užkrūčio liauka</w:t>
            </w:r>
          </w:p>
        </w:tc>
        <w:tc>
          <w:tcPr>
            <w:tcW w:w="707" w:type="pct"/>
          </w:tcPr>
          <w:p w14:paraId="3ECC2681" w14:textId="77777777" w:rsidR="00146578" w:rsidRPr="00491BF9" w:rsidRDefault="00146578" w:rsidP="00E31119">
            <w:pPr>
              <w:rPr>
                <w:lang w:val="lt-LT"/>
              </w:rPr>
            </w:pPr>
            <w:r w:rsidRPr="00491BF9">
              <w:rPr>
                <w:lang w:val="lt-LT"/>
              </w:rPr>
              <w:t>0,0041</w:t>
            </w:r>
          </w:p>
        </w:tc>
        <w:tc>
          <w:tcPr>
            <w:tcW w:w="777" w:type="pct"/>
          </w:tcPr>
          <w:p w14:paraId="38EDE7A6" w14:textId="77777777" w:rsidR="00146578" w:rsidRPr="00491BF9" w:rsidRDefault="00146578" w:rsidP="00E31119">
            <w:pPr>
              <w:rPr>
                <w:lang w:val="lt-LT"/>
              </w:rPr>
            </w:pPr>
            <w:r w:rsidRPr="00491BF9">
              <w:rPr>
                <w:lang w:val="lt-LT"/>
              </w:rPr>
              <w:t>0,0057</w:t>
            </w:r>
          </w:p>
        </w:tc>
        <w:tc>
          <w:tcPr>
            <w:tcW w:w="850" w:type="pct"/>
          </w:tcPr>
          <w:p w14:paraId="19DC9B68" w14:textId="77777777" w:rsidR="00146578" w:rsidRPr="00491BF9" w:rsidRDefault="00146578" w:rsidP="00E31119">
            <w:pPr>
              <w:rPr>
                <w:lang w:val="lt-LT"/>
              </w:rPr>
            </w:pPr>
            <w:r w:rsidRPr="00491BF9">
              <w:rPr>
                <w:lang w:val="lt-LT"/>
              </w:rPr>
              <w:t>0,0086</w:t>
            </w:r>
          </w:p>
        </w:tc>
        <w:tc>
          <w:tcPr>
            <w:tcW w:w="777" w:type="pct"/>
          </w:tcPr>
          <w:p w14:paraId="3F429EED" w14:textId="77777777" w:rsidR="00146578" w:rsidRPr="00491BF9" w:rsidRDefault="00146578" w:rsidP="00E31119">
            <w:pPr>
              <w:rPr>
                <w:lang w:val="lt-LT"/>
              </w:rPr>
            </w:pPr>
            <w:r w:rsidRPr="00491BF9">
              <w:rPr>
                <w:lang w:val="lt-LT"/>
              </w:rPr>
              <w:t>0,013</w:t>
            </w:r>
          </w:p>
        </w:tc>
        <w:tc>
          <w:tcPr>
            <w:tcW w:w="777" w:type="pct"/>
          </w:tcPr>
          <w:p w14:paraId="79D7C223" w14:textId="77777777" w:rsidR="00146578" w:rsidRPr="00491BF9" w:rsidRDefault="00146578" w:rsidP="00E31119">
            <w:pPr>
              <w:rPr>
                <w:lang w:val="lt-LT"/>
              </w:rPr>
            </w:pPr>
            <w:r w:rsidRPr="00491BF9">
              <w:rPr>
                <w:lang w:val="lt-LT"/>
              </w:rPr>
              <w:t>0,023</w:t>
            </w:r>
          </w:p>
        </w:tc>
      </w:tr>
      <w:tr w:rsidR="00146578" w:rsidRPr="00491BF9" w14:paraId="77F65377" w14:textId="77777777" w:rsidTr="004F35D3">
        <w:tc>
          <w:tcPr>
            <w:tcW w:w="1112" w:type="pct"/>
          </w:tcPr>
          <w:p w14:paraId="555BA716" w14:textId="77777777" w:rsidR="00146578" w:rsidRPr="00491BF9" w:rsidRDefault="00146578" w:rsidP="00E31119">
            <w:pPr>
              <w:rPr>
                <w:lang w:val="lt-LT"/>
              </w:rPr>
            </w:pPr>
            <w:r w:rsidRPr="00491BF9">
              <w:rPr>
                <w:lang w:val="lt-LT"/>
              </w:rPr>
              <w:t>Skydliaukė</w:t>
            </w:r>
          </w:p>
        </w:tc>
        <w:tc>
          <w:tcPr>
            <w:tcW w:w="707" w:type="pct"/>
          </w:tcPr>
          <w:p w14:paraId="3825CA2A" w14:textId="77777777" w:rsidR="00146578" w:rsidRPr="00491BF9" w:rsidRDefault="00146578" w:rsidP="00E31119">
            <w:pPr>
              <w:rPr>
                <w:lang w:val="lt-LT"/>
              </w:rPr>
            </w:pPr>
            <w:r w:rsidRPr="00491BF9">
              <w:rPr>
                <w:lang w:val="lt-LT"/>
              </w:rPr>
              <w:t>0,0053</w:t>
            </w:r>
          </w:p>
        </w:tc>
        <w:tc>
          <w:tcPr>
            <w:tcW w:w="777" w:type="pct"/>
          </w:tcPr>
          <w:p w14:paraId="1CC97890" w14:textId="77777777" w:rsidR="00146578" w:rsidRPr="00491BF9" w:rsidRDefault="00146578" w:rsidP="00E31119">
            <w:pPr>
              <w:rPr>
                <w:lang w:val="lt-LT"/>
              </w:rPr>
            </w:pPr>
            <w:r w:rsidRPr="00491BF9">
              <w:rPr>
                <w:lang w:val="lt-LT"/>
              </w:rPr>
              <w:t>0,0079</w:t>
            </w:r>
          </w:p>
        </w:tc>
        <w:tc>
          <w:tcPr>
            <w:tcW w:w="850" w:type="pct"/>
          </w:tcPr>
          <w:p w14:paraId="7822F4D7" w14:textId="77777777" w:rsidR="00146578" w:rsidRPr="00491BF9" w:rsidRDefault="00146578" w:rsidP="00E31119">
            <w:pPr>
              <w:rPr>
                <w:lang w:val="lt-LT"/>
              </w:rPr>
            </w:pPr>
            <w:r w:rsidRPr="00491BF9">
              <w:rPr>
                <w:lang w:val="lt-LT"/>
              </w:rPr>
              <w:t>0,012</w:t>
            </w:r>
          </w:p>
        </w:tc>
        <w:tc>
          <w:tcPr>
            <w:tcW w:w="777" w:type="pct"/>
          </w:tcPr>
          <w:p w14:paraId="7017D5B6" w14:textId="77777777" w:rsidR="00146578" w:rsidRPr="00491BF9" w:rsidRDefault="00146578" w:rsidP="00E31119">
            <w:pPr>
              <w:rPr>
                <w:lang w:val="lt-LT"/>
              </w:rPr>
            </w:pPr>
            <w:r w:rsidRPr="00491BF9">
              <w:rPr>
                <w:lang w:val="lt-LT"/>
              </w:rPr>
              <w:t>0,024</w:t>
            </w:r>
          </w:p>
        </w:tc>
        <w:tc>
          <w:tcPr>
            <w:tcW w:w="777" w:type="pct"/>
          </w:tcPr>
          <w:p w14:paraId="5D6E9FD3" w14:textId="77777777" w:rsidR="00146578" w:rsidRPr="00491BF9" w:rsidRDefault="00146578" w:rsidP="00E31119">
            <w:pPr>
              <w:rPr>
                <w:lang w:val="lt-LT"/>
              </w:rPr>
            </w:pPr>
            <w:r w:rsidRPr="00491BF9">
              <w:rPr>
                <w:lang w:val="lt-LT"/>
              </w:rPr>
              <w:t>0,045</w:t>
            </w:r>
          </w:p>
        </w:tc>
      </w:tr>
      <w:tr w:rsidR="009B20FA" w:rsidRPr="009B20FA" w14:paraId="3FAC7E8E" w14:textId="77777777" w:rsidTr="004F35D3">
        <w:tc>
          <w:tcPr>
            <w:tcW w:w="1112" w:type="pct"/>
          </w:tcPr>
          <w:p w14:paraId="11B4D6CA" w14:textId="0378DA1F" w:rsidR="009B20FA" w:rsidRPr="00491BF9" w:rsidRDefault="009B20FA" w:rsidP="00E31119">
            <w:pPr>
              <w:rPr>
                <w:lang w:val="lt-LT"/>
              </w:rPr>
            </w:pPr>
            <w:r>
              <w:rPr>
                <w:lang w:val="lt-LT"/>
              </w:rPr>
              <w:t>Šlapimo pūslės siena</w:t>
            </w:r>
          </w:p>
        </w:tc>
        <w:tc>
          <w:tcPr>
            <w:tcW w:w="707" w:type="pct"/>
          </w:tcPr>
          <w:p w14:paraId="61A0B210" w14:textId="2FCF506A" w:rsidR="009B20FA" w:rsidRPr="00491BF9" w:rsidRDefault="009B20FA" w:rsidP="00E31119">
            <w:pPr>
              <w:rPr>
                <w:lang w:val="lt-LT"/>
              </w:rPr>
            </w:pPr>
            <w:r>
              <w:rPr>
                <w:lang w:val="lt-LT"/>
              </w:rPr>
              <w:t>0,011</w:t>
            </w:r>
          </w:p>
        </w:tc>
        <w:tc>
          <w:tcPr>
            <w:tcW w:w="777" w:type="pct"/>
          </w:tcPr>
          <w:p w14:paraId="6CDBEFDE" w14:textId="55E7E44E" w:rsidR="009B20FA" w:rsidRPr="00491BF9" w:rsidRDefault="009B20FA" w:rsidP="00E31119">
            <w:pPr>
              <w:rPr>
                <w:lang w:val="lt-LT"/>
              </w:rPr>
            </w:pPr>
            <w:r>
              <w:rPr>
                <w:lang w:val="lt-LT"/>
              </w:rPr>
              <w:t>0,014</w:t>
            </w:r>
          </w:p>
        </w:tc>
        <w:tc>
          <w:tcPr>
            <w:tcW w:w="850" w:type="pct"/>
          </w:tcPr>
          <w:p w14:paraId="4C8E129B" w14:textId="4CF14AF5" w:rsidR="009B20FA" w:rsidRPr="00491BF9" w:rsidRDefault="009B20FA" w:rsidP="00E31119">
            <w:pPr>
              <w:rPr>
                <w:lang w:val="lt-LT"/>
              </w:rPr>
            </w:pPr>
            <w:r>
              <w:rPr>
                <w:lang w:val="lt-LT"/>
              </w:rPr>
              <w:t>0,019</w:t>
            </w:r>
          </w:p>
        </w:tc>
        <w:tc>
          <w:tcPr>
            <w:tcW w:w="777" w:type="pct"/>
          </w:tcPr>
          <w:p w14:paraId="016CA100" w14:textId="59DE8F3D" w:rsidR="009B20FA" w:rsidRPr="00491BF9" w:rsidRDefault="009B20FA" w:rsidP="00E31119">
            <w:pPr>
              <w:rPr>
                <w:lang w:val="lt-LT"/>
              </w:rPr>
            </w:pPr>
            <w:r>
              <w:rPr>
                <w:lang w:val="lt-LT"/>
              </w:rPr>
              <w:t>0,023</w:t>
            </w:r>
          </w:p>
        </w:tc>
        <w:tc>
          <w:tcPr>
            <w:tcW w:w="777" w:type="pct"/>
          </w:tcPr>
          <w:p w14:paraId="3F692490" w14:textId="105DD3A3" w:rsidR="009B20FA" w:rsidRPr="00491BF9" w:rsidRDefault="009B20FA" w:rsidP="00E31119">
            <w:pPr>
              <w:rPr>
                <w:lang w:val="lt-LT"/>
              </w:rPr>
            </w:pPr>
            <w:r>
              <w:rPr>
                <w:lang w:val="lt-LT"/>
              </w:rPr>
              <w:t>0,041</w:t>
            </w:r>
          </w:p>
        </w:tc>
      </w:tr>
      <w:tr w:rsidR="00146578" w:rsidRPr="00491BF9" w14:paraId="1E1AAC3B" w14:textId="77777777" w:rsidTr="004F35D3">
        <w:tc>
          <w:tcPr>
            <w:tcW w:w="1112" w:type="pct"/>
          </w:tcPr>
          <w:p w14:paraId="3FECF910" w14:textId="77777777" w:rsidR="00146578" w:rsidRPr="00491BF9" w:rsidRDefault="00146578" w:rsidP="00E31119">
            <w:pPr>
              <w:rPr>
                <w:lang w:val="lt-LT"/>
              </w:rPr>
            </w:pPr>
            <w:r w:rsidRPr="00491BF9">
              <w:rPr>
                <w:lang w:val="lt-LT"/>
              </w:rPr>
              <w:t>Gimda</w:t>
            </w:r>
          </w:p>
        </w:tc>
        <w:tc>
          <w:tcPr>
            <w:tcW w:w="707" w:type="pct"/>
          </w:tcPr>
          <w:p w14:paraId="011BA5F8" w14:textId="77777777" w:rsidR="00146578" w:rsidRPr="00491BF9" w:rsidRDefault="00146578" w:rsidP="00E31119">
            <w:pPr>
              <w:rPr>
                <w:lang w:val="lt-LT"/>
              </w:rPr>
            </w:pPr>
            <w:r w:rsidRPr="00491BF9">
              <w:rPr>
                <w:lang w:val="lt-LT"/>
              </w:rPr>
              <w:t>0,0078</w:t>
            </w:r>
          </w:p>
        </w:tc>
        <w:tc>
          <w:tcPr>
            <w:tcW w:w="777" w:type="pct"/>
          </w:tcPr>
          <w:p w14:paraId="1CBAD5B1" w14:textId="77777777" w:rsidR="00146578" w:rsidRPr="00491BF9" w:rsidRDefault="00146578" w:rsidP="00E31119">
            <w:pPr>
              <w:rPr>
                <w:lang w:val="lt-LT"/>
              </w:rPr>
            </w:pPr>
            <w:r w:rsidRPr="00491BF9">
              <w:rPr>
                <w:lang w:val="lt-LT"/>
              </w:rPr>
              <w:t>0,010</w:t>
            </w:r>
          </w:p>
        </w:tc>
        <w:tc>
          <w:tcPr>
            <w:tcW w:w="850" w:type="pct"/>
          </w:tcPr>
          <w:p w14:paraId="46A49C6D" w14:textId="77777777" w:rsidR="00146578" w:rsidRPr="00491BF9" w:rsidRDefault="00146578" w:rsidP="00E31119">
            <w:pPr>
              <w:rPr>
                <w:lang w:val="lt-LT"/>
              </w:rPr>
            </w:pPr>
            <w:r w:rsidRPr="00491BF9">
              <w:rPr>
                <w:lang w:val="lt-LT"/>
              </w:rPr>
              <w:t>0,015</w:t>
            </w:r>
          </w:p>
        </w:tc>
        <w:tc>
          <w:tcPr>
            <w:tcW w:w="777" w:type="pct"/>
          </w:tcPr>
          <w:p w14:paraId="3411DE9F" w14:textId="77777777" w:rsidR="00146578" w:rsidRPr="00491BF9" w:rsidRDefault="00146578" w:rsidP="00E31119">
            <w:pPr>
              <w:rPr>
                <w:lang w:val="lt-LT"/>
              </w:rPr>
            </w:pPr>
            <w:r w:rsidRPr="00491BF9">
              <w:rPr>
                <w:lang w:val="lt-LT"/>
              </w:rPr>
              <w:t>0,022</w:t>
            </w:r>
          </w:p>
        </w:tc>
        <w:tc>
          <w:tcPr>
            <w:tcW w:w="777" w:type="pct"/>
          </w:tcPr>
          <w:p w14:paraId="2C9653D4" w14:textId="77777777" w:rsidR="00146578" w:rsidRPr="00491BF9" w:rsidRDefault="00146578" w:rsidP="00E31119">
            <w:pPr>
              <w:rPr>
                <w:lang w:val="lt-LT"/>
              </w:rPr>
            </w:pPr>
            <w:r w:rsidRPr="00491BF9">
              <w:rPr>
                <w:lang w:val="lt-LT"/>
              </w:rPr>
              <w:t>0,038</w:t>
            </w:r>
          </w:p>
        </w:tc>
      </w:tr>
      <w:tr w:rsidR="00146578" w:rsidRPr="00491BF9" w14:paraId="718F3D2F" w14:textId="77777777" w:rsidTr="004F35D3">
        <w:tc>
          <w:tcPr>
            <w:tcW w:w="1112" w:type="pct"/>
          </w:tcPr>
          <w:p w14:paraId="50401E37" w14:textId="77777777" w:rsidR="00146578" w:rsidRPr="00491BF9" w:rsidRDefault="00146578" w:rsidP="00E31119">
            <w:pPr>
              <w:rPr>
                <w:lang w:val="lt-LT"/>
              </w:rPr>
            </w:pPr>
            <w:r w:rsidRPr="00491BF9">
              <w:rPr>
                <w:lang w:val="lt-LT"/>
              </w:rPr>
              <w:t>Likę organai</w:t>
            </w:r>
          </w:p>
        </w:tc>
        <w:tc>
          <w:tcPr>
            <w:tcW w:w="707" w:type="pct"/>
          </w:tcPr>
          <w:p w14:paraId="4FCB49AE" w14:textId="77777777" w:rsidR="00146578" w:rsidRPr="00491BF9" w:rsidRDefault="00146578" w:rsidP="00E31119">
            <w:pPr>
              <w:rPr>
                <w:lang w:val="lt-LT"/>
              </w:rPr>
            </w:pPr>
            <w:r w:rsidRPr="00491BF9">
              <w:rPr>
                <w:lang w:val="lt-LT"/>
              </w:rPr>
              <w:t>0,0031</w:t>
            </w:r>
          </w:p>
        </w:tc>
        <w:tc>
          <w:tcPr>
            <w:tcW w:w="777" w:type="pct"/>
          </w:tcPr>
          <w:p w14:paraId="731000D0" w14:textId="77777777" w:rsidR="00146578" w:rsidRPr="00491BF9" w:rsidRDefault="00146578" w:rsidP="00E31119">
            <w:pPr>
              <w:rPr>
                <w:lang w:val="lt-LT"/>
              </w:rPr>
            </w:pPr>
            <w:r w:rsidRPr="00491BF9">
              <w:rPr>
                <w:lang w:val="lt-LT"/>
              </w:rPr>
              <w:t>0,0039</w:t>
            </w:r>
          </w:p>
        </w:tc>
        <w:tc>
          <w:tcPr>
            <w:tcW w:w="850" w:type="pct"/>
          </w:tcPr>
          <w:p w14:paraId="2E7B834C" w14:textId="77777777" w:rsidR="00146578" w:rsidRPr="00491BF9" w:rsidRDefault="00146578" w:rsidP="00E31119">
            <w:pPr>
              <w:rPr>
                <w:lang w:val="lt-LT"/>
              </w:rPr>
            </w:pPr>
            <w:r w:rsidRPr="00491BF9">
              <w:rPr>
                <w:lang w:val="lt-LT"/>
              </w:rPr>
              <w:t>0,0060</w:t>
            </w:r>
          </w:p>
        </w:tc>
        <w:tc>
          <w:tcPr>
            <w:tcW w:w="777" w:type="pct"/>
          </w:tcPr>
          <w:p w14:paraId="73F95BFF" w14:textId="77777777" w:rsidR="00146578" w:rsidRPr="00491BF9" w:rsidRDefault="00146578" w:rsidP="00E31119">
            <w:pPr>
              <w:rPr>
                <w:lang w:val="lt-LT"/>
              </w:rPr>
            </w:pPr>
            <w:r w:rsidRPr="00491BF9">
              <w:rPr>
                <w:lang w:val="lt-LT"/>
              </w:rPr>
              <w:t>0,0088</w:t>
            </w:r>
          </w:p>
        </w:tc>
        <w:tc>
          <w:tcPr>
            <w:tcW w:w="777" w:type="pct"/>
          </w:tcPr>
          <w:p w14:paraId="1EE92723" w14:textId="77777777" w:rsidR="00146578" w:rsidRPr="00491BF9" w:rsidRDefault="00146578" w:rsidP="00E31119">
            <w:pPr>
              <w:rPr>
                <w:lang w:val="lt-LT"/>
              </w:rPr>
            </w:pPr>
            <w:r w:rsidRPr="00491BF9">
              <w:rPr>
                <w:lang w:val="lt-LT"/>
              </w:rPr>
              <w:t>0,016</w:t>
            </w:r>
          </w:p>
        </w:tc>
      </w:tr>
      <w:tr w:rsidR="00146578" w:rsidRPr="00491BF9" w14:paraId="7CCE3435" w14:textId="77777777" w:rsidTr="004F35D3">
        <w:tc>
          <w:tcPr>
            <w:tcW w:w="1112" w:type="pct"/>
          </w:tcPr>
          <w:p w14:paraId="4CBE8411" w14:textId="77777777" w:rsidR="00146578" w:rsidRPr="00491BF9" w:rsidRDefault="00146578" w:rsidP="00E31119">
            <w:pPr>
              <w:rPr>
                <w:lang w:val="lt-LT"/>
              </w:rPr>
            </w:pPr>
            <w:r w:rsidRPr="00491BF9">
              <w:rPr>
                <w:lang w:val="lt-LT"/>
              </w:rPr>
              <w:t>Veiksminga dozė</w:t>
            </w:r>
          </w:p>
        </w:tc>
        <w:tc>
          <w:tcPr>
            <w:tcW w:w="707" w:type="pct"/>
          </w:tcPr>
          <w:p w14:paraId="43DD6986" w14:textId="77777777" w:rsidR="00146578" w:rsidRPr="00491BF9" w:rsidRDefault="00146578" w:rsidP="00E31119">
            <w:pPr>
              <w:rPr>
                <w:lang w:val="lt-LT"/>
              </w:rPr>
            </w:pPr>
            <w:r w:rsidRPr="00491BF9">
              <w:rPr>
                <w:lang w:val="lt-LT"/>
              </w:rPr>
              <w:t>0,0090</w:t>
            </w:r>
          </w:p>
        </w:tc>
        <w:tc>
          <w:tcPr>
            <w:tcW w:w="777" w:type="pct"/>
          </w:tcPr>
          <w:p w14:paraId="2026225B" w14:textId="77777777" w:rsidR="00146578" w:rsidRPr="00491BF9" w:rsidRDefault="00146578" w:rsidP="00E31119">
            <w:pPr>
              <w:rPr>
                <w:lang w:val="lt-LT"/>
              </w:rPr>
            </w:pPr>
            <w:r w:rsidRPr="00491BF9">
              <w:rPr>
                <w:lang w:val="lt-LT"/>
              </w:rPr>
              <w:t>0,012</w:t>
            </w:r>
          </w:p>
        </w:tc>
        <w:tc>
          <w:tcPr>
            <w:tcW w:w="850" w:type="pct"/>
          </w:tcPr>
          <w:p w14:paraId="7200CD61" w14:textId="77777777" w:rsidR="00146578" w:rsidRPr="00491BF9" w:rsidRDefault="00146578" w:rsidP="00E31119">
            <w:pPr>
              <w:rPr>
                <w:lang w:val="lt-LT"/>
              </w:rPr>
            </w:pPr>
            <w:r w:rsidRPr="00491BF9">
              <w:rPr>
                <w:lang w:val="lt-LT"/>
              </w:rPr>
              <w:t>0,018</w:t>
            </w:r>
          </w:p>
        </w:tc>
        <w:tc>
          <w:tcPr>
            <w:tcW w:w="777" w:type="pct"/>
          </w:tcPr>
          <w:p w14:paraId="23D3F7A7" w14:textId="77777777" w:rsidR="00146578" w:rsidRPr="00491BF9" w:rsidRDefault="00146578" w:rsidP="00E31119">
            <w:pPr>
              <w:rPr>
                <w:lang w:val="lt-LT"/>
              </w:rPr>
            </w:pPr>
            <w:r w:rsidRPr="00491BF9">
              <w:rPr>
                <w:lang w:val="lt-LT"/>
              </w:rPr>
              <w:t>0,028</w:t>
            </w:r>
          </w:p>
        </w:tc>
        <w:tc>
          <w:tcPr>
            <w:tcW w:w="777" w:type="pct"/>
          </w:tcPr>
          <w:p w14:paraId="15D08D6C" w14:textId="77777777" w:rsidR="00146578" w:rsidRPr="00491BF9" w:rsidRDefault="00146578" w:rsidP="00E31119">
            <w:pPr>
              <w:rPr>
                <w:lang w:val="lt-LT"/>
              </w:rPr>
            </w:pPr>
            <w:r w:rsidRPr="00491BF9">
              <w:rPr>
                <w:lang w:val="lt-LT"/>
              </w:rPr>
              <w:t>0,053</w:t>
            </w:r>
          </w:p>
        </w:tc>
      </w:tr>
      <w:tr w:rsidR="00146578" w:rsidRPr="00491BF9" w14:paraId="5BD1C218" w14:textId="77777777" w:rsidTr="004F35D3">
        <w:tc>
          <w:tcPr>
            <w:tcW w:w="1112" w:type="pct"/>
          </w:tcPr>
          <w:p w14:paraId="0DB5DC81" w14:textId="77777777" w:rsidR="00146578" w:rsidRPr="00491BF9" w:rsidRDefault="00146578" w:rsidP="00E31119">
            <w:pPr>
              <w:rPr>
                <w:lang w:val="lt-LT"/>
              </w:rPr>
            </w:pPr>
            <w:r w:rsidRPr="00491BF9">
              <w:rPr>
                <w:lang w:val="lt-LT"/>
              </w:rPr>
              <w:t>(mSv/MBq)</w:t>
            </w:r>
          </w:p>
        </w:tc>
        <w:tc>
          <w:tcPr>
            <w:tcW w:w="707" w:type="pct"/>
          </w:tcPr>
          <w:p w14:paraId="14D8EF19" w14:textId="77777777" w:rsidR="00146578" w:rsidRPr="00491BF9" w:rsidRDefault="00146578" w:rsidP="00E31119">
            <w:pPr>
              <w:rPr>
                <w:lang w:val="lt-LT"/>
              </w:rPr>
            </w:pPr>
          </w:p>
        </w:tc>
        <w:tc>
          <w:tcPr>
            <w:tcW w:w="777" w:type="pct"/>
          </w:tcPr>
          <w:p w14:paraId="61594854" w14:textId="77777777" w:rsidR="00146578" w:rsidRPr="00491BF9" w:rsidRDefault="00146578" w:rsidP="00E31119">
            <w:pPr>
              <w:rPr>
                <w:lang w:val="lt-LT"/>
              </w:rPr>
            </w:pPr>
          </w:p>
        </w:tc>
        <w:tc>
          <w:tcPr>
            <w:tcW w:w="850" w:type="pct"/>
          </w:tcPr>
          <w:p w14:paraId="3938ABD6" w14:textId="77777777" w:rsidR="00146578" w:rsidRPr="00491BF9" w:rsidRDefault="00146578" w:rsidP="00E31119">
            <w:pPr>
              <w:rPr>
                <w:lang w:val="lt-LT"/>
              </w:rPr>
            </w:pPr>
          </w:p>
        </w:tc>
        <w:tc>
          <w:tcPr>
            <w:tcW w:w="777" w:type="pct"/>
          </w:tcPr>
          <w:p w14:paraId="4E250B1B" w14:textId="77777777" w:rsidR="00146578" w:rsidRPr="00491BF9" w:rsidRDefault="00146578" w:rsidP="00E31119">
            <w:pPr>
              <w:rPr>
                <w:lang w:val="lt-LT"/>
              </w:rPr>
            </w:pPr>
          </w:p>
        </w:tc>
        <w:tc>
          <w:tcPr>
            <w:tcW w:w="777" w:type="pct"/>
          </w:tcPr>
          <w:p w14:paraId="7E27E6E4" w14:textId="77777777" w:rsidR="00146578" w:rsidRPr="00491BF9" w:rsidRDefault="00146578" w:rsidP="00E31119">
            <w:pPr>
              <w:rPr>
                <w:lang w:val="lt-LT"/>
              </w:rPr>
            </w:pPr>
          </w:p>
        </w:tc>
      </w:tr>
    </w:tbl>
    <w:p w14:paraId="191009EF" w14:textId="77777777" w:rsidR="00146578" w:rsidRPr="00491BF9" w:rsidRDefault="00146578" w:rsidP="00146578">
      <w:pPr>
        <w:rPr>
          <w:lang w:val="lt-LT"/>
        </w:rPr>
      </w:pPr>
    </w:p>
    <w:tbl>
      <w:tblPr>
        <w:tblW w:w="5000" w:type="pct"/>
        <w:tblLook w:val="0000" w:firstRow="0" w:lastRow="0" w:firstColumn="0" w:lastColumn="0" w:noHBand="0" w:noVBand="0"/>
      </w:tblPr>
      <w:tblGrid>
        <w:gridCol w:w="3075"/>
        <w:gridCol w:w="1068"/>
        <w:gridCol w:w="1275"/>
        <w:gridCol w:w="1275"/>
        <w:gridCol w:w="1184"/>
        <w:gridCol w:w="1184"/>
      </w:tblGrid>
      <w:tr w:rsidR="00146578" w:rsidRPr="000E559B" w14:paraId="7F0461E0" w14:textId="77777777" w:rsidTr="004F35D3">
        <w:trPr>
          <w:trHeight w:val="255"/>
          <w:tblHeader/>
        </w:trPr>
        <w:tc>
          <w:tcPr>
            <w:tcW w:w="1697" w:type="pct"/>
            <w:tcBorders>
              <w:top w:val="single" w:sz="4" w:space="0" w:color="auto"/>
              <w:left w:val="single" w:sz="4" w:space="0" w:color="auto"/>
              <w:bottom w:val="single" w:sz="4" w:space="0" w:color="auto"/>
              <w:right w:val="nil"/>
            </w:tcBorders>
            <w:noWrap/>
          </w:tcPr>
          <w:p w14:paraId="1759C8EE" w14:textId="77777777" w:rsidR="00146578" w:rsidRPr="00491BF9" w:rsidRDefault="00146578" w:rsidP="00E31119">
            <w:pPr>
              <w:autoSpaceDE w:val="0"/>
              <w:autoSpaceDN w:val="0"/>
              <w:adjustRightInd w:val="0"/>
              <w:rPr>
                <w:lang w:val="lt-LT"/>
              </w:rPr>
            </w:pPr>
            <w:r w:rsidRPr="00491BF9">
              <w:rPr>
                <w:lang w:val="lt-LT"/>
              </w:rPr>
              <w:br w:type="page"/>
            </w:r>
            <w:r w:rsidRPr="00491BF9">
              <w:rPr>
                <w:b/>
                <w:bCs/>
                <w:lang w:val="lt-LT"/>
              </w:rPr>
              <w:t>Organas</w:t>
            </w:r>
          </w:p>
        </w:tc>
        <w:tc>
          <w:tcPr>
            <w:tcW w:w="3303" w:type="pct"/>
            <w:gridSpan w:val="5"/>
            <w:tcBorders>
              <w:top w:val="single" w:sz="4" w:space="0" w:color="auto"/>
              <w:left w:val="nil"/>
              <w:bottom w:val="single" w:sz="4" w:space="0" w:color="auto"/>
              <w:right w:val="single" w:sz="4" w:space="0" w:color="auto"/>
            </w:tcBorders>
            <w:noWrap/>
            <w:vAlign w:val="bottom"/>
          </w:tcPr>
          <w:p w14:paraId="6A7E014A" w14:textId="77777777" w:rsidR="00146578" w:rsidRPr="00491BF9" w:rsidRDefault="00146578" w:rsidP="00E31119">
            <w:pPr>
              <w:autoSpaceDE w:val="0"/>
              <w:autoSpaceDN w:val="0"/>
              <w:adjustRightInd w:val="0"/>
              <w:jc w:val="center"/>
              <w:rPr>
                <w:lang w:val="lt-LT"/>
              </w:rPr>
            </w:pPr>
            <w:r w:rsidRPr="00491BF9">
              <w:rPr>
                <w:b/>
                <w:bCs/>
                <w:lang w:val="lt-LT"/>
              </w:rPr>
              <w:t>Absorbuota dozė vienetui skirtojo aktyvumo (mGy/MBq)</w:t>
            </w:r>
            <w:r w:rsidRPr="00491BF9">
              <w:rPr>
                <w:b/>
                <w:bCs/>
                <w:lang w:val="lt-LT"/>
              </w:rPr>
              <w:br/>
              <w:t>(krūvis)</w:t>
            </w:r>
          </w:p>
        </w:tc>
      </w:tr>
      <w:tr w:rsidR="00146578" w:rsidRPr="00491BF9" w14:paraId="3EA59BCE" w14:textId="77777777" w:rsidTr="004F35D3">
        <w:trPr>
          <w:trHeight w:val="255"/>
          <w:tblHeader/>
        </w:trPr>
        <w:tc>
          <w:tcPr>
            <w:tcW w:w="1697" w:type="pct"/>
            <w:tcBorders>
              <w:top w:val="nil"/>
              <w:left w:val="single" w:sz="4" w:space="0" w:color="auto"/>
              <w:bottom w:val="single" w:sz="4" w:space="0" w:color="auto"/>
              <w:right w:val="nil"/>
            </w:tcBorders>
            <w:noWrap/>
            <w:vAlign w:val="bottom"/>
          </w:tcPr>
          <w:p w14:paraId="662BC117" w14:textId="77777777" w:rsidR="00146578" w:rsidRPr="00491BF9" w:rsidRDefault="00146578" w:rsidP="00E31119">
            <w:pPr>
              <w:rPr>
                <w:rFonts w:cs="Arial"/>
                <w:lang w:val="lt-LT"/>
              </w:rPr>
            </w:pPr>
          </w:p>
        </w:tc>
        <w:tc>
          <w:tcPr>
            <w:tcW w:w="589" w:type="pct"/>
            <w:tcBorders>
              <w:top w:val="nil"/>
              <w:left w:val="nil"/>
              <w:bottom w:val="single" w:sz="4" w:space="0" w:color="auto"/>
              <w:right w:val="nil"/>
            </w:tcBorders>
            <w:noWrap/>
            <w:vAlign w:val="bottom"/>
          </w:tcPr>
          <w:p w14:paraId="379B6CCB" w14:textId="77777777" w:rsidR="00146578" w:rsidRPr="00491BF9" w:rsidRDefault="00146578" w:rsidP="00E31119">
            <w:pPr>
              <w:autoSpaceDE w:val="0"/>
              <w:autoSpaceDN w:val="0"/>
              <w:adjustRightInd w:val="0"/>
              <w:rPr>
                <w:sz w:val="20"/>
                <w:lang w:val="lt-LT"/>
              </w:rPr>
            </w:pPr>
            <w:r w:rsidRPr="00491BF9">
              <w:rPr>
                <w:lang w:val="lt-LT"/>
              </w:rPr>
              <w:t>Suaugusieji</w:t>
            </w:r>
          </w:p>
        </w:tc>
        <w:tc>
          <w:tcPr>
            <w:tcW w:w="704" w:type="pct"/>
            <w:tcBorders>
              <w:top w:val="nil"/>
              <w:left w:val="nil"/>
              <w:bottom w:val="single" w:sz="4" w:space="0" w:color="auto"/>
              <w:right w:val="nil"/>
            </w:tcBorders>
            <w:noWrap/>
            <w:vAlign w:val="bottom"/>
          </w:tcPr>
          <w:p w14:paraId="60A96EA0" w14:textId="77777777" w:rsidR="00146578" w:rsidRPr="00491BF9" w:rsidRDefault="00146578" w:rsidP="00E31119">
            <w:pPr>
              <w:rPr>
                <w:rFonts w:ascii="Arial" w:hAnsi="Arial" w:cs="Arial"/>
                <w:sz w:val="20"/>
                <w:lang w:val="lt-LT"/>
              </w:rPr>
            </w:pPr>
            <w:smartTag w:uri="schemas-tilde-lv/tildestengine" w:element="metric2">
              <w:smartTagPr>
                <w:attr w:name="metric_text" w:val="m"/>
                <w:attr w:name="metric_value" w:val="15"/>
              </w:smartTagPr>
              <w:smartTag w:uri="urn:schemas-microsoft-com:office:smarttags" w:element="metricconverter">
                <w:smartTagPr>
                  <w:attr w:name="ProductID" w:val="15ﾠm"/>
                </w:smartTagPr>
                <w:r w:rsidRPr="00491BF9">
                  <w:rPr>
                    <w:lang w:val="lt-LT"/>
                  </w:rPr>
                  <w:t>15 m</w:t>
                </w:r>
              </w:smartTag>
            </w:smartTag>
            <w:r w:rsidRPr="00491BF9">
              <w:rPr>
                <w:lang w:val="lt-LT"/>
              </w:rPr>
              <w:t>. amžiaus</w:t>
            </w:r>
          </w:p>
        </w:tc>
        <w:tc>
          <w:tcPr>
            <w:tcW w:w="704" w:type="pct"/>
            <w:tcBorders>
              <w:top w:val="nil"/>
              <w:left w:val="nil"/>
              <w:bottom w:val="single" w:sz="4" w:space="0" w:color="auto"/>
              <w:right w:val="nil"/>
            </w:tcBorders>
            <w:noWrap/>
            <w:vAlign w:val="bottom"/>
          </w:tcPr>
          <w:p w14:paraId="5F05E9E2" w14:textId="77777777" w:rsidR="00146578" w:rsidRPr="00491BF9" w:rsidRDefault="00146578" w:rsidP="00E31119">
            <w:pPr>
              <w:rPr>
                <w:rFonts w:ascii="Arial" w:hAnsi="Arial" w:cs="Arial"/>
                <w:sz w:val="20"/>
                <w:lang w:val="lt-LT"/>
              </w:rPr>
            </w:pPr>
            <w:smartTag w:uri="schemas-tilde-lv/tildestengine" w:element="metric2">
              <w:smartTagPr>
                <w:attr w:name="metric_text" w:val="m"/>
                <w:attr w:name="metric_value" w:val="10"/>
              </w:smartTagPr>
              <w:smartTag w:uri="urn:schemas-microsoft-com:office:smarttags" w:element="metricconverter">
                <w:smartTagPr>
                  <w:attr w:name="ProductID" w:val="10ﾠm"/>
                </w:smartTagPr>
                <w:r w:rsidRPr="00491BF9">
                  <w:rPr>
                    <w:lang w:val="lt-LT"/>
                  </w:rPr>
                  <w:t>10 m</w:t>
                </w:r>
              </w:smartTag>
            </w:smartTag>
            <w:r w:rsidRPr="00491BF9">
              <w:rPr>
                <w:lang w:val="lt-LT"/>
              </w:rPr>
              <w:t>. amžiaus</w:t>
            </w:r>
          </w:p>
        </w:tc>
        <w:tc>
          <w:tcPr>
            <w:tcW w:w="653" w:type="pct"/>
            <w:tcBorders>
              <w:top w:val="nil"/>
              <w:left w:val="nil"/>
              <w:bottom w:val="single" w:sz="4" w:space="0" w:color="auto"/>
              <w:right w:val="nil"/>
            </w:tcBorders>
            <w:noWrap/>
            <w:vAlign w:val="bottom"/>
          </w:tcPr>
          <w:p w14:paraId="00EA6350" w14:textId="77777777" w:rsidR="00146578" w:rsidRPr="00491BF9" w:rsidRDefault="00146578" w:rsidP="00E31119">
            <w:pPr>
              <w:rPr>
                <w:rFonts w:ascii="Arial" w:hAnsi="Arial" w:cs="Arial"/>
                <w:sz w:val="20"/>
                <w:lang w:val="lt-LT"/>
              </w:rPr>
            </w:pPr>
            <w:smartTag w:uri="schemas-tilde-lv/tildestengine" w:element="metric2">
              <w:smartTagPr>
                <w:attr w:name="metric_text" w:val="m"/>
                <w:attr w:name="metric_value" w:val="5"/>
              </w:smartTagPr>
              <w:smartTag w:uri="urn:schemas-microsoft-com:office:smarttags" w:element="metricconverter">
                <w:smartTagPr>
                  <w:attr w:name="ProductID" w:val="5ﾠm"/>
                </w:smartTagPr>
                <w:r w:rsidRPr="00491BF9">
                  <w:rPr>
                    <w:lang w:val="lt-LT"/>
                  </w:rPr>
                  <w:t>5 m</w:t>
                </w:r>
              </w:smartTag>
            </w:smartTag>
            <w:r w:rsidRPr="00491BF9">
              <w:rPr>
                <w:lang w:val="lt-LT"/>
              </w:rPr>
              <w:t>. amžiaus</w:t>
            </w:r>
          </w:p>
        </w:tc>
        <w:tc>
          <w:tcPr>
            <w:tcW w:w="653" w:type="pct"/>
            <w:tcBorders>
              <w:top w:val="nil"/>
              <w:left w:val="nil"/>
              <w:bottom w:val="single" w:sz="4" w:space="0" w:color="auto"/>
              <w:right w:val="single" w:sz="4" w:space="0" w:color="auto"/>
            </w:tcBorders>
            <w:noWrap/>
            <w:vAlign w:val="bottom"/>
          </w:tcPr>
          <w:p w14:paraId="3AF0B03B" w14:textId="77777777" w:rsidR="00146578" w:rsidRPr="00491BF9" w:rsidRDefault="00146578" w:rsidP="00E31119">
            <w:pPr>
              <w:rPr>
                <w:rFonts w:ascii="Arial" w:hAnsi="Arial" w:cs="Arial"/>
                <w:sz w:val="20"/>
                <w:lang w:val="lt-LT"/>
              </w:rPr>
            </w:pPr>
            <w:smartTag w:uri="schemas-tilde-lv/tildestengine" w:element="metric2">
              <w:smartTagPr>
                <w:attr w:name="metric_text" w:val="m"/>
                <w:attr w:name="metric_value" w:val="1"/>
              </w:smartTagPr>
              <w:smartTag w:uri="urn:schemas-microsoft-com:office:smarttags" w:element="metricconverter">
                <w:smartTagPr>
                  <w:attr w:name="ProductID" w:val="1ﾠm"/>
                </w:smartTagPr>
                <w:r w:rsidRPr="00491BF9">
                  <w:rPr>
                    <w:lang w:val="lt-LT"/>
                  </w:rPr>
                  <w:t>1 m</w:t>
                </w:r>
              </w:smartTag>
            </w:smartTag>
            <w:r w:rsidRPr="00491BF9">
              <w:rPr>
                <w:lang w:val="lt-LT"/>
              </w:rPr>
              <w:t>. amžiaus</w:t>
            </w:r>
          </w:p>
        </w:tc>
      </w:tr>
      <w:tr w:rsidR="00146578" w:rsidRPr="00491BF9" w14:paraId="21DA61C4" w14:textId="77777777" w:rsidTr="004F35D3">
        <w:trPr>
          <w:trHeight w:val="255"/>
        </w:trPr>
        <w:tc>
          <w:tcPr>
            <w:tcW w:w="1697" w:type="pct"/>
            <w:tcBorders>
              <w:top w:val="single" w:sz="4" w:space="0" w:color="auto"/>
              <w:left w:val="single" w:sz="4" w:space="0" w:color="auto"/>
              <w:bottom w:val="nil"/>
              <w:right w:val="nil"/>
            </w:tcBorders>
            <w:noWrap/>
            <w:vAlign w:val="bottom"/>
          </w:tcPr>
          <w:p w14:paraId="72570101" w14:textId="77777777" w:rsidR="00146578" w:rsidRPr="00491BF9" w:rsidRDefault="00146578" w:rsidP="00E31119">
            <w:pPr>
              <w:rPr>
                <w:rFonts w:cs="Arial"/>
                <w:lang w:val="lt-LT"/>
              </w:rPr>
            </w:pPr>
            <w:r w:rsidRPr="00491BF9">
              <w:rPr>
                <w:rFonts w:cs="Arial"/>
                <w:lang w:val="lt-LT"/>
              </w:rPr>
              <w:t>Antinksčiai</w:t>
            </w:r>
          </w:p>
        </w:tc>
        <w:tc>
          <w:tcPr>
            <w:tcW w:w="589" w:type="pct"/>
            <w:tcBorders>
              <w:top w:val="single" w:sz="4" w:space="0" w:color="auto"/>
              <w:left w:val="nil"/>
              <w:bottom w:val="nil"/>
              <w:right w:val="nil"/>
            </w:tcBorders>
            <w:noWrap/>
            <w:vAlign w:val="bottom"/>
          </w:tcPr>
          <w:p w14:paraId="0ECE7508" w14:textId="77777777" w:rsidR="00146578" w:rsidRPr="00491BF9" w:rsidRDefault="00146578" w:rsidP="00E31119">
            <w:pPr>
              <w:rPr>
                <w:rFonts w:cs="Arial"/>
                <w:lang w:val="lt-LT"/>
              </w:rPr>
            </w:pPr>
            <w:r w:rsidRPr="00491BF9">
              <w:rPr>
                <w:rFonts w:cs="Arial"/>
                <w:lang w:val="lt-LT"/>
              </w:rPr>
              <w:t>0,0066</w:t>
            </w:r>
          </w:p>
        </w:tc>
        <w:tc>
          <w:tcPr>
            <w:tcW w:w="704" w:type="pct"/>
            <w:tcBorders>
              <w:top w:val="single" w:sz="4" w:space="0" w:color="auto"/>
              <w:left w:val="nil"/>
              <w:bottom w:val="nil"/>
              <w:right w:val="nil"/>
            </w:tcBorders>
            <w:noWrap/>
            <w:vAlign w:val="bottom"/>
          </w:tcPr>
          <w:p w14:paraId="216C7C84" w14:textId="77777777" w:rsidR="00146578" w:rsidRPr="00491BF9" w:rsidRDefault="00146578" w:rsidP="00E31119">
            <w:pPr>
              <w:rPr>
                <w:rFonts w:cs="Arial"/>
                <w:lang w:val="lt-LT"/>
              </w:rPr>
            </w:pPr>
            <w:r w:rsidRPr="00491BF9">
              <w:rPr>
                <w:rFonts w:cs="Arial"/>
                <w:lang w:val="lt-LT"/>
              </w:rPr>
              <w:t>0,0087</w:t>
            </w:r>
          </w:p>
        </w:tc>
        <w:tc>
          <w:tcPr>
            <w:tcW w:w="704" w:type="pct"/>
            <w:tcBorders>
              <w:top w:val="single" w:sz="4" w:space="0" w:color="auto"/>
              <w:left w:val="nil"/>
              <w:bottom w:val="nil"/>
              <w:right w:val="nil"/>
            </w:tcBorders>
            <w:noWrap/>
            <w:vAlign w:val="bottom"/>
          </w:tcPr>
          <w:p w14:paraId="59F187CD" w14:textId="77777777" w:rsidR="00146578" w:rsidRPr="00491BF9" w:rsidRDefault="00146578" w:rsidP="00E31119">
            <w:pPr>
              <w:rPr>
                <w:rFonts w:cs="Arial"/>
                <w:lang w:val="lt-LT"/>
              </w:rPr>
            </w:pPr>
            <w:r w:rsidRPr="00491BF9">
              <w:rPr>
                <w:rFonts w:cs="Arial"/>
                <w:lang w:val="lt-LT"/>
              </w:rPr>
              <w:t>0,013</w:t>
            </w:r>
          </w:p>
        </w:tc>
        <w:tc>
          <w:tcPr>
            <w:tcW w:w="653" w:type="pct"/>
            <w:tcBorders>
              <w:top w:val="single" w:sz="4" w:space="0" w:color="auto"/>
              <w:left w:val="nil"/>
              <w:bottom w:val="nil"/>
              <w:right w:val="nil"/>
            </w:tcBorders>
            <w:noWrap/>
            <w:vAlign w:val="bottom"/>
          </w:tcPr>
          <w:p w14:paraId="21F3B7FD" w14:textId="77777777" w:rsidR="00146578" w:rsidRPr="00491BF9" w:rsidRDefault="00146578" w:rsidP="00E31119">
            <w:pPr>
              <w:rPr>
                <w:rFonts w:cs="Arial"/>
                <w:lang w:val="lt-LT"/>
              </w:rPr>
            </w:pPr>
            <w:r w:rsidRPr="00491BF9">
              <w:rPr>
                <w:rFonts w:cs="Arial"/>
                <w:lang w:val="lt-LT"/>
              </w:rPr>
              <w:t>0,019</w:t>
            </w:r>
          </w:p>
        </w:tc>
        <w:tc>
          <w:tcPr>
            <w:tcW w:w="653" w:type="pct"/>
            <w:tcBorders>
              <w:top w:val="single" w:sz="4" w:space="0" w:color="auto"/>
              <w:left w:val="nil"/>
              <w:bottom w:val="nil"/>
              <w:right w:val="single" w:sz="4" w:space="0" w:color="auto"/>
            </w:tcBorders>
            <w:noWrap/>
            <w:vAlign w:val="bottom"/>
          </w:tcPr>
          <w:p w14:paraId="1DE629B2" w14:textId="77777777" w:rsidR="00146578" w:rsidRPr="00491BF9" w:rsidRDefault="00146578" w:rsidP="00E31119">
            <w:pPr>
              <w:rPr>
                <w:rFonts w:cs="Arial"/>
                <w:lang w:val="lt-LT"/>
              </w:rPr>
            </w:pPr>
            <w:r w:rsidRPr="00491BF9">
              <w:rPr>
                <w:rFonts w:cs="Arial"/>
                <w:lang w:val="lt-LT"/>
              </w:rPr>
              <w:t>0,033</w:t>
            </w:r>
          </w:p>
        </w:tc>
      </w:tr>
      <w:tr w:rsidR="00146578" w:rsidRPr="00491BF9" w14:paraId="5391FDFC" w14:textId="77777777" w:rsidTr="004F35D3">
        <w:trPr>
          <w:trHeight w:val="255"/>
        </w:trPr>
        <w:tc>
          <w:tcPr>
            <w:tcW w:w="1697" w:type="pct"/>
            <w:tcBorders>
              <w:top w:val="nil"/>
              <w:left w:val="single" w:sz="4" w:space="0" w:color="auto"/>
              <w:bottom w:val="nil"/>
              <w:right w:val="nil"/>
            </w:tcBorders>
            <w:noWrap/>
            <w:vAlign w:val="bottom"/>
          </w:tcPr>
          <w:p w14:paraId="51E55659" w14:textId="39E6434B" w:rsidR="00146578" w:rsidRPr="00491BF9" w:rsidRDefault="00146578" w:rsidP="00E31119">
            <w:pPr>
              <w:rPr>
                <w:rFonts w:cs="Arial"/>
                <w:lang w:val="lt-LT"/>
              </w:rPr>
            </w:pPr>
          </w:p>
        </w:tc>
        <w:tc>
          <w:tcPr>
            <w:tcW w:w="589" w:type="pct"/>
            <w:tcBorders>
              <w:top w:val="nil"/>
              <w:left w:val="nil"/>
              <w:bottom w:val="nil"/>
              <w:right w:val="nil"/>
            </w:tcBorders>
            <w:noWrap/>
            <w:vAlign w:val="bottom"/>
          </w:tcPr>
          <w:p w14:paraId="662E6C5F" w14:textId="51B05EB9" w:rsidR="00146578" w:rsidRPr="00491BF9" w:rsidRDefault="00146578" w:rsidP="00E31119">
            <w:pPr>
              <w:rPr>
                <w:rFonts w:cs="Arial"/>
                <w:lang w:val="lt-LT"/>
              </w:rPr>
            </w:pPr>
          </w:p>
        </w:tc>
        <w:tc>
          <w:tcPr>
            <w:tcW w:w="704" w:type="pct"/>
            <w:tcBorders>
              <w:top w:val="nil"/>
              <w:left w:val="nil"/>
              <w:bottom w:val="nil"/>
              <w:right w:val="nil"/>
            </w:tcBorders>
            <w:noWrap/>
            <w:vAlign w:val="bottom"/>
          </w:tcPr>
          <w:p w14:paraId="1E0062C3" w14:textId="762ECE2C" w:rsidR="00146578" w:rsidRPr="00491BF9" w:rsidRDefault="00146578" w:rsidP="00E31119">
            <w:pPr>
              <w:rPr>
                <w:rFonts w:cs="Arial"/>
                <w:lang w:val="lt-LT"/>
              </w:rPr>
            </w:pPr>
          </w:p>
        </w:tc>
        <w:tc>
          <w:tcPr>
            <w:tcW w:w="704" w:type="pct"/>
            <w:tcBorders>
              <w:top w:val="nil"/>
              <w:left w:val="nil"/>
              <w:bottom w:val="nil"/>
              <w:right w:val="nil"/>
            </w:tcBorders>
            <w:noWrap/>
            <w:vAlign w:val="bottom"/>
          </w:tcPr>
          <w:p w14:paraId="0FD99C0C" w14:textId="7CA86E8F" w:rsidR="00146578" w:rsidRPr="00491BF9" w:rsidRDefault="00146578" w:rsidP="00E31119">
            <w:pPr>
              <w:rPr>
                <w:rFonts w:cs="Arial"/>
                <w:lang w:val="lt-LT"/>
              </w:rPr>
            </w:pPr>
          </w:p>
        </w:tc>
        <w:tc>
          <w:tcPr>
            <w:tcW w:w="653" w:type="pct"/>
            <w:tcBorders>
              <w:top w:val="nil"/>
              <w:left w:val="nil"/>
              <w:bottom w:val="nil"/>
              <w:right w:val="nil"/>
            </w:tcBorders>
            <w:noWrap/>
            <w:vAlign w:val="bottom"/>
          </w:tcPr>
          <w:p w14:paraId="2A443D98" w14:textId="64A65876" w:rsidR="00146578" w:rsidRPr="00491BF9" w:rsidRDefault="00146578" w:rsidP="00E31119">
            <w:pPr>
              <w:rPr>
                <w:rFonts w:cs="Arial"/>
                <w:lang w:val="lt-LT"/>
              </w:rPr>
            </w:pPr>
          </w:p>
        </w:tc>
        <w:tc>
          <w:tcPr>
            <w:tcW w:w="653" w:type="pct"/>
            <w:tcBorders>
              <w:top w:val="nil"/>
              <w:left w:val="nil"/>
              <w:bottom w:val="nil"/>
              <w:right w:val="single" w:sz="4" w:space="0" w:color="auto"/>
            </w:tcBorders>
            <w:noWrap/>
            <w:vAlign w:val="bottom"/>
          </w:tcPr>
          <w:p w14:paraId="16FBC3C4" w14:textId="5C9C9217" w:rsidR="00146578" w:rsidRPr="00491BF9" w:rsidRDefault="00146578" w:rsidP="00E31119">
            <w:pPr>
              <w:rPr>
                <w:rFonts w:cs="Arial"/>
                <w:lang w:val="lt-LT"/>
              </w:rPr>
            </w:pPr>
          </w:p>
        </w:tc>
      </w:tr>
      <w:tr w:rsidR="00146578" w:rsidRPr="00491BF9" w14:paraId="669FF8B5" w14:textId="77777777" w:rsidTr="004F35D3">
        <w:trPr>
          <w:trHeight w:val="255"/>
        </w:trPr>
        <w:tc>
          <w:tcPr>
            <w:tcW w:w="1697" w:type="pct"/>
            <w:tcBorders>
              <w:top w:val="nil"/>
              <w:left w:val="single" w:sz="4" w:space="0" w:color="auto"/>
              <w:bottom w:val="nil"/>
              <w:right w:val="nil"/>
            </w:tcBorders>
            <w:noWrap/>
            <w:vAlign w:val="bottom"/>
          </w:tcPr>
          <w:p w14:paraId="22C986D6" w14:textId="77777777" w:rsidR="00146578" w:rsidRPr="00491BF9" w:rsidRDefault="00146578" w:rsidP="00E31119">
            <w:pPr>
              <w:rPr>
                <w:rFonts w:cs="Arial"/>
                <w:lang w:val="lt-LT"/>
              </w:rPr>
            </w:pPr>
            <w:r w:rsidRPr="00491BF9">
              <w:rPr>
                <w:rFonts w:cs="Arial"/>
                <w:lang w:val="lt-LT"/>
              </w:rPr>
              <w:t>Kaulų paviršiai</w:t>
            </w:r>
          </w:p>
        </w:tc>
        <w:tc>
          <w:tcPr>
            <w:tcW w:w="589" w:type="pct"/>
            <w:tcBorders>
              <w:top w:val="nil"/>
              <w:left w:val="nil"/>
              <w:bottom w:val="nil"/>
              <w:right w:val="nil"/>
            </w:tcBorders>
            <w:noWrap/>
            <w:vAlign w:val="bottom"/>
          </w:tcPr>
          <w:p w14:paraId="284694DD" w14:textId="77777777" w:rsidR="00146578" w:rsidRPr="00491BF9" w:rsidRDefault="00146578" w:rsidP="00E31119">
            <w:pPr>
              <w:rPr>
                <w:rFonts w:cs="Arial"/>
                <w:lang w:val="lt-LT"/>
              </w:rPr>
            </w:pPr>
            <w:r w:rsidRPr="00491BF9">
              <w:rPr>
                <w:rFonts w:cs="Arial"/>
                <w:lang w:val="lt-LT"/>
              </w:rPr>
              <w:t>0,0078</w:t>
            </w:r>
          </w:p>
        </w:tc>
        <w:tc>
          <w:tcPr>
            <w:tcW w:w="704" w:type="pct"/>
            <w:tcBorders>
              <w:top w:val="nil"/>
              <w:left w:val="nil"/>
              <w:bottom w:val="nil"/>
              <w:right w:val="nil"/>
            </w:tcBorders>
            <w:noWrap/>
            <w:vAlign w:val="bottom"/>
          </w:tcPr>
          <w:p w14:paraId="36C9A2F3" w14:textId="77777777" w:rsidR="00146578" w:rsidRPr="00491BF9" w:rsidRDefault="00146578" w:rsidP="00E31119">
            <w:pPr>
              <w:rPr>
                <w:rFonts w:cs="Arial"/>
                <w:lang w:val="lt-LT"/>
              </w:rPr>
            </w:pPr>
            <w:r w:rsidRPr="00491BF9">
              <w:rPr>
                <w:rFonts w:cs="Arial"/>
                <w:lang w:val="lt-LT"/>
              </w:rPr>
              <w:t>0,0097</w:t>
            </w:r>
          </w:p>
        </w:tc>
        <w:tc>
          <w:tcPr>
            <w:tcW w:w="704" w:type="pct"/>
            <w:tcBorders>
              <w:top w:val="nil"/>
              <w:left w:val="nil"/>
              <w:bottom w:val="nil"/>
              <w:right w:val="nil"/>
            </w:tcBorders>
            <w:noWrap/>
            <w:vAlign w:val="bottom"/>
          </w:tcPr>
          <w:p w14:paraId="707D14BF" w14:textId="77777777" w:rsidR="00146578" w:rsidRPr="00491BF9" w:rsidRDefault="00146578" w:rsidP="00E31119">
            <w:pPr>
              <w:rPr>
                <w:rFonts w:cs="Arial"/>
                <w:lang w:val="lt-LT"/>
              </w:rPr>
            </w:pPr>
            <w:r w:rsidRPr="00491BF9">
              <w:rPr>
                <w:rFonts w:cs="Arial"/>
                <w:lang w:val="lt-LT"/>
              </w:rPr>
              <w:t>0,014</w:t>
            </w:r>
          </w:p>
        </w:tc>
        <w:tc>
          <w:tcPr>
            <w:tcW w:w="653" w:type="pct"/>
            <w:tcBorders>
              <w:top w:val="nil"/>
              <w:left w:val="nil"/>
              <w:bottom w:val="nil"/>
              <w:right w:val="nil"/>
            </w:tcBorders>
            <w:noWrap/>
            <w:vAlign w:val="bottom"/>
          </w:tcPr>
          <w:p w14:paraId="0991E6BD" w14:textId="77777777" w:rsidR="00146578" w:rsidRPr="00491BF9" w:rsidRDefault="00146578" w:rsidP="00E31119">
            <w:pPr>
              <w:rPr>
                <w:rFonts w:cs="Arial"/>
                <w:lang w:val="lt-LT"/>
              </w:rPr>
            </w:pPr>
            <w:r w:rsidRPr="00491BF9">
              <w:rPr>
                <w:rFonts w:cs="Arial"/>
                <w:lang w:val="lt-LT"/>
              </w:rPr>
              <w:t>0,020</w:t>
            </w:r>
          </w:p>
        </w:tc>
        <w:tc>
          <w:tcPr>
            <w:tcW w:w="653" w:type="pct"/>
            <w:tcBorders>
              <w:top w:val="nil"/>
              <w:left w:val="nil"/>
              <w:bottom w:val="nil"/>
              <w:right w:val="single" w:sz="4" w:space="0" w:color="auto"/>
            </w:tcBorders>
            <w:noWrap/>
            <w:vAlign w:val="bottom"/>
          </w:tcPr>
          <w:p w14:paraId="3D4DA42C" w14:textId="77777777" w:rsidR="00146578" w:rsidRPr="00491BF9" w:rsidRDefault="00146578" w:rsidP="00E31119">
            <w:pPr>
              <w:rPr>
                <w:rFonts w:cs="Arial"/>
                <w:lang w:val="lt-LT"/>
              </w:rPr>
            </w:pPr>
            <w:r w:rsidRPr="00491BF9">
              <w:rPr>
                <w:rFonts w:cs="Arial"/>
                <w:lang w:val="lt-LT"/>
              </w:rPr>
              <w:t>0,036</w:t>
            </w:r>
          </w:p>
        </w:tc>
      </w:tr>
      <w:tr w:rsidR="00146578" w:rsidRPr="00491BF9" w14:paraId="0BA58F53" w14:textId="77777777" w:rsidTr="004F35D3">
        <w:trPr>
          <w:trHeight w:val="255"/>
        </w:trPr>
        <w:tc>
          <w:tcPr>
            <w:tcW w:w="1697" w:type="pct"/>
            <w:tcBorders>
              <w:top w:val="nil"/>
              <w:left w:val="single" w:sz="4" w:space="0" w:color="auto"/>
              <w:bottom w:val="nil"/>
              <w:right w:val="nil"/>
            </w:tcBorders>
            <w:noWrap/>
            <w:vAlign w:val="bottom"/>
          </w:tcPr>
          <w:p w14:paraId="221537F5" w14:textId="77777777" w:rsidR="00146578" w:rsidRPr="00491BF9" w:rsidRDefault="00146578" w:rsidP="00E31119">
            <w:pPr>
              <w:rPr>
                <w:rFonts w:cs="Arial"/>
                <w:lang w:val="lt-LT"/>
              </w:rPr>
            </w:pPr>
            <w:r w:rsidRPr="00491BF9">
              <w:rPr>
                <w:rFonts w:cs="Arial"/>
                <w:lang w:val="lt-LT"/>
              </w:rPr>
              <w:t>Smegenys</w:t>
            </w:r>
          </w:p>
        </w:tc>
        <w:tc>
          <w:tcPr>
            <w:tcW w:w="589" w:type="pct"/>
            <w:tcBorders>
              <w:top w:val="nil"/>
              <w:left w:val="nil"/>
              <w:bottom w:val="nil"/>
              <w:right w:val="nil"/>
            </w:tcBorders>
            <w:noWrap/>
            <w:vAlign w:val="bottom"/>
          </w:tcPr>
          <w:p w14:paraId="231083AE" w14:textId="77777777" w:rsidR="00146578" w:rsidRPr="00491BF9" w:rsidRDefault="00146578" w:rsidP="00E31119">
            <w:pPr>
              <w:rPr>
                <w:rFonts w:cs="Arial"/>
                <w:lang w:val="lt-LT"/>
              </w:rPr>
            </w:pPr>
            <w:r w:rsidRPr="00491BF9">
              <w:rPr>
                <w:rFonts w:cs="Arial"/>
                <w:lang w:val="lt-LT"/>
              </w:rPr>
              <w:t>0,0044</w:t>
            </w:r>
          </w:p>
        </w:tc>
        <w:tc>
          <w:tcPr>
            <w:tcW w:w="704" w:type="pct"/>
            <w:tcBorders>
              <w:top w:val="nil"/>
              <w:left w:val="nil"/>
              <w:bottom w:val="nil"/>
              <w:right w:val="nil"/>
            </w:tcBorders>
            <w:noWrap/>
            <w:vAlign w:val="bottom"/>
          </w:tcPr>
          <w:p w14:paraId="4B985D3D" w14:textId="77777777" w:rsidR="00146578" w:rsidRPr="00491BF9" w:rsidRDefault="00146578" w:rsidP="00E31119">
            <w:pPr>
              <w:rPr>
                <w:rFonts w:cs="Arial"/>
                <w:lang w:val="lt-LT"/>
              </w:rPr>
            </w:pPr>
            <w:r w:rsidRPr="00491BF9">
              <w:rPr>
                <w:rFonts w:cs="Arial"/>
                <w:lang w:val="lt-LT"/>
              </w:rPr>
              <w:t>0,0060</w:t>
            </w:r>
          </w:p>
        </w:tc>
        <w:tc>
          <w:tcPr>
            <w:tcW w:w="704" w:type="pct"/>
            <w:tcBorders>
              <w:top w:val="nil"/>
              <w:left w:val="nil"/>
              <w:bottom w:val="nil"/>
              <w:right w:val="nil"/>
            </w:tcBorders>
            <w:noWrap/>
            <w:vAlign w:val="bottom"/>
          </w:tcPr>
          <w:p w14:paraId="2F3DBB63" w14:textId="77777777" w:rsidR="00146578" w:rsidRPr="00491BF9" w:rsidRDefault="00146578" w:rsidP="00E31119">
            <w:pPr>
              <w:rPr>
                <w:rFonts w:cs="Arial"/>
                <w:lang w:val="lt-LT"/>
              </w:rPr>
            </w:pPr>
            <w:r w:rsidRPr="00491BF9">
              <w:rPr>
                <w:rFonts w:cs="Arial"/>
                <w:lang w:val="lt-LT"/>
              </w:rPr>
              <w:t>0,0093</w:t>
            </w:r>
          </w:p>
        </w:tc>
        <w:tc>
          <w:tcPr>
            <w:tcW w:w="653" w:type="pct"/>
            <w:tcBorders>
              <w:top w:val="nil"/>
              <w:left w:val="nil"/>
              <w:bottom w:val="nil"/>
              <w:right w:val="nil"/>
            </w:tcBorders>
            <w:noWrap/>
            <w:vAlign w:val="bottom"/>
          </w:tcPr>
          <w:p w14:paraId="6E4A90B7" w14:textId="77777777" w:rsidR="00146578" w:rsidRPr="00491BF9" w:rsidRDefault="00146578" w:rsidP="00E31119">
            <w:pPr>
              <w:rPr>
                <w:rFonts w:cs="Arial"/>
                <w:lang w:val="lt-LT"/>
              </w:rPr>
            </w:pPr>
            <w:r w:rsidRPr="00491BF9">
              <w:rPr>
                <w:rFonts w:cs="Arial"/>
                <w:lang w:val="lt-LT"/>
              </w:rPr>
              <w:t>0,014</w:t>
            </w:r>
          </w:p>
        </w:tc>
        <w:tc>
          <w:tcPr>
            <w:tcW w:w="653" w:type="pct"/>
            <w:tcBorders>
              <w:top w:val="nil"/>
              <w:left w:val="nil"/>
              <w:bottom w:val="nil"/>
              <w:right w:val="single" w:sz="4" w:space="0" w:color="auto"/>
            </w:tcBorders>
            <w:noWrap/>
            <w:vAlign w:val="bottom"/>
          </w:tcPr>
          <w:p w14:paraId="3D9EAED2" w14:textId="77777777" w:rsidR="00146578" w:rsidRPr="00491BF9" w:rsidRDefault="00146578" w:rsidP="00E31119">
            <w:pPr>
              <w:rPr>
                <w:rFonts w:cs="Arial"/>
                <w:lang w:val="lt-LT"/>
              </w:rPr>
            </w:pPr>
            <w:r w:rsidRPr="00491BF9">
              <w:rPr>
                <w:rFonts w:cs="Arial"/>
                <w:lang w:val="lt-LT"/>
              </w:rPr>
              <w:t>0,023</w:t>
            </w:r>
          </w:p>
        </w:tc>
      </w:tr>
      <w:tr w:rsidR="00146578" w:rsidRPr="00491BF9" w14:paraId="62E75FBB" w14:textId="77777777" w:rsidTr="004F35D3">
        <w:trPr>
          <w:trHeight w:val="255"/>
        </w:trPr>
        <w:tc>
          <w:tcPr>
            <w:tcW w:w="1697" w:type="pct"/>
            <w:tcBorders>
              <w:top w:val="nil"/>
              <w:left w:val="single" w:sz="4" w:space="0" w:color="auto"/>
              <w:bottom w:val="nil"/>
              <w:right w:val="nil"/>
            </w:tcBorders>
            <w:noWrap/>
            <w:vAlign w:val="bottom"/>
          </w:tcPr>
          <w:p w14:paraId="69781F3E" w14:textId="77777777" w:rsidR="00146578" w:rsidRPr="00491BF9" w:rsidRDefault="00146578" w:rsidP="00E31119">
            <w:pPr>
              <w:rPr>
                <w:rFonts w:cs="Arial"/>
                <w:lang w:val="lt-LT"/>
              </w:rPr>
            </w:pPr>
            <w:r w:rsidRPr="00491BF9">
              <w:rPr>
                <w:rFonts w:cs="Arial"/>
                <w:lang w:val="lt-LT"/>
              </w:rPr>
              <w:t>Krūtis</w:t>
            </w:r>
          </w:p>
        </w:tc>
        <w:tc>
          <w:tcPr>
            <w:tcW w:w="589" w:type="pct"/>
            <w:tcBorders>
              <w:top w:val="nil"/>
              <w:left w:val="nil"/>
              <w:bottom w:val="nil"/>
              <w:right w:val="nil"/>
            </w:tcBorders>
            <w:noWrap/>
            <w:vAlign w:val="bottom"/>
          </w:tcPr>
          <w:p w14:paraId="4053814A" w14:textId="77777777" w:rsidR="00146578" w:rsidRPr="00491BF9" w:rsidRDefault="00146578" w:rsidP="00E31119">
            <w:pPr>
              <w:rPr>
                <w:rFonts w:cs="Arial"/>
                <w:lang w:val="lt-LT"/>
              </w:rPr>
            </w:pPr>
            <w:r w:rsidRPr="00491BF9">
              <w:rPr>
                <w:rFonts w:cs="Arial"/>
                <w:lang w:val="lt-LT"/>
              </w:rPr>
              <w:t>0,0034</w:t>
            </w:r>
          </w:p>
        </w:tc>
        <w:tc>
          <w:tcPr>
            <w:tcW w:w="704" w:type="pct"/>
            <w:tcBorders>
              <w:top w:val="nil"/>
              <w:left w:val="nil"/>
              <w:bottom w:val="nil"/>
              <w:right w:val="nil"/>
            </w:tcBorders>
            <w:noWrap/>
            <w:vAlign w:val="bottom"/>
          </w:tcPr>
          <w:p w14:paraId="5E93BFB5" w14:textId="77777777" w:rsidR="00146578" w:rsidRPr="00491BF9" w:rsidRDefault="00146578" w:rsidP="00E31119">
            <w:pPr>
              <w:rPr>
                <w:rFonts w:cs="Arial"/>
                <w:lang w:val="lt-LT"/>
              </w:rPr>
            </w:pPr>
            <w:r w:rsidRPr="00491BF9">
              <w:rPr>
                <w:rFonts w:cs="Arial"/>
                <w:lang w:val="lt-LT"/>
              </w:rPr>
              <w:t>0,0047</w:t>
            </w:r>
          </w:p>
        </w:tc>
        <w:tc>
          <w:tcPr>
            <w:tcW w:w="704" w:type="pct"/>
            <w:tcBorders>
              <w:top w:val="nil"/>
              <w:left w:val="nil"/>
              <w:bottom w:val="nil"/>
              <w:right w:val="nil"/>
            </w:tcBorders>
            <w:noWrap/>
            <w:vAlign w:val="bottom"/>
          </w:tcPr>
          <w:p w14:paraId="652E7C10" w14:textId="77777777" w:rsidR="00146578" w:rsidRPr="00491BF9" w:rsidRDefault="00146578" w:rsidP="00E31119">
            <w:pPr>
              <w:rPr>
                <w:rFonts w:cs="Arial"/>
                <w:lang w:val="lt-LT"/>
              </w:rPr>
            </w:pPr>
            <w:r w:rsidRPr="00491BF9">
              <w:rPr>
                <w:rFonts w:cs="Arial"/>
                <w:lang w:val="lt-LT"/>
              </w:rPr>
              <w:t>0,0062</w:t>
            </w:r>
          </w:p>
        </w:tc>
        <w:tc>
          <w:tcPr>
            <w:tcW w:w="653" w:type="pct"/>
            <w:tcBorders>
              <w:top w:val="nil"/>
              <w:left w:val="nil"/>
              <w:bottom w:val="nil"/>
              <w:right w:val="nil"/>
            </w:tcBorders>
            <w:noWrap/>
            <w:vAlign w:val="bottom"/>
          </w:tcPr>
          <w:p w14:paraId="435A4E93" w14:textId="77777777" w:rsidR="00146578" w:rsidRPr="00491BF9" w:rsidRDefault="00146578" w:rsidP="00E31119">
            <w:pPr>
              <w:rPr>
                <w:rFonts w:cs="Arial"/>
                <w:lang w:val="lt-LT"/>
              </w:rPr>
            </w:pPr>
            <w:r w:rsidRPr="00491BF9">
              <w:rPr>
                <w:rFonts w:cs="Arial"/>
                <w:lang w:val="lt-LT"/>
              </w:rPr>
              <w:t>0,0097</w:t>
            </w:r>
          </w:p>
        </w:tc>
        <w:tc>
          <w:tcPr>
            <w:tcW w:w="653" w:type="pct"/>
            <w:tcBorders>
              <w:top w:val="nil"/>
              <w:left w:val="nil"/>
              <w:bottom w:val="nil"/>
              <w:right w:val="single" w:sz="4" w:space="0" w:color="auto"/>
            </w:tcBorders>
            <w:noWrap/>
            <w:vAlign w:val="bottom"/>
          </w:tcPr>
          <w:p w14:paraId="7A85324B" w14:textId="77777777" w:rsidR="00146578" w:rsidRPr="00491BF9" w:rsidRDefault="00146578" w:rsidP="00E31119">
            <w:pPr>
              <w:rPr>
                <w:rFonts w:cs="Arial"/>
                <w:lang w:val="lt-LT"/>
              </w:rPr>
            </w:pPr>
            <w:r w:rsidRPr="00491BF9">
              <w:rPr>
                <w:rFonts w:cs="Arial"/>
                <w:lang w:val="lt-LT"/>
              </w:rPr>
              <w:t>0,018</w:t>
            </w:r>
          </w:p>
        </w:tc>
      </w:tr>
      <w:tr w:rsidR="00146578" w:rsidRPr="00491BF9" w14:paraId="510993C2" w14:textId="77777777" w:rsidTr="004F35D3">
        <w:trPr>
          <w:trHeight w:val="255"/>
        </w:trPr>
        <w:tc>
          <w:tcPr>
            <w:tcW w:w="1697" w:type="pct"/>
            <w:tcBorders>
              <w:top w:val="nil"/>
              <w:left w:val="single" w:sz="4" w:space="0" w:color="auto"/>
              <w:bottom w:val="nil"/>
              <w:right w:val="nil"/>
            </w:tcBorders>
            <w:noWrap/>
            <w:vAlign w:val="bottom"/>
          </w:tcPr>
          <w:p w14:paraId="615065C5" w14:textId="06B9D0CC" w:rsidR="00146578" w:rsidRPr="00491BF9" w:rsidRDefault="00146578" w:rsidP="00E31119">
            <w:pPr>
              <w:rPr>
                <w:rFonts w:cs="Arial"/>
                <w:lang w:val="lt-LT"/>
              </w:rPr>
            </w:pPr>
            <w:r w:rsidRPr="00491BF9">
              <w:rPr>
                <w:rFonts w:cs="Arial"/>
                <w:lang w:val="lt-LT"/>
              </w:rPr>
              <w:t>Tulžies pūslė</w:t>
            </w:r>
            <w:r w:rsidR="009B20FA">
              <w:rPr>
                <w:rFonts w:cs="Arial"/>
                <w:lang w:val="lt-LT"/>
              </w:rPr>
              <w:t>s siena</w:t>
            </w:r>
          </w:p>
        </w:tc>
        <w:tc>
          <w:tcPr>
            <w:tcW w:w="589" w:type="pct"/>
            <w:tcBorders>
              <w:top w:val="nil"/>
              <w:left w:val="nil"/>
              <w:bottom w:val="nil"/>
              <w:right w:val="nil"/>
            </w:tcBorders>
            <w:noWrap/>
            <w:vAlign w:val="bottom"/>
          </w:tcPr>
          <w:p w14:paraId="645D126D" w14:textId="77777777" w:rsidR="00146578" w:rsidRPr="00491BF9" w:rsidRDefault="00146578" w:rsidP="00E31119">
            <w:pPr>
              <w:rPr>
                <w:rFonts w:cs="Arial"/>
                <w:lang w:val="lt-LT"/>
              </w:rPr>
            </w:pPr>
            <w:r w:rsidRPr="00491BF9">
              <w:rPr>
                <w:rFonts w:cs="Arial"/>
                <w:lang w:val="lt-LT"/>
              </w:rPr>
              <w:t>0,033</w:t>
            </w:r>
          </w:p>
        </w:tc>
        <w:tc>
          <w:tcPr>
            <w:tcW w:w="704" w:type="pct"/>
            <w:tcBorders>
              <w:top w:val="nil"/>
              <w:left w:val="nil"/>
              <w:bottom w:val="nil"/>
              <w:right w:val="nil"/>
            </w:tcBorders>
            <w:noWrap/>
            <w:vAlign w:val="bottom"/>
          </w:tcPr>
          <w:p w14:paraId="6198D3F6" w14:textId="77777777" w:rsidR="00146578" w:rsidRPr="00491BF9" w:rsidRDefault="00146578" w:rsidP="00E31119">
            <w:pPr>
              <w:rPr>
                <w:rFonts w:cs="Arial"/>
                <w:lang w:val="lt-LT"/>
              </w:rPr>
            </w:pPr>
            <w:r w:rsidRPr="00491BF9">
              <w:rPr>
                <w:rFonts w:cs="Arial"/>
                <w:lang w:val="lt-LT"/>
              </w:rPr>
              <w:t>0,038</w:t>
            </w:r>
          </w:p>
        </w:tc>
        <w:tc>
          <w:tcPr>
            <w:tcW w:w="704" w:type="pct"/>
            <w:tcBorders>
              <w:top w:val="nil"/>
              <w:left w:val="nil"/>
              <w:bottom w:val="nil"/>
              <w:right w:val="nil"/>
            </w:tcBorders>
            <w:noWrap/>
            <w:vAlign w:val="bottom"/>
          </w:tcPr>
          <w:p w14:paraId="3F086194" w14:textId="77777777" w:rsidR="00146578" w:rsidRPr="00491BF9" w:rsidRDefault="00146578" w:rsidP="00E31119">
            <w:pPr>
              <w:rPr>
                <w:rFonts w:cs="Arial"/>
                <w:lang w:val="lt-LT"/>
              </w:rPr>
            </w:pPr>
            <w:r w:rsidRPr="00491BF9">
              <w:rPr>
                <w:rFonts w:cs="Arial"/>
                <w:lang w:val="lt-LT"/>
              </w:rPr>
              <w:t>0,049</w:t>
            </w:r>
          </w:p>
        </w:tc>
        <w:tc>
          <w:tcPr>
            <w:tcW w:w="653" w:type="pct"/>
            <w:tcBorders>
              <w:top w:val="nil"/>
              <w:left w:val="nil"/>
              <w:bottom w:val="nil"/>
              <w:right w:val="nil"/>
            </w:tcBorders>
            <w:noWrap/>
            <w:vAlign w:val="bottom"/>
          </w:tcPr>
          <w:p w14:paraId="3F94431B" w14:textId="77777777" w:rsidR="00146578" w:rsidRPr="00491BF9" w:rsidRDefault="00146578" w:rsidP="00E31119">
            <w:pPr>
              <w:rPr>
                <w:rFonts w:cs="Arial"/>
                <w:lang w:val="lt-LT"/>
              </w:rPr>
            </w:pPr>
            <w:r w:rsidRPr="00491BF9">
              <w:rPr>
                <w:rFonts w:cs="Arial"/>
                <w:lang w:val="lt-LT"/>
              </w:rPr>
              <w:t>0,086</w:t>
            </w:r>
          </w:p>
        </w:tc>
        <w:tc>
          <w:tcPr>
            <w:tcW w:w="653" w:type="pct"/>
            <w:tcBorders>
              <w:top w:val="nil"/>
              <w:left w:val="nil"/>
              <w:bottom w:val="nil"/>
              <w:right w:val="single" w:sz="4" w:space="0" w:color="auto"/>
            </w:tcBorders>
            <w:noWrap/>
            <w:vAlign w:val="bottom"/>
          </w:tcPr>
          <w:p w14:paraId="35DF4291" w14:textId="77777777" w:rsidR="00146578" w:rsidRPr="00491BF9" w:rsidRDefault="00146578" w:rsidP="00E31119">
            <w:pPr>
              <w:rPr>
                <w:rFonts w:cs="Arial"/>
                <w:lang w:val="lt-LT"/>
              </w:rPr>
            </w:pPr>
            <w:r w:rsidRPr="00491BF9">
              <w:rPr>
                <w:rFonts w:cs="Arial"/>
                <w:lang w:val="lt-LT"/>
              </w:rPr>
              <w:t>0,26</w:t>
            </w:r>
          </w:p>
        </w:tc>
      </w:tr>
      <w:tr w:rsidR="00146578" w:rsidRPr="00491BF9" w14:paraId="422A8E00" w14:textId="77777777" w:rsidTr="004F35D3">
        <w:trPr>
          <w:trHeight w:val="255"/>
        </w:trPr>
        <w:tc>
          <w:tcPr>
            <w:tcW w:w="1697" w:type="pct"/>
            <w:tcBorders>
              <w:top w:val="nil"/>
              <w:left w:val="single" w:sz="4" w:space="0" w:color="auto"/>
              <w:bottom w:val="nil"/>
              <w:right w:val="nil"/>
            </w:tcBorders>
            <w:noWrap/>
            <w:vAlign w:val="bottom"/>
          </w:tcPr>
          <w:p w14:paraId="77766692" w14:textId="77777777" w:rsidR="00146578" w:rsidRPr="00491BF9" w:rsidRDefault="00146578" w:rsidP="00E31119">
            <w:pPr>
              <w:rPr>
                <w:rFonts w:cs="Arial"/>
                <w:lang w:val="lt-LT"/>
              </w:rPr>
            </w:pPr>
            <w:r w:rsidRPr="00491BF9">
              <w:rPr>
                <w:rFonts w:cs="Arial"/>
                <w:lang w:val="lt-LT"/>
              </w:rPr>
              <w:t>Virškinimo traktas:</w:t>
            </w:r>
          </w:p>
        </w:tc>
        <w:tc>
          <w:tcPr>
            <w:tcW w:w="589" w:type="pct"/>
            <w:tcBorders>
              <w:top w:val="nil"/>
              <w:left w:val="nil"/>
              <w:bottom w:val="nil"/>
              <w:right w:val="nil"/>
            </w:tcBorders>
            <w:noWrap/>
            <w:vAlign w:val="bottom"/>
          </w:tcPr>
          <w:p w14:paraId="1449DADD" w14:textId="77777777" w:rsidR="00146578" w:rsidRPr="00491BF9" w:rsidRDefault="00146578" w:rsidP="00E31119">
            <w:pPr>
              <w:rPr>
                <w:rFonts w:cs="Arial"/>
                <w:lang w:val="lt-LT"/>
              </w:rPr>
            </w:pPr>
          </w:p>
        </w:tc>
        <w:tc>
          <w:tcPr>
            <w:tcW w:w="704" w:type="pct"/>
            <w:tcBorders>
              <w:top w:val="nil"/>
              <w:left w:val="nil"/>
              <w:bottom w:val="nil"/>
              <w:right w:val="nil"/>
            </w:tcBorders>
            <w:noWrap/>
            <w:vAlign w:val="bottom"/>
          </w:tcPr>
          <w:p w14:paraId="705E1272" w14:textId="77777777" w:rsidR="00146578" w:rsidRPr="00491BF9" w:rsidRDefault="00146578" w:rsidP="00E31119">
            <w:pPr>
              <w:rPr>
                <w:rFonts w:cs="Arial"/>
                <w:lang w:val="lt-LT"/>
              </w:rPr>
            </w:pPr>
          </w:p>
        </w:tc>
        <w:tc>
          <w:tcPr>
            <w:tcW w:w="704" w:type="pct"/>
            <w:tcBorders>
              <w:top w:val="nil"/>
              <w:left w:val="nil"/>
              <w:bottom w:val="nil"/>
              <w:right w:val="nil"/>
            </w:tcBorders>
            <w:noWrap/>
            <w:vAlign w:val="bottom"/>
          </w:tcPr>
          <w:p w14:paraId="63F68829" w14:textId="77777777" w:rsidR="00146578" w:rsidRPr="00491BF9" w:rsidRDefault="00146578" w:rsidP="00E31119">
            <w:pPr>
              <w:rPr>
                <w:rFonts w:cs="Arial"/>
                <w:lang w:val="lt-LT"/>
              </w:rPr>
            </w:pPr>
          </w:p>
        </w:tc>
        <w:tc>
          <w:tcPr>
            <w:tcW w:w="653" w:type="pct"/>
            <w:tcBorders>
              <w:top w:val="nil"/>
              <w:left w:val="nil"/>
              <w:bottom w:val="nil"/>
              <w:right w:val="nil"/>
            </w:tcBorders>
            <w:noWrap/>
            <w:vAlign w:val="bottom"/>
          </w:tcPr>
          <w:p w14:paraId="03D28AB4" w14:textId="77777777" w:rsidR="00146578" w:rsidRPr="00491BF9" w:rsidRDefault="00146578" w:rsidP="00E31119">
            <w:pPr>
              <w:rPr>
                <w:rFonts w:cs="Arial"/>
                <w:lang w:val="lt-LT"/>
              </w:rPr>
            </w:pPr>
          </w:p>
        </w:tc>
        <w:tc>
          <w:tcPr>
            <w:tcW w:w="653" w:type="pct"/>
            <w:tcBorders>
              <w:top w:val="nil"/>
              <w:left w:val="nil"/>
              <w:bottom w:val="nil"/>
              <w:right w:val="single" w:sz="4" w:space="0" w:color="auto"/>
            </w:tcBorders>
            <w:noWrap/>
            <w:vAlign w:val="bottom"/>
          </w:tcPr>
          <w:p w14:paraId="3F1FCDE5" w14:textId="77777777" w:rsidR="00146578" w:rsidRPr="00491BF9" w:rsidRDefault="00146578" w:rsidP="00E31119">
            <w:pPr>
              <w:rPr>
                <w:rFonts w:cs="Arial"/>
                <w:lang w:val="lt-LT"/>
              </w:rPr>
            </w:pPr>
          </w:p>
        </w:tc>
      </w:tr>
      <w:tr w:rsidR="00146578" w:rsidRPr="00491BF9" w14:paraId="0EB139EA" w14:textId="77777777" w:rsidTr="004F35D3">
        <w:trPr>
          <w:trHeight w:val="255"/>
        </w:trPr>
        <w:tc>
          <w:tcPr>
            <w:tcW w:w="1697" w:type="pct"/>
            <w:tcBorders>
              <w:top w:val="nil"/>
              <w:left w:val="single" w:sz="4" w:space="0" w:color="auto"/>
              <w:bottom w:val="nil"/>
              <w:right w:val="nil"/>
            </w:tcBorders>
            <w:noWrap/>
            <w:vAlign w:val="bottom"/>
          </w:tcPr>
          <w:p w14:paraId="75967E99" w14:textId="7D9D536B" w:rsidR="00146578" w:rsidRPr="00491BF9" w:rsidRDefault="009B20FA" w:rsidP="00E31119">
            <w:pPr>
              <w:rPr>
                <w:rFonts w:cs="Arial"/>
                <w:lang w:val="lt-LT"/>
              </w:rPr>
            </w:pPr>
            <w:r w:rsidRPr="00491BF9">
              <w:rPr>
                <w:rFonts w:cs="Arial"/>
                <w:lang w:val="lt-LT"/>
              </w:rPr>
              <w:t>Skrand</w:t>
            </w:r>
            <w:r>
              <w:rPr>
                <w:rFonts w:cs="Arial"/>
                <w:lang w:val="lt-LT"/>
              </w:rPr>
              <w:t>žio siena</w:t>
            </w:r>
          </w:p>
        </w:tc>
        <w:tc>
          <w:tcPr>
            <w:tcW w:w="589" w:type="pct"/>
            <w:tcBorders>
              <w:top w:val="nil"/>
              <w:left w:val="nil"/>
              <w:bottom w:val="nil"/>
              <w:right w:val="nil"/>
            </w:tcBorders>
            <w:noWrap/>
            <w:vAlign w:val="bottom"/>
          </w:tcPr>
          <w:p w14:paraId="2983A34D" w14:textId="77777777" w:rsidR="00146578" w:rsidRPr="00491BF9" w:rsidRDefault="00146578" w:rsidP="00E31119">
            <w:pPr>
              <w:rPr>
                <w:rFonts w:cs="Arial"/>
                <w:lang w:val="lt-LT"/>
              </w:rPr>
            </w:pPr>
            <w:r w:rsidRPr="00491BF9">
              <w:rPr>
                <w:rFonts w:cs="Arial"/>
                <w:lang w:val="lt-LT"/>
              </w:rPr>
              <w:t>0,0059</w:t>
            </w:r>
          </w:p>
        </w:tc>
        <w:tc>
          <w:tcPr>
            <w:tcW w:w="704" w:type="pct"/>
            <w:tcBorders>
              <w:top w:val="nil"/>
              <w:left w:val="nil"/>
              <w:bottom w:val="nil"/>
              <w:right w:val="nil"/>
            </w:tcBorders>
            <w:noWrap/>
            <w:vAlign w:val="bottom"/>
          </w:tcPr>
          <w:p w14:paraId="3A1C9438" w14:textId="77777777" w:rsidR="00146578" w:rsidRPr="00491BF9" w:rsidRDefault="00146578" w:rsidP="00E31119">
            <w:pPr>
              <w:rPr>
                <w:rFonts w:cs="Arial"/>
                <w:lang w:val="lt-LT"/>
              </w:rPr>
            </w:pPr>
            <w:r w:rsidRPr="00491BF9">
              <w:rPr>
                <w:rFonts w:cs="Arial"/>
                <w:lang w:val="lt-LT"/>
              </w:rPr>
              <w:t>0,0081</w:t>
            </w:r>
          </w:p>
        </w:tc>
        <w:tc>
          <w:tcPr>
            <w:tcW w:w="704" w:type="pct"/>
            <w:tcBorders>
              <w:top w:val="nil"/>
              <w:left w:val="nil"/>
              <w:bottom w:val="nil"/>
              <w:right w:val="nil"/>
            </w:tcBorders>
            <w:noWrap/>
            <w:vAlign w:val="bottom"/>
          </w:tcPr>
          <w:p w14:paraId="756EFA9D" w14:textId="77777777" w:rsidR="00146578" w:rsidRPr="00491BF9" w:rsidRDefault="00146578" w:rsidP="00E31119">
            <w:pPr>
              <w:rPr>
                <w:rFonts w:cs="Arial"/>
                <w:lang w:val="lt-LT"/>
              </w:rPr>
            </w:pPr>
            <w:r w:rsidRPr="00491BF9">
              <w:rPr>
                <w:rFonts w:cs="Arial"/>
                <w:lang w:val="lt-LT"/>
              </w:rPr>
              <w:t>0,013</w:t>
            </w:r>
          </w:p>
        </w:tc>
        <w:tc>
          <w:tcPr>
            <w:tcW w:w="653" w:type="pct"/>
            <w:tcBorders>
              <w:top w:val="nil"/>
              <w:left w:val="nil"/>
              <w:bottom w:val="nil"/>
              <w:right w:val="nil"/>
            </w:tcBorders>
            <w:noWrap/>
            <w:vAlign w:val="bottom"/>
          </w:tcPr>
          <w:p w14:paraId="3D9143CF" w14:textId="77777777" w:rsidR="00146578" w:rsidRPr="00491BF9" w:rsidRDefault="00146578" w:rsidP="00E31119">
            <w:pPr>
              <w:rPr>
                <w:rFonts w:cs="Arial"/>
                <w:lang w:val="lt-LT"/>
              </w:rPr>
            </w:pPr>
            <w:r w:rsidRPr="00491BF9">
              <w:rPr>
                <w:rFonts w:cs="Arial"/>
                <w:lang w:val="lt-LT"/>
              </w:rPr>
              <w:t>0,019</w:t>
            </w:r>
          </w:p>
        </w:tc>
        <w:tc>
          <w:tcPr>
            <w:tcW w:w="653" w:type="pct"/>
            <w:tcBorders>
              <w:top w:val="nil"/>
              <w:left w:val="nil"/>
              <w:bottom w:val="nil"/>
              <w:right w:val="single" w:sz="4" w:space="0" w:color="auto"/>
            </w:tcBorders>
            <w:noWrap/>
            <w:vAlign w:val="bottom"/>
          </w:tcPr>
          <w:p w14:paraId="08E32FE6" w14:textId="77777777" w:rsidR="00146578" w:rsidRPr="00491BF9" w:rsidRDefault="00146578" w:rsidP="00E31119">
            <w:pPr>
              <w:rPr>
                <w:rFonts w:cs="Arial"/>
                <w:lang w:val="lt-LT"/>
              </w:rPr>
            </w:pPr>
            <w:r w:rsidRPr="00491BF9">
              <w:rPr>
                <w:rFonts w:cs="Arial"/>
                <w:lang w:val="lt-LT"/>
              </w:rPr>
              <w:t>0,032</w:t>
            </w:r>
          </w:p>
        </w:tc>
      </w:tr>
      <w:tr w:rsidR="00146578" w:rsidRPr="00491BF9" w14:paraId="6F8CE57E" w14:textId="77777777" w:rsidTr="004F35D3">
        <w:trPr>
          <w:trHeight w:val="255"/>
        </w:trPr>
        <w:tc>
          <w:tcPr>
            <w:tcW w:w="1697" w:type="pct"/>
            <w:tcBorders>
              <w:top w:val="nil"/>
              <w:left w:val="single" w:sz="4" w:space="0" w:color="auto"/>
              <w:bottom w:val="nil"/>
              <w:right w:val="nil"/>
            </w:tcBorders>
            <w:noWrap/>
            <w:vAlign w:val="bottom"/>
          </w:tcPr>
          <w:p w14:paraId="400771B1" w14:textId="5346C7AC" w:rsidR="00146578" w:rsidRPr="00491BF9" w:rsidRDefault="00146578" w:rsidP="00E31119">
            <w:pPr>
              <w:rPr>
                <w:rFonts w:cs="Arial"/>
                <w:lang w:val="lt-LT"/>
              </w:rPr>
            </w:pPr>
            <w:r w:rsidRPr="00491BF9">
              <w:rPr>
                <w:rFonts w:cs="Arial"/>
                <w:lang w:val="lt-LT"/>
              </w:rPr>
              <w:t>Plonosios žarnos</w:t>
            </w:r>
            <w:r w:rsidR="009B20FA">
              <w:rPr>
                <w:rFonts w:cs="Arial"/>
                <w:lang w:val="lt-LT"/>
              </w:rPr>
              <w:t xml:space="preserve"> siena</w:t>
            </w:r>
          </w:p>
        </w:tc>
        <w:tc>
          <w:tcPr>
            <w:tcW w:w="589" w:type="pct"/>
            <w:tcBorders>
              <w:top w:val="nil"/>
              <w:left w:val="nil"/>
              <w:bottom w:val="nil"/>
              <w:right w:val="nil"/>
            </w:tcBorders>
            <w:noWrap/>
            <w:vAlign w:val="bottom"/>
          </w:tcPr>
          <w:p w14:paraId="78A1692A" w14:textId="77777777" w:rsidR="00146578" w:rsidRPr="00491BF9" w:rsidRDefault="00146578" w:rsidP="00E31119">
            <w:pPr>
              <w:rPr>
                <w:rFonts w:cs="Arial"/>
                <w:lang w:val="lt-LT"/>
              </w:rPr>
            </w:pPr>
            <w:r w:rsidRPr="00491BF9">
              <w:rPr>
                <w:rFonts w:cs="Arial"/>
                <w:lang w:val="lt-LT"/>
              </w:rPr>
              <w:t>0,012</w:t>
            </w:r>
          </w:p>
        </w:tc>
        <w:tc>
          <w:tcPr>
            <w:tcW w:w="704" w:type="pct"/>
            <w:tcBorders>
              <w:top w:val="nil"/>
              <w:left w:val="nil"/>
              <w:bottom w:val="nil"/>
              <w:right w:val="nil"/>
            </w:tcBorders>
            <w:noWrap/>
            <w:vAlign w:val="bottom"/>
          </w:tcPr>
          <w:p w14:paraId="634C769A" w14:textId="77777777" w:rsidR="00146578" w:rsidRPr="00491BF9" w:rsidRDefault="00146578" w:rsidP="00E31119">
            <w:pPr>
              <w:rPr>
                <w:rFonts w:cs="Arial"/>
                <w:lang w:val="lt-LT"/>
              </w:rPr>
            </w:pPr>
            <w:r w:rsidRPr="00491BF9">
              <w:rPr>
                <w:rFonts w:cs="Arial"/>
                <w:lang w:val="lt-LT"/>
              </w:rPr>
              <w:t>0,015</w:t>
            </w:r>
          </w:p>
        </w:tc>
        <w:tc>
          <w:tcPr>
            <w:tcW w:w="704" w:type="pct"/>
            <w:tcBorders>
              <w:top w:val="nil"/>
              <w:left w:val="nil"/>
              <w:bottom w:val="nil"/>
              <w:right w:val="nil"/>
            </w:tcBorders>
            <w:noWrap/>
            <w:vAlign w:val="bottom"/>
          </w:tcPr>
          <w:p w14:paraId="076EE603" w14:textId="77777777" w:rsidR="00146578" w:rsidRPr="00491BF9" w:rsidRDefault="00146578" w:rsidP="00E31119">
            <w:pPr>
              <w:rPr>
                <w:rFonts w:cs="Arial"/>
                <w:lang w:val="lt-LT"/>
              </w:rPr>
            </w:pPr>
            <w:r w:rsidRPr="00491BF9">
              <w:rPr>
                <w:rFonts w:cs="Arial"/>
                <w:lang w:val="lt-LT"/>
              </w:rPr>
              <w:t>0,024</w:t>
            </w:r>
          </w:p>
        </w:tc>
        <w:tc>
          <w:tcPr>
            <w:tcW w:w="653" w:type="pct"/>
            <w:tcBorders>
              <w:top w:val="nil"/>
              <w:left w:val="nil"/>
              <w:bottom w:val="nil"/>
              <w:right w:val="nil"/>
            </w:tcBorders>
            <w:noWrap/>
            <w:vAlign w:val="bottom"/>
          </w:tcPr>
          <w:p w14:paraId="447AC26D" w14:textId="77777777" w:rsidR="00146578" w:rsidRPr="00491BF9" w:rsidRDefault="00146578" w:rsidP="00E31119">
            <w:pPr>
              <w:rPr>
                <w:rFonts w:cs="Arial"/>
                <w:lang w:val="lt-LT"/>
              </w:rPr>
            </w:pPr>
            <w:r w:rsidRPr="00491BF9">
              <w:rPr>
                <w:rFonts w:cs="Arial"/>
                <w:lang w:val="lt-LT"/>
              </w:rPr>
              <w:t>0,037</w:t>
            </w:r>
          </w:p>
        </w:tc>
        <w:tc>
          <w:tcPr>
            <w:tcW w:w="653" w:type="pct"/>
            <w:tcBorders>
              <w:top w:val="nil"/>
              <w:left w:val="nil"/>
              <w:bottom w:val="nil"/>
              <w:right w:val="single" w:sz="4" w:space="0" w:color="auto"/>
            </w:tcBorders>
            <w:noWrap/>
            <w:vAlign w:val="bottom"/>
          </w:tcPr>
          <w:p w14:paraId="3481B86C" w14:textId="77777777" w:rsidR="00146578" w:rsidRPr="00491BF9" w:rsidRDefault="00146578" w:rsidP="00E31119">
            <w:pPr>
              <w:rPr>
                <w:rFonts w:cs="Arial"/>
                <w:lang w:val="lt-LT"/>
              </w:rPr>
            </w:pPr>
            <w:r w:rsidRPr="00491BF9">
              <w:rPr>
                <w:rFonts w:cs="Arial"/>
                <w:lang w:val="lt-LT"/>
              </w:rPr>
              <w:t>0,066</w:t>
            </w:r>
          </w:p>
        </w:tc>
      </w:tr>
      <w:tr w:rsidR="00146578" w:rsidRPr="00491BF9" w14:paraId="23769E56" w14:textId="77777777" w:rsidTr="004F35D3">
        <w:trPr>
          <w:trHeight w:val="255"/>
        </w:trPr>
        <w:tc>
          <w:tcPr>
            <w:tcW w:w="1697" w:type="pct"/>
            <w:tcBorders>
              <w:top w:val="nil"/>
              <w:left w:val="single" w:sz="4" w:space="0" w:color="auto"/>
              <w:bottom w:val="nil"/>
              <w:right w:val="nil"/>
            </w:tcBorders>
            <w:noWrap/>
            <w:vAlign w:val="bottom"/>
          </w:tcPr>
          <w:p w14:paraId="0B4CFFF3" w14:textId="179632A0" w:rsidR="00146578" w:rsidRPr="00491BF9" w:rsidRDefault="00146578" w:rsidP="00E31119">
            <w:pPr>
              <w:rPr>
                <w:rFonts w:cs="Arial"/>
                <w:lang w:val="lt-LT"/>
              </w:rPr>
            </w:pPr>
            <w:r w:rsidRPr="00491BF9">
              <w:rPr>
                <w:rFonts w:cs="Arial"/>
                <w:lang w:val="lt-LT"/>
              </w:rPr>
              <w:t>Gaubtinė</w:t>
            </w:r>
            <w:r w:rsidR="009B20FA">
              <w:rPr>
                <w:rFonts w:cs="Arial"/>
                <w:lang w:val="lt-LT"/>
              </w:rPr>
              <w:t>s</w:t>
            </w:r>
            <w:r w:rsidRPr="00491BF9">
              <w:rPr>
                <w:rFonts w:cs="Arial"/>
                <w:lang w:val="lt-LT"/>
              </w:rPr>
              <w:t xml:space="preserve"> žarn</w:t>
            </w:r>
            <w:r w:rsidR="009B20FA">
              <w:rPr>
                <w:rFonts w:cs="Arial"/>
                <w:lang w:val="lt-LT"/>
              </w:rPr>
              <w:t>os  siena</w:t>
            </w:r>
          </w:p>
        </w:tc>
        <w:tc>
          <w:tcPr>
            <w:tcW w:w="589" w:type="pct"/>
            <w:tcBorders>
              <w:top w:val="nil"/>
              <w:left w:val="nil"/>
              <w:bottom w:val="nil"/>
              <w:right w:val="nil"/>
            </w:tcBorders>
            <w:noWrap/>
            <w:vAlign w:val="bottom"/>
          </w:tcPr>
          <w:p w14:paraId="2403B36B" w14:textId="77777777" w:rsidR="00146578" w:rsidRPr="00491BF9" w:rsidRDefault="00146578" w:rsidP="00E31119">
            <w:pPr>
              <w:rPr>
                <w:rFonts w:cs="Arial"/>
                <w:lang w:val="lt-LT"/>
              </w:rPr>
            </w:pPr>
            <w:r w:rsidRPr="00491BF9">
              <w:rPr>
                <w:rFonts w:cs="Arial"/>
                <w:lang w:val="lt-LT"/>
              </w:rPr>
              <w:t>0,019</w:t>
            </w:r>
          </w:p>
        </w:tc>
        <w:tc>
          <w:tcPr>
            <w:tcW w:w="704" w:type="pct"/>
            <w:tcBorders>
              <w:top w:val="nil"/>
              <w:left w:val="nil"/>
              <w:bottom w:val="nil"/>
              <w:right w:val="nil"/>
            </w:tcBorders>
            <w:noWrap/>
            <w:vAlign w:val="bottom"/>
          </w:tcPr>
          <w:p w14:paraId="3D06D4CE" w14:textId="77777777" w:rsidR="00146578" w:rsidRPr="00491BF9" w:rsidRDefault="00146578" w:rsidP="00E31119">
            <w:pPr>
              <w:rPr>
                <w:rFonts w:cs="Arial"/>
                <w:lang w:val="lt-LT"/>
              </w:rPr>
            </w:pPr>
            <w:r w:rsidRPr="00491BF9">
              <w:rPr>
                <w:rFonts w:cs="Arial"/>
                <w:lang w:val="lt-LT"/>
              </w:rPr>
              <w:t>0,025</w:t>
            </w:r>
          </w:p>
        </w:tc>
        <w:tc>
          <w:tcPr>
            <w:tcW w:w="704" w:type="pct"/>
            <w:tcBorders>
              <w:top w:val="nil"/>
              <w:left w:val="nil"/>
              <w:bottom w:val="nil"/>
              <w:right w:val="nil"/>
            </w:tcBorders>
            <w:noWrap/>
            <w:vAlign w:val="bottom"/>
          </w:tcPr>
          <w:p w14:paraId="4A1EC0DF" w14:textId="77777777" w:rsidR="00146578" w:rsidRPr="00491BF9" w:rsidRDefault="00146578" w:rsidP="00E31119">
            <w:pPr>
              <w:rPr>
                <w:rFonts w:cs="Arial"/>
                <w:lang w:val="lt-LT"/>
              </w:rPr>
            </w:pPr>
            <w:r w:rsidRPr="00491BF9">
              <w:rPr>
                <w:rFonts w:cs="Arial"/>
                <w:lang w:val="lt-LT"/>
              </w:rPr>
              <w:t>0,041</w:t>
            </w:r>
          </w:p>
        </w:tc>
        <w:tc>
          <w:tcPr>
            <w:tcW w:w="653" w:type="pct"/>
            <w:tcBorders>
              <w:top w:val="nil"/>
              <w:left w:val="nil"/>
              <w:bottom w:val="nil"/>
              <w:right w:val="nil"/>
            </w:tcBorders>
            <w:noWrap/>
            <w:vAlign w:val="bottom"/>
          </w:tcPr>
          <w:p w14:paraId="18DA0348" w14:textId="77777777" w:rsidR="00146578" w:rsidRPr="00491BF9" w:rsidRDefault="00146578" w:rsidP="00E31119">
            <w:pPr>
              <w:rPr>
                <w:rFonts w:cs="Arial"/>
                <w:lang w:val="lt-LT"/>
              </w:rPr>
            </w:pPr>
            <w:r w:rsidRPr="00491BF9">
              <w:rPr>
                <w:rFonts w:cs="Arial"/>
                <w:lang w:val="lt-LT"/>
              </w:rPr>
              <w:t>0,064</w:t>
            </w:r>
          </w:p>
        </w:tc>
        <w:tc>
          <w:tcPr>
            <w:tcW w:w="653" w:type="pct"/>
            <w:tcBorders>
              <w:top w:val="nil"/>
              <w:left w:val="nil"/>
              <w:bottom w:val="nil"/>
              <w:right w:val="single" w:sz="4" w:space="0" w:color="auto"/>
            </w:tcBorders>
            <w:noWrap/>
            <w:vAlign w:val="bottom"/>
          </w:tcPr>
          <w:p w14:paraId="7EBC9394" w14:textId="77777777" w:rsidR="00146578" w:rsidRPr="00491BF9" w:rsidRDefault="00146578" w:rsidP="00E31119">
            <w:pPr>
              <w:rPr>
                <w:rFonts w:cs="Arial"/>
                <w:lang w:val="lt-LT"/>
              </w:rPr>
            </w:pPr>
            <w:r w:rsidRPr="00491BF9">
              <w:rPr>
                <w:rFonts w:cs="Arial"/>
                <w:lang w:val="lt-LT"/>
              </w:rPr>
              <w:t>0,12</w:t>
            </w:r>
          </w:p>
        </w:tc>
      </w:tr>
      <w:tr w:rsidR="00146578" w:rsidRPr="00491BF9" w14:paraId="354A5D23" w14:textId="77777777" w:rsidTr="004F35D3">
        <w:trPr>
          <w:trHeight w:val="255"/>
        </w:trPr>
        <w:tc>
          <w:tcPr>
            <w:tcW w:w="1697" w:type="pct"/>
            <w:tcBorders>
              <w:top w:val="nil"/>
              <w:left w:val="single" w:sz="4" w:space="0" w:color="auto"/>
              <w:bottom w:val="nil"/>
              <w:right w:val="nil"/>
            </w:tcBorders>
            <w:noWrap/>
          </w:tcPr>
          <w:p w14:paraId="18A50F9A" w14:textId="0D94455C" w:rsidR="00146578" w:rsidRPr="00491BF9" w:rsidRDefault="00146578" w:rsidP="00E31119">
            <w:pPr>
              <w:rPr>
                <w:rFonts w:cs="Arial"/>
                <w:lang w:val="lt-LT"/>
              </w:rPr>
            </w:pPr>
            <w:r w:rsidRPr="00491BF9">
              <w:rPr>
                <w:lang w:val="lt-LT"/>
              </w:rPr>
              <w:t>Viršutinė</w:t>
            </w:r>
            <w:r w:rsidR="009B20FA">
              <w:rPr>
                <w:lang w:val="lt-LT"/>
              </w:rPr>
              <w:t>s</w:t>
            </w:r>
            <w:r w:rsidRPr="00491BF9">
              <w:rPr>
                <w:lang w:val="lt-LT"/>
              </w:rPr>
              <w:t xml:space="preserve"> storosios žarnos dali</w:t>
            </w:r>
            <w:r w:rsidR="009B20FA">
              <w:rPr>
                <w:lang w:val="lt-LT"/>
              </w:rPr>
              <w:t>e</w:t>
            </w:r>
            <w:r w:rsidRPr="00491BF9">
              <w:rPr>
                <w:lang w:val="lt-LT"/>
              </w:rPr>
              <w:t>s</w:t>
            </w:r>
            <w:r w:rsidR="009B20FA">
              <w:rPr>
                <w:lang w:val="lt-LT"/>
              </w:rPr>
              <w:t xml:space="preserve"> siena</w:t>
            </w:r>
          </w:p>
        </w:tc>
        <w:tc>
          <w:tcPr>
            <w:tcW w:w="589" w:type="pct"/>
            <w:tcBorders>
              <w:top w:val="nil"/>
              <w:left w:val="nil"/>
              <w:bottom w:val="nil"/>
              <w:right w:val="nil"/>
            </w:tcBorders>
            <w:noWrap/>
            <w:vAlign w:val="bottom"/>
          </w:tcPr>
          <w:p w14:paraId="0F544FEE" w14:textId="77777777" w:rsidR="00146578" w:rsidRPr="00491BF9" w:rsidRDefault="00146578" w:rsidP="00E31119">
            <w:pPr>
              <w:rPr>
                <w:rFonts w:cs="Arial"/>
                <w:lang w:val="lt-LT"/>
              </w:rPr>
            </w:pPr>
            <w:r w:rsidRPr="00491BF9">
              <w:rPr>
                <w:rFonts w:cs="Arial"/>
                <w:lang w:val="lt-LT"/>
              </w:rPr>
              <w:t>0,022</w:t>
            </w:r>
          </w:p>
        </w:tc>
        <w:tc>
          <w:tcPr>
            <w:tcW w:w="704" w:type="pct"/>
            <w:tcBorders>
              <w:top w:val="nil"/>
              <w:left w:val="nil"/>
              <w:bottom w:val="nil"/>
              <w:right w:val="nil"/>
            </w:tcBorders>
            <w:noWrap/>
            <w:vAlign w:val="bottom"/>
          </w:tcPr>
          <w:p w14:paraId="308B0DCA" w14:textId="77777777" w:rsidR="00146578" w:rsidRPr="00491BF9" w:rsidRDefault="00146578" w:rsidP="00E31119">
            <w:pPr>
              <w:rPr>
                <w:rFonts w:cs="Arial"/>
                <w:lang w:val="lt-LT"/>
              </w:rPr>
            </w:pPr>
            <w:r w:rsidRPr="00491BF9">
              <w:rPr>
                <w:rFonts w:cs="Arial"/>
                <w:lang w:val="lt-LT"/>
              </w:rPr>
              <w:t>0,028</w:t>
            </w:r>
          </w:p>
        </w:tc>
        <w:tc>
          <w:tcPr>
            <w:tcW w:w="704" w:type="pct"/>
            <w:tcBorders>
              <w:top w:val="nil"/>
              <w:left w:val="nil"/>
              <w:bottom w:val="nil"/>
              <w:right w:val="nil"/>
            </w:tcBorders>
            <w:noWrap/>
            <w:vAlign w:val="bottom"/>
          </w:tcPr>
          <w:p w14:paraId="619CDE4A" w14:textId="77777777" w:rsidR="00146578" w:rsidRPr="00491BF9" w:rsidRDefault="00146578" w:rsidP="00E31119">
            <w:pPr>
              <w:rPr>
                <w:rFonts w:cs="Arial"/>
                <w:lang w:val="lt-LT"/>
              </w:rPr>
            </w:pPr>
            <w:r w:rsidRPr="00491BF9">
              <w:rPr>
                <w:rFonts w:cs="Arial"/>
                <w:lang w:val="lt-LT"/>
              </w:rPr>
              <w:t>0,046</w:t>
            </w:r>
          </w:p>
        </w:tc>
        <w:tc>
          <w:tcPr>
            <w:tcW w:w="653" w:type="pct"/>
            <w:tcBorders>
              <w:top w:val="nil"/>
              <w:left w:val="nil"/>
              <w:bottom w:val="nil"/>
              <w:right w:val="nil"/>
            </w:tcBorders>
            <w:noWrap/>
            <w:vAlign w:val="bottom"/>
          </w:tcPr>
          <w:p w14:paraId="5A08A9E7" w14:textId="77777777" w:rsidR="00146578" w:rsidRPr="00491BF9" w:rsidRDefault="00146578" w:rsidP="00E31119">
            <w:pPr>
              <w:rPr>
                <w:rFonts w:cs="Arial"/>
                <w:lang w:val="lt-LT"/>
              </w:rPr>
            </w:pPr>
            <w:r w:rsidRPr="00491BF9">
              <w:rPr>
                <w:rFonts w:cs="Arial"/>
                <w:lang w:val="lt-LT"/>
              </w:rPr>
              <w:t>0,072</w:t>
            </w:r>
          </w:p>
        </w:tc>
        <w:tc>
          <w:tcPr>
            <w:tcW w:w="653" w:type="pct"/>
            <w:tcBorders>
              <w:top w:val="nil"/>
              <w:left w:val="nil"/>
              <w:bottom w:val="nil"/>
              <w:right w:val="single" w:sz="4" w:space="0" w:color="auto"/>
            </w:tcBorders>
            <w:noWrap/>
            <w:vAlign w:val="bottom"/>
          </w:tcPr>
          <w:p w14:paraId="196AE7C6" w14:textId="77777777" w:rsidR="00146578" w:rsidRPr="00491BF9" w:rsidRDefault="00146578" w:rsidP="00E31119">
            <w:pPr>
              <w:rPr>
                <w:rFonts w:cs="Arial"/>
                <w:lang w:val="lt-LT"/>
              </w:rPr>
            </w:pPr>
            <w:r w:rsidRPr="00491BF9">
              <w:rPr>
                <w:rFonts w:cs="Arial"/>
                <w:lang w:val="lt-LT"/>
              </w:rPr>
              <w:t>0,13</w:t>
            </w:r>
          </w:p>
        </w:tc>
      </w:tr>
      <w:tr w:rsidR="00146578" w:rsidRPr="00491BF9" w14:paraId="47E92DBC" w14:textId="77777777" w:rsidTr="004F35D3">
        <w:trPr>
          <w:trHeight w:val="255"/>
        </w:trPr>
        <w:tc>
          <w:tcPr>
            <w:tcW w:w="1697" w:type="pct"/>
            <w:tcBorders>
              <w:top w:val="nil"/>
              <w:left w:val="single" w:sz="4" w:space="0" w:color="auto"/>
              <w:bottom w:val="nil"/>
              <w:right w:val="nil"/>
            </w:tcBorders>
            <w:noWrap/>
          </w:tcPr>
          <w:p w14:paraId="00E3E920" w14:textId="38F33397" w:rsidR="00146578" w:rsidRPr="00491BF9" w:rsidRDefault="00146578" w:rsidP="00E31119">
            <w:pPr>
              <w:rPr>
                <w:rFonts w:cs="Arial"/>
                <w:lang w:val="lt-LT"/>
              </w:rPr>
            </w:pPr>
            <w:r w:rsidRPr="00491BF9">
              <w:rPr>
                <w:lang w:val="lt-LT"/>
              </w:rPr>
              <w:t>Apatinė</w:t>
            </w:r>
            <w:r w:rsidR="009B20FA">
              <w:rPr>
                <w:lang w:val="lt-LT"/>
              </w:rPr>
              <w:t>s</w:t>
            </w:r>
            <w:r w:rsidRPr="00491BF9">
              <w:rPr>
                <w:lang w:val="lt-LT"/>
              </w:rPr>
              <w:t xml:space="preserve"> storosios žarnos dali</w:t>
            </w:r>
            <w:r w:rsidR="009B20FA">
              <w:rPr>
                <w:lang w:val="lt-LT"/>
              </w:rPr>
              <w:t>e</w:t>
            </w:r>
            <w:r w:rsidRPr="00491BF9">
              <w:rPr>
                <w:lang w:val="lt-LT"/>
              </w:rPr>
              <w:t>s</w:t>
            </w:r>
            <w:r w:rsidR="009B20FA">
              <w:rPr>
                <w:lang w:val="lt-LT"/>
              </w:rPr>
              <w:t xml:space="preserve"> siena</w:t>
            </w:r>
          </w:p>
        </w:tc>
        <w:tc>
          <w:tcPr>
            <w:tcW w:w="589" w:type="pct"/>
            <w:tcBorders>
              <w:top w:val="nil"/>
              <w:left w:val="nil"/>
              <w:bottom w:val="nil"/>
              <w:right w:val="nil"/>
            </w:tcBorders>
            <w:noWrap/>
            <w:vAlign w:val="bottom"/>
          </w:tcPr>
          <w:p w14:paraId="42732932" w14:textId="77777777" w:rsidR="00146578" w:rsidRPr="00491BF9" w:rsidRDefault="00146578" w:rsidP="00E31119">
            <w:pPr>
              <w:rPr>
                <w:rFonts w:cs="Arial"/>
                <w:lang w:val="lt-LT"/>
              </w:rPr>
            </w:pPr>
            <w:r w:rsidRPr="00491BF9">
              <w:rPr>
                <w:rFonts w:cs="Arial"/>
                <w:lang w:val="lt-LT"/>
              </w:rPr>
              <w:t>0,016</w:t>
            </w:r>
          </w:p>
        </w:tc>
        <w:tc>
          <w:tcPr>
            <w:tcW w:w="704" w:type="pct"/>
            <w:tcBorders>
              <w:top w:val="nil"/>
              <w:left w:val="nil"/>
              <w:bottom w:val="nil"/>
              <w:right w:val="nil"/>
            </w:tcBorders>
            <w:noWrap/>
            <w:vAlign w:val="bottom"/>
          </w:tcPr>
          <w:p w14:paraId="57004253" w14:textId="77777777" w:rsidR="00146578" w:rsidRPr="00491BF9" w:rsidRDefault="00146578" w:rsidP="00E31119">
            <w:pPr>
              <w:rPr>
                <w:rFonts w:cs="Arial"/>
                <w:lang w:val="lt-LT"/>
              </w:rPr>
            </w:pPr>
            <w:r w:rsidRPr="00491BF9">
              <w:rPr>
                <w:rFonts w:cs="Arial"/>
                <w:lang w:val="lt-LT"/>
              </w:rPr>
              <w:t>0,021</w:t>
            </w:r>
          </w:p>
        </w:tc>
        <w:tc>
          <w:tcPr>
            <w:tcW w:w="704" w:type="pct"/>
            <w:tcBorders>
              <w:top w:val="nil"/>
              <w:left w:val="nil"/>
              <w:bottom w:val="nil"/>
              <w:right w:val="nil"/>
            </w:tcBorders>
            <w:noWrap/>
            <w:vAlign w:val="bottom"/>
          </w:tcPr>
          <w:p w14:paraId="3FFD4351" w14:textId="77777777" w:rsidR="00146578" w:rsidRPr="00491BF9" w:rsidRDefault="00146578" w:rsidP="00E31119">
            <w:pPr>
              <w:rPr>
                <w:rFonts w:cs="Arial"/>
                <w:lang w:val="lt-LT"/>
              </w:rPr>
            </w:pPr>
            <w:r w:rsidRPr="00491BF9">
              <w:rPr>
                <w:rFonts w:cs="Arial"/>
                <w:lang w:val="lt-LT"/>
              </w:rPr>
              <w:t>0,034</w:t>
            </w:r>
          </w:p>
        </w:tc>
        <w:tc>
          <w:tcPr>
            <w:tcW w:w="653" w:type="pct"/>
            <w:tcBorders>
              <w:top w:val="nil"/>
              <w:left w:val="nil"/>
              <w:bottom w:val="nil"/>
              <w:right w:val="nil"/>
            </w:tcBorders>
            <w:noWrap/>
            <w:vAlign w:val="bottom"/>
          </w:tcPr>
          <w:p w14:paraId="720C5A1B" w14:textId="77777777" w:rsidR="00146578" w:rsidRPr="00491BF9" w:rsidRDefault="00146578" w:rsidP="00E31119">
            <w:pPr>
              <w:rPr>
                <w:rFonts w:cs="Arial"/>
                <w:lang w:val="lt-LT"/>
              </w:rPr>
            </w:pPr>
            <w:r w:rsidRPr="00491BF9">
              <w:rPr>
                <w:rFonts w:cs="Arial"/>
                <w:lang w:val="lt-LT"/>
              </w:rPr>
              <w:t>0,053</w:t>
            </w:r>
          </w:p>
        </w:tc>
        <w:tc>
          <w:tcPr>
            <w:tcW w:w="653" w:type="pct"/>
            <w:tcBorders>
              <w:top w:val="nil"/>
              <w:left w:val="nil"/>
              <w:bottom w:val="nil"/>
              <w:right w:val="single" w:sz="4" w:space="0" w:color="auto"/>
            </w:tcBorders>
            <w:noWrap/>
            <w:vAlign w:val="bottom"/>
          </w:tcPr>
          <w:p w14:paraId="5EE9BC49" w14:textId="77777777" w:rsidR="00146578" w:rsidRPr="00491BF9" w:rsidRDefault="00146578" w:rsidP="00E31119">
            <w:pPr>
              <w:rPr>
                <w:rFonts w:cs="Arial"/>
                <w:lang w:val="lt-LT"/>
              </w:rPr>
            </w:pPr>
            <w:r w:rsidRPr="00491BF9">
              <w:rPr>
                <w:rFonts w:cs="Arial"/>
                <w:lang w:val="lt-LT"/>
              </w:rPr>
              <w:t>0,099</w:t>
            </w:r>
          </w:p>
        </w:tc>
      </w:tr>
      <w:tr w:rsidR="00146578" w:rsidRPr="00491BF9" w14:paraId="08622E12" w14:textId="77777777" w:rsidTr="004F35D3">
        <w:trPr>
          <w:trHeight w:val="255"/>
        </w:trPr>
        <w:tc>
          <w:tcPr>
            <w:tcW w:w="1697" w:type="pct"/>
            <w:tcBorders>
              <w:top w:val="nil"/>
              <w:left w:val="single" w:sz="4" w:space="0" w:color="auto"/>
              <w:bottom w:val="nil"/>
              <w:right w:val="nil"/>
            </w:tcBorders>
            <w:noWrap/>
            <w:vAlign w:val="bottom"/>
          </w:tcPr>
          <w:p w14:paraId="6DB38535" w14:textId="0D00FC9E" w:rsidR="00146578" w:rsidRPr="00491BF9" w:rsidRDefault="00146578" w:rsidP="00E31119">
            <w:pPr>
              <w:rPr>
                <w:rFonts w:cs="Arial"/>
                <w:lang w:val="lt-LT"/>
              </w:rPr>
            </w:pPr>
            <w:r w:rsidRPr="00491BF9">
              <w:rPr>
                <w:rFonts w:cs="Arial"/>
                <w:lang w:val="lt-LT"/>
              </w:rPr>
              <w:t>Širdi</w:t>
            </w:r>
            <w:r w:rsidR="009B20FA">
              <w:rPr>
                <w:rFonts w:cs="Arial"/>
                <w:lang w:val="lt-LT"/>
              </w:rPr>
              <w:t>e</w:t>
            </w:r>
            <w:r w:rsidRPr="00491BF9">
              <w:rPr>
                <w:rFonts w:cs="Arial"/>
                <w:lang w:val="lt-LT"/>
              </w:rPr>
              <w:t>s</w:t>
            </w:r>
            <w:r w:rsidR="009B20FA">
              <w:rPr>
                <w:rFonts w:cs="Arial"/>
                <w:lang w:val="lt-LT"/>
              </w:rPr>
              <w:t xml:space="preserve"> siena</w:t>
            </w:r>
          </w:p>
        </w:tc>
        <w:tc>
          <w:tcPr>
            <w:tcW w:w="589" w:type="pct"/>
            <w:tcBorders>
              <w:top w:val="nil"/>
              <w:left w:val="nil"/>
              <w:bottom w:val="nil"/>
              <w:right w:val="nil"/>
            </w:tcBorders>
            <w:noWrap/>
            <w:vAlign w:val="bottom"/>
          </w:tcPr>
          <w:p w14:paraId="1B0A2AEE" w14:textId="77777777" w:rsidR="00146578" w:rsidRPr="00491BF9" w:rsidRDefault="00146578" w:rsidP="00E31119">
            <w:pPr>
              <w:rPr>
                <w:rFonts w:cs="Arial"/>
                <w:lang w:val="lt-LT"/>
              </w:rPr>
            </w:pPr>
            <w:r w:rsidRPr="00491BF9">
              <w:rPr>
                <w:rFonts w:cs="Arial"/>
                <w:lang w:val="lt-LT"/>
              </w:rPr>
              <w:t>0,0072</w:t>
            </w:r>
          </w:p>
        </w:tc>
        <w:tc>
          <w:tcPr>
            <w:tcW w:w="704" w:type="pct"/>
            <w:tcBorders>
              <w:top w:val="nil"/>
              <w:left w:val="nil"/>
              <w:bottom w:val="nil"/>
              <w:right w:val="nil"/>
            </w:tcBorders>
            <w:noWrap/>
            <w:vAlign w:val="bottom"/>
          </w:tcPr>
          <w:p w14:paraId="701DBCDB" w14:textId="77777777" w:rsidR="00146578" w:rsidRPr="00491BF9" w:rsidRDefault="00146578" w:rsidP="00E31119">
            <w:pPr>
              <w:rPr>
                <w:rFonts w:cs="Arial"/>
                <w:lang w:val="lt-LT"/>
              </w:rPr>
            </w:pPr>
            <w:r w:rsidRPr="00491BF9">
              <w:rPr>
                <w:rFonts w:cs="Arial"/>
                <w:lang w:val="lt-LT"/>
              </w:rPr>
              <w:t>0,0094</w:t>
            </w:r>
          </w:p>
        </w:tc>
        <w:tc>
          <w:tcPr>
            <w:tcW w:w="704" w:type="pct"/>
            <w:tcBorders>
              <w:top w:val="nil"/>
              <w:left w:val="nil"/>
              <w:bottom w:val="nil"/>
              <w:right w:val="nil"/>
            </w:tcBorders>
            <w:noWrap/>
            <w:vAlign w:val="bottom"/>
          </w:tcPr>
          <w:p w14:paraId="3FE319F1" w14:textId="77777777" w:rsidR="00146578" w:rsidRPr="00491BF9" w:rsidRDefault="00146578" w:rsidP="00E31119">
            <w:pPr>
              <w:rPr>
                <w:rFonts w:cs="Arial"/>
                <w:lang w:val="lt-LT"/>
              </w:rPr>
            </w:pPr>
            <w:r w:rsidRPr="00491BF9">
              <w:rPr>
                <w:rFonts w:cs="Arial"/>
                <w:lang w:val="lt-LT"/>
              </w:rPr>
              <w:t>0,010</w:t>
            </w:r>
          </w:p>
        </w:tc>
        <w:tc>
          <w:tcPr>
            <w:tcW w:w="653" w:type="pct"/>
            <w:tcBorders>
              <w:top w:val="nil"/>
              <w:left w:val="nil"/>
              <w:bottom w:val="nil"/>
              <w:right w:val="nil"/>
            </w:tcBorders>
            <w:noWrap/>
            <w:vAlign w:val="bottom"/>
          </w:tcPr>
          <w:p w14:paraId="0666FA1C" w14:textId="77777777" w:rsidR="00146578" w:rsidRPr="00491BF9" w:rsidRDefault="00146578" w:rsidP="00E31119">
            <w:pPr>
              <w:rPr>
                <w:rFonts w:cs="Arial"/>
                <w:lang w:val="lt-LT"/>
              </w:rPr>
            </w:pPr>
            <w:r w:rsidRPr="00491BF9">
              <w:rPr>
                <w:rFonts w:cs="Arial"/>
                <w:lang w:val="lt-LT"/>
              </w:rPr>
              <w:t>0,021</w:t>
            </w:r>
          </w:p>
        </w:tc>
        <w:tc>
          <w:tcPr>
            <w:tcW w:w="653" w:type="pct"/>
            <w:tcBorders>
              <w:top w:val="nil"/>
              <w:left w:val="nil"/>
              <w:bottom w:val="nil"/>
              <w:right w:val="single" w:sz="4" w:space="0" w:color="auto"/>
            </w:tcBorders>
            <w:noWrap/>
            <w:vAlign w:val="bottom"/>
          </w:tcPr>
          <w:p w14:paraId="3795C98E" w14:textId="77777777" w:rsidR="00146578" w:rsidRPr="00491BF9" w:rsidRDefault="00146578" w:rsidP="00E31119">
            <w:pPr>
              <w:rPr>
                <w:rFonts w:cs="Arial"/>
                <w:lang w:val="lt-LT"/>
              </w:rPr>
            </w:pPr>
            <w:r w:rsidRPr="00491BF9">
              <w:rPr>
                <w:rFonts w:cs="Arial"/>
                <w:lang w:val="lt-LT"/>
              </w:rPr>
              <w:t>0,035</w:t>
            </w:r>
          </w:p>
        </w:tc>
      </w:tr>
      <w:tr w:rsidR="00146578" w:rsidRPr="00491BF9" w14:paraId="6797DD80" w14:textId="77777777" w:rsidTr="004F35D3">
        <w:trPr>
          <w:trHeight w:val="255"/>
        </w:trPr>
        <w:tc>
          <w:tcPr>
            <w:tcW w:w="1697" w:type="pct"/>
            <w:tcBorders>
              <w:top w:val="nil"/>
              <w:left w:val="single" w:sz="4" w:space="0" w:color="auto"/>
              <w:bottom w:val="nil"/>
              <w:right w:val="nil"/>
            </w:tcBorders>
            <w:noWrap/>
            <w:vAlign w:val="bottom"/>
          </w:tcPr>
          <w:p w14:paraId="398E2814" w14:textId="77777777" w:rsidR="00146578" w:rsidRPr="00491BF9" w:rsidRDefault="00146578" w:rsidP="00E31119">
            <w:pPr>
              <w:rPr>
                <w:rFonts w:cs="Arial"/>
                <w:lang w:val="lt-LT"/>
              </w:rPr>
            </w:pPr>
            <w:r w:rsidRPr="00491BF9">
              <w:rPr>
                <w:rFonts w:cs="Arial"/>
                <w:lang w:val="lt-LT"/>
              </w:rPr>
              <w:t>Inkstai</w:t>
            </w:r>
          </w:p>
        </w:tc>
        <w:tc>
          <w:tcPr>
            <w:tcW w:w="589" w:type="pct"/>
            <w:tcBorders>
              <w:top w:val="nil"/>
              <w:left w:val="nil"/>
              <w:bottom w:val="nil"/>
              <w:right w:val="nil"/>
            </w:tcBorders>
            <w:noWrap/>
            <w:vAlign w:val="bottom"/>
          </w:tcPr>
          <w:p w14:paraId="1DA4624E" w14:textId="77777777" w:rsidR="00146578" w:rsidRPr="00491BF9" w:rsidRDefault="00146578" w:rsidP="00E31119">
            <w:pPr>
              <w:rPr>
                <w:rFonts w:cs="Arial"/>
                <w:lang w:val="lt-LT"/>
              </w:rPr>
            </w:pPr>
            <w:r w:rsidRPr="00491BF9">
              <w:rPr>
                <w:rFonts w:cs="Arial"/>
                <w:lang w:val="lt-LT"/>
              </w:rPr>
              <w:t>0,026</w:t>
            </w:r>
          </w:p>
        </w:tc>
        <w:tc>
          <w:tcPr>
            <w:tcW w:w="704" w:type="pct"/>
            <w:tcBorders>
              <w:top w:val="nil"/>
              <w:left w:val="nil"/>
              <w:bottom w:val="nil"/>
              <w:right w:val="nil"/>
            </w:tcBorders>
            <w:noWrap/>
            <w:vAlign w:val="bottom"/>
          </w:tcPr>
          <w:p w14:paraId="465C1869" w14:textId="77777777" w:rsidR="00146578" w:rsidRPr="00491BF9" w:rsidRDefault="00146578" w:rsidP="00E31119">
            <w:pPr>
              <w:rPr>
                <w:rFonts w:cs="Arial"/>
                <w:lang w:val="lt-LT"/>
              </w:rPr>
            </w:pPr>
            <w:r w:rsidRPr="00491BF9">
              <w:rPr>
                <w:rFonts w:cs="Arial"/>
                <w:lang w:val="lt-LT"/>
              </w:rPr>
              <w:t>0,032</w:t>
            </w:r>
          </w:p>
        </w:tc>
        <w:tc>
          <w:tcPr>
            <w:tcW w:w="704" w:type="pct"/>
            <w:tcBorders>
              <w:top w:val="nil"/>
              <w:left w:val="nil"/>
              <w:bottom w:val="nil"/>
              <w:right w:val="nil"/>
            </w:tcBorders>
            <w:noWrap/>
            <w:vAlign w:val="bottom"/>
          </w:tcPr>
          <w:p w14:paraId="56215853" w14:textId="77777777" w:rsidR="00146578" w:rsidRPr="00491BF9" w:rsidRDefault="00146578" w:rsidP="00E31119">
            <w:pPr>
              <w:rPr>
                <w:rFonts w:cs="Arial"/>
                <w:lang w:val="lt-LT"/>
              </w:rPr>
            </w:pPr>
            <w:r w:rsidRPr="00491BF9">
              <w:rPr>
                <w:rFonts w:cs="Arial"/>
                <w:lang w:val="lt-LT"/>
              </w:rPr>
              <w:t>0,044</w:t>
            </w:r>
          </w:p>
        </w:tc>
        <w:tc>
          <w:tcPr>
            <w:tcW w:w="653" w:type="pct"/>
            <w:tcBorders>
              <w:top w:val="nil"/>
              <w:left w:val="nil"/>
              <w:bottom w:val="nil"/>
              <w:right w:val="nil"/>
            </w:tcBorders>
            <w:noWrap/>
            <w:vAlign w:val="bottom"/>
          </w:tcPr>
          <w:p w14:paraId="58463C5F" w14:textId="77777777" w:rsidR="00146578" w:rsidRPr="00491BF9" w:rsidRDefault="00146578" w:rsidP="00E31119">
            <w:pPr>
              <w:rPr>
                <w:rFonts w:cs="Arial"/>
                <w:lang w:val="lt-LT"/>
              </w:rPr>
            </w:pPr>
            <w:r w:rsidRPr="00491BF9">
              <w:rPr>
                <w:rFonts w:cs="Arial"/>
                <w:lang w:val="lt-LT"/>
              </w:rPr>
              <w:t>0,063</w:t>
            </w:r>
          </w:p>
        </w:tc>
        <w:tc>
          <w:tcPr>
            <w:tcW w:w="653" w:type="pct"/>
            <w:tcBorders>
              <w:top w:val="nil"/>
              <w:left w:val="nil"/>
              <w:bottom w:val="nil"/>
              <w:right w:val="single" w:sz="4" w:space="0" w:color="auto"/>
            </w:tcBorders>
            <w:noWrap/>
            <w:vAlign w:val="bottom"/>
          </w:tcPr>
          <w:p w14:paraId="1986E8A6" w14:textId="77777777" w:rsidR="00146578" w:rsidRPr="00491BF9" w:rsidRDefault="00146578" w:rsidP="00E31119">
            <w:pPr>
              <w:rPr>
                <w:rFonts w:cs="Arial"/>
                <w:lang w:val="lt-LT"/>
              </w:rPr>
            </w:pPr>
            <w:r w:rsidRPr="00491BF9">
              <w:rPr>
                <w:rFonts w:cs="Arial"/>
                <w:lang w:val="lt-LT"/>
              </w:rPr>
              <w:t>0,11</w:t>
            </w:r>
          </w:p>
        </w:tc>
      </w:tr>
      <w:tr w:rsidR="00146578" w:rsidRPr="00491BF9" w14:paraId="60A08D1F" w14:textId="77777777" w:rsidTr="004F35D3">
        <w:trPr>
          <w:trHeight w:val="255"/>
        </w:trPr>
        <w:tc>
          <w:tcPr>
            <w:tcW w:w="1697" w:type="pct"/>
            <w:tcBorders>
              <w:top w:val="nil"/>
              <w:left w:val="single" w:sz="4" w:space="0" w:color="auto"/>
              <w:bottom w:val="nil"/>
              <w:right w:val="nil"/>
            </w:tcBorders>
            <w:noWrap/>
            <w:vAlign w:val="bottom"/>
          </w:tcPr>
          <w:p w14:paraId="4819765A" w14:textId="77777777" w:rsidR="00146578" w:rsidRPr="00491BF9" w:rsidRDefault="00146578" w:rsidP="00E31119">
            <w:pPr>
              <w:rPr>
                <w:rFonts w:cs="Arial"/>
                <w:lang w:val="lt-LT"/>
              </w:rPr>
            </w:pPr>
            <w:r w:rsidRPr="00491BF9">
              <w:rPr>
                <w:rFonts w:cs="Arial"/>
                <w:lang w:val="lt-LT"/>
              </w:rPr>
              <w:t>Kepenys</w:t>
            </w:r>
          </w:p>
        </w:tc>
        <w:tc>
          <w:tcPr>
            <w:tcW w:w="589" w:type="pct"/>
            <w:tcBorders>
              <w:top w:val="nil"/>
              <w:left w:val="nil"/>
              <w:bottom w:val="nil"/>
              <w:right w:val="nil"/>
            </w:tcBorders>
            <w:noWrap/>
            <w:vAlign w:val="bottom"/>
          </w:tcPr>
          <w:p w14:paraId="13DE4865" w14:textId="77777777" w:rsidR="00146578" w:rsidRPr="00491BF9" w:rsidRDefault="00146578" w:rsidP="00E31119">
            <w:pPr>
              <w:rPr>
                <w:rFonts w:cs="Arial"/>
                <w:lang w:val="lt-LT"/>
              </w:rPr>
            </w:pPr>
            <w:r w:rsidRPr="00491BF9">
              <w:rPr>
                <w:rFonts w:cs="Arial"/>
                <w:lang w:val="lt-LT"/>
              </w:rPr>
              <w:t>0,0092</w:t>
            </w:r>
          </w:p>
        </w:tc>
        <w:tc>
          <w:tcPr>
            <w:tcW w:w="704" w:type="pct"/>
            <w:tcBorders>
              <w:top w:val="nil"/>
              <w:left w:val="nil"/>
              <w:bottom w:val="nil"/>
              <w:right w:val="nil"/>
            </w:tcBorders>
            <w:noWrap/>
            <w:vAlign w:val="bottom"/>
          </w:tcPr>
          <w:p w14:paraId="518BFB2B" w14:textId="77777777" w:rsidR="00146578" w:rsidRPr="00491BF9" w:rsidRDefault="00146578" w:rsidP="00E31119">
            <w:pPr>
              <w:rPr>
                <w:rFonts w:cs="Arial"/>
                <w:lang w:val="lt-LT"/>
              </w:rPr>
            </w:pPr>
            <w:r w:rsidRPr="00491BF9">
              <w:rPr>
                <w:rFonts w:cs="Arial"/>
                <w:lang w:val="lt-LT"/>
              </w:rPr>
              <w:t>0,012</w:t>
            </w:r>
          </w:p>
        </w:tc>
        <w:tc>
          <w:tcPr>
            <w:tcW w:w="704" w:type="pct"/>
            <w:tcBorders>
              <w:top w:val="nil"/>
              <w:left w:val="nil"/>
              <w:bottom w:val="nil"/>
              <w:right w:val="nil"/>
            </w:tcBorders>
            <w:noWrap/>
            <w:vAlign w:val="bottom"/>
          </w:tcPr>
          <w:p w14:paraId="022F8E78" w14:textId="77777777" w:rsidR="00146578" w:rsidRPr="00491BF9" w:rsidRDefault="00146578" w:rsidP="00E31119">
            <w:pPr>
              <w:rPr>
                <w:rFonts w:cs="Arial"/>
                <w:lang w:val="lt-LT"/>
              </w:rPr>
            </w:pPr>
            <w:r w:rsidRPr="00491BF9">
              <w:rPr>
                <w:rFonts w:cs="Arial"/>
                <w:lang w:val="lt-LT"/>
              </w:rPr>
              <w:t>0,018</w:t>
            </w:r>
          </w:p>
        </w:tc>
        <w:tc>
          <w:tcPr>
            <w:tcW w:w="653" w:type="pct"/>
            <w:tcBorders>
              <w:top w:val="nil"/>
              <w:left w:val="nil"/>
              <w:bottom w:val="nil"/>
              <w:right w:val="nil"/>
            </w:tcBorders>
            <w:noWrap/>
            <w:vAlign w:val="bottom"/>
          </w:tcPr>
          <w:p w14:paraId="75795002" w14:textId="77777777" w:rsidR="00146578" w:rsidRPr="00491BF9" w:rsidRDefault="00146578" w:rsidP="00E31119">
            <w:pPr>
              <w:rPr>
                <w:rFonts w:cs="Arial"/>
                <w:lang w:val="lt-LT"/>
              </w:rPr>
            </w:pPr>
            <w:r w:rsidRPr="00491BF9">
              <w:rPr>
                <w:rFonts w:cs="Arial"/>
                <w:lang w:val="lt-LT"/>
              </w:rPr>
              <w:t>0,025</w:t>
            </w:r>
          </w:p>
        </w:tc>
        <w:tc>
          <w:tcPr>
            <w:tcW w:w="653" w:type="pct"/>
            <w:tcBorders>
              <w:top w:val="nil"/>
              <w:left w:val="nil"/>
              <w:bottom w:val="nil"/>
              <w:right w:val="single" w:sz="4" w:space="0" w:color="auto"/>
            </w:tcBorders>
            <w:noWrap/>
            <w:vAlign w:val="bottom"/>
          </w:tcPr>
          <w:p w14:paraId="49FF4255" w14:textId="77777777" w:rsidR="00146578" w:rsidRPr="00491BF9" w:rsidRDefault="00146578" w:rsidP="00E31119">
            <w:pPr>
              <w:rPr>
                <w:rFonts w:cs="Arial"/>
                <w:lang w:val="lt-LT"/>
              </w:rPr>
            </w:pPr>
            <w:r w:rsidRPr="00491BF9">
              <w:rPr>
                <w:rFonts w:cs="Arial"/>
                <w:lang w:val="lt-LT"/>
              </w:rPr>
              <w:t>0,044</w:t>
            </w:r>
          </w:p>
        </w:tc>
      </w:tr>
      <w:tr w:rsidR="00146578" w:rsidRPr="00491BF9" w14:paraId="031AD216" w14:textId="77777777" w:rsidTr="004F35D3">
        <w:trPr>
          <w:trHeight w:val="255"/>
        </w:trPr>
        <w:tc>
          <w:tcPr>
            <w:tcW w:w="1697" w:type="pct"/>
            <w:tcBorders>
              <w:top w:val="nil"/>
              <w:left w:val="single" w:sz="4" w:space="0" w:color="auto"/>
              <w:bottom w:val="nil"/>
              <w:right w:val="nil"/>
            </w:tcBorders>
            <w:noWrap/>
            <w:vAlign w:val="bottom"/>
          </w:tcPr>
          <w:p w14:paraId="0A52BABA" w14:textId="77777777" w:rsidR="00146578" w:rsidRPr="00491BF9" w:rsidRDefault="00146578" w:rsidP="00E31119">
            <w:pPr>
              <w:rPr>
                <w:rFonts w:cs="Arial"/>
                <w:lang w:val="lt-LT"/>
              </w:rPr>
            </w:pPr>
            <w:r w:rsidRPr="00491BF9">
              <w:rPr>
                <w:rFonts w:cs="Arial"/>
                <w:lang w:val="lt-LT"/>
              </w:rPr>
              <w:t>Plaučiai</w:t>
            </w:r>
          </w:p>
        </w:tc>
        <w:tc>
          <w:tcPr>
            <w:tcW w:w="589" w:type="pct"/>
            <w:tcBorders>
              <w:top w:val="nil"/>
              <w:left w:val="nil"/>
              <w:bottom w:val="nil"/>
              <w:right w:val="nil"/>
            </w:tcBorders>
            <w:noWrap/>
            <w:vAlign w:val="bottom"/>
          </w:tcPr>
          <w:p w14:paraId="22D22A98" w14:textId="77777777" w:rsidR="00146578" w:rsidRPr="00491BF9" w:rsidRDefault="00146578" w:rsidP="00E31119">
            <w:pPr>
              <w:rPr>
                <w:rFonts w:cs="Arial"/>
                <w:lang w:val="lt-LT"/>
              </w:rPr>
            </w:pPr>
            <w:r w:rsidRPr="00491BF9">
              <w:rPr>
                <w:rFonts w:cs="Arial"/>
                <w:lang w:val="lt-LT"/>
              </w:rPr>
              <w:t>0,0044</w:t>
            </w:r>
          </w:p>
        </w:tc>
        <w:tc>
          <w:tcPr>
            <w:tcW w:w="704" w:type="pct"/>
            <w:tcBorders>
              <w:top w:val="nil"/>
              <w:left w:val="nil"/>
              <w:bottom w:val="nil"/>
              <w:right w:val="nil"/>
            </w:tcBorders>
            <w:noWrap/>
            <w:vAlign w:val="bottom"/>
          </w:tcPr>
          <w:p w14:paraId="73B8C575" w14:textId="77777777" w:rsidR="00146578" w:rsidRPr="00491BF9" w:rsidRDefault="00146578" w:rsidP="00E31119">
            <w:pPr>
              <w:rPr>
                <w:rFonts w:cs="Arial"/>
                <w:lang w:val="lt-LT"/>
              </w:rPr>
            </w:pPr>
            <w:r w:rsidRPr="00491BF9">
              <w:rPr>
                <w:rFonts w:cs="Arial"/>
                <w:lang w:val="lt-LT"/>
              </w:rPr>
              <w:t>0,0060</w:t>
            </w:r>
          </w:p>
        </w:tc>
        <w:tc>
          <w:tcPr>
            <w:tcW w:w="704" w:type="pct"/>
            <w:tcBorders>
              <w:top w:val="nil"/>
              <w:left w:val="nil"/>
              <w:bottom w:val="nil"/>
              <w:right w:val="nil"/>
            </w:tcBorders>
            <w:noWrap/>
            <w:vAlign w:val="bottom"/>
          </w:tcPr>
          <w:p w14:paraId="127C1B35" w14:textId="77777777" w:rsidR="00146578" w:rsidRPr="00491BF9" w:rsidRDefault="00146578" w:rsidP="00E31119">
            <w:pPr>
              <w:rPr>
                <w:rFonts w:cs="Arial"/>
                <w:lang w:val="lt-LT"/>
              </w:rPr>
            </w:pPr>
            <w:r w:rsidRPr="00491BF9">
              <w:rPr>
                <w:rFonts w:cs="Arial"/>
                <w:lang w:val="lt-LT"/>
              </w:rPr>
              <w:t>0,0087</w:t>
            </w:r>
          </w:p>
        </w:tc>
        <w:tc>
          <w:tcPr>
            <w:tcW w:w="653" w:type="pct"/>
            <w:tcBorders>
              <w:top w:val="nil"/>
              <w:left w:val="nil"/>
              <w:bottom w:val="nil"/>
              <w:right w:val="nil"/>
            </w:tcBorders>
            <w:noWrap/>
            <w:vAlign w:val="bottom"/>
          </w:tcPr>
          <w:p w14:paraId="3E2C83EA" w14:textId="77777777" w:rsidR="00146578" w:rsidRPr="00491BF9" w:rsidRDefault="00146578" w:rsidP="00E31119">
            <w:pPr>
              <w:rPr>
                <w:rFonts w:cs="Arial"/>
                <w:lang w:val="lt-LT"/>
              </w:rPr>
            </w:pPr>
            <w:r w:rsidRPr="00491BF9">
              <w:rPr>
                <w:rFonts w:cs="Arial"/>
                <w:lang w:val="lt-LT"/>
              </w:rPr>
              <w:t>0,013</w:t>
            </w:r>
          </w:p>
        </w:tc>
        <w:tc>
          <w:tcPr>
            <w:tcW w:w="653" w:type="pct"/>
            <w:tcBorders>
              <w:top w:val="nil"/>
              <w:left w:val="nil"/>
              <w:bottom w:val="nil"/>
              <w:right w:val="single" w:sz="4" w:space="0" w:color="auto"/>
            </w:tcBorders>
            <w:noWrap/>
            <w:vAlign w:val="bottom"/>
          </w:tcPr>
          <w:p w14:paraId="4CCD82AC" w14:textId="77777777" w:rsidR="00146578" w:rsidRPr="00491BF9" w:rsidRDefault="00146578" w:rsidP="00E31119">
            <w:pPr>
              <w:rPr>
                <w:rFonts w:cs="Arial"/>
                <w:lang w:val="lt-LT"/>
              </w:rPr>
            </w:pPr>
            <w:r w:rsidRPr="00491BF9">
              <w:rPr>
                <w:rFonts w:cs="Arial"/>
                <w:lang w:val="lt-LT"/>
              </w:rPr>
              <w:t>0,023</w:t>
            </w:r>
          </w:p>
        </w:tc>
      </w:tr>
      <w:tr w:rsidR="00146578" w:rsidRPr="00491BF9" w14:paraId="0B29ABF5" w14:textId="77777777" w:rsidTr="004F35D3">
        <w:trPr>
          <w:trHeight w:val="255"/>
        </w:trPr>
        <w:tc>
          <w:tcPr>
            <w:tcW w:w="1697" w:type="pct"/>
            <w:tcBorders>
              <w:top w:val="nil"/>
              <w:left w:val="single" w:sz="4" w:space="0" w:color="auto"/>
              <w:bottom w:val="nil"/>
              <w:right w:val="nil"/>
            </w:tcBorders>
            <w:noWrap/>
            <w:vAlign w:val="bottom"/>
          </w:tcPr>
          <w:p w14:paraId="36FA420D" w14:textId="77777777" w:rsidR="00146578" w:rsidRPr="00491BF9" w:rsidRDefault="00146578" w:rsidP="00E31119">
            <w:pPr>
              <w:rPr>
                <w:rFonts w:cs="Arial"/>
                <w:lang w:val="lt-LT"/>
              </w:rPr>
            </w:pPr>
            <w:r w:rsidRPr="00491BF9">
              <w:rPr>
                <w:rFonts w:cs="Arial"/>
                <w:lang w:val="lt-LT"/>
              </w:rPr>
              <w:t>Raumenys</w:t>
            </w:r>
          </w:p>
        </w:tc>
        <w:tc>
          <w:tcPr>
            <w:tcW w:w="589" w:type="pct"/>
            <w:tcBorders>
              <w:top w:val="nil"/>
              <w:left w:val="nil"/>
              <w:bottom w:val="nil"/>
              <w:right w:val="nil"/>
            </w:tcBorders>
            <w:noWrap/>
            <w:vAlign w:val="bottom"/>
          </w:tcPr>
          <w:p w14:paraId="39C4BF12" w14:textId="77777777" w:rsidR="00146578" w:rsidRPr="00491BF9" w:rsidRDefault="00146578" w:rsidP="00E31119">
            <w:pPr>
              <w:rPr>
                <w:rFonts w:cs="Arial"/>
                <w:lang w:val="lt-LT"/>
              </w:rPr>
            </w:pPr>
            <w:r w:rsidRPr="00491BF9">
              <w:rPr>
                <w:rFonts w:cs="Arial"/>
                <w:lang w:val="lt-LT"/>
              </w:rPr>
              <w:t>0,0032</w:t>
            </w:r>
          </w:p>
        </w:tc>
        <w:tc>
          <w:tcPr>
            <w:tcW w:w="704" w:type="pct"/>
            <w:tcBorders>
              <w:top w:val="nil"/>
              <w:left w:val="nil"/>
              <w:bottom w:val="nil"/>
              <w:right w:val="nil"/>
            </w:tcBorders>
            <w:noWrap/>
            <w:vAlign w:val="bottom"/>
          </w:tcPr>
          <w:p w14:paraId="4BE2F7EB" w14:textId="77777777" w:rsidR="00146578" w:rsidRPr="00491BF9" w:rsidRDefault="00146578" w:rsidP="00E31119">
            <w:pPr>
              <w:rPr>
                <w:rFonts w:cs="Arial"/>
                <w:lang w:val="lt-LT"/>
              </w:rPr>
            </w:pPr>
            <w:r w:rsidRPr="00491BF9">
              <w:rPr>
                <w:rFonts w:cs="Arial"/>
                <w:lang w:val="lt-LT"/>
              </w:rPr>
              <w:t>0,0041</w:t>
            </w:r>
          </w:p>
        </w:tc>
        <w:tc>
          <w:tcPr>
            <w:tcW w:w="704" w:type="pct"/>
            <w:tcBorders>
              <w:top w:val="nil"/>
              <w:left w:val="nil"/>
              <w:bottom w:val="nil"/>
              <w:right w:val="nil"/>
            </w:tcBorders>
            <w:noWrap/>
            <w:vAlign w:val="bottom"/>
          </w:tcPr>
          <w:p w14:paraId="5D4DDF2A" w14:textId="77777777" w:rsidR="00146578" w:rsidRPr="00491BF9" w:rsidRDefault="00146578" w:rsidP="00E31119">
            <w:pPr>
              <w:rPr>
                <w:rFonts w:cs="Arial"/>
                <w:lang w:val="lt-LT"/>
              </w:rPr>
            </w:pPr>
            <w:r w:rsidRPr="00491BF9">
              <w:rPr>
                <w:rFonts w:cs="Arial"/>
                <w:lang w:val="lt-LT"/>
              </w:rPr>
              <w:t>0,0060</w:t>
            </w:r>
          </w:p>
        </w:tc>
        <w:tc>
          <w:tcPr>
            <w:tcW w:w="653" w:type="pct"/>
            <w:tcBorders>
              <w:top w:val="nil"/>
              <w:left w:val="nil"/>
              <w:bottom w:val="nil"/>
              <w:right w:val="nil"/>
            </w:tcBorders>
            <w:noWrap/>
            <w:vAlign w:val="bottom"/>
          </w:tcPr>
          <w:p w14:paraId="0F774493" w14:textId="77777777" w:rsidR="00146578" w:rsidRPr="00491BF9" w:rsidRDefault="00146578" w:rsidP="00E31119">
            <w:pPr>
              <w:rPr>
                <w:rFonts w:cs="Arial"/>
                <w:lang w:val="lt-LT"/>
              </w:rPr>
            </w:pPr>
            <w:r w:rsidRPr="00491BF9">
              <w:rPr>
                <w:rFonts w:cs="Arial"/>
                <w:lang w:val="lt-LT"/>
              </w:rPr>
              <w:t>0,0090</w:t>
            </w:r>
          </w:p>
        </w:tc>
        <w:tc>
          <w:tcPr>
            <w:tcW w:w="653" w:type="pct"/>
            <w:tcBorders>
              <w:top w:val="nil"/>
              <w:left w:val="nil"/>
              <w:bottom w:val="nil"/>
              <w:right w:val="single" w:sz="4" w:space="0" w:color="auto"/>
            </w:tcBorders>
            <w:noWrap/>
            <w:vAlign w:val="bottom"/>
          </w:tcPr>
          <w:p w14:paraId="6D8E679C" w14:textId="77777777" w:rsidR="00146578" w:rsidRPr="00491BF9" w:rsidRDefault="00146578" w:rsidP="00E31119">
            <w:pPr>
              <w:rPr>
                <w:rFonts w:cs="Arial"/>
                <w:lang w:val="lt-LT"/>
              </w:rPr>
            </w:pPr>
            <w:r w:rsidRPr="00491BF9">
              <w:rPr>
                <w:rFonts w:cs="Arial"/>
                <w:lang w:val="lt-LT"/>
              </w:rPr>
              <w:t>0,017</w:t>
            </w:r>
          </w:p>
        </w:tc>
      </w:tr>
      <w:tr w:rsidR="00146578" w:rsidRPr="00491BF9" w14:paraId="217A9EE6" w14:textId="77777777" w:rsidTr="004F35D3">
        <w:trPr>
          <w:trHeight w:val="255"/>
        </w:trPr>
        <w:tc>
          <w:tcPr>
            <w:tcW w:w="1697" w:type="pct"/>
            <w:tcBorders>
              <w:top w:val="nil"/>
              <w:left w:val="single" w:sz="4" w:space="0" w:color="auto"/>
              <w:bottom w:val="nil"/>
              <w:right w:val="nil"/>
            </w:tcBorders>
            <w:noWrap/>
            <w:vAlign w:val="bottom"/>
          </w:tcPr>
          <w:p w14:paraId="5BDFEE7F" w14:textId="77777777" w:rsidR="00146578" w:rsidRPr="00491BF9" w:rsidRDefault="00146578" w:rsidP="00E31119">
            <w:pPr>
              <w:rPr>
                <w:rFonts w:cs="Arial"/>
                <w:lang w:val="lt-LT"/>
              </w:rPr>
            </w:pPr>
            <w:r w:rsidRPr="00491BF9">
              <w:rPr>
                <w:rFonts w:cs="Arial"/>
                <w:lang w:val="lt-LT"/>
              </w:rPr>
              <w:t>Stemplė</w:t>
            </w:r>
          </w:p>
        </w:tc>
        <w:tc>
          <w:tcPr>
            <w:tcW w:w="589" w:type="pct"/>
            <w:tcBorders>
              <w:top w:val="nil"/>
              <w:left w:val="nil"/>
              <w:bottom w:val="nil"/>
              <w:right w:val="nil"/>
            </w:tcBorders>
            <w:noWrap/>
            <w:vAlign w:val="bottom"/>
          </w:tcPr>
          <w:p w14:paraId="38CD67A3" w14:textId="77777777" w:rsidR="00146578" w:rsidRPr="00491BF9" w:rsidRDefault="00146578" w:rsidP="00E31119">
            <w:pPr>
              <w:rPr>
                <w:rFonts w:cs="Arial"/>
                <w:lang w:val="lt-LT"/>
              </w:rPr>
            </w:pPr>
            <w:r w:rsidRPr="00491BF9">
              <w:rPr>
                <w:rFonts w:cs="Arial"/>
                <w:lang w:val="lt-LT"/>
              </w:rPr>
              <w:t>0,0040</w:t>
            </w:r>
          </w:p>
        </w:tc>
        <w:tc>
          <w:tcPr>
            <w:tcW w:w="704" w:type="pct"/>
            <w:tcBorders>
              <w:top w:val="nil"/>
              <w:left w:val="nil"/>
              <w:bottom w:val="nil"/>
              <w:right w:val="nil"/>
            </w:tcBorders>
            <w:noWrap/>
            <w:vAlign w:val="bottom"/>
          </w:tcPr>
          <w:p w14:paraId="3B0DA877" w14:textId="77777777" w:rsidR="00146578" w:rsidRPr="00491BF9" w:rsidRDefault="00146578" w:rsidP="00E31119">
            <w:pPr>
              <w:rPr>
                <w:rFonts w:cs="Arial"/>
                <w:lang w:val="lt-LT"/>
              </w:rPr>
            </w:pPr>
            <w:r w:rsidRPr="00491BF9">
              <w:rPr>
                <w:rFonts w:cs="Arial"/>
                <w:lang w:val="lt-LT"/>
              </w:rPr>
              <w:t>0,0055</w:t>
            </w:r>
          </w:p>
        </w:tc>
        <w:tc>
          <w:tcPr>
            <w:tcW w:w="704" w:type="pct"/>
            <w:tcBorders>
              <w:top w:val="nil"/>
              <w:left w:val="nil"/>
              <w:bottom w:val="nil"/>
              <w:right w:val="nil"/>
            </w:tcBorders>
            <w:noWrap/>
            <w:vAlign w:val="bottom"/>
          </w:tcPr>
          <w:p w14:paraId="1604A550" w14:textId="77777777" w:rsidR="00146578" w:rsidRPr="00491BF9" w:rsidRDefault="00146578" w:rsidP="00E31119">
            <w:pPr>
              <w:rPr>
                <w:rFonts w:cs="Arial"/>
                <w:lang w:val="lt-LT"/>
              </w:rPr>
            </w:pPr>
            <w:r w:rsidRPr="00491BF9">
              <w:rPr>
                <w:rFonts w:cs="Arial"/>
                <w:lang w:val="lt-LT"/>
              </w:rPr>
              <w:t>0,0080</w:t>
            </w:r>
          </w:p>
        </w:tc>
        <w:tc>
          <w:tcPr>
            <w:tcW w:w="653" w:type="pct"/>
            <w:tcBorders>
              <w:top w:val="nil"/>
              <w:left w:val="nil"/>
              <w:bottom w:val="nil"/>
              <w:right w:val="nil"/>
            </w:tcBorders>
            <w:noWrap/>
            <w:vAlign w:val="bottom"/>
          </w:tcPr>
          <w:p w14:paraId="4B46BDDC" w14:textId="77777777" w:rsidR="00146578" w:rsidRPr="00491BF9" w:rsidRDefault="00146578" w:rsidP="00E31119">
            <w:pPr>
              <w:rPr>
                <w:rFonts w:cs="Arial"/>
                <w:lang w:val="lt-LT"/>
              </w:rPr>
            </w:pPr>
            <w:r w:rsidRPr="00491BF9">
              <w:rPr>
                <w:rFonts w:cs="Arial"/>
                <w:lang w:val="lt-LT"/>
              </w:rPr>
              <w:t>0,012</w:t>
            </w:r>
          </w:p>
        </w:tc>
        <w:tc>
          <w:tcPr>
            <w:tcW w:w="653" w:type="pct"/>
            <w:tcBorders>
              <w:top w:val="nil"/>
              <w:left w:val="nil"/>
              <w:bottom w:val="nil"/>
              <w:right w:val="single" w:sz="4" w:space="0" w:color="auto"/>
            </w:tcBorders>
            <w:noWrap/>
            <w:vAlign w:val="bottom"/>
          </w:tcPr>
          <w:p w14:paraId="73EE8BEB" w14:textId="77777777" w:rsidR="00146578" w:rsidRPr="00491BF9" w:rsidRDefault="00146578" w:rsidP="00E31119">
            <w:pPr>
              <w:rPr>
                <w:rFonts w:cs="Arial"/>
                <w:lang w:val="lt-LT"/>
              </w:rPr>
            </w:pPr>
            <w:r w:rsidRPr="00491BF9">
              <w:rPr>
                <w:rFonts w:cs="Arial"/>
                <w:lang w:val="lt-LT"/>
              </w:rPr>
              <w:t>0,023</w:t>
            </w:r>
          </w:p>
        </w:tc>
      </w:tr>
      <w:tr w:rsidR="00146578" w:rsidRPr="00491BF9" w14:paraId="2CD57FA8" w14:textId="77777777" w:rsidTr="004F35D3">
        <w:trPr>
          <w:trHeight w:val="255"/>
        </w:trPr>
        <w:tc>
          <w:tcPr>
            <w:tcW w:w="1697" w:type="pct"/>
            <w:tcBorders>
              <w:top w:val="nil"/>
              <w:left w:val="single" w:sz="4" w:space="0" w:color="auto"/>
              <w:bottom w:val="nil"/>
              <w:right w:val="nil"/>
            </w:tcBorders>
            <w:noWrap/>
            <w:vAlign w:val="bottom"/>
          </w:tcPr>
          <w:p w14:paraId="782EA003" w14:textId="77777777" w:rsidR="00146578" w:rsidRPr="00491BF9" w:rsidRDefault="00146578" w:rsidP="00E31119">
            <w:pPr>
              <w:rPr>
                <w:rFonts w:cs="Arial"/>
                <w:lang w:val="lt-LT"/>
              </w:rPr>
            </w:pPr>
            <w:r w:rsidRPr="00491BF9">
              <w:rPr>
                <w:rFonts w:cs="Arial"/>
                <w:lang w:val="lt-LT"/>
              </w:rPr>
              <w:t>Kiaušidės</w:t>
            </w:r>
          </w:p>
        </w:tc>
        <w:tc>
          <w:tcPr>
            <w:tcW w:w="589" w:type="pct"/>
            <w:tcBorders>
              <w:top w:val="nil"/>
              <w:left w:val="nil"/>
              <w:bottom w:val="nil"/>
              <w:right w:val="nil"/>
            </w:tcBorders>
            <w:noWrap/>
            <w:vAlign w:val="bottom"/>
          </w:tcPr>
          <w:p w14:paraId="2FBD97B7" w14:textId="77777777" w:rsidR="00146578" w:rsidRPr="00491BF9" w:rsidRDefault="00146578" w:rsidP="00E31119">
            <w:pPr>
              <w:rPr>
                <w:rFonts w:cs="Arial"/>
                <w:lang w:val="lt-LT"/>
              </w:rPr>
            </w:pPr>
            <w:r w:rsidRPr="00491BF9">
              <w:rPr>
                <w:rFonts w:cs="Arial"/>
                <w:lang w:val="lt-LT"/>
              </w:rPr>
              <w:t>0,0081</w:t>
            </w:r>
          </w:p>
        </w:tc>
        <w:tc>
          <w:tcPr>
            <w:tcW w:w="704" w:type="pct"/>
            <w:tcBorders>
              <w:top w:val="nil"/>
              <w:left w:val="nil"/>
              <w:bottom w:val="nil"/>
              <w:right w:val="nil"/>
            </w:tcBorders>
            <w:noWrap/>
            <w:vAlign w:val="bottom"/>
          </w:tcPr>
          <w:p w14:paraId="17720E71" w14:textId="77777777" w:rsidR="00146578" w:rsidRPr="00491BF9" w:rsidRDefault="00146578" w:rsidP="00E31119">
            <w:pPr>
              <w:rPr>
                <w:rFonts w:cs="Arial"/>
                <w:lang w:val="lt-LT"/>
              </w:rPr>
            </w:pPr>
            <w:r w:rsidRPr="00491BF9">
              <w:rPr>
                <w:rFonts w:cs="Arial"/>
                <w:lang w:val="lt-LT"/>
              </w:rPr>
              <w:t>0,011</w:t>
            </w:r>
          </w:p>
        </w:tc>
        <w:tc>
          <w:tcPr>
            <w:tcW w:w="704" w:type="pct"/>
            <w:tcBorders>
              <w:top w:val="nil"/>
              <w:left w:val="nil"/>
              <w:bottom w:val="nil"/>
              <w:right w:val="nil"/>
            </w:tcBorders>
            <w:noWrap/>
            <w:vAlign w:val="bottom"/>
          </w:tcPr>
          <w:p w14:paraId="0DA0B90E" w14:textId="77777777" w:rsidR="00146578" w:rsidRPr="00491BF9" w:rsidRDefault="00146578" w:rsidP="00E31119">
            <w:pPr>
              <w:rPr>
                <w:rFonts w:cs="Arial"/>
                <w:lang w:val="lt-LT"/>
              </w:rPr>
            </w:pPr>
            <w:r w:rsidRPr="00491BF9">
              <w:rPr>
                <w:rFonts w:cs="Arial"/>
                <w:lang w:val="lt-LT"/>
              </w:rPr>
              <w:t>0,015</w:t>
            </w:r>
          </w:p>
        </w:tc>
        <w:tc>
          <w:tcPr>
            <w:tcW w:w="653" w:type="pct"/>
            <w:tcBorders>
              <w:top w:val="nil"/>
              <w:left w:val="nil"/>
              <w:bottom w:val="nil"/>
              <w:right w:val="nil"/>
            </w:tcBorders>
            <w:noWrap/>
            <w:vAlign w:val="bottom"/>
          </w:tcPr>
          <w:p w14:paraId="69E803CF" w14:textId="77777777" w:rsidR="00146578" w:rsidRPr="00491BF9" w:rsidRDefault="00146578" w:rsidP="00E31119">
            <w:pPr>
              <w:rPr>
                <w:rFonts w:cs="Arial"/>
                <w:lang w:val="lt-LT"/>
              </w:rPr>
            </w:pPr>
            <w:r w:rsidRPr="00491BF9">
              <w:rPr>
                <w:rFonts w:cs="Arial"/>
                <w:lang w:val="lt-LT"/>
              </w:rPr>
              <w:t>0,023</w:t>
            </w:r>
          </w:p>
        </w:tc>
        <w:tc>
          <w:tcPr>
            <w:tcW w:w="653" w:type="pct"/>
            <w:tcBorders>
              <w:top w:val="nil"/>
              <w:left w:val="nil"/>
              <w:bottom w:val="nil"/>
              <w:right w:val="single" w:sz="4" w:space="0" w:color="auto"/>
            </w:tcBorders>
            <w:noWrap/>
            <w:vAlign w:val="bottom"/>
          </w:tcPr>
          <w:p w14:paraId="04E6FF1C" w14:textId="77777777" w:rsidR="00146578" w:rsidRPr="00491BF9" w:rsidRDefault="00146578" w:rsidP="00E31119">
            <w:pPr>
              <w:rPr>
                <w:rFonts w:cs="Arial"/>
                <w:lang w:val="lt-LT"/>
              </w:rPr>
            </w:pPr>
            <w:r w:rsidRPr="00491BF9">
              <w:rPr>
                <w:rFonts w:cs="Arial"/>
                <w:lang w:val="lt-LT"/>
              </w:rPr>
              <w:t>0,040</w:t>
            </w:r>
          </w:p>
        </w:tc>
      </w:tr>
      <w:tr w:rsidR="00146578" w:rsidRPr="00491BF9" w14:paraId="264699B7" w14:textId="77777777" w:rsidTr="004F35D3">
        <w:trPr>
          <w:trHeight w:val="255"/>
        </w:trPr>
        <w:tc>
          <w:tcPr>
            <w:tcW w:w="1697" w:type="pct"/>
            <w:tcBorders>
              <w:top w:val="nil"/>
              <w:left w:val="single" w:sz="4" w:space="0" w:color="auto"/>
              <w:bottom w:val="nil"/>
              <w:right w:val="nil"/>
            </w:tcBorders>
            <w:noWrap/>
            <w:vAlign w:val="bottom"/>
          </w:tcPr>
          <w:p w14:paraId="158F2980" w14:textId="77777777" w:rsidR="00146578" w:rsidRPr="00491BF9" w:rsidRDefault="00146578" w:rsidP="00E31119">
            <w:pPr>
              <w:rPr>
                <w:rFonts w:cs="Arial"/>
                <w:lang w:val="lt-LT"/>
              </w:rPr>
            </w:pPr>
            <w:r w:rsidRPr="00491BF9">
              <w:rPr>
                <w:rFonts w:cs="Arial"/>
                <w:lang w:val="lt-LT"/>
              </w:rPr>
              <w:t>Kasa</w:t>
            </w:r>
          </w:p>
        </w:tc>
        <w:tc>
          <w:tcPr>
            <w:tcW w:w="589" w:type="pct"/>
            <w:tcBorders>
              <w:top w:val="nil"/>
              <w:left w:val="nil"/>
              <w:bottom w:val="nil"/>
              <w:right w:val="nil"/>
            </w:tcBorders>
            <w:noWrap/>
            <w:vAlign w:val="bottom"/>
          </w:tcPr>
          <w:p w14:paraId="3037C255" w14:textId="77777777" w:rsidR="00146578" w:rsidRPr="00491BF9" w:rsidRDefault="00146578" w:rsidP="00E31119">
            <w:pPr>
              <w:rPr>
                <w:rFonts w:cs="Arial"/>
                <w:lang w:val="lt-LT"/>
              </w:rPr>
            </w:pPr>
            <w:r w:rsidRPr="00491BF9">
              <w:rPr>
                <w:rFonts w:cs="Arial"/>
                <w:lang w:val="lt-LT"/>
              </w:rPr>
              <w:t>0,0069</w:t>
            </w:r>
          </w:p>
        </w:tc>
        <w:tc>
          <w:tcPr>
            <w:tcW w:w="704" w:type="pct"/>
            <w:tcBorders>
              <w:top w:val="nil"/>
              <w:left w:val="nil"/>
              <w:bottom w:val="nil"/>
              <w:right w:val="nil"/>
            </w:tcBorders>
            <w:noWrap/>
            <w:vAlign w:val="bottom"/>
          </w:tcPr>
          <w:p w14:paraId="6626FE82" w14:textId="77777777" w:rsidR="00146578" w:rsidRPr="00491BF9" w:rsidRDefault="00146578" w:rsidP="00E31119">
            <w:pPr>
              <w:rPr>
                <w:rFonts w:cs="Arial"/>
                <w:lang w:val="lt-LT"/>
              </w:rPr>
            </w:pPr>
            <w:r w:rsidRPr="00491BF9">
              <w:rPr>
                <w:rFonts w:cs="Arial"/>
                <w:lang w:val="lt-LT"/>
              </w:rPr>
              <w:t>0,0091</w:t>
            </w:r>
          </w:p>
        </w:tc>
        <w:tc>
          <w:tcPr>
            <w:tcW w:w="704" w:type="pct"/>
            <w:tcBorders>
              <w:top w:val="nil"/>
              <w:left w:val="nil"/>
              <w:bottom w:val="nil"/>
              <w:right w:val="nil"/>
            </w:tcBorders>
            <w:noWrap/>
            <w:vAlign w:val="bottom"/>
          </w:tcPr>
          <w:p w14:paraId="00FEB3F2" w14:textId="77777777" w:rsidR="00146578" w:rsidRPr="00491BF9" w:rsidRDefault="00146578" w:rsidP="00E31119">
            <w:pPr>
              <w:rPr>
                <w:rFonts w:cs="Arial"/>
                <w:lang w:val="lt-LT"/>
              </w:rPr>
            </w:pPr>
            <w:r w:rsidRPr="00491BF9">
              <w:rPr>
                <w:rFonts w:cs="Arial"/>
                <w:lang w:val="lt-LT"/>
              </w:rPr>
              <w:t>0,014</w:t>
            </w:r>
          </w:p>
        </w:tc>
        <w:tc>
          <w:tcPr>
            <w:tcW w:w="653" w:type="pct"/>
            <w:tcBorders>
              <w:top w:val="nil"/>
              <w:left w:val="nil"/>
              <w:bottom w:val="nil"/>
              <w:right w:val="nil"/>
            </w:tcBorders>
            <w:noWrap/>
            <w:vAlign w:val="bottom"/>
          </w:tcPr>
          <w:p w14:paraId="464A01E9" w14:textId="77777777" w:rsidR="00146578" w:rsidRPr="00491BF9" w:rsidRDefault="00146578" w:rsidP="00E31119">
            <w:pPr>
              <w:rPr>
                <w:rFonts w:cs="Arial"/>
                <w:lang w:val="lt-LT"/>
              </w:rPr>
            </w:pPr>
            <w:r w:rsidRPr="00491BF9">
              <w:rPr>
                <w:rFonts w:cs="Arial"/>
                <w:lang w:val="lt-LT"/>
              </w:rPr>
              <w:t>0,021</w:t>
            </w:r>
          </w:p>
        </w:tc>
        <w:tc>
          <w:tcPr>
            <w:tcW w:w="653" w:type="pct"/>
            <w:tcBorders>
              <w:top w:val="nil"/>
              <w:left w:val="nil"/>
              <w:bottom w:val="nil"/>
              <w:right w:val="single" w:sz="4" w:space="0" w:color="auto"/>
            </w:tcBorders>
            <w:noWrap/>
            <w:vAlign w:val="bottom"/>
          </w:tcPr>
          <w:p w14:paraId="20382DED" w14:textId="77777777" w:rsidR="00146578" w:rsidRPr="00491BF9" w:rsidRDefault="00146578" w:rsidP="00E31119">
            <w:pPr>
              <w:rPr>
                <w:rFonts w:cs="Arial"/>
                <w:lang w:val="lt-LT"/>
              </w:rPr>
            </w:pPr>
            <w:r w:rsidRPr="00491BF9">
              <w:rPr>
                <w:rFonts w:cs="Arial"/>
                <w:lang w:val="lt-LT"/>
              </w:rPr>
              <w:t>0,035</w:t>
            </w:r>
          </w:p>
        </w:tc>
      </w:tr>
      <w:tr w:rsidR="00146578" w:rsidRPr="00491BF9" w14:paraId="64F0A673" w14:textId="77777777" w:rsidTr="004F35D3">
        <w:trPr>
          <w:trHeight w:val="255"/>
        </w:trPr>
        <w:tc>
          <w:tcPr>
            <w:tcW w:w="1697" w:type="pct"/>
            <w:tcBorders>
              <w:top w:val="nil"/>
              <w:left w:val="single" w:sz="4" w:space="0" w:color="auto"/>
              <w:bottom w:val="nil"/>
              <w:right w:val="nil"/>
            </w:tcBorders>
            <w:noWrap/>
            <w:vAlign w:val="bottom"/>
          </w:tcPr>
          <w:p w14:paraId="7D83D94B" w14:textId="77777777" w:rsidR="00146578" w:rsidRPr="00491BF9" w:rsidRDefault="00146578" w:rsidP="00E31119">
            <w:pPr>
              <w:rPr>
                <w:rFonts w:cs="Arial"/>
                <w:lang w:val="lt-LT"/>
              </w:rPr>
            </w:pPr>
            <w:r w:rsidRPr="00491BF9">
              <w:rPr>
                <w:rFonts w:cs="Arial"/>
                <w:lang w:val="lt-LT"/>
              </w:rPr>
              <w:lastRenderedPageBreak/>
              <w:t>Raudonieji kaulų čiulpai</w:t>
            </w:r>
          </w:p>
        </w:tc>
        <w:tc>
          <w:tcPr>
            <w:tcW w:w="589" w:type="pct"/>
            <w:tcBorders>
              <w:top w:val="nil"/>
              <w:left w:val="nil"/>
              <w:bottom w:val="nil"/>
              <w:right w:val="nil"/>
            </w:tcBorders>
            <w:noWrap/>
            <w:vAlign w:val="bottom"/>
          </w:tcPr>
          <w:p w14:paraId="46340DF4" w14:textId="77777777" w:rsidR="00146578" w:rsidRPr="00491BF9" w:rsidRDefault="00146578" w:rsidP="00E31119">
            <w:pPr>
              <w:rPr>
                <w:rFonts w:cs="Arial"/>
                <w:lang w:val="lt-LT"/>
              </w:rPr>
            </w:pPr>
            <w:r w:rsidRPr="00491BF9">
              <w:rPr>
                <w:rFonts w:cs="Arial"/>
                <w:lang w:val="lt-LT"/>
              </w:rPr>
              <w:t>0,0050</w:t>
            </w:r>
          </w:p>
        </w:tc>
        <w:tc>
          <w:tcPr>
            <w:tcW w:w="704" w:type="pct"/>
            <w:tcBorders>
              <w:top w:val="nil"/>
              <w:left w:val="nil"/>
              <w:bottom w:val="nil"/>
              <w:right w:val="nil"/>
            </w:tcBorders>
            <w:noWrap/>
            <w:vAlign w:val="bottom"/>
          </w:tcPr>
          <w:p w14:paraId="56081F48" w14:textId="77777777" w:rsidR="00146578" w:rsidRPr="00491BF9" w:rsidRDefault="00146578" w:rsidP="00E31119">
            <w:pPr>
              <w:rPr>
                <w:rFonts w:cs="Arial"/>
                <w:lang w:val="lt-LT"/>
              </w:rPr>
            </w:pPr>
            <w:r w:rsidRPr="00491BF9">
              <w:rPr>
                <w:rFonts w:cs="Arial"/>
                <w:lang w:val="lt-LT"/>
              </w:rPr>
              <w:t>0,0064</w:t>
            </w:r>
          </w:p>
        </w:tc>
        <w:tc>
          <w:tcPr>
            <w:tcW w:w="704" w:type="pct"/>
            <w:tcBorders>
              <w:top w:val="nil"/>
              <w:left w:val="nil"/>
              <w:bottom w:val="nil"/>
              <w:right w:val="nil"/>
            </w:tcBorders>
            <w:noWrap/>
            <w:vAlign w:val="bottom"/>
          </w:tcPr>
          <w:p w14:paraId="10A4FE9A" w14:textId="77777777" w:rsidR="00146578" w:rsidRPr="00491BF9" w:rsidRDefault="00146578" w:rsidP="00E31119">
            <w:pPr>
              <w:rPr>
                <w:rFonts w:cs="Arial"/>
                <w:lang w:val="lt-LT"/>
              </w:rPr>
            </w:pPr>
            <w:r w:rsidRPr="00491BF9">
              <w:rPr>
                <w:rFonts w:cs="Arial"/>
                <w:lang w:val="lt-LT"/>
              </w:rPr>
              <w:t>0,0095</w:t>
            </w:r>
          </w:p>
        </w:tc>
        <w:tc>
          <w:tcPr>
            <w:tcW w:w="653" w:type="pct"/>
            <w:tcBorders>
              <w:top w:val="nil"/>
              <w:left w:val="nil"/>
              <w:bottom w:val="nil"/>
              <w:right w:val="nil"/>
            </w:tcBorders>
            <w:noWrap/>
            <w:vAlign w:val="bottom"/>
          </w:tcPr>
          <w:p w14:paraId="24C80D93" w14:textId="77777777" w:rsidR="00146578" w:rsidRPr="00491BF9" w:rsidRDefault="00146578" w:rsidP="00E31119">
            <w:pPr>
              <w:rPr>
                <w:rFonts w:cs="Arial"/>
                <w:lang w:val="lt-LT"/>
              </w:rPr>
            </w:pPr>
            <w:r w:rsidRPr="00491BF9">
              <w:rPr>
                <w:rFonts w:cs="Arial"/>
                <w:lang w:val="lt-LT"/>
              </w:rPr>
              <w:t>0,013</w:t>
            </w:r>
          </w:p>
        </w:tc>
        <w:tc>
          <w:tcPr>
            <w:tcW w:w="653" w:type="pct"/>
            <w:tcBorders>
              <w:top w:val="nil"/>
              <w:left w:val="nil"/>
              <w:bottom w:val="nil"/>
              <w:right w:val="single" w:sz="4" w:space="0" w:color="auto"/>
            </w:tcBorders>
            <w:noWrap/>
            <w:vAlign w:val="bottom"/>
          </w:tcPr>
          <w:p w14:paraId="29BD79A6" w14:textId="77777777" w:rsidR="00146578" w:rsidRPr="00491BF9" w:rsidRDefault="00146578" w:rsidP="00E31119">
            <w:pPr>
              <w:rPr>
                <w:rFonts w:cs="Arial"/>
                <w:lang w:val="lt-LT"/>
              </w:rPr>
            </w:pPr>
            <w:r w:rsidRPr="00491BF9">
              <w:rPr>
                <w:rFonts w:cs="Arial"/>
                <w:lang w:val="lt-LT"/>
              </w:rPr>
              <w:t>0,023</w:t>
            </w:r>
          </w:p>
        </w:tc>
      </w:tr>
      <w:tr w:rsidR="00146578" w:rsidRPr="00491BF9" w14:paraId="6AC172BA" w14:textId="77777777" w:rsidTr="004F35D3">
        <w:trPr>
          <w:trHeight w:val="255"/>
        </w:trPr>
        <w:tc>
          <w:tcPr>
            <w:tcW w:w="1697" w:type="pct"/>
            <w:tcBorders>
              <w:top w:val="nil"/>
              <w:left w:val="single" w:sz="4" w:space="0" w:color="auto"/>
              <w:bottom w:val="nil"/>
              <w:right w:val="nil"/>
            </w:tcBorders>
            <w:noWrap/>
            <w:vAlign w:val="bottom"/>
          </w:tcPr>
          <w:p w14:paraId="7F2E7F1D" w14:textId="77777777" w:rsidR="00146578" w:rsidRPr="00491BF9" w:rsidRDefault="00146578" w:rsidP="00E31119">
            <w:pPr>
              <w:rPr>
                <w:rFonts w:cs="Arial"/>
                <w:lang w:val="lt-LT"/>
              </w:rPr>
            </w:pPr>
            <w:r w:rsidRPr="00491BF9">
              <w:rPr>
                <w:rFonts w:cs="Arial"/>
                <w:lang w:val="lt-LT"/>
              </w:rPr>
              <w:t>Seilių liaukos</w:t>
            </w:r>
          </w:p>
        </w:tc>
        <w:tc>
          <w:tcPr>
            <w:tcW w:w="589" w:type="pct"/>
            <w:tcBorders>
              <w:top w:val="nil"/>
              <w:left w:val="nil"/>
              <w:bottom w:val="nil"/>
              <w:right w:val="nil"/>
            </w:tcBorders>
            <w:noWrap/>
            <w:vAlign w:val="bottom"/>
          </w:tcPr>
          <w:p w14:paraId="35CF669C" w14:textId="77777777" w:rsidR="00146578" w:rsidRPr="00491BF9" w:rsidRDefault="00146578" w:rsidP="00E31119">
            <w:pPr>
              <w:rPr>
                <w:rFonts w:cs="Arial"/>
                <w:lang w:val="lt-LT"/>
              </w:rPr>
            </w:pPr>
            <w:r w:rsidRPr="00491BF9">
              <w:rPr>
                <w:rFonts w:cs="Arial"/>
                <w:lang w:val="lt-LT"/>
              </w:rPr>
              <w:t>0,0092</w:t>
            </w:r>
          </w:p>
        </w:tc>
        <w:tc>
          <w:tcPr>
            <w:tcW w:w="704" w:type="pct"/>
            <w:tcBorders>
              <w:top w:val="nil"/>
              <w:left w:val="nil"/>
              <w:bottom w:val="nil"/>
              <w:right w:val="nil"/>
            </w:tcBorders>
            <w:noWrap/>
            <w:vAlign w:val="bottom"/>
          </w:tcPr>
          <w:p w14:paraId="70A037E0" w14:textId="77777777" w:rsidR="00146578" w:rsidRPr="00491BF9" w:rsidRDefault="00146578" w:rsidP="00E31119">
            <w:pPr>
              <w:rPr>
                <w:rFonts w:cs="Arial"/>
                <w:lang w:val="lt-LT"/>
              </w:rPr>
            </w:pPr>
            <w:r w:rsidRPr="00491BF9">
              <w:rPr>
                <w:rFonts w:cs="Arial"/>
                <w:lang w:val="lt-LT"/>
              </w:rPr>
              <w:t>0,011</w:t>
            </w:r>
          </w:p>
        </w:tc>
        <w:tc>
          <w:tcPr>
            <w:tcW w:w="704" w:type="pct"/>
            <w:tcBorders>
              <w:top w:val="nil"/>
              <w:left w:val="nil"/>
              <w:bottom w:val="nil"/>
              <w:right w:val="nil"/>
            </w:tcBorders>
            <w:noWrap/>
            <w:vAlign w:val="bottom"/>
          </w:tcPr>
          <w:p w14:paraId="4D8C77F9" w14:textId="77777777" w:rsidR="00146578" w:rsidRPr="00491BF9" w:rsidRDefault="00146578" w:rsidP="00E31119">
            <w:pPr>
              <w:rPr>
                <w:rFonts w:cs="Arial"/>
                <w:lang w:val="lt-LT"/>
              </w:rPr>
            </w:pPr>
            <w:r w:rsidRPr="00491BF9">
              <w:rPr>
                <w:rFonts w:cs="Arial"/>
                <w:lang w:val="lt-LT"/>
              </w:rPr>
              <w:t>0,0015</w:t>
            </w:r>
          </w:p>
        </w:tc>
        <w:tc>
          <w:tcPr>
            <w:tcW w:w="653" w:type="pct"/>
            <w:tcBorders>
              <w:top w:val="nil"/>
              <w:left w:val="nil"/>
              <w:bottom w:val="nil"/>
              <w:right w:val="nil"/>
            </w:tcBorders>
            <w:noWrap/>
            <w:vAlign w:val="bottom"/>
          </w:tcPr>
          <w:p w14:paraId="20E35F01" w14:textId="77777777" w:rsidR="00146578" w:rsidRPr="00491BF9" w:rsidRDefault="00146578" w:rsidP="00E31119">
            <w:pPr>
              <w:rPr>
                <w:rFonts w:cs="Arial"/>
                <w:lang w:val="lt-LT"/>
              </w:rPr>
            </w:pPr>
            <w:r w:rsidRPr="00491BF9">
              <w:rPr>
                <w:rFonts w:cs="Arial"/>
                <w:lang w:val="lt-LT"/>
              </w:rPr>
              <w:t>0,0020</w:t>
            </w:r>
          </w:p>
        </w:tc>
        <w:tc>
          <w:tcPr>
            <w:tcW w:w="653" w:type="pct"/>
            <w:tcBorders>
              <w:top w:val="nil"/>
              <w:left w:val="nil"/>
              <w:bottom w:val="nil"/>
              <w:right w:val="single" w:sz="4" w:space="0" w:color="auto"/>
            </w:tcBorders>
            <w:noWrap/>
            <w:vAlign w:val="bottom"/>
          </w:tcPr>
          <w:p w14:paraId="4DC07125" w14:textId="77777777" w:rsidR="00146578" w:rsidRPr="00491BF9" w:rsidRDefault="00146578" w:rsidP="00E31119">
            <w:pPr>
              <w:rPr>
                <w:rFonts w:cs="Arial"/>
                <w:lang w:val="lt-LT"/>
              </w:rPr>
            </w:pPr>
            <w:r w:rsidRPr="00491BF9">
              <w:rPr>
                <w:rFonts w:cs="Arial"/>
                <w:lang w:val="lt-LT"/>
              </w:rPr>
              <w:t>0,0029</w:t>
            </w:r>
          </w:p>
        </w:tc>
      </w:tr>
      <w:tr w:rsidR="00146578" w:rsidRPr="00491BF9" w14:paraId="3C70D2DA" w14:textId="77777777" w:rsidTr="004F35D3">
        <w:trPr>
          <w:trHeight w:val="255"/>
        </w:trPr>
        <w:tc>
          <w:tcPr>
            <w:tcW w:w="1697" w:type="pct"/>
            <w:tcBorders>
              <w:top w:val="nil"/>
              <w:left w:val="single" w:sz="4" w:space="0" w:color="auto"/>
              <w:bottom w:val="nil"/>
              <w:right w:val="nil"/>
            </w:tcBorders>
            <w:noWrap/>
            <w:vAlign w:val="bottom"/>
          </w:tcPr>
          <w:p w14:paraId="1A5B450E" w14:textId="77777777" w:rsidR="00146578" w:rsidRPr="00491BF9" w:rsidRDefault="00146578" w:rsidP="00E31119">
            <w:pPr>
              <w:rPr>
                <w:rFonts w:cs="Arial"/>
                <w:lang w:val="lt-LT"/>
              </w:rPr>
            </w:pPr>
            <w:r w:rsidRPr="00491BF9">
              <w:rPr>
                <w:rFonts w:cs="Arial"/>
                <w:lang w:val="lt-LT"/>
              </w:rPr>
              <w:t>Oda</w:t>
            </w:r>
          </w:p>
        </w:tc>
        <w:tc>
          <w:tcPr>
            <w:tcW w:w="589" w:type="pct"/>
            <w:tcBorders>
              <w:top w:val="nil"/>
              <w:left w:val="nil"/>
              <w:bottom w:val="nil"/>
              <w:right w:val="nil"/>
            </w:tcBorders>
            <w:noWrap/>
            <w:vAlign w:val="bottom"/>
          </w:tcPr>
          <w:p w14:paraId="3A74EAC0" w14:textId="77777777" w:rsidR="00146578" w:rsidRPr="00491BF9" w:rsidRDefault="00146578" w:rsidP="00E31119">
            <w:pPr>
              <w:rPr>
                <w:rFonts w:cs="Arial"/>
                <w:lang w:val="lt-LT"/>
              </w:rPr>
            </w:pPr>
            <w:r w:rsidRPr="00491BF9">
              <w:rPr>
                <w:rFonts w:cs="Arial"/>
                <w:lang w:val="lt-LT"/>
              </w:rPr>
              <w:t>0,0029</w:t>
            </w:r>
          </w:p>
        </w:tc>
        <w:tc>
          <w:tcPr>
            <w:tcW w:w="704" w:type="pct"/>
            <w:tcBorders>
              <w:top w:val="nil"/>
              <w:left w:val="nil"/>
              <w:bottom w:val="nil"/>
              <w:right w:val="nil"/>
            </w:tcBorders>
            <w:noWrap/>
            <w:vAlign w:val="bottom"/>
          </w:tcPr>
          <w:p w14:paraId="325E9839" w14:textId="77777777" w:rsidR="00146578" w:rsidRPr="00491BF9" w:rsidRDefault="00146578" w:rsidP="00E31119">
            <w:pPr>
              <w:rPr>
                <w:rFonts w:cs="Arial"/>
                <w:lang w:val="lt-LT"/>
              </w:rPr>
            </w:pPr>
            <w:r w:rsidRPr="00491BF9">
              <w:rPr>
                <w:rFonts w:cs="Arial"/>
                <w:lang w:val="lt-LT"/>
              </w:rPr>
              <w:t>0,0037</w:t>
            </w:r>
          </w:p>
        </w:tc>
        <w:tc>
          <w:tcPr>
            <w:tcW w:w="704" w:type="pct"/>
            <w:tcBorders>
              <w:top w:val="nil"/>
              <w:left w:val="nil"/>
              <w:bottom w:val="nil"/>
              <w:right w:val="nil"/>
            </w:tcBorders>
            <w:noWrap/>
            <w:vAlign w:val="bottom"/>
          </w:tcPr>
          <w:p w14:paraId="72029FB1" w14:textId="77777777" w:rsidR="00146578" w:rsidRPr="00491BF9" w:rsidRDefault="00146578" w:rsidP="00E31119">
            <w:pPr>
              <w:rPr>
                <w:rFonts w:cs="Arial"/>
                <w:lang w:val="lt-LT"/>
              </w:rPr>
            </w:pPr>
            <w:r w:rsidRPr="00491BF9">
              <w:rPr>
                <w:rFonts w:cs="Arial"/>
                <w:lang w:val="lt-LT"/>
              </w:rPr>
              <w:t>0,0058</w:t>
            </w:r>
          </w:p>
        </w:tc>
        <w:tc>
          <w:tcPr>
            <w:tcW w:w="653" w:type="pct"/>
            <w:tcBorders>
              <w:top w:val="nil"/>
              <w:left w:val="nil"/>
              <w:bottom w:val="nil"/>
              <w:right w:val="nil"/>
            </w:tcBorders>
            <w:noWrap/>
            <w:vAlign w:val="bottom"/>
          </w:tcPr>
          <w:p w14:paraId="69B53319" w14:textId="77777777" w:rsidR="00146578" w:rsidRPr="00491BF9" w:rsidRDefault="00146578" w:rsidP="00E31119">
            <w:pPr>
              <w:rPr>
                <w:rFonts w:cs="Arial"/>
                <w:lang w:val="lt-LT"/>
              </w:rPr>
            </w:pPr>
            <w:r w:rsidRPr="00491BF9">
              <w:rPr>
                <w:rFonts w:cs="Arial"/>
                <w:lang w:val="lt-LT"/>
              </w:rPr>
              <w:t>0,0090</w:t>
            </w:r>
          </w:p>
        </w:tc>
        <w:tc>
          <w:tcPr>
            <w:tcW w:w="653" w:type="pct"/>
            <w:tcBorders>
              <w:top w:val="nil"/>
              <w:left w:val="nil"/>
              <w:bottom w:val="nil"/>
              <w:right w:val="single" w:sz="4" w:space="0" w:color="auto"/>
            </w:tcBorders>
            <w:noWrap/>
            <w:vAlign w:val="bottom"/>
          </w:tcPr>
          <w:p w14:paraId="67763234" w14:textId="77777777" w:rsidR="00146578" w:rsidRPr="00491BF9" w:rsidRDefault="00146578" w:rsidP="00E31119">
            <w:pPr>
              <w:rPr>
                <w:rFonts w:cs="Arial"/>
                <w:lang w:val="lt-LT"/>
              </w:rPr>
            </w:pPr>
            <w:r w:rsidRPr="00491BF9">
              <w:rPr>
                <w:rFonts w:cs="Arial"/>
                <w:lang w:val="lt-LT"/>
              </w:rPr>
              <w:t>0,017</w:t>
            </w:r>
          </w:p>
        </w:tc>
      </w:tr>
      <w:tr w:rsidR="00146578" w:rsidRPr="00491BF9" w14:paraId="35FAE9BF" w14:textId="77777777" w:rsidTr="004F35D3">
        <w:trPr>
          <w:trHeight w:val="255"/>
        </w:trPr>
        <w:tc>
          <w:tcPr>
            <w:tcW w:w="1697" w:type="pct"/>
            <w:tcBorders>
              <w:top w:val="nil"/>
              <w:left w:val="single" w:sz="4" w:space="0" w:color="auto"/>
              <w:bottom w:val="nil"/>
              <w:right w:val="nil"/>
            </w:tcBorders>
            <w:noWrap/>
            <w:vAlign w:val="bottom"/>
          </w:tcPr>
          <w:p w14:paraId="5F62EEE9" w14:textId="77777777" w:rsidR="00146578" w:rsidRPr="00491BF9" w:rsidRDefault="00146578" w:rsidP="00E31119">
            <w:pPr>
              <w:rPr>
                <w:rFonts w:cs="Arial"/>
                <w:lang w:val="lt-LT"/>
              </w:rPr>
            </w:pPr>
            <w:r w:rsidRPr="00491BF9">
              <w:rPr>
                <w:rFonts w:cs="Arial"/>
                <w:lang w:val="lt-LT"/>
              </w:rPr>
              <w:t>Blužnis</w:t>
            </w:r>
          </w:p>
        </w:tc>
        <w:tc>
          <w:tcPr>
            <w:tcW w:w="589" w:type="pct"/>
            <w:tcBorders>
              <w:top w:val="nil"/>
              <w:left w:val="nil"/>
              <w:bottom w:val="nil"/>
              <w:right w:val="nil"/>
            </w:tcBorders>
            <w:noWrap/>
            <w:vAlign w:val="bottom"/>
          </w:tcPr>
          <w:p w14:paraId="71743C21" w14:textId="77777777" w:rsidR="00146578" w:rsidRPr="00491BF9" w:rsidRDefault="00146578" w:rsidP="00E31119">
            <w:pPr>
              <w:rPr>
                <w:rFonts w:cs="Arial"/>
                <w:lang w:val="lt-LT"/>
              </w:rPr>
            </w:pPr>
            <w:r w:rsidRPr="00491BF9">
              <w:rPr>
                <w:rFonts w:cs="Arial"/>
                <w:lang w:val="lt-LT"/>
              </w:rPr>
              <w:t>0,0058</w:t>
            </w:r>
          </w:p>
        </w:tc>
        <w:tc>
          <w:tcPr>
            <w:tcW w:w="704" w:type="pct"/>
            <w:tcBorders>
              <w:top w:val="nil"/>
              <w:left w:val="nil"/>
              <w:bottom w:val="nil"/>
              <w:right w:val="nil"/>
            </w:tcBorders>
            <w:noWrap/>
            <w:vAlign w:val="bottom"/>
          </w:tcPr>
          <w:p w14:paraId="1333B5E0" w14:textId="77777777" w:rsidR="00146578" w:rsidRPr="00491BF9" w:rsidRDefault="00146578" w:rsidP="00E31119">
            <w:pPr>
              <w:rPr>
                <w:rFonts w:cs="Arial"/>
                <w:lang w:val="lt-LT"/>
              </w:rPr>
            </w:pPr>
            <w:r w:rsidRPr="00491BF9">
              <w:rPr>
                <w:rFonts w:cs="Arial"/>
                <w:lang w:val="lt-LT"/>
              </w:rPr>
              <w:t>0,0076</w:t>
            </w:r>
          </w:p>
        </w:tc>
        <w:tc>
          <w:tcPr>
            <w:tcW w:w="704" w:type="pct"/>
            <w:tcBorders>
              <w:top w:val="nil"/>
              <w:left w:val="nil"/>
              <w:bottom w:val="nil"/>
              <w:right w:val="nil"/>
            </w:tcBorders>
            <w:noWrap/>
            <w:vAlign w:val="bottom"/>
          </w:tcPr>
          <w:p w14:paraId="41D51DD4" w14:textId="77777777" w:rsidR="00146578" w:rsidRPr="00491BF9" w:rsidRDefault="00146578" w:rsidP="00E31119">
            <w:pPr>
              <w:rPr>
                <w:rFonts w:cs="Arial"/>
                <w:lang w:val="lt-LT"/>
              </w:rPr>
            </w:pPr>
            <w:r w:rsidRPr="00491BF9">
              <w:rPr>
                <w:rFonts w:cs="Arial"/>
                <w:lang w:val="lt-LT"/>
              </w:rPr>
              <w:t>0,012</w:t>
            </w:r>
          </w:p>
        </w:tc>
        <w:tc>
          <w:tcPr>
            <w:tcW w:w="653" w:type="pct"/>
            <w:tcBorders>
              <w:top w:val="nil"/>
              <w:left w:val="nil"/>
              <w:bottom w:val="nil"/>
              <w:right w:val="nil"/>
            </w:tcBorders>
            <w:noWrap/>
            <w:vAlign w:val="bottom"/>
          </w:tcPr>
          <w:p w14:paraId="27E6247C" w14:textId="77777777" w:rsidR="00146578" w:rsidRPr="00491BF9" w:rsidRDefault="00146578" w:rsidP="00E31119">
            <w:pPr>
              <w:rPr>
                <w:rFonts w:cs="Arial"/>
                <w:lang w:val="lt-LT"/>
              </w:rPr>
            </w:pPr>
            <w:r w:rsidRPr="00491BF9">
              <w:rPr>
                <w:rFonts w:cs="Arial"/>
                <w:lang w:val="lt-LT"/>
              </w:rPr>
              <w:t>0,017</w:t>
            </w:r>
          </w:p>
        </w:tc>
        <w:tc>
          <w:tcPr>
            <w:tcW w:w="653" w:type="pct"/>
            <w:tcBorders>
              <w:top w:val="nil"/>
              <w:left w:val="nil"/>
              <w:bottom w:val="nil"/>
              <w:right w:val="single" w:sz="4" w:space="0" w:color="auto"/>
            </w:tcBorders>
            <w:noWrap/>
            <w:vAlign w:val="bottom"/>
          </w:tcPr>
          <w:p w14:paraId="4312740D" w14:textId="77777777" w:rsidR="00146578" w:rsidRPr="00491BF9" w:rsidRDefault="00146578" w:rsidP="00E31119">
            <w:pPr>
              <w:rPr>
                <w:rFonts w:cs="Arial"/>
                <w:lang w:val="lt-LT"/>
              </w:rPr>
            </w:pPr>
            <w:r w:rsidRPr="00491BF9">
              <w:rPr>
                <w:rFonts w:cs="Arial"/>
                <w:lang w:val="lt-LT"/>
              </w:rPr>
              <w:t>0,030</w:t>
            </w:r>
          </w:p>
        </w:tc>
      </w:tr>
      <w:tr w:rsidR="00146578" w:rsidRPr="00491BF9" w14:paraId="6E718FF4" w14:textId="77777777" w:rsidTr="004F35D3">
        <w:trPr>
          <w:trHeight w:val="255"/>
        </w:trPr>
        <w:tc>
          <w:tcPr>
            <w:tcW w:w="1697" w:type="pct"/>
            <w:tcBorders>
              <w:top w:val="nil"/>
              <w:left w:val="single" w:sz="4" w:space="0" w:color="auto"/>
              <w:bottom w:val="nil"/>
              <w:right w:val="nil"/>
            </w:tcBorders>
            <w:noWrap/>
            <w:vAlign w:val="bottom"/>
          </w:tcPr>
          <w:p w14:paraId="75E601C0" w14:textId="77777777" w:rsidR="00146578" w:rsidRPr="00491BF9" w:rsidRDefault="00146578" w:rsidP="00E31119">
            <w:pPr>
              <w:rPr>
                <w:rFonts w:cs="Arial"/>
                <w:lang w:val="lt-LT"/>
              </w:rPr>
            </w:pPr>
            <w:r w:rsidRPr="00491BF9">
              <w:rPr>
                <w:rFonts w:cs="Arial"/>
                <w:lang w:val="lt-LT"/>
              </w:rPr>
              <w:t>Sėklidės</w:t>
            </w:r>
          </w:p>
        </w:tc>
        <w:tc>
          <w:tcPr>
            <w:tcW w:w="589" w:type="pct"/>
            <w:tcBorders>
              <w:top w:val="nil"/>
              <w:left w:val="nil"/>
              <w:bottom w:val="nil"/>
              <w:right w:val="nil"/>
            </w:tcBorders>
            <w:noWrap/>
            <w:vAlign w:val="bottom"/>
          </w:tcPr>
          <w:p w14:paraId="13DE19E4" w14:textId="77777777" w:rsidR="00146578" w:rsidRPr="00491BF9" w:rsidRDefault="00146578" w:rsidP="00E31119">
            <w:pPr>
              <w:rPr>
                <w:rFonts w:cs="Arial"/>
                <w:lang w:val="lt-LT"/>
              </w:rPr>
            </w:pPr>
            <w:r w:rsidRPr="00491BF9">
              <w:rPr>
                <w:rFonts w:cs="Arial"/>
                <w:lang w:val="lt-LT"/>
              </w:rPr>
              <w:t>0,0037</w:t>
            </w:r>
          </w:p>
        </w:tc>
        <w:tc>
          <w:tcPr>
            <w:tcW w:w="704" w:type="pct"/>
            <w:tcBorders>
              <w:top w:val="nil"/>
              <w:left w:val="nil"/>
              <w:bottom w:val="nil"/>
              <w:right w:val="nil"/>
            </w:tcBorders>
            <w:noWrap/>
            <w:vAlign w:val="bottom"/>
          </w:tcPr>
          <w:p w14:paraId="4A93EC1C" w14:textId="77777777" w:rsidR="00146578" w:rsidRPr="00491BF9" w:rsidRDefault="00146578" w:rsidP="00E31119">
            <w:pPr>
              <w:rPr>
                <w:rFonts w:cs="Arial"/>
                <w:lang w:val="lt-LT"/>
              </w:rPr>
            </w:pPr>
            <w:r w:rsidRPr="00491BF9">
              <w:rPr>
                <w:rFonts w:cs="Arial"/>
                <w:lang w:val="lt-LT"/>
              </w:rPr>
              <w:t>0,0048</w:t>
            </w:r>
          </w:p>
        </w:tc>
        <w:tc>
          <w:tcPr>
            <w:tcW w:w="704" w:type="pct"/>
            <w:tcBorders>
              <w:top w:val="nil"/>
              <w:left w:val="nil"/>
              <w:bottom w:val="nil"/>
              <w:right w:val="nil"/>
            </w:tcBorders>
            <w:noWrap/>
            <w:vAlign w:val="bottom"/>
          </w:tcPr>
          <w:p w14:paraId="27D5D56D" w14:textId="77777777" w:rsidR="00146578" w:rsidRPr="00491BF9" w:rsidRDefault="00146578" w:rsidP="00E31119">
            <w:pPr>
              <w:rPr>
                <w:rFonts w:cs="Arial"/>
                <w:lang w:val="lt-LT"/>
              </w:rPr>
            </w:pPr>
            <w:r w:rsidRPr="00491BF9">
              <w:rPr>
                <w:rFonts w:cs="Arial"/>
                <w:lang w:val="lt-LT"/>
              </w:rPr>
              <w:t>0,0071</w:t>
            </w:r>
          </w:p>
        </w:tc>
        <w:tc>
          <w:tcPr>
            <w:tcW w:w="653" w:type="pct"/>
            <w:tcBorders>
              <w:top w:val="nil"/>
              <w:left w:val="nil"/>
              <w:bottom w:val="nil"/>
              <w:right w:val="nil"/>
            </w:tcBorders>
            <w:noWrap/>
            <w:vAlign w:val="bottom"/>
          </w:tcPr>
          <w:p w14:paraId="5169759D" w14:textId="77777777" w:rsidR="00146578" w:rsidRPr="00491BF9" w:rsidRDefault="00146578" w:rsidP="00E31119">
            <w:pPr>
              <w:rPr>
                <w:rFonts w:cs="Arial"/>
                <w:lang w:val="lt-LT"/>
              </w:rPr>
            </w:pPr>
            <w:r w:rsidRPr="00491BF9">
              <w:rPr>
                <w:rFonts w:cs="Arial"/>
                <w:lang w:val="lt-LT"/>
              </w:rPr>
              <w:t>0,011</w:t>
            </w:r>
          </w:p>
        </w:tc>
        <w:tc>
          <w:tcPr>
            <w:tcW w:w="653" w:type="pct"/>
            <w:tcBorders>
              <w:top w:val="nil"/>
              <w:left w:val="nil"/>
              <w:bottom w:val="nil"/>
              <w:right w:val="single" w:sz="4" w:space="0" w:color="auto"/>
            </w:tcBorders>
            <w:noWrap/>
            <w:vAlign w:val="bottom"/>
          </w:tcPr>
          <w:p w14:paraId="55D1D8A8" w14:textId="77777777" w:rsidR="00146578" w:rsidRPr="00491BF9" w:rsidRDefault="00146578" w:rsidP="00E31119">
            <w:pPr>
              <w:rPr>
                <w:rFonts w:cs="Arial"/>
                <w:lang w:val="lt-LT"/>
              </w:rPr>
            </w:pPr>
            <w:r w:rsidRPr="00491BF9">
              <w:rPr>
                <w:rFonts w:cs="Arial"/>
                <w:lang w:val="lt-LT"/>
              </w:rPr>
              <w:t>0,020</w:t>
            </w:r>
          </w:p>
        </w:tc>
      </w:tr>
      <w:tr w:rsidR="00146578" w:rsidRPr="00491BF9" w14:paraId="00A8EEFC" w14:textId="77777777" w:rsidTr="004F35D3">
        <w:trPr>
          <w:trHeight w:val="255"/>
        </w:trPr>
        <w:tc>
          <w:tcPr>
            <w:tcW w:w="1697" w:type="pct"/>
            <w:tcBorders>
              <w:top w:val="nil"/>
              <w:left w:val="single" w:sz="4" w:space="0" w:color="auto"/>
              <w:bottom w:val="nil"/>
              <w:right w:val="nil"/>
            </w:tcBorders>
            <w:noWrap/>
            <w:vAlign w:val="bottom"/>
          </w:tcPr>
          <w:p w14:paraId="15AC6533" w14:textId="77777777" w:rsidR="00146578" w:rsidRPr="00491BF9" w:rsidRDefault="00146578" w:rsidP="00E31119">
            <w:pPr>
              <w:rPr>
                <w:rFonts w:cs="Arial"/>
                <w:lang w:val="lt-LT"/>
              </w:rPr>
            </w:pPr>
            <w:r w:rsidRPr="00491BF9">
              <w:rPr>
                <w:rFonts w:cs="Arial"/>
                <w:lang w:val="lt-LT"/>
              </w:rPr>
              <w:t>Užkrūčio liauka</w:t>
            </w:r>
          </w:p>
        </w:tc>
        <w:tc>
          <w:tcPr>
            <w:tcW w:w="589" w:type="pct"/>
            <w:tcBorders>
              <w:top w:val="nil"/>
              <w:left w:val="nil"/>
              <w:bottom w:val="nil"/>
              <w:right w:val="nil"/>
            </w:tcBorders>
            <w:noWrap/>
            <w:vAlign w:val="bottom"/>
          </w:tcPr>
          <w:p w14:paraId="11B31C30" w14:textId="77777777" w:rsidR="00146578" w:rsidRPr="00491BF9" w:rsidRDefault="00146578" w:rsidP="00E31119">
            <w:pPr>
              <w:rPr>
                <w:rFonts w:cs="Arial"/>
                <w:lang w:val="lt-LT"/>
              </w:rPr>
            </w:pPr>
            <w:r w:rsidRPr="00491BF9">
              <w:rPr>
                <w:rFonts w:cs="Arial"/>
                <w:lang w:val="lt-LT"/>
              </w:rPr>
              <w:t>0,0040</w:t>
            </w:r>
          </w:p>
        </w:tc>
        <w:tc>
          <w:tcPr>
            <w:tcW w:w="704" w:type="pct"/>
            <w:tcBorders>
              <w:top w:val="nil"/>
              <w:left w:val="nil"/>
              <w:bottom w:val="nil"/>
              <w:right w:val="nil"/>
            </w:tcBorders>
            <w:noWrap/>
            <w:vAlign w:val="bottom"/>
          </w:tcPr>
          <w:p w14:paraId="1F4D1BEE" w14:textId="77777777" w:rsidR="00146578" w:rsidRPr="00491BF9" w:rsidRDefault="00146578" w:rsidP="00E31119">
            <w:pPr>
              <w:rPr>
                <w:rFonts w:cs="Arial"/>
                <w:lang w:val="lt-LT"/>
              </w:rPr>
            </w:pPr>
            <w:r w:rsidRPr="00491BF9">
              <w:rPr>
                <w:rFonts w:cs="Arial"/>
                <w:lang w:val="lt-LT"/>
              </w:rPr>
              <w:t>0,0055</w:t>
            </w:r>
          </w:p>
        </w:tc>
        <w:tc>
          <w:tcPr>
            <w:tcW w:w="704" w:type="pct"/>
            <w:tcBorders>
              <w:top w:val="nil"/>
              <w:left w:val="nil"/>
              <w:bottom w:val="nil"/>
              <w:right w:val="nil"/>
            </w:tcBorders>
            <w:noWrap/>
            <w:vAlign w:val="bottom"/>
          </w:tcPr>
          <w:p w14:paraId="6C353FAB" w14:textId="77777777" w:rsidR="00146578" w:rsidRPr="00491BF9" w:rsidRDefault="00146578" w:rsidP="00E31119">
            <w:pPr>
              <w:rPr>
                <w:rFonts w:cs="Arial"/>
                <w:lang w:val="lt-LT"/>
              </w:rPr>
            </w:pPr>
            <w:r w:rsidRPr="00491BF9">
              <w:rPr>
                <w:rFonts w:cs="Arial"/>
                <w:lang w:val="lt-LT"/>
              </w:rPr>
              <w:t>0,0080</w:t>
            </w:r>
          </w:p>
        </w:tc>
        <w:tc>
          <w:tcPr>
            <w:tcW w:w="653" w:type="pct"/>
            <w:tcBorders>
              <w:top w:val="nil"/>
              <w:left w:val="nil"/>
              <w:bottom w:val="nil"/>
              <w:right w:val="nil"/>
            </w:tcBorders>
            <w:noWrap/>
            <w:vAlign w:val="bottom"/>
          </w:tcPr>
          <w:p w14:paraId="51D86487" w14:textId="77777777" w:rsidR="00146578" w:rsidRPr="00491BF9" w:rsidRDefault="00146578" w:rsidP="00E31119">
            <w:pPr>
              <w:rPr>
                <w:rFonts w:cs="Arial"/>
                <w:lang w:val="lt-LT"/>
              </w:rPr>
            </w:pPr>
            <w:r w:rsidRPr="00491BF9">
              <w:rPr>
                <w:rFonts w:cs="Arial"/>
                <w:lang w:val="lt-LT"/>
              </w:rPr>
              <w:t>0,012</w:t>
            </w:r>
          </w:p>
        </w:tc>
        <w:tc>
          <w:tcPr>
            <w:tcW w:w="653" w:type="pct"/>
            <w:tcBorders>
              <w:top w:val="nil"/>
              <w:left w:val="nil"/>
              <w:bottom w:val="nil"/>
              <w:right w:val="single" w:sz="4" w:space="0" w:color="auto"/>
            </w:tcBorders>
            <w:noWrap/>
            <w:vAlign w:val="bottom"/>
          </w:tcPr>
          <w:p w14:paraId="75956DF9" w14:textId="77777777" w:rsidR="00146578" w:rsidRPr="00491BF9" w:rsidRDefault="00146578" w:rsidP="00E31119">
            <w:pPr>
              <w:rPr>
                <w:rFonts w:cs="Arial"/>
                <w:lang w:val="lt-LT"/>
              </w:rPr>
            </w:pPr>
            <w:r w:rsidRPr="00491BF9">
              <w:rPr>
                <w:rFonts w:cs="Arial"/>
                <w:lang w:val="lt-LT"/>
              </w:rPr>
              <w:t>0,023</w:t>
            </w:r>
          </w:p>
        </w:tc>
      </w:tr>
      <w:tr w:rsidR="00146578" w:rsidRPr="00491BF9" w14:paraId="31AA83F2" w14:textId="77777777" w:rsidTr="004F35D3">
        <w:trPr>
          <w:trHeight w:val="255"/>
        </w:trPr>
        <w:tc>
          <w:tcPr>
            <w:tcW w:w="1697" w:type="pct"/>
            <w:tcBorders>
              <w:top w:val="nil"/>
              <w:left w:val="single" w:sz="4" w:space="0" w:color="auto"/>
              <w:bottom w:val="nil"/>
              <w:right w:val="nil"/>
            </w:tcBorders>
            <w:noWrap/>
            <w:vAlign w:val="bottom"/>
          </w:tcPr>
          <w:p w14:paraId="6BE4E108" w14:textId="77777777" w:rsidR="00146578" w:rsidRPr="00491BF9" w:rsidRDefault="00146578" w:rsidP="00E31119">
            <w:pPr>
              <w:rPr>
                <w:rFonts w:cs="Arial"/>
                <w:lang w:val="lt-LT"/>
              </w:rPr>
            </w:pPr>
            <w:r w:rsidRPr="00491BF9">
              <w:rPr>
                <w:rFonts w:cs="Arial"/>
                <w:lang w:val="lt-LT"/>
              </w:rPr>
              <w:t>Skydliaukė</w:t>
            </w:r>
          </w:p>
        </w:tc>
        <w:tc>
          <w:tcPr>
            <w:tcW w:w="589" w:type="pct"/>
            <w:tcBorders>
              <w:top w:val="nil"/>
              <w:left w:val="nil"/>
              <w:bottom w:val="nil"/>
              <w:right w:val="nil"/>
            </w:tcBorders>
            <w:noWrap/>
            <w:vAlign w:val="bottom"/>
          </w:tcPr>
          <w:p w14:paraId="4699E58B" w14:textId="77777777" w:rsidR="00146578" w:rsidRPr="00491BF9" w:rsidRDefault="00146578" w:rsidP="00E31119">
            <w:pPr>
              <w:rPr>
                <w:rFonts w:cs="Arial"/>
                <w:lang w:val="lt-LT"/>
              </w:rPr>
            </w:pPr>
            <w:r w:rsidRPr="00491BF9">
              <w:rPr>
                <w:rFonts w:cs="Arial"/>
                <w:lang w:val="lt-LT"/>
              </w:rPr>
              <w:t>0,0044</w:t>
            </w:r>
          </w:p>
        </w:tc>
        <w:tc>
          <w:tcPr>
            <w:tcW w:w="704" w:type="pct"/>
            <w:tcBorders>
              <w:top w:val="nil"/>
              <w:left w:val="nil"/>
              <w:bottom w:val="nil"/>
              <w:right w:val="nil"/>
            </w:tcBorders>
            <w:noWrap/>
            <w:vAlign w:val="bottom"/>
          </w:tcPr>
          <w:p w14:paraId="1907F19F" w14:textId="77777777" w:rsidR="00146578" w:rsidRPr="00491BF9" w:rsidRDefault="00146578" w:rsidP="00E31119">
            <w:pPr>
              <w:rPr>
                <w:rFonts w:cs="Arial"/>
                <w:lang w:val="lt-LT"/>
              </w:rPr>
            </w:pPr>
            <w:r w:rsidRPr="00491BF9">
              <w:rPr>
                <w:rFonts w:cs="Arial"/>
                <w:lang w:val="lt-LT"/>
              </w:rPr>
              <w:t>0,0064</w:t>
            </w:r>
          </w:p>
        </w:tc>
        <w:tc>
          <w:tcPr>
            <w:tcW w:w="704" w:type="pct"/>
            <w:tcBorders>
              <w:top w:val="nil"/>
              <w:left w:val="nil"/>
              <w:bottom w:val="nil"/>
              <w:right w:val="nil"/>
            </w:tcBorders>
            <w:noWrap/>
            <w:vAlign w:val="bottom"/>
          </w:tcPr>
          <w:p w14:paraId="60CD185B" w14:textId="77777777" w:rsidR="00146578" w:rsidRPr="00491BF9" w:rsidRDefault="00146578" w:rsidP="00E31119">
            <w:pPr>
              <w:rPr>
                <w:rFonts w:cs="Arial"/>
                <w:lang w:val="lt-LT"/>
              </w:rPr>
            </w:pPr>
            <w:r w:rsidRPr="00491BF9">
              <w:rPr>
                <w:rFonts w:cs="Arial"/>
                <w:lang w:val="lt-LT"/>
              </w:rPr>
              <w:t>0,0099</w:t>
            </w:r>
          </w:p>
        </w:tc>
        <w:tc>
          <w:tcPr>
            <w:tcW w:w="653" w:type="pct"/>
            <w:tcBorders>
              <w:top w:val="nil"/>
              <w:left w:val="nil"/>
              <w:bottom w:val="nil"/>
              <w:right w:val="nil"/>
            </w:tcBorders>
            <w:noWrap/>
            <w:vAlign w:val="bottom"/>
          </w:tcPr>
          <w:p w14:paraId="372C52B8" w14:textId="77777777" w:rsidR="00146578" w:rsidRPr="00491BF9" w:rsidRDefault="00146578" w:rsidP="00E31119">
            <w:pPr>
              <w:rPr>
                <w:rFonts w:cs="Arial"/>
                <w:lang w:val="lt-LT"/>
              </w:rPr>
            </w:pPr>
            <w:r w:rsidRPr="00491BF9">
              <w:rPr>
                <w:rFonts w:cs="Arial"/>
                <w:lang w:val="lt-LT"/>
              </w:rPr>
              <w:t>0,019</w:t>
            </w:r>
          </w:p>
        </w:tc>
        <w:tc>
          <w:tcPr>
            <w:tcW w:w="653" w:type="pct"/>
            <w:tcBorders>
              <w:top w:val="nil"/>
              <w:left w:val="nil"/>
              <w:bottom w:val="nil"/>
              <w:right w:val="single" w:sz="4" w:space="0" w:color="auto"/>
            </w:tcBorders>
            <w:noWrap/>
            <w:vAlign w:val="bottom"/>
          </w:tcPr>
          <w:p w14:paraId="3A6E39C1" w14:textId="77777777" w:rsidR="00146578" w:rsidRPr="00491BF9" w:rsidRDefault="00146578" w:rsidP="00E31119">
            <w:pPr>
              <w:rPr>
                <w:rFonts w:cs="Arial"/>
                <w:lang w:val="lt-LT"/>
              </w:rPr>
            </w:pPr>
            <w:r w:rsidRPr="00491BF9">
              <w:rPr>
                <w:rFonts w:cs="Arial"/>
                <w:lang w:val="lt-LT"/>
              </w:rPr>
              <w:t>0,035</w:t>
            </w:r>
          </w:p>
        </w:tc>
      </w:tr>
      <w:tr w:rsidR="009B20FA" w:rsidRPr="009B20FA" w14:paraId="7D8BF880" w14:textId="77777777" w:rsidTr="004F35D3">
        <w:trPr>
          <w:trHeight w:val="255"/>
        </w:trPr>
        <w:tc>
          <w:tcPr>
            <w:tcW w:w="1697" w:type="pct"/>
            <w:tcBorders>
              <w:top w:val="nil"/>
              <w:left w:val="single" w:sz="4" w:space="0" w:color="auto"/>
              <w:bottom w:val="nil"/>
              <w:right w:val="nil"/>
            </w:tcBorders>
            <w:noWrap/>
            <w:vAlign w:val="bottom"/>
          </w:tcPr>
          <w:p w14:paraId="214824C3" w14:textId="02754137" w:rsidR="009B20FA" w:rsidRPr="00491BF9" w:rsidRDefault="009B20FA" w:rsidP="00E31119">
            <w:pPr>
              <w:rPr>
                <w:rFonts w:cs="Arial"/>
                <w:lang w:val="lt-LT"/>
              </w:rPr>
            </w:pPr>
            <w:r>
              <w:rPr>
                <w:rFonts w:cs="Arial"/>
                <w:lang w:val="lt-LT"/>
              </w:rPr>
              <w:t>Šlapimo pūslės siena</w:t>
            </w:r>
          </w:p>
        </w:tc>
        <w:tc>
          <w:tcPr>
            <w:tcW w:w="589" w:type="pct"/>
            <w:tcBorders>
              <w:top w:val="nil"/>
              <w:left w:val="nil"/>
              <w:bottom w:val="nil"/>
              <w:right w:val="nil"/>
            </w:tcBorders>
            <w:noWrap/>
            <w:vAlign w:val="bottom"/>
          </w:tcPr>
          <w:p w14:paraId="67B710B9" w14:textId="5D76F9CB" w:rsidR="009B20FA" w:rsidRPr="00491BF9" w:rsidRDefault="009B20FA" w:rsidP="00E31119">
            <w:pPr>
              <w:rPr>
                <w:rFonts w:cs="Arial"/>
                <w:lang w:val="lt-LT"/>
              </w:rPr>
            </w:pPr>
            <w:r>
              <w:rPr>
                <w:rFonts w:cs="Arial"/>
                <w:lang w:val="lt-LT"/>
              </w:rPr>
              <w:t>0,0098</w:t>
            </w:r>
          </w:p>
        </w:tc>
        <w:tc>
          <w:tcPr>
            <w:tcW w:w="704" w:type="pct"/>
            <w:tcBorders>
              <w:top w:val="nil"/>
              <w:left w:val="nil"/>
              <w:bottom w:val="nil"/>
              <w:right w:val="nil"/>
            </w:tcBorders>
            <w:noWrap/>
            <w:vAlign w:val="bottom"/>
          </w:tcPr>
          <w:p w14:paraId="750978C6" w14:textId="15E4650C" w:rsidR="009B20FA" w:rsidRPr="00491BF9" w:rsidRDefault="009B20FA" w:rsidP="00E31119">
            <w:pPr>
              <w:rPr>
                <w:rFonts w:cs="Arial"/>
                <w:lang w:val="lt-LT"/>
              </w:rPr>
            </w:pPr>
            <w:r>
              <w:rPr>
                <w:rFonts w:cs="Arial"/>
                <w:lang w:val="lt-LT"/>
              </w:rPr>
              <w:t>0,013</w:t>
            </w:r>
          </w:p>
        </w:tc>
        <w:tc>
          <w:tcPr>
            <w:tcW w:w="704" w:type="pct"/>
            <w:tcBorders>
              <w:top w:val="nil"/>
              <w:left w:val="nil"/>
              <w:bottom w:val="nil"/>
              <w:right w:val="nil"/>
            </w:tcBorders>
            <w:noWrap/>
            <w:vAlign w:val="bottom"/>
          </w:tcPr>
          <w:p w14:paraId="076B2F88" w14:textId="56CB910C" w:rsidR="009B20FA" w:rsidRPr="00491BF9" w:rsidRDefault="009B20FA" w:rsidP="00E31119">
            <w:pPr>
              <w:rPr>
                <w:rFonts w:cs="Arial"/>
                <w:lang w:val="lt-LT"/>
              </w:rPr>
            </w:pPr>
            <w:r>
              <w:rPr>
                <w:rFonts w:cs="Arial"/>
                <w:lang w:val="lt-LT"/>
              </w:rPr>
              <w:t>0,017</w:t>
            </w:r>
          </w:p>
        </w:tc>
        <w:tc>
          <w:tcPr>
            <w:tcW w:w="653" w:type="pct"/>
            <w:tcBorders>
              <w:top w:val="nil"/>
              <w:left w:val="nil"/>
              <w:bottom w:val="nil"/>
              <w:right w:val="nil"/>
            </w:tcBorders>
            <w:noWrap/>
            <w:vAlign w:val="bottom"/>
          </w:tcPr>
          <w:p w14:paraId="360B2197" w14:textId="15E5DC29" w:rsidR="009B20FA" w:rsidRPr="00491BF9" w:rsidRDefault="009B20FA" w:rsidP="00E31119">
            <w:pPr>
              <w:rPr>
                <w:rFonts w:cs="Arial"/>
                <w:lang w:val="lt-LT"/>
              </w:rPr>
            </w:pPr>
            <w:r>
              <w:rPr>
                <w:rFonts w:cs="Arial"/>
                <w:lang w:val="lt-LT"/>
              </w:rPr>
              <w:t>0,021</w:t>
            </w:r>
          </w:p>
        </w:tc>
        <w:tc>
          <w:tcPr>
            <w:tcW w:w="653" w:type="pct"/>
            <w:tcBorders>
              <w:top w:val="nil"/>
              <w:left w:val="nil"/>
              <w:bottom w:val="nil"/>
              <w:right w:val="single" w:sz="4" w:space="0" w:color="auto"/>
            </w:tcBorders>
            <w:noWrap/>
            <w:vAlign w:val="bottom"/>
          </w:tcPr>
          <w:p w14:paraId="641465A3" w14:textId="33CAA536" w:rsidR="009B20FA" w:rsidRPr="00491BF9" w:rsidRDefault="009B20FA" w:rsidP="00E31119">
            <w:pPr>
              <w:rPr>
                <w:rFonts w:cs="Arial"/>
                <w:lang w:val="lt-LT"/>
              </w:rPr>
            </w:pPr>
            <w:r>
              <w:rPr>
                <w:rFonts w:cs="Arial"/>
                <w:lang w:val="lt-LT"/>
              </w:rPr>
              <w:t>0,038</w:t>
            </w:r>
          </w:p>
        </w:tc>
      </w:tr>
      <w:tr w:rsidR="00146578" w:rsidRPr="00491BF9" w14:paraId="4CD775B6" w14:textId="77777777" w:rsidTr="004F35D3">
        <w:trPr>
          <w:trHeight w:val="255"/>
        </w:trPr>
        <w:tc>
          <w:tcPr>
            <w:tcW w:w="1697" w:type="pct"/>
            <w:tcBorders>
              <w:top w:val="nil"/>
              <w:left w:val="single" w:sz="4" w:space="0" w:color="auto"/>
              <w:bottom w:val="nil"/>
              <w:right w:val="nil"/>
            </w:tcBorders>
            <w:noWrap/>
            <w:vAlign w:val="bottom"/>
          </w:tcPr>
          <w:p w14:paraId="7594A4CA" w14:textId="77777777" w:rsidR="00146578" w:rsidRPr="00491BF9" w:rsidRDefault="00146578" w:rsidP="00E31119">
            <w:pPr>
              <w:rPr>
                <w:rFonts w:cs="Arial"/>
                <w:lang w:val="lt-LT"/>
              </w:rPr>
            </w:pPr>
            <w:r w:rsidRPr="00491BF9">
              <w:rPr>
                <w:rFonts w:cs="Arial"/>
                <w:lang w:val="lt-LT"/>
              </w:rPr>
              <w:t>Gimda</w:t>
            </w:r>
          </w:p>
        </w:tc>
        <w:tc>
          <w:tcPr>
            <w:tcW w:w="589" w:type="pct"/>
            <w:tcBorders>
              <w:top w:val="nil"/>
              <w:left w:val="nil"/>
              <w:bottom w:val="nil"/>
              <w:right w:val="nil"/>
            </w:tcBorders>
            <w:noWrap/>
            <w:vAlign w:val="bottom"/>
          </w:tcPr>
          <w:p w14:paraId="6282DD54" w14:textId="77777777" w:rsidR="00146578" w:rsidRPr="00491BF9" w:rsidRDefault="00146578" w:rsidP="00E31119">
            <w:pPr>
              <w:rPr>
                <w:rFonts w:cs="Arial"/>
                <w:lang w:val="lt-LT"/>
              </w:rPr>
            </w:pPr>
            <w:r w:rsidRPr="00491BF9">
              <w:rPr>
                <w:rFonts w:cs="Arial"/>
                <w:lang w:val="lt-LT"/>
              </w:rPr>
              <w:t>0,0072</w:t>
            </w:r>
          </w:p>
        </w:tc>
        <w:tc>
          <w:tcPr>
            <w:tcW w:w="704" w:type="pct"/>
            <w:tcBorders>
              <w:top w:val="nil"/>
              <w:left w:val="nil"/>
              <w:bottom w:val="nil"/>
              <w:right w:val="nil"/>
            </w:tcBorders>
            <w:noWrap/>
            <w:vAlign w:val="bottom"/>
          </w:tcPr>
          <w:p w14:paraId="5171DAC6" w14:textId="77777777" w:rsidR="00146578" w:rsidRPr="00491BF9" w:rsidRDefault="00146578" w:rsidP="00E31119">
            <w:pPr>
              <w:rPr>
                <w:rFonts w:cs="Arial"/>
                <w:lang w:val="lt-LT"/>
              </w:rPr>
            </w:pPr>
            <w:r w:rsidRPr="00491BF9">
              <w:rPr>
                <w:rFonts w:cs="Arial"/>
                <w:lang w:val="lt-LT"/>
              </w:rPr>
              <w:t>0,0093</w:t>
            </w:r>
          </w:p>
        </w:tc>
        <w:tc>
          <w:tcPr>
            <w:tcW w:w="704" w:type="pct"/>
            <w:tcBorders>
              <w:top w:val="nil"/>
              <w:left w:val="nil"/>
              <w:bottom w:val="nil"/>
              <w:right w:val="nil"/>
            </w:tcBorders>
            <w:noWrap/>
            <w:vAlign w:val="bottom"/>
          </w:tcPr>
          <w:p w14:paraId="17E2B00E" w14:textId="77777777" w:rsidR="00146578" w:rsidRPr="00491BF9" w:rsidRDefault="00146578" w:rsidP="00E31119">
            <w:pPr>
              <w:rPr>
                <w:rFonts w:cs="Arial"/>
                <w:lang w:val="lt-LT"/>
              </w:rPr>
            </w:pPr>
            <w:r w:rsidRPr="00491BF9">
              <w:rPr>
                <w:rFonts w:cs="Arial"/>
                <w:lang w:val="lt-LT"/>
              </w:rPr>
              <w:t>0,014</w:t>
            </w:r>
          </w:p>
        </w:tc>
        <w:tc>
          <w:tcPr>
            <w:tcW w:w="653" w:type="pct"/>
            <w:tcBorders>
              <w:top w:val="nil"/>
              <w:left w:val="nil"/>
              <w:bottom w:val="nil"/>
              <w:right w:val="nil"/>
            </w:tcBorders>
            <w:noWrap/>
            <w:vAlign w:val="bottom"/>
          </w:tcPr>
          <w:p w14:paraId="6E88BF8E" w14:textId="77777777" w:rsidR="00146578" w:rsidRPr="00491BF9" w:rsidRDefault="00146578" w:rsidP="00E31119">
            <w:pPr>
              <w:rPr>
                <w:rFonts w:cs="Arial"/>
                <w:lang w:val="lt-LT"/>
              </w:rPr>
            </w:pPr>
            <w:r w:rsidRPr="00491BF9">
              <w:rPr>
                <w:rFonts w:cs="Arial"/>
                <w:lang w:val="lt-LT"/>
              </w:rPr>
              <w:t>0,020</w:t>
            </w:r>
          </w:p>
        </w:tc>
        <w:tc>
          <w:tcPr>
            <w:tcW w:w="653" w:type="pct"/>
            <w:tcBorders>
              <w:top w:val="nil"/>
              <w:left w:val="nil"/>
              <w:bottom w:val="nil"/>
              <w:right w:val="single" w:sz="4" w:space="0" w:color="auto"/>
            </w:tcBorders>
            <w:noWrap/>
            <w:vAlign w:val="bottom"/>
          </w:tcPr>
          <w:p w14:paraId="0F29ACD1" w14:textId="77777777" w:rsidR="00146578" w:rsidRPr="00491BF9" w:rsidRDefault="00146578" w:rsidP="00E31119">
            <w:pPr>
              <w:rPr>
                <w:rFonts w:cs="Arial"/>
                <w:lang w:val="lt-LT"/>
              </w:rPr>
            </w:pPr>
            <w:r w:rsidRPr="00491BF9">
              <w:rPr>
                <w:rFonts w:cs="Arial"/>
                <w:lang w:val="lt-LT"/>
              </w:rPr>
              <w:t>0,035</w:t>
            </w:r>
          </w:p>
        </w:tc>
      </w:tr>
      <w:tr w:rsidR="00146578" w:rsidRPr="00491BF9" w14:paraId="4C847D42" w14:textId="77777777" w:rsidTr="004F35D3">
        <w:trPr>
          <w:trHeight w:val="255"/>
        </w:trPr>
        <w:tc>
          <w:tcPr>
            <w:tcW w:w="1697" w:type="pct"/>
            <w:tcBorders>
              <w:top w:val="nil"/>
              <w:left w:val="single" w:sz="4" w:space="0" w:color="auto"/>
              <w:bottom w:val="nil"/>
              <w:right w:val="nil"/>
            </w:tcBorders>
            <w:noWrap/>
            <w:vAlign w:val="bottom"/>
          </w:tcPr>
          <w:p w14:paraId="2D6798D1" w14:textId="77777777" w:rsidR="00146578" w:rsidRPr="00491BF9" w:rsidRDefault="00146578" w:rsidP="00E31119">
            <w:pPr>
              <w:rPr>
                <w:rFonts w:cs="Arial"/>
                <w:lang w:val="lt-LT"/>
              </w:rPr>
            </w:pPr>
            <w:r w:rsidRPr="00491BF9">
              <w:rPr>
                <w:rFonts w:cs="Arial"/>
                <w:lang w:val="lt-LT"/>
              </w:rPr>
              <w:t>Likę organai</w:t>
            </w:r>
          </w:p>
        </w:tc>
        <w:tc>
          <w:tcPr>
            <w:tcW w:w="589" w:type="pct"/>
            <w:tcBorders>
              <w:top w:val="nil"/>
              <w:left w:val="nil"/>
              <w:bottom w:val="nil"/>
              <w:right w:val="nil"/>
            </w:tcBorders>
            <w:noWrap/>
            <w:vAlign w:val="bottom"/>
          </w:tcPr>
          <w:p w14:paraId="7A5E64E3" w14:textId="77777777" w:rsidR="00146578" w:rsidRPr="00491BF9" w:rsidRDefault="00146578" w:rsidP="00E31119">
            <w:pPr>
              <w:rPr>
                <w:rFonts w:cs="Arial"/>
                <w:lang w:val="lt-LT"/>
              </w:rPr>
            </w:pPr>
            <w:r w:rsidRPr="00491BF9">
              <w:rPr>
                <w:rFonts w:cs="Arial"/>
                <w:lang w:val="lt-LT"/>
              </w:rPr>
              <w:t>0,0033</w:t>
            </w:r>
          </w:p>
        </w:tc>
        <w:tc>
          <w:tcPr>
            <w:tcW w:w="704" w:type="pct"/>
            <w:tcBorders>
              <w:top w:val="nil"/>
              <w:left w:val="nil"/>
              <w:bottom w:val="nil"/>
              <w:right w:val="nil"/>
            </w:tcBorders>
            <w:noWrap/>
            <w:vAlign w:val="bottom"/>
          </w:tcPr>
          <w:p w14:paraId="125145F0" w14:textId="77777777" w:rsidR="00146578" w:rsidRPr="00491BF9" w:rsidRDefault="00146578" w:rsidP="00E31119">
            <w:pPr>
              <w:rPr>
                <w:rFonts w:cs="Arial"/>
                <w:lang w:val="lt-LT"/>
              </w:rPr>
            </w:pPr>
            <w:r w:rsidRPr="00491BF9">
              <w:rPr>
                <w:rFonts w:cs="Arial"/>
                <w:lang w:val="lt-LT"/>
              </w:rPr>
              <w:t>0,0043</w:t>
            </w:r>
          </w:p>
        </w:tc>
        <w:tc>
          <w:tcPr>
            <w:tcW w:w="704" w:type="pct"/>
            <w:tcBorders>
              <w:top w:val="nil"/>
              <w:left w:val="nil"/>
              <w:bottom w:val="nil"/>
              <w:right w:val="nil"/>
            </w:tcBorders>
            <w:noWrap/>
            <w:vAlign w:val="bottom"/>
          </w:tcPr>
          <w:p w14:paraId="52F4CA33" w14:textId="77777777" w:rsidR="00146578" w:rsidRPr="00491BF9" w:rsidRDefault="00146578" w:rsidP="00E31119">
            <w:pPr>
              <w:rPr>
                <w:rFonts w:cs="Arial"/>
                <w:lang w:val="lt-LT"/>
              </w:rPr>
            </w:pPr>
            <w:r w:rsidRPr="00491BF9">
              <w:rPr>
                <w:rFonts w:cs="Arial"/>
                <w:lang w:val="lt-LT"/>
              </w:rPr>
              <w:t>0,0064</w:t>
            </w:r>
          </w:p>
        </w:tc>
        <w:tc>
          <w:tcPr>
            <w:tcW w:w="653" w:type="pct"/>
            <w:tcBorders>
              <w:top w:val="nil"/>
              <w:left w:val="nil"/>
              <w:bottom w:val="nil"/>
              <w:right w:val="nil"/>
            </w:tcBorders>
            <w:noWrap/>
            <w:vAlign w:val="bottom"/>
          </w:tcPr>
          <w:p w14:paraId="13FDE158" w14:textId="77777777" w:rsidR="00146578" w:rsidRPr="00491BF9" w:rsidRDefault="00146578" w:rsidP="00E31119">
            <w:pPr>
              <w:rPr>
                <w:rFonts w:cs="Arial"/>
                <w:lang w:val="lt-LT"/>
              </w:rPr>
            </w:pPr>
            <w:r w:rsidRPr="00491BF9">
              <w:rPr>
                <w:rFonts w:cs="Arial"/>
                <w:lang w:val="lt-LT"/>
              </w:rPr>
              <w:t>0,0098</w:t>
            </w:r>
          </w:p>
        </w:tc>
        <w:tc>
          <w:tcPr>
            <w:tcW w:w="653" w:type="pct"/>
            <w:tcBorders>
              <w:top w:val="nil"/>
              <w:left w:val="nil"/>
              <w:bottom w:val="nil"/>
              <w:right w:val="single" w:sz="4" w:space="0" w:color="auto"/>
            </w:tcBorders>
            <w:noWrap/>
            <w:vAlign w:val="bottom"/>
          </w:tcPr>
          <w:p w14:paraId="0DBAA624" w14:textId="77777777" w:rsidR="00146578" w:rsidRPr="00491BF9" w:rsidRDefault="00146578" w:rsidP="00E31119">
            <w:pPr>
              <w:rPr>
                <w:rFonts w:cs="Arial"/>
                <w:lang w:val="lt-LT"/>
              </w:rPr>
            </w:pPr>
            <w:r w:rsidRPr="00491BF9">
              <w:rPr>
                <w:rFonts w:cs="Arial"/>
                <w:lang w:val="lt-LT"/>
              </w:rPr>
              <w:t>0,018</w:t>
            </w:r>
          </w:p>
        </w:tc>
      </w:tr>
      <w:tr w:rsidR="00146578" w:rsidRPr="00491BF9" w14:paraId="67319641" w14:textId="77777777" w:rsidTr="004F35D3">
        <w:trPr>
          <w:trHeight w:val="255"/>
        </w:trPr>
        <w:tc>
          <w:tcPr>
            <w:tcW w:w="1697" w:type="pct"/>
            <w:tcBorders>
              <w:top w:val="nil"/>
              <w:left w:val="single" w:sz="4" w:space="0" w:color="auto"/>
              <w:bottom w:val="nil"/>
              <w:right w:val="nil"/>
            </w:tcBorders>
            <w:noWrap/>
            <w:vAlign w:val="bottom"/>
          </w:tcPr>
          <w:p w14:paraId="79C9E7D6" w14:textId="77777777" w:rsidR="00146578" w:rsidRPr="00491BF9" w:rsidRDefault="00146578" w:rsidP="00E31119">
            <w:pPr>
              <w:rPr>
                <w:rFonts w:cs="Arial"/>
                <w:lang w:val="lt-LT"/>
              </w:rPr>
            </w:pPr>
            <w:r w:rsidRPr="00491BF9">
              <w:rPr>
                <w:rFonts w:cs="Arial"/>
                <w:lang w:val="lt-LT"/>
              </w:rPr>
              <w:t>Veiksminga dozė</w:t>
            </w:r>
          </w:p>
        </w:tc>
        <w:tc>
          <w:tcPr>
            <w:tcW w:w="589" w:type="pct"/>
            <w:tcBorders>
              <w:top w:val="nil"/>
              <w:left w:val="nil"/>
              <w:bottom w:val="nil"/>
              <w:right w:val="nil"/>
            </w:tcBorders>
            <w:noWrap/>
            <w:vAlign w:val="bottom"/>
          </w:tcPr>
          <w:p w14:paraId="51CFFEF8" w14:textId="77777777" w:rsidR="00146578" w:rsidRPr="00491BF9" w:rsidRDefault="00146578" w:rsidP="00E31119">
            <w:pPr>
              <w:rPr>
                <w:rFonts w:cs="Arial"/>
                <w:lang w:val="lt-LT"/>
              </w:rPr>
            </w:pPr>
            <w:r w:rsidRPr="00491BF9">
              <w:rPr>
                <w:rFonts w:cs="Arial"/>
                <w:lang w:val="lt-LT"/>
              </w:rPr>
              <w:t>0,0079</w:t>
            </w:r>
          </w:p>
        </w:tc>
        <w:tc>
          <w:tcPr>
            <w:tcW w:w="704" w:type="pct"/>
            <w:tcBorders>
              <w:top w:val="nil"/>
              <w:left w:val="nil"/>
              <w:bottom w:val="nil"/>
              <w:right w:val="nil"/>
            </w:tcBorders>
            <w:noWrap/>
            <w:vAlign w:val="bottom"/>
          </w:tcPr>
          <w:p w14:paraId="33753E3F" w14:textId="77777777" w:rsidR="00146578" w:rsidRPr="00491BF9" w:rsidRDefault="00146578" w:rsidP="00E31119">
            <w:pPr>
              <w:rPr>
                <w:rFonts w:cs="Arial"/>
                <w:lang w:val="lt-LT"/>
              </w:rPr>
            </w:pPr>
            <w:r w:rsidRPr="00491BF9">
              <w:rPr>
                <w:rFonts w:cs="Arial"/>
                <w:lang w:val="lt-LT"/>
              </w:rPr>
              <w:t>0,010</w:t>
            </w:r>
          </w:p>
        </w:tc>
        <w:tc>
          <w:tcPr>
            <w:tcW w:w="704" w:type="pct"/>
            <w:tcBorders>
              <w:top w:val="nil"/>
              <w:left w:val="nil"/>
              <w:bottom w:val="nil"/>
              <w:right w:val="nil"/>
            </w:tcBorders>
            <w:noWrap/>
            <w:vAlign w:val="bottom"/>
          </w:tcPr>
          <w:p w14:paraId="33E1BBAC" w14:textId="77777777" w:rsidR="00146578" w:rsidRPr="00491BF9" w:rsidRDefault="00146578" w:rsidP="00E31119">
            <w:pPr>
              <w:rPr>
                <w:rFonts w:cs="Arial"/>
                <w:lang w:val="lt-LT"/>
              </w:rPr>
            </w:pPr>
            <w:r w:rsidRPr="00491BF9">
              <w:rPr>
                <w:rFonts w:cs="Arial"/>
                <w:lang w:val="lt-LT"/>
              </w:rPr>
              <w:t>0,016</w:t>
            </w:r>
          </w:p>
        </w:tc>
        <w:tc>
          <w:tcPr>
            <w:tcW w:w="653" w:type="pct"/>
            <w:tcBorders>
              <w:top w:val="nil"/>
              <w:left w:val="nil"/>
              <w:bottom w:val="nil"/>
              <w:right w:val="nil"/>
            </w:tcBorders>
            <w:noWrap/>
            <w:vAlign w:val="bottom"/>
          </w:tcPr>
          <w:p w14:paraId="75E98594" w14:textId="77777777" w:rsidR="00146578" w:rsidRPr="00491BF9" w:rsidRDefault="00146578" w:rsidP="00E31119">
            <w:pPr>
              <w:rPr>
                <w:rFonts w:cs="Arial"/>
                <w:lang w:val="lt-LT"/>
              </w:rPr>
            </w:pPr>
            <w:r w:rsidRPr="00491BF9">
              <w:rPr>
                <w:rFonts w:cs="Arial"/>
                <w:lang w:val="lt-LT"/>
              </w:rPr>
              <w:t>0,023</w:t>
            </w:r>
          </w:p>
        </w:tc>
        <w:tc>
          <w:tcPr>
            <w:tcW w:w="653" w:type="pct"/>
            <w:tcBorders>
              <w:top w:val="nil"/>
              <w:left w:val="nil"/>
              <w:bottom w:val="nil"/>
              <w:right w:val="single" w:sz="4" w:space="0" w:color="auto"/>
            </w:tcBorders>
            <w:noWrap/>
            <w:vAlign w:val="bottom"/>
          </w:tcPr>
          <w:p w14:paraId="1AB685A4" w14:textId="77777777" w:rsidR="00146578" w:rsidRPr="00491BF9" w:rsidRDefault="00146578" w:rsidP="00E31119">
            <w:pPr>
              <w:rPr>
                <w:rFonts w:cs="Arial"/>
                <w:lang w:val="lt-LT"/>
              </w:rPr>
            </w:pPr>
            <w:r w:rsidRPr="00491BF9">
              <w:rPr>
                <w:rFonts w:cs="Arial"/>
                <w:lang w:val="lt-LT"/>
              </w:rPr>
              <w:t>0,045</w:t>
            </w:r>
          </w:p>
        </w:tc>
      </w:tr>
      <w:tr w:rsidR="00146578" w:rsidRPr="00491BF9" w14:paraId="611699C4" w14:textId="77777777" w:rsidTr="004F35D3">
        <w:trPr>
          <w:trHeight w:val="255"/>
        </w:trPr>
        <w:tc>
          <w:tcPr>
            <w:tcW w:w="1697" w:type="pct"/>
            <w:tcBorders>
              <w:top w:val="nil"/>
              <w:left w:val="single" w:sz="4" w:space="0" w:color="auto"/>
              <w:bottom w:val="single" w:sz="4" w:space="0" w:color="auto"/>
              <w:right w:val="nil"/>
            </w:tcBorders>
            <w:noWrap/>
            <w:vAlign w:val="bottom"/>
          </w:tcPr>
          <w:p w14:paraId="745E25DC" w14:textId="77777777" w:rsidR="00146578" w:rsidRPr="00491BF9" w:rsidRDefault="00146578" w:rsidP="00E31119">
            <w:pPr>
              <w:rPr>
                <w:rFonts w:cs="Arial"/>
                <w:lang w:val="lt-LT"/>
              </w:rPr>
            </w:pPr>
            <w:r w:rsidRPr="00491BF9">
              <w:rPr>
                <w:rFonts w:cs="Arial"/>
                <w:lang w:val="lt-LT"/>
              </w:rPr>
              <w:t>(mSv/MBq)</w:t>
            </w:r>
          </w:p>
        </w:tc>
        <w:tc>
          <w:tcPr>
            <w:tcW w:w="589" w:type="pct"/>
            <w:tcBorders>
              <w:top w:val="nil"/>
              <w:left w:val="nil"/>
              <w:bottom w:val="single" w:sz="4" w:space="0" w:color="auto"/>
              <w:right w:val="nil"/>
            </w:tcBorders>
            <w:noWrap/>
            <w:vAlign w:val="bottom"/>
          </w:tcPr>
          <w:p w14:paraId="5ADF587D" w14:textId="77777777" w:rsidR="00146578" w:rsidRPr="00491BF9" w:rsidRDefault="00146578" w:rsidP="00E31119">
            <w:pPr>
              <w:rPr>
                <w:rFonts w:cs="Arial"/>
                <w:lang w:val="lt-LT"/>
              </w:rPr>
            </w:pPr>
          </w:p>
        </w:tc>
        <w:tc>
          <w:tcPr>
            <w:tcW w:w="704" w:type="pct"/>
            <w:tcBorders>
              <w:top w:val="nil"/>
              <w:left w:val="nil"/>
              <w:bottom w:val="single" w:sz="4" w:space="0" w:color="auto"/>
              <w:right w:val="nil"/>
            </w:tcBorders>
            <w:noWrap/>
            <w:vAlign w:val="bottom"/>
          </w:tcPr>
          <w:p w14:paraId="45529F15" w14:textId="77777777" w:rsidR="00146578" w:rsidRPr="00491BF9" w:rsidRDefault="00146578" w:rsidP="00E31119">
            <w:pPr>
              <w:rPr>
                <w:rFonts w:cs="Arial"/>
                <w:lang w:val="lt-LT"/>
              </w:rPr>
            </w:pPr>
          </w:p>
        </w:tc>
        <w:tc>
          <w:tcPr>
            <w:tcW w:w="704" w:type="pct"/>
            <w:tcBorders>
              <w:top w:val="nil"/>
              <w:left w:val="nil"/>
              <w:bottom w:val="single" w:sz="4" w:space="0" w:color="auto"/>
              <w:right w:val="nil"/>
            </w:tcBorders>
            <w:noWrap/>
            <w:vAlign w:val="bottom"/>
          </w:tcPr>
          <w:p w14:paraId="0DADC325" w14:textId="77777777" w:rsidR="00146578" w:rsidRPr="00491BF9" w:rsidRDefault="00146578" w:rsidP="00E31119">
            <w:pPr>
              <w:rPr>
                <w:rFonts w:cs="Arial"/>
                <w:lang w:val="lt-LT"/>
              </w:rPr>
            </w:pPr>
          </w:p>
        </w:tc>
        <w:tc>
          <w:tcPr>
            <w:tcW w:w="653" w:type="pct"/>
            <w:tcBorders>
              <w:top w:val="nil"/>
              <w:left w:val="nil"/>
              <w:bottom w:val="single" w:sz="4" w:space="0" w:color="auto"/>
              <w:right w:val="nil"/>
            </w:tcBorders>
            <w:noWrap/>
            <w:vAlign w:val="bottom"/>
          </w:tcPr>
          <w:p w14:paraId="5E24261A" w14:textId="77777777" w:rsidR="00146578" w:rsidRPr="00491BF9" w:rsidRDefault="00146578" w:rsidP="00E31119">
            <w:pPr>
              <w:rPr>
                <w:rFonts w:cs="Arial"/>
                <w:lang w:val="lt-LT"/>
              </w:rPr>
            </w:pPr>
          </w:p>
        </w:tc>
        <w:tc>
          <w:tcPr>
            <w:tcW w:w="653" w:type="pct"/>
            <w:tcBorders>
              <w:top w:val="nil"/>
              <w:left w:val="nil"/>
              <w:bottom w:val="single" w:sz="4" w:space="0" w:color="auto"/>
              <w:right w:val="single" w:sz="4" w:space="0" w:color="auto"/>
            </w:tcBorders>
            <w:noWrap/>
            <w:vAlign w:val="bottom"/>
          </w:tcPr>
          <w:p w14:paraId="2BD68E1C" w14:textId="77777777" w:rsidR="00146578" w:rsidRPr="00491BF9" w:rsidRDefault="00146578" w:rsidP="00E31119">
            <w:pPr>
              <w:rPr>
                <w:rFonts w:cs="Arial"/>
                <w:lang w:val="lt-LT"/>
              </w:rPr>
            </w:pPr>
          </w:p>
        </w:tc>
      </w:tr>
    </w:tbl>
    <w:p w14:paraId="3B15ECFD" w14:textId="77777777" w:rsidR="00146578" w:rsidRPr="00491BF9" w:rsidRDefault="00146578" w:rsidP="00146578">
      <w:pPr>
        <w:autoSpaceDE w:val="0"/>
        <w:autoSpaceDN w:val="0"/>
        <w:adjustRightInd w:val="0"/>
        <w:rPr>
          <w:lang w:val="lt-LT"/>
        </w:rPr>
      </w:pPr>
    </w:p>
    <w:p w14:paraId="53317841" w14:textId="77777777" w:rsidR="00146578" w:rsidRPr="00491BF9" w:rsidRDefault="00146578" w:rsidP="00146578">
      <w:pPr>
        <w:autoSpaceDE w:val="0"/>
        <w:autoSpaceDN w:val="0"/>
        <w:adjustRightInd w:val="0"/>
        <w:rPr>
          <w:lang w:val="lt-LT"/>
        </w:rPr>
      </w:pPr>
      <w:r w:rsidRPr="00491BF9">
        <w:rPr>
          <w:lang w:val="lt-LT"/>
        </w:rPr>
        <w:t>Veiksminga dozė apskaičiuota pagal suaugusiųjų tuštinimosi dažnį per 3,5 valandas.</w:t>
      </w:r>
    </w:p>
    <w:p w14:paraId="2BDF475B" w14:textId="77777777" w:rsidR="00146578" w:rsidRPr="00491BF9" w:rsidRDefault="00146578" w:rsidP="00146578">
      <w:pPr>
        <w:autoSpaceDE w:val="0"/>
        <w:autoSpaceDN w:val="0"/>
        <w:adjustRightInd w:val="0"/>
        <w:rPr>
          <w:lang w:val="lt-LT"/>
        </w:rPr>
      </w:pPr>
    </w:p>
    <w:p w14:paraId="2FC13D8F" w14:textId="77777777" w:rsidR="00146578" w:rsidRPr="00491BF9" w:rsidRDefault="00146578" w:rsidP="00146578">
      <w:pPr>
        <w:spacing w:line="260" w:lineRule="exact"/>
        <w:rPr>
          <w:i/>
          <w:lang w:val="lt-LT"/>
        </w:rPr>
      </w:pPr>
      <w:r w:rsidRPr="00491BF9">
        <w:rPr>
          <w:i/>
          <w:iCs/>
          <w:lang w:val="lt-LT"/>
        </w:rPr>
        <w:t>Širdies</w:t>
      </w:r>
      <w:r w:rsidRPr="00491BF9">
        <w:rPr>
          <w:i/>
          <w:lang w:val="lt-LT"/>
        </w:rPr>
        <w:t xml:space="preserve"> skenavimas</w:t>
      </w:r>
    </w:p>
    <w:p w14:paraId="23636613" w14:textId="3F93F242" w:rsidR="00146578" w:rsidRPr="00491BF9" w:rsidRDefault="00146578" w:rsidP="00146578">
      <w:pPr>
        <w:rPr>
          <w:spacing w:val="2"/>
          <w:lang w:val="lt-LT"/>
        </w:rPr>
      </w:pPr>
      <w:r w:rsidRPr="00491BF9">
        <w:rPr>
          <w:lang w:val="lt-LT"/>
        </w:rPr>
        <w:t>Veiksminga Technetium (</w:t>
      </w:r>
      <w:r w:rsidRPr="00491BF9">
        <w:rPr>
          <w:vertAlign w:val="superscript"/>
          <w:lang w:val="lt-LT"/>
        </w:rPr>
        <w:t>99m</w:t>
      </w:r>
      <w:r w:rsidRPr="00491BF9">
        <w:rPr>
          <w:lang w:val="lt-LT"/>
        </w:rPr>
        <w:t xml:space="preserve">Tc) Sestamibi dozė, susidaranti skiriant didžiausią rekomenduojamą </w:t>
      </w:r>
      <w:r w:rsidR="001E1D89">
        <w:rPr>
          <w:lang w:val="lt-LT"/>
        </w:rPr>
        <w:t>1 6</w:t>
      </w:r>
      <w:r w:rsidRPr="00491BF9">
        <w:rPr>
          <w:lang w:val="lt-LT"/>
        </w:rPr>
        <w:t xml:space="preserve">00 MBq aktyvumą 70 kg sveriančiam suaugusiajam, yra apie </w:t>
      </w:r>
      <w:r w:rsidR="001E1D89">
        <w:rPr>
          <w:lang w:val="lt-LT"/>
        </w:rPr>
        <w:t>13,0</w:t>
      </w:r>
      <w:r w:rsidRPr="00491BF9">
        <w:rPr>
          <w:lang w:val="lt-LT"/>
        </w:rPr>
        <w:t xml:space="preserve"> mSv, jei taikomas vienos dienos protokolas skiriant </w:t>
      </w:r>
      <w:r w:rsidR="001E1D89">
        <w:rPr>
          <w:lang w:val="lt-LT"/>
        </w:rPr>
        <w:t>4</w:t>
      </w:r>
      <w:r w:rsidR="001E1D89" w:rsidRPr="00491BF9">
        <w:rPr>
          <w:lang w:val="lt-LT"/>
        </w:rPr>
        <w:t>00 </w:t>
      </w:r>
      <w:r w:rsidRPr="00491BF9">
        <w:rPr>
          <w:lang w:val="lt-LT"/>
        </w:rPr>
        <w:t xml:space="preserve">MBq </w:t>
      </w:r>
      <w:r w:rsidR="002F7DEE">
        <w:rPr>
          <w:lang w:val="lt-LT"/>
        </w:rPr>
        <w:t>atliekant krūvio testą</w:t>
      </w:r>
      <w:r w:rsidR="001E1D89" w:rsidRPr="00491BF9">
        <w:rPr>
          <w:lang w:val="lt-LT"/>
        </w:rPr>
        <w:t xml:space="preserve"> </w:t>
      </w:r>
      <w:r w:rsidRPr="00491BF9">
        <w:rPr>
          <w:lang w:val="lt-LT"/>
        </w:rPr>
        <w:t>ir 1 </w:t>
      </w:r>
      <w:r w:rsidR="001E1D89">
        <w:rPr>
          <w:lang w:val="lt-LT"/>
        </w:rPr>
        <w:t>2</w:t>
      </w:r>
      <w:r w:rsidR="001E1D89" w:rsidRPr="00491BF9">
        <w:rPr>
          <w:lang w:val="lt-LT"/>
        </w:rPr>
        <w:t>00 </w:t>
      </w:r>
      <w:r w:rsidRPr="00491BF9">
        <w:rPr>
          <w:lang w:val="lt-LT"/>
        </w:rPr>
        <w:t xml:space="preserve">MBq </w:t>
      </w:r>
      <w:r w:rsidR="001E1D89">
        <w:rPr>
          <w:lang w:val="lt-LT"/>
        </w:rPr>
        <w:t>ramybės būklėje</w:t>
      </w:r>
      <w:r w:rsidRPr="00491BF9">
        <w:rPr>
          <w:lang w:val="lt-LT"/>
        </w:rPr>
        <w:t>.</w:t>
      </w:r>
    </w:p>
    <w:p w14:paraId="374FB98D" w14:textId="11D4AA51" w:rsidR="00146578" w:rsidRPr="00491BF9" w:rsidRDefault="00146578" w:rsidP="00146578">
      <w:pPr>
        <w:rPr>
          <w:lang w:val="lt-LT"/>
        </w:rPr>
      </w:pPr>
      <w:r w:rsidRPr="00491BF9">
        <w:rPr>
          <w:lang w:val="lt-LT"/>
        </w:rPr>
        <w:t xml:space="preserve">Šiam skirtajam </w:t>
      </w:r>
      <w:r w:rsidR="001E1D89">
        <w:rPr>
          <w:lang w:val="lt-LT"/>
        </w:rPr>
        <w:t>1 6</w:t>
      </w:r>
      <w:r w:rsidRPr="00491BF9">
        <w:rPr>
          <w:lang w:val="lt-LT"/>
        </w:rPr>
        <w:t xml:space="preserve">00 MBq aktyvumui tipinė spinduliuotės dozė organui-taikiniui širdžiai yra </w:t>
      </w:r>
      <w:r w:rsidR="002F7DEE">
        <w:rPr>
          <w:lang w:val="lt-LT"/>
        </w:rPr>
        <w:t>11,2</w:t>
      </w:r>
      <w:r w:rsidR="002F7DEE" w:rsidRPr="00491BF9">
        <w:rPr>
          <w:lang w:val="lt-LT"/>
        </w:rPr>
        <w:t> </w:t>
      </w:r>
      <w:r w:rsidRPr="00491BF9">
        <w:rPr>
          <w:lang w:val="lt-LT"/>
        </w:rPr>
        <w:t xml:space="preserve">mGy, tipinės spinduliuotės dozės svarbiems organams tulžies pūslei, inkstams ir viršutinei storosios žarnos daliai yra atitinkamai </w:t>
      </w:r>
      <w:r w:rsidR="002F7DEE">
        <w:rPr>
          <w:lang w:val="lt-LT"/>
        </w:rPr>
        <w:t>55,2, 45,6</w:t>
      </w:r>
      <w:r w:rsidRPr="00491BF9">
        <w:rPr>
          <w:lang w:val="lt-LT"/>
        </w:rPr>
        <w:t xml:space="preserve"> ir </w:t>
      </w:r>
      <w:r w:rsidR="002F7DEE">
        <w:rPr>
          <w:lang w:val="lt-LT"/>
        </w:rPr>
        <w:t>37,2</w:t>
      </w:r>
      <w:r w:rsidRPr="00491BF9">
        <w:rPr>
          <w:lang w:val="lt-LT"/>
        </w:rPr>
        <w:t> mGy.</w:t>
      </w:r>
    </w:p>
    <w:p w14:paraId="088E171D" w14:textId="77777777" w:rsidR="00146578" w:rsidRPr="00491BF9" w:rsidRDefault="00146578" w:rsidP="00146578">
      <w:pPr>
        <w:rPr>
          <w:lang w:val="lt-LT"/>
        </w:rPr>
      </w:pPr>
    </w:p>
    <w:p w14:paraId="4E19728D" w14:textId="28A9D0A2" w:rsidR="00146578" w:rsidRPr="00491BF9" w:rsidRDefault="00146578" w:rsidP="00146578">
      <w:pPr>
        <w:rPr>
          <w:lang w:val="lt-LT"/>
        </w:rPr>
      </w:pPr>
      <w:r w:rsidRPr="00491BF9">
        <w:rPr>
          <w:lang w:val="lt-LT"/>
        </w:rPr>
        <w:t>Veiksminga Technetium (</w:t>
      </w:r>
      <w:r w:rsidRPr="00491BF9">
        <w:rPr>
          <w:vertAlign w:val="superscript"/>
          <w:lang w:val="lt-LT"/>
        </w:rPr>
        <w:t>99m</w:t>
      </w:r>
      <w:r w:rsidRPr="00491BF9">
        <w:rPr>
          <w:lang w:val="lt-LT"/>
        </w:rPr>
        <w:t>Tc) Sestamibi dozė, susidaranti skiriant didžiausią rekomenduojamą 1 </w:t>
      </w:r>
      <w:r w:rsidR="002F7DEE">
        <w:rPr>
          <w:lang w:val="lt-LT"/>
        </w:rPr>
        <w:t>2</w:t>
      </w:r>
      <w:r w:rsidR="002F7DEE" w:rsidRPr="00491BF9">
        <w:rPr>
          <w:lang w:val="lt-LT"/>
        </w:rPr>
        <w:t>00 </w:t>
      </w:r>
      <w:r w:rsidRPr="00491BF9">
        <w:rPr>
          <w:lang w:val="lt-LT"/>
        </w:rPr>
        <w:t>MBq aktyvumą (</w:t>
      </w:r>
      <w:r w:rsidR="002F7DEE">
        <w:rPr>
          <w:lang w:val="lt-LT"/>
        </w:rPr>
        <w:t>6</w:t>
      </w:r>
      <w:r w:rsidR="002F7DEE" w:rsidRPr="00491BF9">
        <w:rPr>
          <w:lang w:val="lt-LT"/>
        </w:rPr>
        <w:t>00 </w:t>
      </w:r>
      <w:r w:rsidRPr="00491BF9">
        <w:rPr>
          <w:lang w:val="lt-LT"/>
        </w:rPr>
        <w:t xml:space="preserve">MBq ramybėje ir </w:t>
      </w:r>
      <w:r w:rsidR="002F7DEE">
        <w:rPr>
          <w:lang w:val="lt-LT"/>
        </w:rPr>
        <w:t>6</w:t>
      </w:r>
      <w:r w:rsidR="002F7DEE" w:rsidRPr="00491BF9">
        <w:rPr>
          <w:lang w:val="lt-LT"/>
        </w:rPr>
        <w:t>00 </w:t>
      </w:r>
      <w:r w:rsidRPr="00491BF9">
        <w:rPr>
          <w:lang w:val="lt-LT"/>
        </w:rPr>
        <w:t xml:space="preserve">MBq atliekant krūvio testą) 70 kg sveriančiam suaugusiajam, yra apie </w:t>
      </w:r>
      <w:r w:rsidR="002F7DEE">
        <w:rPr>
          <w:lang w:val="lt-LT"/>
        </w:rPr>
        <w:t>10,1</w:t>
      </w:r>
      <w:r w:rsidRPr="00491BF9">
        <w:rPr>
          <w:lang w:val="lt-LT"/>
        </w:rPr>
        <w:t> mSv taikant dviejų dienų protokolą.</w:t>
      </w:r>
    </w:p>
    <w:p w14:paraId="414C5BD9" w14:textId="6066EC92" w:rsidR="00146578" w:rsidRPr="00491BF9" w:rsidRDefault="00146578" w:rsidP="00146578">
      <w:pPr>
        <w:rPr>
          <w:lang w:val="lt-LT"/>
        </w:rPr>
      </w:pPr>
      <w:r w:rsidRPr="00491BF9">
        <w:rPr>
          <w:lang w:val="lt-LT"/>
        </w:rPr>
        <w:t>Šiam skirtajam 1 </w:t>
      </w:r>
      <w:r w:rsidR="002F7DEE">
        <w:rPr>
          <w:lang w:val="lt-LT"/>
        </w:rPr>
        <w:t>2</w:t>
      </w:r>
      <w:r w:rsidR="002F7DEE" w:rsidRPr="00491BF9">
        <w:rPr>
          <w:lang w:val="lt-LT"/>
        </w:rPr>
        <w:t>00 </w:t>
      </w:r>
      <w:r w:rsidRPr="00491BF9">
        <w:rPr>
          <w:lang w:val="lt-LT"/>
        </w:rPr>
        <w:t xml:space="preserve">MBq aktyvumui tipinė spinduliuotės dozė organui-taikiniui širdžiai yra </w:t>
      </w:r>
      <w:r w:rsidR="002F7DEE">
        <w:rPr>
          <w:lang w:val="lt-LT"/>
        </w:rPr>
        <w:t>8,1</w:t>
      </w:r>
      <w:r w:rsidRPr="00491BF9">
        <w:rPr>
          <w:lang w:val="lt-LT"/>
        </w:rPr>
        <w:t xml:space="preserve"> mGy, tipinės spinduliuotės dozės svarbiems organams tulžies pūslei, inkstams ir viršutinei storosios žarnos daliai yra atitinkamai </w:t>
      </w:r>
      <w:r w:rsidR="002F7DEE">
        <w:rPr>
          <w:lang w:val="lt-LT"/>
        </w:rPr>
        <w:t>43,2, 37,2</w:t>
      </w:r>
      <w:r w:rsidRPr="00491BF9">
        <w:rPr>
          <w:lang w:val="lt-LT"/>
        </w:rPr>
        <w:t xml:space="preserve"> ir </w:t>
      </w:r>
      <w:r w:rsidR="002F7DEE">
        <w:rPr>
          <w:lang w:val="lt-LT"/>
        </w:rPr>
        <w:t>29,4</w:t>
      </w:r>
      <w:r w:rsidRPr="00491BF9">
        <w:rPr>
          <w:lang w:val="lt-LT"/>
        </w:rPr>
        <w:t> mGy.</w:t>
      </w:r>
    </w:p>
    <w:p w14:paraId="296C5865" w14:textId="77777777" w:rsidR="00146578" w:rsidRPr="00491BF9" w:rsidRDefault="00146578" w:rsidP="00146578">
      <w:pPr>
        <w:rPr>
          <w:lang w:val="lt-LT"/>
        </w:rPr>
      </w:pPr>
    </w:p>
    <w:p w14:paraId="3C87D5E3" w14:textId="77777777" w:rsidR="00146578" w:rsidRPr="00491BF9" w:rsidRDefault="00146578" w:rsidP="00146578">
      <w:pPr>
        <w:rPr>
          <w:i/>
          <w:iCs/>
          <w:lang w:val="lt-LT"/>
        </w:rPr>
      </w:pPr>
      <w:r w:rsidRPr="00491BF9">
        <w:rPr>
          <w:i/>
          <w:iCs/>
          <w:lang w:val="lt-LT"/>
        </w:rPr>
        <w:t>Scintimamografija</w:t>
      </w:r>
    </w:p>
    <w:p w14:paraId="42252BF9" w14:textId="77777777" w:rsidR="00146578" w:rsidRPr="00491BF9" w:rsidRDefault="00146578" w:rsidP="00146578">
      <w:pPr>
        <w:rPr>
          <w:lang w:val="lt-LT"/>
        </w:rPr>
      </w:pPr>
      <w:r w:rsidRPr="00491BF9">
        <w:rPr>
          <w:lang w:val="lt-LT"/>
        </w:rPr>
        <w:t>Veiksminga Technetium (</w:t>
      </w:r>
      <w:r w:rsidRPr="00491BF9">
        <w:rPr>
          <w:vertAlign w:val="superscript"/>
          <w:lang w:val="lt-LT"/>
        </w:rPr>
        <w:t>99m</w:t>
      </w:r>
      <w:r w:rsidRPr="00491BF9">
        <w:rPr>
          <w:lang w:val="lt-LT"/>
        </w:rPr>
        <w:t>Tc) Sestamibi dozė, susidaranti skiriant didžiausią rekomenduojamą 1 000 MBq aktyvumą 70 kg sveriančiam suaugusiajam, yra apie 9 mSv.</w:t>
      </w:r>
    </w:p>
    <w:p w14:paraId="2714C660" w14:textId="77777777" w:rsidR="00146578" w:rsidRPr="00491BF9" w:rsidRDefault="00146578" w:rsidP="00146578">
      <w:pPr>
        <w:rPr>
          <w:lang w:val="lt-LT"/>
        </w:rPr>
      </w:pPr>
      <w:r w:rsidRPr="00491BF9">
        <w:rPr>
          <w:lang w:val="lt-LT"/>
        </w:rPr>
        <w:t>Šiam skirtajam 1 000 MBq aktyvumui tipinė spinduliuotės dozė organui-taikiniui krūčiai yra 3,8 mGy, tipinės spinduliuotės dozės svarbiems organams tulžies pūslei, inkstams ir viršutinei storosios žarnos daliai yra atitinkamai 39, 36 ir 27 mGy.</w:t>
      </w:r>
    </w:p>
    <w:p w14:paraId="630B1F53" w14:textId="77777777" w:rsidR="00146578" w:rsidRPr="00491BF9" w:rsidRDefault="00146578" w:rsidP="00146578">
      <w:pPr>
        <w:rPr>
          <w:lang w:val="lt-LT"/>
        </w:rPr>
      </w:pPr>
    </w:p>
    <w:p w14:paraId="3CBD93CF" w14:textId="77777777" w:rsidR="00146578" w:rsidRPr="00491BF9" w:rsidRDefault="00146578" w:rsidP="00146578">
      <w:pPr>
        <w:rPr>
          <w:i/>
          <w:lang w:val="lt-LT"/>
        </w:rPr>
      </w:pPr>
      <w:r w:rsidRPr="00491BF9">
        <w:rPr>
          <w:i/>
          <w:lang w:val="lt-LT"/>
        </w:rPr>
        <w:t>Prieskydinių liaukų skenavimas</w:t>
      </w:r>
    </w:p>
    <w:p w14:paraId="4FDC522D" w14:textId="5F9E8578" w:rsidR="00146578" w:rsidRPr="00491BF9" w:rsidRDefault="00146578" w:rsidP="00146578">
      <w:pPr>
        <w:rPr>
          <w:lang w:val="lt-LT"/>
        </w:rPr>
      </w:pPr>
      <w:r w:rsidRPr="00491BF9">
        <w:rPr>
          <w:lang w:val="lt-LT"/>
        </w:rPr>
        <w:t>Veiksminga Technetium (</w:t>
      </w:r>
      <w:r w:rsidRPr="00491BF9">
        <w:rPr>
          <w:vertAlign w:val="superscript"/>
          <w:lang w:val="lt-LT"/>
        </w:rPr>
        <w:t>99m</w:t>
      </w:r>
      <w:r w:rsidRPr="00491BF9">
        <w:rPr>
          <w:lang w:val="lt-LT"/>
        </w:rPr>
        <w:t xml:space="preserve">Tc) Sestamibi dozė, susidaranti skiriant didžiausią rekomenduojamą </w:t>
      </w:r>
      <w:r w:rsidR="00A453D3">
        <w:rPr>
          <w:lang w:val="lt-LT"/>
        </w:rPr>
        <w:t>9</w:t>
      </w:r>
      <w:r w:rsidR="00A453D3" w:rsidRPr="00491BF9">
        <w:rPr>
          <w:lang w:val="lt-LT"/>
        </w:rPr>
        <w:t>00 </w:t>
      </w:r>
      <w:r w:rsidRPr="00491BF9">
        <w:rPr>
          <w:lang w:val="lt-LT"/>
        </w:rPr>
        <w:t xml:space="preserve">MBq aktyvumą 70 kg sveriančiam suaugusiajam, yra apie </w:t>
      </w:r>
      <w:r w:rsidR="00A453D3">
        <w:rPr>
          <w:lang w:val="lt-LT"/>
        </w:rPr>
        <w:t>8,1</w:t>
      </w:r>
      <w:r w:rsidRPr="00491BF9">
        <w:rPr>
          <w:lang w:val="lt-LT"/>
        </w:rPr>
        <w:t> mSv.</w:t>
      </w:r>
    </w:p>
    <w:p w14:paraId="52496A5A" w14:textId="07792AE8" w:rsidR="00146578" w:rsidRPr="00491BF9" w:rsidRDefault="00146578" w:rsidP="00146578">
      <w:pPr>
        <w:rPr>
          <w:lang w:val="lt-LT"/>
        </w:rPr>
      </w:pPr>
      <w:r w:rsidRPr="00491BF9">
        <w:rPr>
          <w:lang w:val="lt-LT"/>
        </w:rPr>
        <w:t xml:space="preserve">Šiam skirtajam </w:t>
      </w:r>
      <w:r w:rsidR="00A453D3">
        <w:rPr>
          <w:lang w:val="lt-LT"/>
        </w:rPr>
        <w:t>9</w:t>
      </w:r>
      <w:r w:rsidR="00A453D3" w:rsidRPr="00491BF9">
        <w:rPr>
          <w:lang w:val="lt-LT"/>
        </w:rPr>
        <w:t>00 </w:t>
      </w:r>
      <w:r w:rsidRPr="00491BF9">
        <w:rPr>
          <w:lang w:val="lt-LT"/>
        </w:rPr>
        <w:t xml:space="preserve">MBq aktyvumui tipinė spinduliuotės dozė organui-taikiniui skydliaukei yra </w:t>
      </w:r>
      <w:r w:rsidR="00A453D3">
        <w:rPr>
          <w:lang w:val="lt-LT"/>
        </w:rPr>
        <w:t>4,8</w:t>
      </w:r>
      <w:r w:rsidRPr="00491BF9">
        <w:rPr>
          <w:lang w:val="lt-LT"/>
        </w:rPr>
        <w:t xml:space="preserve"> mGy, tipinės spinduliuotės dozės svarbiems organams tulžies pūslei, inkstams ir viršutinei storosios žarnos daliai yra atitinkamai </w:t>
      </w:r>
      <w:r w:rsidR="00A453D3">
        <w:rPr>
          <w:lang w:val="lt-LT"/>
        </w:rPr>
        <w:t>35,1, 32,4</w:t>
      </w:r>
      <w:r w:rsidRPr="00491BF9">
        <w:rPr>
          <w:lang w:val="lt-LT"/>
        </w:rPr>
        <w:t xml:space="preserve"> ir </w:t>
      </w:r>
      <w:r w:rsidR="00A453D3">
        <w:rPr>
          <w:lang w:val="lt-LT"/>
        </w:rPr>
        <w:t>24,3</w:t>
      </w:r>
      <w:r w:rsidRPr="00491BF9">
        <w:rPr>
          <w:lang w:val="lt-LT"/>
        </w:rPr>
        <w:t> mGy.</w:t>
      </w:r>
    </w:p>
    <w:p w14:paraId="6581EF03" w14:textId="77777777" w:rsidR="00146578" w:rsidRPr="00491BF9" w:rsidRDefault="00146578" w:rsidP="00146578">
      <w:pPr>
        <w:rPr>
          <w:lang w:val="lt-LT"/>
        </w:rPr>
      </w:pPr>
    </w:p>
    <w:p w14:paraId="44BB2AA5" w14:textId="77777777" w:rsidR="00146578" w:rsidRPr="00491BF9" w:rsidRDefault="00146578" w:rsidP="00146578">
      <w:pPr>
        <w:rPr>
          <w:lang w:val="lt-LT"/>
        </w:rPr>
      </w:pPr>
    </w:p>
    <w:p w14:paraId="5B5FCCA3" w14:textId="77777777" w:rsidR="00146578" w:rsidRPr="00491BF9" w:rsidRDefault="00146578" w:rsidP="00146578">
      <w:pPr>
        <w:ind w:left="567" w:hanging="567"/>
        <w:rPr>
          <w:b/>
          <w:lang w:val="lt-LT"/>
        </w:rPr>
      </w:pPr>
      <w:r w:rsidRPr="00491BF9">
        <w:rPr>
          <w:b/>
          <w:lang w:val="lt-LT"/>
        </w:rPr>
        <w:t>12.</w:t>
      </w:r>
      <w:r w:rsidRPr="00491BF9">
        <w:rPr>
          <w:b/>
          <w:lang w:val="lt-LT"/>
        </w:rPr>
        <w:tab/>
      </w:r>
      <w:r w:rsidRPr="00491BF9">
        <w:rPr>
          <w:b/>
          <w:caps/>
          <w:lang w:val="lt-LT"/>
        </w:rPr>
        <w:t>RadiofarmaciniŲ preparatŲ RUOŠIMO INSTRUKCIJA</w:t>
      </w:r>
    </w:p>
    <w:p w14:paraId="053A7B1C" w14:textId="77777777" w:rsidR="00146578" w:rsidRPr="00491BF9" w:rsidRDefault="00146578" w:rsidP="00146578">
      <w:pPr>
        <w:rPr>
          <w:b/>
          <w:lang w:val="lt-LT"/>
        </w:rPr>
      </w:pPr>
    </w:p>
    <w:p w14:paraId="2F91983F" w14:textId="77777777" w:rsidR="00146578" w:rsidRPr="00491BF9" w:rsidRDefault="00146578" w:rsidP="00146578">
      <w:pPr>
        <w:rPr>
          <w:lang w:val="lt-LT"/>
        </w:rPr>
      </w:pPr>
      <w:r w:rsidRPr="00491BF9">
        <w:rPr>
          <w:lang w:val="lt-LT"/>
        </w:rPr>
        <w:t>Preparato vartojimas turi būti nutraukiamas septinėmis sąlygomis. Iki kamščio dezinfekavimo flakonų atidaryti negalima, tirpalą reikia įtraukti per kamštį naudojant tinkamai apsaugotą vienadozį švirkštą ir vienkartinę sterilią adatą arba naudojant patvirtintą automatinę leidimo sistemą.</w:t>
      </w:r>
    </w:p>
    <w:p w14:paraId="7F8A6FC4" w14:textId="77777777" w:rsidR="00146578" w:rsidRPr="00491BF9" w:rsidRDefault="00146578" w:rsidP="00146578">
      <w:pPr>
        <w:rPr>
          <w:lang w:val="lt-LT"/>
        </w:rPr>
      </w:pPr>
      <w:r w:rsidRPr="00491BF9">
        <w:rPr>
          <w:lang w:val="lt-LT"/>
        </w:rPr>
        <w:t>Pažeidus šio flakono vientisumą, preparato vartoti negalima.</w:t>
      </w:r>
    </w:p>
    <w:p w14:paraId="7CEEABF5" w14:textId="77777777" w:rsidR="00146578" w:rsidRPr="00491BF9" w:rsidRDefault="00146578" w:rsidP="00146578">
      <w:pPr>
        <w:rPr>
          <w:lang w:val="lt-LT"/>
        </w:rPr>
      </w:pPr>
    </w:p>
    <w:p w14:paraId="6B47DCA6" w14:textId="77777777" w:rsidR="00146578" w:rsidRPr="00491BF9" w:rsidRDefault="00146578" w:rsidP="00146578">
      <w:pPr>
        <w:rPr>
          <w:u w:val="single"/>
          <w:lang w:val="lt-LT"/>
        </w:rPr>
      </w:pPr>
      <w:r w:rsidRPr="00491BF9">
        <w:rPr>
          <w:u w:val="single"/>
          <w:lang w:val="lt-LT"/>
        </w:rPr>
        <w:t>Instrukcija Technetium (</w:t>
      </w:r>
      <w:r w:rsidRPr="00491BF9">
        <w:rPr>
          <w:u w:val="single"/>
          <w:vertAlign w:val="superscript"/>
          <w:lang w:val="lt-LT"/>
        </w:rPr>
        <w:t>99m</w:t>
      </w:r>
      <w:r w:rsidRPr="00491BF9">
        <w:rPr>
          <w:u w:val="single"/>
          <w:lang w:val="lt-LT"/>
        </w:rPr>
        <w:t>Tc) Sestamibi preparatui</w:t>
      </w:r>
    </w:p>
    <w:p w14:paraId="3EE8B5E1" w14:textId="77777777" w:rsidR="00146578" w:rsidRPr="00491BF9" w:rsidRDefault="00146578" w:rsidP="00146578">
      <w:pPr>
        <w:rPr>
          <w:lang w:val="lt-LT"/>
        </w:rPr>
      </w:pPr>
    </w:p>
    <w:p w14:paraId="00965009" w14:textId="77777777" w:rsidR="00146578" w:rsidRPr="00491BF9" w:rsidRDefault="00146578" w:rsidP="00146578">
      <w:pPr>
        <w:rPr>
          <w:lang w:val="lt-LT"/>
        </w:rPr>
      </w:pPr>
      <w:r w:rsidRPr="00491BF9">
        <w:rPr>
          <w:lang w:val="lt-LT"/>
        </w:rPr>
        <w:t>Technetium (</w:t>
      </w:r>
      <w:r w:rsidRPr="00491BF9">
        <w:rPr>
          <w:vertAlign w:val="superscript"/>
          <w:lang w:val="lt-LT"/>
        </w:rPr>
        <w:t>99m</w:t>
      </w:r>
      <w:r w:rsidRPr="00491BF9">
        <w:rPr>
          <w:lang w:val="lt-LT"/>
        </w:rPr>
        <w:t>Tc) Sestamibi paruošimas iš Technescan Sestamibi rinkinio turi būti atliekamas pagal pateiktą toliau aseptinę procedūrą. Preparatą galima šildyti vandens vonioje arba kaitinimo bloke. Abu metodai aprašyti toliau.</w:t>
      </w:r>
    </w:p>
    <w:p w14:paraId="21890DD6" w14:textId="77777777" w:rsidR="00146578" w:rsidRPr="00491BF9" w:rsidRDefault="00146578" w:rsidP="00146578">
      <w:pPr>
        <w:autoSpaceDE w:val="0"/>
        <w:autoSpaceDN w:val="0"/>
        <w:adjustRightInd w:val="0"/>
        <w:rPr>
          <w:u w:val="single"/>
          <w:lang w:val="lt-LT"/>
        </w:rPr>
      </w:pPr>
    </w:p>
    <w:p w14:paraId="21E496CC" w14:textId="77777777" w:rsidR="00146578" w:rsidRPr="004F35D3" w:rsidRDefault="00146578" w:rsidP="00146578">
      <w:pPr>
        <w:autoSpaceDE w:val="0"/>
        <w:autoSpaceDN w:val="0"/>
        <w:adjustRightInd w:val="0"/>
        <w:rPr>
          <w:lang w:val="lt-LT"/>
        </w:rPr>
      </w:pPr>
      <w:r w:rsidRPr="00491BF9">
        <w:rPr>
          <w:u w:val="single"/>
          <w:lang w:val="lt-LT"/>
        </w:rPr>
        <w:t>Ruošimo metodas</w:t>
      </w:r>
    </w:p>
    <w:p w14:paraId="5979DD19" w14:textId="77777777" w:rsidR="00146578" w:rsidRPr="00491BF9" w:rsidRDefault="00146578" w:rsidP="00146578">
      <w:pPr>
        <w:autoSpaceDE w:val="0"/>
        <w:autoSpaceDN w:val="0"/>
        <w:adjustRightInd w:val="0"/>
        <w:rPr>
          <w:lang w:val="lt-LT"/>
        </w:rPr>
      </w:pPr>
    </w:p>
    <w:p w14:paraId="3323E721" w14:textId="77777777" w:rsidR="00146578" w:rsidRPr="00491BF9" w:rsidRDefault="00146578" w:rsidP="00146578">
      <w:pPr>
        <w:rPr>
          <w:u w:val="single"/>
          <w:lang w:val="lt-LT"/>
        </w:rPr>
      </w:pPr>
      <w:r w:rsidRPr="00491BF9">
        <w:rPr>
          <w:u w:val="single"/>
          <w:lang w:val="lt-LT"/>
        </w:rPr>
        <w:t>Virinimo procedūra:</w:t>
      </w:r>
    </w:p>
    <w:p w14:paraId="0366B376" w14:textId="77777777" w:rsidR="00146578" w:rsidRPr="00491BF9" w:rsidRDefault="00146578" w:rsidP="00146578">
      <w:pPr>
        <w:numPr>
          <w:ilvl w:val="0"/>
          <w:numId w:val="41"/>
        </w:numPr>
        <w:tabs>
          <w:tab w:val="num" w:pos="567"/>
        </w:tabs>
        <w:autoSpaceDE w:val="0"/>
        <w:autoSpaceDN w:val="0"/>
        <w:adjustRightInd w:val="0"/>
        <w:ind w:left="567" w:hanging="567"/>
        <w:rPr>
          <w:lang w:val="lt-LT"/>
        </w:rPr>
      </w:pPr>
      <w:r w:rsidRPr="00491BF9">
        <w:rPr>
          <w:lang w:val="lt-LT"/>
        </w:rPr>
        <w:t>Paruošimo procedūros metu būtina dėvėti neperšlampamas pirštines. Nuo Technescan Sestamibi rinkinio flakono nuimkite atverčiamą dangtelį ir dezinfekcijos tikslu suvilgytu alkoholiu tamponu nuvalykite flakono kaklelį.</w:t>
      </w:r>
    </w:p>
    <w:p w14:paraId="15FF5A83" w14:textId="77777777" w:rsidR="00146578" w:rsidRPr="00491BF9" w:rsidRDefault="00146578" w:rsidP="00146578">
      <w:pPr>
        <w:numPr>
          <w:ilvl w:val="0"/>
          <w:numId w:val="41"/>
        </w:numPr>
        <w:tabs>
          <w:tab w:val="num" w:pos="567"/>
        </w:tabs>
        <w:autoSpaceDE w:val="0"/>
        <w:autoSpaceDN w:val="0"/>
        <w:adjustRightInd w:val="0"/>
        <w:ind w:left="567" w:hanging="567"/>
        <w:rPr>
          <w:lang w:val="lt-LT"/>
        </w:rPr>
      </w:pPr>
      <w:r w:rsidRPr="00491BF9">
        <w:rPr>
          <w:lang w:val="lt-LT"/>
        </w:rPr>
        <w:t>Įdėkite flakoną į tinkamą apsaugantį nuo radiacijos konteinerį, ant kurio pažymėta atitinkama data, paruošimo laikas, tūris ir aktyvumas.</w:t>
      </w:r>
    </w:p>
    <w:p w14:paraId="00400040" w14:textId="77777777" w:rsidR="00146578" w:rsidRPr="00491BF9" w:rsidRDefault="00146578" w:rsidP="00146578">
      <w:pPr>
        <w:numPr>
          <w:ilvl w:val="0"/>
          <w:numId w:val="41"/>
        </w:numPr>
        <w:tabs>
          <w:tab w:val="num" w:pos="567"/>
        </w:tabs>
        <w:autoSpaceDE w:val="0"/>
        <w:autoSpaceDN w:val="0"/>
        <w:adjustRightInd w:val="0"/>
        <w:ind w:left="567" w:hanging="567"/>
        <w:rPr>
          <w:lang w:val="lt-LT"/>
        </w:rPr>
      </w:pPr>
      <w:r w:rsidRPr="00491BF9">
        <w:rPr>
          <w:lang w:val="lt-LT"/>
        </w:rPr>
        <w:t>Steriliu ekranuotu švirkštu pritraukite neturinčio priemaišų, sterilaus, apirogeniško natrio pertechnetato (</w:t>
      </w:r>
      <w:r w:rsidRPr="00491BF9">
        <w:rPr>
          <w:vertAlign w:val="superscript"/>
          <w:lang w:val="lt-LT"/>
        </w:rPr>
        <w:t>99m</w:t>
      </w:r>
      <w:r w:rsidRPr="00491BF9">
        <w:rPr>
          <w:lang w:val="lt-LT"/>
        </w:rPr>
        <w:t>Tc) tirpalo, kurio didžiausias aktyvumas 11,1 GBq apytikriai 1-3 mililitruose. Didžiausiam 11,1 GBq aktyvumui gauti bus sunaudota ne daugiau 3 ml natrio pertechnetato (</w:t>
      </w:r>
      <w:r w:rsidRPr="00491BF9">
        <w:rPr>
          <w:vertAlign w:val="superscript"/>
          <w:lang w:val="lt-LT"/>
        </w:rPr>
        <w:t>99m</w:t>
      </w:r>
      <w:r w:rsidRPr="00491BF9">
        <w:rPr>
          <w:lang w:val="lt-LT"/>
        </w:rPr>
        <w:t>Tc) tirpalo.</w:t>
      </w:r>
    </w:p>
    <w:p w14:paraId="3256549E" w14:textId="77777777" w:rsidR="00146578" w:rsidRPr="00491BF9" w:rsidRDefault="00146578" w:rsidP="00146578">
      <w:pPr>
        <w:numPr>
          <w:ilvl w:val="0"/>
          <w:numId w:val="41"/>
        </w:numPr>
        <w:tabs>
          <w:tab w:val="num" w:pos="567"/>
        </w:tabs>
        <w:autoSpaceDE w:val="0"/>
        <w:autoSpaceDN w:val="0"/>
        <w:adjustRightInd w:val="0"/>
        <w:ind w:left="567" w:hanging="567"/>
        <w:rPr>
          <w:lang w:val="lt-LT"/>
        </w:rPr>
      </w:pPr>
      <w:r w:rsidRPr="00491BF9">
        <w:rPr>
          <w:lang w:val="lt-LT"/>
        </w:rPr>
        <w:t>Aseptiniu būdu pridėkite natrio pertechnetato (</w:t>
      </w:r>
      <w:r w:rsidRPr="00491BF9">
        <w:rPr>
          <w:sz w:val="24"/>
          <w:szCs w:val="24"/>
          <w:vertAlign w:val="superscript"/>
          <w:lang w:val="lt-LT"/>
        </w:rPr>
        <w:t>99m</w:t>
      </w:r>
      <w:r w:rsidRPr="00491BF9">
        <w:rPr>
          <w:sz w:val="24"/>
          <w:szCs w:val="24"/>
          <w:lang w:val="lt-LT"/>
        </w:rPr>
        <w:t>Tc</w:t>
      </w:r>
      <w:r w:rsidRPr="00491BF9">
        <w:rPr>
          <w:lang w:val="lt-LT"/>
        </w:rPr>
        <w:t>) į esantį švininiame konteineryje flakoną. Neištraukdami adatos pašalinkite lygų oro tūrį, kad flakone nesikeistų atmosferos slėgis.</w:t>
      </w:r>
    </w:p>
    <w:p w14:paraId="34F9022C" w14:textId="77777777" w:rsidR="00146578" w:rsidRPr="00491BF9" w:rsidRDefault="00146578" w:rsidP="00146578">
      <w:pPr>
        <w:numPr>
          <w:ilvl w:val="0"/>
          <w:numId w:val="41"/>
        </w:numPr>
        <w:tabs>
          <w:tab w:val="num" w:pos="567"/>
        </w:tabs>
        <w:autoSpaceDE w:val="0"/>
        <w:autoSpaceDN w:val="0"/>
        <w:adjustRightInd w:val="0"/>
        <w:ind w:left="567" w:hanging="567"/>
        <w:rPr>
          <w:lang w:val="lt-LT"/>
        </w:rPr>
      </w:pPr>
      <w:r w:rsidRPr="00491BF9">
        <w:rPr>
          <w:lang w:val="lt-LT"/>
        </w:rPr>
        <w:t>Energingai supurtykite flakoną greitai apversdami jį 5–10 kartų.</w:t>
      </w:r>
    </w:p>
    <w:p w14:paraId="4FD532DE" w14:textId="77777777" w:rsidR="00146578" w:rsidRPr="00491BF9" w:rsidRDefault="00146578" w:rsidP="00146578">
      <w:pPr>
        <w:numPr>
          <w:ilvl w:val="0"/>
          <w:numId w:val="41"/>
        </w:numPr>
        <w:tabs>
          <w:tab w:val="num" w:pos="567"/>
        </w:tabs>
        <w:autoSpaceDE w:val="0"/>
        <w:autoSpaceDN w:val="0"/>
        <w:adjustRightInd w:val="0"/>
        <w:ind w:left="567" w:hanging="567"/>
        <w:rPr>
          <w:lang w:val="lt-LT"/>
        </w:rPr>
      </w:pPr>
      <w:r w:rsidRPr="00491BF9">
        <w:rPr>
          <w:lang w:val="lt-LT"/>
        </w:rPr>
        <w:t>Išimkite flakoną iš švininio konteinerio ir pastatykite jį stačią į atitinkamai ekranuotą ir pripildytą verdančio vandens vonią taip, kad flakonas plūduriuotų virš vonios dugno ir virkite 10 minučių. Vonia turi būti ekranuota. 10 minučių laiko skaičiavimas prasidės tada, kai vanduo vėl pradės virti.</w:t>
      </w:r>
      <w:r w:rsidRPr="00491BF9">
        <w:rPr>
          <w:lang w:val="lt-LT"/>
        </w:rPr>
        <w:br/>
        <w:t>Pastaba: virimo metu flakonas visą laiką turi būti vertikalioje padėtyje. Naudokite vandens vonią, kurioje virš vandens paviršiaus būtų kamštis.</w:t>
      </w:r>
    </w:p>
    <w:p w14:paraId="410D432B" w14:textId="77777777" w:rsidR="00146578" w:rsidRPr="00491BF9" w:rsidRDefault="00146578" w:rsidP="00146578">
      <w:pPr>
        <w:numPr>
          <w:ilvl w:val="0"/>
          <w:numId w:val="41"/>
        </w:numPr>
        <w:tabs>
          <w:tab w:val="num" w:pos="567"/>
        </w:tabs>
        <w:autoSpaceDE w:val="0"/>
        <w:autoSpaceDN w:val="0"/>
        <w:adjustRightInd w:val="0"/>
        <w:ind w:left="567" w:hanging="567"/>
        <w:rPr>
          <w:lang w:val="lt-LT"/>
        </w:rPr>
      </w:pPr>
      <w:r w:rsidRPr="00491BF9">
        <w:rPr>
          <w:lang w:val="lt-LT"/>
        </w:rPr>
        <w:t>Išimkite iš vandens apsaugotą flakoną ir leiskite jam penkiolika minučių atvėsti.</w:t>
      </w:r>
    </w:p>
    <w:p w14:paraId="34D69E44" w14:textId="77777777" w:rsidR="00146578" w:rsidRPr="00491BF9" w:rsidRDefault="00146578" w:rsidP="00146578">
      <w:pPr>
        <w:numPr>
          <w:ilvl w:val="0"/>
          <w:numId w:val="41"/>
        </w:numPr>
        <w:tabs>
          <w:tab w:val="num" w:pos="567"/>
        </w:tabs>
        <w:autoSpaceDE w:val="0"/>
        <w:autoSpaceDN w:val="0"/>
        <w:adjustRightInd w:val="0"/>
        <w:ind w:left="567" w:hanging="567"/>
        <w:rPr>
          <w:lang w:val="lt-LT"/>
        </w:rPr>
      </w:pPr>
      <w:r w:rsidRPr="00491BF9">
        <w:rPr>
          <w:lang w:val="lt-LT"/>
        </w:rPr>
        <w:t>Prieš suleisdami apžiūrėkite, ar tirpale nėra dalelių ir ar nepasikeitė spalva.</w:t>
      </w:r>
    </w:p>
    <w:p w14:paraId="288261C8" w14:textId="77777777" w:rsidR="00146578" w:rsidRPr="00491BF9" w:rsidRDefault="00146578" w:rsidP="00146578">
      <w:pPr>
        <w:numPr>
          <w:ilvl w:val="0"/>
          <w:numId w:val="41"/>
        </w:numPr>
        <w:tabs>
          <w:tab w:val="num" w:pos="567"/>
        </w:tabs>
        <w:autoSpaceDE w:val="0"/>
        <w:autoSpaceDN w:val="0"/>
        <w:adjustRightInd w:val="0"/>
        <w:ind w:left="567" w:hanging="567"/>
        <w:rPr>
          <w:lang w:val="lt-LT"/>
        </w:rPr>
      </w:pPr>
      <w:r w:rsidRPr="00491BF9">
        <w:rPr>
          <w:lang w:val="lt-LT"/>
        </w:rPr>
        <w:t>Jei reikia, galima praskiesti 0,9 % natrio chlorido tirpalu.</w:t>
      </w:r>
    </w:p>
    <w:p w14:paraId="2CEE0FA6" w14:textId="77777777" w:rsidR="00146578" w:rsidRPr="00491BF9" w:rsidRDefault="00146578" w:rsidP="00146578">
      <w:pPr>
        <w:numPr>
          <w:ilvl w:val="0"/>
          <w:numId w:val="41"/>
        </w:numPr>
        <w:tabs>
          <w:tab w:val="num" w:pos="567"/>
        </w:tabs>
        <w:autoSpaceDE w:val="0"/>
        <w:autoSpaceDN w:val="0"/>
        <w:adjustRightInd w:val="0"/>
        <w:ind w:left="567" w:hanging="567"/>
        <w:rPr>
          <w:lang w:val="lt-LT"/>
        </w:rPr>
      </w:pPr>
      <w:r w:rsidRPr="00491BF9">
        <w:rPr>
          <w:lang w:val="lt-LT"/>
        </w:rPr>
        <w:t>Naudodami sterilų ekranuotą švirkštą pritraukite preparato. Suvartokite per dešimt (10) valandų po paruošimo.</w:t>
      </w:r>
    </w:p>
    <w:p w14:paraId="43DB0C8D" w14:textId="77777777" w:rsidR="00146578" w:rsidRPr="00491BF9" w:rsidRDefault="00146578" w:rsidP="00146578">
      <w:pPr>
        <w:numPr>
          <w:ilvl w:val="0"/>
          <w:numId w:val="41"/>
        </w:numPr>
        <w:tabs>
          <w:tab w:val="num" w:pos="567"/>
        </w:tabs>
        <w:autoSpaceDE w:val="0"/>
        <w:autoSpaceDN w:val="0"/>
        <w:adjustRightInd w:val="0"/>
        <w:ind w:left="567" w:hanging="567"/>
        <w:rPr>
          <w:lang w:val="lt-LT"/>
        </w:rPr>
      </w:pPr>
      <w:r w:rsidRPr="00491BF9">
        <w:rPr>
          <w:lang w:val="lt-LT"/>
        </w:rPr>
        <w:t>Prieš suleidžiant pacientui pagal žemiau aprašytą Radio-Plonasluoksnės chromatografijos metodą, reikia patikrinti radiologinį švarumą.</w:t>
      </w:r>
    </w:p>
    <w:p w14:paraId="457D4E5F" w14:textId="77777777" w:rsidR="00146578" w:rsidRPr="00491BF9" w:rsidRDefault="00146578" w:rsidP="00146578">
      <w:pPr>
        <w:tabs>
          <w:tab w:val="num" w:pos="567"/>
        </w:tabs>
        <w:ind w:left="567" w:hanging="567"/>
        <w:rPr>
          <w:lang w:val="lt-LT"/>
        </w:rPr>
      </w:pPr>
    </w:p>
    <w:p w14:paraId="7334617C" w14:textId="77777777" w:rsidR="00146578" w:rsidRPr="00491BF9" w:rsidRDefault="00146578" w:rsidP="00146578">
      <w:pPr>
        <w:spacing w:line="260" w:lineRule="exact"/>
        <w:rPr>
          <w:u w:val="single"/>
          <w:lang w:val="lt-LT"/>
        </w:rPr>
      </w:pPr>
      <w:r w:rsidRPr="00491BF9">
        <w:rPr>
          <w:u w:val="single"/>
          <w:lang w:val="lt-LT"/>
        </w:rPr>
        <w:t>Kaitinimo bloko naudojimo procedūra:</w:t>
      </w:r>
    </w:p>
    <w:p w14:paraId="3B8CBD1F" w14:textId="77777777" w:rsidR="00146578" w:rsidRPr="00491BF9" w:rsidRDefault="00146578" w:rsidP="00146578">
      <w:pPr>
        <w:numPr>
          <w:ilvl w:val="0"/>
          <w:numId w:val="47"/>
        </w:numPr>
        <w:autoSpaceDE w:val="0"/>
        <w:autoSpaceDN w:val="0"/>
        <w:adjustRightInd w:val="0"/>
        <w:ind w:left="357" w:hanging="357"/>
        <w:rPr>
          <w:lang w:val="lt-LT"/>
        </w:rPr>
      </w:pPr>
      <w:r w:rsidRPr="00491BF9">
        <w:rPr>
          <w:lang w:val="lt-LT"/>
        </w:rPr>
        <w:t>Paruošimo procedūros metu būtina dėvėti neperšlampamas pirštines. Nuo Technescan Sestamibi rinkinio flakono nuimkite atverčiamą dangtelį ir dezinfekcijos tikslu suvilgytu alkoholiu tamponu nuvalykite flakono kaklelį.</w:t>
      </w:r>
    </w:p>
    <w:p w14:paraId="21401778" w14:textId="77777777" w:rsidR="00146578" w:rsidRPr="00491BF9" w:rsidRDefault="00146578" w:rsidP="00146578">
      <w:pPr>
        <w:numPr>
          <w:ilvl w:val="0"/>
          <w:numId w:val="47"/>
        </w:numPr>
        <w:autoSpaceDE w:val="0"/>
        <w:autoSpaceDN w:val="0"/>
        <w:adjustRightInd w:val="0"/>
        <w:ind w:left="357" w:hanging="357"/>
        <w:rPr>
          <w:lang w:val="lt-LT"/>
        </w:rPr>
      </w:pPr>
      <w:r w:rsidRPr="00491BF9">
        <w:rPr>
          <w:lang w:val="lt-LT"/>
        </w:rPr>
        <w:t>Įdėkite flakoną į tinkamą apsaugantį nuo radiacijos konteinerį, ant kurio pažymėta atitinkama data, paruošimo laikas, tūris ir aktyvumas.</w:t>
      </w:r>
    </w:p>
    <w:p w14:paraId="32D11BD4" w14:textId="77777777" w:rsidR="00146578" w:rsidRPr="00491BF9" w:rsidRDefault="00146578" w:rsidP="00146578">
      <w:pPr>
        <w:numPr>
          <w:ilvl w:val="0"/>
          <w:numId w:val="47"/>
        </w:numPr>
        <w:autoSpaceDE w:val="0"/>
        <w:autoSpaceDN w:val="0"/>
        <w:adjustRightInd w:val="0"/>
        <w:ind w:left="357" w:hanging="357"/>
        <w:rPr>
          <w:lang w:val="lt-LT"/>
        </w:rPr>
      </w:pPr>
      <w:r w:rsidRPr="00491BF9">
        <w:rPr>
          <w:lang w:val="lt-LT"/>
        </w:rPr>
        <w:t>Steriliu ekranuotu švirkštu pritraukite neturinčio priemaišų, sterilaus, apirogeniško natrio pertechnetato (</w:t>
      </w:r>
      <w:r w:rsidRPr="00491BF9">
        <w:rPr>
          <w:vertAlign w:val="superscript"/>
          <w:lang w:val="lt-LT"/>
        </w:rPr>
        <w:t>99m</w:t>
      </w:r>
      <w:r w:rsidRPr="00491BF9">
        <w:rPr>
          <w:lang w:val="lt-LT"/>
        </w:rPr>
        <w:t>Tc) tirpalo, kurio didžiausias aktyvumas 11,1 GBq apytikriai 3 mililitruose. Didžiausiam 11,1 GBq aktyvumui gauti bus sunaudota ne daugiau kaip 3 ml natrio pertechnetato (</w:t>
      </w:r>
      <w:r w:rsidRPr="00491BF9">
        <w:rPr>
          <w:vertAlign w:val="superscript"/>
          <w:lang w:val="lt-LT"/>
        </w:rPr>
        <w:t>99m</w:t>
      </w:r>
      <w:r w:rsidRPr="00491BF9">
        <w:rPr>
          <w:lang w:val="lt-LT"/>
        </w:rPr>
        <w:t>Tc) tirpalo.</w:t>
      </w:r>
    </w:p>
    <w:p w14:paraId="1B256790" w14:textId="77777777" w:rsidR="00146578" w:rsidRPr="00491BF9" w:rsidRDefault="00146578" w:rsidP="00146578">
      <w:pPr>
        <w:numPr>
          <w:ilvl w:val="0"/>
          <w:numId w:val="47"/>
        </w:numPr>
        <w:autoSpaceDE w:val="0"/>
        <w:autoSpaceDN w:val="0"/>
        <w:adjustRightInd w:val="0"/>
        <w:ind w:left="357" w:hanging="357"/>
        <w:rPr>
          <w:lang w:val="lt-LT"/>
        </w:rPr>
      </w:pPr>
      <w:r w:rsidRPr="00491BF9">
        <w:rPr>
          <w:lang w:val="lt-LT"/>
        </w:rPr>
        <w:t>Aseptiniu būdu pridėkite natrio pertechnetato (</w:t>
      </w:r>
      <w:r w:rsidRPr="00491BF9">
        <w:rPr>
          <w:sz w:val="24"/>
          <w:szCs w:val="24"/>
          <w:vertAlign w:val="superscript"/>
          <w:lang w:val="lt-LT"/>
        </w:rPr>
        <w:t>99m</w:t>
      </w:r>
      <w:r w:rsidRPr="00491BF9">
        <w:rPr>
          <w:sz w:val="24"/>
          <w:szCs w:val="24"/>
          <w:lang w:val="lt-LT"/>
        </w:rPr>
        <w:t>Tc</w:t>
      </w:r>
      <w:r w:rsidRPr="00491BF9">
        <w:rPr>
          <w:lang w:val="lt-LT"/>
        </w:rPr>
        <w:t>) į esantį švininiame konteineryje flakoną. Neištraukdami adatos pašalinkite lygų oro tūrį, kad flakone nesikeistų atmosferos slėgis.</w:t>
      </w:r>
    </w:p>
    <w:p w14:paraId="0502C719" w14:textId="77777777" w:rsidR="00146578" w:rsidRPr="00491BF9" w:rsidRDefault="00146578" w:rsidP="00146578">
      <w:pPr>
        <w:numPr>
          <w:ilvl w:val="0"/>
          <w:numId w:val="47"/>
        </w:numPr>
        <w:autoSpaceDE w:val="0"/>
        <w:autoSpaceDN w:val="0"/>
        <w:adjustRightInd w:val="0"/>
        <w:ind w:left="357" w:hanging="357"/>
        <w:rPr>
          <w:lang w:val="lt-LT"/>
        </w:rPr>
      </w:pPr>
      <w:r w:rsidRPr="00491BF9">
        <w:rPr>
          <w:lang w:val="lt-LT"/>
        </w:rPr>
        <w:t>Energingai supurtykite flakoną greitai apversdami jį 5–10 kartų.</w:t>
      </w:r>
    </w:p>
    <w:p w14:paraId="569CBE02" w14:textId="77777777" w:rsidR="00146578" w:rsidRPr="00491BF9" w:rsidRDefault="00146578" w:rsidP="00146578">
      <w:pPr>
        <w:numPr>
          <w:ilvl w:val="0"/>
          <w:numId w:val="47"/>
        </w:numPr>
        <w:autoSpaceDE w:val="0"/>
        <w:autoSpaceDN w:val="0"/>
        <w:adjustRightInd w:val="0"/>
        <w:ind w:left="357" w:hanging="357"/>
        <w:rPr>
          <w:lang w:val="lt-LT"/>
        </w:rPr>
      </w:pPr>
      <w:r w:rsidRPr="00491BF9">
        <w:rPr>
          <w:lang w:val="lt-LT"/>
        </w:rPr>
        <w:t xml:space="preserve">Įstatykite flakoną į kaitinimo bloką, prieš tai įkaitintą iki </w:t>
      </w:r>
      <w:smartTag w:uri="urn:schemas-microsoft-com:office:smarttags" w:element="metricconverter">
        <w:smartTagPr>
          <w:attr w:name="ProductID" w:val="120ﾠﾰC"/>
        </w:smartTagPr>
        <w:r w:rsidRPr="00491BF9">
          <w:rPr>
            <w:lang w:val="lt-LT"/>
          </w:rPr>
          <w:t>120 °C</w:t>
        </w:r>
      </w:smartTag>
      <w:r w:rsidRPr="00491BF9">
        <w:rPr>
          <w:lang w:val="lt-LT"/>
        </w:rPr>
        <w:t xml:space="preserve"> temperatūros, ir laikykite 10 minučių. Kaitinimo bloką reikia pritaikyti pagal flakono dydį, kad būtų užtikrintas tinkamas šilumos iš kaitinimo bloko perdavimas flakono turiniui.</w:t>
      </w:r>
    </w:p>
    <w:p w14:paraId="563227D8" w14:textId="77777777" w:rsidR="00146578" w:rsidRPr="00491BF9" w:rsidRDefault="00146578" w:rsidP="00146578">
      <w:pPr>
        <w:numPr>
          <w:ilvl w:val="0"/>
          <w:numId w:val="47"/>
        </w:numPr>
        <w:autoSpaceDE w:val="0"/>
        <w:autoSpaceDN w:val="0"/>
        <w:adjustRightInd w:val="0"/>
        <w:ind w:left="357" w:hanging="357"/>
        <w:rPr>
          <w:lang w:val="lt-LT"/>
        </w:rPr>
      </w:pPr>
      <w:r w:rsidRPr="00491BF9">
        <w:rPr>
          <w:lang w:val="lt-LT"/>
        </w:rPr>
        <w:t>Išimkite flakoną iš kaitinimo bloko ir leiskite atvėsti iki kambario temperatūros.</w:t>
      </w:r>
    </w:p>
    <w:p w14:paraId="5D2F707E" w14:textId="77777777" w:rsidR="00146578" w:rsidRPr="00491BF9" w:rsidRDefault="00146578" w:rsidP="00146578">
      <w:pPr>
        <w:numPr>
          <w:ilvl w:val="0"/>
          <w:numId w:val="47"/>
        </w:numPr>
        <w:autoSpaceDE w:val="0"/>
        <w:autoSpaceDN w:val="0"/>
        <w:adjustRightInd w:val="0"/>
        <w:ind w:left="357" w:hanging="357"/>
        <w:rPr>
          <w:lang w:val="lt-LT"/>
        </w:rPr>
      </w:pPr>
      <w:r w:rsidRPr="00491BF9">
        <w:rPr>
          <w:lang w:val="lt-LT"/>
        </w:rPr>
        <w:t>Prieš suleisdami apžiūrėkite, ar tirpale nėra dalelių ir ar nepasikeitė spalva.</w:t>
      </w:r>
    </w:p>
    <w:p w14:paraId="7FFB889B" w14:textId="77777777" w:rsidR="00146578" w:rsidRPr="00491BF9" w:rsidRDefault="00146578" w:rsidP="00146578">
      <w:pPr>
        <w:numPr>
          <w:ilvl w:val="0"/>
          <w:numId w:val="47"/>
        </w:numPr>
        <w:autoSpaceDE w:val="0"/>
        <w:autoSpaceDN w:val="0"/>
        <w:adjustRightInd w:val="0"/>
        <w:ind w:left="357" w:hanging="357"/>
        <w:rPr>
          <w:lang w:val="lt-LT"/>
        </w:rPr>
      </w:pPr>
      <w:r w:rsidRPr="00491BF9">
        <w:rPr>
          <w:lang w:val="lt-LT"/>
        </w:rPr>
        <w:t>Jei reikia, galima praskiesti 0,9 % natrio chlorido tirpalu.</w:t>
      </w:r>
    </w:p>
    <w:p w14:paraId="6FB4A5A8" w14:textId="77777777" w:rsidR="00146578" w:rsidRPr="00491BF9" w:rsidRDefault="00146578" w:rsidP="00146578">
      <w:pPr>
        <w:numPr>
          <w:ilvl w:val="0"/>
          <w:numId w:val="47"/>
        </w:numPr>
        <w:autoSpaceDE w:val="0"/>
        <w:autoSpaceDN w:val="0"/>
        <w:adjustRightInd w:val="0"/>
        <w:ind w:left="357" w:hanging="357"/>
        <w:rPr>
          <w:lang w:val="lt-LT"/>
        </w:rPr>
      </w:pPr>
      <w:r w:rsidRPr="00491BF9">
        <w:rPr>
          <w:lang w:val="lt-LT"/>
        </w:rPr>
        <w:t>Naudodami sterilų ekranuotą švirkštą pritraukite preparato. Suvartokite per dešimt (10) valandų po paruošimo.</w:t>
      </w:r>
    </w:p>
    <w:p w14:paraId="004407E9" w14:textId="77777777" w:rsidR="00146578" w:rsidRPr="00491BF9" w:rsidRDefault="00146578" w:rsidP="00146578">
      <w:pPr>
        <w:numPr>
          <w:ilvl w:val="0"/>
          <w:numId w:val="47"/>
        </w:numPr>
        <w:autoSpaceDE w:val="0"/>
        <w:autoSpaceDN w:val="0"/>
        <w:adjustRightInd w:val="0"/>
        <w:ind w:left="357" w:hanging="357"/>
        <w:rPr>
          <w:lang w:val="lt-LT"/>
        </w:rPr>
      </w:pPr>
      <w:r w:rsidRPr="00491BF9">
        <w:rPr>
          <w:lang w:val="lt-LT"/>
        </w:rPr>
        <w:t>Prieš suleidžiant pacientui pagal žemiau aprašytą Radio-Plonasluoksnės chromatografijos metodą, reikia patikrinti radiologinį švarumą.</w:t>
      </w:r>
    </w:p>
    <w:p w14:paraId="4CF01C15" w14:textId="77777777" w:rsidR="00146578" w:rsidRPr="00491BF9" w:rsidRDefault="00146578" w:rsidP="00146578">
      <w:pPr>
        <w:tabs>
          <w:tab w:val="num" w:pos="567"/>
        </w:tabs>
        <w:ind w:left="567" w:hanging="567"/>
        <w:rPr>
          <w:lang w:val="lt-LT"/>
        </w:rPr>
      </w:pPr>
    </w:p>
    <w:p w14:paraId="32723270" w14:textId="77777777" w:rsidR="00146578" w:rsidRPr="00491BF9" w:rsidRDefault="00146578" w:rsidP="00146578">
      <w:pPr>
        <w:autoSpaceDE w:val="0"/>
        <w:autoSpaceDN w:val="0"/>
        <w:adjustRightInd w:val="0"/>
        <w:rPr>
          <w:b/>
          <w:lang w:val="lt-LT"/>
        </w:rPr>
      </w:pPr>
      <w:r w:rsidRPr="00491BF9">
        <w:rPr>
          <w:b/>
          <w:lang w:val="lt-LT"/>
        </w:rPr>
        <w:t>Pastaba: yra pavojus, kad šildant flakonus su radioaktyviomis medžiagomis, jie gali sudužti ir aplinka bus stipriai užteršta.</w:t>
      </w:r>
    </w:p>
    <w:p w14:paraId="6205CE9F" w14:textId="77777777" w:rsidR="00146578" w:rsidRPr="00491BF9" w:rsidRDefault="00146578" w:rsidP="00146578">
      <w:pPr>
        <w:autoSpaceDE w:val="0"/>
        <w:autoSpaceDN w:val="0"/>
        <w:adjustRightInd w:val="0"/>
        <w:rPr>
          <w:lang w:val="lt-LT"/>
        </w:rPr>
      </w:pPr>
    </w:p>
    <w:p w14:paraId="13D4A519" w14:textId="77777777" w:rsidR="00146578" w:rsidRPr="00491BF9" w:rsidRDefault="00146578" w:rsidP="00146578">
      <w:pPr>
        <w:autoSpaceDE w:val="0"/>
        <w:autoSpaceDN w:val="0"/>
        <w:adjustRightInd w:val="0"/>
        <w:rPr>
          <w:u w:val="single"/>
          <w:lang w:val="lt-LT"/>
        </w:rPr>
      </w:pPr>
      <w:r w:rsidRPr="00491BF9">
        <w:rPr>
          <w:u w:val="single"/>
          <w:lang w:val="lt-LT"/>
        </w:rPr>
        <w:t>Kokybės kontrolė</w:t>
      </w:r>
    </w:p>
    <w:p w14:paraId="5FCE62CF" w14:textId="77777777" w:rsidR="00146578" w:rsidRPr="00491BF9" w:rsidRDefault="00146578" w:rsidP="00146578">
      <w:pPr>
        <w:autoSpaceDE w:val="0"/>
        <w:autoSpaceDN w:val="0"/>
        <w:adjustRightInd w:val="0"/>
        <w:rPr>
          <w:u w:val="single"/>
          <w:lang w:val="lt-LT"/>
        </w:rPr>
      </w:pPr>
    </w:p>
    <w:p w14:paraId="0BB177EB" w14:textId="77777777" w:rsidR="00146578" w:rsidRPr="00491BF9" w:rsidRDefault="00146578" w:rsidP="00146578">
      <w:pPr>
        <w:keepNext/>
        <w:autoSpaceDE w:val="0"/>
        <w:autoSpaceDN w:val="0"/>
        <w:adjustRightInd w:val="0"/>
        <w:rPr>
          <w:b/>
          <w:lang w:val="lt-LT"/>
        </w:rPr>
      </w:pPr>
      <w:r w:rsidRPr="00491BF9">
        <w:rPr>
          <w:b/>
          <w:lang w:val="lt-LT"/>
        </w:rPr>
        <w:t xml:space="preserve">Technetium </w:t>
      </w:r>
      <w:r w:rsidRPr="00491BF9">
        <w:rPr>
          <w:b/>
          <w:u w:val="single"/>
          <w:vertAlign w:val="superscript"/>
          <w:lang w:val="lt-LT"/>
        </w:rPr>
        <w:t>(</w:t>
      </w:r>
      <w:r w:rsidRPr="00491BF9">
        <w:rPr>
          <w:b/>
          <w:vertAlign w:val="superscript"/>
          <w:lang w:val="lt-LT"/>
        </w:rPr>
        <w:t>99m</w:t>
      </w:r>
      <w:r w:rsidRPr="00491BF9">
        <w:rPr>
          <w:b/>
          <w:lang w:val="lt-LT"/>
        </w:rPr>
        <w:t>Tc) Sestamibi kiekybinio įvertinimo Radio-Plonasluoksnės chromatografijos metodas</w:t>
      </w:r>
    </w:p>
    <w:p w14:paraId="3252283F" w14:textId="77777777" w:rsidR="00146578" w:rsidRPr="00491BF9" w:rsidRDefault="00146578" w:rsidP="00146578">
      <w:pPr>
        <w:keepNext/>
        <w:autoSpaceDE w:val="0"/>
        <w:autoSpaceDN w:val="0"/>
        <w:adjustRightInd w:val="0"/>
        <w:ind w:left="1065" w:hanging="360"/>
        <w:rPr>
          <w:u w:val="single"/>
          <w:lang w:val="lt-LT"/>
        </w:rPr>
      </w:pPr>
      <w:r w:rsidRPr="00491BF9">
        <w:rPr>
          <w:lang w:val="lt-LT"/>
        </w:rPr>
        <w:t>1.</w:t>
      </w:r>
      <w:r w:rsidRPr="00491BF9">
        <w:rPr>
          <w:lang w:val="lt-LT"/>
        </w:rPr>
        <w:tab/>
      </w:r>
      <w:r w:rsidRPr="00491BF9">
        <w:rPr>
          <w:u w:val="single"/>
          <w:lang w:val="lt-LT"/>
        </w:rPr>
        <w:t>Medžiagos</w:t>
      </w:r>
    </w:p>
    <w:p w14:paraId="14DEC35E" w14:textId="77777777" w:rsidR="00146578" w:rsidRPr="00491BF9" w:rsidRDefault="00146578" w:rsidP="00146578">
      <w:pPr>
        <w:keepNext/>
        <w:autoSpaceDE w:val="0"/>
        <w:autoSpaceDN w:val="0"/>
        <w:adjustRightInd w:val="0"/>
        <w:ind w:left="1425" w:hanging="720"/>
        <w:rPr>
          <w:lang w:val="lt-LT"/>
        </w:rPr>
      </w:pPr>
      <w:r w:rsidRPr="00491BF9">
        <w:rPr>
          <w:lang w:val="lt-LT"/>
        </w:rPr>
        <w:t>1.1</w:t>
      </w:r>
      <w:r w:rsidRPr="00491BF9">
        <w:rPr>
          <w:lang w:val="lt-LT"/>
        </w:rPr>
        <w:tab/>
        <w:t xml:space="preserve">Baker-Flex aliuminio oksido plokštelė, # 1 B-F, iš anksto supjaustyta į </w:t>
      </w:r>
      <w:smartTag w:uri="schemas-tilde-lv/tildestengine" w:element="metric2">
        <w:smartTagPr>
          <w:attr w:name="metric_text" w:val="cm"/>
          <w:attr w:name="metric_value" w:val="2.5"/>
        </w:smartTagPr>
        <w:r w:rsidRPr="00491BF9">
          <w:rPr>
            <w:lang w:val="lt-LT"/>
          </w:rPr>
          <w:t>2,5 cm</w:t>
        </w:r>
      </w:smartTag>
      <w:r w:rsidRPr="00491BF9">
        <w:rPr>
          <w:lang w:val="lt-LT"/>
        </w:rPr>
        <w:t xml:space="preserve"> x </w:t>
      </w:r>
      <w:smartTag w:uri="schemas-tilde-lv/tildestengine" w:element="metric2">
        <w:smartTagPr>
          <w:attr w:name="metric_text" w:val="cm"/>
          <w:attr w:name="metric_value" w:val="7.5"/>
        </w:smartTagPr>
        <w:r w:rsidRPr="00491BF9">
          <w:rPr>
            <w:lang w:val="lt-LT"/>
          </w:rPr>
          <w:t>7,5 cm</w:t>
        </w:r>
      </w:smartTag>
      <w:r w:rsidRPr="00491BF9">
        <w:rPr>
          <w:lang w:val="lt-LT"/>
        </w:rPr>
        <w:t xml:space="preserve"> dydžio plokšteles.</w:t>
      </w:r>
    </w:p>
    <w:p w14:paraId="40F9B5C1" w14:textId="77777777" w:rsidR="00146578" w:rsidRPr="00491BF9" w:rsidRDefault="00146578" w:rsidP="00146578">
      <w:pPr>
        <w:keepNext/>
        <w:autoSpaceDE w:val="0"/>
        <w:autoSpaceDN w:val="0"/>
        <w:adjustRightInd w:val="0"/>
        <w:ind w:left="1425" w:hanging="720"/>
        <w:rPr>
          <w:lang w:val="lt-LT"/>
        </w:rPr>
      </w:pPr>
      <w:r w:rsidRPr="00491BF9">
        <w:rPr>
          <w:lang w:val="lt-LT"/>
        </w:rPr>
        <w:t>1.2</w:t>
      </w:r>
      <w:r w:rsidRPr="00491BF9">
        <w:rPr>
          <w:lang w:val="lt-LT"/>
        </w:rPr>
        <w:tab/>
        <w:t>Etanolis, &gt; 95 %.</w:t>
      </w:r>
    </w:p>
    <w:p w14:paraId="46BE8754" w14:textId="77777777" w:rsidR="00146578" w:rsidRPr="00491BF9" w:rsidRDefault="00146578" w:rsidP="00146578">
      <w:pPr>
        <w:keepNext/>
        <w:autoSpaceDE w:val="0"/>
        <w:autoSpaceDN w:val="0"/>
        <w:adjustRightInd w:val="0"/>
        <w:ind w:left="1425" w:hanging="720"/>
        <w:rPr>
          <w:lang w:val="lt-LT"/>
        </w:rPr>
      </w:pPr>
      <w:r w:rsidRPr="00491BF9">
        <w:rPr>
          <w:lang w:val="lt-LT"/>
        </w:rPr>
        <w:t>1.3</w:t>
      </w:r>
      <w:r w:rsidRPr="00491BF9">
        <w:rPr>
          <w:lang w:val="lt-LT"/>
        </w:rPr>
        <w:tab/>
        <w:t>Capintec firmos ar jam ekvivalentiškas prietaisas radioaktyvumui matuoti 0,7</w:t>
      </w:r>
      <w:r w:rsidRPr="00491BF9">
        <w:rPr>
          <w:lang w:val="lt-LT"/>
        </w:rPr>
        <w:noBreakHyphen/>
        <w:t>11,1 GBq ribose.</w:t>
      </w:r>
    </w:p>
    <w:p w14:paraId="165A6FAB" w14:textId="77777777" w:rsidR="00146578" w:rsidRPr="00491BF9" w:rsidRDefault="00146578" w:rsidP="00146578">
      <w:pPr>
        <w:autoSpaceDE w:val="0"/>
        <w:autoSpaceDN w:val="0"/>
        <w:adjustRightInd w:val="0"/>
        <w:ind w:left="1425" w:hanging="720"/>
        <w:rPr>
          <w:lang w:val="lt-LT"/>
        </w:rPr>
      </w:pPr>
      <w:r w:rsidRPr="00491BF9">
        <w:rPr>
          <w:lang w:val="lt-LT"/>
        </w:rPr>
        <w:t>1.4</w:t>
      </w:r>
      <w:r w:rsidRPr="00491BF9">
        <w:rPr>
          <w:lang w:val="lt-LT"/>
        </w:rPr>
        <w:tab/>
        <w:t>1 ml švirkštas su 22</w:t>
      </w:r>
      <w:r w:rsidRPr="00491BF9">
        <w:rPr>
          <w:lang w:val="lt-LT"/>
        </w:rPr>
        <w:noBreakHyphen/>
        <w:t>26 numerio adata.</w:t>
      </w:r>
    </w:p>
    <w:p w14:paraId="267AB7E8" w14:textId="77777777" w:rsidR="00146578" w:rsidRPr="00491BF9" w:rsidRDefault="00146578" w:rsidP="00146578">
      <w:pPr>
        <w:autoSpaceDE w:val="0"/>
        <w:autoSpaceDN w:val="0"/>
        <w:adjustRightInd w:val="0"/>
        <w:ind w:left="1425" w:hanging="720"/>
        <w:rPr>
          <w:lang w:val="lt-LT"/>
        </w:rPr>
      </w:pPr>
      <w:r w:rsidRPr="00491BF9">
        <w:rPr>
          <w:lang w:val="lt-LT"/>
        </w:rPr>
        <w:t>1.5</w:t>
      </w:r>
      <w:r w:rsidRPr="00491BF9">
        <w:rPr>
          <w:lang w:val="lt-LT"/>
        </w:rPr>
        <w:tab/>
        <w:t>Maža ryškinimo kamera su dangčiu (pakanka 100 ml laboratorinės stiklinės su Parafilm</w:t>
      </w:r>
      <w:r w:rsidRPr="00491BF9">
        <w:rPr>
          <w:vertAlign w:val="superscript"/>
          <w:lang w:val="lt-LT"/>
        </w:rPr>
        <w:t>®</w:t>
      </w:r>
      <w:r w:rsidRPr="00491BF9">
        <w:rPr>
          <w:lang w:val="lt-LT"/>
        </w:rPr>
        <w:t xml:space="preserve"> (plėvele indui uždengti)).</w:t>
      </w:r>
    </w:p>
    <w:p w14:paraId="4CEE0F61" w14:textId="77777777" w:rsidR="00146578" w:rsidRPr="00491BF9" w:rsidRDefault="00146578" w:rsidP="00146578">
      <w:pPr>
        <w:autoSpaceDE w:val="0"/>
        <w:autoSpaceDN w:val="0"/>
        <w:adjustRightInd w:val="0"/>
        <w:ind w:left="1065" w:hanging="360"/>
        <w:rPr>
          <w:u w:val="single"/>
          <w:lang w:val="lt-LT"/>
        </w:rPr>
      </w:pPr>
      <w:r w:rsidRPr="00491BF9">
        <w:rPr>
          <w:lang w:val="lt-LT"/>
        </w:rPr>
        <w:t>2.</w:t>
      </w:r>
      <w:r w:rsidRPr="00491BF9">
        <w:rPr>
          <w:lang w:val="lt-LT"/>
        </w:rPr>
        <w:tab/>
      </w:r>
      <w:r w:rsidRPr="00491BF9">
        <w:rPr>
          <w:u w:val="single"/>
          <w:lang w:val="lt-LT"/>
        </w:rPr>
        <w:t>Procedūra</w:t>
      </w:r>
    </w:p>
    <w:p w14:paraId="63D0DCBE" w14:textId="77777777" w:rsidR="00146578" w:rsidRPr="00491BF9" w:rsidRDefault="00146578" w:rsidP="00146578">
      <w:pPr>
        <w:autoSpaceDE w:val="0"/>
        <w:autoSpaceDN w:val="0"/>
        <w:adjustRightInd w:val="0"/>
        <w:ind w:left="1425" w:hanging="720"/>
        <w:rPr>
          <w:lang w:val="lt-LT"/>
        </w:rPr>
      </w:pPr>
      <w:r w:rsidRPr="00491BF9">
        <w:rPr>
          <w:lang w:val="lt-LT"/>
        </w:rPr>
        <w:t>2.1</w:t>
      </w:r>
      <w:r w:rsidRPr="00491BF9">
        <w:rPr>
          <w:lang w:val="lt-LT"/>
        </w:rPr>
        <w:tab/>
        <w:t>Į ryškinimo kamerą (laboratorinę stiklinę) įpilkite pakankamą kiekį etanolio taip, kad tirpiklio sluoksnis būtų 3–</w:t>
      </w:r>
      <w:smartTag w:uri="schemas-tilde-lv/tildestengine" w:element="metric2">
        <w:smartTagPr>
          <w:attr w:name="metric_text" w:val="mm"/>
          <w:attr w:name="metric_value" w:val="4"/>
        </w:smartTagPr>
        <w:r w:rsidRPr="00491BF9">
          <w:rPr>
            <w:lang w:val="lt-LT"/>
          </w:rPr>
          <w:t>4 mm</w:t>
        </w:r>
      </w:smartTag>
      <w:r w:rsidRPr="00491BF9">
        <w:rPr>
          <w:lang w:val="lt-LT"/>
        </w:rPr>
        <w:t xml:space="preserve"> storio. Uždenkite kamerą (laboratorinę stiklinę) Parafilm</w:t>
      </w:r>
      <w:r w:rsidRPr="00491BF9">
        <w:rPr>
          <w:vertAlign w:val="superscript"/>
          <w:lang w:val="lt-LT"/>
        </w:rPr>
        <w:t>®</w:t>
      </w:r>
      <w:r w:rsidRPr="00491BF9">
        <w:rPr>
          <w:lang w:val="lt-LT"/>
        </w:rPr>
        <w:t xml:space="preserve"> ir palaikykite apytikriai 10 minučių.</w:t>
      </w:r>
    </w:p>
    <w:p w14:paraId="5EB1636D" w14:textId="77777777" w:rsidR="00146578" w:rsidRPr="00491BF9" w:rsidRDefault="00146578" w:rsidP="00146578">
      <w:pPr>
        <w:autoSpaceDE w:val="0"/>
        <w:autoSpaceDN w:val="0"/>
        <w:adjustRightInd w:val="0"/>
        <w:ind w:left="1425" w:hanging="720"/>
        <w:rPr>
          <w:lang w:val="lt-LT"/>
        </w:rPr>
      </w:pPr>
      <w:r w:rsidRPr="00491BF9">
        <w:rPr>
          <w:lang w:val="lt-LT"/>
        </w:rPr>
        <w:t>2.2</w:t>
      </w:r>
      <w:r w:rsidRPr="00491BF9">
        <w:rPr>
          <w:lang w:val="lt-LT"/>
        </w:rPr>
        <w:tab/>
        <w:t>Naudodami 1 ml švirkštą su 22</w:t>
      </w:r>
      <w:r w:rsidRPr="00491BF9">
        <w:rPr>
          <w:lang w:val="lt-LT"/>
        </w:rPr>
        <w:noBreakHyphen/>
        <w:t xml:space="preserve">26 numerio adata užlašinkite 1 lašą etanolio ant aliuminio oksido chromatografinės plokštelės </w:t>
      </w:r>
      <w:smartTag w:uri="schemas-tilde-lv/tildestengine" w:element="metric2">
        <w:smartTagPr>
          <w:attr w:name="metric_text" w:val="cm"/>
          <w:attr w:name="metric_value" w:val="1.5"/>
        </w:smartTagPr>
        <w:r w:rsidRPr="00491BF9">
          <w:rPr>
            <w:lang w:val="lt-LT"/>
          </w:rPr>
          <w:t>1,5 cm</w:t>
        </w:r>
      </w:smartTag>
      <w:r w:rsidRPr="00491BF9">
        <w:rPr>
          <w:lang w:val="lt-LT"/>
        </w:rPr>
        <w:t xml:space="preserve"> atstumu nuo jos apačios. </w:t>
      </w:r>
      <w:r w:rsidRPr="00491BF9">
        <w:rPr>
          <w:b/>
          <w:lang w:val="lt-LT"/>
        </w:rPr>
        <w:t>Neleiskite dėmei išdžiūti</w:t>
      </w:r>
      <w:r w:rsidRPr="00491BF9">
        <w:rPr>
          <w:lang w:val="lt-LT"/>
        </w:rPr>
        <w:t>.</w:t>
      </w:r>
    </w:p>
    <w:p w14:paraId="564036D8" w14:textId="77777777" w:rsidR="00146578" w:rsidRPr="00491BF9" w:rsidRDefault="00146578" w:rsidP="00146578">
      <w:pPr>
        <w:autoSpaceDE w:val="0"/>
        <w:autoSpaceDN w:val="0"/>
        <w:adjustRightInd w:val="0"/>
        <w:ind w:left="1425" w:hanging="720"/>
        <w:rPr>
          <w:lang w:val="lt-LT"/>
        </w:rPr>
      </w:pPr>
      <w:r w:rsidRPr="00491BF9">
        <w:rPr>
          <w:lang w:val="lt-LT"/>
        </w:rPr>
        <w:t>2.3</w:t>
      </w:r>
      <w:r w:rsidRPr="00491BF9">
        <w:rPr>
          <w:lang w:val="lt-LT"/>
        </w:rPr>
        <w:tab/>
        <w:t xml:space="preserve">Užlašinkite 1 lašą rinkinio tirpalo ant etanolio dėmės. Išdžiovinkite dėmę. </w:t>
      </w:r>
      <w:r w:rsidRPr="00491BF9">
        <w:rPr>
          <w:b/>
          <w:lang w:val="lt-LT"/>
        </w:rPr>
        <w:t>Nešildykite!</w:t>
      </w:r>
    </w:p>
    <w:p w14:paraId="7884EC09" w14:textId="77777777" w:rsidR="00146578" w:rsidRPr="00491BF9" w:rsidRDefault="00146578" w:rsidP="00146578">
      <w:pPr>
        <w:autoSpaceDE w:val="0"/>
        <w:autoSpaceDN w:val="0"/>
        <w:adjustRightInd w:val="0"/>
        <w:ind w:left="1425" w:hanging="720"/>
        <w:rPr>
          <w:lang w:val="lt-LT"/>
        </w:rPr>
      </w:pPr>
      <w:r w:rsidRPr="00491BF9">
        <w:rPr>
          <w:lang w:val="lt-LT"/>
        </w:rPr>
        <w:t>2.4</w:t>
      </w:r>
      <w:r w:rsidRPr="00491BF9">
        <w:rPr>
          <w:lang w:val="lt-LT"/>
        </w:rPr>
        <w:tab/>
        <w:t xml:space="preserve">Leiskite tirpiklio viršutiniam kraštui nukeliauti </w:t>
      </w:r>
      <w:smartTag w:uri="schemas-tilde-lv/tildestengine" w:element="metric2">
        <w:smartTagPr>
          <w:attr w:name="metric_text" w:val="cm"/>
          <w:attr w:name="metric_value" w:val="5.0"/>
        </w:smartTagPr>
        <w:r w:rsidRPr="00491BF9">
          <w:rPr>
            <w:lang w:val="lt-LT"/>
          </w:rPr>
          <w:t>5,0 cm</w:t>
        </w:r>
      </w:smartTag>
      <w:r w:rsidRPr="00491BF9">
        <w:rPr>
          <w:lang w:val="lt-LT"/>
        </w:rPr>
        <w:t xml:space="preserve"> atstumu nuo dėmės.</w:t>
      </w:r>
    </w:p>
    <w:p w14:paraId="1E6000DE" w14:textId="77777777" w:rsidR="00146578" w:rsidRPr="00491BF9" w:rsidRDefault="00146578" w:rsidP="00146578">
      <w:pPr>
        <w:autoSpaceDE w:val="0"/>
        <w:autoSpaceDN w:val="0"/>
        <w:adjustRightInd w:val="0"/>
        <w:ind w:left="1425" w:hanging="720"/>
        <w:rPr>
          <w:lang w:val="lt-LT"/>
        </w:rPr>
      </w:pPr>
      <w:r w:rsidRPr="00491BF9">
        <w:rPr>
          <w:lang w:val="lt-LT"/>
        </w:rPr>
        <w:t>2.5</w:t>
      </w:r>
      <w:r w:rsidRPr="00491BF9">
        <w:rPr>
          <w:lang w:val="lt-LT"/>
        </w:rPr>
        <w:tab/>
        <w:t xml:space="preserve">Nukirpkite juostelę </w:t>
      </w:r>
      <w:smartTag w:uri="schemas-tilde-lv/tildestengine" w:element="metric2">
        <w:smartTagPr>
          <w:attr w:name="metric_text" w:val="cm"/>
          <w:attr w:name="metric_value" w:val="4"/>
        </w:smartTagPr>
        <w:smartTag w:uri="urn:schemas-microsoft-com:office:smarttags" w:element="metricconverter">
          <w:smartTagPr>
            <w:attr w:name="ProductID" w:val="4ﾠcm"/>
          </w:smartTagPr>
          <w:r w:rsidRPr="00491BF9">
            <w:rPr>
              <w:lang w:val="lt-LT"/>
            </w:rPr>
            <w:t>4 cm</w:t>
          </w:r>
        </w:smartTag>
      </w:smartTag>
      <w:r w:rsidRPr="00491BF9">
        <w:rPr>
          <w:lang w:val="lt-LT"/>
        </w:rPr>
        <w:t xml:space="preserve"> atstumu nuo apačios ir dozių kalibratoriumi išmatuokite kiekvieno gabalėlio aktyvumą.</w:t>
      </w:r>
    </w:p>
    <w:p w14:paraId="640E1831" w14:textId="77777777" w:rsidR="00146578" w:rsidRPr="00491BF9" w:rsidRDefault="00146578" w:rsidP="00146578">
      <w:pPr>
        <w:autoSpaceDE w:val="0"/>
        <w:autoSpaceDN w:val="0"/>
        <w:adjustRightInd w:val="0"/>
        <w:ind w:left="1425" w:hanging="720"/>
        <w:rPr>
          <w:lang w:val="lt-LT"/>
        </w:rPr>
      </w:pPr>
      <w:r w:rsidRPr="00491BF9">
        <w:rPr>
          <w:lang w:val="lt-LT"/>
        </w:rPr>
        <w:t>2.6</w:t>
      </w:r>
      <w:r w:rsidRPr="00491BF9">
        <w:rPr>
          <w:lang w:val="lt-LT"/>
        </w:rPr>
        <w:tab/>
        <w:t>Apskaičiuokite radiocheminio grynumo % kaip:</w:t>
      </w:r>
      <w:r w:rsidRPr="00491BF9">
        <w:rPr>
          <w:lang w:val="lt-LT"/>
        </w:rPr>
        <w:br/>
        <w:t>% (</w:t>
      </w:r>
      <w:r w:rsidRPr="00491BF9">
        <w:rPr>
          <w:vertAlign w:val="superscript"/>
          <w:lang w:val="lt-LT"/>
        </w:rPr>
        <w:t>99m</w:t>
      </w:r>
      <w:r w:rsidRPr="00491BF9">
        <w:rPr>
          <w:lang w:val="lt-LT"/>
        </w:rPr>
        <w:t>Tc) Sestamibi = (Viršutinės dalies aktyvumas)/(Abiejų gabalėlių aktyvumas) x 100.</w:t>
      </w:r>
    </w:p>
    <w:p w14:paraId="0BC2FDF3" w14:textId="77777777" w:rsidR="00146578" w:rsidRPr="00491BF9" w:rsidRDefault="00146578" w:rsidP="00146578">
      <w:pPr>
        <w:autoSpaceDE w:val="0"/>
        <w:autoSpaceDN w:val="0"/>
        <w:adjustRightInd w:val="0"/>
        <w:ind w:left="1425" w:hanging="720"/>
        <w:rPr>
          <w:lang w:val="lt-LT"/>
        </w:rPr>
      </w:pPr>
      <w:r w:rsidRPr="00491BF9">
        <w:rPr>
          <w:lang w:val="lt-LT"/>
        </w:rPr>
        <w:t>2.7</w:t>
      </w:r>
      <w:r w:rsidRPr="00491BF9">
        <w:rPr>
          <w:lang w:val="lt-LT"/>
        </w:rPr>
        <w:tab/>
        <w:t>% (</w:t>
      </w:r>
      <w:r w:rsidRPr="00491BF9">
        <w:rPr>
          <w:vertAlign w:val="superscript"/>
          <w:lang w:val="lt-LT"/>
        </w:rPr>
        <w:t>99m</w:t>
      </w:r>
      <w:r w:rsidRPr="00491BF9">
        <w:rPr>
          <w:lang w:val="lt-LT"/>
        </w:rPr>
        <w:t xml:space="preserve">Tc) Sestamibi turi būti </w:t>
      </w:r>
      <w:r w:rsidRPr="00491BF9">
        <w:rPr>
          <w:rFonts w:ascii="Tahoma" w:hAnsi="Tahoma" w:cs="Tahoma"/>
          <w:lang w:val="lt-LT"/>
        </w:rPr>
        <w:t>≥</w:t>
      </w:r>
      <w:r w:rsidRPr="00491BF9">
        <w:rPr>
          <w:lang w:val="lt-LT"/>
        </w:rPr>
        <w:t> 94 %; kitu atveju preparatą reikia sunaikinti.</w:t>
      </w:r>
    </w:p>
    <w:p w14:paraId="52950734" w14:textId="77777777" w:rsidR="00146578" w:rsidRPr="00491BF9" w:rsidRDefault="00146578" w:rsidP="00146578">
      <w:pPr>
        <w:autoSpaceDE w:val="0"/>
        <w:autoSpaceDN w:val="0"/>
        <w:adjustRightInd w:val="0"/>
        <w:rPr>
          <w:b/>
          <w:lang w:val="lt-LT"/>
        </w:rPr>
      </w:pPr>
      <w:r w:rsidRPr="00491BF9">
        <w:rPr>
          <w:b/>
          <w:lang w:val="lt-LT"/>
        </w:rPr>
        <w:t>Pastaba: nenaudokite medžiagos, jei jos radiocheminis grynumas mažesnis nei 94 %.</w:t>
      </w:r>
    </w:p>
    <w:p w14:paraId="3A422B03" w14:textId="77777777" w:rsidR="00146578" w:rsidRPr="00491BF9" w:rsidRDefault="00146578" w:rsidP="00146578">
      <w:pPr>
        <w:autoSpaceDE w:val="0"/>
        <w:autoSpaceDN w:val="0"/>
        <w:adjustRightInd w:val="0"/>
        <w:rPr>
          <w:b/>
          <w:lang w:val="lt-LT"/>
        </w:rPr>
      </w:pPr>
    </w:p>
    <w:p w14:paraId="1778D2C1" w14:textId="77777777" w:rsidR="00146578" w:rsidRPr="00491BF9" w:rsidRDefault="00146578" w:rsidP="00146578">
      <w:pPr>
        <w:autoSpaceDE w:val="0"/>
        <w:autoSpaceDN w:val="0"/>
        <w:adjustRightInd w:val="0"/>
        <w:rPr>
          <w:b/>
          <w:lang w:val="lt-LT"/>
        </w:rPr>
      </w:pPr>
    </w:p>
    <w:p w14:paraId="029F0206" w14:textId="2EBA7EB6" w:rsidR="00146578" w:rsidRPr="00491BF9" w:rsidRDefault="00146578" w:rsidP="006825CB">
      <w:pPr>
        <w:tabs>
          <w:tab w:val="left" w:pos="0"/>
        </w:tabs>
        <w:rPr>
          <w:lang w:val="lt-LT"/>
        </w:rPr>
      </w:pPr>
      <w:r w:rsidRPr="00491BF9">
        <w:rPr>
          <w:lang w:val="lt-LT"/>
        </w:rPr>
        <w:t>Išsami informacija apie šį vaistinį preparatą pateikiama Valstybinės vaistų kontrolės tarnybos prie Lietuvos Respublikos sveikatos apsaugos ministerijos tinklalapyje</w:t>
      </w:r>
      <w:r w:rsidRPr="00491BF9">
        <w:rPr>
          <w:i/>
          <w:lang w:val="lt-LT"/>
        </w:rPr>
        <w:t xml:space="preserve"> </w:t>
      </w:r>
      <w:r w:rsidRPr="00347107">
        <w:rPr>
          <w:lang w:val="lt-LT"/>
        </w:rPr>
        <w:t>http</w:t>
      </w:r>
      <w:r w:rsidR="00111F3F" w:rsidRPr="00347107">
        <w:rPr>
          <w:lang w:val="lt-LT"/>
        </w:rPr>
        <w:t>s</w:t>
      </w:r>
      <w:r w:rsidRPr="00347107">
        <w:rPr>
          <w:lang w:val="lt-LT"/>
        </w:rPr>
        <w:t>://</w:t>
      </w:r>
      <w:r w:rsidR="00111F3F" w:rsidRPr="00347107" w:rsidDel="00111F3F">
        <w:rPr>
          <w:lang w:val="lt-LT"/>
        </w:rPr>
        <w:t xml:space="preserve"> </w:t>
      </w:r>
      <w:r w:rsidRPr="00347107">
        <w:rPr>
          <w:lang w:val="lt-LT"/>
        </w:rPr>
        <w:t>vvkt.</w:t>
      </w:r>
      <w:r w:rsidR="00111F3F" w:rsidRPr="00347107">
        <w:rPr>
          <w:lang w:val="lt-LT"/>
        </w:rPr>
        <w:t>lrv.</w:t>
      </w:r>
      <w:r w:rsidRPr="00347107">
        <w:rPr>
          <w:lang w:val="lt-LT"/>
        </w:rPr>
        <w:t>lt</w:t>
      </w:r>
      <w:r w:rsidR="00111F3F">
        <w:rPr>
          <w:lang w:val="lt-LT"/>
        </w:rPr>
        <w:t>/lt</w:t>
      </w:r>
      <w:r w:rsidR="002E330E">
        <w:rPr>
          <w:lang w:val="lt-LT"/>
        </w:rPr>
        <w:t>/.</w:t>
      </w:r>
    </w:p>
    <w:p w14:paraId="7EC14792" w14:textId="77777777" w:rsidR="006E72E0" w:rsidRPr="00491BF9" w:rsidRDefault="006E72E0" w:rsidP="006E72E0">
      <w:pPr>
        <w:pStyle w:val="Antrat2"/>
        <w:spacing w:before="0" w:after="0"/>
        <w:jc w:val="center"/>
        <w:rPr>
          <w:rFonts w:ascii="Times New Roman" w:hAnsi="Times New Roman"/>
          <w:i w:val="0"/>
          <w:iCs/>
          <w:sz w:val="22"/>
          <w:szCs w:val="22"/>
          <w:lang w:val="lt-LT"/>
        </w:rPr>
      </w:pPr>
    </w:p>
    <w:p w14:paraId="57E3AE90" w14:textId="77777777" w:rsidR="006E72E0" w:rsidRPr="00491BF9" w:rsidRDefault="006E72E0" w:rsidP="006E72E0">
      <w:pPr>
        <w:pStyle w:val="Antrat2"/>
        <w:spacing w:before="0" w:after="0"/>
        <w:jc w:val="center"/>
        <w:rPr>
          <w:rFonts w:ascii="Times New Roman" w:hAnsi="Times New Roman"/>
          <w:i w:val="0"/>
          <w:iCs/>
          <w:sz w:val="22"/>
          <w:szCs w:val="22"/>
          <w:lang w:val="lt-LT"/>
        </w:rPr>
      </w:pPr>
    </w:p>
    <w:p w14:paraId="54ACB456" w14:textId="77777777" w:rsidR="006E72E0" w:rsidRDefault="006E72E0" w:rsidP="006E72E0">
      <w:pPr>
        <w:pStyle w:val="Antrat2"/>
        <w:spacing w:before="0" w:after="0"/>
        <w:jc w:val="center"/>
        <w:rPr>
          <w:rFonts w:ascii="Times New Roman" w:hAnsi="Times New Roman"/>
          <w:i w:val="0"/>
          <w:iCs/>
          <w:sz w:val="22"/>
          <w:szCs w:val="22"/>
          <w:lang w:val="lt-LT"/>
        </w:rPr>
      </w:pPr>
    </w:p>
    <w:p w14:paraId="048B8651" w14:textId="77777777" w:rsidR="00B37A31" w:rsidRDefault="00B37A31" w:rsidP="00B37A31">
      <w:pPr>
        <w:rPr>
          <w:lang w:val="lt-LT"/>
        </w:rPr>
      </w:pPr>
    </w:p>
    <w:p w14:paraId="312E3B2F" w14:textId="77777777" w:rsidR="00B37A31" w:rsidRDefault="00B37A31" w:rsidP="00B37A31">
      <w:pPr>
        <w:rPr>
          <w:lang w:val="lt-LT"/>
        </w:rPr>
      </w:pPr>
    </w:p>
    <w:p w14:paraId="2928892A" w14:textId="77777777" w:rsidR="00B37A31" w:rsidRDefault="00B37A31" w:rsidP="00B37A31">
      <w:pPr>
        <w:rPr>
          <w:lang w:val="lt-LT"/>
        </w:rPr>
      </w:pPr>
    </w:p>
    <w:p w14:paraId="3AF1EFFB" w14:textId="77777777" w:rsidR="00B37A31" w:rsidRDefault="00B37A31" w:rsidP="00B37A31">
      <w:pPr>
        <w:rPr>
          <w:lang w:val="lt-LT"/>
        </w:rPr>
      </w:pPr>
    </w:p>
    <w:p w14:paraId="31FB8844" w14:textId="77777777" w:rsidR="00B37A31" w:rsidRDefault="00B37A31" w:rsidP="00B37A31">
      <w:pPr>
        <w:rPr>
          <w:lang w:val="lt-LT"/>
        </w:rPr>
      </w:pPr>
    </w:p>
    <w:p w14:paraId="4455B909" w14:textId="77777777" w:rsidR="00B37A31" w:rsidRDefault="00B37A31" w:rsidP="00B37A31">
      <w:pPr>
        <w:rPr>
          <w:lang w:val="lt-LT"/>
        </w:rPr>
      </w:pPr>
    </w:p>
    <w:p w14:paraId="024D103F" w14:textId="77777777" w:rsidR="00B37A31" w:rsidRDefault="00B37A31" w:rsidP="00B37A31">
      <w:pPr>
        <w:rPr>
          <w:lang w:val="lt-LT"/>
        </w:rPr>
      </w:pPr>
    </w:p>
    <w:p w14:paraId="5CBE7D41" w14:textId="77777777" w:rsidR="00B37A31" w:rsidRDefault="00B37A31" w:rsidP="00B37A31">
      <w:pPr>
        <w:rPr>
          <w:lang w:val="lt-LT"/>
        </w:rPr>
      </w:pPr>
    </w:p>
    <w:p w14:paraId="059E7C69" w14:textId="77777777" w:rsidR="00B37A31" w:rsidRDefault="00B37A31" w:rsidP="00B37A31">
      <w:pPr>
        <w:rPr>
          <w:lang w:val="lt-LT"/>
        </w:rPr>
      </w:pPr>
    </w:p>
    <w:p w14:paraId="19509292" w14:textId="77777777" w:rsidR="00B37A31" w:rsidRDefault="00B37A31" w:rsidP="00B37A31">
      <w:pPr>
        <w:rPr>
          <w:lang w:val="lt-LT"/>
        </w:rPr>
      </w:pPr>
    </w:p>
    <w:p w14:paraId="62CEDE76" w14:textId="77777777" w:rsidR="00B37A31" w:rsidRDefault="00B37A31" w:rsidP="00B37A31">
      <w:pPr>
        <w:rPr>
          <w:lang w:val="lt-LT"/>
        </w:rPr>
      </w:pPr>
    </w:p>
    <w:p w14:paraId="6DE14600" w14:textId="77777777" w:rsidR="00B37A31" w:rsidRDefault="00B37A31" w:rsidP="00B37A31">
      <w:pPr>
        <w:rPr>
          <w:lang w:val="lt-LT"/>
        </w:rPr>
      </w:pPr>
    </w:p>
    <w:p w14:paraId="2C3EFF5E" w14:textId="77777777" w:rsidR="00B37A31" w:rsidRDefault="00B37A31" w:rsidP="00B37A31">
      <w:pPr>
        <w:rPr>
          <w:lang w:val="lt-LT"/>
        </w:rPr>
      </w:pPr>
    </w:p>
    <w:p w14:paraId="7206DE69" w14:textId="77777777" w:rsidR="00B37A31" w:rsidRDefault="00B37A31" w:rsidP="00B37A31">
      <w:pPr>
        <w:rPr>
          <w:lang w:val="lt-LT"/>
        </w:rPr>
      </w:pPr>
    </w:p>
    <w:p w14:paraId="71839BAF" w14:textId="77777777" w:rsidR="00B37A31" w:rsidRDefault="00B37A31" w:rsidP="00B37A31">
      <w:pPr>
        <w:rPr>
          <w:lang w:val="lt-LT"/>
        </w:rPr>
      </w:pPr>
    </w:p>
    <w:p w14:paraId="366B1115" w14:textId="77777777" w:rsidR="00B37A31" w:rsidRDefault="00B37A31" w:rsidP="00B37A31">
      <w:pPr>
        <w:rPr>
          <w:lang w:val="lt-LT"/>
        </w:rPr>
      </w:pPr>
    </w:p>
    <w:p w14:paraId="435A754B" w14:textId="77777777" w:rsidR="00B37A31" w:rsidRDefault="00B37A31" w:rsidP="00B37A31">
      <w:pPr>
        <w:rPr>
          <w:lang w:val="lt-LT"/>
        </w:rPr>
      </w:pPr>
    </w:p>
    <w:p w14:paraId="547A1BD3" w14:textId="77777777" w:rsidR="00B37A31" w:rsidRPr="00153901" w:rsidRDefault="00B37A31" w:rsidP="00B37A31">
      <w:pPr>
        <w:rPr>
          <w:lang w:val="lt-LT"/>
        </w:rPr>
      </w:pPr>
    </w:p>
    <w:p w14:paraId="6B8A4A43" w14:textId="77777777" w:rsidR="00B37A31" w:rsidRPr="00153901" w:rsidRDefault="00B37A31" w:rsidP="00B37A31">
      <w:pPr>
        <w:rPr>
          <w:lang w:val="lt-LT"/>
        </w:rPr>
      </w:pPr>
    </w:p>
    <w:p w14:paraId="334FD9A9" w14:textId="77777777" w:rsidR="00B37A31" w:rsidRDefault="00B37A31" w:rsidP="00B37A31">
      <w:pPr>
        <w:rPr>
          <w:lang w:val="lt-LT"/>
        </w:rPr>
      </w:pPr>
    </w:p>
    <w:p w14:paraId="195E02D6" w14:textId="77777777" w:rsidR="00B37A31" w:rsidRDefault="00B37A31" w:rsidP="00B37A31">
      <w:pPr>
        <w:rPr>
          <w:lang w:val="lt-LT"/>
        </w:rPr>
      </w:pPr>
    </w:p>
    <w:p w14:paraId="469F886F" w14:textId="77777777" w:rsidR="00B37A31" w:rsidRDefault="00B37A31" w:rsidP="00B37A31">
      <w:pPr>
        <w:rPr>
          <w:lang w:val="lt-LT"/>
        </w:rPr>
      </w:pPr>
    </w:p>
    <w:p w14:paraId="7141E91B" w14:textId="77777777" w:rsidR="00B37A31" w:rsidRDefault="00B37A31" w:rsidP="00B37A31">
      <w:pPr>
        <w:rPr>
          <w:lang w:val="lt-LT"/>
        </w:rPr>
      </w:pPr>
    </w:p>
    <w:p w14:paraId="0898A866" w14:textId="77777777" w:rsidR="00B37A31" w:rsidRDefault="00B37A31" w:rsidP="00B37A31">
      <w:pPr>
        <w:rPr>
          <w:lang w:val="lt-LT"/>
        </w:rPr>
      </w:pPr>
    </w:p>
    <w:p w14:paraId="638100A2" w14:textId="77777777" w:rsidR="00B37A31" w:rsidRDefault="00B37A31" w:rsidP="00B37A31">
      <w:pPr>
        <w:rPr>
          <w:lang w:val="lt-LT"/>
        </w:rPr>
      </w:pPr>
    </w:p>
    <w:p w14:paraId="67022DCD" w14:textId="77777777" w:rsidR="00B37A31" w:rsidRPr="00153901" w:rsidRDefault="00B37A31" w:rsidP="00B37A31">
      <w:pPr>
        <w:rPr>
          <w:lang w:val="lt-LT"/>
        </w:rPr>
      </w:pPr>
    </w:p>
    <w:p w14:paraId="59A40157" w14:textId="77777777" w:rsidR="00B37A31" w:rsidRDefault="00B37A31" w:rsidP="00B37A31">
      <w:pPr>
        <w:pStyle w:val="Antrat2"/>
        <w:spacing w:before="0" w:after="0"/>
        <w:jc w:val="center"/>
        <w:rPr>
          <w:rFonts w:ascii="Times New Roman" w:hAnsi="Times New Roman"/>
          <w:i w:val="0"/>
          <w:iCs/>
          <w:sz w:val="22"/>
          <w:szCs w:val="22"/>
          <w:lang w:val="lt-LT"/>
        </w:rPr>
      </w:pPr>
    </w:p>
    <w:p w14:paraId="03D447B7" w14:textId="77777777" w:rsidR="00B37A31" w:rsidRDefault="00B37A31" w:rsidP="00B37A31">
      <w:pPr>
        <w:pStyle w:val="Antrat2"/>
        <w:spacing w:before="0" w:after="0"/>
        <w:jc w:val="center"/>
        <w:rPr>
          <w:rFonts w:ascii="Times New Roman" w:hAnsi="Times New Roman"/>
          <w:i w:val="0"/>
          <w:iCs/>
          <w:sz w:val="22"/>
          <w:szCs w:val="22"/>
          <w:lang w:val="lt-LT"/>
        </w:rPr>
      </w:pPr>
    </w:p>
    <w:p w14:paraId="01CFFA8C" w14:textId="77777777" w:rsidR="00B37A31" w:rsidRDefault="00B37A31" w:rsidP="00B37A31">
      <w:pPr>
        <w:pStyle w:val="Antrat2"/>
        <w:spacing w:before="0" w:after="0"/>
        <w:jc w:val="center"/>
        <w:rPr>
          <w:rFonts w:ascii="Times New Roman" w:hAnsi="Times New Roman"/>
          <w:i w:val="0"/>
          <w:iCs/>
          <w:sz w:val="22"/>
          <w:szCs w:val="22"/>
          <w:lang w:val="lt-LT"/>
        </w:rPr>
      </w:pPr>
    </w:p>
    <w:p w14:paraId="22CB6FC7" w14:textId="77777777" w:rsidR="00B37A31" w:rsidRDefault="00B37A31" w:rsidP="00B37A31">
      <w:pPr>
        <w:pStyle w:val="Antrat2"/>
        <w:spacing w:before="0" w:after="0"/>
        <w:jc w:val="center"/>
        <w:rPr>
          <w:rFonts w:ascii="Times New Roman" w:hAnsi="Times New Roman"/>
          <w:i w:val="0"/>
          <w:iCs/>
          <w:sz w:val="22"/>
          <w:szCs w:val="22"/>
          <w:lang w:val="lt-LT"/>
        </w:rPr>
      </w:pPr>
    </w:p>
    <w:p w14:paraId="718BF17F" w14:textId="77777777" w:rsidR="00B37A31" w:rsidRDefault="00B37A31" w:rsidP="00B37A31">
      <w:pPr>
        <w:pStyle w:val="Antrat2"/>
        <w:spacing w:before="0" w:after="0"/>
        <w:jc w:val="center"/>
        <w:rPr>
          <w:rFonts w:ascii="Times New Roman" w:hAnsi="Times New Roman"/>
          <w:i w:val="0"/>
          <w:iCs/>
          <w:sz w:val="22"/>
          <w:szCs w:val="22"/>
          <w:lang w:val="lt-LT"/>
        </w:rPr>
      </w:pPr>
    </w:p>
    <w:p w14:paraId="20BC7B91" w14:textId="77777777" w:rsidR="00B37A31" w:rsidRDefault="00B37A31" w:rsidP="00B37A31">
      <w:pPr>
        <w:pStyle w:val="Antrat2"/>
        <w:spacing w:before="0" w:after="0"/>
        <w:jc w:val="center"/>
        <w:rPr>
          <w:rFonts w:ascii="Times New Roman" w:hAnsi="Times New Roman"/>
          <w:i w:val="0"/>
          <w:iCs/>
          <w:sz w:val="22"/>
          <w:szCs w:val="22"/>
          <w:lang w:val="lt-LT"/>
        </w:rPr>
      </w:pPr>
    </w:p>
    <w:p w14:paraId="79DD28D6" w14:textId="77777777" w:rsidR="00B37A31" w:rsidRDefault="00B37A31" w:rsidP="00B37A31">
      <w:pPr>
        <w:pStyle w:val="Antrat2"/>
        <w:spacing w:before="0" w:after="0"/>
        <w:jc w:val="center"/>
        <w:rPr>
          <w:rFonts w:ascii="Times New Roman" w:hAnsi="Times New Roman"/>
          <w:i w:val="0"/>
          <w:iCs/>
          <w:sz w:val="22"/>
          <w:szCs w:val="22"/>
          <w:lang w:val="lt-LT"/>
        </w:rPr>
      </w:pPr>
    </w:p>
    <w:p w14:paraId="34749EAB" w14:textId="77777777" w:rsidR="00B37A31" w:rsidRDefault="00B37A31" w:rsidP="00B37A31">
      <w:pPr>
        <w:pStyle w:val="Antrat2"/>
        <w:spacing w:before="0" w:after="0"/>
        <w:jc w:val="center"/>
        <w:rPr>
          <w:rFonts w:ascii="Times New Roman" w:hAnsi="Times New Roman"/>
          <w:i w:val="0"/>
          <w:iCs/>
          <w:sz w:val="22"/>
          <w:szCs w:val="22"/>
          <w:lang w:val="lt-LT"/>
        </w:rPr>
      </w:pPr>
    </w:p>
    <w:p w14:paraId="78F7C296" w14:textId="77777777" w:rsidR="00B37A31" w:rsidRDefault="00B37A31" w:rsidP="00B37A31">
      <w:pPr>
        <w:pStyle w:val="Antrat2"/>
        <w:spacing w:before="0" w:after="0"/>
        <w:jc w:val="center"/>
        <w:rPr>
          <w:rFonts w:ascii="Times New Roman" w:hAnsi="Times New Roman"/>
          <w:i w:val="0"/>
          <w:iCs/>
          <w:sz w:val="22"/>
          <w:szCs w:val="22"/>
          <w:lang w:val="lt-LT"/>
        </w:rPr>
      </w:pPr>
    </w:p>
    <w:p w14:paraId="53F0E4BC" w14:textId="77777777" w:rsidR="00B37A31" w:rsidRDefault="00B37A31" w:rsidP="00B37A31">
      <w:pPr>
        <w:pStyle w:val="Antrat2"/>
        <w:spacing w:before="0" w:after="0"/>
        <w:jc w:val="center"/>
        <w:rPr>
          <w:rFonts w:ascii="Times New Roman" w:hAnsi="Times New Roman"/>
          <w:i w:val="0"/>
          <w:iCs/>
          <w:sz w:val="22"/>
          <w:szCs w:val="22"/>
          <w:lang w:val="lt-LT"/>
        </w:rPr>
      </w:pPr>
    </w:p>
    <w:p w14:paraId="5B83DE08" w14:textId="77777777" w:rsidR="00B37A31" w:rsidRDefault="00B37A31" w:rsidP="00B37A31">
      <w:pPr>
        <w:pStyle w:val="Antrat2"/>
        <w:spacing w:before="0" w:after="0"/>
        <w:jc w:val="center"/>
        <w:rPr>
          <w:rFonts w:ascii="Times New Roman" w:hAnsi="Times New Roman"/>
          <w:i w:val="0"/>
          <w:iCs/>
          <w:sz w:val="22"/>
          <w:szCs w:val="22"/>
          <w:lang w:val="lt-LT"/>
        </w:rPr>
      </w:pPr>
    </w:p>
    <w:p w14:paraId="6CE9BBA9" w14:textId="77777777" w:rsidR="00B37A31" w:rsidRDefault="00B37A31" w:rsidP="00B37A31">
      <w:pPr>
        <w:pStyle w:val="Antrat2"/>
        <w:spacing w:before="0" w:after="0"/>
        <w:jc w:val="center"/>
        <w:rPr>
          <w:rFonts w:ascii="Times New Roman" w:hAnsi="Times New Roman"/>
          <w:i w:val="0"/>
          <w:iCs/>
          <w:sz w:val="22"/>
          <w:szCs w:val="22"/>
          <w:lang w:val="lt-LT"/>
        </w:rPr>
      </w:pPr>
    </w:p>
    <w:p w14:paraId="5DD12BAB" w14:textId="77777777" w:rsidR="00B37A31" w:rsidRDefault="00B37A31" w:rsidP="00B37A31">
      <w:pPr>
        <w:pStyle w:val="Antrat2"/>
        <w:spacing w:before="0" w:after="0"/>
        <w:jc w:val="center"/>
        <w:rPr>
          <w:rFonts w:ascii="Times New Roman" w:hAnsi="Times New Roman"/>
          <w:i w:val="0"/>
          <w:iCs/>
          <w:sz w:val="22"/>
          <w:szCs w:val="22"/>
          <w:lang w:val="lt-LT"/>
        </w:rPr>
      </w:pPr>
    </w:p>
    <w:p w14:paraId="3C8520E7" w14:textId="77777777" w:rsidR="00B37A31" w:rsidRDefault="00B37A31" w:rsidP="00B37A31">
      <w:pPr>
        <w:pStyle w:val="Antrat2"/>
        <w:spacing w:before="0" w:after="0"/>
        <w:jc w:val="center"/>
        <w:rPr>
          <w:rFonts w:ascii="Times New Roman" w:hAnsi="Times New Roman"/>
          <w:i w:val="0"/>
          <w:iCs/>
          <w:sz w:val="22"/>
          <w:szCs w:val="22"/>
          <w:lang w:val="lt-LT"/>
        </w:rPr>
      </w:pPr>
      <w:r w:rsidRPr="00153901">
        <w:rPr>
          <w:rFonts w:ascii="Times New Roman" w:hAnsi="Times New Roman"/>
          <w:i w:val="0"/>
          <w:iCs/>
          <w:sz w:val="22"/>
          <w:szCs w:val="22"/>
          <w:lang w:val="lt-LT"/>
        </w:rPr>
        <w:t>II PRIEDAS</w:t>
      </w:r>
    </w:p>
    <w:p w14:paraId="5A4C1954" w14:textId="77777777" w:rsidR="00B37A31" w:rsidRDefault="00B37A31" w:rsidP="00B37A31">
      <w:pPr>
        <w:rPr>
          <w:b/>
          <w:i/>
          <w:lang w:val="lt-LT"/>
        </w:rPr>
      </w:pPr>
    </w:p>
    <w:p w14:paraId="34749C6F" w14:textId="77777777" w:rsidR="00B37A31" w:rsidRPr="00660D55" w:rsidRDefault="00B37A31" w:rsidP="00B37A31">
      <w:pPr>
        <w:jc w:val="center"/>
        <w:rPr>
          <w:i/>
          <w:lang w:val="lt-LT"/>
        </w:rPr>
      </w:pPr>
      <w:r>
        <w:rPr>
          <w:b/>
          <w:lang w:val="lt-LT"/>
        </w:rPr>
        <w:t>REGISTRACIJOS</w:t>
      </w:r>
      <w:r w:rsidRPr="00660D55">
        <w:rPr>
          <w:b/>
          <w:lang w:val="lt-LT"/>
        </w:rPr>
        <w:t xml:space="preserve"> SĄLYGOS</w:t>
      </w:r>
    </w:p>
    <w:p w14:paraId="78A21DE5" w14:textId="77777777" w:rsidR="00B37A31" w:rsidRPr="00153901" w:rsidRDefault="00B37A31" w:rsidP="00B37A31">
      <w:pPr>
        <w:rPr>
          <w:lang w:val="lt-LT"/>
        </w:rPr>
      </w:pPr>
    </w:p>
    <w:p w14:paraId="7E61D6A5" w14:textId="77777777" w:rsidR="00B37A31" w:rsidRPr="00153901" w:rsidRDefault="00B37A31" w:rsidP="00B37A31">
      <w:pPr>
        <w:ind w:left="1701" w:right="1416" w:hanging="708"/>
        <w:rPr>
          <w:b/>
          <w:lang w:val="lt-LT"/>
        </w:rPr>
      </w:pPr>
      <w:r w:rsidRPr="00153901">
        <w:rPr>
          <w:b/>
          <w:szCs w:val="24"/>
          <w:lang w:val="lt-LT"/>
        </w:rPr>
        <w:t>A.</w:t>
      </w:r>
      <w:r w:rsidRPr="00153901">
        <w:rPr>
          <w:b/>
          <w:lang w:val="lt-LT"/>
        </w:rPr>
        <w:tab/>
      </w:r>
      <w:r w:rsidRPr="00153901">
        <w:rPr>
          <w:b/>
          <w:szCs w:val="22"/>
          <w:lang w:val="lt-LT"/>
        </w:rPr>
        <w:t>GAMINTOJAS (-AI), ATSAKINGAS (-I) UŽ SERIJŲ IŠLEIDIMĄ</w:t>
      </w:r>
    </w:p>
    <w:p w14:paraId="0A746CE8" w14:textId="77777777" w:rsidR="00B37A31" w:rsidRPr="00153901" w:rsidRDefault="00B37A31" w:rsidP="00B37A31">
      <w:pPr>
        <w:rPr>
          <w:lang w:val="lt-LT"/>
        </w:rPr>
      </w:pPr>
    </w:p>
    <w:p w14:paraId="2F82C897" w14:textId="77777777" w:rsidR="00B37A31" w:rsidRPr="00153901" w:rsidRDefault="00B37A31" w:rsidP="00B37A31">
      <w:pPr>
        <w:suppressLineNumbers/>
        <w:ind w:left="1701" w:right="1416" w:hanging="708"/>
        <w:rPr>
          <w:lang w:val="lt-LT"/>
        </w:rPr>
      </w:pPr>
      <w:r w:rsidRPr="00153901">
        <w:rPr>
          <w:b/>
          <w:szCs w:val="24"/>
          <w:lang w:val="lt-LT"/>
        </w:rPr>
        <w:t>B.</w:t>
      </w:r>
      <w:r w:rsidRPr="00153901">
        <w:rPr>
          <w:b/>
          <w:lang w:val="lt-LT"/>
        </w:rPr>
        <w:tab/>
      </w:r>
      <w:r w:rsidRPr="00153901">
        <w:rPr>
          <w:b/>
          <w:szCs w:val="24"/>
          <w:lang w:val="lt-LT"/>
        </w:rPr>
        <w:t>TIEKIMO IR VARTOJIMO SĄLYGOS AR APRIBOJIMAI</w:t>
      </w:r>
    </w:p>
    <w:p w14:paraId="47560732" w14:textId="77777777" w:rsidR="00B37A31" w:rsidRPr="00153901" w:rsidRDefault="00B37A31" w:rsidP="00B37A31">
      <w:pPr>
        <w:rPr>
          <w:lang w:val="lt-LT"/>
        </w:rPr>
      </w:pPr>
    </w:p>
    <w:p w14:paraId="4A5EE7CC" w14:textId="77777777" w:rsidR="00B37A31" w:rsidRDefault="00B37A31" w:rsidP="00B37A31">
      <w:pPr>
        <w:tabs>
          <w:tab w:val="clear" w:pos="567"/>
        </w:tabs>
        <w:spacing w:after="160" w:line="259" w:lineRule="auto"/>
        <w:rPr>
          <w:lang w:val="lt-LT"/>
        </w:rPr>
      </w:pPr>
      <w:r>
        <w:rPr>
          <w:lang w:val="lt-LT"/>
        </w:rPr>
        <w:br w:type="page"/>
      </w:r>
    </w:p>
    <w:p w14:paraId="35EF66C2" w14:textId="77777777" w:rsidR="00B37A31" w:rsidRPr="00153901" w:rsidRDefault="00B37A31" w:rsidP="00B37A31">
      <w:pPr>
        <w:rPr>
          <w:b/>
          <w:lang w:val="lt-LT"/>
        </w:rPr>
      </w:pPr>
      <w:r w:rsidRPr="00153901">
        <w:rPr>
          <w:b/>
          <w:szCs w:val="24"/>
          <w:lang w:val="lt-LT"/>
        </w:rPr>
        <w:lastRenderedPageBreak/>
        <w:t>A.</w:t>
      </w:r>
      <w:r w:rsidRPr="00153901">
        <w:rPr>
          <w:b/>
          <w:szCs w:val="24"/>
          <w:lang w:val="lt-LT"/>
        </w:rPr>
        <w:tab/>
      </w:r>
      <w:r w:rsidRPr="00153901">
        <w:rPr>
          <w:b/>
          <w:szCs w:val="22"/>
          <w:lang w:val="lt-LT"/>
        </w:rPr>
        <w:t>GAMINTOJAS (-AI), ATSAKINGAS (-I) UŽ SERIJŲ IŠLEIDIMĄ</w:t>
      </w:r>
    </w:p>
    <w:p w14:paraId="3C45FEA9" w14:textId="77777777" w:rsidR="00B37A31" w:rsidRPr="00153901" w:rsidRDefault="00B37A31" w:rsidP="00B37A31">
      <w:pPr>
        <w:rPr>
          <w:lang w:val="lt-LT"/>
        </w:rPr>
      </w:pPr>
    </w:p>
    <w:p w14:paraId="64477F98" w14:textId="77777777" w:rsidR="00B37A31" w:rsidRPr="00153901" w:rsidRDefault="00B37A31" w:rsidP="00B37A31">
      <w:pPr>
        <w:jc w:val="both"/>
        <w:rPr>
          <w:szCs w:val="22"/>
          <w:lang w:val="lt-LT"/>
        </w:rPr>
      </w:pPr>
      <w:r w:rsidRPr="00153901">
        <w:rPr>
          <w:szCs w:val="22"/>
          <w:u w:val="single"/>
          <w:lang w:val="lt-LT"/>
        </w:rPr>
        <w:t>Gamintojo (-ų), atsakingo (-ų) už serijų išleidimą, pavadinimas (-ai) ir adresas (-ai)</w:t>
      </w:r>
    </w:p>
    <w:p w14:paraId="25F6E122" w14:textId="77777777" w:rsidR="00B37A31" w:rsidRPr="00153901" w:rsidRDefault="00B37A31" w:rsidP="00B37A31">
      <w:pPr>
        <w:rPr>
          <w:lang w:val="lt-LT"/>
        </w:rPr>
      </w:pPr>
    </w:p>
    <w:p w14:paraId="0B2792F2" w14:textId="77777777" w:rsidR="00B37A31" w:rsidRPr="00212133" w:rsidRDefault="00B37A31" w:rsidP="00B37A31">
      <w:pPr>
        <w:rPr>
          <w:lang w:val="lt-LT"/>
        </w:rPr>
      </w:pPr>
      <w:proofErr w:type="spellStart"/>
      <w:r w:rsidRPr="002A37B0">
        <w:rPr>
          <w:lang w:val="lt-LT"/>
        </w:rPr>
        <w:t>Curium</w:t>
      </w:r>
      <w:proofErr w:type="spellEnd"/>
      <w:r w:rsidRPr="002A37B0">
        <w:rPr>
          <w:lang w:val="lt-LT"/>
        </w:rPr>
        <w:t xml:space="preserve"> </w:t>
      </w:r>
      <w:proofErr w:type="spellStart"/>
      <w:r w:rsidRPr="002A37B0">
        <w:rPr>
          <w:lang w:val="lt-LT"/>
        </w:rPr>
        <w:t>Netherlands</w:t>
      </w:r>
      <w:proofErr w:type="spellEnd"/>
      <w:r w:rsidRPr="002A37B0">
        <w:rPr>
          <w:lang w:val="lt-LT"/>
        </w:rPr>
        <w:t xml:space="preserve"> </w:t>
      </w:r>
      <w:r w:rsidRPr="00212133">
        <w:rPr>
          <w:lang w:val="lt-LT"/>
        </w:rPr>
        <w:t>B.V.</w:t>
      </w:r>
    </w:p>
    <w:p w14:paraId="083D0D3B" w14:textId="77777777" w:rsidR="00B37A31" w:rsidRPr="00212133" w:rsidRDefault="00B37A31" w:rsidP="00B37A31">
      <w:pPr>
        <w:rPr>
          <w:lang w:val="lt-LT"/>
        </w:rPr>
      </w:pPr>
      <w:proofErr w:type="spellStart"/>
      <w:r w:rsidRPr="00212133">
        <w:rPr>
          <w:lang w:val="lt-LT"/>
        </w:rPr>
        <w:t>Westerduinweg</w:t>
      </w:r>
      <w:proofErr w:type="spellEnd"/>
      <w:r w:rsidRPr="00212133">
        <w:rPr>
          <w:lang w:val="lt-LT"/>
        </w:rPr>
        <w:t xml:space="preserve"> 3</w:t>
      </w:r>
    </w:p>
    <w:p w14:paraId="29315691" w14:textId="77777777" w:rsidR="00B37A31" w:rsidRPr="00212133" w:rsidRDefault="00B37A31" w:rsidP="00B37A31">
      <w:pPr>
        <w:rPr>
          <w:lang w:val="lt-LT"/>
        </w:rPr>
      </w:pPr>
      <w:r w:rsidRPr="00212133">
        <w:rPr>
          <w:lang w:val="lt-LT"/>
        </w:rPr>
        <w:t>1755 LE PETTEN</w:t>
      </w:r>
    </w:p>
    <w:p w14:paraId="64D2D31D" w14:textId="77777777" w:rsidR="00B37A31" w:rsidRPr="00212133" w:rsidRDefault="00B37A31" w:rsidP="00B37A31">
      <w:pPr>
        <w:rPr>
          <w:lang w:val="lt-LT"/>
        </w:rPr>
      </w:pPr>
      <w:r w:rsidRPr="00212133">
        <w:rPr>
          <w:lang w:val="lt-LT"/>
        </w:rPr>
        <w:t>Nyderlandai</w:t>
      </w:r>
    </w:p>
    <w:p w14:paraId="06F9E298" w14:textId="77777777" w:rsidR="00B37A31" w:rsidRPr="00153901" w:rsidRDefault="00B37A31" w:rsidP="00B37A31">
      <w:pPr>
        <w:rPr>
          <w:lang w:val="lt-LT"/>
        </w:rPr>
      </w:pPr>
    </w:p>
    <w:p w14:paraId="3B7699A4" w14:textId="77777777" w:rsidR="00B37A31" w:rsidRPr="00153901" w:rsidRDefault="00B37A31" w:rsidP="00B37A31">
      <w:pPr>
        <w:rPr>
          <w:lang w:val="lt-LT"/>
        </w:rPr>
      </w:pPr>
    </w:p>
    <w:p w14:paraId="4FF0F9CD" w14:textId="77777777" w:rsidR="00B37A31" w:rsidRPr="00153901" w:rsidRDefault="00B37A31" w:rsidP="00B37A31">
      <w:pPr>
        <w:suppressLineNumbers/>
        <w:ind w:left="567" w:hanging="567"/>
        <w:rPr>
          <w:lang w:val="lt-LT"/>
        </w:rPr>
      </w:pPr>
      <w:r w:rsidRPr="00153901">
        <w:rPr>
          <w:b/>
          <w:szCs w:val="24"/>
          <w:lang w:val="lt-LT"/>
        </w:rPr>
        <w:t>B.</w:t>
      </w:r>
      <w:r w:rsidRPr="00153901">
        <w:rPr>
          <w:b/>
          <w:lang w:val="lt-LT"/>
        </w:rPr>
        <w:tab/>
      </w:r>
      <w:r w:rsidRPr="00153901">
        <w:rPr>
          <w:b/>
          <w:szCs w:val="24"/>
          <w:lang w:val="lt-LT"/>
        </w:rPr>
        <w:t xml:space="preserve">TIEKIMO IR VARTOJIMO SĄLYGOS AR APRIBOJIMAI </w:t>
      </w:r>
    </w:p>
    <w:p w14:paraId="6AAC036A" w14:textId="77777777" w:rsidR="00B37A31" w:rsidRPr="00153901" w:rsidRDefault="00B37A31" w:rsidP="00B37A31">
      <w:pPr>
        <w:rPr>
          <w:lang w:val="lt-LT"/>
        </w:rPr>
      </w:pPr>
    </w:p>
    <w:p w14:paraId="640BE075" w14:textId="77777777" w:rsidR="00B37A31" w:rsidRPr="00153901" w:rsidRDefault="00B37A31" w:rsidP="00B37A31">
      <w:pPr>
        <w:rPr>
          <w:lang w:val="lt-LT"/>
        </w:rPr>
      </w:pPr>
      <w:r w:rsidRPr="00153901">
        <w:rPr>
          <w:lang w:val="lt-LT"/>
        </w:rPr>
        <w:t>Receptinis vaistinis preparatas.</w:t>
      </w:r>
    </w:p>
    <w:p w14:paraId="36AED85F" w14:textId="77777777" w:rsidR="00B37A31" w:rsidRPr="00153901" w:rsidRDefault="00B37A31" w:rsidP="00B37A31">
      <w:pPr>
        <w:rPr>
          <w:lang w:val="lt-LT"/>
        </w:rPr>
      </w:pPr>
    </w:p>
    <w:p w14:paraId="6CAF959E" w14:textId="77777777" w:rsidR="00B37A31" w:rsidRPr="00B540E7" w:rsidRDefault="00B37A31" w:rsidP="00B37A31">
      <w:pPr>
        <w:rPr>
          <w:lang w:val="lt-LT"/>
        </w:rPr>
      </w:pPr>
      <w:r w:rsidRPr="00B540E7">
        <w:rPr>
          <w:lang w:val="lt-LT"/>
        </w:rPr>
        <w:br w:type="page"/>
      </w:r>
    </w:p>
    <w:p w14:paraId="270BB7D3" w14:textId="77777777" w:rsidR="00B37A31" w:rsidRPr="00B540E7" w:rsidRDefault="00B37A31" w:rsidP="00B37A31">
      <w:pPr>
        <w:rPr>
          <w:lang w:val="lt-LT"/>
        </w:rPr>
      </w:pPr>
    </w:p>
    <w:p w14:paraId="0797E303" w14:textId="77777777" w:rsidR="00B37A31" w:rsidRPr="00B540E7" w:rsidRDefault="00B37A31" w:rsidP="00B37A31">
      <w:pPr>
        <w:rPr>
          <w:lang w:val="lt-LT"/>
        </w:rPr>
      </w:pPr>
    </w:p>
    <w:p w14:paraId="68EC96E5" w14:textId="77777777" w:rsidR="00B37A31" w:rsidRPr="00B540E7" w:rsidRDefault="00B37A31" w:rsidP="00B37A31">
      <w:pPr>
        <w:rPr>
          <w:lang w:val="lt-LT"/>
        </w:rPr>
      </w:pPr>
    </w:p>
    <w:p w14:paraId="5765C0DB" w14:textId="77777777" w:rsidR="00B37A31" w:rsidRPr="00B540E7" w:rsidRDefault="00B37A31" w:rsidP="00B37A31">
      <w:pPr>
        <w:rPr>
          <w:lang w:val="lt-LT"/>
        </w:rPr>
      </w:pPr>
    </w:p>
    <w:p w14:paraId="75A48073" w14:textId="77777777" w:rsidR="00B37A31" w:rsidRPr="00B540E7" w:rsidRDefault="00B37A31" w:rsidP="00B37A31">
      <w:pPr>
        <w:rPr>
          <w:lang w:val="lt-LT"/>
        </w:rPr>
      </w:pPr>
    </w:p>
    <w:p w14:paraId="42E0B563" w14:textId="77777777" w:rsidR="00B37A31" w:rsidRPr="00B540E7" w:rsidRDefault="00B37A31" w:rsidP="00B37A31">
      <w:pPr>
        <w:rPr>
          <w:lang w:val="lt-LT"/>
        </w:rPr>
      </w:pPr>
    </w:p>
    <w:p w14:paraId="419B6950" w14:textId="77777777" w:rsidR="00B37A31" w:rsidRPr="00B540E7" w:rsidRDefault="00B37A31" w:rsidP="00B37A31">
      <w:pPr>
        <w:rPr>
          <w:lang w:val="lt-LT"/>
        </w:rPr>
      </w:pPr>
    </w:p>
    <w:p w14:paraId="0223ED72" w14:textId="77777777" w:rsidR="00B37A31" w:rsidRPr="00B540E7" w:rsidRDefault="00B37A31" w:rsidP="00B37A31">
      <w:pPr>
        <w:rPr>
          <w:lang w:val="lt-LT"/>
        </w:rPr>
      </w:pPr>
    </w:p>
    <w:p w14:paraId="3758D78D" w14:textId="77777777" w:rsidR="00B37A31" w:rsidRPr="00B540E7" w:rsidRDefault="00B37A31" w:rsidP="00B37A31">
      <w:pPr>
        <w:rPr>
          <w:lang w:val="lt-LT"/>
        </w:rPr>
      </w:pPr>
    </w:p>
    <w:p w14:paraId="66520B59" w14:textId="77777777" w:rsidR="00B37A31" w:rsidRPr="00B540E7" w:rsidRDefault="00B37A31" w:rsidP="00B37A31">
      <w:pPr>
        <w:rPr>
          <w:lang w:val="lt-LT"/>
        </w:rPr>
      </w:pPr>
    </w:p>
    <w:p w14:paraId="748A3EFA" w14:textId="77777777" w:rsidR="00B37A31" w:rsidRPr="00B540E7" w:rsidRDefault="00B37A31" w:rsidP="00B37A31">
      <w:pPr>
        <w:rPr>
          <w:lang w:val="lt-LT"/>
        </w:rPr>
      </w:pPr>
    </w:p>
    <w:p w14:paraId="769F015E" w14:textId="77777777" w:rsidR="00B37A31" w:rsidRPr="00B540E7" w:rsidRDefault="00B37A31" w:rsidP="00B37A31">
      <w:pPr>
        <w:rPr>
          <w:lang w:val="lt-LT"/>
        </w:rPr>
      </w:pPr>
    </w:p>
    <w:p w14:paraId="4D04596D" w14:textId="77777777" w:rsidR="00B37A31" w:rsidRPr="00B540E7" w:rsidRDefault="00B37A31" w:rsidP="00B37A31">
      <w:pPr>
        <w:rPr>
          <w:lang w:val="lt-LT"/>
        </w:rPr>
      </w:pPr>
    </w:p>
    <w:p w14:paraId="3AE78231" w14:textId="77777777" w:rsidR="00B37A31" w:rsidRPr="00B540E7" w:rsidRDefault="00B37A31" w:rsidP="00B37A31">
      <w:pPr>
        <w:rPr>
          <w:lang w:val="lt-LT"/>
        </w:rPr>
      </w:pPr>
    </w:p>
    <w:p w14:paraId="5E7A523D" w14:textId="77777777" w:rsidR="00B37A31" w:rsidRPr="00B540E7" w:rsidRDefault="00B37A31" w:rsidP="00B37A31">
      <w:pPr>
        <w:rPr>
          <w:lang w:val="lt-LT"/>
        </w:rPr>
      </w:pPr>
    </w:p>
    <w:p w14:paraId="15B1D018" w14:textId="77777777" w:rsidR="00B37A31" w:rsidRPr="00B540E7" w:rsidRDefault="00B37A31" w:rsidP="00B37A31">
      <w:pPr>
        <w:rPr>
          <w:lang w:val="lt-LT"/>
        </w:rPr>
      </w:pPr>
    </w:p>
    <w:p w14:paraId="6188EBB4" w14:textId="77777777" w:rsidR="00B37A31" w:rsidRPr="00B540E7" w:rsidRDefault="00B37A31" w:rsidP="00B37A31">
      <w:pPr>
        <w:rPr>
          <w:lang w:val="lt-LT"/>
        </w:rPr>
      </w:pPr>
    </w:p>
    <w:p w14:paraId="5CC74110" w14:textId="77777777" w:rsidR="00B37A31" w:rsidRPr="00B540E7" w:rsidRDefault="00B37A31" w:rsidP="00B37A31">
      <w:pPr>
        <w:rPr>
          <w:lang w:val="lt-LT"/>
        </w:rPr>
      </w:pPr>
    </w:p>
    <w:p w14:paraId="6317F97F" w14:textId="77777777" w:rsidR="00B37A31" w:rsidRPr="00B540E7" w:rsidRDefault="00B37A31" w:rsidP="00B37A31">
      <w:pPr>
        <w:rPr>
          <w:lang w:val="lt-LT"/>
        </w:rPr>
      </w:pPr>
    </w:p>
    <w:p w14:paraId="29CB728D" w14:textId="77777777" w:rsidR="00B37A31" w:rsidRPr="00B540E7" w:rsidRDefault="00B37A31" w:rsidP="00B37A31">
      <w:pPr>
        <w:rPr>
          <w:lang w:val="lt-LT"/>
        </w:rPr>
      </w:pPr>
    </w:p>
    <w:p w14:paraId="7CF656E6" w14:textId="77777777" w:rsidR="00B37A31" w:rsidRPr="00B540E7" w:rsidRDefault="00B37A31" w:rsidP="00B37A31">
      <w:pPr>
        <w:jc w:val="center"/>
        <w:rPr>
          <w:b/>
          <w:lang w:val="lt-LT"/>
        </w:rPr>
      </w:pPr>
      <w:bookmarkStart w:id="6" w:name="_Toc129243259"/>
      <w:bookmarkStart w:id="7" w:name="_Toc129243134"/>
    </w:p>
    <w:p w14:paraId="1170A0EE" w14:textId="77777777" w:rsidR="00B37A31" w:rsidRPr="00B540E7" w:rsidRDefault="00B37A31" w:rsidP="00B37A31">
      <w:pPr>
        <w:jc w:val="center"/>
        <w:rPr>
          <w:b/>
          <w:lang w:val="lt-LT"/>
        </w:rPr>
      </w:pPr>
      <w:r w:rsidRPr="00B540E7">
        <w:rPr>
          <w:b/>
          <w:lang w:val="lt-LT"/>
        </w:rPr>
        <w:t>III PRIEDAS</w:t>
      </w:r>
      <w:bookmarkEnd w:id="6"/>
      <w:bookmarkEnd w:id="7"/>
    </w:p>
    <w:p w14:paraId="28DA892D" w14:textId="77777777" w:rsidR="00B37A31" w:rsidRPr="00B540E7" w:rsidRDefault="00B37A31" w:rsidP="00B37A31">
      <w:pPr>
        <w:jc w:val="center"/>
        <w:rPr>
          <w:b/>
          <w:lang w:val="lt-LT"/>
        </w:rPr>
      </w:pPr>
    </w:p>
    <w:p w14:paraId="62CD5E75" w14:textId="77777777" w:rsidR="00B37A31" w:rsidRPr="00B540E7" w:rsidRDefault="00B37A31" w:rsidP="00B37A31">
      <w:pPr>
        <w:jc w:val="center"/>
        <w:rPr>
          <w:b/>
          <w:lang w:val="lt-LT"/>
        </w:rPr>
      </w:pPr>
      <w:bookmarkStart w:id="8" w:name="_Toc129243260"/>
      <w:bookmarkStart w:id="9" w:name="_Toc129243135"/>
      <w:r w:rsidRPr="00B540E7">
        <w:rPr>
          <w:b/>
          <w:lang w:val="lt-LT"/>
        </w:rPr>
        <w:t>ŽENKLINIMAS IR PAKUOTĖS LAPELIS</w:t>
      </w:r>
      <w:bookmarkEnd w:id="8"/>
      <w:bookmarkEnd w:id="9"/>
    </w:p>
    <w:p w14:paraId="7BADA9E8" w14:textId="77777777" w:rsidR="00B37A31" w:rsidRPr="002A3EE4" w:rsidRDefault="00B37A31" w:rsidP="00B37A31">
      <w:pPr>
        <w:tabs>
          <w:tab w:val="clear" w:pos="567"/>
        </w:tabs>
        <w:jc w:val="center"/>
        <w:rPr>
          <w:lang w:val="lt-LT"/>
        </w:rPr>
      </w:pPr>
      <w:r w:rsidRPr="00B540E7">
        <w:rPr>
          <w:lang w:val="lt-LT"/>
        </w:rPr>
        <w:br w:type="page"/>
      </w:r>
    </w:p>
    <w:p w14:paraId="505C2FB4" w14:textId="77777777" w:rsidR="00B37A31" w:rsidRPr="002A3EE4" w:rsidRDefault="00B37A31" w:rsidP="00B37A31">
      <w:pPr>
        <w:shd w:val="clear" w:color="auto" w:fill="FFFFFF"/>
        <w:tabs>
          <w:tab w:val="clear" w:pos="567"/>
        </w:tabs>
        <w:jc w:val="center"/>
        <w:rPr>
          <w:b/>
          <w:lang w:val="lt-LT"/>
        </w:rPr>
      </w:pPr>
    </w:p>
    <w:p w14:paraId="7B9EE122" w14:textId="77777777" w:rsidR="00B37A31" w:rsidRPr="002A3EE4" w:rsidRDefault="00B37A31" w:rsidP="00B37A31">
      <w:pPr>
        <w:shd w:val="clear" w:color="auto" w:fill="FFFFFF"/>
        <w:tabs>
          <w:tab w:val="clear" w:pos="567"/>
        </w:tabs>
        <w:jc w:val="center"/>
        <w:rPr>
          <w:b/>
          <w:lang w:val="lt-LT"/>
        </w:rPr>
      </w:pPr>
    </w:p>
    <w:p w14:paraId="192FBFE7" w14:textId="77777777" w:rsidR="00B37A31" w:rsidRPr="002A3EE4" w:rsidRDefault="00B37A31" w:rsidP="00B37A31">
      <w:pPr>
        <w:shd w:val="clear" w:color="auto" w:fill="FFFFFF"/>
        <w:tabs>
          <w:tab w:val="clear" w:pos="567"/>
        </w:tabs>
        <w:jc w:val="center"/>
        <w:rPr>
          <w:b/>
          <w:lang w:val="lt-LT"/>
        </w:rPr>
      </w:pPr>
    </w:p>
    <w:p w14:paraId="57E1BFC8" w14:textId="77777777" w:rsidR="00B37A31" w:rsidRPr="002A3EE4" w:rsidRDefault="00B37A31" w:rsidP="00B37A31">
      <w:pPr>
        <w:shd w:val="clear" w:color="auto" w:fill="FFFFFF"/>
        <w:tabs>
          <w:tab w:val="clear" w:pos="567"/>
        </w:tabs>
        <w:jc w:val="center"/>
        <w:rPr>
          <w:b/>
          <w:lang w:val="lt-LT"/>
        </w:rPr>
      </w:pPr>
    </w:p>
    <w:p w14:paraId="0A8744B6" w14:textId="77777777" w:rsidR="00B37A31" w:rsidRPr="002A3EE4" w:rsidRDefault="00B37A31" w:rsidP="00B37A31">
      <w:pPr>
        <w:shd w:val="clear" w:color="auto" w:fill="FFFFFF"/>
        <w:tabs>
          <w:tab w:val="clear" w:pos="567"/>
        </w:tabs>
        <w:jc w:val="center"/>
        <w:rPr>
          <w:b/>
          <w:lang w:val="lt-LT"/>
        </w:rPr>
      </w:pPr>
    </w:p>
    <w:p w14:paraId="0263A08F" w14:textId="77777777" w:rsidR="00B37A31" w:rsidRPr="002A3EE4" w:rsidRDefault="00B37A31" w:rsidP="00B37A31">
      <w:pPr>
        <w:shd w:val="clear" w:color="auto" w:fill="FFFFFF"/>
        <w:tabs>
          <w:tab w:val="clear" w:pos="567"/>
        </w:tabs>
        <w:jc w:val="center"/>
        <w:rPr>
          <w:b/>
          <w:lang w:val="lt-LT"/>
        </w:rPr>
      </w:pPr>
    </w:p>
    <w:p w14:paraId="43134865" w14:textId="77777777" w:rsidR="00B37A31" w:rsidRPr="002A3EE4" w:rsidRDefault="00B37A31" w:rsidP="00B37A31">
      <w:pPr>
        <w:shd w:val="clear" w:color="auto" w:fill="FFFFFF"/>
        <w:tabs>
          <w:tab w:val="clear" w:pos="567"/>
        </w:tabs>
        <w:jc w:val="center"/>
        <w:rPr>
          <w:b/>
          <w:lang w:val="lt-LT"/>
        </w:rPr>
      </w:pPr>
    </w:p>
    <w:p w14:paraId="55CD183E" w14:textId="77777777" w:rsidR="00B37A31" w:rsidRPr="002A3EE4" w:rsidRDefault="00B37A31" w:rsidP="00B37A31">
      <w:pPr>
        <w:shd w:val="clear" w:color="auto" w:fill="FFFFFF"/>
        <w:tabs>
          <w:tab w:val="clear" w:pos="567"/>
        </w:tabs>
        <w:jc w:val="center"/>
        <w:rPr>
          <w:b/>
          <w:lang w:val="lt-LT"/>
        </w:rPr>
      </w:pPr>
    </w:p>
    <w:p w14:paraId="3827F34B" w14:textId="77777777" w:rsidR="00B37A31" w:rsidRPr="002A3EE4" w:rsidRDefault="00B37A31" w:rsidP="00B37A31">
      <w:pPr>
        <w:shd w:val="clear" w:color="auto" w:fill="FFFFFF"/>
        <w:tabs>
          <w:tab w:val="clear" w:pos="567"/>
        </w:tabs>
        <w:jc w:val="center"/>
        <w:rPr>
          <w:b/>
          <w:lang w:val="lt-LT"/>
        </w:rPr>
      </w:pPr>
    </w:p>
    <w:p w14:paraId="6FAD45E1" w14:textId="77777777" w:rsidR="00B37A31" w:rsidRPr="002A3EE4" w:rsidRDefault="00B37A31" w:rsidP="00B37A31">
      <w:pPr>
        <w:shd w:val="clear" w:color="auto" w:fill="FFFFFF"/>
        <w:tabs>
          <w:tab w:val="clear" w:pos="567"/>
        </w:tabs>
        <w:jc w:val="center"/>
        <w:rPr>
          <w:b/>
          <w:lang w:val="lt-LT"/>
        </w:rPr>
      </w:pPr>
    </w:p>
    <w:p w14:paraId="655ECD6F" w14:textId="77777777" w:rsidR="00B37A31" w:rsidRPr="002A3EE4" w:rsidRDefault="00B37A31" w:rsidP="00B37A31">
      <w:pPr>
        <w:shd w:val="clear" w:color="auto" w:fill="FFFFFF"/>
        <w:tabs>
          <w:tab w:val="clear" w:pos="567"/>
        </w:tabs>
        <w:jc w:val="center"/>
        <w:rPr>
          <w:b/>
          <w:lang w:val="lt-LT"/>
        </w:rPr>
      </w:pPr>
    </w:p>
    <w:p w14:paraId="00FC0F8B" w14:textId="77777777" w:rsidR="00B37A31" w:rsidRPr="002A3EE4" w:rsidRDefault="00B37A31" w:rsidP="00B37A31">
      <w:pPr>
        <w:shd w:val="clear" w:color="auto" w:fill="FFFFFF"/>
        <w:tabs>
          <w:tab w:val="clear" w:pos="567"/>
        </w:tabs>
        <w:jc w:val="center"/>
        <w:rPr>
          <w:b/>
          <w:lang w:val="lt-LT"/>
        </w:rPr>
      </w:pPr>
    </w:p>
    <w:p w14:paraId="60ECF068" w14:textId="77777777" w:rsidR="00B37A31" w:rsidRPr="002A3EE4" w:rsidRDefault="00B37A31" w:rsidP="00B37A31">
      <w:pPr>
        <w:shd w:val="clear" w:color="auto" w:fill="FFFFFF"/>
        <w:tabs>
          <w:tab w:val="clear" w:pos="567"/>
        </w:tabs>
        <w:jc w:val="center"/>
        <w:rPr>
          <w:b/>
          <w:lang w:val="lt-LT"/>
        </w:rPr>
      </w:pPr>
    </w:p>
    <w:p w14:paraId="7CCFA65D" w14:textId="77777777" w:rsidR="00B37A31" w:rsidRPr="002A3EE4" w:rsidRDefault="00B37A31" w:rsidP="00B37A31">
      <w:pPr>
        <w:shd w:val="clear" w:color="auto" w:fill="FFFFFF"/>
        <w:tabs>
          <w:tab w:val="clear" w:pos="567"/>
        </w:tabs>
        <w:jc w:val="center"/>
        <w:rPr>
          <w:b/>
          <w:lang w:val="lt-LT"/>
        </w:rPr>
      </w:pPr>
    </w:p>
    <w:p w14:paraId="452E2842" w14:textId="77777777" w:rsidR="00B37A31" w:rsidRPr="002A3EE4" w:rsidRDefault="00B37A31" w:rsidP="00B37A31">
      <w:pPr>
        <w:shd w:val="clear" w:color="auto" w:fill="FFFFFF"/>
        <w:tabs>
          <w:tab w:val="clear" w:pos="567"/>
        </w:tabs>
        <w:jc w:val="center"/>
        <w:rPr>
          <w:b/>
          <w:lang w:val="lt-LT"/>
        </w:rPr>
      </w:pPr>
    </w:p>
    <w:p w14:paraId="16CB4A2A" w14:textId="77777777" w:rsidR="00B37A31" w:rsidRPr="002A3EE4" w:rsidRDefault="00B37A31" w:rsidP="00B37A31">
      <w:pPr>
        <w:shd w:val="clear" w:color="auto" w:fill="FFFFFF"/>
        <w:tabs>
          <w:tab w:val="clear" w:pos="567"/>
        </w:tabs>
        <w:jc w:val="center"/>
        <w:rPr>
          <w:b/>
          <w:lang w:val="lt-LT"/>
        </w:rPr>
      </w:pPr>
    </w:p>
    <w:p w14:paraId="0FE8ED1A" w14:textId="77777777" w:rsidR="00B37A31" w:rsidRPr="002A3EE4" w:rsidRDefault="00B37A31" w:rsidP="00B37A31">
      <w:pPr>
        <w:shd w:val="clear" w:color="auto" w:fill="FFFFFF"/>
        <w:tabs>
          <w:tab w:val="clear" w:pos="567"/>
        </w:tabs>
        <w:jc w:val="center"/>
        <w:rPr>
          <w:b/>
          <w:lang w:val="lt-LT"/>
        </w:rPr>
      </w:pPr>
    </w:p>
    <w:p w14:paraId="75DCA8A1" w14:textId="77777777" w:rsidR="00B37A31" w:rsidRPr="002A3EE4" w:rsidRDefault="00B37A31" w:rsidP="00B37A31">
      <w:pPr>
        <w:shd w:val="clear" w:color="auto" w:fill="FFFFFF"/>
        <w:tabs>
          <w:tab w:val="clear" w:pos="567"/>
        </w:tabs>
        <w:jc w:val="center"/>
        <w:rPr>
          <w:b/>
          <w:lang w:val="lt-LT"/>
        </w:rPr>
      </w:pPr>
    </w:p>
    <w:p w14:paraId="2D3E0C72" w14:textId="77777777" w:rsidR="00B37A31" w:rsidRPr="002A3EE4" w:rsidRDefault="00B37A31" w:rsidP="00B37A31">
      <w:pPr>
        <w:shd w:val="clear" w:color="auto" w:fill="FFFFFF"/>
        <w:tabs>
          <w:tab w:val="clear" w:pos="567"/>
        </w:tabs>
        <w:jc w:val="center"/>
        <w:rPr>
          <w:b/>
          <w:lang w:val="lt-LT"/>
        </w:rPr>
      </w:pPr>
    </w:p>
    <w:p w14:paraId="407030E1" w14:textId="77777777" w:rsidR="00B37A31" w:rsidRPr="002A3EE4" w:rsidRDefault="00B37A31" w:rsidP="00B37A31">
      <w:pPr>
        <w:shd w:val="clear" w:color="auto" w:fill="FFFFFF"/>
        <w:tabs>
          <w:tab w:val="clear" w:pos="567"/>
        </w:tabs>
        <w:jc w:val="center"/>
        <w:rPr>
          <w:b/>
          <w:lang w:val="lt-LT"/>
        </w:rPr>
      </w:pPr>
    </w:p>
    <w:p w14:paraId="2B0FFBCF" w14:textId="77777777" w:rsidR="00B37A31" w:rsidRPr="002A3EE4" w:rsidRDefault="00B37A31" w:rsidP="00B37A31">
      <w:pPr>
        <w:shd w:val="clear" w:color="auto" w:fill="FFFFFF"/>
        <w:tabs>
          <w:tab w:val="clear" w:pos="567"/>
        </w:tabs>
        <w:jc w:val="center"/>
        <w:rPr>
          <w:b/>
          <w:lang w:val="lt-LT"/>
        </w:rPr>
      </w:pPr>
    </w:p>
    <w:p w14:paraId="1F3C0666" w14:textId="77777777" w:rsidR="00B37A31" w:rsidRPr="002A3EE4" w:rsidRDefault="00B37A31" w:rsidP="00B37A31">
      <w:pPr>
        <w:shd w:val="clear" w:color="auto" w:fill="FFFFFF"/>
        <w:tabs>
          <w:tab w:val="clear" w:pos="567"/>
        </w:tabs>
        <w:rPr>
          <w:b/>
          <w:lang w:val="lt-LT"/>
        </w:rPr>
      </w:pPr>
    </w:p>
    <w:p w14:paraId="5CCE347F" w14:textId="77777777" w:rsidR="00B37A31" w:rsidRPr="002A3EE4" w:rsidRDefault="00B37A31" w:rsidP="00B37A31">
      <w:pPr>
        <w:shd w:val="clear" w:color="auto" w:fill="FFFFFF"/>
        <w:tabs>
          <w:tab w:val="clear" w:pos="567"/>
        </w:tabs>
        <w:jc w:val="center"/>
        <w:rPr>
          <w:lang w:val="lt-LT"/>
        </w:rPr>
      </w:pPr>
      <w:r w:rsidRPr="002A3EE4">
        <w:rPr>
          <w:b/>
          <w:lang w:val="lt-LT"/>
        </w:rPr>
        <w:t>A. ŽENKLINIMAS</w:t>
      </w:r>
      <w:r w:rsidRPr="002A3EE4">
        <w:rPr>
          <w:lang w:val="lt-LT"/>
        </w:rPr>
        <w:br w:type="page"/>
      </w:r>
    </w:p>
    <w:p w14:paraId="6DC0C3E0" w14:textId="77777777" w:rsidR="00B37A31" w:rsidRPr="002A3EE4" w:rsidRDefault="00B37A31" w:rsidP="00B37A31">
      <w:pPr>
        <w:shd w:val="clear" w:color="auto" w:fill="FFFFFF"/>
        <w:tabs>
          <w:tab w:val="clear" w:pos="567"/>
        </w:tabs>
        <w:jc w:val="center"/>
        <w:rPr>
          <w:lang w:val="lt-LT"/>
        </w:rPr>
      </w:pPr>
    </w:p>
    <w:p w14:paraId="17275D1E"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rPr>
          <w:b/>
          <w:lang w:val="lt-LT"/>
        </w:rPr>
      </w:pPr>
      <w:r w:rsidRPr="002A3EE4">
        <w:rPr>
          <w:b/>
          <w:lang w:val="lt-LT"/>
        </w:rPr>
        <w:t>INFORMACIJA ANT IŠORINĖS PAKUOTĖS</w:t>
      </w:r>
    </w:p>
    <w:p w14:paraId="5C2BFB5F"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ind w:left="567" w:hanging="567"/>
        <w:rPr>
          <w:bCs/>
          <w:lang w:val="lt-LT"/>
        </w:rPr>
      </w:pPr>
    </w:p>
    <w:p w14:paraId="1E57638D"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rPr>
          <w:bCs/>
          <w:lang w:val="lt-LT"/>
        </w:rPr>
      </w:pPr>
      <w:r>
        <w:rPr>
          <w:b/>
          <w:lang w:val="lt-LT"/>
        </w:rPr>
        <w:t xml:space="preserve">KARTONO </w:t>
      </w:r>
      <w:r w:rsidRPr="002A3EE4">
        <w:rPr>
          <w:b/>
          <w:lang w:val="lt-LT"/>
        </w:rPr>
        <w:t>DĖŽUTĖ</w:t>
      </w:r>
    </w:p>
    <w:p w14:paraId="1992CB40" w14:textId="77777777" w:rsidR="00B37A31" w:rsidRPr="002A3EE4" w:rsidRDefault="00B37A31" w:rsidP="00B37A31">
      <w:pPr>
        <w:tabs>
          <w:tab w:val="clear" w:pos="567"/>
        </w:tabs>
        <w:rPr>
          <w:lang w:val="lt-LT"/>
        </w:rPr>
      </w:pPr>
    </w:p>
    <w:p w14:paraId="2F8C247A" w14:textId="77777777" w:rsidR="00B37A31" w:rsidRPr="002A3EE4" w:rsidRDefault="00B37A31" w:rsidP="00B37A31">
      <w:pPr>
        <w:tabs>
          <w:tab w:val="clear" w:pos="567"/>
        </w:tabs>
        <w:rPr>
          <w:lang w:val="lt-LT"/>
        </w:rPr>
      </w:pPr>
    </w:p>
    <w:p w14:paraId="2E602813"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ind w:left="567" w:hanging="567"/>
        <w:outlineLvl w:val="0"/>
        <w:rPr>
          <w:lang w:val="lt-LT"/>
        </w:rPr>
      </w:pPr>
      <w:r w:rsidRPr="002A3EE4">
        <w:rPr>
          <w:b/>
          <w:lang w:val="lt-LT"/>
        </w:rPr>
        <w:t>1.</w:t>
      </w:r>
      <w:r w:rsidRPr="002A3EE4">
        <w:rPr>
          <w:b/>
          <w:lang w:val="lt-LT"/>
        </w:rPr>
        <w:tab/>
        <w:t>VAISTINIO PREPARATO PAVADINIMAS</w:t>
      </w:r>
    </w:p>
    <w:p w14:paraId="39EE2CE1" w14:textId="77777777" w:rsidR="00B37A31" w:rsidRPr="002A3EE4" w:rsidRDefault="00B37A31" w:rsidP="00B37A31">
      <w:pPr>
        <w:tabs>
          <w:tab w:val="clear" w:pos="567"/>
        </w:tabs>
        <w:rPr>
          <w:lang w:val="lt-LT"/>
        </w:rPr>
      </w:pPr>
    </w:p>
    <w:p w14:paraId="013C94A0" w14:textId="77777777" w:rsidR="00B37A31" w:rsidRPr="002A3EE4" w:rsidRDefault="00B37A31" w:rsidP="00B37A31">
      <w:pPr>
        <w:rPr>
          <w:szCs w:val="22"/>
          <w:lang w:val="lt-LT"/>
        </w:rPr>
      </w:pPr>
      <w:proofErr w:type="spellStart"/>
      <w:r w:rsidRPr="002A3EE4">
        <w:rPr>
          <w:lang w:val="lt-LT"/>
        </w:rPr>
        <w:t>Tec</w:t>
      </w:r>
      <w:r w:rsidRPr="002A3EE4">
        <w:rPr>
          <w:szCs w:val="22"/>
          <w:lang w:val="lt-LT"/>
        </w:rPr>
        <w:t>hnescan</w:t>
      </w:r>
      <w:proofErr w:type="spellEnd"/>
      <w:r w:rsidRPr="002A3EE4">
        <w:rPr>
          <w:szCs w:val="22"/>
          <w:lang w:val="lt-LT"/>
        </w:rPr>
        <w:t xml:space="preserve"> </w:t>
      </w:r>
      <w:proofErr w:type="spellStart"/>
      <w:r w:rsidRPr="002A3EE4">
        <w:rPr>
          <w:szCs w:val="22"/>
          <w:lang w:val="lt-LT"/>
        </w:rPr>
        <w:t>Sestamibi</w:t>
      </w:r>
      <w:proofErr w:type="spellEnd"/>
      <w:r w:rsidRPr="002A3EE4">
        <w:rPr>
          <w:szCs w:val="22"/>
          <w:lang w:val="lt-LT"/>
        </w:rPr>
        <w:t xml:space="preserve"> 1 mg rinkinys </w:t>
      </w:r>
      <w:proofErr w:type="spellStart"/>
      <w:r w:rsidRPr="002A3EE4">
        <w:rPr>
          <w:szCs w:val="22"/>
          <w:lang w:val="lt-LT"/>
        </w:rPr>
        <w:t>radiofarmaciniam</w:t>
      </w:r>
      <w:proofErr w:type="spellEnd"/>
      <w:r w:rsidRPr="002A3EE4">
        <w:rPr>
          <w:szCs w:val="22"/>
          <w:lang w:val="lt-LT"/>
        </w:rPr>
        <w:t xml:space="preserve"> preparatui</w:t>
      </w:r>
    </w:p>
    <w:p w14:paraId="0C1E6C49" w14:textId="77777777" w:rsidR="00B37A31" w:rsidRPr="002A3EE4" w:rsidRDefault="00B37A31" w:rsidP="00B37A31">
      <w:pPr>
        <w:rPr>
          <w:lang w:val="lt-LT"/>
        </w:rPr>
      </w:pPr>
      <w:r w:rsidRPr="002A3EE4">
        <w:rPr>
          <w:lang w:val="lt-LT"/>
        </w:rPr>
        <w:t>[</w:t>
      </w:r>
      <w:proofErr w:type="spellStart"/>
      <w:r>
        <w:rPr>
          <w:lang w:val="lt-LT"/>
        </w:rPr>
        <w:t>t</w:t>
      </w:r>
      <w:r w:rsidRPr="002A3EE4">
        <w:rPr>
          <w:lang w:val="lt-LT"/>
        </w:rPr>
        <w:t>etrakis</w:t>
      </w:r>
      <w:proofErr w:type="spellEnd"/>
      <w:r w:rsidRPr="002A3EE4">
        <w:rPr>
          <w:lang w:val="lt-LT"/>
        </w:rPr>
        <w:t xml:space="preserve">(2-metoksi-2-metilpropil-1 </w:t>
      </w:r>
      <w:proofErr w:type="spellStart"/>
      <w:r w:rsidRPr="002A3EE4">
        <w:rPr>
          <w:lang w:val="lt-LT"/>
        </w:rPr>
        <w:t>izocianido</w:t>
      </w:r>
      <w:proofErr w:type="spellEnd"/>
      <w:r w:rsidRPr="002A3EE4">
        <w:rPr>
          <w:lang w:val="lt-LT"/>
        </w:rPr>
        <w:t xml:space="preserve">)vario(I)] </w:t>
      </w:r>
      <w:proofErr w:type="spellStart"/>
      <w:r w:rsidRPr="002A3EE4">
        <w:rPr>
          <w:lang w:val="lt-LT"/>
        </w:rPr>
        <w:t>tetrafluorboratas</w:t>
      </w:r>
      <w:proofErr w:type="spellEnd"/>
    </w:p>
    <w:p w14:paraId="062CDBCE" w14:textId="77777777" w:rsidR="00B37A31" w:rsidRPr="002A3EE4" w:rsidRDefault="00B37A31" w:rsidP="00B37A31">
      <w:pPr>
        <w:tabs>
          <w:tab w:val="clear" w:pos="567"/>
        </w:tabs>
        <w:rPr>
          <w:lang w:val="lt-LT"/>
        </w:rPr>
      </w:pPr>
    </w:p>
    <w:p w14:paraId="01F91E0E" w14:textId="77777777" w:rsidR="00B37A31" w:rsidRPr="002A3EE4" w:rsidRDefault="00B37A31" w:rsidP="00B37A31">
      <w:pPr>
        <w:tabs>
          <w:tab w:val="clear" w:pos="567"/>
        </w:tabs>
        <w:rPr>
          <w:lang w:val="lt-LT"/>
        </w:rPr>
      </w:pPr>
    </w:p>
    <w:p w14:paraId="4D02C15C"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ind w:left="567" w:hanging="567"/>
        <w:outlineLvl w:val="0"/>
        <w:rPr>
          <w:b/>
          <w:lang w:val="lt-LT"/>
        </w:rPr>
      </w:pPr>
      <w:r w:rsidRPr="002A3EE4">
        <w:rPr>
          <w:b/>
          <w:lang w:val="lt-LT"/>
        </w:rPr>
        <w:t>2.</w:t>
      </w:r>
      <w:r w:rsidRPr="002A3EE4">
        <w:rPr>
          <w:b/>
          <w:lang w:val="lt-LT"/>
        </w:rPr>
        <w:tab/>
        <w:t>VEIKLIOJI (-IOS) MEDŽIAGA (-OS) IR JOS (-Ų) KIEKIS (-IAI)</w:t>
      </w:r>
    </w:p>
    <w:p w14:paraId="7DC0C671" w14:textId="77777777" w:rsidR="00B37A31" w:rsidRPr="002A3EE4" w:rsidRDefault="00B37A31" w:rsidP="00B37A31">
      <w:pPr>
        <w:tabs>
          <w:tab w:val="clear" w:pos="567"/>
        </w:tabs>
        <w:rPr>
          <w:lang w:val="lt-LT"/>
        </w:rPr>
      </w:pPr>
    </w:p>
    <w:p w14:paraId="6789D84E" w14:textId="77777777" w:rsidR="00B37A31" w:rsidRPr="002A3EE4" w:rsidRDefault="00B37A31" w:rsidP="00B37A31">
      <w:pPr>
        <w:rPr>
          <w:lang w:val="lt-LT"/>
        </w:rPr>
      </w:pPr>
      <w:r w:rsidRPr="002A3EE4">
        <w:rPr>
          <w:highlight w:val="lightGray"/>
          <w:lang w:val="lt-LT"/>
        </w:rPr>
        <w:t xml:space="preserve">Kiekviename </w:t>
      </w:r>
      <w:r>
        <w:rPr>
          <w:highlight w:val="lightGray"/>
          <w:lang w:val="lt-LT"/>
        </w:rPr>
        <w:t>flakone</w:t>
      </w:r>
      <w:r w:rsidRPr="002A3EE4">
        <w:rPr>
          <w:highlight w:val="lightGray"/>
          <w:lang w:val="lt-LT"/>
        </w:rPr>
        <w:t xml:space="preserve"> yra:</w:t>
      </w:r>
    </w:p>
    <w:p w14:paraId="2E3C20E6" w14:textId="77777777" w:rsidR="00B37A31" w:rsidRPr="002A3EE4" w:rsidRDefault="00B37A31" w:rsidP="00B37A31">
      <w:pPr>
        <w:rPr>
          <w:lang w:val="lt-LT"/>
        </w:rPr>
      </w:pPr>
      <w:r w:rsidRPr="002A3EE4">
        <w:rPr>
          <w:lang w:val="lt-LT"/>
        </w:rPr>
        <w:t>1 mg [</w:t>
      </w:r>
      <w:proofErr w:type="spellStart"/>
      <w:r>
        <w:rPr>
          <w:lang w:val="lt-LT"/>
        </w:rPr>
        <w:t>t</w:t>
      </w:r>
      <w:r w:rsidRPr="002A3EE4">
        <w:rPr>
          <w:lang w:val="lt-LT"/>
        </w:rPr>
        <w:t>etrakis</w:t>
      </w:r>
      <w:proofErr w:type="spellEnd"/>
      <w:r w:rsidRPr="002A3EE4">
        <w:rPr>
          <w:lang w:val="lt-LT"/>
        </w:rPr>
        <w:t xml:space="preserve">(2-metoksi-2-metilpropil-1 </w:t>
      </w:r>
      <w:proofErr w:type="spellStart"/>
      <w:r w:rsidRPr="002A3EE4">
        <w:rPr>
          <w:lang w:val="lt-LT"/>
        </w:rPr>
        <w:t>izocia</w:t>
      </w:r>
      <w:r>
        <w:rPr>
          <w:lang w:val="lt-LT"/>
        </w:rPr>
        <w:t>nido</w:t>
      </w:r>
      <w:proofErr w:type="spellEnd"/>
      <w:r>
        <w:rPr>
          <w:lang w:val="lt-LT"/>
        </w:rPr>
        <w:t xml:space="preserve">)vario(I)] </w:t>
      </w:r>
      <w:proofErr w:type="spellStart"/>
      <w:r>
        <w:rPr>
          <w:lang w:val="lt-LT"/>
        </w:rPr>
        <w:t>tetrafluorborato</w:t>
      </w:r>
      <w:proofErr w:type="spellEnd"/>
      <w:r>
        <w:rPr>
          <w:lang w:val="lt-LT"/>
        </w:rPr>
        <w:t>.</w:t>
      </w:r>
    </w:p>
    <w:p w14:paraId="53C6D4FF" w14:textId="77777777" w:rsidR="00B37A31" w:rsidRPr="002A3EE4" w:rsidRDefault="00B37A31" w:rsidP="00B37A31">
      <w:pPr>
        <w:rPr>
          <w:lang w:val="lt-LT"/>
        </w:rPr>
      </w:pPr>
    </w:p>
    <w:p w14:paraId="0DE61262" w14:textId="77777777" w:rsidR="00B37A31" w:rsidRPr="002A3EE4" w:rsidRDefault="00B37A31" w:rsidP="00B37A31">
      <w:pPr>
        <w:tabs>
          <w:tab w:val="clear" w:pos="567"/>
        </w:tabs>
        <w:rPr>
          <w:lang w:val="lt-LT"/>
        </w:rPr>
      </w:pPr>
    </w:p>
    <w:p w14:paraId="4E5BE19D"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ind w:left="567" w:hanging="567"/>
        <w:outlineLvl w:val="0"/>
        <w:rPr>
          <w:lang w:val="lt-LT"/>
        </w:rPr>
      </w:pPr>
      <w:r w:rsidRPr="002A3EE4">
        <w:rPr>
          <w:b/>
          <w:lang w:val="lt-LT"/>
        </w:rPr>
        <w:t>3.</w:t>
      </w:r>
      <w:r w:rsidRPr="002A3EE4">
        <w:rPr>
          <w:b/>
          <w:lang w:val="lt-LT"/>
        </w:rPr>
        <w:tab/>
        <w:t>PAGALBINIŲ MEDŽIAGŲ SĄRAŠAS</w:t>
      </w:r>
    </w:p>
    <w:p w14:paraId="35EB1DBA" w14:textId="77777777" w:rsidR="00B37A31" w:rsidRPr="002A3EE4" w:rsidRDefault="00B37A31" w:rsidP="00B37A31">
      <w:pPr>
        <w:tabs>
          <w:tab w:val="clear" w:pos="567"/>
        </w:tabs>
        <w:rPr>
          <w:lang w:val="lt-LT"/>
        </w:rPr>
      </w:pPr>
    </w:p>
    <w:p w14:paraId="17E02C4F" w14:textId="77777777" w:rsidR="00B37A31" w:rsidRPr="002A3EE4" w:rsidRDefault="00B37A31" w:rsidP="00B37A31">
      <w:pPr>
        <w:rPr>
          <w:lang w:val="lt-LT"/>
        </w:rPr>
      </w:pPr>
      <w:r w:rsidRPr="002A3EE4">
        <w:rPr>
          <w:lang w:val="lt-LT"/>
        </w:rPr>
        <w:t xml:space="preserve">Alavo </w:t>
      </w:r>
      <w:r>
        <w:rPr>
          <w:lang w:val="lt-LT"/>
        </w:rPr>
        <w:t xml:space="preserve">(II) </w:t>
      </w:r>
      <w:r w:rsidRPr="002A3EE4">
        <w:rPr>
          <w:lang w:val="lt-LT"/>
        </w:rPr>
        <w:t xml:space="preserve">chloridas </w:t>
      </w:r>
      <w:proofErr w:type="spellStart"/>
      <w:r w:rsidRPr="002A3EE4">
        <w:rPr>
          <w:lang w:val="lt-LT"/>
        </w:rPr>
        <w:t>dihidratas</w:t>
      </w:r>
      <w:proofErr w:type="spellEnd"/>
      <w:r w:rsidRPr="002A3EE4">
        <w:rPr>
          <w:lang w:val="lt-LT"/>
        </w:rPr>
        <w:t xml:space="preserve">, </w:t>
      </w:r>
      <w:proofErr w:type="spellStart"/>
      <w:r w:rsidRPr="002A3EE4">
        <w:rPr>
          <w:lang w:val="lt-LT"/>
        </w:rPr>
        <w:t>cisteino</w:t>
      </w:r>
      <w:proofErr w:type="spellEnd"/>
      <w:r w:rsidRPr="002A3EE4">
        <w:rPr>
          <w:lang w:val="lt-LT"/>
        </w:rPr>
        <w:t xml:space="preserve"> hidrochloridas </w:t>
      </w:r>
      <w:proofErr w:type="spellStart"/>
      <w:r w:rsidRPr="002A3EE4">
        <w:rPr>
          <w:lang w:val="lt-LT"/>
        </w:rPr>
        <w:t>monohidratas</w:t>
      </w:r>
      <w:proofErr w:type="spellEnd"/>
      <w:r w:rsidRPr="002A3EE4">
        <w:rPr>
          <w:lang w:val="lt-LT"/>
        </w:rPr>
        <w:t xml:space="preserve">, natrio citratas, </w:t>
      </w:r>
      <w:proofErr w:type="spellStart"/>
      <w:r w:rsidRPr="002A3EE4">
        <w:rPr>
          <w:lang w:val="lt-LT"/>
        </w:rPr>
        <w:t>manitolis</w:t>
      </w:r>
      <w:proofErr w:type="spellEnd"/>
      <w:r w:rsidRPr="002A3EE4">
        <w:rPr>
          <w:lang w:val="lt-LT"/>
        </w:rPr>
        <w:t>, vandenilio chlorido rūgštis ir natrio hidroksidas.</w:t>
      </w:r>
    </w:p>
    <w:p w14:paraId="0E108DF9" w14:textId="77777777" w:rsidR="00B37A31" w:rsidRPr="002A3EE4" w:rsidRDefault="00B37A31" w:rsidP="00B37A31">
      <w:pPr>
        <w:tabs>
          <w:tab w:val="clear" w:pos="567"/>
        </w:tabs>
        <w:rPr>
          <w:lang w:val="lt-LT"/>
        </w:rPr>
      </w:pPr>
    </w:p>
    <w:p w14:paraId="2C233092" w14:textId="77777777" w:rsidR="00B37A31" w:rsidRPr="002A3EE4" w:rsidRDefault="00B37A31" w:rsidP="00B37A31">
      <w:pPr>
        <w:tabs>
          <w:tab w:val="clear" w:pos="567"/>
        </w:tabs>
        <w:rPr>
          <w:lang w:val="lt-LT"/>
        </w:rPr>
      </w:pPr>
    </w:p>
    <w:p w14:paraId="5D0B23D5"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ind w:left="567" w:hanging="567"/>
        <w:outlineLvl w:val="0"/>
        <w:rPr>
          <w:lang w:val="lt-LT"/>
        </w:rPr>
      </w:pPr>
      <w:r w:rsidRPr="002A3EE4">
        <w:rPr>
          <w:b/>
          <w:lang w:val="lt-LT"/>
        </w:rPr>
        <w:t>4.</w:t>
      </w:r>
      <w:r w:rsidRPr="002A3EE4">
        <w:rPr>
          <w:b/>
          <w:lang w:val="lt-LT"/>
        </w:rPr>
        <w:tab/>
        <w:t>FARMACINĖ FORMA IR KIEKIS PAKUOTĖJE</w:t>
      </w:r>
    </w:p>
    <w:p w14:paraId="0F6A9792" w14:textId="77777777" w:rsidR="00B37A31" w:rsidRPr="002A3EE4" w:rsidRDefault="00B37A31" w:rsidP="00B37A31">
      <w:pPr>
        <w:tabs>
          <w:tab w:val="clear" w:pos="567"/>
        </w:tabs>
        <w:rPr>
          <w:lang w:val="lt-LT"/>
        </w:rPr>
      </w:pPr>
    </w:p>
    <w:p w14:paraId="074572D1" w14:textId="77777777" w:rsidR="00B37A31" w:rsidRPr="002A3EE4" w:rsidRDefault="00B37A31" w:rsidP="00B37A31">
      <w:pPr>
        <w:rPr>
          <w:shd w:val="clear" w:color="auto" w:fill="E0E0E0"/>
          <w:lang w:val="lt-LT"/>
        </w:rPr>
      </w:pPr>
      <w:r w:rsidRPr="002A3EE4">
        <w:rPr>
          <w:shd w:val="clear" w:color="auto" w:fill="D9D9D9"/>
          <w:lang w:val="lt-LT"/>
        </w:rPr>
        <w:t xml:space="preserve">Rinkinys </w:t>
      </w:r>
      <w:proofErr w:type="spellStart"/>
      <w:r w:rsidRPr="002A3EE4">
        <w:rPr>
          <w:shd w:val="clear" w:color="auto" w:fill="D9D9D9"/>
          <w:lang w:val="lt-LT"/>
        </w:rPr>
        <w:t>radiofarmaciniam</w:t>
      </w:r>
      <w:proofErr w:type="spellEnd"/>
      <w:r w:rsidRPr="002A3EE4">
        <w:rPr>
          <w:shd w:val="clear" w:color="auto" w:fill="D9D9D9"/>
          <w:lang w:val="lt-LT"/>
        </w:rPr>
        <w:t xml:space="preserve"> preparatui</w:t>
      </w:r>
    </w:p>
    <w:p w14:paraId="0E5266F0" w14:textId="77777777" w:rsidR="00B37A31" w:rsidRPr="002A3EE4" w:rsidRDefault="00B37A31" w:rsidP="00B37A31">
      <w:pPr>
        <w:rPr>
          <w:lang w:val="lt-LT"/>
        </w:rPr>
      </w:pPr>
      <w:r w:rsidRPr="002A3EE4">
        <w:rPr>
          <w:lang w:val="lt-LT"/>
        </w:rPr>
        <w:t>5 </w:t>
      </w:r>
      <w:proofErr w:type="spellStart"/>
      <w:r w:rsidRPr="002A3EE4">
        <w:rPr>
          <w:lang w:val="lt-LT"/>
        </w:rPr>
        <w:t>daugiadoziai</w:t>
      </w:r>
      <w:proofErr w:type="spellEnd"/>
      <w:r w:rsidRPr="002A3EE4">
        <w:rPr>
          <w:lang w:val="lt-LT"/>
        </w:rPr>
        <w:t xml:space="preserve"> </w:t>
      </w:r>
      <w:r>
        <w:rPr>
          <w:lang w:val="lt-LT"/>
        </w:rPr>
        <w:t>flakonai</w:t>
      </w:r>
      <w:r w:rsidRPr="002A3EE4">
        <w:rPr>
          <w:lang w:val="lt-LT"/>
        </w:rPr>
        <w:t xml:space="preserve"> su granulėmis arba milteliais.</w:t>
      </w:r>
    </w:p>
    <w:p w14:paraId="0A43C2B5" w14:textId="77777777" w:rsidR="00B37A31" w:rsidRPr="002A3EE4" w:rsidRDefault="00B37A31" w:rsidP="00B37A31">
      <w:pPr>
        <w:tabs>
          <w:tab w:val="clear" w:pos="567"/>
        </w:tabs>
        <w:rPr>
          <w:lang w:val="lt-LT"/>
        </w:rPr>
      </w:pPr>
    </w:p>
    <w:p w14:paraId="64915219" w14:textId="77777777" w:rsidR="00B37A31" w:rsidRPr="002A3EE4" w:rsidRDefault="00B37A31" w:rsidP="00B37A31">
      <w:pPr>
        <w:tabs>
          <w:tab w:val="clear" w:pos="567"/>
        </w:tabs>
        <w:rPr>
          <w:lang w:val="lt-LT"/>
        </w:rPr>
      </w:pPr>
    </w:p>
    <w:p w14:paraId="360779B3"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ind w:left="567" w:hanging="567"/>
        <w:outlineLvl w:val="0"/>
        <w:rPr>
          <w:lang w:val="lt-LT"/>
        </w:rPr>
      </w:pPr>
      <w:r w:rsidRPr="002A3EE4">
        <w:rPr>
          <w:b/>
          <w:lang w:val="lt-LT"/>
        </w:rPr>
        <w:t>5.</w:t>
      </w:r>
      <w:r w:rsidRPr="002A3EE4">
        <w:rPr>
          <w:b/>
          <w:lang w:val="lt-LT"/>
        </w:rPr>
        <w:tab/>
        <w:t>VARTOJIMO METODAS IR BŪDAS (-AI)</w:t>
      </w:r>
    </w:p>
    <w:p w14:paraId="57D4A217" w14:textId="77777777" w:rsidR="00B37A31" w:rsidRPr="002A3EE4" w:rsidRDefault="00B37A31" w:rsidP="00B37A31">
      <w:pPr>
        <w:tabs>
          <w:tab w:val="clear" w:pos="567"/>
        </w:tabs>
        <w:rPr>
          <w:i/>
          <w:lang w:val="lt-LT"/>
        </w:rPr>
      </w:pPr>
    </w:p>
    <w:p w14:paraId="135B32EF" w14:textId="77777777" w:rsidR="00B37A31" w:rsidRPr="002A3EE4" w:rsidRDefault="00B37A31" w:rsidP="00B37A31">
      <w:pPr>
        <w:rPr>
          <w:lang w:val="lt-LT"/>
        </w:rPr>
      </w:pPr>
      <w:r>
        <w:rPr>
          <w:lang w:val="lt-LT"/>
        </w:rPr>
        <w:t>I</w:t>
      </w:r>
      <w:r w:rsidRPr="002A3EE4">
        <w:rPr>
          <w:lang w:val="lt-LT"/>
        </w:rPr>
        <w:t xml:space="preserve">štirpinti natrio </w:t>
      </w:r>
      <w:proofErr w:type="spellStart"/>
      <w:r w:rsidRPr="002A3EE4">
        <w:rPr>
          <w:lang w:val="lt-LT"/>
        </w:rPr>
        <w:t>pertechnetato</w:t>
      </w:r>
      <w:proofErr w:type="spellEnd"/>
      <w:r w:rsidRPr="002A3EE4">
        <w:rPr>
          <w:lang w:val="lt-LT"/>
        </w:rPr>
        <w:t xml:space="preserve"> (Tc-99m) injekciniu tirpalu.</w:t>
      </w:r>
    </w:p>
    <w:p w14:paraId="2CBDC7DA" w14:textId="77777777" w:rsidR="00B37A31" w:rsidRPr="002A3EE4" w:rsidRDefault="00B37A31" w:rsidP="00B37A31">
      <w:pPr>
        <w:rPr>
          <w:lang w:val="lt-LT"/>
        </w:rPr>
      </w:pPr>
      <w:r>
        <w:rPr>
          <w:lang w:val="lt-LT"/>
        </w:rPr>
        <w:t>Leisti</w:t>
      </w:r>
      <w:r w:rsidRPr="002A3EE4">
        <w:rPr>
          <w:lang w:val="lt-LT"/>
        </w:rPr>
        <w:t xml:space="preserve"> į veną.</w:t>
      </w:r>
    </w:p>
    <w:p w14:paraId="07A8C58C" w14:textId="77777777" w:rsidR="00B37A31" w:rsidRPr="002A3EE4" w:rsidRDefault="00B37A31" w:rsidP="00B37A31">
      <w:pPr>
        <w:tabs>
          <w:tab w:val="clear" w:pos="567"/>
        </w:tabs>
        <w:rPr>
          <w:lang w:val="lt-LT"/>
        </w:rPr>
      </w:pPr>
      <w:r w:rsidRPr="002A3EE4">
        <w:rPr>
          <w:lang w:val="lt-LT"/>
        </w:rPr>
        <w:t>Prieš vartojimą perskaitykite pakuotės lapelį.</w:t>
      </w:r>
    </w:p>
    <w:p w14:paraId="70AF4D0B" w14:textId="77777777" w:rsidR="00B37A31" w:rsidRPr="002A3EE4" w:rsidRDefault="00B37A31" w:rsidP="00B37A31">
      <w:pPr>
        <w:tabs>
          <w:tab w:val="clear" w:pos="567"/>
        </w:tabs>
        <w:rPr>
          <w:lang w:val="lt-LT"/>
        </w:rPr>
      </w:pPr>
    </w:p>
    <w:p w14:paraId="102BA040" w14:textId="77777777" w:rsidR="00B37A31" w:rsidRPr="002A3EE4" w:rsidRDefault="00B37A31" w:rsidP="00B37A31">
      <w:pPr>
        <w:tabs>
          <w:tab w:val="clear" w:pos="567"/>
        </w:tabs>
        <w:rPr>
          <w:lang w:val="lt-LT"/>
        </w:rPr>
      </w:pPr>
    </w:p>
    <w:p w14:paraId="74AF7776"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ind w:left="567" w:hanging="567"/>
        <w:outlineLvl w:val="0"/>
        <w:rPr>
          <w:lang w:val="lt-LT"/>
        </w:rPr>
      </w:pPr>
      <w:r w:rsidRPr="002A3EE4">
        <w:rPr>
          <w:b/>
          <w:lang w:val="lt-LT"/>
        </w:rPr>
        <w:t>6.</w:t>
      </w:r>
      <w:r w:rsidRPr="002A3EE4">
        <w:rPr>
          <w:b/>
          <w:lang w:val="lt-LT"/>
        </w:rPr>
        <w:tab/>
      </w:r>
      <w:r w:rsidRPr="002A3EE4">
        <w:rPr>
          <w:b/>
          <w:bCs/>
          <w:lang w:val="lt-LT"/>
        </w:rPr>
        <w:t>SPECIALUS ĮSPĖJIMAS, KAD VAISTINĮ PREPARATĄ BŪTINA LAIKYTI VAIKAMS NEPASTEBIMOJE IR NEPASIEKIAMOJE</w:t>
      </w:r>
      <w:r w:rsidRPr="002A3EE4" w:rsidDel="00212133">
        <w:rPr>
          <w:b/>
          <w:bCs/>
          <w:lang w:val="lt-LT"/>
        </w:rPr>
        <w:t xml:space="preserve"> </w:t>
      </w:r>
      <w:r w:rsidRPr="002A3EE4">
        <w:rPr>
          <w:b/>
          <w:bCs/>
          <w:lang w:val="lt-LT"/>
        </w:rPr>
        <w:t>VIETOJE</w:t>
      </w:r>
    </w:p>
    <w:p w14:paraId="0A86DD43" w14:textId="77777777" w:rsidR="00B37A31" w:rsidRPr="002A3EE4" w:rsidRDefault="00B37A31" w:rsidP="00B37A31">
      <w:pPr>
        <w:tabs>
          <w:tab w:val="clear" w:pos="567"/>
        </w:tabs>
        <w:rPr>
          <w:lang w:val="lt-LT"/>
        </w:rPr>
      </w:pPr>
    </w:p>
    <w:p w14:paraId="72E2FC53" w14:textId="77777777" w:rsidR="00B37A31" w:rsidRPr="002A3EE4" w:rsidRDefault="00B37A31" w:rsidP="00B37A31">
      <w:pPr>
        <w:tabs>
          <w:tab w:val="clear" w:pos="567"/>
        </w:tabs>
        <w:outlineLvl w:val="0"/>
        <w:rPr>
          <w:lang w:val="lt-LT"/>
        </w:rPr>
      </w:pPr>
      <w:r w:rsidRPr="002A3EE4">
        <w:rPr>
          <w:iCs/>
          <w:lang w:val="lt-LT"/>
        </w:rPr>
        <w:t>Laikyti vaikams nepastebimoje ir nepasiekiamoje</w:t>
      </w:r>
      <w:r w:rsidRPr="002A3EE4" w:rsidDel="00212133">
        <w:rPr>
          <w:iCs/>
          <w:lang w:val="lt-LT"/>
        </w:rPr>
        <w:t xml:space="preserve"> </w:t>
      </w:r>
      <w:r w:rsidRPr="002A3EE4">
        <w:rPr>
          <w:iCs/>
          <w:lang w:val="lt-LT"/>
        </w:rPr>
        <w:t>vietoje</w:t>
      </w:r>
      <w:r w:rsidRPr="002A3EE4">
        <w:rPr>
          <w:lang w:val="lt-LT"/>
        </w:rPr>
        <w:t>.</w:t>
      </w:r>
    </w:p>
    <w:p w14:paraId="08F6E3B5" w14:textId="77777777" w:rsidR="00B37A31" w:rsidRPr="002A3EE4" w:rsidRDefault="00B37A31" w:rsidP="00B37A31">
      <w:pPr>
        <w:tabs>
          <w:tab w:val="clear" w:pos="567"/>
        </w:tabs>
        <w:rPr>
          <w:lang w:val="lt-LT"/>
        </w:rPr>
      </w:pPr>
    </w:p>
    <w:p w14:paraId="028A4B6F" w14:textId="77777777" w:rsidR="00B37A31" w:rsidRPr="002A3EE4" w:rsidRDefault="00B37A31" w:rsidP="00B37A31">
      <w:pPr>
        <w:tabs>
          <w:tab w:val="clear" w:pos="567"/>
        </w:tabs>
        <w:rPr>
          <w:lang w:val="lt-LT"/>
        </w:rPr>
      </w:pPr>
    </w:p>
    <w:p w14:paraId="0E7C890A"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ind w:left="567" w:hanging="567"/>
        <w:outlineLvl w:val="0"/>
        <w:rPr>
          <w:lang w:val="lt-LT"/>
        </w:rPr>
      </w:pPr>
      <w:r w:rsidRPr="002A3EE4">
        <w:rPr>
          <w:b/>
          <w:lang w:val="lt-LT"/>
        </w:rPr>
        <w:t>7.</w:t>
      </w:r>
      <w:r w:rsidRPr="002A3EE4">
        <w:rPr>
          <w:b/>
          <w:lang w:val="lt-LT"/>
        </w:rPr>
        <w:tab/>
      </w:r>
      <w:r w:rsidRPr="002A3EE4">
        <w:rPr>
          <w:b/>
          <w:bCs/>
          <w:lang w:val="lt-LT"/>
        </w:rPr>
        <w:t>KITAS (-I) SPECIALUS (-ŪS) ĮSPĖJIMAS (-AI) (JEI REIKIA)</w:t>
      </w:r>
    </w:p>
    <w:p w14:paraId="5AA20273" w14:textId="77777777" w:rsidR="00B37A31" w:rsidRPr="002A3EE4" w:rsidRDefault="00B37A31" w:rsidP="00B37A31">
      <w:pPr>
        <w:tabs>
          <w:tab w:val="clear" w:pos="567"/>
        </w:tabs>
        <w:rPr>
          <w:lang w:val="lt-LT"/>
        </w:rPr>
      </w:pPr>
    </w:p>
    <w:p w14:paraId="1444E101" w14:textId="77777777" w:rsidR="00B37A31" w:rsidRPr="002A3EE4" w:rsidRDefault="00B37A31" w:rsidP="00B37A31">
      <w:pPr>
        <w:tabs>
          <w:tab w:val="clear" w:pos="567"/>
        </w:tabs>
        <w:rPr>
          <w:lang w:val="lt-LT"/>
        </w:rPr>
      </w:pPr>
    </w:p>
    <w:p w14:paraId="31789411"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ind w:left="567" w:hanging="567"/>
        <w:outlineLvl w:val="0"/>
        <w:rPr>
          <w:lang w:val="lt-LT"/>
        </w:rPr>
      </w:pPr>
      <w:r w:rsidRPr="002A3EE4">
        <w:rPr>
          <w:b/>
          <w:lang w:val="lt-LT"/>
        </w:rPr>
        <w:t>8.</w:t>
      </w:r>
      <w:r w:rsidRPr="002A3EE4">
        <w:rPr>
          <w:b/>
          <w:lang w:val="lt-LT"/>
        </w:rPr>
        <w:tab/>
      </w:r>
      <w:r w:rsidRPr="002A3EE4">
        <w:rPr>
          <w:b/>
          <w:bCs/>
          <w:lang w:val="lt-LT"/>
        </w:rPr>
        <w:t>TINKAMUMO LAIKAS</w:t>
      </w:r>
    </w:p>
    <w:p w14:paraId="79D52C8F" w14:textId="77777777" w:rsidR="00B37A31" w:rsidRPr="002A3EE4" w:rsidRDefault="00B37A31" w:rsidP="00B37A31">
      <w:pPr>
        <w:tabs>
          <w:tab w:val="clear" w:pos="567"/>
        </w:tabs>
        <w:rPr>
          <w:lang w:val="lt-LT"/>
        </w:rPr>
      </w:pPr>
    </w:p>
    <w:p w14:paraId="021B68BB" w14:textId="77777777" w:rsidR="00B37A31" w:rsidRPr="002A3EE4" w:rsidRDefault="00B37A31" w:rsidP="00B37A31">
      <w:pPr>
        <w:rPr>
          <w:lang w:val="lt-LT"/>
        </w:rPr>
      </w:pPr>
      <w:r w:rsidRPr="002A3EE4">
        <w:rPr>
          <w:lang w:val="lt-LT"/>
        </w:rPr>
        <w:t>Tinka iki:</w:t>
      </w:r>
      <w:r>
        <w:rPr>
          <w:lang w:val="lt-LT"/>
        </w:rPr>
        <w:t xml:space="preserve"> </w:t>
      </w:r>
      <w:proofErr w:type="spellStart"/>
      <w:r>
        <w:rPr>
          <w:lang w:val="lt-LT"/>
        </w:rPr>
        <w:t>dd</w:t>
      </w:r>
      <w:proofErr w:type="spellEnd"/>
      <w:r>
        <w:rPr>
          <w:lang w:val="lt-LT"/>
        </w:rPr>
        <w:t xml:space="preserve"> mmm MMMM</w:t>
      </w:r>
    </w:p>
    <w:p w14:paraId="708D8E4B" w14:textId="77777777" w:rsidR="00B37A31" w:rsidRPr="002A3EE4" w:rsidRDefault="00B37A31" w:rsidP="00B37A31">
      <w:pPr>
        <w:rPr>
          <w:lang w:val="lt-LT"/>
        </w:rPr>
      </w:pPr>
      <w:r w:rsidRPr="002A3EE4">
        <w:rPr>
          <w:lang w:val="lt-LT"/>
        </w:rPr>
        <w:t>Ištirpinus, laikyti ne aukštesnėje kaip 25 </w:t>
      </w:r>
      <w:r w:rsidRPr="002A3EE4">
        <w:rPr>
          <w:lang w:val="lt-LT"/>
        </w:rPr>
        <w:sym w:font="Symbol" w:char="F0B0"/>
      </w:r>
      <w:r w:rsidRPr="002A3EE4">
        <w:rPr>
          <w:lang w:val="lt-LT"/>
        </w:rPr>
        <w:t>C temperatūroje ir suvartoti per 10 valandų.</w:t>
      </w:r>
    </w:p>
    <w:p w14:paraId="0198D494" w14:textId="77777777" w:rsidR="00B37A31" w:rsidRPr="002A3EE4" w:rsidRDefault="00B37A31" w:rsidP="00B37A31">
      <w:pPr>
        <w:tabs>
          <w:tab w:val="clear" w:pos="567"/>
        </w:tabs>
        <w:rPr>
          <w:lang w:val="lt-LT"/>
        </w:rPr>
      </w:pPr>
    </w:p>
    <w:p w14:paraId="5F1FE996" w14:textId="77777777" w:rsidR="00B37A31" w:rsidRPr="002A3EE4" w:rsidRDefault="00B37A31" w:rsidP="00B37A31">
      <w:pPr>
        <w:tabs>
          <w:tab w:val="clear" w:pos="567"/>
        </w:tabs>
        <w:rPr>
          <w:lang w:val="lt-LT"/>
        </w:rPr>
      </w:pPr>
    </w:p>
    <w:p w14:paraId="665105B2" w14:textId="77777777" w:rsidR="00B37A31" w:rsidRPr="002A3EE4" w:rsidRDefault="00B37A31" w:rsidP="00B37A3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lang w:val="lt-LT"/>
        </w:rPr>
      </w:pPr>
      <w:r w:rsidRPr="002A3EE4">
        <w:rPr>
          <w:b/>
          <w:lang w:val="lt-LT"/>
        </w:rPr>
        <w:lastRenderedPageBreak/>
        <w:t>9.</w:t>
      </w:r>
      <w:r w:rsidRPr="002A3EE4">
        <w:rPr>
          <w:b/>
          <w:lang w:val="lt-LT"/>
        </w:rPr>
        <w:tab/>
      </w:r>
      <w:r w:rsidRPr="002A3EE4">
        <w:rPr>
          <w:b/>
          <w:caps/>
          <w:lang w:val="lt-LT"/>
        </w:rPr>
        <w:t>SPECIALIOS laikymo sąlygos</w:t>
      </w:r>
    </w:p>
    <w:p w14:paraId="4D5459AD" w14:textId="77777777" w:rsidR="00B37A31" w:rsidRPr="002A3EE4" w:rsidRDefault="00B37A31" w:rsidP="00B37A31">
      <w:pPr>
        <w:keepNext/>
        <w:rPr>
          <w:lang w:val="lt-LT"/>
        </w:rPr>
      </w:pPr>
    </w:p>
    <w:p w14:paraId="38011DC9" w14:textId="77777777" w:rsidR="00B37A31" w:rsidRPr="002A3EE4" w:rsidRDefault="00B37A31" w:rsidP="00B37A31">
      <w:pPr>
        <w:rPr>
          <w:lang w:val="lt-LT"/>
        </w:rPr>
      </w:pPr>
      <w:r w:rsidRPr="002A3EE4">
        <w:rPr>
          <w:lang w:val="lt-LT"/>
        </w:rPr>
        <w:t xml:space="preserve">Laikyti ne aukštesnėje kaip </w:t>
      </w:r>
      <w:smartTag w:uri="urn:schemas-microsoft-com:office:smarttags" w:element="metricconverter">
        <w:smartTagPr>
          <w:attr w:name="ProductID" w:val="25°C"/>
        </w:smartTagPr>
        <w:r w:rsidRPr="002A3EE4">
          <w:rPr>
            <w:lang w:val="lt-LT"/>
          </w:rPr>
          <w:t>25°C</w:t>
        </w:r>
      </w:smartTag>
      <w:r w:rsidRPr="002A3EE4">
        <w:rPr>
          <w:lang w:val="lt-LT"/>
        </w:rPr>
        <w:t xml:space="preserve"> temperatūroje. </w:t>
      </w:r>
      <w:r>
        <w:rPr>
          <w:lang w:val="lt-LT"/>
        </w:rPr>
        <w:t>Flakonus</w:t>
      </w:r>
      <w:r w:rsidRPr="002A3EE4">
        <w:rPr>
          <w:lang w:val="lt-LT"/>
        </w:rPr>
        <w:t xml:space="preserve"> laikyti išorinėje dėžutėje, kad preparatas būtų apsaugotas nuo šviesos.</w:t>
      </w:r>
    </w:p>
    <w:p w14:paraId="1DE07CFE" w14:textId="77777777" w:rsidR="00B37A31" w:rsidRPr="002A3EE4" w:rsidRDefault="00B37A31" w:rsidP="00B37A31">
      <w:pPr>
        <w:tabs>
          <w:tab w:val="clear" w:pos="567"/>
        </w:tabs>
        <w:ind w:left="567" w:hanging="567"/>
        <w:rPr>
          <w:lang w:val="lt-LT"/>
        </w:rPr>
      </w:pPr>
    </w:p>
    <w:p w14:paraId="4827CF00" w14:textId="77777777" w:rsidR="00B37A31" w:rsidRPr="002A3EE4" w:rsidRDefault="00B37A31" w:rsidP="00B37A31">
      <w:pPr>
        <w:tabs>
          <w:tab w:val="clear" w:pos="567"/>
        </w:tabs>
        <w:ind w:left="567" w:hanging="567"/>
        <w:rPr>
          <w:lang w:val="lt-LT"/>
        </w:rPr>
      </w:pPr>
    </w:p>
    <w:p w14:paraId="3A3D0BB7"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ind w:left="567" w:hanging="567"/>
        <w:outlineLvl w:val="0"/>
        <w:rPr>
          <w:b/>
          <w:lang w:val="lt-LT"/>
        </w:rPr>
      </w:pPr>
      <w:r w:rsidRPr="002A3EE4">
        <w:rPr>
          <w:b/>
          <w:lang w:val="lt-LT"/>
        </w:rPr>
        <w:t>10.</w:t>
      </w:r>
      <w:r w:rsidRPr="002A3EE4">
        <w:rPr>
          <w:b/>
          <w:lang w:val="lt-LT"/>
        </w:rPr>
        <w:tab/>
      </w:r>
      <w:r w:rsidRPr="002A3EE4">
        <w:rPr>
          <w:b/>
          <w:caps/>
          <w:lang w:val="lt-LT"/>
        </w:rPr>
        <w:t xml:space="preserve">specialios atsargumo priemonės DĖL NESUVARTOTO </w:t>
      </w:r>
      <w:r w:rsidRPr="002A3EE4">
        <w:rPr>
          <w:b/>
          <w:bCs/>
          <w:caps/>
          <w:lang w:val="lt-LT"/>
        </w:rPr>
        <w:t>VAISTINIO PREPARATO AR JO ATLIEK</w:t>
      </w:r>
      <w:r w:rsidRPr="002A3EE4">
        <w:rPr>
          <w:b/>
          <w:lang w:val="lt-LT"/>
        </w:rPr>
        <w:t>Ų</w:t>
      </w:r>
      <w:r w:rsidRPr="002A3EE4">
        <w:rPr>
          <w:caps/>
          <w:lang w:val="lt-LT"/>
        </w:rPr>
        <w:t xml:space="preserve"> </w:t>
      </w:r>
      <w:r w:rsidRPr="002A3EE4">
        <w:rPr>
          <w:b/>
          <w:bCs/>
          <w:caps/>
          <w:lang w:val="lt-LT"/>
        </w:rPr>
        <w:t>TVARKYMO</w:t>
      </w:r>
      <w:r w:rsidRPr="002A3EE4">
        <w:rPr>
          <w:b/>
          <w:caps/>
          <w:lang w:val="lt-LT"/>
        </w:rPr>
        <w:t xml:space="preserve"> (jei reikia)</w:t>
      </w:r>
    </w:p>
    <w:p w14:paraId="52F747B7" w14:textId="77777777" w:rsidR="00B37A31" w:rsidRPr="002A3EE4" w:rsidRDefault="00B37A31" w:rsidP="00B37A31">
      <w:pPr>
        <w:tabs>
          <w:tab w:val="clear" w:pos="567"/>
        </w:tabs>
        <w:rPr>
          <w:lang w:val="lt-LT"/>
        </w:rPr>
      </w:pPr>
    </w:p>
    <w:p w14:paraId="73872852" w14:textId="77777777" w:rsidR="00B37A31" w:rsidRPr="002A3EE4" w:rsidRDefault="00B37A31" w:rsidP="00B37A31">
      <w:pPr>
        <w:tabs>
          <w:tab w:val="clear" w:pos="567"/>
        </w:tabs>
        <w:rPr>
          <w:noProof/>
          <w:lang w:val="lt-LT"/>
        </w:rPr>
      </w:pPr>
      <w:r w:rsidRPr="002A3EE4">
        <w:rPr>
          <w:noProof/>
          <w:lang w:val="lt-LT"/>
        </w:rPr>
        <w:t>Nesuvartotą preparatą ar atliekas reikia tvarkyti laikantis vietinių reikalavimų.</w:t>
      </w:r>
    </w:p>
    <w:p w14:paraId="2322C0C3" w14:textId="77777777" w:rsidR="00B37A31" w:rsidRPr="002A3EE4" w:rsidRDefault="00B37A31" w:rsidP="00B37A31">
      <w:pPr>
        <w:tabs>
          <w:tab w:val="clear" w:pos="567"/>
        </w:tabs>
        <w:rPr>
          <w:lang w:val="lt-LT"/>
        </w:rPr>
      </w:pPr>
    </w:p>
    <w:p w14:paraId="0749ACC5" w14:textId="77777777" w:rsidR="00B37A31" w:rsidRPr="002A3EE4" w:rsidRDefault="00B37A31" w:rsidP="00B37A31">
      <w:pPr>
        <w:tabs>
          <w:tab w:val="clear" w:pos="567"/>
        </w:tabs>
        <w:rPr>
          <w:lang w:val="lt-LT"/>
        </w:rPr>
      </w:pPr>
    </w:p>
    <w:p w14:paraId="3075B053"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outlineLvl w:val="0"/>
        <w:rPr>
          <w:b/>
          <w:lang w:val="lt-LT"/>
        </w:rPr>
      </w:pPr>
      <w:r w:rsidRPr="002A3EE4">
        <w:rPr>
          <w:b/>
          <w:lang w:val="lt-LT"/>
        </w:rPr>
        <w:t>11.</w:t>
      </w:r>
      <w:r>
        <w:rPr>
          <w:b/>
          <w:lang w:val="lt-LT"/>
        </w:rPr>
        <w:t xml:space="preserve">        </w:t>
      </w:r>
      <w:r>
        <w:rPr>
          <w:b/>
          <w:caps/>
          <w:lang w:val="lt-LT"/>
        </w:rPr>
        <w:t>REGISTRUOTOJO</w:t>
      </w:r>
      <w:r w:rsidRPr="002A3EE4">
        <w:rPr>
          <w:b/>
          <w:caps/>
          <w:lang w:val="lt-LT"/>
        </w:rPr>
        <w:t xml:space="preserve"> pavadinimas ir adresas</w:t>
      </w:r>
    </w:p>
    <w:p w14:paraId="2DFA20D1" w14:textId="77777777" w:rsidR="00B37A31" w:rsidRPr="002A3EE4" w:rsidRDefault="00B37A31" w:rsidP="00B37A31">
      <w:pPr>
        <w:tabs>
          <w:tab w:val="clear" w:pos="567"/>
        </w:tabs>
        <w:rPr>
          <w:lang w:val="lt-LT"/>
        </w:rPr>
      </w:pPr>
    </w:p>
    <w:p w14:paraId="6FC9C265" w14:textId="77777777" w:rsidR="00B37A31" w:rsidRPr="002A3EE4" w:rsidRDefault="00B37A31" w:rsidP="00B37A31">
      <w:pPr>
        <w:rPr>
          <w:lang w:val="lt-LT"/>
        </w:rPr>
      </w:pPr>
      <w:proofErr w:type="spellStart"/>
      <w:r w:rsidRPr="002A37B0">
        <w:rPr>
          <w:lang w:val="lt-LT"/>
        </w:rPr>
        <w:t>Curium</w:t>
      </w:r>
      <w:proofErr w:type="spellEnd"/>
      <w:r w:rsidRPr="002A37B0">
        <w:rPr>
          <w:lang w:val="lt-LT"/>
        </w:rPr>
        <w:t xml:space="preserve"> </w:t>
      </w:r>
      <w:proofErr w:type="spellStart"/>
      <w:r w:rsidRPr="002A37B0">
        <w:rPr>
          <w:lang w:val="lt-LT"/>
        </w:rPr>
        <w:t>Netherlands</w:t>
      </w:r>
      <w:proofErr w:type="spellEnd"/>
      <w:r w:rsidRPr="002A37B0">
        <w:rPr>
          <w:lang w:val="lt-LT"/>
        </w:rPr>
        <w:t xml:space="preserve"> </w:t>
      </w:r>
      <w:r w:rsidRPr="002A3EE4">
        <w:rPr>
          <w:lang w:val="lt-LT"/>
        </w:rPr>
        <w:t>B.V.</w:t>
      </w:r>
    </w:p>
    <w:p w14:paraId="2A33A00B" w14:textId="77777777" w:rsidR="00B37A31" w:rsidRPr="002A3EE4" w:rsidRDefault="00B37A31" w:rsidP="00B37A31">
      <w:pPr>
        <w:rPr>
          <w:lang w:val="lt-LT"/>
        </w:rPr>
      </w:pPr>
      <w:proofErr w:type="spellStart"/>
      <w:r w:rsidRPr="002A3EE4">
        <w:rPr>
          <w:lang w:val="lt-LT"/>
        </w:rPr>
        <w:t>Westerduinweg</w:t>
      </w:r>
      <w:proofErr w:type="spellEnd"/>
      <w:r w:rsidRPr="002A3EE4">
        <w:rPr>
          <w:lang w:val="lt-LT"/>
        </w:rPr>
        <w:t xml:space="preserve"> 3</w:t>
      </w:r>
    </w:p>
    <w:p w14:paraId="198F8982" w14:textId="77777777" w:rsidR="00B37A31" w:rsidRPr="002A3EE4" w:rsidRDefault="00B37A31" w:rsidP="00B37A31">
      <w:pPr>
        <w:rPr>
          <w:lang w:val="lt-LT"/>
        </w:rPr>
      </w:pPr>
      <w:r w:rsidRPr="002A3EE4">
        <w:rPr>
          <w:lang w:val="lt-LT"/>
        </w:rPr>
        <w:t>1755 LE PETTEN</w:t>
      </w:r>
    </w:p>
    <w:p w14:paraId="329B0CF4" w14:textId="77777777" w:rsidR="00B37A31" w:rsidRPr="002A3EE4" w:rsidRDefault="00B37A31" w:rsidP="00B37A31">
      <w:pPr>
        <w:rPr>
          <w:lang w:val="lt-LT"/>
        </w:rPr>
      </w:pPr>
      <w:r w:rsidRPr="002A3EE4">
        <w:rPr>
          <w:lang w:val="lt-LT"/>
        </w:rPr>
        <w:t>Nyderlandai</w:t>
      </w:r>
    </w:p>
    <w:p w14:paraId="014CC67C" w14:textId="77777777" w:rsidR="00B37A31" w:rsidRPr="002A3EE4" w:rsidRDefault="00B37A31" w:rsidP="00B37A31">
      <w:pPr>
        <w:tabs>
          <w:tab w:val="clear" w:pos="567"/>
        </w:tabs>
        <w:rPr>
          <w:lang w:val="lt-LT"/>
        </w:rPr>
      </w:pPr>
    </w:p>
    <w:p w14:paraId="79672E5A" w14:textId="77777777" w:rsidR="00B37A31" w:rsidRPr="002A3EE4" w:rsidRDefault="00B37A31" w:rsidP="00B37A31">
      <w:pPr>
        <w:tabs>
          <w:tab w:val="clear" w:pos="567"/>
        </w:tabs>
        <w:rPr>
          <w:lang w:val="lt-LT"/>
        </w:rPr>
      </w:pPr>
    </w:p>
    <w:p w14:paraId="066A3274"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2A3EE4">
        <w:rPr>
          <w:b/>
          <w:lang w:val="lt-LT"/>
        </w:rPr>
        <w:t>12.</w:t>
      </w:r>
      <w:r w:rsidRPr="002A3EE4">
        <w:rPr>
          <w:b/>
          <w:lang w:val="lt-LT"/>
        </w:rPr>
        <w:tab/>
      </w:r>
      <w:r>
        <w:rPr>
          <w:b/>
          <w:caps/>
          <w:lang w:val="lt-LT"/>
        </w:rPr>
        <w:t>registracijos pažymėjimo</w:t>
      </w:r>
      <w:r w:rsidRPr="002A3EE4">
        <w:rPr>
          <w:b/>
          <w:caps/>
          <w:lang w:val="lt-LT"/>
        </w:rPr>
        <w:t xml:space="preserve"> numeris</w:t>
      </w:r>
    </w:p>
    <w:p w14:paraId="331E3F9E" w14:textId="77777777" w:rsidR="00B37A31" w:rsidRPr="002A3EE4" w:rsidRDefault="00B37A31" w:rsidP="00B37A31">
      <w:pPr>
        <w:tabs>
          <w:tab w:val="clear" w:pos="567"/>
        </w:tabs>
        <w:rPr>
          <w:lang w:val="lt-LT"/>
        </w:rPr>
      </w:pPr>
    </w:p>
    <w:p w14:paraId="2A7B6212" w14:textId="77777777" w:rsidR="00B37A31" w:rsidRPr="002A3EE4" w:rsidRDefault="00B37A31" w:rsidP="00B37A31">
      <w:pPr>
        <w:tabs>
          <w:tab w:val="clear" w:pos="567"/>
        </w:tabs>
        <w:rPr>
          <w:szCs w:val="22"/>
          <w:lang w:val="lt-LT"/>
        </w:rPr>
      </w:pPr>
      <w:r w:rsidRPr="002A3EE4">
        <w:rPr>
          <w:szCs w:val="22"/>
          <w:lang w:val="lt-LT"/>
        </w:rPr>
        <w:t>LT/1/08/1366/001</w:t>
      </w:r>
    </w:p>
    <w:p w14:paraId="5A6E25ED" w14:textId="77777777" w:rsidR="00B37A31" w:rsidRPr="002A3EE4" w:rsidRDefault="00B37A31" w:rsidP="00B37A31">
      <w:pPr>
        <w:tabs>
          <w:tab w:val="clear" w:pos="567"/>
        </w:tabs>
        <w:outlineLvl w:val="0"/>
        <w:rPr>
          <w:lang w:val="lt-LT"/>
        </w:rPr>
      </w:pPr>
    </w:p>
    <w:p w14:paraId="4EB1E9AF" w14:textId="77777777" w:rsidR="00B37A31" w:rsidRPr="002A3EE4" w:rsidRDefault="00B37A31" w:rsidP="00B37A31">
      <w:pPr>
        <w:tabs>
          <w:tab w:val="clear" w:pos="567"/>
        </w:tabs>
        <w:rPr>
          <w:lang w:val="lt-LT"/>
        </w:rPr>
      </w:pPr>
    </w:p>
    <w:p w14:paraId="1A5ED0B1"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2A3EE4">
        <w:rPr>
          <w:b/>
          <w:lang w:val="lt-LT"/>
        </w:rPr>
        <w:t>13.</w:t>
      </w:r>
      <w:r w:rsidRPr="002A3EE4">
        <w:rPr>
          <w:b/>
          <w:lang w:val="lt-LT"/>
        </w:rPr>
        <w:tab/>
        <w:t>SERIJOS NUMERIS</w:t>
      </w:r>
    </w:p>
    <w:p w14:paraId="4278E247" w14:textId="77777777" w:rsidR="00B37A31" w:rsidRPr="002A3EE4" w:rsidRDefault="00B37A31" w:rsidP="00B37A31">
      <w:pPr>
        <w:tabs>
          <w:tab w:val="clear" w:pos="567"/>
        </w:tabs>
        <w:rPr>
          <w:lang w:val="lt-LT"/>
        </w:rPr>
      </w:pPr>
    </w:p>
    <w:p w14:paraId="328D9EAD" w14:textId="77777777" w:rsidR="00B37A31" w:rsidRPr="002A3EE4" w:rsidRDefault="00B37A31" w:rsidP="00B37A31">
      <w:pPr>
        <w:tabs>
          <w:tab w:val="clear" w:pos="567"/>
        </w:tabs>
        <w:rPr>
          <w:lang w:val="lt-LT"/>
        </w:rPr>
      </w:pPr>
      <w:r w:rsidRPr="002A3EE4">
        <w:rPr>
          <w:lang w:val="lt-LT"/>
        </w:rPr>
        <w:t>Serija:</w:t>
      </w:r>
    </w:p>
    <w:p w14:paraId="7E0D275D" w14:textId="77777777" w:rsidR="00B37A31" w:rsidRPr="002A3EE4" w:rsidRDefault="00B37A31" w:rsidP="00B37A31">
      <w:pPr>
        <w:tabs>
          <w:tab w:val="clear" w:pos="567"/>
        </w:tabs>
        <w:rPr>
          <w:lang w:val="lt-LT"/>
        </w:rPr>
      </w:pPr>
    </w:p>
    <w:p w14:paraId="59AC16CA" w14:textId="77777777" w:rsidR="00B37A31" w:rsidRPr="002A3EE4" w:rsidRDefault="00B37A31" w:rsidP="00B37A31">
      <w:pPr>
        <w:tabs>
          <w:tab w:val="clear" w:pos="567"/>
        </w:tabs>
        <w:rPr>
          <w:lang w:val="lt-LT"/>
        </w:rPr>
      </w:pPr>
    </w:p>
    <w:p w14:paraId="39F334E6"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2A3EE4">
        <w:rPr>
          <w:b/>
          <w:lang w:val="lt-LT"/>
        </w:rPr>
        <w:t>14.</w:t>
      </w:r>
      <w:r w:rsidRPr="002A3EE4">
        <w:rPr>
          <w:b/>
          <w:lang w:val="lt-LT"/>
        </w:rPr>
        <w:tab/>
        <w:t>PARDAVIMO (IŠDAVIMO)</w:t>
      </w:r>
      <w:r w:rsidRPr="002A3EE4">
        <w:rPr>
          <w:b/>
          <w:caps/>
          <w:lang w:val="lt-LT"/>
        </w:rPr>
        <w:t xml:space="preserve"> tvarka</w:t>
      </w:r>
    </w:p>
    <w:p w14:paraId="42413C83" w14:textId="77777777" w:rsidR="00B37A31" w:rsidRPr="002A3EE4" w:rsidRDefault="00B37A31" w:rsidP="00B37A31">
      <w:pPr>
        <w:tabs>
          <w:tab w:val="clear" w:pos="567"/>
        </w:tabs>
        <w:rPr>
          <w:lang w:val="lt-LT"/>
        </w:rPr>
      </w:pPr>
    </w:p>
    <w:p w14:paraId="5BBB4913" w14:textId="77777777" w:rsidR="00B37A31" w:rsidRPr="002A3EE4" w:rsidRDefault="00B37A31" w:rsidP="00B37A31">
      <w:pPr>
        <w:tabs>
          <w:tab w:val="clear" w:pos="567"/>
        </w:tabs>
        <w:rPr>
          <w:noProof/>
          <w:lang w:val="lt-LT"/>
        </w:rPr>
      </w:pPr>
      <w:r w:rsidRPr="002A3EE4">
        <w:rPr>
          <w:noProof/>
          <w:lang w:val="lt-LT"/>
        </w:rPr>
        <w:t>Receptinis vaistas.</w:t>
      </w:r>
    </w:p>
    <w:p w14:paraId="3AEF55CA" w14:textId="77777777" w:rsidR="00B37A31" w:rsidRPr="002A3EE4" w:rsidRDefault="00B37A31" w:rsidP="00B37A31">
      <w:pPr>
        <w:tabs>
          <w:tab w:val="clear" w:pos="567"/>
        </w:tabs>
        <w:rPr>
          <w:lang w:val="lt-LT"/>
        </w:rPr>
      </w:pPr>
    </w:p>
    <w:p w14:paraId="0ABAF1D7" w14:textId="77777777" w:rsidR="00B37A31" w:rsidRPr="002A3EE4" w:rsidRDefault="00B37A31" w:rsidP="00B37A31">
      <w:pPr>
        <w:tabs>
          <w:tab w:val="clear" w:pos="567"/>
        </w:tabs>
        <w:rPr>
          <w:lang w:val="lt-LT"/>
        </w:rPr>
      </w:pPr>
    </w:p>
    <w:p w14:paraId="40DC7536"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2A3EE4">
        <w:rPr>
          <w:b/>
          <w:lang w:val="lt-LT"/>
        </w:rPr>
        <w:t>15.</w:t>
      </w:r>
      <w:r w:rsidRPr="002A3EE4">
        <w:rPr>
          <w:b/>
          <w:lang w:val="lt-LT"/>
        </w:rPr>
        <w:tab/>
      </w:r>
      <w:r w:rsidRPr="002A3EE4">
        <w:rPr>
          <w:b/>
          <w:caps/>
          <w:lang w:val="lt-LT"/>
        </w:rPr>
        <w:t>vartojimo instrukcijA</w:t>
      </w:r>
    </w:p>
    <w:p w14:paraId="6489639E" w14:textId="77777777" w:rsidR="00B37A31" w:rsidRPr="002A3EE4" w:rsidRDefault="00B37A31" w:rsidP="00B37A31">
      <w:pPr>
        <w:tabs>
          <w:tab w:val="clear" w:pos="567"/>
        </w:tabs>
        <w:rPr>
          <w:lang w:val="lt-LT"/>
        </w:rPr>
      </w:pPr>
    </w:p>
    <w:p w14:paraId="05BF9DC9" w14:textId="77777777" w:rsidR="00B37A31" w:rsidRPr="002A3EE4" w:rsidRDefault="00B37A31" w:rsidP="00B37A31">
      <w:pPr>
        <w:tabs>
          <w:tab w:val="clear" w:pos="567"/>
        </w:tabs>
        <w:rPr>
          <w:lang w:val="lt-LT"/>
        </w:rPr>
      </w:pPr>
    </w:p>
    <w:p w14:paraId="2314E563" w14:textId="77777777" w:rsidR="00B37A31" w:rsidRPr="002A3EE4" w:rsidRDefault="00B37A31" w:rsidP="00B37A31">
      <w:pPr>
        <w:tabs>
          <w:tab w:val="clear" w:pos="567"/>
        </w:tabs>
        <w:rPr>
          <w:lang w:val="lt-LT"/>
        </w:rPr>
      </w:pPr>
    </w:p>
    <w:p w14:paraId="73B0D7BC"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outlineLvl w:val="0"/>
        <w:rPr>
          <w:lang w:val="lt-LT"/>
        </w:rPr>
      </w:pPr>
      <w:r w:rsidRPr="002A3EE4">
        <w:rPr>
          <w:b/>
          <w:lang w:val="lt-LT"/>
        </w:rPr>
        <w:t>16.</w:t>
      </w:r>
      <w:r w:rsidRPr="002A3EE4">
        <w:rPr>
          <w:b/>
          <w:lang w:val="lt-LT"/>
        </w:rPr>
        <w:tab/>
        <w:t>INFORMACIJA BRAILIO RAŠTU</w:t>
      </w:r>
    </w:p>
    <w:p w14:paraId="62514028" w14:textId="77777777" w:rsidR="00B37A31" w:rsidRPr="002A3EE4" w:rsidRDefault="00B37A31" w:rsidP="00B37A31">
      <w:pPr>
        <w:tabs>
          <w:tab w:val="clear" w:pos="567"/>
        </w:tabs>
        <w:rPr>
          <w:lang w:val="lt-LT"/>
        </w:rPr>
      </w:pPr>
    </w:p>
    <w:p w14:paraId="621717EB" w14:textId="77777777" w:rsidR="00B37A31" w:rsidRPr="00153901" w:rsidRDefault="00B37A31" w:rsidP="00B37A31">
      <w:pPr>
        <w:rPr>
          <w:lang w:val="lt-LT"/>
        </w:rPr>
      </w:pPr>
      <w:r w:rsidRPr="00212133">
        <w:rPr>
          <w:highlight w:val="lightGray"/>
          <w:lang w:val="lt-LT"/>
        </w:rPr>
        <w:t>Priimtas pagrindimas informacijos Brailio raštu nepateikti.</w:t>
      </w:r>
    </w:p>
    <w:p w14:paraId="2AFD86F6" w14:textId="77777777" w:rsidR="00B37A31" w:rsidRPr="002A3EE4" w:rsidRDefault="00B37A31" w:rsidP="00B37A31">
      <w:pPr>
        <w:tabs>
          <w:tab w:val="clear" w:pos="567"/>
        </w:tabs>
        <w:rPr>
          <w:lang w:val="lt-LT"/>
        </w:rPr>
      </w:pPr>
    </w:p>
    <w:p w14:paraId="5B2F571E"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rPr>
          <w:b/>
          <w:lang w:val="lt-LT"/>
        </w:rPr>
      </w:pPr>
      <w:r w:rsidRPr="002A3EE4">
        <w:rPr>
          <w:b/>
          <w:lang w:val="lt-LT"/>
        </w:rPr>
        <w:br w:type="page"/>
      </w:r>
      <w:r w:rsidRPr="002A3EE4">
        <w:rPr>
          <w:b/>
          <w:caps/>
          <w:lang w:val="lt-LT"/>
        </w:rPr>
        <w:lastRenderedPageBreak/>
        <w:t xml:space="preserve">Minimali informacija ant mažų </w:t>
      </w:r>
      <w:r w:rsidRPr="002A3EE4">
        <w:rPr>
          <w:b/>
          <w:lang w:val="lt-LT"/>
        </w:rPr>
        <w:t>VIDINIŲ</w:t>
      </w:r>
      <w:r w:rsidRPr="002A3EE4">
        <w:rPr>
          <w:bCs/>
          <w:lang w:val="lt-LT"/>
        </w:rPr>
        <w:t xml:space="preserve"> </w:t>
      </w:r>
      <w:r w:rsidRPr="002A3EE4">
        <w:rPr>
          <w:b/>
          <w:caps/>
          <w:lang w:val="lt-LT"/>
        </w:rPr>
        <w:t>pakuočių</w:t>
      </w:r>
    </w:p>
    <w:p w14:paraId="422E0C3D"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rPr>
          <w:b/>
          <w:lang w:val="lt-LT"/>
        </w:rPr>
      </w:pPr>
    </w:p>
    <w:p w14:paraId="7B98610A"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rPr>
          <w:b/>
          <w:lang w:val="lt-LT"/>
        </w:rPr>
      </w:pPr>
      <w:r w:rsidRPr="002A3EE4">
        <w:rPr>
          <w:b/>
          <w:lang w:val="lt-LT"/>
        </w:rPr>
        <w:t xml:space="preserve">STIKLINIS </w:t>
      </w:r>
      <w:r>
        <w:rPr>
          <w:b/>
          <w:lang w:val="lt-LT"/>
        </w:rPr>
        <w:t>FLAKONAS</w:t>
      </w:r>
    </w:p>
    <w:p w14:paraId="1FCFB784" w14:textId="77777777" w:rsidR="00B37A31" w:rsidRPr="002A3EE4" w:rsidRDefault="00B37A31" w:rsidP="00B37A31">
      <w:pPr>
        <w:tabs>
          <w:tab w:val="clear" w:pos="567"/>
        </w:tabs>
        <w:rPr>
          <w:lang w:val="lt-LT"/>
        </w:rPr>
      </w:pPr>
    </w:p>
    <w:p w14:paraId="7EC01898" w14:textId="77777777" w:rsidR="00B37A31" w:rsidRPr="002A3EE4" w:rsidRDefault="00B37A31" w:rsidP="00B37A31">
      <w:pPr>
        <w:tabs>
          <w:tab w:val="clear" w:pos="567"/>
        </w:tabs>
        <w:rPr>
          <w:lang w:val="lt-LT"/>
        </w:rPr>
      </w:pPr>
    </w:p>
    <w:p w14:paraId="2A7C70A9"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outlineLvl w:val="0"/>
        <w:rPr>
          <w:b/>
          <w:lang w:val="lt-LT"/>
        </w:rPr>
      </w:pPr>
      <w:r w:rsidRPr="002A3EE4">
        <w:rPr>
          <w:b/>
          <w:lang w:val="lt-LT"/>
        </w:rPr>
        <w:t>1.</w:t>
      </w:r>
      <w:r w:rsidRPr="002A3EE4">
        <w:rPr>
          <w:b/>
          <w:lang w:val="lt-LT"/>
        </w:rPr>
        <w:tab/>
      </w:r>
      <w:r w:rsidRPr="002A3EE4">
        <w:rPr>
          <w:b/>
          <w:caps/>
          <w:lang w:val="lt-LT"/>
        </w:rPr>
        <w:t>Vaistinio preparato pavadinimas ir vartojimo būdas (-ai)</w:t>
      </w:r>
    </w:p>
    <w:p w14:paraId="02FADD8A" w14:textId="77777777" w:rsidR="00B37A31" w:rsidRPr="002A3EE4" w:rsidRDefault="00B37A31" w:rsidP="00B37A31">
      <w:pPr>
        <w:tabs>
          <w:tab w:val="clear" w:pos="567"/>
        </w:tabs>
        <w:ind w:left="567" w:hanging="567"/>
        <w:rPr>
          <w:lang w:val="lt-LT"/>
        </w:rPr>
      </w:pPr>
    </w:p>
    <w:p w14:paraId="6D1197F3" w14:textId="77777777" w:rsidR="00B37A31" w:rsidRPr="002A3EE4" w:rsidRDefault="00B37A31" w:rsidP="00B37A31">
      <w:pPr>
        <w:rPr>
          <w:lang w:val="lt-LT"/>
        </w:rPr>
      </w:pPr>
      <w:proofErr w:type="spellStart"/>
      <w:r w:rsidRPr="002A3EE4">
        <w:rPr>
          <w:lang w:val="lt-LT"/>
        </w:rPr>
        <w:t>Tec</w:t>
      </w:r>
      <w:r w:rsidRPr="002A3EE4">
        <w:rPr>
          <w:szCs w:val="22"/>
          <w:lang w:val="lt-LT"/>
        </w:rPr>
        <w:t>hnescan</w:t>
      </w:r>
      <w:proofErr w:type="spellEnd"/>
      <w:r w:rsidRPr="002A3EE4">
        <w:rPr>
          <w:szCs w:val="22"/>
          <w:lang w:val="lt-LT"/>
        </w:rPr>
        <w:t xml:space="preserve"> </w:t>
      </w:r>
      <w:proofErr w:type="spellStart"/>
      <w:r w:rsidRPr="002A3EE4">
        <w:rPr>
          <w:szCs w:val="22"/>
          <w:lang w:val="lt-LT"/>
        </w:rPr>
        <w:t>Sestamibi</w:t>
      </w:r>
      <w:proofErr w:type="spellEnd"/>
      <w:r w:rsidRPr="002A3EE4">
        <w:rPr>
          <w:szCs w:val="22"/>
          <w:lang w:val="lt-LT"/>
        </w:rPr>
        <w:t xml:space="preserve"> 1 mg rinkinys </w:t>
      </w:r>
      <w:proofErr w:type="spellStart"/>
      <w:r w:rsidRPr="002A3EE4">
        <w:rPr>
          <w:szCs w:val="22"/>
          <w:lang w:val="lt-LT"/>
        </w:rPr>
        <w:t>radiofarmaciniam</w:t>
      </w:r>
      <w:proofErr w:type="spellEnd"/>
      <w:r w:rsidRPr="002A3EE4">
        <w:rPr>
          <w:szCs w:val="22"/>
          <w:lang w:val="lt-LT"/>
        </w:rPr>
        <w:t xml:space="preserve"> preparatui</w:t>
      </w:r>
    </w:p>
    <w:p w14:paraId="56FF348C" w14:textId="77777777" w:rsidR="00B37A31" w:rsidRPr="002A3EE4" w:rsidRDefault="00B37A31" w:rsidP="00B37A31">
      <w:pPr>
        <w:rPr>
          <w:lang w:val="lt-LT"/>
        </w:rPr>
      </w:pPr>
    </w:p>
    <w:p w14:paraId="178FC597" w14:textId="77777777" w:rsidR="00B37A31" w:rsidRPr="002A3EE4" w:rsidRDefault="00B37A31" w:rsidP="00B37A31">
      <w:pPr>
        <w:rPr>
          <w:lang w:val="lt-LT"/>
        </w:rPr>
      </w:pPr>
      <w:r w:rsidRPr="002A3EE4">
        <w:rPr>
          <w:lang w:val="lt-LT"/>
        </w:rPr>
        <w:t>[</w:t>
      </w:r>
      <w:proofErr w:type="spellStart"/>
      <w:r w:rsidRPr="002A3EE4">
        <w:rPr>
          <w:lang w:val="lt-LT"/>
        </w:rPr>
        <w:t>Tetrakis</w:t>
      </w:r>
      <w:proofErr w:type="spellEnd"/>
      <w:r w:rsidRPr="002A3EE4">
        <w:rPr>
          <w:lang w:val="lt-LT"/>
        </w:rPr>
        <w:t xml:space="preserve">(2-metoksi-2-metilpropil-1 </w:t>
      </w:r>
      <w:proofErr w:type="spellStart"/>
      <w:r w:rsidRPr="002A3EE4">
        <w:rPr>
          <w:lang w:val="lt-LT"/>
        </w:rPr>
        <w:t>izocianido</w:t>
      </w:r>
      <w:proofErr w:type="spellEnd"/>
      <w:r w:rsidRPr="002A3EE4">
        <w:rPr>
          <w:lang w:val="lt-LT"/>
        </w:rPr>
        <w:t xml:space="preserve">)vario(I)] </w:t>
      </w:r>
      <w:proofErr w:type="spellStart"/>
      <w:r w:rsidRPr="002A3EE4">
        <w:rPr>
          <w:lang w:val="lt-LT"/>
        </w:rPr>
        <w:t>tetrafluorboratas</w:t>
      </w:r>
      <w:proofErr w:type="spellEnd"/>
    </w:p>
    <w:p w14:paraId="019BE676" w14:textId="77777777" w:rsidR="00B37A31" w:rsidRPr="002A3EE4" w:rsidRDefault="00B37A31" w:rsidP="00B37A31">
      <w:pPr>
        <w:rPr>
          <w:lang w:val="lt-LT"/>
        </w:rPr>
      </w:pPr>
      <w:r>
        <w:rPr>
          <w:lang w:val="lt-LT"/>
        </w:rPr>
        <w:t>Leisti</w:t>
      </w:r>
      <w:r w:rsidRPr="002A3EE4">
        <w:rPr>
          <w:lang w:val="lt-LT"/>
        </w:rPr>
        <w:t xml:space="preserve"> į veną.</w:t>
      </w:r>
    </w:p>
    <w:p w14:paraId="54E4DD9C" w14:textId="77777777" w:rsidR="00B37A31" w:rsidRPr="002A3EE4" w:rsidRDefault="00B37A31" w:rsidP="00B37A31">
      <w:pPr>
        <w:tabs>
          <w:tab w:val="clear" w:pos="567"/>
        </w:tabs>
        <w:rPr>
          <w:lang w:val="lt-LT"/>
        </w:rPr>
      </w:pPr>
    </w:p>
    <w:p w14:paraId="6B1691F9" w14:textId="77777777" w:rsidR="00B37A31" w:rsidRPr="002A3EE4" w:rsidRDefault="00B37A31" w:rsidP="00B37A31">
      <w:pPr>
        <w:tabs>
          <w:tab w:val="clear" w:pos="567"/>
        </w:tabs>
        <w:rPr>
          <w:lang w:val="lt-LT"/>
        </w:rPr>
      </w:pPr>
    </w:p>
    <w:p w14:paraId="5BEADCC4"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outlineLvl w:val="0"/>
        <w:rPr>
          <w:b/>
          <w:lang w:val="lt-LT"/>
        </w:rPr>
      </w:pPr>
      <w:r w:rsidRPr="002A3EE4">
        <w:rPr>
          <w:b/>
          <w:lang w:val="lt-LT"/>
        </w:rPr>
        <w:t>2.</w:t>
      </w:r>
      <w:r w:rsidRPr="002A3EE4">
        <w:rPr>
          <w:b/>
          <w:lang w:val="lt-LT"/>
        </w:rPr>
        <w:tab/>
      </w:r>
      <w:r w:rsidRPr="002A3EE4">
        <w:rPr>
          <w:b/>
          <w:caps/>
          <w:lang w:val="lt-LT"/>
        </w:rPr>
        <w:t>vartojimo metodas</w:t>
      </w:r>
    </w:p>
    <w:p w14:paraId="5C2426D7" w14:textId="77777777" w:rsidR="00B37A31" w:rsidRPr="002A3EE4" w:rsidRDefault="00B37A31" w:rsidP="00B37A31">
      <w:pPr>
        <w:tabs>
          <w:tab w:val="clear" w:pos="567"/>
        </w:tabs>
        <w:rPr>
          <w:lang w:val="lt-LT"/>
        </w:rPr>
      </w:pPr>
    </w:p>
    <w:p w14:paraId="71F2E590" w14:textId="77777777" w:rsidR="00B37A31" w:rsidRPr="002A3EE4" w:rsidRDefault="00B37A31" w:rsidP="00B37A31">
      <w:pPr>
        <w:rPr>
          <w:lang w:val="lt-LT"/>
        </w:rPr>
      </w:pPr>
      <w:r w:rsidRPr="002A3EE4">
        <w:rPr>
          <w:lang w:val="lt-LT"/>
        </w:rPr>
        <w:t xml:space="preserve">Ištirpinti natrio </w:t>
      </w:r>
      <w:proofErr w:type="spellStart"/>
      <w:r w:rsidRPr="002A3EE4">
        <w:rPr>
          <w:lang w:val="lt-LT"/>
        </w:rPr>
        <w:t>pertechnetato</w:t>
      </w:r>
      <w:proofErr w:type="spellEnd"/>
      <w:r w:rsidRPr="002A3EE4">
        <w:rPr>
          <w:lang w:val="lt-LT"/>
        </w:rPr>
        <w:t xml:space="preserve"> (Tc-99m) injekciniame tirpale.</w:t>
      </w:r>
    </w:p>
    <w:p w14:paraId="0E5DAEE4" w14:textId="77777777" w:rsidR="00B37A31" w:rsidRPr="002A3EE4" w:rsidRDefault="00B37A31" w:rsidP="00B37A31">
      <w:pPr>
        <w:rPr>
          <w:lang w:val="lt-LT"/>
        </w:rPr>
      </w:pPr>
      <w:r w:rsidRPr="002A3EE4">
        <w:rPr>
          <w:lang w:val="lt-LT"/>
        </w:rPr>
        <w:t>Prieš vartojimą perskaitykite pakuotės lapelį.</w:t>
      </w:r>
    </w:p>
    <w:p w14:paraId="3B0B11C2" w14:textId="77777777" w:rsidR="00B37A31" w:rsidRPr="002A3EE4" w:rsidRDefault="00B37A31" w:rsidP="00B37A31">
      <w:pPr>
        <w:tabs>
          <w:tab w:val="clear" w:pos="567"/>
        </w:tabs>
        <w:rPr>
          <w:lang w:val="lt-LT"/>
        </w:rPr>
      </w:pPr>
    </w:p>
    <w:p w14:paraId="32B50A68" w14:textId="77777777" w:rsidR="00B37A31" w:rsidRPr="002A3EE4" w:rsidRDefault="00B37A31" w:rsidP="00B37A31">
      <w:pPr>
        <w:tabs>
          <w:tab w:val="clear" w:pos="567"/>
        </w:tabs>
        <w:rPr>
          <w:lang w:val="lt-LT"/>
        </w:rPr>
      </w:pPr>
    </w:p>
    <w:p w14:paraId="665D03D5"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outlineLvl w:val="0"/>
        <w:rPr>
          <w:b/>
          <w:lang w:val="lt-LT"/>
        </w:rPr>
      </w:pPr>
      <w:r w:rsidRPr="002A3EE4">
        <w:rPr>
          <w:b/>
          <w:lang w:val="lt-LT"/>
        </w:rPr>
        <w:t>3.</w:t>
      </w:r>
      <w:r w:rsidRPr="002A3EE4">
        <w:rPr>
          <w:b/>
          <w:lang w:val="lt-LT"/>
        </w:rPr>
        <w:tab/>
      </w:r>
      <w:r w:rsidRPr="002A3EE4">
        <w:rPr>
          <w:b/>
          <w:caps/>
          <w:lang w:val="lt-LT"/>
        </w:rPr>
        <w:t>tinkamumo laikas</w:t>
      </w:r>
    </w:p>
    <w:p w14:paraId="1968EA3B" w14:textId="77777777" w:rsidR="00B37A31" w:rsidRPr="002A3EE4" w:rsidRDefault="00B37A31" w:rsidP="00B37A31">
      <w:pPr>
        <w:tabs>
          <w:tab w:val="clear" w:pos="567"/>
        </w:tabs>
        <w:rPr>
          <w:lang w:val="lt-LT"/>
        </w:rPr>
      </w:pPr>
    </w:p>
    <w:p w14:paraId="68EEA9D4" w14:textId="77777777" w:rsidR="00B37A31" w:rsidRPr="002A3EE4" w:rsidRDefault="00B37A31" w:rsidP="00B37A31">
      <w:pPr>
        <w:tabs>
          <w:tab w:val="clear" w:pos="567"/>
        </w:tabs>
        <w:rPr>
          <w:lang w:val="lt-LT"/>
        </w:rPr>
      </w:pPr>
      <w:r w:rsidRPr="002A3EE4">
        <w:rPr>
          <w:lang w:val="lt-LT"/>
        </w:rPr>
        <w:t>EXP:</w:t>
      </w:r>
      <w:r>
        <w:rPr>
          <w:lang w:val="lt-LT"/>
        </w:rPr>
        <w:t xml:space="preserve"> </w:t>
      </w:r>
      <w:proofErr w:type="spellStart"/>
      <w:r>
        <w:rPr>
          <w:lang w:val="lt-LT"/>
        </w:rPr>
        <w:t>dd</w:t>
      </w:r>
      <w:proofErr w:type="spellEnd"/>
      <w:r>
        <w:rPr>
          <w:lang w:val="lt-LT"/>
        </w:rPr>
        <w:t xml:space="preserve"> mmm MMMM</w:t>
      </w:r>
    </w:p>
    <w:p w14:paraId="26F62666" w14:textId="77777777" w:rsidR="00B37A31" w:rsidRPr="002A3EE4" w:rsidRDefault="00B37A31" w:rsidP="00B37A31">
      <w:pPr>
        <w:tabs>
          <w:tab w:val="clear" w:pos="567"/>
        </w:tabs>
        <w:rPr>
          <w:lang w:val="lt-LT"/>
        </w:rPr>
      </w:pPr>
    </w:p>
    <w:p w14:paraId="4C2BDE9C" w14:textId="77777777" w:rsidR="00B37A31" w:rsidRPr="002A3EE4" w:rsidRDefault="00B37A31" w:rsidP="00B37A31">
      <w:pPr>
        <w:tabs>
          <w:tab w:val="clear" w:pos="567"/>
        </w:tabs>
        <w:rPr>
          <w:lang w:val="lt-LT"/>
        </w:rPr>
      </w:pPr>
    </w:p>
    <w:p w14:paraId="4A07F26B"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outlineLvl w:val="0"/>
        <w:rPr>
          <w:b/>
          <w:lang w:val="lt-LT"/>
        </w:rPr>
      </w:pPr>
      <w:r w:rsidRPr="002A3EE4">
        <w:rPr>
          <w:b/>
          <w:lang w:val="lt-LT"/>
        </w:rPr>
        <w:t>4.</w:t>
      </w:r>
      <w:r w:rsidRPr="002A3EE4">
        <w:rPr>
          <w:b/>
          <w:lang w:val="lt-LT"/>
        </w:rPr>
        <w:tab/>
      </w:r>
      <w:r w:rsidRPr="002A3EE4">
        <w:rPr>
          <w:b/>
          <w:caps/>
          <w:lang w:val="lt-LT"/>
        </w:rPr>
        <w:t>serijos numeris</w:t>
      </w:r>
    </w:p>
    <w:p w14:paraId="2DEBD45B" w14:textId="77777777" w:rsidR="00B37A31" w:rsidRPr="002A3EE4" w:rsidRDefault="00B37A31" w:rsidP="00B37A31">
      <w:pPr>
        <w:tabs>
          <w:tab w:val="clear" w:pos="567"/>
        </w:tabs>
        <w:ind w:right="113"/>
        <w:rPr>
          <w:lang w:val="lt-LT"/>
        </w:rPr>
      </w:pPr>
    </w:p>
    <w:p w14:paraId="4B3E6699" w14:textId="77777777" w:rsidR="00B37A31" w:rsidRPr="002A3EE4" w:rsidRDefault="00B37A31" w:rsidP="00B37A31">
      <w:pPr>
        <w:rPr>
          <w:lang w:val="lt-LT"/>
        </w:rPr>
      </w:pPr>
      <w:r w:rsidRPr="002A3EE4">
        <w:rPr>
          <w:lang w:val="lt-LT"/>
        </w:rPr>
        <w:t>Lot:</w:t>
      </w:r>
    </w:p>
    <w:p w14:paraId="33F2D69F" w14:textId="77777777" w:rsidR="00B37A31" w:rsidRPr="002A3EE4" w:rsidRDefault="00B37A31" w:rsidP="00B37A31">
      <w:pPr>
        <w:tabs>
          <w:tab w:val="clear" w:pos="567"/>
        </w:tabs>
        <w:ind w:right="113"/>
        <w:rPr>
          <w:lang w:val="lt-LT"/>
        </w:rPr>
      </w:pPr>
    </w:p>
    <w:p w14:paraId="06205FD7" w14:textId="77777777" w:rsidR="00B37A31" w:rsidRPr="002A3EE4" w:rsidRDefault="00B37A31" w:rsidP="00B37A31">
      <w:pPr>
        <w:tabs>
          <w:tab w:val="clear" w:pos="567"/>
        </w:tabs>
        <w:ind w:right="113"/>
        <w:rPr>
          <w:lang w:val="lt-LT"/>
        </w:rPr>
      </w:pPr>
    </w:p>
    <w:p w14:paraId="230978EC"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outlineLvl w:val="0"/>
        <w:rPr>
          <w:b/>
          <w:lang w:val="lt-LT"/>
        </w:rPr>
      </w:pPr>
      <w:r w:rsidRPr="002A3EE4">
        <w:rPr>
          <w:b/>
          <w:lang w:val="lt-LT"/>
        </w:rPr>
        <w:t>5.</w:t>
      </w:r>
      <w:r w:rsidRPr="002A3EE4">
        <w:rPr>
          <w:b/>
          <w:lang w:val="lt-LT"/>
        </w:rPr>
        <w:tab/>
      </w:r>
      <w:r w:rsidRPr="002A3EE4">
        <w:rPr>
          <w:b/>
          <w:caps/>
          <w:lang w:val="lt-LT"/>
        </w:rPr>
        <w:t>kiekis</w:t>
      </w:r>
      <w:r w:rsidRPr="002A3EE4">
        <w:rPr>
          <w:b/>
          <w:lang w:val="lt-LT"/>
        </w:rPr>
        <w:t xml:space="preserve"> (MASĖ, TŪRIS ARBA VIENETAI)</w:t>
      </w:r>
    </w:p>
    <w:p w14:paraId="3D70C9F4" w14:textId="77777777" w:rsidR="00B37A31" w:rsidRPr="002A3EE4" w:rsidRDefault="00B37A31" w:rsidP="00B37A31">
      <w:pPr>
        <w:tabs>
          <w:tab w:val="clear" w:pos="567"/>
        </w:tabs>
        <w:ind w:right="113"/>
        <w:rPr>
          <w:lang w:val="lt-LT"/>
        </w:rPr>
      </w:pPr>
    </w:p>
    <w:p w14:paraId="2B0075C6" w14:textId="77777777" w:rsidR="00B37A31" w:rsidRPr="002A3EE4" w:rsidRDefault="00B37A31" w:rsidP="00B37A31">
      <w:pPr>
        <w:rPr>
          <w:lang w:val="lt-LT"/>
        </w:rPr>
      </w:pPr>
      <w:r w:rsidRPr="002A3EE4">
        <w:rPr>
          <w:lang w:val="lt-LT"/>
        </w:rPr>
        <w:t>25 mg granulių arba miltelių/</w:t>
      </w:r>
      <w:r>
        <w:rPr>
          <w:lang w:val="lt-LT"/>
        </w:rPr>
        <w:t>flakone</w:t>
      </w:r>
    </w:p>
    <w:p w14:paraId="4BB3087E" w14:textId="77777777" w:rsidR="00B37A31" w:rsidRPr="002A3EE4" w:rsidRDefault="00B37A31" w:rsidP="00B37A31">
      <w:pPr>
        <w:tabs>
          <w:tab w:val="clear" w:pos="567"/>
        </w:tabs>
        <w:ind w:right="113"/>
        <w:rPr>
          <w:lang w:val="lt-LT"/>
        </w:rPr>
      </w:pPr>
    </w:p>
    <w:p w14:paraId="2E59A244" w14:textId="77777777" w:rsidR="00B37A31" w:rsidRPr="002A3EE4" w:rsidRDefault="00B37A31" w:rsidP="00B37A31">
      <w:pPr>
        <w:tabs>
          <w:tab w:val="clear" w:pos="567"/>
        </w:tabs>
        <w:ind w:right="113"/>
        <w:rPr>
          <w:lang w:val="lt-LT"/>
        </w:rPr>
      </w:pPr>
    </w:p>
    <w:p w14:paraId="3FB2D209" w14:textId="77777777" w:rsidR="00B37A31" w:rsidRPr="002A3EE4" w:rsidRDefault="00B37A31" w:rsidP="00B37A31">
      <w:pPr>
        <w:pBdr>
          <w:top w:val="single" w:sz="4" w:space="1" w:color="auto"/>
          <w:left w:val="single" w:sz="4" w:space="4" w:color="auto"/>
          <w:bottom w:val="single" w:sz="4" w:space="1" w:color="auto"/>
          <w:right w:val="single" w:sz="4" w:space="4" w:color="auto"/>
        </w:pBdr>
        <w:tabs>
          <w:tab w:val="clear" w:pos="567"/>
        </w:tabs>
        <w:outlineLvl w:val="0"/>
        <w:rPr>
          <w:b/>
          <w:lang w:val="lt-LT"/>
        </w:rPr>
      </w:pPr>
      <w:r w:rsidRPr="002A3EE4">
        <w:rPr>
          <w:b/>
          <w:lang w:val="lt-LT"/>
        </w:rPr>
        <w:t>6.</w:t>
      </w:r>
      <w:r w:rsidRPr="002A3EE4">
        <w:rPr>
          <w:b/>
          <w:lang w:val="lt-LT"/>
        </w:rPr>
        <w:tab/>
        <w:t>KITA</w:t>
      </w:r>
    </w:p>
    <w:p w14:paraId="4A307A1C" w14:textId="77777777" w:rsidR="00B37A31" w:rsidRPr="002A3EE4" w:rsidRDefault="00B37A31" w:rsidP="00B37A31">
      <w:pPr>
        <w:tabs>
          <w:tab w:val="clear" w:pos="567"/>
        </w:tabs>
        <w:rPr>
          <w:lang w:val="lt-LT"/>
        </w:rPr>
      </w:pPr>
    </w:p>
    <w:p w14:paraId="40C97204" w14:textId="77777777" w:rsidR="00B37A31" w:rsidRPr="002A3EE4" w:rsidRDefault="00B37A31" w:rsidP="00B37A31">
      <w:pPr>
        <w:tabs>
          <w:tab w:val="clear" w:pos="567"/>
        </w:tabs>
        <w:rPr>
          <w:lang w:val="lt-LT"/>
        </w:rPr>
      </w:pPr>
    </w:p>
    <w:p w14:paraId="0B27E83C" w14:textId="77777777" w:rsidR="00B37A31" w:rsidRPr="00DF1A68" w:rsidRDefault="00B37A31" w:rsidP="00B37A31">
      <w:pPr>
        <w:tabs>
          <w:tab w:val="clear" w:pos="567"/>
        </w:tabs>
        <w:outlineLvl w:val="0"/>
        <w:rPr>
          <w:b/>
          <w:lang w:val="lt-LT"/>
        </w:rPr>
      </w:pPr>
    </w:p>
    <w:p w14:paraId="7B81B715" w14:textId="77777777" w:rsidR="00B37A31" w:rsidRDefault="00B37A31" w:rsidP="00B37A31">
      <w:pPr>
        <w:rPr>
          <w:lang w:val="lt-LT"/>
        </w:rPr>
      </w:pPr>
    </w:p>
    <w:p w14:paraId="773E606D" w14:textId="77777777" w:rsidR="00B37A31" w:rsidRDefault="00B37A31" w:rsidP="00B37A31">
      <w:pPr>
        <w:rPr>
          <w:lang w:val="lt-LT"/>
        </w:rPr>
      </w:pPr>
    </w:p>
    <w:p w14:paraId="19624CA4" w14:textId="77777777" w:rsidR="00B37A31" w:rsidRDefault="00B37A31" w:rsidP="00B37A31">
      <w:pPr>
        <w:rPr>
          <w:lang w:val="lt-LT"/>
        </w:rPr>
      </w:pPr>
    </w:p>
    <w:p w14:paraId="39164C17" w14:textId="77777777" w:rsidR="00B37A31" w:rsidRDefault="00B37A31" w:rsidP="00B37A31">
      <w:pPr>
        <w:rPr>
          <w:lang w:val="lt-LT"/>
        </w:rPr>
      </w:pPr>
    </w:p>
    <w:p w14:paraId="54817EE4" w14:textId="77777777" w:rsidR="00B37A31" w:rsidRDefault="00B37A31" w:rsidP="00B37A31">
      <w:pPr>
        <w:rPr>
          <w:lang w:val="lt-LT"/>
        </w:rPr>
      </w:pPr>
    </w:p>
    <w:p w14:paraId="6DFD3757" w14:textId="77777777" w:rsidR="00B37A31" w:rsidRDefault="00B37A31" w:rsidP="00B37A31">
      <w:pPr>
        <w:rPr>
          <w:lang w:val="lt-LT"/>
        </w:rPr>
      </w:pPr>
    </w:p>
    <w:p w14:paraId="23ADB5A0" w14:textId="77777777" w:rsidR="00B37A31" w:rsidRDefault="00B37A31" w:rsidP="00B37A31">
      <w:pPr>
        <w:rPr>
          <w:lang w:val="lt-LT"/>
        </w:rPr>
      </w:pPr>
    </w:p>
    <w:p w14:paraId="39B8129F" w14:textId="77777777" w:rsidR="00B37A31" w:rsidRDefault="00B37A31" w:rsidP="00B37A31">
      <w:pPr>
        <w:rPr>
          <w:lang w:val="lt-LT"/>
        </w:rPr>
      </w:pPr>
    </w:p>
    <w:p w14:paraId="0D9604E3" w14:textId="77777777" w:rsidR="00B37A31" w:rsidRDefault="00B37A31" w:rsidP="00B37A31">
      <w:pPr>
        <w:rPr>
          <w:lang w:val="lt-LT"/>
        </w:rPr>
      </w:pPr>
    </w:p>
    <w:p w14:paraId="55214AEA" w14:textId="77777777" w:rsidR="00B37A31" w:rsidRDefault="00B37A31" w:rsidP="00B37A31">
      <w:pPr>
        <w:rPr>
          <w:lang w:val="lt-LT"/>
        </w:rPr>
      </w:pPr>
    </w:p>
    <w:p w14:paraId="3CE4E6AA" w14:textId="77777777" w:rsidR="00B37A31" w:rsidRDefault="00B37A31" w:rsidP="00B37A31">
      <w:pPr>
        <w:rPr>
          <w:lang w:val="lt-LT"/>
        </w:rPr>
      </w:pPr>
    </w:p>
    <w:p w14:paraId="0D75D873" w14:textId="77777777" w:rsidR="00B37A31" w:rsidRDefault="00B37A31" w:rsidP="00B37A31">
      <w:pPr>
        <w:rPr>
          <w:lang w:val="lt-LT"/>
        </w:rPr>
      </w:pPr>
    </w:p>
    <w:p w14:paraId="22C4DF63" w14:textId="77777777" w:rsidR="00B37A31" w:rsidRDefault="00B37A31" w:rsidP="00B37A31">
      <w:pPr>
        <w:rPr>
          <w:lang w:val="lt-LT"/>
        </w:rPr>
      </w:pPr>
    </w:p>
    <w:p w14:paraId="1464F1CA" w14:textId="77777777" w:rsidR="00B37A31" w:rsidRDefault="00B37A31" w:rsidP="00B37A31">
      <w:pPr>
        <w:rPr>
          <w:lang w:val="lt-LT"/>
        </w:rPr>
      </w:pPr>
    </w:p>
    <w:p w14:paraId="34AB04DE" w14:textId="77777777" w:rsidR="00B37A31" w:rsidRDefault="00B37A31" w:rsidP="00B37A31">
      <w:pPr>
        <w:rPr>
          <w:lang w:val="lt-LT"/>
        </w:rPr>
      </w:pPr>
    </w:p>
    <w:p w14:paraId="6B3E1AB3" w14:textId="77777777" w:rsidR="00B37A31" w:rsidRDefault="00B37A31" w:rsidP="00B37A31">
      <w:pPr>
        <w:rPr>
          <w:lang w:val="lt-LT"/>
        </w:rPr>
      </w:pPr>
    </w:p>
    <w:p w14:paraId="54CDFA70" w14:textId="77777777" w:rsidR="00B37A31" w:rsidRDefault="00B37A31" w:rsidP="00B37A31">
      <w:pPr>
        <w:rPr>
          <w:lang w:val="lt-LT"/>
        </w:rPr>
      </w:pPr>
    </w:p>
    <w:p w14:paraId="47A6892C" w14:textId="77777777" w:rsidR="00B37A31" w:rsidRDefault="00B37A31" w:rsidP="00B37A31">
      <w:pPr>
        <w:tabs>
          <w:tab w:val="clear" w:pos="567"/>
        </w:tabs>
        <w:jc w:val="center"/>
        <w:outlineLvl w:val="0"/>
        <w:rPr>
          <w:b/>
          <w:lang w:val="lt-LT"/>
        </w:rPr>
      </w:pPr>
    </w:p>
    <w:p w14:paraId="5AE933C0" w14:textId="77777777" w:rsidR="00B37A31" w:rsidRDefault="00B37A31" w:rsidP="00B37A31">
      <w:pPr>
        <w:tabs>
          <w:tab w:val="clear" w:pos="567"/>
        </w:tabs>
        <w:jc w:val="center"/>
        <w:outlineLvl w:val="0"/>
        <w:rPr>
          <w:b/>
          <w:lang w:val="lt-LT"/>
        </w:rPr>
      </w:pPr>
    </w:p>
    <w:p w14:paraId="3F7333A0" w14:textId="77777777" w:rsidR="00B37A31" w:rsidRDefault="00B37A31" w:rsidP="00B37A31">
      <w:pPr>
        <w:tabs>
          <w:tab w:val="clear" w:pos="567"/>
        </w:tabs>
        <w:jc w:val="center"/>
        <w:outlineLvl w:val="0"/>
        <w:rPr>
          <w:b/>
          <w:lang w:val="lt-LT"/>
        </w:rPr>
      </w:pPr>
    </w:p>
    <w:p w14:paraId="41906A06" w14:textId="77777777" w:rsidR="00B37A31" w:rsidRDefault="00B37A31" w:rsidP="00B37A31">
      <w:pPr>
        <w:tabs>
          <w:tab w:val="clear" w:pos="567"/>
        </w:tabs>
        <w:jc w:val="center"/>
        <w:outlineLvl w:val="0"/>
        <w:rPr>
          <w:b/>
          <w:lang w:val="lt-LT"/>
        </w:rPr>
      </w:pPr>
    </w:p>
    <w:p w14:paraId="5C404D68" w14:textId="77777777" w:rsidR="00B37A31" w:rsidRDefault="00B37A31" w:rsidP="00B37A31">
      <w:pPr>
        <w:tabs>
          <w:tab w:val="clear" w:pos="567"/>
        </w:tabs>
        <w:jc w:val="center"/>
        <w:outlineLvl w:val="0"/>
        <w:rPr>
          <w:b/>
          <w:lang w:val="lt-LT"/>
        </w:rPr>
      </w:pPr>
    </w:p>
    <w:p w14:paraId="29E677D5" w14:textId="77777777" w:rsidR="00B37A31" w:rsidRDefault="00B37A31" w:rsidP="00B37A31">
      <w:pPr>
        <w:tabs>
          <w:tab w:val="clear" w:pos="567"/>
        </w:tabs>
        <w:jc w:val="center"/>
        <w:outlineLvl w:val="0"/>
        <w:rPr>
          <w:b/>
          <w:lang w:val="lt-LT"/>
        </w:rPr>
      </w:pPr>
    </w:p>
    <w:p w14:paraId="098FF32F" w14:textId="77777777" w:rsidR="00B37A31" w:rsidRDefault="00B37A31" w:rsidP="00B37A31">
      <w:pPr>
        <w:tabs>
          <w:tab w:val="clear" w:pos="567"/>
        </w:tabs>
        <w:jc w:val="center"/>
        <w:outlineLvl w:val="0"/>
        <w:rPr>
          <w:b/>
          <w:lang w:val="lt-LT"/>
        </w:rPr>
      </w:pPr>
    </w:p>
    <w:p w14:paraId="72710C84" w14:textId="77777777" w:rsidR="00B37A31" w:rsidRDefault="00B37A31" w:rsidP="00B37A31">
      <w:pPr>
        <w:tabs>
          <w:tab w:val="clear" w:pos="567"/>
        </w:tabs>
        <w:jc w:val="center"/>
        <w:outlineLvl w:val="0"/>
        <w:rPr>
          <w:b/>
          <w:lang w:val="lt-LT"/>
        </w:rPr>
      </w:pPr>
    </w:p>
    <w:p w14:paraId="75FA17DD" w14:textId="77777777" w:rsidR="00B37A31" w:rsidRDefault="00B37A31" w:rsidP="00B37A31">
      <w:pPr>
        <w:tabs>
          <w:tab w:val="clear" w:pos="567"/>
        </w:tabs>
        <w:jc w:val="center"/>
        <w:outlineLvl w:val="0"/>
        <w:rPr>
          <w:b/>
          <w:lang w:val="lt-LT"/>
        </w:rPr>
      </w:pPr>
    </w:p>
    <w:p w14:paraId="1672797E" w14:textId="77777777" w:rsidR="00B37A31" w:rsidRDefault="00B37A31" w:rsidP="00B37A31">
      <w:pPr>
        <w:tabs>
          <w:tab w:val="clear" w:pos="567"/>
        </w:tabs>
        <w:jc w:val="center"/>
        <w:outlineLvl w:val="0"/>
        <w:rPr>
          <w:b/>
          <w:lang w:val="lt-LT"/>
        </w:rPr>
      </w:pPr>
    </w:p>
    <w:p w14:paraId="40AB8228" w14:textId="77777777" w:rsidR="00B37A31" w:rsidRDefault="00B37A31" w:rsidP="00B37A31">
      <w:pPr>
        <w:tabs>
          <w:tab w:val="clear" w:pos="567"/>
        </w:tabs>
        <w:jc w:val="center"/>
        <w:outlineLvl w:val="0"/>
        <w:rPr>
          <w:b/>
          <w:lang w:val="lt-LT"/>
        </w:rPr>
      </w:pPr>
    </w:p>
    <w:p w14:paraId="0EAD18E4" w14:textId="77777777" w:rsidR="00B37A31" w:rsidRDefault="00B37A31" w:rsidP="00B37A31">
      <w:pPr>
        <w:tabs>
          <w:tab w:val="clear" w:pos="567"/>
        </w:tabs>
        <w:jc w:val="center"/>
        <w:outlineLvl w:val="0"/>
        <w:rPr>
          <w:b/>
          <w:lang w:val="lt-LT"/>
        </w:rPr>
      </w:pPr>
    </w:p>
    <w:p w14:paraId="21A0ACEF" w14:textId="77777777" w:rsidR="00B37A31" w:rsidRDefault="00B37A31" w:rsidP="00B37A31">
      <w:pPr>
        <w:tabs>
          <w:tab w:val="clear" w:pos="567"/>
        </w:tabs>
        <w:jc w:val="center"/>
        <w:outlineLvl w:val="0"/>
        <w:rPr>
          <w:b/>
          <w:lang w:val="lt-LT"/>
        </w:rPr>
      </w:pPr>
    </w:p>
    <w:p w14:paraId="2C1718F4" w14:textId="77777777" w:rsidR="00B37A31" w:rsidRDefault="00B37A31" w:rsidP="00B37A31">
      <w:pPr>
        <w:tabs>
          <w:tab w:val="clear" w:pos="567"/>
        </w:tabs>
        <w:jc w:val="center"/>
        <w:outlineLvl w:val="0"/>
        <w:rPr>
          <w:b/>
          <w:lang w:val="lt-LT"/>
        </w:rPr>
      </w:pPr>
    </w:p>
    <w:p w14:paraId="0D25111A" w14:textId="77777777" w:rsidR="00B37A31" w:rsidRDefault="00B37A31" w:rsidP="00B37A31">
      <w:pPr>
        <w:tabs>
          <w:tab w:val="clear" w:pos="567"/>
        </w:tabs>
        <w:jc w:val="center"/>
        <w:outlineLvl w:val="0"/>
        <w:rPr>
          <w:b/>
          <w:lang w:val="lt-LT"/>
        </w:rPr>
      </w:pPr>
    </w:p>
    <w:p w14:paraId="620DB85B" w14:textId="77777777" w:rsidR="00B37A31" w:rsidRDefault="00B37A31" w:rsidP="00B37A31">
      <w:pPr>
        <w:tabs>
          <w:tab w:val="clear" w:pos="567"/>
        </w:tabs>
        <w:jc w:val="center"/>
        <w:outlineLvl w:val="0"/>
        <w:rPr>
          <w:b/>
          <w:lang w:val="lt-LT"/>
        </w:rPr>
      </w:pPr>
    </w:p>
    <w:p w14:paraId="436677D0" w14:textId="77777777" w:rsidR="00B37A31" w:rsidRDefault="00B37A31" w:rsidP="00B37A31">
      <w:pPr>
        <w:tabs>
          <w:tab w:val="clear" w:pos="567"/>
        </w:tabs>
        <w:jc w:val="center"/>
        <w:outlineLvl w:val="0"/>
        <w:rPr>
          <w:b/>
          <w:lang w:val="lt-LT"/>
        </w:rPr>
      </w:pPr>
    </w:p>
    <w:p w14:paraId="4D0F50F6" w14:textId="77777777" w:rsidR="00B37A31" w:rsidRDefault="00B37A31" w:rsidP="00B37A31">
      <w:pPr>
        <w:tabs>
          <w:tab w:val="clear" w:pos="567"/>
        </w:tabs>
        <w:jc w:val="center"/>
        <w:outlineLvl w:val="0"/>
        <w:rPr>
          <w:b/>
          <w:lang w:val="lt-LT"/>
        </w:rPr>
      </w:pPr>
    </w:p>
    <w:p w14:paraId="5FA1C482" w14:textId="77777777" w:rsidR="00B37A31" w:rsidRDefault="00B37A31" w:rsidP="00B37A31">
      <w:pPr>
        <w:tabs>
          <w:tab w:val="clear" w:pos="567"/>
        </w:tabs>
        <w:jc w:val="center"/>
        <w:outlineLvl w:val="0"/>
        <w:rPr>
          <w:b/>
          <w:lang w:val="lt-LT"/>
        </w:rPr>
      </w:pPr>
    </w:p>
    <w:p w14:paraId="5BFC9295" w14:textId="77777777" w:rsidR="00B37A31" w:rsidRDefault="00B37A31" w:rsidP="00B37A31">
      <w:pPr>
        <w:tabs>
          <w:tab w:val="clear" w:pos="567"/>
        </w:tabs>
        <w:jc w:val="center"/>
        <w:outlineLvl w:val="0"/>
        <w:rPr>
          <w:b/>
          <w:lang w:val="lt-LT"/>
        </w:rPr>
      </w:pPr>
    </w:p>
    <w:p w14:paraId="0390326D" w14:textId="77777777" w:rsidR="00B37A31" w:rsidRDefault="00B37A31" w:rsidP="00B37A31">
      <w:pPr>
        <w:tabs>
          <w:tab w:val="clear" w:pos="567"/>
        </w:tabs>
        <w:jc w:val="center"/>
        <w:outlineLvl w:val="0"/>
        <w:rPr>
          <w:b/>
          <w:lang w:val="lt-LT"/>
        </w:rPr>
      </w:pPr>
    </w:p>
    <w:p w14:paraId="4DEB4056" w14:textId="77777777" w:rsidR="00B37A31" w:rsidRDefault="00B37A31" w:rsidP="00B37A31">
      <w:pPr>
        <w:tabs>
          <w:tab w:val="clear" w:pos="567"/>
        </w:tabs>
        <w:jc w:val="center"/>
        <w:outlineLvl w:val="0"/>
        <w:rPr>
          <w:b/>
          <w:lang w:val="lt-LT"/>
        </w:rPr>
      </w:pPr>
      <w:r>
        <w:rPr>
          <w:b/>
          <w:lang w:val="lt-LT"/>
        </w:rPr>
        <w:t>B. PAKUOTĖS LAPELIS</w:t>
      </w:r>
    </w:p>
    <w:p w14:paraId="550FFAAF" w14:textId="77777777" w:rsidR="00B37A31" w:rsidRDefault="00B37A31" w:rsidP="00B37A31">
      <w:pPr>
        <w:tabs>
          <w:tab w:val="clear" w:pos="567"/>
        </w:tabs>
        <w:spacing w:after="160" w:line="259" w:lineRule="auto"/>
        <w:rPr>
          <w:lang w:val="lt-LT"/>
        </w:rPr>
      </w:pPr>
      <w:r>
        <w:rPr>
          <w:b/>
          <w:lang w:val="lt-LT"/>
        </w:rPr>
        <w:br w:type="page"/>
      </w:r>
    </w:p>
    <w:p w14:paraId="6AEC6A2D" w14:textId="77777777" w:rsidR="00B37A31" w:rsidRDefault="00B37A31" w:rsidP="00B37A31">
      <w:pPr>
        <w:rPr>
          <w:lang w:val="lt-LT"/>
        </w:rPr>
      </w:pPr>
    </w:p>
    <w:p w14:paraId="0C643610" w14:textId="77777777" w:rsidR="00B37A31" w:rsidRPr="00B024CB" w:rsidRDefault="00B37A31" w:rsidP="00B37A31">
      <w:pPr>
        <w:jc w:val="center"/>
        <w:outlineLvl w:val="0"/>
        <w:rPr>
          <w:b/>
          <w:lang w:val="lt-LT"/>
        </w:rPr>
      </w:pPr>
      <w:r w:rsidRPr="00B024CB">
        <w:rPr>
          <w:b/>
          <w:lang w:val="lt-LT"/>
        </w:rPr>
        <w:t xml:space="preserve">Pakuotės lapelis: informacija </w:t>
      </w:r>
      <w:r>
        <w:rPr>
          <w:b/>
          <w:lang w:val="lt-LT"/>
        </w:rPr>
        <w:t>pacientui</w:t>
      </w:r>
    </w:p>
    <w:p w14:paraId="7B7AB231" w14:textId="77777777" w:rsidR="00B37A31" w:rsidRPr="006E72E0" w:rsidRDefault="00B37A31" w:rsidP="00B37A31">
      <w:pPr>
        <w:spacing w:line="260" w:lineRule="exact"/>
        <w:rPr>
          <w:lang w:val="lt-LT"/>
        </w:rPr>
      </w:pPr>
    </w:p>
    <w:p w14:paraId="2D12EC5A" w14:textId="77777777" w:rsidR="00B37A31" w:rsidRPr="00F71B8F" w:rsidRDefault="00B37A31" w:rsidP="00B37A31">
      <w:pPr>
        <w:jc w:val="center"/>
        <w:rPr>
          <w:lang w:val="lt-LT"/>
        </w:rPr>
      </w:pPr>
      <w:proofErr w:type="spellStart"/>
      <w:r w:rsidRPr="00F71B8F">
        <w:rPr>
          <w:lang w:val="lt-LT"/>
        </w:rPr>
        <w:t>Technescan</w:t>
      </w:r>
      <w:proofErr w:type="spellEnd"/>
      <w:r w:rsidRPr="00F71B8F">
        <w:rPr>
          <w:lang w:val="lt-LT"/>
        </w:rPr>
        <w:t xml:space="preserve"> </w:t>
      </w:r>
      <w:proofErr w:type="spellStart"/>
      <w:r w:rsidRPr="00F71B8F">
        <w:rPr>
          <w:lang w:val="lt-LT"/>
        </w:rPr>
        <w:t>Sestamibi</w:t>
      </w:r>
      <w:proofErr w:type="spellEnd"/>
      <w:r w:rsidRPr="00F71B8F">
        <w:rPr>
          <w:lang w:val="lt-LT"/>
        </w:rPr>
        <w:t xml:space="preserve"> 1 mg rinkinys </w:t>
      </w:r>
      <w:proofErr w:type="spellStart"/>
      <w:r w:rsidRPr="00F71B8F">
        <w:rPr>
          <w:lang w:val="lt-LT"/>
        </w:rPr>
        <w:t>radiofarmaciniam</w:t>
      </w:r>
      <w:proofErr w:type="spellEnd"/>
      <w:r w:rsidRPr="00F71B8F">
        <w:rPr>
          <w:lang w:val="lt-LT"/>
        </w:rPr>
        <w:t xml:space="preserve"> preparatui</w:t>
      </w:r>
    </w:p>
    <w:p w14:paraId="4A01F78F" w14:textId="77777777" w:rsidR="00B37A31" w:rsidRPr="006E72E0" w:rsidRDefault="00B37A31" w:rsidP="00B37A31">
      <w:pPr>
        <w:spacing w:line="260" w:lineRule="exact"/>
        <w:rPr>
          <w:lang w:val="lt-LT"/>
        </w:rPr>
      </w:pPr>
    </w:p>
    <w:p w14:paraId="48831200" w14:textId="77777777" w:rsidR="00B37A31" w:rsidRPr="00B024CB" w:rsidRDefault="00B37A31" w:rsidP="00B37A31">
      <w:pPr>
        <w:numPr>
          <w:ilvl w:val="12"/>
          <w:numId w:val="0"/>
        </w:numPr>
        <w:jc w:val="center"/>
        <w:rPr>
          <w:lang w:val="lt-LT"/>
        </w:rPr>
      </w:pPr>
      <w:r w:rsidRPr="00B024CB">
        <w:rPr>
          <w:lang w:val="lt-LT"/>
        </w:rPr>
        <w:t>[</w:t>
      </w:r>
      <w:proofErr w:type="spellStart"/>
      <w:r w:rsidRPr="00B024CB">
        <w:rPr>
          <w:lang w:val="lt-LT"/>
        </w:rPr>
        <w:t>Tetrakis</w:t>
      </w:r>
      <w:proofErr w:type="spellEnd"/>
      <w:r w:rsidRPr="00B024CB">
        <w:rPr>
          <w:lang w:val="lt-LT"/>
        </w:rPr>
        <w:t xml:space="preserve">(2-metoksi-2-metilpropil-1 </w:t>
      </w:r>
      <w:proofErr w:type="spellStart"/>
      <w:r w:rsidRPr="00B024CB">
        <w:rPr>
          <w:lang w:val="lt-LT"/>
        </w:rPr>
        <w:t>izocianido</w:t>
      </w:r>
      <w:proofErr w:type="spellEnd"/>
      <w:r w:rsidRPr="00B024CB">
        <w:rPr>
          <w:lang w:val="lt-LT"/>
        </w:rPr>
        <w:t xml:space="preserve">)vario(I)] </w:t>
      </w:r>
      <w:proofErr w:type="spellStart"/>
      <w:r w:rsidRPr="00B024CB">
        <w:rPr>
          <w:lang w:val="lt-LT"/>
        </w:rPr>
        <w:t>tetrafluorboratas</w:t>
      </w:r>
      <w:proofErr w:type="spellEnd"/>
    </w:p>
    <w:p w14:paraId="675656CD" w14:textId="77777777" w:rsidR="00B37A31" w:rsidRPr="006E72E0" w:rsidRDefault="00B37A31" w:rsidP="00B37A31">
      <w:pPr>
        <w:spacing w:line="260" w:lineRule="exact"/>
        <w:rPr>
          <w:lang w:val="lt-LT"/>
        </w:rPr>
      </w:pPr>
    </w:p>
    <w:p w14:paraId="764CD747" w14:textId="77777777" w:rsidR="00B37A31" w:rsidRPr="00B024CB" w:rsidRDefault="00B37A31" w:rsidP="00B37A31">
      <w:pPr>
        <w:tabs>
          <w:tab w:val="left" w:pos="0"/>
        </w:tabs>
        <w:rPr>
          <w:b/>
          <w:lang w:val="lt-LT"/>
        </w:rPr>
      </w:pPr>
      <w:r w:rsidRPr="00B024CB">
        <w:rPr>
          <w:b/>
          <w:lang w:val="lt-LT"/>
        </w:rPr>
        <w:t xml:space="preserve">Atidžiai perskaitykite visą šį lapelį, prieš pradėdami vartoti vaistą, </w:t>
      </w:r>
      <w:r w:rsidRPr="00B024CB">
        <w:rPr>
          <w:b/>
          <w:szCs w:val="24"/>
          <w:lang w:val="lt-LT"/>
        </w:rPr>
        <w:t>nes jame pateikiama Jums svarbi informacija</w:t>
      </w:r>
      <w:r w:rsidRPr="00B024CB">
        <w:rPr>
          <w:b/>
          <w:lang w:val="lt-LT"/>
        </w:rPr>
        <w:t>.</w:t>
      </w:r>
      <w:r w:rsidRPr="00B024CB">
        <w:rPr>
          <w:b/>
          <w:szCs w:val="24"/>
          <w:lang w:val="lt-LT"/>
        </w:rPr>
        <w:t xml:space="preserve"> </w:t>
      </w:r>
    </w:p>
    <w:p w14:paraId="7CEBB2B4" w14:textId="77777777" w:rsidR="00B37A31" w:rsidRPr="00B024CB" w:rsidRDefault="00B37A31" w:rsidP="00B37A31">
      <w:pPr>
        <w:ind w:left="567" w:hanging="567"/>
        <w:rPr>
          <w:lang w:val="lt-LT"/>
        </w:rPr>
      </w:pPr>
      <w:r w:rsidRPr="00B024CB">
        <w:rPr>
          <w:lang w:val="lt-LT"/>
        </w:rPr>
        <w:t>-</w:t>
      </w:r>
      <w:r w:rsidRPr="00B024CB">
        <w:rPr>
          <w:lang w:val="lt-LT"/>
        </w:rPr>
        <w:tab/>
        <w:t>Neišmeskite šio lapelio, nes vėl gali prireikti jį perskaityti.</w:t>
      </w:r>
    </w:p>
    <w:p w14:paraId="7933A397" w14:textId="77777777" w:rsidR="00B37A31" w:rsidRPr="00B024CB" w:rsidRDefault="00B37A31" w:rsidP="00B37A31">
      <w:pPr>
        <w:ind w:left="567" w:hanging="567"/>
        <w:rPr>
          <w:lang w:val="lt-LT"/>
        </w:rPr>
      </w:pPr>
      <w:r w:rsidRPr="00B024CB">
        <w:rPr>
          <w:lang w:val="lt-LT"/>
        </w:rPr>
        <w:t>-</w:t>
      </w:r>
      <w:r w:rsidRPr="00B024CB">
        <w:rPr>
          <w:lang w:val="lt-LT"/>
        </w:rPr>
        <w:tab/>
        <w:t xml:space="preserve">Jeigu kiltų daugiau klausimų, kreipkitės į </w:t>
      </w:r>
      <w:r>
        <w:rPr>
          <w:lang w:val="lt-LT"/>
        </w:rPr>
        <w:t xml:space="preserve">branduolinės medicinos </w:t>
      </w:r>
      <w:r w:rsidRPr="00B024CB">
        <w:rPr>
          <w:lang w:val="lt-LT"/>
        </w:rPr>
        <w:t>gydytoją</w:t>
      </w:r>
      <w:r>
        <w:rPr>
          <w:lang w:val="lt-LT"/>
        </w:rPr>
        <w:t>, kuris prižiūrės procedūrą</w:t>
      </w:r>
      <w:r w:rsidRPr="00B024CB">
        <w:rPr>
          <w:lang w:val="lt-LT"/>
        </w:rPr>
        <w:t>.</w:t>
      </w:r>
    </w:p>
    <w:p w14:paraId="4D17CFF7" w14:textId="77777777" w:rsidR="00B37A31" w:rsidRPr="00B024CB" w:rsidRDefault="00B37A31" w:rsidP="00B37A31">
      <w:pPr>
        <w:numPr>
          <w:ilvl w:val="0"/>
          <w:numId w:val="1"/>
        </w:numPr>
        <w:ind w:left="567" w:hanging="567"/>
        <w:rPr>
          <w:lang w:val="lt-LT"/>
        </w:rPr>
      </w:pPr>
      <w:r w:rsidRPr="00B024CB">
        <w:rPr>
          <w:lang w:val="lt-LT"/>
        </w:rPr>
        <w:t xml:space="preserve">Jeigu pasireiškė šalutinis poveikis (net jeigu jis šiame lapelyje nenurodytas), kreipkitės į </w:t>
      </w:r>
      <w:r>
        <w:rPr>
          <w:lang w:val="lt-LT"/>
        </w:rPr>
        <w:t xml:space="preserve">branduolinės medicinos </w:t>
      </w:r>
      <w:r w:rsidRPr="00B024CB">
        <w:rPr>
          <w:lang w:val="lt-LT"/>
        </w:rPr>
        <w:t>gydytoją.</w:t>
      </w:r>
      <w:r>
        <w:rPr>
          <w:lang w:val="lt-LT"/>
        </w:rPr>
        <w:t xml:space="preserve"> </w:t>
      </w:r>
      <w:r w:rsidRPr="00D27F86">
        <w:rPr>
          <w:noProof/>
          <w:szCs w:val="24"/>
          <w:lang w:val="lt-LT"/>
        </w:rPr>
        <w:t>Žr. 4</w:t>
      </w:r>
      <w:r>
        <w:rPr>
          <w:noProof/>
          <w:szCs w:val="24"/>
          <w:lang w:val="lt-LT"/>
        </w:rPr>
        <w:t> </w:t>
      </w:r>
      <w:r w:rsidRPr="00D27F86">
        <w:rPr>
          <w:noProof/>
          <w:szCs w:val="24"/>
          <w:lang w:val="lt-LT"/>
        </w:rPr>
        <w:t>skyrių.</w:t>
      </w:r>
    </w:p>
    <w:p w14:paraId="2592172A" w14:textId="77777777" w:rsidR="00B37A31" w:rsidRPr="00B024CB" w:rsidRDefault="00B37A31" w:rsidP="00B37A31">
      <w:pPr>
        <w:spacing w:line="260" w:lineRule="exact"/>
        <w:rPr>
          <w:lang w:val="lt-LT"/>
        </w:rPr>
      </w:pPr>
    </w:p>
    <w:p w14:paraId="708F7754" w14:textId="77777777" w:rsidR="00B37A31" w:rsidRPr="00B024CB" w:rsidRDefault="00B37A31" w:rsidP="00B37A31">
      <w:pPr>
        <w:ind w:left="567" w:hanging="567"/>
        <w:rPr>
          <w:b/>
          <w:lang w:val="lt-LT"/>
        </w:rPr>
      </w:pPr>
      <w:r w:rsidRPr="00B024CB">
        <w:rPr>
          <w:b/>
          <w:lang w:val="lt-LT"/>
        </w:rPr>
        <w:t>Apie ką rašoma šiame lapelyje?</w:t>
      </w:r>
    </w:p>
    <w:p w14:paraId="4AE1BFE2" w14:textId="77777777" w:rsidR="00B37A31" w:rsidRPr="00B024CB" w:rsidRDefault="00B37A31" w:rsidP="00B37A31">
      <w:pPr>
        <w:ind w:left="567" w:hanging="567"/>
        <w:rPr>
          <w:lang w:val="lt-LT"/>
        </w:rPr>
      </w:pPr>
      <w:r w:rsidRPr="00B024CB">
        <w:rPr>
          <w:lang w:val="lt-LT"/>
        </w:rPr>
        <w:t>1.</w:t>
      </w:r>
      <w:r w:rsidRPr="00B024CB">
        <w:rPr>
          <w:lang w:val="lt-LT"/>
        </w:rPr>
        <w:tab/>
        <w:t xml:space="preserve">Kas yra </w:t>
      </w:r>
      <w:proofErr w:type="spellStart"/>
      <w:r w:rsidRPr="00B024CB">
        <w:rPr>
          <w:lang w:val="lt-LT"/>
        </w:rPr>
        <w:t>Technescan</w:t>
      </w:r>
      <w:proofErr w:type="spellEnd"/>
      <w:r w:rsidRPr="00B024CB">
        <w:rPr>
          <w:lang w:val="lt-LT"/>
        </w:rPr>
        <w:t xml:space="preserve"> </w:t>
      </w:r>
      <w:proofErr w:type="spellStart"/>
      <w:r w:rsidRPr="00B024CB">
        <w:rPr>
          <w:lang w:val="lt-LT"/>
        </w:rPr>
        <w:t>Sestamibi</w:t>
      </w:r>
      <w:proofErr w:type="spellEnd"/>
      <w:r w:rsidRPr="00B024CB">
        <w:rPr>
          <w:lang w:val="lt-LT"/>
        </w:rPr>
        <w:t xml:space="preserve"> ir kam jis vartojamas</w:t>
      </w:r>
    </w:p>
    <w:p w14:paraId="518B305F" w14:textId="77777777" w:rsidR="00B37A31" w:rsidRPr="00B024CB" w:rsidRDefault="00B37A31" w:rsidP="00B37A31">
      <w:pPr>
        <w:ind w:left="567" w:hanging="567"/>
        <w:rPr>
          <w:lang w:val="lt-LT"/>
        </w:rPr>
      </w:pPr>
      <w:r w:rsidRPr="00B024CB">
        <w:rPr>
          <w:lang w:val="lt-LT"/>
        </w:rPr>
        <w:t>2.</w:t>
      </w:r>
      <w:r w:rsidRPr="00B024CB">
        <w:rPr>
          <w:lang w:val="lt-LT"/>
        </w:rPr>
        <w:tab/>
        <w:t xml:space="preserve">Kas žinotina prieš </w:t>
      </w:r>
      <w:r>
        <w:rPr>
          <w:lang w:val="lt-LT"/>
        </w:rPr>
        <w:t>vartojant</w:t>
      </w:r>
      <w:r w:rsidRPr="00B024CB">
        <w:rPr>
          <w:lang w:val="lt-LT"/>
        </w:rPr>
        <w:t xml:space="preserve"> </w:t>
      </w:r>
      <w:proofErr w:type="spellStart"/>
      <w:r w:rsidRPr="00B024CB">
        <w:rPr>
          <w:lang w:val="lt-LT"/>
        </w:rPr>
        <w:t>Technescan</w:t>
      </w:r>
      <w:proofErr w:type="spellEnd"/>
      <w:r w:rsidRPr="00B024CB">
        <w:rPr>
          <w:lang w:val="lt-LT"/>
        </w:rPr>
        <w:t xml:space="preserve"> </w:t>
      </w:r>
      <w:proofErr w:type="spellStart"/>
      <w:r w:rsidRPr="00B024CB">
        <w:rPr>
          <w:lang w:val="lt-LT"/>
        </w:rPr>
        <w:t>Sestamibi</w:t>
      </w:r>
      <w:proofErr w:type="spellEnd"/>
    </w:p>
    <w:p w14:paraId="63CB7C3C" w14:textId="77777777" w:rsidR="00B37A31" w:rsidRPr="00B024CB" w:rsidRDefault="00B37A31" w:rsidP="00B37A31">
      <w:pPr>
        <w:ind w:left="567" w:hanging="567"/>
        <w:rPr>
          <w:lang w:val="lt-LT"/>
        </w:rPr>
      </w:pPr>
      <w:r w:rsidRPr="00B024CB">
        <w:rPr>
          <w:lang w:val="lt-LT"/>
        </w:rPr>
        <w:t>3.</w:t>
      </w:r>
      <w:r w:rsidRPr="00B024CB">
        <w:rPr>
          <w:lang w:val="lt-LT"/>
        </w:rPr>
        <w:tab/>
        <w:t>Kaip varto</w:t>
      </w:r>
      <w:r>
        <w:rPr>
          <w:lang w:val="lt-LT"/>
        </w:rPr>
        <w:t>jamas</w:t>
      </w:r>
      <w:r w:rsidRPr="00B024CB">
        <w:rPr>
          <w:lang w:val="lt-LT"/>
        </w:rPr>
        <w:t xml:space="preserve"> </w:t>
      </w:r>
      <w:proofErr w:type="spellStart"/>
      <w:r w:rsidRPr="00B024CB">
        <w:rPr>
          <w:lang w:val="lt-LT"/>
        </w:rPr>
        <w:t>Technescan</w:t>
      </w:r>
      <w:proofErr w:type="spellEnd"/>
      <w:r w:rsidRPr="00B024CB">
        <w:rPr>
          <w:lang w:val="lt-LT"/>
        </w:rPr>
        <w:t xml:space="preserve"> </w:t>
      </w:r>
      <w:proofErr w:type="spellStart"/>
      <w:r w:rsidRPr="00B024CB">
        <w:rPr>
          <w:lang w:val="lt-LT"/>
        </w:rPr>
        <w:t>Sestamibi</w:t>
      </w:r>
      <w:proofErr w:type="spellEnd"/>
    </w:p>
    <w:p w14:paraId="1069EDD4" w14:textId="77777777" w:rsidR="00B37A31" w:rsidRPr="00B024CB" w:rsidRDefault="00B37A31" w:rsidP="00B37A31">
      <w:pPr>
        <w:ind w:left="567" w:hanging="567"/>
        <w:rPr>
          <w:lang w:val="lt-LT"/>
        </w:rPr>
      </w:pPr>
      <w:r w:rsidRPr="00B024CB">
        <w:rPr>
          <w:lang w:val="lt-LT"/>
        </w:rPr>
        <w:t>4.</w:t>
      </w:r>
      <w:r w:rsidRPr="00B024CB">
        <w:rPr>
          <w:lang w:val="lt-LT"/>
        </w:rPr>
        <w:tab/>
        <w:t>Galimas šalutinis poveikis</w:t>
      </w:r>
    </w:p>
    <w:p w14:paraId="4AD5A44C" w14:textId="77777777" w:rsidR="00B37A31" w:rsidRPr="00B024CB" w:rsidRDefault="00B37A31" w:rsidP="00B37A31">
      <w:pPr>
        <w:ind w:left="567" w:hanging="567"/>
        <w:rPr>
          <w:lang w:val="lt-LT"/>
        </w:rPr>
      </w:pPr>
      <w:r w:rsidRPr="00B024CB">
        <w:rPr>
          <w:lang w:val="lt-LT"/>
        </w:rPr>
        <w:t>5.</w:t>
      </w:r>
      <w:r w:rsidRPr="00B024CB">
        <w:rPr>
          <w:lang w:val="lt-LT"/>
        </w:rPr>
        <w:tab/>
        <w:t>Kaip laik</w:t>
      </w:r>
      <w:r>
        <w:rPr>
          <w:lang w:val="lt-LT"/>
        </w:rPr>
        <w:t>yti</w:t>
      </w:r>
      <w:r w:rsidRPr="00B024CB">
        <w:rPr>
          <w:lang w:val="lt-LT"/>
        </w:rPr>
        <w:t xml:space="preserve"> </w:t>
      </w:r>
      <w:proofErr w:type="spellStart"/>
      <w:r w:rsidRPr="00B024CB">
        <w:rPr>
          <w:lang w:val="lt-LT"/>
        </w:rPr>
        <w:t>Technescan</w:t>
      </w:r>
      <w:proofErr w:type="spellEnd"/>
      <w:r w:rsidRPr="00B024CB">
        <w:rPr>
          <w:lang w:val="lt-LT"/>
        </w:rPr>
        <w:t xml:space="preserve"> </w:t>
      </w:r>
      <w:proofErr w:type="spellStart"/>
      <w:r w:rsidRPr="00B024CB">
        <w:rPr>
          <w:lang w:val="lt-LT"/>
        </w:rPr>
        <w:t>Sestamibi</w:t>
      </w:r>
      <w:proofErr w:type="spellEnd"/>
    </w:p>
    <w:p w14:paraId="010CDFFD" w14:textId="77777777" w:rsidR="00B37A31" w:rsidRPr="00B024CB" w:rsidRDefault="00B37A31" w:rsidP="00B37A31">
      <w:pPr>
        <w:ind w:left="567" w:hanging="567"/>
        <w:rPr>
          <w:lang w:val="lt-LT"/>
        </w:rPr>
      </w:pPr>
      <w:r w:rsidRPr="00B024CB">
        <w:rPr>
          <w:lang w:val="lt-LT"/>
        </w:rPr>
        <w:t>6.</w:t>
      </w:r>
      <w:r w:rsidRPr="00B024CB">
        <w:rPr>
          <w:lang w:val="lt-LT"/>
        </w:rPr>
        <w:tab/>
        <w:t>Pakuotės turinys ir kita informacija</w:t>
      </w:r>
    </w:p>
    <w:p w14:paraId="65F9A15C" w14:textId="77777777" w:rsidR="00B37A31" w:rsidRPr="00B024CB" w:rsidRDefault="00B37A31" w:rsidP="00B37A31">
      <w:pPr>
        <w:spacing w:line="260" w:lineRule="exact"/>
        <w:rPr>
          <w:lang w:val="lt-LT"/>
        </w:rPr>
      </w:pPr>
    </w:p>
    <w:p w14:paraId="34B025F5" w14:textId="77777777" w:rsidR="00B37A31" w:rsidRPr="00B024CB" w:rsidRDefault="00B37A31" w:rsidP="00B37A31">
      <w:pPr>
        <w:spacing w:line="260" w:lineRule="exact"/>
        <w:rPr>
          <w:lang w:val="lt-LT"/>
        </w:rPr>
      </w:pPr>
    </w:p>
    <w:p w14:paraId="64ACFDA5" w14:textId="77777777" w:rsidR="00B37A31" w:rsidRPr="00DA5056" w:rsidRDefault="00B37A31" w:rsidP="00B37A31">
      <w:pPr>
        <w:pStyle w:val="Sraopastraipa"/>
        <w:numPr>
          <w:ilvl w:val="0"/>
          <w:numId w:val="48"/>
        </w:numPr>
        <w:ind w:right="-2" w:hanging="924"/>
        <w:rPr>
          <w:b/>
          <w:lang w:val="lt-LT"/>
        </w:rPr>
      </w:pPr>
      <w:r w:rsidRPr="00DA5056">
        <w:rPr>
          <w:b/>
          <w:lang w:val="lt-LT"/>
        </w:rPr>
        <w:t xml:space="preserve">Kas yra </w:t>
      </w:r>
      <w:proofErr w:type="spellStart"/>
      <w:r w:rsidRPr="00DA5056">
        <w:rPr>
          <w:b/>
          <w:lang w:val="lt-LT"/>
        </w:rPr>
        <w:t>Technescan</w:t>
      </w:r>
      <w:proofErr w:type="spellEnd"/>
      <w:r w:rsidRPr="00DA5056">
        <w:rPr>
          <w:b/>
          <w:lang w:val="lt-LT"/>
        </w:rPr>
        <w:t xml:space="preserve"> </w:t>
      </w:r>
      <w:proofErr w:type="spellStart"/>
      <w:r w:rsidRPr="00DA5056">
        <w:rPr>
          <w:b/>
          <w:lang w:val="lt-LT"/>
        </w:rPr>
        <w:t>Sestamibi</w:t>
      </w:r>
      <w:proofErr w:type="spellEnd"/>
      <w:r w:rsidRPr="00DA5056">
        <w:rPr>
          <w:b/>
          <w:lang w:val="lt-LT"/>
        </w:rPr>
        <w:t xml:space="preserve"> ir kam jis vartojamas</w:t>
      </w:r>
    </w:p>
    <w:p w14:paraId="5B8B9462" w14:textId="77777777" w:rsidR="00B37A31" w:rsidRPr="00DA5056" w:rsidRDefault="00B37A31" w:rsidP="00B37A31">
      <w:pPr>
        <w:pStyle w:val="Sraopastraipa"/>
        <w:ind w:left="924" w:right="-2"/>
        <w:rPr>
          <w:b/>
          <w:lang w:val="lt-LT"/>
        </w:rPr>
      </w:pPr>
    </w:p>
    <w:p w14:paraId="14C84D98" w14:textId="77777777" w:rsidR="00B37A31" w:rsidRPr="00B024CB" w:rsidRDefault="00B37A31" w:rsidP="00B37A31">
      <w:pPr>
        <w:ind w:right="-2"/>
        <w:rPr>
          <w:lang w:val="lt-LT"/>
        </w:rPr>
      </w:pPr>
      <w:r w:rsidRPr="00B024CB">
        <w:rPr>
          <w:lang w:val="lt-LT"/>
        </w:rPr>
        <w:t xml:space="preserve">Šis vaistas </w:t>
      </w:r>
      <w:r>
        <w:rPr>
          <w:lang w:val="lt-LT"/>
        </w:rPr>
        <w:t xml:space="preserve">yra </w:t>
      </w:r>
      <w:proofErr w:type="spellStart"/>
      <w:r w:rsidRPr="00B024CB">
        <w:rPr>
          <w:lang w:val="lt-LT"/>
        </w:rPr>
        <w:t>radiofarmacini</w:t>
      </w:r>
      <w:r>
        <w:rPr>
          <w:lang w:val="lt-LT"/>
        </w:rPr>
        <w:t>s</w:t>
      </w:r>
      <w:proofErr w:type="spellEnd"/>
      <w:r w:rsidRPr="00B024CB">
        <w:rPr>
          <w:lang w:val="lt-LT"/>
        </w:rPr>
        <w:t xml:space="preserve"> preparat</w:t>
      </w:r>
      <w:r>
        <w:rPr>
          <w:lang w:val="lt-LT"/>
        </w:rPr>
        <w:t xml:space="preserve">as, </w:t>
      </w:r>
      <w:r w:rsidRPr="00B024CB">
        <w:rPr>
          <w:lang w:val="lt-LT"/>
        </w:rPr>
        <w:t>vartojamas tik diagnostikai.</w:t>
      </w:r>
    </w:p>
    <w:p w14:paraId="63557976" w14:textId="77777777" w:rsidR="00B37A31" w:rsidRPr="001D1840" w:rsidRDefault="00B37A31" w:rsidP="00B37A31">
      <w:pPr>
        <w:rPr>
          <w:lang w:val="lt-LT"/>
        </w:rPr>
      </w:pPr>
    </w:p>
    <w:p w14:paraId="61219B60" w14:textId="77777777" w:rsidR="00B37A31" w:rsidRPr="001D1840" w:rsidRDefault="00B37A31" w:rsidP="00B37A31">
      <w:pPr>
        <w:tabs>
          <w:tab w:val="left" w:pos="6050"/>
        </w:tabs>
        <w:rPr>
          <w:lang w:val="lt-LT"/>
        </w:rPr>
      </w:pPr>
      <w:proofErr w:type="spellStart"/>
      <w:r>
        <w:rPr>
          <w:lang w:val="lt-LT"/>
        </w:rPr>
        <w:t>Technescan</w:t>
      </w:r>
      <w:proofErr w:type="spellEnd"/>
      <w:r>
        <w:rPr>
          <w:lang w:val="lt-LT"/>
        </w:rPr>
        <w:t xml:space="preserve"> </w:t>
      </w:r>
      <w:proofErr w:type="spellStart"/>
      <w:r>
        <w:rPr>
          <w:lang w:val="lt-LT"/>
        </w:rPr>
        <w:t>Sestamibi</w:t>
      </w:r>
      <w:proofErr w:type="spellEnd"/>
      <w:r>
        <w:rPr>
          <w:lang w:val="lt-LT"/>
        </w:rPr>
        <w:t xml:space="preserve"> sudėtyje yra medžiagos, vadinamos [</w:t>
      </w:r>
      <w:proofErr w:type="spellStart"/>
      <w:r>
        <w:rPr>
          <w:lang w:val="lt-LT"/>
        </w:rPr>
        <w:t>tetrakis</w:t>
      </w:r>
      <w:proofErr w:type="spellEnd"/>
      <w:r>
        <w:rPr>
          <w:lang w:val="lt-LT"/>
        </w:rPr>
        <w:t xml:space="preserve">(2-metoksi-2-metilpropil-1 </w:t>
      </w:r>
      <w:proofErr w:type="spellStart"/>
      <w:r>
        <w:rPr>
          <w:lang w:val="lt-LT"/>
        </w:rPr>
        <w:t>izocianido</w:t>
      </w:r>
      <w:proofErr w:type="spellEnd"/>
      <w:r>
        <w:rPr>
          <w:lang w:val="lt-LT"/>
        </w:rPr>
        <w:t xml:space="preserve">)vario(I)] </w:t>
      </w:r>
      <w:proofErr w:type="spellStart"/>
      <w:r>
        <w:rPr>
          <w:lang w:val="lt-LT"/>
        </w:rPr>
        <w:t>tetrafluoroboratu</w:t>
      </w:r>
      <w:proofErr w:type="spellEnd"/>
      <w:r>
        <w:rPr>
          <w:lang w:val="lt-LT"/>
        </w:rPr>
        <w:t xml:space="preserve">, kuri vartojama širdies funkcijai ir kraujotakai (miokardo </w:t>
      </w:r>
      <w:proofErr w:type="spellStart"/>
      <w:r>
        <w:rPr>
          <w:lang w:val="lt-LT"/>
        </w:rPr>
        <w:t>perfuzijai</w:t>
      </w:r>
      <w:proofErr w:type="spellEnd"/>
      <w:r>
        <w:rPr>
          <w:lang w:val="lt-LT"/>
        </w:rPr>
        <w:t xml:space="preserve">) tirti, gaunant širdies vaizdą (atliekant </w:t>
      </w:r>
      <w:proofErr w:type="spellStart"/>
      <w:r>
        <w:rPr>
          <w:lang w:val="lt-LT"/>
        </w:rPr>
        <w:t>scintigrafiją</w:t>
      </w:r>
      <w:proofErr w:type="spellEnd"/>
      <w:r>
        <w:rPr>
          <w:lang w:val="lt-LT"/>
        </w:rPr>
        <w:t xml:space="preserve">), pavyzdžiui, aptinkant širdies priepuolius (miokardo </w:t>
      </w:r>
      <w:proofErr w:type="spellStart"/>
      <w:r>
        <w:rPr>
          <w:lang w:val="lt-LT"/>
        </w:rPr>
        <w:t>infartus</w:t>
      </w:r>
      <w:proofErr w:type="spellEnd"/>
      <w:r>
        <w:rPr>
          <w:lang w:val="lt-LT"/>
        </w:rPr>
        <w:t>) arba kai dėl ligos sumažėja (dalies) širdies raumens aprūpinimas krauju (išemija).</w:t>
      </w:r>
      <w:r w:rsidRPr="001D1840">
        <w:rPr>
          <w:lang w:val="lt-LT"/>
        </w:rPr>
        <w:t xml:space="preserve"> </w:t>
      </w:r>
      <w:proofErr w:type="spellStart"/>
      <w:r>
        <w:rPr>
          <w:lang w:val="lt-LT"/>
        </w:rPr>
        <w:t>Technescan</w:t>
      </w:r>
      <w:proofErr w:type="spellEnd"/>
      <w:r>
        <w:rPr>
          <w:lang w:val="lt-LT"/>
        </w:rPr>
        <w:t xml:space="preserve"> </w:t>
      </w:r>
      <w:proofErr w:type="spellStart"/>
      <w:r>
        <w:rPr>
          <w:lang w:val="lt-LT"/>
        </w:rPr>
        <w:t>Sestamibi</w:t>
      </w:r>
      <w:proofErr w:type="spellEnd"/>
      <w:r>
        <w:rPr>
          <w:lang w:val="lt-LT"/>
        </w:rPr>
        <w:t xml:space="preserve"> taip pat vartojamas krūties pakitimams diagnozuoti, kai naudojant kitus diagnostikos metodus gauti rezultatai nėra aiškūs.</w:t>
      </w:r>
      <w:r w:rsidRPr="001D1840">
        <w:rPr>
          <w:lang w:val="lt-LT"/>
        </w:rPr>
        <w:t xml:space="preserve"> </w:t>
      </w:r>
      <w:proofErr w:type="spellStart"/>
      <w:r>
        <w:rPr>
          <w:lang w:val="lt-LT"/>
        </w:rPr>
        <w:t>Technescan</w:t>
      </w:r>
      <w:proofErr w:type="spellEnd"/>
      <w:r>
        <w:rPr>
          <w:lang w:val="lt-LT"/>
        </w:rPr>
        <w:t xml:space="preserve"> </w:t>
      </w:r>
      <w:proofErr w:type="spellStart"/>
      <w:r>
        <w:rPr>
          <w:lang w:val="lt-LT"/>
        </w:rPr>
        <w:t>Sestamibi</w:t>
      </w:r>
      <w:proofErr w:type="spellEnd"/>
      <w:r>
        <w:rPr>
          <w:lang w:val="lt-LT"/>
        </w:rPr>
        <w:t xml:space="preserve"> taip pat gali būti vartojamas nustatyti pernelyg aktyvių </w:t>
      </w:r>
      <w:proofErr w:type="spellStart"/>
      <w:r>
        <w:rPr>
          <w:lang w:val="lt-LT"/>
        </w:rPr>
        <w:t>prieskydinių</w:t>
      </w:r>
      <w:proofErr w:type="spellEnd"/>
      <w:r>
        <w:rPr>
          <w:lang w:val="lt-LT"/>
        </w:rPr>
        <w:t xml:space="preserve"> liaukų (liaukų, išskiriančios hormoną, kuris kontroliuoja kalcio kiekį kraujyje).</w:t>
      </w:r>
    </w:p>
    <w:p w14:paraId="6152A736" w14:textId="77777777" w:rsidR="00B37A31" w:rsidRPr="00F71B8F" w:rsidRDefault="00B37A31" w:rsidP="00B37A31">
      <w:pPr>
        <w:rPr>
          <w:lang w:val="lt-LT"/>
        </w:rPr>
      </w:pPr>
    </w:p>
    <w:p w14:paraId="3AE5ADB1" w14:textId="77777777" w:rsidR="00B37A31" w:rsidRPr="001D1840" w:rsidRDefault="00B37A31" w:rsidP="00B37A31">
      <w:pPr>
        <w:rPr>
          <w:lang w:val="lt-LT"/>
        </w:rPr>
      </w:pPr>
      <w:r w:rsidRPr="00B024CB">
        <w:rPr>
          <w:lang w:val="lt-LT"/>
        </w:rPr>
        <w:t xml:space="preserve">Suleistas </w:t>
      </w:r>
      <w:proofErr w:type="spellStart"/>
      <w:r w:rsidRPr="00B024CB">
        <w:rPr>
          <w:lang w:val="lt-LT"/>
        </w:rPr>
        <w:t>Technescan</w:t>
      </w:r>
      <w:proofErr w:type="spellEnd"/>
      <w:r w:rsidRPr="00B024CB">
        <w:rPr>
          <w:lang w:val="lt-LT"/>
        </w:rPr>
        <w:t xml:space="preserve"> </w:t>
      </w:r>
      <w:proofErr w:type="spellStart"/>
      <w:r w:rsidRPr="00B024CB">
        <w:rPr>
          <w:lang w:val="lt-LT"/>
        </w:rPr>
        <w:t>Sestamibi</w:t>
      </w:r>
      <w:proofErr w:type="spellEnd"/>
      <w:r w:rsidRPr="00B024CB">
        <w:rPr>
          <w:lang w:val="lt-LT"/>
        </w:rPr>
        <w:t xml:space="preserve"> laikinai kaupiasi tam tikrose kūno dalyse. Šioje </w:t>
      </w:r>
      <w:proofErr w:type="spellStart"/>
      <w:r w:rsidRPr="00B024CB">
        <w:rPr>
          <w:lang w:val="lt-LT"/>
        </w:rPr>
        <w:t>radiofarmacinėje</w:t>
      </w:r>
      <w:proofErr w:type="spellEnd"/>
      <w:r w:rsidRPr="00B024CB">
        <w:rPr>
          <w:lang w:val="lt-LT"/>
        </w:rPr>
        <w:t xml:space="preserve"> medžiagoje yra nedidelis kiekis radioaktyvumo, kurį galima aptikti jūsų kūno išorėje naudojant specialias kameras. </w:t>
      </w:r>
      <w:r>
        <w:rPr>
          <w:lang w:val="lt-LT"/>
        </w:rPr>
        <w:t xml:space="preserve">Tada branduolinės medicinos gydytojas gaus atitinkamo organo vaizdą (atliks </w:t>
      </w:r>
      <w:proofErr w:type="spellStart"/>
      <w:r>
        <w:rPr>
          <w:lang w:val="lt-LT"/>
        </w:rPr>
        <w:t>scintigrafiją</w:t>
      </w:r>
      <w:proofErr w:type="spellEnd"/>
      <w:r>
        <w:rPr>
          <w:lang w:val="lt-LT"/>
        </w:rPr>
        <w:t>), kuris gali suteikti gydytojui vertingos informacijos apie šio organo struktūrą ir funkciją arba, pvz., naviko, vietą.</w:t>
      </w:r>
    </w:p>
    <w:p w14:paraId="1845286F" w14:textId="77777777" w:rsidR="00B37A31" w:rsidRDefault="00B37A31" w:rsidP="00B37A31">
      <w:pPr>
        <w:rPr>
          <w:lang w:val="lt-LT"/>
        </w:rPr>
      </w:pPr>
    </w:p>
    <w:p w14:paraId="302CE897" w14:textId="77777777" w:rsidR="00B37A31" w:rsidRPr="001D1840" w:rsidRDefault="00B37A31" w:rsidP="00B37A31">
      <w:pPr>
        <w:rPr>
          <w:lang w:val="lt-LT"/>
        </w:rPr>
      </w:pPr>
      <w:r>
        <w:rPr>
          <w:lang w:val="lt-LT"/>
        </w:rPr>
        <w:t xml:space="preserve">Naudojant </w:t>
      </w:r>
      <w:proofErr w:type="spellStart"/>
      <w:r>
        <w:rPr>
          <w:lang w:val="lt-LT"/>
        </w:rPr>
        <w:t>Technescan</w:t>
      </w:r>
      <w:proofErr w:type="spellEnd"/>
      <w:r>
        <w:rPr>
          <w:lang w:val="lt-LT"/>
        </w:rPr>
        <w:t xml:space="preserve"> </w:t>
      </w:r>
      <w:proofErr w:type="spellStart"/>
      <w:r>
        <w:rPr>
          <w:lang w:val="lt-LT"/>
        </w:rPr>
        <w:t>Sestamibi</w:t>
      </w:r>
      <w:proofErr w:type="spellEnd"/>
      <w:r>
        <w:rPr>
          <w:lang w:val="lt-LT"/>
        </w:rPr>
        <w:t>, Jus veikia nedidelis radioaktyvumas.</w:t>
      </w:r>
      <w:r w:rsidRPr="001D1840">
        <w:rPr>
          <w:lang w:val="lt-LT"/>
        </w:rPr>
        <w:t xml:space="preserve"> </w:t>
      </w:r>
      <w:r>
        <w:rPr>
          <w:lang w:val="lt-LT"/>
        </w:rPr>
        <w:t xml:space="preserve">Jūsų gydytojas ir branduolinės medicinos gydytojas nusprendė, kad procedūros su šiuo </w:t>
      </w:r>
      <w:proofErr w:type="spellStart"/>
      <w:r>
        <w:rPr>
          <w:lang w:val="lt-LT"/>
        </w:rPr>
        <w:t>radiofarmaciniu</w:t>
      </w:r>
      <w:proofErr w:type="spellEnd"/>
      <w:r>
        <w:rPr>
          <w:lang w:val="lt-LT"/>
        </w:rPr>
        <w:t xml:space="preserve"> preparatu klinikinė nauda Jums yra didesnė už spinduliuotės keliamą riziką.</w:t>
      </w:r>
    </w:p>
    <w:p w14:paraId="45E3C086" w14:textId="77777777" w:rsidR="00B37A31" w:rsidRPr="00B024CB" w:rsidRDefault="00B37A31" w:rsidP="00B37A31">
      <w:pPr>
        <w:rPr>
          <w:lang w:val="lt-LT"/>
        </w:rPr>
      </w:pPr>
    </w:p>
    <w:p w14:paraId="4D5D9C16" w14:textId="77777777" w:rsidR="00B37A31" w:rsidRPr="00B024CB" w:rsidRDefault="00B37A31" w:rsidP="00B37A31">
      <w:pPr>
        <w:rPr>
          <w:lang w:val="lt-LT"/>
        </w:rPr>
      </w:pPr>
    </w:p>
    <w:p w14:paraId="1B39D5CE" w14:textId="77777777" w:rsidR="00B37A31" w:rsidRPr="00B024CB" w:rsidRDefault="00B37A31" w:rsidP="00B37A31">
      <w:pPr>
        <w:rPr>
          <w:b/>
          <w:caps/>
          <w:lang w:val="lt-LT"/>
        </w:rPr>
      </w:pPr>
      <w:r w:rsidRPr="00B024CB">
        <w:rPr>
          <w:b/>
          <w:lang w:val="lt-LT"/>
        </w:rPr>
        <w:t>2.</w:t>
      </w:r>
      <w:r w:rsidRPr="00B024CB">
        <w:rPr>
          <w:b/>
          <w:lang w:val="lt-LT"/>
        </w:rPr>
        <w:tab/>
        <w:t>K</w:t>
      </w:r>
      <w:r>
        <w:rPr>
          <w:b/>
          <w:lang w:val="lt-LT"/>
        </w:rPr>
        <w:t xml:space="preserve">as žinotina prieš vartojant </w:t>
      </w:r>
      <w:proofErr w:type="spellStart"/>
      <w:r w:rsidRPr="00D0033F">
        <w:rPr>
          <w:b/>
          <w:lang w:val="lt-LT"/>
        </w:rPr>
        <w:t>Technescan</w:t>
      </w:r>
      <w:proofErr w:type="spellEnd"/>
      <w:r w:rsidRPr="00D0033F">
        <w:rPr>
          <w:b/>
          <w:lang w:val="lt-LT"/>
        </w:rPr>
        <w:t xml:space="preserve"> </w:t>
      </w:r>
      <w:proofErr w:type="spellStart"/>
      <w:r w:rsidRPr="00D0033F">
        <w:rPr>
          <w:b/>
          <w:lang w:val="lt-LT"/>
        </w:rPr>
        <w:t>Sestamibi</w:t>
      </w:r>
      <w:proofErr w:type="spellEnd"/>
    </w:p>
    <w:p w14:paraId="14CC0333" w14:textId="77777777" w:rsidR="00B37A31" w:rsidRPr="00B024CB" w:rsidRDefault="00B37A31" w:rsidP="00B37A31">
      <w:pPr>
        <w:rPr>
          <w:lang w:val="lt-LT"/>
        </w:rPr>
      </w:pPr>
    </w:p>
    <w:p w14:paraId="71A37A51" w14:textId="77777777" w:rsidR="00B37A31" w:rsidRPr="00B024CB" w:rsidRDefault="00B37A31" w:rsidP="00B37A31">
      <w:pPr>
        <w:numPr>
          <w:ilvl w:val="12"/>
          <w:numId w:val="0"/>
        </w:numPr>
        <w:outlineLvl w:val="0"/>
        <w:rPr>
          <w:b/>
          <w:lang w:val="lt-LT"/>
        </w:rPr>
      </w:pPr>
      <w:proofErr w:type="spellStart"/>
      <w:r w:rsidRPr="00B024CB">
        <w:rPr>
          <w:b/>
          <w:lang w:val="lt-LT"/>
        </w:rPr>
        <w:t>Technescan</w:t>
      </w:r>
      <w:proofErr w:type="spellEnd"/>
      <w:r w:rsidRPr="00B024CB">
        <w:rPr>
          <w:b/>
          <w:lang w:val="lt-LT"/>
        </w:rPr>
        <w:t xml:space="preserve"> </w:t>
      </w:r>
      <w:proofErr w:type="spellStart"/>
      <w:r w:rsidRPr="00B024CB">
        <w:rPr>
          <w:b/>
          <w:lang w:val="lt-LT"/>
        </w:rPr>
        <w:t>Sestamibi</w:t>
      </w:r>
      <w:proofErr w:type="spellEnd"/>
      <w:r w:rsidRPr="00B024CB">
        <w:rPr>
          <w:b/>
          <w:lang w:val="lt-LT"/>
        </w:rPr>
        <w:t xml:space="preserve"> </w:t>
      </w:r>
      <w:r>
        <w:rPr>
          <w:b/>
          <w:lang w:val="lt-LT"/>
        </w:rPr>
        <w:t>vartoti</w:t>
      </w:r>
      <w:r w:rsidRPr="00B024CB">
        <w:rPr>
          <w:b/>
          <w:lang w:val="lt-LT"/>
        </w:rPr>
        <w:t xml:space="preserve"> </w:t>
      </w:r>
      <w:r>
        <w:rPr>
          <w:b/>
          <w:bCs/>
          <w:lang w:val="lt-LT"/>
        </w:rPr>
        <w:t>draudžiama</w:t>
      </w:r>
    </w:p>
    <w:p w14:paraId="27985782" w14:textId="77777777" w:rsidR="00B37A31" w:rsidRDefault="00B37A31" w:rsidP="00B37A31">
      <w:pPr>
        <w:numPr>
          <w:ilvl w:val="12"/>
          <w:numId w:val="0"/>
        </w:numPr>
        <w:ind w:left="567" w:hanging="567"/>
        <w:rPr>
          <w:lang w:val="lt-LT"/>
        </w:rPr>
      </w:pPr>
      <w:r w:rsidRPr="00B024CB">
        <w:rPr>
          <w:lang w:val="lt-LT"/>
        </w:rPr>
        <w:t>-</w:t>
      </w:r>
      <w:r w:rsidRPr="00B024CB">
        <w:rPr>
          <w:lang w:val="lt-LT"/>
        </w:rPr>
        <w:tab/>
        <w:t xml:space="preserve">jeigu yra alergija </w:t>
      </w:r>
      <w:proofErr w:type="spellStart"/>
      <w:r>
        <w:rPr>
          <w:lang w:val="lt-LT"/>
        </w:rPr>
        <w:t>tetrakis</w:t>
      </w:r>
      <w:proofErr w:type="spellEnd"/>
      <w:r>
        <w:rPr>
          <w:lang w:val="lt-LT"/>
        </w:rPr>
        <w:t xml:space="preserve">(2-metoksi-2-metilpropil-1 </w:t>
      </w:r>
      <w:proofErr w:type="spellStart"/>
      <w:r>
        <w:rPr>
          <w:lang w:val="lt-LT"/>
        </w:rPr>
        <w:t>izocianido</w:t>
      </w:r>
      <w:proofErr w:type="spellEnd"/>
      <w:r>
        <w:rPr>
          <w:lang w:val="lt-LT"/>
        </w:rPr>
        <w:t xml:space="preserve">)vario(I)] </w:t>
      </w:r>
      <w:proofErr w:type="spellStart"/>
      <w:r>
        <w:rPr>
          <w:lang w:val="lt-LT"/>
        </w:rPr>
        <w:t>tetrafluoroboratui</w:t>
      </w:r>
      <w:proofErr w:type="spellEnd"/>
      <w:r>
        <w:rPr>
          <w:lang w:val="lt-LT"/>
        </w:rPr>
        <w:t xml:space="preserve"> </w:t>
      </w:r>
      <w:r w:rsidRPr="00B024CB">
        <w:rPr>
          <w:lang w:val="lt-LT"/>
        </w:rPr>
        <w:t xml:space="preserve">arba bet kuriai pagalbinei </w:t>
      </w:r>
      <w:r>
        <w:rPr>
          <w:lang w:val="lt-LT"/>
        </w:rPr>
        <w:t>šio vaisto</w:t>
      </w:r>
      <w:r w:rsidRPr="00B024CB">
        <w:rPr>
          <w:lang w:val="lt-LT"/>
        </w:rPr>
        <w:t xml:space="preserve"> medžiagai </w:t>
      </w:r>
      <w:r w:rsidRPr="00976D94">
        <w:rPr>
          <w:noProof/>
          <w:szCs w:val="24"/>
          <w:lang w:val="lt-LT"/>
        </w:rPr>
        <w:t>(jos išvardytos 6</w:t>
      </w:r>
      <w:r>
        <w:rPr>
          <w:noProof/>
          <w:szCs w:val="24"/>
          <w:lang w:val="lt-LT"/>
        </w:rPr>
        <w:t> </w:t>
      </w:r>
      <w:r w:rsidRPr="00976D94">
        <w:rPr>
          <w:noProof/>
          <w:szCs w:val="24"/>
          <w:lang w:val="lt-LT"/>
        </w:rPr>
        <w:t>skyriuje)</w:t>
      </w:r>
      <w:r w:rsidRPr="00B024CB">
        <w:rPr>
          <w:lang w:val="lt-LT"/>
        </w:rPr>
        <w:t>.</w:t>
      </w:r>
    </w:p>
    <w:p w14:paraId="1A61E73A" w14:textId="77777777" w:rsidR="00B37A31" w:rsidRPr="00B024CB" w:rsidRDefault="00B37A31" w:rsidP="00B37A31">
      <w:pPr>
        <w:numPr>
          <w:ilvl w:val="12"/>
          <w:numId w:val="0"/>
        </w:numPr>
        <w:ind w:left="567" w:hanging="567"/>
        <w:rPr>
          <w:lang w:val="lt-LT"/>
        </w:rPr>
      </w:pPr>
    </w:p>
    <w:p w14:paraId="38F05D1C" w14:textId="77777777" w:rsidR="00B37A31" w:rsidRPr="00B024CB" w:rsidRDefault="00B37A31" w:rsidP="00B37A31">
      <w:pPr>
        <w:rPr>
          <w:b/>
          <w:lang w:val="lt-LT"/>
        </w:rPr>
      </w:pPr>
      <w:r w:rsidRPr="00B024CB">
        <w:rPr>
          <w:b/>
          <w:lang w:val="lt-LT"/>
        </w:rPr>
        <w:t>Įspėjimai ir atsargumo priemonės</w:t>
      </w:r>
    </w:p>
    <w:p w14:paraId="7830C81F" w14:textId="77777777" w:rsidR="00B37A31" w:rsidRPr="00F71B8F" w:rsidRDefault="00B37A31" w:rsidP="00B37A31">
      <w:pPr>
        <w:keepNext/>
        <w:numPr>
          <w:ilvl w:val="12"/>
          <w:numId w:val="0"/>
        </w:numPr>
        <w:outlineLvl w:val="0"/>
        <w:rPr>
          <w:lang w:val="lt-LT"/>
        </w:rPr>
      </w:pPr>
      <w:r w:rsidRPr="00F71B8F">
        <w:rPr>
          <w:lang w:val="lt-LT"/>
        </w:rPr>
        <w:t>Specialių atsargumo priemonių reikia</w:t>
      </w:r>
    </w:p>
    <w:p w14:paraId="027A3C03" w14:textId="77777777" w:rsidR="00B37A31" w:rsidRDefault="00B37A31" w:rsidP="00B37A31">
      <w:pPr>
        <w:numPr>
          <w:ilvl w:val="12"/>
          <w:numId w:val="0"/>
        </w:numPr>
        <w:ind w:left="567" w:hanging="567"/>
        <w:rPr>
          <w:lang w:val="lt-LT"/>
        </w:rPr>
      </w:pPr>
      <w:r w:rsidRPr="00B024CB">
        <w:rPr>
          <w:lang w:val="lt-LT"/>
        </w:rPr>
        <w:t>-</w:t>
      </w:r>
      <w:r w:rsidRPr="00B024CB">
        <w:rPr>
          <w:lang w:val="lt-LT"/>
        </w:rPr>
        <w:tab/>
      </w:r>
      <w:r>
        <w:rPr>
          <w:lang w:val="lt-LT"/>
        </w:rPr>
        <w:t>jeigu esate nėščia arba manote, kad galbūt esate nėščia;</w:t>
      </w:r>
    </w:p>
    <w:p w14:paraId="265CDE30" w14:textId="77777777" w:rsidR="00B37A31" w:rsidRDefault="00B37A31" w:rsidP="00B37A31">
      <w:pPr>
        <w:numPr>
          <w:ilvl w:val="12"/>
          <w:numId w:val="0"/>
        </w:numPr>
        <w:ind w:left="567" w:hanging="567"/>
        <w:rPr>
          <w:lang w:val="lt-LT"/>
        </w:rPr>
      </w:pPr>
      <w:r>
        <w:rPr>
          <w:lang w:val="lt-LT"/>
        </w:rPr>
        <w:lastRenderedPageBreak/>
        <w:t>-</w:t>
      </w:r>
      <w:r>
        <w:rPr>
          <w:lang w:val="lt-LT"/>
        </w:rPr>
        <w:tab/>
        <w:t>jeigu žindote kūdikį;</w:t>
      </w:r>
    </w:p>
    <w:p w14:paraId="53C49987" w14:textId="77777777" w:rsidR="00B37A31" w:rsidRDefault="00B37A31" w:rsidP="00B37A31">
      <w:pPr>
        <w:numPr>
          <w:ilvl w:val="12"/>
          <w:numId w:val="0"/>
        </w:numPr>
        <w:ind w:left="567" w:hanging="567"/>
        <w:rPr>
          <w:lang w:val="lt-LT"/>
        </w:rPr>
      </w:pPr>
      <w:r>
        <w:rPr>
          <w:lang w:val="lt-LT"/>
        </w:rPr>
        <w:t>-</w:t>
      </w:r>
      <w:r>
        <w:rPr>
          <w:lang w:val="lt-LT"/>
        </w:rPr>
        <w:tab/>
      </w:r>
      <w:r w:rsidRPr="00B024CB">
        <w:rPr>
          <w:lang w:val="lt-LT"/>
        </w:rPr>
        <w:t xml:space="preserve">jeigu Jūs sergate inkstų </w:t>
      </w:r>
      <w:r>
        <w:rPr>
          <w:lang w:val="lt-LT"/>
        </w:rPr>
        <w:t xml:space="preserve">ar </w:t>
      </w:r>
      <w:r w:rsidRPr="00B024CB">
        <w:rPr>
          <w:lang w:val="lt-LT"/>
        </w:rPr>
        <w:t>kepenų</w:t>
      </w:r>
      <w:r>
        <w:rPr>
          <w:lang w:val="lt-LT"/>
        </w:rPr>
        <w:t xml:space="preserve"> </w:t>
      </w:r>
      <w:r w:rsidRPr="00B024CB">
        <w:rPr>
          <w:lang w:val="lt-LT"/>
        </w:rPr>
        <w:t>liga</w:t>
      </w:r>
      <w:r>
        <w:rPr>
          <w:lang w:val="lt-LT"/>
        </w:rPr>
        <w:t>;</w:t>
      </w:r>
    </w:p>
    <w:p w14:paraId="3842A277" w14:textId="77777777" w:rsidR="00B37A31" w:rsidRDefault="00B37A31" w:rsidP="00B37A31">
      <w:pPr>
        <w:numPr>
          <w:ilvl w:val="12"/>
          <w:numId w:val="0"/>
        </w:numPr>
        <w:ind w:left="567" w:hanging="567"/>
        <w:rPr>
          <w:lang w:val="lt-LT"/>
        </w:rPr>
      </w:pPr>
      <w:r>
        <w:rPr>
          <w:lang w:val="lt-LT"/>
        </w:rPr>
        <w:t>-</w:t>
      </w:r>
      <w:r>
        <w:rPr>
          <w:lang w:val="lt-LT"/>
        </w:rPr>
        <w:tab/>
      </w:r>
      <w:r w:rsidRPr="004A661E">
        <w:rPr>
          <w:lang w:val="lt-LT"/>
        </w:rPr>
        <w:t>jei Jums yra širdies ritmo sutrikimų, skausmas krūtinėje, kai fizinio krūvio metu Jūsų širdis dirba sunkiausiai, ir Jums reikia atlikti fizinio krūvio testą.</w:t>
      </w:r>
    </w:p>
    <w:p w14:paraId="6F5F8193" w14:textId="77777777" w:rsidR="00B37A31" w:rsidRPr="00B024CB" w:rsidRDefault="00B37A31" w:rsidP="00B37A31">
      <w:pPr>
        <w:numPr>
          <w:ilvl w:val="12"/>
          <w:numId w:val="0"/>
        </w:numPr>
        <w:ind w:left="567" w:hanging="567"/>
        <w:rPr>
          <w:lang w:val="lt-LT"/>
        </w:rPr>
      </w:pPr>
    </w:p>
    <w:p w14:paraId="3DFAD625" w14:textId="77777777" w:rsidR="00B37A31" w:rsidRPr="00B024CB" w:rsidRDefault="00B37A31" w:rsidP="00B37A31">
      <w:pPr>
        <w:rPr>
          <w:lang w:val="lt-LT"/>
        </w:rPr>
      </w:pPr>
      <w:r>
        <w:rPr>
          <w:lang w:val="lt-LT"/>
        </w:rPr>
        <w:t>Jeigu Jums tinka šie punktai, turite pasakyti branduolinės medicinos gydytojui. Branduolinės medicinos g</w:t>
      </w:r>
      <w:r w:rsidRPr="00B024CB">
        <w:rPr>
          <w:lang w:val="lt-LT"/>
        </w:rPr>
        <w:t xml:space="preserve">ydytojas jus informuos, jei po šio vaisto vartojimo reikės laikytis specialių atsargumo priemonių. Jei turite kokių nors klausimų, </w:t>
      </w:r>
      <w:r>
        <w:rPr>
          <w:lang w:val="lt-LT"/>
        </w:rPr>
        <w:t>pasitarkite</w:t>
      </w:r>
      <w:r w:rsidRPr="00B024CB">
        <w:rPr>
          <w:lang w:val="lt-LT"/>
        </w:rPr>
        <w:t xml:space="preserve"> su</w:t>
      </w:r>
      <w:r>
        <w:rPr>
          <w:lang w:val="lt-LT"/>
        </w:rPr>
        <w:t xml:space="preserve"> branduolinės medicinos</w:t>
      </w:r>
      <w:r w:rsidRPr="00B024CB">
        <w:rPr>
          <w:lang w:val="lt-LT"/>
        </w:rPr>
        <w:t xml:space="preserve"> gydytoju.</w:t>
      </w:r>
    </w:p>
    <w:p w14:paraId="5AF61917" w14:textId="77777777" w:rsidR="00B37A31" w:rsidRPr="00B024CB" w:rsidRDefault="00B37A31" w:rsidP="00B37A31">
      <w:pPr>
        <w:rPr>
          <w:lang w:val="lt-LT"/>
        </w:rPr>
      </w:pPr>
    </w:p>
    <w:p w14:paraId="2E2D646B" w14:textId="77777777" w:rsidR="00B37A31" w:rsidRPr="001D1840" w:rsidRDefault="00B37A31" w:rsidP="00B37A31">
      <w:pPr>
        <w:rPr>
          <w:lang w:val="lt-LT"/>
        </w:rPr>
      </w:pPr>
      <w:r>
        <w:rPr>
          <w:b/>
          <w:lang w:val="lt-LT"/>
        </w:rPr>
        <w:t xml:space="preserve">Prieš vartodami </w:t>
      </w:r>
      <w:proofErr w:type="spellStart"/>
      <w:r>
        <w:rPr>
          <w:b/>
          <w:lang w:val="lt-LT"/>
        </w:rPr>
        <w:t>Technescan</w:t>
      </w:r>
      <w:proofErr w:type="spellEnd"/>
      <w:r>
        <w:rPr>
          <w:b/>
          <w:lang w:val="lt-LT"/>
        </w:rPr>
        <w:t xml:space="preserve"> </w:t>
      </w:r>
      <w:proofErr w:type="spellStart"/>
      <w:r>
        <w:rPr>
          <w:b/>
          <w:lang w:val="lt-LT"/>
        </w:rPr>
        <w:t>Sestamibi</w:t>
      </w:r>
      <w:proofErr w:type="spellEnd"/>
      <w:r>
        <w:rPr>
          <w:b/>
          <w:lang w:val="lt-LT"/>
        </w:rPr>
        <w:t>, turite</w:t>
      </w:r>
    </w:p>
    <w:p w14:paraId="1E722747" w14:textId="77777777" w:rsidR="00B37A31" w:rsidRPr="001D1840" w:rsidRDefault="00B37A31" w:rsidP="00B37A31">
      <w:pPr>
        <w:rPr>
          <w:lang w:val="lt-LT"/>
        </w:rPr>
      </w:pPr>
      <w:r w:rsidRPr="001D1840">
        <w:rPr>
          <w:lang w:val="lt-LT"/>
        </w:rPr>
        <w:t>-</w:t>
      </w:r>
      <w:r w:rsidRPr="001D1840">
        <w:rPr>
          <w:lang w:val="lt-LT"/>
        </w:rPr>
        <w:tab/>
      </w:r>
      <w:r>
        <w:rPr>
          <w:lang w:val="lt-LT"/>
        </w:rPr>
        <w:t>būti nevalgę bent 4 valandas, jei preparatas bus vartojamas Jūsų širdies skenavimui atlikti;</w:t>
      </w:r>
    </w:p>
    <w:p w14:paraId="1C59906F" w14:textId="77777777" w:rsidR="00B37A31" w:rsidRPr="001D1840" w:rsidRDefault="00B37A31" w:rsidP="00B37A31">
      <w:pPr>
        <w:ind w:left="567" w:hanging="567"/>
        <w:rPr>
          <w:lang w:val="lt-LT"/>
        </w:rPr>
      </w:pPr>
      <w:r w:rsidRPr="001D1840">
        <w:rPr>
          <w:lang w:val="lt-LT"/>
        </w:rPr>
        <w:t>-</w:t>
      </w:r>
      <w:r w:rsidRPr="001D1840">
        <w:rPr>
          <w:lang w:val="lt-LT"/>
        </w:rPr>
        <w:tab/>
      </w:r>
      <w:r>
        <w:rPr>
          <w:lang w:val="lt-LT"/>
        </w:rPr>
        <w:t>prieš pradedant tyrimą gerti daug vandens, kad pirmąsias valandas po tyrimo kiek galima dažniau šlapintumėtės.</w:t>
      </w:r>
    </w:p>
    <w:p w14:paraId="3306AA4C" w14:textId="77777777" w:rsidR="00B37A31" w:rsidRPr="001D1840" w:rsidRDefault="00B37A31" w:rsidP="00B37A31">
      <w:pPr>
        <w:rPr>
          <w:lang w:val="lt-LT"/>
        </w:rPr>
      </w:pPr>
    </w:p>
    <w:p w14:paraId="21BFF363" w14:textId="77777777" w:rsidR="00B37A31" w:rsidRPr="001D1840" w:rsidRDefault="00B37A31" w:rsidP="00B37A31">
      <w:pPr>
        <w:rPr>
          <w:lang w:val="lt-LT"/>
        </w:rPr>
      </w:pPr>
      <w:r>
        <w:rPr>
          <w:b/>
          <w:lang w:val="lt-LT"/>
        </w:rPr>
        <w:t>Vaikams ir paaugliams</w:t>
      </w:r>
    </w:p>
    <w:p w14:paraId="5BE8E545" w14:textId="77777777" w:rsidR="00B37A31" w:rsidRPr="001D1840" w:rsidRDefault="00B37A31" w:rsidP="00B37A31">
      <w:pPr>
        <w:rPr>
          <w:lang w:val="lt-LT"/>
        </w:rPr>
      </w:pPr>
      <w:r>
        <w:rPr>
          <w:lang w:val="lt-LT"/>
        </w:rPr>
        <w:t>Jeigu Jums yra mažiau nei 18 metų, pasitarkite su gydytoju.</w:t>
      </w:r>
    </w:p>
    <w:p w14:paraId="10B06CC6" w14:textId="77777777" w:rsidR="00B37A31" w:rsidRPr="001D1840" w:rsidRDefault="00B37A31" w:rsidP="00B37A31">
      <w:pPr>
        <w:rPr>
          <w:lang w:val="lt-LT"/>
        </w:rPr>
      </w:pPr>
    </w:p>
    <w:p w14:paraId="5B49A033" w14:textId="77777777" w:rsidR="00B37A31" w:rsidRPr="001D1840" w:rsidRDefault="00B37A31" w:rsidP="00B37A31">
      <w:pPr>
        <w:rPr>
          <w:lang w:val="lt-LT"/>
        </w:rPr>
      </w:pPr>
      <w:r>
        <w:rPr>
          <w:b/>
          <w:lang w:val="lt-LT"/>
        </w:rPr>
        <w:t>Kiti vaistai ir</w:t>
      </w:r>
      <w:r w:rsidRPr="00F71B8F">
        <w:rPr>
          <w:b/>
          <w:lang w:val="lt-LT"/>
        </w:rPr>
        <w:t xml:space="preserve"> </w:t>
      </w:r>
      <w:proofErr w:type="spellStart"/>
      <w:r>
        <w:rPr>
          <w:b/>
          <w:lang w:val="lt-LT"/>
        </w:rPr>
        <w:t>Technescan</w:t>
      </w:r>
      <w:proofErr w:type="spellEnd"/>
      <w:r>
        <w:rPr>
          <w:b/>
          <w:lang w:val="lt-LT"/>
        </w:rPr>
        <w:t xml:space="preserve"> </w:t>
      </w:r>
      <w:proofErr w:type="spellStart"/>
      <w:r>
        <w:rPr>
          <w:b/>
          <w:lang w:val="lt-LT"/>
        </w:rPr>
        <w:t>Sestamibi</w:t>
      </w:r>
      <w:proofErr w:type="spellEnd"/>
    </w:p>
    <w:p w14:paraId="3293AE2D" w14:textId="77777777" w:rsidR="00B37A31" w:rsidRPr="001D1840" w:rsidRDefault="00B37A31" w:rsidP="00B37A31">
      <w:pPr>
        <w:rPr>
          <w:lang w:val="lt-LT"/>
        </w:rPr>
      </w:pPr>
      <w:r>
        <w:rPr>
          <w:lang w:val="lt-LT"/>
        </w:rPr>
        <w:t>Daugelis vaistų, maisto produktų ir gėrimų gali neigiamai veikti planuoto tyrimo rezultatus.</w:t>
      </w:r>
      <w:r w:rsidRPr="001D1840">
        <w:rPr>
          <w:lang w:val="lt-LT"/>
        </w:rPr>
        <w:t xml:space="preserve"> </w:t>
      </w:r>
      <w:r>
        <w:rPr>
          <w:lang w:val="lt-LT"/>
        </w:rPr>
        <w:t>Todėl rekomenduojama aptarti su nukreipiančiu gydytoju, ko prieš pradedant tyrimą reikia nebevartoti ir kada vėl reikės pradėti vaistus vartoti.</w:t>
      </w:r>
      <w:r w:rsidRPr="001D1840">
        <w:rPr>
          <w:lang w:val="lt-LT"/>
        </w:rPr>
        <w:t xml:space="preserve"> </w:t>
      </w:r>
      <w:r>
        <w:rPr>
          <w:lang w:val="lt-LT"/>
        </w:rPr>
        <w:t>Jeigu vartojate ar neseniai vartojote kitų vaistų arba dėl to nesate tikri, apie tai taip pat pasakykite branduolinės medicinos gydytojui, nes jie gali trukdyti interpretuoti vaizdus:</w:t>
      </w:r>
    </w:p>
    <w:p w14:paraId="668DD288" w14:textId="77777777" w:rsidR="00B37A31" w:rsidRDefault="00B37A31" w:rsidP="00B37A31">
      <w:pPr>
        <w:rPr>
          <w:lang w:val="lt-LT"/>
        </w:rPr>
      </w:pPr>
      <w:r>
        <w:rPr>
          <w:lang w:val="lt-LT"/>
        </w:rPr>
        <w:t>Ypač svarbu apie tai pasakyti branduolinės medicinos gydytojui, jeigu vartojate:</w:t>
      </w:r>
    </w:p>
    <w:p w14:paraId="69D2919B" w14:textId="77777777" w:rsidR="00B37A31" w:rsidRDefault="00B37A31" w:rsidP="00B37A31">
      <w:pPr>
        <w:rPr>
          <w:lang w:val="lt-LT"/>
        </w:rPr>
      </w:pPr>
      <w:r>
        <w:rPr>
          <w:lang w:val="lt-LT"/>
        </w:rPr>
        <w:t>- vaistus, veikiančius širdies veiklą ir (arba) kraujotaką;</w:t>
      </w:r>
    </w:p>
    <w:p w14:paraId="4E28DE38" w14:textId="77777777" w:rsidR="00B37A31" w:rsidRDefault="00B37A31" w:rsidP="00B37A31">
      <w:pPr>
        <w:rPr>
          <w:lang w:val="lt-LT"/>
        </w:rPr>
      </w:pPr>
      <w:r>
        <w:rPr>
          <w:lang w:val="lt-LT"/>
        </w:rPr>
        <w:t xml:space="preserve">- vaistus, vadinamus protonų siurblio inhibitoriais. Jie vartojami skrandžio rūgšties gamybai mažinti. Tai gali būti </w:t>
      </w:r>
      <w:proofErr w:type="spellStart"/>
      <w:r w:rsidRPr="00000333">
        <w:rPr>
          <w:lang w:val="lt-LT"/>
        </w:rPr>
        <w:t>omeprazol</w:t>
      </w:r>
      <w:r>
        <w:rPr>
          <w:lang w:val="lt-LT"/>
        </w:rPr>
        <w:t>a</w:t>
      </w:r>
      <w:r w:rsidRPr="00000333">
        <w:rPr>
          <w:lang w:val="lt-LT"/>
        </w:rPr>
        <w:t>s</w:t>
      </w:r>
      <w:proofErr w:type="spellEnd"/>
      <w:r w:rsidRPr="00000333">
        <w:rPr>
          <w:lang w:val="lt-LT"/>
        </w:rPr>
        <w:t xml:space="preserve">, </w:t>
      </w:r>
      <w:proofErr w:type="spellStart"/>
      <w:r w:rsidRPr="00000333">
        <w:rPr>
          <w:lang w:val="lt-LT"/>
        </w:rPr>
        <w:t>esomeprazol</w:t>
      </w:r>
      <w:r>
        <w:rPr>
          <w:lang w:val="lt-LT"/>
        </w:rPr>
        <w:t>a</w:t>
      </w:r>
      <w:r w:rsidRPr="00000333">
        <w:rPr>
          <w:lang w:val="lt-LT"/>
        </w:rPr>
        <w:t>s</w:t>
      </w:r>
      <w:proofErr w:type="spellEnd"/>
      <w:r w:rsidRPr="00000333">
        <w:rPr>
          <w:lang w:val="lt-LT"/>
        </w:rPr>
        <w:t xml:space="preserve">, </w:t>
      </w:r>
      <w:proofErr w:type="spellStart"/>
      <w:r w:rsidRPr="00000333">
        <w:rPr>
          <w:lang w:val="lt-LT"/>
        </w:rPr>
        <w:t>lansoprazol</w:t>
      </w:r>
      <w:r>
        <w:rPr>
          <w:lang w:val="lt-LT"/>
        </w:rPr>
        <w:t>a</w:t>
      </w:r>
      <w:r w:rsidRPr="00000333">
        <w:rPr>
          <w:lang w:val="lt-LT"/>
        </w:rPr>
        <w:t>s</w:t>
      </w:r>
      <w:proofErr w:type="spellEnd"/>
      <w:r w:rsidRPr="00000333">
        <w:rPr>
          <w:lang w:val="lt-LT"/>
        </w:rPr>
        <w:t xml:space="preserve">, </w:t>
      </w:r>
      <w:proofErr w:type="spellStart"/>
      <w:r w:rsidRPr="00000333">
        <w:rPr>
          <w:lang w:val="lt-LT"/>
        </w:rPr>
        <w:t>rabeprazol</w:t>
      </w:r>
      <w:r>
        <w:rPr>
          <w:lang w:val="lt-LT"/>
        </w:rPr>
        <w:t>a</w:t>
      </w:r>
      <w:r w:rsidRPr="00000333">
        <w:rPr>
          <w:lang w:val="lt-LT"/>
        </w:rPr>
        <w:t>s</w:t>
      </w:r>
      <w:proofErr w:type="spellEnd"/>
      <w:r w:rsidRPr="00000333">
        <w:rPr>
          <w:lang w:val="lt-LT"/>
        </w:rPr>
        <w:t xml:space="preserve">, </w:t>
      </w:r>
      <w:proofErr w:type="spellStart"/>
      <w:r w:rsidRPr="00000333">
        <w:rPr>
          <w:lang w:val="lt-LT"/>
        </w:rPr>
        <w:t>pantoprazol</w:t>
      </w:r>
      <w:r>
        <w:rPr>
          <w:lang w:val="lt-LT"/>
        </w:rPr>
        <w:t>a</w:t>
      </w:r>
      <w:r w:rsidRPr="00000333">
        <w:rPr>
          <w:lang w:val="lt-LT"/>
        </w:rPr>
        <w:t>s</w:t>
      </w:r>
      <w:proofErr w:type="spellEnd"/>
      <w:r w:rsidRPr="00000333">
        <w:rPr>
          <w:lang w:val="lt-LT"/>
        </w:rPr>
        <w:t xml:space="preserve">, </w:t>
      </w:r>
      <w:proofErr w:type="spellStart"/>
      <w:r w:rsidRPr="00000333">
        <w:rPr>
          <w:lang w:val="lt-LT"/>
        </w:rPr>
        <w:t>dekslansoprazol</w:t>
      </w:r>
      <w:r>
        <w:rPr>
          <w:lang w:val="lt-LT"/>
        </w:rPr>
        <w:t>a</w:t>
      </w:r>
      <w:r w:rsidRPr="00000333">
        <w:rPr>
          <w:lang w:val="lt-LT"/>
        </w:rPr>
        <w:t>s</w:t>
      </w:r>
      <w:proofErr w:type="spellEnd"/>
      <w:r w:rsidRPr="00000333">
        <w:rPr>
          <w:lang w:val="lt-LT"/>
        </w:rPr>
        <w:t>.</w:t>
      </w:r>
    </w:p>
    <w:p w14:paraId="10E1EE4D" w14:textId="77777777" w:rsidR="00B37A31" w:rsidRPr="001D1840" w:rsidRDefault="00B37A31" w:rsidP="00B37A31">
      <w:pPr>
        <w:rPr>
          <w:lang w:val="lt-LT"/>
        </w:rPr>
      </w:pPr>
    </w:p>
    <w:p w14:paraId="467FBF49" w14:textId="77777777" w:rsidR="00B37A31" w:rsidRPr="001D1840" w:rsidRDefault="00B37A31" w:rsidP="00B37A31">
      <w:pPr>
        <w:rPr>
          <w:lang w:val="lt-LT"/>
        </w:rPr>
      </w:pPr>
      <w:r>
        <w:rPr>
          <w:lang w:val="lt-LT"/>
        </w:rPr>
        <w:t>Prieš pradėdama vartoti bet kokius vaistus, pasitarkite su branduolinės medicinos gydytoju.</w:t>
      </w:r>
    </w:p>
    <w:p w14:paraId="2DDA4004" w14:textId="77777777" w:rsidR="00B37A31" w:rsidRPr="00B024CB" w:rsidRDefault="00B37A31" w:rsidP="00B37A31">
      <w:pPr>
        <w:rPr>
          <w:lang w:val="lt-LT"/>
        </w:rPr>
      </w:pPr>
    </w:p>
    <w:p w14:paraId="28D6B3E5" w14:textId="77777777" w:rsidR="00B37A31" w:rsidRPr="00B024CB" w:rsidRDefault="00B37A31" w:rsidP="00B37A31">
      <w:pPr>
        <w:numPr>
          <w:ilvl w:val="12"/>
          <w:numId w:val="0"/>
        </w:numPr>
        <w:outlineLvl w:val="0"/>
        <w:rPr>
          <w:b/>
          <w:lang w:val="lt-LT"/>
        </w:rPr>
      </w:pPr>
      <w:r w:rsidRPr="00B024CB">
        <w:rPr>
          <w:b/>
          <w:lang w:val="lt-LT"/>
        </w:rPr>
        <w:t>Nėštumas ir žindymo laikotarpis</w:t>
      </w:r>
    </w:p>
    <w:p w14:paraId="4FC014E2" w14:textId="77777777" w:rsidR="00B37A31" w:rsidRPr="001D1840" w:rsidRDefault="00B37A31" w:rsidP="00B37A31">
      <w:pPr>
        <w:rPr>
          <w:lang w:val="lt-LT"/>
        </w:rPr>
      </w:pPr>
      <w:r>
        <w:rPr>
          <w:lang w:val="lt-LT"/>
        </w:rPr>
        <w:t xml:space="preserve">Jeigu yra galimybė, kad galite būti nėščia, jeigu Jums nebuvo eilinių mėnesinių arba jeigu žindote kūdikį, tai prieš vartodama </w:t>
      </w:r>
      <w:proofErr w:type="spellStart"/>
      <w:r>
        <w:rPr>
          <w:lang w:val="lt-LT"/>
        </w:rPr>
        <w:t>Technescan</w:t>
      </w:r>
      <w:proofErr w:type="spellEnd"/>
      <w:r>
        <w:rPr>
          <w:lang w:val="lt-LT"/>
        </w:rPr>
        <w:t xml:space="preserve"> </w:t>
      </w:r>
      <w:proofErr w:type="spellStart"/>
      <w:r>
        <w:rPr>
          <w:lang w:val="lt-LT"/>
        </w:rPr>
        <w:t>Sestamibi</w:t>
      </w:r>
      <w:proofErr w:type="spellEnd"/>
      <w:r>
        <w:rPr>
          <w:lang w:val="lt-LT"/>
        </w:rPr>
        <w:t>, turite informuoti branduolinės medicinos gydytoją.</w:t>
      </w:r>
      <w:r w:rsidRPr="001D1840">
        <w:rPr>
          <w:lang w:val="lt-LT"/>
        </w:rPr>
        <w:t xml:space="preserve"> </w:t>
      </w:r>
      <w:r>
        <w:rPr>
          <w:lang w:val="lt-LT"/>
        </w:rPr>
        <w:t>Jeigu abejojate, svarbu pasitarti su branduolinės medicinos gydytoju, prižiūrinčiu procedūrą.</w:t>
      </w:r>
    </w:p>
    <w:p w14:paraId="16EE00E4" w14:textId="77777777" w:rsidR="00B37A31" w:rsidRPr="001D1840" w:rsidRDefault="00B37A31" w:rsidP="00B37A31">
      <w:pPr>
        <w:rPr>
          <w:lang w:val="lt-LT"/>
        </w:rPr>
      </w:pPr>
    </w:p>
    <w:p w14:paraId="43A4D5B0" w14:textId="77777777" w:rsidR="00B37A31" w:rsidRDefault="00B37A31" w:rsidP="00B37A31">
      <w:pPr>
        <w:rPr>
          <w:lang w:val="lt-LT"/>
        </w:rPr>
      </w:pPr>
      <w:r>
        <w:rPr>
          <w:lang w:val="lt-LT"/>
        </w:rPr>
        <w:t>Jeigu esate nėščia,</w:t>
      </w:r>
    </w:p>
    <w:p w14:paraId="25A696E2" w14:textId="77777777" w:rsidR="00B37A31" w:rsidRPr="001D1840" w:rsidRDefault="00B37A31" w:rsidP="00B37A31">
      <w:pPr>
        <w:rPr>
          <w:lang w:val="lt-LT"/>
        </w:rPr>
      </w:pPr>
      <w:r>
        <w:rPr>
          <w:lang w:val="lt-LT"/>
        </w:rPr>
        <w:t>branduolinės medicinos gydytojas paskirs šį preparatą nėštumo metu tik tuo atveju, kai nauda, kurios tikimasi, bus svaresnė už galimą riziką.</w:t>
      </w:r>
    </w:p>
    <w:p w14:paraId="02F71CB2" w14:textId="77777777" w:rsidR="00B37A31" w:rsidRPr="00B024CB" w:rsidRDefault="00B37A31" w:rsidP="00B37A31">
      <w:pPr>
        <w:rPr>
          <w:lang w:val="lt-LT"/>
        </w:rPr>
      </w:pPr>
    </w:p>
    <w:p w14:paraId="5D147BCE" w14:textId="77777777" w:rsidR="00B37A31" w:rsidRDefault="00B37A31" w:rsidP="00B37A31">
      <w:pPr>
        <w:rPr>
          <w:lang w:val="lt-LT"/>
        </w:rPr>
      </w:pPr>
      <w:r w:rsidRPr="00B024CB">
        <w:rPr>
          <w:lang w:val="lt-LT"/>
        </w:rPr>
        <w:t>Jei žindote</w:t>
      </w:r>
      <w:r>
        <w:rPr>
          <w:lang w:val="lt-LT"/>
        </w:rPr>
        <w:t xml:space="preserve"> kūdikį</w:t>
      </w:r>
      <w:r w:rsidRPr="00B024CB">
        <w:rPr>
          <w:lang w:val="lt-LT"/>
        </w:rPr>
        <w:t>,</w:t>
      </w:r>
    </w:p>
    <w:p w14:paraId="75DE6EF1" w14:textId="77777777" w:rsidR="00B37A31" w:rsidRPr="001D1840" w:rsidRDefault="00B37A31" w:rsidP="00B37A31">
      <w:pPr>
        <w:rPr>
          <w:lang w:val="lt-LT"/>
        </w:rPr>
      </w:pPr>
      <w:r w:rsidRPr="00B024CB">
        <w:rPr>
          <w:lang w:val="lt-LT"/>
        </w:rPr>
        <w:t xml:space="preserve">pasakykite apie tai </w:t>
      </w:r>
      <w:r>
        <w:rPr>
          <w:lang w:val="lt-LT"/>
        </w:rPr>
        <w:t xml:space="preserve">branduolinės medicinos </w:t>
      </w:r>
      <w:r w:rsidRPr="00B024CB">
        <w:rPr>
          <w:lang w:val="lt-LT"/>
        </w:rPr>
        <w:t>gydytojui, nes jis jums patar</w:t>
      </w:r>
      <w:r>
        <w:rPr>
          <w:lang w:val="lt-LT"/>
        </w:rPr>
        <w:t>s</w:t>
      </w:r>
      <w:r w:rsidRPr="00B024CB">
        <w:rPr>
          <w:lang w:val="lt-LT"/>
        </w:rPr>
        <w:t xml:space="preserve"> nutraukti žindymą iki to laiko, kol jūsų organizme bus likę radioaktyvumo. Tai užtrunka apie 24 valandas. Nutrauktą pieną reikia išmesti.</w:t>
      </w:r>
      <w:r>
        <w:rPr>
          <w:lang w:val="lt-LT"/>
        </w:rPr>
        <w:t xml:space="preserve"> Pasitarkite su branduolinės medicinos gydytoju, kada vėl galėsite žindyti kūdikį.</w:t>
      </w:r>
    </w:p>
    <w:p w14:paraId="715313FA" w14:textId="77777777" w:rsidR="00B37A31" w:rsidRPr="001D1840" w:rsidRDefault="00B37A31" w:rsidP="00B37A31">
      <w:pPr>
        <w:rPr>
          <w:lang w:val="lt-LT"/>
        </w:rPr>
      </w:pPr>
    </w:p>
    <w:p w14:paraId="1B32448D" w14:textId="77777777" w:rsidR="00B37A31" w:rsidRPr="001D1840" w:rsidRDefault="00B37A31" w:rsidP="00B37A31">
      <w:pPr>
        <w:rPr>
          <w:lang w:val="lt-LT"/>
        </w:rPr>
      </w:pPr>
      <w:r>
        <w:rPr>
          <w:lang w:val="lt-LT"/>
        </w:rPr>
        <w:t>Jeigu esate nėščia, žindote kūdikį, manote, kad galbūt esate nėščia arba planuojate pastoti, tai prieš vartodama šį vaistą pasitarkite su branduolinės medicinos gydytoju.</w:t>
      </w:r>
    </w:p>
    <w:p w14:paraId="727C89E5" w14:textId="77777777" w:rsidR="00B37A31" w:rsidRPr="00B024CB" w:rsidRDefault="00B37A31" w:rsidP="00B37A31">
      <w:pPr>
        <w:rPr>
          <w:lang w:val="lt-LT"/>
        </w:rPr>
      </w:pPr>
    </w:p>
    <w:p w14:paraId="2EC30AA2" w14:textId="77777777" w:rsidR="00B37A31" w:rsidRPr="00B024CB" w:rsidRDefault="00B37A31" w:rsidP="00B37A31">
      <w:pPr>
        <w:numPr>
          <w:ilvl w:val="12"/>
          <w:numId w:val="0"/>
        </w:numPr>
        <w:outlineLvl w:val="0"/>
        <w:rPr>
          <w:lang w:val="lt-LT"/>
        </w:rPr>
      </w:pPr>
      <w:r w:rsidRPr="00B024CB">
        <w:rPr>
          <w:b/>
          <w:lang w:val="lt-LT"/>
        </w:rPr>
        <w:t>Vairavimas ir mechanizmų valdymas</w:t>
      </w:r>
    </w:p>
    <w:p w14:paraId="0B7BA6D2" w14:textId="77777777" w:rsidR="00B37A31" w:rsidRPr="00B024CB" w:rsidRDefault="00B37A31" w:rsidP="00B37A31">
      <w:pPr>
        <w:rPr>
          <w:lang w:val="lt-LT"/>
        </w:rPr>
      </w:pPr>
      <w:r>
        <w:rPr>
          <w:lang w:val="lt-LT"/>
        </w:rPr>
        <w:t xml:space="preserve">Manoma, kad nėra tikėtina, kad </w:t>
      </w:r>
      <w:proofErr w:type="spellStart"/>
      <w:r w:rsidRPr="00B024CB">
        <w:rPr>
          <w:lang w:val="lt-LT"/>
        </w:rPr>
        <w:t>Technescan</w:t>
      </w:r>
      <w:proofErr w:type="spellEnd"/>
      <w:r w:rsidRPr="00B024CB">
        <w:rPr>
          <w:lang w:val="lt-LT"/>
        </w:rPr>
        <w:t xml:space="preserve"> </w:t>
      </w:r>
      <w:proofErr w:type="spellStart"/>
      <w:r w:rsidRPr="00B024CB">
        <w:rPr>
          <w:lang w:val="lt-LT"/>
        </w:rPr>
        <w:t>Sestamibi</w:t>
      </w:r>
      <w:proofErr w:type="spellEnd"/>
      <w:r w:rsidRPr="00B024CB">
        <w:rPr>
          <w:lang w:val="lt-LT"/>
        </w:rPr>
        <w:t xml:space="preserve"> </w:t>
      </w:r>
      <w:r>
        <w:rPr>
          <w:lang w:val="lt-LT"/>
        </w:rPr>
        <w:t xml:space="preserve">veiks </w:t>
      </w:r>
      <w:r w:rsidRPr="00B024CB">
        <w:rPr>
          <w:lang w:val="lt-LT"/>
        </w:rPr>
        <w:t>gebėjim</w:t>
      </w:r>
      <w:r>
        <w:rPr>
          <w:lang w:val="lt-LT"/>
        </w:rPr>
        <w:t>ą</w:t>
      </w:r>
      <w:r w:rsidRPr="00B024CB">
        <w:rPr>
          <w:lang w:val="lt-LT"/>
        </w:rPr>
        <w:t xml:space="preserve"> vairuoti </w:t>
      </w:r>
      <w:r>
        <w:rPr>
          <w:lang w:val="lt-LT"/>
        </w:rPr>
        <w:t>a</w:t>
      </w:r>
      <w:r w:rsidRPr="00B024CB">
        <w:rPr>
          <w:lang w:val="lt-LT"/>
        </w:rPr>
        <w:t>r valdyti mechanizmus.</w:t>
      </w:r>
    </w:p>
    <w:p w14:paraId="21BB8216" w14:textId="77777777" w:rsidR="00B37A31" w:rsidRPr="00B024CB" w:rsidRDefault="00B37A31" w:rsidP="00B37A31">
      <w:pPr>
        <w:rPr>
          <w:lang w:val="lt-LT"/>
        </w:rPr>
      </w:pPr>
    </w:p>
    <w:p w14:paraId="317A3785" w14:textId="77777777" w:rsidR="00B37A31" w:rsidRPr="00B024CB" w:rsidRDefault="00B37A31" w:rsidP="00B37A31">
      <w:pPr>
        <w:numPr>
          <w:ilvl w:val="12"/>
          <w:numId w:val="0"/>
        </w:numPr>
        <w:outlineLvl w:val="0"/>
        <w:rPr>
          <w:b/>
          <w:lang w:val="lt-LT"/>
        </w:rPr>
      </w:pPr>
      <w:proofErr w:type="spellStart"/>
      <w:r w:rsidRPr="00B024CB">
        <w:rPr>
          <w:b/>
          <w:lang w:val="lt-LT"/>
        </w:rPr>
        <w:t>Technescan</w:t>
      </w:r>
      <w:proofErr w:type="spellEnd"/>
      <w:r w:rsidRPr="00B024CB">
        <w:rPr>
          <w:b/>
          <w:lang w:val="lt-LT"/>
        </w:rPr>
        <w:t xml:space="preserve"> </w:t>
      </w:r>
      <w:proofErr w:type="spellStart"/>
      <w:r w:rsidRPr="00B024CB">
        <w:rPr>
          <w:b/>
          <w:lang w:val="lt-LT"/>
        </w:rPr>
        <w:t>Sestamibi</w:t>
      </w:r>
      <w:proofErr w:type="spellEnd"/>
      <w:r w:rsidRPr="00B024CB">
        <w:rPr>
          <w:b/>
          <w:lang w:val="lt-LT"/>
        </w:rPr>
        <w:t xml:space="preserve"> </w:t>
      </w:r>
      <w:r>
        <w:rPr>
          <w:b/>
          <w:lang w:val="lt-LT"/>
        </w:rPr>
        <w:t>sudėtyje yra natrio</w:t>
      </w:r>
    </w:p>
    <w:p w14:paraId="38B0C5A1" w14:textId="77777777" w:rsidR="00B37A31" w:rsidRPr="00B024CB" w:rsidRDefault="00B37A31" w:rsidP="00B37A31">
      <w:pPr>
        <w:rPr>
          <w:lang w:val="lt-LT"/>
        </w:rPr>
      </w:pPr>
      <w:r w:rsidRPr="00B024CB">
        <w:rPr>
          <w:lang w:val="lt-LT"/>
        </w:rPr>
        <w:t>Šio vaisto flakone yra mažiau kaip 1 </w:t>
      </w:r>
      <w:proofErr w:type="spellStart"/>
      <w:r w:rsidRPr="00B024CB">
        <w:rPr>
          <w:lang w:val="lt-LT"/>
        </w:rPr>
        <w:t>mmol</w:t>
      </w:r>
      <w:proofErr w:type="spellEnd"/>
      <w:r w:rsidRPr="00B024CB">
        <w:rPr>
          <w:lang w:val="lt-LT"/>
        </w:rPr>
        <w:t xml:space="preserve"> (23 mg) natrio, t.</w:t>
      </w:r>
      <w:r>
        <w:rPr>
          <w:lang w:val="lt-LT"/>
        </w:rPr>
        <w:t> </w:t>
      </w:r>
      <w:r w:rsidRPr="00B024CB">
        <w:rPr>
          <w:lang w:val="lt-LT"/>
        </w:rPr>
        <w:t>y. jis beveik neturi reikšmės.</w:t>
      </w:r>
    </w:p>
    <w:p w14:paraId="709A82EF" w14:textId="77777777" w:rsidR="00B37A31" w:rsidRPr="00B024CB" w:rsidRDefault="00B37A31" w:rsidP="00B37A31">
      <w:pPr>
        <w:rPr>
          <w:lang w:val="lt-LT"/>
        </w:rPr>
      </w:pPr>
    </w:p>
    <w:p w14:paraId="729DF5AB" w14:textId="77777777" w:rsidR="00B37A31" w:rsidRPr="00B024CB" w:rsidRDefault="00B37A31" w:rsidP="00B37A31">
      <w:pPr>
        <w:rPr>
          <w:lang w:val="lt-LT"/>
        </w:rPr>
      </w:pPr>
    </w:p>
    <w:p w14:paraId="30E6A239" w14:textId="77777777" w:rsidR="00B37A31" w:rsidRPr="00B024CB" w:rsidRDefault="00B37A31" w:rsidP="00B37A31">
      <w:pPr>
        <w:rPr>
          <w:b/>
          <w:lang w:val="lt-LT"/>
        </w:rPr>
      </w:pPr>
      <w:r w:rsidRPr="00B024CB">
        <w:rPr>
          <w:b/>
          <w:lang w:val="lt-LT"/>
        </w:rPr>
        <w:t>3.</w:t>
      </w:r>
      <w:r w:rsidRPr="00B024CB">
        <w:rPr>
          <w:b/>
          <w:lang w:val="lt-LT"/>
        </w:rPr>
        <w:tab/>
        <w:t>K</w:t>
      </w:r>
      <w:r>
        <w:rPr>
          <w:b/>
          <w:lang w:val="lt-LT"/>
        </w:rPr>
        <w:t>aip</w:t>
      </w:r>
      <w:r w:rsidRPr="00B024CB">
        <w:rPr>
          <w:b/>
          <w:lang w:val="lt-LT"/>
        </w:rPr>
        <w:t xml:space="preserve"> </w:t>
      </w:r>
      <w:r>
        <w:rPr>
          <w:b/>
          <w:lang w:val="lt-LT"/>
        </w:rPr>
        <w:t xml:space="preserve">vartoti </w:t>
      </w:r>
      <w:proofErr w:type="spellStart"/>
      <w:r w:rsidRPr="00BE5ABD">
        <w:rPr>
          <w:b/>
          <w:lang w:val="lt-LT"/>
        </w:rPr>
        <w:t>Technescan</w:t>
      </w:r>
      <w:proofErr w:type="spellEnd"/>
      <w:r w:rsidRPr="00BE5ABD">
        <w:rPr>
          <w:b/>
          <w:lang w:val="lt-LT"/>
        </w:rPr>
        <w:t xml:space="preserve"> </w:t>
      </w:r>
      <w:proofErr w:type="spellStart"/>
      <w:r w:rsidRPr="00BE5ABD">
        <w:rPr>
          <w:b/>
          <w:lang w:val="lt-LT"/>
        </w:rPr>
        <w:t>Sestamibi</w:t>
      </w:r>
      <w:proofErr w:type="spellEnd"/>
    </w:p>
    <w:p w14:paraId="1AEA3D5A" w14:textId="77777777" w:rsidR="00B37A31" w:rsidRPr="00B024CB" w:rsidRDefault="00B37A31" w:rsidP="00B37A31">
      <w:pPr>
        <w:rPr>
          <w:lang w:val="lt-LT"/>
        </w:rPr>
      </w:pPr>
    </w:p>
    <w:p w14:paraId="2740549A" w14:textId="77777777" w:rsidR="00B37A31" w:rsidRDefault="00B37A31" w:rsidP="00B37A31">
      <w:pPr>
        <w:rPr>
          <w:lang w:val="lt-LT"/>
        </w:rPr>
      </w:pPr>
      <w:r>
        <w:rPr>
          <w:lang w:val="lt-LT"/>
        </w:rPr>
        <w:t>Radioaktyvių preparatų vartojimą, ruošimą ir tvarkymą reglamentuoja griežti įstatymai.</w:t>
      </w:r>
      <w:r w:rsidRPr="001D1840">
        <w:rPr>
          <w:lang w:val="lt-LT"/>
        </w:rPr>
        <w:t xml:space="preserve"> </w:t>
      </w:r>
      <w:proofErr w:type="spellStart"/>
      <w:r w:rsidRPr="00F71B8F">
        <w:rPr>
          <w:lang w:val="lt-LT"/>
        </w:rPr>
        <w:t>Technescan</w:t>
      </w:r>
      <w:proofErr w:type="spellEnd"/>
      <w:r w:rsidRPr="00F71B8F">
        <w:rPr>
          <w:lang w:val="lt-LT"/>
        </w:rPr>
        <w:t xml:space="preserve"> </w:t>
      </w:r>
      <w:proofErr w:type="spellStart"/>
      <w:r w:rsidRPr="00F71B8F">
        <w:rPr>
          <w:lang w:val="lt-LT"/>
        </w:rPr>
        <w:t>Sestamibi</w:t>
      </w:r>
      <w:proofErr w:type="spellEnd"/>
      <w:r>
        <w:rPr>
          <w:lang w:val="lt-LT"/>
        </w:rPr>
        <w:t xml:space="preserve"> bus vartojamas tik specialiai kontroliuojamoje aplinkoje.</w:t>
      </w:r>
      <w:r w:rsidRPr="001D1840">
        <w:rPr>
          <w:lang w:val="lt-LT"/>
        </w:rPr>
        <w:t xml:space="preserve"> </w:t>
      </w:r>
      <w:r>
        <w:rPr>
          <w:lang w:val="lt-LT"/>
        </w:rPr>
        <w:t>Šį preparatą paruoš ir Jums skirs tik parengti ir kompetentingi saugiai jį naudoti asmenys.</w:t>
      </w:r>
      <w:r w:rsidRPr="001D1840">
        <w:rPr>
          <w:lang w:val="lt-LT"/>
        </w:rPr>
        <w:t xml:space="preserve"> </w:t>
      </w:r>
      <w:r>
        <w:rPr>
          <w:lang w:val="lt-LT"/>
        </w:rPr>
        <w:t>Šie asmenys specialiai rūpinsis saugiu šio preparato vartojimu ir nuolat informuos Jus apie savo veiksmus.</w:t>
      </w:r>
    </w:p>
    <w:p w14:paraId="69FA668B" w14:textId="77777777" w:rsidR="00B37A31" w:rsidRPr="00214AB6" w:rsidRDefault="00B37A31" w:rsidP="00B37A31">
      <w:pPr>
        <w:rPr>
          <w:lang w:val="lt-LT"/>
        </w:rPr>
      </w:pPr>
    </w:p>
    <w:p w14:paraId="463CD117" w14:textId="77777777" w:rsidR="00B37A31" w:rsidRPr="001D1840" w:rsidRDefault="00B37A31" w:rsidP="00B37A31">
      <w:pPr>
        <w:rPr>
          <w:lang w:val="lt-LT"/>
        </w:rPr>
      </w:pPr>
      <w:r w:rsidRPr="00B024CB">
        <w:rPr>
          <w:lang w:val="lt-LT"/>
        </w:rPr>
        <w:t xml:space="preserve">Kokį kiekį </w:t>
      </w:r>
      <w:proofErr w:type="spellStart"/>
      <w:r w:rsidRPr="00B024CB">
        <w:rPr>
          <w:lang w:val="lt-LT"/>
        </w:rPr>
        <w:t>Technescan</w:t>
      </w:r>
      <w:proofErr w:type="spellEnd"/>
      <w:r w:rsidRPr="00B024CB">
        <w:rPr>
          <w:lang w:val="lt-LT"/>
        </w:rPr>
        <w:t xml:space="preserve"> </w:t>
      </w:r>
      <w:proofErr w:type="spellStart"/>
      <w:r w:rsidRPr="00B024CB">
        <w:rPr>
          <w:lang w:val="lt-LT"/>
        </w:rPr>
        <w:t>Sestamibi</w:t>
      </w:r>
      <w:proofErr w:type="spellEnd"/>
      <w:r w:rsidRPr="00B024CB">
        <w:rPr>
          <w:lang w:val="lt-LT"/>
        </w:rPr>
        <w:t xml:space="preserve"> reikės </w:t>
      </w:r>
      <w:r>
        <w:rPr>
          <w:lang w:val="lt-LT"/>
        </w:rPr>
        <w:t>vart</w:t>
      </w:r>
      <w:r w:rsidRPr="00B024CB">
        <w:rPr>
          <w:lang w:val="lt-LT"/>
        </w:rPr>
        <w:t xml:space="preserve">oti, nuspręs </w:t>
      </w:r>
      <w:r>
        <w:rPr>
          <w:lang w:val="lt-LT"/>
        </w:rPr>
        <w:t xml:space="preserve">procedūrą prižiūrintis branduolinės medicinos </w:t>
      </w:r>
      <w:r w:rsidRPr="00B024CB">
        <w:rPr>
          <w:lang w:val="lt-LT"/>
        </w:rPr>
        <w:t xml:space="preserve">gydytojas. </w:t>
      </w:r>
      <w:r>
        <w:rPr>
          <w:lang w:val="lt-LT"/>
        </w:rPr>
        <w:t>Tai bus mažiausias kiekis, būtinas gauti norimą informaciją.</w:t>
      </w:r>
    </w:p>
    <w:p w14:paraId="262E3D18" w14:textId="77777777" w:rsidR="00B37A31" w:rsidRPr="00B024CB" w:rsidRDefault="00B37A31" w:rsidP="00B37A31">
      <w:pPr>
        <w:rPr>
          <w:lang w:val="lt-LT"/>
        </w:rPr>
      </w:pPr>
      <w:r>
        <w:rPr>
          <w:lang w:val="lt-LT"/>
        </w:rPr>
        <w:t xml:space="preserve">Priklausomai nuo tyrimo, kuris bus atliekamas, suaugusiajam paprastai rekomenduojamas skirti kiekis </w:t>
      </w:r>
      <w:r w:rsidRPr="00B024CB">
        <w:rPr>
          <w:lang w:val="lt-LT"/>
        </w:rPr>
        <w:t xml:space="preserve">svyruos tarp </w:t>
      </w:r>
      <w:r>
        <w:rPr>
          <w:lang w:val="lt-LT"/>
        </w:rPr>
        <w:t>150</w:t>
      </w:r>
      <w:r w:rsidRPr="00B024CB">
        <w:rPr>
          <w:lang w:val="lt-LT"/>
        </w:rPr>
        <w:t xml:space="preserve"> ir </w:t>
      </w:r>
      <w:r>
        <w:rPr>
          <w:lang w:val="lt-LT"/>
        </w:rPr>
        <w:t>1600</w:t>
      </w:r>
      <w:r w:rsidRPr="00B024CB">
        <w:rPr>
          <w:lang w:val="lt-LT"/>
        </w:rPr>
        <w:t> </w:t>
      </w:r>
      <w:proofErr w:type="spellStart"/>
      <w:r w:rsidRPr="00B024CB">
        <w:rPr>
          <w:lang w:val="lt-LT"/>
        </w:rPr>
        <w:t>MBq</w:t>
      </w:r>
      <w:proofErr w:type="spellEnd"/>
      <w:r w:rsidRPr="00B024CB">
        <w:rPr>
          <w:lang w:val="lt-LT"/>
        </w:rPr>
        <w:t xml:space="preserve"> (</w:t>
      </w:r>
      <w:proofErr w:type="spellStart"/>
      <w:r w:rsidRPr="00B024CB">
        <w:rPr>
          <w:lang w:val="lt-LT"/>
        </w:rPr>
        <w:t>megabekerelių</w:t>
      </w:r>
      <w:proofErr w:type="spellEnd"/>
      <w:r w:rsidRPr="00B024CB">
        <w:rPr>
          <w:lang w:val="lt-LT"/>
        </w:rPr>
        <w:t>, radioaktyvumo išraiškos vienetų).</w:t>
      </w:r>
    </w:p>
    <w:p w14:paraId="56EA7E1C" w14:textId="77777777" w:rsidR="00B37A31" w:rsidRPr="00B024CB" w:rsidRDefault="00B37A31" w:rsidP="00B37A31">
      <w:pPr>
        <w:rPr>
          <w:lang w:val="lt-LT"/>
        </w:rPr>
      </w:pPr>
    </w:p>
    <w:p w14:paraId="7CF4E171" w14:textId="77777777" w:rsidR="00B37A31" w:rsidRPr="001D1840" w:rsidRDefault="00B37A31" w:rsidP="00B37A31">
      <w:pPr>
        <w:rPr>
          <w:lang w:val="lt-LT"/>
        </w:rPr>
      </w:pPr>
      <w:r>
        <w:rPr>
          <w:b/>
          <w:lang w:val="lt-LT"/>
        </w:rPr>
        <w:t>Vartojimas vaikams ir paaugliams</w:t>
      </w:r>
    </w:p>
    <w:p w14:paraId="5979B41F" w14:textId="77777777" w:rsidR="00B37A31" w:rsidRPr="001D1840" w:rsidRDefault="00B37A31" w:rsidP="00B37A31">
      <w:pPr>
        <w:rPr>
          <w:lang w:val="lt-LT"/>
        </w:rPr>
      </w:pPr>
      <w:r>
        <w:rPr>
          <w:lang w:val="lt-LT"/>
        </w:rPr>
        <w:t>Vaikams ir paaugliams skiriamas kiekis bus parenkamas pagal vaiko svorį.</w:t>
      </w:r>
    </w:p>
    <w:p w14:paraId="2CFFDDB5" w14:textId="77777777" w:rsidR="00B37A31" w:rsidRPr="001D1840" w:rsidRDefault="00B37A31" w:rsidP="00B37A31">
      <w:pPr>
        <w:rPr>
          <w:lang w:val="lt-LT"/>
        </w:rPr>
      </w:pPr>
    </w:p>
    <w:p w14:paraId="6EE9376D" w14:textId="77777777" w:rsidR="00B37A31" w:rsidRPr="00214AB6" w:rsidRDefault="00B37A31" w:rsidP="00B37A31">
      <w:pPr>
        <w:rPr>
          <w:lang w:val="lt-LT"/>
        </w:rPr>
      </w:pPr>
      <w:proofErr w:type="spellStart"/>
      <w:r>
        <w:rPr>
          <w:b/>
          <w:lang w:val="lt-LT"/>
        </w:rPr>
        <w:t>Technescan</w:t>
      </w:r>
      <w:proofErr w:type="spellEnd"/>
      <w:r>
        <w:rPr>
          <w:b/>
          <w:lang w:val="lt-LT"/>
        </w:rPr>
        <w:t xml:space="preserve"> </w:t>
      </w:r>
      <w:proofErr w:type="spellStart"/>
      <w:r>
        <w:rPr>
          <w:b/>
          <w:lang w:val="lt-LT"/>
        </w:rPr>
        <w:t>Sestamibi</w:t>
      </w:r>
      <w:proofErr w:type="spellEnd"/>
      <w:r>
        <w:rPr>
          <w:lang w:val="lt-LT"/>
        </w:rPr>
        <w:t xml:space="preserve"> </w:t>
      </w:r>
      <w:r>
        <w:rPr>
          <w:b/>
          <w:lang w:val="lt-LT"/>
        </w:rPr>
        <w:t>vartojimas ir</w:t>
      </w:r>
      <w:r>
        <w:rPr>
          <w:lang w:val="lt-LT"/>
        </w:rPr>
        <w:t xml:space="preserve"> </w:t>
      </w:r>
      <w:r>
        <w:rPr>
          <w:b/>
          <w:lang w:val="lt-LT"/>
        </w:rPr>
        <w:t>procedūros atlikimas</w:t>
      </w:r>
    </w:p>
    <w:p w14:paraId="0400462A" w14:textId="77777777" w:rsidR="00B37A31" w:rsidRPr="00214AB6" w:rsidRDefault="00B37A31" w:rsidP="00B37A31">
      <w:pPr>
        <w:rPr>
          <w:lang w:val="lt-LT"/>
        </w:rPr>
      </w:pPr>
      <w:proofErr w:type="spellStart"/>
      <w:r>
        <w:rPr>
          <w:lang w:val="lt-LT"/>
        </w:rPr>
        <w:t>Technescan</w:t>
      </w:r>
      <w:proofErr w:type="spellEnd"/>
      <w:r>
        <w:rPr>
          <w:lang w:val="lt-LT"/>
        </w:rPr>
        <w:t xml:space="preserve"> </w:t>
      </w:r>
      <w:proofErr w:type="spellStart"/>
      <w:r>
        <w:rPr>
          <w:lang w:val="lt-LT"/>
        </w:rPr>
        <w:t>Sestamibi</w:t>
      </w:r>
      <w:proofErr w:type="spellEnd"/>
      <w:r>
        <w:rPr>
          <w:lang w:val="lt-LT"/>
        </w:rPr>
        <w:t xml:space="preserve"> leidžiamas į rankos arba pėdos veną (intraveninis vartojimas).</w:t>
      </w:r>
      <w:r w:rsidRPr="00214AB6">
        <w:rPr>
          <w:lang w:val="lt-LT"/>
        </w:rPr>
        <w:t xml:space="preserve"> </w:t>
      </w:r>
      <w:r>
        <w:rPr>
          <w:lang w:val="lt-LT"/>
        </w:rPr>
        <w:t>Gydytojui reikalingam tyrimui atlikti užtenka vienos ar dviejų injekcijų.</w:t>
      </w:r>
    </w:p>
    <w:p w14:paraId="19906C96" w14:textId="77777777" w:rsidR="00B37A31" w:rsidRPr="00214AB6" w:rsidRDefault="00B37A31" w:rsidP="00B37A31">
      <w:pPr>
        <w:rPr>
          <w:lang w:val="lt-LT"/>
        </w:rPr>
      </w:pPr>
      <w:r>
        <w:rPr>
          <w:lang w:val="lt-LT"/>
        </w:rPr>
        <w:t>Po injekcijos Jums pasiūlys atsigerti ir paprašys prieš pat tyrimą nusišlapinti.</w:t>
      </w:r>
    </w:p>
    <w:p w14:paraId="54A27A3A" w14:textId="77777777" w:rsidR="00B37A31" w:rsidRPr="00214AB6" w:rsidRDefault="00B37A31" w:rsidP="00B37A31">
      <w:pPr>
        <w:rPr>
          <w:lang w:val="lt-LT"/>
        </w:rPr>
      </w:pPr>
      <w:r>
        <w:rPr>
          <w:lang w:val="lt-LT"/>
        </w:rPr>
        <w:t>Branduolinės medicinos gydytojas Jus informuos, jei po šio vaisto vartojimo reikės laikytis specialių atsargumo priemonių.</w:t>
      </w:r>
      <w:r w:rsidRPr="00214AB6">
        <w:rPr>
          <w:lang w:val="lt-LT"/>
        </w:rPr>
        <w:t xml:space="preserve"> </w:t>
      </w:r>
      <w:r>
        <w:rPr>
          <w:lang w:val="lt-LT"/>
        </w:rPr>
        <w:t>Jeigu kiltų bet kokių klausimų, kreipkitės į branduolinės medicinos gydytoją.</w:t>
      </w:r>
    </w:p>
    <w:p w14:paraId="7837E4B3" w14:textId="77777777" w:rsidR="00B37A31" w:rsidRPr="00214AB6" w:rsidRDefault="00B37A31" w:rsidP="00B37A31">
      <w:pPr>
        <w:rPr>
          <w:lang w:val="lt-LT"/>
        </w:rPr>
      </w:pPr>
      <w:r>
        <w:rPr>
          <w:lang w:val="lt-LT"/>
        </w:rPr>
        <w:t xml:space="preserve">Paruoštas vartoti tirpalas bus Jums suleistas į veną prieš atliekant </w:t>
      </w:r>
      <w:proofErr w:type="spellStart"/>
      <w:r>
        <w:rPr>
          <w:lang w:val="lt-LT"/>
        </w:rPr>
        <w:t>scintigrafiją</w:t>
      </w:r>
      <w:proofErr w:type="spellEnd"/>
      <w:r>
        <w:rPr>
          <w:lang w:val="lt-LT"/>
        </w:rPr>
        <w:t>.</w:t>
      </w:r>
      <w:r w:rsidRPr="00214AB6">
        <w:rPr>
          <w:lang w:val="lt-LT"/>
        </w:rPr>
        <w:t xml:space="preserve"> </w:t>
      </w:r>
      <w:r>
        <w:rPr>
          <w:lang w:val="lt-LT"/>
        </w:rPr>
        <w:t>Priklausomai nuo tyrimo, skenavimas gali būti pradėtas praėjus nuo injekcijos nuo 5</w:t>
      </w:r>
      <w:r>
        <w:rPr>
          <w:lang w:val="lt-LT"/>
        </w:rPr>
        <w:noBreakHyphen/>
        <w:t>10 minučių iki 6 valandų.</w:t>
      </w:r>
    </w:p>
    <w:p w14:paraId="134D9ADF" w14:textId="77777777" w:rsidR="00B37A31" w:rsidRPr="00B024CB" w:rsidRDefault="00B37A31" w:rsidP="00B37A31">
      <w:pPr>
        <w:rPr>
          <w:lang w:val="lt-LT"/>
        </w:rPr>
      </w:pPr>
    </w:p>
    <w:p w14:paraId="233B0999" w14:textId="77777777" w:rsidR="00B37A31" w:rsidRDefault="00B37A31" w:rsidP="00B37A31">
      <w:pPr>
        <w:rPr>
          <w:lang w:val="lt-LT"/>
        </w:rPr>
      </w:pPr>
      <w:r w:rsidRPr="00B024CB">
        <w:rPr>
          <w:lang w:val="lt-LT"/>
        </w:rPr>
        <w:t xml:space="preserve">Tiriant širdį gali prireikti dviejų injekcijų, vienos streso būklėje (pvz., fizinių pratimų </w:t>
      </w:r>
      <w:r>
        <w:rPr>
          <w:lang w:val="lt-LT"/>
        </w:rPr>
        <w:t xml:space="preserve">arba farmakologinio streso </w:t>
      </w:r>
      <w:r w:rsidRPr="00B024CB">
        <w:rPr>
          <w:lang w:val="lt-LT"/>
        </w:rPr>
        <w:t>metu)</w:t>
      </w:r>
      <w:r>
        <w:rPr>
          <w:lang w:val="lt-LT"/>
        </w:rPr>
        <w:t xml:space="preserve"> ir, jei reikia, vienos ramybės būklėje</w:t>
      </w:r>
      <w:r w:rsidRPr="00B024CB">
        <w:rPr>
          <w:lang w:val="lt-LT"/>
        </w:rPr>
        <w:t xml:space="preserve">. Tarp dviejų injekcijų bus ne mažiau kaip dviejų valandų pertrauka ir bus skirta iš viso ne daugiau kaip </w:t>
      </w:r>
      <w:r>
        <w:rPr>
          <w:lang w:val="lt-LT"/>
        </w:rPr>
        <w:t>1600</w:t>
      </w:r>
      <w:r w:rsidRPr="00B024CB">
        <w:rPr>
          <w:lang w:val="lt-LT"/>
        </w:rPr>
        <w:t> </w:t>
      </w:r>
      <w:proofErr w:type="spellStart"/>
      <w:r w:rsidRPr="00B024CB">
        <w:rPr>
          <w:lang w:val="lt-LT"/>
        </w:rPr>
        <w:t>MBq</w:t>
      </w:r>
      <w:proofErr w:type="spellEnd"/>
      <w:r w:rsidRPr="00B024CB">
        <w:rPr>
          <w:lang w:val="lt-LT"/>
        </w:rPr>
        <w:t xml:space="preserve"> (1 dienos protokolas). Taip pat galimas dviejų dienų protokolas.</w:t>
      </w:r>
    </w:p>
    <w:p w14:paraId="2AEBE8FB" w14:textId="77777777" w:rsidR="00B37A31" w:rsidRPr="00B024CB" w:rsidRDefault="00B37A31" w:rsidP="00B37A31">
      <w:pPr>
        <w:rPr>
          <w:lang w:val="lt-LT"/>
        </w:rPr>
      </w:pPr>
    </w:p>
    <w:p w14:paraId="3755BA14" w14:textId="77777777" w:rsidR="00B37A31" w:rsidRPr="001D1840" w:rsidRDefault="00B37A31" w:rsidP="00B37A31">
      <w:pPr>
        <w:rPr>
          <w:lang w:val="lt-LT"/>
        </w:rPr>
      </w:pPr>
      <w:r>
        <w:rPr>
          <w:lang w:val="lt-LT"/>
        </w:rPr>
        <w:t xml:space="preserve">Atliekant krūties pakitimų </w:t>
      </w:r>
      <w:proofErr w:type="spellStart"/>
      <w:r>
        <w:rPr>
          <w:lang w:val="lt-LT"/>
        </w:rPr>
        <w:t>scintigrafiją</w:t>
      </w:r>
      <w:proofErr w:type="spellEnd"/>
      <w:r>
        <w:rPr>
          <w:lang w:val="lt-LT"/>
        </w:rPr>
        <w:t>, bus suleista 700</w:t>
      </w:r>
      <w:r>
        <w:rPr>
          <w:lang w:val="lt-LT"/>
        </w:rPr>
        <w:noBreakHyphen/>
        <w:t>1000 </w:t>
      </w:r>
      <w:proofErr w:type="spellStart"/>
      <w:r>
        <w:rPr>
          <w:lang w:val="lt-LT"/>
        </w:rPr>
        <w:t>MBq</w:t>
      </w:r>
      <w:proofErr w:type="spellEnd"/>
      <w:r>
        <w:rPr>
          <w:lang w:val="lt-LT"/>
        </w:rPr>
        <w:t xml:space="preserve"> preparato į Jūsų priešingos atitinkamai krūčiai pusės rankos veną arba į pėdos veną.</w:t>
      </w:r>
    </w:p>
    <w:p w14:paraId="6ED06362" w14:textId="77777777" w:rsidR="00B37A31" w:rsidRPr="001D1840" w:rsidRDefault="00B37A31" w:rsidP="00B37A31">
      <w:pPr>
        <w:rPr>
          <w:lang w:val="lt-LT"/>
        </w:rPr>
      </w:pPr>
    </w:p>
    <w:p w14:paraId="4B81A9CD" w14:textId="77777777" w:rsidR="00B37A31" w:rsidRPr="001D1840" w:rsidRDefault="00B37A31" w:rsidP="00B37A31">
      <w:pPr>
        <w:rPr>
          <w:lang w:val="lt-LT"/>
        </w:rPr>
      </w:pPr>
      <w:r>
        <w:rPr>
          <w:lang w:val="lt-LT"/>
        </w:rPr>
        <w:t xml:space="preserve">Pernelyg aktyvių </w:t>
      </w:r>
      <w:proofErr w:type="spellStart"/>
      <w:r>
        <w:rPr>
          <w:lang w:val="lt-LT"/>
        </w:rPr>
        <w:t>prieskydinių</w:t>
      </w:r>
      <w:proofErr w:type="spellEnd"/>
      <w:r>
        <w:rPr>
          <w:lang w:val="lt-LT"/>
        </w:rPr>
        <w:t xml:space="preserve"> liaukų vietai aptikti skiriamas 400</w:t>
      </w:r>
      <w:r>
        <w:rPr>
          <w:lang w:val="lt-LT"/>
        </w:rPr>
        <w:noBreakHyphen/>
        <w:t>900 </w:t>
      </w:r>
      <w:proofErr w:type="spellStart"/>
      <w:r>
        <w:rPr>
          <w:lang w:val="lt-LT"/>
        </w:rPr>
        <w:t>MBq</w:t>
      </w:r>
      <w:proofErr w:type="spellEnd"/>
      <w:r>
        <w:rPr>
          <w:lang w:val="lt-LT"/>
        </w:rPr>
        <w:t xml:space="preserve"> aktyvumas, priklausomai nuo naudojamų metodų.</w:t>
      </w:r>
    </w:p>
    <w:p w14:paraId="485BF969" w14:textId="77777777" w:rsidR="00B37A31" w:rsidRPr="00F71B8F" w:rsidRDefault="00B37A31" w:rsidP="00B37A31">
      <w:pPr>
        <w:rPr>
          <w:lang w:val="lt-LT"/>
        </w:rPr>
      </w:pPr>
    </w:p>
    <w:p w14:paraId="0B7C061E" w14:textId="77777777" w:rsidR="00B37A31" w:rsidRPr="001D1840" w:rsidRDefault="00B37A31" w:rsidP="00B37A31">
      <w:pPr>
        <w:rPr>
          <w:lang w:val="lt-LT"/>
        </w:rPr>
      </w:pPr>
      <w:r>
        <w:rPr>
          <w:lang w:val="lt-LT"/>
        </w:rPr>
        <w:t>Jei preparatas bus naudojamas Jūsų širdies skenavimui atlikti, būsite paprašyti nieko nevalgyti bent 4 valandas prieš tyrimą.</w:t>
      </w:r>
      <w:r w:rsidRPr="001D1840">
        <w:rPr>
          <w:lang w:val="lt-LT"/>
        </w:rPr>
        <w:t xml:space="preserve"> </w:t>
      </w:r>
      <w:r>
        <w:rPr>
          <w:lang w:val="lt-LT"/>
        </w:rPr>
        <w:t>Po injekcijos, bet prieš skenavimą (</w:t>
      </w:r>
      <w:proofErr w:type="spellStart"/>
      <w:r>
        <w:rPr>
          <w:lang w:val="lt-LT"/>
        </w:rPr>
        <w:t>scintigrafiją</w:t>
      </w:r>
      <w:proofErr w:type="spellEnd"/>
      <w:r>
        <w:rPr>
          <w:lang w:val="lt-LT"/>
        </w:rPr>
        <w:t xml:space="preserve">), būsite paprašyti suvalgyti lengvo riebaus maisto arba išgerti vieną ar dvi stiklines pieno, kad sumažėtų Jūsų kūno radioaktyvumas ir būtų pagerinta </w:t>
      </w:r>
      <w:proofErr w:type="spellStart"/>
      <w:r>
        <w:rPr>
          <w:lang w:val="lt-LT"/>
        </w:rPr>
        <w:t>skenogramų</w:t>
      </w:r>
      <w:proofErr w:type="spellEnd"/>
      <w:r>
        <w:rPr>
          <w:lang w:val="lt-LT"/>
        </w:rPr>
        <w:t xml:space="preserve"> kokybė.</w:t>
      </w:r>
    </w:p>
    <w:p w14:paraId="30035FA0" w14:textId="77777777" w:rsidR="00B37A31" w:rsidRPr="001D1840" w:rsidRDefault="00B37A31" w:rsidP="00B37A31">
      <w:pPr>
        <w:rPr>
          <w:lang w:val="lt-LT"/>
        </w:rPr>
      </w:pPr>
    </w:p>
    <w:p w14:paraId="0C7855D8" w14:textId="77777777" w:rsidR="00B37A31" w:rsidRPr="001D1840" w:rsidRDefault="00B37A31" w:rsidP="00B37A31">
      <w:pPr>
        <w:rPr>
          <w:lang w:val="lt-LT"/>
        </w:rPr>
      </w:pPr>
      <w:r>
        <w:rPr>
          <w:b/>
          <w:lang w:val="lt-LT"/>
        </w:rPr>
        <w:t>Procedūros trukmė</w:t>
      </w:r>
    </w:p>
    <w:p w14:paraId="7F81F557" w14:textId="77777777" w:rsidR="00B37A31" w:rsidRPr="001D1840" w:rsidRDefault="00B37A31" w:rsidP="00B37A31">
      <w:pPr>
        <w:rPr>
          <w:lang w:val="lt-LT"/>
        </w:rPr>
      </w:pPr>
      <w:r>
        <w:rPr>
          <w:lang w:val="lt-LT"/>
        </w:rPr>
        <w:t>Branduolinės medicinos gydytojas Jus informuos apie įprastą procedūros trukmę.</w:t>
      </w:r>
    </w:p>
    <w:p w14:paraId="37ADFB73" w14:textId="77777777" w:rsidR="00B37A31" w:rsidRPr="001D1840" w:rsidRDefault="00B37A31" w:rsidP="00B37A31">
      <w:pPr>
        <w:rPr>
          <w:lang w:val="lt-LT"/>
        </w:rPr>
      </w:pPr>
    </w:p>
    <w:p w14:paraId="28943389" w14:textId="77777777" w:rsidR="00B37A31" w:rsidRPr="00214AB6" w:rsidRDefault="00B37A31" w:rsidP="00B37A31">
      <w:pPr>
        <w:rPr>
          <w:lang w:val="lt-LT"/>
        </w:rPr>
      </w:pPr>
      <w:r w:rsidRPr="00F71B8F">
        <w:rPr>
          <w:b/>
          <w:lang w:val="lt-LT"/>
        </w:rPr>
        <w:t xml:space="preserve">Po </w:t>
      </w:r>
      <w:proofErr w:type="spellStart"/>
      <w:r>
        <w:rPr>
          <w:b/>
          <w:lang w:val="lt-LT"/>
        </w:rPr>
        <w:t>Technescan</w:t>
      </w:r>
      <w:proofErr w:type="spellEnd"/>
      <w:r>
        <w:rPr>
          <w:b/>
          <w:lang w:val="lt-LT"/>
        </w:rPr>
        <w:t xml:space="preserve"> </w:t>
      </w:r>
      <w:proofErr w:type="spellStart"/>
      <w:r>
        <w:rPr>
          <w:b/>
          <w:lang w:val="lt-LT"/>
        </w:rPr>
        <w:t>Sestamibi</w:t>
      </w:r>
      <w:proofErr w:type="spellEnd"/>
      <w:r>
        <w:rPr>
          <w:b/>
          <w:lang w:val="lt-LT"/>
        </w:rPr>
        <w:t xml:space="preserve"> vartojimo turite:</w:t>
      </w:r>
    </w:p>
    <w:p w14:paraId="5889D08E" w14:textId="77777777" w:rsidR="00B37A31" w:rsidRPr="00214AB6" w:rsidRDefault="00B37A31" w:rsidP="00B37A31">
      <w:pPr>
        <w:ind w:left="567" w:hanging="567"/>
        <w:rPr>
          <w:lang w:val="lt-LT"/>
        </w:rPr>
      </w:pPr>
      <w:r w:rsidRPr="00214AB6">
        <w:rPr>
          <w:lang w:val="lt-LT"/>
        </w:rPr>
        <w:t>-</w:t>
      </w:r>
      <w:r w:rsidRPr="00214AB6">
        <w:rPr>
          <w:lang w:val="lt-LT"/>
        </w:rPr>
        <w:tab/>
      </w:r>
      <w:r>
        <w:rPr>
          <w:lang w:val="lt-LT"/>
        </w:rPr>
        <w:t>pirmąsias 24 valandas po injekcijos vengti artimo kontakto su mažais vaikais ir nėščiomis moterimis;</w:t>
      </w:r>
    </w:p>
    <w:p w14:paraId="3A12C3DC" w14:textId="77777777" w:rsidR="00B37A31" w:rsidRPr="00214AB6" w:rsidRDefault="00B37A31" w:rsidP="00B37A31">
      <w:pPr>
        <w:tabs>
          <w:tab w:val="clear" w:pos="567"/>
          <w:tab w:val="left" w:pos="550"/>
        </w:tabs>
        <w:rPr>
          <w:lang w:val="sv-SE"/>
        </w:rPr>
      </w:pPr>
      <w:r w:rsidRPr="00214AB6">
        <w:rPr>
          <w:lang w:val="sv-SE"/>
        </w:rPr>
        <w:t>-</w:t>
      </w:r>
      <w:r w:rsidRPr="00214AB6">
        <w:rPr>
          <w:lang w:val="sv-SE"/>
        </w:rPr>
        <w:tab/>
      </w:r>
      <w:r>
        <w:rPr>
          <w:lang w:val="lt-LT"/>
        </w:rPr>
        <w:t>dažnai šlapintis, kad iš organizmo būtų pašalintas preparatas.</w:t>
      </w:r>
    </w:p>
    <w:p w14:paraId="7CF09474" w14:textId="77777777" w:rsidR="00B37A31" w:rsidRPr="00214AB6" w:rsidRDefault="00B37A31" w:rsidP="00B37A31">
      <w:pPr>
        <w:rPr>
          <w:lang w:val="sv-SE"/>
        </w:rPr>
      </w:pPr>
    </w:p>
    <w:p w14:paraId="347C158F" w14:textId="77777777" w:rsidR="00B37A31" w:rsidRPr="00214AB6" w:rsidRDefault="00B37A31" w:rsidP="00B37A31">
      <w:pPr>
        <w:rPr>
          <w:lang w:val="sv-SE"/>
        </w:rPr>
      </w:pPr>
      <w:r>
        <w:rPr>
          <w:lang w:val="lt-LT"/>
        </w:rPr>
        <w:t>Branduolinės medicinos gydytojas Jus informuos, jei po šio vaisto vartojimo reikės laikytis specialių atsargumo priemonių.</w:t>
      </w:r>
      <w:r w:rsidRPr="00214AB6">
        <w:rPr>
          <w:lang w:val="sv-SE"/>
        </w:rPr>
        <w:t xml:space="preserve"> </w:t>
      </w:r>
      <w:r>
        <w:rPr>
          <w:lang w:val="lt-LT"/>
        </w:rPr>
        <w:t>Jeigu kiltų bet kokių klausimų, kreipkitės į branduolinės medicinos gydytoją.</w:t>
      </w:r>
    </w:p>
    <w:p w14:paraId="1753ECB0" w14:textId="77777777" w:rsidR="00B37A31" w:rsidRPr="00B024CB" w:rsidRDefault="00B37A31" w:rsidP="00B37A31">
      <w:pPr>
        <w:rPr>
          <w:lang w:val="lt-LT"/>
        </w:rPr>
      </w:pPr>
    </w:p>
    <w:p w14:paraId="09ABD855" w14:textId="77777777" w:rsidR="00B37A31" w:rsidRPr="00B024CB" w:rsidRDefault="00B37A31" w:rsidP="00B37A31">
      <w:pPr>
        <w:numPr>
          <w:ilvl w:val="12"/>
          <w:numId w:val="0"/>
        </w:numPr>
        <w:jc w:val="both"/>
        <w:rPr>
          <w:b/>
          <w:lang w:val="lt-LT"/>
        </w:rPr>
      </w:pPr>
      <w:r w:rsidRPr="00B024CB">
        <w:rPr>
          <w:b/>
          <w:lang w:val="lt-LT"/>
        </w:rPr>
        <w:t>Ką daryti</w:t>
      </w:r>
      <w:r>
        <w:rPr>
          <w:b/>
          <w:lang w:val="lt-LT"/>
        </w:rPr>
        <w:t>, jeigu Jums skyrė</w:t>
      </w:r>
      <w:r w:rsidRPr="00B024CB">
        <w:rPr>
          <w:b/>
          <w:lang w:val="lt-LT"/>
        </w:rPr>
        <w:t xml:space="preserve"> didelę </w:t>
      </w:r>
      <w:proofErr w:type="spellStart"/>
      <w:r w:rsidRPr="00B024CB">
        <w:rPr>
          <w:b/>
          <w:lang w:val="lt-LT"/>
        </w:rPr>
        <w:t>Technescan</w:t>
      </w:r>
      <w:proofErr w:type="spellEnd"/>
      <w:r w:rsidRPr="00B024CB">
        <w:rPr>
          <w:b/>
          <w:lang w:val="lt-LT"/>
        </w:rPr>
        <w:t xml:space="preserve"> </w:t>
      </w:r>
      <w:proofErr w:type="spellStart"/>
      <w:r w:rsidRPr="00B024CB">
        <w:rPr>
          <w:b/>
          <w:lang w:val="lt-LT"/>
        </w:rPr>
        <w:t>Sestamibi</w:t>
      </w:r>
      <w:proofErr w:type="spellEnd"/>
      <w:r w:rsidRPr="00B024CB">
        <w:rPr>
          <w:b/>
          <w:lang w:val="lt-LT"/>
        </w:rPr>
        <w:t xml:space="preserve"> dozę</w:t>
      </w:r>
      <w:r>
        <w:rPr>
          <w:b/>
          <w:lang w:val="lt-LT"/>
        </w:rPr>
        <w:t>?</w:t>
      </w:r>
    </w:p>
    <w:p w14:paraId="2096F7CB" w14:textId="77777777" w:rsidR="00B37A31" w:rsidRPr="001D1840" w:rsidRDefault="00B37A31" w:rsidP="00B37A31">
      <w:pPr>
        <w:rPr>
          <w:lang w:val="lt-LT"/>
        </w:rPr>
      </w:pPr>
      <w:r>
        <w:rPr>
          <w:lang w:val="lt-LT"/>
        </w:rPr>
        <w:t xml:space="preserve">Perdozavimas yra beveik neįmanomas, nes Jums bus skirta </w:t>
      </w:r>
      <w:proofErr w:type="spellStart"/>
      <w:r>
        <w:rPr>
          <w:lang w:val="lt-LT"/>
        </w:rPr>
        <w:t>Technescan</w:t>
      </w:r>
      <w:proofErr w:type="spellEnd"/>
      <w:r>
        <w:rPr>
          <w:lang w:val="lt-LT"/>
        </w:rPr>
        <w:t xml:space="preserve"> </w:t>
      </w:r>
      <w:proofErr w:type="spellStart"/>
      <w:r>
        <w:rPr>
          <w:lang w:val="lt-LT"/>
        </w:rPr>
        <w:t>Sestamibi</w:t>
      </w:r>
      <w:proofErr w:type="spellEnd"/>
      <w:r>
        <w:rPr>
          <w:lang w:val="lt-LT"/>
        </w:rPr>
        <w:t xml:space="preserve"> dozė, tiksliai kontroliuojama procedūrą prižiūrinčio branduolinės medicinos gydytojo.</w:t>
      </w:r>
      <w:r w:rsidRPr="001D1840">
        <w:rPr>
          <w:lang w:val="lt-LT"/>
        </w:rPr>
        <w:t xml:space="preserve"> </w:t>
      </w:r>
      <w:r>
        <w:rPr>
          <w:lang w:val="lt-LT"/>
        </w:rPr>
        <w:t>Tačiau perdozavimo atveju Jums bus skiriamas tinkamas gydymas.</w:t>
      </w:r>
      <w:r w:rsidRPr="001D1840">
        <w:rPr>
          <w:lang w:val="lt-LT"/>
        </w:rPr>
        <w:t xml:space="preserve"> </w:t>
      </w:r>
      <w:r>
        <w:rPr>
          <w:lang w:val="lt-LT"/>
        </w:rPr>
        <w:t xml:space="preserve">Pavyzdžiui, už procedūrą atsakingas branduolinės medicinos gydytojas gali Jums rekomenduoti gerti daug skysčių, kad </w:t>
      </w:r>
      <w:proofErr w:type="spellStart"/>
      <w:r>
        <w:rPr>
          <w:lang w:val="lt-LT"/>
        </w:rPr>
        <w:t>Technescan</w:t>
      </w:r>
      <w:proofErr w:type="spellEnd"/>
      <w:r>
        <w:rPr>
          <w:lang w:val="lt-LT"/>
        </w:rPr>
        <w:t xml:space="preserve"> </w:t>
      </w:r>
      <w:proofErr w:type="spellStart"/>
      <w:r>
        <w:rPr>
          <w:lang w:val="lt-LT"/>
        </w:rPr>
        <w:t>Sestamibi</w:t>
      </w:r>
      <w:proofErr w:type="spellEnd"/>
      <w:r>
        <w:rPr>
          <w:lang w:val="lt-LT"/>
        </w:rPr>
        <w:t xml:space="preserve"> lengviau pasišalintų iš Jūsų organizmo.</w:t>
      </w:r>
    </w:p>
    <w:p w14:paraId="5AACE217" w14:textId="77777777" w:rsidR="00B37A31" w:rsidRPr="001D1840" w:rsidRDefault="00B37A31" w:rsidP="00B37A31">
      <w:pPr>
        <w:rPr>
          <w:lang w:val="lt-LT"/>
        </w:rPr>
      </w:pPr>
    </w:p>
    <w:p w14:paraId="356A60CD" w14:textId="77777777" w:rsidR="00B37A31" w:rsidRPr="001D1840" w:rsidRDefault="00B37A31" w:rsidP="00B37A31">
      <w:pPr>
        <w:rPr>
          <w:lang w:val="lt-LT"/>
        </w:rPr>
      </w:pPr>
      <w:r>
        <w:rPr>
          <w:lang w:val="lt-LT"/>
        </w:rPr>
        <w:lastRenderedPageBreak/>
        <w:t>Jeigu kiltų daugiau klausimų dėl šio vaisto vartojimo, kreipkitės į procedūrą prižiūrintį branduolinės medicinos gydytoją.</w:t>
      </w:r>
    </w:p>
    <w:p w14:paraId="4D106726" w14:textId="77777777" w:rsidR="00B37A31" w:rsidRPr="00B024CB" w:rsidRDefault="00B37A31" w:rsidP="00B37A31">
      <w:pPr>
        <w:rPr>
          <w:lang w:val="lt-LT"/>
        </w:rPr>
      </w:pPr>
    </w:p>
    <w:p w14:paraId="0951EC02" w14:textId="77777777" w:rsidR="00B37A31" w:rsidRPr="00B024CB" w:rsidRDefault="00B37A31" w:rsidP="00B37A31">
      <w:pPr>
        <w:rPr>
          <w:lang w:val="lt-LT"/>
        </w:rPr>
      </w:pPr>
    </w:p>
    <w:p w14:paraId="26D7BBFB" w14:textId="77777777" w:rsidR="00B37A31" w:rsidRPr="00B024CB" w:rsidRDefault="00B37A31" w:rsidP="00B37A31">
      <w:pPr>
        <w:numPr>
          <w:ilvl w:val="12"/>
          <w:numId w:val="0"/>
        </w:numPr>
        <w:ind w:left="567" w:hanging="567"/>
        <w:rPr>
          <w:lang w:val="lt-LT"/>
        </w:rPr>
      </w:pPr>
      <w:r w:rsidRPr="00B024CB">
        <w:rPr>
          <w:b/>
          <w:lang w:val="lt-LT"/>
        </w:rPr>
        <w:t>4.</w:t>
      </w:r>
      <w:r w:rsidRPr="00B024CB">
        <w:rPr>
          <w:b/>
          <w:lang w:val="lt-LT"/>
        </w:rPr>
        <w:tab/>
        <w:t>G</w:t>
      </w:r>
      <w:r>
        <w:rPr>
          <w:b/>
          <w:lang w:val="lt-LT"/>
        </w:rPr>
        <w:t xml:space="preserve">alimas šalutinis poveikis </w:t>
      </w:r>
    </w:p>
    <w:p w14:paraId="3D5348F3" w14:textId="77777777" w:rsidR="00B37A31" w:rsidRPr="00B024CB" w:rsidRDefault="00B37A31" w:rsidP="00B37A31">
      <w:pPr>
        <w:rPr>
          <w:lang w:val="lt-LT"/>
        </w:rPr>
      </w:pPr>
    </w:p>
    <w:p w14:paraId="3F227808" w14:textId="77777777" w:rsidR="00B37A31" w:rsidRPr="00B024CB" w:rsidRDefault="00B37A31" w:rsidP="00B37A31">
      <w:pPr>
        <w:rPr>
          <w:lang w:val="lt-LT"/>
        </w:rPr>
      </w:pPr>
      <w:r w:rsidRPr="00B024CB">
        <w:rPr>
          <w:szCs w:val="24"/>
          <w:lang w:val="lt-LT"/>
        </w:rPr>
        <w:t xml:space="preserve">Šis vaistas, kaip ir visi kiti, </w:t>
      </w:r>
      <w:r w:rsidRPr="00B024CB">
        <w:rPr>
          <w:lang w:val="lt-LT"/>
        </w:rPr>
        <w:t>gali sukelti šalutinį poveikį, nors jis pasireiškia ne visiems žmonėms.</w:t>
      </w:r>
    </w:p>
    <w:p w14:paraId="28639802" w14:textId="77777777" w:rsidR="00B37A31" w:rsidRPr="001D1840" w:rsidRDefault="00B37A31" w:rsidP="00B37A31">
      <w:pPr>
        <w:rPr>
          <w:lang w:val="lt-LT"/>
        </w:rPr>
      </w:pPr>
      <w:r>
        <w:rPr>
          <w:lang w:val="lt-LT"/>
        </w:rPr>
        <w:t>Retai nustatytos alerginės reakcijos, kurias gali lydėti dusulys, didelis nuovargis, pykinimas (paprastai per 2 valandas po vartojimo), patinimas po oda, kuris gali pasireikšti tokiose srityse, kaip veidas ir galūnės (</w:t>
      </w:r>
      <w:proofErr w:type="spellStart"/>
      <w:r>
        <w:rPr>
          <w:lang w:val="lt-LT"/>
        </w:rPr>
        <w:t>angioedema</w:t>
      </w:r>
      <w:proofErr w:type="spellEnd"/>
      <w:r>
        <w:rPr>
          <w:lang w:val="lt-LT"/>
        </w:rPr>
        <w:t>) ir sukelti kvėpavimo takų obstrukciją, pavojingą kraujospūdžio sumažėjimą (</w:t>
      </w:r>
      <w:proofErr w:type="spellStart"/>
      <w:r>
        <w:rPr>
          <w:lang w:val="lt-LT"/>
        </w:rPr>
        <w:t>hipotenziją</w:t>
      </w:r>
      <w:proofErr w:type="spellEnd"/>
      <w:r>
        <w:rPr>
          <w:lang w:val="lt-LT"/>
        </w:rPr>
        <w:t xml:space="preserve">) ir </w:t>
      </w:r>
      <w:r>
        <w:rPr>
          <w:rStyle w:val="st"/>
          <w:lang w:val="lt-LT"/>
        </w:rPr>
        <w:t>lėtą širdies ritmą</w:t>
      </w:r>
      <w:r>
        <w:rPr>
          <w:lang w:val="lt-LT"/>
        </w:rPr>
        <w:t xml:space="preserve"> (bradikardiją).</w:t>
      </w:r>
      <w:r w:rsidRPr="001D1840">
        <w:rPr>
          <w:lang w:val="lt-LT"/>
        </w:rPr>
        <w:t xml:space="preserve"> </w:t>
      </w:r>
      <w:r>
        <w:rPr>
          <w:lang w:val="lt-LT"/>
        </w:rPr>
        <w:t>Gydytojai žino apie šią galimybę ir tokiais atvejais yra pasiruošę neatidėliotinam gydymui.</w:t>
      </w:r>
      <w:r w:rsidRPr="001D1840">
        <w:rPr>
          <w:lang w:val="lt-LT"/>
        </w:rPr>
        <w:t xml:space="preserve"> </w:t>
      </w:r>
      <w:r>
        <w:rPr>
          <w:lang w:val="lt-LT"/>
        </w:rPr>
        <w:t>Retai taip pat nustatytos vietinės odos reakcijos su niežėjimu, dilgėline, išbėrimu, patinimu ir paraudimu.</w:t>
      </w:r>
      <w:r w:rsidRPr="001D1840">
        <w:rPr>
          <w:lang w:val="lt-LT"/>
        </w:rPr>
        <w:t xml:space="preserve"> </w:t>
      </w:r>
      <w:r>
        <w:rPr>
          <w:lang w:val="lt-LT"/>
        </w:rPr>
        <w:t>Kitų tipų alerginių reakcijų į jas linkusiems pacientams pastebėta labai retai. Jeigu pasireiškė bet kuris iš šių, nedelsdami kreipkitės į branduolinės medicinos gydytoją.</w:t>
      </w:r>
    </w:p>
    <w:p w14:paraId="0FCB5B0C" w14:textId="77777777" w:rsidR="00B37A31" w:rsidRDefault="00B37A31" w:rsidP="00B37A31">
      <w:pPr>
        <w:rPr>
          <w:lang w:val="lt-LT"/>
        </w:rPr>
      </w:pPr>
    </w:p>
    <w:p w14:paraId="0770986E" w14:textId="77777777" w:rsidR="00B37A31" w:rsidRDefault="00B37A31" w:rsidP="00B37A31">
      <w:pPr>
        <w:rPr>
          <w:lang w:val="lt-LT"/>
        </w:rPr>
      </w:pPr>
      <w:r w:rsidRPr="00B024CB">
        <w:rPr>
          <w:lang w:val="lt-LT"/>
        </w:rPr>
        <w:t xml:space="preserve">Žemiau pateikiamas galimas </w:t>
      </w:r>
      <w:r>
        <w:rPr>
          <w:lang w:val="lt-LT"/>
        </w:rPr>
        <w:t xml:space="preserve">kitas </w:t>
      </w:r>
      <w:r w:rsidRPr="00B024CB">
        <w:rPr>
          <w:lang w:val="lt-LT"/>
        </w:rPr>
        <w:t>šalutinis poveikis pagal pasireiškimo dažnį:</w:t>
      </w:r>
    </w:p>
    <w:p w14:paraId="059468DD" w14:textId="77777777" w:rsidR="00B37A31" w:rsidRPr="00B024CB" w:rsidRDefault="00B37A31" w:rsidP="00B37A31">
      <w:pPr>
        <w:rPr>
          <w:lang w:val="lt-LT"/>
        </w:rPr>
      </w:pPr>
    </w:p>
    <w:tbl>
      <w:tblPr>
        <w:tblW w:w="0" w:type="auto"/>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335"/>
        <w:gridCol w:w="4608"/>
      </w:tblGrid>
      <w:tr w:rsidR="00B37A31" w:rsidRPr="00B024CB" w14:paraId="22DCB4A4" w14:textId="77777777" w:rsidTr="00760E5D">
        <w:trPr>
          <w:trHeight w:val="263"/>
        </w:trPr>
        <w:tc>
          <w:tcPr>
            <w:tcW w:w="4562" w:type="dxa"/>
            <w:tcBorders>
              <w:top w:val="single" w:sz="8" w:space="0" w:color="000000"/>
              <w:left w:val="single" w:sz="8" w:space="0" w:color="000000"/>
              <w:bottom w:val="single" w:sz="8" w:space="0" w:color="000000"/>
              <w:right w:val="single" w:sz="8" w:space="0" w:color="000000"/>
            </w:tcBorders>
          </w:tcPr>
          <w:p w14:paraId="2987A2E7" w14:textId="77777777" w:rsidR="00B37A31" w:rsidRPr="00B024CB" w:rsidRDefault="00B37A31" w:rsidP="00760E5D">
            <w:pPr>
              <w:autoSpaceDE w:val="0"/>
              <w:autoSpaceDN w:val="0"/>
              <w:adjustRightInd w:val="0"/>
              <w:rPr>
                <w:b/>
                <w:lang w:val="lt-LT"/>
              </w:rPr>
            </w:pPr>
            <w:r w:rsidRPr="00B024CB">
              <w:rPr>
                <w:b/>
                <w:lang w:val="lt-LT"/>
              </w:rPr>
              <w:t>Dažnis</w:t>
            </w:r>
          </w:p>
        </w:tc>
        <w:tc>
          <w:tcPr>
            <w:tcW w:w="4820" w:type="dxa"/>
            <w:tcBorders>
              <w:top w:val="single" w:sz="8" w:space="0" w:color="000000"/>
              <w:left w:val="single" w:sz="8" w:space="0" w:color="000000"/>
              <w:bottom w:val="single" w:sz="8" w:space="0" w:color="000000"/>
              <w:right w:val="single" w:sz="8" w:space="0" w:color="000000"/>
            </w:tcBorders>
          </w:tcPr>
          <w:p w14:paraId="53814FBC" w14:textId="77777777" w:rsidR="00B37A31" w:rsidRPr="00B024CB" w:rsidRDefault="00B37A31" w:rsidP="00760E5D">
            <w:pPr>
              <w:autoSpaceDE w:val="0"/>
              <w:autoSpaceDN w:val="0"/>
              <w:adjustRightInd w:val="0"/>
              <w:rPr>
                <w:b/>
                <w:lang w:val="lt-LT"/>
              </w:rPr>
            </w:pPr>
            <w:r>
              <w:rPr>
                <w:b/>
                <w:lang w:val="lt-LT"/>
              </w:rPr>
              <w:t>Galimas šaluti</w:t>
            </w:r>
            <w:r w:rsidRPr="00B024CB">
              <w:rPr>
                <w:b/>
                <w:lang w:val="lt-LT"/>
              </w:rPr>
              <w:t>nis poveikis</w:t>
            </w:r>
          </w:p>
        </w:tc>
      </w:tr>
      <w:tr w:rsidR="00B37A31" w:rsidRPr="003B3EAE" w14:paraId="6B16651E" w14:textId="77777777" w:rsidTr="00760E5D">
        <w:trPr>
          <w:trHeight w:val="263"/>
        </w:trPr>
        <w:tc>
          <w:tcPr>
            <w:tcW w:w="4562" w:type="dxa"/>
            <w:tcBorders>
              <w:top w:val="single" w:sz="8" w:space="0" w:color="000000"/>
              <w:left w:val="single" w:sz="8" w:space="0" w:color="000000"/>
              <w:bottom w:val="single" w:sz="8" w:space="0" w:color="000000"/>
              <w:right w:val="single" w:sz="8" w:space="0" w:color="000000"/>
            </w:tcBorders>
          </w:tcPr>
          <w:p w14:paraId="080ACD26" w14:textId="77777777" w:rsidR="00B37A31" w:rsidRPr="00B024CB" w:rsidRDefault="00B37A31" w:rsidP="00760E5D">
            <w:pPr>
              <w:autoSpaceDE w:val="0"/>
              <w:autoSpaceDN w:val="0"/>
              <w:adjustRightInd w:val="0"/>
              <w:rPr>
                <w:lang w:val="lt-LT"/>
              </w:rPr>
            </w:pPr>
            <w:r w:rsidRPr="00B024CB">
              <w:rPr>
                <w:lang w:val="lt-LT"/>
              </w:rPr>
              <w:t xml:space="preserve">dažni: </w:t>
            </w:r>
            <w:r>
              <w:rPr>
                <w:lang w:val="lt-LT"/>
              </w:rPr>
              <w:t xml:space="preserve">gali </w:t>
            </w:r>
            <w:r w:rsidRPr="00B024CB">
              <w:rPr>
                <w:lang w:val="lt-LT"/>
              </w:rPr>
              <w:t>paveik</w:t>
            </w:r>
            <w:r>
              <w:rPr>
                <w:lang w:val="lt-LT"/>
              </w:rPr>
              <w:t>ti</w:t>
            </w:r>
            <w:r w:rsidRPr="00B024CB">
              <w:rPr>
                <w:lang w:val="lt-LT"/>
              </w:rPr>
              <w:t xml:space="preserve"> nuo </w:t>
            </w:r>
            <w:r>
              <w:rPr>
                <w:lang w:val="lt-LT"/>
              </w:rPr>
              <w:t xml:space="preserve">ne daugiau kaip </w:t>
            </w:r>
            <w:r w:rsidRPr="00B024CB">
              <w:rPr>
                <w:lang w:val="lt-LT"/>
              </w:rPr>
              <w:t>1 iki 10</w:t>
            </w:r>
            <w:r>
              <w:rPr>
                <w:lang w:val="lt-LT"/>
              </w:rPr>
              <w:t> žmonių</w:t>
            </w:r>
          </w:p>
        </w:tc>
        <w:tc>
          <w:tcPr>
            <w:tcW w:w="4820" w:type="dxa"/>
            <w:tcBorders>
              <w:top w:val="single" w:sz="8" w:space="0" w:color="000000"/>
              <w:left w:val="single" w:sz="8" w:space="0" w:color="000000"/>
              <w:bottom w:val="single" w:sz="8" w:space="0" w:color="000000"/>
              <w:right w:val="single" w:sz="8" w:space="0" w:color="000000"/>
            </w:tcBorders>
          </w:tcPr>
          <w:p w14:paraId="216CEEEB" w14:textId="77777777" w:rsidR="00B37A31" w:rsidRPr="00B024CB" w:rsidRDefault="00B37A31" w:rsidP="00760E5D">
            <w:pPr>
              <w:rPr>
                <w:lang w:val="lt-LT"/>
              </w:rPr>
            </w:pPr>
            <w:r w:rsidRPr="00B024CB">
              <w:rPr>
                <w:lang w:val="lt-LT"/>
              </w:rPr>
              <w:t>Metalo ar kartumo skonis, uoslės pokyčiai, sausumas burnoje iškart po injekcijos.</w:t>
            </w:r>
          </w:p>
        </w:tc>
      </w:tr>
      <w:tr w:rsidR="00B37A31" w:rsidRPr="003B3EAE" w14:paraId="24226345" w14:textId="77777777" w:rsidTr="00760E5D">
        <w:trPr>
          <w:trHeight w:val="263"/>
        </w:trPr>
        <w:tc>
          <w:tcPr>
            <w:tcW w:w="4562" w:type="dxa"/>
            <w:tcBorders>
              <w:top w:val="single" w:sz="8" w:space="0" w:color="000000"/>
              <w:left w:val="single" w:sz="8" w:space="0" w:color="000000"/>
              <w:bottom w:val="single" w:sz="8" w:space="0" w:color="000000"/>
              <w:right w:val="single" w:sz="8" w:space="0" w:color="000000"/>
            </w:tcBorders>
          </w:tcPr>
          <w:p w14:paraId="55320F22" w14:textId="77777777" w:rsidR="00B37A31" w:rsidRPr="00B024CB" w:rsidRDefault="00B37A31" w:rsidP="00760E5D">
            <w:pPr>
              <w:autoSpaceDE w:val="0"/>
              <w:autoSpaceDN w:val="0"/>
              <w:adjustRightInd w:val="0"/>
              <w:rPr>
                <w:lang w:val="lt-LT"/>
              </w:rPr>
            </w:pPr>
            <w:r w:rsidRPr="00B024CB">
              <w:rPr>
                <w:lang w:val="lt-LT"/>
              </w:rPr>
              <w:t xml:space="preserve">nedažni: </w:t>
            </w:r>
            <w:r>
              <w:rPr>
                <w:lang w:val="lt-LT"/>
              </w:rPr>
              <w:t xml:space="preserve">gali </w:t>
            </w:r>
            <w:r w:rsidRPr="00B024CB">
              <w:rPr>
                <w:lang w:val="lt-LT"/>
              </w:rPr>
              <w:t>paveik</w:t>
            </w:r>
            <w:r>
              <w:rPr>
                <w:lang w:val="lt-LT"/>
              </w:rPr>
              <w:t>ti</w:t>
            </w:r>
            <w:r w:rsidRPr="00B024CB">
              <w:rPr>
                <w:lang w:val="lt-LT"/>
              </w:rPr>
              <w:t xml:space="preserve"> nuo </w:t>
            </w:r>
            <w:r>
              <w:rPr>
                <w:lang w:val="lt-LT"/>
              </w:rPr>
              <w:t xml:space="preserve">ne daugiau kaip </w:t>
            </w:r>
            <w:r w:rsidRPr="00B024CB">
              <w:rPr>
                <w:lang w:val="lt-LT"/>
              </w:rPr>
              <w:t>1 iki 10</w:t>
            </w:r>
            <w:r>
              <w:rPr>
                <w:lang w:val="lt-LT"/>
              </w:rPr>
              <w:t>0 žmonių</w:t>
            </w:r>
            <w:r w:rsidRPr="00B024CB">
              <w:rPr>
                <w:lang w:val="lt-LT"/>
              </w:rPr>
              <w:t xml:space="preserve"> </w:t>
            </w:r>
          </w:p>
        </w:tc>
        <w:tc>
          <w:tcPr>
            <w:tcW w:w="4820" w:type="dxa"/>
            <w:tcBorders>
              <w:top w:val="single" w:sz="8" w:space="0" w:color="000000"/>
              <w:left w:val="single" w:sz="8" w:space="0" w:color="000000"/>
              <w:bottom w:val="single" w:sz="8" w:space="0" w:color="000000"/>
              <w:right w:val="single" w:sz="8" w:space="0" w:color="000000"/>
            </w:tcBorders>
          </w:tcPr>
          <w:p w14:paraId="7C7B6018" w14:textId="77777777" w:rsidR="00B37A31" w:rsidRPr="00B024CB" w:rsidRDefault="00B37A31" w:rsidP="00760E5D">
            <w:pPr>
              <w:rPr>
                <w:lang w:val="lt-LT"/>
              </w:rPr>
            </w:pPr>
            <w:r w:rsidRPr="00B024CB">
              <w:rPr>
                <w:lang w:val="lt-LT"/>
              </w:rPr>
              <w:t>Galvos skausmas, krūtinės skausmas, nenormali elektrokardiograma ir šleikštulys.</w:t>
            </w:r>
          </w:p>
        </w:tc>
      </w:tr>
      <w:tr w:rsidR="00B37A31" w:rsidRPr="003B3EAE" w14:paraId="573C4164" w14:textId="77777777" w:rsidTr="00760E5D">
        <w:trPr>
          <w:trHeight w:val="263"/>
        </w:trPr>
        <w:tc>
          <w:tcPr>
            <w:tcW w:w="4562" w:type="dxa"/>
            <w:tcBorders>
              <w:top w:val="single" w:sz="8" w:space="0" w:color="000000"/>
              <w:left w:val="single" w:sz="8" w:space="0" w:color="000000"/>
              <w:bottom w:val="single" w:sz="8" w:space="0" w:color="000000"/>
              <w:right w:val="single" w:sz="8" w:space="0" w:color="000000"/>
            </w:tcBorders>
          </w:tcPr>
          <w:p w14:paraId="56470CEE" w14:textId="77777777" w:rsidR="00B37A31" w:rsidRPr="00B024CB" w:rsidRDefault="00B37A31" w:rsidP="00760E5D">
            <w:pPr>
              <w:autoSpaceDE w:val="0"/>
              <w:autoSpaceDN w:val="0"/>
              <w:adjustRightInd w:val="0"/>
              <w:rPr>
                <w:lang w:val="lt-LT"/>
              </w:rPr>
            </w:pPr>
            <w:r w:rsidRPr="00B024CB">
              <w:rPr>
                <w:lang w:val="lt-LT"/>
              </w:rPr>
              <w:t xml:space="preserve">reti: </w:t>
            </w:r>
            <w:r>
              <w:rPr>
                <w:lang w:val="lt-LT"/>
              </w:rPr>
              <w:t xml:space="preserve">gali </w:t>
            </w:r>
            <w:r w:rsidRPr="00B024CB">
              <w:rPr>
                <w:lang w:val="lt-LT"/>
              </w:rPr>
              <w:t>paveik</w:t>
            </w:r>
            <w:r>
              <w:rPr>
                <w:lang w:val="lt-LT"/>
              </w:rPr>
              <w:t>ti</w:t>
            </w:r>
            <w:r w:rsidRPr="00B024CB">
              <w:rPr>
                <w:lang w:val="lt-LT"/>
              </w:rPr>
              <w:t xml:space="preserve"> nuo </w:t>
            </w:r>
            <w:r>
              <w:rPr>
                <w:lang w:val="lt-LT"/>
              </w:rPr>
              <w:t xml:space="preserve">ne daugiau kaip </w:t>
            </w:r>
            <w:r w:rsidRPr="00B024CB">
              <w:rPr>
                <w:lang w:val="lt-LT"/>
              </w:rPr>
              <w:t>1 iki 1</w:t>
            </w:r>
            <w:r>
              <w:rPr>
                <w:lang w:val="lt-LT"/>
              </w:rPr>
              <w:t> </w:t>
            </w:r>
            <w:r w:rsidRPr="00B024CB">
              <w:rPr>
                <w:lang w:val="lt-LT"/>
              </w:rPr>
              <w:t>0</w:t>
            </w:r>
            <w:r>
              <w:rPr>
                <w:lang w:val="lt-LT"/>
              </w:rPr>
              <w:t>00  žmonių</w:t>
            </w:r>
          </w:p>
        </w:tc>
        <w:tc>
          <w:tcPr>
            <w:tcW w:w="4820" w:type="dxa"/>
            <w:tcBorders>
              <w:top w:val="single" w:sz="8" w:space="0" w:color="000000"/>
              <w:left w:val="single" w:sz="8" w:space="0" w:color="000000"/>
              <w:bottom w:val="single" w:sz="8" w:space="0" w:color="000000"/>
              <w:right w:val="single" w:sz="8" w:space="0" w:color="000000"/>
            </w:tcBorders>
          </w:tcPr>
          <w:p w14:paraId="7EC7EF82" w14:textId="77777777" w:rsidR="00B37A31" w:rsidRPr="00B024CB" w:rsidRDefault="00B37A31" w:rsidP="00760E5D">
            <w:pPr>
              <w:autoSpaceDE w:val="0"/>
              <w:autoSpaceDN w:val="0"/>
              <w:adjustRightInd w:val="0"/>
              <w:ind w:firstLine="20"/>
              <w:rPr>
                <w:lang w:val="lt-LT"/>
              </w:rPr>
            </w:pPr>
            <w:r>
              <w:rPr>
                <w:lang w:val="lt-LT"/>
              </w:rPr>
              <w:t>N</w:t>
            </w:r>
            <w:r w:rsidRPr="00B024CB">
              <w:rPr>
                <w:lang w:val="lt-LT"/>
              </w:rPr>
              <w:t xml:space="preserve">enormalus širdies ritmas, </w:t>
            </w:r>
            <w:r>
              <w:rPr>
                <w:lang w:val="lt-LT"/>
              </w:rPr>
              <w:t xml:space="preserve">vietinės </w:t>
            </w:r>
            <w:r w:rsidRPr="00B024CB">
              <w:rPr>
                <w:lang w:val="lt-LT"/>
              </w:rPr>
              <w:t xml:space="preserve">reakcijos injekcijos vietoje, skrandžio skausmas, </w:t>
            </w:r>
            <w:r>
              <w:rPr>
                <w:lang w:val="lt-LT"/>
              </w:rPr>
              <w:t xml:space="preserve">skrandžio sutrikimas (dispepsija), </w:t>
            </w:r>
            <w:r w:rsidRPr="00B024CB">
              <w:rPr>
                <w:lang w:val="lt-LT"/>
              </w:rPr>
              <w:t>karščiavimas, alpimas, traukuliai, galvos svaigimas, karščio pylimas, odos tirpimas ar dilgčiojimas, nuovargis</w:t>
            </w:r>
            <w:r>
              <w:rPr>
                <w:lang w:val="lt-LT"/>
              </w:rPr>
              <w:t xml:space="preserve"> ir praeinantys</w:t>
            </w:r>
            <w:r w:rsidRPr="00B024CB">
              <w:rPr>
                <w:lang w:val="lt-LT"/>
              </w:rPr>
              <w:t xml:space="preserve"> sąnarių skausmai.</w:t>
            </w:r>
          </w:p>
        </w:tc>
      </w:tr>
      <w:tr w:rsidR="00B37A31" w:rsidRPr="003B3EAE" w14:paraId="24B29A5C" w14:textId="77777777" w:rsidTr="00760E5D">
        <w:trPr>
          <w:trHeight w:val="263"/>
        </w:trPr>
        <w:tc>
          <w:tcPr>
            <w:tcW w:w="4562" w:type="dxa"/>
            <w:tcBorders>
              <w:top w:val="single" w:sz="8" w:space="0" w:color="000000"/>
              <w:left w:val="single" w:sz="8" w:space="0" w:color="000000"/>
              <w:bottom w:val="single" w:sz="8" w:space="0" w:color="000000"/>
              <w:right w:val="single" w:sz="8" w:space="0" w:color="000000"/>
            </w:tcBorders>
          </w:tcPr>
          <w:p w14:paraId="3DA57A36" w14:textId="77777777" w:rsidR="00B37A31" w:rsidRPr="00B024CB" w:rsidRDefault="00B37A31" w:rsidP="00760E5D">
            <w:pPr>
              <w:autoSpaceDE w:val="0"/>
              <w:autoSpaceDN w:val="0"/>
              <w:adjustRightInd w:val="0"/>
              <w:rPr>
                <w:lang w:val="lt-LT"/>
              </w:rPr>
            </w:pPr>
            <w:r>
              <w:rPr>
                <w:lang w:val="lt-LT"/>
              </w:rPr>
              <w:t xml:space="preserve">dažnis </w:t>
            </w:r>
            <w:r w:rsidRPr="00B024CB">
              <w:rPr>
                <w:lang w:val="lt-LT"/>
              </w:rPr>
              <w:t>nežinom</w:t>
            </w:r>
            <w:r>
              <w:rPr>
                <w:lang w:val="lt-LT"/>
              </w:rPr>
              <w:t>as</w:t>
            </w:r>
            <w:r w:rsidRPr="00B024CB">
              <w:rPr>
                <w:lang w:val="lt-LT"/>
              </w:rPr>
              <w:t xml:space="preserve">: </w:t>
            </w:r>
            <w:r>
              <w:rPr>
                <w:lang w:val="lt-LT"/>
              </w:rPr>
              <w:t xml:space="preserve">negali būti įvertintas </w:t>
            </w:r>
            <w:r w:rsidRPr="00B024CB">
              <w:rPr>
                <w:lang w:val="lt-LT"/>
              </w:rPr>
              <w:t>pagal turimus duomenis</w:t>
            </w:r>
          </w:p>
        </w:tc>
        <w:tc>
          <w:tcPr>
            <w:tcW w:w="4820" w:type="dxa"/>
            <w:tcBorders>
              <w:top w:val="single" w:sz="8" w:space="0" w:color="000000"/>
              <w:left w:val="single" w:sz="8" w:space="0" w:color="000000"/>
              <w:bottom w:val="single" w:sz="8" w:space="0" w:color="000000"/>
              <w:right w:val="single" w:sz="8" w:space="0" w:color="000000"/>
            </w:tcBorders>
          </w:tcPr>
          <w:p w14:paraId="104E3E24" w14:textId="77777777" w:rsidR="00B37A31" w:rsidRPr="00B024CB" w:rsidRDefault="00B37A31" w:rsidP="00760E5D">
            <w:pPr>
              <w:autoSpaceDE w:val="0"/>
              <w:autoSpaceDN w:val="0"/>
              <w:adjustRightInd w:val="0"/>
              <w:rPr>
                <w:lang w:val="lt-LT"/>
              </w:rPr>
            </w:pPr>
            <w:r>
              <w:rPr>
                <w:lang w:val="lt-LT"/>
              </w:rPr>
              <w:t>D</w:t>
            </w:r>
            <w:r w:rsidRPr="00B024CB">
              <w:rPr>
                <w:lang w:val="lt-LT"/>
              </w:rPr>
              <w:t xml:space="preserve">augiaformė </w:t>
            </w:r>
            <w:proofErr w:type="spellStart"/>
            <w:r w:rsidRPr="00B024CB">
              <w:rPr>
                <w:lang w:val="lt-LT"/>
              </w:rPr>
              <w:t>eritema</w:t>
            </w:r>
            <w:proofErr w:type="spellEnd"/>
            <w:r w:rsidRPr="00B024CB">
              <w:rPr>
                <w:lang w:val="lt-LT"/>
              </w:rPr>
              <w:t>, plačiai išplitęs odos ir gleivinės išbėrimas.</w:t>
            </w:r>
          </w:p>
        </w:tc>
      </w:tr>
    </w:tbl>
    <w:p w14:paraId="72D8867F" w14:textId="77777777" w:rsidR="00B37A31" w:rsidRPr="00B024CB" w:rsidRDefault="00B37A31" w:rsidP="00B37A31">
      <w:pPr>
        <w:rPr>
          <w:lang w:val="lt-LT"/>
        </w:rPr>
      </w:pPr>
    </w:p>
    <w:p w14:paraId="77ACB67C" w14:textId="77777777" w:rsidR="00B37A31" w:rsidRPr="001D1840" w:rsidRDefault="00B37A31" w:rsidP="00B37A31">
      <w:pPr>
        <w:rPr>
          <w:lang w:val="lt-LT"/>
        </w:rPr>
      </w:pPr>
      <w:r>
        <w:rPr>
          <w:lang w:val="lt-LT"/>
        </w:rPr>
        <w:t xml:space="preserve">Šioje </w:t>
      </w:r>
      <w:proofErr w:type="spellStart"/>
      <w:r>
        <w:rPr>
          <w:lang w:val="lt-LT"/>
        </w:rPr>
        <w:t>radiofarmacinėje</w:t>
      </w:r>
      <w:proofErr w:type="spellEnd"/>
      <w:r>
        <w:rPr>
          <w:lang w:val="lt-LT"/>
        </w:rPr>
        <w:t xml:space="preserve"> medžiagoje yra nedidelis kiekis jonizuojančios spinduliuotės, susijusios su minimalia vėžio indukcija ir paveldimų sutrikimų rizika.</w:t>
      </w:r>
    </w:p>
    <w:p w14:paraId="37E1B918" w14:textId="77777777" w:rsidR="00B37A31" w:rsidRPr="001D1840" w:rsidRDefault="00B37A31" w:rsidP="00B37A31">
      <w:pPr>
        <w:rPr>
          <w:lang w:val="lt-LT"/>
        </w:rPr>
      </w:pPr>
    </w:p>
    <w:p w14:paraId="6986A5E8" w14:textId="77777777" w:rsidR="00B37A31" w:rsidRPr="001D1840" w:rsidRDefault="00B37A31" w:rsidP="00B37A31">
      <w:pPr>
        <w:rPr>
          <w:lang w:val="lt-LT"/>
        </w:rPr>
      </w:pPr>
      <w:r>
        <w:rPr>
          <w:b/>
          <w:lang w:val="lt-LT"/>
        </w:rPr>
        <w:t>Pranešimas apie šalutinį poveikį</w:t>
      </w:r>
    </w:p>
    <w:p w14:paraId="6D97AD77" w14:textId="77777777" w:rsidR="00B37A31" w:rsidRPr="00DA5056" w:rsidRDefault="00B37A31" w:rsidP="00B37A31">
      <w:pPr>
        <w:spacing w:line="260" w:lineRule="exact"/>
        <w:ind w:right="-1"/>
        <w:rPr>
          <w:lang w:val="lt-LT"/>
        </w:rPr>
      </w:pPr>
      <w:r w:rsidRPr="00976D94">
        <w:rPr>
          <w:noProof/>
          <w:szCs w:val="24"/>
          <w:lang w:val="lt-LT"/>
        </w:rPr>
        <w:t xml:space="preserve">Jeigu pasireiškė šalutinis poveikis, įskaitant šiame lapelyje nenurodytą, pasakykite </w:t>
      </w:r>
      <w:r>
        <w:rPr>
          <w:noProof/>
          <w:szCs w:val="24"/>
          <w:lang w:val="lt-LT"/>
        </w:rPr>
        <w:t xml:space="preserve">branduolinės medicinos </w:t>
      </w:r>
      <w:r w:rsidRPr="00976D94">
        <w:rPr>
          <w:noProof/>
          <w:szCs w:val="24"/>
          <w:lang w:val="lt-LT"/>
        </w:rPr>
        <w:t>gydytojui</w:t>
      </w:r>
      <w:r>
        <w:rPr>
          <w:noProof/>
          <w:szCs w:val="24"/>
          <w:lang w:val="lt-LT"/>
        </w:rPr>
        <w:t xml:space="preserve">. </w:t>
      </w:r>
      <w:r w:rsidRPr="00DA5056">
        <w:rPr>
          <w:szCs w:val="22"/>
          <w:lang w:val="lt-LT" w:eastAsia="lt-LT"/>
        </w:rPr>
        <w:t xml:space="preserve">Pranešimą apie šalutinį poveikį galite užpildyti ir pateikti Valstybinės vaistų kontrolės tarnybos prie Lietuvos Respublikos sveikatos apsaugos ministerijos tinklalapyje </w:t>
      </w:r>
      <w:r w:rsidRPr="00DA5056">
        <w:rPr>
          <w:color w:val="0000EE"/>
          <w:szCs w:val="22"/>
          <w:u w:val="single"/>
          <w:lang w:val="lt-LT" w:eastAsia="lt-LT"/>
        </w:rPr>
        <w:t>https://vvkt.lrv.lt/lt/</w:t>
      </w:r>
      <w:r w:rsidRPr="00DA5056">
        <w:rPr>
          <w:szCs w:val="22"/>
          <w:lang w:val="lt-LT" w:eastAsia="lt-LT"/>
        </w:rPr>
        <w:t xml:space="preserve"> nurodytais būdais arba paskambinti nemokamu telefonu +370 800 73 568. Pranešdami apie šalutinį poveikį galite mums padėti gauti daugiau informacijos apie šio vaisto saugumą</w:t>
      </w:r>
      <w:r w:rsidRPr="00DA5056">
        <w:rPr>
          <w:lang w:val="lt-LT"/>
        </w:rPr>
        <w:t>.</w:t>
      </w:r>
    </w:p>
    <w:p w14:paraId="6EE6958E" w14:textId="77777777" w:rsidR="00B37A31" w:rsidRDefault="00B37A31" w:rsidP="00B37A31">
      <w:pPr>
        <w:rPr>
          <w:szCs w:val="24"/>
          <w:lang w:val="lt-LT"/>
        </w:rPr>
      </w:pPr>
    </w:p>
    <w:p w14:paraId="1F045502" w14:textId="77777777" w:rsidR="00B37A31" w:rsidRDefault="00B37A31" w:rsidP="00B37A31">
      <w:pPr>
        <w:rPr>
          <w:noProof/>
          <w:szCs w:val="24"/>
          <w:lang w:val="lt-LT"/>
        </w:rPr>
      </w:pPr>
      <w:r w:rsidRPr="00124C9F">
        <w:rPr>
          <w:noProof/>
          <w:szCs w:val="24"/>
          <w:lang w:val="lt-LT"/>
        </w:rPr>
        <w:t>Pranešdami apie šalutinį poveikį galite mums padėti gauti dau</w:t>
      </w:r>
      <w:r w:rsidRPr="00976D94">
        <w:rPr>
          <w:noProof/>
          <w:szCs w:val="24"/>
          <w:lang w:val="lt-LT"/>
        </w:rPr>
        <w:t xml:space="preserve">giau informacijos apie šio </w:t>
      </w:r>
      <w:r>
        <w:rPr>
          <w:noProof/>
          <w:szCs w:val="24"/>
          <w:lang w:val="lt-LT"/>
        </w:rPr>
        <w:t>vaisto</w:t>
      </w:r>
      <w:r w:rsidRPr="00976D94">
        <w:rPr>
          <w:noProof/>
          <w:szCs w:val="24"/>
          <w:lang w:val="lt-LT"/>
        </w:rPr>
        <w:t xml:space="preserve"> saugumą</w:t>
      </w:r>
      <w:r>
        <w:rPr>
          <w:noProof/>
          <w:szCs w:val="24"/>
          <w:lang w:val="lt-LT"/>
        </w:rPr>
        <w:t>.</w:t>
      </w:r>
    </w:p>
    <w:p w14:paraId="043E0147" w14:textId="77777777" w:rsidR="00B37A31" w:rsidRPr="00B024CB" w:rsidRDefault="00B37A31" w:rsidP="00B37A31">
      <w:pPr>
        <w:rPr>
          <w:lang w:val="lt-LT"/>
        </w:rPr>
      </w:pPr>
    </w:p>
    <w:p w14:paraId="59C3A236" w14:textId="77777777" w:rsidR="00B37A31" w:rsidRPr="00B024CB" w:rsidRDefault="00B37A31" w:rsidP="00B37A31">
      <w:pPr>
        <w:rPr>
          <w:lang w:val="lt-LT"/>
        </w:rPr>
      </w:pPr>
    </w:p>
    <w:p w14:paraId="4132CBE8" w14:textId="77777777" w:rsidR="00B37A31" w:rsidRPr="00B024CB" w:rsidRDefault="00B37A31" w:rsidP="00B37A31">
      <w:pPr>
        <w:keepNext/>
        <w:numPr>
          <w:ilvl w:val="12"/>
          <w:numId w:val="0"/>
        </w:numPr>
        <w:ind w:left="567" w:hanging="567"/>
        <w:rPr>
          <w:lang w:val="lt-LT"/>
        </w:rPr>
      </w:pPr>
      <w:r w:rsidRPr="00B024CB">
        <w:rPr>
          <w:b/>
          <w:lang w:val="lt-LT"/>
        </w:rPr>
        <w:t>5.</w:t>
      </w:r>
      <w:r w:rsidRPr="00B024CB">
        <w:rPr>
          <w:b/>
          <w:lang w:val="lt-LT"/>
        </w:rPr>
        <w:tab/>
        <w:t>K</w:t>
      </w:r>
      <w:r>
        <w:rPr>
          <w:b/>
          <w:lang w:val="lt-LT"/>
        </w:rPr>
        <w:t xml:space="preserve">aip laikyti </w:t>
      </w:r>
      <w:proofErr w:type="spellStart"/>
      <w:r w:rsidRPr="00F33A1C">
        <w:rPr>
          <w:b/>
          <w:lang w:val="lt-LT"/>
        </w:rPr>
        <w:t>Technescan</w:t>
      </w:r>
      <w:proofErr w:type="spellEnd"/>
      <w:r w:rsidRPr="00F33A1C">
        <w:rPr>
          <w:b/>
          <w:lang w:val="lt-LT"/>
        </w:rPr>
        <w:t xml:space="preserve"> </w:t>
      </w:r>
      <w:proofErr w:type="spellStart"/>
      <w:r w:rsidRPr="00F33A1C">
        <w:rPr>
          <w:b/>
          <w:lang w:val="lt-LT"/>
        </w:rPr>
        <w:t>Sestamibi</w:t>
      </w:r>
      <w:proofErr w:type="spellEnd"/>
    </w:p>
    <w:p w14:paraId="54C55866" w14:textId="77777777" w:rsidR="00B37A31" w:rsidRPr="00B024CB" w:rsidRDefault="00B37A31" w:rsidP="00B37A31">
      <w:pPr>
        <w:rPr>
          <w:lang w:val="lt-LT"/>
        </w:rPr>
      </w:pPr>
    </w:p>
    <w:p w14:paraId="31DD2815" w14:textId="77777777" w:rsidR="00B37A31" w:rsidRPr="00214AB6" w:rsidRDefault="00B37A31" w:rsidP="00B37A31">
      <w:pPr>
        <w:rPr>
          <w:lang w:val="lt-LT"/>
        </w:rPr>
      </w:pPr>
      <w:r>
        <w:rPr>
          <w:lang w:val="lt-LT"/>
        </w:rPr>
        <w:t>Jums nereikės</w:t>
      </w:r>
      <w:r w:rsidRPr="00F71B8F">
        <w:rPr>
          <w:lang w:val="lt-LT"/>
        </w:rPr>
        <w:t xml:space="preserve"> laikyti </w:t>
      </w:r>
      <w:r>
        <w:rPr>
          <w:lang w:val="lt-LT"/>
        </w:rPr>
        <w:t>šio vaisto.</w:t>
      </w:r>
      <w:r w:rsidRPr="001D1840">
        <w:rPr>
          <w:lang w:val="lt-LT"/>
        </w:rPr>
        <w:t xml:space="preserve"> </w:t>
      </w:r>
      <w:r>
        <w:rPr>
          <w:lang w:val="lt-LT"/>
        </w:rPr>
        <w:t>Šis vaistas laikomas specialisto atsakomybe atitinkamose patalpose.</w:t>
      </w:r>
      <w:r w:rsidRPr="00214AB6">
        <w:rPr>
          <w:lang w:val="lt-LT"/>
        </w:rPr>
        <w:t xml:space="preserve"> </w:t>
      </w:r>
      <w:proofErr w:type="spellStart"/>
      <w:r>
        <w:rPr>
          <w:lang w:val="lt-LT"/>
        </w:rPr>
        <w:t>Radiofarmacinės</w:t>
      </w:r>
      <w:proofErr w:type="spellEnd"/>
      <w:r>
        <w:rPr>
          <w:lang w:val="lt-LT"/>
        </w:rPr>
        <w:t xml:space="preserve"> medžiagos bus laikomos laikantis radioaktyvioms medžiagoms taikomų nacionalinių reikalavimų.</w:t>
      </w:r>
    </w:p>
    <w:p w14:paraId="0C577E1B" w14:textId="77777777" w:rsidR="00B37A31" w:rsidRPr="00214AB6" w:rsidRDefault="00B37A31" w:rsidP="00B37A31">
      <w:pPr>
        <w:rPr>
          <w:lang w:val="lt-LT"/>
        </w:rPr>
      </w:pPr>
    </w:p>
    <w:p w14:paraId="138D886F" w14:textId="77777777" w:rsidR="00B37A31" w:rsidRPr="00214AB6" w:rsidRDefault="00B37A31" w:rsidP="00B37A31">
      <w:pPr>
        <w:rPr>
          <w:lang w:val="sv-SE"/>
        </w:rPr>
      </w:pPr>
      <w:r>
        <w:rPr>
          <w:lang w:val="lt-LT"/>
        </w:rPr>
        <w:t>Toliau pateikta informacija skirta tik sveikatos priežiūros specialistams:</w:t>
      </w:r>
    </w:p>
    <w:p w14:paraId="37B7CDC3" w14:textId="77777777" w:rsidR="00B37A31" w:rsidRPr="00B024CB" w:rsidRDefault="00B37A31" w:rsidP="00B37A31">
      <w:pPr>
        <w:rPr>
          <w:lang w:val="lt-LT"/>
        </w:rPr>
      </w:pPr>
    </w:p>
    <w:p w14:paraId="215D779A" w14:textId="77777777" w:rsidR="00B37A31" w:rsidRPr="00F71B8F" w:rsidRDefault="00B37A31" w:rsidP="00B37A31">
      <w:pPr>
        <w:rPr>
          <w:lang w:val="lt-LT"/>
        </w:rPr>
      </w:pPr>
      <w:r w:rsidRPr="00F71B8F">
        <w:rPr>
          <w:lang w:val="lt-LT"/>
        </w:rPr>
        <w:t xml:space="preserve">Ant </w:t>
      </w:r>
      <w:r>
        <w:rPr>
          <w:noProof/>
          <w:lang w:val="lt-LT"/>
        </w:rPr>
        <w:t xml:space="preserve">etiketės po „Tinka iki“ </w:t>
      </w:r>
      <w:r w:rsidRPr="00F71B8F">
        <w:rPr>
          <w:lang w:val="lt-LT"/>
        </w:rPr>
        <w:t xml:space="preserve">nurodytam tinkamumo laikui pasibaigus, šio vaisto vartoti negalima. </w:t>
      </w:r>
    </w:p>
    <w:p w14:paraId="19C2068B" w14:textId="77777777" w:rsidR="00B37A31" w:rsidRPr="00B024CB" w:rsidRDefault="00B37A31" w:rsidP="00B37A31">
      <w:pPr>
        <w:rPr>
          <w:noProof/>
          <w:lang w:val="lt-LT"/>
        </w:rPr>
      </w:pPr>
    </w:p>
    <w:p w14:paraId="4381D3CB" w14:textId="77777777" w:rsidR="00B37A31" w:rsidRPr="00B024CB" w:rsidRDefault="00B37A31" w:rsidP="00B37A31">
      <w:pPr>
        <w:spacing w:line="260" w:lineRule="exact"/>
        <w:rPr>
          <w:lang w:val="lt-LT"/>
        </w:rPr>
      </w:pPr>
    </w:p>
    <w:p w14:paraId="66A6EFA8" w14:textId="77777777" w:rsidR="00B37A31" w:rsidRPr="00B024CB" w:rsidRDefault="00B37A31" w:rsidP="00B37A31">
      <w:pPr>
        <w:keepNext/>
        <w:numPr>
          <w:ilvl w:val="12"/>
          <w:numId w:val="0"/>
        </w:numPr>
        <w:ind w:right="-2"/>
        <w:rPr>
          <w:lang w:val="lt-LT"/>
        </w:rPr>
      </w:pPr>
      <w:r w:rsidRPr="00B024CB">
        <w:rPr>
          <w:b/>
          <w:lang w:val="lt-LT"/>
        </w:rPr>
        <w:t>6.</w:t>
      </w:r>
      <w:r w:rsidRPr="00B024CB">
        <w:rPr>
          <w:b/>
          <w:lang w:val="lt-LT"/>
        </w:rPr>
        <w:tab/>
        <w:t>P</w:t>
      </w:r>
      <w:r>
        <w:rPr>
          <w:b/>
          <w:lang w:val="lt-LT"/>
        </w:rPr>
        <w:t xml:space="preserve">akuotės turinys ir kita informacija </w:t>
      </w:r>
    </w:p>
    <w:p w14:paraId="2D44E2DD" w14:textId="77777777" w:rsidR="00B37A31" w:rsidRPr="00F71B8F" w:rsidRDefault="00B37A31" w:rsidP="00B37A31">
      <w:pPr>
        <w:numPr>
          <w:ilvl w:val="12"/>
          <w:numId w:val="0"/>
        </w:numPr>
        <w:ind w:right="-2"/>
        <w:rPr>
          <w:lang w:val="lt-LT"/>
        </w:rPr>
      </w:pPr>
      <w:proofErr w:type="spellStart"/>
      <w:r w:rsidRPr="00F71B8F">
        <w:rPr>
          <w:lang w:val="lt-LT"/>
        </w:rPr>
        <w:t>Technescan</w:t>
      </w:r>
      <w:proofErr w:type="spellEnd"/>
      <w:r w:rsidRPr="00F71B8F">
        <w:rPr>
          <w:lang w:val="lt-LT"/>
        </w:rPr>
        <w:t xml:space="preserve"> </w:t>
      </w:r>
      <w:proofErr w:type="spellStart"/>
      <w:r w:rsidRPr="00F71B8F">
        <w:rPr>
          <w:lang w:val="lt-LT"/>
        </w:rPr>
        <w:t>Sestamibi</w:t>
      </w:r>
      <w:proofErr w:type="spellEnd"/>
      <w:r w:rsidRPr="00F71B8F">
        <w:rPr>
          <w:lang w:val="lt-LT"/>
        </w:rPr>
        <w:t xml:space="preserve"> sudėtis</w:t>
      </w:r>
    </w:p>
    <w:p w14:paraId="46C0022A" w14:textId="77777777" w:rsidR="00B37A31" w:rsidRPr="00B024CB" w:rsidRDefault="00B37A31" w:rsidP="00B37A31">
      <w:pPr>
        <w:numPr>
          <w:ilvl w:val="12"/>
          <w:numId w:val="0"/>
        </w:numPr>
        <w:ind w:right="-2"/>
        <w:rPr>
          <w:u w:val="single"/>
          <w:lang w:val="lt-LT"/>
        </w:rPr>
      </w:pPr>
    </w:p>
    <w:p w14:paraId="4F1FE2D8" w14:textId="77777777" w:rsidR="00B37A31" w:rsidRPr="00B024CB" w:rsidRDefault="00B37A31" w:rsidP="00B37A31">
      <w:pPr>
        <w:numPr>
          <w:ilvl w:val="0"/>
          <w:numId w:val="39"/>
        </w:numPr>
        <w:tabs>
          <w:tab w:val="clear" w:pos="360"/>
          <w:tab w:val="num" w:pos="567"/>
        </w:tabs>
        <w:ind w:left="567" w:hanging="567"/>
        <w:rPr>
          <w:lang w:val="lt-LT"/>
        </w:rPr>
      </w:pPr>
      <w:r w:rsidRPr="00B024CB">
        <w:rPr>
          <w:lang w:val="lt-LT"/>
        </w:rPr>
        <w:t>Veiklioji medžiaga yra [</w:t>
      </w:r>
      <w:proofErr w:type="spellStart"/>
      <w:r w:rsidRPr="00B024CB">
        <w:rPr>
          <w:lang w:val="lt-LT"/>
        </w:rPr>
        <w:t>tetrakis</w:t>
      </w:r>
      <w:proofErr w:type="spellEnd"/>
      <w:r w:rsidRPr="00B024CB">
        <w:rPr>
          <w:lang w:val="lt-LT"/>
        </w:rPr>
        <w:t xml:space="preserve">(2-metoksi-2-metilpropil-1 </w:t>
      </w:r>
      <w:proofErr w:type="spellStart"/>
      <w:r w:rsidRPr="00B024CB">
        <w:rPr>
          <w:lang w:val="lt-LT"/>
        </w:rPr>
        <w:t>izocianido</w:t>
      </w:r>
      <w:proofErr w:type="spellEnd"/>
      <w:r w:rsidRPr="00B024CB">
        <w:rPr>
          <w:lang w:val="lt-LT"/>
        </w:rPr>
        <w:t xml:space="preserve">)vario(I)] </w:t>
      </w:r>
      <w:proofErr w:type="spellStart"/>
      <w:r w:rsidRPr="00B024CB">
        <w:rPr>
          <w:lang w:val="lt-LT"/>
        </w:rPr>
        <w:t>tetrafluorboratas</w:t>
      </w:r>
      <w:proofErr w:type="spellEnd"/>
      <w:r w:rsidRPr="00B024CB">
        <w:rPr>
          <w:lang w:val="lt-LT"/>
        </w:rPr>
        <w:t>.</w:t>
      </w:r>
    </w:p>
    <w:p w14:paraId="154E4D4A" w14:textId="77777777" w:rsidR="00B37A31" w:rsidRPr="00B024CB" w:rsidRDefault="00B37A31" w:rsidP="00B37A31">
      <w:pPr>
        <w:tabs>
          <w:tab w:val="clear" w:pos="567"/>
        </w:tabs>
        <w:ind w:left="567"/>
        <w:rPr>
          <w:lang w:val="lt-LT"/>
        </w:rPr>
      </w:pPr>
      <w:r w:rsidRPr="00B024CB">
        <w:rPr>
          <w:lang w:val="lt-LT"/>
        </w:rPr>
        <w:t>Viename flakone yra 1 mg [</w:t>
      </w:r>
      <w:proofErr w:type="spellStart"/>
      <w:r w:rsidRPr="00B024CB">
        <w:rPr>
          <w:lang w:val="lt-LT"/>
        </w:rPr>
        <w:t>tetrakis</w:t>
      </w:r>
      <w:proofErr w:type="spellEnd"/>
      <w:r w:rsidRPr="00B024CB">
        <w:rPr>
          <w:lang w:val="lt-LT"/>
        </w:rPr>
        <w:t xml:space="preserve">(2-metoksi-2-metilpropil-1 </w:t>
      </w:r>
      <w:proofErr w:type="spellStart"/>
      <w:r w:rsidRPr="00B024CB">
        <w:rPr>
          <w:lang w:val="lt-LT"/>
        </w:rPr>
        <w:t>izocianido</w:t>
      </w:r>
      <w:proofErr w:type="spellEnd"/>
      <w:r w:rsidRPr="00B024CB">
        <w:rPr>
          <w:lang w:val="lt-LT"/>
        </w:rPr>
        <w:t xml:space="preserve">)vario(I)] </w:t>
      </w:r>
      <w:proofErr w:type="spellStart"/>
      <w:r w:rsidRPr="00B024CB">
        <w:rPr>
          <w:lang w:val="lt-LT"/>
        </w:rPr>
        <w:t>tetrafluorborato</w:t>
      </w:r>
      <w:proofErr w:type="spellEnd"/>
      <w:r w:rsidRPr="00B024CB">
        <w:rPr>
          <w:lang w:val="lt-LT"/>
        </w:rPr>
        <w:t>.</w:t>
      </w:r>
    </w:p>
    <w:p w14:paraId="77F7DB08" w14:textId="77777777" w:rsidR="00B37A31" w:rsidRPr="00B024CB" w:rsidRDefault="00B37A31" w:rsidP="00B37A31">
      <w:pPr>
        <w:numPr>
          <w:ilvl w:val="0"/>
          <w:numId w:val="39"/>
        </w:numPr>
        <w:tabs>
          <w:tab w:val="clear" w:pos="360"/>
          <w:tab w:val="num" w:pos="567"/>
        </w:tabs>
        <w:ind w:left="567" w:hanging="567"/>
        <w:rPr>
          <w:lang w:val="lt-LT"/>
        </w:rPr>
      </w:pPr>
      <w:r w:rsidRPr="00B024CB">
        <w:rPr>
          <w:lang w:val="lt-LT"/>
        </w:rPr>
        <w:t xml:space="preserve">Pagalbinės medžiagos yra alavo (II) chloridas </w:t>
      </w:r>
      <w:proofErr w:type="spellStart"/>
      <w:r w:rsidRPr="00B024CB">
        <w:rPr>
          <w:lang w:val="lt-LT"/>
        </w:rPr>
        <w:t>dihidratas</w:t>
      </w:r>
      <w:proofErr w:type="spellEnd"/>
      <w:r w:rsidRPr="00B024CB">
        <w:rPr>
          <w:lang w:val="lt-LT"/>
        </w:rPr>
        <w:t xml:space="preserve">, </w:t>
      </w:r>
      <w:proofErr w:type="spellStart"/>
      <w:r w:rsidRPr="00B024CB">
        <w:rPr>
          <w:lang w:val="lt-LT"/>
        </w:rPr>
        <w:t>cisteino</w:t>
      </w:r>
      <w:proofErr w:type="spellEnd"/>
      <w:r w:rsidRPr="00B024CB">
        <w:rPr>
          <w:lang w:val="lt-LT"/>
        </w:rPr>
        <w:t xml:space="preserve"> hidrochloridas </w:t>
      </w:r>
      <w:proofErr w:type="spellStart"/>
      <w:r w:rsidRPr="00B024CB">
        <w:rPr>
          <w:lang w:val="lt-LT"/>
        </w:rPr>
        <w:t>monohidratas</w:t>
      </w:r>
      <w:proofErr w:type="spellEnd"/>
      <w:r w:rsidRPr="00B024CB">
        <w:rPr>
          <w:lang w:val="lt-LT"/>
        </w:rPr>
        <w:t xml:space="preserve">, natrio citratas, </w:t>
      </w:r>
      <w:proofErr w:type="spellStart"/>
      <w:r w:rsidRPr="00B024CB">
        <w:rPr>
          <w:lang w:val="lt-LT"/>
        </w:rPr>
        <w:t>manitolis</w:t>
      </w:r>
      <w:proofErr w:type="spellEnd"/>
      <w:r w:rsidRPr="00B024CB">
        <w:rPr>
          <w:lang w:val="lt-LT"/>
        </w:rPr>
        <w:t>, vandenilio chlorido rūgštis ir natrio hidroksidas.</w:t>
      </w:r>
    </w:p>
    <w:p w14:paraId="7A9AC939" w14:textId="77777777" w:rsidR="00B37A31" w:rsidRPr="00B024CB" w:rsidRDefault="00B37A31" w:rsidP="00B37A31">
      <w:pPr>
        <w:spacing w:line="260" w:lineRule="exact"/>
        <w:rPr>
          <w:lang w:val="lt-LT"/>
        </w:rPr>
      </w:pPr>
    </w:p>
    <w:p w14:paraId="1F2691B6" w14:textId="77777777" w:rsidR="00B37A31" w:rsidRPr="00B024CB" w:rsidRDefault="00B37A31" w:rsidP="00B37A31">
      <w:pPr>
        <w:numPr>
          <w:ilvl w:val="12"/>
          <w:numId w:val="0"/>
        </w:numPr>
        <w:ind w:right="-2"/>
        <w:rPr>
          <w:b/>
          <w:lang w:val="lt-LT"/>
        </w:rPr>
      </w:pPr>
      <w:proofErr w:type="spellStart"/>
      <w:r w:rsidRPr="00B024CB">
        <w:rPr>
          <w:b/>
          <w:bCs/>
          <w:lang w:val="lt-LT"/>
        </w:rPr>
        <w:t>Technescan</w:t>
      </w:r>
      <w:proofErr w:type="spellEnd"/>
      <w:r w:rsidRPr="00B024CB">
        <w:rPr>
          <w:b/>
          <w:lang w:val="lt-LT"/>
        </w:rPr>
        <w:t xml:space="preserve"> </w:t>
      </w:r>
      <w:proofErr w:type="spellStart"/>
      <w:r w:rsidRPr="00B024CB">
        <w:rPr>
          <w:b/>
          <w:lang w:val="lt-LT"/>
        </w:rPr>
        <w:t>Sestamibi</w:t>
      </w:r>
      <w:proofErr w:type="spellEnd"/>
      <w:r w:rsidRPr="00B024CB">
        <w:rPr>
          <w:b/>
          <w:lang w:val="lt-LT"/>
        </w:rPr>
        <w:t xml:space="preserve"> </w:t>
      </w:r>
      <w:r w:rsidRPr="00B024CB">
        <w:rPr>
          <w:b/>
          <w:bCs/>
          <w:lang w:val="lt-LT"/>
        </w:rPr>
        <w:t>išvaizda ir kiekis pakuotėje</w:t>
      </w:r>
    </w:p>
    <w:p w14:paraId="25B0AC4A" w14:textId="77777777" w:rsidR="00B37A31" w:rsidRPr="00B024CB" w:rsidRDefault="00B37A31" w:rsidP="00B37A31">
      <w:pPr>
        <w:ind w:left="567" w:hanging="567"/>
        <w:rPr>
          <w:lang w:val="lt-LT"/>
        </w:rPr>
      </w:pPr>
    </w:p>
    <w:p w14:paraId="05CE5D11" w14:textId="77777777" w:rsidR="00B37A31" w:rsidRPr="00B024CB" w:rsidRDefault="00B37A31" w:rsidP="00B37A31">
      <w:pPr>
        <w:rPr>
          <w:lang w:val="lt-LT"/>
        </w:rPr>
      </w:pPr>
      <w:r w:rsidRPr="00B024CB">
        <w:rPr>
          <w:lang w:val="lt-LT"/>
        </w:rPr>
        <w:t xml:space="preserve">Tai yra rinkinys </w:t>
      </w:r>
      <w:proofErr w:type="spellStart"/>
      <w:r w:rsidRPr="00B024CB">
        <w:rPr>
          <w:lang w:val="lt-LT"/>
        </w:rPr>
        <w:t>radiofarmaciniam</w:t>
      </w:r>
      <w:proofErr w:type="spellEnd"/>
      <w:r w:rsidRPr="00B024CB">
        <w:rPr>
          <w:lang w:val="lt-LT"/>
        </w:rPr>
        <w:t xml:space="preserve"> preparatui.</w:t>
      </w:r>
    </w:p>
    <w:p w14:paraId="58D501E8" w14:textId="77777777" w:rsidR="00B37A31" w:rsidRPr="00B024CB" w:rsidRDefault="00B37A31" w:rsidP="00B37A31">
      <w:pPr>
        <w:spacing w:line="260" w:lineRule="exact"/>
        <w:rPr>
          <w:lang w:val="lt-LT"/>
        </w:rPr>
      </w:pPr>
    </w:p>
    <w:p w14:paraId="7EB70BFA" w14:textId="77777777" w:rsidR="00B37A31" w:rsidRPr="00B024CB" w:rsidRDefault="00B37A31" w:rsidP="00B37A31">
      <w:pPr>
        <w:rPr>
          <w:lang w:val="lt-LT"/>
        </w:rPr>
      </w:pPr>
      <w:proofErr w:type="spellStart"/>
      <w:r w:rsidRPr="00B024CB">
        <w:rPr>
          <w:lang w:val="lt-LT"/>
        </w:rPr>
        <w:t>Technescan</w:t>
      </w:r>
      <w:proofErr w:type="spellEnd"/>
      <w:r w:rsidRPr="00B024CB">
        <w:rPr>
          <w:lang w:val="lt-LT"/>
        </w:rPr>
        <w:t xml:space="preserve"> </w:t>
      </w:r>
      <w:proofErr w:type="spellStart"/>
      <w:r w:rsidRPr="00B024CB">
        <w:rPr>
          <w:lang w:val="lt-LT"/>
        </w:rPr>
        <w:t>Sestamibi</w:t>
      </w:r>
      <w:proofErr w:type="spellEnd"/>
      <w:r w:rsidRPr="00B024CB">
        <w:rPr>
          <w:lang w:val="lt-LT"/>
        </w:rPr>
        <w:t xml:space="preserve"> sudėtyje yra baltos arba beveik baltos granulės arba milteliai, kurie turi būti ištirpinti ir prieš injekciją sumaišyti su radioaktyviu </w:t>
      </w:r>
      <w:proofErr w:type="spellStart"/>
      <w:r w:rsidRPr="00B024CB">
        <w:rPr>
          <w:lang w:val="lt-LT"/>
        </w:rPr>
        <w:t>techneciu</w:t>
      </w:r>
      <w:proofErr w:type="spellEnd"/>
      <w:r w:rsidRPr="00B024CB">
        <w:rPr>
          <w:lang w:val="lt-LT"/>
        </w:rPr>
        <w:t xml:space="preserve">. Prie flakono turinio pridėjus natrio </w:t>
      </w:r>
      <w:proofErr w:type="spellStart"/>
      <w:r w:rsidRPr="00B024CB">
        <w:rPr>
          <w:lang w:val="lt-LT"/>
        </w:rPr>
        <w:t>pertechnetato</w:t>
      </w:r>
      <w:proofErr w:type="spellEnd"/>
      <w:r w:rsidRPr="00B024CB">
        <w:rPr>
          <w:lang w:val="lt-LT"/>
        </w:rPr>
        <w:t xml:space="preserve"> (</w:t>
      </w:r>
      <w:r w:rsidRPr="00B024CB">
        <w:rPr>
          <w:vertAlign w:val="superscript"/>
          <w:lang w:val="lt-LT"/>
        </w:rPr>
        <w:t>99m</w:t>
      </w:r>
      <w:r w:rsidRPr="00B024CB">
        <w:rPr>
          <w:lang w:val="lt-LT"/>
        </w:rPr>
        <w:t xml:space="preserve">Tc), susidaro </w:t>
      </w:r>
      <w:proofErr w:type="spellStart"/>
      <w:r w:rsidRPr="00B024CB">
        <w:rPr>
          <w:lang w:val="lt-LT"/>
        </w:rPr>
        <w:t>Technetium</w:t>
      </w:r>
      <w:proofErr w:type="spellEnd"/>
      <w:r w:rsidRPr="00B024CB">
        <w:rPr>
          <w:lang w:val="lt-LT"/>
        </w:rPr>
        <w:t xml:space="preserve"> (</w:t>
      </w:r>
      <w:r w:rsidRPr="00B024CB">
        <w:rPr>
          <w:vertAlign w:val="superscript"/>
          <w:lang w:val="lt-LT"/>
        </w:rPr>
        <w:t>99m</w:t>
      </w:r>
      <w:r w:rsidRPr="00B024CB">
        <w:rPr>
          <w:lang w:val="lt-LT"/>
        </w:rPr>
        <w:t xml:space="preserve">Tc) </w:t>
      </w:r>
      <w:proofErr w:type="spellStart"/>
      <w:r w:rsidRPr="00B024CB">
        <w:rPr>
          <w:lang w:val="lt-LT"/>
        </w:rPr>
        <w:t>Sestamibi</w:t>
      </w:r>
      <w:proofErr w:type="spellEnd"/>
      <w:r w:rsidRPr="00B024CB">
        <w:rPr>
          <w:lang w:val="lt-LT"/>
        </w:rPr>
        <w:t>. Šis tirpalas paruoštas injekcijai.</w:t>
      </w:r>
    </w:p>
    <w:p w14:paraId="4F5368D6" w14:textId="77777777" w:rsidR="00B37A31" w:rsidRPr="00B024CB" w:rsidRDefault="00B37A31" w:rsidP="00B37A31">
      <w:pPr>
        <w:spacing w:line="260" w:lineRule="exact"/>
        <w:rPr>
          <w:lang w:val="lt-LT"/>
        </w:rPr>
      </w:pPr>
    </w:p>
    <w:p w14:paraId="4DE9ACB0" w14:textId="77777777" w:rsidR="00B37A31" w:rsidRPr="00B024CB" w:rsidRDefault="00B37A31" w:rsidP="00B37A31">
      <w:pPr>
        <w:rPr>
          <w:lang w:val="lt-LT"/>
        </w:rPr>
      </w:pPr>
      <w:r w:rsidRPr="00B024CB">
        <w:rPr>
          <w:lang w:val="lt-LT"/>
        </w:rPr>
        <w:t>Pakuotės dydis</w:t>
      </w:r>
      <w:r>
        <w:rPr>
          <w:lang w:val="lt-LT"/>
        </w:rPr>
        <w:t>:</w:t>
      </w:r>
    </w:p>
    <w:p w14:paraId="1892B8B4" w14:textId="77777777" w:rsidR="00B37A31" w:rsidRPr="00B024CB" w:rsidRDefault="00B37A31" w:rsidP="00B37A31">
      <w:pPr>
        <w:rPr>
          <w:lang w:val="lt-LT"/>
        </w:rPr>
      </w:pPr>
      <w:r w:rsidRPr="00B024CB">
        <w:rPr>
          <w:lang w:val="lt-LT"/>
        </w:rPr>
        <w:t>5 </w:t>
      </w:r>
      <w:proofErr w:type="spellStart"/>
      <w:r w:rsidRPr="00B024CB">
        <w:rPr>
          <w:lang w:val="lt-LT"/>
        </w:rPr>
        <w:t>daugiadoziai</w:t>
      </w:r>
      <w:proofErr w:type="spellEnd"/>
      <w:r w:rsidRPr="00B024CB">
        <w:rPr>
          <w:lang w:val="lt-LT"/>
        </w:rPr>
        <w:t xml:space="preserve"> flakonai</w:t>
      </w:r>
      <w:r>
        <w:rPr>
          <w:lang w:val="lt-LT"/>
        </w:rPr>
        <w:t>.</w:t>
      </w:r>
    </w:p>
    <w:p w14:paraId="4FC47FEC" w14:textId="77777777" w:rsidR="00B37A31" w:rsidRPr="00B024CB" w:rsidRDefault="00B37A31" w:rsidP="00B37A31">
      <w:pPr>
        <w:spacing w:line="260" w:lineRule="exact"/>
        <w:rPr>
          <w:lang w:val="lt-LT"/>
        </w:rPr>
      </w:pPr>
    </w:p>
    <w:p w14:paraId="406C52DB" w14:textId="77777777" w:rsidR="00B37A31" w:rsidRPr="00B024CB" w:rsidRDefault="00B37A31" w:rsidP="00B37A31">
      <w:pPr>
        <w:numPr>
          <w:ilvl w:val="12"/>
          <w:numId w:val="0"/>
        </w:numPr>
        <w:ind w:right="-2"/>
        <w:rPr>
          <w:b/>
          <w:bCs/>
          <w:lang w:val="lt-LT"/>
        </w:rPr>
      </w:pPr>
      <w:proofErr w:type="spellStart"/>
      <w:r w:rsidRPr="00B024CB">
        <w:rPr>
          <w:b/>
          <w:bCs/>
          <w:lang w:val="lt-LT"/>
        </w:rPr>
        <w:t>R</w:t>
      </w:r>
      <w:r>
        <w:rPr>
          <w:b/>
          <w:bCs/>
          <w:lang w:val="lt-LT"/>
        </w:rPr>
        <w:t>egistruot</w:t>
      </w:r>
      <w:r w:rsidRPr="00B024CB">
        <w:rPr>
          <w:b/>
          <w:bCs/>
          <w:lang w:val="lt-LT"/>
        </w:rPr>
        <w:t>tojas</w:t>
      </w:r>
      <w:proofErr w:type="spellEnd"/>
      <w:r w:rsidRPr="00B024CB">
        <w:rPr>
          <w:b/>
          <w:bCs/>
          <w:lang w:val="lt-LT"/>
        </w:rPr>
        <w:t xml:space="preserve"> ir gamintojas</w:t>
      </w:r>
    </w:p>
    <w:p w14:paraId="16B37866" w14:textId="77777777" w:rsidR="00B37A31" w:rsidRPr="00B024CB" w:rsidRDefault="00B37A31" w:rsidP="00B37A31">
      <w:pPr>
        <w:numPr>
          <w:ilvl w:val="12"/>
          <w:numId w:val="0"/>
        </w:numPr>
        <w:ind w:right="-2"/>
        <w:rPr>
          <w:lang w:val="lt-LT"/>
        </w:rPr>
      </w:pPr>
    </w:p>
    <w:p w14:paraId="7E1E968D" w14:textId="77777777" w:rsidR="00B37A31" w:rsidRPr="00B024CB" w:rsidRDefault="00B37A31" w:rsidP="00B37A31">
      <w:pPr>
        <w:rPr>
          <w:lang w:val="lt-LT"/>
        </w:rPr>
      </w:pPr>
      <w:proofErr w:type="spellStart"/>
      <w:r>
        <w:rPr>
          <w:lang w:val="lt-LT"/>
        </w:rPr>
        <w:t>Curium</w:t>
      </w:r>
      <w:proofErr w:type="spellEnd"/>
      <w:r>
        <w:rPr>
          <w:lang w:val="lt-LT"/>
        </w:rPr>
        <w:t xml:space="preserve"> </w:t>
      </w:r>
      <w:proofErr w:type="spellStart"/>
      <w:r>
        <w:rPr>
          <w:lang w:val="lt-LT"/>
        </w:rPr>
        <w:t>Netherlands</w:t>
      </w:r>
      <w:proofErr w:type="spellEnd"/>
      <w:r w:rsidRPr="00B024CB">
        <w:rPr>
          <w:lang w:val="lt-LT"/>
        </w:rPr>
        <w:t xml:space="preserve"> B.V.</w:t>
      </w:r>
    </w:p>
    <w:p w14:paraId="76829395" w14:textId="77777777" w:rsidR="00B37A31" w:rsidRPr="00B024CB" w:rsidRDefault="00B37A31" w:rsidP="00B37A31">
      <w:pPr>
        <w:rPr>
          <w:lang w:val="lt-LT"/>
        </w:rPr>
      </w:pPr>
      <w:proofErr w:type="spellStart"/>
      <w:r w:rsidRPr="00B024CB">
        <w:rPr>
          <w:lang w:val="lt-LT"/>
        </w:rPr>
        <w:t>Westerduinweg</w:t>
      </w:r>
      <w:proofErr w:type="spellEnd"/>
      <w:r w:rsidRPr="00B024CB">
        <w:rPr>
          <w:lang w:val="lt-LT"/>
        </w:rPr>
        <w:t xml:space="preserve"> 3</w:t>
      </w:r>
    </w:p>
    <w:p w14:paraId="0A64BEC8" w14:textId="77777777" w:rsidR="00B37A31" w:rsidRPr="00B024CB" w:rsidRDefault="00B37A31" w:rsidP="00B37A31">
      <w:pPr>
        <w:rPr>
          <w:lang w:val="lt-LT"/>
        </w:rPr>
      </w:pPr>
      <w:r w:rsidRPr="00B024CB">
        <w:rPr>
          <w:lang w:val="lt-LT"/>
        </w:rPr>
        <w:t>1755 LE PETTEN</w:t>
      </w:r>
    </w:p>
    <w:p w14:paraId="55F7B7AD" w14:textId="77777777" w:rsidR="00B37A31" w:rsidRPr="00B024CB" w:rsidRDefault="00B37A31" w:rsidP="00B37A31">
      <w:pPr>
        <w:rPr>
          <w:lang w:val="lt-LT"/>
        </w:rPr>
      </w:pPr>
      <w:r w:rsidRPr="00B024CB">
        <w:rPr>
          <w:lang w:val="lt-LT"/>
        </w:rPr>
        <w:t>Nyderlandai</w:t>
      </w:r>
    </w:p>
    <w:p w14:paraId="1B4E4A75" w14:textId="77777777" w:rsidR="00B37A31" w:rsidRPr="00B024CB" w:rsidRDefault="00B37A31" w:rsidP="00B37A31">
      <w:pPr>
        <w:spacing w:line="260" w:lineRule="exact"/>
        <w:rPr>
          <w:lang w:val="lt-LT"/>
        </w:rPr>
      </w:pPr>
    </w:p>
    <w:p w14:paraId="258B1F7B" w14:textId="77777777" w:rsidR="00B37A31" w:rsidRPr="00B024CB" w:rsidRDefault="00B37A31" w:rsidP="00B37A31">
      <w:pPr>
        <w:numPr>
          <w:ilvl w:val="12"/>
          <w:numId w:val="0"/>
        </w:numPr>
        <w:shd w:val="clear" w:color="auto" w:fill="E0E0E0"/>
        <w:ind w:right="-2"/>
        <w:rPr>
          <w:b/>
          <w:bCs/>
          <w:lang w:val="lt-LT"/>
        </w:rPr>
      </w:pPr>
      <w:r w:rsidRPr="00B024CB">
        <w:rPr>
          <w:b/>
          <w:lang w:val="lt-LT"/>
        </w:rPr>
        <w:t>Ši</w:t>
      </w:r>
      <w:r>
        <w:rPr>
          <w:b/>
          <w:lang w:val="lt-LT"/>
        </w:rPr>
        <w:t>s</w:t>
      </w:r>
      <w:r w:rsidRPr="00B024CB">
        <w:rPr>
          <w:b/>
          <w:lang w:val="lt-LT"/>
        </w:rPr>
        <w:t xml:space="preserve"> vaist</w:t>
      </w:r>
      <w:r>
        <w:rPr>
          <w:b/>
          <w:lang w:val="lt-LT"/>
        </w:rPr>
        <w:t>as</w:t>
      </w:r>
      <w:r w:rsidRPr="00B024CB">
        <w:rPr>
          <w:b/>
          <w:lang w:val="lt-LT"/>
        </w:rPr>
        <w:t xml:space="preserve"> E</w:t>
      </w:r>
      <w:r>
        <w:rPr>
          <w:b/>
          <w:lang w:val="lt-LT"/>
        </w:rPr>
        <w:t>uropos ekonominės erdvės</w:t>
      </w:r>
      <w:r w:rsidRPr="00B024CB">
        <w:rPr>
          <w:b/>
          <w:lang w:val="lt-LT"/>
        </w:rPr>
        <w:t xml:space="preserve"> valstybėse narėse </w:t>
      </w:r>
      <w:r>
        <w:rPr>
          <w:b/>
          <w:lang w:val="lt-LT"/>
        </w:rPr>
        <w:t>ir Jungtinėje Karalystėje (Šiaurės Airijoje) registruotas</w:t>
      </w:r>
      <w:r w:rsidRPr="00B024CB">
        <w:rPr>
          <w:b/>
          <w:lang w:val="lt-LT"/>
        </w:rPr>
        <w:t xml:space="preserve"> tokiais pavadinimais</w:t>
      </w:r>
      <w:r w:rsidRPr="00DA5056">
        <w:rPr>
          <w:b/>
          <w:bCs/>
          <w:lang w:val="lt-LT"/>
        </w:rPr>
        <w:t>:</w:t>
      </w:r>
    </w:p>
    <w:tbl>
      <w:tblPr>
        <w:tblW w:w="4814" w:type="pct"/>
        <w:shd w:val="clear" w:color="auto" w:fill="E0E0E0"/>
        <w:tblLook w:val="0000" w:firstRow="0" w:lastRow="0" w:firstColumn="0" w:lastColumn="0" w:noHBand="0" w:noVBand="0"/>
      </w:tblPr>
      <w:tblGrid>
        <w:gridCol w:w="3402"/>
        <w:gridCol w:w="2334"/>
        <w:gridCol w:w="2998"/>
      </w:tblGrid>
      <w:tr w:rsidR="00B37A31" w:rsidRPr="00B024CB" w14:paraId="09689900" w14:textId="77777777" w:rsidTr="00760E5D">
        <w:trPr>
          <w:cantSplit/>
        </w:trPr>
        <w:tc>
          <w:tcPr>
            <w:tcW w:w="1948" w:type="pct"/>
            <w:shd w:val="clear" w:color="auto" w:fill="E0E0E0"/>
            <w:vAlign w:val="bottom"/>
          </w:tcPr>
          <w:p w14:paraId="65437544" w14:textId="77777777" w:rsidR="00B37A31" w:rsidRPr="00B024CB" w:rsidRDefault="00B37A31" w:rsidP="00760E5D">
            <w:pPr>
              <w:rPr>
                <w:lang w:val="lt-LT"/>
              </w:rPr>
            </w:pPr>
            <w:r w:rsidRPr="00B024CB">
              <w:rPr>
                <w:lang w:val="lt-LT"/>
              </w:rPr>
              <w:t>Austrija</w:t>
            </w:r>
          </w:p>
        </w:tc>
        <w:tc>
          <w:tcPr>
            <w:tcW w:w="1336" w:type="pct"/>
            <w:shd w:val="clear" w:color="auto" w:fill="E0E0E0"/>
          </w:tcPr>
          <w:p w14:paraId="67F6ABC2"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val="restart"/>
            <w:shd w:val="clear" w:color="auto" w:fill="E0E0E0"/>
          </w:tcPr>
          <w:p w14:paraId="7D282D8E" w14:textId="77777777" w:rsidR="00B37A31" w:rsidRPr="00F71B8F" w:rsidRDefault="00B37A31" w:rsidP="00760E5D"/>
        </w:tc>
      </w:tr>
      <w:tr w:rsidR="00B37A31" w:rsidRPr="00B024CB" w14:paraId="27A5AB71" w14:textId="77777777" w:rsidTr="00760E5D">
        <w:trPr>
          <w:cantSplit/>
        </w:trPr>
        <w:tc>
          <w:tcPr>
            <w:tcW w:w="1948" w:type="pct"/>
            <w:shd w:val="clear" w:color="auto" w:fill="E0E0E0"/>
            <w:vAlign w:val="bottom"/>
          </w:tcPr>
          <w:p w14:paraId="0CC24495" w14:textId="77777777" w:rsidR="00B37A31" w:rsidRPr="00B024CB" w:rsidRDefault="00B37A31" w:rsidP="00760E5D">
            <w:pPr>
              <w:rPr>
                <w:lang w:val="lt-LT"/>
              </w:rPr>
            </w:pPr>
            <w:r w:rsidRPr="00B024CB">
              <w:rPr>
                <w:lang w:val="lt-LT"/>
              </w:rPr>
              <w:t>Belgija</w:t>
            </w:r>
          </w:p>
        </w:tc>
        <w:tc>
          <w:tcPr>
            <w:tcW w:w="1336" w:type="pct"/>
            <w:shd w:val="clear" w:color="auto" w:fill="E0E0E0"/>
          </w:tcPr>
          <w:p w14:paraId="13CDC8B8"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589A0459" w14:textId="77777777" w:rsidR="00B37A31" w:rsidRPr="00F71B8F" w:rsidRDefault="00B37A31" w:rsidP="00760E5D"/>
        </w:tc>
      </w:tr>
      <w:tr w:rsidR="00B37A31" w:rsidRPr="00B024CB" w14:paraId="620EA569" w14:textId="77777777" w:rsidTr="00760E5D">
        <w:trPr>
          <w:cantSplit/>
        </w:trPr>
        <w:tc>
          <w:tcPr>
            <w:tcW w:w="1948" w:type="pct"/>
            <w:shd w:val="clear" w:color="auto" w:fill="E0E0E0"/>
            <w:vAlign w:val="bottom"/>
          </w:tcPr>
          <w:p w14:paraId="19AED11D" w14:textId="77777777" w:rsidR="00B37A31" w:rsidRPr="00B024CB" w:rsidRDefault="00B37A31" w:rsidP="00760E5D">
            <w:pPr>
              <w:rPr>
                <w:lang w:val="lt-LT"/>
              </w:rPr>
            </w:pPr>
            <w:r w:rsidRPr="00B024CB">
              <w:rPr>
                <w:lang w:val="lt-LT"/>
              </w:rPr>
              <w:t>Bulgarija</w:t>
            </w:r>
          </w:p>
        </w:tc>
        <w:tc>
          <w:tcPr>
            <w:tcW w:w="1336" w:type="pct"/>
            <w:shd w:val="clear" w:color="auto" w:fill="E0E0E0"/>
          </w:tcPr>
          <w:p w14:paraId="62990ED0"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24DA3421" w14:textId="77777777" w:rsidR="00B37A31" w:rsidRPr="00F71B8F" w:rsidRDefault="00B37A31" w:rsidP="00760E5D"/>
        </w:tc>
      </w:tr>
      <w:tr w:rsidR="00B37A31" w:rsidRPr="00B024CB" w14:paraId="423B367C" w14:textId="77777777" w:rsidTr="00760E5D">
        <w:trPr>
          <w:cantSplit/>
        </w:trPr>
        <w:tc>
          <w:tcPr>
            <w:tcW w:w="1948" w:type="pct"/>
            <w:shd w:val="clear" w:color="auto" w:fill="E0E0E0"/>
            <w:vAlign w:val="bottom"/>
          </w:tcPr>
          <w:p w14:paraId="66EC9BA9" w14:textId="77777777" w:rsidR="00B37A31" w:rsidRPr="00B024CB" w:rsidRDefault="00B37A31" w:rsidP="00760E5D">
            <w:pPr>
              <w:rPr>
                <w:lang w:val="lt-LT"/>
              </w:rPr>
            </w:pPr>
            <w:r w:rsidRPr="00B024CB">
              <w:rPr>
                <w:lang w:val="lt-LT"/>
              </w:rPr>
              <w:t>Kipras</w:t>
            </w:r>
          </w:p>
        </w:tc>
        <w:tc>
          <w:tcPr>
            <w:tcW w:w="1336" w:type="pct"/>
            <w:shd w:val="clear" w:color="auto" w:fill="E0E0E0"/>
          </w:tcPr>
          <w:p w14:paraId="1E1C9F87"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4B20BE8E" w14:textId="77777777" w:rsidR="00B37A31" w:rsidRPr="00F71B8F" w:rsidRDefault="00B37A31" w:rsidP="00760E5D"/>
        </w:tc>
      </w:tr>
      <w:tr w:rsidR="00B37A31" w:rsidRPr="00B024CB" w14:paraId="0FEB3299" w14:textId="77777777" w:rsidTr="00760E5D">
        <w:trPr>
          <w:cantSplit/>
        </w:trPr>
        <w:tc>
          <w:tcPr>
            <w:tcW w:w="1948" w:type="pct"/>
            <w:shd w:val="clear" w:color="auto" w:fill="E0E0E0"/>
            <w:vAlign w:val="bottom"/>
          </w:tcPr>
          <w:p w14:paraId="74A61846" w14:textId="77777777" w:rsidR="00B37A31" w:rsidRPr="00B024CB" w:rsidRDefault="00B37A31" w:rsidP="00760E5D">
            <w:pPr>
              <w:rPr>
                <w:lang w:val="lt-LT"/>
              </w:rPr>
            </w:pPr>
            <w:r w:rsidRPr="00B024CB">
              <w:rPr>
                <w:lang w:val="lt-LT"/>
              </w:rPr>
              <w:t>Čekija</w:t>
            </w:r>
          </w:p>
        </w:tc>
        <w:tc>
          <w:tcPr>
            <w:tcW w:w="1336" w:type="pct"/>
            <w:shd w:val="clear" w:color="auto" w:fill="E0E0E0"/>
          </w:tcPr>
          <w:p w14:paraId="22FE1E7B"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09E421A3" w14:textId="77777777" w:rsidR="00B37A31" w:rsidRPr="00F71B8F" w:rsidRDefault="00B37A31" w:rsidP="00760E5D"/>
        </w:tc>
      </w:tr>
      <w:tr w:rsidR="00B37A31" w:rsidRPr="00B024CB" w14:paraId="18247B27" w14:textId="77777777" w:rsidTr="00760E5D">
        <w:trPr>
          <w:cantSplit/>
        </w:trPr>
        <w:tc>
          <w:tcPr>
            <w:tcW w:w="1948" w:type="pct"/>
            <w:shd w:val="clear" w:color="auto" w:fill="E0E0E0"/>
            <w:vAlign w:val="bottom"/>
          </w:tcPr>
          <w:p w14:paraId="4D00DCE4" w14:textId="77777777" w:rsidR="00B37A31" w:rsidRPr="00B024CB" w:rsidRDefault="00B37A31" w:rsidP="00760E5D">
            <w:pPr>
              <w:rPr>
                <w:lang w:val="lt-LT"/>
              </w:rPr>
            </w:pPr>
            <w:r w:rsidRPr="00B024CB">
              <w:rPr>
                <w:lang w:val="lt-LT"/>
              </w:rPr>
              <w:t>Vokietija</w:t>
            </w:r>
          </w:p>
        </w:tc>
        <w:tc>
          <w:tcPr>
            <w:tcW w:w="1336" w:type="pct"/>
            <w:shd w:val="clear" w:color="auto" w:fill="E0E0E0"/>
          </w:tcPr>
          <w:p w14:paraId="3526F158"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320580A1" w14:textId="77777777" w:rsidR="00B37A31" w:rsidRPr="00F71B8F" w:rsidRDefault="00B37A31" w:rsidP="00760E5D"/>
        </w:tc>
      </w:tr>
      <w:tr w:rsidR="00B37A31" w:rsidRPr="00B024CB" w14:paraId="20BD3A56" w14:textId="77777777" w:rsidTr="00760E5D">
        <w:trPr>
          <w:cantSplit/>
        </w:trPr>
        <w:tc>
          <w:tcPr>
            <w:tcW w:w="1948" w:type="pct"/>
            <w:shd w:val="clear" w:color="auto" w:fill="E0E0E0"/>
            <w:vAlign w:val="bottom"/>
          </w:tcPr>
          <w:p w14:paraId="4A9558C4" w14:textId="77777777" w:rsidR="00B37A31" w:rsidRPr="00B024CB" w:rsidRDefault="00B37A31" w:rsidP="00760E5D">
            <w:pPr>
              <w:rPr>
                <w:lang w:val="lt-LT"/>
              </w:rPr>
            </w:pPr>
            <w:r w:rsidRPr="00B024CB">
              <w:rPr>
                <w:lang w:val="lt-LT"/>
              </w:rPr>
              <w:t>Danija</w:t>
            </w:r>
          </w:p>
        </w:tc>
        <w:tc>
          <w:tcPr>
            <w:tcW w:w="1336" w:type="pct"/>
            <w:shd w:val="clear" w:color="auto" w:fill="E0E0E0"/>
          </w:tcPr>
          <w:p w14:paraId="5E7B299F"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35F8B179" w14:textId="77777777" w:rsidR="00B37A31" w:rsidRPr="00F71B8F" w:rsidRDefault="00B37A31" w:rsidP="00760E5D"/>
        </w:tc>
      </w:tr>
      <w:tr w:rsidR="00B37A31" w:rsidRPr="00B024CB" w14:paraId="2364731B" w14:textId="77777777" w:rsidTr="00760E5D">
        <w:trPr>
          <w:cantSplit/>
        </w:trPr>
        <w:tc>
          <w:tcPr>
            <w:tcW w:w="1948" w:type="pct"/>
            <w:shd w:val="clear" w:color="auto" w:fill="E0E0E0"/>
            <w:vAlign w:val="bottom"/>
          </w:tcPr>
          <w:p w14:paraId="1673C4BE" w14:textId="77777777" w:rsidR="00B37A31" w:rsidRPr="00B024CB" w:rsidRDefault="00B37A31" w:rsidP="00760E5D">
            <w:pPr>
              <w:rPr>
                <w:lang w:val="lt-LT"/>
              </w:rPr>
            </w:pPr>
            <w:r w:rsidRPr="00B024CB">
              <w:rPr>
                <w:lang w:val="lt-LT"/>
              </w:rPr>
              <w:t>Estija</w:t>
            </w:r>
          </w:p>
        </w:tc>
        <w:tc>
          <w:tcPr>
            <w:tcW w:w="1336" w:type="pct"/>
            <w:shd w:val="clear" w:color="auto" w:fill="E0E0E0"/>
          </w:tcPr>
          <w:p w14:paraId="724F7C25"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6E5A9073" w14:textId="77777777" w:rsidR="00B37A31" w:rsidRPr="00F71B8F" w:rsidRDefault="00B37A31" w:rsidP="00760E5D"/>
        </w:tc>
      </w:tr>
      <w:tr w:rsidR="00B37A31" w:rsidRPr="00B024CB" w14:paraId="6951954F" w14:textId="77777777" w:rsidTr="00760E5D">
        <w:trPr>
          <w:cantSplit/>
        </w:trPr>
        <w:tc>
          <w:tcPr>
            <w:tcW w:w="1948" w:type="pct"/>
            <w:shd w:val="clear" w:color="auto" w:fill="E0E0E0"/>
            <w:vAlign w:val="bottom"/>
          </w:tcPr>
          <w:p w14:paraId="5FA098DD" w14:textId="77777777" w:rsidR="00B37A31" w:rsidRPr="00B024CB" w:rsidRDefault="00B37A31" w:rsidP="00760E5D">
            <w:pPr>
              <w:rPr>
                <w:lang w:val="lt-LT"/>
              </w:rPr>
            </w:pPr>
            <w:r w:rsidRPr="00B024CB">
              <w:rPr>
                <w:lang w:val="lt-LT"/>
              </w:rPr>
              <w:t>Graikija</w:t>
            </w:r>
          </w:p>
        </w:tc>
        <w:tc>
          <w:tcPr>
            <w:tcW w:w="1336" w:type="pct"/>
            <w:shd w:val="clear" w:color="auto" w:fill="E0E0E0"/>
          </w:tcPr>
          <w:p w14:paraId="2F15501F"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5FAF7613" w14:textId="77777777" w:rsidR="00B37A31" w:rsidRPr="00F71B8F" w:rsidRDefault="00B37A31" w:rsidP="00760E5D"/>
        </w:tc>
      </w:tr>
      <w:tr w:rsidR="00B37A31" w:rsidRPr="00B024CB" w14:paraId="4840FD11" w14:textId="77777777" w:rsidTr="00760E5D">
        <w:trPr>
          <w:cantSplit/>
        </w:trPr>
        <w:tc>
          <w:tcPr>
            <w:tcW w:w="1948" w:type="pct"/>
            <w:shd w:val="clear" w:color="auto" w:fill="E0E0E0"/>
            <w:vAlign w:val="bottom"/>
          </w:tcPr>
          <w:p w14:paraId="79D9F2CE" w14:textId="77777777" w:rsidR="00B37A31" w:rsidRPr="00B024CB" w:rsidRDefault="00B37A31" w:rsidP="00760E5D">
            <w:pPr>
              <w:rPr>
                <w:lang w:val="lt-LT"/>
              </w:rPr>
            </w:pPr>
            <w:r w:rsidRPr="00B024CB">
              <w:rPr>
                <w:lang w:val="lt-LT"/>
              </w:rPr>
              <w:t>Ispanija</w:t>
            </w:r>
          </w:p>
        </w:tc>
        <w:tc>
          <w:tcPr>
            <w:tcW w:w="1336" w:type="pct"/>
            <w:shd w:val="clear" w:color="auto" w:fill="E0E0E0"/>
          </w:tcPr>
          <w:p w14:paraId="3944B362" w14:textId="77777777" w:rsidR="00B37A31" w:rsidRPr="00F71B8F" w:rsidRDefault="00B37A31" w:rsidP="00760E5D">
            <w:r w:rsidRPr="00F71B8F">
              <w:t xml:space="preserve">MIBI </w:t>
            </w:r>
            <w:proofErr w:type="spellStart"/>
            <w:r w:rsidRPr="00F71B8F">
              <w:t>Technescan</w:t>
            </w:r>
            <w:proofErr w:type="spellEnd"/>
          </w:p>
        </w:tc>
        <w:tc>
          <w:tcPr>
            <w:tcW w:w="1716" w:type="pct"/>
            <w:vMerge/>
            <w:shd w:val="clear" w:color="auto" w:fill="E0E0E0"/>
          </w:tcPr>
          <w:p w14:paraId="1BA29BD5" w14:textId="77777777" w:rsidR="00B37A31" w:rsidRPr="00F71B8F" w:rsidRDefault="00B37A31" w:rsidP="00760E5D"/>
        </w:tc>
      </w:tr>
      <w:tr w:rsidR="00B37A31" w:rsidRPr="00B024CB" w14:paraId="2F7471C9" w14:textId="77777777" w:rsidTr="00760E5D">
        <w:trPr>
          <w:cantSplit/>
        </w:trPr>
        <w:tc>
          <w:tcPr>
            <w:tcW w:w="1948" w:type="pct"/>
            <w:shd w:val="clear" w:color="auto" w:fill="E0E0E0"/>
            <w:vAlign w:val="bottom"/>
          </w:tcPr>
          <w:p w14:paraId="003941FB" w14:textId="77777777" w:rsidR="00B37A31" w:rsidRPr="00B024CB" w:rsidRDefault="00B37A31" w:rsidP="00760E5D">
            <w:pPr>
              <w:rPr>
                <w:lang w:val="lt-LT"/>
              </w:rPr>
            </w:pPr>
            <w:r w:rsidRPr="00B024CB">
              <w:rPr>
                <w:lang w:val="lt-LT"/>
              </w:rPr>
              <w:t>Suomija</w:t>
            </w:r>
          </w:p>
        </w:tc>
        <w:tc>
          <w:tcPr>
            <w:tcW w:w="1336" w:type="pct"/>
            <w:shd w:val="clear" w:color="auto" w:fill="E0E0E0"/>
          </w:tcPr>
          <w:p w14:paraId="2FA4F4A1"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6649920A" w14:textId="77777777" w:rsidR="00B37A31" w:rsidRPr="00F71B8F" w:rsidRDefault="00B37A31" w:rsidP="00760E5D"/>
        </w:tc>
      </w:tr>
      <w:tr w:rsidR="00B37A31" w:rsidRPr="00B024CB" w14:paraId="27FFE2F7" w14:textId="77777777" w:rsidTr="00760E5D">
        <w:trPr>
          <w:cantSplit/>
        </w:trPr>
        <w:tc>
          <w:tcPr>
            <w:tcW w:w="1948" w:type="pct"/>
            <w:shd w:val="clear" w:color="auto" w:fill="E0E0E0"/>
            <w:vAlign w:val="bottom"/>
          </w:tcPr>
          <w:p w14:paraId="213DF1EE" w14:textId="77777777" w:rsidR="00B37A31" w:rsidRPr="00B024CB" w:rsidRDefault="00B37A31" w:rsidP="00760E5D">
            <w:pPr>
              <w:rPr>
                <w:lang w:val="lt-LT"/>
              </w:rPr>
            </w:pPr>
            <w:r w:rsidRPr="00B024CB">
              <w:rPr>
                <w:lang w:val="lt-LT"/>
              </w:rPr>
              <w:t>Prancūzija</w:t>
            </w:r>
          </w:p>
        </w:tc>
        <w:tc>
          <w:tcPr>
            <w:tcW w:w="1336" w:type="pct"/>
            <w:shd w:val="clear" w:color="auto" w:fill="E0E0E0"/>
          </w:tcPr>
          <w:p w14:paraId="6076FCFE"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4FD48BB1" w14:textId="77777777" w:rsidR="00B37A31" w:rsidRPr="00F71B8F" w:rsidRDefault="00B37A31" w:rsidP="00760E5D"/>
        </w:tc>
      </w:tr>
      <w:tr w:rsidR="00B37A31" w:rsidRPr="00B024CB" w14:paraId="638BDEE8" w14:textId="77777777" w:rsidTr="00760E5D">
        <w:trPr>
          <w:cantSplit/>
        </w:trPr>
        <w:tc>
          <w:tcPr>
            <w:tcW w:w="1948" w:type="pct"/>
            <w:shd w:val="clear" w:color="auto" w:fill="E0E0E0"/>
            <w:vAlign w:val="bottom"/>
          </w:tcPr>
          <w:p w14:paraId="1EB2D328" w14:textId="77777777" w:rsidR="00B37A31" w:rsidRPr="00B024CB" w:rsidRDefault="00B37A31" w:rsidP="00760E5D">
            <w:pPr>
              <w:rPr>
                <w:lang w:val="lt-LT"/>
              </w:rPr>
            </w:pPr>
            <w:r w:rsidRPr="00B024CB">
              <w:rPr>
                <w:lang w:val="lt-LT"/>
              </w:rPr>
              <w:t>Vengrija</w:t>
            </w:r>
          </w:p>
        </w:tc>
        <w:tc>
          <w:tcPr>
            <w:tcW w:w="1336" w:type="pct"/>
            <w:shd w:val="clear" w:color="auto" w:fill="E0E0E0"/>
          </w:tcPr>
          <w:p w14:paraId="4D5B6C90"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4760B1A5" w14:textId="77777777" w:rsidR="00B37A31" w:rsidRPr="00F71B8F" w:rsidRDefault="00B37A31" w:rsidP="00760E5D"/>
        </w:tc>
      </w:tr>
      <w:tr w:rsidR="00B37A31" w:rsidRPr="00B024CB" w14:paraId="444241C1" w14:textId="77777777" w:rsidTr="00760E5D">
        <w:trPr>
          <w:cantSplit/>
        </w:trPr>
        <w:tc>
          <w:tcPr>
            <w:tcW w:w="1948" w:type="pct"/>
            <w:shd w:val="clear" w:color="auto" w:fill="E0E0E0"/>
            <w:vAlign w:val="bottom"/>
          </w:tcPr>
          <w:p w14:paraId="07F34D91" w14:textId="77777777" w:rsidR="00B37A31" w:rsidRPr="00B024CB" w:rsidRDefault="00B37A31" w:rsidP="00760E5D">
            <w:pPr>
              <w:rPr>
                <w:lang w:val="lt-LT"/>
              </w:rPr>
            </w:pPr>
            <w:r w:rsidRPr="00B024CB">
              <w:rPr>
                <w:lang w:val="lt-LT"/>
              </w:rPr>
              <w:t>Airija</w:t>
            </w:r>
          </w:p>
        </w:tc>
        <w:tc>
          <w:tcPr>
            <w:tcW w:w="1336" w:type="pct"/>
            <w:shd w:val="clear" w:color="auto" w:fill="E0E0E0"/>
          </w:tcPr>
          <w:p w14:paraId="1BF35AA4" w14:textId="77777777" w:rsidR="00B37A31" w:rsidRPr="00F71B8F" w:rsidRDefault="00B37A31" w:rsidP="00760E5D">
            <w:proofErr w:type="spellStart"/>
            <w:r w:rsidRPr="00F71B8F">
              <w:t>Technescan</w:t>
            </w:r>
            <w:proofErr w:type="spellEnd"/>
            <w:r w:rsidRPr="00F71B8F">
              <w:t xml:space="preserve"> MIBI</w:t>
            </w:r>
          </w:p>
        </w:tc>
        <w:tc>
          <w:tcPr>
            <w:tcW w:w="1716" w:type="pct"/>
            <w:vMerge/>
            <w:shd w:val="clear" w:color="auto" w:fill="E0E0E0"/>
          </w:tcPr>
          <w:p w14:paraId="61E90A6F" w14:textId="77777777" w:rsidR="00B37A31" w:rsidRPr="00F71B8F" w:rsidRDefault="00B37A31" w:rsidP="00760E5D"/>
        </w:tc>
      </w:tr>
      <w:tr w:rsidR="00B37A31" w:rsidRPr="00B024CB" w14:paraId="0B217143" w14:textId="77777777" w:rsidTr="00760E5D">
        <w:trPr>
          <w:cantSplit/>
        </w:trPr>
        <w:tc>
          <w:tcPr>
            <w:tcW w:w="1948" w:type="pct"/>
            <w:shd w:val="clear" w:color="auto" w:fill="E0E0E0"/>
            <w:vAlign w:val="bottom"/>
          </w:tcPr>
          <w:p w14:paraId="3CE16580" w14:textId="77777777" w:rsidR="00B37A31" w:rsidRPr="00B024CB" w:rsidRDefault="00B37A31" w:rsidP="00760E5D">
            <w:pPr>
              <w:rPr>
                <w:lang w:val="lt-LT"/>
              </w:rPr>
            </w:pPr>
            <w:r w:rsidRPr="00B024CB">
              <w:rPr>
                <w:lang w:val="lt-LT"/>
              </w:rPr>
              <w:t>Italija</w:t>
            </w:r>
          </w:p>
        </w:tc>
        <w:tc>
          <w:tcPr>
            <w:tcW w:w="1336" w:type="pct"/>
            <w:shd w:val="clear" w:color="auto" w:fill="E0E0E0"/>
          </w:tcPr>
          <w:p w14:paraId="2DFFB7EB" w14:textId="77777777" w:rsidR="00B37A31" w:rsidRPr="00F71B8F" w:rsidRDefault="00B37A31" w:rsidP="00760E5D">
            <w:proofErr w:type="spellStart"/>
            <w:r w:rsidRPr="00F71B8F">
              <w:t>Technemibi</w:t>
            </w:r>
            <w:proofErr w:type="spellEnd"/>
          </w:p>
        </w:tc>
        <w:tc>
          <w:tcPr>
            <w:tcW w:w="1716" w:type="pct"/>
            <w:vMerge/>
            <w:shd w:val="clear" w:color="auto" w:fill="E0E0E0"/>
          </w:tcPr>
          <w:p w14:paraId="463F72BC" w14:textId="77777777" w:rsidR="00B37A31" w:rsidRPr="00F71B8F" w:rsidRDefault="00B37A31" w:rsidP="00760E5D"/>
        </w:tc>
      </w:tr>
      <w:tr w:rsidR="00B37A31" w:rsidRPr="00B024CB" w14:paraId="6C0B8ECE" w14:textId="77777777" w:rsidTr="00760E5D">
        <w:trPr>
          <w:cantSplit/>
        </w:trPr>
        <w:tc>
          <w:tcPr>
            <w:tcW w:w="1948" w:type="pct"/>
            <w:shd w:val="clear" w:color="auto" w:fill="E0E0E0"/>
            <w:vAlign w:val="bottom"/>
          </w:tcPr>
          <w:p w14:paraId="1D02DE73" w14:textId="77777777" w:rsidR="00B37A31" w:rsidRPr="00B024CB" w:rsidRDefault="00B37A31" w:rsidP="00760E5D">
            <w:pPr>
              <w:rPr>
                <w:lang w:val="lt-LT"/>
              </w:rPr>
            </w:pPr>
            <w:r w:rsidRPr="00B024CB">
              <w:rPr>
                <w:lang w:val="lt-LT"/>
              </w:rPr>
              <w:t>Lietuva</w:t>
            </w:r>
          </w:p>
        </w:tc>
        <w:tc>
          <w:tcPr>
            <w:tcW w:w="1336" w:type="pct"/>
            <w:shd w:val="clear" w:color="auto" w:fill="E0E0E0"/>
          </w:tcPr>
          <w:p w14:paraId="121CA3B8"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6FC17753" w14:textId="77777777" w:rsidR="00B37A31" w:rsidRPr="00F71B8F" w:rsidRDefault="00B37A31" w:rsidP="00760E5D"/>
        </w:tc>
      </w:tr>
      <w:tr w:rsidR="00B37A31" w:rsidRPr="00B024CB" w14:paraId="402B53B3" w14:textId="77777777" w:rsidTr="00760E5D">
        <w:trPr>
          <w:cantSplit/>
        </w:trPr>
        <w:tc>
          <w:tcPr>
            <w:tcW w:w="1948" w:type="pct"/>
            <w:shd w:val="clear" w:color="auto" w:fill="E0E0E0"/>
            <w:vAlign w:val="bottom"/>
          </w:tcPr>
          <w:p w14:paraId="12726528" w14:textId="77777777" w:rsidR="00B37A31" w:rsidRPr="00B024CB" w:rsidRDefault="00B37A31" w:rsidP="00760E5D">
            <w:pPr>
              <w:rPr>
                <w:lang w:val="lt-LT"/>
              </w:rPr>
            </w:pPr>
            <w:r w:rsidRPr="00B024CB">
              <w:rPr>
                <w:lang w:val="lt-LT"/>
              </w:rPr>
              <w:t>Liuksemburgas</w:t>
            </w:r>
          </w:p>
        </w:tc>
        <w:tc>
          <w:tcPr>
            <w:tcW w:w="1336" w:type="pct"/>
            <w:shd w:val="clear" w:color="auto" w:fill="E0E0E0"/>
          </w:tcPr>
          <w:p w14:paraId="499F6DCC"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044402C8" w14:textId="77777777" w:rsidR="00B37A31" w:rsidRPr="00F71B8F" w:rsidRDefault="00B37A31" w:rsidP="00760E5D"/>
        </w:tc>
      </w:tr>
      <w:tr w:rsidR="00B37A31" w:rsidRPr="00B024CB" w14:paraId="208B69AF" w14:textId="77777777" w:rsidTr="00760E5D">
        <w:trPr>
          <w:cantSplit/>
        </w:trPr>
        <w:tc>
          <w:tcPr>
            <w:tcW w:w="1948" w:type="pct"/>
            <w:shd w:val="clear" w:color="auto" w:fill="E0E0E0"/>
            <w:vAlign w:val="bottom"/>
          </w:tcPr>
          <w:p w14:paraId="5936D7D6" w14:textId="77777777" w:rsidR="00B37A31" w:rsidRPr="00B024CB" w:rsidRDefault="00B37A31" w:rsidP="00760E5D">
            <w:pPr>
              <w:rPr>
                <w:lang w:val="lt-LT"/>
              </w:rPr>
            </w:pPr>
            <w:r w:rsidRPr="00B024CB">
              <w:rPr>
                <w:lang w:val="lt-LT"/>
              </w:rPr>
              <w:t>Latvija</w:t>
            </w:r>
          </w:p>
        </w:tc>
        <w:tc>
          <w:tcPr>
            <w:tcW w:w="1336" w:type="pct"/>
            <w:shd w:val="clear" w:color="auto" w:fill="E0E0E0"/>
          </w:tcPr>
          <w:p w14:paraId="28031678"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1981B863" w14:textId="77777777" w:rsidR="00B37A31" w:rsidRPr="00F71B8F" w:rsidRDefault="00B37A31" w:rsidP="00760E5D"/>
        </w:tc>
      </w:tr>
      <w:tr w:rsidR="00B37A31" w:rsidRPr="00B024CB" w14:paraId="1E0FDD8B" w14:textId="77777777" w:rsidTr="00760E5D">
        <w:trPr>
          <w:cantSplit/>
        </w:trPr>
        <w:tc>
          <w:tcPr>
            <w:tcW w:w="1948" w:type="pct"/>
            <w:shd w:val="clear" w:color="auto" w:fill="E0E0E0"/>
            <w:vAlign w:val="bottom"/>
          </w:tcPr>
          <w:p w14:paraId="1F622F80" w14:textId="77777777" w:rsidR="00B37A31" w:rsidRPr="00B024CB" w:rsidRDefault="00B37A31" w:rsidP="00760E5D">
            <w:pPr>
              <w:rPr>
                <w:lang w:val="lt-LT"/>
              </w:rPr>
            </w:pPr>
          </w:p>
        </w:tc>
        <w:tc>
          <w:tcPr>
            <w:tcW w:w="1336" w:type="pct"/>
            <w:shd w:val="clear" w:color="auto" w:fill="E0E0E0"/>
          </w:tcPr>
          <w:p w14:paraId="14C4FB93" w14:textId="77777777" w:rsidR="00B37A31" w:rsidRPr="00F71B8F" w:rsidRDefault="00B37A31" w:rsidP="00760E5D"/>
        </w:tc>
        <w:tc>
          <w:tcPr>
            <w:tcW w:w="1716" w:type="pct"/>
            <w:vMerge/>
            <w:shd w:val="clear" w:color="auto" w:fill="E0E0E0"/>
          </w:tcPr>
          <w:p w14:paraId="63F3E11C" w14:textId="77777777" w:rsidR="00B37A31" w:rsidRPr="00F71B8F" w:rsidRDefault="00B37A31" w:rsidP="00760E5D"/>
        </w:tc>
      </w:tr>
      <w:tr w:rsidR="00B37A31" w:rsidRPr="00B024CB" w14:paraId="071E2241" w14:textId="77777777" w:rsidTr="00760E5D">
        <w:trPr>
          <w:cantSplit/>
        </w:trPr>
        <w:tc>
          <w:tcPr>
            <w:tcW w:w="1948" w:type="pct"/>
            <w:shd w:val="clear" w:color="auto" w:fill="E0E0E0"/>
            <w:vAlign w:val="bottom"/>
          </w:tcPr>
          <w:p w14:paraId="61B2E653" w14:textId="77777777" w:rsidR="00B37A31" w:rsidRPr="00B024CB" w:rsidRDefault="00B37A31" w:rsidP="00760E5D">
            <w:pPr>
              <w:rPr>
                <w:lang w:val="lt-LT"/>
              </w:rPr>
            </w:pPr>
            <w:r w:rsidRPr="00B024CB">
              <w:rPr>
                <w:lang w:val="lt-LT"/>
              </w:rPr>
              <w:t xml:space="preserve">Olandija </w:t>
            </w:r>
          </w:p>
        </w:tc>
        <w:tc>
          <w:tcPr>
            <w:tcW w:w="1336" w:type="pct"/>
            <w:shd w:val="clear" w:color="auto" w:fill="E0E0E0"/>
          </w:tcPr>
          <w:p w14:paraId="273AED46"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1AAD5838" w14:textId="77777777" w:rsidR="00B37A31" w:rsidRPr="00F71B8F" w:rsidRDefault="00B37A31" w:rsidP="00760E5D"/>
        </w:tc>
      </w:tr>
      <w:tr w:rsidR="00B37A31" w:rsidRPr="00B024CB" w14:paraId="7A0BAC10" w14:textId="77777777" w:rsidTr="00760E5D">
        <w:trPr>
          <w:cantSplit/>
        </w:trPr>
        <w:tc>
          <w:tcPr>
            <w:tcW w:w="1948" w:type="pct"/>
            <w:shd w:val="clear" w:color="auto" w:fill="E0E0E0"/>
            <w:vAlign w:val="bottom"/>
          </w:tcPr>
          <w:p w14:paraId="2A14DD26" w14:textId="77777777" w:rsidR="00B37A31" w:rsidRPr="00B024CB" w:rsidRDefault="00B37A31" w:rsidP="00760E5D">
            <w:pPr>
              <w:rPr>
                <w:lang w:val="lt-LT"/>
              </w:rPr>
            </w:pPr>
            <w:r w:rsidRPr="00B024CB">
              <w:rPr>
                <w:lang w:val="lt-LT"/>
              </w:rPr>
              <w:t>Norvegija</w:t>
            </w:r>
          </w:p>
        </w:tc>
        <w:tc>
          <w:tcPr>
            <w:tcW w:w="1336" w:type="pct"/>
            <w:shd w:val="clear" w:color="auto" w:fill="E0E0E0"/>
          </w:tcPr>
          <w:p w14:paraId="7D74C3DB"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038AAC96" w14:textId="77777777" w:rsidR="00B37A31" w:rsidRPr="00F71B8F" w:rsidRDefault="00B37A31" w:rsidP="00760E5D"/>
        </w:tc>
      </w:tr>
      <w:tr w:rsidR="00B37A31" w:rsidRPr="00B024CB" w14:paraId="06613C6F" w14:textId="77777777" w:rsidTr="00760E5D">
        <w:trPr>
          <w:cantSplit/>
        </w:trPr>
        <w:tc>
          <w:tcPr>
            <w:tcW w:w="1948" w:type="pct"/>
            <w:shd w:val="clear" w:color="auto" w:fill="E0E0E0"/>
            <w:vAlign w:val="bottom"/>
          </w:tcPr>
          <w:p w14:paraId="2CD4DD25" w14:textId="77777777" w:rsidR="00B37A31" w:rsidRPr="00B024CB" w:rsidRDefault="00B37A31" w:rsidP="00760E5D">
            <w:pPr>
              <w:rPr>
                <w:lang w:val="lt-LT"/>
              </w:rPr>
            </w:pPr>
            <w:r w:rsidRPr="00B024CB">
              <w:rPr>
                <w:lang w:val="lt-LT"/>
              </w:rPr>
              <w:t>Portugalija</w:t>
            </w:r>
          </w:p>
        </w:tc>
        <w:tc>
          <w:tcPr>
            <w:tcW w:w="1336" w:type="pct"/>
            <w:shd w:val="clear" w:color="auto" w:fill="E0E0E0"/>
          </w:tcPr>
          <w:p w14:paraId="7D34ADAD"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68F7D2DC" w14:textId="77777777" w:rsidR="00B37A31" w:rsidRPr="00F71B8F" w:rsidRDefault="00B37A31" w:rsidP="00760E5D"/>
        </w:tc>
      </w:tr>
      <w:tr w:rsidR="00B37A31" w:rsidRPr="00B024CB" w14:paraId="53963AC7" w14:textId="77777777" w:rsidTr="00760E5D">
        <w:trPr>
          <w:cantSplit/>
        </w:trPr>
        <w:tc>
          <w:tcPr>
            <w:tcW w:w="1948" w:type="pct"/>
            <w:shd w:val="clear" w:color="auto" w:fill="E0E0E0"/>
            <w:vAlign w:val="bottom"/>
          </w:tcPr>
          <w:p w14:paraId="5B582120" w14:textId="77777777" w:rsidR="00B37A31" w:rsidRPr="00B024CB" w:rsidRDefault="00B37A31" w:rsidP="00760E5D">
            <w:pPr>
              <w:rPr>
                <w:lang w:val="lt-LT"/>
              </w:rPr>
            </w:pPr>
            <w:r w:rsidRPr="00B024CB">
              <w:rPr>
                <w:lang w:val="lt-LT"/>
              </w:rPr>
              <w:t>Rumunija</w:t>
            </w:r>
          </w:p>
        </w:tc>
        <w:tc>
          <w:tcPr>
            <w:tcW w:w="1336" w:type="pct"/>
            <w:shd w:val="clear" w:color="auto" w:fill="E0E0E0"/>
          </w:tcPr>
          <w:p w14:paraId="5EFBA84F"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7774B6D0" w14:textId="77777777" w:rsidR="00B37A31" w:rsidRPr="00F71B8F" w:rsidRDefault="00B37A31" w:rsidP="00760E5D"/>
        </w:tc>
      </w:tr>
      <w:tr w:rsidR="00B37A31" w:rsidRPr="00B024CB" w14:paraId="25D8721E" w14:textId="77777777" w:rsidTr="00760E5D">
        <w:trPr>
          <w:cantSplit/>
        </w:trPr>
        <w:tc>
          <w:tcPr>
            <w:tcW w:w="1948" w:type="pct"/>
            <w:shd w:val="clear" w:color="auto" w:fill="E0E0E0"/>
            <w:vAlign w:val="bottom"/>
          </w:tcPr>
          <w:p w14:paraId="4559CFD1" w14:textId="77777777" w:rsidR="00B37A31" w:rsidRPr="00B024CB" w:rsidRDefault="00B37A31" w:rsidP="00760E5D">
            <w:pPr>
              <w:rPr>
                <w:lang w:val="lt-LT"/>
              </w:rPr>
            </w:pPr>
            <w:r w:rsidRPr="00B024CB">
              <w:rPr>
                <w:lang w:val="lt-LT"/>
              </w:rPr>
              <w:t>Švedija</w:t>
            </w:r>
          </w:p>
        </w:tc>
        <w:tc>
          <w:tcPr>
            <w:tcW w:w="1336" w:type="pct"/>
            <w:shd w:val="clear" w:color="auto" w:fill="E0E0E0"/>
          </w:tcPr>
          <w:p w14:paraId="21865181"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38F18DC4" w14:textId="77777777" w:rsidR="00B37A31" w:rsidRPr="00F71B8F" w:rsidRDefault="00B37A31" w:rsidP="00760E5D"/>
        </w:tc>
      </w:tr>
      <w:tr w:rsidR="00B37A31" w:rsidRPr="00B024CB" w14:paraId="71726DC9" w14:textId="77777777" w:rsidTr="00760E5D">
        <w:trPr>
          <w:cantSplit/>
        </w:trPr>
        <w:tc>
          <w:tcPr>
            <w:tcW w:w="1948" w:type="pct"/>
            <w:shd w:val="clear" w:color="auto" w:fill="E0E0E0"/>
            <w:vAlign w:val="bottom"/>
          </w:tcPr>
          <w:p w14:paraId="7B9EC189" w14:textId="77777777" w:rsidR="00B37A31" w:rsidRPr="00B024CB" w:rsidRDefault="00B37A31" w:rsidP="00760E5D">
            <w:pPr>
              <w:rPr>
                <w:lang w:val="lt-LT"/>
              </w:rPr>
            </w:pPr>
            <w:r w:rsidRPr="00B024CB">
              <w:rPr>
                <w:lang w:val="lt-LT"/>
              </w:rPr>
              <w:t>Slovėnija</w:t>
            </w:r>
          </w:p>
        </w:tc>
        <w:tc>
          <w:tcPr>
            <w:tcW w:w="1336" w:type="pct"/>
            <w:shd w:val="clear" w:color="auto" w:fill="E0E0E0"/>
          </w:tcPr>
          <w:p w14:paraId="1473A067"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32DD5E2B" w14:textId="77777777" w:rsidR="00B37A31" w:rsidRPr="00F71B8F" w:rsidRDefault="00B37A31" w:rsidP="00760E5D"/>
        </w:tc>
      </w:tr>
      <w:tr w:rsidR="00B37A31" w:rsidRPr="00B024CB" w14:paraId="6DA69AD7" w14:textId="77777777" w:rsidTr="00760E5D">
        <w:trPr>
          <w:cantSplit/>
        </w:trPr>
        <w:tc>
          <w:tcPr>
            <w:tcW w:w="1948" w:type="pct"/>
            <w:shd w:val="clear" w:color="auto" w:fill="E0E0E0"/>
            <w:vAlign w:val="bottom"/>
          </w:tcPr>
          <w:p w14:paraId="4DEAB3E0" w14:textId="77777777" w:rsidR="00B37A31" w:rsidRPr="00B024CB" w:rsidRDefault="00B37A31" w:rsidP="00760E5D">
            <w:pPr>
              <w:rPr>
                <w:lang w:val="lt-LT"/>
              </w:rPr>
            </w:pPr>
            <w:r w:rsidRPr="00B024CB">
              <w:rPr>
                <w:lang w:val="lt-LT"/>
              </w:rPr>
              <w:lastRenderedPageBreak/>
              <w:t>Slovakija</w:t>
            </w:r>
          </w:p>
        </w:tc>
        <w:tc>
          <w:tcPr>
            <w:tcW w:w="1336" w:type="pct"/>
            <w:shd w:val="clear" w:color="auto" w:fill="E0E0E0"/>
          </w:tcPr>
          <w:p w14:paraId="40037BF4" w14:textId="77777777" w:rsidR="00B37A31" w:rsidRPr="00F71B8F" w:rsidRDefault="00B37A31" w:rsidP="00760E5D">
            <w:proofErr w:type="spellStart"/>
            <w:r w:rsidRPr="00F71B8F">
              <w:t>Technescan</w:t>
            </w:r>
            <w:proofErr w:type="spellEnd"/>
            <w:r w:rsidRPr="00F71B8F">
              <w:t xml:space="preserve"> </w:t>
            </w:r>
            <w:proofErr w:type="spellStart"/>
            <w:r w:rsidRPr="00F71B8F">
              <w:t>Sestamibi</w:t>
            </w:r>
            <w:proofErr w:type="spellEnd"/>
          </w:p>
        </w:tc>
        <w:tc>
          <w:tcPr>
            <w:tcW w:w="1716" w:type="pct"/>
            <w:vMerge/>
            <w:shd w:val="clear" w:color="auto" w:fill="E0E0E0"/>
          </w:tcPr>
          <w:p w14:paraId="60B728D7" w14:textId="77777777" w:rsidR="00B37A31" w:rsidRPr="00F71B8F" w:rsidRDefault="00B37A31" w:rsidP="00760E5D"/>
        </w:tc>
      </w:tr>
      <w:tr w:rsidR="00B37A31" w:rsidRPr="00B024CB" w14:paraId="409F477A" w14:textId="77777777" w:rsidTr="00760E5D">
        <w:trPr>
          <w:cantSplit/>
        </w:trPr>
        <w:tc>
          <w:tcPr>
            <w:tcW w:w="1948" w:type="pct"/>
            <w:shd w:val="clear" w:color="auto" w:fill="E0E0E0"/>
            <w:vAlign w:val="bottom"/>
          </w:tcPr>
          <w:p w14:paraId="2B8F2909" w14:textId="77777777" w:rsidR="00B37A31" w:rsidRPr="00B024CB" w:rsidRDefault="00B37A31" w:rsidP="00760E5D">
            <w:pPr>
              <w:rPr>
                <w:lang w:val="lt-LT"/>
              </w:rPr>
            </w:pPr>
            <w:r>
              <w:rPr>
                <w:lang w:val="lt-LT"/>
              </w:rPr>
              <w:t>Jungtinė Karalystė (Šiaurės Airija)</w:t>
            </w:r>
          </w:p>
        </w:tc>
        <w:tc>
          <w:tcPr>
            <w:tcW w:w="1336" w:type="pct"/>
            <w:shd w:val="clear" w:color="auto" w:fill="E0E0E0"/>
          </w:tcPr>
          <w:p w14:paraId="2E260CB9" w14:textId="77777777" w:rsidR="00B37A31" w:rsidRPr="00F71B8F" w:rsidRDefault="00B37A31" w:rsidP="00760E5D">
            <w:proofErr w:type="spellStart"/>
            <w:r w:rsidRPr="00F71B8F">
              <w:t>Technescan</w:t>
            </w:r>
            <w:proofErr w:type="spellEnd"/>
            <w:r w:rsidRPr="00F71B8F">
              <w:t xml:space="preserve"> MIBI</w:t>
            </w:r>
          </w:p>
        </w:tc>
        <w:tc>
          <w:tcPr>
            <w:tcW w:w="1716" w:type="pct"/>
            <w:vMerge/>
            <w:shd w:val="clear" w:color="auto" w:fill="E0E0E0"/>
          </w:tcPr>
          <w:p w14:paraId="04C2CF81" w14:textId="77777777" w:rsidR="00B37A31" w:rsidRPr="00F71B8F" w:rsidRDefault="00B37A31" w:rsidP="00760E5D"/>
        </w:tc>
      </w:tr>
    </w:tbl>
    <w:p w14:paraId="3985F554" w14:textId="77777777" w:rsidR="00B37A31" w:rsidRPr="00F71B8F" w:rsidRDefault="00B37A31" w:rsidP="00B37A31">
      <w:pPr>
        <w:spacing w:line="260" w:lineRule="exact"/>
      </w:pPr>
    </w:p>
    <w:p w14:paraId="63216178" w14:textId="77777777" w:rsidR="00B37A31" w:rsidRPr="00F71B8F" w:rsidRDefault="00B37A31" w:rsidP="00B37A31">
      <w:pPr>
        <w:spacing w:line="260" w:lineRule="exact"/>
      </w:pPr>
    </w:p>
    <w:p w14:paraId="12A51D27" w14:textId="77777777" w:rsidR="00B37A31" w:rsidRPr="00B024CB" w:rsidRDefault="00B37A31" w:rsidP="00B37A31">
      <w:pPr>
        <w:numPr>
          <w:ilvl w:val="12"/>
          <w:numId w:val="0"/>
        </w:numPr>
        <w:ind w:right="-2"/>
        <w:outlineLvl w:val="0"/>
        <w:rPr>
          <w:lang w:val="lt-LT"/>
        </w:rPr>
      </w:pPr>
      <w:r w:rsidRPr="00B024CB">
        <w:rPr>
          <w:b/>
          <w:bCs/>
          <w:lang w:val="lt-LT"/>
        </w:rPr>
        <w:t xml:space="preserve">Šis pakuotės </w:t>
      </w:r>
      <w:r w:rsidRPr="00B024CB">
        <w:rPr>
          <w:b/>
          <w:lang w:val="lt-LT"/>
        </w:rPr>
        <w:t>lapelis paskutinį kartą peržiūrėtas</w:t>
      </w:r>
      <w:r>
        <w:rPr>
          <w:b/>
          <w:lang w:val="lt-LT"/>
        </w:rPr>
        <w:t xml:space="preserve"> 2025-10-01.</w:t>
      </w:r>
    </w:p>
    <w:p w14:paraId="635C0B80" w14:textId="77777777" w:rsidR="00B37A31" w:rsidRPr="00B024CB" w:rsidRDefault="00B37A31" w:rsidP="00B37A31">
      <w:pPr>
        <w:spacing w:line="260" w:lineRule="exact"/>
        <w:rPr>
          <w:lang w:val="fi-FI"/>
        </w:rPr>
      </w:pPr>
    </w:p>
    <w:p w14:paraId="5D321F64" w14:textId="77777777" w:rsidR="00B37A31" w:rsidRPr="00F71B8F" w:rsidRDefault="00B37A31" w:rsidP="00B37A31">
      <w:pPr>
        <w:rPr>
          <w:lang w:val="lt-LT"/>
        </w:rPr>
      </w:pPr>
      <w:r w:rsidRPr="00F71B8F">
        <w:rPr>
          <w:lang w:val="lt-LT"/>
        </w:rPr>
        <w:t>Išsami informacija apie šį vaistą pateikiama Valstybinės vaistų kontrolės tarnybos prie Lietuvos Respublikos  sveikatos apsaugos ministerijos tinklalapyje</w:t>
      </w:r>
      <w:r w:rsidRPr="00F71B8F">
        <w:rPr>
          <w:i/>
          <w:lang w:val="lt-LT"/>
        </w:rPr>
        <w:t xml:space="preserve"> </w:t>
      </w:r>
      <w:hyperlink r:id="rId8" w:history="1">
        <w:r w:rsidRPr="00F115FA">
          <w:rPr>
            <w:rStyle w:val="Hipersaitas"/>
            <w:lang w:val="lt-LT"/>
          </w:rPr>
          <w:t>https://vvkt.lrv.lt</w:t>
        </w:r>
      </w:hyperlink>
      <w:r>
        <w:rPr>
          <w:rStyle w:val="Hipersaitas"/>
          <w:lang w:val="lt-LT"/>
        </w:rPr>
        <w:t>/lt/.</w:t>
      </w:r>
    </w:p>
    <w:p w14:paraId="66EB1CC3" w14:textId="77777777" w:rsidR="00B37A31" w:rsidRPr="00B024CB" w:rsidRDefault="00B37A31" w:rsidP="00B37A31">
      <w:pPr>
        <w:spacing w:line="260" w:lineRule="exact"/>
        <w:rPr>
          <w:lang w:val="fi-FI"/>
        </w:rPr>
      </w:pPr>
    </w:p>
    <w:p w14:paraId="64BB5215" w14:textId="77777777" w:rsidR="00B37A31" w:rsidRPr="00867BF5" w:rsidRDefault="00B37A31" w:rsidP="00B37A31">
      <w:pPr>
        <w:rPr>
          <w:lang w:val="lt-LT"/>
        </w:rPr>
      </w:pPr>
      <w:r w:rsidRPr="00867BF5">
        <w:rPr>
          <w:lang w:val="lt-LT"/>
        </w:rPr>
        <w:t>-----------------------------------------------------------------------------------------------------------------</w:t>
      </w:r>
    </w:p>
    <w:p w14:paraId="0148E964" w14:textId="77777777" w:rsidR="00B37A31" w:rsidRPr="00867BF5" w:rsidRDefault="00B37A31" w:rsidP="00B37A31">
      <w:pPr>
        <w:rPr>
          <w:lang w:val="lt-LT"/>
        </w:rPr>
      </w:pPr>
      <w:r w:rsidRPr="00867BF5">
        <w:rPr>
          <w:lang w:val="lt-LT"/>
        </w:rPr>
        <w:t>Toliau pateikta informacija skirta tik sveikatos priežiūros specialistams:</w:t>
      </w:r>
    </w:p>
    <w:p w14:paraId="652E5B2C" w14:textId="77777777" w:rsidR="00B37A31" w:rsidRPr="00867BF5" w:rsidRDefault="00B37A31" w:rsidP="00B37A31">
      <w:pPr>
        <w:rPr>
          <w:lang w:val="lt-LT"/>
        </w:rPr>
      </w:pPr>
      <w:proofErr w:type="spellStart"/>
      <w:r w:rsidRPr="00DA5056">
        <w:rPr>
          <w:lang w:val="lt-LT"/>
        </w:rPr>
        <w:t>Technescan</w:t>
      </w:r>
      <w:proofErr w:type="spellEnd"/>
      <w:r w:rsidRPr="00DA5056">
        <w:rPr>
          <w:lang w:val="lt-LT"/>
        </w:rPr>
        <w:t xml:space="preserve"> </w:t>
      </w:r>
      <w:proofErr w:type="spellStart"/>
      <w:r w:rsidRPr="00DA5056">
        <w:rPr>
          <w:lang w:val="lt-LT"/>
        </w:rPr>
        <w:t>Sestamibi</w:t>
      </w:r>
      <w:proofErr w:type="spellEnd"/>
      <w:r w:rsidRPr="00867BF5">
        <w:rPr>
          <w:lang w:val="lt-LT"/>
        </w:rPr>
        <w:t xml:space="preserve"> išsami preparato charakteristikų santrauka kaip atskiras dokumentas pateikiama preparato pakuotėje, siekiant suteikti sveikatos priežiūros specialistams papildomos mokslinės ir praktinės informacijos apie šio </w:t>
      </w:r>
      <w:proofErr w:type="spellStart"/>
      <w:r w:rsidRPr="00867BF5">
        <w:rPr>
          <w:lang w:val="lt-LT"/>
        </w:rPr>
        <w:t>radiofarmacinio</w:t>
      </w:r>
      <w:proofErr w:type="spellEnd"/>
      <w:r w:rsidRPr="00867BF5">
        <w:rPr>
          <w:lang w:val="lt-LT"/>
        </w:rPr>
        <w:t xml:space="preserve"> preparato skyrimą ir vartojimą.</w:t>
      </w:r>
      <w:r w:rsidRPr="00DA5056">
        <w:rPr>
          <w:lang w:val="lt-LT"/>
        </w:rPr>
        <w:t xml:space="preserve"> </w:t>
      </w:r>
      <w:r w:rsidRPr="00867BF5">
        <w:rPr>
          <w:lang w:val="lt-LT"/>
        </w:rPr>
        <w:t xml:space="preserve">Žiūrėkite preparato charakteristikų santrauką </w:t>
      </w:r>
      <w:r w:rsidRPr="00867BF5">
        <w:rPr>
          <w:highlight w:val="lightGray"/>
          <w:lang w:val="lt-LT"/>
        </w:rPr>
        <w:t>[santrauką rasite dėžutėje]</w:t>
      </w:r>
      <w:r w:rsidRPr="00867BF5">
        <w:rPr>
          <w:lang w:val="lt-LT"/>
        </w:rPr>
        <w:t>.</w:t>
      </w:r>
    </w:p>
    <w:p w14:paraId="3E6C8984" w14:textId="77777777" w:rsidR="00B37A31" w:rsidRPr="00867BF5" w:rsidRDefault="00B37A31" w:rsidP="00B37A31">
      <w:pPr>
        <w:rPr>
          <w:lang w:val="lt-LT"/>
        </w:rPr>
      </w:pPr>
    </w:p>
    <w:p w14:paraId="64E46CC9" w14:textId="77777777" w:rsidR="00B37A31" w:rsidRPr="00867BF5" w:rsidRDefault="00B37A31" w:rsidP="00B37A31">
      <w:pPr>
        <w:rPr>
          <w:lang w:val="lt-LT"/>
        </w:rPr>
      </w:pPr>
    </w:p>
    <w:p w14:paraId="2A2E4113" w14:textId="77777777" w:rsidR="00B37A31" w:rsidRPr="009D29FD" w:rsidRDefault="00B37A31" w:rsidP="00B37A31">
      <w:pPr>
        <w:rPr>
          <w:lang w:val="fi-FI"/>
        </w:rPr>
      </w:pPr>
    </w:p>
    <w:p w14:paraId="73D34DFF" w14:textId="77777777" w:rsidR="00B37A31" w:rsidRPr="00B37A31" w:rsidRDefault="00B37A31" w:rsidP="00B37A31">
      <w:pPr>
        <w:rPr>
          <w:lang w:val="lt-LT"/>
        </w:rPr>
      </w:pPr>
    </w:p>
    <w:p w14:paraId="008F21E9" w14:textId="77777777" w:rsidR="006E72E0" w:rsidRPr="00491BF9" w:rsidRDefault="006E72E0" w:rsidP="006E72E0">
      <w:pPr>
        <w:pStyle w:val="Antrat2"/>
        <w:spacing w:before="0" w:after="0"/>
        <w:jc w:val="center"/>
        <w:rPr>
          <w:rFonts w:ascii="Times New Roman" w:hAnsi="Times New Roman"/>
          <w:i w:val="0"/>
          <w:iCs/>
          <w:sz w:val="22"/>
          <w:szCs w:val="22"/>
          <w:lang w:val="lt-LT"/>
        </w:rPr>
      </w:pPr>
    </w:p>
    <w:p w14:paraId="471573C1" w14:textId="439BD6E5" w:rsidR="00CC5954" w:rsidRPr="00D73F2E" w:rsidRDefault="00CC5954" w:rsidP="00CC5954">
      <w:pPr>
        <w:rPr>
          <w:lang w:val="fi-FI"/>
        </w:rPr>
      </w:pPr>
    </w:p>
    <w:sectPr w:rsidR="00CC5954" w:rsidRPr="00D73F2E">
      <w:footerReference w:type="even" r:id="rId9"/>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5141F" w14:textId="77777777" w:rsidR="00D144A0" w:rsidRDefault="00D144A0">
      <w:r>
        <w:separator/>
      </w:r>
    </w:p>
  </w:endnote>
  <w:endnote w:type="continuationSeparator" w:id="0">
    <w:p w14:paraId="6124FE06" w14:textId="77777777" w:rsidR="00D144A0" w:rsidRDefault="00D1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8013" w14:textId="77777777" w:rsidR="00231C9A" w:rsidRDefault="002A37B0" w:rsidP="00551CA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F14F10" w14:textId="77777777" w:rsidR="00231C9A" w:rsidRDefault="00231C9A" w:rsidP="000F069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5C80" w14:textId="77777777" w:rsidR="00D144A0" w:rsidRDefault="00D144A0">
      <w:r>
        <w:separator/>
      </w:r>
    </w:p>
  </w:footnote>
  <w:footnote w:type="continuationSeparator" w:id="0">
    <w:p w14:paraId="60F5AF8E" w14:textId="77777777" w:rsidR="00D144A0" w:rsidRDefault="00D1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5D57B4"/>
    <w:multiLevelType w:val="hybridMultilevel"/>
    <w:tmpl w:val="9F309C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07C702C9"/>
    <w:multiLevelType w:val="hybridMultilevel"/>
    <w:tmpl w:val="B288BFE8"/>
    <w:lvl w:ilvl="0" w:tplc="3B58F6FC">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26DCF"/>
    <w:multiLevelType w:val="hybridMultilevel"/>
    <w:tmpl w:val="F14C9FBE"/>
    <w:lvl w:ilvl="0" w:tplc="9CAAB80C">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BE55885"/>
    <w:multiLevelType w:val="multilevel"/>
    <w:tmpl w:val="D67E49BA"/>
    <w:lvl w:ilvl="0">
      <w:start w:val="2"/>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EC5277"/>
    <w:multiLevelType w:val="multilevel"/>
    <w:tmpl w:val="F774C75E"/>
    <w:lvl w:ilvl="0">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67FE5"/>
    <w:multiLevelType w:val="hybridMultilevel"/>
    <w:tmpl w:val="EFA4F6E8"/>
    <w:lvl w:ilvl="0" w:tplc="EB2A5636">
      <w:start w:val="1"/>
      <w:numFmt w:val="decimal"/>
      <w:lvlText w:val="%1"/>
      <w:lvlJc w:val="left"/>
      <w:pPr>
        <w:tabs>
          <w:tab w:val="num" w:pos="-340"/>
        </w:tabs>
        <w:ind w:left="-340" w:hanging="360"/>
      </w:pPr>
      <w:rPr>
        <w:rFonts w:hint="default"/>
      </w:rPr>
    </w:lvl>
    <w:lvl w:ilvl="1" w:tplc="04090019" w:tentative="1">
      <w:start w:val="1"/>
      <w:numFmt w:val="lowerLetter"/>
      <w:lvlText w:val="%2."/>
      <w:lvlJc w:val="left"/>
      <w:pPr>
        <w:tabs>
          <w:tab w:val="num" w:pos="20"/>
        </w:tabs>
        <w:ind w:left="20" w:hanging="360"/>
      </w:pPr>
    </w:lvl>
    <w:lvl w:ilvl="2" w:tplc="0409001B" w:tentative="1">
      <w:start w:val="1"/>
      <w:numFmt w:val="lowerRoman"/>
      <w:lvlText w:val="%3."/>
      <w:lvlJc w:val="right"/>
      <w:pPr>
        <w:tabs>
          <w:tab w:val="num" w:pos="740"/>
        </w:tabs>
        <w:ind w:left="740" w:hanging="180"/>
      </w:pPr>
    </w:lvl>
    <w:lvl w:ilvl="3" w:tplc="0409000F" w:tentative="1">
      <w:start w:val="1"/>
      <w:numFmt w:val="decimal"/>
      <w:lvlText w:val="%4."/>
      <w:lvlJc w:val="left"/>
      <w:pPr>
        <w:tabs>
          <w:tab w:val="num" w:pos="1460"/>
        </w:tabs>
        <w:ind w:left="1460" w:hanging="360"/>
      </w:pPr>
    </w:lvl>
    <w:lvl w:ilvl="4" w:tplc="04090019" w:tentative="1">
      <w:start w:val="1"/>
      <w:numFmt w:val="lowerLetter"/>
      <w:lvlText w:val="%5."/>
      <w:lvlJc w:val="left"/>
      <w:pPr>
        <w:tabs>
          <w:tab w:val="num" w:pos="2180"/>
        </w:tabs>
        <w:ind w:left="2180" w:hanging="360"/>
      </w:pPr>
    </w:lvl>
    <w:lvl w:ilvl="5" w:tplc="0409001B" w:tentative="1">
      <w:start w:val="1"/>
      <w:numFmt w:val="lowerRoman"/>
      <w:lvlText w:val="%6."/>
      <w:lvlJc w:val="right"/>
      <w:pPr>
        <w:tabs>
          <w:tab w:val="num" w:pos="2900"/>
        </w:tabs>
        <w:ind w:left="2900" w:hanging="180"/>
      </w:pPr>
    </w:lvl>
    <w:lvl w:ilvl="6" w:tplc="0409000F" w:tentative="1">
      <w:start w:val="1"/>
      <w:numFmt w:val="decimal"/>
      <w:lvlText w:val="%7."/>
      <w:lvlJc w:val="left"/>
      <w:pPr>
        <w:tabs>
          <w:tab w:val="num" w:pos="3620"/>
        </w:tabs>
        <w:ind w:left="3620" w:hanging="360"/>
      </w:pPr>
    </w:lvl>
    <w:lvl w:ilvl="7" w:tplc="04090019" w:tentative="1">
      <w:start w:val="1"/>
      <w:numFmt w:val="lowerLetter"/>
      <w:lvlText w:val="%8."/>
      <w:lvlJc w:val="left"/>
      <w:pPr>
        <w:tabs>
          <w:tab w:val="num" w:pos="4340"/>
        </w:tabs>
        <w:ind w:left="4340" w:hanging="360"/>
      </w:pPr>
    </w:lvl>
    <w:lvl w:ilvl="8" w:tplc="0409001B" w:tentative="1">
      <w:start w:val="1"/>
      <w:numFmt w:val="lowerRoman"/>
      <w:lvlText w:val="%9."/>
      <w:lvlJc w:val="right"/>
      <w:pPr>
        <w:tabs>
          <w:tab w:val="num" w:pos="5060"/>
        </w:tabs>
        <w:ind w:left="5060" w:hanging="180"/>
      </w:pPr>
    </w:lvl>
  </w:abstractNum>
  <w:abstractNum w:abstractNumId="20"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B11F1"/>
    <w:multiLevelType w:val="hybridMultilevel"/>
    <w:tmpl w:val="F774C75E"/>
    <w:lvl w:ilvl="0" w:tplc="9CAAB80C">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3FE8645D"/>
    <w:multiLevelType w:val="hybridMultilevel"/>
    <w:tmpl w:val="D67E49BA"/>
    <w:lvl w:ilvl="0" w:tplc="B750F112">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4ADB797C"/>
    <w:multiLevelType w:val="multilevel"/>
    <w:tmpl w:val="F774C75E"/>
    <w:lvl w:ilvl="0">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A884F2C"/>
    <w:multiLevelType w:val="singleLevel"/>
    <w:tmpl w:val="0DB40924"/>
    <w:lvl w:ilvl="0">
      <w:start w:val="1"/>
      <w:numFmt w:val="decimal"/>
      <w:lvlText w:val="%1"/>
      <w:legacy w:legacy="1" w:legacySpace="0" w:legacyIndent="705"/>
      <w:lvlJc w:val="left"/>
      <w:rPr>
        <w:rFonts w:ascii="Times New Roman" w:hAnsi="Times New Roman" w:cs="Times New Roman" w:hint="default"/>
      </w:rPr>
    </w:lvl>
  </w:abstractNum>
  <w:abstractNum w:abstractNumId="33"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4"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7"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3" w15:restartNumberingAfterBreak="0">
    <w:nsid w:val="6EB72275"/>
    <w:multiLevelType w:val="multilevel"/>
    <w:tmpl w:val="F774C75E"/>
    <w:lvl w:ilvl="0">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6" w15:restartNumberingAfterBreak="0">
    <w:nsid w:val="7E8F001E"/>
    <w:multiLevelType w:val="hybridMultilevel"/>
    <w:tmpl w:val="5EB60A86"/>
    <w:lvl w:ilvl="0" w:tplc="DAB624D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78872581">
    <w:abstractNumId w:val="0"/>
    <w:lvlOverride w:ilvl="0">
      <w:lvl w:ilvl="0">
        <w:start w:val="1"/>
        <w:numFmt w:val="bullet"/>
        <w:lvlText w:val="-"/>
        <w:legacy w:legacy="1" w:legacySpace="0" w:legacyIndent="360"/>
        <w:lvlJc w:val="left"/>
        <w:pPr>
          <w:ind w:left="360" w:hanging="360"/>
        </w:pPr>
      </w:lvl>
    </w:lvlOverride>
  </w:num>
  <w:num w:numId="2" w16cid:durableId="206645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074858406">
    <w:abstractNumId w:val="42"/>
  </w:num>
  <w:num w:numId="4" w16cid:durableId="666903013">
    <w:abstractNumId w:val="41"/>
  </w:num>
  <w:num w:numId="5" w16cid:durableId="9141942">
    <w:abstractNumId w:val="15"/>
  </w:num>
  <w:num w:numId="6" w16cid:durableId="812335788">
    <w:abstractNumId w:val="29"/>
  </w:num>
  <w:num w:numId="7" w16cid:durableId="1505781061">
    <w:abstractNumId w:val="27"/>
  </w:num>
  <w:num w:numId="8" w16cid:durableId="2099672706">
    <w:abstractNumId w:val="10"/>
  </w:num>
  <w:num w:numId="9" w16cid:durableId="322314860">
    <w:abstractNumId w:val="39"/>
  </w:num>
  <w:num w:numId="10" w16cid:durableId="823354292">
    <w:abstractNumId w:val="40"/>
  </w:num>
  <w:num w:numId="11" w16cid:durableId="310410058">
    <w:abstractNumId w:val="22"/>
  </w:num>
  <w:num w:numId="12" w16cid:durableId="105466758">
    <w:abstractNumId w:val="17"/>
  </w:num>
  <w:num w:numId="13" w16cid:durableId="110973751">
    <w:abstractNumId w:val="3"/>
  </w:num>
  <w:num w:numId="14" w16cid:durableId="2103836963">
    <w:abstractNumId w:val="38"/>
  </w:num>
  <w:num w:numId="15" w16cid:durableId="2043742543">
    <w:abstractNumId w:val="25"/>
  </w:num>
  <w:num w:numId="16" w16cid:durableId="144900830">
    <w:abstractNumId w:val="44"/>
  </w:num>
  <w:num w:numId="17" w16cid:durableId="1349287588">
    <w:abstractNumId w:val="11"/>
  </w:num>
  <w:num w:numId="18" w16cid:durableId="504980677">
    <w:abstractNumId w:val="1"/>
  </w:num>
  <w:num w:numId="19" w16cid:durableId="526794293">
    <w:abstractNumId w:val="23"/>
  </w:num>
  <w:num w:numId="20" w16cid:durableId="1349721490">
    <w:abstractNumId w:val="4"/>
  </w:num>
  <w:num w:numId="21" w16cid:durableId="142624265">
    <w:abstractNumId w:val="8"/>
  </w:num>
  <w:num w:numId="22" w16cid:durableId="2057585488">
    <w:abstractNumId w:val="33"/>
  </w:num>
  <w:num w:numId="23" w16cid:durableId="83841500">
    <w:abstractNumId w:val="37"/>
  </w:num>
  <w:num w:numId="24" w16cid:durableId="1249658622">
    <w:abstractNumId w:val="31"/>
  </w:num>
  <w:num w:numId="25" w16cid:durableId="1847668807">
    <w:abstractNumId w:val="16"/>
  </w:num>
  <w:num w:numId="26" w16cid:durableId="1747065676">
    <w:abstractNumId w:val="13"/>
  </w:num>
  <w:num w:numId="27" w16cid:durableId="1221479471">
    <w:abstractNumId w:val="26"/>
  </w:num>
  <w:num w:numId="28" w16cid:durableId="542864032">
    <w:abstractNumId w:val="30"/>
  </w:num>
  <w:num w:numId="29" w16cid:durableId="1352148191">
    <w:abstractNumId w:val="18"/>
  </w:num>
  <w:num w:numId="30" w16cid:durableId="281228243">
    <w:abstractNumId w:val="12"/>
  </w:num>
  <w:num w:numId="31" w16cid:durableId="836651849">
    <w:abstractNumId w:val="35"/>
  </w:num>
  <w:num w:numId="32" w16cid:durableId="1193684725">
    <w:abstractNumId w:val="36"/>
  </w:num>
  <w:num w:numId="33" w16cid:durableId="1893616369">
    <w:abstractNumId w:val="34"/>
  </w:num>
  <w:num w:numId="34" w16cid:durableId="277756903">
    <w:abstractNumId w:val="20"/>
  </w:num>
  <w:num w:numId="35" w16cid:durableId="1220363619">
    <w:abstractNumId w:val="5"/>
  </w:num>
  <w:num w:numId="36" w16cid:durableId="790713005">
    <w:abstractNumId w:val="45"/>
  </w:num>
  <w:num w:numId="37" w16cid:durableId="1483615252">
    <w:abstractNumId w:val="21"/>
  </w:num>
  <w:num w:numId="38" w16cid:durableId="647437070">
    <w:abstractNumId w:val="32"/>
  </w:num>
  <w:num w:numId="39" w16cid:durableId="335114676">
    <w:abstractNumId w:val="7"/>
  </w:num>
  <w:num w:numId="40" w16cid:durableId="916283975">
    <w:abstractNumId w:val="46"/>
  </w:num>
  <w:num w:numId="41" w16cid:durableId="250048153">
    <w:abstractNumId w:val="2"/>
  </w:num>
  <w:num w:numId="42" w16cid:durableId="19088193">
    <w:abstractNumId w:val="24"/>
  </w:num>
  <w:num w:numId="43" w16cid:durableId="792401543">
    <w:abstractNumId w:val="28"/>
  </w:num>
  <w:num w:numId="44" w16cid:durableId="1011680064">
    <w:abstractNumId w:val="43"/>
  </w:num>
  <w:num w:numId="45" w16cid:durableId="1344163741">
    <w:abstractNumId w:val="14"/>
  </w:num>
  <w:num w:numId="46" w16cid:durableId="126359230">
    <w:abstractNumId w:val="9"/>
  </w:num>
  <w:num w:numId="47" w16cid:durableId="1049063191">
    <w:abstractNumId w:val="19"/>
  </w:num>
  <w:num w:numId="48" w16cid:durableId="1598901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1E5"/>
    <w:rsid w:val="00000874"/>
    <w:rsid w:val="00010D0C"/>
    <w:rsid w:val="00035B55"/>
    <w:rsid w:val="00056D1D"/>
    <w:rsid w:val="000622D3"/>
    <w:rsid w:val="0006516A"/>
    <w:rsid w:val="00087478"/>
    <w:rsid w:val="000E559B"/>
    <w:rsid w:val="000F2728"/>
    <w:rsid w:val="00111F3F"/>
    <w:rsid w:val="00126BF0"/>
    <w:rsid w:val="00133758"/>
    <w:rsid w:val="00146578"/>
    <w:rsid w:val="00154953"/>
    <w:rsid w:val="001908FC"/>
    <w:rsid w:val="001E1D89"/>
    <w:rsid w:val="001F16BB"/>
    <w:rsid w:val="0020383B"/>
    <w:rsid w:val="00211654"/>
    <w:rsid w:val="00231C9A"/>
    <w:rsid w:val="002646F5"/>
    <w:rsid w:val="00283E91"/>
    <w:rsid w:val="00294512"/>
    <w:rsid w:val="00296587"/>
    <w:rsid w:val="002A1658"/>
    <w:rsid w:val="002A37B0"/>
    <w:rsid w:val="002C436A"/>
    <w:rsid w:val="002C4AAC"/>
    <w:rsid w:val="002C579F"/>
    <w:rsid w:val="002D2F0C"/>
    <w:rsid w:val="002E330E"/>
    <w:rsid w:val="002F7DEE"/>
    <w:rsid w:val="003050CB"/>
    <w:rsid w:val="00323727"/>
    <w:rsid w:val="00347107"/>
    <w:rsid w:val="0035312C"/>
    <w:rsid w:val="003809A8"/>
    <w:rsid w:val="003A635C"/>
    <w:rsid w:val="0046790E"/>
    <w:rsid w:val="00491BF9"/>
    <w:rsid w:val="0049636E"/>
    <w:rsid w:val="004E6D10"/>
    <w:rsid w:val="004F35D3"/>
    <w:rsid w:val="00551CC8"/>
    <w:rsid w:val="005760FC"/>
    <w:rsid w:val="005824C7"/>
    <w:rsid w:val="00626801"/>
    <w:rsid w:val="00655C0C"/>
    <w:rsid w:val="006825CB"/>
    <w:rsid w:val="006A1EBB"/>
    <w:rsid w:val="006A7D0F"/>
    <w:rsid w:val="006C3977"/>
    <w:rsid w:val="006C65AB"/>
    <w:rsid w:val="006E6556"/>
    <w:rsid w:val="006E72E0"/>
    <w:rsid w:val="006F21E5"/>
    <w:rsid w:val="007075A4"/>
    <w:rsid w:val="0073031A"/>
    <w:rsid w:val="00752D28"/>
    <w:rsid w:val="007B44B7"/>
    <w:rsid w:val="007D4442"/>
    <w:rsid w:val="007F1937"/>
    <w:rsid w:val="008171BC"/>
    <w:rsid w:val="00825661"/>
    <w:rsid w:val="0084035B"/>
    <w:rsid w:val="00880853"/>
    <w:rsid w:val="008C7571"/>
    <w:rsid w:val="008E140D"/>
    <w:rsid w:val="00905802"/>
    <w:rsid w:val="0091574C"/>
    <w:rsid w:val="009379E4"/>
    <w:rsid w:val="00937F78"/>
    <w:rsid w:val="00957E92"/>
    <w:rsid w:val="009674DA"/>
    <w:rsid w:val="009B008C"/>
    <w:rsid w:val="009B096B"/>
    <w:rsid w:val="009B20FA"/>
    <w:rsid w:val="009C1221"/>
    <w:rsid w:val="009F60BE"/>
    <w:rsid w:val="00A453D3"/>
    <w:rsid w:val="00A8169B"/>
    <w:rsid w:val="00AD4796"/>
    <w:rsid w:val="00AE5C0D"/>
    <w:rsid w:val="00B12DDA"/>
    <w:rsid w:val="00B34814"/>
    <w:rsid w:val="00B37A31"/>
    <w:rsid w:val="00BB25A3"/>
    <w:rsid w:val="00BD7CCF"/>
    <w:rsid w:val="00BF0CCA"/>
    <w:rsid w:val="00BF65AD"/>
    <w:rsid w:val="00C03492"/>
    <w:rsid w:val="00C22580"/>
    <w:rsid w:val="00C3060A"/>
    <w:rsid w:val="00C66AC6"/>
    <w:rsid w:val="00C67385"/>
    <w:rsid w:val="00CC5954"/>
    <w:rsid w:val="00D144A0"/>
    <w:rsid w:val="00D46EB4"/>
    <w:rsid w:val="00D73F2E"/>
    <w:rsid w:val="00D860B9"/>
    <w:rsid w:val="00E05035"/>
    <w:rsid w:val="00E60BAE"/>
    <w:rsid w:val="00E76DA2"/>
    <w:rsid w:val="00E77A7B"/>
    <w:rsid w:val="00EA51C7"/>
    <w:rsid w:val="00EA6188"/>
    <w:rsid w:val="00ED5110"/>
    <w:rsid w:val="00EE177A"/>
    <w:rsid w:val="00F05DD0"/>
    <w:rsid w:val="00F52E4E"/>
    <w:rsid w:val="00F5561C"/>
    <w:rsid w:val="00F70A92"/>
    <w:rsid w:val="00F83455"/>
    <w:rsid w:val="00F87825"/>
    <w:rsid w:val="00FB12DB"/>
    <w:rsid w:val="00FF6F8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0B0C5F70"/>
  <w15:chartTrackingRefBased/>
  <w15:docId w15:val="{F1BB9725-7D36-4934-B130-5403B4A4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6578"/>
    <w:pPr>
      <w:tabs>
        <w:tab w:val="left" w:pos="567"/>
      </w:tabs>
      <w:spacing w:after="0" w:line="240" w:lineRule="auto"/>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146578"/>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146578"/>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146578"/>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146578"/>
    <w:pPr>
      <w:keepNext/>
      <w:jc w:val="both"/>
      <w:outlineLvl w:val="3"/>
    </w:pPr>
    <w:rPr>
      <w:b/>
      <w:noProof/>
    </w:rPr>
  </w:style>
  <w:style w:type="paragraph" w:styleId="Antrat5">
    <w:name w:val="heading 5"/>
    <w:basedOn w:val="prastasis"/>
    <w:next w:val="prastasis"/>
    <w:link w:val="Antrat5Diagrama"/>
    <w:qFormat/>
    <w:rsid w:val="00146578"/>
    <w:pPr>
      <w:keepNext/>
      <w:jc w:val="both"/>
      <w:outlineLvl w:val="4"/>
    </w:pPr>
    <w:rPr>
      <w:noProof/>
    </w:rPr>
  </w:style>
  <w:style w:type="paragraph" w:styleId="Antrat6">
    <w:name w:val="heading 6"/>
    <w:basedOn w:val="prastasis"/>
    <w:next w:val="prastasis"/>
    <w:link w:val="Antrat6Diagrama"/>
    <w:qFormat/>
    <w:rsid w:val="00146578"/>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146578"/>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146578"/>
    <w:pPr>
      <w:keepNext/>
      <w:ind w:left="567" w:hanging="567"/>
      <w:jc w:val="both"/>
      <w:outlineLvl w:val="7"/>
    </w:pPr>
    <w:rPr>
      <w:b/>
      <w:i/>
    </w:rPr>
  </w:style>
  <w:style w:type="paragraph" w:styleId="Antrat9">
    <w:name w:val="heading 9"/>
    <w:basedOn w:val="prastasis"/>
    <w:next w:val="prastasis"/>
    <w:link w:val="Antrat9Diagrama"/>
    <w:qFormat/>
    <w:rsid w:val="00146578"/>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46578"/>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146578"/>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146578"/>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146578"/>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146578"/>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146578"/>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146578"/>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146578"/>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146578"/>
    <w:rPr>
      <w:rFonts w:ascii="Times New Roman" w:eastAsia="Times New Roman" w:hAnsi="Times New Roman" w:cs="Times New Roman"/>
      <w:b/>
      <w:i/>
      <w:szCs w:val="20"/>
      <w:lang w:val="en-GB"/>
    </w:rPr>
  </w:style>
  <w:style w:type="paragraph" w:styleId="Antrats">
    <w:name w:val="header"/>
    <w:basedOn w:val="prastasis"/>
    <w:link w:val="AntratsDiagrama"/>
    <w:rsid w:val="00146578"/>
    <w:pPr>
      <w:tabs>
        <w:tab w:val="center" w:pos="4153"/>
        <w:tab w:val="right" w:pos="8306"/>
      </w:tabs>
    </w:pPr>
    <w:rPr>
      <w:rFonts w:ascii="Helvetica" w:hAnsi="Helvetica"/>
      <w:sz w:val="20"/>
    </w:rPr>
  </w:style>
  <w:style w:type="character" w:customStyle="1" w:styleId="AntratsDiagrama">
    <w:name w:val="Antraštės Diagrama"/>
    <w:basedOn w:val="Numatytasispastraiposriftas"/>
    <w:link w:val="Antrats"/>
    <w:rsid w:val="00146578"/>
    <w:rPr>
      <w:rFonts w:ascii="Helvetica" w:eastAsia="Times New Roman" w:hAnsi="Helvetica" w:cs="Times New Roman"/>
      <w:sz w:val="20"/>
      <w:szCs w:val="20"/>
      <w:lang w:val="en-GB"/>
    </w:rPr>
  </w:style>
  <w:style w:type="paragraph" w:styleId="Porat">
    <w:name w:val="footer"/>
    <w:basedOn w:val="prastasis"/>
    <w:link w:val="PoratDiagrama"/>
    <w:uiPriority w:val="99"/>
    <w:rsid w:val="00146578"/>
    <w:pPr>
      <w:tabs>
        <w:tab w:val="center" w:pos="4536"/>
        <w:tab w:val="center" w:pos="8930"/>
      </w:tabs>
    </w:pPr>
    <w:rPr>
      <w:rFonts w:ascii="Helvetica" w:hAnsi="Helvetica"/>
      <w:sz w:val="16"/>
      <w:lang w:val="x-none"/>
    </w:rPr>
  </w:style>
  <w:style w:type="character" w:customStyle="1" w:styleId="PoratDiagrama">
    <w:name w:val="Poraštė Diagrama"/>
    <w:basedOn w:val="Numatytasispastraiposriftas"/>
    <w:link w:val="Porat"/>
    <w:uiPriority w:val="99"/>
    <w:rsid w:val="00146578"/>
    <w:rPr>
      <w:rFonts w:ascii="Helvetica" w:eastAsia="Times New Roman" w:hAnsi="Helvetica" w:cs="Times New Roman"/>
      <w:sz w:val="16"/>
      <w:szCs w:val="20"/>
      <w:lang w:val="x-none"/>
    </w:rPr>
  </w:style>
  <w:style w:type="character" w:styleId="Puslapionumeris">
    <w:name w:val="page number"/>
    <w:basedOn w:val="Numatytasispastraiposriftas"/>
    <w:rsid w:val="00146578"/>
  </w:style>
  <w:style w:type="paragraph" w:styleId="Pagrindiniotekstotrauka">
    <w:name w:val="Body Text Indent"/>
    <w:basedOn w:val="prastasis"/>
    <w:link w:val="PagrindiniotekstotraukaDiagrama"/>
    <w:rsid w:val="00146578"/>
    <w:pPr>
      <w:tabs>
        <w:tab w:val="clear" w:pos="567"/>
      </w:tabs>
      <w:autoSpaceDE w:val="0"/>
      <w:autoSpaceDN w:val="0"/>
      <w:adjustRightInd w:val="0"/>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146578"/>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146578"/>
    <w:pPr>
      <w:tabs>
        <w:tab w:val="clear" w:pos="567"/>
      </w:tabs>
      <w:autoSpaceDE w:val="0"/>
      <w:autoSpaceDN w:val="0"/>
      <w:adjustRightInd w:val="0"/>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146578"/>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14657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146578"/>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146578"/>
    <w:pPr>
      <w:tabs>
        <w:tab w:val="clear" w:pos="567"/>
      </w:tabs>
    </w:pPr>
    <w:rPr>
      <w:i/>
      <w:color w:val="008000"/>
    </w:rPr>
  </w:style>
  <w:style w:type="character" w:customStyle="1" w:styleId="PagrindinistekstasDiagrama">
    <w:name w:val="Pagrindinis tekstas Diagrama"/>
    <w:basedOn w:val="Numatytasispastraiposriftas"/>
    <w:link w:val="Pagrindinistekstas"/>
    <w:rsid w:val="00146578"/>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14657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146578"/>
    <w:rPr>
      <w:rFonts w:ascii="Times New Roman" w:eastAsia="Times New Roman" w:hAnsi="Times New Roman" w:cs="Times New Roman"/>
      <w:b/>
      <w:bCs/>
      <w:color w:val="0000FF"/>
      <w:u w:val="single"/>
      <w:lang w:val="en-GB"/>
    </w:rPr>
  </w:style>
  <w:style w:type="character" w:styleId="Komentaronuoroda">
    <w:name w:val="annotation reference"/>
    <w:semiHidden/>
    <w:rsid w:val="00146578"/>
    <w:rPr>
      <w:sz w:val="16"/>
      <w:szCs w:val="16"/>
    </w:rPr>
  </w:style>
  <w:style w:type="paragraph" w:styleId="Komentarotekstas">
    <w:name w:val="annotation text"/>
    <w:basedOn w:val="prastasis"/>
    <w:link w:val="KomentarotekstasDiagrama"/>
    <w:semiHidden/>
    <w:rsid w:val="00146578"/>
    <w:rPr>
      <w:sz w:val="20"/>
    </w:rPr>
  </w:style>
  <w:style w:type="character" w:customStyle="1" w:styleId="KomentarotekstasDiagrama">
    <w:name w:val="Komentaro tekstas Diagrama"/>
    <w:basedOn w:val="Numatytasispastraiposriftas"/>
    <w:link w:val="Komentarotekstas"/>
    <w:semiHidden/>
    <w:rsid w:val="00146578"/>
    <w:rPr>
      <w:rFonts w:ascii="Times New Roman" w:eastAsia="Times New Roman" w:hAnsi="Times New Roman" w:cs="Times New Roman"/>
      <w:sz w:val="20"/>
      <w:szCs w:val="20"/>
      <w:lang w:val="en-GB"/>
    </w:rPr>
  </w:style>
  <w:style w:type="paragraph" w:customStyle="1" w:styleId="EMEAEnBodyText">
    <w:name w:val="EMEA En Body Text"/>
    <w:basedOn w:val="prastasis"/>
    <w:rsid w:val="00146578"/>
    <w:pPr>
      <w:tabs>
        <w:tab w:val="clear" w:pos="567"/>
      </w:tabs>
      <w:spacing w:before="120" w:after="120"/>
      <w:jc w:val="both"/>
    </w:pPr>
    <w:rPr>
      <w:lang w:val="en-US"/>
    </w:rPr>
  </w:style>
  <w:style w:type="paragraph" w:styleId="Dokumentostruktra">
    <w:name w:val="Document Map"/>
    <w:basedOn w:val="prastasis"/>
    <w:link w:val="DokumentostruktraDiagrama"/>
    <w:semiHidden/>
    <w:rsid w:val="00146578"/>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146578"/>
    <w:rPr>
      <w:rFonts w:ascii="Tahoma" w:eastAsia="Times New Roman" w:hAnsi="Tahoma" w:cs="Tahoma"/>
      <w:szCs w:val="20"/>
      <w:shd w:val="clear" w:color="auto" w:fill="000080"/>
      <w:lang w:val="en-GB"/>
    </w:rPr>
  </w:style>
  <w:style w:type="character" w:styleId="Hipersaitas">
    <w:name w:val="Hyperlink"/>
    <w:rsid w:val="00146578"/>
    <w:rPr>
      <w:color w:val="0000FF"/>
      <w:u w:val="single"/>
    </w:rPr>
  </w:style>
  <w:style w:type="paragraph" w:customStyle="1" w:styleId="AHeader1">
    <w:name w:val="AHeader 1"/>
    <w:basedOn w:val="prastasis"/>
    <w:rsid w:val="00146578"/>
    <w:pPr>
      <w:numPr>
        <w:numId w:val="30"/>
      </w:numPr>
      <w:tabs>
        <w:tab w:val="clear" w:pos="567"/>
      </w:tabs>
      <w:spacing w:after="120"/>
    </w:pPr>
    <w:rPr>
      <w:rFonts w:ascii="Arial" w:hAnsi="Arial" w:cs="Arial"/>
      <w:b/>
      <w:bCs/>
      <w:sz w:val="24"/>
    </w:rPr>
  </w:style>
  <w:style w:type="paragraph" w:customStyle="1" w:styleId="AHeader2">
    <w:name w:val="AHeader 2"/>
    <w:basedOn w:val="AHeader1"/>
    <w:rsid w:val="00146578"/>
    <w:pPr>
      <w:numPr>
        <w:ilvl w:val="1"/>
      </w:numPr>
      <w:tabs>
        <w:tab w:val="clear" w:pos="709"/>
        <w:tab w:val="num" w:pos="360"/>
      </w:tabs>
    </w:pPr>
    <w:rPr>
      <w:sz w:val="22"/>
    </w:rPr>
  </w:style>
  <w:style w:type="paragraph" w:customStyle="1" w:styleId="AHeader3">
    <w:name w:val="AHeader 3"/>
    <w:basedOn w:val="AHeader2"/>
    <w:rsid w:val="00146578"/>
    <w:pPr>
      <w:numPr>
        <w:ilvl w:val="2"/>
      </w:numPr>
      <w:tabs>
        <w:tab w:val="clear" w:pos="1276"/>
        <w:tab w:val="num" w:pos="360"/>
      </w:tabs>
    </w:pPr>
  </w:style>
  <w:style w:type="paragraph" w:customStyle="1" w:styleId="AHeader2abc">
    <w:name w:val="AHeader 2 abc"/>
    <w:basedOn w:val="AHeader3"/>
    <w:rsid w:val="00146578"/>
    <w:pPr>
      <w:numPr>
        <w:ilvl w:val="3"/>
      </w:numPr>
      <w:tabs>
        <w:tab w:val="clear" w:pos="1276"/>
        <w:tab w:val="num" w:pos="360"/>
      </w:tabs>
      <w:jc w:val="both"/>
    </w:pPr>
    <w:rPr>
      <w:b w:val="0"/>
      <w:bCs w:val="0"/>
    </w:rPr>
  </w:style>
  <w:style w:type="paragraph" w:customStyle="1" w:styleId="AHeader3abc">
    <w:name w:val="AHeader 3 abc"/>
    <w:basedOn w:val="AHeader2abc"/>
    <w:rsid w:val="00146578"/>
    <w:pPr>
      <w:numPr>
        <w:ilvl w:val="4"/>
      </w:numPr>
      <w:tabs>
        <w:tab w:val="clear" w:pos="1701"/>
        <w:tab w:val="num" w:pos="360"/>
      </w:tabs>
    </w:pPr>
  </w:style>
  <w:style w:type="paragraph" w:styleId="Pagrindiniotekstotrauka3">
    <w:name w:val="Body Text Indent 3"/>
    <w:basedOn w:val="prastasis"/>
    <w:link w:val="Pagrindiniotekstotrauka3Diagrama"/>
    <w:rsid w:val="00146578"/>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146578"/>
    <w:rPr>
      <w:rFonts w:ascii="Times New Roman" w:eastAsia="Times New Roman" w:hAnsi="Times New Roman" w:cs="Times New Roman"/>
      <w:szCs w:val="21"/>
      <w:lang w:val="en-GB"/>
    </w:rPr>
  </w:style>
  <w:style w:type="character" w:styleId="Perirtashipersaitas">
    <w:name w:val="FollowedHyperlink"/>
    <w:rsid w:val="00146578"/>
    <w:rPr>
      <w:color w:val="800080"/>
      <w:u w:val="single"/>
    </w:rPr>
  </w:style>
  <w:style w:type="paragraph" w:customStyle="1" w:styleId="Default">
    <w:name w:val="Default"/>
    <w:rsid w:val="00146578"/>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lloonText1">
    <w:name w:val="Balloon Text1"/>
    <w:basedOn w:val="prastasis"/>
    <w:semiHidden/>
    <w:rsid w:val="00146578"/>
    <w:rPr>
      <w:rFonts w:ascii="Tahoma" w:hAnsi="Tahoma" w:cs="Tahoma"/>
      <w:sz w:val="16"/>
      <w:szCs w:val="16"/>
    </w:rPr>
  </w:style>
  <w:style w:type="paragraph" w:customStyle="1" w:styleId="TextinTable">
    <w:name w:val="Text in Table"/>
    <w:basedOn w:val="prastasis"/>
    <w:rsid w:val="00146578"/>
    <w:pPr>
      <w:tabs>
        <w:tab w:val="clear" w:pos="567"/>
      </w:tabs>
      <w:spacing w:before="40" w:after="40"/>
    </w:pPr>
    <w:rPr>
      <w:szCs w:val="24"/>
      <w:lang w:eastAsia="de-DE"/>
    </w:rPr>
  </w:style>
  <w:style w:type="table" w:styleId="Lentelstinklelis">
    <w:name w:val="Table Grid"/>
    <w:basedOn w:val="prastojilentel"/>
    <w:rsid w:val="00146578"/>
    <w:pPr>
      <w:spacing w:after="24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146578"/>
    <w:rPr>
      <w:b/>
      <w:bCs/>
    </w:rPr>
  </w:style>
  <w:style w:type="paragraph" w:styleId="Debesliotekstas">
    <w:name w:val="Balloon Text"/>
    <w:basedOn w:val="prastasis"/>
    <w:link w:val="DebesliotekstasDiagrama"/>
    <w:semiHidden/>
    <w:rsid w:val="0014657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46578"/>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146578"/>
    <w:rPr>
      <w:b/>
      <w:bCs/>
    </w:rPr>
  </w:style>
  <w:style w:type="character" w:customStyle="1" w:styleId="KomentarotemaDiagrama">
    <w:name w:val="Komentaro tema Diagrama"/>
    <w:basedOn w:val="KomentarotekstasDiagrama"/>
    <w:link w:val="Komentarotema"/>
    <w:semiHidden/>
    <w:rsid w:val="00146578"/>
    <w:rPr>
      <w:rFonts w:ascii="Times New Roman" w:eastAsia="Times New Roman" w:hAnsi="Times New Roman" w:cs="Times New Roman"/>
      <w:b/>
      <w:bCs/>
      <w:sz w:val="20"/>
      <w:szCs w:val="20"/>
      <w:lang w:val="en-GB"/>
    </w:rPr>
  </w:style>
  <w:style w:type="paragraph" w:customStyle="1" w:styleId="BTEMEASMCA">
    <w:name w:val="BT EMEA_SMCA"/>
    <w:basedOn w:val="prastasis"/>
    <w:link w:val="BTEMEASMCAChar"/>
    <w:autoRedefine/>
    <w:uiPriority w:val="99"/>
    <w:rsid w:val="00146578"/>
    <w:pPr>
      <w:tabs>
        <w:tab w:val="clear" w:pos="567"/>
      </w:tabs>
    </w:pPr>
    <w:rPr>
      <w:noProof/>
      <w:szCs w:val="22"/>
      <w:lang w:val="lt-LT"/>
    </w:rPr>
  </w:style>
  <w:style w:type="character" w:customStyle="1" w:styleId="BTEMEASMCAChar">
    <w:name w:val="BT EMEA_SMCA Char"/>
    <w:link w:val="BTEMEASMCA"/>
    <w:uiPriority w:val="99"/>
    <w:rsid w:val="00146578"/>
    <w:rPr>
      <w:rFonts w:ascii="Times New Roman" w:eastAsia="Times New Roman" w:hAnsi="Times New Roman" w:cs="Times New Roman"/>
      <w:noProof/>
    </w:rPr>
  </w:style>
  <w:style w:type="paragraph" w:customStyle="1" w:styleId="PI-1EMEASMCA">
    <w:name w:val="PI-1 EMEA_SMCA"/>
    <w:basedOn w:val="Antrat2"/>
    <w:autoRedefine/>
    <w:rsid w:val="00146578"/>
    <w:pPr>
      <w:spacing w:before="0" w:after="0"/>
      <w:ind w:left="567" w:hanging="567"/>
    </w:pPr>
    <w:rPr>
      <w:rFonts w:ascii="Times New Roman" w:hAnsi="Times New Roman"/>
      <w:i w:val="0"/>
      <w:sz w:val="22"/>
      <w:szCs w:val="22"/>
      <w:lang w:val="lt-LT"/>
    </w:rPr>
  </w:style>
  <w:style w:type="paragraph" w:customStyle="1" w:styleId="PI-2EMEASMCA">
    <w:name w:val="PI-2 EMEA_SMCA"/>
    <w:basedOn w:val="Antrat3"/>
    <w:autoRedefine/>
    <w:rsid w:val="00146578"/>
    <w:pPr>
      <w:spacing w:before="0" w:after="0"/>
      <w:ind w:left="567" w:hanging="567"/>
    </w:pPr>
    <w:rPr>
      <w:sz w:val="22"/>
      <w:szCs w:val="22"/>
      <w:lang w:val="lt-LT"/>
    </w:rPr>
  </w:style>
  <w:style w:type="paragraph" w:customStyle="1" w:styleId="TTEMEASMCA">
    <w:name w:val="TT EMEA_SMCA"/>
    <w:basedOn w:val="Antrat1"/>
    <w:link w:val="TTEMEASMCAChar"/>
    <w:autoRedefine/>
    <w:rsid w:val="00146578"/>
    <w:pPr>
      <w:spacing w:before="0" w:after="0"/>
      <w:ind w:left="567" w:hanging="567"/>
      <w:jc w:val="center"/>
    </w:pPr>
    <w:rPr>
      <w:sz w:val="22"/>
      <w:szCs w:val="22"/>
    </w:rPr>
  </w:style>
  <w:style w:type="character" w:customStyle="1" w:styleId="TTEMEASMCAChar">
    <w:name w:val="TT EMEA_SMCA Char"/>
    <w:link w:val="TTEMEASMCA"/>
    <w:rsid w:val="00146578"/>
    <w:rPr>
      <w:rFonts w:ascii="Times New Roman" w:eastAsia="Times New Roman" w:hAnsi="Times New Roman" w:cs="Times New Roman"/>
      <w:b/>
      <w:caps/>
      <w:lang w:val="en-US"/>
    </w:rPr>
  </w:style>
  <w:style w:type="paragraph" w:customStyle="1" w:styleId="BTAnIIEMEASMCA">
    <w:name w:val="BT(AnII) EMEA_SMCA"/>
    <w:basedOn w:val="Debesliotekstas"/>
    <w:autoRedefine/>
    <w:rsid w:val="00146578"/>
    <w:pPr>
      <w:tabs>
        <w:tab w:val="clear" w:pos="567"/>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146578"/>
    <w:rPr>
      <w:u w:val="single"/>
    </w:rPr>
  </w:style>
  <w:style w:type="numbering" w:customStyle="1" w:styleId="NoList1">
    <w:name w:val="No List1"/>
    <w:next w:val="Sraonra"/>
    <w:semiHidden/>
    <w:rsid w:val="00146578"/>
  </w:style>
  <w:style w:type="paragraph" w:styleId="Pataisymai">
    <w:name w:val="Revision"/>
    <w:hidden/>
    <w:uiPriority w:val="99"/>
    <w:semiHidden/>
    <w:rsid w:val="00146578"/>
    <w:pPr>
      <w:spacing w:after="0" w:line="240" w:lineRule="auto"/>
    </w:pPr>
    <w:rPr>
      <w:rFonts w:ascii="Times New Roman" w:eastAsia="Calibri" w:hAnsi="Times New Roman" w:cs="Times New Roman"/>
      <w:lang w:val="en-US"/>
    </w:rPr>
  </w:style>
  <w:style w:type="character" w:customStyle="1" w:styleId="st">
    <w:name w:val="st"/>
    <w:rsid w:val="00146578"/>
    <w:rPr>
      <w:rFonts w:cs="Times New Roman"/>
    </w:rPr>
  </w:style>
  <w:style w:type="character" w:styleId="Neapdorotaspaminjimas">
    <w:name w:val="Unresolved Mention"/>
    <w:basedOn w:val="Numatytasispastraiposriftas"/>
    <w:uiPriority w:val="99"/>
    <w:semiHidden/>
    <w:unhideWhenUsed/>
    <w:rsid w:val="00111F3F"/>
    <w:rPr>
      <w:color w:val="605E5C"/>
      <w:shd w:val="clear" w:color="auto" w:fill="E1DFDD"/>
    </w:rPr>
  </w:style>
  <w:style w:type="paragraph" w:styleId="Sraopastraipa">
    <w:name w:val="List Paragraph"/>
    <w:basedOn w:val="prastasis"/>
    <w:uiPriority w:val="34"/>
    <w:qFormat/>
    <w:rsid w:val="00B37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72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35820</Words>
  <Characters>20418</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2026-03-17T09:21:00Z</dcterms:created>
  <dcterms:modified xsi:type="dcterms:W3CDTF">2026-03-17T09:26:00Z</dcterms:modified>
</cp:coreProperties>
</file>