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42E67"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bookmarkStart w:id="0" w:name="_Toc129243098"/>
      <w:bookmarkStart w:id="1" w:name="_Toc129243223"/>
      <w:bookmarkStart w:id="2" w:name="_GoBack"/>
      <w:bookmarkEnd w:id="2"/>
    </w:p>
    <w:p w14:paraId="77851223"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4715B80F"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742EE25"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4DB6BAFC"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76304291"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34769988"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44ECBC9D"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490CB471"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077331FD"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69516FB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7437407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06B089D8"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3DA4E5EE"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7A15B9B8"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E82B50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676726F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7B4E49EF"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05775A3A"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4ECD150C"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CAD4D1F"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0F7456FC"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7D39C847"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CC5379E"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I PRIEDAS</w:t>
      </w:r>
    </w:p>
    <w:p w14:paraId="24F36A90" w14:textId="77777777" w:rsidR="00E625FB" w:rsidRPr="004C7FBD" w:rsidRDefault="00E625FB" w:rsidP="00E625FB">
      <w:pPr>
        <w:spacing w:after="0" w:line="240" w:lineRule="auto"/>
        <w:rPr>
          <w:rFonts w:ascii="Times New Roman" w:eastAsia="Times New Roman" w:hAnsi="Times New Roman" w:cs="Times New Roman"/>
          <w:lang w:val="lt-LT"/>
        </w:rPr>
      </w:pPr>
    </w:p>
    <w:p w14:paraId="294BD8B3" w14:textId="77777777" w:rsidR="00E625FB" w:rsidRPr="004C7FBD" w:rsidRDefault="00E625FB" w:rsidP="00E625FB">
      <w:pPr>
        <w:keepNext/>
        <w:tabs>
          <w:tab w:val="left" w:pos="567"/>
        </w:tabs>
        <w:spacing w:after="0" w:line="240" w:lineRule="auto"/>
        <w:ind w:left="567" w:hanging="567"/>
        <w:jc w:val="center"/>
        <w:outlineLvl w:val="1"/>
        <w:rPr>
          <w:rFonts w:ascii="Times New Roman" w:eastAsia="Times New Roman" w:hAnsi="Times New Roman" w:cs="Times New Roman"/>
          <w:b/>
          <w:lang w:val="lt-LT"/>
        </w:rPr>
      </w:pPr>
      <w:r w:rsidRPr="004C7FBD">
        <w:rPr>
          <w:rFonts w:ascii="Times New Roman" w:eastAsia="Times New Roman" w:hAnsi="Times New Roman" w:cs="Times New Roman"/>
          <w:b/>
          <w:lang w:val="lt-LT"/>
        </w:rPr>
        <w:t>PREPARATO CHARAKTERISTIKŲ SANTRAUKA</w:t>
      </w:r>
    </w:p>
    <w:p w14:paraId="5DC52251"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rPr>
      </w:pPr>
      <w:r w:rsidRPr="004C7FBD">
        <w:rPr>
          <w:rFonts w:ascii="Times New Roman" w:eastAsia="Times New Roman" w:hAnsi="Times New Roman" w:cs="Times New Roman"/>
          <w:b/>
          <w:lang w:val="lt-LT"/>
        </w:rPr>
        <w:br w:type="page"/>
      </w:r>
      <w:r w:rsidRPr="004C7FBD">
        <w:rPr>
          <w:rFonts w:ascii="Times New Roman" w:eastAsia="Times New Roman" w:hAnsi="Times New Roman" w:cs="Times New Roman"/>
          <w:b/>
          <w:lang w:val="lt-LT"/>
        </w:rPr>
        <w:lastRenderedPageBreak/>
        <w:t>1.</w:t>
      </w:r>
      <w:r w:rsidRPr="004C7FBD">
        <w:rPr>
          <w:rFonts w:ascii="Times New Roman" w:eastAsia="Times New Roman" w:hAnsi="Times New Roman" w:cs="Times New Roman"/>
          <w:b/>
          <w:lang w:val="lt-LT"/>
        </w:rPr>
        <w:tab/>
        <w:t>VAISTINIO PREPARATO PAVADINIMAS</w:t>
      </w:r>
      <w:bookmarkEnd w:id="0"/>
      <w:bookmarkEnd w:id="1"/>
    </w:p>
    <w:p w14:paraId="6EC26EB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41E54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plėvele dengtos tabletės</w:t>
      </w:r>
    </w:p>
    <w:p w14:paraId="0AABBD1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982FF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187A59A"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099"/>
      <w:bookmarkStart w:id="4" w:name="_Toc129243224"/>
      <w:r w:rsidRPr="004C7FBD">
        <w:rPr>
          <w:rFonts w:ascii="Times New Roman" w:eastAsia="Times New Roman" w:hAnsi="Times New Roman" w:cs="Times New Roman"/>
          <w:b/>
          <w:lang w:val="lt-LT"/>
        </w:rPr>
        <w:t>2.</w:t>
      </w:r>
      <w:r w:rsidRPr="004C7FBD">
        <w:rPr>
          <w:rFonts w:ascii="Times New Roman" w:eastAsia="Times New Roman" w:hAnsi="Times New Roman" w:cs="Times New Roman"/>
          <w:b/>
          <w:lang w:val="lt-LT"/>
        </w:rPr>
        <w:tab/>
        <w:t>KOKYBINĖ IR KIEKYBINĖ SUDĖTIS</w:t>
      </w:r>
      <w:bookmarkEnd w:id="3"/>
      <w:bookmarkEnd w:id="4"/>
    </w:p>
    <w:p w14:paraId="3BE8CCF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D0B757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Vienoje Nebilet Plus tabletėje yra 5 mg nebivololio (nebivololio hidrochlorido pavidalu: 2,5 mg SRRR-nebivololio arba d-nebivololio ir 2,5 mg RSSS-nebivololio arba l-nebivololio) ir 12,5 mg hidrochlorotiazido.</w:t>
      </w:r>
    </w:p>
    <w:p w14:paraId="6BA66BB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A7F0D5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Pagalbinė medžiaga, kurios poveikis žinomas: vienoje tabletėje yra 129,25 mg laktozės (žr. 4.4 skyrių).</w:t>
      </w:r>
    </w:p>
    <w:p w14:paraId="272FB5E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Visos pagalbinės medžiagos išvardytos 6.1 skyriuje.</w:t>
      </w:r>
    </w:p>
    <w:p w14:paraId="6C62E71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9492F3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7A4DED7"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 w:name="_Toc129243100"/>
      <w:bookmarkStart w:id="6" w:name="_Toc129243225"/>
      <w:r w:rsidRPr="004C7FBD">
        <w:rPr>
          <w:rFonts w:ascii="Times New Roman" w:eastAsia="Times New Roman" w:hAnsi="Times New Roman" w:cs="Times New Roman"/>
          <w:b/>
          <w:lang w:val="lt-LT"/>
        </w:rPr>
        <w:t>3.</w:t>
      </w:r>
      <w:r w:rsidRPr="004C7FBD">
        <w:rPr>
          <w:rFonts w:ascii="Times New Roman" w:eastAsia="Times New Roman" w:hAnsi="Times New Roman" w:cs="Times New Roman"/>
          <w:b/>
          <w:lang w:val="lt-LT"/>
        </w:rPr>
        <w:tab/>
        <w:t>FARMACINĖ FORMA</w:t>
      </w:r>
      <w:bookmarkEnd w:id="5"/>
      <w:bookmarkEnd w:id="6"/>
    </w:p>
    <w:p w14:paraId="0B05CF1A"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rPr>
      </w:pPr>
    </w:p>
    <w:p w14:paraId="78E6C89F"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lang w:val="lt-LT"/>
        </w:rPr>
      </w:pPr>
      <w:r w:rsidRPr="004C7FBD">
        <w:rPr>
          <w:rFonts w:ascii="Times New Roman" w:eastAsia="Times New Roman" w:hAnsi="Times New Roman" w:cs="Times New Roman"/>
          <w:lang w:val="lt-LT"/>
        </w:rPr>
        <w:t>Plėvele dengta tabletė</w:t>
      </w:r>
    </w:p>
    <w:p w14:paraId="48AB741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491B1F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plėvele dengtos tabletės: beveik rausvos, apvalios, šiek tiek išgaubtos plėvele dengtos tabletės su „5/12.5“ įraiža vienoje pusėje ir vagele kitoje pusėje.</w:t>
      </w:r>
    </w:p>
    <w:p w14:paraId="1465CE4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Vagelė skirta tik tabletei perlaužti, kad būtų lengviau nuryti, bet ne jai padalyti į lygias dozes.</w:t>
      </w:r>
    </w:p>
    <w:p w14:paraId="20A7BA2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D9C8E9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A17AB7F"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caps/>
          <w:lang w:val="lt-LT"/>
        </w:rPr>
        <w:t>4.</w:t>
      </w:r>
      <w:r w:rsidRPr="004C7FBD">
        <w:rPr>
          <w:rFonts w:ascii="Times New Roman" w:eastAsia="Times New Roman" w:hAnsi="Times New Roman" w:cs="Times New Roman"/>
          <w:b/>
          <w:caps/>
          <w:lang w:val="lt-LT"/>
        </w:rPr>
        <w:tab/>
      </w:r>
      <w:r w:rsidRPr="004C7FBD">
        <w:rPr>
          <w:rFonts w:ascii="Times New Roman" w:eastAsia="Times New Roman" w:hAnsi="Times New Roman" w:cs="Times New Roman"/>
          <w:b/>
          <w:lang w:val="lt-LT"/>
        </w:rPr>
        <w:t>KLINIKINĖ INFORMACIJA</w:t>
      </w:r>
    </w:p>
    <w:p w14:paraId="591B0326"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7C54A4BD"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7" w:name="_Toc129243102"/>
      <w:bookmarkStart w:id="8" w:name="_Toc129243227"/>
      <w:r w:rsidRPr="004C7FBD">
        <w:rPr>
          <w:rFonts w:ascii="Times New Roman" w:eastAsia="Times New Roman" w:hAnsi="Times New Roman" w:cs="Times New Roman"/>
          <w:b/>
          <w:kern w:val="28"/>
          <w:lang w:val="lt-LT"/>
        </w:rPr>
        <w:t>4.1</w:t>
      </w:r>
      <w:r w:rsidRPr="004C7FBD">
        <w:rPr>
          <w:rFonts w:ascii="Times New Roman" w:eastAsia="Times New Roman" w:hAnsi="Times New Roman" w:cs="Times New Roman"/>
          <w:b/>
          <w:kern w:val="28"/>
          <w:lang w:val="lt-LT"/>
        </w:rPr>
        <w:tab/>
        <w:t>Terapinės indikacijos</w:t>
      </w:r>
      <w:bookmarkEnd w:id="7"/>
      <w:bookmarkEnd w:id="8"/>
    </w:p>
    <w:p w14:paraId="5640E1F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22AA65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Pirminės arterinės hipertenzijos gydymas.</w:t>
      </w:r>
    </w:p>
    <w:p w14:paraId="093D168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fiksuotų dozių derinys skirtas pacientams, kurių kraujospūdis tinkamai kontroliuojamas kartu vartojant atskirų vaistinių preparatų nebivololio 5 mg ir hidrochlorotiazido 12,5 mg dozes.</w:t>
      </w:r>
    </w:p>
    <w:p w14:paraId="079508B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B7D0523"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b/>
          <w:kern w:val="28"/>
          <w:lang w:val="lt-LT"/>
        </w:rPr>
        <w:t>4.2</w:t>
      </w:r>
      <w:r w:rsidRPr="004C7FBD">
        <w:rPr>
          <w:rFonts w:ascii="Times New Roman" w:eastAsia="Times New Roman" w:hAnsi="Times New Roman" w:cs="Times New Roman"/>
          <w:b/>
          <w:kern w:val="28"/>
          <w:lang w:val="lt-LT"/>
        </w:rPr>
        <w:tab/>
        <w:t>Dozavimas ir vartojimo metodas</w:t>
      </w:r>
    </w:p>
    <w:p w14:paraId="063AFEB0"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p>
    <w:p w14:paraId="204959D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u w:val="single"/>
          <w:lang w:val="lt-LT"/>
        </w:rPr>
        <w:t>Dozavimas</w:t>
      </w:r>
    </w:p>
    <w:p w14:paraId="39094868"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p>
    <w:p w14:paraId="342B7E72"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Suaugusieji</w:t>
      </w:r>
    </w:p>
    <w:p w14:paraId="039EABE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vartojamas gydyti pacientus, kurių kraujospūdis tinkamai kontroliuojamas kartu vartojant atskirų vaistinių preparatų nebivololio 5 mg ir hidrochlorotiazido 12,5 mg dozes.</w:t>
      </w:r>
    </w:p>
    <w:p w14:paraId="7935007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Įprasta dozė yra viena tabletė Nebilet Plus 5 mg/12,5 mg per parą, pageidautina vartoti tuo pačiu paros metu. </w:t>
      </w:r>
    </w:p>
    <w:p w14:paraId="015F2595" w14:textId="77777777" w:rsidR="00E625FB" w:rsidRPr="004C7FBD" w:rsidRDefault="00E625FB" w:rsidP="00E625FB">
      <w:pPr>
        <w:spacing w:after="0" w:line="240" w:lineRule="auto"/>
        <w:rPr>
          <w:rFonts w:ascii="Times New Roman" w:eastAsia="Times New Roman" w:hAnsi="Times New Roman" w:cs="Times New Roman"/>
          <w:lang w:val="lt-LT"/>
        </w:rPr>
      </w:pPr>
    </w:p>
    <w:p w14:paraId="3A316486"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i/>
          <w:kern w:val="28"/>
          <w:lang w:val="lt-LT"/>
        </w:rPr>
        <w:t>Pacientams, kurių inkstų funkcija sutrikusi</w:t>
      </w:r>
    </w:p>
    <w:p w14:paraId="13EA46A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Esant sunkiam inkstų nepakankamumui, Nebilet Plus vartoti negalima (žr. taip pat 4.3 ir 4.4 skyrius).</w:t>
      </w:r>
    </w:p>
    <w:p w14:paraId="1DA4DE5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8F2847F"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Pacientams, kurių kepenų funkcija sutrikusi</w:t>
      </w:r>
    </w:p>
    <w:p w14:paraId="6AD1F49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Duomenų apie poveikį pacientams, kuriems yra kepenų nepakankamumas arba sutrikusi kepenų veikla, yra nedaug. Todėl šiems pacientams Nebilet Plus vartoti negalima.</w:t>
      </w:r>
    </w:p>
    <w:p w14:paraId="13A2549A" w14:textId="77777777" w:rsidR="00E625FB" w:rsidRPr="004C7FBD" w:rsidRDefault="00E625FB" w:rsidP="00E625FB">
      <w:pPr>
        <w:keepNext/>
        <w:spacing w:after="0" w:line="240" w:lineRule="auto"/>
        <w:outlineLvl w:val="0"/>
        <w:rPr>
          <w:rFonts w:ascii="Times New Roman" w:eastAsia="Times New Roman" w:hAnsi="Times New Roman" w:cs="Times New Roman"/>
          <w:u w:val="single"/>
          <w:lang w:val="lt-LT"/>
        </w:rPr>
      </w:pPr>
    </w:p>
    <w:p w14:paraId="55944D85"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Senyviems pacientams</w:t>
      </w:r>
    </w:p>
    <w:p w14:paraId="356EBC4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Duomenų apie vyresnių kaip 75 metų pacientų gydymą šiuo vaistu yra nedaug, todėl juos reikia atsargiai gydyti ir atidžiai stebėti.</w:t>
      </w:r>
    </w:p>
    <w:p w14:paraId="743A159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35BDA62"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Vaikų populiacija</w:t>
      </w:r>
    </w:p>
    <w:p w14:paraId="25D5E43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saugumas ir veiksmingumas vaikams ir jaunesniems negu 18 metų paaugliams neištirti. Duomenų nėra. Todėl šio vaisto vaikams ir paaugliams vartoti nerekomenduojama.</w:t>
      </w:r>
    </w:p>
    <w:p w14:paraId="19A0697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9FA09FD"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Vartojimo metodas</w:t>
      </w:r>
    </w:p>
    <w:p w14:paraId="485E050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Vartoti per burną.</w:t>
      </w:r>
    </w:p>
    <w:p w14:paraId="59F2C5E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Vaistą galima vartoti valgant.</w:t>
      </w:r>
    </w:p>
    <w:p w14:paraId="519E7D1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831BD36"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b/>
          <w:kern w:val="28"/>
          <w:lang w:val="lt-LT"/>
        </w:rPr>
        <w:t>4.3</w:t>
      </w:r>
      <w:r w:rsidRPr="004C7FBD">
        <w:rPr>
          <w:rFonts w:ascii="Times New Roman" w:eastAsia="Times New Roman" w:hAnsi="Times New Roman" w:cs="Times New Roman"/>
          <w:b/>
          <w:kern w:val="28"/>
          <w:lang w:val="lt-LT"/>
        </w:rPr>
        <w:tab/>
        <w:t>Kontraindikacijos</w:t>
      </w:r>
    </w:p>
    <w:p w14:paraId="3734A300"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p>
    <w:p w14:paraId="795DFD6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Padidėjęs jautrumas veikliajai arba bet kuriai 6.1 skyriuje nurodytai pagalbinei medžiagai.</w:t>
      </w:r>
    </w:p>
    <w:p w14:paraId="25D05B46"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Padidėjęs jautrumas sulfamidų dariniui (nes hidrochlorotiazidas priklauso sulfamidų preparatų grupei).</w:t>
      </w:r>
    </w:p>
    <w:p w14:paraId="454A5F13"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Kepenų nepakankamumas ar kepenų funkcijos sutrikimas.</w:t>
      </w:r>
    </w:p>
    <w:p w14:paraId="512E4327"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Anurija, sunkus inkstų nepakankamumas (kreatinino klirensas &lt;30 ml/min.).</w:t>
      </w:r>
    </w:p>
    <w:p w14:paraId="76D3148B" w14:textId="77777777" w:rsidR="00E625FB" w:rsidRPr="004C7FBD" w:rsidRDefault="00E625FB" w:rsidP="00E625FB">
      <w:pPr>
        <w:tabs>
          <w:tab w:val="left" w:pos="180"/>
        </w:tabs>
        <w:spacing w:after="0" w:line="240" w:lineRule="auto"/>
        <w:ind w:left="180"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 Ūminis širdies nepakankamumas, kardiogeninis šokas arba širdies nepakankamumo dekompensavimo epizodas, kurio metu reikia švirkšti į veną inotropinio poveikio vaistų.</w:t>
      </w:r>
    </w:p>
    <w:p w14:paraId="1AC80F7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Sinusinio mazgo silpnumas, įskaitant sinoatrialinę blokadą.</w:t>
      </w:r>
    </w:p>
    <w:p w14:paraId="0806CC9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II ir III laipsnio atrioventrikulinė  blokada (nesant implantuoto širdies stimuliatoriaus). </w:t>
      </w:r>
    </w:p>
    <w:p w14:paraId="07E437D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Bradikardija (pulso dažnis retesnis nei 60 k/min. iki gydymo pradžios).</w:t>
      </w:r>
    </w:p>
    <w:p w14:paraId="5940062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Hipotenzija (sistolinis kraujospūdis mažesnis nei 90 mm Hg).</w:t>
      </w:r>
    </w:p>
    <w:p w14:paraId="0839037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Sunkus periferinės kraujotakos sutrikimas.</w:t>
      </w:r>
    </w:p>
    <w:p w14:paraId="0E46213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Anamnezėje nurodoma bronchinė astma ar buvęs bronchų spazmo priepuolis.</w:t>
      </w:r>
    </w:p>
    <w:p w14:paraId="33758EB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Negydyta feochromocitoma.</w:t>
      </w:r>
    </w:p>
    <w:p w14:paraId="3FF15B8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Metabolinė acidozė.</w:t>
      </w:r>
    </w:p>
    <w:p w14:paraId="2951EBD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Atspari gydymui hipokalemija, hiperkalcemija, hiponatremija ir simptominė hiperurikemija.</w:t>
      </w:r>
    </w:p>
    <w:p w14:paraId="46D26D9A"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11C39181"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4.4</w:t>
      </w:r>
      <w:r w:rsidRPr="004C7FBD">
        <w:rPr>
          <w:rFonts w:ascii="Times New Roman" w:eastAsia="Times New Roman" w:hAnsi="Times New Roman" w:cs="Times New Roman"/>
          <w:b/>
          <w:kern w:val="28"/>
          <w:lang w:val="lt-LT"/>
        </w:rPr>
        <w:tab/>
        <w:t>Specialūs įspėjimai ir atsargumo priemonės</w:t>
      </w:r>
    </w:p>
    <w:p w14:paraId="16B1AC33"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927EC0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Žemiau išvardyti įspėjimai kiekvienam vaisto komponentui tinka ir Nebilet Plus fiksuotam deriniui (žr. taip pat 4.8 skyrių). </w:t>
      </w:r>
    </w:p>
    <w:p w14:paraId="4B97B28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5A88591"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7D18B8B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Žemiau išvardyti įspėjimai ir atsargumo priemonės tinka visiems beta adrenoblokatoriams.</w:t>
      </w:r>
    </w:p>
    <w:p w14:paraId="3872D7F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8D3DAE6"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Anestezija</w:t>
      </w:r>
    </w:p>
    <w:p w14:paraId="62817DE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Tęsiama beta adrenoreceptorių blokada mažina aritmijų grėsmę intubuojant ir įvadinės anestezijos metu. Jei prieš operaciją šių receptorių blokada nutraukiama, tai gydymą adrenoblokatoriais reikia nutraukti bent 24 valandas prieš operaciją.</w:t>
      </w:r>
    </w:p>
    <w:p w14:paraId="1CC8B4C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Reikia laikytis atsargumo, jei kartu su beta adrenoblokatoriais vartojami kai kurie anestetikai, galintys slopinti miokardo veiklą. Pacientą galima apsaugoti nuo klajoklio nervo sukeliamo poveikio švirkščiant į veną atropino tirpalo.</w:t>
      </w:r>
    </w:p>
    <w:p w14:paraId="5ACD162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8D7D5C6"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Širdies ir kraujagyslių ligos</w:t>
      </w:r>
    </w:p>
    <w:p w14:paraId="5B30CD3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Pacientams, kuriems yra negydytas širdies nepakankamumas, β adrenoblokatorių vartoti negalima, nebent jų būklė yra stabilizuota.</w:t>
      </w:r>
    </w:p>
    <w:p w14:paraId="7A3DB15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Išemine širdies liga sergantiems pacientams gydymą β adrenoblokatoriais reikia nutraukti pamažu, t.y. per 1-2 savaites. Prireikus tuo laikotarpiu galima pradėti vartoti kitus vaistus, kurie padeda išvengti krūtinės anginos pasunkėjimo.</w:t>
      </w:r>
    </w:p>
    <w:p w14:paraId="2BC921D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Beta adrenoblokatoriai gali sukelti bradikardiją: jeigu pulsas suretėja ramybės būklėje iki 50-55 k/min ir (arba) jeigu pacientas jaučia pernelyg sulėtėjusios širdies veiklos požymių, vaisto dozę reikia mažinti.</w:t>
      </w:r>
    </w:p>
    <w:p w14:paraId="5E23D04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Beta adrenoblokatorius reikia vartoti atsargiai, kai:</w:t>
      </w:r>
    </w:p>
    <w:p w14:paraId="1EFB17B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w:t>
      </w:r>
      <w:r w:rsidRPr="004C7FBD">
        <w:rPr>
          <w:rFonts w:ascii="Times New Roman" w:eastAsia="Times New Roman" w:hAnsi="Times New Roman" w:cs="Times New Roman"/>
          <w:lang w:val="lt-LT"/>
        </w:rPr>
        <w:tab/>
        <w:t>pacientams yra sutrikusi periferinė kraujotaka Reino (</w:t>
      </w:r>
      <w:r w:rsidRPr="004C7FBD">
        <w:rPr>
          <w:rFonts w:ascii="Times New Roman" w:eastAsia="Times New Roman" w:hAnsi="Times New Roman" w:cs="Times New Roman"/>
          <w:i/>
          <w:lang w:val="lt-LT"/>
        </w:rPr>
        <w:t>Raynaud</w:t>
      </w:r>
      <w:r w:rsidRPr="004C7FBD">
        <w:rPr>
          <w:rFonts w:ascii="Times New Roman" w:eastAsia="Times New Roman" w:hAnsi="Times New Roman" w:cs="Times New Roman"/>
          <w:lang w:val="lt-LT"/>
        </w:rPr>
        <w:t>) liga arba sindromas, protarpinis šlubumas), nes gali pasunkėti ligos eiga;</w:t>
      </w:r>
    </w:p>
    <w:p w14:paraId="21C9264A"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I laipsnio atrioventrikulinė (AV) blokada, nes gali pailgėti impulso sklidimo laikas;</w:t>
      </w:r>
    </w:p>
    <w:p w14:paraId="3CCEACD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pacientai serga Princmetalo (</w:t>
      </w:r>
      <w:r w:rsidRPr="004C7FBD">
        <w:rPr>
          <w:rFonts w:ascii="Times New Roman" w:eastAsia="Times New Roman" w:hAnsi="Times New Roman" w:cs="Times New Roman"/>
          <w:i/>
          <w:lang w:val="lt-LT"/>
        </w:rPr>
        <w:t>Prinzmetal</w:t>
      </w:r>
      <w:r w:rsidRPr="004C7FBD">
        <w:rPr>
          <w:rFonts w:ascii="Times New Roman" w:eastAsia="Times New Roman" w:hAnsi="Times New Roman" w:cs="Times New Roman"/>
          <w:lang w:val="lt-LT"/>
        </w:rPr>
        <w:t>) krūtinės angina, kuri pasireiškia dėl alfa adrenoreceptorių sukelto širdies vainikinių arterijų spazmo; beta adrenoblokatoriai gali padažninti ir pailginti krūtinės anginos priepuolius.</w:t>
      </w:r>
    </w:p>
    <w:p w14:paraId="5FC88FC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C4105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Nebivololio derinimas su verapamilio ir diltiazemo grupės kalcio kanalų blokatoriais, su I klasės antiaritminiais vaistais, centriniu būdu veikiančiais antihipertenziniais vaistais dažniausiai nerekomenduojamas; smulkiau apie tai parašyta 4.5 skyriuje.</w:t>
      </w:r>
    </w:p>
    <w:p w14:paraId="55739CC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F51618B"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Metabolizmo ir endokrininiai sutrikimai</w:t>
      </w:r>
    </w:p>
    <w:p w14:paraId="0017EBA4" w14:textId="1B11A29D" w:rsidR="00E625FB" w:rsidRPr="004A00C9"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Nebivololis</w:t>
      </w:r>
      <w:r w:rsidRPr="004C7FBD">
        <w:rPr>
          <w:rFonts w:ascii="Times New Roman" w:eastAsia="Times New Roman" w:hAnsi="Times New Roman" w:cs="Times New Roman"/>
          <w:vertAlign w:val="superscript"/>
          <w:lang w:val="lt-LT"/>
        </w:rPr>
        <w:t xml:space="preserve"> </w:t>
      </w:r>
      <w:r w:rsidRPr="004C7FBD">
        <w:rPr>
          <w:rFonts w:ascii="Times New Roman" w:eastAsia="Times New Roman" w:hAnsi="Times New Roman" w:cs="Times New Roman"/>
          <w:b/>
          <w:i/>
          <w:vertAlign w:val="superscript"/>
          <w:lang w:val="lt-LT"/>
        </w:rPr>
        <w:t xml:space="preserve"> </w:t>
      </w:r>
      <w:r w:rsidRPr="004C7FBD">
        <w:rPr>
          <w:rFonts w:ascii="Times New Roman" w:eastAsia="Times New Roman" w:hAnsi="Times New Roman" w:cs="Times New Roman"/>
          <w:lang w:val="lt-LT"/>
        </w:rPr>
        <w:t xml:space="preserve">nekeičia gliukozės koncentracijos sergančiųjų cukriniu diabetu kraujo plazmoje, bet reikia būti atsargiems, nes vaistas gali maskuoti šių ligonių kai kuriuos hipoglikemijos požymius (juntamą stiprų širdies plakimą, tachikardiją). </w:t>
      </w:r>
      <w:r w:rsidR="004A00C9" w:rsidRPr="004A00C9">
        <w:rPr>
          <w:rFonts w:ascii="Times New Roman" w:hAnsi="Times New Roman" w:cs="Times New Roman"/>
          <w:lang w:val="lt-LT"/>
        </w:rPr>
        <w:t xml:space="preserve">Beta adrenoblokatoriai gali dar labiau padidinti sunkios hipoglikemijos riziką, jeigu vartojami kartu su sulfonilurėjos </w:t>
      </w:r>
      <w:r w:rsidR="00587B54">
        <w:rPr>
          <w:rFonts w:ascii="Times New Roman" w:hAnsi="Times New Roman" w:cs="Times New Roman"/>
          <w:lang w:val="lt-LT"/>
        </w:rPr>
        <w:t>dariniais</w:t>
      </w:r>
      <w:r w:rsidR="004A00C9" w:rsidRPr="004A00C9">
        <w:rPr>
          <w:rFonts w:ascii="Times New Roman" w:hAnsi="Times New Roman" w:cs="Times New Roman"/>
          <w:lang w:val="lt-LT"/>
        </w:rPr>
        <w:t xml:space="preserve">. Cukriniu diabetu sergantiems pacientams reikia patarti atidžiai stebėti gliukozės </w:t>
      </w:r>
      <w:r w:rsidR="00277FAA">
        <w:rPr>
          <w:rFonts w:ascii="Times New Roman" w:hAnsi="Times New Roman" w:cs="Times New Roman"/>
          <w:lang w:val="lt-LT"/>
        </w:rPr>
        <w:t>koncentraciją</w:t>
      </w:r>
      <w:r w:rsidR="004A00C9" w:rsidRPr="004A00C9">
        <w:rPr>
          <w:rFonts w:ascii="Times New Roman" w:hAnsi="Times New Roman" w:cs="Times New Roman"/>
          <w:lang w:val="lt-LT"/>
        </w:rPr>
        <w:t xml:space="preserve"> kraujyje (žr. 4.5 skyrių).</w:t>
      </w:r>
    </w:p>
    <w:p w14:paraId="30B7936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Beta adrenoblokatoriai gali slėpti tachikardiją sergantiesiems hipertireoze. Nutraukus gydymą staiga, gali sustiprėti simptomai.</w:t>
      </w:r>
    </w:p>
    <w:p w14:paraId="0D9E78F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39352BB"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Kvėpavimo sistemos sutrikimai</w:t>
      </w:r>
    </w:p>
    <w:p w14:paraId="15D98FD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Beta adrenoblokatorius reikia atsargiai skirti pacientams, sergantiems lėtinėmis obstrukcinėmis plaučių ligomis, nes šie vaistai gali apsunkinti bronchų spazmus.</w:t>
      </w:r>
    </w:p>
    <w:p w14:paraId="56704F5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DA0E92B"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Kiti sutrikimai</w:t>
      </w:r>
    </w:p>
    <w:p w14:paraId="111DD65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Žvyneline (psoriaze) sergančius asmenis galima gydyti beta adrenoblokatoriais tik atidžiai įvertinus jų būklę.</w:t>
      </w:r>
    </w:p>
    <w:p w14:paraId="40B37DA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Beta adrenoblokatoriai gali padidinti jautrumą alergenams ir sustiprinti anafilaksines reakcijas. </w:t>
      </w:r>
    </w:p>
    <w:p w14:paraId="40E91BA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9D7C724"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 xml:space="preserve">Hidrochlorotiazidas </w:t>
      </w:r>
    </w:p>
    <w:p w14:paraId="75FF7D40"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p>
    <w:p w14:paraId="657503E6"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 xml:space="preserve">Inkstų veiklos sutrikimas </w:t>
      </w:r>
    </w:p>
    <w:p w14:paraId="55236DF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Tiazidų teigiamas poveikis reiškiasi tik tuomet, kai nepakitusi inkstų funkcija. Esant inkstų ligai tiazidai gali sustiprinti azotemiją. Sutrikus inkstų funkcijai galimas šios veikliosios medžiagos kumuliacinis poveikis. Jei progresuoja inkstų veiklos sutrikimas, pasireiškiantis azoto kiekio padidėjimu kraujyje, reikia atidžiai iš naujo įvertinti gydymą, apsisprendžiant dėl diuretikų vartojimo nutraukimo. </w:t>
      </w:r>
    </w:p>
    <w:p w14:paraId="4B3D72C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F69B116"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 xml:space="preserve">Medžiagų apykaita ir endokrininė sistema </w:t>
      </w:r>
    </w:p>
    <w:p w14:paraId="64BB5C9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Tiazidai gali pabloginti gliukozės toleravimą. Todėl sergantiesiems cukriniu diabetu gali tekti koreguoti insulino arba geriamųjų vaistų nuo cukrinio diabeto dozę (žr. 4.5 skyrių). Vartojant tiazidų, gali būti pastebimas latentinis diabetas.</w:t>
      </w:r>
    </w:p>
    <w:p w14:paraId="02DB6D7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Gydymas tiazidiniais diuretikais siejamas su cholesterolio ir trigliceridų koncentracijos padidėjimu kraujyje.</w:t>
      </w:r>
    </w:p>
    <w:p w14:paraId="37031D9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Kai kuriems pacientams tiazidai gali skatinti hiperurikemijos ir (arba) podagros pasireiškimą.</w:t>
      </w:r>
    </w:p>
    <w:p w14:paraId="0D92D58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516FC01"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 xml:space="preserve">Elektrolitų pusiausvyros sutrikimas </w:t>
      </w:r>
    </w:p>
    <w:p w14:paraId="6DCE894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Gydant bet kuriais diuretikais reikia periodiškai tirti elektrolitų koncentraciją kraujyje. Tiazidai, įskaitant hidrochlorotiazidą, gali sukelti elektrolitų pusiausvyros sutrikimus (hipokalemiją, hiponatremiją, hipochloreminę alkalozę). Įspėjamieji tokių sutrikimų požymiai yra burnos džiūvimas, troškulys, silpnumas, letargija, mieguistumas, neramumas, raumenų skausmas arba mėšlungis, raumenų silpnumas, hipotenzija, oligurija, tachikardija, virškinimo sutrikimai – pykinimas arba vėmimas. Hipokalemijos rizika didesnė pacientams, sergantiems kepenų ciroze, esant gausiai diurezei, negaunantiems pakankamai elektrolitų, taip pat kartu gydomiems kortikosteroidais arba adrenokortikotropinu (AKTH) (žr. 4.5 skyrių). </w:t>
      </w:r>
      <w:r w:rsidRPr="004C7FBD">
        <w:rPr>
          <w:rFonts w:ascii="Times New Roman" w:eastAsia="Times New Roman" w:hAnsi="Times New Roman" w:cs="Times New Roman"/>
          <w:lang w:val="lt-LT"/>
        </w:rPr>
        <w:lastRenderedPageBreak/>
        <w:t>Pacientai, kuriems nustatytas įgimtas arba įgytas pailgėjusio QT sindromas, ypač jautrūs hipokalemijai. Hipokalemija padidina digitalio glikozidų kardiotoksinį poveikį ir širdies aritmijos riziką. Pacientams, kuriems yra hipokalemijos rizika, reikia dažniau tirti kalio kiekį kraujyje praėjus savaitei nuo vaisto vartojimo pradžios.</w:t>
      </w:r>
    </w:p>
    <w:p w14:paraId="27755D9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Esant aukštai aplinkos oro temperatūrai pacientams su edemomis gali pasireikšti hiponatremija dėl kraujo atskiedimo. Chloridų stoka dažniausiai nedidelė ir jos gydyti nereikia.</w:t>
      </w:r>
    </w:p>
    <w:p w14:paraId="5C94E40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Tiazidai gali sumažinti kalcio išsiskyrimą su šlapimu ir sukelti laikiną nežymų kalcio koncentracijos serume padidėjimą, nesant žinomų kalcio apykaitos sutrikimų. Padidėjusi hiperkalcemija gali būti latentinio hiperparatiroidizmo požymis. Prieš prieskydinių liaukų funkcijos tyrimą tiazidų vartojimą reikia nutraukti. </w:t>
      </w:r>
    </w:p>
    <w:p w14:paraId="56FD409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Tiazidai gali padidinti magnio išsiskyrimą su šlapimu ir dėl to gali pasireikšti hipomagnezemija.</w:t>
      </w:r>
    </w:p>
    <w:p w14:paraId="4CA34BA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F9A1000"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Sisteminė raudonoji vilkligė</w:t>
      </w:r>
    </w:p>
    <w:p w14:paraId="44648AA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tiazidus pasitaikė sisteminės raudonosios vilkligės paūmėjimo arba suaktyvėjimo atvejų.</w:t>
      </w:r>
    </w:p>
    <w:p w14:paraId="6028A49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23E8F2B"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Dopingo testas</w:t>
      </w:r>
    </w:p>
    <w:p w14:paraId="0507307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Dėl šiame vaiste esančio hidrochlorotiazido gali būti teigiamas dopingo testo rezultatas.</w:t>
      </w:r>
    </w:p>
    <w:p w14:paraId="7FDA7EB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C3C5BF7"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 xml:space="preserve">Kitas poveikis </w:t>
      </w:r>
    </w:p>
    <w:p w14:paraId="32A10DF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šį vaistinį preparatą, tiek alergiškiems ar bronchine astma sirgusiems, tiek nealergiškiems ar bronchine astma nesirgusiems pacientams gali pasireikšti padidėjusio jautrumo reakcijų.</w:t>
      </w:r>
    </w:p>
    <w:p w14:paraId="67A2751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tiazidus retai pasitaikė padidėjusio jautrumo šviesai reakcijų (žr. 4.8 skyrių). Jei jų atsiranda vaisto vartojimo metu, vaisto vartojimą reikia nutraukti. Jei manoma, kad gydymą vaistu reikia atnaujinti, patariama uždengti vietas, kurias gali veikti saulės šviesa ar UV spinduliai.</w:t>
      </w:r>
    </w:p>
    <w:p w14:paraId="5E73709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DB40EC8"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Su baltymais sujungtas jodas</w:t>
      </w:r>
    </w:p>
    <w:p w14:paraId="4FA7B6A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Tiazidai gali sumažinti su baltymais sujungto jodo kiekį kraujo serume nesukeldami skydliaukės funkcijos sutrikimų požymių.</w:t>
      </w:r>
    </w:p>
    <w:p w14:paraId="701797CF"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5427CA4C"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i/>
          <w:iCs/>
          <w:lang w:val="lt-LT"/>
        </w:rPr>
        <w:t xml:space="preserve">Nemelanominis odos vėžys </w:t>
      </w:r>
    </w:p>
    <w:p w14:paraId="1588A73E"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3684C300"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p>
    <w:p w14:paraId="1E39A9CC"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2533C5F0"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4E3D3EF6" w14:textId="77777777" w:rsidR="00E625FB" w:rsidRPr="00BF38D7" w:rsidRDefault="00E625FB" w:rsidP="00E625FB">
      <w:pPr>
        <w:tabs>
          <w:tab w:val="left" w:pos="567"/>
          <w:tab w:val="left" w:pos="2160"/>
        </w:tabs>
        <w:spacing w:after="0" w:line="240" w:lineRule="auto"/>
        <w:rPr>
          <w:rFonts w:ascii="Times New Roman" w:eastAsia="Times New Roman" w:hAnsi="Times New Roman" w:cs="Times New Roman"/>
          <w:i/>
          <w:szCs w:val="24"/>
          <w:lang w:val="lt-LT" w:eastAsia="lt-LT"/>
        </w:rPr>
      </w:pPr>
      <w:r w:rsidRPr="00BF38D7">
        <w:rPr>
          <w:rFonts w:ascii="Times New Roman" w:eastAsia="Times New Roman" w:hAnsi="Times New Roman" w:cs="Times New Roman"/>
          <w:i/>
          <w:szCs w:val="24"/>
          <w:lang w:val="lt-LT" w:eastAsia="lt-LT"/>
        </w:rPr>
        <w:t xml:space="preserve">Skysčio susikaupimas tarp akies gyslainės ir skleros, </w:t>
      </w:r>
      <w:r>
        <w:rPr>
          <w:rFonts w:ascii="Times New Roman" w:eastAsia="Times New Roman" w:hAnsi="Times New Roman" w:cs="Times New Roman"/>
          <w:i/>
          <w:szCs w:val="24"/>
          <w:lang w:val="lt-LT" w:eastAsia="lt-LT"/>
        </w:rPr>
        <w:t>ūminė</w:t>
      </w:r>
      <w:r w:rsidRPr="00BF38D7">
        <w:rPr>
          <w:rFonts w:ascii="Times New Roman" w:eastAsia="Times New Roman" w:hAnsi="Times New Roman" w:cs="Times New Roman"/>
          <w:i/>
          <w:szCs w:val="24"/>
          <w:lang w:val="lt-LT" w:eastAsia="lt-LT"/>
        </w:rPr>
        <w:t xml:space="preserve"> miopija ir antrinė uždaro</w:t>
      </w:r>
      <w:r>
        <w:rPr>
          <w:rFonts w:ascii="Times New Roman" w:eastAsia="Times New Roman" w:hAnsi="Times New Roman" w:cs="Times New Roman"/>
          <w:i/>
          <w:szCs w:val="24"/>
          <w:lang w:val="lt-LT" w:eastAsia="lt-LT"/>
        </w:rPr>
        <w:t>jo</w:t>
      </w:r>
      <w:r w:rsidRPr="00BF38D7">
        <w:rPr>
          <w:rFonts w:ascii="Times New Roman" w:eastAsia="Times New Roman" w:hAnsi="Times New Roman" w:cs="Times New Roman"/>
          <w:i/>
          <w:szCs w:val="24"/>
          <w:lang w:val="lt-LT" w:eastAsia="lt-LT"/>
        </w:rPr>
        <w:t xml:space="preserve"> kampo glaukoma</w:t>
      </w:r>
    </w:p>
    <w:p w14:paraId="1EA534BE"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89740C">
        <w:rPr>
          <w:rFonts w:ascii="Times New Roman" w:eastAsia="Times New Roman" w:hAnsi="Times New Roman" w:cs="Times New Roman"/>
          <w:szCs w:val="20"/>
          <w:lang w:val="lt-LT" w:eastAsia="lt-LT"/>
        </w:rPr>
        <w:t>Sulfamidų grupės vaistiniai preparatai ar sulfamidų dariniai gali sukelti idiosinkrazinę reakciją ir dėl to</w:t>
      </w:r>
      <w:r>
        <w:rPr>
          <w:rFonts w:ascii="Times New Roman" w:eastAsia="Times New Roman" w:hAnsi="Times New Roman" w:cs="Times New Roman"/>
          <w:szCs w:val="20"/>
          <w:lang w:val="lt-LT" w:eastAsia="lt-LT"/>
        </w:rPr>
        <w:t xml:space="preserve"> </w:t>
      </w:r>
      <w:r w:rsidRPr="0089740C">
        <w:rPr>
          <w:rFonts w:ascii="Times New Roman" w:eastAsia="Times New Roman" w:hAnsi="Times New Roman" w:cs="Times New Roman"/>
          <w:szCs w:val="20"/>
          <w:lang w:val="lt-LT" w:eastAsia="lt-LT"/>
        </w:rPr>
        <w:t>gali pasireikšti skysčio susikaupimas tarp akies gyslainės ir skleros su regėjimo lauko defektu,</w:t>
      </w:r>
      <w:r>
        <w:rPr>
          <w:rFonts w:ascii="Times New Roman" w:eastAsia="Times New Roman" w:hAnsi="Times New Roman" w:cs="Times New Roman"/>
          <w:szCs w:val="20"/>
          <w:lang w:val="lt-LT" w:eastAsia="lt-LT"/>
        </w:rPr>
        <w:t xml:space="preserve"> </w:t>
      </w:r>
      <w:r w:rsidRPr="0089740C">
        <w:rPr>
          <w:rFonts w:ascii="Times New Roman" w:eastAsia="Times New Roman" w:hAnsi="Times New Roman" w:cs="Times New Roman"/>
          <w:szCs w:val="20"/>
          <w:lang w:val="lt-LT" w:eastAsia="lt-LT"/>
        </w:rPr>
        <w:t>praeinanti miopija ir ūminė uždarojo kampo glaukoma. [</w:t>
      </w:r>
      <w:r w:rsidRPr="008B7737">
        <w:rPr>
          <w:rFonts w:ascii="Times New Roman" w:eastAsia="Times New Roman" w:hAnsi="Times New Roman" w:cs="Times New Roman"/>
          <w:szCs w:val="20"/>
          <w:lang w:val="lt-LT" w:eastAsia="lt-LT"/>
        </w:rPr>
        <w:t>. Jų simptomai yra staiga susilpnėjęs regėjimo aštrumas arba akių skausmas, pasireiškiantis po kelių valandų arba per kelias savaites pradėjus vartoti vaistin</w:t>
      </w:r>
      <w:r>
        <w:rPr>
          <w:rFonts w:ascii="Times New Roman" w:eastAsia="Times New Roman" w:hAnsi="Times New Roman" w:cs="Times New Roman"/>
          <w:szCs w:val="20"/>
          <w:lang w:val="lt-LT" w:eastAsia="lt-LT"/>
        </w:rPr>
        <w:t>io</w:t>
      </w:r>
      <w:r w:rsidRPr="008B7737">
        <w:rPr>
          <w:rFonts w:ascii="Times New Roman" w:eastAsia="Times New Roman" w:hAnsi="Times New Roman" w:cs="Times New Roman"/>
          <w:szCs w:val="20"/>
          <w:lang w:val="lt-LT" w:eastAsia="lt-LT"/>
        </w:rPr>
        <w:t xml:space="preserve"> preparat</w:t>
      </w:r>
      <w:r>
        <w:rPr>
          <w:rFonts w:ascii="Times New Roman" w:eastAsia="Times New Roman" w:hAnsi="Times New Roman" w:cs="Times New Roman"/>
          <w:szCs w:val="20"/>
          <w:lang w:val="lt-LT" w:eastAsia="lt-LT"/>
        </w:rPr>
        <w:t>o</w:t>
      </w:r>
      <w:r w:rsidRPr="008B7737">
        <w:rPr>
          <w:rFonts w:ascii="Times New Roman" w:eastAsia="Times New Roman" w:hAnsi="Times New Roman" w:cs="Times New Roman"/>
          <w:szCs w:val="20"/>
          <w:lang w:val="lt-LT" w:eastAsia="lt-LT"/>
        </w:rPr>
        <w:t>. Negydoma sunki uždaro</w:t>
      </w:r>
      <w:r>
        <w:rPr>
          <w:rFonts w:ascii="Times New Roman" w:eastAsia="Times New Roman" w:hAnsi="Times New Roman" w:cs="Times New Roman"/>
          <w:szCs w:val="20"/>
          <w:lang w:val="lt-LT" w:eastAsia="lt-LT"/>
        </w:rPr>
        <w:t>jo</w:t>
      </w:r>
      <w:r w:rsidRPr="008B7737">
        <w:rPr>
          <w:rFonts w:ascii="Times New Roman" w:eastAsia="Times New Roman" w:hAnsi="Times New Roman" w:cs="Times New Roman"/>
          <w:szCs w:val="20"/>
          <w:lang w:val="lt-LT" w:eastAsia="lt-LT"/>
        </w:rPr>
        <w:t xml:space="preserve"> kampo glaukoma gali sukelti pastovų regėjimo netekimą. Pagrindinis gydymas yra kaip galima greičiau nutraukti </w:t>
      </w:r>
      <w:r>
        <w:rPr>
          <w:rFonts w:ascii="Times New Roman" w:eastAsia="Times New Roman" w:hAnsi="Times New Roman" w:cs="Times New Roman"/>
          <w:szCs w:val="20"/>
          <w:lang w:val="lt-LT" w:eastAsia="lt-LT"/>
        </w:rPr>
        <w:t>vaistinio preparato</w:t>
      </w:r>
      <w:r w:rsidRPr="008B7737">
        <w:rPr>
          <w:rFonts w:ascii="Times New Roman" w:eastAsia="Times New Roman" w:hAnsi="Times New Roman" w:cs="Times New Roman"/>
          <w:szCs w:val="20"/>
          <w:lang w:val="lt-LT" w:eastAsia="lt-LT"/>
        </w:rPr>
        <w:t xml:space="preserve"> vartojimą. Dėl skubaus gydymo vaist</w:t>
      </w:r>
      <w:r>
        <w:rPr>
          <w:rFonts w:ascii="Times New Roman" w:eastAsia="Times New Roman" w:hAnsi="Times New Roman" w:cs="Times New Roman"/>
          <w:szCs w:val="20"/>
          <w:lang w:val="lt-LT" w:eastAsia="lt-LT"/>
        </w:rPr>
        <w:t>iniais preparatais</w:t>
      </w:r>
      <w:r w:rsidRPr="008B7737">
        <w:rPr>
          <w:rFonts w:ascii="Times New Roman" w:eastAsia="Times New Roman" w:hAnsi="Times New Roman" w:cs="Times New Roman"/>
          <w:szCs w:val="20"/>
          <w:lang w:val="lt-LT" w:eastAsia="lt-LT"/>
        </w:rPr>
        <w:t xml:space="preserve"> arba chirurginės operacijos reikia apsispręsti tais atvejais, kai nepavyksta kontroliuoti akispūdžio. Vienas iš faktorių, dėl kurių gali išsivystyti sunki uždaro</w:t>
      </w:r>
      <w:r>
        <w:rPr>
          <w:rFonts w:ascii="Times New Roman" w:eastAsia="Times New Roman" w:hAnsi="Times New Roman" w:cs="Times New Roman"/>
          <w:szCs w:val="20"/>
          <w:lang w:val="lt-LT" w:eastAsia="lt-LT"/>
        </w:rPr>
        <w:t>jo</w:t>
      </w:r>
      <w:r w:rsidRPr="008B7737">
        <w:rPr>
          <w:rFonts w:ascii="Times New Roman" w:eastAsia="Times New Roman" w:hAnsi="Times New Roman" w:cs="Times New Roman"/>
          <w:lang w:val="lt-LT" w:eastAsia="lt-LT"/>
        </w:rPr>
        <w:t xml:space="preserve"> </w:t>
      </w:r>
      <w:r w:rsidRPr="008B7737">
        <w:rPr>
          <w:rFonts w:ascii="Times New Roman" w:eastAsia="Times New Roman" w:hAnsi="Times New Roman" w:cs="Times New Roman"/>
          <w:szCs w:val="20"/>
          <w:lang w:val="lt-LT" w:eastAsia="lt-LT"/>
        </w:rPr>
        <w:t>kampo glaukoma, gali būti anamnezėje esanti nuoroda apie alergiją sulf</w:t>
      </w:r>
      <w:r>
        <w:rPr>
          <w:rFonts w:ascii="Times New Roman" w:eastAsia="Times New Roman" w:hAnsi="Times New Roman" w:cs="Times New Roman"/>
          <w:szCs w:val="20"/>
          <w:lang w:val="lt-LT" w:eastAsia="lt-LT"/>
        </w:rPr>
        <w:t>amidams</w:t>
      </w:r>
      <w:r w:rsidRPr="008B7737">
        <w:rPr>
          <w:rFonts w:ascii="Times New Roman" w:eastAsia="Times New Roman" w:hAnsi="Times New Roman" w:cs="Times New Roman"/>
          <w:szCs w:val="20"/>
          <w:lang w:val="lt-LT" w:eastAsia="lt-LT"/>
        </w:rPr>
        <w:t xml:space="preserve"> arba penicilinui.</w:t>
      </w:r>
    </w:p>
    <w:p w14:paraId="42E51A8A"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6A37FED7" w14:textId="77777777" w:rsidR="002D38C5" w:rsidRPr="00D35C4A" w:rsidRDefault="002D38C5" w:rsidP="002D38C5">
      <w:pPr>
        <w:tabs>
          <w:tab w:val="left" w:pos="567"/>
          <w:tab w:val="left" w:pos="2160"/>
        </w:tabs>
        <w:spacing w:after="0" w:line="252" w:lineRule="auto"/>
        <w:rPr>
          <w:rFonts w:ascii="Times New Roman" w:eastAsiaTheme="minorEastAsia" w:hAnsi="Times New Roman" w:cs="Times New Roman"/>
          <w:i/>
          <w:lang w:val="lt-LT"/>
        </w:rPr>
      </w:pPr>
      <w:r w:rsidRPr="00D35C4A">
        <w:rPr>
          <w:rFonts w:ascii="Times New Roman" w:eastAsiaTheme="minorEastAsia" w:hAnsi="Times New Roman" w:cs="Times New Roman"/>
          <w:i/>
          <w:lang w:val="lt-LT"/>
        </w:rPr>
        <w:t xml:space="preserve">Ūminis toksinis poveikis kvėpavimo sistemai </w:t>
      </w:r>
    </w:p>
    <w:p w14:paraId="01386EBA" w14:textId="77777777" w:rsidR="002D38C5" w:rsidRDefault="002D38C5" w:rsidP="002D38C5">
      <w:pPr>
        <w:tabs>
          <w:tab w:val="left" w:pos="360"/>
        </w:tabs>
        <w:spacing w:after="0" w:line="240" w:lineRule="auto"/>
        <w:rPr>
          <w:rFonts w:ascii="Times New Roman" w:eastAsia="Times New Roman" w:hAnsi="Times New Roman" w:cs="Times New Roman"/>
          <w:lang w:val="lt-LT"/>
        </w:rPr>
      </w:pPr>
      <w:r w:rsidRPr="00D35C4A">
        <w:rPr>
          <w:rFonts w:ascii="Times New Roman" w:eastAsiaTheme="minorEastAsia" w:hAnsi="Times New Roman" w:cs="Times New Roman"/>
          <w:lang w:val="lt-LT"/>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Nebilet Plus vartojimą ir skirti atitinkamą gydymą. Hidrochlorotiazido negalima skirti pacientams, kuriems anksčiau pasireiškė ŪKSS pavartojus hidrochlorotiazido.</w:t>
      </w:r>
    </w:p>
    <w:p w14:paraId="6CFC8945" w14:textId="77777777" w:rsidR="002D38C5" w:rsidRPr="004C7FBD" w:rsidRDefault="002D38C5" w:rsidP="00E625FB">
      <w:pPr>
        <w:tabs>
          <w:tab w:val="left" w:pos="360"/>
        </w:tabs>
        <w:spacing w:after="0" w:line="240" w:lineRule="auto"/>
        <w:rPr>
          <w:rFonts w:ascii="Times New Roman" w:eastAsia="Times New Roman" w:hAnsi="Times New Roman" w:cs="Times New Roman"/>
          <w:lang w:val="lt-LT"/>
        </w:rPr>
      </w:pPr>
    </w:p>
    <w:p w14:paraId="2F2B02A5"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Nebivololio ir hidrochlorotiazido derinys</w:t>
      </w:r>
    </w:p>
    <w:p w14:paraId="20114C6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2AE05A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Kartu su įspėjimais, susijusiais su preparato monokomponentais, vartojant Nebilet Plus papildomai reikšminga:</w:t>
      </w:r>
    </w:p>
    <w:p w14:paraId="791BD4D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BC25CDB"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Galaktozės netoleravimas, Lapp laktazės stygius, gliukozės ir galaktozės malabsorbcija</w:t>
      </w:r>
    </w:p>
    <w:p w14:paraId="2A71225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Šio preparato sudėtyje yra laktozės. Pacientams, kuriems yra retas paveldimas galaktozės netoleravimas, </w:t>
      </w:r>
      <w:r w:rsidRPr="004C7FBD">
        <w:rPr>
          <w:rFonts w:ascii="Times New Roman" w:eastAsia="Times New Roman" w:hAnsi="Times New Roman" w:cs="Times New Roman"/>
          <w:i/>
          <w:lang w:val="lt-LT"/>
        </w:rPr>
        <w:t>Lapp</w:t>
      </w:r>
      <w:r w:rsidRPr="004C7FBD">
        <w:rPr>
          <w:rFonts w:ascii="Times New Roman" w:eastAsia="Times New Roman" w:hAnsi="Times New Roman" w:cs="Times New Roman"/>
          <w:lang w:val="lt-LT"/>
        </w:rPr>
        <w:t xml:space="preserve"> laktazės stygius ar gliukozės ir galaktozės malabsorbcija, šio vaistinio preparato vartoti negalima.</w:t>
      </w:r>
    </w:p>
    <w:p w14:paraId="513F22D8"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7E289DFE"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hAnsi="Times New Roman" w:cs="Times New Roman"/>
          <w:iCs/>
          <w:lang w:val="lt-LT"/>
        </w:rPr>
        <w:t>Šio vaistinio preparato vienoje tabletėje yra mažiau kaip 1 mmol (23 mg) natrio, t. y. jis beveik neturi reikšmės.</w:t>
      </w:r>
    </w:p>
    <w:p w14:paraId="77421E3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E8D46D8"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9" w:name="_Toc129243106"/>
      <w:bookmarkStart w:id="10" w:name="_Toc129243231"/>
      <w:r w:rsidRPr="004C7FBD">
        <w:rPr>
          <w:rFonts w:ascii="Times New Roman" w:eastAsia="Times New Roman" w:hAnsi="Times New Roman" w:cs="Times New Roman"/>
          <w:b/>
          <w:kern w:val="28"/>
          <w:lang w:val="lt-LT"/>
        </w:rPr>
        <w:t>4.5</w:t>
      </w:r>
      <w:r w:rsidRPr="004C7FBD">
        <w:rPr>
          <w:rFonts w:ascii="Times New Roman" w:eastAsia="Times New Roman" w:hAnsi="Times New Roman" w:cs="Times New Roman"/>
          <w:b/>
          <w:kern w:val="28"/>
          <w:lang w:val="lt-LT"/>
        </w:rPr>
        <w:tab/>
        <w:t>Sąveika su kitais vaistiniais preparatais ir kitokia sąveika</w:t>
      </w:r>
      <w:bookmarkEnd w:id="9"/>
      <w:bookmarkEnd w:id="10"/>
    </w:p>
    <w:p w14:paraId="4CE3AED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5B7A7A0"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b/>
          <w:kern w:val="28"/>
          <w:lang w:val="lt-LT"/>
        </w:rPr>
        <w:t>Farmakodinaminė sąveika</w:t>
      </w:r>
    </w:p>
    <w:p w14:paraId="01A69B7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FA5EA42"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4B18C6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Beta adrenoblokatorių sąveika galima su žemiau išvardintais vaistiniais preparatais.</w:t>
      </w:r>
    </w:p>
    <w:p w14:paraId="107AC6F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12ED3C8"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Nerekomenduojami deriniai</w:t>
      </w:r>
    </w:p>
    <w:p w14:paraId="0C7F7D6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1FA481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I klasės antiaritminiai vaistai (chinidinas, hidrochinidinas, cibenzolinas, flekainidas, dizopiramidas, lidokainas, meksiletinas, propafenonas)</w:t>
      </w:r>
      <w:r w:rsidRPr="004C7FBD">
        <w:rPr>
          <w:rFonts w:ascii="Times New Roman" w:eastAsia="Times New Roman" w:hAnsi="Times New Roman" w:cs="Times New Roman"/>
          <w:lang w:val="lt-LT"/>
        </w:rPr>
        <w:t>: gali pailgėti atrioventrikulinio laidumo laikas ir sustiprėti neigiamas inotropinis poveikis (žr. 4.4 skyrių).</w:t>
      </w:r>
    </w:p>
    <w:p w14:paraId="49AC36E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EC31D9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Verapamilio ar diltiazemo tipo kalcio kanalų blokatoriai</w:t>
      </w:r>
      <w:r w:rsidRPr="004C7FBD">
        <w:rPr>
          <w:rFonts w:ascii="Times New Roman" w:eastAsia="Times New Roman" w:hAnsi="Times New Roman" w:cs="Times New Roman"/>
          <w:lang w:val="lt-LT"/>
        </w:rPr>
        <w:t>: neigiamas poveikis miokardo kontrakcijai ir atrioventrikulinio mazgo laidumui. Beta adrenoblokatorius vartojantiems pacientams sušvirkštus į veną verapamilio gali ištikti stipri hipotenzija, atsirasti atrioventrikulinė blokada (žr. 4.4 skyrių).</w:t>
      </w:r>
    </w:p>
    <w:p w14:paraId="4E54579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4B04AC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Centrinio poveikio antihipertenziniai preparatai (klonidinas, guanfacinas, moksonidinas, metildopa, rilmenidinas):</w:t>
      </w:r>
      <w:r w:rsidRPr="004C7FBD">
        <w:rPr>
          <w:rFonts w:ascii="Times New Roman" w:eastAsia="Times New Roman" w:hAnsi="Times New Roman" w:cs="Times New Roman"/>
          <w:lang w:val="lt-LT"/>
        </w:rPr>
        <w:t xml:space="preserve"> kartu vartojami centrinio poveikio antihipertenziniai vaistai gali sustiprinti širdies nepakankamumą sumažindami centrinio tipo simpatinį tonusą (sumažėja širdies susitraukimų dažnis, minutinis širdies tūris, išsiplečia kraujagyslės) (žr. 4.4 skyrių). Staiga nutraukus vartojimą, ypač anksčiau nei beta adrenoblokatorių, gali padidėti „atoveiksmio hipertenzijos“ pavojus. </w:t>
      </w:r>
    </w:p>
    <w:p w14:paraId="4A31FD8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AD8DFB6"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Atsargiai vartojami deriniai</w:t>
      </w:r>
    </w:p>
    <w:p w14:paraId="6D0B52F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7B6FC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III klasės antiaritminiai vaistai (amjodaronas)</w:t>
      </w:r>
      <w:r w:rsidRPr="004C7FBD">
        <w:rPr>
          <w:rFonts w:ascii="Times New Roman" w:eastAsia="Times New Roman" w:hAnsi="Times New Roman" w:cs="Times New Roman"/>
          <w:lang w:val="lt-LT"/>
        </w:rPr>
        <w:t>: gali pailgėti atrioventrikulinio laidumo laikas.</w:t>
      </w:r>
    </w:p>
    <w:p w14:paraId="287C043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8BB043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Lakūs halogeninti inhaliaciniai anestetikai</w:t>
      </w:r>
      <w:r w:rsidRPr="004C7FBD">
        <w:rPr>
          <w:rFonts w:ascii="Times New Roman" w:eastAsia="Times New Roman" w:hAnsi="Times New Roman" w:cs="Times New Roman"/>
          <w:lang w:val="lt-LT"/>
        </w:rPr>
        <w:t>: vartojant beta adrenoblokatorius su anestetikais, gali būti slopinama refleksinė tachikardija ir didėti hipotenzijos grėsmė (žr. 4.4 skyrių). Paprastai reikia vengti staiga nutraukti beta adrenoblokatorių vartojimą. Reikia pasakyti anesteziologui, kad pacientas vartoja Nebilet Plus.</w:t>
      </w:r>
    </w:p>
    <w:p w14:paraId="799E192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137150D" w14:textId="0E981018" w:rsidR="00E625FB" w:rsidRPr="004A00C9"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Insulinas ir geriamieji vaistai nuo cukrinio diabeto</w:t>
      </w:r>
      <w:r w:rsidRPr="004C7FBD">
        <w:rPr>
          <w:rFonts w:ascii="Times New Roman" w:eastAsia="Times New Roman" w:hAnsi="Times New Roman" w:cs="Times New Roman"/>
          <w:lang w:val="lt-LT"/>
        </w:rPr>
        <w:t>: nors nebivololis</w:t>
      </w:r>
      <w:r w:rsidRPr="004C7FBD">
        <w:rPr>
          <w:rFonts w:ascii="Times New Roman" w:eastAsia="Times New Roman" w:hAnsi="Times New Roman" w:cs="Times New Roman"/>
          <w:vertAlign w:val="superscript"/>
          <w:lang w:val="lt-LT"/>
        </w:rPr>
        <w:t xml:space="preserve"> </w:t>
      </w:r>
      <w:r w:rsidRPr="004C7FBD">
        <w:rPr>
          <w:rFonts w:ascii="Times New Roman" w:eastAsia="Times New Roman" w:hAnsi="Times New Roman" w:cs="Times New Roman"/>
          <w:lang w:val="lt-LT"/>
        </w:rPr>
        <w:t>nekeičia gliukozės koncentracijos kraujo plazmoje, bet gali maskuoti kai kuriuos hipoglikemijos požymius (juntamą stiprų širdies plakimą, tachikardiją).</w:t>
      </w:r>
      <w:r w:rsidR="004A00C9">
        <w:rPr>
          <w:rFonts w:ascii="Times New Roman" w:eastAsia="Times New Roman" w:hAnsi="Times New Roman" w:cs="Times New Roman"/>
          <w:lang w:val="lt-LT"/>
        </w:rPr>
        <w:t xml:space="preserve"> </w:t>
      </w:r>
      <w:r w:rsidR="004A00C9" w:rsidRPr="004A00C9">
        <w:rPr>
          <w:rFonts w:ascii="Times New Roman" w:hAnsi="Times New Roman" w:cs="Times New Roman"/>
          <w:lang w:val="lt-LT"/>
        </w:rPr>
        <w:t xml:space="preserve">Kartu su sulfonilurėjos </w:t>
      </w:r>
      <w:r w:rsidR="00587B54">
        <w:rPr>
          <w:rFonts w:ascii="Times New Roman" w:hAnsi="Times New Roman" w:cs="Times New Roman"/>
          <w:lang w:val="lt-LT"/>
        </w:rPr>
        <w:t>dariniais</w:t>
      </w:r>
      <w:r w:rsidR="004A00C9" w:rsidRPr="004A00C9">
        <w:rPr>
          <w:rFonts w:ascii="Times New Roman" w:hAnsi="Times New Roman" w:cs="Times New Roman"/>
          <w:lang w:val="lt-LT"/>
        </w:rPr>
        <w:t>vartojami beta adrenoblokatoriai gali padidinti sunkios hipoglikemijos riziką (žr. 4.4 skyrių).</w:t>
      </w:r>
    </w:p>
    <w:p w14:paraId="792F7C8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DC9E51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Baklofenas (antispazminis preparatas), amifostinas (priešvėžinis preparatas):</w:t>
      </w:r>
      <w:r w:rsidRPr="004C7FBD">
        <w:rPr>
          <w:rFonts w:ascii="Times New Roman" w:eastAsia="Times New Roman" w:hAnsi="Times New Roman" w:cs="Times New Roman"/>
          <w:lang w:val="lt-LT"/>
        </w:rPr>
        <w:t xml:space="preserve"> vartojant kartu su antihipertenziniais preparatais gali sumažėti kraujospūdis, todėl atsižvelgiant į tai antihipertenzinių vaistų dozė turėtų būti koreguojama.</w:t>
      </w:r>
    </w:p>
    <w:p w14:paraId="35679D1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30187F7"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Deriniai, į kuriuos reikia atkreipti dėmesį</w:t>
      </w:r>
    </w:p>
    <w:p w14:paraId="4CC9F30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A7E689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Širdį veikiantys glikozidai</w:t>
      </w:r>
      <w:r w:rsidRPr="004C7FBD">
        <w:rPr>
          <w:rFonts w:ascii="Times New Roman" w:eastAsia="Times New Roman" w:hAnsi="Times New Roman" w:cs="Times New Roman"/>
          <w:lang w:val="lt-LT"/>
        </w:rPr>
        <w:t>: vartojant kartu gali slopinti atrioventrikulinį laidumą. Klinikiniais nebivololio tyrimais sąveikos klinikinių įrodymų negauta. Nebivololis neturi įtakos digoksino kinetikai.</w:t>
      </w:r>
    </w:p>
    <w:p w14:paraId="5E7FDA33"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69E2B2E9"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i/>
          <w:lang w:val="lt-LT"/>
        </w:rPr>
        <w:t>Dihidropiridino grupės kalcio kanalų blokatoriai (amlodipinas, felodipinas, lacidipinas, nifedipinas, nikardipinas, nimodipinas, nitrendipinas):</w:t>
      </w:r>
      <w:r w:rsidRPr="004C7FBD">
        <w:rPr>
          <w:rFonts w:ascii="Times New Roman" w:eastAsia="Times New Roman" w:hAnsi="Times New Roman" w:cs="Times New Roman"/>
          <w:lang w:val="lt-LT"/>
        </w:rPr>
        <w:t xml:space="preserve"> kartu vartojant gali padidėti hipotenzijos pavojus, negalima paneigti padidėjusio pavojaus, kad gali susilpnėti skilvelių funkcija.</w:t>
      </w:r>
    </w:p>
    <w:p w14:paraId="38F6936D" w14:textId="77777777" w:rsidR="00E625FB" w:rsidRPr="004C7FBD" w:rsidRDefault="00E625FB" w:rsidP="00E625FB">
      <w:pPr>
        <w:spacing w:after="0" w:line="240" w:lineRule="auto"/>
        <w:rPr>
          <w:rFonts w:ascii="Times New Roman" w:eastAsia="Times New Roman" w:hAnsi="Times New Roman" w:cs="Times New Roman"/>
          <w:i/>
          <w:lang w:val="lt-LT" w:eastAsia="lt-LT"/>
        </w:rPr>
      </w:pPr>
    </w:p>
    <w:p w14:paraId="66827CF6"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i/>
          <w:lang w:val="lt-LT"/>
        </w:rPr>
        <w:t xml:space="preserve">Antipsichoziniai vaistai, antidepresantai (tricikliai antidepresantai, barbitūratai, fenotiazino dariniai): </w:t>
      </w:r>
      <w:r w:rsidRPr="004C7FBD">
        <w:rPr>
          <w:rFonts w:ascii="Times New Roman" w:eastAsia="Times New Roman" w:hAnsi="Times New Roman" w:cs="Times New Roman"/>
          <w:lang w:val="lt-LT"/>
        </w:rPr>
        <w:t>kartu vartojant gali sustiprėti beta adrenoblokatorių hipotenzinis poveikis (bendras poveikis).</w:t>
      </w:r>
    </w:p>
    <w:p w14:paraId="3700C455"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378B7FD"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i/>
          <w:lang w:val="lt-LT"/>
        </w:rPr>
        <w:t>Nesteroidiniai vaistai nuo uždegimo</w:t>
      </w:r>
      <w:r w:rsidRPr="004C7FBD">
        <w:rPr>
          <w:rFonts w:ascii="Times New Roman" w:eastAsia="Times New Roman" w:hAnsi="Times New Roman" w:cs="Times New Roman"/>
          <w:lang w:val="lt-LT"/>
        </w:rPr>
        <w:t>: neturi įtakos nebivololio kraujospūdį mažinančiam poveikiui.</w:t>
      </w:r>
    </w:p>
    <w:p w14:paraId="393726D9"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13DA26AE"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i/>
          <w:lang w:val="lt-LT"/>
        </w:rPr>
        <w:t>Simpatomimetiniai preparatai</w:t>
      </w:r>
      <w:r w:rsidRPr="004C7FBD">
        <w:rPr>
          <w:rFonts w:ascii="Times New Roman" w:eastAsia="Times New Roman" w:hAnsi="Times New Roman" w:cs="Times New Roman"/>
          <w:lang w:val="lt-LT"/>
        </w:rPr>
        <w:t>: kartu vartojant gali naikinti beta adrenoblokatorių poveikį. Beta adrenerginiai vaistai gali sukelti simpatomimetikų, pasižyminčių tiek alfa, tiek beta adrenerginėmis savybėmis, pasipriešinimo nesutinkantį alfa adrenerginį poveikį</w:t>
      </w:r>
      <w:r w:rsidRPr="004C7FBD">
        <w:rPr>
          <w:rFonts w:ascii="Times New Roman" w:eastAsia="Times New Roman" w:hAnsi="Times New Roman" w:cs="Times New Roman"/>
          <w:color w:val="800000"/>
          <w:lang w:val="lt-LT"/>
        </w:rPr>
        <w:t xml:space="preserve"> </w:t>
      </w:r>
      <w:r w:rsidRPr="004C7FBD">
        <w:rPr>
          <w:rFonts w:ascii="Times New Roman" w:eastAsia="Times New Roman" w:hAnsi="Times New Roman" w:cs="Times New Roman"/>
          <w:lang w:val="lt-LT"/>
        </w:rPr>
        <w:t>(galima arterinė hipertenzija, sunki bradikardija, gali prasidėti AV blokada).</w:t>
      </w:r>
    </w:p>
    <w:p w14:paraId="330A9E81" w14:textId="77777777" w:rsidR="00E625FB" w:rsidRPr="004C7FBD" w:rsidRDefault="00E625FB" w:rsidP="00E625FB">
      <w:pPr>
        <w:keepNext/>
        <w:spacing w:after="0" w:line="240" w:lineRule="auto"/>
        <w:outlineLvl w:val="0"/>
        <w:rPr>
          <w:rFonts w:ascii="Times New Roman" w:eastAsia="Times New Roman" w:hAnsi="Times New Roman" w:cs="Times New Roman"/>
          <w:u w:val="single"/>
          <w:lang w:val="lt-LT"/>
        </w:rPr>
      </w:pPr>
    </w:p>
    <w:p w14:paraId="396F84AB"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Hidrochlorotiazidas</w:t>
      </w:r>
    </w:p>
    <w:p w14:paraId="06416AB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6A8AD9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galima sąveika su žemiau išvardintais vaistais.</w:t>
      </w:r>
    </w:p>
    <w:p w14:paraId="6018B7B9" w14:textId="77777777" w:rsidR="00E625FB" w:rsidRPr="004C7FBD" w:rsidRDefault="00E625FB" w:rsidP="00E625FB">
      <w:pPr>
        <w:spacing w:after="0" w:line="240" w:lineRule="auto"/>
        <w:rPr>
          <w:rFonts w:ascii="Times New Roman" w:eastAsia="Times New Roman" w:hAnsi="Times New Roman" w:cs="Times New Roman"/>
          <w:lang w:val="lt-LT"/>
        </w:rPr>
      </w:pPr>
    </w:p>
    <w:p w14:paraId="2F4D18B0"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Nerekomenduojami deriniai</w:t>
      </w:r>
    </w:p>
    <w:p w14:paraId="3BB8E1A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EB62CC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Ličio preparatai:</w:t>
      </w:r>
      <w:r w:rsidRPr="004C7FBD">
        <w:rPr>
          <w:rFonts w:ascii="Times New Roman" w:eastAsia="Times New Roman" w:hAnsi="Times New Roman" w:cs="Times New Roman"/>
          <w:lang w:val="lt-LT"/>
        </w:rPr>
        <w:t xml:space="preserve"> tiazidai mažina inkstų klirensą ir dėl to vartojant su hidrochlorotiazidu gali padidėti ličio toksinis poveikis. Todėl su Nebilet Plus kartu vartoti ličio preparatus nerekomenduojama. Jei toks derinys yra būtinas, rekomenduojama atidžiai stebėti ličio koncentraciją kraujo serume.</w:t>
      </w:r>
    </w:p>
    <w:p w14:paraId="6DE05EA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39B10E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Vaistiniai preparatai, kurių vartojimas yra susijęs su kalio kiekiu kraujo serume</w:t>
      </w:r>
      <w:r w:rsidRPr="004C7FBD">
        <w:rPr>
          <w:rFonts w:ascii="Times New Roman" w:eastAsia="Times New Roman" w:hAnsi="Times New Roman" w:cs="Times New Roman"/>
          <w:lang w:val="lt-LT"/>
        </w:rPr>
        <w:t xml:space="preserve">: hidrochlorotiazido kalio išsiskyrimą skatinantį poveikį (žr. 4.4 skyrių) gali sustiprinti kiti vaistai, kurie mažina kalio kiekį organizme ir sukelia hipokalemiją (pvz., kalio išsiskyrimą skatinantys diuretikai, vidurius paleidžiantys vaistai, kortikosteroidai, adrenokortikotropinas, amfotericinas, karbenoksolonas, penicilino G natrio druska, salicilo rūgštis ir jos dariniai). </w:t>
      </w:r>
    </w:p>
    <w:p w14:paraId="7EE3E2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7849D3A"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Atsargiai vartojami deriniai</w:t>
      </w:r>
    </w:p>
    <w:p w14:paraId="05905D5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E5A817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Nesteroidiniai vaistai nuo uždegimo (NVNU): </w:t>
      </w:r>
      <w:r w:rsidRPr="004C7FBD">
        <w:rPr>
          <w:rFonts w:ascii="Times New Roman" w:eastAsia="Times New Roman" w:hAnsi="Times New Roman" w:cs="Times New Roman"/>
          <w:lang w:val="lt-LT"/>
        </w:rPr>
        <w:t>NVNU (pvz., acetilsalicilo rūgšties dozė didesnė kaip 3 g/parą, COX-2 inhibitoriai, neselektyvieji NVNU) gali sumažinti tiazidinių diuretikų antihipertenzinį poveikį.</w:t>
      </w:r>
    </w:p>
    <w:p w14:paraId="4125936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995138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lastRenderedPageBreak/>
        <w:t xml:space="preserve">Kalcio druskos: </w:t>
      </w:r>
      <w:r w:rsidRPr="004C7FBD">
        <w:rPr>
          <w:rFonts w:ascii="Times New Roman" w:eastAsia="Times New Roman" w:hAnsi="Times New Roman" w:cs="Times New Roman"/>
          <w:lang w:val="lt-LT"/>
        </w:rPr>
        <w:t>tiazidiniai diuretikai gali sukelti kalcio koncentracijos kraujo serume padidėjimą, nes sumažina jo išsiskyrimą iš organizmo. Jei pacientui reikia vartoti kalcio papildų, būtina ištirti kalcio kiekį kraujo serume ir atitinkamai koreguoti kalcio dozę.</w:t>
      </w:r>
    </w:p>
    <w:p w14:paraId="471B5A4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F63BBD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Širdį veikiantys glikozidai: </w:t>
      </w:r>
      <w:r w:rsidRPr="004C7FBD">
        <w:rPr>
          <w:rFonts w:ascii="Times New Roman" w:eastAsia="Times New Roman" w:hAnsi="Times New Roman" w:cs="Times New Roman"/>
          <w:lang w:val="lt-LT"/>
        </w:rPr>
        <w:t>dėl tiazidų poveikio atsirandanti hipokalemija arba hipomagnemija skatina rusmenės glikozidų sukeliamos širdies aritmijos pasireiškimą.</w:t>
      </w:r>
    </w:p>
    <w:p w14:paraId="3029598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D5D7693" w14:textId="77777777" w:rsidR="00E625FB" w:rsidRPr="004C7FBD" w:rsidRDefault="00E625FB" w:rsidP="00E625FB">
      <w:pPr>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Vaistiniai preparatai, kurių poveikis priklauso nuo kalio koncentracijos kraujo serume pakitimų:</w:t>
      </w:r>
    </w:p>
    <w:p w14:paraId="459AC50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rekomenduojama periodiškai tirti kalio kiekį kraujo serume ir registruoti EKG pacientams, kurie gydomi Nebilet Plus kartu su vaistais, kurių poveikis sutrinka pakitus kalio koncentracijai kraujo serume (pvz., rusmenės glikozidais, antiaritminiais vaistais), arba šiais paroksizminės polimorfinės skilvelinės tachikardijos (</w:t>
      </w:r>
      <w:r w:rsidRPr="004C7FBD">
        <w:rPr>
          <w:rFonts w:ascii="Times New Roman" w:eastAsia="Times New Roman" w:hAnsi="Times New Roman" w:cs="Times New Roman"/>
          <w:i/>
          <w:lang w:val="lt-LT"/>
        </w:rPr>
        <w:t>torsades de-pointes</w:t>
      </w:r>
      <w:r w:rsidRPr="004C7FBD">
        <w:rPr>
          <w:rFonts w:ascii="Times New Roman" w:eastAsia="Times New Roman" w:hAnsi="Times New Roman" w:cs="Times New Roman"/>
          <w:lang w:val="lt-LT"/>
        </w:rPr>
        <w:t>) pasireiškimą skatinančiais vaistiniais preparatais (įskaitant kai kuriuos antiaritminius preparatus), nes hipokalemija yra šią skilvelinę tachikardiją skatinantis veiksnys:</w:t>
      </w:r>
    </w:p>
    <w:p w14:paraId="5D84D53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Ia klasės antiaritminiai preparatai (pvz., chinidinas, hidrochinidinas, dizopiramidas);</w:t>
      </w:r>
    </w:p>
    <w:p w14:paraId="4BF5542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III klasės antiaritminiai preparatai (pvz., amjodaronas, sotalolis, dofetilidas, ibutilidas);</w:t>
      </w:r>
    </w:p>
    <w:p w14:paraId="1DA9876D"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kai kurie antipsichoziniai preparatai (pvz., tioridazinas, chlorpromazinas, levomepromazinas, </w:t>
      </w:r>
    </w:p>
    <w:p w14:paraId="0BBD29B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trifluoperazinas, ciamemazinas, sulpiridas, sultopridas, amisulpridas, tiapridas, pimozidas, haloperidolis, droperidolis);</w:t>
      </w:r>
    </w:p>
    <w:p w14:paraId="72F6A93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kiti preparatai (pvz., bepridilis, cisapridas, difemanilis, į veną švirkščiami eritromicino preparatai, </w:t>
      </w:r>
    </w:p>
    <w:p w14:paraId="7BC5E13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halofantrinas, mizolastinas, pentamidinas, sparfloksacinas, terfenadinas, į veną švirkščiami vinkamino </w:t>
      </w:r>
    </w:p>
    <w:p w14:paraId="715D029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preparatai).</w:t>
      </w:r>
    </w:p>
    <w:p w14:paraId="183878E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983E68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Nedepoliarizuojantieji miorelaksantai (pvz., tubokurarinas): </w:t>
      </w:r>
      <w:r w:rsidRPr="004C7FBD">
        <w:rPr>
          <w:rFonts w:ascii="Times New Roman" w:eastAsia="Times New Roman" w:hAnsi="Times New Roman" w:cs="Times New Roman"/>
          <w:lang w:val="lt-LT"/>
        </w:rPr>
        <w:t>hidrochlorotiazidas gali sustiprinti nedepoliarizuojančiųjų miorelaksantų poveikį.</w:t>
      </w:r>
    </w:p>
    <w:p w14:paraId="642EA48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C69A0D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Vaistai nuo cukrinio diabeto (geriamieji ir insulinas): </w:t>
      </w:r>
      <w:r w:rsidRPr="004C7FBD">
        <w:rPr>
          <w:rFonts w:ascii="Times New Roman" w:eastAsia="Times New Roman" w:hAnsi="Times New Roman" w:cs="Times New Roman"/>
          <w:lang w:val="lt-LT"/>
        </w:rPr>
        <w:t>gydymas tiazidais gali turėti įtakos gliukozės toleravimui. Gali reikėti koreguoti vaistų nuo cukrinio diabeto dozę (žr. 4.4 skyrių).</w:t>
      </w:r>
    </w:p>
    <w:p w14:paraId="2B4BFF8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D9659A0"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Metforminas: </w:t>
      </w:r>
      <w:r w:rsidRPr="004C7FBD">
        <w:rPr>
          <w:rFonts w:ascii="Times New Roman" w:eastAsia="Times New Roman" w:hAnsi="Times New Roman" w:cs="Times New Roman"/>
          <w:lang w:val="lt-LT"/>
        </w:rPr>
        <w:t xml:space="preserve">metforminu reikia gydyti atsargiai, įvertinus laktatacidozės, pasireiškiančios dėl </w:t>
      </w:r>
    </w:p>
    <w:p w14:paraId="2BF90D7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sukelto funkcinio inkstų nepakankamumo, riziką.</w:t>
      </w:r>
    </w:p>
    <w:p w14:paraId="0C866CD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C0B43F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Beta adrenoblokatoriai ir diazoksidas: </w:t>
      </w:r>
      <w:r w:rsidRPr="004C7FBD">
        <w:rPr>
          <w:rFonts w:ascii="Times New Roman" w:eastAsia="Times New Roman" w:hAnsi="Times New Roman" w:cs="Times New Roman"/>
          <w:lang w:val="lt-LT"/>
        </w:rPr>
        <w:t>tiazidai gali sustiprinti kitų beta adrenoblokatorių - ne nebivololio ir diazoksido - hiperglikeminį poveikį.</w:t>
      </w:r>
    </w:p>
    <w:p w14:paraId="773A060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80560E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Vazopresiniai aminai (pvz., noradrenalinas):</w:t>
      </w:r>
      <w:r w:rsidRPr="004C7FBD">
        <w:rPr>
          <w:rFonts w:ascii="Times New Roman" w:eastAsia="Times New Roman" w:hAnsi="Times New Roman" w:cs="Times New Roman"/>
          <w:lang w:val="lt-LT"/>
        </w:rPr>
        <w:t xml:space="preserve"> gali susilpnėti vazopresinių aminų poveikis.</w:t>
      </w:r>
    </w:p>
    <w:p w14:paraId="51645B0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2043FA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Vaistai nuo podagros (pvz.,  probenecidas, sulfinpirazonas, alopurinolis)</w:t>
      </w:r>
      <w:r w:rsidRPr="004C7FBD">
        <w:rPr>
          <w:rFonts w:ascii="Times New Roman" w:eastAsia="Times New Roman" w:hAnsi="Times New Roman" w:cs="Times New Roman"/>
          <w:lang w:val="lt-LT"/>
        </w:rPr>
        <w:t>: hidrochlorotiazidas gali sukelti šlapimo rūgšties kiekio padidėjimą kraujo serume, todėl gali reikėti koreguoti šlapimo rūgšties išsiskyrimą skatinančių preparatų dozę. Gali prireikti padidinti probenecido arba sulfinpirazono dozę. Kartu vartojami tiazidai gali dažniau sukelti padidėjusio jautrumo reakcijas alopurinoliui.</w:t>
      </w:r>
    </w:p>
    <w:p w14:paraId="480BDBE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9FF7FF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Amantadinas</w:t>
      </w:r>
      <w:r w:rsidRPr="004C7FBD">
        <w:rPr>
          <w:rFonts w:ascii="Times New Roman" w:eastAsia="Times New Roman" w:hAnsi="Times New Roman" w:cs="Times New Roman"/>
          <w:lang w:val="lt-LT"/>
        </w:rPr>
        <w:t>: tiazidai gali padidinti amantadino sukeliamų nepageidaujamų reakcijų riziką.</w:t>
      </w:r>
    </w:p>
    <w:p w14:paraId="29DCDAC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8C2F3E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Salicilatai: </w:t>
      </w:r>
      <w:r w:rsidRPr="004C7FBD">
        <w:rPr>
          <w:rFonts w:ascii="Times New Roman" w:eastAsia="Times New Roman" w:hAnsi="Times New Roman" w:cs="Times New Roman"/>
          <w:lang w:val="lt-LT"/>
        </w:rPr>
        <w:t>vartojant dideles salicilatų dozes hidrochlorotiazidas gali sustiprinti salicilatų toksinį poveikį centrinei nervų sistemai.</w:t>
      </w:r>
    </w:p>
    <w:p w14:paraId="0A13509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208684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Ciklosporinas: </w:t>
      </w:r>
      <w:r w:rsidRPr="004C7FBD">
        <w:rPr>
          <w:rFonts w:ascii="Times New Roman" w:eastAsia="Times New Roman" w:hAnsi="Times New Roman" w:cs="Times New Roman"/>
          <w:lang w:val="lt-LT"/>
        </w:rPr>
        <w:t>vartojant su ciklosporinu gali padidėti hiperurikemijos ir podagros pobūdžio komplikacijų rizika.</w:t>
      </w:r>
    </w:p>
    <w:p w14:paraId="379481E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748FB5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Kontrastinės medžiagos su jodu: </w:t>
      </w:r>
      <w:r w:rsidRPr="004C7FBD">
        <w:rPr>
          <w:rFonts w:ascii="Times New Roman" w:eastAsia="Times New Roman" w:hAnsi="Times New Roman" w:cs="Times New Roman"/>
          <w:lang w:val="lt-LT"/>
        </w:rPr>
        <w:t>diuretikų sukeltos dehidracijos atvejais padidėja ūminio inkstų nepakankamumo rizika, ypač tuomet, kai vartojamos didelės jodo turinčių kontrastinių medžiagų dozės. Prieš jų vartojimą reikia atstatyti normalią skysčių pusiausvyrą.</w:t>
      </w:r>
    </w:p>
    <w:p w14:paraId="25DE68A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061D623"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lastRenderedPageBreak/>
        <w:t>Nebivololis ir hidrochlorotiazidas</w:t>
      </w:r>
    </w:p>
    <w:p w14:paraId="2460E624" w14:textId="77777777" w:rsidR="00E625FB" w:rsidRPr="004C7FBD" w:rsidRDefault="00E625FB" w:rsidP="00E625FB">
      <w:pPr>
        <w:spacing w:after="0" w:line="240" w:lineRule="auto"/>
        <w:rPr>
          <w:rFonts w:ascii="Times New Roman" w:eastAsia="Times New Roman" w:hAnsi="Times New Roman" w:cs="Times New Roman"/>
          <w:lang w:val="lt-LT"/>
        </w:rPr>
      </w:pPr>
    </w:p>
    <w:p w14:paraId="3469BC5C" w14:textId="77777777" w:rsidR="00E625FB" w:rsidRPr="004C7FBD" w:rsidRDefault="00E625FB" w:rsidP="00E625FB">
      <w:pPr>
        <w:tabs>
          <w:tab w:val="left" w:pos="360"/>
        </w:tabs>
        <w:spacing w:after="0" w:line="240" w:lineRule="auto"/>
        <w:rPr>
          <w:rFonts w:ascii="Times New Roman" w:eastAsia="Times New Roman" w:hAnsi="Times New Roman" w:cs="Times New Roman"/>
          <w:i/>
          <w:u w:val="single"/>
          <w:lang w:val="lt-LT"/>
        </w:rPr>
      </w:pPr>
      <w:r w:rsidRPr="004C7FBD">
        <w:rPr>
          <w:rFonts w:ascii="Times New Roman" w:eastAsia="Times New Roman" w:hAnsi="Times New Roman" w:cs="Times New Roman"/>
          <w:i/>
          <w:u w:val="single"/>
          <w:lang w:val="lt-LT"/>
        </w:rPr>
        <w:t>Atsargiai vartojami deriniai</w:t>
      </w:r>
    </w:p>
    <w:p w14:paraId="576BE19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Kiti antihipertenziniai vaistai</w:t>
      </w:r>
      <w:r w:rsidRPr="004C7FBD">
        <w:rPr>
          <w:rFonts w:ascii="Times New Roman" w:eastAsia="Times New Roman" w:hAnsi="Times New Roman" w:cs="Times New Roman"/>
          <w:lang w:val="lt-LT"/>
        </w:rPr>
        <w:t>: gydant kartu su kitais antihipertenziniais vaistais galimas bendras hipotenzinis poveikis arba poveikio sustiprėjimas.</w:t>
      </w:r>
    </w:p>
    <w:p w14:paraId="60BB868C" w14:textId="77777777" w:rsidR="00E625FB" w:rsidRPr="004C7FBD" w:rsidRDefault="00E625FB" w:rsidP="00E625FB">
      <w:pPr>
        <w:spacing w:after="0" w:line="240" w:lineRule="auto"/>
        <w:rPr>
          <w:rFonts w:ascii="Times New Roman" w:eastAsia="Times New Roman" w:hAnsi="Times New Roman" w:cs="Times New Roman"/>
          <w:lang w:val="lt-LT"/>
        </w:rPr>
      </w:pPr>
    </w:p>
    <w:p w14:paraId="1525976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Antipsichoziniai vaistai, tricikliai antidepresantai, barbitūratai, narkotikai ir alkoholis:</w:t>
      </w:r>
      <w:r w:rsidRPr="004C7FBD">
        <w:rPr>
          <w:rFonts w:ascii="Times New Roman" w:eastAsia="Times New Roman" w:hAnsi="Times New Roman" w:cs="Times New Roman"/>
          <w:lang w:val="lt-LT"/>
        </w:rPr>
        <w:t xml:space="preserve"> kartu vartojant Nebilet Plus su išvardytais preparatais gali sustiprėti hipotenzinis poveikis ir (arba) atsirasti hipotenzija staiga atsistojus.</w:t>
      </w:r>
    </w:p>
    <w:p w14:paraId="5E2D3B01" w14:textId="77777777" w:rsidR="00E625FB" w:rsidRPr="004C7FBD" w:rsidRDefault="00E625FB" w:rsidP="00E625FB">
      <w:pPr>
        <w:spacing w:after="0" w:line="240" w:lineRule="auto"/>
        <w:rPr>
          <w:rFonts w:ascii="Times New Roman" w:eastAsia="Times New Roman" w:hAnsi="Times New Roman" w:cs="Times New Roman"/>
          <w:u w:val="single"/>
          <w:lang w:val="lt-LT"/>
        </w:rPr>
      </w:pPr>
    </w:p>
    <w:p w14:paraId="083D7C3E"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Farmakokinetinė sąveika</w:t>
      </w:r>
    </w:p>
    <w:p w14:paraId="39D4190F" w14:textId="77777777" w:rsidR="00E625FB" w:rsidRPr="004C7FBD" w:rsidRDefault="00E625FB" w:rsidP="00E625FB">
      <w:pPr>
        <w:spacing w:after="0" w:line="240" w:lineRule="auto"/>
        <w:rPr>
          <w:rFonts w:ascii="Times New Roman" w:eastAsia="Times New Roman" w:hAnsi="Times New Roman" w:cs="Times New Roman"/>
          <w:lang w:val="lt-LT"/>
        </w:rPr>
      </w:pPr>
    </w:p>
    <w:p w14:paraId="18D239AE"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53FB8AE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Dėl to, kad nebivololio metabolizme dalyvauja izofermentas CYP2D6, kartu vartojant šį fermentą slopinančius vaistus, ypač paroksetiną, fluoksetiną, tioridaziną ir chinidiną kraujo plazmoje gali padidėti nebivololio koncentracija, smarkiai padidėti išreikštos bradikardijos ir nepageidaujamo poveikio pavojus.  </w:t>
      </w:r>
    </w:p>
    <w:p w14:paraId="740C665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Kartu vartojamas cimetidinas didina nebivololio koncentraciją kraujo plazmoje, bet nekeičia klinikinio poveikio. Kartu vartojamas ranitidinas neturi įtakos nebivololio farmakokinetikai. Vartojant Nebilet</w:t>
      </w:r>
      <w:r w:rsidRPr="004C7FBD">
        <w:rPr>
          <w:rFonts w:ascii="Times New Roman" w:eastAsia="Times New Roman" w:hAnsi="Times New Roman" w:cs="Times New Roman"/>
          <w:vertAlign w:val="superscript"/>
          <w:lang w:val="lt-LT"/>
        </w:rPr>
        <w:t xml:space="preserve"> </w:t>
      </w:r>
      <w:r w:rsidRPr="004C7FBD">
        <w:rPr>
          <w:rFonts w:ascii="Times New Roman" w:eastAsia="Times New Roman" w:hAnsi="Times New Roman" w:cs="Times New Roman"/>
          <w:lang w:val="lt-LT"/>
        </w:rPr>
        <w:t xml:space="preserve"> Plus valgant, o antacidinius vaistus tarp  pagrindinių valgymų, šiuos vaistus galima derinti.</w:t>
      </w:r>
    </w:p>
    <w:p w14:paraId="1ABF91D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Derinant nebivololį su nikardipinu, šiek tiek padidėja abiejų vaistų koncentracija kraujo plazmoje, bet jų klinikinis poveikis nesikeičia. Kartu vartojami alkoholis, furozemidas arba hidrochlorotiazidas nekeičia nebivololio farmakokinetikos. Nebivololis neturi įtakos varfarino farmakokinetikai ir farmakodinamikai.</w:t>
      </w:r>
    </w:p>
    <w:p w14:paraId="424BBF3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EF2E14A"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Hidrochlorotiazidas</w:t>
      </w:r>
    </w:p>
    <w:p w14:paraId="76B9C4F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Anijonais pasikeičiančios dervos (pvz., kolestiramino ir kolestipolio dervos) blogina hidrochlorotiazido absorbciją. </w:t>
      </w:r>
    </w:p>
    <w:p w14:paraId="4FC57BD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2DA22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 xml:space="preserve">Citotoksiniai preparatai: </w:t>
      </w:r>
      <w:r w:rsidRPr="004C7FBD">
        <w:rPr>
          <w:rFonts w:ascii="Times New Roman" w:eastAsia="Times New Roman" w:hAnsi="Times New Roman" w:cs="Times New Roman"/>
          <w:lang w:val="lt-LT"/>
        </w:rPr>
        <w:t>kartu vartojant hidrochlorotiazidą ir citotoksinius preparatus (pvz., ciklofosfamidą, fluorouracilą, metotreksatą) gali sustiprėti toksinis poveikis kaulų čiulpams (galima granulocitopenija).</w:t>
      </w:r>
    </w:p>
    <w:p w14:paraId="7FB390D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p>
    <w:p w14:paraId="26C81838"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4.6</w:t>
      </w:r>
      <w:r w:rsidRPr="004C7FBD">
        <w:rPr>
          <w:rFonts w:ascii="Times New Roman" w:eastAsia="Times New Roman" w:hAnsi="Times New Roman" w:cs="Times New Roman"/>
          <w:b/>
          <w:kern w:val="28"/>
          <w:lang w:val="lt-LT"/>
        </w:rPr>
        <w:tab/>
        <w:t>Vaisingumas, nėštumo ir žindymo laikotarpis</w:t>
      </w:r>
    </w:p>
    <w:p w14:paraId="6555D1E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862F95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Nėštumas</w:t>
      </w:r>
    </w:p>
    <w:p w14:paraId="780457B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Pakankamų duomenų apie nėščiųjų gydymą</w:t>
      </w:r>
      <w:r w:rsidRPr="004C7FBD">
        <w:rPr>
          <w:rFonts w:ascii="Times New Roman" w:eastAsia="Times New Roman" w:hAnsi="Times New Roman" w:cs="Times New Roman"/>
          <w:b/>
          <w:i/>
          <w:lang w:val="lt-LT"/>
        </w:rPr>
        <w:t xml:space="preserve"> </w:t>
      </w:r>
      <w:r w:rsidRPr="004C7FBD">
        <w:rPr>
          <w:rFonts w:ascii="Times New Roman" w:eastAsia="Times New Roman" w:hAnsi="Times New Roman" w:cs="Times New Roman"/>
          <w:lang w:val="lt-LT"/>
        </w:rPr>
        <w:t>Nebilet Plus nėra. Eksperimentinių gyvūnų tyrimų duomenų apie kiekvieną vaisto sudedamąją dalį nepakanka norint įvertinti nebivololio ir hidrochlorotiazido derinio poveikį reprodukcijai (žr. 5.3 skyrių).</w:t>
      </w:r>
    </w:p>
    <w:p w14:paraId="59A5206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ED8057A"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3056E3C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Duomenų apie nebivololio vartojimą nėštumo metu, kuriais būtų įvertintas galimas  jo kenksmingas poveikis, nepakanka. Tačiau nebivololis pasižymi farmakologiniu poveikiu, kuris gali pakenkti nėštumui ir (arba) vaisiui (naujagimiui). Beta adrenoblokatoriai mažina placentos kraujotaką, dėl to vaisiaus augimas gali sulėtėti ar vaisius gali žūti, arba gali prasidėti priešlaikinis gimdymas. Be to, vaisiui ar naujagimiui gali būti nepageidaujamo poveikio požymių (hipoglikemija, bradikardija). Jeigu gydymas beta adrenoblokatoriais būtinas, reikėtų pirmenybę teikti beta</w:t>
      </w:r>
      <w:r w:rsidRPr="004C7FBD">
        <w:rPr>
          <w:rFonts w:ascii="Times New Roman" w:eastAsia="Times New Roman" w:hAnsi="Times New Roman" w:cs="Times New Roman"/>
          <w:vertAlign w:val="subscript"/>
          <w:lang w:val="lt-LT"/>
        </w:rPr>
        <w:t>1</w:t>
      </w:r>
      <w:r w:rsidRPr="004C7FBD">
        <w:rPr>
          <w:rFonts w:ascii="Times New Roman" w:eastAsia="Times New Roman" w:hAnsi="Times New Roman" w:cs="Times New Roman"/>
          <w:lang w:val="lt-LT"/>
        </w:rPr>
        <w:t xml:space="preserve"> selektyviesiems adrenoblokatoriams.</w:t>
      </w:r>
    </w:p>
    <w:p w14:paraId="106DF81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Nebivololio</w:t>
      </w:r>
      <w:r w:rsidRPr="004C7FBD">
        <w:rPr>
          <w:rFonts w:ascii="Times New Roman" w:eastAsia="Times New Roman" w:hAnsi="Times New Roman" w:cs="Times New Roman"/>
          <w:vertAlign w:val="superscript"/>
          <w:lang w:val="lt-LT"/>
        </w:rPr>
        <w:t xml:space="preserve"> </w:t>
      </w:r>
      <w:r w:rsidRPr="004C7FBD">
        <w:rPr>
          <w:rFonts w:ascii="Times New Roman" w:eastAsia="Times New Roman" w:hAnsi="Times New Roman" w:cs="Times New Roman"/>
          <w:lang w:val="lt-LT"/>
        </w:rPr>
        <w:t xml:space="preserve"> negalima vartoti nėštumo laikotarpiu, nebent tai būtina. Nusprendus, kad gydymas nebivololiu būtinas, reikia kontroliuoti placentos kraujotaką ir stebėti vaisiaus augimo dinamiką. Nustačius žalingą poveikį nėštumo eigai arba vaisiui, reikia spręsti dėl alternatyvaus gydymo. Reikia labai atidžiai stebėti naujagimio būklę. Hipoglikemija ir bradikardija dažniausiai pasireiškia per pirmąsias 3 gyvenimo dienas.</w:t>
      </w:r>
    </w:p>
    <w:p w14:paraId="65D2F17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886C9D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5F9DB87"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Hidrochlorotiazidas</w:t>
      </w:r>
    </w:p>
    <w:p w14:paraId="2D679A2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Apie hidrochlorotiazido vartojimą nėštumo laikotarpiu, ypač pirmąjį nėštumo trimestrą, duomenų nepakanka. Tyrimų su gyvūnais nepakanka.</w:t>
      </w:r>
    </w:p>
    <w:p w14:paraId="7A91379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Hidrochlorotiazidas prasiskverbia pro placentą. Dėl farmakologinio hidrochlorotiazido veikimo mechanizmo jo vartojimas antrojo ir trečiojo nėštumo trimestro laikotarpiu gali sutrikdyti vaisiaus-placentos kraujotaką ir sukelti poveikį vaisiui ir naujagimiui, pavyzdžiui, geltą, elektrolitų balanso sutrikimus ir trombocitopeniją. </w:t>
      </w:r>
    </w:p>
    <w:p w14:paraId="300E4D8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negalima vartoti esant edemoms nėštumo laikotarpiu, nėščiųjų hipertenzijai ar preeklampsijai gydyti dėl plazmos tūrio sumažėjimo ir placentos perfuzijos nepakankamumo rizikos, be teigiamo poveikio ligos eigai.</w:t>
      </w:r>
    </w:p>
    <w:p w14:paraId="2FC144B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negalima vartoti nėščiųjų pirminei hipertenzijai gydyti, išskyrus retus atvejus, kai negalima taikyti jokio kitokio gydymo.</w:t>
      </w:r>
    </w:p>
    <w:p w14:paraId="24768A1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29D154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Žindymas</w:t>
      </w:r>
    </w:p>
    <w:p w14:paraId="0F46657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Iki šiol nėra žinoma, ar nebivololio išsiskiria su žindyvės pienu. Tyrimais su gyvūnais nustatyta, kad nebivololio išsiskiria su pienu. Daugelio beta adrenoblokatorių, ypač lipofilinių darinių, kuriems priklauso ir nebivololis, bei jų aktyvių metabolitų įvairus kiekis patenka į motinos pieną. Nedidelis hidrochlorotiazido kiekis išsiskiria su žindyvės pienu. Didelės tiazidinių diuretikų dozės sukelia intensyvią diurezę ir gali slopinti laktaciją. Todėl žindymo laikotarpiu vartoti Nebilet Plus nerekomenduojama.Jei Nebilet Plus vartojamas žindymo laikotarpiu, reikia vartoti galimai mažiausią jo dozę.</w:t>
      </w:r>
    </w:p>
    <w:p w14:paraId="1AAE645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F4B16BF"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4.7</w:t>
      </w:r>
      <w:r w:rsidRPr="004C7FBD">
        <w:rPr>
          <w:rFonts w:ascii="Times New Roman" w:eastAsia="Times New Roman" w:hAnsi="Times New Roman" w:cs="Times New Roman"/>
          <w:b/>
          <w:kern w:val="28"/>
          <w:lang w:val="lt-LT"/>
        </w:rPr>
        <w:tab/>
        <w:t>Poveikis gebėjimui vairuoti ir valdyti mechanizmus</w:t>
      </w:r>
    </w:p>
    <w:p w14:paraId="6EB4746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BE182A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Poveikis gebėjimui vairuoti ir valdyti mechanizmus netirtas. Vairuojant automobilį ar valdant mechanizmus, reikia prisiminti, kad vaistas kartais gali sukelti svaigulį ir bendrą silpnumą.</w:t>
      </w:r>
    </w:p>
    <w:p w14:paraId="355E439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C52F806"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4.8</w:t>
      </w:r>
      <w:r w:rsidRPr="004C7FBD">
        <w:rPr>
          <w:rFonts w:ascii="Times New Roman" w:eastAsia="Times New Roman" w:hAnsi="Times New Roman" w:cs="Times New Roman"/>
          <w:b/>
          <w:kern w:val="28"/>
          <w:lang w:val="lt-LT"/>
        </w:rPr>
        <w:tab/>
        <w:t>Nepageidaujamas poveikis</w:t>
      </w:r>
    </w:p>
    <w:p w14:paraId="16020308"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663AFF5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Nepageidaujamo poveikio požymiai, susiję su arterine hipertenzija ir lėtiniu širdies nepakankamumu, išvardyti kiekvienos veikliosios medžiagos atskirai.</w:t>
      </w:r>
    </w:p>
    <w:p w14:paraId="006226E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07B99FA"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30CEE3C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Daugelis nebivololio nepageidaujamo poveikio simptomų, kurie paprastai būna lengvi arba vidutinio sunkumo, pateikiami lentelėje atsižvelgiant į organų sistemų klases ir dažnumą.</w:t>
      </w:r>
    </w:p>
    <w:p w14:paraId="0C0587B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1559"/>
        <w:gridCol w:w="2126"/>
        <w:gridCol w:w="1418"/>
        <w:gridCol w:w="1701"/>
      </w:tblGrid>
      <w:tr w:rsidR="00E625FB" w:rsidRPr="004C7FBD" w14:paraId="59A675E4" w14:textId="77777777" w:rsidTr="0083045C">
        <w:tc>
          <w:tcPr>
            <w:tcW w:w="2093" w:type="dxa"/>
            <w:tcBorders>
              <w:top w:val="single" w:sz="4" w:space="0" w:color="auto"/>
              <w:bottom w:val="single" w:sz="4" w:space="0" w:color="auto"/>
              <w:right w:val="single" w:sz="4" w:space="0" w:color="auto"/>
            </w:tcBorders>
          </w:tcPr>
          <w:p w14:paraId="4B33337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Organų sistemų klasės</w:t>
            </w:r>
          </w:p>
        </w:tc>
        <w:tc>
          <w:tcPr>
            <w:tcW w:w="1559" w:type="dxa"/>
            <w:tcBorders>
              <w:top w:val="single" w:sz="4" w:space="0" w:color="auto"/>
              <w:left w:val="single" w:sz="4" w:space="0" w:color="auto"/>
              <w:bottom w:val="single" w:sz="4" w:space="0" w:color="auto"/>
              <w:right w:val="single" w:sz="4" w:space="0" w:color="auto"/>
            </w:tcBorders>
          </w:tcPr>
          <w:p w14:paraId="064A55D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Dažni (nuo </w:t>
            </w:r>
            <w:r w:rsidRPr="004C7FBD">
              <w:rPr>
                <w:rFonts w:ascii="Times New Roman" w:eastAsia="Times New Roman" w:hAnsi="Times New Roman" w:cs="Times New Roman"/>
                <w:lang w:val="lt-LT"/>
              </w:rPr>
              <w:sym w:font="Symbol" w:char="F0B3"/>
            </w:r>
            <w:r w:rsidRPr="004C7FBD">
              <w:rPr>
                <w:rFonts w:ascii="Times New Roman" w:eastAsia="Times New Roman" w:hAnsi="Times New Roman" w:cs="Times New Roman"/>
                <w:lang w:val="lt-LT"/>
              </w:rPr>
              <w:t>1/100  iki &lt; 1/10)</w:t>
            </w:r>
          </w:p>
        </w:tc>
        <w:tc>
          <w:tcPr>
            <w:tcW w:w="2126" w:type="dxa"/>
            <w:tcBorders>
              <w:top w:val="single" w:sz="4" w:space="0" w:color="auto"/>
              <w:left w:val="single" w:sz="4" w:space="0" w:color="auto"/>
              <w:bottom w:val="single" w:sz="4" w:space="0" w:color="auto"/>
              <w:right w:val="single" w:sz="4" w:space="0" w:color="auto"/>
            </w:tcBorders>
          </w:tcPr>
          <w:p w14:paraId="6CCBEB60"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Nedažni (nuo </w:t>
            </w:r>
            <w:r w:rsidRPr="004C7FBD">
              <w:rPr>
                <w:rFonts w:ascii="Times New Roman" w:eastAsia="Times New Roman" w:hAnsi="Times New Roman" w:cs="Times New Roman"/>
                <w:lang w:val="lt-LT"/>
              </w:rPr>
              <w:sym w:font="Symbol" w:char="F0B3"/>
            </w:r>
            <w:r w:rsidRPr="004C7FBD">
              <w:rPr>
                <w:rFonts w:ascii="Times New Roman" w:eastAsia="Times New Roman" w:hAnsi="Times New Roman" w:cs="Times New Roman"/>
                <w:lang w:val="lt-LT"/>
              </w:rPr>
              <w:t xml:space="preserve">1/1000 iki </w:t>
            </w:r>
            <w:r w:rsidRPr="004C7FBD">
              <w:rPr>
                <w:rFonts w:ascii="Times New Roman" w:eastAsia="Times New Roman" w:hAnsi="Times New Roman" w:cs="Times New Roman"/>
                <w:lang w:val="lt-LT"/>
              </w:rPr>
              <w:sym w:font="Symbol" w:char="F0A3"/>
            </w:r>
            <w:r w:rsidRPr="004C7FBD">
              <w:rPr>
                <w:rFonts w:ascii="Times New Roman" w:eastAsia="Times New Roman" w:hAnsi="Times New Roman" w:cs="Times New Roman"/>
                <w:lang w:val="lt-LT"/>
              </w:rPr>
              <w:t>1/100)</w:t>
            </w:r>
          </w:p>
        </w:tc>
        <w:tc>
          <w:tcPr>
            <w:tcW w:w="1418" w:type="dxa"/>
            <w:tcBorders>
              <w:top w:val="single" w:sz="4" w:space="0" w:color="auto"/>
              <w:left w:val="single" w:sz="4" w:space="0" w:color="auto"/>
              <w:bottom w:val="single" w:sz="4" w:space="0" w:color="auto"/>
              <w:right w:val="single" w:sz="4" w:space="0" w:color="auto"/>
            </w:tcBorders>
          </w:tcPr>
          <w:p w14:paraId="6611ACA5"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Labai reti</w:t>
            </w:r>
          </w:p>
          <w:p w14:paraId="4F193000"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sym w:font="SymbolPS" w:char="F0A3"/>
            </w:r>
            <w:r w:rsidRPr="004C7FBD">
              <w:rPr>
                <w:rFonts w:ascii="Times New Roman" w:eastAsia="Times New Roman" w:hAnsi="Times New Roman" w:cs="Times New Roman"/>
                <w:lang w:val="lt-LT"/>
              </w:rPr>
              <w:t>1/10000)</w:t>
            </w:r>
          </w:p>
        </w:tc>
        <w:tc>
          <w:tcPr>
            <w:tcW w:w="1701" w:type="dxa"/>
            <w:tcBorders>
              <w:top w:val="single" w:sz="4" w:space="0" w:color="auto"/>
              <w:left w:val="single" w:sz="4" w:space="0" w:color="auto"/>
              <w:bottom w:val="single" w:sz="4" w:space="0" w:color="auto"/>
            </w:tcBorders>
          </w:tcPr>
          <w:p w14:paraId="145345B9"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Dažnis nežinomas</w:t>
            </w:r>
          </w:p>
        </w:tc>
      </w:tr>
      <w:tr w:rsidR="00E625FB" w:rsidRPr="004C7FBD" w14:paraId="72B06E45" w14:textId="77777777" w:rsidTr="0083045C">
        <w:tc>
          <w:tcPr>
            <w:tcW w:w="2093" w:type="dxa"/>
            <w:tcBorders>
              <w:top w:val="single" w:sz="4" w:space="0" w:color="auto"/>
              <w:bottom w:val="single" w:sz="4" w:space="0" w:color="auto"/>
              <w:right w:val="single" w:sz="4" w:space="0" w:color="auto"/>
            </w:tcBorders>
          </w:tcPr>
          <w:p w14:paraId="620581B2"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Imuninės sistemos sutrikimai</w:t>
            </w:r>
          </w:p>
        </w:tc>
        <w:tc>
          <w:tcPr>
            <w:tcW w:w="1559" w:type="dxa"/>
            <w:tcBorders>
              <w:top w:val="single" w:sz="4" w:space="0" w:color="auto"/>
              <w:left w:val="single" w:sz="4" w:space="0" w:color="auto"/>
              <w:bottom w:val="single" w:sz="4" w:space="0" w:color="auto"/>
              <w:right w:val="single" w:sz="4" w:space="0" w:color="auto"/>
            </w:tcBorders>
          </w:tcPr>
          <w:p w14:paraId="084D69A7"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1CDAD2E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11DAD532"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1331A5C0"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Angioneurozinė edema, padidėjęs jautrumas</w:t>
            </w:r>
          </w:p>
        </w:tc>
      </w:tr>
      <w:tr w:rsidR="00E625FB" w:rsidRPr="004C7FBD" w14:paraId="7622FB3F" w14:textId="77777777" w:rsidTr="0083045C">
        <w:tc>
          <w:tcPr>
            <w:tcW w:w="2093" w:type="dxa"/>
            <w:tcBorders>
              <w:top w:val="single" w:sz="4" w:space="0" w:color="auto"/>
              <w:bottom w:val="single" w:sz="4" w:space="0" w:color="auto"/>
              <w:right w:val="single" w:sz="4" w:space="0" w:color="auto"/>
            </w:tcBorders>
          </w:tcPr>
          <w:p w14:paraId="75833DC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Psichikos sutrikimai</w:t>
            </w:r>
          </w:p>
          <w:p w14:paraId="46E51C82"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5E8389C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7748ABD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Naktiniai košmarai, depresija</w:t>
            </w:r>
          </w:p>
        </w:tc>
        <w:tc>
          <w:tcPr>
            <w:tcW w:w="1418" w:type="dxa"/>
            <w:tcBorders>
              <w:top w:val="single" w:sz="4" w:space="0" w:color="auto"/>
              <w:left w:val="single" w:sz="4" w:space="0" w:color="auto"/>
              <w:bottom w:val="single" w:sz="4" w:space="0" w:color="auto"/>
              <w:right w:val="single" w:sz="4" w:space="0" w:color="auto"/>
            </w:tcBorders>
          </w:tcPr>
          <w:p w14:paraId="39F56B8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172B608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522616B0" w14:textId="77777777" w:rsidTr="0083045C">
        <w:tc>
          <w:tcPr>
            <w:tcW w:w="2093" w:type="dxa"/>
            <w:tcBorders>
              <w:top w:val="single" w:sz="4" w:space="0" w:color="auto"/>
              <w:bottom w:val="single" w:sz="4" w:space="0" w:color="auto"/>
              <w:right w:val="single" w:sz="4" w:space="0" w:color="auto"/>
            </w:tcBorders>
          </w:tcPr>
          <w:p w14:paraId="370DA8C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2210D51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Galvos skausmas, svaigulys, parestezijos</w:t>
            </w:r>
          </w:p>
        </w:tc>
        <w:tc>
          <w:tcPr>
            <w:tcW w:w="2126" w:type="dxa"/>
            <w:tcBorders>
              <w:top w:val="single" w:sz="4" w:space="0" w:color="auto"/>
              <w:left w:val="single" w:sz="4" w:space="0" w:color="auto"/>
              <w:bottom w:val="single" w:sz="4" w:space="0" w:color="auto"/>
              <w:right w:val="single" w:sz="4" w:space="0" w:color="auto"/>
            </w:tcBorders>
          </w:tcPr>
          <w:p w14:paraId="7ACC151E"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02531577"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Apalpimas</w:t>
            </w:r>
          </w:p>
        </w:tc>
        <w:tc>
          <w:tcPr>
            <w:tcW w:w="1701" w:type="dxa"/>
            <w:tcBorders>
              <w:top w:val="single" w:sz="4" w:space="0" w:color="auto"/>
              <w:left w:val="single" w:sz="4" w:space="0" w:color="auto"/>
              <w:bottom w:val="single" w:sz="4" w:space="0" w:color="auto"/>
            </w:tcBorders>
          </w:tcPr>
          <w:p w14:paraId="486B298E"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709C56AF" w14:textId="77777777" w:rsidTr="0083045C">
        <w:tc>
          <w:tcPr>
            <w:tcW w:w="2093" w:type="dxa"/>
            <w:tcBorders>
              <w:top w:val="single" w:sz="4" w:space="0" w:color="auto"/>
              <w:bottom w:val="single" w:sz="4" w:space="0" w:color="auto"/>
              <w:right w:val="single" w:sz="4" w:space="0" w:color="auto"/>
            </w:tcBorders>
          </w:tcPr>
          <w:p w14:paraId="1A413036"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Akies sutrikimai</w:t>
            </w:r>
          </w:p>
        </w:tc>
        <w:tc>
          <w:tcPr>
            <w:tcW w:w="1559" w:type="dxa"/>
            <w:tcBorders>
              <w:top w:val="single" w:sz="4" w:space="0" w:color="auto"/>
              <w:left w:val="single" w:sz="4" w:space="0" w:color="auto"/>
              <w:bottom w:val="single" w:sz="4" w:space="0" w:color="auto"/>
              <w:right w:val="single" w:sz="4" w:space="0" w:color="auto"/>
            </w:tcBorders>
          </w:tcPr>
          <w:p w14:paraId="51E34C07"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17E87C2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Regos sutrikimas</w:t>
            </w:r>
          </w:p>
        </w:tc>
        <w:tc>
          <w:tcPr>
            <w:tcW w:w="1418" w:type="dxa"/>
            <w:tcBorders>
              <w:top w:val="single" w:sz="4" w:space="0" w:color="auto"/>
              <w:left w:val="single" w:sz="4" w:space="0" w:color="auto"/>
              <w:bottom w:val="single" w:sz="4" w:space="0" w:color="auto"/>
              <w:right w:val="single" w:sz="4" w:space="0" w:color="auto"/>
            </w:tcBorders>
          </w:tcPr>
          <w:p w14:paraId="4CF02602"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33EEF0E5"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595E8D" w14:paraId="7D82E311" w14:textId="77777777" w:rsidTr="0083045C">
        <w:tc>
          <w:tcPr>
            <w:tcW w:w="2093" w:type="dxa"/>
            <w:tcBorders>
              <w:top w:val="single" w:sz="4" w:space="0" w:color="auto"/>
              <w:bottom w:val="single" w:sz="4" w:space="0" w:color="auto"/>
              <w:right w:val="single" w:sz="4" w:space="0" w:color="auto"/>
            </w:tcBorders>
          </w:tcPr>
          <w:p w14:paraId="38B65B1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Širdies sutrikimai</w:t>
            </w:r>
          </w:p>
        </w:tc>
        <w:tc>
          <w:tcPr>
            <w:tcW w:w="1559" w:type="dxa"/>
            <w:tcBorders>
              <w:top w:val="single" w:sz="4" w:space="0" w:color="auto"/>
              <w:left w:val="single" w:sz="4" w:space="0" w:color="auto"/>
              <w:bottom w:val="single" w:sz="4" w:space="0" w:color="auto"/>
              <w:right w:val="single" w:sz="4" w:space="0" w:color="auto"/>
            </w:tcBorders>
          </w:tcPr>
          <w:p w14:paraId="46D0F07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58A716F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Bradikardija, širdies nepakankamumas, sulėtėjęs impulso sklidimas atrioventrikuliniame </w:t>
            </w:r>
            <w:r w:rsidRPr="004C7FBD">
              <w:rPr>
                <w:rFonts w:ascii="Times New Roman" w:eastAsia="Times New Roman" w:hAnsi="Times New Roman" w:cs="Times New Roman"/>
                <w:lang w:val="lt-LT"/>
              </w:rPr>
              <w:lastRenderedPageBreak/>
              <w:t>mazge arba atrioventrikulinė blokada</w:t>
            </w:r>
          </w:p>
        </w:tc>
        <w:tc>
          <w:tcPr>
            <w:tcW w:w="1418" w:type="dxa"/>
            <w:tcBorders>
              <w:top w:val="single" w:sz="4" w:space="0" w:color="auto"/>
              <w:left w:val="single" w:sz="4" w:space="0" w:color="auto"/>
              <w:bottom w:val="single" w:sz="4" w:space="0" w:color="auto"/>
              <w:right w:val="single" w:sz="4" w:space="0" w:color="auto"/>
            </w:tcBorders>
          </w:tcPr>
          <w:p w14:paraId="1D2A0CD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713AF2D6"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472A29E0" w14:textId="77777777" w:rsidTr="0083045C">
        <w:tc>
          <w:tcPr>
            <w:tcW w:w="2093" w:type="dxa"/>
            <w:tcBorders>
              <w:top w:val="single" w:sz="4" w:space="0" w:color="auto"/>
              <w:bottom w:val="single" w:sz="4" w:space="0" w:color="auto"/>
              <w:right w:val="single" w:sz="4" w:space="0" w:color="auto"/>
            </w:tcBorders>
          </w:tcPr>
          <w:p w14:paraId="214DEF99"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Kraujagyslių sutrikimai</w:t>
            </w:r>
          </w:p>
        </w:tc>
        <w:tc>
          <w:tcPr>
            <w:tcW w:w="1559" w:type="dxa"/>
            <w:tcBorders>
              <w:top w:val="single" w:sz="4" w:space="0" w:color="auto"/>
              <w:left w:val="single" w:sz="4" w:space="0" w:color="auto"/>
              <w:bottom w:val="single" w:sz="4" w:space="0" w:color="auto"/>
              <w:right w:val="single" w:sz="4" w:space="0" w:color="auto"/>
            </w:tcBorders>
          </w:tcPr>
          <w:p w14:paraId="45ED942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46587DC5"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Hipotenzija, protarpinis šlubumas (pasitaiko dažniau)</w:t>
            </w:r>
          </w:p>
        </w:tc>
        <w:tc>
          <w:tcPr>
            <w:tcW w:w="1418" w:type="dxa"/>
            <w:tcBorders>
              <w:top w:val="single" w:sz="4" w:space="0" w:color="auto"/>
              <w:left w:val="single" w:sz="4" w:space="0" w:color="auto"/>
              <w:bottom w:val="single" w:sz="4" w:space="0" w:color="auto"/>
              <w:right w:val="single" w:sz="4" w:space="0" w:color="auto"/>
            </w:tcBorders>
          </w:tcPr>
          <w:p w14:paraId="4BDDC8DB"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166F4EAE"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1BF2F09F" w14:textId="77777777" w:rsidTr="0083045C">
        <w:tc>
          <w:tcPr>
            <w:tcW w:w="2093" w:type="dxa"/>
            <w:tcBorders>
              <w:top w:val="single" w:sz="4" w:space="0" w:color="auto"/>
              <w:bottom w:val="single" w:sz="4" w:space="0" w:color="auto"/>
              <w:right w:val="single" w:sz="4" w:space="0" w:color="auto"/>
            </w:tcBorders>
          </w:tcPr>
          <w:p w14:paraId="379546D9"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Kvėpavimo sistemos, krūtinės ląstos ir tarpuplaučio sutrikimai</w:t>
            </w:r>
          </w:p>
        </w:tc>
        <w:tc>
          <w:tcPr>
            <w:tcW w:w="1559" w:type="dxa"/>
            <w:tcBorders>
              <w:top w:val="single" w:sz="4" w:space="0" w:color="auto"/>
              <w:left w:val="single" w:sz="4" w:space="0" w:color="auto"/>
              <w:bottom w:val="single" w:sz="4" w:space="0" w:color="auto"/>
              <w:right w:val="single" w:sz="4" w:space="0" w:color="auto"/>
            </w:tcBorders>
          </w:tcPr>
          <w:p w14:paraId="74CBCFD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Dusulys</w:t>
            </w:r>
          </w:p>
        </w:tc>
        <w:tc>
          <w:tcPr>
            <w:tcW w:w="2126" w:type="dxa"/>
            <w:tcBorders>
              <w:top w:val="single" w:sz="4" w:space="0" w:color="auto"/>
              <w:left w:val="single" w:sz="4" w:space="0" w:color="auto"/>
              <w:bottom w:val="single" w:sz="4" w:space="0" w:color="auto"/>
              <w:right w:val="single" w:sz="4" w:space="0" w:color="auto"/>
            </w:tcBorders>
          </w:tcPr>
          <w:p w14:paraId="49F06EB9"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Bronchų spazmas</w:t>
            </w:r>
          </w:p>
        </w:tc>
        <w:tc>
          <w:tcPr>
            <w:tcW w:w="1418" w:type="dxa"/>
            <w:tcBorders>
              <w:top w:val="single" w:sz="4" w:space="0" w:color="auto"/>
              <w:left w:val="single" w:sz="4" w:space="0" w:color="auto"/>
              <w:bottom w:val="single" w:sz="4" w:space="0" w:color="auto"/>
              <w:right w:val="single" w:sz="4" w:space="0" w:color="auto"/>
            </w:tcBorders>
          </w:tcPr>
          <w:p w14:paraId="27D49B55"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2257C37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200E1BA5" w14:textId="77777777" w:rsidTr="0083045C">
        <w:tc>
          <w:tcPr>
            <w:tcW w:w="2093" w:type="dxa"/>
            <w:tcBorders>
              <w:top w:val="single" w:sz="4" w:space="0" w:color="auto"/>
              <w:bottom w:val="single" w:sz="4" w:space="0" w:color="auto"/>
              <w:right w:val="single" w:sz="4" w:space="0" w:color="auto"/>
            </w:tcBorders>
          </w:tcPr>
          <w:p w14:paraId="5205BA4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Virškinimo trakto sutrikimai</w:t>
            </w:r>
          </w:p>
        </w:tc>
        <w:tc>
          <w:tcPr>
            <w:tcW w:w="1559" w:type="dxa"/>
            <w:tcBorders>
              <w:top w:val="single" w:sz="4" w:space="0" w:color="auto"/>
              <w:left w:val="single" w:sz="4" w:space="0" w:color="auto"/>
              <w:bottom w:val="single" w:sz="4" w:space="0" w:color="auto"/>
              <w:right w:val="single" w:sz="4" w:space="0" w:color="auto"/>
            </w:tcBorders>
          </w:tcPr>
          <w:p w14:paraId="40C94B8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Vidurių užkietėjimas, pykinimas, viduriavimas</w:t>
            </w:r>
          </w:p>
        </w:tc>
        <w:tc>
          <w:tcPr>
            <w:tcW w:w="2126" w:type="dxa"/>
            <w:tcBorders>
              <w:top w:val="single" w:sz="4" w:space="0" w:color="auto"/>
              <w:left w:val="single" w:sz="4" w:space="0" w:color="auto"/>
              <w:bottom w:val="single" w:sz="4" w:space="0" w:color="auto"/>
              <w:right w:val="single" w:sz="4" w:space="0" w:color="auto"/>
            </w:tcBorders>
          </w:tcPr>
          <w:p w14:paraId="05636A4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Dispepsija, vidurių pūtimas, vėmimas</w:t>
            </w:r>
          </w:p>
        </w:tc>
        <w:tc>
          <w:tcPr>
            <w:tcW w:w="1418" w:type="dxa"/>
            <w:tcBorders>
              <w:top w:val="single" w:sz="4" w:space="0" w:color="auto"/>
              <w:left w:val="single" w:sz="4" w:space="0" w:color="auto"/>
              <w:bottom w:val="single" w:sz="4" w:space="0" w:color="auto"/>
              <w:right w:val="single" w:sz="4" w:space="0" w:color="auto"/>
            </w:tcBorders>
          </w:tcPr>
          <w:p w14:paraId="51F1501B"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319AF0A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015A4C2E" w14:textId="77777777" w:rsidTr="0083045C">
        <w:tc>
          <w:tcPr>
            <w:tcW w:w="2093" w:type="dxa"/>
            <w:tcBorders>
              <w:top w:val="single" w:sz="4" w:space="0" w:color="auto"/>
              <w:bottom w:val="single" w:sz="4" w:space="0" w:color="auto"/>
              <w:right w:val="single" w:sz="4" w:space="0" w:color="auto"/>
            </w:tcBorders>
          </w:tcPr>
          <w:p w14:paraId="58474389"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40F6BA42"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5454477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Niežulys, eriteminis bėrimas</w:t>
            </w:r>
          </w:p>
        </w:tc>
        <w:tc>
          <w:tcPr>
            <w:tcW w:w="1418" w:type="dxa"/>
            <w:tcBorders>
              <w:top w:val="single" w:sz="4" w:space="0" w:color="auto"/>
              <w:left w:val="single" w:sz="4" w:space="0" w:color="auto"/>
              <w:bottom w:val="single" w:sz="4" w:space="0" w:color="auto"/>
              <w:right w:val="single" w:sz="4" w:space="0" w:color="auto"/>
            </w:tcBorders>
          </w:tcPr>
          <w:p w14:paraId="4047C4F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Sunkesnė psoriazės eiga</w:t>
            </w:r>
          </w:p>
        </w:tc>
        <w:tc>
          <w:tcPr>
            <w:tcW w:w="1701" w:type="dxa"/>
            <w:tcBorders>
              <w:top w:val="single" w:sz="4" w:space="0" w:color="auto"/>
              <w:left w:val="single" w:sz="4" w:space="0" w:color="auto"/>
              <w:bottom w:val="single" w:sz="4" w:space="0" w:color="auto"/>
            </w:tcBorders>
          </w:tcPr>
          <w:p w14:paraId="1C5B9B1C"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en-GB"/>
              </w:rPr>
              <w:t>Dilgėlinė</w:t>
            </w:r>
          </w:p>
        </w:tc>
      </w:tr>
      <w:tr w:rsidR="00E625FB" w:rsidRPr="004C7FBD" w14:paraId="4382C470" w14:textId="77777777" w:rsidTr="0083045C">
        <w:tc>
          <w:tcPr>
            <w:tcW w:w="2093" w:type="dxa"/>
            <w:tcBorders>
              <w:top w:val="single" w:sz="4" w:space="0" w:color="auto"/>
              <w:bottom w:val="single" w:sz="4" w:space="0" w:color="auto"/>
              <w:right w:val="single" w:sz="4" w:space="0" w:color="auto"/>
            </w:tcBorders>
          </w:tcPr>
          <w:p w14:paraId="00292D5F"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46BE52E1"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0E7E5E0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Impotencija</w:t>
            </w:r>
          </w:p>
        </w:tc>
        <w:tc>
          <w:tcPr>
            <w:tcW w:w="1418" w:type="dxa"/>
            <w:tcBorders>
              <w:top w:val="single" w:sz="4" w:space="0" w:color="auto"/>
              <w:left w:val="single" w:sz="4" w:space="0" w:color="auto"/>
              <w:bottom w:val="single" w:sz="4" w:space="0" w:color="auto"/>
              <w:right w:val="single" w:sz="4" w:space="0" w:color="auto"/>
            </w:tcBorders>
          </w:tcPr>
          <w:p w14:paraId="20E9661E"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34FF5C40"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r w:rsidR="00E625FB" w:rsidRPr="004C7FBD" w14:paraId="1A855CAE" w14:textId="77777777" w:rsidTr="0083045C">
        <w:tc>
          <w:tcPr>
            <w:tcW w:w="2093" w:type="dxa"/>
            <w:tcBorders>
              <w:top w:val="single" w:sz="4" w:space="0" w:color="auto"/>
              <w:bottom w:val="single" w:sz="4" w:space="0" w:color="auto"/>
              <w:right w:val="single" w:sz="4" w:space="0" w:color="auto"/>
            </w:tcBorders>
          </w:tcPr>
          <w:p w14:paraId="0AB6D79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237908E8"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Nuovargis, patinimai</w:t>
            </w:r>
          </w:p>
        </w:tc>
        <w:tc>
          <w:tcPr>
            <w:tcW w:w="2126" w:type="dxa"/>
            <w:tcBorders>
              <w:top w:val="single" w:sz="4" w:space="0" w:color="auto"/>
              <w:left w:val="single" w:sz="4" w:space="0" w:color="auto"/>
              <w:bottom w:val="single" w:sz="4" w:space="0" w:color="auto"/>
              <w:right w:val="single" w:sz="4" w:space="0" w:color="auto"/>
            </w:tcBorders>
          </w:tcPr>
          <w:p w14:paraId="75577256"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36CA471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09158B15"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bl>
    <w:p w14:paraId="09412D9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47EE46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kai kuriuos beta adrenoblokatorius, atsirado nepageidaujamos reakcijos: haliucinacijos, psichozės, konfūzija, galūnių šalimas arba pamėlynavimas, Reino (</w:t>
      </w:r>
      <w:r w:rsidRPr="004C7FBD">
        <w:rPr>
          <w:rFonts w:ascii="Times New Roman" w:eastAsia="Times New Roman" w:hAnsi="Times New Roman" w:cs="Times New Roman"/>
          <w:i/>
          <w:lang w:val="lt-LT"/>
        </w:rPr>
        <w:t>Raynaud</w:t>
      </w:r>
      <w:r w:rsidRPr="004C7FBD">
        <w:rPr>
          <w:rFonts w:ascii="Times New Roman" w:eastAsia="Times New Roman" w:hAnsi="Times New Roman" w:cs="Times New Roman"/>
          <w:lang w:val="lt-LT"/>
        </w:rPr>
        <w:t xml:space="preserve">) sindromas, akių sausumas, praktololio tipo vaistų sukeliamas akių gleivinių ir odos toksinis pažeidimas. </w:t>
      </w:r>
    </w:p>
    <w:p w14:paraId="330D287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AD76B41"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Hidrochlorotiazidas</w:t>
      </w:r>
    </w:p>
    <w:p w14:paraId="553A4B4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8675C4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Toliau nurodyti nepageidaujamo poveikio požymiai, vartojant tik vieną hidrochlorotiazidą.</w:t>
      </w:r>
    </w:p>
    <w:p w14:paraId="704CF0ED"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p>
    <w:p w14:paraId="52C3B712"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 xml:space="preserve">Gerybiniai, piktybiniai ir nepatikslinti navikai (tarp jų cistos ir polipai) </w:t>
      </w:r>
    </w:p>
    <w:p w14:paraId="39531ADC"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Dažnis nežinomas: nemelanominis odos vėžys (bazalinių ląstelių karcinoma ir plokščiųjų ląstelių karcinoma).</w:t>
      </w:r>
    </w:p>
    <w:p w14:paraId="443A4449"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0A5A809C"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i/>
          <w:iCs/>
          <w:lang w:val="lt-LT"/>
        </w:rPr>
        <w:t xml:space="preserve">Atrinktų nepageidaujamų reakcijų apibūdinimas </w:t>
      </w:r>
    </w:p>
    <w:p w14:paraId="4D049D3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Nemelanominis odos vėžys. Remiantis turimais epidemiologinių tyrimų duomenimis buvo nustatyta nuo kumuliacinės dozės priklausoma HCTZ sąsaja su NOV (taip pat žr. 4.4 ir 5.1 skyrius).</w:t>
      </w:r>
    </w:p>
    <w:p w14:paraId="451017D4" w14:textId="77777777" w:rsidR="00E625FB" w:rsidRDefault="00E625FB" w:rsidP="00E625FB">
      <w:pPr>
        <w:tabs>
          <w:tab w:val="left" w:pos="360"/>
        </w:tabs>
        <w:spacing w:after="0" w:line="240" w:lineRule="auto"/>
        <w:rPr>
          <w:rFonts w:ascii="Times New Roman" w:eastAsia="Times New Roman" w:hAnsi="Times New Roman" w:cs="Times New Roman"/>
          <w:i/>
          <w:lang w:val="lt-LT"/>
        </w:rPr>
      </w:pPr>
    </w:p>
    <w:p w14:paraId="156EF97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Kraujo ir limfinės sistemos sutrikimai</w:t>
      </w:r>
      <w:r w:rsidRPr="004C7FBD">
        <w:rPr>
          <w:rFonts w:ascii="Times New Roman" w:eastAsia="Times New Roman" w:hAnsi="Times New Roman" w:cs="Times New Roman"/>
          <w:lang w:val="lt-LT"/>
        </w:rPr>
        <w:t xml:space="preserve">: leukopenija, neutropenija, agranulocitozė, trombocitopenija, aplazinė arba hemolizinė anemija, čiulpų nepakankamumas. </w:t>
      </w:r>
    </w:p>
    <w:p w14:paraId="5D65B8E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272575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Imuninės sistemos sutrikimai</w:t>
      </w:r>
      <w:r w:rsidRPr="004C7FBD">
        <w:rPr>
          <w:rFonts w:ascii="Times New Roman" w:eastAsia="Times New Roman" w:hAnsi="Times New Roman" w:cs="Times New Roman"/>
          <w:lang w:val="lt-LT"/>
        </w:rPr>
        <w:t>: anafilaksinė reakcija.</w:t>
      </w:r>
    </w:p>
    <w:p w14:paraId="178EA3D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63132A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Metabolizmo ir mitybos sutrikimai:</w:t>
      </w:r>
      <w:r w:rsidRPr="004C7FBD">
        <w:rPr>
          <w:rFonts w:ascii="Times New Roman" w:eastAsia="Times New Roman" w:hAnsi="Times New Roman" w:cs="Times New Roman"/>
          <w:lang w:val="lt-LT"/>
        </w:rPr>
        <w:t xml:space="preserve"> anoreksija, dehidracija, podagra, cukrinis diabetas, metabolinė alkalozė, padidėjęs šlapimo rūgšties kiekis kraujyje, elektrolitų balanso sutrikimas </w:t>
      </w:r>
    </w:p>
    <w:p w14:paraId="3870CA3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(hiponatremija, hipokalemija, hipomagnemija, hipochloremija, hiperkalcemija), hiperglikemija, hiperamilazemija.</w:t>
      </w:r>
    </w:p>
    <w:p w14:paraId="5A0A9DD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456E0C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Psichikos sutrikimai:</w:t>
      </w:r>
      <w:r w:rsidRPr="004C7FBD">
        <w:rPr>
          <w:rFonts w:ascii="Times New Roman" w:eastAsia="Times New Roman" w:hAnsi="Times New Roman" w:cs="Times New Roman"/>
          <w:lang w:val="lt-LT"/>
        </w:rPr>
        <w:t xml:space="preserve"> apatija, konfūzija, depresija, nervingumas, neramumas, nemiga.</w:t>
      </w:r>
    </w:p>
    <w:p w14:paraId="73F9322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A065E3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Nervų sistemos sutrikimai:</w:t>
      </w:r>
      <w:r w:rsidRPr="004C7FBD">
        <w:rPr>
          <w:rFonts w:ascii="Times New Roman" w:eastAsia="Times New Roman" w:hAnsi="Times New Roman" w:cs="Times New Roman"/>
          <w:lang w:val="lt-LT"/>
        </w:rPr>
        <w:t xml:space="preserve"> traukuliai, sąmonės pritemimas, koma, galvos skausmas, svaigimas, parestezija, parezė.</w:t>
      </w:r>
    </w:p>
    <w:p w14:paraId="2159E9B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1678A4A"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Akių sutrikimai</w:t>
      </w:r>
      <w:r w:rsidRPr="004C7FBD">
        <w:rPr>
          <w:rFonts w:ascii="Times New Roman" w:eastAsia="Times New Roman" w:hAnsi="Times New Roman" w:cs="Times New Roman"/>
          <w:lang w:val="lt-LT"/>
        </w:rPr>
        <w:t xml:space="preserve"> </w:t>
      </w:r>
    </w:p>
    <w:p w14:paraId="4C3101F0"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eastAsia="lt-LT"/>
        </w:rPr>
        <w:t>Dažnis nežinomas: s</w:t>
      </w:r>
      <w:r w:rsidRPr="00A66A16">
        <w:rPr>
          <w:rFonts w:ascii="Times New Roman" w:eastAsia="Times New Roman" w:hAnsi="Times New Roman" w:cs="Times New Roman"/>
          <w:szCs w:val="24"/>
          <w:lang w:val="lt-LT" w:eastAsia="lt-LT"/>
        </w:rPr>
        <w:t xml:space="preserve">kysčio susikaupimas tarp akies gyslainės ir skleros, </w:t>
      </w:r>
      <w:r>
        <w:rPr>
          <w:rFonts w:ascii="Times New Roman" w:eastAsia="Times New Roman" w:hAnsi="Times New Roman" w:cs="Times New Roman"/>
          <w:szCs w:val="24"/>
          <w:lang w:val="lt-LT" w:eastAsia="lt-LT"/>
        </w:rPr>
        <w:t>ūminė</w:t>
      </w:r>
      <w:r w:rsidRPr="00A66A16">
        <w:rPr>
          <w:rFonts w:ascii="Times New Roman" w:eastAsia="Times New Roman" w:hAnsi="Times New Roman" w:cs="Times New Roman"/>
          <w:szCs w:val="24"/>
          <w:lang w:val="lt-LT" w:eastAsia="lt-LT"/>
        </w:rPr>
        <w:t xml:space="preserve"> miopija </w:t>
      </w:r>
      <w:r>
        <w:rPr>
          <w:rFonts w:ascii="Times New Roman" w:eastAsia="Times New Roman" w:hAnsi="Times New Roman" w:cs="Times New Roman"/>
          <w:szCs w:val="24"/>
          <w:lang w:val="lt-LT" w:eastAsia="lt-LT"/>
        </w:rPr>
        <w:t xml:space="preserve">ir </w:t>
      </w:r>
      <w:r w:rsidRPr="00A66A16">
        <w:rPr>
          <w:rFonts w:ascii="Times New Roman" w:eastAsia="Times New Roman" w:hAnsi="Times New Roman" w:cs="Times New Roman"/>
          <w:szCs w:val="24"/>
          <w:lang w:val="lt-LT" w:eastAsia="lt-LT"/>
        </w:rPr>
        <w:t>a</w:t>
      </w:r>
      <w:r>
        <w:rPr>
          <w:rFonts w:ascii="Times New Roman" w:eastAsia="Times New Roman" w:hAnsi="Times New Roman" w:cs="Times New Roman"/>
          <w:szCs w:val="24"/>
          <w:lang w:val="lt-LT" w:eastAsia="lt-LT"/>
        </w:rPr>
        <w:t>ntrinė uždarojo kampo glaukoma.</w:t>
      </w:r>
      <w:r w:rsidRPr="004C7FBD">
        <w:rPr>
          <w:rFonts w:ascii="Times New Roman" w:eastAsia="Times New Roman" w:hAnsi="Times New Roman" w:cs="Times New Roman"/>
          <w:lang w:val="lt-LT"/>
        </w:rPr>
        <w:t xml:space="preserve"> </w:t>
      </w:r>
    </w:p>
    <w:p w14:paraId="0F2431D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Pr="004C7FBD">
        <w:rPr>
          <w:rFonts w:ascii="Times New Roman" w:eastAsia="Times New Roman" w:hAnsi="Times New Roman" w:cs="Times New Roman"/>
          <w:lang w:val="lt-LT"/>
        </w:rPr>
        <w:t>santopsija, daiktų matymas lyg per miglą, miopija (pasunkėjusi), sumažėjęs ašarų išsiskyrimas.</w:t>
      </w:r>
    </w:p>
    <w:p w14:paraId="7A992D9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177F3C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Ausų ir labirintų sutrikimai</w:t>
      </w:r>
      <w:r w:rsidRPr="004C7FBD">
        <w:rPr>
          <w:rFonts w:ascii="Times New Roman" w:eastAsia="Times New Roman" w:hAnsi="Times New Roman" w:cs="Times New Roman"/>
          <w:lang w:val="lt-LT"/>
        </w:rPr>
        <w:t>: galvos sukimasis (vertigo).</w:t>
      </w:r>
    </w:p>
    <w:p w14:paraId="51D0941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9CD9B3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Širdies sutrikimai:</w:t>
      </w:r>
      <w:r w:rsidRPr="004C7FBD">
        <w:rPr>
          <w:rFonts w:ascii="Times New Roman" w:eastAsia="Times New Roman" w:hAnsi="Times New Roman" w:cs="Times New Roman"/>
          <w:lang w:val="lt-LT"/>
        </w:rPr>
        <w:t xml:space="preserve"> aritmija, juntamas stiprus širdies plakimas.</w:t>
      </w:r>
    </w:p>
    <w:p w14:paraId="6FC909B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E867EC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Kraujagyslių sutrikimai:</w:t>
      </w:r>
      <w:r w:rsidRPr="004C7FBD">
        <w:rPr>
          <w:rFonts w:ascii="Times New Roman" w:eastAsia="Times New Roman" w:hAnsi="Times New Roman" w:cs="Times New Roman"/>
          <w:lang w:val="lt-LT"/>
        </w:rPr>
        <w:t xml:space="preserve"> ortostatinė hipotenzija, trombozė, embolija, šokas.</w:t>
      </w:r>
    </w:p>
    <w:p w14:paraId="58BB900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E92668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Kvėpavimo sistemos, krūtinės ląstos ir tarpuplaučio sutrikimai:</w:t>
      </w:r>
      <w:r w:rsidRPr="004C7FBD">
        <w:rPr>
          <w:rFonts w:ascii="Times New Roman" w:eastAsia="Times New Roman" w:hAnsi="Times New Roman" w:cs="Times New Roman"/>
          <w:lang w:val="lt-LT"/>
        </w:rPr>
        <w:t xml:space="preserve"> kvėpavimo sutrikimas, pneumonija, intersticiniai plaučių pakitimai, plaučių edema.</w:t>
      </w:r>
    </w:p>
    <w:p w14:paraId="4173B257" w14:textId="77777777" w:rsidR="002D38C5" w:rsidRDefault="002D38C5" w:rsidP="00E625FB">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Dažnis labai retas: </w:t>
      </w:r>
      <w:r w:rsidRPr="00D35C4A">
        <w:rPr>
          <w:rFonts w:ascii="Times New Roman" w:hAnsi="Times New Roman" w:cs="Times New Roman"/>
          <w:lang w:val="lt-LT"/>
        </w:rPr>
        <w:t>ūminis kvėpavimo sutrikimo sindromas (ŪKSS) (žr. 4.4 skyrių).</w:t>
      </w:r>
    </w:p>
    <w:p w14:paraId="0E8D8C06" w14:textId="77777777" w:rsidR="002D38C5" w:rsidRPr="004C7FBD" w:rsidRDefault="002D38C5" w:rsidP="00E625FB">
      <w:pPr>
        <w:tabs>
          <w:tab w:val="left" w:pos="360"/>
        </w:tabs>
        <w:spacing w:after="0" w:line="240" w:lineRule="auto"/>
        <w:rPr>
          <w:rFonts w:ascii="Times New Roman" w:eastAsia="Times New Roman" w:hAnsi="Times New Roman" w:cs="Times New Roman"/>
          <w:lang w:val="lt-LT"/>
        </w:rPr>
      </w:pPr>
    </w:p>
    <w:p w14:paraId="6741828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Virškinimo trakto sutrikimai:</w:t>
      </w:r>
      <w:r w:rsidRPr="004C7FBD">
        <w:rPr>
          <w:rFonts w:ascii="Times New Roman" w:eastAsia="Times New Roman" w:hAnsi="Times New Roman" w:cs="Times New Roman"/>
          <w:lang w:val="lt-LT"/>
        </w:rPr>
        <w:t xml:space="preserve"> burnos sausumas, pykinimas, vėmimas, skrandžio veiklos sutrikimas, viduriavimas, vidurių užkietėjimas, pilvo skausmas, paralitinis žarnų nepraeinamumas, pilvo pūtimas, seilių liaukų uždegimas, kasos uždegimas. </w:t>
      </w:r>
    </w:p>
    <w:p w14:paraId="5739E97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3BE1AF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Kepenų, tulžies pūslės ir latakų sutrikimai:</w:t>
      </w:r>
      <w:r w:rsidRPr="004C7FBD">
        <w:rPr>
          <w:rFonts w:ascii="Times New Roman" w:eastAsia="Times New Roman" w:hAnsi="Times New Roman" w:cs="Times New Roman"/>
          <w:lang w:val="lt-LT"/>
        </w:rPr>
        <w:t xml:space="preserve"> cholestazinė gelta, tulžies pūslės uždegimas.</w:t>
      </w:r>
    </w:p>
    <w:p w14:paraId="0F1DAAC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02CA85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Odos ir poodinio audinio sutrikimai:</w:t>
      </w:r>
      <w:r w:rsidRPr="004C7FBD">
        <w:rPr>
          <w:rFonts w:ascii="Times New Roman" w:eastAsia="Times New Roman" w:hAnsi="Times New Roman" w:cs="Times New Roman"/>
          <w:lang w:val="lt-LT"/>
        </w:rPr>
        <w:t xml:space="preserve"> niežulys, purpura, dilgėlinė, padidėjęs jautrumas šviesai, raudonosios vilkligės odos forma, nekrozuojantis vaskulitas, toksinė epidermio nekrolizė.</w:t>
      </w:r>
    </w:p>
    <w:p w14:paraId="4C42357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309203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Skeleto, raumenų ir jungiamojo audinio sutrikimai</w:t>
      </w:r>
      <w:r w:rsidRPr="004C7FBD">
        <w:rPr>
          <w:rFonts w:ascii="Times New Roman" w:eastAsia="Times New Roman" w:hAnsi="Times New Roman" w:cs="Times New Roman"/>
          <w:lang w:val="lt-LT"/>
        </w:rPr>
        <w:t>: mėšlungis, raumenų skausmas.</w:t>
      </w:r>
    </w:p>
    <w:p w14:paraId="3025E95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975CF7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Inkstų ir šlapimo takų sutrikimai:</w:t>
      </w:r>
      <w:r w:rsidRPr="004C7FBD">
        <w:rPr>
          <w:rFonts w:ascii="Times New Roman" w:eastAsia="Times New Roman" w:hAnsi="Times New Roman" w:cs="Times New Roman"/>
          <w:lang w:val="lt-LT"/>
        </w:rPr>
        <w:t xml:space="preserve"> inkstų funkcijos sutrikimas, ūminis inkstų nepakankamumas, intersticinis nefritas, gliukozurija.</w:t>
      </w:r>
    </w:p>
    <w:p w14:paraId="77A5547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CA6F8B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Lytinės sistemos ir krūties sutrikimai</w:t>
      </w:r>
      <w:r w:rsidRPr="004C7FBD">
        <w:rPr>
          <w:rFonts w:ascii="Times New Roman" w:eastAsia="Times New Roman" w:hAnsi="Times New Roman" w:cs="Times New Roman"/>
          <w:lang w:val="lt-LT"/>
        </w:rPr>
        <w:t xml:space="preserve">: erekcijos sutrikimas. </w:t>
      </w:r>
    </w:p>
    <w:p w14:paraId="4CA0F62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60EFB7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Bendrieji sutrikimai ir vartojimo vietos pažeidimai</w:t>
      </w:r>
      <w:r w:rsidRPr="004C7FBD">
        <w:rPr>
          <w:rFonts w:ascii="Times New Roman" w:eastAsia="Times New Roman" w:hAnsi="Times New Roman" w:cs="Times New Roman"/>
          <w:lang w:val="lt-LT"/>
        </w:rPr>
        <w:t>: astenija, karščiavimas, nuovargis, troškulys.</w:t>
      </w:r>
    </w:p>
    <w:p w14:paraId="17D12BB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E87DE0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Tyrimai:</w:t>
      </w:r>
      <w:r w:rsidRPr="004C7FBD">
        <w:rPr>
          <w:rFonts w:ascii="Times New Roman" w:eastAsia="Times New Roman" w:hAnsi="Times New Roman" w:cs="Times New Roman"/>
          <w:lang w:val="lt-LT"/>
        </w:rPr>
        <w:t xml:space="preserve"> EKG pakitimai, padidėjęs cholesterolio, trigliceridų kiekis kraujyje.</w:t>
      </w:r>
    </w:p>
    <w:p w14:paraId="4D5CBF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A20FF5D" w14:textId="77777777" w:rsidR="00E625FB" w:rsidRPr="004C7FBD" w:rsidRDefault="00E625FB" w:rsidP="00E625FB">
      <w:pPr>
        <w:tabs>
          <w:tab w:val="left" w:pos="360"/>
        </w:tabs>
        <w:spacing w:after="0" w:line="240" w:lineRule="auto"/>
        <w:rPr>
          <w:rFonts w:ascii="Times New Roman" w:eastAsia="Times New Roman" w:hAnsi="Times New Roman" w:cs="Times New Roman"/>
          <w:noProof/>
          <w:u w:val="single"/>
          <w:lang w:val="lt-LT"/>
        </w:rPr>
      </w:pPr>
      <w:r w:rsidRPr="004C7FBD">
        <w:rPr>
          <w:rFonts w:ascii="Times New Roman" w:eastAsia="Times New Roman" w:hAnsi="Times New Roman" w:cs="Times New Roman"/>
          <w:noProof/>
          <w:u w:val="single"/>
          <w:lang w:val="lt-LT"/>
        </w:rPr>
        <w:t>Pranešimas apie įtariamas nepageidaujamas reakcijas</w:t>
      </w:r>
    </w:p>
    <w:p w14:paraId="5EF1972F" w14:textId="703C8E95"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noProof/>
          <w:lang w:val="lt-LT"/>
        </w:rPr>
        <w:t>Svarbu pranešti apie įtariamas nepageidaujamas reakcijas, pastebėtas po vaistinio preparato pateikimo į rinką, nes tai leidžia nuolat stebėti vaistinio preparato naudos ir rizikos santykį</w:t>
      </w:r>
      <w:r w:rsidR="004A00C9" w:rsidRPr="004A00C9">
        <w:rPr>
          <w:rFonts w:ascii="Times New Roman" w:eastAsia="Times New Roman" w:hAnsi="Times New Roman" w:cs="Times New Roman"/>
          <w:noProof/>
          <w:lang w:val="lt-LT"/>
        </w:rPr>
        <w:t>.</w:t>
      </w:r>
      <w:r w:rsidRPr="004A00C9">
        <w:rPr>
          <w:rFonts w:ascii="Times New Roman" w:eastAsia="Times New Roman" w:hAnsi="Times New Roman" w:cs="Times New Roman"/>
          <w:noProof/>
          <w:snapToGrid w:val="0"/>
          <w:szCs w:val="24"/>
          <w:lang w:val="lt-LT"/>
        </w:rPr>
        <w:t xml:space="preserve"> </w:t>
      </w:r>
      <w:r w:rsidR="004A00C9" w:rsidRPr="004A00C9">
        <w:rPr>
          <w:rFonts w:ascii="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A00C9" w:rsidRPr="004A00C9">
        <w:rPr>
          <w:rFonts w:ascii="Times New Roman" w:hAnsi="Times New Roman" w:cs="Times New Roman"/>
          <w:u w:val="single"/>
          <w:lang w:val="lt-LT"/>
        </w:rPr>
        <w:t>https://vvkt.lrv.lt/lt/</w:t>
      </w:r>
      <w:r w:rsidR="004A00C9" w:rsidRPr="004A00C9">
        <w:rPr>
          <w:rFonts w:ascii="Times New Roman" w:hAnsi="Times New Roman" w:cs="Times New Roman"/>
          <w:lang w:val="lt-LT"/>
        </w:rPr>
        <w:t xml:space="preserve"> nurodytais būdais.</w:t>
      </w:r>
    </w:p>
    <w:p w14:paraId="7541BE6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632C843"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b/>
          <w:kern w:val="28"/>
          <w:lang w:val="lt-LT"/>
        </w:rPr>
        <w:t>4.9</w:t>
      </w:r>
      <w:r w:rsidRPr="004C7FBD">
        <w:rPr>
          <w:rFonts w:ascii="Times New Roman" w:eastAsia="Times New Roman" w:hAnsi="Times New Roman" w:cs="Times New Roman"/>
          <w:b/>
          <w:kern w:val="28"/>
          <w:lang w:val="lt-LT"/>
        </w:rPr>
        <w:tab/>
        <w:t>Perdozavimas</w:t>
      </w:r>
    </w:p>
    <w:p w14:paraId="1539B7CA"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p>
    <w:p w14:paraId="624C8730"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Simptomai</w:t>
      </w:r>
    </w:p>
    <w:p w14:paraId="2CEB2F3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Duomenų apie nebivololio perdozavimą nėra. Perdozavus beta adrenoblokatorių, esti bradikardija, hipotenzija, bronchų spazmas ir ūminis širdies nepakankamumas. </w:t>
      </w:r>
    </w:p>
    <w:p w14:paraId="557FA86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perdozavimas pasireiškia elektrolitų kiekio sumažėjimu (hipokalemija, hipochloremija, hiponatremija) ir dehidratacija dėl pernelyg gausaus šlapinimosi. Dažniausi perdozavimo požymiai yra pykinimas ir mieguistumas. Hipokalemija gali sukelti mėšlungį ir (arba) išryškinti širdies ritmo sutrikimus, susijusius su kartu vartojamų širdies glikozidų arba kai kurių antiaritminių preparatų poveikiu.</w:t>
      </w:r>
    </w:p>
    <w:p w14:paraId="1D6C333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AF57682"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lastRenderedPageBreak/>
        <w:t>Gydymas</w:t>
      </w:r>
    </w:p>
    <w:p w14:paraId="15D0358B" w14:textId="77777777" w:rsidR="00E625FB" w:rsidRPr="004C7FBD" w:rsidRDefault="00E625FB" w:rsidP="00E625FB">
      <w:pPr>
        <w:tabs>
          <w:tab w:val="left" w:pos="360"/>
        </w:tabs>
        <w:spacing w:after="0" w:line="240" w:lineRule="auto"/>
        <w:rPr>
          <w:rFonts w:ascii="Times New Roman" w:eastAsia="Times New Roman" w:hAnsi="Times New Roman" w:cs="Times New Roman"/>
          <w:b/>
          <w:i/>
          <w:lang w:val="lt-LT"/>
        </w:rPr>
      </w:pPr>
      <w:r w:rsidRPr="004C7FBD">
        <w:rPr>
          <w:rFonts w:ascii="Times New Roman" w:eastAsia="Times New Roman" w:hAnsi="Times New Roman" w:cs="Times New Roman"/>
          <w:lang w:val="lt-LT"/>
        </w:rPr>
        <w:t>Apsinuodijus arba pasireiškus padidėjusiam jautrumui, pacientus reikia atidžiai stebėti ir gydyti intensyviosios kardiologijos skyriuje. Būtina kontroliuoti gliukozės koncentraciją kraujyje. Dažnai reikia tirti elektrolitų ir kreatinino kiekį kraujo serume. Virškinimo trakte likusio vaisto absorbciją galima sustabdyti plaunant skrandį, duodant gerti aktyvintos anglies ir vidurius paleidžiančių vaistų. Gali prireikti dirbtinai ventiliuoti. Bradikardija ir padidėjęs klajoklio nervo tonusas gydomi atropinu arba metilatropinu. Hipotenzija ir šokas gydomi perpilant plazmą ar jos pakaitalus, ir, prireikus, vartojama katecholaminų. Beta adrenoblokatorių poveikį galima mažinti lėtai švirkščiant į veną izoprenalino hidrochlorido. Iš pradžių izoprenalino lašinama apie 5 μg/min. greičiu arba dobutamino 2,5 μg/min. greičiu, kol gaunamas reikiamas poveikis. Jei toks gydymas neveiksmingas, į veną švirkščiama izoprenalino su dobutaminu. Jei ir šis derinys nepadeda, į veną švirkščiama 50-100 μg/kg kūno svorio gliukagono. Jei reikia, gliukagono galima švirkšti kartotinai praėjus 1 val. Vėliau, prireikus, galima į veną lašinti gliukagono 70 μg/kg kūno svorio per val. Sunkiais atvejais, jei gydymas neveiksmingas, bradikardija gydoma implantavus širdies stimuliatorių.</w:t>
      </w:r>
    </w:p>
    <w:p w14:paraId="6FA2C09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1C2D89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AFCD9A0"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5.</w:t>
      </w:r>
      <w:r w:rsidRPr="004C7FBD">
        <w:rPr>
          <w:rFonts w:ascii="Times New Roman" w:eastAsia="Times New Roman" w:hAnsi="Times New Roman" w:cs="Times New Roman"/>
          <w:b/>
          <w:lang w:val="lt-LT"/>
        </w:rPr>
        <w:tab/>
        <w:t>FARMAKOLOGINĖS SAVYBĖS</w:t>
      </w:r>
    </w:p>
    <w:p w14:paraId="113599C2"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505857A8"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5.1</w:t>
      </w:r>
      <w:r w:rsidRPr="004C7FBD">
        <w:rPr>
          <w:rFonts w:ascii="Times New Roman" w:eastAsia="Times New Roman" w:hAnsi="Times New Roman" w:cs="Times New Roman"/>
          <w:b/>
          <w:kern w:val="28"/>
          <w:lang w:val="lt-LT"/>
        </w:rPr>
        <w:tab/>
        <w:t>Farmakodinaminės savybės</w:t>
      </w:r>
    </w:p>
    <w:p w14:paraId="68279A0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24BE7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Farmakoterapinė grupė – selektyvūs beta adrenoblokatoriai ir tiazidai. </w:t>
      </w:r>
    </w:p>
    <w:p w14:paraId="44F3D97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ATC kodas: C07BB12</w:t>
      </w:r>
    </w:p>
    <w:p w14:paraId="59E9B7A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637D90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yra nebivololio, selektyvaus beta adrenoblokatoriaus ir hidrochlorotiazido, tiazidų grupės diuretiko derinys. Šių sudedamųjų dalių derinys pasižymi bendru antihipertenziniu poveikiu, mažinančiu kraujospūdį labiau negu kuris nors vienas komponentas.</w:t>
      </w:r>
    </w:p>
    <w:p w14:paraId="578D234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C8F36E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u w:val="single"/>
          <w:lang w:val="lt-LT"/>
        </w:rPr>
        <w:t>Nebivololis</w:t>
      </w:r>
      <w:r w:rsidRPr="004C7FBD">
        <w:rPr>
          <w:rFonts w:ascii="Times New Roman" w:eastAsia="Times New Roman" w:hAnsi="Times New Roman" w:cs="Times New Roman"/>
          <w:lang w:val="lt-LT"/>
        </w:rPr>
        <w:t xml:space="preserve"> yra dviejų enantiomerų - SRRR-nebivololio (arba d-nebivololio) ir RSSS-nebivololio (arba l-nebivololio) – racematas. Jis turi dvejopą farmakologinį veikimą ir veikia kaip:</w:t>
      </w:r>
    </w:p>
    <w:p w14:paraId="7D3938A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konkurencinis selektyvusis beta adrenoblokatorius; šis poveikis priskiriamas SRRR-nebivololiui (d-</w:t>
      </w:r>
    </w:p>
    <w:p w14:paraId="173EE2C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nebivololiui);</w:t>
      </w:r>
    </w:p>
    <w:p w14:paraId="628F38E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silpnai kraujagysles plečiantis vaistas dėl sąveikos su L-arginino ir azoto oksido apykaita.</w:t>
      </w:r>
    </w:p>
    <w:p w14:paraId="2B8791E6"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0AF4E81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Vienkartinė ar kartotinė nebivololio dozė retina širdies susitraukimus ir mažina arterinį kraujospūdį tiek ramybės būsenoje, tiek fizinio krūvio metu asmenims, kurių kraujospūdis normalus arba padidėjęs. Antihipertenzinis poveikis išlieka ilgai gydant.</w:t>
      </w:r>
    </w:p>
    <w:p w14:paraId="7077A0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p>
    <w:p w14:paraId="386497C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Gydomosios nebivololio dozės alfa adrenoreceptorių neblokuoja.</w:t>
      </w:r>
    </w:p>
    <w:p w14:paraId="061EBF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49ACE1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Gydant arterine hipertenzija sergančius pacientus nebivololiu tiek gydymo pradžioje, tiek ir vartojant ilgai sumažėja sisteminis kraujagyslių pasipriešinimas. Nors širdies ritmas suretėja, dėl padidėjusio sistolinio tūrio minutinis širdies tūris ramybės ir fizinio krūvio metu gali sumažėti nedaug. Šių hemodinamikos skirtumų klinikinė reikšmė, palyginti su kitais beta-1 receptorių antagonistais, nustatyta nevisiškai.</w:t>
      </w:r>
    </w:p>
    <w:p w14:paraId="21E02C4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Sergantiesiems hipertenzine liga, nebivololis padidina su azoto oksidu (NO) susijusią kraujagyslių reakciją į acetilcholiną (Ach), kuri sumažėja, kai sutrinka endotelio funkcija.</w:t>
      </w:r>
    </w:p>
    <w:p w14:paraId="300F9249" w14:textId="77777777" w:rsidR="00E625FB" w:rsidRPr="004C7FBD" w:rsidRDefault="00E625FB" w:rsidP="00E625FB">
      <w:pPr>
        <w:spacing w:after="0" w:line="240" w:lineRule="auto"/>
        <w:rPr>
          <w:rFonts w:ascii="Times New Roman" w:eastAsia="Times New Roman" w:hAnsi="Times New Roman" w:cs="Times New Roman"/>
          <w:lang w:val="lt-LT"/>
        </w:rPr>
      </w:pPr>
    </w:p>
    <w:p w14:paraId="606BC2F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Atliekant tyrimus </w:t>
      </w:r>
      <w:r w:rsidRPr="004C7FBD">
        <w:rPr>
          <w:rFonts w:ascii="Times New Roman" w:eastAsia="Times New Roman" w:hAnsi="Times New Roman" w:cs="Times New Roman"/>
          <w:i/>
          <w:lang w:val="lt-LT"/>
        </w:rPr>
        <w:t>in vitro</w:t>
      </w:r>
      <w:r w:rsidRPr="004C7FBD">
        <w:rPr>
          <w:rFonts w:ascii="Times New Roman" w:eastAsia="Times New Roman" w:hAnsi="Times New Roman" w:cs="Times New Roman"/>
          <w:lang w:val="lt-LT"/>
        </w:rPr>
        <w:t xml:space="preserve"> ir su eksperimentiniais gyvūnais </w:t>
      </w:r>
      <w:r w:rsidRPr="004C7FBD">
        <w:rPr>
          <w:rFonts w:ascii="Times New Roman" w:eastAsia="Times New Roman" w:hAnsi="Times New Roman" w:cs="Times New Roman"/>
          <w:i/>
          <w:lang w:val="lt-LT"/>
        </w:rPr>
        <w:t xml:space="preserve">in vivo </w:t>
      </w:r>
      <w:r w:rsidRPr="004C7FBD">
        <w:rPr>
          <w:rFonts w:ascii="Times New Roman" w:eastAsia="Times New Roman" w:hAnsi="Times New Roman" w:cs="Times New Roman"/>
          <w:lang w:val="lt-LT"/>
        </w:rPr>
        <w:t xml:space="preserve">nustatyta, kad nebivololis vidiniu simpatomimetiniu aktyvumu nepasižymi. Eksperimentuojant </w:t>
      </w:r>
      <w:r w:rsidRPr="004C7FBD">
        <w:rPr>
          <w:rFonts w:ascii="Times New Roman" w:eastAsia="Times New Roman" w:hAnsi="Times New Roman" w:cs="Times New Roman"/>
          <w:i/>
          <w:lang w:val="lt-LT"/>
        </w:rPr>
        <w:t>in vitro</w:t>
      </w:r>
      <w:r w:rsidRPr="004C7FBD">
        <w:rPr>
          <w:rFonts w:ascii="Times New Roman" w:eastAsia="Times New Roman" w:hAnsi="Times New Roman" w:cs="Times New Roman"/>
          <w:lang w:val="lt-LT"/>
        </w:rPr>
        <w:t xml:space="preserve"> ir </w:t>
      </w:r>
      <w:r w:rsidRPr="004C7FBD">
        <w:rPr>
          <w:rFonts w:ascii="Times New Roman" w:eastAsia="Times New Roman" w:hAnsi="Times New Roman" w:cs="Times New Roman"/>
          <w:i/>
          <w:lang w:val="lt-LT"/>
        </w:rPr>
        <w:t xml:space="preserve">in vivo </w:t>
      </w:r>
      <w:r w:rsidRPr="004C7FBD">
        <w:rPr>
          <w:rFonts w:ascii="Times New Roman" w:eastAsia="Times New Roman" w:hAnsi="Times New Roman" w:cs="Times New Roman"/>
          <w:lang w:val="lt-LT"/>
        </w:rPr>
        <w:t>su gyvūnais, nustatyta, kad nebivololio farmakologinės dozės membranų nestabilizuoja.</w:t>
      </w:r>
    </w:p>
    <w:p w14:paraId="2123BD1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Tiriant sveikus savanorius, nebivololis nesukėlė žymesnio poveikio maksimaliam fiziniam pajėgumui arba ištvermei.</w:t>
      </w:r>
    </w:p>
    <w:p w14:paraId="731A3E7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0DB925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u w:val="single"/>
          <w:lang w:val="lt-LT"/>
        </w:rPr>
        <w:lastRenderedPageBreak/>
        <w:t>Hidrochlorotiazidas</w:t>
      </w:r>
      <w:r w:rsidRPr="004C7FBD">
        <w:rPr>
          <w:rFonts w:ascii="Times New Roman" w:eastAsia="Times New Roman" w:hAnsi="Times New Roman" w:cs="Times New Roman"/>
          <w:lang w:val="lt-LT"/>
        </w:rPr>
        <w:t xml:space="preserve"> yra tiazidinis diuretikas. Tiazidiniai diuretikai veikia elektrolitų reabsorbciją inkstų kanalėliuose apytikriai vienodai, tiesiogiai didindami natrio ir chlorido jonų ekskreciją.</w:t>
      </w:r>
    </w:p>
    <w:p w14:paraId="128A843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Dėl hidrochlorotiazido diurezinio poveikio sumažėja kraujo plazmos tūris, padidėja kraujo plazmos renino aktyvumas, aldosterono sekrecija, su šlapimu daugiau išsiskiria kalio ir vandenilio karbonatų, sumažėja kalio kiekis kraujo plazmoje. Išgėrus hidrochlorotiazido, diurezinis poveikis prasideda po 1-2 val., maksimalus poveikis pasireiškia apytikriai po 4 val., veikimo trukmė apytikriai 6-12 val.</w:t>
      </w:r>
    </w:p>
    <w:p w14:paraId="66FE7BE1"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4BE36165"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lang w:val="lt-LT"/>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6D1C46C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0D4B12F"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5.2</w:t>
      </w:r>
      <w:r w:rsidRPr="004C7FBD">
        <w:rPr>
          <w:rFonts w:ascii="Times New Roman" w:eastAsia="Times New Roman" w:hAnsi="Times New Roman" w:cs="Times New Roman"/>
          <w:b/>
          <w:kern w:val="28"/>
          <w:lang w:val="lt-LT"/>
        </w:rPr>
        <w:tab/>
        <w:t>Farmakokinetinės savybės</w:t>
      </w:r>
    </w:p>
    <w:p w14:paraId="2A9E576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78AEF1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Nebivololio ir hidrochlorotiazido vartojimas kartu atskirų veikliųjų medžiagų biologiniam prieinamumui įtakos neturi. Medžiagų derinio tabletė bioekvivalentiška atskirų komponentų bendram vartojimui.</w:t>
      </w:r>
    </w:p>
    <w:p w14:paraId="480330C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D741472"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Nebivololis</w:t>
      </w:r>
    </w:p>
    <w:p w14:paraId="2941297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3DF873A"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Absorbcija</w:t>
      </w:r>
    </w:p>
    <w:p w14:paraId="7153983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Išgėrus nebivololio, abu enantiomerai greitai absorbuojami. Maistas nebivololio absorbcijos neveikia. Nebivololį galima gerti valgant ar nevalgius.</w:t>
      </w:r>
    </w:p>
    <w:p w14:paraId="2F03F94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geriamojo nebivololio, žmonių, kurie vaistą metabolizuoja greitai, organizme  jo biologinis pasisavinimas yra vidutiniškai 12 %, žmonių, kurie vaistą metabolizuoja lėtai, organizme pasisavinamas beveik visas vaisto kiekis. Nusistovėjus vidutinės nebivololio koncentracijos kraujo plazmoje dinamikai, vartojant tokią pat dozę, didžiausia nepakitusio nebivololio koncentracija žmonių, kurie vaistą metabolizuoja lėtai, organizme yra beveik 23 kartus didesnė nei žmonių, kurie vaistą metabolizuoja greitai. Įskaitant nepakitusį vaistą ir aktyvius jo metabolitus, didžiausios koncentracijos kraujo plazmoje rodiklis skiriasi 1,3-1,4 karto. Dėl metabolizmo greičio skirtumų Nebilet Plus dozę visada reikia parinkti individualiai: jei organizmas vaistą metabolizuoja lėtai, reikia mažesnės dozės.</w:t>
      </w:r>
    </w:p>
    <w:p w14:paraId="4680188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Koncentracija kraujo plazmoje, vartojant nuo 1 iki 30 mg, tiesiogiai proporcinga išgertai dozei. Nebivololio farmakokinetika nuo amžiaus nepriklauso.</w:t>
      </w:r>
    </w:p>
    <w:p w14:paraId="3B38C74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C42EF41"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Pasiskirstymas</w:t>
      </w:r>
    </w:p>
    <w:p w14:paraId="7EE1440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Abu nebivololio enantiomerai plazmoje daugiausia prisijungia prie albuminų. Prie plazmos baltymų prisijungia 98,1 %. SRRR-nebivololio ir 97,9 % RSSS-nebivololio.</w:t>
      </w:r>
    </w:p>
    <w:p w14:paraId="22FB182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5DA941F"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Biotransformacija</w:t>
      </w:r>
    </w:p>
    <w:p w14:paraId="7D7117B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Didelė dalis nebivololio metabolizuojama ir atsiranda aktyvūs hidroksimetabolitai. Nebivololio metabolizmo būdai yra aciklinis ir aromatinis hidroksilinimas, N-dealkilinimas ir gliukuronizacija; be to, hidroksilinti metabolitai sudaro gliukoronidus. Nebivololio metabolizmas aromatinio hidroksilinimo būdu priklauso nuo CYP2D6 veikiamo genetinio oksidacijos polimorfizmo.</w:t>
      </w:r>
    </w:p>
    <w:p w14:paraId="76A7B8F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B70EFAC"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Eliminacija</w:t>
      </w:r>
    </w:p>
    <w:p w14:paraId="56A755A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bCs/>
          <w:iCs/>
          <w:noProof/>
          <w:lang w:val="lt-LT"/>
        </w:rPr>
        <w:lastRenderedPageBreak/>
        <w:t>Jeigu metabolizmas greitas, nebivololio enantiomerų pusinis eliminacijos periodas yra maždaug 10 valandų. Jeigu metabolizmas lėtas, jis būna 3</w:t>
      </w:r>
      <w:r w:rsidRPr="004C7FBD">
        <w:rPr>
          <w:rFonts w:ascii="Times New Roman" w:eastAsia="Times New Roman" w:hAnsi="Times New Roman" w:cs="Times New Roman"/>
          <w:bCs/>
          <w:iCs/>
          <w:noProof/>
          <w:lang w:val="lt-LT"/>
        </w:rPr>
        <w:noBreakHyphen/>
        <w:t>5 kartus ilgesnis. Asmenų, kurių organizme metabolizmas greitas, RSSS enantiomero koncentracija plazmoje būna šiek tiek didesnė nei</w:t>
      </w:r>
      <w:r w:rsidRPr="004C7FBD">
        <w:rPr>
          <w:rFonts w:ascii="Times New Roman" w:eastAsia="Times New Roman" w:hAnsi="Times New Roman" w:cs="Times New Roman"/>
          <w:lang w:val="lt-LT"/>
        </w:rPr>
        <w:t xml:space="preserve"> SRRR enantiomero. Asmenų, kurių organizme metabolizmas lėtas, skirtumas būna didesnis. Asmenų, kurių organizme metabolizmas greitas, abiejų enantiomerų hidroksimetabolito pusinis eliminacijos periodas yra maždaug 24 valandos ir apytikriai du kartus ilgesnis nei asmenų, kurių organizme metabolizmas lėtas.</w:t>
      </w:r>
    </w:p>
    <w:p w14:paraId="6C8DBC0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Nebivololio vidutinės koncentracijos kraujo plazmoje dinamika daugelio žmonių organizme (greitos medžiagų apykaitos)  susidaro po 24 val., hidroksilintų metabolitų – po kelių dienų.</w:t>
      </w:r>
    </w:p>
    <w:p w14:paraId="1473935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Per vieną savaitę po pavartojimo 38 % dozės pasišalina su šlapimu ir 48 % su išmatomis. Mažiau nei 0,5% vaistinio preparato dozės pasišalina su šlapimu nepakitusio nebivololio pavidalu.</w:t>
      </w:r>
    </w:p>
    <w:p w14:paraId="30E8440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9859435"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Hidrochlorotiazidas</w:t>
      </w:r>
    </w:p>
    <w:p w14:paraId="749397C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D32CE63"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Absorbcija</w:t>
      </w:r>
    </w:p>
    <w:p w14:paraId="01249A0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Išgertas hidrochlorotiazidas virškinimo trakte gerai (65-75%) absorbuojamas. Koncentracijos kraujo plazmoje ir išgertos dozės kinetika tiesinė. Hidrochlorotiazido absorbcija priklauso nuo judėjimo žarnynu laiko; esant lėtam judėjimui, pavyzdžiui, išgėrus vaisto valgio metu, absorbcija didėja. Po išgertos dozės kontroliuojant plazmos koncentraciją mažiausiai 24 valandas nustatyta, kad pusinės eliminacijos laikas yra 5,6-14,8 val., maksimali koncentracija kraujo plazmoje susidaro po 1-5 val. </w:t>
      </w:r>
    </w:p>
    <w:p w14:paraId="74361E9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p>
    <w:p w14:paraId="5B406018"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Pasiskirstymas</w:t>
      </w:r>
    </w:p>
    <w:p w14:paraId="4FB36AD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Apie 68% hidrochlorotiazido prisijungia prie plazmos baltymų, hidrochlorotiazido santykinis pasiskirstymo tūris – 0,83-1,l4 l/kg. Hidrochlorotiazidas prasiskverbia per placentos barjerą, bet neprasiskverbia per hematoencefalinį barjerą.</w:t>
      </w:r>
    </w:p>
    <w:p w14:paraId="31165FB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262F6BA"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Biotransformacija</w:t>
      </w:r>
    </w:p>
    <w:p w14:paraId="69A0121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Hidrochlorotiazido metabolizmas nedidelis. Beveik visas hidrochlorotiazidas išsiskiria su šlapimu nepakitusiu pavidalu.</w:t>
      </w:r>
    </w:p>
    <w:p w14:paraId="3CE2D20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49F1514"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i/>
          <w:lang w:val="lt-LT"/>
        </w:rPr>
        <w:t>Eliminacija</w:t>
      </w:r>
    </w:p>
    <w:p w14:paraId="45F87A4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Pagrindinis hidrochlorotiazido eliminacijos kelias yra šalinimas su šlapimu. Išgėrus vaisto, daugiau kaip 95% hidrochlorotiazido išsiskiria su šlapimu nepakitusiu pavidalu per 3-6 val. Sergant inkstų liga, hidrochlorotiazido koncentracija kraujo plazmoje padidėja ir pailgėja pusinės eliminacijos laikas. </w:t>
      </w:r>
    </w:p>
    <w:p w14:paraId="6876EF3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5C42EDB"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5.3</w:t>
      </w:r>
      <w:r w:rsidRPr="004C7FBD">
        <w:rPr>
          <w:rFonts w:ascii="Times New Roman" w:eastAsia="Times New Roman" w:hAnsi="Times New Roman" w:cs="Times New Roman"/>
          <w:b/>
          <w:kern w:val="28"/>
          <w:lang w:val="lt-LT"/>
        </w:rPr>
        <w:tab/>
        <w:t>Ikiklinikinių saugumo tyrimų duomenys</w:t>
      </w:r>
    </w:p>
    <w:p w14:paraId="4246568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F728A7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Ikiklinikinių tyrimų duomenys nebivololio ir hidrochlorotiazido derinio specifinio pavojaus žmogui nerodo. Tai nustatyta įprastais atskirų komponentų farmakologiniais saugumo, kartotinių dozių toksiškumo, genotoksiškumo, galimo kancerogeniškumo tyrimais.</w:t>
      </w:r>
    </w:p>
    <w:p w14:paraId="083759D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E7D653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B9FE078"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6.</w:t>
      </w:r>
      <w:r w:rsidRPr="004C7FBD">
        <w:rPr>
          <w:rFonts w:ascii="Times New Roman" w:eastAsia="Times New Roman" w:hAnsi="Times New Roman" w:cs="Times New Roman"/>
          <w:b/>
          <w:lang w:val="lt-LT"/>
        </w:rPr>
        <w:tab/>
        <w:t>FARMACINĖ INFORMACIJA</w:t>
      </w:r>
    </w:p>
    <w:p w14:paraId="7F7322FF" w14:textId="77777777" w:rsidR="00E625FB" w:rsidRPr="004C7FBD" w:rsidRDefault="00E625FB" w:rsidP="00E625FB">
      <w:pPr>
        <w:spacing w:after="0" w:line="240" w:lineRule="auto"/>
        <w:rPr>
          <w:rFonts w:ascii="Times New Roman" w:eastAsia="Times New Roman" w:hAnsi="Times New Roman" w:cs="Times New Roman"/>
          <w:b/>
          <w:lang w:val="lt-LT" w:eastAsia="lt-LT"/>
        </w:rPr>
      </w:pPr>
    </w:p>
    <w:p w14:paraId="7F1294CF"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6.1</w:t>
      </w:r>
      <w:r w:rsidRPr="004C7FBD">
        <w:rPr>
          <w:rFonts w:ascii="Times New Roman" w:eastAsia="Times New Roman" w:hAnsi="Times New Roman" w:cs="Times New Roman"/>
          <w:b/>
          <w:kern w:val="28"/>
          <w:lang w:val="lt-LT"/>
        </w:rPr>
        <w:tab/>
        <w:t>Pagalbinių medžiagų sąrašas</w:t>
      </w:r>
    </w:p>
    <w:p w14:paraId="06E3B2E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853ECF6"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Tabletės šerdis</w:t>
      </w:r>
    </w:p>
    <w:p w14:paraId="76B6826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Polisorbatas 80 (E433)</w:t>
      </w:r>
    </w:p>
    <w:p w14:paraId="52B60FA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Hipromeliozė (E464)</w:t>
      </w:r>
    </w:p>
    <w:p w14:paraId="2D841A5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Laktozė monohidratas</w:t>
      </w:r>
    </w:p>
    <w:p w14:paraId="3FF45CA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Kukurūzų krakmolas</w:t>
      </w:r>
    </w:p>
    <w:p w14:paraId="1C93E1C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Kroskarmeliozės natrio druska (E468)</w:t>
      </w:r>
    </w:p>
    <w:p w14:paraId="7048E74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Mikrokristalinė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br/>
        <w:t>Koloidinis bevandenis silicio dioksidas (E551)</w:t>
      </w:r>
    </w:p>
    <w:p w14:paraId="37DD8F2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Magnio stearatas (</w:t>
      </w:r>
      <w:r w:rsidRPr="00D35C4A">
        <w:rPr>
          <w:rFonts w:ascii="Times New Roman" w:hAnsi="Times New Roman" w:cs="Times New Roman"/>
          <w:lang w:val="lt-LT"/>
        </w:rPr>
        <w:t>E470b</w:t>
      </w:r>
      <w:r w:rsidRPr="004C7FBD">
        <w:rPr>
          <w:rFonts w:ascii="Times New Roman" w:eastAsia="Times New Roman" w:hAnsi="Times New Roman" w:cs="Times New Roman"/>
          <w:lang w:val="lt-LT"/>
        </w:rPr>
        <w:t>)</w:t>
      </w:r>
    </w:p>
    <w:p w14:paraId="49C95E2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D2CC9BD" w14:textId="77777777" w:rsidR="00E625FB" w:rsidRPr="004C7FBD" w:rsidRDefault="00E625FB" w:rsidP="00E625FB">
      <w:pPr>
        <w:tabs>
          <w:tab w:val="left" w:pos="360"/>
        </w:tabs>
        <w:spacing w:after="0" w:line="240" w:lineRule="auto"/>
        <w:rPr>
          <w:rFonts w:ascii="Times New Roman" w:eastAsia="Times New Roman" w:hAnsi="Times New Roman" w:cs="Times New Roman"/>
          <w:u w:val="single"/>
          <w:lang w:val="lt-LT"/>
        </w:rPr>
      </w:pPr>
      <w:r w:rsidRPr="004C7FBD">
        <w:rPr>
          <w:rFonts w:ascii="Times New Roman" w:eastAsia="Times New Roman" w:hAnsi="Times New Roman" w:cs="Times New Roman"/>
          <w:u w:val="single"/>
          <w:lang w:val="lt-LT"/>
        </w:rPr>
        <w:t>Tabletės plėvelė</w:t>
      </w:r>
    </w:p>
    <w:p w14:paraId="4A4448E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Hipromeliozė (E464)</w:t>
      </w:r>
    </w:p>
    <w:p w14:paraId="38ACA4D3" w14:textId="77777777" w:rsidR="00E625FB" w:rsidRPr="00F32612"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Mikrokristalinė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br/>
        <w:t>Makrogolio 40 stearatas I tipo</w:t>
      </w:r>
      <w:r>
        <w:rPr>
          <w:rFonts w:ascii="Times New Roman" w:eastAsia="Times New Roman" w:hAnsi="Times New Roman" w:cs="Times New Roman"/>
          <w:lang w:val="lt-LT"/>
        </w:rPr>
        <w:t xml:space="preserve"> (</w:t>
      </w:r>
      <w:r w:rsidRPr="00D35C4A">
        <w:rPr>
          <w:rFonts w:ascii="Times New Roman" w:eastAsia="Times New Roman" w:hAnsi="Times New Roman" w:cs="Times New Roman"/>
          <w:lang w:val="lt-LT"/>
        </w:rPr>
        <w:t>E431)</w:t>
      </w:r>
      <w:r w:rsidRPr="004C7FBD">
        <w:rPr>
          <w:rFonts w:ascii="Times New Roman" w:eastAsia="Times New Roman" w:hAnsi="Times New Roman" w:cs="Times New Roman"/>
          <w:lang w:val="lt-LT"/>
        </w:rPr>
        <w:t xml:space="preserve"> </w:t>
      </w:r>
    </w:p>
    <w:p w14:paraId="523BF8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Titano dioksidas (E171)</w:t>
      </w:r>
    </w:p>
    <w:p w14:paraId="61AFF25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Karminai (karmino rūgšties aliuminio kraplakas, E120)</w:t>
      </w:r>
    </w:p>
    <w:p w14:paraId="35F1B35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4795351"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6.2</w:t>
      </w:r>
      <w:r w:rsidRPr="004C7FBD">
        <w:rPr>
          <w:rFonts w:ascii="Times New Roman" w:eastAsia="Times New Roman" w:hAnsi="Times New Roman" w:cs="Times New Roman"/>
          <w:b/>
          <w:kern w:val="28"/>
          <w:lang w:val="lt-LT"/>
        </w:rPr>
        <w:tab/>
        <w:t>Nesuderinamumas</w:t>
      </w:r>
    </w:p>
    <w:p w14:paraId="0D7E0DF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7E97CE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Duomenys nebūtini.</w:t>
      </w:r>
    </w:p>
    <w:p w14:paraId="1369F6D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32FB481"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6.3</w:t>
      </w:r>
      <w:r w:rsidRPr="004C7FBD">
        <w:rPr>
          <w:rFonts w:ascii="Times New Roman" w:eastAsia="Times New Roman" w:hAnsi="Times New Roman" w:cs="Times New Roman"/>
          <w:b/>
          <w:kern w:val="28"/>
          <w:lang w:val="lt-LT"/>
        </w:rPr>
        <w:tab/>
        <w:t>Tinkamumo laikas</w:t>
      </w:r>
    </w:p>
    <w:p w14:paraId="382C924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0F395D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3 metai.</w:t>
      </w:r>
    </w:p>
    <w:p w14:paraId="3BC824D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83AD7E7"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6.4</w:t>
      </w:r>
      <w:r w:rsidRPr="004C7FBD">
        <w:rPr>
          <w:rFonts w:ascii="Times New Roman" w:eastAsia="Times New Roman" w:hAnsi="Times New Roman" w:cs="Times New Roman"/>
          <w:b/>
          <w:kern w:val="28"/>
          <w:lang w:val="lt-LT"/>
        </w:rPr>
        <w:tab/>
        <w:t>Specialios laikymo sąlygos</w:t>
      </w:r>
    </w:p>
    <w:p w14:paraId="5479737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24E643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Šiam vaistiniam preparatui specialių laikymo sąlygų nereikia.</w:t>
      </w:r>
    </w:p>
    <w:p w14:paraId="24671A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27FB4A3"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6.5</w:t>
      </w:r>
      <w:r w:rsidRPr="004C7FBD">
        <w:rPr>
          <w:rFonts w:ascii="Times New Roman" w:eastAsia="Times New Roman" w:hAnsi="Times New Roman" w:cs="Times New Roman"/>
          <w:b/>
          <w:kern w:val="28"/>
          <w:lang w:val="lt-LT"/>
        </w:rPr>
        <w:tab/>
        <w:t>Talpyklės pobūdis ir jos turinys</w:t>
      </w:r>
    </w:p>
    <w:p w14:paraId="184184D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4920BB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Tabletės supakuotos PP/COC/PP/Aliuminio lizdinėse plokštelėse.</w:t>
      </w:r>
    </w:p>
    <w:p w14:paraId="11D83CA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Pakuotėje yra 7, 14, 28, 30, 56 arba 90 plėvele dengtų tablečių.</w:t>
      </w:r>
    </w:p>
    <w:p w14:paraId="2F9ABB7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Gali būti tiekiamos ne visų dydžių pakuotės.</w:t>
      </w:r>
    </w:p>
    <w:p w14:paraId="5E1688F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1904EAF"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4C7FBD">
        <w:rPr>
          <w:rFonts w:ascii="Times New Roman" w:eastAsia="Times New Roman" w:hAnsi="Times New Roman" w:cs="Times New Roman"/>
          <w:b/>
          <w:kern w:val="28"/>
          <w:lang w:val="lt-LT"/>
        </w:rPr>
        <w:t>6.6</w:t>
      </w:r>
      <w:r w:rsidRPr="004C7FBD">
        <w:rPr>
          <w:rFonts w:ascii="Times New Roman" w:eastAsia="Times New Roman" w:hAnsi="Times New Roman" w:cs="Times New Roman"/>
          <w:b/>
          <w:kern w:val="28"/>
          <w:lang w:val="lt-LT"/>
        </w:rPr>
        <w:tab/>
        <w:t xml:space="preserve">Specialūs reikalavimai atliekoms tvarkyti </w:t>
      </w:r>
    </w:p>
    <w:p w14:paraId="38274DD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6E208C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Specialių reikalavimų nėra.</w:t>
      </w:r>
    </w:p>
    <w:p w14:paraId="38775B5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5F7D00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EF56C73"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7.</w:t>
      </w:r>
      <w:r w:rsidRPr="004C7FBD">
        <w:rPr>
          <w:rFonts w:ascii="Times New Roman" w:eastAsia="Times New Roman" w:hAnsi="Times New Roman" w:cs="Times New Roman"/>
          <w:b/>
          <w:lang w:val="lt-LT"/>
        </w:rPr>
        <w:tab/>
      </w:r>
      <w:r>
        <w:rPr>
          <w:rFonts w:ascii="Times New Roman" w:eastAsia="Times New Roman" w:hAnsi="Times New Roman" w:cs="Times New Roman"/>
          <w:b/>
          <w:lang w:val="lt-LT"/>
        </w:rPr>
        <w:t>REGISTRUOTOJAS</w:t>
      </w:r>
    </w:p>
    <w:p w14:paraId="484E3691"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7B903AC1"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Menarini International Operations Luxembourg S.A. </w:t>
      </w:r>
    </w:p>
    <w:p w14:paraId="672AF566"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1, Avenue de la Gare </w:t>
      </w:r>
    </w:p>
    <w:p w14:paraId="76152A7C"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L-1611 Luxembourg</w:t>
      </w:r>
    </w:p>
    <w:p w14:paraId="250BCE7C"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Liuksemburgas</w:t>
      </w:r>
    </w:p>
    <w:p w14:paraId="50FD330D" w14:textId="77777777" w:rsidR="00E625FB" w:rsidRPr="004C7FBD" w:rsidRDefault="00E625FB" w:rsidP="00E625FB">
      <w:pPr>
        <w:spacing w:after="0" w:line="240" w:lineRule="auto"/>
        <w:rPr>
          <w:rFonts w:ascii="Times New Roman" w:eastAsia="Times New Roman" w:hAnsi="Times New Roman" w:cs="Times New Roman"/>
          <w:b/>
          <w:i/>
          <w:lang w:val="lt-LT" w:eastAsia="lt-LT"/>
        </w:rPr>
      </w:pPr>
    </w:p>
    <w:p w14:paraId="1C9C68EB"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771C821"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8.</w:t>
      </w:r>
      <w:r w:rsidRPr="004C7FBD">
        <w:rPr>
          <w:rFonts w:ascii="Times New Roman" w:eastAsia="Times New Roman" w:hAnsi="Times New Roman" w:cs="Times New Roman"/>
          <w:b/>
          <w:kern w:val="28"/>
          <w:lang w:val="lt-LT"/>
        </w:rPr>
        <w:tab/>
      </w:r>
      <w:r>
        <w:rPr>
          <w:rFonts w:ascii="Times New Roman" w:eastAsia="Times New Roman" w:hAnsi="Times New Roman" w:cs="Times New Roman"/>
          <w:b/>
          <w:kern w:val="28"/>
          <w:lang w:val="lt-LT"/>
        </w:rPr>
        <w:t>REGISTRACIJOS</w:t>
      </w:r>
      <w:r w:rsidRPr="004C7FBD">
        <w:rPr>
          <w:rFonts w:ascii="Times New Roman" w:eastAsia="Times New Roman" w:hAnsi="Times New Roman" w:cs="Times New Roman"/>
          <w:b/>
          <w:kern w:val="28"/>
          <w:lang w:val="lt-LT"/>
        </w:rPr>
        <w:t xml:space="preserve"> PAŽYMĖJIMO NUMERIS (-IAI)</w:t>
      </w:r>
    </w:p>
    <w:p w14:paraId="23175BC7"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5228A733" w14:textId="77777777" w:rsidR="00E625FB" w:rsidRPr="004C7FBD" w:rsidRDefault="00E625FB" w:rsidP="00E625FB">
      <w:pPr>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lang w:val="lt-LT"/>
        </w:rPr>
        <w:t>N7 – LT/1/09/1554/001</w:t>
      </w:r>
    </w:p>
    <w:p w14:paraId="7CA33B6C"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N14 – LT/1/09/1554/002</w:t>
      </w:r>
    </w:p>
    <w:p w14:paraId="1D2B8DA8"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N28 – LT/1/09/1554/003</w:t>
      </w:r>
    </w:p>
    <w:p w14:paraId="2AE61D68"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N30 – LT/1/09/1554/004</w:t>
      </w:r>
    </w:p>
    <w:p w14:paraId="5902DB2C"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N56 – LT/1/09/1554/005</w:t>
      </w:r>
    </w:p>
    <w:p w14:paraId="5D9F1042"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N90 – LT/1/09/1554/006</w:t>
      </w:r>
    </w:p>
    <w:p w14:paraId="3A3F95AF"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45E2F05"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1C3EA17E"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9.</w:t>
      </w:r>
      <w:r w:rsidRPr="004C7FBD">
        <w:rPr>
          <w:rFonts w:ascii="Times New Roman" w:eastAsia="Times New Roman" w:hAnsi="Times New Roman" w:cs="Times New Roman"/>
          <w:b/>
          <w:lang w:val="lt-LT"/>
        </w:rPr>
        <w:tab/>
      </w:r>
      <w:r w:rsidRPr="00BD3636">
        <w:rPr>
          <w:rFonts w:ascii="Times New Roman" w:hAnsi="Times New Roman"/>
          <w:b/>
          <w:lang w:val="lt-LT"/>
        </w:rPr>
        <w:t>REGISTRAVIMO / PERREGISTRAVIMO</w:t>
      </w:r>
      <w:r w:rsidRPr="004C7FBD" w:rsidDel="00BD3636">
        <w:rPr>
          <w:rFonts w:ascii="Times New Roman" w:eastAsia="Times New Roman" w:hAnsi="Times New Roman" w:cs="Times New Roman"/>
          <w:b/>
          <w:lang w:val="lt-LT"/>
        </w:rPr>
        <w:t xml:space="preserve"> </w:t>
      </w:r>
      <w:r w:rsidRPr="004C7FBD">
        <w:rPr>
          <w:rFonts w:ascii="Times New Roman" w:eastAsia="Times New Roman" w:hAnsi="Times New Roman" w:cs="Times New Roman"/>
          <w:b/>
          <w:lang w:val="lt-LT"/>
        </w:rPr>
        <w:t>DATA</w:t>
      </w:r>
    </w:p>
    <w:p w14:paraId="29C62DF9"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2DE8313" w14:textId="77777777" w:rsidR="00E625FB" w:rsidRPr="004C7FBD" w:rsidRDefault="00E625FB" w:rsidP="00E625F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Registravimo data</w:t>
      </w:r>
      <w:r w:rsidRPr="004C7FBD">
        <w:rPr>
          <w:rFonts w:ascii="Times New Roman" w:eastAsia="Times New Roman" w:hAnsi="Times New Roman" w:cs="Times New Roman"/>
          <w:lang w:val="lt-LT" w:eastAsia="lt-LT"/>
        </w:rPr>
        <w:t xml:space="preserve"> </w:t>
      </w:r>
      <w:r w:rsidRPr="004C7FBD">
        <w:rPr>
          <w:rFonts w:ascii="Times New Roman" w:eastAsia="Times New Roman" w:hAnsi="Times New Roman" w:cs="Times New Roman"/>
          <w:lang w:val="lt-LT"/>
        </w:rPr>
        <w:t>2009</w:t>
      </w:r>
      <w:r w:rsidRPr="004C7FBD">
        <w:rPr>
          <w:rFonts w:ascii="Times New Roman" w:eastAsia="Times New Roman" w:hAnsi="Times New Roman" w:cs="Times New Roman"/>
          <w:lang w:val="lt-LT" w:eastAsia="lt-LT"/>
        </w:rPr>
        <w:t xml:space="preserve"> m. gegužės 5 d.</w:t>
      </w:r>
    </w:p>
    <w:p w14:paraId="1D572CAC" w14:textId="77777777" w:rsidR="00E625FB" w:rsidRPr="004C7FBD" w:rsidRDefault="00E625FB" w:rsidP="00E625FB">
      <w:pPr>
        <w:spacing w:after="0" w:line="240" w:lineRule="auto"/>
        <w:rPr>
          <w:rFonts w:ascii="Times New Roman" w:eastAsia="Times New Roman" w:hAnsi="Times New Roman" w:cs="Times New Roman"/>
          <w:lang w:val="lt-LT"/>
        </w:rPr>
      </w:pPr>
      <w:r w:rsidRPr="00BD3636">
        <w:rPr>
          <w:rFonts w:ascii="Times New Roman" w:hAnsi="Times New Roman" w:cs="Times New Roman"/>
          <w:noProof/>
          <w:lang w:val="lt-LT"/>
        </w:rPr>
        <w:lastRenderedPageBreak/>
        <w:t xml:space="preserve">Paskutinio </w:t>
      </w:r>
      <w:r w:rsidRPr="00BD3636">
        <w:rPr>
          <w:rFonts w:ascii="Times New Roman" w:hAnsi="Times New Roman" w:cs="Times New Roman"/>
          <w:noProof/>
          <w:szCs w:val="24"/>
          <w:lang w:val="lt-LT"/>
        </w:rPr>
        <w:t>perregistravimo data</w:t>
      </w:r>
      <w:r w:rsidRPr="000A79DC">
        <w:rPr>
          <w:noProof/>
          <w:szCs w:val="24"/>
          <w:lang w:val="lt-LT"/>
        </w:rPr>
        <w:t xml:space="preserve"> </w:t>
      </w:r>
      <w:r w:rsidRPr="004C7FBD">
        <w:rPr>
          <w:rFonts w:ascii="Times New Roman" w:eastAsia="Times New Roman" w:hAnsi="Times New Roman" w:cs="Times New Roman"/>
          <w:lang w:val="lt-LT"/>
        </w:rPr>
        <w:t>2013</w:t>
      </w:r>
      <w:r w:rsidRPr="004C7FBD">
        <w:rPr>
          <w:rFonts w:ascii="Times New Roman" w:eastAsia="Times New Roman" w:hAnsi="Times New Roman" w:cs="Times New Roman"/>
          <w:lang w:val="lt-LT" w:eastAsia="lt-LT"/>
        </w:rPr>
        <w:t xml:space="preserve"> m. sausio </w:t>
      </w:r>
      <w:r w:rsidRPr="004C7FBD">
        <w:rPr>
          <w:rFonts w:ascii="Times New Roman" w:eastAsia="Times New Roman" w:hAnsi="Times New Roman" w:cs="Times New Roman"/>
          <w:lang w:val="lt-LT"/>
        </w:rPr>
        <w:t>14</w:t>
      </w:r>
      <w:r w:rsidRPr="004C7FBD">
        <w:rPr>
          <w:rFonts w:ascii="Times New Roman" w:eastAsia="Times New Roman" w:hAnsi="Times New Roman" w:cs="Times New Roman"/>
          <w:lang w:val="lt-LT" w:eastAsia="lt-LT"/>
        </w:rPr>
        <w:t xml:space="preserve"> d.</w:t>
      </w:r>
    </w:p>
    <w:p w14:paraId="345981E0"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68D83B79"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4A6E8DA3"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10.</w:t>
      </w:r>
      <w:r w:rsidRPr="004C7FBD">
        <w:rPr>
          <w:rFonts w:ascii="Times New Roman" w:eastAsia="Times New Roman" w:hAnsi="Times New Roman" w:cs="Times New Roman"/>
          <w:b/>
          <w:lang w:val="lt-LT"/>
        </w:rPr>
        <w:tab/>
        <w:t>TEKSTO PERŽIŪROS DATA</w:t>
      </w:r>
    </w:p>
    <w:p w14:paraId="0E3C89A6"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21865FE0" w14:textId="77E31D6C" w:rsidR="00E625FB" w:rsidRDefault="001B7BFA" w:rsidP="00E625F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2025 m. balandžio 1</w:t>
      </w:r>
      <w:r w:rsidR="00AC63A3">
        <w:rPr>
          <w:rFonts w:ascii="Times New Roman" w:eastAsia="Times New Roman" w:hAnsi="Times New Roman" w:cs="Times New Roman"/>
          <w:lang w:val="lt-LT" w:eastAsia="lt-LT"/>
        </w:rPr>
        <w:t>0</w:t>
      </w:r>
      <w:r>
        <w:rPr>
          <w:rFonts w:ascii="Times New Roman" w:eastAsia="Times New Roman" w:hAnsi="Times New Roman" w:cs="Times New Roman"/>
          <w:lang w:val="lt-LT" w:eastAsia="lt-LT"/>
        </w:rPr>
        <w:t xml:space="preserve"> d.</w:t>
      </w:r>
    </w:p>
    <w:p w14:paraId="664E4B86" w14:textId="77777777" w:rsidR="00E719B1" w:rsidRPr="004C7FBD" w:rsidRDefault="00E719B1" w:rsidP="00E625FB">
      <w:pPr>
        <w:spacing w:after="0" w:line="240" w:lineRule="auto"/>
        <w:rPr>
          <w:rFonts w:ascii="Times New Roman" w:eastAsia="Times New Roman" w:hAnsi="Times New Roman" w:cs="Times New Roman"/>
          <w:lang w:val="lt-LT" w:eastAsia="lt-LT"/>
        </w:rPr>
      </w:pPr>
    </w:p>
    <w:p w14:paraId="3B18C5D4" w14:textId="76DCC91F"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00E719B1" w:rsidRPr="000B2236">
          <w:rPr>
            <w:rStyle w:val="Hipersaitas"/>
            <w:rFonts w:ascii="Times New Roman" w:eastAsia="Times New Roman" w:hAnsi="Times New Roman"/>
            <w:lang w:val="lt-LT"/>
          </w:rPr>
          <w:t>https://vvkt.lrv.lt/lt/</w:t>
        </w:r>
      </w:hyperlink>
      <w:r w:rsidR="00E719B1">
        <w:rPr>
          <w:rFonts w:ascii="Times New Roman" w:eastAsia="Times New Roman" w:hAnsi="Times New Roman" w:cs="Times New Roman"/>
          <w:color w:val="0000FF"/>
          <w:u w:val="single"/>
          <w:lang w:val="lt-LT"/>
        </w:rPr>
        <w:t>.</w:t>
      </w:r>
    </w:p>
    <w:p w14:paraId="406A2B5C" w14:textId="77777777" w:rsidR="00E625FB" w:rsidRPr="004C7FBD" w:rsidRDefault="00E625FB" w:rsidP="00E625FB">
      <w:pPr>
        <w:spacing w:after="0" w:line="240" w:lineRule="auto"/>
        <w:rPr>
          <w:rFonts w:ascii="Times New Roman" w:eastAsia="Times New Roman" w:hAnsi="Times New Roman" w:cs="Times New Roman"/>
          <w:lang w:val="lt-LT"/>
        </w:rPr>
      </w:pPr>
    </w:p>
    <w:p w14:paraId="440E3DFD" w14:textId="77777777" w:rsidR="00E625FB" w:rsidRPr="004C7FBD" w:rsidRDefault="00E625FB" w:rsidP="00E625FB">
      <w:pPr>
        <w:spacing w:after="0" w:line="240" w:lineRule="auto"/>
        <w:rPr>
          <w:rFonts w:ascii="Times New Roman" w:eastAsia="Times New Roman" w:hAnsi="Times New Roman" w:cs="Times New Roman"/>
          <w:lang w:val="lt-LT"/>
        </w:rPr>
      </w:pPr>
    </w:p>
    <w:p w14:paraId="716CFD61"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br w:type="page"/>
      </w:r>
    </w:p>
    <w:p w14:paraId="7D4176B5" w14:textId="77777777" w:rsidR="00E625FB" w:rsidRPr="004C7FBD" w:rsidRDefault="00E625FB" w:rsidP="00E625FB">
      <w:pPr>
        <w:spacing w:after="0" w:line="240" w:lineRule="auto"/>
        <w:rPr>
          <w:rFonts w:ascii="Times New Roman" w:eastAsia="Times New Roman" w:hAnsi="Times New Roman" w:cs="Times New Roman"/>
          <w:lang w:val="lt-LT"/>
        </w:rPr>
      </w:pPr>
    </w:p>
    <w:p w14:paraId="5374035A" w14:textId="77777777" w:rsidR="00E625FB" w:rsidRPr="004C7FBD" w:rsidRDefault="00E625FB" w:rsidP="00E625FB">
      <w:pPr>
        <w:spacing w:after="0" w:line="240" w:lineRule="auto"/>
        <w:rPr>
          <w:rFonts w:ascii="Times New Roman" w:eastAsia="Times New Roman" w:hAnsi="Times New Roman" w:cs="Times New Roman"/>
          <w:lang w:val="lt-LT"/>
        </w:rPr>
      </w:pPr>
    </w:p>
    <w:p w14:paraId="24B16871" w14:textId="77777777" w:rsidR="00E625FB" w:rsidRPr="004C7FBD" w:rsidRDefault="00E625FB" w:rsidP="00E625FB">
      <w:pPr>
        <w:spacing w:after="0" w:line="240" w:lineRule="auto"/>
        <w:rPr>
          <w:rFonts w:ascii="Times New Roman" w:eastAsia="Times New Roman" w:hAnsi="Times New Roman" w:cs="Times New Roman"/>
          <w:lang w:val="lt-LT"/>
        </w:rPr>
      </w:pPr>
    </w:p>
    <w:p w14:paraId="45007B3C" w14:textId="77777777" w:rsidR="00E625FB" w:rsidRPr="004C7FBD" w:rsidRDefault="00E625FB" w:rsidP="00E625FB">
      <w:pPr>
        <w:spacing w:after="0" w:line="240" w:lineRule="auto"/>
        <w:rPr>
          <w:rFonts w:ascii="Times New Roman" w:eastAsia="Times New Roman" w:hAnsi="Times New Roman" w:cs="Times New Roman"/>
          <w:lang w:val="lt-LT"/>
        </w:rPr>
      </w:pPr>
    </w:p>
    <w:p w14:paraId="3E8491E0" w14:textId="77777777" w:rsidR="00E625FB" w:rsidRPr="004C7FBD" w:rsidRDefault="00E625FB" w:rsidP="00E625FB">
      <w:pPr>
        <w:spacing w:after="0" w:line="240" w:lineRule="auto"/>
        <w:rPr>
          <w:rFonts w:ascii="Times New Roman" w:eastAsia="Times New Roman" w:hAnsi="Times New Roman" w:cs="Times New Roman"/>
          <w:lang w:val="lt-LT"/>
        </w:rPr>
      </w:pPr>
    </w:p>
    <w:p w14:paraId="7EDD197C" w14:textId="77777777" w:rsidR="00E625FB" w:rsidRPr="004C7FBD" w:rsidRDefault="00E625FB" w:rsidP="00E625FB">
      <w:pPr>
        <w:spacing w:after="0" w:line="240" w:lineRule="auto"/>
        <w:rPr>
          <w:rFonts w:ascii="Times New Roman" w:eastAsia="Times New Roman" w:hAnsi="Times New Roman" w:cs="Times New Roman"/>
          <w:lang w:val="lt-LT"/>
        </w:rPr>
      </w:pPr>
    </w:p>
    <w:p w14:paraId="0327A575" w14:textId="77777777" w:rsidR="00E625FB" w:rsidRPr="004C7FBD" w:rsidRDefault="00E625FB" w:rsidP="00E625FB">
      <w:pPr>
        <w:spacing w:after="0" w:line="240" w:lineRule="auto"/>
        <w:rPr>
          <w:rFonts w:ascii="Times New Roman" w:eastAsia="Times New Roman" w:hAnsi="Times New Roman" w:cs="Times New Roman"/>
          <w:lang w:val="lt-LT"/>
        </w:rPr>
      </w:pPr>
    </w:p>
    <w:p w14:paraId="23033347" w14:textId="77777777" w:rsidR="00E625FB" w:rsidRPr="004C7FBD" w:rsidRDefault="00E625FB" w:rsidP="00E625FB">
      <w:pPr>
        <w:spacing w:after="0" w:line="240" w:lineRule="auto"/>
        <w:rPr>
          <w:rFonts w:ascii="Times New Roman" w:eastAsia="Times New Roman" w:hAnsi="Times New Roman" w:cs="Times New Roman"/>
          <w:lang w:val="lt-LT"/>
        </w:rPr>
      </w:pPr>
    </w:p>
    <w:p w14:paraId="4CD2DFFE" w14:textId="77777777" w:rsidR="00E625FB" w:rsidRPr="004C7FBD" w:rsidRDefault="00E625FB" w:rsidP="00E625FB">
      <w:pPr>
        <w:spacing w:after="0" w:line="240" w:lineRule="auto"/>
        <w:rPr>
          <w:rFonts w:ascii="Times New Roman" w:eastAsia="Times New Roman" w:hAnsi="Times New Roman" w:cs="Times New Roman"/>
          <w:lang w:val="lt-LT"/>
        </w:rPr>
      </w:pPr>
    </w:p>
    <w:p w14:paraId="50E802C4" w14:textId="77777777" w:rsidR="00E625FB" w:rsidRPr="004C7FBD" w:rsidRDefault="00E625FB" w:rsidP="00E625FB">
      <w:pPr>
        <w:spacing w:after="0" w:line="240" w:lineRule="auto"/>
        <w:rPr>
          <w:rFonts w:ascii="Times New Roman" w:eastAsia="Times New Roman" w:hAnsi="Times New Roman" w:cs="Times New Roman"/>
          <w:lang w:val="lt-LT"/>
        </w:rPr>
      </w:pPr>
    </w:p>
    <w:p w14:paraId="6FBEFDD4" w14:textId="77777777" w:rsidR="00E625FB" w:rsidRPr="004C7FBD" w:rsidRDefault="00E625FB" w:rsidP="00E625FB">
      <w:pPr>
        <w:spacing w:after="0" w:line="240" w:lineRule="auto"/>
        <w:rPr>
          <w:rFonts w:ascii="Times New Roman" w:eastAsia="Times New Roman" w:hAnsi="Times New Roman" w:cs="Times New Roman"/>
          <w:lang w:val="lt-LT"/>
        </w:rPr>
      </w:pPr>
    </w:p>
    <w:p w14:paraId="0D1CAC0C" w14:textId="77777777" w:rsidR="00E625FB" w:rsidRPr="004C7FBD" w:rsidRDefault="00E625FB" w:rsidP="00E625FB">
      <w:pPr>
        <w:tabs>
          <w:tab w:val="left" w:pos="1080"/>
        </w:tabs>
        <w:spacing w:after="0" w:line="240" w:lineRule="auto"/>
        <w:rPr>
          <w:rFonts w:ascii="Times New Roman" w:eastAsia="Times New Roman" w:hAnsi="Times New Roman" w:cs="Times New Roman"/>
          <w:lang w:val="lt-LT"/>
        </w:rPr>
      </w:pPr>
    </w:p>
    <w:p w14:paraId="20010FC5" w14:textId="77777777" w:rsidR="00E625FB" w:rsidRPr="004C7FBD" w:rsidRDefault="00E625FB" w:rsidP="00E625FB">
      <w:pPr>
        <w:spacing w:after="0" w:line="240" w:lineRule="auto"/>
        <w:rPr>
          <w:rFonts w:ascii="Times New Roman" w:eastAsia="Times New Roman" w:hAnsi="Times New Roman" w:cs="Times New Roman"/>
          <w:lang w:val="lt-LT"/>
        </w:rPr>
      </w:pPr>
    </w:p>
    <w:p w14:paraId="63C6B003" w14:textId="77777777" w:rsidR="00E625FB" w:rsidRPr="004C7FBD" w:rsidRDefault="00E625FB" w:rsidP="00E625FB">
      <w:pPr>
        <w:spacing w:after="0" w:line="240" w:lineRule="auto"/>
        <w:rPr>
          <w:rFonts w:ascii="Times New Roman" w:eastAsia="Times New Roman" w:hAnsi="Times New Roman" w:cs="Times New Roman"/>
          <w:lang w:val="lt-LT"/>
        </w:rPr>
      </w:pPr>
    </w:p>
    <w:p w14:paraId="585B4CD0" w14:textId="77777777" w:rsidR="00E625FB" w:rsidRPr="004C7FBD" w:rsidRDefault="00E625FB" w:rsidP="00E625FB">
      <w:pPr>
        <w:spacing w:after="0" w:line="240" w:lineRule="auto"/>
        <w:rPr>
          <w:rFonts w:ascii="Times New Roman" w:eastAsia="Times New Roman" w:hAnsi="Times New Roman" w:cs="Times New Roman"/>
          <w:lang w:val="lt-LT"/>
        </w:rPr>
      </w:pPr>
    </w:p>
    <w:p w14:paraId="419EACB7" w14:textId="77777777" w:rsidR="00E625FB" w:rsidRPr="004C7FBD" w:rsidRDefault="00E625FB" w:rsidP="00E625FB">
      <w:pPr>
        <w:spacing w:after="0" w:line="240" w:lineRule="auto"/>
        <w:rPr>
          <w:rFonts w:ascii="Times New Roman" w:eastAsia="Times New Roman" w:hAnsi="Times New Roman" w:cs="Times New Roman"/>
          <w:lang w:val="lt-LT"/>
        </w:rPr>
      </w:pPr>
    </w:p>
    <w:p w14:paraId="7F54CA8F" w14:textId="77777777" w:rsidR="00E625FB" w:rsidRPr="004C7FBD" w:rsidRDefault="00E625FB" w:rsidP="00E625FB">
      <w:pPr>
        <w:spacing w:after="0" w:line="240" w:lineRule="auto"/>
        <w:rPr>
          <w:rFonts w:ascii="Times New Roman" w:eastAsia="Times New Roman" w:hAnsi="Times New Roman" w:cs="Times New Roman"/>
          <w:lang w:val="lt-LT"/>
        </w:rPr>
      </w:pPr>
    </w:p>
    <w:p w14:paraId="72EBC73B" w14:textId="77777777" w:rsidR="00E625FB" w:rsidRPr="004C7FBD" w:rsidRDefault="00E625FB" w:rsidP="00E625FB">
      <w:pPr>
        <w:spacing w:after="0" w:line="240" w:lineRule="auto"/>
        <w:rPr>
          <w:rFonts w:ascii="Times New Roman" w:eastAsia="Times New Roman" w:hAnsi="Times New Roman" w:cs="Times New Roman"/>
          <w:lang w:val="lt-LT"/>
        </w:rPr>
      </w:pPr>
    </w:p>
    <w:p w14:paraId="5A47293A" w14:textId="77777777" w:rsidR="00E625FB" w:rsidRPr="004C7FBD" w:rsidRDefault="00E625FB" w:rsidP="00E625FB">
      <w:pPr>
        <w:spacing w:after="0" w:line="240" w:lineRule="auto"/>
        <w:rPr>
          <w:rFonts w:ascii="Times New Roman" w:eastAsia="Times New Roman" w:hAnsi="Times New Roman" w:cs="Times New Roman"/>
          <w:lang w:val="lt-LT"/>
        </w:rPr>
      </w:pPr>
    </w:p>
    <w:p w14:paraId="77058D9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B155C1B"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6D7B3C84"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p>
    <w:p w14:paraId="2BCD8373"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II PRIEDAS</w:t>
      </w:r>
    </w:p>
    <w:p w14:paraId="0638910C" w14:textId="77777777" w:rsidR="00E625FB" w:rsidRPr="004C7FBD" w:rsidRDefault="00E625FB" w:rsidP="00E625FB">
      <w:pPr>
        <w:spacing w:after="0" w:line="240" w:lineRule="auto"/>
        <w:rPr>
          <w:rFonts w:ascii="Times New Roman" w:eastAsia="Times New Roman" w:hAnsi="Times New Roman" w:cs="Times New Roman"/>
          <w:b/>
          <w:i/>
          <w:lang w:val="lt-LT"/>
        </w:rPr>
      </w:pPr>
    </w:p>
    <w:p w14:paraId="43212AAA" w14:textId="77777777" w:rsidR="00E625FB" w:rsidRPr="004C7FBD" w:rsidRDefault="00E625FB" w:rsidP="00E625FB">
      <w:pPr>
        <w:spacing w:after="0" w:line="240" w:lineRule="auto"/>
        <w:jc w:val="center"/>
        <w:rPr>
          <w:rFonts w:ascii="Times New Roman" w:eastAsia="Times New Roman" w:hAnsi="Times New Roman" w:cs="Times New Roman"/>
          <w:i/>
          <w:lang w:val="lt-LT"/>
        </w:rPr>
      </w:pPr>
      <w:r w:rsidRPr="00BD3636">
        <w:rPr>
          <w:rFonts w:ascii="Times New Roman" w:hAnsi="Times New Roman" w:cs="Times New Roman"/>
          <w:b/>
          <w:lang w:val="lt-LT"/>
        </w:rPr>
        <w:t>REGISTRACIJOS</w:t>
      </w:r>
      <w:r w:rsidRPr="004C7FBD">
        <w:rPr>
          <w:rFonts w:ascii="Times New Roman" w:eastAsia="Times New Roman" w:hAnsi="Times New Roman" w:cs="Times New Roman"/>
          <w:b/>
          <w:lang w:val="lt-LT"/>
        </w:rPr>
        <w:t xml:space="preserve"> SĄLYGOS</w:t>
      </w:r>
    </w:p>
    <w:p w14:paraId="6A6E832A" w14:textId="77777777" w:rsidR="00E625FB" w:rsidRPr="004C7FBD" w:rsidRDefault="00E625FB" w:rsidP="00E625FB">
      <w:pPr>
        <w:spacing w:after="0" w:line="240" w:lineRule="auto"/>
        <w:ind w:left="1701" w:right="1416" w:hanging="708"/>
        <w:rPr>
          <w:rFonts w:ascii="Times New Roman" w:eastAsia="Times New Roman" w:hAnsi="Times New Roman" w:cs="Times New Roman"/>
          <w:lang w:val="lt-LT"/>
        </w:rPr>
      </w:pPr>
    </w:p>
    <w:p w14:paraId="2CAAC012" w14:textId="77777777" w:rsidR="00E625FB" w:rsidRPr="004C7FBD" w:rsidRDefault="00E625FB" w:rsidP="00E625FB">
      <w:pPr>
        <w:spacing w:after="0" w:line="240" w:lineRule="auto"/>
        <w:ind w:left="1701" w:right="1416" w:hanging="708"/>
        <w:rPr>
          <w:rFonts w:ascii="Times New Roman" w:eastAsia="Times New Roman" w:hAnsi="Times New Roman" w:cs="Times New Roman"/>
          <w:b/>
          <w:lang w:val="lt-LT"/>
        </w:rPr>
      </w:pPr>
      <w:r w:rsidRPr="004C7FBD">
        <w:rPr>
          <w:rFonts w:ascii="Times New Roman" w:eastAsia="Times New Roman" w:hAnsi="Times New Roman" w:cs="Times New Roman"/>
          <w:b/>
          <w:lang w:val="lt-LT"/>
        </w:rPr>
        <w:t>A.</w:t>
      </w:r>
      <w:r w:rsidRPr="004C7FBD">
        <w:rPr>
          <w:rFonts w:ascii="Times New Roman" w:eastAsia="Times New Roman" w:hAnsi="Times New Roman" w:cs="Times New Roman"/>
          <w:b/>
          <w:lang w:val="lt-LT"/>
        </w:rPr>
        <w:tab/>
        <w:t>GAMINTOJAS (-AI), ATSAKINGAS (-I) UŽ SERIJŲ IŠLEIDIMĄ</w:t>
      </w:r>
    </w:p>
    <w:p w14:paraId="2D9735E7" w14:textId="77777777" w:rsidR="00E625FB" w:rsidRPr="004C7FBD" w:rsidRDefault="00E625FB" w:rsidP="00E625FB">
      <w:pPr>
        <w:spacing w:after="0" w:line="240" w:lineRule="auto"/>
        <w:ind w:left="1080"/>
        <w:rPr>
          <w:rFonts w:ascii="Times New Roman" w:eastAsia="Times New Roman" w:hAnsi="Times New Roman" w:cs="Times New Roman"/>
          <w:lang w:val="lt-LT"/>
        </w:rPr>
      </w:pPr>
    </w:p>
    <w:p w14:paraId="1CFB9DB6" w14:textId="77777777" w:rsidR="00E625FB" w:rsidRPr="004C7FBD" w:rsidRDefault="00E625FB" w:rsidP="00E625FB">
      <w:pPr>
        <w:tabs>
          <w:tab w:val="left" w:pos="1620"/>
        </w:tabs>
        <w:spacing w:after="0" w:line="240" w:lineRule="auto"/>
        <w:ind w:left="900" w:firstLine="180"/>
        <w:rPr>
          <w:rFonts w:ascii="Times New Roman" w:eastAsia="Times New Roman" w:hAnsi="Times New Roman" w:cs="Times New Roman"/>
          <w:lang w:val="lt-LT"/>
        </w:rPr>
      </w:pPr>
      <w:r w:rsidRPr="004C7FBD">
        <w:rPr>
          <w:rFonts w:ascii="Times New Roman" w:eastAsia="Times New Roman" w:hAnsi="Times New Roman" w:cs="Times New Roman"/>
          <w:b/>
          <w:lang w:val="lt-LT"/>
        </w:rPr>
        <w:t>B.</w:t>
      </w:r>
      <w:r w:rsidRPr="004C7FBD">
        <w:rPr>
          <w:rFonts w:ascii="Times New Roman" w:eastAsia="Times New Roman" w:hAnsi="Times New Roman" w:cs="Times New Roman"/>
          <w:b/>
          <w:lang w:val="lt-LT"/>
        </w:rPr>
        <w:tab/>
        <w:t>TIEKIMO IR VARTOJIMO SĄLYGOS AR APRIBOJIMAI</w:t>
      </w:r>
    </w:p>
    <w:p w14:paraId="7BDE0AD5" w14:textId="77777777" w:rsidR="00E625FB" w:rsidRPr="004C7FBD" w:rsidRDefault="00E625FB" w:rsidP="00E625FB">
      <w:pPr>
        <w:spacing w:after="0" w:line="240" w:lineRule="auto"/>
        <w:rPr>
          <w:rFonts w:ascii="Times New Roman" w:eastAsia="Times New Roman" w:hAnsi="Times New Roman" w:cs="Times New Roman"/>
          <w:lang w:val="lt-LT"/>
        </w:rPr>
      </w:pPr>
    </w:p>
    <w:p w14:paraId="105284AB" w14:textId="77777777" w:rsidR="00E625FB" w:rsidRPr="004C7FBD" w:rsidRDefault="00E625FB" w:rsidP="00E625FB">
      <w:pPr>
        <w:spacing w:after="0" w:line="240" w:lineRule="auto"/>
        <w:rPr>
          <w:rFonts w:ascii="Times New Roman" w:eastAsia="Times New Roman" w:hAnsi="Times New Roman" w:cs="Times New Roman"/>
          <w:lang w:val="lt-LT"/>
        </w:rPr>
      </w:pPr>
    </w:p>
    <w:p w14:paraId="48B84E31" w14:textId="77777777" w:rsidR="00E625FB" w:rsidRPr="004C7FBD" w:rsidRDefault="00E625FB" w:rsidP="00E625FB">
      <w:pP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lang w:val="lt-LT"/>
        </w:rPr>
        <w:br w:type="page"/>
      </w:r>
      <w:r w:rsidRPr="004C7FBD">
        <w:rPr>
          <w:rFonts w:ascii="Times New Roman" w:eastAsia="Times New Roman" w:hAnsi="Times New Roman" w:cs="Times New Roman"/>
          <w:b/>
          <w:lang w:val="lt-LT"/>
        </w:rPr>
        <w:lastRenderedPageBreak/>
        <w:t>A.</w:t>
      </w:r>
      <w:r w:rsidRPr="004C7FBD">
        <w:rPr>
          <w:rFonts w:ascii="Times New Roman" w:eastAsia="Times New Roman" w:hAnsi="Times New Roman" w:cs="Times New Roman"/>
          <w:b/>
          <w:lang w:val="lt-LT"/>
        </w:rPr>
        <w:tab/>
        <w:t>GAMINTOJAS (-AI), ATSAKINGAS (-I) UŽ SERIJŲ IŠLEIDIMĄ</w:t>
      </w:r>
    </w:p>
    <w:p w14:paraId="619C7EDF" w14:textId="77777777" w:rsidR="00E625FB" w:rsidRPr="004C7FBD" w:rsidRDefault="00E625FB" w:rsidP="00E625FB">
      <w:pPr>
        <w:spacing w:after="0" w:line="240" w:lineRule="auto"/>
        <w:rPr>
          <w:rFonts w:ascii="Times New Roman" w:eastAsia="Times New Roman" w:hAnsi="Times New Roman" w:cs="Times New Roman"/>
          <w:lang w:val="lt-LT"/>
        </w:rPr>
      </w:pPr>
    </w:p>
    <w:p w14:paraId="4BBC1F61" w14:textId="77777777" w:rsidR="00E625FB" w:rsidRPr="004C7FBD" w:rsidRDefault="00E625FB" w:rsidP="00E625FB">
      <w:pPr>
        <w:spacing w:after="0" w:line="240" w:lineRule="auto"/>
        <w:jc w:val="both"/>
        <w:rPr>
          <w:rFonts w:ascii="Times New Roman" w:eastAsia="Times New Roman" w:hAnsi="Times New Roman" w:cs="Times New Roman"/>
          <w:lang w:val="lt-LT"/>
        </w:rPr>
      </w:pPr>
      <w:r w:rsidRPr="004C7FBD">
        <w:rPr>
          <w:rFonts w:ascii="Times New Roman" w:eastAsia="Times New Roman" w:hAnsi="Times New Roman" w:cs="Times New Roman"/>
          <w:u w:val="single"/>
          <w:lang w:val="lt-LT"/>
        </w:rPr>
        <w:t>Gamintojo (-ų), atsakingo (-ų) už serijų išleidimą, pavadinimas (-ai) ir adresas (-ai)</w:t>
      </w:r>
    </w:p>
    <w:p w14:paraId="0B0CBB6F" w14:textId="77777777" w:rsidR="00E625FB" w:rsidRPr="004C7FBD" w:rsidRDefault="00E625FB" w:rsidP="00E625FB">
      <w:pPr>
        <w:spacing w:after="0" w:line="240" w:lineRule="auto"/>
        <w:rPr>
          <w:rFonts w:ascii="Times New Roman" w:eastAsia="Times New Roman" w:hAnsi="Times New Roman" w:cs="Times New Roman"/>
          <w:lang w:val="lt-LT"/>
        </w:rPr>
      </w:pPr>
    </w:p>
    <w:p w14:paraId="027F5A1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Berlin-Chemie AG </w:t>
      </w:r>
    </w:p>
    <w:p w14:paraId="6AAF996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Glienicker Weg 125</w:t>
      </w:r>
    </w:p>
    <w:p w14:paraId="6D9D63C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12489 Berlin</w:t>
      </w:r>
    </w:p>
    <w:p w14:paraId="4A09CC3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14:paraId="74EB5A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3F1488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14:paraId="5A78144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BAE81DE"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Menarini - Von Heyden GmbH</w:t>
      </w:r>
    </w:p>
    <w:p w14:paraId="00B9039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Leipziger Strasse 7-13 </w:t>
      </w:r>
    </w:p>
    <w:p w14:paraId="54CB2E1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01097- Dresden </w:t>
      </w:r>
    </w:p>
    <w:p w14:paraId="11B4F73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14:paraId="667CAE6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83B92D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14:paraId="007C16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3872729"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 Menarini Manufacturing Logistics and Services S.r.l.</w:t>
      </w:r>
    </w:p>
    <w:p w14:paraId="62F60CD0"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Via Sette Santi 3 </w:t>
      </w:r>
    </w:p>
    <w:p w14:paraId="1456606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50131 Florence </w:t>
      </w:r>
    </w:p>
    <w:p w14:paraId="50BCAFDF"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Italija</w:t>
      </w:r>
    </w:p>
    <w:p w14:paraId="71B3EC27" w14:textId="77777777" w:rsidR="00E625FB" w:rsidRPr="004C7FBD" w:rsidRDefault="00E625FB" w:rsidP="00E625FB">
      <w:pPr>
        <w:spacing w:after="0" w:line="240" w:lineRule="auto"/>
        <w:rPr>
          <w:rFonts w:ascii="Times New Roman" w:eastAsia="Times New Roman" w:hAnsi="Times New Roman" w:cs="Times New Roman"/>
          <w:lang w:val="lt-LT"/>
        </w:rPr>
      </w:pPr>
    </w:p>
    <w:p w14:paraId="1E7794D2"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Su pakuote pateikiamame lapelyje nurodomas gamintojo, atsakingo už konkrečios serijos išleidimą, pavadinimas ir adresas.</w:t>
      </w:r>
    </w:p>
    <w:p w14:paraId="6C95117B" w14:textId="77777777" w:rsidR="00E625FB" w:rsidRPr="004C7FBD" w:rsidRDefault="00E625FB" w:rsidP="00E625FB">
      <w:pPr>
        <w:spacing w:after="0" w:line="240" w:lineRule="auto"/>
        <w:rPr>
          <w:rFonts w:ascii="Times New Roman" w:eastAsia="Times New Roman" w:hAnsi="Times New Roman" w:cs="Times New Roman"/>
          <w:lang w:val="lt-LT"/>
        </w:rPr>
      </w:pPr>
    </w:p>
    <w:p w14:paraId="2DCC89AE" w14:textId="77777777" w:rsidR="00E625FB" w:rsidRPr="004C7FBD" w:rsidRDefault="00E625FB" w:rsidP="00E625FB">
      <w:pPr>
        <w:spacing w:after="0" w:line="240" w:lineRule="auto"/>
        <w:rPr>
          <w:rFonts w:ascii="Times New Roman" w:eastAsia="Times New Roman" w:hAnsi="Times New Roman" w:cs="Times New Roman"/>
          <w:lang w:val="lt-LT"/>
        </w:rPr>
      </w:pPr>
    </w:p>
    <w:p w14:paraId="1ACAA491" w14:textId="77777777" w:rsidR="00E625FB" w:rsidRPr="004C7FBD" w:rsidRDefault="00E625FB" w:rsidP="00E625FB">
      <w:pPr>
        <w:suppressLineNumbers/>
        <w:spacing w:after="0" w:line="240" w:lineRule="auto"/>
        <w:ind w:left="567" w:hanging="567"/>
        <w:rPr>
          <w:rFonts w:ascii="Times New Roman" w:eastAsia="Times New Roman" w:hAnsi="Times New Roman" w:cs="Times New Roman"/>
          <w:lang w:val="lt-LT"/>
        </w:rPr>
      </w:pPr>
      <w:r w:rsidRPr="004C7FBD">
        <w:rPr>
          <w:rFonts w:ascii="Times New Roman" w:eastAsia="Times New Roman" w:hAnsi="Times New Roman" w:cs="Times New Roman"/>
          <w:b/>
          <w:lang w:val="lt-LT"/>
        </w:rPr>
        <w:t>B.</w:t>
      </w:r>
      <w:r w:rsidRPr="004C7FBD">
        <w:rPr>
          <w:rFonts w:ascii="Times New Roman" w:eastAsia="Times New Roman" w:hAnsi="Times New Roman" w:cs="Times New Roman"/>
          <w:b/>
          <w:lang w:val="lt-LT"/>
        </w:rPr>
        <w:tab/>
        <w:t xml:space="preserve">TIEKIMO IR VARTOJIMO SĄLYGOS AR APRIBOJIMAI </w:t>
      </w:r>
    </w:p>
    <w:p w14:paraId="6B1805AC" w14:textId="77777777" w:rsidR="00E625FB" w:rsidRPr="004C7FBD" w:rsidRDefault="00E625FB" w:rsidP="00E625FB">
      <w:pPr>
        <w:spacing w:after="0" w:line="240" w:lineRule="auto"/>
        <w:rPr>
          <w:rFonts w:ascii="Times New Roman" w:eastAsia="Times New Roman" w:hAnsi="Times New Roman" w:cs="Times New Roman"/>
          <w:lang w:val="lt-LT"/>
        </w:rPr>
      </w:pPr>
    </w:p>
    <w:p w14:paraId="139E7DC4"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Receptinis vaistinis preparatas.</w:t>
      </w:r>
    </w:p>
    <w:p w14:paraId="424B796E" w14:textId="77777777" w:rsidR="00E625FB" w:rsidRPr="004C7FBD" w:rsidRDefault="00E625FB" w:rsidP="00E625FB">
      <w:pPr>
        <w:spacing w:after="0" w:line="240" w:lineRule="auto"/>
        <w:rPr>
          <w:rFonts w:ascii="Times New Roman" w:eastAsia="Times New Roman" w:hAnsi="Times New Roman" w:cs="Times New Roman"/>
          <w:lang w:val="lt-LT"/>
        </w:rPr>
      </w:pPr>
    </w:p>
    <w:p w14:paraId="647E57C3" w14:textId="77777777" w:rsidR="00E625FB" w:rsidRPr="004C7FBD" w:rsidRDefault="00E625FB" w:rsidP="00E625FB">
      <w:pPr>
        <w:spacing w:after="0" w:line="240" w:lineRule="auto"/>
        <w:rPr>
          <w:rFonts w:ascii="Times New Roman" w:eastAsia="Times New Roman" w:hAnsi="Times New Roman" w:cs="Times New Roman"/>
          <w:lang w:val="lt-LT"/>
        </w:rPr>
      </w:pPr>
    </w:p>
    <w:p w14:paraId="5DF9B5C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br w:type="page"/>
      </w:r>
    </w:p>
    <w:p w14:paraId="4FBF2FEA" w14:textId="77777777" w:rsidR="00E625FB" w:rsidRPr="004C7FBD" w:rsidRDefault="00E625FB" w:rsidP="00E625FB">
      <w:pPr>
        <w:spacing w:after="0" w:line="240" w:lineRule="auto"/>
        <w:rPr>
          <w:rFonts w:ascii="Times New Roman" w:eastAsia="Times New Roman" w:hAnsi="Times New Roman" w:cs="Times New Roman"/>
          <w:lang w:val="lt-LT"/>
        </w:rPr>
      </w:pPr>
    </w:p>
    <w:p w14:paraId="749E0CAE" w14:textId="77777777" w:rsidR="00E625FB" w:rsidRPr="004C7FBD" w:rsidRDefault="00E625FB" w:rsidP="00E625FB">
      <w:pPr>
        <w:spacing w:after="0" w:line="240" w:lineRule="auto"/>
        <w:rPr>
          <w:rFonts w:ascii="Times New Roman" w:eastAsia="Times New Roman" w:hAnsi="Times New Roman" w:cs="Times New Roman"/>
          <w:lang w:val="lt-LT"/>
        </w:rPr>
      </w:pPr>
    </w:p>
    <w:p w14:paraId="6E5965E5" w14:textId="77777777" w:rsidR="00E625FB" w:rsidRPr="004C7FBD" w:rsidRDefault="00E625FB" w:rsidP="00E625FB">
      <w:pPr>
        <w:spacing w:after="0" w:line="240" w:lineRule="auto"/>
        <w:rPr>
          <w:rFonts w:ascii="Times New Roman" w:eastAsia="Times New Roman" w:hAnsi="Times New Roman" w:cs="Times New Roman"/>
          <w:lang w:val="lt-LT"/>
        </w:rPr>
      </w:pPr>
    </w:p>
    <w:p w14:paraId="76A6F79A" w14:textId="77777777" w:rsidR="00E625FB" w:rsidRPr="004C7FBD" w:rsidRDefault="00E625FB" w:rsidP="00E625FB">
      <w:pPr>
        <w:spacing w:after="0" w:line="240" w:lineRule="auto"/>
        <w:rPr>
          <w:rFonts w:ascii="Times New Roman" w:eastAsia="Times New Roman" w:hAnsi="Times New Roman" w:cs="Times New Roman"/>
          <w:lang w:val="lt-LT"/>
        </w:rPr>
      </w:pPr>
    </w:p>
    <w:p w14:paraId="7E75C10F" w14:textId="77777777" w:rsidR="00E625FB" w:rsidRPr="004C7FBD" w:rsidRDefault="00E625FB" w:rsidP="00E625FB">
      <w:pPr>
        <w:spacing w:after="0" w:line="240" w:lineRule="auto"/>
        <w:rPr>
          <w:rFonts w:ascii="Times New Roman" w:eastAsia="Times New Roman" w:hAnsi="Times New Roman" w:cs="Times New Roman"/>
          <w:lang w:val="lt-LT"/>
        </w:rPr>
      </w:pPr>
    </w:p>
    <w:p w14:paraId="067C4EDE" w14:textId="77777777" w:rsidR="00E625FB" w:rsidRPr="004C7FBD" w:rsidRDefault="00E625FB" w:rsidP="00E625FB">
      <w:pPr>
        <w:spacing w:after="0" w:line="240" w:lineRule="auto"/>
        <w:rPr>
          <w:rFonts w:ascii="Times New Roman" w:eastAsia="Times New Roman" w:hAnsi="Times New Roman" w:cs="Times New Roman"/>
          <w:lang w:val="lt-LT"/>
        </w:rPr>
      </w:pPr>
    </w:p>
    <w:p w14:paraId="69EA5C35" w14:textId="77777777" w:rsidR="00E625FB" w:rsidRPr="004C7FBD" w:rsidRDefault="00E625FB" w:rsidP="00E625FB">
      <w:pPr>
        <w:spacing w:after="0" w:line="240" w:lineRule="auto"/>
        <w:rPr>
          <w:rFonts w:ascii="Times New Roman" w:eastAsia="Times New Roman" w:hAnsi="Times New Roman" w:cs="Times New Roman"/>
          <w:lang w:val="lt-LT"/>
        </w:rPr>
      </w:pPr>
    </w:p>
    <w:p w14:paraId="5EE05AFB" w14:textId="77777777" w:rsidR="00E625FB" w:rsidRPr="004C7FBD" w:rsidRDefault="00E625FB" w:rsidP="00E625FB">
      <w:pPr>
        <w:spacing w:after="0" w:line="240" w:lineRule="auto"/>
        <w:rPr>
          <w:rFonts w:ascii="Times New Roman" w:eastAsia="Times New Roman" w:hAnsi="Times New Roman" w:cs="Times New Roman"/>
          <w:lang w:val="lt-LT"/>
        </w:rPr>
      </w:pPr>
    </w:p>
    <w:p w14:paraId="600F4771" w14:textId="77777777" w:rsidR="00E625FB" w:rsidRPr="004C7FBD" w:rsidRDefault="00E625FB" w:rsidP="00E625FB">
      <w:pPr>
        <w:spacing w:after="0" w:line="240" w:lineRule="auto"/>
        <w:rPr>
          <w:rFonts w:ascii="Times New Roman" w:eastAsia="Times New Roman" w:hAnsi="Times New Roman" w:cs="Times New Roman"/>
          <w:lang w:val="lt-LT"/>
        </w:rPr>
      </w:pPr>
    </w:p>
    <w:p w14:paraId="4534A858" w14:textId="77777777" w:rsidR="00E625FB" w:rsidRPr="004C7FBD" w:rsidRDefault="00E625FB" w:rsidP="00E625FB">
      <w:pPr>
        <w:spacing w:after="0" w:line="240" w:lineRule="auto"/>
        <w:rPr>
          <w:rFonts w:ascii="Times New Roman" w:eastAsia="Times New Roman" w:hAnsi="Times New Roman" w:cs="Times New Roman"/>
          <w:lang w:val="lt-LT"/>
        </w:rPr>
      </w:pPr>
    </w:p>
    <w:p w14:paraId="102B2032" w14:textId="77777777" w:rsidR="00E625FB" w:rsidRPr="004C7FBD" w:rsidRDefault="00E625FB" w:rsidP="00E625FB">
      <w:pPr>
        <w:spacing w:after="0" w:line="240" w:lineRule="auto"/>
        <w:rPr>
          <w:rFonts w:ascii="Times New Roman" w:eastAsia="Times New Roman" w:hAnsi="Times New Roman" w:cs="Times New Roman"/>
          <w:lang w:val="lt-LT"/>
        </w:rPr>
      </w:pPr>
    </w:p>
    <w:p w14:paraId="617EEB0A" w14:textId="77777777" w:rsidR="00E625FB" w:rsidRPr="004C7FBD" w:rsidRDefault="00E625FB" w:rsidP="00E625FB">
      <w:pPr>
        <w:spacing w:after="0" w:line="240" w:lineRule="auto"/>
        <w:rPr>
          <w:rFonts w:ascii="Times New Roman" w:eastAsia="Times New Roman" w:hAnsi="Times New Roman" w:cs="Times New Roman"/>
          <w:lang w:val="lt-LT"/>
        </w:rPr>
      </w:pPr>
    </w:p>
    <w:p w14:paraId="5D0BC668" w14:textId="77777777" w:rsidR="00E625FB" w:rsidRPr="004C7FBD" w:rsidRDefault="00E625FB" w:rsidP="00E625FB">
      <w:pPr>
        <w:spacing w:after="0" w:line="240" w:lineRule="auto"/>
        <w:rPr>
          <w:rFonts w:ascii="Times New Roman" w:eastAsia="Times New Roman" w:hAnsi="Times New Roman" w:cs="Times New Roman"/>
          <w:lang w:val="lt-LT"/>
        </w:rPr>
      </w:pPr>
    </w:p>
    <w:p w14:paraId="27C77393" w14:textId="77777777" w:rsidR="00E625FB" w:rsidRPr="004C7FBD" w:rsidRDefault="00E625FB" w:rsidP="00E625FB">
      <w:pPr>
        <w:spacing w:after="0" w:line="240" w:lineRule="auto"/>
        <w:rPr>
          <w:rFonts w:ascii="Times New Roman" w:eastAsia="Times New Roman" w:hAnsi="Times New Roman" w:cs="Times New Roman"/>
          <w:lang w:val="lt-LT"/>
        </w:rPr>
      </w:pPr>
    </w:p>
    <w:p w14:paraId="29A9A88B" w14:textId="77777777" w:rsidR="00E625FB" w:rsidRPr="004C7FBD" w:rsidRDefault="00E625FB" w:rsidP="00E625FB">
      <w:pPr>
        <w:spacing w:after="0" w:line="240" w:lineRule="auto"/>
        <w:rPr>
          <w:rFonts w:ascii="Times New Roman" w:eastAsia="Times New Roman" w:hAnsi="Times New Roman" w:cs="Times New Roman"/>
          <w:lang w:val="lt-LT"/>
        </w:rPr>
      </w:pPr>
    </w:p>
    <w:p w14:paraId="6CB3A3AD" w14:textId="77777777" w:rsidR="00E625FB" w:rsidRPr="004C7FBD" w:rsidRDefault="00E625FB" w:rsidP="00E625FB">
      <w:pPr>
        <w:spacing w:after="0" w:line="240" w:lineRule="auto"/>
        <w:rPr>
          <w:rFonts w:ascii="Times New Roman" w:eastAsia="Times New Roman" w:hAnsi="Times New Roman" w:cs="Times New Roman"/>
          <w:lang w:val="lt-LT"/>
        </w:rPr>
      </w:pPr>
    </w:p>
    <w:p w14:paraId="429B131E" w14:textId="77777777" w:rsidR="00E625FB" w:rsidRPr="004C7FBD" w:rsidRDefault="00E625FB" w:rsidP="00E625FB">
      <w:pPr>
        <w:spacing w:after="0" w:line="240" w:lineRule="auto"/>
        <w:rPr>
          <w:rFonts w:ascii="Times New Roman" w:eastAsia="Times New Roman" w:hAnsi="Times New Roman" w:cs="Times New Roman"/>
          <w:lang w:val="lt-LT"/>
        </w:rPr>
      </w:pPr>
    </w:p>
    <w:p w14:paraId="523935B2" w14:textId="77777777" w:rsidR="00E625FB" w:rsidRPr="004C7FBD" w:rsidRDefault="00E625FB" w:rsidP="00E625FB">
      <w:pPr>
        <w:spacing w:after="0" w:line="240" w:lineRule="auto"/>
        <w:rPr>
          <w:rFonts w:ascii="Times New Roman" w:eastAsia="Times New Roman" w:hAnsi="Times New Roman" w:cs="Times New Roman"/>
          <w:lang w:val="lt-LT"/>
        </w:rPr>
      </w:pPr>
    </w:p>
    <w:p w14:paraId="77CDD8A9" w14:textId="77777777" w:rsidR="00E625FB" w:rsidRPr="004C7FBD" w:rsidRDefault="00E625FB" w:rsidP="00E625FB">
      <w:pPr>
        <w:spacing w:after="0" w:line="240" w:lineRule="auto"/>
        <w:rPr>
          <w:rFonts w:ascii="Times New Roman" w:eastAsia="Times New Roman" w:hAnsi="Times New Roman" w:cs="Times New Roman"/>
          <w:lang w:val="lt-LT"/>
        </w:rPr>
      </w:pPr>
    </w:p>
    <w:p w14:paraId="2EFDB3EC" w14:textId="77777777" w:rsidR="00E625FB" w:rsidRPr="004C7FBD" w:rsidRDefault="00E625FB" w:rsidP="00E625FB">
      <w:pPr>
        <w:spacing w:after="0" w:line="240" w:lineRule="auto"/>
        <w:rPr>
          <w:rFonts w:ascii="Times New Roman" w:eastAsia="Times New Roman" w:hAnsi="Times New Roman" w:cs="Times New Roman"/>
          <w:lang w:val="lt-LT"/>
        </w:rPr>
      </w:pPr>
    </w:p>
    <w:p w14:paraId="55EC2732" w14:textId="77777777" w:rsidR="00E625FB" w:rsidRPr="004C7FBD" w:rsidRDefault="00E625FB" w:rsidP="00E625FB">
      <w:pPr>
        <w:spacing w:after="0" w:line="240" w:lineRule="auto"/>
        <w:rPr>
          <w:rFonts w:ascii="Times New Roman" w:eastAsia="Times New Roman" w:hAnsi="Times New Roman" w:cs="Times New Roman"/>
          <w:lang w:val="lt-LT"/>
        </w:rPr>
      </w:pPr>
    </w:p>
    <w:p w14:paraId="5FA8876C" w14:textId="77777777" w:rsidR="00E625FB" w:rsidRPr="004C7FBD" w:rsidRDefault="00E625FB" w:rsidP="00E625FB">
      <w:pPr>
        <w:spacing w:after="0" w:line="240" w:lineRule="auto"/>
        <w:rPr>
          <w:rFonts w:ascii="Times New Roman" w:eastAsia="Times New Roman" w:hAnsi="Times New Roman" w:cs="Times New Roman"/>
          <w:lang w:val="lt-LT"/>
        </w:rPr>
      </w:pPr>
    </w:p>
    <w:p w14:paraId="5F602767"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III PRIEDAS</w:t>
      </w:r>
    </w:p>
    <w:p w14:paraId="06D48D36" w14:textId="77777777" w:rsidR="00E625FB" w:rsidRPr="004C7FBD" w:rsidRDefault="00E625FB" w:rsidP="00E625FB">
      <w:pPr>
        <w:spacing w:after="0" w:line="240" w:lineRule="auto"/>
        <w:rPr>
          <w:rFonts w:ascii="Times New Roman" w:eastAsia="Times New Roman" w:hAnsi="Times New Roman" w:cs="Times New Roman"/>
          <w:lang w:val="lt-LT"/>
        </w:rPr>
      </w:pPr>
    </w:p>
    <w:p w14:paraId="233A0E96"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ŽENKLINIMAS IR PAKUOTĖS LAPELIS</w:t>
      </w:r>
    </w:p>
    <w:p w14:paraId="054E4C4A"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br w:type="page"/>
      </w:r>
    </w:p>
    <w:p w14:paraId="27D1646A" w14:textId="77777777" w:rsidR="00E625FB" w:rsidRPr="004C7FBD" w:rsidRDefault="00E625FB" w:rsidP="00E625FB">
      <w:pPr>
        <w:spacing w:after="0" w:line="240" w:lineRule="auto"/>
        <w:rPr>
          <w:rFonts w:ascii="Times New Roman" w:eastAsia="Times New Roman" w:hAnsi="Times New Roman" w:cs="Times New Roman"/>
          <w:lang w:val="lt-LT"/>
        </w:rPr>
      </w:pPr>
    </w:p>
    <w:p w14:paraId="2705EC75" w14:textId="77777777" w:rsidR="00E625FB" w:rsidRPr="004C7FBD" w:rsidRDefault="00E625FB" w:rsidP="00E625FB">
      <w:pPr>
        <w:spacing w:after="0" w:line="240" w:lineRule="auto"/>
        <w:rPr>
          <w:rFonts w:ascii="Times New Roman" w:eastAsia="Times New Roman" w:hAnsi="Times New Roman" w:cs="Times New Roman"/>
          <w:lang w:val="lt-LT"/>
        </w:rPr>
      </w:pPr>
    </w:p>
    <w:p w14:paraId="294D15F4" w14:textId="77777777" w:rsidR="00E625FB" w:rsidRPr="004C7FBD" w:rsidRDefault="00E625FB" w:rsidP="00E625FB">
      <w:pPr>
        <w:spacing w:after="0" w:line="240" w:lineRule="auto"/>
        <w:rPr>
          <w:rFonts w:ascii="Times New Roman" w:eastAsia="Times New Roman" w:hAnsi="Times New Roman" w:cs="Times New Roman"/>
          <w:lang w:val="lt-LT"/>
        </w:rPr>
      </w:pPr>
    </w:p>
    <w:p w14:paraId="0D4FF621" w14:textId="77777777" w:rsidR="00E625FB" w:rsidRPr="004C7FBD" w:rsidRDefault="00E625FB" w:rsidP="00E625FB">
      <w:pPr>
        <w:spacing w:after="0" w:line="240" w:lineRule="auto"/>
        <w:rPr>
          <w:rFonts w:ascii="Times New Roman" w:eastAsia="Times New Roman" w:hAnsi="Times New Roman" w:cs="Times New Roman"/>
          <w:lang w:val="lt-LT"/>
        </w:rPr>
      </w:pPr>
    </w:p>
    <w:p w14:paraId="4FA20436" w14:textId="77777777" w:rsidR="00E625FB" w:rsidRPr="004C7FBD" w:rsidRDefault="00E625FB" w:rsidP="00E625FB">
      <w:pPr>
        <w:spacing w:after="0" w:line="240" w:lineRule="auto"/>
        <w:rPr>
          <w:rFonts w:ascii="Times New Roman" w:eastAsia="Times New Roman" w:hAnsi="Times New Roman" w:cs="Times New Roman"/>
          <w:lang w:val="lt-LT"/>
        </w:rPr>
      </w:pPr>
    </w:p>
    <w:p w14:paraId="15887C9D" w14:textId="77777777" w:rsidR="00E625FB" w:rsidRPr="004C7FBD" w:rsidRDefault="00E625FB" w:rsidP="00E625FB">
      <w:pPr>
        <w:spacing w:after="0" w:line="240" w:lineRule="auto"/>
        <w:rPr>
          <w:rFonts w:ascii="Times New Roman" w:eastAsia="Times New Roman" w:hAnsi="Times New Roman" w:cs="Times New Roman"/>
          <w:lang w:val="lt-LT"/>
        </w:rPr>
      </w:pPr>
    </w:p>
    <w:p w14:paraId="30214337" w14:textId="77777777" w:rsidR="00E625FB" w:rsidRPr="004C7FBD" w:rsidRDefault="00E625FB" w:rsidP="00E625FB">
      <w:pPr>
        <w:spacing w:after="0" w:line="240" w:lineRule="auto"/>
        <w:rPr>
          <w:rFonts w:ascii="Times New Roman" w:eastAsia="Times New Roman" w:hAnsi="Times New Roman" w:cs="Times New Roman"/>
          <w:lang w:val="lt-LT"/>
        </w:rPr>
      </w:pPr>
    </w:p>
    <w:p w14:paraId="071C66F5" w14:textId="77777777" w:rsidR="00E625FB" w:rsidRPr="004C7FBD" w:rsidRDefault="00E625FB" w:rsidP="00E625FB">
      <w:pPr>
        <w:spacing w:after="0" w:line="240" w:lineRule="auto"/>
        <w:rPr>
          <w:rFonts w:ascii="Times New Roman" w:eastAsia="Times New Roman" w:hAnsi="Times New Roman" w:cs="Times New Roman"/>
          <w:lang w:val="lt-LT"/>
        </w:rPr>
      </w:pPr>
    </w:p>
    <w:p w14:paraId="67A66D8A" w14:textId="77777777" w:rsidR="00E625FB" w:rsidRPr="004C7FBD" w:rsidRDefault="00E625FB" w:rsidP="00E625FB">
      <w:pPr>
        <w:spacing w:after="0" w:line="240" w:lineRule="auto"/>
        <w:rPr>
          <w:rFonts w:ascii="Times New Roman" w:eastAsia="Times New Roman" w:hAnsi="Times New Roman" w:cs="Times New Roman"/>
          <w:lang w:val="lt-LT"/>
        </w:rPr>
      </w:pPr>
    </w:p>
    <w:p w14:paraId="76C52B3C" w14:textId="77777777" w:rsidR="00E625FB" w:rsidRPr="004C7FBD" w:rsidRDefault="00E625FB" w:rsidP="00E625FB">
      <w:pPr>
        <w:spacing w:after="0" w:line="240" w:lineRule="auto"/>
        <w:rPr>
          <w:rFonts w:ascii="Times New Roman" w:eastAsia="Times New Roman" w:hAnsi="Times New Roman" w:cs="Times New Roman"/>
          <w:lang w:val="lt-LT"/>
        </w:rPr>
      </w:pPr>
    </w:p>
    <w:p w14:paraId="0518906A" w14:textId="77777777" w:rsidR="00E625FB" w:rsidRPr="004C7FBD" w:rsidRDefault="00E625FB" w:rsidP="00E625FB">
      <w:pPr>
        <w:spacing w:after="0" w:line="240" w:lineRule="auto"/>
        <w:rPr>
          <w:rFonts w:ascii="Times New Roman" w:eastAsia="Times New Roman" w:hAnsi="Times New Roman" w:cs="Times New Roman"/>
          <w:lang w:val="lt-LT"/>
        </w:rPr>
      </w:pPr>
    </w:p>
    <w:p w14:paraId="1A68F07A" w14:textId="77777777" w:rsidR="00E625FB" w:rsidRPr="004C7FBD" w:rsidRDefault="00E625FB" w:rsidP="00E625FB">
      <w:pPr>
        <w:spacing w:after="0" w:line="240" w:lineRule="auto"/>
        <w:rPr>
          <w:rFonts w:ascii="Times New Roman" w:eastAsia="Times New Roman" w:hAnsi="Times New Roman" w:cs="Times New Roman"/>
          <w:lang w:val="lt-LT"/>
        </w:rPr>
      </w:pPr>
    </w:p>
    <w:p w14:paraId="46DE341D" w14:textId="77777777" w:rsidR="00E625FB" w:rsidRPr="004C7FBD" w:rsidRDefault="00E625FB" w:rsidP="00E625FB">
      <w:pPr>
        <w:spacing w:after="0" w:line="240" w:lineRule="auto"/>
        <w:rPr>
          <w:rFonts w:ascii="Times New Roman" w:eastAsia="Times New Roman" w:hAnsi="Times New Roman" w:cs="Times New Roman"/>
          <w:lang w:val="lt-LT"/>
        </w:rPr>
      </w:pPr>
    </w:p>
    <w:p w14:paraId="5582146D" w14:textId="77777777" w:rsidR="00E625FB" w:rsidRPr="004C7FBD" w:rsidRDefault="00E625FB" w:rsidP="00E625FB">
      <w:pPr>
        <w:spacing w:after="0" w:line="240" w:lineRule="auto"/>
        <w:rPr>
          <w:rFonts w:ascii="Times New Roman" w:eastAsia="Times New Roman" w:hAnsi="Times New Roman" w:cs="Times New Roman"/>
          <w:lang w:val="lt-LT"/>
        </w:rPr>
      </w:pPr>
    </w:p>
    <w:p w14:paraId="7A5675E8" w14:textId="77777777" w:rsidR="00E625FB" w:rsidRPr="004C7FBD" w:rsidRDefault="00E625FB" w:rsidP="00E625FB">
      <w:pPr>
        <w:spacing w:after="0" w:line="240" w:lineRule="auto"/>
        <w:rPr>
          <w:rFonts w:ascii="Times New Roman" w:eastAsia="Times New Roman" w:hAnsi="Times New Roman" w:cs="Times New Roman"/>
          <w:lang w:val="lt-LT"/>
        </w:rPr>
      </w:pPr>
    </w:p>
    <w:p w14:paraId="61F63D17" w14:textId="77777777" w:rsidR="00E625FB" w:rsidRPr="004C7FBD" w:rsidRDefault="00E625FB" w:rsidP="00E625FB">
      <w:pPr>
        <w:spacing w:after="0" w:line="240" w:lineRule="auto"/>
        <w:rPr>
          <w:rFonts w:ascii="Times New Roman" w:eastAsia="Times New Roman" w:hAnsi="Times New Roman" w:cs="Times New Roman"/>
          <w:lang w:val="lt-LT"/>
        </w:rPr>
      </w:pPr>
    </w:p>
    <w:p w14:paraId="3E928647" w14:textId="77777777" w:rsidR="00E625FB" w:rsidRPr="004C7FBD" w:rsidRDefault="00E625FB" w:rsidP="00E625FB">
      <w:pPr>
        <w:spacing w:after="0" w:line="240" w:lineRule="auto"/>
        <w:rPr>
          <w:rFonts w:ascii="Times New Roman" w:eastAsia="Times New Roman" w:hAnsi="Times New Roman" w:cs="Times New Roman"/>
          <w:lang w:val="lt-LT"/>
        </w:rPr>
      </w:pPr>
    </w:p>
    <w:p w14:paraId="1636335A" w14:textId="77777777" w:rsidR="00E625FB" w:rsidRPr="004C7FBD" w:rsidRDefault="00E625FB" w:rsidP="00E625FB">
      <w:pPr>
        <w:spacing w:after="0" w:line="240" w:lineRule="auto"/>
        <w:rPr>
          <w:rFonts w:ascii="Times New Roman" w:eastAsia="Times New Roman" w:hAnsi="Times New Roman" w:cs="Times New Roman"/>
          <w:lang w:val="lt-LT"/>
        </w:rPr>
      </w:pPr>
    </w:p>
    <w:p w14:paraId="385CCA34" w14:textId="77777777" w:rsidR="00E625FB" w:rsidRPr="004C7FBD" w:rsidRDefault="00E625FB" w:rsidP="00E625FB">
      <w:pPr>
        <w:spacing w:after="0" w:line="240" w:lineRule="auto"/>
        <w:rPr>
          <w:rFonts w:ascii="Times New Roman" w:eastAsia="Times New Roman" w:hAnsi="Times New Roman" w:cs="Times New Roman"/>
          <w:lang w:val="lt-LT"/>
        </w:rPr>
      </w:pPr>
    </w:p>
    <w:p w14:paraId="5AC603CE" w14:textId="77777777" w:rsidR="00E625FB" w:rsidRPr="004C7FBD" w:rsidRDefault="00E625FB" w:rsidP="00E625FB">
      <w:pPr>
        <w:spacing w:after="0" w:line="240" w:lineRule="auto"/>
        <w:rPr>
          <w:rFonts w:ascii="Times New Roman" w:eastAsia="Times New Roman" w:hAnsi="Times New Roman" w:cs="Times New Roman"/>
          <w:lang w:val="lt-LT"/>
        </w:rPr>
      </w:pPr>
    </w:p>
    <w:p w14:paraId="798CEAA5" w14:textId="77777777" w:rsidR="00E625FB" w:rsidRPr="004C7FBD" w:rsidRDefault="00E625FB" w:rsidP="00E625FB">
      <w:pPr>
        <w:spacing w:after="0" w:line="240" w:lineRule="auto"/>
        <w:rPr>
          <w:rFonts w:ascii="Times New Roman" w:eastAsia="Times New Roman" w:hAnsi="Times New Roman" w:cs="Times New Roman"/>
          <w:lang w:val="lt-LT"/>
        </w:rPr>
      </w:pPr>
    </w:p>
    <w:p w14:paraId="2E12C2F7" w14:textId="77777777" w:rsidR="00E625FB" w:rsidRPr="004C7FBD" w:rsidRDefault="00E625FB" w:rsidP="00E625FB">
      <w:pPr>
        <w:spacing w:after="0" w:line="240" w:lineRule="auto"/>
        <w:rPr>
          <w:rFonts w:ascii="Times New Roman" w:eastAsia="Times New Roman" w:hAnsi="Times New Roman" w:cs="Times New Roman"/>
          <w:lang w:val="lt-LT"/>
        </w:rPr>
      </w:pPr>
    </w:p>
    <w:p w14:paraId="20CE3D59"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A. ŽENKLINIMAS</w:t>
      </w:r>
    </w:p>
    <w:p w14:paraId="23143AFA"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noProof/>
          <w:lang w:val="lt-LT"/>
        </w:rPr>
        <w:br w:type="page"/>
      </w:r>
      <w:r w:rsidRPr="004C7FBD">
        <w:rPr>
          <w:rFonts w:ascii="Times New Roman" w:eastAsia="Times New Roman" w:hAnsi="Times New Roman" w:cs="Times New Roman"/>
          <w:b/>
          <w:lang w:val="lt-LT"/>
        </w:rPr>
        <w:lastRenderedPageBreak/>
        <w:t>INFORMACIJA ANT IŠORINĖS PAKUOTĖS</w:t>
      </w:r>
    </w:p>
    <w:p w14:paraId="5A2752C6"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319F5A7C"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KARTONO DĖŽUTĖ</w:t>
      </w:r>
    </w:p>
    <w:p w14:paraId="495F17B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01EC5E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79B7F72"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w:t>
      </w:r>
      <w:r w:rsidRPr="004C7FBD">
        <w:rPr>
          <w:rFonts w:ascii="Times New Roman" w:eastAsia="Times New Roman" w:hAnsi="Times New Roman" w:cs="Times New Roman"/>
          <w:b/>
          <w:lang w:val="lt-LT"/>
        </w:rPr>
        <w:tab/>
        <w:t>VAISTINIO PREPARATO PAVADINIMAS</w:t>
      </w:r>
    </w:p>
    <w:p w14:paraId="4374FF4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A72DA00"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plėvele dengtos tabletės</w:t>
      </w:r>
    </w:p>
    <w:p w14:paraId="23223893"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Nebivololis / Hidrochlorotiazidas</w:t>
      </w:r>
    </w:p>
    <w:p w14:paraId="72E11B9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0EB846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64377DA"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2.</w:t>
      </w:r>
      <w:r w:rsidRPr="004C7FBD">
        <w:rPr>
          <w:rFonts w:ascii="Times New Roman" w:eastAsia="Times New Roman" w:hAnsi="Times New Roman" w:cs="Times New Roman"/>
          <w:b/>
          <w:lang w:val="lt-LT"/>
        </w:rPr>
        <w:tab/>
        <w:t>VEIKLIOJI (-IOSIOS) MEDŽIAGA (-OS) IR JOS KIEKIS (-IAI)</w:t>
      </w:r>
    </w:p>
    <w:p w14:paraId="0559B98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E2ED631"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Vienoje plėvele dengtoje tabletėje yra 5 mg nebivololio (hidrochlorido pavidalu) ir 12,5 mg hidrochlorotiazido.</w:t>
      </w:r>
    </w:p>
    <w:p w14:paraId="45DBFC7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370C22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7D483F2"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C7FBD">
        <w:rPr>
          <w:rFonts w:ascii="Times New Roman" w:eastAsia="Times New Roman" w:hAnsi="Times New Roman" w:cs="Times New Roman"/>
          <w:b/>
          <w:lang w:val="lt-LT"/>
        </w:rPr>
        <w:t>3.</w:t>
      </w:r>
      <w:r w:rsidRPr="004C7FBD">
        <w:rPr>
          <w:rFonts w:ascii="Times New Roman" w:eastAsia="Times New Roman" w:hAnsi="Times New Roman" w:cs="Times New Roman"/>
          <w:b/>
          <w:lang w:val="lt-LT"/>
        </w:rPr>
        <w:tab/>
        <w:t>PAGALBINIŲ MEDŽIAGŲ SĄRAŠAS</w:t>
      </w:r>
    </w:p>
    <w:p w14:paraId="6ED69C7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A3DCBB0" w14:textId="77777777" w:rsidR="00E625FB" w:rsidRPr="004C7FBD" w:rsidRDefault="00E625FB" w:rsidP="00E625FB">
      <w:pPr>
        <w:tabs>
          <w:tab w:val="left" w:pos="6120"/>
          <w:tab w:val="left" w:pos="7797"/>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Sudėtyje yra laktozės. </w:t>
      </w:r>
    </w:p>
    <w:p w14:paraId="6FBBF0D5" w14:textId="77777777" w:rsidR="00E625FB" w:rsidRPr="004C7FBD" w:rsidRDefault="00E625FB" w:rsidP="00E625FB">
      <w:pPr>
        <w:tabs>
          <w:tab w:val="left" w:pos="6120"/>
          <w:tab w:val="left" w:pos="7797"/>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Daugiau informacijos pateikta pakuotės lapelyje.</w:t>
      </w:r>
    </w:p>
    <w:p w14:paraId="181309A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D66F3B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1A059FE"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4.</w:t>
      </w:r>
      <w:r w:rsidRPr="004C7FBD">
        <w:rPr>
          <w:rFonts w:ascii="Times New Roman" w:eastAsia="Times New Roman" w:hAnsi="Times New Roman" w:cs="Times New Roman"/>
          <w:b/>
          <w:lang w:val="lt-LT"/>
        </w:rPr>
        <w:tab/>
        <w:t>FARMACINĖ FORMA IR KIEKIS PAKUOTĖJE</w:t>
      </w:r>
    </w:p>
    <w:p w14:paraId="5FA94D0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CFDB526" w14:textId="77777777" w:rsidR="00E625FB" w:rsidRPr="004C7FBD" w:rsidRDefault="00E625FB" w:rsidP="00E625FB">
      <w:pPr>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lang w:val="lt-LT"/>
        </w:rPr>
        <w:t>7 plėvele dengtos tabletės</w:t>
      </w:r>
    </w:p>
    <w:p w14:paraId="2C1B734F"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14 plėvele dengtų tablečių</w:t>
      </w:r>
    </w:p>
    <w:p w14:paraId="342364F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highlight w:val="lightGray"/>
          <w:lang w:val="lt-LT"/>
        </w:rPr>
        <w:t>28 plėvele dengtos tabletės</w:t>
      </w:r>
    </w:p>
    <w:p w14:paraId="4CE4DAE1"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30 plėvele dengtų tablečių</w:t>
      </w:r>
    </w:p>
    <w:p w14:paraId="02ADB558"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56 plėvele dengtos tabletės</w:t>
      </w:r>
    </w:p>
    <w:p w14:paraId="5D12AF02" w14:textId="77777777" w:rsidR="00E625FB" w:rsidRPr="004C7FBD" w:rsidRDefault="00E625FB" w:rsidP="00E625FB">
      <w:pPr>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highlight w:val="lightGray"/>
          <w:lang w:val="lt-LT"/>
        </w:rPr>
        <w:t>90 plėvele dengtų tablečių</w:t>
      </w:r>
    </w:p>
    <w:p w14:paraId="30D0C8D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4B63DF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E7426B6"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C7FBD">
        <w:rPr>
          <w:rFonts w:ascii="Times New Roman" w:eastAsia="Times New Roman" w:hAnsi="Times New Roman" w:cs="Times New Roman"/>
          <w:b/>
          <w:lang w:val="lt-LT"/>
        </w:rPr>
        <w:t>5.</w:t>
      </w:r>
      <w:r w:rsidRPr="004C7FBD">
        <w:rPr>
          <w:rFonts w:ascii="Times New Roman" w:eastAsia="Times New Roman" w:hAnsi="Times New Roman" w:cs="Times New Roman"/>
          <w:b/>
          <w:lang w:val="lt-LT"/>
        </w:rPr>
        <w:tab/>
        <w:t>VARTOJIMO METODAS IR BŪDAS</w:t>
      </w:r>
    </w:p>
    <w:p w14:paraId="78FE09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4B4F2AD"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Vartoti per burną.</w:t>
      </w:r>
    </w:p>
    <w:p w14:paraId="6CCEB36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Prieš vartojimą perskaitykite pakuotės lapelį.</w:t>
      </w:r>
    </w:p>
    <w:p w14:paraId="50C49CF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1C61B2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80B7656"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6.</w:t>
      </w:r>
      <w:r w:rsidRPr="004C7FBD">
        <w:rPr>
          <w:rFonts w:ascii="Times New Roman" w:eastAsia="Times New Roman" w:hAnsi="Times New Roman" w:cs="Times New Roman"/>
          <w:b/>
          <w:lang w:val="lt-LT"/>
        </w:rPr>
        <w:tab/>
        <w:t>SPECIALUS ĮSPĖJIMAS, KAD VAISTINĮ PREPARATĄ BŪTINA LAIKYTI VAIKAMS NEPASTEBIMOJE IR NEPASIEKIAMOJE VIETOJE</w:t>
      </w:r>
    </w:p>
    <w:p w14:paraId="7AC7A7A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878309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Laikyti vaikams nepastebimoje ir nepasiekiamoje vietoje.</w:t>
      </w:r>
    </w:p>
    <w:p w14:paraId="15EC4EF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59F4D1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B5CB3D5"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C7FBD">
        <w:rPr>
          <w:rFonts w:ascii="Times New Roman" w:eastAsia="Times New Roman" w:hAnsi="Times New Roman" w:cs="Times New Roman"/>
          <w:b/>
          <w:lang w:val="lt-LT"/>
        </w:rPr>
        <w:t>7.</w:t>
      </w:r>
      <w:r w:rsidRPr="004C7FBD">
        <w:rPr>
          <w:rFonts w:ascii="Times New Roman" w:eastAsia="Times New Roman" w:hAnsi="Times New Roman" w:cs="Times New Roman"/>
          <w:b/>
          <w:lang w:val="lt-LT"/>
        </w:rPr>
        <w:tab/>
        <w:t>KITAS (-I) SPECIALUS (-ŪS) ĮSPĖJIMAS (-AI) (JEI REIKIA)</w:t>
      </w:r>
    </w:p>
    <w:p w14:paraId="5E6BDBB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AD9573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EF4DC36"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C7FBD">
        <w:rPr>
          <w:rFonts w:ascii="Times New Roman" w:eastAsia="Times New Roman" w:hAnsi="Times New Roman" w:cs="Times New Roman"/>
          <w:b/>
          <w:lang w:val="lt-LT"/>
        </w:rPr>
        <w:t>8.</w:t>
      </w:r>
      <w:r w:rsidRPr="004C7FBD">
        <w:rPr>
          <w:rFonts w:ascii="Times New Roman" w:eastAsia="Times New Roman" w:hAnsi="Times New Roman" w:cs="Times New Roman"/>
          <w:b/>
          <w:lang w:val="lt-LT"/>
        </w:rPr>
        <w:tab/>
        <w:t>TINKAMUMO LAIKAS</w:t>
      </w:r>
    </w:p>
    <w:p w14:paraId="02B0D2AC" w14:textId="77777777" w:rsidR="00E625FB" w:rsidRPr="004C7FBD" w:rsidRDefault="00E625FB" w:rsidP="00E625FB">
      <w:pPr>
        <w:spacing w:after="0" w:line="240" w:lineRule="auto"/>
        <w:rPr>
          <w:rFonts w:ascii="Times New Roman" w:eastAsia="Times New Roman" w:hAnsi="Times New Roman" w:cs="Times New Roman"/>
          <w:lang w:val="lt-LT"/>
        </w:rPr>
      </w:pPr>
    </w:p>
    <w:p w14:paraId="548EB5CC" w14:textId="77777777" w:rsidR="00E625FB" w:rsidRPr="004C7FBD" w:rsidRDefault="00E625FB" w:rsidP="00E625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4C7FBD">
        <w:rPr>
          <w:rFonts w:ascii="Times New Roman" w:eastAsia="Times New Roman" w:hAnsi="Times New Roman" w:cs="Times New Roman"/>
          <w:lang w:val="lt-LT"/>
        </w:rPr>
        <w:t xml:space="preserve"> {mm/MMMM}</w:t>
      </w:r>
    </w:p>
    <w:p w14:paraId="01E13E7D" w14:textId="77777777" w:rsidR="00E625FB" w:rsidRPr="004C7FBD" w:rsidRDefault="00E625FB" w:rsidP="00E625FB">
      <w:pPr>
        <w:spacing w:after="0" w:line="240" w:lineRule="auto"/>
        <w:rPr>
          <w:rFonts w:ascii="Times New Roman" w:eastAsia="Times New Roman" w:hAnsi="Times New Roman" w:cs="Times New Roman"/>
          <w:lang w:val="lt-LT"/>
        </w:rPr>
      </w:pPr>
    </w:p>
    <w:p w14:paraId="3926F0B1" w14:textId="77777777" w:rsidR="00E625FB" w:rsidRPr="004C7FBD" w:rsidRDefault="00E625FB" w:rsidP="00E625FB">
      <w:pPr>
        <w:spacing w:after="0" w:line="240" w:lineRule="auto"/>
        <w:rPr>
          <w:rFonts w:ascii="Times New Roman" w:eastAsia="Times New Roman" w:hAnsi="Times New Roman" w:cs="Times New Roman"/>
          <w:lang w:val="lt-LT"/>
        </w:rPr>
      </w:pPr>
    </w:p>
    <w:p w14:paraId="25EC8162"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9.</w:t>
      </w:r>
      <w:r w:rsidRPr="004C7FBD">
        <w:rPr>
          <w:rFonts w:ascii="Times New Roman" w:eastAsia="Times New Roman" w:hAnsi="Times New Roman" w:cs="Times New Roman"/>
          <w:b/>
          <w:lang w:val="lt-LT"/>
        </w:rPr>
        <w:tab/>
        <w:t>SPECIALIOS LAIKYMO SĄLYGOS</w:t>
      </w:r>
    </w:p>
    <w:p w14:paraId="7D2C57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91B48F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6CB70DF"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10.</w:t>
      </w:r>
      <w:r w:rsidRPr="004C7FBD">
        <w:rPr>
          <w:rFonts w:ascii="Times New Roman" w:eastAsia="Times New Roman" w:hAnsi="Times New Roman" w:cs="Times New Roman"/>
          <w:b/>
          <w:lang w:val="lt-LT"/>
        </w:rPr>
        <w:tab/>
      </w:r>
      <w:r w:rsidRPr="004C7FBD">
        <w:rPr>
          <w:rFonts w:ascii="Times New Roman" w:eastAsia="Times New Roman" w:hAnsi="Times New Roman" w:cs="Times New Roman"/>
          <w:b/>
          <w:caps/>
          <w:lang w:val="lt-LT"/>
        </w:rPr>
        <w:t xml:space="preserve">specialios atsargumo priemonės </w:t>
      </w:r>
      <w:r w:rsidRPr="004C7FBD">
        <w:rPr>
          <w:rFonts w:ascii="Times New Roman" w:eastAsia="Times New Roman" w:hAnsi="Times New Roman" w:cs="Times New Roman"/>
          <w:b/>
          <w:lang w:val="lt-LT"/>
        </w:rPr>
        <w:t>DĖL NESUVARTOTO VAISTINIO PREPARATO AR JO ATLIEKŲ TVARKYMO</w:t>
      </w:r>
      <w:r w:rsidRPr="004C7FBD">
        <w:rPr>
          <w:rFonts w:ascii="Times New Roman" w:eastAsia="Times New Roman" w:hAnsi="Times New Roman" w:cs="Times New Roman"/>
          <w:b/>
          <w:caps/>
          <w:lang w:val="lt-LT"/>
        </w:rPr>
        <w:t xml:space="preserve"> (jei reikia)</w:t>
      </w:r>
    </w:p>
    <w:p w14:paraId="15B5CA8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A2709E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6B509D0"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11.</w:t>
      </w:r>
      <w:r w:rsidRPr="004C7FBD">
        <w:rPr>
          <w:rFonts w:ascii="Times New Roman" w:eastAsia="Times New Roman" w:hAnsi="Times New Roman" w:cs="Times New Roman"/>
          <w:b/>
          <w:lang w:val="lt-LT"/>
        </w:rPr>
        <w:tab/>
      </w:r>
      <w:r>
        <w:rPr>
          <w:rFonts w:ascii="Times New Roman" w:eastAsia="Times New Roman" w:hAnsi="Times New Roman" w:cs="Times New Roman"/>
          <w:b/>
          <w:lang w:val="lt-LT"/>
        </w:rPr>
        <w:t>REGISTRUOTOJO</w:t>
      </w:r>
      <w:r w:rsidRPr="004C7FBD">
        <w:rPr>
          <w:rFonts w:ascii="Times New Roman" w:eastAsia="Times New Roman" w:hAnsi="Times New Roman" w:cs="Times New Roman"/>
          <w:b/>
          <w:caps/>
          <w:lang w:val="lt-LT"/>
        </w:rPr>
        <w:t xml:space="preserve"> pavadinimas ir adresas</w:t>
      </w:r>
    </w:p>
    <w:p w14:paraId="2A46514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A99731"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Menarini International Operations Luxembourg S.A. </w:t>
      </w:r>
    </w:p>
    <w:p w14:paraId="131A10B0"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1, Avenue de la Gare </w:t>
      </w:r>
    </w:p>
    <w:p w14:paraId="69FEFA44"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L-1611 Luxembourg</w:t>
      </w:r>
    </w:p>
    <w:p w14:paraId="75D3E3B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Liuksemburgas</w:t>
      </w:r>
    </w:p>
    <w:p w14:paraId="5CD485C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01C0A8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ECC35C8"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12.</w:t>
      </w:r>
      <w:r w:rsidRPr="004C7FBD">
        <w:rPr>
          <w:rFonts w:ascii="Times New Roman" w:eastAsia="Times New Roman" w:hAnsi="Times New Roman" w:cs="Times New Roman"/>
          <w:lang w:val="lt-LT"/>
        </w:rPr>
        <w:tab/>
      </w:r>
      <w:r>
        <w:rPr>
          <w:rFonts w:ascii="Times New Roman" w:eastAsia="Times New Roman" w:hAnsi="Times New Roman" w:cs="Times New Roman"/>
          <w:b/>
          <w:lang w:val="lt-LT"/>
        </w:rPr>
        <w:t>REGISTRACIJOS</w:t>
      </w:r>
      <w:r w:rsidRPr="004C7FBD">
        <w:rPr>
          <w:rFonts w:ascii="Times New Roman" w:eastAsia="Times New Roman" w:hAnsi="Times New Roman" w:cs="Times New Roman"/>
          <w:b/>
          <w:lang w:val="lt-LT"/>
        </w:rPr>
        <w:t xml:space="preserve"> PAŽYMĖJIMO</w:t>
      </w:r>
      <w:r w:rsidRPr="004C7FBD">
        <w:rPr>
          <w:rFonts w:ascii="Times New Roman" w:eastAsia="Times New Roman" w:hAnsi="Times New Roman" w:cs="Times New Roman"/>
          <w:b/>
          <w:caps/>
          <w:lang w:val="lt-LT"/>
        </w:rPr>
        <w:t xml:space="preserve"> numeris (-IAI)</w:t>
      </w:r>
    </w:p>
    <w:p w14:paraId="6B380C9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0484CB4" w14:textId="77777777" w:rsidR="00E625FB" w:rsidRPr="004C7FBD" w:rsidRDefault="00E625FB" w:rsidP="00E625FB">
      <w:pPr>
        <w:spacing w:after="0" w:line="240" w:lineRule="auto"/>
        <w:rPr>
          <w:rFonts w:ascii="Times New Roman" w:eastAsia="Times New Roman" w:hAnsi="Times New Roman" w:cs="Times New Roman"/>
          <w:i/>
          <w:lang w:val="lt-LT"/>
        </w:rPr>
      </w:pPr>
      <w:r w:rsidRPr="004C7FBD">
        <w:rPr>
          <w:rFonts w:ascii="Times New Roman" w:eastAsia="Times New Roman" w:hAnsi="Times New Roman" w:cs="Times New Roman"/>
          <w:lang w:val="lt-LT"/>
        </w:rPr>
        <w:t>N7 – LT/1/09/1554/001</w:t>
      </w:r>
    </w:p>
    <w:p w14:paraId="50B390A6"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N14 – LT/1/09/1554/002</w:t>
      </w:r>
    </w:p>
    <w:p w14:paraId="13C1026E"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N28 – LT/1/09/1554/003</w:t>
      </w:r>
    </w:p>
    <w:p w14:paraId="6E86EC6E"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N30 – LT/1/09/1554/004</w:t>
      </w:r>
    </w:p>
    <w:p w14:paraId="49293A30" w14:textId="77777777" w:rsidR="00E625FB" w:rsidRPr="004C7FBD" w:rsidRDefault="00E625FB" w:rsidP="00E625FB">
      <w:pPr>
        <w:spacing w:after="0" w:line="240" w:lineRule="auto"/>
        <w:rPr>
          <w:rFonts w:ascii="Times New Roman" w:eastAsia="Times New Roman" w:hAnsi="Times New Roman" w:cs="Times New Roman"/>
          <w:highlight w:val="lightGray"/>
          <w:lang w:val="lt-LT"/>
        </w:rPr>
      </w:pPr>
      <w:r w:rsidRPr="004C7FBD">
        <w:rPr>
          <w:rFonts w:ascii="Times New Roman" w:eastAsia="Times New Roman" w:hAnsi="Times New Roman" w:cs="Times New Roman"/>
          <w:highlight w:val="lightGray"/>
          <w:lang w:val="lt-LT"/>
        </w:rPr>
        <w:t>N56 – LT/1/09/1554/005</w:t>
      </w:r>
    </w:p>
    <w:p w14:paraId="4DAA1170"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highlight w:val="lightGray"/>
          <w:lang w:val="lt-LT"/>
        </w:rPr>
        <w:t>N90 – LT/1/09/1554/006</w:t>
      </w:r>
    </w:p>
    <w:p w14:paraId="106BD2E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38699E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DCAC5F4"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13.</w:t>
      </w:r>
      <w:r w:rsidRPr="004C7FBD">
        <w:rPr>
          <w:rFonts w:ascii="Times New Roman" w:eastAsia="Times New Roman" w:hAnsi="Times New Roman" w:cs="Times New Roman"/>
          <w:b/>
          <w:lang w:val="lt-LT"/>
        </w:rPr>
        <w:tab/>
        <w:t>SERIJOS NUMERIS</w:t>
      </w:r>
    </w:p>
    <w:p w14:paraId="5718DA5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F7DE88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4C4DFBC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C0C37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C1721E5"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14.</w:t>
      </w:r>
      <w:r w:rsidRPr="004C7FBD">
        <w:rPr>
          <w:rFonts w:ascii="Times New Roman" w:eastAsia="Times New Roman" w:hAnsi="Times New Roman" w:cs="Times New Roman"/>
          <w:b/>
          <w:lang w:val="lt-LT"/>
        </w:rPr>
        <w:tab/>
      </w:r>
      <w:r w:rsidRPr="004C7FBD">
        <w:rPr>
          <w:rFonts w:ascii="Times New Roman" w:eastAsia="Times New Roman" w:hAnsi="Times New Roman" w:cs="Times New Roman"/>
          <w:b/>
          <w:caps/>
          <w:lang w:val="lt-LT"/>
        </w:rPr>
        <w:t>PARDAVIMO (IŠDAVIMO) tvarka</w:t>
      </w:r>
    </w:p>
    <w:p w14:paraId="6E7BFF1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5F7133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Receptinis vaistas.</w:t>
      </w:r>
    </w:p>
    <w:p w14:paraId="12A80AD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3B5350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9C0DDC1"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15.</w:t>
      </w:r>
      <w:r w:rsidRPr="004C7FBD">
        <w:rPr>
          <w:rFonts w:ascii="Times New Roman" w:eastAsia="Times New Roman" w:hAnsi="Times New Roman" w:cs="Times New Roman"/>
          <w:b/>
          <w:lang w:val="lt-LT"/>
        </w:rPr>
        <w:tab/>
        <w:t>VARTOJIMO INSTRUKCIJA</w:t>
      </w:r>
    </w:p>
    <w:p w14:paraId="2708317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05F9CB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F0B1E0C"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16.</w:t>
      </w:r>
      <w:r w:rsidRPr="004C7FBD">
        <w:rPr>
          <w:rFonts w:ascii="Times New Roman" w:eastAsia="Times New Roman" w:hAnsi="Times New Roman" w:cs="Times New Roman"/>
          <w:b/>
          <w:lang w:val="lt-LT"/>
        </w:rPr>
        <w:tab/>
        <w:t>INFORMACIJA BRAILIO RAŠTU</w:t>
      </w:r>
    </w:p>
    <w:p w14:paraId="188C93D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4109351"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Nebilet Plus 5 mg/12,5 mg </w:t>
      </w:r>
    </w:p>
    <w:p w14:paraId="6AF08010"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276DC666"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3960EFC7" w14:textId="77777777" w:rsidR="00E625FB" w:rsidRPr="008B7737" w:rsidRDefault="00E625FB" w:rsidP="00E625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8B7737">
        <w:rPr>
          <w:rFonts w:ascii="Times New Roman" w:eastAsia="Times New Roman" w:hAnsi="Times New Roman" w:cs="Times New Roman"/>
          <w:b/>
          <w:noProof/>
          <w:snapToGrid w:val="0"/>
          <w:szCs w:val="20"/>
          <w:lang w:val="lt-LT"/>
        </w:rPr>
        <w:t>17.</w:t>
      </w:r>
      <w:r w:rsidRPr="008B7737">
        <w:rPr>
          <w:rFonts w:ascii="Times New Roman" w:eastAsia="Times New Roman" w:hAnsi="Times New Roman" w:cs="Times New Roman"/>
          <w:b/>
          <w:noProof/>
          <w:snapToGrid w:val="0"/>
          <w:szCs w:val="20"/>
          <w:lang w:val="lt-LT"/>
        </w:rPr>
        <w:tab/>
        <w:t>UNIKALUS IDENTIFIKATORIUS – 2D BRŪKŠNINIS KODAS</w:t>
      </w:r>
    </w:p>
    <w:p w14:paraId="56DB6C06" w14:textId="77777777" w:rsidR="00E625FB" w:rsidRPr="008B7737" w:rsidRDefault="00E625FB" w:rsidP="00E625FB">
      <w:pPr>
        <w:tabs>
          <w:tab w:val="left" w:pos="567"/>
        </w:tabs>
        <w:spacing w:after="0" w:line="260" w:lineRule="exact"/>
        <w:rPr>
          <w:rFonts w:ascii="Times New Roman" w:eastAsia="Times New Roman" w:hAnsi="Times New Roman" w:cs="Times New Roman"/>
          <w:noProof/>
          <w:snapToGrid w:val="0"/>
          <w:szCs w:val="20"/>
          <w:lang w:val="lt-LT"/>
        </w:rPr>
      </w:pPr>
    </w:p>
    <w:p w14:paraId="3ACC0E01" w14:textId="77777777" w:rsidR="00E625FB" w:rsidRPr="008B7737" w:rsidRDefault="00E625FB" w:rsidP="00E625FB">
      <w:pPr>
        <w:tabs>
          <w:tab w:val="left" w:pos="567"/>
        </w:tabs>
        <w:spacing w:after="0" w:line="260" w:lineRule="exact"/>
        <w:rPr>
          <w:rFonts w:ascii="Times New Roman" w:eastAsia="Times New Roman" w:hAnsi="Times New Roman" w:cs="Times New Roman"/>
          <w:noProof/>
          <w:snapToGrid w:val="0"/>
          <w:shd w:val="clear" w:color="auto" w:fill="CCCCCC"/>
          <w:lang w:val="de-DE"/>
        </w:rPr>
      </w:pPr>
      <w:r w:rsidRPr="008B7737">
        <w:rPr>
          <w:rFonts w:ascii="Times New Roman" w:eastAsia="Times New Roman" w:hAnsi="Times New Roman" w:cs="Times New Roman"/>
          <w:noProof/>
          <w:snapToGrid w:val="0"/>
          <w:szCs w:val="20"/>
          <w:highlight w:val="lightGray"/>
          <w:lang w:val="de-DE"/>
        </w:rPr>
        <w:t>2D brūkšninis kodas su nurodytu unikaliu identifikatoriumi.</w:t>
      </w:r>
    </w:p>
    <w:p w14:paraId="4141FE73" w14:textId="77777777" w:rsidR="00E625FB" w:rsidRPr="008B7737" w:rsidRDefault="00E625FB" w:rsidP="00E625FB">
      <w:pPr>
        <w:tabs>
          <w:tab w:val="left" w:pos="567"/>
        </w:tabs>
        <w:spacing w:after="0" w:line="260" w:lineRule="exact"/>
        <w:rPr>
          <w:rFonts w:ascii="Times New Roman" w:eastAsia="Times New Roman" w:hAnsi="Times New Roman" w:cs="Times New Roman"/>
          <w:noProof/>
          <w:snapToGrid w:val="0"/>
          <w:shd w:val="clear" w:color="auto" w:fill="CCCCCC"/>
          <w:lang w:val="de-DE"/>
        </w:rPr>
      </w:pPr>
    </w:p>
    <w:p w14:paraId="1BCB6390" w14:textId="77777777" w:rsidR="00E625FB" w:rsidRPr="008B7737" w:rsidRDefault="00E625FB" w:rsidP="00E625FB">
      <w:pPr>
        <w:tabs>
          <w:tab w:val="left" w:pos="567"/>
        </w:tabs>
        <w:spacing w:after="0" w:line="260" w:lineRule="exact"/>
        <w:rPr>
          <w:rFonts w:ascii="Times New Roman" w:eastAsia="Times New Roman" w:hAnsi="Times New Roman" w:cs="Times New Roman"/>
          <w:noProof/>
          <w:snapToGrid w:val="0"/>
          <w:szCs w:val="20"/>
          <w:lang w:val="de-DE"/>
        </w:rPr>
      </w:pPr>
    </w:p>
    <w:p w14:paraId="64B7405C" w14:textId="77777777" w:rsidR="00E625FB" w:rsidRPr="008B7737" w:rsidRDefault="00E625FB" w:rsidP="00E625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de-DE"/>
        </w:rPr>
      </w:pPr>
      <w:r w:rsidRPr="008B7737">
        <w:rPr>
          <w:rFonts w:ascii="Times New Roman" w:eastAsia="Times New Roman" w:hAnsi="Times New Roman" w:cs="Times New Roman"/>
          <w:b/>
          <w:noProof/>
          <w:snapToGrid w:val="0"/>
          <w:szCs w:val="20"/>
          <w:lang w:val="de-DE"/>
        </w:rPr>
        <w:lastRenderedPageBreak/>
        <w:t>18.</w:t>
      </w:r>
      <w:r w:rsidRPr="008B7737">
        <w:rPr>
          <w:rFonts w:ascii="Times New Roman" w:eastAsia="Times New Roman" w:hAnsi="Times New Roman" w:cs="Times New Roman"/>
          <w:b/>
          <w:noProof/>
          <w:snapToGrid w:val="0"/>
          <w:szCs w:val="20"/>
          <w:lang w:val="de-DE"/>
        </w:rPr>
        <w:tab/>
        <w:t>UNIKALUS IDENTIFIKATORIUS – ŽMONĖMS SUPRANTAMI DUOMENYS</w:t>
      </w:r>
    </w:p>
    <w:p w14:paraId="652CFA56" w14:textId="77777777" w:rsidR="00E625FB" w:rsidRPr="008B7737" w:rsidRDefault="00E625FB" w:rsidP="00E625FB">
      <w:pPr>
        <w:tabs>
          <w:tab w:val="left" w:pos="567"/>
        </w:tabs>
        <w:spacing w:after="0" w:line="260" w:lineRule="exact"/>
        <w:rPr>
          <w:rFonts w:ascii="Times New Roman" w:eastAsia="Times New Roman" w:hAnsi="Times New Roman" w:cs="Times New Roman"/>
          <w:noProof/>
          <w:snapToGrid w:val="0"/>
          <w:szCs w:val="20"/>
          <w:lang w:val="de-DE"/>
        </w:rPr>
      </w:pPr>
    </w:p>
    <w:p w14:paraId="098CAB2F" w14:textId="77777777" w:rsidR="00E625FB" w:rsidRPr="008B7737" w:rsidRDefault="00E625FB" w:rsidP="00E625FB">
      <w:pPr>
        <w:tabs>
          <w:tab w:val="left" w:pos="567"/>
        </w:tabs>
        <w:spacing w:after="0" w:line="260" w:lineRule="exact"/>
        <w:rPr>
          <w:rFonts w:ascii="Times New Roman" w:eastAsia="Times New Roman" w:hAnsi="Times New Roman" w:cs="Times New Roman"/>
          <w:snapToGrid w:val="0"/>
          <w:color w:val="008000"/>
          <w:lang w:val="de-DE"/>
        </w:rPr>
      </w:pPr>
      <w:r w:rsidRPr="008B7737">
        <w:rPr>
          <w:rFonts w:ascii="Times New Roman" w:eastAsia="Times New Roman" w:hAnsi="Times New Roman" w:cs="Times New Roman"/>
          <w:snapToGrid w:val="0"/>
          <w:szCs w:val="20"/>
          <w:lang w:val="de-DE"/>
        </w:rPr>
        <w:t xml:space="preserve">PC: {numeris} </w:t>
      </w:r>
    </w:p>
    <w:p w14:paraId="748FD9CD" w14:textId="77777777" w:rsidR="00E625FB" w:rsidRPr="008B7737" w:rsidRDefault="00E625FB" w:rsidP="00E625FB">
      <w:pPr>
        <w:tabs>
          <w:tab w:val="left" w:pos="567"/>
        </w:tabs>
        <w:spacing w:after="0" w:line="260" w:lineRule="exact"/>
        <w:rPr>
          <w:rFonts w:ascii="Times New Roman" w:eastAsia="Times New Roman" w:hAnsi="Times New Roman" w:cs="Times New Roman"/>
          <w:snapToGrid w:val="0"/>
          <w:lang w:val="de-DE"/>
        </w:rPr>
      </w:pPr>
      <w:r w:rsidRPr="008B7737">
        <w:rPr>
          <w:rFonts w:ascii="Times New Roman" w:eastAsia="Times New Roman" w:hAnsi="Times New Roman" w:cs="Times New Roman"/>
          <w:snapToGrid w:val="0"/>
          <w:szCs w:val="20"/>
          <w:lang w:val="de-DE"/>
        </w:rPr>
        <w:t xml:space="preserve">SN: {numeris} </w:t>
      </w:r>
    </w:p>
    <w:p w14:paraId="4DA3825C" w14:textId="77777777" w:rsidR="00E625FB" w:rsidRDefault="00E625FB" w:rsidP="00E625FB">
      <w:pPr>
        <w:tabs>
          <w:tab w:val="left" w:pos="360"/>
        </w:tabs>
        <w:spacing w:after="0" w:line="240" w:lineRule="auto"/>
        <w:rPr>
          <w:rFonts w:ascii="Times New Roman" w:eastAsia="Times New Roman" w:hAnsi="Times New Roman" w:cs="Times New Roman"/>
          <w:lang w:val="lt-LT"/>
        </w:rPr>
      </w:pPr>
      <w:r w:rsidRPr="008B7737">
        <w:rPr>
          <w:rFonts w:ascii="Times New Roman" w:eastAsia="Times New Roman" w:hAnsi="Times New Roman" w:cs="Times New Roman"/>
          <w:snapToGrid w:val="0"/>
          <w:szCs w:val="20"/>
          <w:highlight w:val="lightGray"/>
          <w:lang w:val="de-DE"/>
        </w:rPr>
        <w:t>NN: {numeris}</w:t>
      </w:r>
    </w:p>
    <w:p w14:paraId="14CCEB0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br w:type="page"/>
      </w:r>
    </w:p>
    <w:p w14:paraId="14620D38"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lastRenderedPageBreak/>
        <w:t xml:space="preserve">MINIMALI </w:t>
      </w:r>
      <w:r w:rsidRPr="004C7FBD">
        <w:rPr>
          <w:rFonts w:ascii="Times New Roman" w:eastAsia="Times New Roman" w:hAnsi="Times New Roman" w:cs="Times New Roman"/>
          <w:b/>
          <w:caps/>
          <w:lang w:val="lt-LT"/>
        </w:rPr>
        <w:t xml:space="preserve">informacija ant </w:t>
      </w:r>
      <w:r w:rsidRPr="004C7FBD">
        <w:rPr>
          <w:rFonts w:ascii="Times New Roman" w:eastAsia="Times New Roman" w:hAnsi="Times New Roman" w:cs="Times New Roman"/>
          <w:b/>
          <w:lang w:val="lt-LT"/>
        </w:rPr>
        <w:t>LIZDINIŲ PLOKŠTELIŲ ARBA DVISLUOKSNIŲ JUOSTELIŲ</w:t>
      </w:r>
    </w:p>
    <w:p w14:paraId="10A1D95D"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C1C8B38"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LIZDINĖ PLOKŠTELĖ</w:t>
      </w:r>
    </w:p>
    <w:p w14:paraId="5E15B34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18C16D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6543035"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1.</w:t>
      </w:r>
      <w:r w:rsidRPr="004C7FBD">
        <w:rPr>
          <w:rFonts w:ascii="Times New Roman" w:eastAsia="Times New Roman" w:hAnsi="Times New Roman" w:cs="Times New Roman"/>
          <w:b/>
          <w:lang w:val="lt-LT"/>
        </w:rPr>
        <w:tab/>
        <w:t>VAISTINIO PREPARATO PAVADINIMAS</w:t>
      </w:r>
    </w:p>
    <w:p w14:paraId="16CA4AC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9A2A9E6"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plėvele dengtos tabletės</w:t>
      </w:r>
    </w:p>
    <w:p w14:paraId="205CC9F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Nebivololis / Hidrochlorotiazidas </w:t>
      </w:r>
    </w:p>
    <w:p w14:paraId="22BC509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D6D48A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488787E"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2.</w:t>
      </w:r>
      <w:r w:rsidRPr="004C7FBD">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w:t>
      </w:r>
      <w:r w:rsidRPr="004C7FBD">
        <w:rPr>
          <w:rFonts w:ascii="Times New Roman" w:eastAsia="Times New Roman" w:hAnsi="Times New Roman" w:cs="Times New Roman"/>
          <w:b/>
          <w:caps/>
          <w:lang w:val="lt-LT"/>
        </w:rPr>
        <w:t xml:space="preserve"> pavadinimas</w:t>
      </w:r>
    </w:p>
    <w:p w14:paraId="12836D7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70B3317"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Menarini International Operations Luxembourg S.A.</w:t>
      </w:r>
    </w:p>
    <w:p w14:paraId="63B3D06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44F9BA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D11FB2C"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3.</w:t>
      </w:r>
      <w:r w:rsidRPr="004C7FBD">
        <w:rPr>
          <w:rFonts w:ascii="Times New Roman" w:eastAsia="Times New Roman" w:hAnsi="Times New Roman" w:cs="Times New Roman"/>
          <w:b/>
          <w:lang w:val="lt-LT"/>
        </w:rPr>
        <w:tab/>
        <w:t>TINKAMUMO LAIKAS</w:t>
      </w:r>
    </w:p>
    <w:p w14:paraId="35DDD41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A1DB7F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EXP {mm/MMMM}</w:t>
      </w:r>
    </w:p>
    <w:p w14:paraId="012666A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93BEC4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AE5408E"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4.</w:t>
      </w:r>
      <w:r w:rsidRPr="004C7FBD">
        <w:rPr>
          <w:rFonts w:ascii="Times New Roman" w:eastAsia="Times New Roman" w:hAnsi="Times New Roman" w:cs="Times New Roman"/>
          <w:b/>
          <w:lang w:val="lt-LT"/>
        </w:rPr>
        <w:tab/>
        <w:t>SERIJOS NUMERIS</w:t>
      </w:r>
    </w:p>
    <w:p w14:paraId="57EA732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851A59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Lot</w:t>
      </w:r>
    </w:p>
    <w:p w14:paraId="4F4B8C8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05B8AC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2E81623" w14:textId="77777777" w:rsidR="00E625FB" w:rsidRPr="004C7FBD" w:rsidRDefault="00E625FB" w:rsidP="00E625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5.</w:t>
      </w:r>
      <w:r w:rsidRPr="004C7FBD">
        <w:rPr>
          <w:rFonts w:ascii="Times New Roman" w:eastAsia="Times New Roman" w:hAnsi="Times New Roman" w:cs="Times New Roman"/>
          <w:b/>
          <w:lang w:val="lt-LT"/>
        </w:rPr>
        <w:tab/>
        <w:t>KITA</w:t>
      </w:r>
    </w:p>
    <w:p w14:paraId="4CA623B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CB60093"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br w:type="page"/>
      </w:r>
    </w:p>
    <w:p w14:paraId="0D40C4FF" w14:textId="77777777" w:rsidR="00E625FB" w:rsidRPr="004C7FBD" w:rsidRDefault="00E625FB" w:rsidP="00E625FB">
      <w:pPr>
        <w:spacing w:after="0" w:line="240" w:lineRule="auto"/>
        <w:rPr>
          <w:rFonts w:ascii="Times New Roman" w:eastAsia="Times New Roman" w:hAnsi="Times New Roman" w:cs="Times New Roman"/>
          <w:lang w:val="lt-LT"/>
        </w:rPr>
      </w:pPr>
    </w:p>
    <w:p w14:paraId="08D229F4" w14:textId="77777777" w:rsidR="00E625FB" w:rsidRPr="004C7FBD" w:rsidRDefault="00E625FB" w:rsidP="00E625FB">
      <w:pPr>
        <w:spacing w:after="0" w:line="240" w:lineRule="auto"/>
        <w:rPr>
          <w:rFonts w:ascii="Times New Roman" w:eastAsia="Times New Roman" w:hAnsi="Times New Roman" w:cs="Times New Roman"/>
          <w:lang w:val="lt-LT"/>
        </w:rPr>
      </w:pPr>
    </w:p>
    <w:p w14:paraId="01A03BC7" w14:textId="77777777" w:rsidR="00E625FB" w:rsidRPr="004C7FBD" w:rsidRDefault="00E625FB" w:rsidP="00E625FB">
      <w:pPr>
        <w:spacing w:after="0" w:line="240" w:lineRule="auto"/>
        <w:rPr>
          <w:rFonts w:ascii="Times New Roman" w:eastAsia="Times New Roman" w:hAnsi="Times New Roman" w:cs="Times New Roman"/>
          <w:lang w:val="lt-LT"/>
        </w:rPr>
      </w:pPr>
    </w:p>
    <w:p w14:paraId="7B21F55D" w14:textId="77777777" w:rsidR="00E625FB" w:rsidRPr="004C7FBD" w:rsidRDefault="00E625FB" w:rsidP="00E625FB">
      <w:pPr>
        <w:spacing w:after="0" w:line="240" w:lineRule="auto"/>
        <w:rPr>
          <w:rFonts w:ascii="Times New Roman" w:eastAsia="Times New Roman" w:hAnsi="Times New Roman" w:cs="Times New Roman"/>
          <w:lang w:val="lt-LT"/>
        </w:rPr>
      </w:pPr>
    </w:p>
    <w:p w14:paraId="60CEFA34" w14:textId="77777777" w:rsidR="00E625FB" w:rsidRPr="004C7FBD" w:rsidRDefault="00E625FB" w:rsidP="00E625FB">
      <w:pPr>
        <w:spacing w:after="0" w:line="240" w:lineRule="auto"/>
        <w:rPr>
          <w:rFonts w:ascii="Times New Roman" w:eastAsia="Times New Roman" w:hAnsi="Times New Roman" w:cs="Times New Roman"/>
          <w:lang w:val="lt-LT"/>
        </w:rPr>
      </w:pPr>
    </w:p>
    <w:p w14:paraId="7F618736" w14:textId="77777777" w:rsidR="00E625FB" w:rsidRPr="004C7FBD" w:rsidRDefault="00E625FB" w:rsidP="00E625FB">
      <w:pPr>
        <w:spacing w:after="0" w:line="240" w:lineRule="auto"/>
        <w:rPr>
          <w:rFonts w:ascii="Times New Roman" w:eastAsia="Times New Roman" w:hAnsi="Times New Roman" w:cs="Times New Roman"/>
          <w:lang w:val="lt-LT"/>
        </w:rPr>
      </w:pPr>
    </w:p>
    <w:p w14:paraId="5B8D1927" w14:textId="77777777" w:rsidR="00E625FB" w:rsidRPr="004C7FBD" w:rsidRDefault="00E625FB" w:rsidP="00E625FB">
      <w:pPr>
        <w:spacing w:after="0" w:line="240" w:lineRule="auto"/>
        <w:rPr>
          <w:rFonts w:ascii="Times New Roman" w:eastAsia="Times New Roman" w:hAnsi="Times New Roman" w:cs="Times New Roman"/>
          <w:lang w:val="lt-LT"/>
        </w:rPr>
      </w:pPr>
    </w:p>
    <w:p w14:paraId="4F0AD4A5" w14:textId="77777777" w:rsidR="00E625FB" w:rsidRPr="004C7FBD" w:rsidRDefault="00E625FB" w:rsidP="00E625FB">
      <w:pPr>
        <w:spacing w:after="0" w:line="240" w:lineRule="auto"/>
        <w:rPr>
          <w:rFonts w:ascii="Times New Roman" w:eastAsia="Times New Roman" w:hAnsi="Times New Roman" w:cs="Times New Roman"/>
          <w:lang w:val="lt-LT"/>
        </w:rPr>
      </w:pPr>
    </w:p>
    <w:p w14:paraId="6D8C91DC" w14:textId="77777777" w:rsidR="00E625FB" w:rsidRPr="004C7FBD" w:rsidRDefault="00E625FB" w:rsidP="00E625FB">
      <w:pPr>
        <w:spacing w:after="0" w:line="240" w:lineRule="auto"/>
        <w:rPr>
          <w:rFonts w:ascii="Times New Roman" w:eastAsia="Times New Roman" w:hAnsi="Times New Roman" w:cs="Times New Roman"/>
          <w:lang w:val="lt-LT"/>
        </w:rPr>
      </w:pPr>
    </w:p>
    <w:p w14:paraId="44C48F8B" w14:textId="77777777" w:rsidR="00E625FB" w:rsidRPr="004C7FBD" w:rsidRDefault="00E625FB" w:rsidP="00E625FB">
      <w:pPr>
        <w:spacing w:after="0" w:line="240" w:lineRule="auto"/>
        <w:rPr>
          <w:rFonts w:ascii="Times New Roman" w:eastAsia="Times New Roman" w:hAnsi="Times New Roman" w:cs="Times New Roman"/>
          <w:lang w:val="lt-LT"/>
        </w:rPr>
      </w:pPr>
    </w:p>
    <w:p w14:paraId="43C3B39E" w14:textId="77777777" w:rsidR="00E625FB" w:rsidRPr="004C7FBD" w:rsidRDefault="00E625FB" w:rsidP="00E625FB">
      <w:pPr>
        <w:spacing w:after="0" w:line="240" w:lineRule="auto"/>
        <w:rPr>
          <w:rFonts w:ascii="Times New Roman" w:eastAsia="Times New Roman" w:hAnsi="Times New Roman" w:cs="Times New Roman"/>
          <w:lang w:val="lt-LT"/>
        </w:rPr>
      </w:pPr>
    </w:p>
    <w:p w14:paraId="45CE925C" w14:textId="77777777" w:rsidR="00E625FB" w:rsidRPr="004C7FBD" w:rsidRDefault="00E625FB" w:rsidP="00E625FB">
      <w:pPr>
        <w:spacing w:after="0" w:line="240" w:lineRule="auto"/>
        <w:rPr>
          <w:rFonts w:ascii="Times New Roman" w:eastAsia="Times New Roman" w:hAnsi="Times New Roman" w:cs="Times New Roman"/>
          <w:lang w:val="lt-LT"/>
        </w:rPr>
      </w:pPr>
    </w:p>
    <w:p w14:paraId="20D1A4B9" w14:textId="77777777" w:rsidR="00E625FB" w:rsidRPr="004C7FBD" w:rsidRDefault="00E625FB" w:rsidP="00E625FB">
      <w:pPr>
        <w:spacing w:after="0" w:line="240" w:lineRule="auto"/>
        <w:rPr>
          <w:rFonts w:ascii="Times New Roman" w:eastAsia="Times New Roman" w:hAnsi="Times New Roman" w:cs="Times New Roman"/>
          <w:lang w:val="lt-LT"/>
        </w:rPr>
      </w:pPr>
    </w:p>
    <w:p w14:paraId="25A903C2" w14:textId="77777777" w:rsidR="00E625FB" w:rsidRPr="004C7FBD" w:rsidRDefault="00E625FB" w:rsidP="00E625FB">
      <w:pPr>
        <w:spacing w:after="0" w:line="240" w:lineRule="auto"/>
        <w:rPr>
          <w:rFonts w:ascii="Times New Roman" w:eastAsia="Times New Roman" w:hAnsi="Times New Roman" w:cs="Times New Roman"/>
          <w:lang w:val="lt-LT"/>
        </w:rPr>
      </w:pPr>
    </w:p>
    <w:p w14:paraId="6001E5F1" w14:textId="77777777" w:rsidR="00E625FB" w:rsidRPr="004C7FBD" w:rsidRDefault="00E625FB" w:rsidP="00E625FB">
      <w:pPr>
        <w:spacing w:after="0" w:line="240" w:lineRule="auto"/>
        <w:rPr>
          <w:rFonts w:ascii="Times New Roman" w:eastAsia="Times New Roman" w:hAnsi="Times New Roman" w:cs="Times New Roman"/>
          <w:lang w:val="lt-LT"/>
        </w:rPr>
      </w:pPr>
    </w:p>
    <w:p w14:paraId="43DF3ECB" w14:textId="77777777" w:rsidR="00E625FB" w:rsidRPr="004C7FBD" w:rsidRDefault="00E625FB" w:rsidP="00E625FB">
      <w:pPr>
        <w:spacing w:after="0" w:line="240" w:lineRule="auto"/>
        <w:rPr>
          <w:rFonts w:ascii="Times New Roman" w:eastAsia="Times New Roman" w:hAnsi="Times New Roman" w:cs="Times New Roman"/>
          <w:lang w:val="lt-LT"/>
        </w:rPr>
      </w:pPr>
    </w:p>
    <w:p w14:paraId="6678CF54" w14:textId="77777777" w:rsidR="00E625FB" w:rsidRPr="004C7FBD" w:rsidRDefault="00E625FB" w:rsidP="00E625FB">
      <w:pPr>
        <w:spacing w:after="0" w:line="240" w:lineRule="auto"/>
        <w:rPr>
          <w:rFonts w:ascii="Times New Roman" w:eastAsia="Times New Roman" w:hAnsi="Times New Roman" w:cs="Times New Roman"/>
          <w:lang w:val="lt-LT"/>
        </w:rPr>
      </w:pPr>
    </w:p>
    <w:p w14:paraId="43B6C4B3" w14:textId="77777777" w:rsidR="00E625FB" w:rsidRPr="004C7FBD" w:rsidRDefault="00E625FB" w:rsidP="00E625FB">
      <w:pPr>
        <w:spacing w:after="0" w:line="240" w:lineRule="auto"/>
        <w:rPr>
          <w:rFonts w:ascii="Times New Roman" w:eastAsia="Times New Roman" w:hAnsi="Times New Roman" w:cs="Times New Roman"/>
          <w:lang w:val="lt-LT"/>
        </w:rPr>
      </w:pPr>
    </w:p>
    <w:p w14:paraId="55A4D22E" w14:textId="77777777" w:rsidR="00E625FB" w:rsidRPr="004C7FBD" w:rsidRDefault="00E625FB" w:rsidP="00E625FB">
      <w:pPr>
        <w:spacing w:after="0" w:line="240" w:lineRule="auto"/>
        <w:rPr>
          <w:rFonts w:ascii="Times New Roman" w:eastAsia="Times New Roman" w:hAnsi="Times New Roman" w:cs="Times New Roman"/>
          <w:lang w:val="lt-LT"/>
        </w:rPr>
      </w:pPr>
    </w:p>
    <w:p w14:paraId="2F200FAB" w14:textId="77777777" w:rsidR="00E625FB" w:rsidRPr="004C7FBD" w:rsidRDefault="00E625FB" w:rsidP="00E625FB">
      <w:pPr>
        <w:spacing w:after="0" w:line="240" w:lineRule="auto"/>
        <w:rPr>
          <w:rFonts w:ascii="Times New Roman" w:eastAsia="Times New Roman" w:hAnsi="Times New Roman" w:cs="Times New Roman"/>
          <w:lang w:val="lt-LT"/>
        </w:rPr>
      </w:pPr>
    </w:p>
    <w:p w14:paraId="7C05EE9B" w14:textId="77777777" w:rsidR="00E625FB" w:rsidRPr="004C7FBD" w:rsidRDefault="00E625FB" w:rsidP="00E625FB">
      <w:pPr>
        <w:spacing w:after="0" w:line="240" w:lineRule="auto"/>
        <w:rPr>
          <w:rFonts w:ascii="Times New Roman" w:eastAsia="Times New Roman" w:hAnsi="Times New Roman" w:cs="Times New Roman"/>
          <w:lang w:val="lt-LT"/>
        </w:rPr>
      </w:pPr>
    </w:p>
    <w:p w14:paraId="0A9FA833" w14:textId="77777777" w:rsidR="00E625FB" w:rsidRPr="004C7FBD" w:rsidRDefault="00E625FB" w:rsidP="00E625FB">
      <w:pPr>
        <w:spacing w:after="0" w:line="240" w:lineRule="auto"/>
        <w:rPr>
          <w:rFonts w:ascii="Times New Roman" w:eastAsia="Times New Roman" w:hAnsi="Times New Roman" w:cs="Times New Roman"/>
          <w:lang w:val="lt-LT"/>
        </w:rPr>
      </w:pPr>
    </w:p>
    <w:p w14:paraId="2A04519E" w14:textId="77777777" w:rsidR="00E625FB" w:rsidRPr="004C7FBD" w:rsidRDefault="00E625FB" w:rsidP="00E625FB">
      <w:pPr>
        <w:keepNext/>
        <w:spacing w:after="0" w:line="240" w:lineRule="auto"/>
        <w:jc w:val="center"/>
        <w:outlineLvl w:val="1"/>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B. PAKUOTĖS LAPELIS</w:t>
      </w:r>
    </w:p>
    <w:p w14:paraId="02BBF0DF" w14:textId="77777777" w:rsidR="00E625FB" w:rsidRPr="004C7FBD" w:rsidRDefault="00E625FB" w:rsidP="00E625F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C7FBD">
        <w:rPr>
          <w:rFonts w:ascii="Times New Roman" w:eastAsia="Times New Roman" w:hAnsi="Times New Roman" w:cs="Times New Roman"/>
          <w:caps/>
          <w:lang w:val="lt-LT"/>
        </w:rPr>
        <w:br w:type="page"/>
      </w:r>
      <w:r w:rsidRPr="004C7FBD">
        <w:rPr>
          <w:rFonts w:ascii="Times New Roman" w:eastAsia="Times New Roman" w:hAnsi="Times New Roman" w:cs="Times New Roman"/>
          <w:b/>
          <w:lang w:val="lt-LT"/>
        </w:rPr>
        <w:lastRenderedPageBreak/>
        <w:t>Pakuotės lapelis: informacija vartotojui</w:t>
      </w:r>
    </w:p>
    <w:p w14:paraId="7F143FA6" w14:textId="77777777" w:rsidR="00E625FB" w:rsidRPr="004C7FBD" w:rsidRDefault="00E625FB" w:rsidP="00E625FB">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DABCB1" w14:textId="77777777" w:rsidR="00E625FB" w:rsidRPr="004C7FBD" w:rsidRDefault="00E625FB" w:rsidP="00E625FB">
      <w:pPr>
        <w:tabs>
          <w:tab w:val="left" w:pos="360"/>
        </w:tabs>
        <w:spacing w:after="0" w:line="240" w:lineRule="auto"/>
        <w:jc w:val="center"/>
        <w:rPr>
          <w:rFonts w:ascii="Times New Roman" w:eastAsia="Times New Roman" w:hAnsi="Times New Roman" w:cs="Times New Roman"/>
          <w:b/>
          <w:lang w:val="lt-LT"/>
        </w:rPr>
      </w:pPr>
      <w:r w:rsidRPr="004C7FBD">
        <w:rPr>
          <w:rFonts w:ascii="Times New Roman" w:eastAsia="Times New Roman" w:hAnsi="Times New Roman" w:cs="Times New Roman"/>
          <w:b/>
          <w:lang w:val="lt-LT"/>
        </w:rPr>
        <w:t>Nebilet Plus 5 mg/12,5 mg plėvele dengtos tabletės</w:t>
      </w:r>
    </w:p>
    <w:p w14:paraId="5085A698" w14:textId="1493A3CC" w:rsidR="00E625FB" w:rsidRPr="004C7FBD" w:rsidRDefault="001B7BFA" w:rsidP="00E625FB">
      <w:pPr>
        <w:tabs>
          <w:tab w:val="left" w:pos="360"/>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n</w:t>
      </w:r>
      <w:r w:rsidR="00E625FB" w:rsidRPr="004C7FBD">
        <w:rPr>
          <w:rFonts w:ascii="Times New Roman" w:eastAsia="Times New Roman" w:hAnsi="Times New Roman" w:cs="Times New Roman"/>
          <w:lang w:val="lt-LT"/>
        </w:rPr>
        <w:t xml:space="preserve">ebivololis / </w:t>
      </w:r>
      <w:r>
        <w:rPr>
          <w:rFonts w:ascii="Times New Roman" w:eastAsia="Times New Roman" w:hAnsi="Times New Roman" w:cs="Times New Roman"/>
          <w:lang w:val="lt-LT"/>
        </w:rPr>
        <w:t>h</w:t>
      </w:r>
      <w:r w:rsidR="00E625FB" w:rsidRPr="004C7FBD">
        <w:rPr>
          <w:rFonts w:ascii="Times New Roman" w:eastAsia="Times New Roman" w:hAnsi="Times New Roman" w:cs="Times New Roman"/>
          <w:lang w:val="lt-LT"/>
        </w:rPr>
        <w:t>idrochlorotiazidas</w:t>
      </w:r>
    </w:p>
    <w:p w14:paraId="3254FC5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160AD3C"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Atidžiai perskaitykite visą šį lapelį, prieš pradėdami vartoti vaistą, nes jame pateikiama Jums svarbi informacija.</w:t>
      </w:r>
    </w:p>
    <w:p w14:paraId="74E2894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Neišmeskite šio lapelio, nes vėl gali prireikti jį perskaityti.</w:t>
      </w:r>
    </w:p>
    <w:p w14:paraId="31BA12C9"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Jeigu kiltų daugiau klausimų, kreipkitės į gydytoją arba vaistininką.</w:t>
      </w:r>
    </w:p>
    <w:p w14:paraId="4A6F76B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Šis vaistas skirtas tik Jums, todėl kitiems žmonėms jo duoti negalima. Vaistas gali jiems pakenkti (net</w:t>
      </w:r>
    </w:p>
    <w:p w14:paraId="312A588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ab/>
        <w:t>tiems, kurių ligos požymiai yra tokie patys kaip Jūsų).</w:t>
      </w:r>
    </w:p>
    <w:p w14:paraId="4093B55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Jeigu pasireiškė šalutinis poveikis (net jeigu jis šiame lapelyje nenurodytas), kreipkitės gydytoją arba vaistininką. Žr. 4 skyrių.</w:t>
      </w:r>
    </w:p>
    <w:p w14:paraId="7D9FE90C" w14:textId="77777777" w:rsidR="00E625FB" w:rsidRPr="004C7FBD" w:rsidRDefault="00E625FB" w:rsidP="00E625FB">
      <w:pPr>
        <w:spacing w:after="0" w:line="240" w:lineRule="auto"/>
        <w:rPr>
          <w:rFonts w:ascii="Times New Roman" w:eastAsia="Times New Roman" w:hAnsi="Times New Roman" w:cs="Times New Roman"/>
          <w:b/>
          <w:lang w:val="lt-LT"/>
        </w:rPr>
      </w:pPr>
    </w:p>
    <w:p w14:paraId="7ABC5E87" w14:textId="77777777" w:rsidR="00E625FB" w:rsidRPr="004C7FBD" w:rsidRDefault="00E625FB" w:rsidP="00E625FB">
      <w:pPr>
        <w:spacing w:after="0" w:line="240" w:lineRule="auto"/>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Apie ką rašoma šiame lapelyje?</w:t>
      </w:r>
    </w:p>
    <w:p w14:paraId="278353E9"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1.</w:t>
      </w:r>
      <w:r w:rsidRPr="004C7FBD">
        <w:rPr>
          <w:rFonts w:ascii="Times New Roman" w:eastAsia="Times New Roman" w:hAnsi="Times New Roman" w:cs="Times New Roman"/>
          <w:lang w:val="lt-LT"/>
        </w:rPr>
        <w:tab/>
        <w:t>Kas yra Nebilet Plus ir kam jis vartojamas</w:t>
      </w:r>
    </w:p>
    <w:p w14:paraId="7436D6A7"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2.</w:t>
      </w:r>
      <w:r w:rsidRPr="004C7FBD">
        <w:rPr>
          <w:rFonts w:ascii="Times New Roman" w:eastAsia="Times New Roman" w:hAnsi="Times New Roman" w:cs="Times New Roman"/>
          <w:lang w:val="lt-LT"/>
        </w:rPr>
        <w:tab/>
        <w:t>Kas žinotina prieš vartojant Nebilet Plus</w:t>
      </w:r>
    </w:p>
    <w:p w14:paraId="76D5A9AB"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3.</w:t>
      </w:r>
      <w:r w:rsidRPr="004C7FBD">
        <w:rPr>
          <w:rFonts w:ascii="Times New Roman" w:eastAsia="Times New Roman" w:hAnsi="Times New Roman" w:cs="Times New Roman"/>
          <w:lang w:val="lt-LT"/>
        </w:rPr>
        <w:tab/>
        <w:t>Kaip vartoti Nebilet Plus</w:t>
      </w:r>
    </w:p>
    <w:p w14:paraId="7DDAFFA0"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4.</w:t>
      </w:r>
      <w:r w:rsidRPr="004C7FBD">
        <w:rPr>
          <w:rFonts w:ascii="Times New Roman" w:eastAsia="Times New Roman" w:hAnsi="Times New Roman" w:cs="Times New Roman"/>
          <w:lang w:val="lt-LT"/>
        </w:rPr>
        <w:tab/>
        <w:t>Galimas šalutinis poveikis</w:t>
      </w:r>
    </w:p>
    <w:p w14:paraId="558D9CBA"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rPr>
      </w:pPr>
      <w:r w:rsidRPr="004C7FBD">
        <w:rPr>
          <w:rFonts w:ascii="Times New Roman" w:eastAsia="Times New Roman" w:hAnsi="Times New Roman" w:cs="Times New Roman"/>
          <w:lang w:val="lt-LT"/>
        </w:rPr>
        <w:t>5.</w:t>
      </w:r>
      <w:r w:rsidRPr="004C7FBD">
        <w:rPr>
          <w:rFonts w:ascii="Times New Roman" w:eastAsia="Times New Roman" w:hAnsi="Times New Roman" w:cs="Times New Roman"/>
          <w:lang w:val="lt-LT"/>
        </w:rPr>
        <w:tab/>
        <w:t>Kaip laikyti Nebilet Plus</w:t>
      </w:r>
    </w:p>
    <w:p w14:paraId="34C2724C" w14:textId="77777777" w:rsidR="00E625FB" w:rsidRPr="004C7FBD" w:rsidRDefault="00E625FB" w:rsidP="00E625F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6.</w:t>
      </w:r>
      <w:r w:rsidRPr="004C7FBD">
        <w:rPr>
          <w:rFonts w:ascii="Times New Roman" w:eastAsia="Times New Roman" w:hAnsi="Times New Roman" w:cs="Times New Roman"/>
          <w:lang w:val="lt-LT"/>
        </w:rPr>
        <w:tab/>
        <w:t>Pakuotės turinys ir kita informacija</w:t>
      </w:r>
    </w:p>
    <w:p w14:paraId="22A7A893"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14FAD683"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76042186"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1.</w:t>
      </w:r>
      <w:r w:rsidRPr="004C7FBD">
        <w:rPr>
          <w:rFonts w:ascii="Times New Roman" w:eastAsia="Times New Roman" w:hAnsi="Times New Roman" w:cs="Times New Roman"/>
          <w:b/>
          <w:lang w:val="lt-LT"/>
        </w:rPr>
        <w:tab/>
        <w:t>Kas yra Nebilet Plus ir kam jis vartojamas</w:t>
      </w:r>
    </w:p>
    <w:p w14:paraId="17870BE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2DFE73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sudėtyje yra veikliųjų medžiagų: nebivololio ir hidrochlorotiazido.</w:t>
      </w:r>
    </w:p>
    <w:p w14:paraId="52B539F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D7C7EB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Nebivololis yra širdies ir kraujagyslių sistemą veikiantis vaistas, priklausantis selektyvių beta adrenoblokatorių grupei (tai yra selektyviai veikiantis širdies ir kraujagyslių sistemą). Jis apsaugo nuo širdies ritmo pagreitėjimo ir kontroliuoja kraujo išstūmimo iš širdies stiprumą. Jis taip pat plečia kraujagysles ir tokiu būdu mažina jūsų kraujospūdį.</w:t>
      </w:r>
    </w:p>
    <w:p w14:paraId="7C14D8E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6D16A1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Hidrochlorotiazidas yra diuretikas, didinantis šlapimo išsiskyrimą.</w:t>
      </w:r>
    </w:p>
    <w:p w14:paraId="6ADF9DF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FBAF92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vienoje tabletėje yra nebivololio ir hidrochlorotiazido derinys ir jis vartojamas padidėjusiam kraujospūdžiui (arterinei hipertenzijai) gydyti. Jis vartojamas vietoj dviejų atskirų preparatų tiems pacientams, kurie juos vartoja kartu.</w:t>
      </w:r>
    </w:p>
    <w:p w14:paraId="62F3FA8B"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44DF8FFF"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4FA3F9E2"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2.</w:t>
      </w:r>
      <w:r w:rsidRPr="004C7FBD">
        <w:rPr>
          <w:rFonts w:ascii="Times New Roman" w:eastAsia="Times New Roman" w:hAnsi="Times New Roman" w:cs="Times New Roman"/>
          <w:b/>
          <w:lang w:val="lt-LT"/>
        </w:rPr>
        <w:tab/>
        <w:t>Kas žinotina prieš vartojant Nebilet Plus</w:t>
      </w:r>
    </w:p>
    <w:p w14:paraId="60B6418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AFD67A8"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caps/>
          <w:kern w:val="28"/>
          <w:lang w:val="lt-LT" w:eastAsia="lt-LT"/>
        </w:rPr>
      </w:pPr>
      <w:r w:rsidRPr="004C7FBD">
        <w:rPr>
          <w:rFonts w:ascii="Times New Roman" w:eastAsia="Times New Roman" w:hAnsi="Times New Roman" w:cs="Times New Roman"/>
          <w:b/>
          <w:kern w:val="28"/>
          <w:lang w:val="lt-LT"/>
        </w:rPr>
        <w:t>Nebilet Plus vartoti negalima:</w:t>
      </w:r>
    </w:p>
    <w:p w14:paraId="767E8307"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jeigu yra alergija nebivololiui arba hidrochlorotiazidui arba bet kuriai</w:t>
      </w:r>
    </w:p>
    <w:p w14:paraId="6E758C11"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pagalbinei šio vaisto medžiagai (jos išvardytos 6 skyriuje);</w:t>
      </w:r>
    </w:p>
    <w:p w14:paraId="2E8B5100"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jeigu yra alergija (padidėjęs jautrumas) kitiems sulfamidų dariniams (panašiems į hidrochlorotiazidą, </w:t>
      </w:r>
    </w:p>
    <w:p w14:paraId="31AF4B56"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nes jis priklauso sulfamidų preparatų grupei);</w:t>
      </w:r>
    </w:p>
    <w:p w14:paraId="2CE9F00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jeigu jūs turite vieną ar kelis iš išvardintų sutrikimų: </w:t>
      </w:r>
    </w:p>
    <w:p w14:paraId="25A9B820"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labai retas pulsas (mažiau nei 60 k/min.);</w:t>
      </w:r>
    </w:p>
    <w:p w14:paraId="7B0961F6"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kiti reikšmingi širdies ritmo sutrikimai (pvz., sinusinio mazgo silpnumas, sinoatrialinė blokada, II ir III laipsnio atrioventrikulinė blokada);</w:t>
      </w:r>
    </w:p>
    <w:p w14:paraId="32001F5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širdies nepakankamumas, kuris išryškėjo ar pablogėjo tik dabar, arba jums lašinami vaistai į veną </w:t>
      </w:r>
    </w:p>
    <w:p w14:paraId="49C01C82"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širdies veiklai pagerinti dėl ūmaus širdies nepakankamumo sukelto kraujotakos nepakankamumo;</w:t>
      </w:r>
    </w:p>
    <w:p w14:paraId="6A128C6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sumažėjęs kraujospūdis; </w:t>
      </w:r>
    </w:p>
    <w:p w14:paraId="64A0475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w:t>
      </w:r>
      <w:r w:rsidRPr="004C7FBD">
        <w:rPr>
          <w:rFonts w:ascii="Times New Roman" w:eastAsia="Times New Roman" w:hAnsi="Times New Roman" w:cs="Times New Roman"/>
          <w:lang w:val="lt-LT"/>
        </w:rPr>
        <w:tab/>
        <w:t>yra sutrikusi kraujotaka rankose arba kojose;</w:t>
      </w:r>
    </w:p>
    <w:p w14:paraId="73DCE5B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negydyta feochromocitoma – virš inkstų (antinksčiuose) esantis navikas;</w:t>
      </w:r>
    </w:p>
    <w:p w14:paraId="7C65578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nustatytas sunkus inkstų funkcijos sutrikimas, visiškai neišsiskiria šlapimas (anurija);</w:t>
      </w:r>
    </w:p>
    <w:p w14:paraId="56DC8D5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nustatyta metabolinė liga (padidėjęs kraujo rūgštingumas, metabolinė acidozė), pvz., ketoacidozė sergant cukriniu diabetu;</w:t>
      </w:r>
    </w:p>
    <w:p w14:paraId="6628448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sergate astma arba yra švokštimas (šiuo metu ar buvo anksčiau);</w:t>
      </w:r>
    </w:p>
    <w:p w14:paraId="31DB13F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sutrikusi kepenų funkcija;</w:t>
      </w:r>
    </w:p>
    <w:p w14:paraId="3C9ABC4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kraujo plazmoje padidėjęs kalcio kiekis, sumažėję kalio, natrio kiekiai (pokyčiai nuolatiniai ir nepasiduodantys gydymui);</w:t>
      </w:r>
    </w:p>
    <w:p w14:paraId="1735FB2A"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padidėjęs kraujyje šlapimo rūgšties kiekis su podagros simptomais.</w:t>
      </w:r>
    </w:p>
    <w:p w14:paraId="0CF1280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1A99E0CD"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Įspėjimai ir atsargumo priemonės</w:t>
      </w:r>
    </w:p>
    <w:p w14:paraId="1C51D1C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Pasitarkite su gydytoju arba vaistininku, prieš pradėdami vartoti Nebilet Plus.</w:t>
      </w:r>
    </w:p>
    <w:p w14:paraId="09EA30D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861592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Pasakykite gydytojui, jei jums buvo anksčiau arba atsirado iš naujo šių sutrikimų:</w:t>
      </w:r>
    </w:p>
    <w:p w14:paraId="49A57F29"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krūtinės skausmas dėl spontaniškų širdies spazmų, kurie vadinami Princmetalo (</w:t>
      </w:r>
      <w:r w:rsidRPr="004C7FBD">
        <w:rPr>
          <w:rFonts w:ascii="Times New Roman" w:eastAsia="Times New Roman" w:hAnsi="Times New Roman" w:cs="Times New Roman"/>
          <w:i/>
          <w:lang w:val="lt-LT"/>
        </w:rPr>
        <w:t>Prinzmetal</w:t>
      </w:r>
      <w:r w:rsidRPr="004C7FBD">
        <w:rPr>
          <w:rFonts w:ascii="Times New Roman" w:eastAsia="Times New Roman" w:hAnsi="Times New Roman" w:cs="Times New Roman"/>
          <w:lang w:val="lt-LT"/>
        </w:rPr>
        <w:t>) krūtinės angina;</w:t>
      </w:r>
    </w:p>
    <w:p w14:paraId="6D0C33DD"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I laipsnio atrioventrikulinė blokada; (neintensyvus širdies laidumo sutrikimas, kuris turi įtakos širdies ritmui);</w:t>
      </w:r>
    </w:p>
    <w:p w14:paraId="082E9BAD"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nenormaliai retas širdies plakimas;</w:t>
      </w:r>
    </w:p>
    <w:p w14:paraId="7F16EF0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negydytas širdies nepakankamumas;</w:t>
      </w:r>
    </w:p>
    <w:p w14:paraId="2DDC955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raudonoji vilkligė - imuninės sistemos, tai yra organizmo apsaugos sistemos, liga;</w:t>
      </w:r>
    </w:p>
    <w:p w14:paraId="025A147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psoriazė (žvynelinė - odos liga, kurios metu susidaro rausvos žvyneliais padengtos dėmelės);</w:t>
      </w:r>
    </w:p>
    <w:p w14:paraId="54D07F69"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padidėjusi skydliaukės veikla: šis vaistas gali maskuoti dėl tos ligos padažnėjusį pulsą;</w:t>
      </w:r>
    </w:p>
    <w:p w14:paraId="5DB4B8FC"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sutrikusi rankų arba kojų kraujotaka, pvz., Reino (</w:t>
      </w:r>
      <w:r w:rsidRPr="004C7FBD">
        <w:rPr>
          <w:rFonts w:ascii="Times New Roman" w:eastAsia="Times New Roman" w:hAnsi="Times New Roman" w:cs="Times New Roman"/>
          <w:i/>
          <w:lang w:val="lt-LT"/>
        </w:rPr>
        <w:t>Raynaud</w:t>
      </w:r>
      <w:r w:rsidRPr="004C7FBD">
        <w:rPr>
          <w:rFonts w:ascii="Times New Roman" w:eastAsia="Times New Roman" w:hAnsi="Times New Roman" w:cs="Times New Roman"/>
          <w:lang w:val="lt-LT"/>
        </w:rPr>
        <w:t>) liga ar sindromas, kai einant atsiranda į mėšlungį panašus skausmas;</w:t>
      </w:r>
    </w:p>
    <w:p w14:paraId="7929843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alergija: vaistas gali sustiprinti jautrumą žiedadulkėms ar kitiems alergenams, kuriems jūsų jautrumas</w:t>
      </w:r>
    </w:p>
    <w:p w14:paraId="48C24F08"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padidėjęs ir sukelti pasunkėjusį kvėpavimą;</w:t>
      </w:r>
    </w:p>
    <w:p w14:paraId="615EB4F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sergate cukriniu diabetu: šis vaistas gali maskuoti kai kuriuos sumažėjusio gliukozės kiekio kraujo </w:t>
      </w:r>
    </w:p>
    <w:p w14:paraId="0950E6AF" w14:textId="15ACA429" w:rsidR="00E625FB" w:rsidRPr="004C7FBD" w:rsidRDefault="00E625FB" w:rsidP="00440894">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plazmoje požymius (pvz., juntamą stiprų širdies plakimą, padažnėjusį pulsą</w:t>
      </w:r>
      <w:r w:rsidRPr="00440894">
        <w:rPr>
          <w:rFonts w:ascii="Times New Roman" w:eastAsia="Times New Roman" w:hAnsi="Times New Roman" w:cs="Times New Roman"/>
          <w:lang w:val="lt-LT"/>
        </w:rPr>
        <w:t>)</w:t>
      </w:r>
      <w:r w:rsidR="0083045C" w:rsidRPr="00440894">
        <w:rPr>
          <w:rFonts w:ascii="Times New Roman" w:eastAsia="Times New Roman" w:hAnsi="Times New Roman" w:cs="Times New Roman"/>
          <w:lang w:val="lt-LT"/>
        </w:rPr>
        <w:t xml:space="preserve"> </w:t>
      </w:r>
      <w:r w:rsidR="0083045C" w:rsidRPr="00440894">
        <w:rPr>
          <w:rFonts w:ascii="Times New Roman" w:hAnsi="Times New Roman" w:cs="Times New Roman"/>
          <w:lang w:val="lt-LT"/>
        </w:rPr>
        <w:t>ir padidinti sunkios hipoglikemijos riziką</w:t>
      </w:r>
      <w:r w:rsidR="009635B9">
        <w:rPr>
          <w:rFonts w:ascii="Times New Roman" w:hAnsi="Times New Roman" w:cs="Times New Roman"/>
          <w:lang w:val="lt-LT"/>
        </w:rPr>
        <w:t xml:space="preserve">, </w:t>
      </w:r>
      <w:r w:rsidR="009635B9">
        <w:rPr>
          <w:rFonts w:ascii="Times New Roman" w:eastAsia="Times New Roman" w:hAnsi="Times New Roman" w:cs="Times New Roman"/>
          <w:lang w:val="lt-LT"/>
        </w:rPr>
        <w:t>jeigu vartojamas kartu su tam tikr</w:t>
      </w:r>
      <w:r w:rsidR="00B5651F">
        <w:rPr>
          <w:rFonts w:ascii="Times New Roman" w:eastAsia="Times New Roman" w:hAnsi="Times New Roman" w:cs="Times New Roman"/>
          <w:lang w:val="lt-LT"/>
        </w:rPr>
        <w:t>os</w:t>
      </w:r>
      <w:r w:rsidR="009635B9">
        <w:rPr>
          <w:rFonts w:ascii="Times New Roman" w:eastAsia="Times New Roman" w:hAnsi="Times New Roman" w:cs="Times New Roman"/>
          <w:lang w:val="lt-LT"/>
        </w:rPr>
        <w:t xml:space="preserve"> </w:t>
      </w:r>
      <w:r w:rsidR="00B5651F">
        <w:rPr>
          <w:rFonts w:ascii="Times New Roman" w:eastAsia="Times New Roman" w:hAnsi="Times New Roman" w:cs="Times New Roman"/>
          <w:lang w:val="lt-LT"/>
        </w:rPr>
        <w:t>grupės</w:t>
      </w:r>
      <w:r w:rsidR="009635B9">
        <w:rPr>
          <w:rFonts w:ascii="Times New Roman" w:eastAsia="Times New Roman" w:hAnsi="Times New Roman" w:cs="Times New Roman"/>
          <w:lang w:val="lt-LT"/>
        </w:rPr>
        <w:t xml:space="preserve"> vaistais diabetui gydyti, vadinamais sulfonilkarbamido dariniais (pvz., </w:t>
      </w:r>
      <w:r w:rsidR="009635B9" w:rsidRPr="00DD1AB3">
        <w:rPr>
          <w:rFonts w:ascii="Times New Roman" w:eastAsia="Times New Roman" w:hAnsi="Times New Roman" w:cs="Times New Roman"/>
          <w:lang w:val="lt-LT"/>
        </w:rPr>
        <w:t>glik</w:t>
      </w:r>
      <w:r w:rsidR="009635B9">
        <w:rPr>
          <w:rFonts w:ascii="Times New Roman" w:eastAsia="Times New Roman" w:hAnsi="Times New Roman" w:cs="Times New Roman"/>
          <w:lang w:val="lt-LT"/>
        </w:rPr>
        <w:t>v</w:t>
      </w:r>
      <w:r w:rsidR="009635B9" w:rsidRPr="00DD1AB3">
        <w:rPr>
          <w:rFonts w:ascii="Times New Roman" w:eastAsia="Times New Roman" w:hAnsi="Times New Roman" w:cs="Times New Roman"/>
          <w:lang w:val="lt-LT"/>
        </w:rPr>
        <w:t>idonu, gliklazidu, glibenklamidu, glipizidu, glimepiridu</w:t>
      </w:r>
      <w:r w:rsidR="009635B9">
        <w:rPr>
          <w:rFonts w:ascii="Times New Roman" w:eastAsia="Times New Roman" w:hAnsi="Times New Roman" w:cs="Times New Roman"/>
          <w:lang w:val="lt-LT"/>
        </w:rPr>
        <w:t xml:space="preserve"> ar</w:t>
      </w:r>
      <w:r w:rsidR="009635B9" w:rsidRPr="00DD1AB3">
        <w:rPr>
          <w:rFonts w:ascii="Times New Roman" w:eastAsia="Times New Roman" w:hAnsi="Times New Roman" w:cs="Times New Roman"/>
          <w:lang w:val="lt-LT"/>
        </w:rPr>
        <w:t xml:space="preserve"> tolbutamidu</w:t>
      </w:r>
      <w:r w:rsidR="009635B9">
        <w:rPr>
          <w:rFonts w:ascii="Times New Roman" w:eastAsia="Times New Roman" w:hAnsi="Times New Roman" w:cs="Times New Roman"/>
          <w:lang w:val="lt-LT"/>
        </w:rPr>
        <w:t>)</w:t>
      </w:r>
      <w:r w:rsidRPr="004C7FBD">
        <w:rPr>
          <w:rFonts w:ascii="Times New Roman" w:eastAsia="Times New Roman" w:hAnsi="Times New Roman" w:cs="Times New Roman"/>
          <w:lang w:val="lt-LT"/>
        </w:rPr>
        <w:t>; vartojant Nebilet Plus gydytojas taip pat nurodys dažniau kontroliuoti gliukozės kiekį kraujyje, nes gali prireikti koreguoti vaistų nuo cukrinio diabeto dozę;</w:t>
      </w:r>
    </w:p>
    <w:p w14:paraId="7FAE8C9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sutrikusi inkstų veikla: jūsų gydytojas kontroliuos inkstų funkciją, norėdamas įsitikinti, kad ji </w:t>
      </w:r>
    </w:p>
    <w:p w14:paraId="66541521"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neblogėja; jei inkstų veiklos sutrikimas sunkus, Nebilet Plus nevartokite (žr. skyrių „Nebilet Plus vartoti negalima“);</w:t>
      </w:r>
    </w:p>
    <w:p w14:paraId="42BB8D7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polinkis sumažėjusiam kalio kiekiui kraujo plazmoje ir ypač tuomet, jei sergate pailgėjusio QT </w:t>
      </w:r>
    </w:p>
    <w:p w14:paraId="30301A4D"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sindromu (EKG sutrikimo variantas) arba jei vartojate rusmenės (digitalio) preparatus (gerinančius širdies veiklą) arba jei sumažėjęs kalio kiekis dėl kepenų cirozės, arba pernelyg greitai netenkate vandens dėl gydymo stipriais diuretikais, arba jei vartojate kalio su maistu ir geriate nepakankamai skysčių; </w:t>
      </w:r>
    </w:p>
    <w:p w14:paraId="406DDBA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jums planuojama chirurginė operacija, visuomet pasakykite gydytojui anesteziologui prieš nejautrą, </w:t>
      </w:r>
    </w:p>
    <w:p w14:paraId="51909425" w14:textId="77777777" w:rsidR="00E625FB"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kad vartojate Nebilet Plus</w:t>
      </w:r>
      <w:r>
        <w:rPr>
          <w:rFonts w:ascii="Times New Roman" w:eastAsia="Times New Roman" w:hAnsi="Times New Roman" w:cs="Times New Roman"/>
          <w:lang w:val="lt-LT"/>
        </w:rPr>
        <w:t>;</w:t>
      </w:r>
    </w:p>
    <w:p w14:paraId="329040A9" w14:textId="77777777" w:rsidR="00E625FB" w:rsidRPr="00C457BE" w:rsidRDefault="00E625FB" w:rsidP="00E625FB">
      <w:pPr>
        <w:pStyle w:val="Sraopastraipa"/>
        <w:numPr>
          <w:ilvl w:val="0"/>
          <w:numId w:val="3"/>
        </w:numPr>
        <w:tabs>
          <w:tab w:val="left" w:pos="360"/>
        </w:tabs>
        <w:spacing w:after="0" w:line="240" w:lineRule="auto"/>
        <w:ind w:left="284"/>
        <w:rPr>
          <w:rFonts w:ascii="Times New Roman" w:eastAsia="Times New Roman" w:hAnsi="Times New Roman" w:cs="Times New Roman"/>
          <w:lang w:val="lt-LT"/>
        </w:rPr>
      </w:pPr>
      <w:r w:rsidRPr="00C457BE">
        <w:rPr>
          <w:rFonts w:ascii="Times New Roman" w:eastAsia="Times New Roman" w:hAnsi="Times New Roman" w:cs="Times New Roman"/>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Nebilet Plus, saugokite savo odą nuo saulės ir ultravioletinių spindulių</w:t>
      </w:r>
      <w:r>
        <w:rPr>
          <w:rFonts w:ascii="Times New Roman" w:eastAsia="Times New Roman" w:hAnsi="Times New Roman" w:cs="Times New Roman"/>
          <w:u w:val="single"/>
          <w:lang w:val="lt-LT"/>
        </w:rPr>
        <w:t>;</w:t>
      </w:r>
    </w:p>
    <w:p w14:paraId="630D587A" w14:textId="77777777" w:rsidR="00E625FB" w:rsidRPr="001C4949" w:rsidRDefault="00E625FB" w:rsidP="00E625FB">
      <w:pPr>
        <w:pStyle w:val="Sraopastraipa"/>
        <w:numPr>
          <w:ilvl w:val="0"/>
          <w:numId w:val="3"/>
        </w:numPr>
        <w:tabs>
          <w:tab w:val="left" w:pos="360"/>
        </w:tabs>
        <w:spacing w:after="0" w:line="240" w:lineRule="auto"/>
        <w:ind w:left="284" w:hanging="284"/>
        <w:rPr>
          <w:rFonts w:ascii="Times New Roman" w:eastAsia="Times New Roman" w:hAnsi="Times New Roman" w:cs="Times New Roman"/>
          <w:lang w:val="lt-LT"/>
        </w:rPr>
      </w:pPr>
      <w:r w:rsidRPr="00F85896">
        <w:rPr>
          <w:rStyle w:val="hps"/>
          <w:rFonts w:ascii="Times New Roman" w:eastAsia="SimSun" w:hAnsi="Times New Roman"/>
          <w:color w:val="222222"/>
          <w:lang w:val="lt-LT"/>
        </w:rPr>
        <w:t>jums susilpnėja regėjimas arba atsiranda akies skausmas. Šie simptomai gali būti skysčio</w:t>
      </w:r>
      <w:r>
        <w:rPr>
          <w:rStyle w:val="hps"/>
          <w:rFonts w:ascii="Times New Roman" w:eastAsia="SimSun" w:hAnsi="Times New Roman"/>
          <w:color w:val="222222"/>
          <w:lang w:val="lt-LT"/>
        </w:rPr>
        <w:t xml:space="preserve"> </w:t>
      </w:r>
      <w:r w:rsidRPr="00F85896">
        <w:rPr>
          <w:rStyle w:val="hps"/>
          <w:rFonts w:ascii="Times New Roman" w:eastAsia="SimSun" w:hAnsi="Times New Roman"/>
          <w:color w:val="222222"/>
          <w:lang w:val="lt-LT"/>
        </w:rPr>
        <w:t xml:space="preserve">susikaupimo akies kraujagysliniame dangale (tarp gyslainės ir skleros)  arba padidėjusio akispūdžio </w:t>
      </w:r>
      <w:r>
        <w:rPr>
          <w:rStyle w:val="hps"/>
          <w:rFonts w:ascii="Times New Roman" w:eastAsia="SimSun" w:hAnsi="Times New Roman"/>
          <w:color w:val="222222"/>
          <w:lang w:val="lt-LT"/>
        </w:rPr>
        <w:t>požymiai</w:t>
      </w:r>
      <w:r w:rsidRPr="00F34303">
        <w:rPr>
          <w:rStyle w:val="hps"/>
          <w:rFonts w:ascii="Times New Roman" w:eastAsia="SimSun" w:hAnsi="Times New Roman"/>
          <w:color w:val="222222"/>
          <w:lang w:val="lt-LT"/>
        </w:rPr>
        <w:t xml:space="preserve"> ir gali atsirasti po kelių valandų ar</w:t>
      </w:r>
      <w:r>
        <w:rPr>
          <w:rStyle w:val="hps"/>
          <w:rFonts w:ascii="Times New Roman" w:eastAsia="SimSun" w:hAnsi="Times New Roman"/>
          <w:color w:val="222222"/>
          <w:lang w:val="lt-LT"/>
        </w:rPr>
        <w:t xml:space="preserve"> net savaičių</w:t>
      </w:r>
      <w:r w:rsidRPr="00F34303">
        <w:rPr>
          <w:rStyle w:val="hps"/>
          <w:rFonts w:ascii="Times New Roman" w:eastAsia="SimSun" w:hAnsi="Times New Roman"/>
          <w:color w:val="222222"/>
          <w:lang w:val="lt-LT"/>
        </w:rPr>
        <w:t xml:space="preserve"> pradėjus vartoti Nebilet Plus</w:t>
      </w:r>
      <w:r w:rsidRPr="00CC3589">
        <w:rPr>
          <w:rStyle w:val="hps"/>
          <w:rFonts w:ascii="Times New Roman" w:eastAsia="SimSun" w:hAnsi="Times New Roman"/>
          <w:color w:val="222222"/>
          <w:lang w:val="lt-LT"/>
        </w:rPr>
        <w:t>.</w:t>
      </w:r>
      <w:r w:rsidRPr="00F85896">
        <w:rPr>
          <w:rFonts w:ascii="Times New Roman" w:eastAsia="Times New Roman" w:hAnsi="Times New Roman" w:cs="Times New Roman"/>
          <w:u w:val="single"/>
          <w:lang w:val="lt-LT"/>
        </w:rPr>
        <w:t xml:space="preserve"> </w:t>
      </w:r>
      <w:r w:rsidRPr="00F85896">
        <w:rPr>
          <w:rFonts w:ascii="Times New Roman" w:hAnsi="Times New Roman" w:cs="Times New Roman"/>
          <w:snapToGrid w:val="0"/>
          <w:lang w:val="lt-LT" w:eastAsia="it-IT"/>
        </w:rPr>
        <w:t>Negydant galima prarasti regėjimą. Jei anksčiau jums yra buvusi alergija penicilinui ar sulf</w:t>
      </w:r>
      <w:r>
        <w:rPr>
          <w:rFonts w:ascii="Times New Roman" w:hAnsi="Times New Roman" w:cs="Times New Roman"/>
          <w:snapToGrid w:val="0"/>
          <w:lang w:val="lt-LT" w:eastAsia="it-IT"/>
        </w:rPr>
        <w:t>amidui</w:t>
      </w:r>
      <w:r w:rsidRPr="00CC3589">
        <w:rPr>
          <w:rFonts w:ascii="Times New Roman" w:hAnsi="Times New Roman" w:cs="Times New Roman"/>
          <w:snapToGrid w:val="0"/>
          <w:lang w:val="lt-LT" w:eastAsia="it-IT"/>
        </w:rPr>
        <w:t>, ji gali atsinaujinti.</w:t>
      </w:r>
    </w:p>
    <w:p w14:paraId="12082C4C" w14:textId="77777777" w:rsidR="001C4949" w:rsidRPr="00CC3589" w:rsidRDefault="001C4949" w:rsidP="00E625FB">
      <w:pPr>
        <w:pStyle w:val="Sraopastraipa"/>
        <w:numPr>
          <w:ilvl w:val="0"/>
          <w:numId w:val="3"/>
        </w:numPr>
        <w:tabs>
          <w:tab w:val="left" w:pos="360"/>
        </w:tabs>
        <w:spacing w:after="0" w:line="240" w:lineRule="auto"/>
        <w:ind w:left="284" w:hanging="284"/>
        <w:rPr>
          <w:rFonts w:ascii="Times New Roman" w:eastAsia="Times New Roman" w:hAnsi="Times New Roman" w:cs="Times New Roman"/>
          <w:lang w:val="lt-LT"/>
        </w:rPr>
      </w:pPr>
      <w:r w:rsidRPr="00D35C4A">
        <w:rPr>
          <w:rFonts w:ascii="Times New Roman" w:hAnsi="Times New Roman" w:cs="Times New Roman"/>
          <w:lang w:val="lt-LT"/>
        </w:rPr>
        <w:lastRenderedPageBreak/>
        <w:t>jeigu praeityje pavartojus hidrochlorotiazido, Jums pasireiškė kvėpavimo ar plaučių veiklos sutrikimų (įskaitant plaučių uždegimą ar skysčio susidarymą juose). Jeigu pavartojus Nebilet Plus Jums pasireikštų stiprus dusulys arba kvėpavimo sunkumų, nedelsdami kreipkitės medicininės pagalbos.</w:t>
      </w:r>
    </w:p>
    <w:p w14:paraId="5E98094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9A8759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gali padidinti kraujo plazmoje riebalų ir šlapimo rūgšties kiekį. Jis gali paveikti jūsų kraujyje esančių medžiagų, vadinamų elektrolitais kiekį: gydytojas kontroliuos jų kiekį nustatytais intervalais atlikdamas kraujo tyrimą.</w:t>
      </w:r>
    </w:p>
    <w:p w14:paraId="1EB4977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123C07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sudėtyje esantis hidrochlorotiazidas gali sukelti padidėjusį jautrumą saulės šviesai arba dirbtiniams ultravioletiniams spinduliams. Jei atsirado išbėrimas, niežtinčios dėmės ar odos jautrumas vartojant Nebilet Plus, nutraukite jo vartojimą ir pasakykite gydytojui (žr. taip pat 4 skyrių).</w:t>
      </w:r>
    </w:p>
    <w:p w14:paraId="239B885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0C98BA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Dopingo testas:</w:t>
      </w:r>
      <w:r w:rsidRPr="004C7FBD">
        <w:rPr>
          <w:rFonts w:ascii="Times New Roman" w:eastAsia="Times New Roman" w:hAnsi="Times New Roman" w:cs="Times New Roman"/>
          <w:lang w:val="lt-LT"/>
        </w:rPr>
        <w:t xml:space="preserve"> Nebilet Plus gali sąlygoti teigiamus dopingo testo rezultatus.</w:t>
      </w:r>
    </w:p>
    <w:p w14:paraId="6EFE712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2480B49"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Vaikams ir paaugliams</w:t>
      </w:r>
    </w:p>
    <w:p w14:paraId="10E5BDD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Dėl šio preparato vartojimo vaikams ir paaugliams gydyti duomenų stokos, Nebilet Plus </w:t>
      </w:r>
      <w:r w:rsidRPr="004C7FBD">
        <w:rPr>
          <w:rFonts w:ascii="Times New Roman" w:eastAsia="Times New Roman" w:hAnsi="Times New Roman" w:cs="Times New Roman"/>
          <w:b/>
          <w:lang w:val="lt-LT"/>
        </w:rPr>
        <w:t>nerekomenduojama</w:t>
      </w:r>
      <w:r w:rsidRPr="004C7FBD">
        <w:rPr>
          <w:rFonts w:ascii="Times New Roman" w:eastAsia="Times New Roman" w:hAnsi="Times New Roman" w:cs="Times New Roman"/>
          <w:lang w:val="lt-LT"/>
        </w:rPr>
        <w:t xml:space="preserve"> vartoti šiems pacientams gydyti.</w:t>
      </w:r>
    </w:p>
    <w:p w14:paraId="58AFF40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130DEF2"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Kiti vaistai ir Nebilet Plus</w:t>
      </w:r>
    </w:p>
    <w:p w14:paraId="7AE5CB2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CB027F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Jeigu vartojate arba neseniai vartojote kitų vaistų arba dėl to nesate tikri, apie tai pasakykite gydytojui arba </w:t>
      </w:r>
    </w:p>
    <w:p w14:paraId="6CFAAFA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vaistininkui. Kai kurių vaistų kartu vartoti negalima, tuo tarpu, kitų vaistų vartojimą reikia pakeisti (pvz., dozę).</w:t>
      </w:r>
    </w:p>
    <w:p w14:paraId="6831BA50" w14:textId="77777777" w:rsidR="00E625FB" w:rsidRPr="004C7FBD" w:rsidRDefault="00E625FB" w:rsidP="00E625FB">
      <w:pPr>
        <w:spacing w:after="0" w:line="240" w:lineRule="auto"/>
        <w:rPr>
          <w:rFonts w:ascii="Times New Roman" w:eastAsia="Times New Roman" w:hAnsi="Times New Roman" w:cs="Times New Roman"/>
          <w:lang w:val="lt-LT"/>
        </w:rPr>
      </w:pPr>
    </w:p>
    <w:p w14:paraId="56C579AF"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Visuomet pasakykite gydytojui, jei vartojate kurį nors iš šių vaistų kartu su Nebilet Plus.</w:t>
      </w:r>
    </w:p>
    <w:p w14:paraId="70DA1A9E" w14:textId="77777777" w:rsidR="00E625FB" w:rsidRPr="004C7FBD" w:rsidRDefault="00E625FB" w:rsidP="00E625FB">
      <w:pPr>
        <w:spacing w:after="0" w:line="240" w:lineRule="auto"/>
        <w:rPr>
          <w:rFonts w:ascii="Times New Roman" w:eastAsia="Times New Roman" w:hAnsi="Times New Roman" w:cs="Times New Roman"/>
          <w:lang w:val="lt-LT"/>
        </w:rPr>
      </w:pPr>
    </w:p>
    <w:p w14:paraId="7A3C1CC0"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Vaistai, kurie, kaip ir Nebilet Plus, gali turėti įtakos kraujospūdžiui ir (arba) širdies veiklai:</w:t>
      </w:r>
    </w:p>
    <w:p w14:paraId="6F27ED9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vaistai, vartojami kraujospūdžiui kontroliuoti arba širdies sutrikimams gydyti (amjodaronas, </w:t>
      </w:r>
    </w:p>
    <w:p w14:paraId="69D336E3"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amlodipinas, cibenzolinas, klonidinas, digoksinas, diltiazemas, dizopiramidas, dofetilidas, felodipinas, </w:t>
      </w:r>
    </w:p>
    <w:p w14:paraId="66ED8BBD"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flekainidas, guanfacinas, hidrochinidinas, ibutilidas, lacidipinas, lidokainas, meksitilinas, metildopa, </w:t>
      </w:r>
    </w:p>
    <w:p w14:paraId="4216B35E"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moksonidinas, nikardipinas, nifedipinas, nimodipinas, nitrendipinas, propafenonas, chinidinas, </w:t>
      </w:r>
    </w:p>
    <w:p w14:paraId="7BEBF197"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rilmenidinas, sotalolis, verapamilis);</w:t>
      </w:r>
    </w:p>
    <w:p w14:paraId="25A022E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raminamieji ir psichozei (psichikos ligai) gydyti vartojami vaistai, pvz., amisulpiridas, barbitūratai </w:t>
      </w:r>
    </w:p>
    <w:p w14:paraId="0B677A65"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(taip pat vartojami epilepsijai gydyti), chlorpromazinas, ciamemazinas, droperidolis, haloperidolis, </w:t>
      </w:r>
    </w:p>
    <w:p w14:paraId="1BCF27F2"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levomepromazinas, narkotikai, fenotiazinas (taip pat vartojamas vėmimui ir pykinimui slopinti), </w:t>
      </w:r>
    </w:p>
    <w:p w14:paraId="753C2BAE"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pimozidas, sulpiridas, sultopridas, tioridazinas, tiapridas, trifluoperazinas;</w:t>
      </w:r>
    </w:p>
    <w:p w14:paraId="206497F7"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vaistai depresijai gydyti: amitriptilinas, fluoksetinas, paroksetinas;</w:t>
      </w:r>
    </w:p>
    <w:p w14:paraId="4E26ABD5" w14:textId="77777777" w:rsidR="00E625FB" w:rsidRPr="004C7FBD" w:rsidRDefault="00E625FB" w:rsidP="00E625FB">
      <w:pPr>
        <w:tabs>
          <w:tab w:val="left" w:pos="284"/>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vaistai anestezijai sukelti atliekant chirurgines operacijas;</w:t>
      </w:r>
    </w:p>
    <w:p w14:paraId="3C9AE0B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vaistai astmai, užsikimšusiai nosiai arba kai kurioms akių ligoms (pvz., glaukoma (padidėjęs akispūdis) </w:t>
      </w:r>
    </w:p>
    <w:p w14:paraId="1CAAF019"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arba išsiplėtę akių vyzdžiai) gydyti;</w:t>
      </w:r>
    </w:p>
    <w:p w14:paraId="64C9A3FB" w14:textId="460F524E" w:rsidR="00440894" w:rsidRDefault="00E625FB" w:rsidP="00E625FB">
      <w:pPr>
        <w:tabs>
          <w:tab w:val="left" w:pos="360"/>
        </w:tabs>
        <w:spacing w:after="0" w:line="240" w:lineRule="auto"/>
        <w:ind w:left="284" w:hanging="284"/>
        <w:rPr>
          <w:rFonts w:ascii="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r>
      <w:r w:rsidR="00440894" w:rsidRPr="00440894">
        <w:rPr>
          <w:rFonts w:ascii="Times New Roman" w:hAnsi="Times New Roman" w:cs="Times New Roman"/>
          <w:lang w:val="lt-LT"/>
        </w:rPr>
        <w:t>vaistai nuo diabeto</w:t>
      </w:r>
      <w:r w:rsidR="009635B9">
        <w:rPr>
          <w:rFonts w:ascii="Times New Roman" w:hAnsi="Times New Roman" w:cs="Times New Roman"/>
          <w:lang w:val="lt-LT"/>
        </w:rPr>
        <w:t xml:space="preserve"> (pvz., insulinas arba geriamieji vaistai diabetui gydyti)</w:t>
      </w:r>
      <w:r w:rsidR="00440894" w:rsidRPr="00440894">
        <w:rPr>
          <w:rFonts w:ascii="Times New Roman" w:hAnsi="Times New Roman" w:cs="Times New Roman"/>
          <w:lang w:val="lt-LT"/>
        </w:rPr>
        <w:t>;</w:t>
      </w:r>
    </w:p>
    <w:p w14:paraId="26A4B72A" w14:textId="77777777" w:rsidR="00440894" w:rsidRPr="00440894" w:rsidRDefault="00440894" w:rsidP="00440894">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Pr="00440894">
        <w:rPr>
          <w:rFonts w:ascii="Times New Roman" w:eastAsia="Times New Roman" w:hAnsi="Times New Roman" w:cs="Times New Roman"/>
          <w:lang w:val="lt-LT"/>
        </w:rPr>
        <w:t>baklofenas (antispazminis vaistas);</w:t>
      </w:r>
    </w:p>
    <w:p w14:paraId="18139E14" w14:textId="77777777" w:rsidR="00E625FB" w:rsidRPr="004C7FBD" w:rsidRDefault="00E625FB" w:rsidP="00E625FB">
      <w:pPr>
        <w:tabs>
          <w:tab w:val="left" w:pos="284"/>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amifostinas (apsauginis vaistas, vartojamas chemoterapijoje).</w:t>
      </w:r>
    </w:p>
    <w:p w14:paraId="43A4143F" w14:textId="77777777" w:rsidR="00E625FB" w:rsidRPr="004C7FBD" w:rsidRDefault="00E625FB" w:rsidP="00E625FB">
      <w:pPr>
        <w:spacing w:after="0" w:line="240" w:lineRule="auto"/>
        <w:rPr>
          <w:rFonts w:ascii="Times New Roman" w:eastAsia="Times New Roman" w:hAnsi="Times New Roman" w:cs="Times New Roman"/>
          <w:lang w:val="lt-LT"/>
        </w:rPr>
      </w:pPr>
    </w:p>
    <w:p w14:paraId="08A98A75"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kurių poveikis arba toksinis veikimas gali sustiprinti Nebilet Plus poveikį: </w:t>
      </w:r>
    </w:p>
    <w:p w14:paraId="6B316E9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softHyphen/>
      </w:r>
      <w:r w:rsidRPr="004C7FBD">
        <w:rPr>
          <w:rFonts w:ascii="Times New Roman" w:eastAsia="Times New Roman" w:hAnsi="Times New Roman" w:cs="Times New Roman"/>
          <w:lang w:val="lt-LT"/>
        </w:rPr>
        <w:softHyphen/>
        <w:t xml:space="preserve">- </w:t>
      </w:r>
      <w:r w:rsidRPr="004C7FBD">
        <w:rPr>
          <w:rFonts w:ascii="Times New Roman" w:eastAsia="Times New Roman" w:hAnsi="Times New Roman" w:cs="Times New Roman"/>
          <w:lang w:val="lt-LT"/>
        </w:rPr>
        <w:tab/>
        <w:t>litis, vartojamas esant nuotaikos sutrikimams;</w:t>
      </w:r>
    </w:p>
    <w:p w14:paraId="626D5B25"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cisapridas (vartojamas esant virškinimo sistemos sutrikimams);</w:t>
      </w:r>
    </w:p>
    <w:p w14:paraId="184E79AE"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bepridilis (vartojamas krūtinės anginai gydyti);</w:t>
      </w:r>
    </w:p>
    <w:p w14:paraId="159EB685"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difemanilis (vartojamas esant pernelyg dideliam prakaitavimui);</w:t>
      </w:r>
    </w:p>
    <w:p w14:paraId="04CCC989"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infekcijoms gydyti: į veną švirkščiamas arba lašinamas eritromicinas, pentamidinas ir </w:t>
      </w:r>
    </w:p>
    <w:p w14:paraId="3F5C4F9B" w14:textId="77777777" w:rsidR="00E625FB" w:rsidRPr="004C7FBD" w:rsidRDefault="00E625FB" w:rsidP="00E625FB">
      <w:pPr>
        <w:spacing w:after="0" w:line="240" w:lineRule="auto"/>
        <w:ind w:firstLine="284"/>
        <w:rPr>
          <w:rFonts w:ascii="Times New Roman" w:eastAsia="Times New Roman" w:hAnsi="Times New Roman" w:cs="Times New Roman"/>
          <w:lang w:val="lt-LT"/>
        </w:rPr>
      </w:pPr>
      <w:r w:rsidRPr="004C7FBD">
        <w:rPr>
          <w:rFonts w:ascii="Times New Roman" w:eastAsia="Times New Roman" w:hAnsi="Times New Roman" w:cs="Times New Roman"/>
          <w:lang w:val="lt-LT"/>
        </w:rPr>
        <w:t>sparfloksacinas, amfotericinas, penicilino G natrio druska, halofantrinas (vaistas maliarijai gydyti);</w:t>
      </w:r>
    </w:p>
    <w:p w14:paraId="5366C80C"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vinkaminas (vartojamas esant galvos smegenų kraujotakos sutrikimams);</w:t>
      </w:r>
    </w:p>
    <w:p w14:paraId="29154CED"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mizolastinas ir terfenadinas (vartojami alergijai gydyti);</w:t>
      </w:r>
    </w:p>
    <w:p w14:paraId="3134EE66"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diuretikai ir vidurius paleidžiantys vaistai;</w:t>
      </w:r>
    </w:p>
    <w:p w14:paraId="56AA91C6"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esant ūmiam uždegimui: steroidiniai preparatai (pvz., kortizonas ir prednizolonas), AKTH </w:t>
      </w:r>
    </w:p>
    <w:p w14:paraId="68A74726" w14:textId="77777777" w:rsidR="00E625FB" w:rsidRPr="004C7FBD" w:rsidRDefault="00E625FB" w:rsidP="00E625FB">
      <w:pPr>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(adrenokortikotropinis hormonas), salicilo rūgšties dariniai (pvz., acetilsalicilo rūgštis arba aspirinas, kiti salicilatai);</w:t>
      </w:r>
    </w:p>
    <w:p w14:paraId="74615E0F"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karbenoksolonas (vartojamas esant rėmeniui ir skrandžio opai);</w:t>
      </w:r>
    </w:p>
    <w:p w14:paraId="56625CCF"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kalcio druskos, vartojamos kaip papildai kaulams;</w:t>
      </w:r>
    </w:p>
    <w:p w14:paraId="168F58AE"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vaistai, sukeliantys raumenų atsipalaidavimą (pvz., tubokurarinas);</w:t>
      </w:r>
    </w:p>
    <w:p w14:paraId="1449B8C5"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diaksozidas, vartojamas esant sumažėjusiam gliukozės kiekiui kraujyje ir padidėjusiam kraujospūdžiui;</w:t>
      </w:r>
    </w:p>
    <w:p w14:paraId="6B4221D3"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amantadinas, vaistas virusų sukeltoms ligoms gydyti;</w:t>
      </w:r>
    </w:p>
    <w:p w14:paraId="631887B2"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ciklosporinas, vartojamas organizmo imuninei sistemai slopinti;</w:t>
      </w:r>
    </w:p>
    <w:p w14:paraId="3F1AB505"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jodo turinčios rentgenokontrastinės medžiagos, vartojamos atliekant rentgenologinį tyrimą;</w:t>
      </w:r>
    </w:p>
    <w:p w14:paraId="7E9F563B" w14:textId="77777777" w:rsidR="00E625FB" w:rsidRPr="004C7FBD" w:rsidRDefault="00E625FB" w:rsidP="00E625F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priešvėžiniai vaistai (pvz., ciklofosfamidas, fluorouracilas, metotreksatas).</w:t>
      </w:r>
    </w:p>
    <w:p w14:paraId="41BC1855" w14:textId="77777777" w:rsidR="00E625FB" w:rsidRPr="004C7FBD" w:rsidRDefault="00E625FB" w:rsidP="00E625FB">
      <w:pPr>
        <w:spacing w:after="0" w:line="240" w:lineRule="auto"/>
        <w:rPr>
          <w:rFonts w:ascii="Times New Roman" w:eastAsia="Times New Roman" w:hAnsi="Times New Roman" w:cs="Times New Roman"/>
          <w:lang w:val="lt-LT"/>
        </w:rPr>
      </w:pPr>
    </w:p>
    <w:p w14:paraId="67FE5B4E"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Vaistai, kurių poveikį Nebilet Plus gali sumažinti:</w:t>
      </w:r>
    </w:p>
    <w:p w14:paraId="2401A4CA" w14:textId="77777777" w:rsidR="00E625FB" w:rsidRPr="004C7FBD" w:rsidRDefault="00E625FB" w:rsidP="00E625FB">
      <w:pPr>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gliukozės kiekį kraujyje mažinantys vaistai (insulinas ir geriamieji antidiabetiniai preparatai, pvz., </w:t>
      </w:r>
    </w:p>
    <w:p w14:paraId="6E1BB0F9" w14:textId="77777777" w:rsidR="00E625FB" w:rsidRPr="004C7FBD" w:rsidRDefault="00E625FB" w:rsidP="00E625FB">
      <w:pPr>
        <w:spacing w:after="0" w:line="240" w:lineRule="auto"/>
        <w:ind w:firstLine="284"/>
        <w:rPr>
          <w:rFonts w:ascii="Times New Roman" w:eastAsia="Times New Roman" w:hAnsi="Times New Roman" w:cs="Times New Roman"/>
          <w:lang w:val="lt-LT"/>
        </w:rPr>
      </w:pPr>
      <w:r w:rsidRPr="004C7FBD">
        <w:rPr>
          <w:rFonts w:ascii="Times New Roman" w:eastAsia="Times New Roman" w:hAnsi="Times New Roman" w:cs="Times New Roman"/>
          <w:lang w:val="lt-LT"/>
        </w:rPr>
        <w:t>metforminas);</w:t>
      </w:r>
    </w:p>
    <w:p w14:paraId="37612742" w14:textId="77777777" w:rsidR="00E625FB" w:rsidRPr="004C7FBD" w:rsidRDefault="00E625FB" w:rsidP="00E625F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vaistai podagrai gydyti (pvz., alopurinolis, probenecidas ir sulfinpirazonas);</w:t>
      </w:r>
    </w:p>
    <w:p w14:paraId="252BF0E9" w14:textId="77777777" w:rsidR="00E625FB" w:rsidRPr="004C7FBD" w:rsidRDefault="00E625FB" w:rsidP="00E625F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noradrenalinas ir kiti panašūs vaistai, vartojami esant žemam kraujospūdžiui ir retam širdies </w:t>
      </w:r>
    </w:p>
    <w:p w14:paraId="21C5DDA2" w14:textId="77777777" w:rsidR="00E625FB" w:rsidRPr="004C7FBD" w:rsidRDefault="00E625FB" w:rsidP="00E625FB">
      <w:pPr>
        <w:spacing w:after="0" w:line="240" w:lineRule="auto"/>
        <w:ind w:firstLine="284"/>
        <w:rPr>
          <w:rFonts w:ascii="Times New Roman" w:eastAsia="Times New Roman" w:hAnsi="Times New Roman" w:cs="Times New Roman"/>
          <w:lang w:val="lt-LT"/>
        </w:rPr>
      </w:pPr>
      <w:r w:rsidRPr="004C7FBD">
        <w:rPr>
          <w:rFonts w:ascii="Times New Roman" w:eastAsia="Times New Roman" w:hAnsi="Times New Roman" w:cs="Times New Roman"/>
          <w:lang w:val="lt-LT"/>
        </w:rPr>
        <w:t>ritmui;</w:t>
      </w:r>
    </w:p>
    <w:p w14:paraId="3ED4522A" w14:textId="77777777" w:rsidR="00E625FB" w:rsidRPr="004C7FBD" w:rsidRDefault="00E625FB" w:rsidP="00E625F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skausmui ir uždegimui slopinti (nesteroidiniai vaistai nuo uždegimo), nes jie gali </w:t>
      </w:r>
    </w:p>
    <w:p w14:paraId="7260E594" w14:textId="77777777" w:rsidR="00E625FB" w:rsidRPr="004C7FBD" w:rsidRDefault="00E625FB" w:rsidP="00E625FB">
      <w:pPr>
        <w:spacing w:after="0" w:line="240" w:lineRule="auto"/>
        <w:ind w:firstLine="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susilpninti Nebilet Plus kraujospūdį mažinantį poveikį; </w:t>
      </w:r>
    </w:p>
    <w:p w14:paraId="0A54542F" w14:textId="77777777" w:rsidR="00E625FB" w:rsidRPr="004C7FBD" w:rsidRDefault="00E625FB" w:rsidP="00E625F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vaistai padidėjusiam skrandžio rūgštingumui arba opoms gydyti (antacidas): Nebilet Plus vartokite valgymo metu, o antacidą tarp valgymų.</w:t>
      </w:r>
    </w:p>
    <w:p w14:paraId="602E3476" w14:textId="77777777" w:rsidR="00E625FB" w:rsidRPr="004C7FBD" w:rsidRDefault="00E625FB" w:rsidP="00E625FB">
      <w:pPr>
        <w:spacing w:after="120" w:line="240" w:lineRule="auto"/>
        <w:rPr>
          <w:rFonts w:ascii="Times New Roman" w:eastAsia="Times New Roman" w:hAnsi="Times New Roman" w:cs="Times New Roman"/>
          <w:lang w:val="lt-LT"/>
        </w:rPr>
      </w:pPr>
    </w:p>
    <w:p w14:paraId="679F8535"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1" w:name="OLE_LINK1"/>
      <w:r w:rsidRPr="004C7FBD">
        <w:rPr>
          <w:rFonts w:ascii="Times New Roman" w:eastAsia="Times New Roman" w:hAnsi="Times New Roman" w:cs="Times New Roman"/>
          <w:b/>
          <w:kern w:val="28"/>
          <w:lang w:val="lt-LT"/>
        </w:rPr>
        <w:t>Nebilet vartojimas su alkoholiu</w:t>
      </w:r>
    </w:p>
    <w:p w14:paraId="6DC6232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Atsargiai elkitės su alkoholiu, kai vartojate Nebilet Plus, nes galite apalpti arba apsvaigti. Jei vartojate vaistus, negerkite jokio alkoholinio gėrimo, įskaitant vyną, alų ar silpnus svaigiuosius gėrimus.</w:t>
      </w:r>
      <w:bookmarkEnd w:id="11"/>
      <w:r w:rsidRPr="004C7FBD">
        <w:rPr>
          <w:rFonts w:ascii="Times New Roman" w:eastAsia="Times New Roman" w:hAnsi="Times New Roman" w:cs="Times New Roman"/>
          <w:lang w:val="lt-LT"/>
        </w:rPr>
        <w:t xml:space="preserve"> </w:t>
      </w:r>
    </w:p>
    <w:p w14:paraId="653ECA3B" w14:textId="77777777" w:rsidR="00E625FB" w:rsidRPr="004C7FBD" w:rsidRDefault="00E625FB" w:rsidP="00E625FB">
      <w:pPr>
        <w:spacing w:after="0" w:line="220" w:lineRule="atLeast"/>
        <w:rPr>
          <w:rFonts w:ascii="Times New Roman" w:eastAsia="Times New Roman" w:hAnsi="Times New Roman" w:cs="Times New Roman"/>
          <w:b/>
          <w:bCs/>
          <w:lang w:val="lt-LT"/>
        </w:rPr>
      </w:pPr>
    </w:p>
    <w:p w14:paraId="34E13571"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Nėštumas ir žindymo laikotarpis</w:t>
      </w:r>
    </w:p>
    <w:p w14:paraId="3ECBFB2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Pasakykite gydytojui, jei esate nėščia arba manote, kad pastojote. Dažniausiai gydytojas nurodys Jums vartoti kitą vaistinį preparatą vietoje Nebilet Plus, nes Nebilet Plus nepatariama vartoti nėštumo laikotarpiu. Taip patariama daryti todėl, kad veiklioji medžiaga hidrochlorotiazidas prasiskverbia pro placentą. Nebilet Plus vartojimas nėštumo metu gali sukelti kenksmingą poveikį vaisiui ir naujagimiui.</w:t>
      </w:r>
    </w:p>
    <w:p w14:paraId="326DFAFA" w14:textId="77777777" w:rsidR="00E625FB" w:rsidRPr="004C7FBD" w:rsidRDefault="00E625FB" w:rsidP="00E625FB">
      <w:pPr>
        <w:tabs>
          <w:tab w:val="left" w:pos="360"/>
        </w:tabs>
        <w:spacing w:after="0" w:line="240" w:lineRule="auto"/>
        <w:rPr>
          <w:rFonts w:ascii="Times New Roman" w:eastAsia="Times New Roman" w:hAnsi="Times New Roman" w:cs="Times New Roman"/>
          <w:snapToGrid w:val="0"/>
          <w:lang w:val="lt-LT"/>
        </w:rPr>
      </w:pPr>
      <w:r w:rsidRPr="004C7FBD">
        <w:rPr>
          <w:rFonts w:ascii="Times New Roman" w:eastAsia="Times New Roman" w:hAnsi="Times New Roman" w:cs="Times New Roman"/>
          <w:snapToGrid w:val="0"/>
          <w:lang w:val="lt-LT"/>
        </w:rPr>
        <w:t>Pasakykite gydytojui, jeigu žindote ar ketinate pradėti žindyti kūdikį. Nebilet Plus žindyvėms vartoti nerekomenduojama.</w:t>
      </w:r>
    </w:p>
    <w:p w14:paraId="4042286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515D51C" w14:textId="77777777" w:rsidR="00E625FB" w:rsidRPr="004C7FBD" w:rsidRDefault="00E625FB" w:rsidP="00E625F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 vaistininku.</w:t>
      </w:r>
    </w:p>
    <w:p w14:paraId="719D6225" w14:textId="77777777" w:rsidR="00E625FB" w:rsidRPr="004C7FBD" w:rsidRDefault="00E625FB" w:rsidP="00E625FB">
      <w:pPr>
        <w:spacing w:after="0" w:line="220" w:lineRule="atLeast"/>
        <w:rPr>
          <w:rFonts w:ascii="Times New Roman" w:eastAsia="Arial Unicode MS" w:hAnsi="Times New Roman" w:cs="Times New Roman"/>
          <w:b/>
          <w:bCs/>
          <w:lang w:val="lt-LT" w:eastAsia="lt-LT"/>
        </w:rPr>
      </w:pPr>
      <w:r w:rsidRPr="004C7FBD">
        <w:rPr>
          <w:rFonts w:ascii="Times New Roman" w:eastAsia="Times New Roman" w:hAnsi="Times New Roman" w:cs="Times New Roman"/>
          <w:b/>
          <w:bCs/>
          <w:lang w:val="lt-LT"/>
        </w:rPr>
        <w:t>Vairavimas ir mechanizmų valdymas</w:t>
      </w:r>
    </w:p>
    <w:p w14:paraId="3DCB108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Šis vaistas gali sukelti svaigulį arba nuovargį. Taip įvykus, vairuoti ir mechanizmų valdyti negalima.</w:t>
      </w:r>
    </w:p>
    <w:p w14:paraId="32456129" w14:textId="77777777" w:rsidR="00E625FB" w:rsidRPr="004C7FBD" w:rsidRDefault="00E625FB" w:rsidP="00E625FB">
      <w:pPr>
        <w:keepNext/>
        <w:spacing w:after="0" w:line="240" w:lineRule="auto"/>
        <w:outlineLvl w:val="2"/>
        <w:rPr>
          <w:rFonts w:ascii="Times New Roman" w:eastAsia="Times New Roman" w:hAnsi="Times New Roman" w:cs="Times New Roman"/>
          <w:b/>
          <w:lang w:val="lt-LT" w:eastAsia="lt-LT"/>
        </w:rPr>
      </w:pPr>
    </w:p>
    <w:p w14:paraId="2AAD2721"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Nebilet Plus sudėtyje yra laktozės</w:t>
      </w:r>
      <w:r>
        <w:rPr>
          <w:rFonts w:ascii="Times New Roman" w:eastAsia="Times New Roman" w:hAnsi="Times New Roman" w:cs="Times New Roman"/>
          <w:b/>
          <w:lang w:val="lt-LT"/>
        </w:rPr>
        <w:t xml:space="preserve"> ir natrio</w:t>
      </w:r>
    </w:p>
    <w:p w14:paraId="4FC2F08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Nebilet Plus sudėtyje yra </w:t>
      </w:r>
      <w:r w:rsidRPr="004C7FBD">
        <w:rPr>
          <w:rFonts w:ascii="Times New Roman" w:eastAsia="Times New Roman" w:hAnsi="Times New Roman" w:cs="Times New Roman"/>
          <w:b/>
          <w:lang w:val="lt-LT"/>
        </w:rPr>
        <w:t>laktozės</w:t>
      </w:r>
      <w:r w:rsidRPr="004C7FBD">
        <w:rPr>
          <w:rFonts w:ascii="Times New Roman" w:eastAsia="Times New Roman" w:hAnsi="Times New Roman" w:cs="Times New Roman"/>
          <w:lang w:val="lt-LT"/>
        </w:rPr>
        <w:t xml:space="preserve">. Jeigu gydytojas Jums yra sakęs, kad netoleruojate kokių nors angliavandenių, </w:t>
      </w:r>
      <w:r w:rsidRPr="004C7FBD">
        <w:rPr>
          <w:rFonts w:ascii="Times New Roman" w:eastAsia="Times New Roman" w:hAnsi="Times New Roman" w:cs="Times New Roman"/>
          <w:b/>
          <w:lang w:val="lt-LT"/>
        </w:rPr>
        <w:t>kreipkitės į gydytoją prieš pradėdami</w:t>
      </w: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b/>
          <w:lang w:val="lt-LT"/>
        </w:rPr>
        <w:t xml:space="preserve">vartoti </w:t>
      </w:r>
      <w:r w:rsidRPr="004C7FBD">
        <w:rPr>
          <w:rFonts w:ascii="Times New Roman" w:eastAsia="Times New Roman" w:hAnsi="Times New Roman" w:cs="Times New Roman"/>
          <w:lang w:val="lt-LT"/>
        </w:rPr>
        <w:t>šį vaistą.</w:t>
      </w:r>
    </w:p>
    <w:p w14:paraId="04927F8E"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03341E84" w14:textId="77777777" w:rsidR="00E625FB" w:rsidRPr="00252941" w:rsidRDefault="00E625FB" w:rsidP="00E625FB">
      <w:pPr>
        <w:spacing w:after="0" w:line="240" w:lineRule="auto"/>
        <w:rPr>
          <w:rFonts w:ascii="Times New Roman" w:eastAsia="Times New Roman" w:hAnsi="Times New Roman" w:cs="Times New Roman"/>
          <w:lang w:val="lt-LT" w:eastAsia="lt-LT"/>
        </w:rPr>
      </w:pPr>
      <w:r w:rsidRPr="008B7737">
        <w:rPr>
          <w:rFonts w:ascii="Times New Roman" w:hAnsi="Times New Roman" w:cs="Times New Roman"/>
          <w:iCs/>
          <w:lang w:val="lt-LT"/>
        </w:rPr>
        <w:t>Šio vaisto vienoje tabletėje yra mažiau kaip 1 mmol (23 mg) natrio, t. y. jis beveik neturi reikšmės.</w:t>
      </w:r>
    </w:p>
    <w:p w14:paraId="01835CB6" w14:textId="77777777" w:rsidR="00E625FB" w:rsidRDefault="00E625FB" w:rsidP="00E625FB">
      <w:pPr>
        <w:spacing w:after="0" w:line="240" w:lineRule="auto"/>
        <w:rPr>
          <w:rFonts w:ascii="Times New Roman" w:eastAsia="Times New Roman" w:hAnsi="Times New Roman" w:cs="Times New Roman"/>
          <w:lang w:val="lt-LT" w:eastAsia="lt-LT"/>
        </w:rPr>
      </w:pPr>
    </w:p>
    <w:p w14:paraId="278872C9"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8A84A21" w14:textId="77777777" w:rsidR="00E625FB" w:rsidRPr="004C7FBD" w:rsidRDefault="00E625FB" w:rsidP="00E625F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3.</w:t>
      </w:r>
      <w:r w:rsidRPr="004C7FBD">
        <w:rPr>
          <w:rFonts w:ascii="Times New Roman" w:eastAsia="Times New Roman" w:hAnsi="Times New Roman" w:cs="Times New Roman"/>
          <w:b/>
          <w:kern w:val="28"/>
          <w:lang w:val="lt-LT"/>
        </w:rPr>
        <w:tab/>
        <w:t xml:space="preserve">Kaip vartoti Nebilet Plus </w:t>
      </w:r>
    </w:p>
    <w:p w14:paraId="2B3094C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1C95AE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Visada vartokite šį vaistą tiksliai kaip nurodė gydytojas. Jeigu abejojate, kreipkitės į gydytoją.</w:t>
      </w:r>
    </w:p>
    <w:p w14:paraId="24B064D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E199D0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Gerkite po 1 tabletę per dieną užsigerdami nedideliu vandens kiekiu, geriausia tuo pačiu paros metu.</w:t>
      </w:r>
    </w:p>
    <w:p w14:paraId="57A99E8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Nebilet Plus galima gerti prieš valgį, valgio metu arba pavalgius, taip pat nepriklausomai nuo valgymo. </w:t>
      </w:r>
    </w:p>
    <w:p w14:paraId="2133BFD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9528ACB" w14:textId="77777777"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Vartojimas vaikams ir paaugliams</w:t>
      </w:r>
    </w:p>
    <w:p w14:paraId="4EA36DB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Neduokite gerti Nebilet Plus vaikams ir paaugliams.</w:t>
      </w:r>
    </w:p>
    <w:p w14:paraId="6EB56C8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1128AA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Vagelė skirta tik tabletei perlaužti, jeigu ją visą būtų sunku nuryti.</w:t>
      </w:r>
    </w:p>
    <w:p w14:paraId="7F5F223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FB11649"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Ką daryti pavartojus per didelę Nebilet Plus dozę?</w:t>
      </w:r>
    </w:p>
    <w:p w14:paraId="47B0DB1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 Jūs atsitiktinai išgėrėte pernelyg didelę vaisto dozę, </w:t>
      </w:r>
      <w:r w:rsidRPr="004C7FBD">
        <w:rPr>
          <w:rFonts w:ascii="Times New Roman" w:eastAsia="Times New Roman" w:hAnsi="Times New Roman" w:cs="Times New Roman"/>
          <w:b/>
          <w:lang w:val="lt-LT"/>
        </w:rPr>
        <w:t>nedelsiant</w:t>
      </w:r>
      <w:r w:rsidRPr="004C7FBD">
        <w:rPr>
          <w:rFonts w:ascii="Times New Roman" w:eastAsia="Times New Roman" w:hAnsi="Times New Roman" w:cs="Times New Roman"/>
          <w:lang w:val="lt-LT"/>
        </w:rPr>
        <w:t xml:space="preserve"> pasakykite gydytojui arba vaistininkui. Dažniausieji perdozavimo simptomai ir požymiai yra retas pulsas (bradikardija), mažas kraujospūdis su galimu apalpimu, pasunkėjęs kvėpavimas sergant astma, staiga atsiradęs (ūminis) širdies funkcijos sutrikimas, gausus šlapinimasis su skysčiu netekimu dėl to, pykinimas, mieguistumas, raumenų spazmai, širdies ritmo sutrikimai (ypač tais atvejais, kai vartojate taip pat digitalio preparatus arba kitus vaistus ritmo sutrikimams gydyti).</w:t>
      </w:r>
    </w:p>
    <w:p w14:paraId="66D1E2D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CF811A6"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Pamiršus pavartoti Nebilet Plus</w:t>
      </w:r>
    </w:p>
    <w:p w14:paraId="73C9C1F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 pamiršote pavartoti Nebilet Plus nustatytu laiku, bet netrukus apie tai prisiminėte, gerkite įprastą paros </w:t>
      </w:r>
    </w:p>
    <w:p w14:paraId="1E23884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dozę. Jei praėjo daugiau laiko (pvz., keletas valandų), ir netoli kitos dozės gėrimo laikas, tuomet reikia </w:t>
      </w:r>
    </w:p>
    <w:p w14:paraId="542F302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palaukti ir vaisto gerti sekančią dozę įprastu laiku. Negalima gerti dvigubos dozės. Reikia vengti </w:t>
      </w:r>
    </w:p>
    <w:p w14:paraId="315742C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pakartotinai praleisti vaisto gėrimą. </w:t>
      </w:r>
    </w:p>
    <w:p w14:paraId="7BA89FE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F0A7CAB"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Nustojus vartoti Nebilet Plus</w:t>
      </w:r>
    </w:p>
    <w:p w14:paraId="205D5E4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Prieš nutraukiant Nebilet Plus vartojimą, visuomet pasitarkite su gydytoju.</w:t>
      </w:r>
    </w:p>
    <w:p w14:paraId="38F5849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DEC1EF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Jeigu kiltų daugiau klausimų, kreipkitės į gydytoją arba vaistininką.</w:t>
      </w:r>
    </w:p>
    <w:p w14:paraId="266CFDF1"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E56C4F7"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21CF1D56"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4.</w:t>
      </w:r>
      <w:r w:rsidRPr="004C7FBD">
        <w:rPr>
          <w:rFonts w:ascii="Times New Roman" w:eastAsia="Times New Roman" w:hAnsi="Times New Roman" w:cs="Times New Roman"/>
          <w:b/>
          <w:lang w:val="lt-LT"/>
        </w:rPr>
        <w:tab/>
        <w:t>Galimas šalutinis poveikis</w:t>
      </w:r>
    </w:p>
    <w:p w14:paraId="21A52B6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87F135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Šis vaistas, kaip ir visi kiti, gali sukelti šalutinį poveikį, nors jis pasireiškia ne visiems žmonėms.</w:t>
      </w:r>
    </w:p>
    <w:p w14:paraId="1E15D34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65779D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nebivololio pasitaikė toliau nurodytų šalutinio poveikio požymių.</w:t>
      </w:r>
    </w:p>
    <w:p w14:paraId="24E9797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BE637C1" w14:textId="7A95CB69" w:rsidR="00E625FB" w:rsidRPr="004543E6" w:rsidRDefault="004543E6" w:rsidP="00E625FB">
      <w:pPr>
        <w:tabs>
          <w:tab w:val="left" w:pos="360"/>
        </w:tabs>
        <w:spacing w:after="0" w:line="240" w:lineRule="auto"/>
        <w:rPr>
          <w:rFonts w:ascii="Times New Roman" w:eastAsia="Times New Roman" w:hAnsi="Times New Roman" w:cs="Times New Roman"/>
          <w:lang w:val="lt-LT"/>
        </w:rPr>
      </w:pPr>
      <w:bookmarkStart w:id="12" w:name="_Hlk177128069"/>
      <w:r w:rsidRPr="004543E6">
        <w:rPr>
          <w:rFonts w:ascii="Times New Roman" w:hAnsi="Times New Roman" w:cs="Times New Roman"/>
          <w:b/>
          <w:bCs/>
          <w:lang w:val="lt-LT" w:eastAsia="lt-LT"/>
        </w:rPr>
        <w:t>Dažni šalutinio poveikio reiškiniai (gali pasireikšti rečiau kaip 1 iš 10 asmenų):</w:t>
      </w:r>
      <w:bookmarkEnd w:id="12"/>
    </w:p>
    <w:p w14:paraId="39F5B94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galvos skausmas, svaigulys, nuovargis, neįprastas deginimo, badymo, peršėjimo ar dilgčiojimo pojūtis, </w:t>
      </w:r>
    </w:p>
    <w:p w14:paraId="22D2EF8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viduriavimas, vidurių užkietėjimas, pykinimas, pasunkėjęs kvėpavimas, rankų ir kojų patinimas.</w:t>
      </w:r>
    </w:p>
    <w:p w14:paraId="113AFF9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F6CABB0" w14:textId="0E969FF1" w:rsidR="00E625FB" w:rsidRPr="004543E6" w:rsidRDefault="004543E6" w:rsidP="00E625FB">
      <w:pPr>
        <w:tabs>
          <w:tab w:val="left" w:pos="360"/>
        </w:tabs>
        <w:spacing w:after="0" w:line="240" w:lineRule="auto"/>
        <w:rPr>
          <w:rFonts w:ascii="Times New Roman" w:eastAsia="Times New Roman" w:hAnsi="Times New Roman" w:cs="Times New Roman"/>
          <w:lang w:val="lt-LT"/>
        </w:rPr>
      </w:pPr>
      <w:bookmarkStart w:id="13" w:name="_Hlk177128080"/>
      <w:r w:rsidRPr="004543E6">
        <w:rPr>
          <w:rFonts w:ascii="Times New Roman" w:hAnsi="Times New Roman" w:cs="Times New Roman"/>
          <w:b/>
          <w:bCs/>
          <w:lang w:val="lt-LT" w:eastAsia="lt-LT"/>
        </w:rPr>
        <w:t>Nedažni šalutinio poveikio reiškiniai (gali pasireikšti rečiau kaip 1 iš 100 asmenų):</w:t>
      </w:r>
      <w:bookmarkEnd w:id="13"/>
    </w:p>
    <w:p w14:paraId="27033244"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retas pulsas ar kiti širdies veiklos sutrikimai, žemas kraujospūdis, raumenų spazmų pobūdžio skausmas </w:t>
      </w:r>
    </w:p>
    <w:p w14:paraId="40AC1E70"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kojose einant, sutrikęs regėjimo aštrumas, impotencija, depresija, virškinimo sutrikimai, dujų kaupimasis skrandyje ar žarnose, vėmimas, odos išbėrimas, niežėjimas, pasunkėjęs kvėpavimas kaip sergant astma dėl staigių kvėpavimo takų raumenų spazmo (bronchų spazmas), naktiniai košmarai.</w:t>
      </w:r>
    </w:p>
    <w:p w14:paraId="2618905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7656745" w14:textId="4F5769D6" w:rsidR="00E625FB" w:rsidRPr="004543E6" w:rsidRDefault="004543E6" w:rsidP="00E625FB">
      <w:pPr>
        <w:tabs>
          <w:tab w:val="left" w:pos="360"/>
        </w:tabs>
        <w:spacing w:after="0" w:line="240" w:lineRule="auto"/>
        <w:rPr>
          <w:rFonts w:ascii="Times New Roman" w:eastAsia="Times New Roman" w:hAnsi="Times New Roman" w:cs="Times New Roman"/>
          <w:lang w:val="lt-LT"/>
        </w:rPr>
      </w:pPr>
      <w:bookmarkStart w:id="14" w:name="_Hlk177128092"/>
      <w:r w:rsidRPr="004543E6">
        <w:rPr>
          <w:rFonts w:ascii="Times New Roman" w:hAnsi="Times New Roman" w:cs="Times New Roman"/>
          <w:b/>
          <w:bCs/>
          <w:lang w:val="lt-LT" w:eastAsia="lt-LT"/>
        </w:rPr>
        <w:t>Labai reti šalutinio poveikio reiškiniai (gali pasireikšti rečiau kaip 1 iš 10 000 asmenų):</w:t>
      </w:r>
      <w:bookmarkEnd w:id="14"/>
    </w:p>
    <w:p w14:paraId="28376E80"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apalpimas, pablogėjusi žvynelinės ligos (ligos, kurios metu būna rausvos padengtos žvynais dėmės) eiga.</w:t>
      </w:r>
    </w:p>
    <w:p w14:paraId="7196F35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701944A" w14:textId="77777777" w:rsidR="00E625FB" w:rsidRPr="004543E6" w:rsidRDefault="00E625FB" w:rsidP="00E625FB">
      <w:pPr>
        <w:tabs>
          <w:tab w:val="left" w:pos="360"/>
        </w:tabs>
        <w:spacing w:after="0" w:line="240" w:lineRule="auto"/>
        <w:rPr>
          <w:rFonts w:ascii="Times New Roman" w:eastAsia="Times New Roman" w:hAnsi="Times New Roman" w:cs="Times New Roman"/>
          <w:b/>
          <w:lang w:val="lt-LT"/>
        </w:rPr>
      </w:pPr>
      <w:r w:rsidRPr="004543E6">
        <w:rPr>
          <w:rFonts w:ascii="Times New Roman" w:eastAsia="Times New Roman" w:hAnsi="Times New Roman" w:cs="Times New Roman"/>
          <w:b/>
          <w:lang w:val="lt-LT"/>
        </w:rPr>
        <w:t xml:space="preserve">Pavieniai šalutinio poveikio atvejai: </w:t>
      </w:r>
    </w:p>
    <w:p w14:paraId="22A2AC5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viso kūno alerginės reakcijos su išplitusiu bėrimu (padidėjusio jautrumo reakcijos);</w:t>
      </w:r>
    </w:p>
    <w:p w14:paraId="55B9FD5D"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staigus patinimas, ypač apie lūpas, akis, liežuvio sutinimas su staiga pasunkėjusiu kvėpavimu </w:t>
      </w:r>
    </w:p>
    <w:p w14:paraId="5B39B35F"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(angioneurozinė edema);</w:t>
      </w:r>
    </w:p>
    <w:p w14:paraId="4FA33481" w14:textId="77777777" w:rsidR="00E625FB" w:rsidRPr="004C7FBD" w:rsidRDefault="00E625FB" w:rsidP="00E625FB">
      <w:pPr>
        <w:tabs>
          <w:tab w:val="left" w:pos="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w:t>
      </w:r>
      <w:r w:rsidRPr="004C7FBD">
        <w:rPr>
          <w:rFonts w:ascii="Times New Roman" w:eastAsia="Times New Roman" w:hAnsi="Times New Roman" w:cs="Times New Roman"/>
          <w:lang w:val="lt-LT"/>
        </w:rPr>
        <w:tab/>
        <w:t>odos bėrimas, pasireiškiantis rausvomis, iškiliomis, niežtinčiomis pūslelėmis dėl alerginių ir ne alerginių priežasčių (dilgėlinė).</w:t>
      </w:r>
    </w:p>
    <w:p w14:paraId="43220F6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CB5DAC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Vartojant hidrochlorotiazido pasitaikė toliau nurodytų šalutinio poveikio požymių.</w:t>
      </w:r>
    </w:p>
    <w:p w14:paraId="3795ED03" w14:textId="77777777" w:rsidR="00E625FB" w:rsidRPr="008B7737" w:rsidRDefault="00E625FB" w:rsidP="00E625FB">
      <w:pPr>
        <w:tabs>
          <w:tab w:val="left" w:pos="360"/>
        </w:tabs>
        <w:spacing w:after="0" w:line="240" w:lineRule="auto"/>
        <w:rPr>
          <w:rFonts w:ascii="Times New Roman" w:eastAsia="Times New Roman" w:hAnsi="Times New Roman" w:cs="Times New Roman"/>
          <w:lang w:val="lt-LT"/>
        </w:rPr>
      </w:pPr>
    </w:p>
    <w:p w14:paraId="0DB27033" w14:textId="27175090"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543E6">
        <w:rPr>
          <w:rFonts w:ascii="Times New Roman" w:eastAsia="Times New Roman" w:hAnsi="Times New Roman" w:cs="Times New Roman"/>
          <w:b/>
          <w:lang w:val="lt-LT"/>
        </w:rPr>
        <w:t>Dažnis nežinomas</w:t>
      </w:r>
      <w:r w:rsidR="00EB582D">
        <w:rPr>
          <w:rFonts w:ascii="Times New Roman" w:eastAsia="Times New Roman" w:hAnsi="Times New Roman" w:cs="Times New Roman"/>
          <w:b/>
          <w:lang w:val="lt-LT"/>
        </w:rPr>
        <w:t xml:space="preserve"> (negali būti apskaičiuotas pagal </w:t>
      </w:r>
      <w:r w:rsidR="008D247C">
        <w:rPr>
          <w:rFonts w:ascii="Times New Roman" w:eastAsia="Times New Roman" w:hAnsi="Times New Roman" w:cs="Times New Roman"/>
          <w:b/>
          <w:lang w:val="lt-LT"/>
        </w:rPr>
        <w:t>turimus duomenis)</w:t>
      </w:r>
      <w:r w:rsidRPr="004543E6">
        <w:rPr>
          <w:rFonts w:ascii="Times New Roman" w:eastAsia="Times New Roman" w:hAnsi="Times New Roman" w:cs="Times New Roman"/>
          <w:b/>
          <w:lang w:val="lt-LT"/>
        </w:rPr>
        <w:t>:</w:t>
      </w:r>
      <w:r w:rsidRPr="008B7737">
        <w:rPr>
          <w:rFonts w:ascii="Times New Roman" w:eastAsia="Times New Roman" w:hAnsi="Times New Roman" w:cs="Times New Roman"/>
          <w:lang w:val="lt-LT"/>
        </w:rPr>
        <w:t xml:space="preserve"> odos ir lūpos vėžys (nemelanominis odos vėžys).</w:t>
      </w:r>
    </w:p>
    <w:p w14:paraId="1186FB6B" w14:textId="77777777" w:rsidR="00E625FB" w:rsidRDefault="00E625FB" w:rsidP="00E625FB">
      <w:pPr>
        <w:tabs>
          <w:tab w:val="left" w:pos="360"/>
        </w:tabs>
        <w:spacing w:after="0" w:line="240" w:lineRule="auto"/>
        <w:rPr>
          <w:rFonts w:ascii="Times New Roman" w:eastAsia="Times New Roman" w:hAnsi="Times New Roman" w:cs="Times New Roman"/>
          <w:lang w:val="lt-LT"/>
        </w:rPr>
      </w:pPr>
    </w:p>
    <w:p w14:paraId="0267F5C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Alerginės reakcijos </w:t>
      </w:r>
    </w:p>
    <w:p w14:paraId="694C150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bendra alerginė reakcija (anafilaksinė reakcija).</w:t>
      </w:r>
    </w:p>
    <w:p w14:paraId="26CF898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02DCFF8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Širdies ir kraujotakos sutrikimai</w:t>
      </w:r>
    </w:p>
    <w:p w14:paraId="7343A9F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širdies ritmo sutrikimai, juntamas stiprus širdies plakimas, elektrokardiogramos pakitimai;</w:t>
      </w:r>
    </w:p>
    <w:p w14:paraId="05DB82D6"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staigus apalpimas atsistojus, trombų susidarymas venose (trombozė), embolija, kraujotakos kolapsas (šokas).</w:t>
      </w:r>
    </w:p>
    <w:p w14:paraId="5136EE9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436BB5B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Kraujo ir limfinės sistemos sutrikimai</w:t>
      </w:r>
    </w:p>
    <w:p w14:paraId="1627741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kraujo ląstelių skaičiaus pakitimai: sumažėjęs leukocitų, sumažėjęs trombocitų, eritrocitų kiekis; </w:t>
      </w:r>
    </w:p>
    <w:p w14:paraId="029E6AAF"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sumažėjęs naujų ląstelių susidarymas kaulų čiulpuose;</w:t>
      </w:r>
    </w:p>
    <w:p w14:paraId="126F6F81"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pakitęs skysčių kiekis organizme (dehidratacija), kraujo sudėties pokyčiai, ypač sumažėjęs kalio, natrio, magnio, chloro kiekis, padidėjęs kalcio kiekis;</w:t>
      </w:r>
    </w:p>
    <w:p w14:paraId="5815569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padidėjęs šlapimo rūgšties kiekis, podagra, padidėjęs gliukozės kiekis, cukrinis diabetas, metabolinė </w:t>
      </w:r>
    </w:p>
    <w:p w14:paraId="45A8E96E"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alkalozė (medžiagų apykaitos sutrikimas), padidėjęs cholesterolio ir (arba) triglicerolių kiekis.</w:t>
      </w:r>
    </w:p>
    <w:p w14:paraId="7C0FE85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9523BF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Virškinimo trakto sutrikimai</w:t>
      </w:r>
    </w:p>
    <w:p w14:paraId="32D30FBB"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apetito stoka, burnos džiūvimas, pykinimas, vėmimas, nemalonūs jutimai skrandyje, pilvo skausmas, </w:t>
      </w:r>
    </w:p>
    <w:p w14:paraId="660F37B9"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viduriavimas, retesni žarnų judesiai (paralyžinis žarnų nepraeinamumas), meteorizmas;</w:t>
      </w:r>
    </w:p>
    <w:p w14:paraId="70D99649"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seilių liaukų uždegimas, kasos uždegimas, padidėjęs amilazės (kasos fermento) kiekis kraujo plazmoje;</w:t>
      </w:r>
    </w:p>
    <w:p w14:paraId="666765CE"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odos pageltimas (gelta), tulžies pūslės uždegimas.</w:t>
      </w:r>
    </w:p>
    <w:p w14:paraId="27B9704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014D82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Kvėpavimo sistemos, krūtinės ląstos ir tarpuplaučio sutrikimai</w:t>
      </w:r>
    </w:p>
    <w:p w14:paraId="0AB4A516"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kvėpavimo sutrikimas, plaučių uždegimas (pneumonitas), jungiamojo audinio kaupimasis plaučiuose </w:t>
      </w:r>
    </w:p>
    <w:p w14:paraId="4F2E05D2"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(intersticinė plaučių liga), skysčio kaupimasis plaučiuose (plaučių edema).</w:t>
      </w:r>
    </w:p>
    <w:p w14:paraId="33A23869" w14:textId="77777777" w:rsidR="00E625FB" w:rsidRPr="00D35C4A" w:rsidRDefault="001C4949" w:rsidP="00E625FB">
      <w:pPr>
        <w:tabs>
          <w:tab w:val="left" w:pos="360"/>
        </w:tabs>
        <w:spacing w:after="0" w:line="240" w:lineRule="auto"/>
        <w:rPr>
          <w:rFonts w:ascii="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Dažnis labai retas: </w:t>
      </w:r>
      <w:r w:rsidRPr="00D35C4A">
        <w:rPr>
          <w:rFonts w:ascii="Times New Roman" w:hAnsi="Times New Roman" w:cs="Times New Roman"/>
          <w:lang w:val="lt-LT"/>
        </w:rPr>
        <w:t>ūminis kvėpavimo sutrikimas (pasireiškia stipriu dusuliu, karščiavimu, silpnumu ir sumišimu).</w:t>
      </w:r>
    </w:p>
    <w:p w14:paraId="715AD5EE" w14:textId="77777777" w:rsidR="001C4949" w:rsidRPr="004C7FBD" w:rsidRDefault="001C4949" w:rsidP="00E625FB">
      <w:pPr>
        <w:tabs>
          <w:tab w:val="left" w:pos="360"/>
        </w:tabs>
        <w:spacing w:after="0" w:line="240" w:lineRule="auto"/>
        <w:rPr>
          <w:rFonts w:ascii="Times New Roman" w:eastAsia="Times New Roman" w:hAnsi="Times New Roman" w:cs="Times New Roman"/>
          <w:lang w:val="lt-LT"/>
        </w:rPr>
      </w:pPr>
    </w:p>
    <w:p w14:paraId="44CDF7B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Nervų sistemos sutrikimai</w:t>
      </w:r>
    </w:p>
    <w:p w14:paraId="2CA5ACE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vertigo (galvos sukimasis), traukuliai, pritemusi sąmonė, koma, galvos skausmas, svaigimas, apatija, </w:t>
      </w:r>
    </w:p>
    <w:p w14:paraId="6AE7104D"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suglumimas, depresija, nervingumas, neramumas, sutrikęs miegas, neįprastas deginimo, badymo, </w:t>
      </w:r>
    </w:p>
    <w:p w14:paraId="3D6959E0"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peršėjimo ar dilgčiojimo pojūtis, raumenų silpnumas (parezė).</w:t>
      </w:r>
    </w:p>
    <w:p w14:paraId="0DA9C29D"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449BCB8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Odos ir poodinio audinio sutrikimai</w:t>
      </w:r>
    </w:p>
    <w:p w14:paraId="27DB4F8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niežėjimas, raudonos dėmelės odoje (purpura), dilgėlinė (urtikarija), padidėjęs odos jautrumas saulės </w:t>
      </w:r>
    </w:p>
    <w:p w14:paraId="2387FB2A" w14:textId="77777777" w:rsidR="00E625FB" w:rsidRPr="004C7FBD" w:rsidRDefault="00E625FB" w:rsidP="00E625F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šviesai, išbėrimas, išbėrimas veide ir (arba) paraudimas dėmėmis, galintis sukelti randėjimą (raudonosios vilkligės odos forma), kraujagyslių uždegimas su audinių irimu (nekrotizuojantis vaskulitas), odos lupimasis, paraudimas, suglebimas, pūslių susidarymas (toksinė epiderminė nekrozė).</w:t>
      </w:r>
    </w:p>
    <w:p w14:paraId="32BB486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5D5A8E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Akių sutrikimai</w:t>
      </w:r>
    </w:p>
    <w:p w14:paraId="00BE8290" w14:textId="77777777" w:rsidR="00E625FB"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regėjimo pablogėjimas (matomi daiktai atrodo gelsvos spalvos), trumparegystės sustiprėjimas, sumažėjusi ašarų produkcija.</w:t>
      </w:r>
    </w:p>
    <w:p w14:paraId="27A3887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w:t>
      </w:r>
      <w:r w:rsidRPr="00E94142">
        <w:rPr>
          <w:rFonts w:ascii="Times New Roman" w:eastAsia="Times New Roman" w:hAnsi="Times New Roman" w:cs="Times New Roman"/>
          <w:lang w:val="lt-LT"/>
        </w:rPr>
        <w:t>usilpnėjęs regėjimas ar akių skausmas dėl padidėjusio akispūdžio (galimi skysčio susikaupimo akies</w:t>
      </w:r>
      <w:r>
        <w:rPr>
          <w:rFonts w:ascii="Times New Roman" w:eastAsia="Times New Roman" w:hAnsi="Times New Roman" w:cs="Times New Roman"/>
          <w:lang w:val="lt-LT"/>
        </w:rPr>
        <w:t xml:space="preserve"> </w:t>
      </w:r>
      <w:r w:rsidRPr="00E94142">
        <w:rPr>
          <w:rFonts w:ascii="Times New Roman" w:eastAsia="Times New Roman" w:hAnsi="Times New Roman" w:cs="Times New Roman"/>
          <w:lang w:val="lt-LT"/>
        </w:rPr>
        <w:t xml:space="preserve">kraujagysliniame dangale (tarp gyslainės ir skleros) arba ūminės uždarojo kampo glaukomos </w:t>
      </w:r>
      <w:r w:rsidRPr="00E94142">
        <w:rPr>
          <w:rFonts w:ascii="Times New Roman" w:eastAsia="Times New Roman" w:hAnsi="Times New Roman" w:cs="Times New Roman"/>
          <w:lang w:val="lt-LT"/>
        </w:rPr>
        <w:lastRenderedPageBreak/>
        <w:t>požymiai)</w:t>
      </w:r>
      <w:r>
        <w:rPr>
          <w:rFonts w:ascii="Times New Roman" w:eastAsia="Times New Roman" w:hAnsi="Times New Roman" w:cs="Times New Roman"/>
          <w:lang w:val="lt-LT"/>
        </w:rPr>
        <w:t>.</w:t>
      </w:r>
      <w:r w:rsidRPr="00E94142">
        <w:rPr>
          <w:rFonts w:ascii="Times New Roman" w:eastAsia="Times New Roman" w:hAnsi="Times New Roman" w:cs="Times New Roman"/>
          <w:lang w:val="lt-LT"/>
        </w:rPr>
        <w:cr/>
      </w:r>
    </w:p>
    <w:p w14:paraId="47B6C88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Skeleto, raumenų ir jungiamojo audinio sutrikimai</w:t>
      </w:r>
    </w:p>
    <w:p w14:paraId="4A38723F"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raumenų spazmas, skausmas.</w:t>
      </w:r>
    </w:p>
    <w:p w14:paraId="7283B2C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16E589B"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Inkstų ir šlapimo takų sutrikimai</w:t>
      </w:r>
    </w:p>
    <w:p w14:paraId="414A03C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inkstų funkcijos sutrikimas, ūminis inkstų nepakankamumas (sumažėjęs šlapimo susidarymas, skysčio ir šlakų sankaupa organizme), inkstų audinio uždegimas (intersticinis nefritas), gliukozė šlapime.</w:t>
      </w:r>
    </w:p>
    <w:p w14:paraId="4F7EEDF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37BD0F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Lytinės sistemos sutrikimai</w:t>
      </w:r>
    </w:p>
    <w:p w14:paraId="500C11A2"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erekcijos sutrikimas.</w:t>
      </w:r>
    </w:p>
    <w:p w14:paraId="7A0D4A6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AEBD6A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Bendrieji ir kiti sutrikimai</w:t>
      </w:r>
    </w:p>
    <w:p w14:paraId="749706A8"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bendras silpnumas, nuovargis, karščiavimas, troškulys.</w:t>
      </w:r>
    </w:p>
    <w:p w14:paraId="60E73F3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p>
    <w:p w14:paraId="2270CEEA" w14:textId="77777777" w:rsidR="00E625FB" w:rsidRPr="004C7FBD" w:rsidRDefault="00E625FB" w:rsidP="00E625FB">
      <w:pPr>
        <w:spacing w:after="0" w:line="240" w:lineRule="auto"/>
        <w:rPr>
          <w:rFonts w:ascii="Times New Roman" w:eastAsia="Times New Roman" w:hAnsi="Times New Roman" w:cs="Times New Roman"/>
          <w:b/>
          <w:bCs/>
          <w:iCs/>
          <w:lang w:val="lt-LT"/>
        </w:rPr>
      </w:pPr>
      <w:r w:rsidRPr="004C7FBD">
        <w:rPr>
          <w:rFonts w:ascii="Times New Roman" w:eastAsia="Times New Roman" w:hAnsi="Times New Roman" w:cs="Times New Roman"/>
          <w:b/>
          <w:bCs/>
          <w:iCs/>
          <w:lang w:val="lt-LT"/>
        </w:rPr>
        <w:t>Pranešimas apie šalutinį poveikį</w:t>
      </w:r>
    </w:p>
    <w:p w14:paraId="5CBEA7BF" w14:textId="72D2303E" w:rsidR="00E625FB" w:rsidRPr="004A1BEE" w:rsidRDefault="00F072DA" w:rsidP="00E625FB">
      <w:pPr>
        <w:tabs>
          <w:tab w:val="left" w:pos="360"/>
        </w:tabs>
        <w:spacing w:after="0" w:line="240" w:lineRule="auto"/>
        <w:rPr>
          <w:rFonts w:ascii="Times New Roman" w:eastAsia="Times New Roman" w:hAnsi="Times New Roman" w:cs="Times New Roman"/>
          <w:lang w:val="lt-LT"/>
        </w:rPr>
      </w:pPr>
      <w:r w:rsidRPr="00F072DA">
        <w:rPr>
          <w:rFonts w:ascii="Times New Roman" w:hAnsi="Times New Roman" w:cs="Times New Roman"/>
          <w:lang w:val="lt-LT" w:eastAsia="lt-LT"/>
        </w:rPr>
        <w:t>Jeigu pasireiškė šalutinis poveikis, įskaitant šiame lapelyje nenurodytą, pasakykite gydytojui</w:t>
      </w:r>
      <w:r w:rsidR="004A1BEE">
        <w:rPr>
          <w:rFonts w:ascii="Times New Roman" w:hAnsi="Times New Roman" w:cs="Times New Roman"/>
          <w:lang w:val="lt-LT" w:eastAsia="lt-LT"/>
        </w:rPr>
        <w:t xml:space="preserve"> </w:t>
      </w:r>
      <w:r w:rsidRPr="00F072DA">
        <w:rPr>
          <w:rFonts w:ascii="Times New Roman" w:hAnsi="Times New Roman" w:cs="Times New Roman"/>
          <w:lang w:val="lt-LT" w:eastAsia="lt-LT"/>
        </w:rPr>
        <w:t xml:space="preserve">arba vaistininkui. Pranešimą apie šalutinį poveikį galite užpildyti ir pateikti Valstybinės vaistų kontrolės tarnybos prie Lietuvos Respublikos sveikatos apsaugos ministerijos tinklalapyje </w:t>
      </w:r>
      <w:r w:rsidRPr="00F072DA">
        <w:rPr>
          <w:rFonts w:ascii="Times New Roman" w:hAnsi="Times New Roman" w:cs="Times New Roman"/>
          <w:color w:val="0000EE"/>
          <w:u w:val="single"/>
          <w:lang w:val="lt-LT" w:eastAsia="lt-LT"/>
        </w:rPr>
        <w:t>https://vvkt.lrv.lt/lt/</w:t>
      </w:r>
      <w:r w:rsidRPr="00F072DA">
        <w:rPr>
          <w:rFonts w:ascii="Times New Roman" w:hAnsi="Times New Roman" w:cs="Times New Roman"/>
          <w:lang w:val="lt-LT" w:eastAsia="lt-LT"/>
        </w:rPr>
        <w:t xml:space="preserve"> nurodytais būdais arba paskambinti nemokamu telefonu </w:t>
      </w:r>
      <w:r w:rsidR="008D247C">
        <w:rPr>
          <w:rFonts w:ascii="Times New Roman" w:hAnsi="Times New Roman" w:cs="Times New Roman"/>
          <w:lang w:val="lt-LT" w:eastAsia="lt-LT"/>
        </w:rPr>
        <w:t>+370</w:t>
      </w:r>
      <w:r w:rsidRPr="00F072DA">
        <w:rPr>
          <w:rFonts w:ascii="Times New Roman" w:hAnsi="Times New Roman" w:cs="Times New Roman"/>
          <w:lang w:val="lt-LT" w:eastAsia="lt-LT"/>
        </w:rPr>
        <w:t xml:space="preserve"> 800 73 568. Pranešdami apie šalutinį poveikį galite mums padėti gauti daugiau informacijos apie šio vaisto saugumą</w:t>
      </w:r>
      <w:r w:rsidRPr="00F072DA">
        <w:rPr>
          <w:rFonts w:ascii="Times New Roman" w:hAnsi="Times New Roman" w:cs="Times New Roman"/>
          <w:lang w:val="lt-LT"/>
        </w:rPr>
        <w:t>.</w:t>
      </w:r>
    </w:p>
    <w:p w14:paraId="193621D5" w14:textId="77777777" w:rsidR="00E625FB" w:rsidRDefault="00E625FB" w:rsidP="00E625FB">
      <w:pPr>
        <w:spacing w:after="0" w:line="240" w:lineRule="auto"/>
        <w:rPr>
          <w:rFonts w:ascii="Times New Roman" w:eastAsia="Times New Roman" w:hAnsi="Times New Roman" w:cs="Times New Roman"/>
          <w:lang w:val="lt-LT" w:eastAsia="lt-LT"/>
        </w:rPr>
      </w:pPr>
    </w:p>
    <w:p w14:paraId="4CBC9AE1"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7A8E93E9"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5.</w:t>
      </w:r>
      <w:r w:rsidRPr="004C7FBD">
        <w:rPr>
          <w:rFonts w:ascii="Times New Roman" w:eastAsia="Times New Roman" w:hAnsi="Times New Roman" w:cs="Times New Roman"/>
          <w:b/>
          <w:lang w:val="lt-LT"/>
        </w:rPr>
        <w:tab/>
        <w:t>Kaip laikyti Nebilet Plus</w:t>
      </w:r>
    </w:p>
    <w:p w14:paraId="4ACD3A3E" w14:textId="77777777" w:rsidR="00E625FB" w:rsidRPr="004C7FBD" w:rsidRDefault="00E625FB" w:rsidP="00E625FB">
      <w:pPr>
        <w:spacing w:after="0" w:line="240" w:lineRule="auto"/>
        <w:rPr>
          <w:rFonts w:ascii="Times New Roman" w:eastAsia="Times New Roman" w:hAnsi="Times New Roman" w:cs="Times New Roman"/>
          <w:lang w:val="lt-LT" w:eastAsia="lt-LT"/>
        </w:rPr>
      </w:pPr>
    </w:p>
    <w:p w14:paraId="3E404C3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Šį vaistą laikykite vaikams nepastebimoje ir nepasiekiamoje vietoje.</w:t>
      </w:r>
    </w:p>
    <w:p w14:paraId="43B9B9B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Šiam vaistui specialių laikymo sąlygų nereikia.</w:t>
      </w:r>
    </w:p>
    <w:p w14:paraId="4715ACF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Ant dėžutės ir lizdinės plokštelės po </w:t>
      </w:r>
      <w:r>
        <w:rPr>
          <w:rFonts w:ascii="Times New Roman" w:eastAsia="Times New Roman" w:hAnsi="Times New Roman" w:cs="Times New Roman"/>
          <w:lang w:val="lt-LT"/>
        </w:rPr>
        <w:t>,,</w:t>
      </w:r>
      <w:r w:rsidRPr="004C7FBD">
        <w:rPr>
          <w:rFonts w:ascii="Times New Roman" w:eastAsia="Times New Roman" w:hAnsi="Times New Roman" w:cs="Times New Roman"/>
          <w:lang w:val="lt-LT"/>
        </w:rPr>
        <w:t>EXP“ nurodytam tinkamumo laikui pasibaigus, Nebilet Plus vartoti negalima. Vaistas tinkamas vartoti iki paskutinės nurodyto mėnesio dienos.</w:t>
      </w:r>
    </w:p>
    <w:p w14:paraId="25996EA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A35C36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B94E5C8"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A40146E" w14:textId="77777777" w:rsidR="00E625FB" w:rsidRPr="004C7FBD" w:rsidRDefault="00E625FB" w:rsidP="00E625F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6.</w:t>
      </w:r>
      <w:r w:rsidRPr="004C7FBD">
        <w:rPr>
          <w:rFonts w:ascii="Times New Roman" w:eastAsia="Times New Roman" w:hAnsi="Times New Roman" w:cs="Times New Roman"/>
          <w:b/>
          <w:lang w:val="lt-LT"/>
        </w:rPr>
        <w:tab/>
        <w:t>Pakuotės turinys ir kita informacija</w:t>
      </w:r>
    </w:p>
    <w:p w14:paraId="775C939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59689E1"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Nebilet Plus sudėtis</w:t>
      </w:r>
    </w:p>
    <w:p w14:paraId="6B3452F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Veikliosios medžiagos yra nebivololis ir hidrochlortiazidas. Kiekvienoje tabletėje yra 5 mg nebivololio (nebivololio hidrochlorido pavidalu) 2,5 mg d-nebivololio ir 2,5 mg l-nebivololio) ir 12,5 mg hidrochlorotiazido.</w:t>
      </w:r>
    </w:p>
    <w:p w14:paraId="516043A5" w14:textId="77777777" w:rsidR="00E625FB" w:rsidRPr="004C7FBD" w:rsidRDefault="00E625FB" w:rsidP="00E625F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Pagalbinės medžiagos yra:</w:t>
      </w:r>
    </w:p>
    <w:p w14:paraId="750FF052"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tabletės šerdis – laktozė monohidratas, polisorbatas 80 (E433), hipromeliozė (E464), kukurūzų krakmolas, kroskarmeliozės natrio druska (E468), mikrokristalinė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 koloidinis bevandenis silicio dioksidas (E551), magnio stearatas (</w:t>
      </w:r>
      <w:r w:rsidRPr="00C369DD">
        <w:rPr>
          <w:rFonts w:ascii="Times New Roman" w:eastAsia="Times New Roman" w:hAnsi="Times New Roman" w:cs="Times New Roman"/>
          <w:lang w:val="lt-LT"/>
        </w:rPr>
        <w:t>E470b</w:t>
      </w:r>
      <w:r w:rsidRPr="004C7FBD">
        <w:rPr>
          <w:rFonts w:ascii="Times New Roman" w:eastAsia="Times New Roman" w:hAnsi="Times New Roman" w:cs="Times New Roman"/>
          <w:lang w:val="lt-LT"/>
        </w:rPr>
        <w:t>);</w:t>
      </w:r>
    </w:p>
    <w:p w14:paraId="7F8382C1"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tabletės plėvelė – makrogolio 40 stearatas I tipo</w:t>
      </w:r>
      <w:r>
        <w:rPr>
          <w:rFonts w:ascii="Times New Roman" w:eastAsia="Times New Roman" w:hAnsi="Times New Roman" w:cs="Times New Roman"/>
          <w:lang w:val="lt-LT"/>
        </w:rPr>
        <w:t xml:space="preserve"> (</w:t>
      </w:r>
      <w:r w:rsidRPr="00C369DD">
        <w:rPr>
          <w:rFonts w:ascii="Times New Roman" w:eastAsia="Times New Roman" w:hAnsi="Times New Roman" w:cs="Times New Roman"/>
          <w:lang w:val="lt-LT"/>
        </w:rPr>
        <w:t>E431</w:t>
      </w:r>
      <w:r>
        <w:rPr>
          <w:rFonts w:ascii="Times New Roman" w:eastAsia="Times New Roman" w:hAnsi="Times New Roman" w:cs="Times New Roman"/>
          <w:lang w:val="lt-LT"/>
        </w:rPr>
        <w:t>)</w:t>
      </w:r>
      <w:r w:rsidRPr="004C7FBD">
        <w:rPr>
          <w:rFonts w:ascii="Times New Roman" w:eastAsia="Times New Roman" w:hAnsi="Times New Roman" w:cs="Times New Roman"/>
          <w:lang w:val="lt-LT"/>
        </w:rPr>
        <w:t>, titano dioksidas (E171), karminai (karmino rūgšties aliuminio kraplakas, E120), hipromeliozė (E464), mikrokristalinė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w:t>
      </w:r>
    </w:p>
    <w:p w14:paraId="733C27D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5D04096" w14:textId="77777777" w:rsidR="00E625FB" w:rsidRPr="004C7FBD" w:rsidRDefault="00E625FB" w:rsidP="00E625F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Nebilet Plus išvaizda ir kiekis pakuotėje</w:t>
      </w:r>
    </w:p>
    <w:p w14:paraId="014A953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Nebilet Plus 5 mg/12,5 mg plėvele dengtos tabletės: beveik rausvos, apvalios, lengvai išgaubtos, plėvele dengtos tabletės su „5/12.5“ įraiža vienoje pusėje ir vagele kitoje pusėje, tiekiamos pakuotėse po 7, 14, 28, 30, 56, 90 plėvele dengtų tablečių.</w:t>
      </w:r>
    </w:p>
    <w:p w14:paraId="254BD10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89DBB4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0627573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Tabletės supakuotos PP/COC/PP/Aliuminio lizdinėse plokštelėse. </w:t>
      </w:r>
    </w:p>
    <w:p w14:paraId="2E48EFB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Gali būti tiekiamos ne visų dydžių pakuotės.</w:t>
      </w:r>
    </w:p>
    <w:p w14:paraId="3F20C4B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727E278" w14:textId="77777777" w:rsidR="00E625FB" w:rsidRPr="004C7FBD" w:rsidRDefault="00E625FB" w:rsidP="00E625FB">
      <w:pPr>
        <w:spacing w:after="0" w:line="220" w:lineRule="atLeas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w:t>
      </w:r>
      <w:r w:rsidRPr="004C7FBD">
        <w:rPr>
          <w:rFonts w:ascii="Times New Roman" w:eastAsia="Times New Roman" w:hAnsi="Times New Roman" w:cs="Times New Roman"/>
          <w:b/>
          <w:bCs/>
          <w:lang w:val="lt-LT"/>
        </w:rPr>
        <w:t xml:space="preserve"> ir gamintojas</w:t>
      </w:r>
    </w:p>
    <w:p w14:paraId="0027F9B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8A31548" w14:textId="77777777" w:rsidR="00E625FB" w:rsidRPr="004C7FBD" w:rsidRDefault="00E625FB" w:rsidP="00E625FB">
      <w:pPr>
        <w:tabs>
          <w:tab w:val="left" w:pos="360"/>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14:paraId="4374290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Menarini International Operations Luxembourg S.A. </w:t>
      </w:r>
    </w:p>
    <w:p w14:paraId="5A579AE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1, Avenue de la Gare</w:t>
      </w:r>
    </w:p>
    <w:p w14:paraId="6DDEE21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L-1611 Luxembourg,</w:t>
      </w:r>
    </w:p>
    <w:p w14:paraId="1A94797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Liuksemburgas</w:t>
      </w:r>
    </w:p>
    <w:p w14:paraId="4D041C99" w14:textId="77777777" w:rsidR="00E625FB" w:rsidRPr="004C7FBD" w:rsidRDefault="00E625FB" w:rsidP="00E625FB">
      <w:pPr>
        <w:spacing w:after="0" w:line="240" w:lineRule="auto"/>
        <w:rPr>
          <w:rFonts w:ascii="Times New Roman" w:eastAsia="Times New Roman" w:hAnsi="Times New Roman" w:cs="Times New Roman"/>
          <w:lang w:val="lt-LT"/>
        </w:rPr>
      </w:pPr>
    </w:p>
    <w:p w14:paraId="31CA0209" w14:textId="77777777" w:rsidR="00E625FB" w:rsidRPr="004C7FBD" w:rsidRDefault="00E625FB" w:rsidP="00E625FB">
      <w:pPr>
        <w:spacing w:after="0" w:line="240" w:lineRule="auto"/>
        <w:rPr>
          <w:rFonts w:ascii="Times New Roman" w:eastAsia="Times New Roman" w:hAnsi="Times New Roman" w:cs="Times New Roman"/>
          <w:i/>
          <w:lang w:val="lt-LT" w:eastAsia="lt-LT"/>
        </w:rPr>
      </w:pPr>
      <w:r w:rsidRPr="004C7FBD">
        <w:rPr>
          <w:rFonts w:ascii="Times New Roman" w:eastAsia="Times New Roman" w:hAnsi="Times New Roman" w:cs="Times New Roman"/>
          <w:i/>
          <w:lang w:val="lt-LT"/>
        </w:rPr>
        <w:t>Gamintojas</w:t>
      </w:r>
    </w:p>
    <w:p w14:paraId="2DBCCEB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Berlin-Chemie AG </w:t>
      </w:r>
    </w:p>
    <w:p w14:paraId="3F52115A"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Glienicker Weg 125</w:t>
      </w:r>
    </w:p>
    <w:p w14:paraId="4A707440"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12489 Berlin</w:t>
      </w:r>
    </w:p>
    <w:p w14:paraId="57288AD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14:paraId="496296BF"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3DEBE9"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14:paraId="7090314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6BF05EC"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Menarini-Von Heyden GmbH</w:t>
      </w:r>
    </w:p>
    <w:p w14:paraId="4953111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Leipziger Strasse 7-13</w:t>
      </w:r>
    </w:p>
    <w:p w14:paraId="12C4725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01097 – Dresden</w:t>
      </w:r>
    </w:p>
    <w:p w14:paraId="1562F6D5"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14:paraId="10A3F597"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D115BC6"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14:paraId="1DFAA46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3382E036"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 Menarini Manufacturing Logistics and Services S.r.l.</w:t>
      </w:r>
    </w:p>
    <w:p w14:paraId="3EE03FB3"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Via Sette Santi 3 </w:t>
      </w:r>
    </w:p>
    <w:p w14:paraId="3BF885D4"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50131 Florence </w:t>
      </w:r>
    </w:p>
    <w:p w14:paraId="4832DAA6" w14:textId="77777777" w:rsidR="00E625FB" w:rsidRPr="004C7FBD" w:rsidRDefault="00E625FB" w:rsidP="00E625F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Italija</w:t>
      </w:r>
    </w:p>
    <w:p w14:paraId="61FAFAD4"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74757FC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5AB3597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4C7FBD">
        <w:rPr>
          <w:rFonts w:ascii="Times New Roman" w:eastAsia="Times New Roman" w:hAnsi="Times New Roman" w:cs="Times New Roman"/>
          <w:lang w:val="lt-LT"/>
        </w:rPr>
        <w:t xml:space="preserve"> atstovą.</w:t>
      </w:r>
    </w:p>
    <w:tbl>
      <w:tblPr>
        <w:tblW w:w="0" w:type="auto"/>
        <w:tblInd w:w="108" w:type="dxa"/>
        <w:tblLayout w:type="fixed"/>
        <w:tblLook w:val="0000" w:firstRow="0" w:lastRow="0" w:firstColumn="0" w:lastColumn="0" w:noHBand="0" w:noVBand="0"/>
      </w:tblPr>
      <w:tblGrid>
        <w:gridCol w:w="4820"/>
      </w:tblGrid>
      <w:tr w:rsidR="00E625FB" w:rsidRPr="004C7FBD" w14:paraId="3B3D8BAE" w14:textId="77777777" w:rsidTr="0083045C">
        <w:tc>
          <w:tcPr>
            <w:tcW w:w="4820" w:type="dxa"/>
          </w:tcPr>
          <w:p w14:paraId="2D7D282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p w14:paraId="3579C01A"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UAB “Berlin Chemie Menarini Baltic”</w:t>
            </w:r>
          </w:p>
          <w:p w14:paraId="1ACB62D0"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J. Jasinskio g. 16a, LT-03163 Vilnius</w:t>
            </w:r>
          </w:p>
          <w:p w14:paraId="079A9657"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Lietuva</w:t>
            </w:r>
          </w:p>
          <w:p w14:paraId="508633BD" w14:textId="0491B483"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Tel.: +370 5 269 19 </w:t>
            </w:r>
            <w:r w:rsidR="00595E8D" w:rsidRPr="004C7FBD">
              <w:rPr>
                <w:rFonts w:ascii="Times New Roman" w:eastAsia="Times New Roman" w:hAnsi="Times New Roman" w:cs="Times New Roman"/>
                <w:lang w:val="lt-LT"/>
              </w:rPr>
              <w:t>4</w:t>
            </w:r>
            <w:r w:rsidR="00595E8D">
              <w:rPr>
                <w:rFonts w:ascii="Times New Roman" w:eastAsia="Times New Roman" w:hAnsi="Times New Roman" w:cs="Times New Roman"/>
                <w:lang w:val="lt-LT"/>
              </w:rPr>
              <w:t>7</w:t>
            </w:r>
          </w:p>
          <w:p w14:paraId="6F8DE813"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El. paštas: </w:t>
            </w:r>
            <w:hyperlink r:id="rId8" w:history="1">
              <w:r w:rsidRPr="004C7FBD">
                <w:rPr>
                  <w:rFonts w:ascii="Times New Roman" w:eastAsia="Times New Roman" w:hAnsi="Times New Roman" w:cs="Times New Roman"/>
                  <w:color w:val="0000FF"/>
                  <w:u w:val="single"/>
                  <w:lang w:val="lt-LT"/>
                </w:rPr>
                <w:t>lt@berlin-chemie.com</w:t>
              </w:r>
            </w:hyperlink>
          </w:p>
          <w:p w14:paraId="320D1724" w14:textId="77777777" w:rsidR="00E625FB" w:rsidRPr="004C7FBD" w:rsidRDefault="00E625FB" w:rsidP="0083045C">
            <w:pPr>
              <w:tabs>
                <w:tab w:val="left" w:pos="360"/>
              </w:tabs>
              <w:spacing w:after="0" w:line="240" w:lineRule="auto"/>
              <w:rPr>
                <w:rFonts w:ascii="Times New Roman" w:eastAsia="Times New Roman" w:hAnsi="Times New Roman" w:cs="Times New Roman"/>
                <w:lang w:val="lt-LT"/>
              </w:rPr>
            </w:pPr>
          </w:p>
        </w:tc>
      </w:tr>
    </w:tbl>
    <w:p w14:paraId="4324769D"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68E74E28" w14:textId="54773067" w:rsidR="00E625FB" w:rsidRPr="00440894" w:rsidRDefault="00E625FB" w:rsidP="00E625FB">
      <w:pPr>
        <w:tabs>
          <w:tab w:val="left" w:pos="360"/>
        </w:tabs>
        <w:spacing w:after="0" w:line="240" w:lineRule="auto"/>
        <w:rPr>
          <w:rFonts w:ascii="Times New Roman" w:eastAsia="Times New Roman" w:hAnsi="Times New Roman" w:cs="Times New Roman"/>
          <w:b/>
          <w:lang w:val="lt-LT"/>
        </w:rPr>
      </w:pPr>
      <w:r w:rsidRPr="00440894">
        <w:rPr>
          <w:rFonts w:ascii="Times New Roman" w:eastAsia="Times New Roman" w:hAnsi="Times New Roman" w:cs="Times New Roman"/>
          <w:b/>
          <w:lang w:val="lt-LT"/>
        </w:rPr>
        <w:t xml:space="preserve">Šis vaistas </w:t>
      </w:r>
      <w:bookmarkStart w:id="15" w:name="_Hlk177127664"/>
      <w:r w:rsidR="00440894" w:rsidRPr="00440894">
        <w:rPr>
          <w:rFonts w:ascii="Times New Roman" w:hAnsi="Times New Roman" w:cs="Times New Roman"/>
          <w:b/>
          <w:bCs/>
          <w:lang w:val="lt-LT" w:eastAsia="lt-LT"/>
        </w:rPr>
        <w:t>Europos ekonominės erdvės</w:t>
      </w:r>
      <w:bookmarkEnd w:id="15"/>
      <w:r w:rsidR="00440894" w:rsidRPr="00440894">
        <w:rPr>
          <w:rFonts w:ascii="Times New Roman" w:hAnsi="Times New Roman" w:cs="Times New Roman"/>
          <w:b/>
          <w:bCs/>
          <w:lang w:val="lt-LT" w:eastAsia="lt-LT"/>
        </w:rPr>
        <w:t xml:space="preserve"> </w:t>
      </w:r>
      <w:r w:rsidRPr="00440894">
        <w:rPr>
          <w:rFonts w:ascii="Times New Roman" w:eastAsia="Times New Roman" w:hAnsi="Times New Roman" w:cs="Times New Roman"/>
          <w:b/>
          <w:lang w:val="lt-LT"/>
        </w:rPr>
        <w:t>valstybėse narėse registruotas tokiais pavadinimais:</w:t>
      </w:r>
    </w:p>
    <w:p w14:paraId="0CAE4EAB"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p>
    <w:p w14:paraId="160CAC72"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Airija: </w:t>
      </w:r>
      <w:r w:rsidRPr="004C7FBD">
        <w:rPr>
          <w:rFonts w:ascii="Times New Roman" w:eastAsia="Times New Roman" w:hAnsi="Times New Roman" w:cs="Times New Roman"/>
          <w:lang w:val="lt-LT"/>
        </w:rPr>
        <w:tab/>
        <w:t>Hypoloc plus HCT</w:t>
      </w:r>
    </w:p>
    <w:p w14:paraId="7F405F56"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Belgija: Nobiretic</w:t>
      </w:r>
    </w:p>
    <w:p w14:paraId="639662D9"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Bulgarija: Nebilet Plus</w:t>
      </w:r>
    </w:p>
    <w:p w14:paraId="1B5AFB5F" w14:textId="77777777" w:rsidR="00E625FB" w:rsidRPr="004C7FBD" w:rsidRDefault="00E625FB" w:rsidP="00E625FB">
      <w:pPr>
        <w:autoSpaceDE w:val="0"/>
        <w:autoSpaceDN w:val="0"/>
        <w:adjustRightInd w:val="0"/>
        <w:spacing w:after="0" w:line="240" w:lineRule="auto"/>
        <w:rPr>
          <w:rFonts w:ascii="Times New Roman" w:eastAsia="Times New Roman" w:hAnsi="Times New Roman" w:cs="Times New Roman"/>
          <w:b/>
          <w:lang w:val="lt-LT" w:eastAsia="cs-CZ"/>
        </w:rPr>
      </w:pPr>
      <w:r w:rsidRPr="004C7FBD">
        <w:rPr>
          <w:rFonts w:ascii="Times New Roman" w:eastAsia="Times New Roman" w:hAnsi="Times New Roman" w:cs="Times New Roman"/>
          <w:lang w:val="lt-LT"/>
        </w:rPr>
        <w:t xml:space="preserve">Čekija: </w:t>
      </w:r>
      <w:r w:rsidRPr="004C7FBD">
        <w:rPr>
          <w:rFonts w:ascii="Times New Roman" w:eastAsia="Times New Roman" w:hAnsi="Times New Roman" w:cs="Times New Roman"/>
          <w:lang w:val="lt-LT"/>
        </w:rPr>
        <w:tab/>
        <w:t>Nebilet Plus H 5 mg/12,5 mg film-coated tablets</w:t>
      </w:r>
    </w:p>
    <w:p w14:paraId="0C6A2B81"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Danija: </w:t>
      </w:r>
      <w:r w:rsidRPr="004C7FBD">
        <w:rPr>
          <w:rFonts w:ascii="Times New Roman" w:eastAsia="Times New Roman" w:hAnsi="Times New Roman" w:cs="Times New Roman"/>
          <w:lang w:val="lt-LT"/>
        </w:rPr>
        <w:tab/>
        <w:t>Hypoloc Comp</w:t>
      </w:r>
    </w:p>
    <w:p w14:paraId="6013ABFC"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Estija: </w:t>
      </w:r>
      <w:r w:rsidRPr="004C7FBD">
        <w:rPr>
          <w:rFonts w:ascii="Times New Roman" w:eastAsia="Times New Roman" w:hAnsi="Times New Roman" w:cs="Times New Roman"/>
          <w:lang w:val="lt-LT"/>
        </w:rPr>
        <w:tab/>
        <w:t>Nebilet Plus</w:t>
      </w:r>
    </w:p>
    <w:p w14:paraId="6DB9BE42"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Graikija: Lobivon-plus</w:t>
      </w:r>
    </w:p>
    <w:p w14:paraId="09C4D068"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Ispanija: Lobivon plus</w:t>
      </w:r>
    </w:p>
    <w:p w14:paraId="5E7BE4F2" w14:textId="77777777" w:rsidR="00E625FB" w:rsidRPr="004C7FBD" w:rsidRDefault="00E625FB" w:rsidP="00E625FB">
      <w:pPr>
        <w:spacing w:after="0" w:line="240" w:lineRule="auto"/>
        <w:jc w:val="both"/>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Italija: Aloneb </w:t>
      </w:r>
    </w:p>
    <w:p w14:paraId="099E62A4"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Kipras: </w:t>
      </w:r>
      <w:r w:rsidRPr="004C7FBD">
        <w:rPr>
          <w:rFonts w:ascii="Times New Roman" w:eastAsia="Times New Roman" w:hAnsi="Times New Roman" w:cs="Times New Roman"/>
          <w:lang w:val="lt-LT"/>
        </w:rPr>
        <w:tab/>
        <w:t>Lobivon-plus</w:t>
      </w:r>
    </w:p>
    <w:p w14:paraId="1C3AE986" w14:textId="77777777" w:rsidR="00E625FB" w:rsidRPr="004C7FBD" w:rsidRDefault="00E625FB" w:rsidP="00E625FB">
      <w:pPr>
        <w:tabs>
          <w:tab w:val="left" w:pos="1410"/>
        </w:tabs>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Latvija: Nebilet Plus </w:t>
      </w:r>
    </w:p>
    <w:p w14:paraId="1B1D7926" w14:textId="77777777" w:rsidR="00E625FB" w:rsidRPr="004C7FBD" w:rsidRDefault="00E625FB" w:rsidP="00E625FB">
      <w:pPr>
        <w:tabs>
          <w:tab w:val="left" w:pos="1410"/>
        </w:tabs>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Lenkija: Nebilet HCT</w:t>
      </w:r>
    </w:p>
    <w:p w14:paraId="54BD5483"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Lietuva: Nebilet Plus</w:t>
      </w:r>
    </w:p>
    <w:p w14:paraId="7E5FF7C8" w14:textId="77777777" w:rsidR="00E625FB" w:rsidRPr="004C7FBD" w:rsidRDefault="00E625FB" w:rsidP="00E625FB">
      <w:pPr>
        <w:keepNext/>
        <w:spacing w:after="0" w:line="240" w:lineRule="auto"/>
        <w:ind w:left="-426" w:firstLine="426"/>
        <w:outlineLvl w:val="4"/>
        <w:rPr>
          <w:rFonts w:ascii="Times New Roman" w:eastAsia="Times New Roman" w:hAnsi="Times New Roman" w:cs="Times New Roman"/>
          <w:lang w:val="lt-LT"/>
        </w:rPr>
      </w:pPr>
      <w:r w:rsidRPr="004C7FBD">
        <w:rPr>
          <w:rFonts w:ascii="Times New Roman" w:eastAsia="Times New Roman" w:hAnsi="Times New Roman" w:cs="Times New Roman"/>
          <w:lang w:val="lt-LT"/>
        </w:rPr>
        <w:t>Liuksemburgas: Nobiretic</w:t>
      </w:r>
    </w:p>
    <w:p w14:paraId="42B1BDD3"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Malta: Nebilet Plus </w:t>
      </w:r>
    </w:p>
    <w:p w14:paraId="37CC1F65"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Nyderlandai: Nebiretic</w:t>
      </w:r>
    </w:p>
    <w:p w14:paraId="2CDD3411"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Portugalija: Nebilet Plus </w:t>
      </w:r>
    </w:p>
    <w:p w14:paraId="3D2349DE"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Prancūzija: TEMERITDUO</w:t>
      </w:r>
    </w:p>
    <w:p w14:paraId="0DD58D63" w14:textId="77777777" w:rsidR="00E625FB" w:rsidRPr="004C7FBD" w:rsidRDefault="00E625FB" w:rsidP="00E625FB">
      <w:pPr>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lang w:val="lt-LT"/>
        </w:rPr>
        <w:t>Rumunija: Co-Nebilet 5 mg / 12.5 mg</w:t>
      </w:r>
      <w:r w:rsidRPr="004C7FBD">
        <w:rPr>
          <w:rFonts w:ascii="Times New Roman" w:eastAsia="Times New Roman" w:hAnsi="Times New Roman" w:cs="Times New Roman"/>
          <w:b/>
          <w:lang w:val="lt-LT"/>
        </w:rPr>
        <w:t xml:space="preserve"> </w:t>
      </w:r>
    </w:p>
    <w:p w14:paraId="549DCA3B"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Slovakija: Nebilet HCTZ</w:t>
      </w:r>
    </w:p>
    <w:p w14:paraId="44642D46" w14:textId="77777777" w:rsidR="00E625FB" w:rsidRPr="004C7FBD" w:rsidRDefault="00E625FB" w:rsidP="00E625FB">
      <w:pPr>
        <w:keepNext/>
        <w:spacing w:after="0" w:line="240" w:lineRule="auto"/>
        <w:jc w:val="both"/>
        <w:outlineLvl w:val="3"/>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Slovėnija: Co-Nebilet </w:t>
      </w:r>
    </w:p>
    <w:p w14:paraId="5229A93A" w14:textId="77777777" w:rsidR="00E625FB" w:rsidRPr="004C7FBD" w:rsidRDefault="00E625FB" w:rsidP="00E625FB">
      <w:pPr>
        <w:keepNext/>
        <w:spacing w:after="0" w:line="240" w:lineRule="auto"/>
        <w:jc w:val="both"/>
        <w:outlineLvl w:val="3"/>
        <w:rPr>
          <w:rFonts w:ascii="Times New Roman" w:eastAsia="Times New Roman" w:hAnsi="Times New Roman" w:cs="Times New Roman"/>
          <w:lang w:val="lt-LT"/>
        </w:rPr>
      </w:pPr>
      <w:r w:rsidRPr="004C7FBD">
        <w:rPr>
          <w:rFonts w:ascii="Times New Roman" w:eastAsia="Times New Roman" w:hAnsi="Times New Roman" w:cs="Times New Roman"/>
          <w:lang w:val="lt-LT"/>
        </w:rPr>
        <w:t>Suomija: Hypoloc Comp</w:t>
      </w:r>
    </w:p>
    <w:p w14:paraId="234DE4E6"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Vengrija: Nebilet Plus</w:t>
      </w:r>
    </w:p>
    <w:p w14:paraId="7E530253" w14:textId="77777777" w:rsidR="00E625FB" w:rsidRPr="004C7FBD" w:rsidRDefault="00E625FB" w:rsidP="00E625FB">
      <w:pPr>
        <w:spacing w:after="0" w:line="240" w:lineRule="auto"/>
        <w:ind w:left="-426" w:firstLine="426"/>
        <w:rPr>
          <w:rFonts w:ascii="Times New Roman" w:eastAsia="Times New Roman" w:hAnsi="Times New Roman" w:cs="Times New Roman"/>
          <w:lang w:val="lt-LT"/>
        </w:rPr>
      </w:pPr>
    </w:p>
    <w:p w14:paraId="518D21E3"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2E59E558" w14:textId="4EABF63D" w:rsidR="00E625FB" w:rsidRPr="004C7FBD" w:rsidRDefault="00E625FB" w:rsidP="00E625F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Šis pakuotės lapelis paskutinį kartą peržiūrėtas</w:t>
      </w:r>
      <w:r w:rsidR="00E719B1">
        <w:rPr>
          <w:rFonts w:ascii="Times New Roman" w:eastAsia="Times New Roman" w:hAnsi="Times New Roman" w:cs="Times New Roman"/>
          <w:b/>
          <w:lang w:val="lt-LT"/>
        </w:rPr>
        <w:t xml:space="preserve"> </w:t>
      </w:r>
      <w:r w:rsidR="001B7BFA">
        <w:rPr>
          <w:rFonts w:ascii="Times New Roman" w:eastAsia="Times New Roman" w:hAnsi="Times New Roman" w:cs="Times New Roman"/>
          <w:b/>
          <w:lang w:val="lt-LT"/>
        </w:rPr>
        <w:t>2025-04-10</w:t>
      </w:r>
      <w:r>
        <w:rPr>
          <w:rFonts w:ascii="Times New Roman" w:eastAsia="Times New Roman" w:hAnsi="Times New Roman" w:cs="Times New Roman"/>
          <w:b/>
          <w:lang w:val="lt-LT"/>
        </w:rPr>
        <w:t>.</w:t>
      </w:r>
    </w:p>
    <w:p w14:paraId="49C03FAE" w14:textId="77777777"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45EF5548" w14:textId="31EE3B57" w:rsidR="001B7BFA" w:rsidRDefault="00E625FB" w:rsidP="00E625F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4C7FBD">
        <w:rPr>
          <w:rFonts w:ascii="Times New Roman" w:eastAsia="Times New Roman" w:hAnsi="Times New Roman" w:cs="Times New Roman"/>
          <w:i/>
          <w:iCs/>
          <w:lang w:val="lt-LT"/>
        </w:rPr>
        <w:t xml:space="preserve"> </w:t>
      </w:r>
      <w:hyperlink r:id="rId9" w:history="1">
        <w:r w:rsidR="00E719B1" w:rsidRPr="000B2236">
          <w:rPr>
            <w:rStyle w:val="Hipersaitas"/>
            <w:rFonts w:ascii="Times New Roman" w:eastAsia="Times New Roman" w:hAnsi="Times New Roman"/>
            <w:lang w:val="lt-LT"/>
          </w:rPr>
          <w:t>https://vvkt.lrv.lt/lt/</w:t>
        </w:r>
      </w:hyperlink>
      <w:r w:rsidR="00E719B1">
        <w:rPr>
          <w:rFonts w:ascii="Times New Roman" w:eastAsia="Times New Roman" w:hAnsi="Times New Roman" w:cs="Times New Roman"/>
          <w:lang w:val="lt-LT"/>
        </w:rPr>
        <w:t xml:space="preserve"> .</w:t>
      </w:r>
    </w:p>
    <w:p w14:paraId="6F57C076" w14:textId="3C100C13" w:rsidR="00E625FB" w:rsidRPr="004C7FBD" w:rsidRDefault="00E625FB" w:rsidP="00E625FB">
      <w:pPr>
        <w:tabs>
          <w:tab w:val="left" w:pos="360"/>
        </w:tabs>
        <w:spacing w:after="0" w:line="240" w:lineRule="auto"/>
        <w:rPr>
          <w:rFonts w:ascii="Times New Roman" w:eastAsia="Times New Roman" w:hAnsi="Times New Roman" w:cs="Times New Roman"/>
          <w:lang w:val="lt-LT"/>
        </w:rPr>
      </w:pPr>
    </w:p>
    <w:p w14:paraId="147F6F4C" w14:textId="77777777" w:rsidR="00E625FB" w:rsidRPr="008B7737" w:rsidRDefault="00E625FB" w:rsidP="00E625FB">
      <w:pPr>
        <w:rPr>
          <w:lang w:val="lt-LT"/>
        </w:rPr>
      </w:pPr>
    </w:p>
    <w:p w14:paraId="77DD76D2" w14:textId="77777777" w:rsidR="00E625FB" w:rsidRPr="008B7737" w:rsidRDefault="00E625FB" w:rsidP="00E625FB">
      <w:pPr>
        <w:rPr>
          <w:lang w:val="lt-LT"/>
        </w:rPr>
      </w:pPr>
    </w:p>
    <w:p w14:paraId="062449AF" w14:textId="77777777" w:rsidR="005A1D31" w:rsidRPr="00D35C4A" w:rsidRDefault="005A1D31">
      <w:pPr>
        <w:rPr>
          <w:lang w:val="lt-LT"/>
        </w:rPr>
      </w:pPr>
    </w:p>
    <w:sectPr w:rsidR="005A1D31" w:rsidRPr="00D35C4A" w:rsidSect="0083045C">
      <w:footerReference w:type="even" r:id="rId10"/>
      <w:footerReference w:type="default" r:id="rId11"/>
      <w:pgSz w:w="12240" w:h="15840"/>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284F" w14:textId="77777777" w:rsidR="005905A3" w:rsidRDefault="005905A3">
      <w:pPr>
        <w:spacing w:after="0" w:line="240" w:lineRule="auto"/>
      </w:pPr>
      <w:r>
        <w:separator/>
      </w:r>
    </w:p>
  </w:endnote>
  <w:endnote w:type="continuationSeparator" w:id="0">
    <w:p w14:paraId="6A4ACCA1" w14:textId="77777777" w:rsidR="005905A3" w:rsidRDefault="0059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PS">
    <w:altName w:val="Symbol"/>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0F3C" w14:textId="77777777" w:rsidR="00F072DA" w:rsidRDefault="00F072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730022B2" w14:textId="77777777" w:rsidR="00F072DA" w:rsidRDefault="00F072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635" w14:textId="6D7714EC" w:rsidR="00F072DA" w:rsidRDefault="00F072DA">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BB411A">
      <w:rPr>
        <w:rStyle w:val="Puslapionumeris"/>
        <w:noProof/>
        <w:sz w:val="22"/>
        <w:szCs w:val="22"/>
      </w:rPr>
      <w:t>2</w:t>
    </w:r>
    <w:r>
      <w:rPr>
        <w:rStyle w:val="Puslapionumeris"/>
        <w:sz w:val="22"/>
        <w:szCs w:val="22"/>
      </w:rPr>
      <w:fldChar w:fldCharType="end"/>
    </w:r>
  </w:p>
  <w:p w14:paraId="19F6EC95" w14:textId="77777777" w:rsidR="00F072DA" w:rsidRDefault="00F072D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1F8C" w14:textId="77777777" w:rsidR="005905A3" w:rsidRDefault="005905A3">
      <w:pPr>
        <w:spacing w:after="0" w:line="240" w:lineRule="auto"/>
      </w:pPr>
      <w:r>
        <w:separator/>
      </w:r>
    </w:p>
  </w:footnote>
  <w:footnote w:type="continuationSeparator" w:id="0">
    <w:p w14:paraId="765CADE8" w14:textId="77777777" w:rsidR="005905A3" w:rsidRDefault="0059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C6F"/>
    <w:multiLevelType w:val="hybridMultilevel"/>
    <w:tmpl w:val="B58087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9D0ECE"/>
    <w:multiLevelType w:val="hybridMultilevel"/>
    <w:tmpl w:val="00B203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FB"/>
    <w:rsid w:val="001B7BFA"/>
    <w:rsid w:val="001C4949"/>
    <w:rsid w:val="001D566B"/>
    <w:rsid w:val="002108DC"/>
    <w:rsid w:val="00277FAA"/>
    <w:rsid w:val="002A1A71"/>
    <w:rsid w:val="002C1F59"/>
    <w:rsid w:val="002D38C5"/>
    <w:rsid w:val="00440894"/>
    <w:rsid w:val="004543E6"/>
    <w:rsid w:val="004A00C9"/>
    <w:rsid w:val="004A1BEE"/>
    <w:rsid w:val="00507C4F"/>
    <w:rsid w:val="00587B54"/>
    <w:rsid w:val="005905A3"/>
    <w:rsid w:val="00595E8D"/>
    <w:rsid w:val="005A1D31"/>
    <w:rsid w:val="00780BF7"/>
    <w:rsid w:val="00792627"/>
    <w:rsid w:val="00816228"/>
    <w:rsid w:val="0083045C"/>
    <w:rsid w:val="008D247C"/>
    <w:rsid w:val="008F203F"/>
    <w:rsid w:val="009635B9"/>
    <w:rsid w:val="00AC63A3"/>
    <w:rsid w:val="00B5651F"/>
    <w:rsid w:val="00B821C4"/>
    <w:rsid w:val="00BB411A"/>
    <w:rsid w:val="00D35C4A"/>
    <w:rsid w:val="00D574DC"/>
    <w:rsid w:val="00D72241"/>
    <w:rsid w:val="00E47A48"/>
    <w:rsid w:val="00E625FB"/>
    <w:rsid w:val="00E719B1"/>
    <w:rsid w:val="00EB582D"/>
    <w:rsid w:val="00F072DA"/>
    <w:rsid w:val="00F417C1"/>
    <w:rsid w:val="00FD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6AB7"/>
  <w15:docId w15:val="{0DC2C861-1F23-4A70-8757-459BE55A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5FB"/>
  </w:style>
  <w:style w:type="paragraph" w:styleId="Antrat1">
    <w:name w:val="heading 1"/>
    <w:basedOn w:val="prastasis"/>
    <w:next w:val="prastasis"/>
    <w:link w:val="Antrat1Diagrama"/>
    <w:autoRedefine/>
    <w:uiPriority w:val="99"/>
    <w:qFormat/>
    <w:rsid w:val="00E625FB"/>
    <w:pPr>
      <w:keepNext/>
      <w:spacing w:after="0" w:line="240" w:lineRule="auto"/>
      <w:outlineLvl w:val="0"/>
    </w:pPr>
    <w:rPr>
      <w:rFonts w:ascii="Times New Roman" w:eastAsia="Times New Roman" w:hAnsi="Times New Roman" w:cs="Times New Roman"/>
      <w:szCs w:val="24"/>
      <w:u w:val="single"/>
      <w:lang w:val="lt-LT"/>
    </w:rPr>
  </w:style>
  <w:style w:type="paragraph" w:styleId="Antrat2">
    <w:name w:val="heading 2"/>
    <w:basedOn w:val="prastasis"/>
    <w:next w:val="prastasis"/>
    <w:link w:val="Antrat2Diagrama"/>
    <w:uiPriority w:val="99"/>
    <w:qFormat/>
    <w:rsid w:val="00E625FB"/>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autoRedefine/>
    <w:uiPriority w:val="99"/>
    <w:qFormat/>
    <w:rsid w:val="00E625FB"/>
    <w:pPr>
      <w:keepNext/>
      <w:spacing w:after="0" w:line="240" w:lineRule="auto"/>
      <w:outlineLvl w:val="2"/>
    </w:pPr>
    <w:rPr>
      <w:rFonts w:ascii="Times New Roman" w:eastAsia="Times New Roman" w:hAnsi="Times New Roman" w:cs="Times New Roman"/>
      <w:b/>
      <w:sz w:val="20"/>
      <w:szCs w:val="24"/>
    </w:rPr>
  </w:style>
  <w:style w:type="paragraph" w:styleId="Antrat4">
    <w:name w:val="heading 4"/>
    <w:basedOn w:val="prastasis"/>
    <w:next w:val="prastasis"/>
    <w:link w:val="Antrat4Diagrama"/>
    <w:uiPriority w:val="99"/>
    <w:qFormat/>
    <w:rsid w:val="00E625FB"/>
    <w:pPr>
      <w:keepNext/>
      <w:spacing w:after="0" w:line="240" w:lineRule="auto"/>
      <w:jc w:val="both"/>
      <w:outlineLvl w:val="3"/>
    </w:pPr>
    <w:rPr>
      <w:rFonts w:ascii="Times New Roman" w:eastAsia="Times New Roman" w:hAnsi="Times New Roman" w:cs="Times New Roman"/>
      <w:sz w:val="20"/>
      <w:szCs w:val="24"/>
      <w:u w:val="single"/>
    </w:rPr>
  </w:style>
  <w:style w:type="paragraph" w:styleId="Antrat5">
    <w:name w:val="heading 5"/>
    <w:basedOn w:val="prastasis"/>
    <w:next w:val="prastasis"/>
    <w:link w:val="Antrat5Diagrama"/>
    <w:uiPriority w:val="99"/>
    <w:qFormat/>
    <w:rsid w:val="00E625FB"/>
    <w:pPr>
      <w:keepNext/>
      <w:spacing w:after="0" w:line="240" w:lineRule="auto"/>
      <w:ind w:left="-426" w:firstLine="426"/>
      <w:outlineLvl w:val="4"/>
    </w:pPr>
    <w:rPr>
      <w:rFonts w:ascii="Times New Roman" w:eastAsia="Times New Roman" w:hAnsi="Times New Roman" w:cs="Times New Roman"/>
      <w:color w:val="FF0000"/>
      <w:szCs w:val="24"/>
      <w:lang w:val="en-GB"/>
    </w:rPr>
  </w:style>
  <w:style w:type="paragraph" w:styleId="Antrat9">
    <w:name w:val="heading 9"/>
    <w:basedOn w:val="prastasis"/>
    <w:next w:val="prastasis"/>
    <w:link w:val="Antrat9Diagrama"/>
    <w:qFormat/>
    <w:rsid w:val="00E625FB"/>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625FB"/>
    <w:rPr>
      <w:rFonts w:ascii="Times New Roman" w:eastAsia="Times New Roman" w:hAnsi="Times New Roman" w:cs="Times New Roman"/>
      <w:szCs w:val="24"/>
      <w:u w:val="single"/>
      <w:lang w:val="lt-LT"/>
    </w:rPr>
  </w:style>
  <w:style w:type="character" w:customStyle="1" w:styleId="Antrat2Diagrama">
    <w:name w:val="Antraštė 2 Diagrama"/>
    <w:basedOn w:val="Numatytasispastraiposriftas"/>
    <w:link w:val="Antrat2"/>
    <w:uiPriority w:val="99"/>
    <w:rsid w:val="00E625FB"/>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E625FB"/>
    <w:rPr>
      <w:rFonts w:ascii="Times New Roman" w:eastAsia="Times New Roman" w:hAnsi="Times New Roman" w:cs="Times New Roman"/>
      <w:b/>
      <w:sz w:val="20"/>
      <w:szCs w:val="24"/>
    </w:rPr>
  </w:style>
  <w:style w:type="character" w:customStyle="1" w:styleId="Antrat4Diagrama">
    <w:name w:val="Antraštė 4 Diagrama"/>
    <w:basedOn w:val="Numatytasispastraiposriftas"/>
    <w:link w:val="Antrat4"/>
    <w:uiPriority w:val="99"/>
    <w:rsid w:val="00E625FB"/>
    <w:rPr>
      <w:rFonts w:ascii="Times New Roman" w:eastAsia="Times New Roman" w:hAnsi="Times New Roman" w:cs="Times New Roman"/>
      <w:sz w:val="20"/>
      <w:szCs w:val="24"/>
      <w:u w:val="single"/>
    </w:rPr>
  </w:style>
  <w:style w:type="character" w:customStyle="1" w:styleId="Antrat5Diagrama">
    <w:name w:val="Antraštė 5 Diagrama"/>
    <w:basedOn w:val="Numatytasispastraiposriftas"/>
    <w:link w:val="Antrat5"/>
    <w:uiPriority w:val="99"/>
    <w:rsid w:val="00E625FB"/>
    <w:rPr>
      <w:rFonts w:ascii="Times New Roman" w:eastAsia="Times New Roman" w:hAnsi="Times New Roman" w:cs="Times New Roman"/>
      <w:color w:val="FF0000"/>
      <w:szCs w:val="24"/>
      <w:lang w:val="en-GB"/>
    </w:rPr>
  </w:style>
  <w:style w:type="character" w:customStyle="1" w:styleId="Antrat9Diagrama">
    <w:name w:val="Antraštė 9 Diagrama"/>
    <w:basedOn w:val="Numatytasispastraiposriftas"/>
    <w:link w:val="Antrat9"/>
    <w:rsid w:val="00E625FB"/>
    <w:rPr>
      <w:rFonts w:ascii="Arial" w:eastAsia="Times New Roman" w:hAnsi="Arial" w:cs="Arial"/>
    </w:rPr>
  </w:style>
  <w:style w:type="numbering" w:customStyle="1" w:styleId="NoList1">
    <w:name w:val="No List1"/>
    <w:next w:val="Sraonra"/>
    <w:uiPriority w:val="99"/>
    <w:semiHidden/>
    <w:unhideWhenUsed/>
    <w:rsid w:val="00E625FB"/>
  </w:style>
  <w:style w:type="paragraph" w:styleId="Pagrindinistekstas">
    <w:name w:val="Body Text"/>
    <w:basedOn w:val="prastasis"/>
    <w:link w:val="PagrindinistekstasDiagrama"/>
    <w:uiPriority w:val="99"/>
    <w:rsid w:val="00E625FB"/>
    <w:pPr>
      <w:spacing w:after="120" w:line="240" w:lineRule="auto"/>
    </w:pPr>
    <w:rPr>
      <w:rFonts w:ascii="Times New Roman" w:eastAsia="Times New Roman" w:hAnsi="Times New Roman" w:cs="Times New Roman"/>
      <w:szCs w:val="20"/>
      <w:lang w:val="lt-LT"/>
    </w:rPr>
  </w:style>
  <w:style w:type="character" w:customStyle="1" w:styleId="PagrindinistekstasDiagrama">
    <w:name w:val="Pagrindinis tekstas Diagrama"/>
    <w:basedOn w:val="Numatytasispastraiposriftas"/>
    <w:link w:val="Pagrindinistekstas"/>
    <w:uiPriority w:val="99"/>
    <w:rsid w:val="00E625FB"/>
    <w:rPr>
      <w:rFonts w:ascii="Times New Roman" w:eastAsia="Times New Roman" w:hAnsi="Times New Roman" w:cs="Times New Roman"/>
      <w:szCs w:val="20"/>
      <w:lang w:val="lt-LT"/>
    </w:rPr>
  </w:style>
  <w:style w:type="paragraph" w:customStyle="1" w:styleId="TTEMEASMCA">
    <w:name w:val="TT EMEA_SMCA"/>
    <w:basedOn w:val="Antrat1"/>
    <w:autoRedefine/>
    <w:uiPriority w:val="99"/>
    <w:rsid w:val="00E625FB"/>
    <w:pPr>
      <w:keepNext w:val="0"/>
      <w:tabs>
        <w:tab w:val="left" w:pos="567"/>
      </w:tabs>
      <w:ind w:left="567" w:hanging="567"/>
      <w:jc w:val="center"/>
    </w:pPr>
    <w:rPr>
      <w:b/>
      <w:caps/>
      <w:u w:val="none"/>
    </w:rPr>
  </w:style>
  <w:style w:type="paragraph" w:customStyle="1" w:styleId="BTEMEASMCA">
    <w:name w:val="BT EMEA_SMCA"/>
    <w:basedOn w:val="prastasis"/>
    <w:autoRedefine/>
    <w:uiPriority w:val="99"/>
    <w:rsid w:val="00E625FB"/>
    <w:pPr>
      <w:tabs>
        <w:tab w:val="left" w:pos="360"/>
      </w:tabs>
      <w:spacing w:after="0" w:line="240" w:lineRule="auto"/>
    </w:pPr>
    <w:rPr>
      <w:rFonts w:ascii="Times New Roman" w:eastAsia="Times New Roman" w:hAnsi="Times New Roman" w:cs="Times New Roman"/>
      <w:szCs w:val="24"/>
      <w:lang w:val="lt-LT"/>
    </w:rPr>
  </w:style>
  <w:style w:type="paragraph" w:customStyle="1" w:styleId="BTbeEMEASMCA">
    <w:name w:val="BT(be) EMEA_SMCA"/>
    <w:basedOn w:val="BTEMEASMCA"/>
    <w:autoRedefine/>
    <w:uiPriority w:val="99"/>
    <w:rsid w:val="00E625FB"/>
    <w:pPr>
      <w:jc w:val="center"/>
    </w:pPr>
    <w:rPr>
      <w:b/>
    </w:rPr>
  </w:style>
  <w:style w:type="paragraph" w:customStyle="1" w:styleId="BTbEMEASMCA">
    <w:name w:val="BT(b) EMEA_SMCA"/>
    <w:basedOn w:val="BTEMEASMCA"/>
    <w:autoRedefine/>
    <w:uiPriority w:val="99"/>
    <w:rsid w:val="00E625FB"/>
    <w:rPr>
      <w:b/>
    </w:rPr>
  </w:style>
  <w:style w:type="paragraph" w:customStyle="1" w:styleId="BT-EMEASMCA">
    <w:name w:val="BT- EMEA_SMCA"/>
    <w:basedOn w:val="BTEMEASMCA"/>
    <w:autoRedefine/>
    <w:uiPriority w:val="99"/>
    <w:rsid w:val="00E625FB"/>
    <w:pPr>
      <w:ind w:left="284" w:hanging="284"/>
    </w:pPr>
  </w:style>
  <w:style w:type="paragraph" w:customStyle="1" w:styleId="PI-3EMEASMCA">
    <w:name w:val="PI-3 EMEA_SMCA"/>
    <w:basedOn w:val="prastasis"/>
    <w:autoRedefine/>
    <w:uiPriority w:val="99"/>
    <w:rsid w:val="00E625FB"/>
    <w:pPr>
      <w:spacing w:after="0" w:line="220" w:lineRule="atLeast"/>
    </w:pPr>
    <w:rPr>
      <w:rFonts w:ascii="Times New Roman" w:eastAsia="Times New Roman" w:hAnsi="Times New Roman" w:cs="Times New Roman"/>
      <w:b/>
      <w:bCs/>
      <w:lang w:val="lt-LT"/>
    </w:rPr>
  </w:style>
  <w:style w:type="paragraph" w:customStyle="1" w:styleId="BodyTextAfter0">
    <w:name w:val="Body Text + After 0"/>
    <w:basedOn w:val="Pagrindinistekstas"/>
    <w:uiPriority w:val="99"/>
    <w:rsid w:val="00E625FB"/>
    <w:pPr>
      <w:spacing w:after="0"/>
    </w:pPr>
    <w:rPr>
      <w:szCs w:val="22"/>
    </w:rPr>
  </w:style>
  <w:style w:type="character" w:styleId="Hipersaitas">
    <w:name w:val="Hyperlink"/>
    <w:uiPriority w:val="99"/>
    <w:rsid w:val="00E625FB"/>
    <w:rPr>
      <w:rFonts w:cs="Times New Roman"/>
      <w:color w:val="0000FF"/>
      <w:u w:val="single"/>
    </w:rPr>
  </w:style>
  <w:style w:type="paragraph" w:styleId="Pagrindinistekstas2">
    <w:name w:val="Body Text 2"/>
    <w:basedOn w:val="prastasis"/>
    <w:link w:val="Pagrindinistekstas2Diagrama"/>
    <w:uiPriority w:val="99"/>
    <w:rsid w:val="00E625FB"/>
    <w:pPr>
      <w:spacing w:after="0" w:line="240" w:lineRule="auto"/>
    </w:pPr>
    <w:rPr>
      <w:rFonts w:ascii="Times New Roman" w:eastAsia="Times New Roman" w:hAnsi="Times New Roman" w:cs="Times New Roman"/>
      <w:b/>
      <w:bCs/>
      <w:iCs/>
      <w:sz w:val="24"/>
      <w:szCs w:val="24"/>
    </w:rPr>
  </w:style>
  <w:style w:type="character" w:customStyle="1" w:styleId="Pagrindinistekstas2Diagrama">
    <w:name w:val="Pagrindinis tekstas 2 Diagrama"/>
    <w:basedOn w:val="Numatytasispastraiposriftas"/>
    <w:link w:val="Pagrindinistekstas2"/>
    <w:uiPriority w:val="99"/>
    <w:rsid w:val="00E625FB"/>
    <w:rPr>
      <w:rFonts w:ascii="Times New Roman" w:eastAsia="Times New Roman" w:hAnsi="Times New Roman" w:cs="Times New Roman"/>
      <w:b/>
      <w:bCs/>
      <w:iCs/>
      <w:sz w:val="24"/>
      <w:szCs w:val="24"/>
    </w:rPr>
  </w:style>
  <w:style w:type="character" w:customStyle="1" w:styleId="BTEMEASMCAChar">
    <w:name w:val="BT EMEA_SMCA Char"/>
    <w:uiPriority w:val="99"/>
    <w:rsid w:val="00E625FB"/>
    <w:rPr>
      <w:rFonts w:eastAsia="Times New Roman" w:cs="Times New Roman"/>
      <w:bCs/>
      <w:iCs/>
      <w:noProof/>
      <w:sz w:val="22"/>
      <w:szCs w:val="22"/>
    </w:rPr>
  </w:style>
  <w:style w:type="paragraph" w:customStyle="1" w:styleId="PI-1EMEASMCA">
    <w:name w:val="PI-1 EMEA_SMCA"/>
    <w:basedOn w:val="Antrat2"/>
    <w:autoRedefine/>
    <w:uiPriority w:val="99"/>
    <w:rsid w:val="00E625FB"/>
    <w:pPr>
      <w:tabs>
        <w:tab w:val="left" w:pos="567"/>
      </w:tabs>
      <w:spacing w:before="0" w:after="0"/>
      <w:ind w:left="567" w:hanging="567"/>
    </w:pPr>
    <w:rPr>
      <w:rFonts w:ascii="Times New Roman" w:hAnsi="Times New Roman" w:cs="Times New Roman"/>
      <w:bCs w:val="0"/>
      <w:i w:val="0"/>
      <w:iCs w:val="0"/>
      <w:sz w:val="22"/>
      <w:szCs w:val="24"/>
      <w:lang w:val="lt-LT"/>
    </w:rPr>
  </w:style>
  <w:style w:type="paragraph" w:customStyle="1" w:styleId="PI-2EMEASMCA">
    <w:name w:val="PI-2 EMEA_SMCA"/>
    <w:basedOn w:val="Antrat3"/>
    <w:autoRedefine/>
    <w:uiPriority w:val="99"/>
    <w:rsid w:val="00E625FB"/>
    <w:pPr>
      <w:keepLines/>
      <w:tabs>
        <w:tab w:val="left" w:pos="567"/>
      </w:tabs>
      <w:ind w:left="567" w:hanging="567"/>
    </w:pPr>
    <w:rPr>
      <w:kern w:val="28"/>
      <w:sz w:val="22"/>
      <w:szCs w:val="22"/>
      <w:lang w:val="lt-LT"/>
    </w:rPr>
  </w:style>
  <w:style w:type="paragraph" w:customStyle="1" w:styleId="BTuEMEASMCA">
    <w:name w:val="BT(u) EMEA_SMCA"/>
    <w:basedOn w:val="BTEMEASMCA"/>
    <w:autoRedefine/>
    <w:uiPriority w:val="99"/>
    <w:rsid w:val="00E625FB"/>
    <w:rPr>
      <w:i/>
      <w:u w:val="single"/>
    </w:rPr>
  </w:style>
  <w:style w:type="paragraph" w:styleId="Porat">
    <w:name w:val="footer"/>
    <w:basedOn w:val="prastasis"/>
    <w:link w:val="PoratDiagrama"/>
    <w:uiPriority w:val="99"/>
    <w:rsid w:val="00E625F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625FB"/>
    <w:rPr>
      <w:rFonts w:ascii="Times New Roman" w:eastAsia="Times New Roman" w:hAnsi="Times New Roman" w:cs="Times New Roman"/>
      <w:sz w:val="24"/>
      <w:szCs w:val="24"/>
    </w:rPr>
  </w:style>
  <w:style w:type="paragraph" w:customStyle="1" w:styleId="PI-1labEMEASMCA">
    <w:name w:val="PI-1_lab EMEA_SMCA"/>
    <w:basedOn w:val="prastasis"/>
    <w:autoRedefine/>
    <w:uiPriority w:val="99"/>
    <w:rsid w:val="00E625F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styleId="Puslapionumeris">
    <w:name w:val="page number"/>
    <w:uiPriority w:val="99"/>
    <w:rsid w:val="00E625FB"/>
    <w:rPr>
      <w:rFonts w:cs="Times New Roman"/>
    </w:rPr>
  </w:style>
  <w:style w:type="paragraph" w:styleId="Debesliotekstas">
    <w:name w:val="Balloon Text"/>
    <w:basedOn w:val="prastasis"/>
    <w:link w:val="DebesliotekstasDiagrama"/>
    <w:uiPriority w:val="99"/>
    <w:semiHidden/>
    <w:rsid w:val="00E625F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625FB"/>
    <w:rPr>
      <w:rFonts w:ascii="Tahoma" w:eastAsia="Times New Roman" w:hAnsi="Tahoma" w:cs="Tahoma"/>
      <w:sz w:val="16"/>
      <w:szCs w:val="16"/>
    </w:rPr>
  </w:style>
  <w:style w:type="paragraph" w:styleId="Pavadinimas">
    <w:name w:val="Title"/>
    <w:basedOn w:val="prastasis"/>
    <w:link w:val="PavadinimasDiagrama"/>
    <w:autoRedefine/>
    <w:uiPriority w:val="99"/>
    <w:qFormat/>
    <w:rsid w:val="00E625FB"/>
    <w:pPr>
      <w:spacing w:after="0" w:line="240" w:lineRule="auto"/>
      <w:jc w:val="center"/>
      <w:outlineLvl w:val="0"/>
    </w:pPr>
    <w:rPr>
      <w:rFonts w:ascii="Times New Roman" w:eastAsia="Times New Roman" w:hAnsi="Times New Roman" w:cs="Times New Roman"/>
      <w:b/>
      <w:kern w:val="28"/>
      <w:sz w:val="20"/>
      <w:szCs w:val="24"/>
      <w:lang w:val="lt-LT"/>
    </w:rPr>
  </w:style>
  <w:style w:type="character" w:customStyle="1" w:styleId="PavadinimasDiagrama">
    <w:name w:val="Pavadinimas Diagrama"/>
    <w:basedOn w:val="Numatytasispastraiposriftas"/>
    <w:link w:val="Pavadinimas"/>
    <w:uiPriority w:val="99"/>
    <w:rsid w:val="00E625FB"/>
    <w:rPr>
      <w:rFonts w:ascii="Times New Roman" w:eastAsia="Times New Roman" w:hAnsi="Times New Roman" w:cs="Times New Roman"/>
      <w:b/>
      <w:kern w:val="28"/>
      <w:sz w:val="20"/>
      <w:szCs w:val="24"/>
      <w:lang w:val="lt-LT"/>
    </w:rPr>
  </w:style>
  <w:style w:type="paragraph" w:styleId="Antrats">
    <w:name w:val="header"/>
    <w:basedOn w:val="prastasis"/>
    <w:link w:val="AntratsDiagrama"/>
    <w:uiPriority w:val="99"/>
    <w:rsid w:val="00E625F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625FB"/>
    <w:rPr>
      <w:rFonts w:ascii="Times New Roman" w:eastAsia="Times New Roman" w:hAnsi="Times New Roman" w:cs="Times New Roman"/>
      <w:sz w:val="24"/>
      <w:szCs w:val="24"/>
    </w:rPr>
  </w:style>
  <w:style w:type="paragraph" w:customStyle="1" w:styleId="BTAnIIEMEASMCA">
    <w:name w:val="BT(AnII) EMEA_SMCA"/>
    <w:basedOn w:val="Debesliotekstas"/>
    <w:autoRedefine/>
    <w:uiPriority w:val="99"/>
    <w:rsid w:val="00E625FB"/>
    <w:pPr>
      <w:tabs>
        <w:tab w:val="left" w:pos="1701"/>
      </w:tabs>
      <w:ind w:left="1701" w:hanging="567"/>
    </w:pPr>
    <w:rPr>
      <w:rFonts w:ascii="Times New Roman" w:hAnsi="Times New Roman" w:cs="Calibri"/>
      <w:b/>
      <w:sz w:val="22"/>
      <w:szCs w:val="22"/>
      <w:lang w:val="en-GB"/>
    </w:rPr>
  </w:style>
  <w:style w:type="character" w:styleId="Komentaronuoroda">
    <w:name w:val="annotation reference"/>
    <w:uiPriority w:val="99"/>
    <w:rsid w:val="00E625FB"/>
    <w:rPr>
      <w:rFonts w:cs="Times New Roman"/>
      <w:sz w:val="16"/>
      <w:szCs w:val="16"/>
    </w:rPr>
  </w:style>
  <w:style w:type="paragraph" w:styleId="Komentarotekstas">
    <w:name w:val="annotation text"/>
    <w:basedOn w:val="prastasis"/>
    <w:link w:val="KomentarotekstasDiagrama"/>
    <w:uiPriority w:val="99"/>
    <w:rsid w:val="00E625F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625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E625FB"/>
    <w:rPr>
      <w:b/>
      <w:bCs/>
    </w:rPr>
  </w:style>
  <w:style w:type="character" w:customStyle="1" w:styleId="KomentarotemaDiagrama">
    <w:name w:val="Komentaro tema Diagrama"/>
    <w:basedOn w:val="KomentarotekstasDiagrama"/>
    <w:link w:val="Komentarotema"/>
    <w:uiPriority w:val="99"/>
    <w:rsid w:val="00E625FB"/>
    <w:rPr>
      <w:rFonts w:ascii="Times New Roman" w:eastAsia="Times New Roman" w:hAnsi="Times New Roman" w:cs="Times New Roman"/>
      <w:b/>
      <w:bCs/>
      <w:sz w:val="20"/>
      <w:szCs w:val="20"/>
    </w:rPr>
  </w:style>
  <w:style w:type="paragraph" w:styleId="Sraopastraipa">
    <w:name w:val="List Paragraph"/>
    <w:basedOn w:val="prastasis"/>
    <w:uiPriority w:val="34"/>
    <w:qFormat/>
    <w:rsid w:val="00E625FB"/>
    <w:pPr>
      <w:ind w:left="720"/>
      <w:contextualSpacing/>
    </w:pPr>
  </w:style>
  <w:style w:type="character" w:customStyle="1" w:styleId="hps">
    <w:name w:val="hps"/>
    <w:rsid w:val="00E625FB"/>
    <w:rPr>
      <w:rFonts w:cs="Times New Roman"/>
    </w:rPr>
  </w:style>
  <w:style w:type="paragraph" w:styleId="Pataisymai">
    <w:name w:val="Revision"/>
    <w:hidden/>
    <w:uiPriority w:val="99"/>
    <w:semiHidden/>
    <w:rsid w:val="00F417C1"/>
    <w:pPr>
      <w:spacing w:after="0" w:line="240" w:lineRule="auto"/>
    </w:pPr>
  </w:style>
  <w:style w:type="character" w:customStyle="1" w:styleId="UnresolvedMention">
    <w:name w:val="Unresolved Mention"/>
    <w:basedOn w:val="Numatytasispastraiposriftas"/>
    <w:uiPriority w:val="99"/>
    <w:semiHidden/>
    <w:unhideWhenUsed/>
    <w:rsid w:val="001B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44426</Words>
  <Characters>25324</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2025-07-01T10:53:00Z</dcterms:created>
  <dcterms:modified xsi:type="dcterms:W3CDTF">2025-07-01T10:53:00Z</dcterms:modified>
</cp:coreProperties>
</file>