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C91" w:rsidRPr="004B027E" w:rsidRDefault="00A85C91" w:rsidP="004B027E">
      <w:pPr>
        <w:rPr>
          <w:szCs w:val="22"/>
        </w:rPr>
      </w:pPr>
    </w:p>
    <w:p w:rsidR="00A85C91" w:rsidRPr="004B027E" w:rsidRDefault="00A85C91" w:rsidP="004B027E">
      <w:pPr>
        <w:rPr>
          <w:szCs w:val="22"/>
        </w:rPr>
      </w:pPr>
    </w:p>
    <w:p w:rsidR="00A85C91" w:rsidRPr="004B027E" w:rsidRDefault="00A85C91" w:rsidP="004B027E">
      <w:pPr>
        <w:rPr>
          <w:szCs w:val="22"/>
        </w:rPr>
      </w:pPr>
    </w:p>
    <w:p w:rsidR="00A85C91" w:rsidRPr="004B027E" w:rsidRDefault="00A85C91" w:rsidP="004B027E">
      <w:pPr>
        <w:rPr>
          <w:szCs w:val="22"/>
        </w:rPr>
      </w:pPr>
    </w:p>
    <w:p w:rsidR="00A85C91" w:rsidRPr="004B027E" w:rsidRDefault="00A85C91" w:rsidP="004B027E">
      <w:pPr>
        <w:rPr>
          <w:szCs w:val="22"/>
        </w:rPr>
      </w:pPr>
    </w:p>
    <w:p w:rsidR="00A85C91" w:rsidRPr="004B027E" w:rsidRDefault="00A85C91" w:rsidP="004B027E">
      <w:pPr>
        <w:rPr>
          <w:szCs w:val="22"/>
        </w:rPr>
      </w:pPr>
    </w:p>
    <w:p w:rsidR="00A85C91" w:rsidRPr="004B027E" w:rsidRDefault="00A85C91" w:rsidP="004B027E">
      <w:pPr>
        <w:rPr>
          <w:szCs w:val="22"/>
        </w:rPr>
      </w:pPr>
    </w:p>
    <w:p w:rsidR="00A85C91" w:rsidRPr="004B027E" w:rsidRDefault="00A85C91" w:rsidP="004B027E">
      <w:pPr>
        <w:rPr>
          <w:szCs w:val="22"/>
        </w:rPr>
      </w:pPr>
    </w:p>
    <w:p w:rsidR="00A85C91" w:rsidRPr="004B027E" w:rsidRDefault="00A85C91" w:rsidP="004B027E">
      <w:pPr>
        <w:rPr>
          <w:szCs w:val="22"/>
        </w:rPr>
      </w:pPr>
    </w:p>
    <w:p w:rsidR="00A85C91" w:rsidRPr="004B027E" w:rsidRDefault="00A85C91" w:rsidP="004B027E">
      <w:pPr>
        <w:rPr>
          <w:szCs w:val="22"/>
        </w:rPr>
      </w:pPr>
    </w:p>
    <w:p w:rsidR="00A85C91" w:rsidRPr="004B027E" w:rsidRDefault="00A85C91" w:rsidP="004B027E">
      <w:pPr>
        <w:pStyle w:val="BTEMEASMCA"/>
        <w:rPr>
          <w:noProof w:val="0"/>
        </w:rPr>
      </w:pPr>
    </w:p>
    <w:p w:rsidR="00A85C91" w:rsidRPr="004B027E" w:rsidRDefault="00A85C91" w:rsidP="004B027E">
      <w:pPr>
        <w:pStyle w:val="BTEMEASMCA"/>
        <w:rPr>
          <w:noProof w:val="0"/>
        </w:rPr>
      </w:pPr>
    </w:p>
    <w:p w:rsidR="00A85C91" w:rsidRPr="004B027E" w:rsidRDefault="00A85C91" w:rsidP="004B027E">
      <w:pPr>
        <w:pStyle w:val="BTEMEASMCA"/>
        <w:rPr>
          <w:noProof w:val="0"/>
        </w:rPr>
      </w:pPr>
    </w:p>
    <w:p w:rsidR="00A85C91" w:rsidRPr="004B027E" w:rsidRDefault="00A85C91" w:rsidP="004B027E">
      <w:pPr>
        <w:pStyle w:val="BTEMEASMCA"/>
        <w:rPr>
          <w:noProof w:val="0"/>
        </w:rPr>
      </w:pPr>
    </w:p>
    <w:p w:rsidR="00A85C91" w:rsidRPr="004B027E" w:rsidRDefault="00A85C91" w:rsidP="004B027E">
      <w:pPr>
        <w:pStyle w:val="BTEMEASMCA"/>
        <w:rPr>
          <w:noProof w:val="0"/>
        </w:rPr>
      </w:pPr>
    </w:p>
    <w:p w:rsidR="00A85C91" w:rsidRPr="004B027E" w:rsidRDefault="00A85C91" w:rsidP="004B027E">
      <w:pPr>
        <w:pStyle w:val="BTEMEASMCA"/>
        <w:rPr>
          <w:noProof w:val="0"/>
        </w:rPr>
      </w:pPr>
    </w:p>
    <w:p w:rsidR="00A85C91" w:rsidRPr="004B027E" w:rsidRDefault="00A85C91" w:rsidP="004B027E">
      <w:pPr>
        <w:pStyle w:val="BTEMEASMCA"/>
        <w:rPr>
          <w:noProof w:val="0"/>
        </w:rPr>
      </w:pPr>
    </w:p>
    <w:p w:rsidR="00A85C91" w:rsidRPr="004B027E" w:rsidRDefault="00A85C91" w:rsidP="004B027E">
      <w:pPr>
        <w:pStyle w:val="BTEMEASMCA"/>
        <w:rPr>
          <w:noProof w:val="0"/>
        </w:rPr>
      </w:pPr>
    </w:p>
    <w:p w:rsidR="00A85C91" w:rsidRPr="004B027E" w:rsidRDefault="00A85C91" w:rsidP="004B027E">
      <w:pPr>
        <w:pStyle w:val="BTEMEASMCA"/>
        <w:rPr>
          <w:noProof w:val="0"/>
        </w:rPr>
      </w:pPr>
    </w:p>
    <w:p w:rsidR="00A85C91" w:rsidRPr="004B027E" w:rsidRDefault="00A85C91" w:rsidP="004B027E">
      <w:pPr>
        <w:pStyle w:val="BTEMEASMCA"/>
        <w:rPr>
          <w:noProof w:val="0"/>
        </w:rPr>
      </w:pPr>
    </w:p>
    <w:p w:rsidR="00A85C91" w:rsidRPr="004B027E" w:rsidRDefault="00A85C91" w:rsidP="004B027E">
      <w:pPr>
        <w:pStyle w:val="BTEMEASMCA"/>
        <w:rPr>
          <w:noProof w:val="0"/>
        </w:rPr>
      </w:pPr>
    </w:p>
    <w:p w:rsidR="00A85C91" w:rsidRPr="004B027E" w:rsidRDefault="00A85C91" w:rsidP="004B027E">
      <w:pPr>
        <w:pStyle w:val="BTEMEASMCA"/>
        <w:rPr>
          <w:noProof w:val="0"/>
        </w:rPr>
      </w:pPr>
    </w:p>
    <w:p w:rsidR="00A85C91" w:rsidRPr="004B027E" w:rsidRDefault="00A85C91" w:rsidP="004B027E">
      <w:pPr>
        <w:pStyle w:val="BTEMEASMCA"/>
        <w:rPr>
          <w:noProof w:val="0"/>
        </w:rPr>
      </w:pPr>
    </w:p>
    <w:p w:rsidR="00A85C91" w:rsidRPr="004B027E" w:rsidRDefault="00A85C91" w:rsidP="004B027E">
      <w:pPr>
        <w:pStyle w:val="TTEMEASMCA"/>
        <w:rPr>
          <w:lang w:val="lt-LT"/>
        </w:rPr>
      </w:pPr>
      <w:bookmarkStart w:id="0" w:name="_Toc129243096"/>
      <w:bookmarkStart w:id="1" w:name="_Toc129243221"/>
      <w:r w:rsidRPr="004B027E">
        <w:rPr>
          <w:lang w:val="lt-LT"/>
        </w:rPr>
        <w:t>I PRIEDAS</w:t>
      </w:r>
      <w:bookmarkEnd w:id="0"/>
      <w:bookmarkEnd w:id="1"/>
    </w:p>
    <w:p w:rsidR="00A85C91" w:rsidRPr="004B027E" w:rsidRDefault="00A85C91" w:rsidP="004B027E">
      <w:pPr>
        <w:pStyle w:val="BTEMEASMCA"/>
        <w:rPr>
          <w:noProof w:val="0"/>
        </w:rPr>
      </w:pPr>
    </w:p>
    <w:p w:rsidR="00A85C91" w:rsidRPr="004B027E" w:rsidRDefault="00A85C91" w:rsidP="004B027E">
      <w:pPr>
        <w:pStyle w:val="TTEMEASMCA"/>
        <w:rPr>
          <w:lang w:val="lt-LT"/>
        </w:rPr>
      </w:pPr>
      <w:bookmarkStart w:id="2" w:name="_Toc129243097"/>
      <w:bookmarkStart w:id="3" w:name="_Toc129243222"/>
      <w:r w:rsidRPr="004B027E">
        <w:rPr>
          <w:lang w:val="lt-LT"/>
        </w:rPr>
        <w:t>PREPARATO CHARAKTERISTIKŲ SANTRAUKA</w:t>
      </w:r>
      <w:bookmarkEnd w:id="2"/>
      <w:bookmarkEnd w:id="3"/>
    </w:p>
    <w:p w:rsidR="00421268" w:rsidRPr="003562B8" w:rsidRDefault="00A85C91" w:rsidP="00421268">
      <w:pPr>
        <w:keepNext/>
        <w:tabs>
          <w:tab w:val="left" w:pos="567"/>
        </w:tabs>
        <w:ind w:left="567" w:hanging="567"/>
        <w:outlineLvl w:val="1"/>
        <w:rPr>
          <w:b/>
          <w:szCs w:val="22"/>
        </w:rPr>
      </w:pPr>
      <w:r w:rsidRPr="004B027E">
        <w:rPr>
          <w:bCs/>
          <w:iCs/>
        </w:rPr>
        <w:br w:type="page"/>
      </w:r>
      <w:bookmarkStart w:id="4" w:name="_Toc129243223"/>
      <w:bookmarkStart w:id="5" w:name="_Toc129243098"/>
      <w:r w:rsidR="00421268" w:rsidRPr="003562B8">
        <w:rPr>
          <w:b/>
          <w:szCs w:val="22"/>
        </w:rPr>
        <w:lastRenderedPageBreak/>
        <w:t>1.</w:t>
      </w:r>
      <w:r w:rsidR="00421268" w:rsidRPr="003562B8">
        <w:rPr>
          <w:b/>
          <w:szCs w:val="22"/>
        </w:rPr>
        <w:tab/>
        <w:t>VAISTINIO PREPARATO PAVADINIMAS</w:t>
      </w:r>
      <w:bookmarkEnd w:id="4"/>
      <w:bookmarkEnd w:id="5"/>
    </w:p>
    <w:p w:rsidR="00421268" w:rsidRPr="003562B8" w:rsidRDefault="00421268" w:rsidP="00421268">
      <w:pPr>
        <w:rPr>
          <w:szCs w:val="22"/>
        </w:rPr>
      </w:pPr>
    </w:p>
    <w:p w:rsidR="00421268" w:rsidRPr="003562B8" w:rsidRDefault="00421268" w:rsidP="00421268">
      <w:pPr>
        <w:rPr>
          <w:szCs w:val="22"/>
        </w:rPr>
      </w:pPr>
      <w:r w:rsidRPr="003562B8">
        <w:rPr>
          <w:szCs w:val="22"/>
        </w:rPr>
        <w:t>Nebivolol Orion 5 mg tabletės</w:t>
      </w:r>
    </w:p>
    <w:p w:rsidR="00421268" w:rsidRPr="003562B8" w:rsidRDefault="00421268" w:rsidP="00421268">
      <w:pPr>
        <w:rPr>
          <w:szCs w:val="22"/>
        </w:rPr>
      </w:pPr>
    </w:p>
    <w:p w:rsidR="00421268" w:rsidRPr="003562B8" w:rsidRDefault="00421268" w:rsidP="00421268">
      <w:pPr>
        <w:rPr>
          <w:szCs w:val="22"/>
        </w:rPr>
      </w:pPr>
    </w:p>
    <w:p w:rsidR="00421268" w:rsidRPr="003562B8" w:rsidRDefault="00421268" w:rsidP="00421268">
      <w:pPr>
        <w:keepNext/>
        <w:tabs>
          <w:tab w:val="left" w:pos="567"/>
        </w:tabs>
        <w:ind w:left="567" w:hanging="567"/>
        <w:outlineLvl w:val="1"/>
        <w:rPr>
          <w:b/>
          <w:szCs w:val="22"/>
        </w:rPr>
      </w:pPr>
      <w:bookmarkStart w:id="6" w:name="_Toc129243224"/>
      <w:bookmarkStart w:id="7" w:name="_Toc129243099"/>
      <w:r w:rsidRPr="003562B8">
        <w:rPr>
          <w:b/>
          <w:szCs w:val="22"/>
        </w:rPr>
        <w:t>2.</w:t>
      </w:r>
      <w:r w:rsidRPr="003562B8">
        <w:rPr>
          <w:b/>
          <w:szCs w:val="22"/>
        </w:rPr>
        <w:tab/>
        <w:t>KOKYBINĖ IR KIEKYBINĖ SUDĖTIS</w:t>
      </w:r>
      <w:bookmarkEnd w:id="6"/>
      <w:bookmarkEnd w:id="7"/>
    </w:p>
    <w:p w:rsidR="00421268" w:rsidRPr="003562B8" w:rsidRDefault="00421268" w:rsidP="00421268">
      <w:pPr>
        <w:rPr>
          <w:szCs w:val="22"/>
        </w:rPr>
      </w:pPr>
    </w:p>
    <w:p w:rsidR="00421268" w:rsidRPr="003562B8" w:rsidRDefault="00421268" w:rsidP="00421268">
      <w:pPr>
        <w:rPr>
          <w:szCs w:val="22"/>
        </w:rPr>
      </w:pPr>
      <w:r w:rsidRPr="003562B8">
        <w:rPr>
          <w:szCs w:val="22"/>
        </w:rPr>
        <w:t>Kiekvienoje tabletėje yra 5 mg nebivololio, atitinkančio 5,45 mg nebivololio hidrochlorido.</w:t>
      </w:r>
    </w:p>
    <w:p w:rsidR="00421268" w:rsidRPr="003562B8" w:rsidRDefault="00421268" w:rsidP="00421268">
      <w:pPr>
        <w:rPr>
          <w:szCs w:val="22"/>
        </w:rPr>
      </w:pPr>
    </w:p>
    <w:p w:rsidR="00421268" w:rsidRPr="003562B8" w:rsidRDefault="00421268" w:rsidP="00421268">
      <w:pPr>
        <w:rPr>
          <w:szCs w:val="22"/>
        </w:rPr>
      </w:pPr>
      <w:r w:rsidRPr="003562B8">
        <w:rPr>
          <w:szCs w:val="22"/>
        </w:rPr>
        <w:t>Pagalbinė medžiaga, kurios poveikis žinomas: vienoje tabletėje yra 85,96 mg laktozės monohidrato.</w:t>
      </w:r>
    </w:p>
    <w:p w:rsidR="00421268" w:rsidRPr="003562B8" w:rsidRDefault="00421268" w:rsidP="00421268">
      <w:pPr>
        <w:rPr>
          <w:szCs w:val="22"/>
        </w:rPr>
      </w:pPr>
    </w:p>
    <w:p w:rsidR="00421268" w:rsidRPr="003562B8" w:rsidRDefault="00421268" w:rsidP="00421268">
      <w:pPr>
        <w:rPr>
          <w:szCs w:val="22"/>
        </w:rPr>
      </w:pPr>
      <w:r w:rsidRPr="003562B8">
        <w:rPr>
          <w:szCs w:val="22"/>
        </w:rPr>
        <w:t>Visos pagalbinės medžiagos išvardytos 6.1 skyriuje.</w:t>
      </w:r>
    </w:p>
    <w:p w:rsidR="00421268" w:rsidRPr="003562B8" w:rsidRDefault="00421268" w:rsidP="00421268">
      <w:pPr>
        <w:rPr>
          <w:szCs w:val="22"/>
        </w:rPr>
      </w:pPr>
    </w:p>
    <w:p w:rsidR="00421268" w:rsidRPr="003562B8" w:rsidRDefault="00421268" w:rsidP="00421268">
      <w:pPr>
        <w:rPr>
          <w:szCs w:val="22"/>
        </w:rPr>
      </w:pPr>
    </w:p>
    <w:p w:rsidR="00421268" w:rsidRPr="003562B8" w:rsidRDefault="00421268" w:rsidP="00421268">
      <w:pPr>
        <w:keepNext/>
        <w:tabs>
          <w:tab w:val="left" w:pos="567"/>
        </w:tabs>
        <w:ind w:left="567" w:hanging="567"/>
        <w:outlineLvl w:val="1"/>
        <w:rPr>
          <w:b/>
          <w:szCs w:val="22"/>
        </w:rPr>
      </w:pPr>
      <w:bookmarkStart w:id="8" w:name="_Toc129243225"/>
      <w:bookmarkStart w:id="9" w:name="_Toc129243100"/>
      <w:r w:rsidRPr="003562B8">
        <w:rPr>
          <w:b/>
          <w:szCs w:val="22"/>
        </w:rPr>
        <w:t>3.</w:t>
      </w:r>
      <w:r w:rsidRPr="003562B8">
        <w:rPr>
          <w:b/>
          <w:szCs w:val="22"/>
        </w:rPr>
        <w:tab/>
        <w:t>FARMACINĖ FORMA</w:t>
      </w:r>
      <w:bookmarkEnd w:id="8"/>
      <w:bookmarkEnd w:id="9"/>
    </w:p>
    <w:p w:rsidR="00421268" w:rsidRPr="003562B8" w:rsidRDefault="00421268" w:rsidP="00421268">
      <w:pPr>
        <w:rPr>
          <w:szCs w:val="22"/>
        </w:rPr>
      </w:pPr>
    </w:p>
    <w:p w:rsidR="00421268" w:rsidRPr="003562B8" w:rsidRDefault="00421268" w:rsidP="00421268">
      <w:pPr>
        <w:rPr>
          <w:szCs w:val="22"/>
        </w:rPr>
      </w:pPr>
      <w:r w:rsidRPr="003562B8">
        <w:rPr>
          <w:szCs w:val="22"/>
        </w:rPr>
        <w:t>Tabletė.</w:t>
      </w:r>
    </w:p>
    <w:p w:rsidR="00421268" w:rsidRPr="003562B8" w:rsidRDefault="00421268" w:rsidP="00421268">
      <w:pPr>
        <w:rPr>
          <w:szCs w:val="22"/>
        </w:rPr>
      </w:pPr>
    </w:p>
    <w:p w:rsidR="00421268" w:rsidRPr="003562B8" w:rsidRDefault="00421268" w:rsidP="00421268">
      <w:pPr>
        <w:rPr>
          <w:szCs w:val="22"/>
        </w:rPr>
      </w:pPr>
      <w:r w:rsidRPr="003562B8">
        <w:rPr>
          <w:szCs w:val="22"/>
        </w:rPr>
        <w:t>Tabletės yra baltos, apvalios, abipus išgaubtos, turi vienoje pusėje kryžminę vagelę, apie 9 mm skersmens.</w:t>
      </w:r>
    </w:p>
    <w:p w:rsidR="00421268" w:rsidRPr="003562B8" w:rsidRDefault="00421268" w:rsidP="00421268">
      <w:pPr>
        <w:rPr>
          <w:szCs w:val="22"/>
        </w:rPr>
      </w:pPr>
    </w:p>
    <w:p w:rsidR="00421268" w:rsidRPr="003562B8" w:rsidRDefault="00421268" w:rsidP="00421268">
      <w:pPr>
        <w:rPr>
          <w:szCs w:val="22"/>
        </w:rPr>
      </w:pPr>
      <w:r w:rsidRPr="003562B8">
        <w:rPr>
          <w:szCs w:val="22"/>
        </w:rPr>
        <w:t>Tabletę galima padalyti į lygias dozes.</w:t>
      </w:r>
    </w:p>
    <w:p w:rsidR="00421268" w:rsidRPr="003562B8" w:rsidRDefault="00421268" w:rsidP="00421268">
      <w:pPr>
        <w:rPr>
          <w:szCs w:val="22"/>
        </w:rPr>
      </w:pPr>
    </w:p>
    <w:p w:rsidR="00421268" w:rsidRPr="003562B8" w:rsidRDefault="00421268" w:rsidP="00421268">
      <w:pPr>
        <w:rPr>
          <w:szCs w:val="22"/>
        </w:rPr>
      </w:pPr>
    </w:p>
    <w:p w:rsidR="00421268" w:rsidRPr="003562B8" w:rsidRDefault="00421268" w:rsidP="00421268">
      <w:pPr>
        <w:keepNext/>
        <w:tabs>
          <w:tab w:val="left" w:pos="567"/>
        </w:tabs>
        <w:ind w:left="567" w:hanging="567"/>
        <w:outlineLvl w:val="1"/>
        <w:rPr>
          <w:b/>
          <w:szCs w:val="22"/>
        </w:rPr>
      </w:pPr>
      <w:bookmarkStart w:id="10" w:name="_Toc129243226"/>
      <w:bookmarkStart w:id="11" w:name="_Toc129243101"/>
      <w:r w:rsidRPr="003562B8">
        <w:rPr>
          <w:b/>
          <w:szCs w:val="22"/>
        </w:rPr>
        <w:t>4.</w:t>
      </w:r>
      <w:r w:rsidRPr="003562B8">
        <w:rPr>
          <w:b/>
          <w:szCs w:val="22"/>
        </w:rPr>
        <w:tab/>
        <w:t>KLINIKINĖ INFORMACIJA</w:t>
      </w:r>
      <w:bookmarkEnd w:id="10"/>
      <w:bookmarkEnd w:id="11"/>
    </w:p>
    <w:p w:rsidR="00421268" w:rsidRPr="003562B8" w:rsidRDefault="00421268" w:rsidP="00421268">
      <w:pPr>
        <w:rPr>
          <w:szCs w:val="22"/>
        </w:rPr>
      </w:pPr>
    </w:p>
    <w:p w:rsidR="00421268" w:rsidRPr="003562B8" w:rsidRDefault="00421268" w:rsidP="00421268">
      <w:pPr>
        <w:keepNext/>
        <w:keepLines/>
        <w:tabs>
          <w:tab w:val="left" w:pos="567"/>
        </w:tabs>
        <w:ind w:left="567" w:hanging="567"/>
        <w:outlineLvl w:val="2"/>
        <w:rPr>
          <w:b/>
          <w:kern w:val="28"/>
          <w:szCs w:val="22"/>
        </w:rPr>
      </w:pPr>
      <w:bookmarkStart w:id="12" w:name="_Toc129243227"/>
      <w:bookmarkStart w:id="13" w:name="_Toc129243102"/>
      <w:r w:rsidRPr="003562B8">
        <w:rPr>
          <w:b/>
          <w:kern w:val="28"/>
          <w:szCs w:val="22"/>
        </w:rPr>
        <w:t>4.1</w:t>
      </w:r>
      <w:r w:rsidRPr="003562B8">
        <w:rPr>
          <w:b/>
          <w:kern w:val="28"/>
          <w:szCs w:val="22"/>
        </w:rPr>
        <w:tab/>
        <w:t>Terapinės indikacijos</w:t>
      </w:r>
      <w:bookmarkEnd w:id="12"/>
      <w:bookmarkEnd w:id="13"/>
    </w:p>
    <w:p w:rsidR="00421268" w:rsidRPr="003562B8" w:rsidRDefault="00421268" w:rsidP="00421268">
      <w:pPr>
        <w:rPr>
          <w:szCs w:val="22"/>
        </w:rPr>
      </w:pPr>
    </w:p>
    <w:p w:rsidR="00421268" w:rsidRPr="003562B8" w:rsidRDefault="00421268" w:rsidP="00421268">
      <w:pPr>
        <w:rPr>
          <w:szCs w:val="22"/>
          <w:u w:val="single"/>
        </w:rPr>
      </w:pPr>
      <w:r w:rsidRPr="003562B8">
        <w:rPr>
          <w:szCs w:val="22"/>
          <w:u w:val="single"/>
        </w:rPr>
        <w:t>Arterinė hipertenzija</w:t>
      </w:r>
    </w:p>
    <w:p w:rsidR="00421268" w:rsidRPr="003562B8" w:rsidRDefault="00421268" w:rsidP="00421268">
      <w:pPr>
        <w:rPr>
          <w:szCs w:val="22"/>
        </w:rPr>
      </w:pPr>
      <w:r w:rsidRPr="003562B8">
        <w:rPr>
          <w:szCs w:val="22"/>
        </w:rPr>
        <w:t>Pirminės arterinės hipertenzijos gydymas.</w:t>
      </w:r>
    </w:p>
    <w:p w:rsidR="00421268" w:rsidRPr="003562B8" w:rsidRDefault="00421268" w:rsidP="00421268">
      <w:pPr>
        <w:rPr>
          <w:szCs w:val="22"/>
        </w:rPr>
      </w:pPr>
    </w:p>
    <w:p w:rsidR="00421268" w:rsidRPr="003562B8" w:rsidRDefault="00421268" w:rsidP="00421268">
      <w:pPr>
        <w:suppressAutoHyphens/>
        <w:rPr>
          <w:szCs w:val="22"/>
          <w:u w:val="single"/>
          <w:lang w:eastAsia="ar-SA"/>
        </w:rPr>
      </w:pPr>
      <w:r w:rsidRPr="003562B8">
        <w:rPr>
          <w:szCs w:val="22"/>
          <w:u w:val="single"/>
          <w:lang w:eastAsia="ar-SA"/>
        </w:rPr>
        <w:t>Lėtinis širdies nepakankamumas (LŠN)</w:t>
      </w:r>
    </w:p>
    <w:p w:rsidR="00421268" w:rsidRPr="003562B8" w:rsidRDefault="00421268" w:rsidP="00421268">
      <w:pPr>
        <w:rPr>
          <w:szCs w:val="22"/>
        </w:rPr>
      </w:pPr>
      <w:r w:rsidRPr="003562B8">
        <w:rPr>
          <w:szCs w:val="22"/>
        </w:rPr>
        <w:t>Papildomas stabilaus lengvo ir vidutinio sunkumo lėtinio širdies nepakankamumo gydymas senyviems, 70 metų amžiaus ar vyresniems pacientams, gydomiems įprastinėmis gydymo priemonėmis.</w:t>
      </w:r>
    </w:p>
    <w:p w:rsidR="00421268" w:rsidRPr="003562B8" w:rsidRDefault="00421268" w:rsidP="00421268">
      <w:pPr>
        <w:rPr>
          <w:szCs w:val="22"/>
        </w:rPr>
      </w:pPr>
    </w:p>
    <w:p w:rsidR="00421268" w:rsidRPr="003562B8" w:rsidRDefault="00421268" w:rsidP="00421268">
      <w:pPr>
        <w:keepNext/>
        <w:keepLines/>
        <w:tabs>
          <w:tab w:val="left" w:pos="567"/>
        </w:tabs>
        <w:ind w:left="567" w:hanging="567"/>
        <w:outlineLvl w:val="2"/>
        <w:rPr>
          <w:b/>
          <w:kern w:val="28"/>
          <w:szCs w:val="22"/>
        </w:rPr>
      </w:pPr>
      <w:bookmarkStart w:id="14" w:name="_Toc129243228"/>
      <w:bookmarkStart w:id="15" w:name="_Toc129243103"/>
      <w:r w:rsidRPr="003562B8">
        <w:rPr>
          <w:b/>
          <w:kern w:val="28"/>
          <w:szCs w:val="22"/>
        </w:rPr>
        <w:t>4.2</w:t>
      </w:r>
      <w:r w:rsidRPr="003562B8">
        <w:rPr>
          <w:b/>
          <w:kern w:val="28"/>
          <w:szCs w:val="22"/>
        </w:rPr>
        <w:tab/>
        <w:t>Dozavimas ir vartojimo metodas</w:t>
      </w:r>
      <w:bookmarkEnd w:id="14"/>
      <w:bookmarkEnd w:id="15"/>
    </w:p>
    <w:p w:rsidR="00421268" w:rsidRPr="003562B8" w:rsidRDefault="00421268" w:rsidP="00421268">
      <w:pPr>
        <w:rPr>
          <w:szCs w:val="22"/>
        </w:rPr>
      </w:pPr>
    </w:p>
    <w:p w:rsidR="00421268" w:rsidRPr="003562B8" w:rsidRDefault="00421268" w:rsidP="00421268">
      <w:pPr>
        <w:rPr>
          <w:szCs w:val="22"/>
          <w:u w:val="single"/>
        </w:rPr>
      </w:pPr>
      <w:r w:rsidRPr="003562B8">
        <w:rPr>
          <w:szCs w:val="22"/>
          <w:u w:val="single"/>
        </w:rPr>
        <w:t>Dozavimas</w:t>
      </w:r>
    </w:p>
    <w:p w:rsidR="00421268" w:rsidRPr="003562B8" w:rsidRDefault="00421268" w:rsidP="00421268">
      <w:pPr>
        <w:rPr>
          <w:i/>
          <w:szCs w:val="22"/>
        </w:rPr>
      </w:pPr>
      <w:r w:rsidRPr="003562B8">
        <w:rPr>
          <w:i/>
          <w:szCs w:val="22"/>
        </w:rPr>
        <w:t>Hipertenzija</w:t>
      </w:r>
    </w:p>
    <w:p w:rsidR="00421268" w:rsidRPr="003562B8" w:rsidRDefault="00421268" w:rsidP="00421268">
      <w:pPr>
        <w:rPr>
          <w:i/>
          <w:szCs w:val="22"/>
        </w:rPr>
      </w:pPr>
    </w:p>
    <w:p w:rsidR="00421268" w:rsidRPr="003562B8" w:rsidRDefault="00421268" w:rsidP="00421268">
      <w:pPr>
        <w:rPr>
          <w:i/>
          <w:szCs w:val="22"/>
        </w:rPr>
      </w:pPr>
      <w:r w:rsidRPr="003562B8">
        <w:rPr>
          <w:i/>
          <w:szCs w:val="22"/>
        </w:rPr>
        <w:t>Suaugusiesiems</w:t>
      </w:r>
    </w:p>
    <w:p w:rsidR="00421268" w:rsidRPr="003562B8" w:rsidRDefault="00421268" w:rsidP="00421268">
      <w:pPr>
        <w:rPr>
          <w:szCs w:val="22"/>
        </w:rPr>
      </w:pPr>
      <w:r w:rsidRPr="003562B8">
        <w:rPr>
          <w:szCs w:val="22"/>
        </w:rPr>
        <w:t>Paros dozė yra viena tabletė (5 mg), kurią geriau gerti kiekvieną dieną tuo pačiu metu.</w:t>
      </w:r>
    </w:p>
    <w:p w:rsidR="00421268" w:rsidRPr="003562B8" w:rsidRDefault="00421268" w:rsidP="00421268">
      <w:pPr>
        <w:rPr>
          <w:szCs w:val="22"/>
        </w:rPr>
      </w:pPr>
      <w:r w:rsidRPr="003562B8">
        <w:rPr>
          <w:szCs w:val="22"/>
        </w:rPr>
        <w:t>Kraujospūdis akivaizdžiai sumažėja po 1-2 gydymo savaičių. Kartais optimalus poveikis pasiekiamas tik po 4 savaičių.</w:t>
      </w:r>
    </w:p>
    <w:p w:rsidR="00421268" w:rsidRPr="003562B8" w:rsidRDefault="00421268" w:rsidP="00421268">
      <w:pPr>
        <w:rPr>
          <w:szCs w:val="22"/>
        </w:rPr>
      </w:pPr>
    </w:p>
    <w:p w:rsidR="00421268" w:rsidRPr="003562B8" w:rsidRDefault="00421268" w:rsidP="00421268">
      <w:pPr>
        <w:rPr>
          <w:i/>
          <w:szCs w:val="22"/>
        </w:rPr>
      </w:pPr>
      <w:r w:rsidRPr="003562B8">
        <w:rPr>
          <w:i/>
          <w:szCs w:val="22"/>
        </w:rPr>
        <w:t>Derinimas su kitais antihipertenziniais vaistiniais preparatais</w:t>
      </w:r>
    </w:p>
    <w:p w:rsidR="00421268" w:rsidRPr="003562B8" w:rsidRDefault="00421268" w:rsidP="00421268">
      <w:pPr>
        <w:widowControl w:val="0"/>
        <w:rPr>
          <w:szCs w:val="22"/>
        </w:rPr>
      </w:pPr>
      <w:r w:rsidRPr="003562B8">
        <w:rPr>
          <w:szCs w:val="22"/>
        </w:rPr>
        <w:t>Beta adrenoblokatorius galima vartoti atskirai arba kartu su kitais antihipertenziniais vaistiniais preparatais. Kol kas papildomą antihipertenzinį poveikį turi tik 5 mg Nebivolol Orion ir 12,5-25 mg hidrochlortiazido derinys.</w:t>
      </w:r>
    </w:p>
    <w:p w:rsidR="00421268" w:rsidRPr="003562B8" w:rsidRDefault="00421268" w:rsidP="00421268">
      <w:pPr>
        <w:rPr>
          <w:szCs w:val="22"/>
        </w:rPr>
      </w:pPr>
    </w:p>
    <w:p w:rsidR="00421268" w:rsidRPr="003562B8" w:rsidRDefault="00421268" w:rsidP="00421268">
      <w:pPr>
        <w:rPr>
          <w:i/>
          <w:szCs w:val="22"/>
        </w:rPr>
      </w:pPr>
      <w:r w:rsidRPr="003562B8">
        <w:rPr>
          <w:i/>
          <w:szCs w:val="22"/>
        </w:rPr>
        <w:t>Pacientai, sergantys inkstų nepakankamumu</w:t>
      </w:r>
    </w:p>
    <w:p w:rsidR="00421268" w:rsidRPr="003562B8" w:rsidRDefault="00421268" w:rsidP="00421268">
      <w:pPr>
        <w:rPr>
          <w:szCs w:val="22"/>
        </w:rPr>
      </w:pPr>
      <w:r w:rsidRPr="003562B8">
        <w:rPr>
          <w:szCs w:val="22"/>
        </w:rPr>
        <w:t>Rekomenduojama pradinė paros dozė pacientams, sergantiems inkstų nepakankamumu, yra 2,5 mg. Jei reikia, paros dozę galima padidinti iki 5 mg.</w:t>
      </w:r>
    </w:p>
    <w:p w:rsidR="00421268" w:rsidRPr="003562B8" w:rsidRDefault="00421268" w:rsidP="00421268">
      <w:pPr>
        <w:rPr>
          <w:szCs w:val="22"/>
        </w:rPr>
      </w:pPr>
    </w:p>
    <w:p w:rsidR="00421268" w:rsidRPr="003562B8" w:rsidRDefault="00421268" w:rsidP="00421268">
      <w:pPr>
        <w:rPr>
          <w:i/>
          <w:szCs w:val="22"/>
        </w:rPr>
      </w:pPr>
      <w:r w:rsidRPr="003562B8">
        <w:rPr>
          <w:i/>
          <w:szCs w:val="22"/>
        </w:rPr>
        <w:t>Pacientai, sergantys kepenų nepakankamumu</w:t>
      </w:r>
    </w:p>
    <w:p w:rsidR="00421268" w:rsidRPr="003562B8" w:rsidRDefault="00421268" w:rsidP="00421268">
      <w:pPr>
        <w:rPr>
          <w:szCs w:val="22"/>
        </w:rPr>
      </w:pPr>
      <w:r w:rsidRPr="003562B8">
        <w:rPr>
          <w:szCs w:val="22"/>
        </w:rPr>
        <w:lastRenderedPageBreak/>
        <w:t>Duomenų apie vaistinio preparato poveikį pacientams, sergantiems kepenų nepakankamumu, ar pacientams, kurių kepenų funkcija sutrikusi, nepakanka. Todėl šiems pacientams vartoti Nebivolol Orion negalima.</w:t>
      </w:r>
    </w:p>
    <w:p w:rsidR="00421268" w:rsidRPr="003562B8" w:rsidRDefault="00421268" w:rsidP="00421268">
      <w:pPr>
        <w:rPr>
          <w:szCs w:val="22"/>
        </w:rPr>
      </w:pPr>
    </w:p>
    <w:p w:rsidR="00421268" w:rsidRPr="003562B8" w:rsidRDefault="00421268" w:rsidP="00421268">
      <w:pPr>
        <w:rPr>
          <w:i/>
          <w:szCs w:val="22"/>
        </w:rPr>
      </w:pPr>
      <w:r w:rsidRPr="003562B8">
        <w:rPr>
          <w:i/>
          <w:szCs w:val="22"/>
        </w:rPr>
        <w:t>Senyviems pacientams</w:t>
      </w:r>
    </w:p>
    <w:p w:rsidR="00421268" w:rsidRPr="003562B8" w:rsidRDefault="00421268" w:rsidP="00421268">
      <w:pPr>
        <w:rPr>
          <w:szCs w:val="22"/>
        </w:rPr>
      </w:pPr>
      <w:r w:rsidRPr="003562B8">
        <w:rPr>
          <w:szCs w:val="22"/>
        </w:rPr>
        <w:t>Rekomenduojama pradinė paros dozė vyresniems nei 65 metų amžiaus pacientams yra 2,5 mg. Jei reikia, paros dozę galima padidinti iki 5 mg. Tačiau atsižvelgiant į tai, kad vaistinio preparato vartojimo vyresniems nei 75 metų amžiaus pacientams patirties yra nedaug, reikia būti atsargiems ir atidžiai stebėti šių pacientų būklę.</w:t>
      </w:r>
    </w:p>
    <w:p w:rsidR="00421268" w:rsidRPr="003562B8" w:rsidRDefault="00421268" w:rsidP="00421268">
      <w:pPr>
        <w:rPr>
          <w:szCs w:val="22"/>
        </w:rPr>
      </w:pPr>
    </w:p>
    <w:p w:rsidR="00421268" w:rsidRPr="003562B8" w:rsidRDefault="00421268" w:rsidP="00421268">
      <w:pPr>
        <w:rPr>
          <w:i/>
          <w:szCs w:val="22"/>
        </w:rPr>
      </w:pPr>
      <w:r w:rsidRPr="003562B8">
        <w:rPr>
          <w:i/>
          <w:szCs w:val="22"/>
        </w:rPr>
        <w:t>Vaikų populiacija</w:t>
      </w:r>
    </w:p>
    <w:p w:rsidR="00421268" w:rsidRPr="003562B8" w:rsidRDefault="00421268" w:rsidP="00421268">
      <w:pPr>
        <w:rPr>
          <w:szCs w:val="22"/>
        </w:rPr>
      </w:pPr>
      <w:r w:rsidRPr="003562B8">
        <w:rPr>
          <w:szCs w:val="22"/>
        </w:rPr>
        <w:t>Nebivololio nerekomenduojama vartoti jaunesniems kaip 18 metų vaikams ir paaugliams, nes duomenų apie saugumą ir veiksmingumą nepakanka.</w:t>
      </w:r>
    </w:p>
    <w:p w:rsidR="00421268" w:rsidRPr="003562B8" w:rsidRDefault="00421268" w:rsidP="00421268">
      <w:pPr>
        <w:rPr>
          <w:szCs w:val="22"/>
        </w:rPr>
      </w:pPr>
    </w:p>
    <w:p w:rsidR="00421268" w:rsidRPr="003562B8" w:rsidRDefault="00421268" w:rsidP="00421268">
      <w:pPr>
        <w:suppressAutoHyphens/>
        <w:rPr>
          <w:i/>
          <w:szCs w:val="22"/>
          <w:lang w:eastAsia="ar-SA"/>
        </w:rPr>
      </w:pPr>
      <w:r w:rsidRPr="003562B8">
        <w:rPr>
          <w:i/>
          <w:szCs w:val="22"/>
          <w:lang w:eastAsia="ar-SA"/>
        </w:rPr>
        <w:t>Lėtinis širdies nepakankamumas (LŠN)</w:t>
      </w:r>
    </w:p>
    <w:p w:rsidR="00421268" w:rsidRPr="003562B8" w:rsidRDefault="00421268" w:rsidP="00421268">
      <w:pPr>
        <w:suppressAutoHyphens/>
        <w:rPr>
          <w:b/>
          <w:i/>
          <w:szCs w:val="22"/>
          <w:lang w:eastAsia="ar-SA"/>
        </w:rPr>
      </w:pPr>
    </w:p>
    <w:p w:rsidR="00421268" w:rsidRPr="003562B8" w:rsidRDefault="00421268" w:rsidP="00421268">
      <w:pPr>
        <w:rPr>
          <w:szCs w:val="22"/>
        </w:rPr>
      </w:pPr>
      <w:r w:rsidRPr="003562B8">
        <w:rPr>
          <w:szCs w:val="22"/>
        </w:rPr>
        <w:t>Stabilaus lėtinio širdies nepakankamumo gydymą reikia pradėti laipsniškai didinant dozę iki optimalios individualios palaikomosios dozės.</w:t>
      </w:r>
    </w:p>
    <w:p w:rsidR="00421268" w:rsidRPr="003562B8" w:rsidRDefault="00421268" w:rsidP="00421268">
      <w:pPr>
        <w:rPr>
          <w:szCs w:val="22"/>
        </w:rPr>
      </w:pPr>
    </w:p>
    <w:p w:rsidR="00421268" w:rsidRPr="003562B8" w:rsidRDefault="00421268" w:rsidP="00421268">
      <w:pPr>
        <w:rPr>
          <w:szCs w:val="22"/>
        </w:rPr>
      </w:pPr>
      <w:r w:rsidRPr="003562B8">
        <w:rPr>
          <w:szCs w:val="22"/>
        </w:rPr>
        <w:t>Pacientai turi sirgti stabiliu lėtiniu širdies nepakankamumu be paūmėjimų per paskutines šešias savaites. Patartina, kad gydantis gydytojas turėtų lėtinio širdies nepakankamumo gydymo patirties.</w:t>
      </w:r>
    </w:p>
    <w:p w:rsidR="00421268" w:rsidRPr="003562B8" w:rsidRDefault="00421268" w:rsidP="00421268">
      <w:pPr>
        <w:rPr>
          <w:szCs w:val="22"/>
        </w:rPr>
      </w:pPr>
    </w:p>
    <w:p w:rsidR="00421268" w:rsidRPr="003562B8" w:rsidRDefault="00421268" w:rsidP="00421268">
      <w:pPr>
        <w:rPr>
          <w:szCs w:val="22"/>
        </w:rPr>
      </w:pPr>
      <w:r w:rsidRPr="003562B8">
        <w:rPr>
          <w:szCs w:val="22"/>
        </w:rPr>
        <w:t>Prieš skiriant gydymą Nebivolol Orion, per dvi savaites reikia stabilizuoti šiems pacientams skiriamų širdies ir kraujagyslių sistemą veikiančių vaistinių preparatų, pvz., diuretikų ir/ar digoksino, ir/ar AKF inhibitorių, ir/ar angiotenzino II receptorių blokatorių, dozavimą.</w:t>
      </w:r>
    </w:p>
    <w:p w:rsidR="00421268" w:rsidRPr="003562B8" w:rsidRDefault="00421268" w:rsidP="00421268">
      <w:pPr>
        <w:rPr>
          <w:szCs w:val="22"/>
        </w:rPr>
      </w:pPr>
    </w:p>
    <w:p w:rsidR="00421268" w:rsidRPr="003562B8" w:rsidRDefault="00421268" w:rsidP="00421268">
      <w:pPr>
        <w:rPr>
          <w:szCs w:val="22"/>
        </w:rPr>
      </w:pPr>
      <w:r w:rsidRPr="003562B8">
        <w:rPr>
          <w:szCs w:val="22"/>
        </w:rPr>
        <w:t>Iš pradžių dozę reikia didinti kas 1-2 savaites, atsižvelgiant į paciento toleranciją, pagal toliau pateiktą schemą: 1,25 mg nebivololio padidinti iki 2,5 mg nebivololio 1 kartą per parą, tada iki 5 mg 1 kartą per parą ir po to iki 10 mg 1 kartą per parą. Didžiausia rekomenduojama nebivololio dozė yra 10 mg 1 kartą per parą.</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Pradedant gydymą ir kiekvieną kartą didinant dozę, pacientą mažiausiai 2 valandas turi sekti patyręs gydytojas, kuris galėtų užtikrinti paciento klinikinės būklės (ypač kraujospūdžio, širdies susitraukimų dažnio, laidumo sutrikimų, širdies nepakankamumo sustiprėjimo simptomų) stabilumą. </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Dėl nepageidaujamų reakcijų tik dalį pacientų galima gydyti didžiausia rekomenduojama doze. Jei reikia, pasiektą dozę taip pat galima palaipsniui sumažinti ir iš naujo pradėti gydymą tinkama doze kaip nurodyta. </w:t>
      </w:r>
    </w:p>
    <w:p w:rsidR="00421268" w:rsidRPr="003562B8" w:rsidRDefault="00421268" w:rsidP="00421268">
      <w:pPr>
        <w:rPr>
          <w:szCs w:val="22"/>
        </w:rPr>
      </w:pPr>
    </w:p>
    <w:p w:rsidR="00421268" w:rsidRPr="003562B8" w:rsidRDefault="00421268" w:rsidP="00421268">
      <w:pPr>
        <w:rPr>
          <w:szCs w:val="22"/>
        </w:rPr>
      </w:pPr>
      <w:r w:rsidRPr="003562B8">
        <w:rPr>
          <w:szCs w:val="22"/>
        </w:rPr>
        <w:t>Jei dozės titravimo metu sustiprėjo širdies nepakankamumas ar pasireiškė nepageidaujamas poveikis, pirmiausia rekomenduojama sumažinti nebivololio dozę arba, jei reikia, tuojau pat nutraukti jo vartojimą (sunkios hipotenzijos, širdies nepakankamumo sustiprėjimo su ūmia plaučių edema, kardiogeninio šoko, simptominės bradikardijos ar AV blokados atveju).</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Stabilus lėtinis širdies nepakankamumas paprastai gydomas nebivololiu ilgą laiką. </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Gydymo nebivololiu nerekomenduojama nutraukti staigiai, nes laikinai gali sustiprėti širdies nepakankamumas. Jei gydymą nutraukti būtina, dozę reikia mažinti palaipsniui kas savaitę padalijant per pusę. </w:t>
      </w:r>
    </w:p>
    <w:p w:rsidR="00421268" w:rsidRPr="003562B8" w:rsidRDefault="00421268" w:rsidP="00421268">
      <w:pPr>
        <w:rPr>
          <w:szCs w:val="22"/>
        </w:rPr>
      </w:pPr>
    </w:p>
    <w:p w:rsidR="00421268" w:rsidRPr="003562B8" w:rsidRDefault="00421268" w:rsidP="00421268">
      <w:pPr>
        <w:suppressAutoHyphens/>
        <w:rPr>
          <w:bCs/>
          <w:i/>
          <w:iCs/>
          <w:szCs w:val="22"/>
          <w:lang w:eastAsia="ar-SA"/>
        </w:rPr>
      </w:pPr>
      <w:r w:rsidRPr="003562B8">
        <w:rPr>
          <w:bCs/>
          <w:i/>
          <w:iCs/>
          <w:szCs w:val="22"/>
          <w:lang w:eastAsia="ar-SA"/>
        </w:rPr>
        <w:t xml:space="preserve">Pacientai, sergantys inkstų nepakankamumu </w:t>
      </w:r>
    </w:p>
    <w:p w:rsidR="00421268" w:rsidRPr="003562B8" w:rsidRDefault="00421268" w:rsidP="00421268">
      <w:pPr>
        <w:rPr>
          <w:szCs w:val="22"/>
        </w:rPr>
      </w:pPr>
      <w:r w:rsidRPr="003562B8">
        <w:rPr>
          <w:szCs w:val="22"/>
        </w:rPr>
        <w:t xml:space="preserve">Didžiausia toleruojama dozė nustatoma individualiai, todėl, jei pacientas serga lengvu ar vidutinio sunkumo inkstų nepakankamumu, dozės koreguoti nereikia. Vartojimo patirties pacientams, sergantiems sunkiu inkstų nepakankamumu (kreatinino koncentracija serume </w:t>
      </w:r>
      <w:r w:rsidRPr="003562B8">
        <w:rPr>
          <w:szCs w:val="22"/>
          <w:u w:val="single"/>
        </w:rPr>
        <w:t>&gt;</w:t>
      </w:r>
      <w:r w:rsidRPr="003562B8">
        <w:rPr>
          <w:szCs w:val="22"/>
        </w:rPr>
        <w:t> 250 mikromol/l), nėra. Todėl šiems pacientams nebivololio nerekomenduojama vartoti.</w:t>
      </w:r>
    </w:p>
    <w:p w:rsidR="00421268" w:rsidRPr="003562B8" w:rsidRDefault="00421268" w:rsidP="00421268">
      <w:pPr>
        <w:rPr>
          <w:szCs w:val="22"/>
        </w:rPr>
      </w:pPr>
    </w:p>
    <w:p w:rsidR="00421268" w:rsidRPr="003562B8" w:rsidRDefault="00421268" w:rsidP="00421268">
      <w:pPr>
        <w:suppressAutoHyphens/>
        <w:rPr>
          <w:i/>
          <w:iCs/>
          <w:szCs w:val="22"/>
          <w:lang w:eastAsia="ar-SA"/>
        </w:rPr>
      </w:pPr>
      <w:r w:rsidRPr="003562B8">
        <w:rPr>
          <w:i/>
          <w:iCs/>
          <w:szCs w:val="22"/>
          <w:lang w:eastAsia="ar-SA"/>
        </w:rPr>
        <w:t>Pacientai, sergantys kepenų nepakankamumu</w:t>
      </w:r>
    </w:p>
    <w:p w:rsidR="00421268" w:rsidRPr="003562B8" w:rsidRDefault="00421268" w:rsidP="00421268">
      <w:pPr>
        <w:rPr>
          <w:szCs w:val="22"/>
        </w:rPr>
      </w:pPr>
      <w:r w:rsidRPr="003562B8">
        <w:rPr>
          <w:szCs w:val="22"/>
        </w:rPr>
        <w:lastRenderedPageBreak/>
        <w:t xml:space="preserve">Duomenų apie vaistinio preparato poveikį pacientams, sergantiems kepenų nepakankamumu, nepakanka. Todėl šiems pacientams Nebivolol Orion vartoti negalima. </w:t>
      </w:r>
    </w:p>
    <w:p w:rsidR="00421268" w:rsidRPr="003562B8" w:rsidRDefault="00421268" w:rsidP="00421268">
      <w:pPr>
        <w:rPr>
          <w:szCs w:val="22"/>
        </w:rPr>
      </w:pPr>
    </w:p>
    <w:p w:rsidR="00421268" w:rsidRPr="003562B8" w:rsidRDefault="00421268" w:rsidP="00421268">
      <w:pPr>
        <w:rPr>
          <w:i/>
          <w:szCs w:val="22"/>
        </w:rPr>
      </w:pPr>
      <w:r w:rsidRPr="003562B8">
        <w:rPr>
          <w:i/>
          <w:szCs w:val="22"/>
        </w:rPr>
        <w:t>Senyviems pacientams</w:t>
      </w:r>
    </w:p>
    <w:p w:rsidR="00421268" w:rsidRPr="003562B8" w:rsidRDefault="00421268" w:rsidP="00421268">
      <w:pPr>
        <w:rPr>
          <w:szCs w:val="22"/>
        </w:rPr>
      </w:pPr>
      <w:r w:rsidRPr="003562B8">
        <w:rPr>
          <w:szCs w:val="22"/>
        </w:rPr>
        <w:t xml:space="preserve">Didžiausia toleruojama dozė nustatoma individualiai, todėl dozės koreguoti nereikia. </w:t>
      </w:r>
    </w:p>
    <w:p w:rsidR="00421268" w:rsidRPr="003562B8" w:rsidRDefault="00421268" w:rsidP="00421268">
      <w:pPr>
        <w:rPr>
          <w:szCs w:val="22"/>
        </w:rPr>
      </w:pPr>
    </w:p>
    <w:p w:rsidR="00421268" w:rsidRPr="003562B8" w:rsidRDefault="00421268" w:rsidP="00421268">
      <w:pPr>
        <w:rPr>
          <w:i/>
          <w:szCs w:val="22"/>
        </w:rPr>
      </w:pPr>
      <w:r w:rsidRPr="003562B8">
        <w:rPr>
          <w:i/>
          <w:iCs/>
          <w:szCs w:val="22"/>
        </w:rPr>
        <w:t>Vaikų populiacija</w:t>
      </w:r>
    </w:p>
    <w:p w:rsidR="00421268" w:rsidRPr="003562B8" w:rsidRDefault="00421268" w:rsidP="00421268">
      <w:pPr>
        <w:rPr>
          <w:szCs w:val="22"/>
        </w:rPr>
      </w:pPr>
      <w:r w:rsidRPr="003562B8">
        <w:rPr>
          <w:szCs w:val="22"/>
        </w:rPr>
        <w:t>Nebivololio nerekomenduojama vartoti jaunesniems kaip 18 metų vaikams ir paaugliams, nes duomenų apie saugumą ir veiksmingumą nepakanka.</w:t>
      </w:r>
    </w:p>
    <w:p w:rsidR="00421268" w:rsidRPr="003562B8" w:rsidRDefault="00421268" w:rsidP="00421268">
      <w:pPr>
        <w:rPr>
          <w:szCs w:val="22"/>
        </w:rPr>
      </w:pPr>
    </w:p>
    <w:p w:rsidR="00421268" w:rsidRPr="003562B8" w:rsidRDefault="00421268" w:rsidP="00421268">
      <w:pPr>
        <w:rPr>
          <w:szCs w:val="22"/>
          <w:u w:val="single"/>
        </w:rPr>
      </w:pPr>
      <w:r w:rsidRPr="003562B8">
        <w:rPr>
          <w:szCs w:val="22"/>
          <w:u w:val="single"/>
        </w:rPr>
        <w:t>Vartojimo metodas</w:t>
      </w:r>
    </w:p>
    <w:p w:rsidR="00421268" w:rsidRPr="003562B8" w:rsidRDefault="00421268" w:rsidP="00421268">
      <w:pPr>
        <w:rPr>
          <w:szCs w:val="22"/>
        </w:rPr>
      </w:pPr>
    </w:p>
    <w:p w:rsidR="00421268" w:rsidRPr="003562B8" w:rsidRDefault="00421268" w:rsidP="00421268">
      <w:pPr>
        <w:rPr>
          <w:szCs w:val="22"/>
        </w:rPr>
      </w:pPr>
      <w:r w:rsidRPr="003562B8">
        <w:rPr>
          <w:szCs w:val="22"/>
        </w:rPr>
        <w:t>Tabletę ar jos dalį reikia nuryti užsigeriant pakankamu kiekiu skysčio (pvz., stikline vandens). Tabletę galima vartoti nepriklausomai nuo valgio.</w:t>
      </w:r>
    </w:p>
    <w:p w:rsidR="00421268" w:rsidRPr="003562B8" w:rsidRDefault="00421268" w:rsidP="00421268">
      <w:pPr>
        <w:rPr>
          <w:szCs w:val="22"/>
        </w:rPr>
      </w:pPr>
    </w:p>
    <w:p w:rsidR="00421268" w:rsidRPr="003562B8" w:rsidRDefault="00421268" w:rsidP="00421268">
      <w:pPr>
        <w:keepNext/>
        <w:keepLines/>
        <w:tabs>
          <w:tab w:val="left" w:pos="567"/>
        </w:tabs>
        <w:ind w:left="567" w:hanging="567"/>
        <w:outlineLvl w:val="2"/>
        <w:rPr>
          <w:b/>
          <w:kern w:val="28"/>
          <w:szCs w:val="22"/>
        </w:rPr>
      </w:pPr>
      <w:bookmarkStart w:id="16" w:name="_Toc129243229"/>
      <w:bookmarkStart w:id="17" w:name="_Toc129243104"/>
      <w:r w:rsidRPr="003562B8">
        <w:rPr>
          <w:b/>
          <w:kern w:val="28"/>
          <w:szCs w:val="22"/>
        </w:rPr>
        <w:t>4.3</w:t>
      </w:r>
      <w:r w:rsidRPr="003562B8">
        <w:rPr>
          <w:b/>
          <w:kern w:val="28"/>
          <w:szCs w:val="22"/>
        </w:rPr>
        <w:tab/>
        <w:t>Kontraindikacijos</w:t>
      </w:r>
      <w:bookmarkEnd w:id="16"/>
      <w:bookmarkEnd w:id="17"/>
    </w:p>
    <w:p w:rsidR="00421268" w:rsidRPr="003562B8" w:rsidRDefault="00421268" w:rsidP="00421268">
      <w:pPr>
        <w:rPr>
          <w:szCs w:val="22"/>
        </w:rPr>
      </w:pPr>
    </w:p>
    <w:p w:rsidR="00421268" w:rsidRPr="003562B8" w:rsidRDefault="00421268" w:rsidP="00421268">
      <w:pPr>
        <w:numPr>
          <w:ilvl w:val="0"/>
          <w:numId w:val="17"/>
        </w:numPr>
        <w:ind w:left="567" w:hanging="567"/>
        <w:contextualSpacing/>
        <w:rPr>
          <w:szCs w:val="22"/>
        </w:rPr>
      </w:pPr>
      <w:r w:rsidRPr="003562B8">
        <w:rPr>
          <w:szCs w:val="22"/>
        </w:rPr>
        <w:t>Padidėjęs jautrumas veikliajai arba bet kuriai 6.1 skyriuje nurodytai pagalbinei medžiagai.</w:t>
      </w:r>
    </w:p>
    <w:p w:rsidR="00421268" w:rsidRPr="003562B8" w:rsidRDefault="00421268" w:rsidP="00421268">
      <w:pPr>
        <w:numPr>
          <w:ilvl w:val="0"/>
          <w:numId w:val="17"/>
        </w:numPr>
        <w:ind w:left="567" w:hanging="567"/>
        <w:contextualSpacing/>
        <w:rPr>
          <w:szCs w:val="22"/>
        </w:rPr>
      </w:pPr>
      <w:r w:rsidRPr="003562B8">
        <w:rPr>
          <w:szCs w:val="22"/>
        </w:rPr>
        <w:t>Kepenų nepakankamumas ar kepenų funkcijos sutrikimas.</w:t>
      </w:r>
    </w:p>
    <w:p w:rsidR="00421268" w:rsidRPr="003562B8" w:rsidRDefault="00421268" w:rsidP="00421268">
      <w:pPr>
        <w:numPr>
          <w:ilvl w:val="0"/>
          <w:numId w:val="17"/>
        </w:numPr>
        <w:ind w:left="567" w:hanging="567"/>
        <w:contextualSpacing/>
        <w:rPr>
          <w:szCs w:val="22"/>
        </w:rPr>
      </w:pPr>
      <w:r w:rsidRPr="003562B8">
        <w:rPr>
          <w:szCs w:val="22"/>
        </w:rPr>
        <w:t>Ūminis širdies nepakankamumas, kardiogeninis šokas arba širdies nepakankamumo dekompensacijos epizodai, kuriems gydyti reikia vartojamų į veną širdies inotropinę funkciją veikiančių vaistinių preparatų.</w:t>
      </w:r>
    </w:p>
    <w:p w:rsidR="00421268" w:rsidRPr="003562B8" w:rsidRDefault="00421268" w:rsidP="00421268">
      <w:pPr>
        <w:numPr>
          <w:ilvl w:val="0"/>
          <w:numId w:val="17"/>
        </w:numPr>
        <w:ind w:left="567" w:hanging="567"/>
        <w:contextualSpacing/>
        <w:rPr>
          <w:szCs w:val="22"/>
        </w:rPr>
      </w:pPr>
      <w:r w:rsidRPr="003562B8">
        <w:rPr>
          <w:szCs w:val="22"/>
        </w:rPr>
        <w:t>Sinusinio mazgo silpnumo sindromas, įskaitant sinoatrialinę blokadą.</w:t>
      </w:r>
    </w:p>
    <w:p w:rsidR="00421268" w:rsidRPr="003562B8" w:rsidRDefault="00421268" w:rsidP="00421268">
      <w:pPr>
        <w:numPr>
          <w:ilvl w:val="0"/>
          <w:numId w:val="17"/>
        </w:numPr>
        <w:ind w:left="567" w:hanging="567"/>
        <w:contextualSpacing/>
        <w:rPr>
          <w:szCs w:val="22"/>
        </w:rPr>
      </w:pPr>
      <w:r w:rsidRPr="003562B8">
        <w:rPr>
          <w:szCs w:val="22"/>
        </w:rPr>
        <w:t>Antro ir trečio laipsnio AV blokada (be širdies stimuliatoriaus).</w:t>
      </w:r>
    </w:p>
    <w:p w:rsidR="00421268" w:rsidRPr="003562B8" w:rsidRDefault="00421268" w:rsidP="00421268">
      <w:pPr>
        <w:numPr>
          <w:ilvl w:val="0"/>
          <w:numId w:val="17"/>
        </w:numPr>
        <w:ind w:left="567" w:hanging="567"/>
        <w:contextualSpacing/>
        <w:rPr>
          <w:szCs w:val="22"/>
        </w:rPr>
      </w:pPr>
      <w:r w:rsidRPr="003562B8">
        <w:rPr>
          <w:szCs w:val="22"/>
        </w:rPr>
        <w:t>Buvęs bronchų spazmas ir bronchinė astma;</w:t>
      </w:r>
    </w:p>
    <w:p w:rsidR="00421268" w:rsidRPr="003562B8" w:rsidRDefault="00421268" w:rsidP="00421268">
      <w:pPr>
        <w:numPr>
          <w:ilvl w:val="0"/>
          <w:numId w:val="17"/>
        </w:numPr>
        <w:ind w:left="567" w:hanging="567"/>
        <w:contextualSpacing/>
        <w:rPr>
          <w:szCs w:val="22"/>
        </w:rPr>
      </w:pPr>
      <w:r w:rsidRPr="003562B8">
        <w:rPr>
          <w:szCs w:val="22"/>
        </w:rPr>
        <w:t>Sunki lėtinė obstrukcinė plaučių liga.</w:t>
      </w:r>
    </w:p>
    <w:p w:rsidR="00421268" w:rsidRPr="003562B8" w:rsidRDefault="00421268" w:rsidP="00421268">
      <w:pPr>
        <w:numPr>
          <w:ilvl w:val="0"/>
          <w:numId w:val="17"/>
        </w:numPr>
        <w:ind w:left="567" w:hanging="567"/>
        <w:contextualSpacing/>
        <w:rPr>
          <w:szCs w:val="22"/>
        </w:rPr>
      </w:pPr>
      <w:r w:rsidRPr="003562B8">
        <w:rPr>
          <w:szCs w:val="22"/>
        </w:rPr>
        <w:t>Feochromocitoma, jei ši liga negydoma.</w:t>
      </w:r>
    </w:p>
    <w:p w:rsidR="00421268" w:rsidRPr="003562B8" w:rsidRDefault="00421268" w:rsidP="00421268">
      <w:pPr>
        <w:numPr>
          <w:ilvl w:val="0"/>
          <w:numId w:val="17"/>
        </w:numPr>
        <w:ind w:left="567" w:hanging="567"/>
        <w:contextualSpacing/>
        <w:rPr>
          <w:szCs w:val="22"/>
        </w:rPr>
      </w:pPr>
      <w:r w:rsidRPr="003562B8">
        <w:rPr>
          <w:szCs w:val="22"/>
        </w:rPr>
        <w:t>Metabolinė acidozė.</w:t>
      </w:r>
    </w:p>
    <w:p w:rsidR="00421268" w:rsidRPr="003562B8" w:rsidRDefault="00421268" w:rsidP="00421268">
      <w:pPr>
        <w:numPr>
          <w:ilvl w:val="0"/>
          <w:numId w:val="17"/>
        </w:numPr>
        <w:ind w:left="567" w:hanging="567"/>
        <w:contextualSpacing/>
        <w:rPr>
          <w:szCs w:val="22"/>
        </w:rPr>
      </w:pPr>
      <w:r w:rsidRPr="003562B8">
        <w:rPr>
          <w:szCs w:val="22"/>
        </w:rPr>
        <w:t>Bradikardija (prieš pradedant gydymą, širdies susitraukimų dažnis &lt; 60 dūžių per minutę).</w:t>
      </w:r>
    </w:p>
    <w:p w:rsidR="00421268" w:rsidRPr="003562B8" w:rsidRDefault="00421268" w:rsidP="00421268">
      <w:pPr>
        <w:numPr>
          <w:ilvl w:val="0"/>
          <w:numId w:val="17"/>
        </w:numPr>
        <w:ind w:left="567" w:hanging="567"/>
        <w:contextualSpacing/>
        <w:rPr>
          <w:szCs w:val="22"/>
        </w:rPr>
      </w:pPr>
      <w:r w:rsidRPr="003562B8">
        <w:rPr>
          <w:szCs w:val="22"/>
        </w:rPr>
        <w:t>Hipotenzija (sistolinis kraujospūdis &lt; 90 mmHg).</w:t>
      </w:r>
    </w:p>
    <w:p w:rsidR="00421268" w:rsidRPr="003562B8" w:rsidRDefault="00421268" w:rsidP="00421268">
      <w:pPr>
        <w:numPr>
          <w:ilvl w:val="0"/>
          <w:numId w:val="17"/>
        </w:numPr>
        <w:ind w:left="567" w:hanging="567"/>
        <w:contextualSpacing/>
        <w:rPr>
          <w:szCs w:val="22"/>
        </w:rPr>
      </w:pPr>
      <w:r w:rsidRPr="003562B8">
        <w:rPr>
          <w:szCs w:val="22"/>
        </w:rPr>
        <w:t>Sunkūs periferinės kraujotakos sutrikimai.</w:t>
      </w:r>
    </w:p>
    <w:p w:rsidR="00421268" w:rsidRPr="003562B8" w:rsidRDefault="00421268" w:rsidP="00421268">
      <w:pPr>
        <w:numPr>
          <w:ilvl w:val="0"/>
          <w:numId w:val="17"/>
        </w:numPr>
        <w:ind w:left="567" w:hanging="567"/>
        <w:contextualSpacing/>
        <w:rPr>
          <w:szCs w:val="22"/>
        </w:rPr>
      </w:pPr>
      <w:r w:rsidRPr="003562B8">
        <w:rPr>
          <w:szCs w:val="22"/>
        </w:rPr>
        <w:t>Deriniai su floktafeninu ir sultopridu (taip pat žr. 4.5 skyrių).</w:t>
      </w:r>
    </w:p>
    <w:p w:rsidR="00421268" w:rsidRPr="003562B8" w:rsidRDefault="00421268" w:rsidP="00421268">
      <w:pPr>
        <w:rPr>
          <w:szCs w:val="22"/>
        </w:rPr>
      </w:pPr>
    </w:p>
    <w:p w:rsidR="00421268" w:rsidRPr="003562B8" w:rsidRDefault="00421268" w:rsidP="00421268">
      <w:pPr>
        <w:keepNext/>
        <w:keepLines/>
        <w:tabs>
          <w:tab w:val="left" w:pos="567"/>
        </w:tabs>
        <w:ind w:left="567" w:hanging="567"/>
        <w:outlineLvl w:val="2"/>
        <w:rPr>
          <w:b/>
          <w:kern w:val="28"/>
          <w:szCs w:val="22"/>
        </w:rPr>
      </w:pPr>
      <w:bookmarkStart w:id="18" w:name="_Toc129243230"/>
      <w:bookmarkStart w:id="19" w:name="_Toc129243105"/>
      <w:r w:rsidRPr="003562B8">
        <w:rPr>
          <w:b/>
          <w:kern w:val="28"/>
          <w:szCs w:val="22"/>
        </w:rPr>
        <w:t>4.4</w:t>
      </w:r>
      <w:r w:rsidRPr="003562B8">
        <w:rPr>
          <w:b/>
          <w:kern w:val="28"/>
          <w:szCs w:val="22"/>
        </w:rPr>
        <w:tab/>
        <w:t>Specialūs įspėjimai ir atsargumo priemonės</w:t>
      </w:r>
      <w:bookmarkEnd w:id="18"/>
      <w:bookmarkEnd w:id="19"/>
    </w:p>
    <w:p w:rsidR="00421268" w:rsidRPr="003562B8" w:rsidRDefault="00421268" w:rsidP="00421268">
      <w:pPr>
        <w:rPr>
          <w:szCs w:val="22"/>
        </w:rPr>
      </w:pPr>
    </w:p>
    <w:p w:rsidR="00421268" w:rsidRPr="003562B8" w:rsidRDefault="00421268" w:rsidP="00421268">
      <w:pPr>
        <w:rPr>
          <w:szCs w:val="22"/>
        </w:rPr>
      </w:pPr>
      <w:r w:rsidRPr="003562B8">
        <w:rPr>
          <w:szCs w:val="22"/>
        </w:rPr>
        <w:t>Taip pat žr. 4.8 skyrių.</w:t>
      </w:r>
    </w:p>
    <w:p w:rsidR="00421268" w:rsidRPr="003562B8" w:rsidRDefault="00421268" w:rsidP="00421268">
      <w:pPr>
        <w:rPr>
          <w:szCs w:val="22"/>
        </w:rPr>
      </w:pPr>
    </w:p>
    <w:p w:rsidR="00421268" w:rsidRPr="003562B8" w:rsidRDefault="00421268" w:rsidP="00421268">
      <w:pPr>
        <w:rPr>
          <w:szCs w:val="22"/>
        </w:rPr>
      </w:pPr>
      <w:r w:rsidRPr="003562B8">
        <w:rPr>
          <w:szCs w:val="22"/>
        </w:rPr>
        <w:t>Toliau nurodyti įspėjimai ir atsargumo priemonės taikomos beta adrenoreceptorių blokatoriams.</w:t>
      </w:r>
    </w:p>
    <w:p w:rsidR="00421268" w:rsidRPr="003562B8" w:rsidRDefault="00421268" w:rsidP="00421268">
      <w:pPr>
        <w:rPr>
          <w:szCs w:val="22"/>
        </w:rPr>
      </w:pPr>
    </w:p>
    <w:p w:rsidR="00421268" w:rsidRPr="003562B8" w:rsidRDefault="00421268" w:rsidP="00421268">
      <w:pPr>
        <w:rPr>
          <w:szCs w:val="22"/>
          <w:u w:val="single"/>
        </w:rPr>
      </w:pPr>
      <w:r w:rsidRPr="003562B8">
        <w:rPr>
          <w:szCs w:val="22"/>
          <w:u w:val="single"/>
        </w:rPr>
        <w:t>Nejautra</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Nepertraukiama beta adrenoreceptorių blokada sumažina aritmijų riziką indukcijos ir intubacijos metu. Jei beta adrenoreceptorių blokada nutraukiama ruošiantis operacijai, beta adrenoreceptorių blokatorių vartojimą reikia nutraukti mažiausiai 24 valandas prieš nejautrą. </w:t>
      </w:r>
    </w:p>
    <w:p w:rsidR="00421268" w:rsidRPr="003562B8" w:rsidRDefault="00421268" w:rsidP="00421268">
      <w:pPr>
        <w:rPr>
          <w:szCs w:val="22"/>
        </w:rPr>
      </w:pPr>
    </w:p>
    <w:p w:rsidR="00421268" w:rsidRPr="003562B8" w:rsidRDefault="00421268" w:rsidP="00421268">
      <w:pPr>
        <w:rPr>
          <w:szCs w:val="22"/>
        </w:rPr>
      </w:pPr>
      <w:r w:rsidRPr="003562B8">
        <w:rPr>
          <w:szCs w:val="22"/>
        </w:rPr>
        <w:t>Reikia būti atsargiems, jei skiriami anestetikai, slopinantys miokardą, pvz., ciklopropanas, eteris arba trichloretilenas. Pacientą galima apsaugoti nuo vagusinių reakcijų paskiriant intraveninio atropino.</w:t>
      </w:r>
    </w:p>
    <w:p w:rsidR="00421268" w:rsidRPr="003562B8" w:rsidRDefault="00421268" w:rsidP="00421268">
      <w:pPr>
        <w:rPr>
          <w:szCs w:val="22"/>
        </w:rPr>
      </w:pPr>
    </w:p>
    <w:p w:rsidR="00421268" w:rsidRPr="003562B8" w:rsidRDefault="00421268" w:rsidP="00421268">
      <w:pPr>
        <w:rPr>
          <w:szCs w:val="22"/>
          <w:u w:val="single"/>
        </w:rPr>
      </w:pPr>
      <w:r w:rsidRPr="003562B8">
        <w:rPr>
          <w:szCs w:val="22"/>
          <w:u w:val="single"/>
        </w:rPr>
        <w:t>Širdies ir kraujagyslių sistema</w:t>
      </w:r>
    </w:p>
    <w:p w:rsidR="00421268" w:rsidRPr="003562B8" w:rsidRDefault="00421268" w:rsidP="00421268">
      <w:pPr>
        <w:rPr>
          <w:szCs w:val="22"/>
          <w:u w:val="single"/>
        </w:rPr>
      </w:pPr>
    </w:p>
    <w:p w:rsidR="00421268" w:rsidRPr="003562B8" w:rsidRDefault="00421268" w:rsidP="00421268">
      <w:pPr>
        <w:rPr>
          <w:szCs w:val="22"/>
        </w:rPr>
      </w:pPr>
      <w:r w:rsidRPr="003562B8">
        <w:rPr>
          <w:szCs w:val="22"/>
        </w:rPr>
        <w:t>Beta adrenoreceptorių blokatorių negali vartoti pacientai, sergantys negydytu staziniu širdies nepakankamumu (SŠN), kol jų būklė nebus stabilizuota.</w:t>
      </w:r>
    </w:p>
    <w:p w:rsidR="00421268" w:rsidRPr="003562B8" w:rsidRDefault="00421268" w:rsidP="00421268">
      <w:pPr>
        <w:rPr>
          <w:szCs w:val="22"/>
        </w:rPr>
      </w:pPr>
    </w:p>
    <w:p w:rsidR="00421268" w:rsidRPr="003562B8" w:rsidRDefault="00421268" w:rsidP="00421268">
      <w:pPr>
        <w:rPr>
          <w:szCs w:val="22"/>
        </w:rPr>
      </w:pPr>
      <w:r w:rsidRPr="003562B8">
        <w:rPr>
          <w:szCs w:val="22"/>
        </w:rPr>
        <w:t>Pacientams, sergantiems išeminė</w:t>
      </w:r>
      <w:r w:rsidRPr="003562B8" w:rsidDel="00E814F4">
        <w:rPr>
          <w:szCs w:val="22"/>
        </w:rPr>
        <w:t xml:space="preserve"> </w:t>
      </w:r>
      <w:r w:rsidRPr="003562B8">
        <w:rPr>
          <w:szCs w:val="22"/>
        </w:rPr>
        <w:t>širdies liga, gydymą beta adrenoreceptorių blokatoriais reikia nutraukti laipsniškai, t.y. per 1</w:t>
      </w:r>
      <w:r w:rsidRPr="003562B8">
        <w:rPr>
          <w:szCs w:val="22"/>
        </w:rPr>
        <w:noBreakHyphen/>
        <w:t>2 savaites. Jei reikia, norint išvengti krūtinės anginos paūmėjimo, tuo pačiu metu reikia pradėti pakaitinį gydymą.</w:t>
      </w:r>
    </w:p>
    <w:p w:rsidR="00421268" w:rsidRPr="003562B8" w:rsidRDefault="00421268" w:rsidP="00421268">
      <w:pPr>
        <w:rPr>
          <w:szCs w:val="22"/>
        </w:rPr>
      </w:pPr>
    </w:p>
    <w:p w:rsidR="00421268" w:rsidRPr="003562B8" w:rsidRDefault="00421268" w:rsidP="00421268">
      <w:pPr>
        <w:tabs>
          <w:tab w:val="left" w:pos="900"/>
        </w:tabs>
        <w:rPr>
          <w:szCs w:val="22"/>
        </w:rPr>
      </w:pPr>
      <w:r w:rsidRPr="003562B8">
        <w:rPr>
          <w:szCs w:val="22"/>
        </w:rPr>
        <w:lastRenderedPageBreak/>
        <w:t>Beta adrenoreceptorių blokatoriai gali sukelti bradikardiją: jei ramybėje pulso dažnis sumažėja iki &lt; 50</w:t>
      </w:r>
      <w:r w:rsidRPr="003562B8">
        <w:rPr>
          <w:szCs w:val="22"/>
        </w:rPr>
        <w:noBreakHyphen/>
        <w:t xml:space="preserve">55 dūžių per minutę ir/ar pacientą vargina bradikardijai būdingi simptomai, dozę reikia sumažinti. </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Beta adrenoreceptorių blokatorius reikia skirti atsargiai, jeigu: </w:t>
      </w:r>
    </w:p>
    <w:p w:rsidR="00421268" w:rsidRPr="003562B8" w:rsidRDefault="00421268" w:rsidP="00421268">
      <w:pPr>
        <w:rPr>
          <w:szCs w:val="22"/>
        </w:rPr>
      </w:pPr>
    </w:p>
    <w:p w:rsidR="00421268" w:rsidRPr="003562B8" w:rsidRDefault="00421268" w:rsidP="00421268">
      <w:pPr>
        <w:numPr>
          <w:ilvl w:val="0"/>
          <w:numId w:val="18"/>
        </w:numPr>
        <w:tabs>
          <w:tab w:val="left" w:pos="567"/>
        </w:tabs>
        <w:suppressAutoHyphens/>
        <w:ind w:left="567" w:hanging="567"/>
        <w:rPr>
          <w:szCs w:val="22"/>
        </w:rPr>
      </w:pPr>
      <w:r w:rsidRPr="003562B8">
        <w:rPr>
          <w:szCs w:val="22"/>
        </w:rPr>
        <w:t>pacientai serga periferinės kraujotakos sutrikimais (</w:t>
      </w:r>
      <w:r w:rsidRPr="003562B8">
        <w:rPr>
          <w:i/>
          <w:szCs w:val="22"/>
        </w:rPr>
        <w:t>Raynaud’o</w:t>
      </w:r>
      <w:r w:rsidRPr="003562B8">
        <w:rPr>
          <w:szCs w:val="22"/>
        </w:rPr>
        <w:t xml:space="preserve"> liga ar sindromu, protarpiniu šlubčiojimu), nes šie sutrikimai gali sustiprėti; </w:t>
      </w:r>
    </w:p>
    <w:p w:rsidR="00421268" w:rsidRPr="003562B8" w:rsidRDefault="00421268" w:rsidP="00421268">
      <w:pPr>
        <w:tabs>
          <w:tab w:val="left" w:pos="567"/>
        </w:tabs>
        <w:ind w:left="567" w:hanging="567"/>
        <w:rPr>
          <w:szCs w:val="22"/>
        </w:rPr>
      </w:pPr>
    </w:p>
    <w:p w:rsidR="00421268" w:rsidRPr="003562B8" w:rsidRDefault="00421268" w:rsidP="00421268">
      <w:pPr>
        <w:numPr>
          <w:ilvl w:val="0"/>
          <w:numId w:val="18"/>
        </w:numPr>
        <w:tabs>
          <w:tab w:val="left" w:pos="567"/>
        </w:tabs>
        <w:suppressAutoHyphens/>
        <w:ind w:left="567" w:hanging="567"/>
        <w:rPr>
          <w:szCs w:val="22"/>
        </w:rPr>
      </w:pPr>
      <w:r w:rsidRPr="003562B8">
        <w:rPr>
          <w:szCs w:val="22"/>
        </w:rPr>
        <w:t xml:space="preserve">pacientai serga pirmo laipsnio širdies blokada, nes beta adrenoblokatoriai neigiamai veikia laidumo trukmę; </w:t>
      </w:r>
    </w:p>
    <w:p w:rsidR="00421268" w:rsidRPr="003562B8" w:rsidRDefault="00421268" w:rsidP="00421268">
      <w:pPr>
        <w:tabs>
          <w:tab w:val="left" w:pos="567"/>
        </w:tabs>
        <w:ind w:left="567" w:hanging="567"/>
        <w:rPr>
          <w:szCs w:val="22"/>
        </w:rPr>
      </w:pPr>
    </w:p>
    <w:p w:rsidR="00421268" w:rsidRPr="003562B8" w:rsidRDefault="00421268" w:rsidP="00421268">
      <w:pPr>
        <w:numPr>
          <w:ilvl w:val="0"/>
          <w:numId w:val="18"/>
        </w:numPr>
        <w:tabs>
          <w:tab w:val="left" w:pos="567"/>
        </w:tabs>
        <w:suppressAutoHyphens/>
        <w:ind w:left="567" w:hanging="567"/>
        <w:rPr>
          <w:szCs w:val="22"/>
        </w:rPr>
      </w:pPr>
      <w:r w:rsidRPr="003562B8">
        <w:rPr>
          <w:szCs w:val="22"/>
        </w:rPr>
        <w:t xml:space="preserve">pacientai serga </w:t>
      </w:r>
      <w:r w:rsidRPr="003562B8">
        <w:rPr>
          <w:i/>
          <w:szCs w:val="22"/>
        </w:rPr>
        <w:t>Prinzmetal’io</w:t>
      </w:r>
      <w:r w:rsidRPr="003562B8">
        <w:rPr>
          <w:szCs w:val="22"/>
        </w:rPr>
        <w:t xml:space="preserve"> krūtinės angina, nes alfa adrenoreceptorių reguliuojama vainikinių arterijų konstrikcija praranda pasipriešinimą: beta adrenoreceptorių blokatoriai gali padidinti krūtinės anginos priepuolių dažnį ir trukmę. </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Nerekomenduojama vartoti nebivololio kartu su verapamilio ar diltiazemo tipo kalcio kanalų blokatoriais, I klasės antiaritminiais vaistiniais preparatais ir centrinio veikimo antihipertenziniais vaistiniais preparatais; išsamiau žr. 4.5 skyrių. </w:t>
      </w:r>
    </w:p>
    <w:p w:rsidR="00421268" w:rsidRPr="003562B8" w:rsidRDefault="00421268" w:rsidP="00421268">
      <w:pPr>
        <w:rPr>
          <w:szCs w:val="22"/>
        </w:rPr>
      </w:pPr>
    </w:p>
    <w:p w:rsidR="00421268" w:rsidRPr="003562B8" w:rsidRDefault="00421268" w:rsidP="00421268">
      <w:pPr>
        <w:rPr>
          <w:szCs w:val="22"/>
          <w:u w:val="single"/>
        </w:rPr>
      </w:pPr>
      <w:r w:rsidRPr="003562B8">
        <w:rPr>
          <w:szCs w:val="22"/>
          <w:u w:val="single"/>
        </w:rPr>
        <w:t>Medžiagų apykaita / endokrininė sistema</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Nebivololis neturi įtakos cukriniu diabetu sergančių pacientų gliukozės koncentracijai kraujyje. Tačiau cukriniu diabetu sergantiems pacientams vaistinį preparatą reikia skirti atsargiai, nes nebivololis gali užmaskuoti tam tikrus hipoglikemijos simptomus (tachikardiją, širdies virpėjimą). </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Beta adrenoblokatoriai gali užmaskuoti tachikardijos simptomus pacientams, sergantiems hipertiroidizmu. Staigiai nutraukus šio vaistinio preparato vartojimą, simptomai gali sustiprėti. </w:t>
      </w:r>
    </w:p>
    <w:p w:rsidR="00421268" w:rsidRPr="003562B8" w:rsidRDefault="00421268" w:rsidP="00421268">
      <w:pPr>
        <w:rPr>
          <w:szCs w:val="22"/>
        </w:rPr>
      </w:pPr>
    </w:p>
    <w:p w:rsidR="00421268" w:rsidRPr="003562B8" w:rsidRDefault="00421268" w:rsidP="00421268">
      <w:pPr>
        <w:rPr>
          <w:szCs w:val="22"/>
          <w:u w:val="single"/>
        </w:rPr>
      </w:pPr>
      <w:r w:rsidRPr="003562B8">
        <w:rPr>
          <w:szCs w:val="22"/>
          <w:u w:val="single"/>
        </w:rPr>
        <w:t>Kvėpavimo sistema</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Pacientams, sergantiems lėtiniais obstrukciniais plaučių sutrikimais, beta adrenoreceptorių blokatorius reikia vartoti atsargiai, nes gali sustiprėti kvėpavimo takų konstrikcija. </w:t>
      </w:r>
    </w:p>
    <w:p w:rsidR="00421268" w:rsidRPr="003562B8" w:rsidRDefault="00421268" w:rsidP="00421268">
      <w:pPr>
        <w:rPr>
          <w:szCs w:val="22"/>
        </w:rPr>
      </w:pPr>
    </w:p>
    <w:p w:rsidR="00421268" w:rsidRPr="003562B8" w:rsidRDefault="00421268" w:rsidP="00421268">
      <w:pPr>
        <w:rPr>
          <w:szCs w:val="22"/>
          <w:u w:val="single"/>
        </w:rPr>
      </w:pPr>
      <w:r w:rsidRPr="003562B8">
        <w:rPr>
          <w:szCs w:val="22"/>
          <w:u w:val="single"/>
        </w:rPr>
        <w:t>Kiti</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Pacientams, sergantiems žvyneline, beta adrenoreceptorių blokatorius galima skirti tik gerai apsvarsčius. </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Beta adrenoreceptorių blokatoriai gali padidinti jautrumą alergenams ir sustiprinti anafilaksines reakcijas. </w:t>
      </w:r>
    </w:p>
    <w:p w:rsidR="00421268" w:rsidRPr="003562B8" w:rsidRDefault="00421268" w:rsidP="00421268">
      <w:pPr>
        <w:rPr>
          <w:szCs w:val="22"/>
        </w:rPr>
      </w:pPr>
      <w:r w:rsidRPr="003562B8">
        <w:rPr>
          <w:szCs w:val="22"/>
        </w:rPr>
        <w:t>Beta adrenoblokatoriai gali sumažinti ašarų sekreciją.</w:t>
      </w:r>
    </w:p>
    <w:p w:rsidR="00421268" w:rsidRPr="003562B8" w:rsidRDefault="00421268" w:rsidP="00421268">
      <w:pPr>
        <w:rPr>
          <w:szCs w:val="22"/>
        </w:rPr>
      </w:pPr>
    </w:p>
    <w:p w:rsidR="00421268" w:rsidRPr="003562B8" w:rsidRDefault="00421268" w:rsidP="00421268">
      <w:pPr>
        <w:rPr>
          <w:szCs w:val="22"/>
        </w:rPr>
      </w:pPr>
      <w:r w:rsidRPr="003562B8">
        <w:rPr>
          <w:szCs w:val="22"/>
        </w:rPr>
        <w:t>Pradėjus lėtinio širdies nepakankamumo gydymą nebivololiu, būtina reguliariai tikrinti paciento būklę. Dozavimas ir vartojimo metodas aprašyti 4.2 skyriuje. Gydymo negalima nutraukti staigiai, nebent būtų akivaizdžių indikacijų. Išsamiau žr. 4.2 skyrių.</w:t>
      </w:r>
    </w:p>
    <w:p w:rsidR="00421268" w:rsidRPr="003562B8" w:rsidRDefault="00421268" w:rsidP="00421268">
      <w:pPr>
        <w:rPr>
          <w:szCs w:val="22"/>
        </w:rPr>
      </w:pPr>
    </w:p>
    <w:p w:rsidR="00421268" w:rsidRPr="003562B8" w:rsidRDefault="00421268" w:rsidP="00421268">
      <w:pPr>
        <w:rPr>
          <w:szCs w:val="22"/>
        </w:rPr>
      </w:pPr>
      <w:r w:rsidRPr="003562B8">
        <w:rPr>
          <w:szCs w:val="22"/>
        </w:rPr>
        <w:t>Vaistinio preparato sudėtyje yra laktozės. Šio vaistinio preparato negalima vartoti pacientams, kuriems nustatytas retas paveldimas sutrikimas galaktozės netoleravimas, Lapp laktazės stygius arba gliukozės ir galaktozės malabsorbcija.</w:t>
      </w:r>
    </w:p>
    <w:p w:rsidR="00421268" w:rsidRPr="003562B8" w:rsidRDefault="00421268" w:rsidP="00421268">
      <w:pPr>
        <w:rPr>
          <w:szCs w:val="22"/>
        </w:rPr>
      </w:pPr>
    </w:p>
    <w:p w:rsidR="00421268" w:rsidRPr="003562B8" w:rsidRDefault="00421268" w:rsidP="00421268">
      <w:pPr>
        <w:keepNext/>
        <w:keepLines/>
        <w:tabs>
          <w:tab w:val="left" w:pos="567"/>
        </w:tabs>
        <w:ind w:left="567" w:hanging="567"/>
        <w:outlineLvl w:val="2"/>
        <w:rPr>
          <w:b/>
          <w:kern w:val="28"/>
          <w:szCs w:val="22"/>
        </w:rPr>
      </w:pPr>
      <w:bookmarkStart w:id="20" w:name="_Toc129243231"/>
      <w:bookmarkStart w:id="21" w:name="_Toc129243106"/>
      <w:r w:rsidRPr="003562B8">
        <w:rPr>
          <w:b/>
          <w:kern w:val="28"/>
          <w:szCs w:val="22"/>
        </w:rPr>
        <w:t>4.5</w:t>
      </w:r>
      <w:r w:rsidRPr="003562B8">
        <w:rPr>
          <w:b/>
          <w:kern w:val="28"/>
          <w:szCs w:val="22"/>
        </w:rPr>
        <w:tab/>
        <w:t>Sąveika su kitais vaistiniais preparatais ir kitokia sąveika</w:t>
      </w:r>
      <w:bookmarkEnd w:id="20"/>
      <w:bookmarkEnd w:id="21"/>
    </w:p>
    <w:p w:rsidR="00421268" w:rsidRPr="003562B8" w:rsidRDefault="00421268" w:rsidP="00421268">
      <w:pPr>
        <w:rPr>
          <w:szCs w:val="22"/>
        </w:rPr>
      </w:pPr>
    </w:p>
    <w:p w:rsidR="00421268" w:rsidRPr="003562B8" w:rsidRDefault="00421268" w:rsidP="00421268">
      <w:pPr>
        <w:rPr>
          <w:szCs w:val="22"/>
          <w:u w:val="single"/>
        </w:rPr>
      </w:pPr>
      <w:r w:rsidRPr="003562B8">
        <w:rPr>
          <w:szCs w:val="22"/>
          <w:u w:val="single"/>
        </w:rPr>
        <w:t>Farmakodinaminė sąveika</w:t>
      </w:r>
    </w:p>
    <w:p w:rsidR="00421268" w:rsidRPr="003562B8" w:rsidRDefault="00421268" w:rsidP="00421268">
      <w:pPr>
        <w:rPr>
          <w:i/>
          <w:szCs w:val="22"/>
          <w:u w:val="single"/>
        </w:rPr>
      </w:pPr>
    </w:p>
    <w:p w:rsidR="00421268" w:rsidRPr="003562B8" w:rsidRDefault="00421268" w:rsidP="00421268">
      <w:pPr>
        <w:rPr>
          <w:b/>
          <w:i/>
          <w:szCs w:val="22"/>
        </w:rPr>
      </w:pPr>
      <w:r w:rsidRPr="003562B8">
        <w:rPr>
          <w:b/>
          <w:i/>
          <w:szCs w:val="22"/>
        </w:rPr>
        <w:t>Kontraindikuotini deriniai</w:t>
      </w:r>
    </w:p>
    <w:p w:rsidR="00421268" w:rsidRPr="003562B8" w:rsidRDefault="00421268" w:rsidP="00421268">
      <w:pPr>
        <w:rPr>
          <w:i/>
          <w:szCs w:val="22"/>
          <w:u w:val="single"/>
        </w:rPr>
      </w:pPr>
    </w:p>
    <w:p w:rsidR="00421268" w:rsidRPr="003562B8" w:rsidRDefault="00421268" w:rsidP="00421268">
      <w:pPr>
        <w:rPr>
          <w:szCs w:val="22"/>
        </w:rPr>
      </w:pPr>
      <w:r w:rsidRPr="003562B8">
        <w:rPr>
          <w:i/>
          <w:szCs w:val="22"/>
        </w:rPr>
        <w:lastRenderedPageBreak/>
        <w:t xml:space="preserve">Floktafeninas (NPUV): </w:t>
      </w:r>
      <w:r w:rsidRPr="003562B8">
        <w:rPr>
          <w:bCs/>
          <w:szCs w:val="22"/>
        </w:rPr>
        <w:t>beta</w:t>
      </w:r>
      <w:r w:rsidRPr="003562B8">
        <w:rPr>
          <w:szCs w:val="22"/>
        </w:rPr>
        <w:t xml:space="preserve"> adrenoblokatoriai gali slopinti kompensacines širdies ir kraujagyslių sistemos reakcijas, kompensuojančias hipotenziją ar šoką, kuriuos gali sukelti floktafeninas.</w:t>
      </w:r>
    </w:p>
    <w:p w:rsidR="00421268" w:rsidRPr="003562B8" w:rsidRDefault="00421268" w:rsidP="00421268">
      <w:pPr>
        <w:rPr>
          <w:bCs/>
          <w:szCs w:val="22"/>
        </w:rPr>
      </w:pPr>
    </w:p>
    <w:p w:rsidR="00421268" w:rsidRPr="003562B8" w:rsidRDefault="00421268" w:rsidP="00421268">
      <w:pPr>
        <w:rPr>
          <w:szCs w:val="22"/>
        </w:rPr>
      </w:pPr>
      <w:r w:rsidRPr="003562B8">
        <w:rPr>
          <w:bCs/>
          <w:i/>
          <w:szCs w:val="22"/>
        </w:rPr>
        <w:t>Sultopridas (antipsichozinis vaistas)</w:t>
      </w:r>
      <w:r w:rsidRPr="003562B8">
        <w:rPr>
          <w:i/>
          <w:szCs w:val="22"/>
        </w:rPr>
        <w:t xml:space="preserve">: </w:t>
      </w:r>
      <w:r w:rsidRPr="003562B8">
        <w:rPr>
          <w:szCs w:val="22"/>
        </w:rPr>
        <w:t>nebivololio negalima skirti kartu su sultopridu, nes padidėja skilvelinės aritmijos rizika.</w:t>
      </w:r>
    </w:p>
    <w:p w:rsidR="00421268" w:rsidRPr="003562B8" w:rsidRDefault="00421268" w:rsidP="00421268">
      <w:pPr>
        <w:rPr>
          <w:szCs w:val="22"/>
          <w:u w:val="single"/>
        </w:rPr>
      </w:pPr>
    </w:p>
    <w:p w:rsidR="00421268" w:rsidRPr="003562B8" w:rsidRDefault="00421268" w:rsidP="00421268">
      <w:pPr>
        <w:rPr>
          <w:b/>
          <w:i/>
          <w:szCs w:val="22"/>
        </w:rPr>
      </w:pPr>
      <w:r w:rsidRPr="003562B8">
        <w:rPr>
          <w:b/>
          <w:i/>
          <w:szCs w:val="22"/>
        </w:rPr>
        <w:t>Nerekomenduotini deriniai</w:t>
      </w:r>
    </w:p>
    <w:p w:rsidR="00421268" w:rsidRPr="003562B8" w:rsidRDefault="00421268" w:rsidP="00421268">
      <w:pPr>
        <w:rPr>
          <w:b/>
          <w:i/>
          <w:szCs w:val="22"/>
        </w:rPr>
      </w:pPr>
    </w:p>
    <w:p w:rsidR="00421268" w:rsidRPr="003562B8" w:rsidRDefault="00421268" w:rsidP="00421268">
      <w:pPr>
        <w:rPr>
          <w:szCs w:val="22"/>
        </w:rPr>
      </w:pPr>
      <w:r w:rsidRPr="003562B8">
        <w:rPr>
          <w:i/>
          <w:szCs w:val="22"/>
        </w:rPr>
        <w:t>I klasės antiaritminiai vaistiniai preparatai (chinidinas, hidrochinidinas, cibenzolinas, flekainidas, dizopiramidas, lidokainas, meksiletinas, propafenonas)</w:t>
      </w:r>
      <w:r w:rsidRPr="003562B8">
        <w:rPr>
          <w:szCs w:val="22"/>
        </w:rPr>
        <w:t xml:space="preserve">: gali sustiprėti poveikis atrioventrikulinio laidumo trukmei ir neigiamas poveikis širdies inotropijai (žr. 4.4 skyrių). </w:t>
      </w:r>
    </w:p>
    <w:p w:rsidR="00421268" w:rsidRPr="003562B8" w:rsidRDefault="00421268" w:rsidP="00421268">
      <w:pPr>
        <w:rPr>
          <w:szCs w:val="22"/>
        </w:rPr>
      </w:pPr>
    </w:p>
    <w:p w:rsidR="00421268" w:rsidRPr="003562B8" w:rsidRDefault="00421268" w:rsidP="00421268">
      <w:pPr>
        <w:rPr>
          <w:szCs w:val="22"/>
        </w:rPr>
      </w:pPr>
      <w:r w:rsidRPr="003562B8">
        <w:rPr>
          <w:i/>
          <w:szCs w:val="22"/>
        </w:rPr>
        <w:t>Verapamilio / diltiazemo tipo kalcio kanalų blokatoriai</w:t>
      </w:r>
      <w:r w:rsidRPr="003562B8">
        <w:rPr>
          <w:szCs w:val="22"/>
        </w:rPr>
        <w:t xml:space="preserve">: neigiamas poveikis kontraktiliškumui ir atrioventrikuliniam laidumui. Paskyrus intraveninio verapamilio pacientams, kurie vartoja beta adrenoblokatorius, gali išsivystyti sunki hipotenzija ir atrioventrikulinė blokada (žr. 4.4 skyrių). </w:t>
      </w:r>
    </w:p>
    <w:p w:rsidR="00421268" w:rsidRPr="003562B8" w:rsidRDefault="00421268" w:rsidP="00421268">
      <w:pPr>
        <w:rPr>
          <w:szCs w:val="22"/>
        </w:rPr>
      </w:pPr>
    </w:p>
    <w:p w:rsidR="00421268" w:rsidRPr="003562B8" w:rsidRDefault="00421268" w:rsidP="00421268">
      <w:pPr>
        <w:rPr>
          <w:szCs w:val="22"/>
        </w:rPr>
      </w:pPr>
      <w:r w:rsidRPr="003562B8">
        <w:rPr>
          <w:i/>
          <w:szCs w:val="22"/>
        </w:rPr>
        <w:t>Centrinio veikimo antihipertenziniai vaistiniai preparatai (klonidinas, guanfacinas, moksonidinas, metildopa, rilmenidinas)</w:t>
      </w:r>
      <w:r w:rsidRPr="003562B8">
        <w:rPr>
          <w:szCs w:val="22"/>
        </w:rPr>
        <w:t xml:space="preserve">: kartu vartojant centrinio veikimo antihipertenzinius vaistinius preparatus gali sustiprėti širdies nepakankamumas, nes šie vaistiniai preparatai mažina centrinės simpatinės nervų sistemos tonusą (mažina širdies susitraukimų dažnį ir širdies išmetimo frakciją, sukelia vazodilataciją) (žr. 4.4 skyrių). Staiga nustojus vartoti šiuos vaistinius preparatus, ypač prieš nustojant vartoti beta adrenoblokatorius, gali padidėti „atoveiksmio hipertenzijos“ rizika. </w:t>
      </w:r>
    </w:p>
    <w:p w:rsidR="00421268" w:rsidRPr="003562B8" w:rsidRDefault="00421268" w:rsidP="00421268">
      <w:pPr>
        <w:rPr>
          <w:szCs w:val="22"/>
        </w:rPr>
      </w:pPr>
    </w:p>
    <w:p w:rsidR="00421268" w:rsidRPr="003562B8" w:rsidRDefault="00421268" w:rsidP="00421268">
      <w:pPr>
        <w:rPr>
          <w:b/>
          <w:i/>
          <w:szCs w:val="22"/>
        </w:rPr>
      </w:pPr>
      <w:r w:rsidRPr="003562B8">
        <w:rPr>
          <w:b/>
          <w:i/>
          <w:szCs w:val="22"/>
        </w:rPr>
        <w:t>Deriniai, kuriuos reikia vartoti atsargiai</w:t>
      </w:r>
    </w:p>
    <w:p w:rsidR="00421268" w:rsidRPr="003562B8" w:rsidRDefault="00421268" w:rsidP="00421268">
      <w:pPr>
        <w:rPr>
          <w:i/>
          <w:szCs w:val="22"/>
        </w:rPr>
      </w:pPr>
    </w:p>
    <w:p w:rsidR="00421268" w:rsidRPr="003562B8" w:rsidRDefault="00421268" w:rsidP="00421268">
      <w:pPr>
        <w:rPr>
          <w:szCs w:val="22"/>
        </w:rPr>
      </w:pPr>
      <w:r w:rsidRPr="003562B8">
        <w:rPr>
          <w:i/>
          <w:szCs w:val="22"/>
        </w:rPr>
        <w:t>III klasės antiaritminiai vaistiniai preparatai (amjodoronas)</w:t>
      </w:r>
      <w:r w:rsidRPr="003562B8">
        <w:rPr>
          <w:szCs w:val="22"/>
        </w:rPr>
        <w:t xml:space="preserve">: gali sustiprėti poveikis atrioventrikulinio laidumo trukmei. </w:t>
      </w:r>
    </w:p>
    <w:p w:rsidR="00421268" w:rsidRPr="003562B8" w:rsidRDefault="00421268" w:rsidP="00421268">
      <w:pPr>
        <w:rPr>
          <w:szCs w:val="22"/>
        </w:rPr>
      </w:pPr>
    </w:p>
    <w:p w:rsidR="00421268" w:rsidRPr="003562B8" w:rsidRDefault="00421268" w:rsidP="00421268">
      <w:pPr>
        <w:rPr>
          <w:szCs w:val="22"/>
        </w:rPr>
      </w:pPr>
      <w:r w:rsidRPr="003562B8">
        <w:rPr>
          <w:i/>
          <w:szCs w:val="22"/>
        </w:rPr>
        <w:t>Anestetikai – lakūs halogenizuoti</w:t>
      </w:r>
      <w:r w:rsidRPr="003562B8">
        <w:rPr>
          <w:szCs w:val="22"/>
        </w:rPr>
        <w:t xml:space="preserve">: vartojant beta adrenoreceptorių blokatorius kartu su anestetikais gali susilpnėti refleksinė tachikardija ir padidėti hipotenzijos rizika (žr. 4.4 skyrių). Apskritai, venkite staigiai nutraukti beta adrenoblokatorių vartojimą. Jei pacientas vartoja Nebivolol Orion, reikia informuoti anesteziologą. </w:t>
      </w:r>
    </w:p>
    <w:p w:rsidR="00421268" w:rsidRPr="003562B8" w:rsidRDefault="00421268" w:rsidP="00421268">
      <w:pPr>
        <w:rPr>
          <w:szCs w:val="22"/>
        </w:rPr>
      </w:pPr>
    </w:p>
    <w:p w:rsidR="00421268" w:rsidRPr="003562B8" w:rsidRDefault="00421268" w:rsidP="00421268">
      <w:pPr>
        <w:rPr>
          <w:szCs w:val="22"/>
        </w:rPr>
      </w:pPr>
      <w:r w:rsidRPr="003562B8">
        <w:rPr>
          <w:i/>
          <w:szCs w:val="22"/>
        </w:rPr>
        <w:t>Insulinas ir geriamieji antidiabetiniai vaistiniai preparatai</w:t>
      </w:r>
      <w:r w:rsidRPr="003562B8">
        <w:rPr>
          <w:szCs w:val="22"/>
        </w:rPr>
        <w:t xml:space="preserve">: nors nebivololis neturi įtakos gliukozės koncentracijai kraujyje, vartojant šiuos vaistinius preparatus kartu, gali būti maskuojami tam tikri hipoglikemijos simptomai (širdies plakimo pojūtis, tachikardija). </w:t>
      </w:r>
    </w:p>
    <w:p w:rsidR="00421268" w:rsidRPr="003562B8" w:rsidRDefault="00421268" w:rsidP="00421268">
      <w:pPr>
        <w:rPr>
          <w:szCs w:val="22"/>
        </w:rPr>
      </w:pPr>
    </w:p>
    <w:p w:rsidR="00421268" w:rsidRPr="003562B8" w:rsidRDefault="00421268" w:rsidP="00421268">
      <w:pPr>
        <w:rPr>
          <w:szCs w:val="22"/>
        </w:rPr>
      </w:pPr>
      <w:r w:rsidRPr="003562B8">
        <w:rPr>
          <w:i/>
          <w:szCs w:val="22"/>
        </w:rPr>
        <w:t>Baklofenas (antispazminis vaistinis preparatas), amifostinas (priešnavikinis pagalbinis vaistinis preparatas):</w:t>
      </w:r>
      <w:r w:rsidRPr="003562B8">
        <w:rPr>
          <w:szCs w:val="22"/>
        </w:rPr>
        <w:t xml:space="preserve"> tikėtina, kad vartojant kartu su antihipertenziniais vaistiniais preparatais, šie vaistiniai preparatai gali dar labiau sumažinti kraujospūdį, todėl antihipertenzinio vaistinio preparato dozę reikia atitinkamai koreguoti.</w:t>
      </w:r>
    </w:p>
    <w:p w:rsidR="00421268" w:rsidRPr="003562B8" w:rsidRDefault="00421268" w:rsidP="00421268">
      <w:pPr>
        <w:rPr>
          <w:szCs w:val="22"/>
        </w:rPr>
      </w:pPr>
    </w:p>
    <w:p w:rsidR="00421268" w:rsidRPr="003562B8" w:rsidRDefault="00421268" w:rsidP="00421268">
      <w:pPr>
        <w:rPr>
          <w:szCs w:val="22"/>
        </w:rPr>
      </w:pPr>
      <w:r w:rsidRPr="003562B8">
        <w:rPr>
          <w:i/>
          <w:szCs w:val="22"/>
        </w:rPr>
        <w:t>Meflokvinas (antimaliarinis vaistinis preparatas):</w:t>
      </w:r>
      <w:r w:rsidRPr="003562B8">
        <w:rPr>
          <w:szCs w:val="22"/>
        </w:rPr>
        <w:t xml:space="preserve"> teoriškai, vartojant šį vaistinį preparatą kartu su beta adrenoblokatoriais, gali prailgėti QTc intervalas.</w:t>
      </w:r>
    </w:p>
    <w:p w:rsidR="00421268" w:rsidRPr="003562B8" w:rsidRDefault="00421268" w:rsidP="00421268">
      <w:pPr>
        <w:rPr>
          <w:szCs w:val="22"/>
        </w:rPr>
      </w:pPr>
    </w:p>
    <w:p w:rsidR="00421268" w:rsidRPr="003562B8" w:rsidRDefault="00421268" w:rsidP="00421268">
      <w:pPr>
        <w:rPr>
          <w:b/>
          <w:i/>
          <w:szCs w:val="22"/>
        </w:rPr>
      </w:pPr>
      <w:r w:rsidRPr="003562B8">
        <w:rPr>
          <w:b/>
          <w:i/>
          <w:szCs w:val="22"/>
        </w:rPr>
        <w:t>Svarstytini deriniai</w:t>
      </w:r>
    </w:p>
    <w:p w:rsidR="00421268" w:rsidRPr="003562B8" w:rsidRDefault="00421268" w:rsidP="00421268">
      <w:pPr>
        <w:rPr>
          <w:i/>
          <w:szCs w:val="22"/>
        </w:rPr>
      </w:pPr>
    </w:p>
    <w:p w:rsidR="00421268" w:rsidRPr="003562B8" w:rsidRDefault="00421268" w:rsidP="00421268">
      <w:pPr>
        <w:rPr>
          <w:szCs w:val="22"/>
        </w:rPr>
      </w:pPr>
      <w:r w:rsidRPr="003562B8">
        <w:rPr>
          <w:i/>
          <w:szCs w:val="22"/>
        </w:rPr>
        <w:t>Širdį veikiantys glikozidai</w:t>
      </w:r>
      <w:r w:rsidRPr="003562B8">
        <w:rPr>
          <w:szCs w:val="22"/>
        </w:rPr>
        <w:t xml:space="preserve">: vartojant kartu, gali prailgėti atrioventrikulinio laidumo trukmė. Klinikiniai nebivololio tyrimai nepateikė jokių klinikinių sąveikos įrodymų. Nebivololis neturi įtakos digoksino kinetikai. </w:t>
      </w:r>
    </w:p>
    <w:p w:rsidR="00421268" w:rsidRPr="003562B8" w:rsidRDefault="00421268" w:rsidP="00421268">
      <w:pPr>
        <w:rPr>
          <w:szCs w:val="22"/>
        </w:rPr>
      </w:pPr>
    </w:p>
    <w:p w:rsidR="00421268" w:rsidRPr="003562B8" w:rsidRDefault="00421268" w:rsidP="00421268">
      <w:pPr>
        <w:rPr>
          <w:szCs w:val="22"/>
        </w:rPr>
      </w:pPr>
      <w:r w:rsidRPr="003562B8">
        <w:rPr>
          <w:i/>
          <w:szCs w:val="22"/>
        </w:rPr>
        <w:t>Dihidropiridino tipo kalcio kanalų blokatoriai (amlodipinas, felodipinas, lacidipinas, nifedipinas, nikardipinas, nimodipinas, nitrendipinas)</w:t>
      </w:r>
      <w:r w:rsidRPr="003562B8">
        <w:rPr>
          <w:szCs w:val="22"/>
        </w:rPr>
        <w:t xml:space="preserve">: vartojant kartu, gali padidėti hipotenzijos rizika, o pacientams, kuriems negalima atmesti širdies nepakankamumo, gali padidėti tolesnio skilvelio sugebėjimo pumpuoti silpnėjimo rizika. </w:t>
      </w:r>
    </w:p>
    <w:p w:rsidR="00421268" w:rsidRPr="003562B8" w:rsidRDefault="00421268" w:rsidP="00421268">
      <w:pPr>
        <w:rPr>
          <w:szCs w:val="22"/>
        </w:rPr>
      </w:pPr>
    </w:p>
    <w:p w:rsidR="00421268" w:rsidRPr="003562B8" w:rsidRDefault="00421268" w:rsidP="00421268">
      <w:pPr>
        <w:rPr>
          <w:szCs w:val="22"/>
        </w:rPr>
      </w:pPr>
      <w:r w:rsidRPr="003562B8">
        <w:rPr>
          <w:i/>
          <w:szCs w:val="22"/>
        </w:rPr>
        <w:lastRenderedPageBreak/>
        <w:t>Antipsichoziniai vaistiniai preparatai, antidepresantai (tricikliai antidepresantai, barbitūratai ir fenotiazinai), organiniai nitratai ir kiti antihipertenziniai vaistiniai preparatai:</w:t>
      </w:r>
      <w:r w:rsidRPr="003562B8">
        <w:rPr>
          <w:szCs w:val="22"/>
        </w:rPr>
        <w:t xml:space="preserve"> vartojant kartu, gali sustiprėti hipotenzinis beta adrenoblokatorių poveikis (adityvinis poveikis). </w:t>
      </w:r>
    </w:p>
    <w:p w:rsidR="00421268" w:rsidRPr="003562B8" w:rsidRDefault="00421268" w:rsidP="00421268">
      <w:pPr>
        <w:rPr>
          <w:szCs w:val="22"/>
        </w:rPr>
      </w:pPr>
    </w:p>
    <w:p w:rsidR="00421268" w:rsidRPr="003562B8" w:rsidRDefault="00421268" w:rsidP="00421268">
      <w:pPr>
        <w:rPr>
          <w:szCs w:val="22"/>
        </w:rPr>
      </w:pPr>
      <w:r w:rsidRPr="003562B8">
        <w:rPr>
          <w:i/>
          <w:szCs w:val="22"/>
        </w:rPr>
        <w:t>Nesteroidiniai vaistai nuo uždegimo (NVNU)</w:t>
      </w:r>
      <w:r w:rsidRPr="003562B8">
        <w:rPr>
          <w:szCs w:val="22"/>
        </w:rPr>
        <w:t>: neturi įtakos kraujospūdį mažinančiam nebivololio poveikiui. Įsidėmėkite, kad mažos kasdienės, antitrombozinį poveikį turinčios, acetilsalicilo rūgšties dozės (pvz., 50 mg ar 100 mg) nekelia pavojaus vartojant jas kartu su Nebivolol Orion.</w:t>
      </w:r>
    </w:p>
    <w:p w:rsidR="00421268" w:rsidRPr="003562B8" w:rsidRDefault="00421268" w:rsidP="00421268">
      <w:pPr>
        <w:rPr>
          <w:szCs w:val="22"/>
        </w:rPr>
      </w:pPr>
    </w:p>
    <w:p w:rsidR="00421268" w:rsidRPr="003562B8" w:rsidRDefault="00421268" w:rsidP="00421268">
      <w:pPr>
        <w:rPr>
          <w:szCs w:val="22"/>
        </w:rPr>
      </w:pPr>
      <w:r w:rsidRPr="003562B8">
        <w:rPr>
          <w:i/>
          <w:szCs w:val="22"/>
        </w:rPr>
        <w:t>Simpatomimetiniai vaistiniai preparatai</w:t>
      </w:r>
      <w:r w:rsidRPr="003562B8">
        <w:rPr>
          <w:szCs w:val="22"/>
        </w:rPr>
        <w:t xml:space="preserve">: vartojant kartu, šie vaistiniai preparatai gali neutralizuoti beta adrenoreceptorių anatagonistų poveikį. Beta adrenerginiai vaistiniai preparatai gali sukelti neribotą simpatomimetinių vaistinių preparatų alfa adrenerginį aktyvumą, kuris pasireikš tiek alfa, tiek beta adrenerginiu veikimu (hipertenzijos, sunkios bradikardijos ir širdies blokados rizika). </w:t>
      </w:r>
    </w:p>
    <w:p w:rsidR="00421268" w:rsidRPr="003562B8" w:rsidRDefault="00421268" w:rsidP="00421268">
      <w:pPr>
        <w:rPr>
          <w:szCs w:val="22"/>
        </w:rPr>
      </w:pPr>
    </w:p>
    <w:p w:rsidR="00421268" w:rsidRPr="003562B8" w:rsidRDefault="00421268" w:rsidP="00421268">
      <w:pPr>
        <w:rPr>
          <w:szCs w:val="22"/>
          <w:u w:val="single"/>
        </w:rPr>
      </w:pPr>
      <w:r w:rsidRPr="003562B8">
        <w:rPr>
          <w:szCs w:val="22"/>
          <w:u w:val="single"/>
        </w:rPr>
        <w:t>Farmakokinetinė sąveika</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Nebivololio metabolizme dalyvauja CYP2D6 izofermentas, todėl kartu paskyrus šį fermentą slopinančių vaistinių preparatų, ypač paroksetino, fluoksetino, tioridazino, chinidino, terbinafino, bupropiono, chlorokvino ir levomepromazino, gali padidėti nebivololio koncentracija plazmoje ir pernelyg didelės bradikardijos bei nepageidaujamų reakcijų rizika. </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Kartu paskirtas cimetidinas didina nebivololio koncentraciją plazmoje, tačiau nekeičia klinikinio poveikio. Kartu paskyrus ranitidino, nebivololio farmakokinetika nekinta. Šių vaistinių preparatų galima išrašyti su sąlyga, kad Nebivolol Orion bus išgeriamas valgio metu, o antacidinis vaistinis preparatas – tarp valgių. </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Derinant nebivololį su nikardipinu, šiek tiek padidėja abiejų vaistinių preparatų koncentracija plazmoje, tačiau tai nekeičia klinikinio poveikio. Kartu paskyrus alkoholio, furozemido ar hidrochlortiazido, nebivololio farmakokinetika nekinta. Nebivololis neveikia varfarino farmakokinetikos ir farmakodinamikos. </w:t>
      </w:r>
    </w:p>
    <w:p w:rsidR="00421268" w:rsidRPr="003562B8" w:rsidRDefault="00421268" w:rsidP="00421268">
      <w:pPr>
        <w:rPr>
          <w:szCs w:val="22"/>
        </w:rPr>
      </w:pPr>
    </w:p>
    <w:p w:rsidR="00421268" w:rsidRPr="003562B8" w:rsidRDefault="00421268" w:rsidP="00421268">
      <w:pPr>
        <w:keepNext/>
        <w:keepLines/>
        <w:tabs>
          <w:tab w:val="left" w:pos="567"/>
        </w:tabs>
        <w:ind w:left="567" w:hanging="567"/>
        <w:outlineLvl w:val="2"/>
        <w:rPr>
          <w:b/>
          <w:kern w:val="28"/>
          <w:szCs w:val="22"/>
        </w:rPr>
      </w:pPr>
      <w:bookmarkStart w:id="22" w:name="_Toc129243232"/>
      <w:bookmarkStart w:id="23" w:name="_Toc129243107"/>
      <w:r w:rsidRPr="003562B8">
        <w:rPr>
          <w:b/>
          <w:kern w:val="28"/>
          <w:szCs w:val="22"/>
        </w:rPr>
        <w:t>4.6</w:t>
      </w:r>
      <w:r w:rsidRPr="003562B8">
        <w:rPr>
          <w:b/>
          <w:kern w:val="28"/>
          <w:szCs w:val="22"/>
        </w:rPr>
        <w:tab/>
        <w:t>Vaisingumas, nėštumo ir žindymo laikotarpis</w:t>
      </w:r>
      <w:bookmarkEnd w:id="22"/>
      <w:bookmarkEnd w:id="23"/>
    </w:p>
    <w:p w:rsidR="00421268" w:rsidRPr="003562B8" w:rsidRDefault="00421268" w:rsidP="00421268">
      <w:pPr>
        <w:rPr>
          <w:szCs w:val="22"/>
        </w:rPr>
      </w:pPr>
    </w:p>
    <w:p w:rsidR="00421268" w:rsidRPr="003562B8" w:rsidRDefault="00421268" w:rsidP="00421268">
      <w:pPr>
        <w:rPr>
          <w:szCs w:val="22"/>
          <w:u w:val="single"/>
        </w:rPr>
      </w:pPr>
      <w:r w:rsidRPr="003562B8">
        <w:rPr>
          <w:szCs w:val="22"/>
          <w:u w:val="single"/>
        </w:rPr>
        <w:t>Nėštumas</w:t>
      </w:r>
    </w:p>
    <w:p w:rsidR="00421268" w:rsidRPr="003562B8" w:rsidRDefault="00421268" w:rsidP="00421268">
      <w:pPr>
        <w:rPr>
          <w:szCs w:val="22"/>
        </w:rPr>
      </w:pPr>
    </w:p>
    <w:p w:rsidR="00421268" w:rsidRPr="003562B8" w:rsidRDefault="00421268" w:rsidP="00421268">
      <w:pPr>
        <w:rPr>
          <w:szCs w:val="22"/>
        </w:rPr>
      </w:pPr>
      <w:r w:rsidRPr="003562B8">
        <w:rPr>
          <w:szCs w:val="22"/>
        </w:rPr>
        <w:t>Nebivololis turi medikamentinių poveikių, kurie gali pakenkti nėštumo laikotarpiu ir/ar vaisiui/naujagimiui. Apskritai, beta adrenoreceptorių blokatoriai mažina placentos perfuziją; sumažėjusi placentos perfuzija yra susijusi su vystymosi atsilikimu, intrauterinine mirtimi, nėštumo nutrūkimu arba priešlaikiniu gimdymu. Nepageidaujami poveikiai (pvz., hipoglikemija ir bradikardija) gali pasireikšti vaisiui ir naujagimiui. Jei beta adrenoreceptorių blokatorius vartoti būtina, geriau rinktis beta-1 selektyvius adrenoreceptorių blokatorius.</w:t>
      </w:r>
    </w:p>
    <w:p w:rsidR="00421268" w:rsidRPr="003562B8" w:rsidRDefault="00421268" w:rsidP="00421268">
      <w:pPr>
        <w:rPr>
          <w:szCs w:val="22"/>
        </w:rPr>
      </w:pPr>
      <w:r w:rsidRPr="003562B8">
        <w:rPr>
          <w:szCs w:val="22"/>
        </w:rPr>
        <w:t>Nebivololio negalima vartoti nėštumo laikotarpiu, nebent jis yra būtinas. Jei manoma, kad gydymas nebivololiu yra būtinas, reikia reguliariai tikrinti gimdos ir placentos kraujotaką ir vaisiaus vystymąsi. Jei vaistinis preparatas kenkia nėštumo eigai ar vaisiui, reikia apsvarstyti alternatyvius gydymo metodus. Būtina atidžiai stebėti naujagimio būklę. Hipoglikemijos ir bradikardijos simptomai paprastai pasireiškia per pirmas 3 dienas.</w:t>
      </w:r>
    </w:p>
    <w:p w:rsidR="00421268" w:rsidRPr="003562B8" w:rsidRDefault="00421268" w:rsidP="00421268">
      <w:pPr>
        <w:rPr>
          <w:szCs w:val="22"/>
        </w:rPr>
      </w:pPr>
    </w:p>
    <w:p w:rsidR="00421268" w:rsidRPr="003562B8" w:rsidRDefault="00421268" w:rsidP="00421268">
      <w:pPr>
        <w:rPr>
          <w:szCs w:val="22"/>
          <w:u w:val="single"/>
        </w:rPr>
      </w:pPr>
      <w:r w:rsidRPr="003562B8">
        <w:rPr>
          <w:szCs w:val="22"/>
          <w:u w:val="single"/>
        </w:rPr>
        <w:t>Žindymas</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Gyvūnų tyrimai parodė, kad nebivololis išsiskiria su motinos pienu. Nežinoma, ar šis vaistinis preparatas išsiskiria su žmogaus pienu. Dauguma beta adrenoblokatorių, ypač tokie lipofiliški junginiai kaip nebivololis ir jo aktyvūs metabolitai, patenka į motinos pieną, tačiau skirtingais kiekiais. Todėl, vartojant nebivololį, žindyti nerekomenduojama. </w:t>
      </w:r>
    </w:p>
    <w:p w:rsidR="00421268" w:rsidRPr="003562B8" w:rsidRDefault="00421268" w:rsidP="00421268">
      <w:pPr>
        <w:rPr>
          <w:szCs w:val="22"/>
        </w:rPr>
      </w:pPr>
    </w:p>
    <w:p w:rsidR="00421268" w:rsidRPr="003562B8" w:rsidRDefault="00421268" w:rsidP="00421268">
      <w:pPr>
        <w:keepNext/>
        <w:keepLines/>
        <w:tabs>
          <w:tab w:val="left" w:pos="567"/>
        </w:tabs>
        <w:ind w:left="567" w:hanging="567"/>
        <w:outlineLvl w:val="2"/>
        <w:rPr>
          <w:b/>
          <w:kern w:val="28"/>
          <w:szCs w:val="22"/>
        </w:rPr>
      </w:pPr>
      <w:bookmarkStart w:id="24" w:name="_Toc129243233"/>
      <w:bookmarkStart w:id="25" w:name="_Toc129243108"/>
      <w:r w:rsidRPr="003562B8">
        <w:rPr>
          <w:b/>
          <w:kern w:val="28"/>
          <w:szCs w:val="22"/>
        </w:rPr>
        <w:t>4.7</w:t>
      </w:r>
      <w:r w:rsidRPr="003562B8">
        <w:rPr>
          <w:b/>
          <w:kern w:val="28"/>
          <w:szCs w:val="22"/>
        </w:rPr>
        <w:tab/>
        <w:t>Poveikis gebėjimui vairuoti ir valdyti mechanizmus</w:t>
      </w:r>
      <w:bookmarkEnd w:id="24"/>
      <w:bookmarkEnd w:id="25"/>
    </w:p>
    <w:p w:rsidR="00421268" w:rsidRPr="003562B8" w:rsidRDefault="00421268" w:rsidP="00421268">
      <w:pPr>
        <w:rPr>
          <w:szCs w:val="22"/>
        </w:rPr>
      </w:pPr>
    </w:p>
    <w:p w:rsidR="00421268" w:rsidRPr="003562B8" w:rsidRDefault="00421268" w:rsidP="00421268">
      <w:pPr>
        <w:rPr>
          <w:szCs w:val="22"/>
        </w:rPr>
      </w:pPr>
      <w:r w:rsidRPr="003562B8">
        <w:rPr>
          <w:szCs w:val="22"/>
        </w:rPr>
        <w:t xml:space="preserve">Poveikio gebėjimui vairuoti ir valdyti mechanizmus tyrimų neatlikta. Farmakodinaminiai tyrimai parodė, kad 5 mg nebivololio neveikia psichomotorinės funkcijos. Kai kuriems pacientams gali </w:t>
      </w:r>
      <w:r w:rsidRPr="003562B8">
        <w:rPr>
          <w:szCs w:val="22"/>
        </w:rPr>
        <w:lastRenderedPageBreak/>
        <w:t xml:space="preserve">pasireikšti nepageidaujami poveikiai (žr. 4.8 skyrių), kuriuos paprastai sukelia kraujospūdžio sumažėjimas, pvz., svaigulys, nuovargis ar alpimas. Jei jie pasireiškė, pacientui reikia susilaikyti nuo vairavimo ar kitų veiklų, reikalaujančių budrumo. Labiau tikėtina, kad šie poveikiai pasireikš pradėjus gydymą ar padidinus dozę. </w:t>
      </w:r>
    </w:p>
    <w:p w:rsidR="00421268" w:rsidRPr="003562B8" w:rsidRDefault="00421268" w:rsidP="00421268">
      <w:pPr>
        <w:rPr>
          <w:szCs w:val="22"/>
        </w:rPr>
      </w:pPr>
    </w:p>
    <w:p w:rsidR="00421268" w:rsidRPr="003562B8" w:rsidRDefault="00421268" w:rsidP="00421268">
      <w:pPr>
        <w:keepNext/>
        <w:keepLines/>
        <w:tabs>
          <w:tab w:val="left" w:pos="567"/>
        </w:tabs>
        <w:ind w:left="567" w:hanging="567"/>
        <w:outlineLvl w:val="2"/>
        <w:rPr>
          <w:b/>
          <w:kern w:val="28"/>
          <w:szCs w:val="22"/>
        </w:rPr>
      </w:pPr>
      <w:bookmarkStart w:id="26" w:name="_Toc129243234"/>
      <w:bookmarkStart w:id="27" w:name="_Toc129243109"/>
      <w:r w:rsidRPr="003562B8">
        <w:rPr>
          <w:b/>
          <w:kern w:val="28"/>
          <w:szCs w:val="22"/>
        </w:rPr>
        <w:t>4.8</w:t>
      </w:r>
      <w:r w:rsidRPr="003562B8">
        <w:rPr>
          <w:b/>
          <w:kern w:val="28"/>
          <w:szCs w:val="22"/>
        </w:rPr>
        <w:tab/>
        <w:t>Nepageidaujamas poveikis</w:t>
      </w:r>
      <w:bookmarkEnd w:id="26"/>
      <w:bookmarkEnd w:id="27"/>
    </w:p>
    <w:p w:rsidR="00421268" w:rsidRPr="003562B8" w:rsidRDefault="00421268" w:rsidP="00421268">
      <w:pPr>
        <w:rPr>
          <w:szCs w:val="22"/>
        </w:rPr>
      </w:pPr>
    </w:p>
    <w:p w:rsidR="00421268" w:rsidRPr="003562B8" w:rsidRDefault="00421268" w:rsidP="00421268">
      <w:pPr>
        <w:rPr>
          <w:szCs w:val="22"/>
        </w:rPr>
      </w:pPr>
      <w:r w:rsidRPr="003562B8">
        <w:rPr>
          <w:szCs w:val="22"/>
        </w:rPr>
        <w:t>Hipertenzija ir LŠN yra skirtingos kilmės ligos, todėl nepageidaujami poveikiai, sergant šiomis ligomis, išvardyti atskirai.</w:t>
      </w:r>
    </w:p>
    <w:p w:rsidR="00421268" w:rsidRPr="003562B8" w:rsidRDefault="00421268" w:rsidP="00421268">
      <w:pPr>
        <w:rPr>
          <w:szCs w:val="22"/>
        </w:rPr>
      </w:pPr>
    </w:p>
    <w:p w:rsidR="00421268" w:rsidRPr="003562B8" w:rsidRDefault="00421268" w:rsidP="00421268">
      <w:pPr>
        <w:rPr>
          <w:szCs w:val="22"/>
          <w:u w:val="single"/>
        </w:rPr>
      </w:pPr>
      <w:r w:rsidRPr="003562B8">
        <w:rPr>
          <w:szCs w:val="22"/>
          <w:u w:val="single"/>
        </w:rPr>
        <w:t>Hipertenzija</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Toliau pateiktoje lentelėje nepageidaujami poveikiai, apie kuriuos buvo pranešta, suklasifikuoti pagal organų sistemos klases ir dažnį: </w:t>
      </w:r>
    </w:p>
    <w:p w:rsidR="00421268" w:rsidRPr="003562B8" w:rsidRDefault="00421268" w:rsidP="00421268">
      <w:pPr>
        <w:rPr>
          <w:szCs w:val="22"/>
        </w:rPr>
      </w:pPr>
    </w:p>
    <w:p w:rsidR="00421268" w:rsidRPr="003562B8" w:rsidRDefault="00421268" w:rsidP="00421268">
      <w:pPr>
        <w:rPr>
          <w:szCs w:val="22"/>
        </w:rPr>
      </w:pPr>
    </w:p>
    <w:tbl>
      <w:tblPr>
        <w:tblW w:w="0" w:type="auto"/>
        <w:tblInd w:w="-15" w:type="dxa"/>
        <w:tblLayout w:type="fixed"/>
        <w:tblCellMar>
          <w:left w:w="0" w:type="dxa"/>
          <w:right w:w="0" w:type="dxa"/>
        </w:tblCellMar>
        <w:tblLook w:val="04A0" w:firstRow="1" w:lastRow="0" w:firstColumn="1" w:lastColumn="0" w:noHBand="0" w:noVBand="1"/>
      </w:tblPr>
      <w:tblGrid>
        <w:gridCol w:w="2093"/>
        <w:gridCol w:w="1890"/>
        <w:gridCol w:w="2245"/>
        <w:gridCol w:w="1447"/>
        <w:gridCol w:w="1559"/>
      </w:tblGrid>
      <w:tr w:rsidR="00421268" w:rsidRPr="003562B8" w:rsidTr="00FA7D0E">
        <w:tc>
          <w:tcPr>
            <w:tcW w:w="2093"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b/>
                <w:szCs w:val="22"/>
                <w:lang w:eastAsia="ar-SA"/>
              </w:rPr>
            </w:pPr>
            <w:r w:rsidRPr="003562B8">
              <w:rPr>
                <w:b/>
                <w:szCs w:val="22"/>
                <w:lang w:eastAsia="ar-SA"/>
              </w:rPr>
              <w:t>Organų sistemos klasė</w:t>
            </w:r>
          </w:p>
        </w:tc>
        <w:tc>
          <w:tcPr>
            <w:tcW w:w="1890"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Dažni</w:t>
            </w:r>
          </w:p>
          <w:p w:rsidR="00421268" w:rsidRPr="003562B8" w:rsidRDefault="00421268" w:rsidP="00FA7D0E">
            <w:pPr>
              <w:suppressAutoHyphens/>
              <w:rPr>
                <w:i/>
                <w:szCs w:val="22"/>
                <w:lang w:eastAsia="ar-SA"/>
              </w:rPr>
            </w:pPr>
            <w:r w:rsidRPr="003562B8">
              <w:rPr>
                <w:szCs w:val="22"/>
                <w:lang w:eastAsia="ar-SA"/>
              </w:rPr>
              <w:t>(nuo ≥ 1/100 iki &lt; 1/10)</w:t>
            </w:r>
          </w:p>
        </w:tc>
        <w:tc>
          <w:tcPr>
            <w:tcW w:w="2245"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Nedažni</w:t>
            </w:r>
          </w:p>
          <w:p w:rsidR="00421268" w:rsidRPr="003562B8" w:rsidRDefault="00421268" w:rsidP="00FA7D0E">
            <w:pPr>
              <w:suppressAutoHyphens/>
              <w:rPr>
                <w:i/>
                <w:color w:val="000000"/>
                <w:szCs w:val="22"/>
                <w:lang w:eastAsia="ar-SA"/>
              </w:rPr>
            </w:pPr>
            <w:r w:rsidRPr="003562B8">
              <w:rPr>
                <w:color w:val="000000"/>
                <w:szCs w:val="22"/>
                <w:lang w:eastAsia="ar-SA"/>
              </w:rPr>
              <w:t xml:space="preserve">(nuo </w:t>
            </w:r>
            <w:r w:rsidRPr="003562B8">
              <w:rPr>
                <w:color w:val="000000"/>
                <w:szCs w:val="22"/>
                <w:u w:val="single"/>
                <w:lang w:eastAsia="ar-SA"/>
              </w:rPr>
              <w:t>&gt; </w:t>
            </w:r>
            <w:r w:rsidRPr="003562B8">
              <w:rPr>
                <w:color w:val="000000"/>
                <w:szCs w:val="22"/>
                <w:lang w:eastAsia="ar-SA"/>
              </w:rPr>
              <w:t>1/1 000 iki &lt; 1/100)</w:t>
            </w:r>
          </w:p>
        </w:tc>
        <w:tc>
          <w:tcPr>
            <w:tcW w:w="1447" w:type="dxa"/>
            <w:tcBorders>
              <w:top w:val="single" w:sz="4" w:space="0" w:color="000000"/>
              <w:left w:val="single" w:sz="4" w:space="0" w:color="000000"/>
              <w:bottom w:val="single" w:sz="4" w:space="0" w:color="000000"/>
              <w:right w:val="single" w:sz="4" w:space="0" w:color="000000"/>
            </w:tcBorders>
            <w:hideMark/>
          </w:tcPr>
          <w:p w:rsidR="00421268" w:rsidRPr="003562B8" w:rsidRDefault="00421268" w:rsidP="00FA7D0E">
            <w:pPr>
              <w:suppressAutoHyphens/>
              <w:snapToGrid w:val="0"/>
              <w:rPr>
                <w:color w:val="000000"/>
                <w:szCs w:val="22"/>
                <w:lang w:eastAsia="ar-SA"/>
              </w:rPr>
            </w:pPr>
            <w:r w:rsidRPr="003562B8">
              <w:rPr>
                <w:color w:val="000000"/>
                <w:szCs w:val="22"/>
                <w:lang w:eastAsia="ar-SA"/>
              </w:rPr>
              <w:t>Labai reti</w:t>
            </w:r>
          </w:p>
          <w:p w:rsidR="00421268" w:rsidRPr="003562B8" w:rsidRDefault="00421268" w:rsidP="00FA7D0E">
            <w:pPr>
              <w:suppressAutoHyphens/>
              <w:rPr>
                <w:color w:val="000000"/>
                <w:szCs w:val="22"/>
                <w:lang w:eastAsia="ar-SA"/>
              </w:rPr>
            </w:pPr>
            <w:r w:rsidRPr="003562B8">
              <w:rPr>
                <w:color w:val="000000"/>
                <w:szCs w:val="22"/>
                <w:lang w:eastAsia="ar-SA"/>
              </w:rPr>
              <w:t>(&lt; 1/10 000)</w:t>
            </w:r>
          </w:p>
        </w:tc>
        <w:tc>
          <w:tcPr>
            <w:tcW w:w="1559"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color w:val="000000"/>
                <w:szCs w:val="22"/>
                <w:lang w:eastAsia="ar-SA"/>
              </w:rPr>
            </w:pPr>
            <w:r w:rsidRPr="003562B8">
              <w:rPr>
                <w:color w:val="000000"/>
                <w:szCs w:val="22"/>
                <w:lang w:eastAsia="ar-SA"/>
              </w:rPr>
              <w:t>Dažnis nežinomas (negali būti apskaičiuotas pagal turimus duomenis)</w:t>
            </w:r>
          </w:p>
        </w:tc>
      </w:tr>
      <w:tr w:rsidR="00421268" w:rsidRPr="003562B8" w:rsidTr="00FA7D0E">
        <w:tc>
          <w:tcPr>
            <w:tcW w:w="2093" w:type="dxa"/>
            <w:tcBorders>
              <w:top w:val="single" w:sz="4" w:space="0" w:color="000000"/>
              <w:left w:val="single" w:sz="4" w:space="0" w:color="000000"/>
              <w:bottom w:val="single" w:sz="4" w:space="0" w:color="000000"/>
              <w:right w:val="nil"/>
            </w:tcBorders>
          </w:tcPr>
          <w:p w:rsidR="00421268" w:rsidRPr="003562B8" w:rsidRDefault="00421268" w:rsidP="00FA7D0E">
            <w:pPr>
              <w:suppressAutoHyphens/>
              <w:snapToGrid w:val="0"/>
              <w:rPr>
                <w:szCs w:val="22"/>
                <w:lang w:eastAsia="ar-SA"/>
              </w:rPr>
            </w:pPr>
            <w:r w:rsidRPr="003562B8">
              <w:rPr>
                <w:szCs w:val="22"/>
                <w:lang w:eastAsia="ar-SA"/>
              </w:rPr>
              <w:t>Imuninės sistemos sutrikimai</w:t>
            </w:r>
          </w:p>
        </w:tc>
        <w:tc>
          <w:tcPr>
            <w:tcW w:w="1890" w:type="dxa"/>
            <w:tcBorders>
              <w:top w:val="single" w:sz="4" w:space="0" w:color="000000"/>
              <w:left w:val="single" w:sz="4" w:space="0" w:color="000000"/>
              <w:bottom w:val="single" w:sz="4" w:space="0" w:color="000000"/>
              <w:right w:val="nil"/>
            </w:tcBorders>
          </w:tcPr>
          <w:p w:rsidR="00421268" w:rsidRPr="003562B8" w:rsidRDefault="00421268" w:rsidP="00FA7D0E">
            <w:pPr>
              <w:suppressAutoHyphens/>
              <w:snapToGrid w:val="0"/>
              <w:rPr>
                <w:szCs w:val="22"/>
                <w:lang w:eastAsia="ar-SA"/>
              </w:rPr>
            </w:pPr>
          </w:p>
        </w:tc>
        <w:tc>
          <w:tcPr>
            <w:tcW w:w="2245" w:type="dxa"/>
            <w:tcBorders>
              <w:top w:val="single" w:sz="4" w:space="0" w:color="000000"/>
              <w:left w:val="single" w:sz="4" w:space="0" w:color="000000"/>
              <w:bottom w:val="single" w:sz="4" w:space="0" w:color="000000"/>
              <w:right w:val="nil"/>
            </w:tcBorders>
          </w:tcPr>
          <w:p w:rsidR="00421268" w:rsidRPr="003562B8" w:rsidRDefault="00421268" w:rsidP="00FA7D0E">
            <w:pPr>
              <w:suppressAutoHyphens/>
              <w:snapToGrid w:val="0"/>
              <w:rPr>
                <w:szCs w:val="22"/>
                <w:lang w:eastAsia="ar-SA"/>
              </w:rPr>
            </w:pPr>
          </w:p>
        </w:tc>
        <w:tc>
          <w:tcPr>
            <w:tcW w:w="1447"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color w:val="000000"/>
                <w:szCs w:val="22"/>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color w:val="000000"/>
                <w:szCs w:val="22"/>
                <w:lang w:eastAsia="ar-SA"/>
              </w:rPr>
            </w:pPr>
            <w:r w:rsidRPr="003562B8">
              <w:rPr>
                <w:color w:val="333333"/>
                <w:szCs w:val="22"/>
                <w:shd w:val="clear" w:color="auto" w:fill="FFFFFF"/>
              </w:rPr>
              <w:t>angioneurozinė edema, padidėjęs jautrumas</w:t>
            </w:r>
          </w:p>
        </w:tc>
      </w:tr>
      <w:tr w:rsidR="00421268" w:rsidRPr="003562B8" w:rsidTr="00FA7D0E">
        <w:tc>
          <w:tcPr>
            <w:tcW w:w="2093"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 xml:space="preserve">Psichikos sutrikimai </w:t>
            </w:r>
          </w:p>
        </w:tc>
        <w:tc>
          <w:tcPr>
            <w:tcW w:w="1890" w:type="dxa"/>
            <w:tcBorders>
              <w:top w:val="single" w:sz="4" w:space="0" w:color="000000"/>
              <w:left w:val="single" w:sz="4" w:space="0" w:color="000000"/>
              <w:bottom w:val="single" w:sz="4" w:space="0" w:color="000000"/>
              <w:right w:val="nil"/>
            </w:tcBorders>
          </w:tcPr>
          <w:p w:rsidR="00421268" w:rsidRPr="003562B8" w:rsidRDefault="00421268" w:rsidP="00FA7D0E">
            <w:pPr>
              <w:suppressAutoHyphens/>
              <w:snapToGrid w:val="0"/>
              <w:rPr>
                <w:szCs w:val="22"/>
                <w:lang w:eastAsia="ar-SA"/>
              </w:rPr>
            </w:pPr>
          </w:p>
        </w:tc>
        <w:tc>
          <w:tcPr>
            <w:tcW w:w="2245"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Košmarai, depresija</w:t>
            </w:r>
          </w:p>
        </w:tc>
        <w:tc>
          <w:tcPr>
            <w:tcW w:w="1447"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color w:val="000000"/>
                <w:szCs w:val="22"/>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color w:val="000000"/>
                <w:szCs w:val="22"/>
                <w:lang w:eastAsia="ar-SA"/>
              </w:rPr>
            </w:pPr>
          </w:p>
        </w:tc>
      </w:tr>
      <w:tr w:rsidR="00421268" w:rsidRPr="003562B8" w:rsidTr="00FA7D0E">
        <w:tc>
          <w:tcPr>
            <w:tcW w:w="2093" w:type="dxa"/>
            <w:tcBorders>
              <w:top w:val="single" w:sz="4" w:space="0" w:color="000000"/>
              <w:left w:val="single" w:sz="4" w:space="0" w:color="000000"/>
              <w:bottom w:val="single" w:sz="4" w:space="0" w:color="000000"/>
              <w:right w:val="nil"/>
            </w:tcBorders>
            <w:hideMark/>
          </w:tcPr>
          <w:p w:rsidR="00421268" w:rsidRPr="003562B8" w:rsidRDefault="00421268" w:rsidP="00FA7D0E">
            <w:pPr>
              <w:snapToGrid w:val="0"/>
              <w:rPr>
                <w:szCs w:val="22"/>
              </w:rPr>
            </w:pPr>
            <w:r w:rsidRPr="003562B8">
              <w:rPr>
                <w:szCs w:val="22"/>
              </w:rPr>
              <w:t xml:space="preserve">Nervų sistemos sutrikimai </w:t>
            </w:r>
          </w:p>
        </w:tc>
        <w:tc>
          <w:tcPr>
            <w:tcW w:w="1890"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Galvos skausmas, svaigulys, parestezija</w:t>
            </w:r>
          </w:p>
        </w:tc>
        <w:tc>
          <w:tcPr>
            <w:tcW w:w="2245" w:type="dxa"/>
            <w:tcBorders>
              <w:top w:val="single" w:sz="4" w:space="0" w:color="000000"/>
              <w:left w:val="single" w:sz="4" w:space="0" w:color="000000"/>
              <w:bottom w:val="single" w:sz="4" w:space="0" w:color="000000"/>
              <w:right w:val="nil"/>
            </w:tcBorders>
          </w:tcPr>
          <w:p w:rsidR="00421268" w:rsidRPr="003562B8" w:rsidRDefault="00421268" w:rsidP="00FA7D0E">
            <w:pPr>
              <w:suppressAutoHyphens/>
              <w:snapToGrid w:val="0"/>
              <w:rPr>
                <w:szCs w:val="22"/>
                <w:lang w:eastAsia="ar-SA"/>
              </w:rPr>
            </w:pPr>
          </w:p>
        </w:tc>
        <w:tc>
          <w:tcPr>
            <w:tcW w:w="1447" w:type="dxa"/>
            <w:tcBorders>
              <w:top w:val="single" w:sz="4" w:space="0" w:color="000000"/>
              <w:left w:val="single" w:sz="4" w:space="0" w:color="000000"/>
              <w:bottom w:val="single" w:sz="4" w:space="0" w:color="000000"/>
              <w:right w:val="single" w:sz="4" w:space="0" w:color="000000"/>
            </w:tcBorders>
            <w:hideMark/>
          </w:tcPr>
          <w:p w:rsidR="00421268" w:rsidRPr="003562B8" w:rsidRDefault="00421268" w:rsidP="00FA7D0E">
            <w:pPr>
              <w:suppressAutoHyphens/>
              <w:snapToGrid w:val="0"/>
              <w:rPr>
                <w:szCs w:val="22"/>
                <w:lang w:eastAsia="ar-SA"/>
              </w:rPr>
            </w:pPr>
            <w:r w:rsidRPr="003562B8">
              <w:rPr>
                <w:szCs w:val="22"/>
                <w:lang w:eastAsia="ar-SA"/>
              </w:rPr>
              <w:t>Alpimas / apalpimas</w:t>
            </w:r>
          </w:p>
        </w:tc>
        <w:tc>
          <w:tcPr>
            <w:tcW w:w="1559"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szCs w:val="22"/>
                <w:lang w:eastAsia="ar-SA"/>
              </w:rPr>
            </w:pPr>
          </w:p>
        </w:tc>
      </w:tr>
      <w:tr w:rsidR="00421268" w:rsidRPr="003562B8" w:rsidTr="00FA7D0E">
        <w:tc>
          <w:tcPr>
            <w:tcW w:w="2093"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Akių sutrikimai</w:t>
            </w:r>
          </w:p>
        </w:tc>
        <w:tc>
          <w:tcPr>
            <w:tcW w:w="1890"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 </w:t>
            </w:r>
          </w:p>
        </w:tc>
        <w:tc>
          <w:tcPr>
            <w:tcW w:w="2245"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Regėjimo susilpnėjimas</w:t>
            </w:r>
          </w:p>
        </w:tc>
        <w:tc>
          <w:tcPr>
            <w:tcW w:w="1447"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szCs w:val="22"/>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szCs w:val="22"/>
                <w:lang w:eastAsia="ar-SA"/>
              </w:rPr>
            </w:pPr>
          </w:p>
        </w:tc>
      </w:tr>
      <w:tr w:rsidR="00421268" w:rsidRPr="003562B8" w:rsidTr="00FA7D0E">
        <w:tc>
          <w:tcPr>
            <w:tcW w:w="2093"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Širdies sutrikimai</w:t>
            </w:r>
          </w:p>
        </w:tc>
        <w:tc>
          <w:tcPr>
            <w:tcW w:w="1890"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 </w:t>
            </w:r>
          </w:p>
        </w:tc>
        <w:tc>
          <w:tcPr>
            <w:tcW w:w="2245"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Bradikardija,</w:t>
            </w:r>
          </w:p>
          <w:p w:rsidR="00421268" w:rsidRPr="003562B8" w:rsidRDefault="00421268" w:rsidP="00FA7D0E">
            <w:pPr>
              <w:suppressAutoHyphens/>
              <w:snapToGrid w:val="0"/>
              <w:rPr>
                <w:szCs w:val="22"/>
                <w:lang w:eastAsia="ar-SA"/>
              </w:rPr>
            </w:pPr>
            <w:r w:rsidRPr="003562B8">
              <w:rPr>
                <w:szCs w:val="22"/>
                <w:lang w:eastAsia="ar-SA"/>
              </w:rPr>
              <w:t>širdies nepakankamumas,</w:t>
            </w:r>
          </w:p>
          <w:p w:rsidR="00421268" w:rsidRPr="003562B8" w:rsidRDefault="00421268" w:rsidP="00FA7D0E">
            <w:pPr>
              <w:suppressAutoHyphens/>
              <w:snapToGrid w:val="0"/>
              <w:rPr>
                <w:szCs w:val="22"/>
                <w:lang w:eastAsia="ar-SA"/>
              </w:rPr>
            </w:pPr>
            <w:r w:rsidRPr="003562B8">
              <w:rPr>
                <w:szCs w:val="22"/>
                <w:lang w:eastAsia="ar-SA"/>
              </w:rPr>
              <w:t>AV laidumo sulėtėjimas / AV blokada</w:t>
            </w:r>
          </w:p>
        </w:tc>
        <w:tc>
          <w:tcPr>
            <w:tcW w:w="1447"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szCs w:val="22"/>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szCs w:val="22"/>
                <w:lang w:eastAsia="ar-SA"/>
              </w:rPr>
            </w:pPr>
          </w:p>
        </w:tc>
      </w:tr>
      <w:tr w:rsidR="00421268" w:rsidRPr="003562B8" w:rsidTr="00FA7D0E">
        <w:tc>
          <w:tcPr>
            <w:tcW w:w="2093"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Kraujagyslių sutrikimai</w:t>
            </w:r>
          </w:p>
        </w:tc>
        <w:tc>
          <w:tcPr>
            <w:tcW w:w="1890"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 </w:t>
            </w:r>
          </w:p>
        </w:tc>
        <w:tc>
          <w:tcPr>
            <w:tcW w:w="2245"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Hipotenzija,</w:t>
            </w:r>
          </w:p>
          <w:p w:rsidR="00421268" w:rsidRPr="003562B8" w:rsidRDefault="00421268" w:rsidP="00FA7D0E">
            <w:pPr>
              <w:suppressAutoHyphens/>
              <w:snapToGrid w:val="0"/>
              <w:rPr>
                <w:szCs w:val="22"/>
                <w:lang w:eastAsia="ar-SA"/>
              </w:rPr>
            </w:pPr>
            <w:r w:rsidRPr="003562B8">
              <w:rPr>
                <w:szCs w:val="22"/>
                <w:lang w:eastAsia="ar-SA"/>
              </w:rPr>
              <w:t>protarpinis šlubčiojimas (jo sustiprėjimas)</w:t>
            </w:r>
          </w:p>
        </w:tc>
        <w:tc>
          <w:tcPr>
            <w:tcW w:w="1447"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szCs w:val="22"/>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szCs w:val="22"/>
                <w:lang w:eastAsia="ar-SA"/>
              </w:rPr>
            </w:pPr>
          </w:p>
        </w:tc>
      </w:tr>
      <w:tr w:rsidR="00421268" w:rsidRPr="003562B8" w:rsidTr="00FA7D0E">
        <w:tc>
          <w:tcPr>
            <w:tcW w:w="2093"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Kvėpavimo sistemos, krūtinės ląstos ir tarpuplaučio sutrikimai</w:t>
            </w:r>
          </w:p>
        </w:tc>
        <w:tc>
          <w:tcPr>
            <w:tcW w:w="1890"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Dusulys</w:t>
            </w:r>
          </w:p>
        </w:tc>
        <w:tc>
          <w:tcPr>
            <w:tcW w:w="2245"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Bronchų spazmas</w:t>
            </w:r>
          </w:p>
        </w:tc>
        <w:tc>
          <w:tcPr>
            <w:tcW w:w="1447"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szCs w:val="22"/>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szCs w:val="22"/>
                <w:lang w:eastAsia="ar-SA"/>
              </w:rPr>
            </w:pPr>
          </w:p>
        </w:tc>
      </w:tr>
      <w:tr w:rsidR="00421268" w:rsidRPr="003562B8" w:rsidTr="00FA7D0E">
        <w:tc>
          <w:tcPr>
            <w:tcW w:w="2093"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Virškinimo trakto sutrikimai</w:t>
            </w:r>
          </w:p>
        </w:tc>
        <w:tc>
          <w:tcPr>
            <w:tcW w:w="1890"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Vidurių užkietėjimas, pykinimas, viduriavimas</w:t>
            </w:r>
          </w:p>
        </w:tc>
        <w:tc>
          <w:tcPr>
            <w:tcW w:w="2245"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Dispepsija, meteorizmas, vėmimas</w:t>
            </w:r>
          </w:p>
        </w:tc>
        <w:tc>
          <w:tcPr>
            <w:tcW w:w="1447"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szCs w:val="22"/>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szCs w:val="22"/>
                <w:lang w:eastAsia="ar-SA"/>
              </w:rPr>
            </w:pPr>
          </w:p>
        </w:tc>
      </w:tr>
      <w:tr w:rsidR="00421268" w:rsidRPr="003562B8" w:rsidTr="00FA7D0E">
        <w:tc>
          <w:tcPr>
            <w:tcW w:w="2093"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Odos ir poodinio audinio sutrikimai</w:t>
            </w:r>
          </w:p>
        </w:tc>
        <w:tc>
          <w:tcPr>
            <w:tcW w:w="1890"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 </w:t>
            </w:r>
          </w:p>
        </w:tc>
        <w:tc>
          <w:tcPr>
            <w:tcW w:w="2245"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Niežėjimas,</w:t>
            </w:r>
          </w:p>
          <w:p w:rsidR="00421268" w:rsidRPr="003562B8" w:rsidRDefault="00421268" w:rsidP="00FA7D0E">
            <w:pPr>
              <w:suppressAutoHyphens/>
              <w:snapToGrid w:val="0"/>
              <w:rPr>
                <w:szCs w:val="22"/>
                <w:lang w:eastAsia="ar-SA"/>
              </w:rPr>
            </w:pPr>
            <w:r w:rsidRPr="003562B8">
              <w:rPr>
                <w:szCs w:val="22"/>
                <w:lang w:eastAsia="ar-SA"/>
              </w:rPr>
              <w:t>eriteminis bėrimas</w:t>
            </w:r>
          </w:p>
        </w:tc>
        <w:tc>
          <w:tcPr>
            <w:tcW w:w="1447" w:type="dxa"/>
            <w:tcBorders>
              <w:top w:val="single" w:sz="4" w:space="0" w:color="000000"/>
              <w:left w:val="single" w:sz="4" w:space="0" w:color="000000"/>
              <w:bottom w:val="single" w:sz="4" w:space="0" w:color="000000"/>
              <w:right w:val="single" w:sz="4" w:space="0" w:color="000000"/>
            </w:tcBorders>
            <w:hideMark/>
          </w:tcPr>
          <w:p w:rsidR="00421268" w:rsidRPr="003562B8" w:rsidRDefault="00421268" w:rsidP="00FA7D0E">
            <w:pPr>
              <w:suppressAutoHyphens/>
              <w:snapToGrid w:val="0"/>
              <w:rPr>
                <w:szCs w:val="22"/>
                <w:lang w:eastAsia="ar-SA"/>
              </w:rPr>
            </w:pPr>
            <w:r w:rsidRPr="003562B8">
              <w:rPr>
                <w:szCs w:val="22"/>
                <w:lang w:eastAsia="ar-SA"/>
              </w:rPr>
              <w:t>Žvynelinės paūmėjimas</w:t>
            </w:r>
          </w:p>
        </w:tc>
        <w:tc>
          <w:tcPr>
            <w:tcW w:w="1559"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szCs w:val="22"/>
                <w:lang w:eastAsia="ar-SA"/>
              </w:rPr>
            </w:pPr>
            <w:r w:rsidRPr="003562B8">
              <w:rPr>
                <w:szCs w:val="22"/>
                <w:lang w:eastAsia="ar-SA"/>
              </w:rPr>
              <w:t>Dilgėlinė</w:t>
            </w:r>
          </w:p>
        </w:tc>
      </w:tr>
      <w:tr w:rsidR="00421268" w:rsidRPr="003562B8" w:rsidTr="00FA7D0E">
        <w:tc>
          <w:tcPr>
            <w:tcW w:w="2093"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Lytinės sistemos ir krūties sutrikimai</w:t>
            </w:r>
          </w:p>
        </w:tc>
        <w:tc>
          <w:tcPr>
            <w:tcW w:w="1890"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 </w:t>
            </w:r>
          </w:p>
        </w:tc>
        <w:tc>
          <w:tcPr>
            <w:tcW w:w="2245"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Impotencija</w:t>
            </w:r>
          </w:p>
        </w:tc>
        <w:tc>
          <w:tcPr>
            <w:tcW w:w="1447"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szCs w:val="22"/>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szCs w:val="22"/>
                <w:lang w:eastAsia="ar-SA"/>
              </w:rPr>
            </w:pPr>
          </w:p>
        </w:tc>
      </w:tr>
      <w:tr w:rsidR="00421268" w:rsidRPr="003562B8" w:rsidTr="00FA7D0E">
        <w:tc>
          <w:tcPr>
            <w:tcW w:w="2093"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Bendrieji sutrikimai ir vartojimo vietos pažeidimai</w:t>
            </w:r>
          </w:p>
        </w:tc>
        <w:tc>
          <w:tcPr>
            <w:tcW w:w="1890" w:type="dxa"/>
            <w:tcBorders>
              <w:top w:val="single" w:sz="4" w:space="0" w:color="000000"/>
              <w:left w:val="single" w:sz="4" w:space="0" w:color="000000"/>
              <w:bottom w:val="single" w:sz="4" w:space="0" w:color="000000"/>
              <w:right w:val="nil"/>
            </w:tcBorders>
            <w:hideMark/>
          </w:tcPr>
          <w:p w:rsidR="00421268" w:rsidRPr="003562B8" w:rsidRDefault="00421268" w:rsidP="00FA7D0E">
            <w:pPr>
              <w:suppressAutoHyphens/>
              <w:snapToGrid w:val="0"/>
              <w:rPr>
                <w:szCs w:val="22"/>
                <w:lang w:eastAsia="ar-SA"/>
              </w:rPr>
            </w:pPr>
            <w:r w:rsidRPr="003562B8">
              <w:rPr>
                <w:szCs w:val="22"/>
                <w:lang w:eastAsia="ar-SA"/>
              </w:rPr>
              <w:t>Nuovargis,</w:t>
            </w:r>
          </w:p>
          <w:p w:rsidR="00421268" w:rsidRPr="003562B8" w:rsidRDefault="00421268" w:rsidP="00FA7D0E">
            <w:pPr>
              <w:suppressAutoHyphens/>
              <w:snapToGrid w:val="0"/>
              <w:rPr>
                <w:szCs w:val="22"/>
                <w:lang w:eastAsia="ar-SA"/>
              </w:rPr>
            </w:pPr>
            <w:r w:rsidRPr="003562B8">
              <w:rPr>
                <w:szCs w:val="22"/>
                <w:lang w:eastAsia="ar-SA"/>
              </w:rPr>
              <w:t>edema</w:t>
            </w:r>
          </w:p>
        </w:tc>
        <w:tc>
          <w:tcPr>
            <w:tcW w:w="2245" w:type="dxa"/>
            <w:tcBorders>
              <w:top w:val="single" w:sz="4" w:space="0" w:color="000000"/>
              <w:left w:val="single" w:sz="4" w:space="0" w:color="000000"/>
              <w:bottom w:val="single" w:sz="4" w:space="0" w:color="000000"/>
              <w:right w:val="nil"/>
            </w:tcBorders>
          </w:tcPr>
          <w:p w:rsidR="00421268" w:rsidRPr="003562B8" w:rsidRDefault="00421268" w:rsidP="00FA7D0E">
            <w:pPr>
              <w:suppressAutoHyphens/>
              <w:snapToGrid w:val="0"/>
              <w:rPr>
                <w:szCs w:val="22"/>
                <w:lang w:eastAsia="ar-SA"/>
              </w:rPr>
            </w:pPr>
          </w:p>
        </w:tc>
        <w:tc>
          <w:tcPr>
            <w:tcW w:w="1447"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szCs w:val="22"/>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421268" w:rsidRPr="003562B8" w:rsidRDefault="00421268" w:rsidP="00FA7D0E">
            <w:pPr>
              <w:suppressAutoHyphens/>
              <w:snapToGrid w:val="0"/>
              <w:rPr>
                <w:szCs w:val="22"/>
                <w:lang w:eastAsia="ar-SA"/>
              </w:rPr>
            </w:pPr>
          </w:p>
        </w:tc>
      </w:tr>
    </w:tbl>
    <w:p w:rsidR="00421268" w:rsidRPr="003562B8" w:rsidRDefault="00421268" w:rsidP="00421268">
      <w:pPr>
        <w:rPr>
          <w:szCs w:val="22"/>
        </w:rPr>
      </w:pPr>
    </w:p>
    <w:p w:rsidR="00421268" w:rsidRPr="003562B8" w:rsidRDefault="00421268" w:rsidP="00421268">
      <w:pPr>
        <w:rPr>
          <w:szCs w:val="22"/>
        </w:rPr>
      </w:pPr>
      <w:r w:rsidRPr="003562B8">
        <w:rPr>
          <w:szCs w:val="22"/>
        </w:rPr>
        <w:t xml:space="preserve">Be to, pranešta, kad kai kurie beta adrenoreceptorių blokatoriai sukėlė tokias reakcijas: haliucinacijas, psichozę, sumišimą, galūnių šalimą / cianozę, </w:t>
      </w:r>
      <w:r w:rsidRPr="003562B8">
        <w:rPr>
          <w:i/>
          <w:szCs w:val="22"/>
        </w:rPr>
        <w:t>Raynaud‘o</w:t>
      </w:r>
      <w:r w:rsidRPr="003562B8">
        <w:rPr>
          <w:szCs w:val="22"/>
        </w:rPr>
        <w:t xml:space="preserve"> sindromą, akių sausumą ir praktololio tipo okulomukokutaninę toksikozę. </w:t>
      </w:r>
    </w:p>
    <w:p w:rsidR="00421268" w:rsidRPr="003562B8" w:rsidRDefault="00421268" w:rsidP="00421268">
      <w:pPr>
        <w:rPr>
          <w:szCs w:val="22"/>
        </w:rPr>
      </w:pPr>
    </w:p>
    <w:p w:rsidR="00421268" w:rsidRPr="003562B8" w:rsidRDefault="00421268" w:rsidP="00421268">
      <w:pPr>
        <w:rPr>
          <w:szCs w:val="22"/>
        </w:rPr>
      </w:pPr>
      <w:r w:rsidRPr="003562B8">
        <w:rPr>
          <w:szCs w:val="22"/>
        </w:rPr>
        <w:lastRenderedPageBreak/>
        <w:t>Beta adrenoblokatoriai gali sumažinti ašarų sekreciją.</w:t>
      </w:r>
    </w:p>
    <w:p w:rsidR="00421268" w:rsidRPr="003562B8" w:rsidRDefault="00421268" w:rsidP="00421268">
      <w:pPr>
        <w:rPr>
          <w:szCs w:val="22"/>
        </w:rPr>
      </w:pPr>
    </w:p>
    <w:p w:rsidR="00421268" w:rsidRPr="003562B8" w:rsidRDefault="00421268" w:rsidP="00421268">
      <w:pPr>
        <w:suppressAutoHyphens/>
        <w:rPr>
          <w:szCs w:val="22"/>
          <w:u w:val="single"/>
          <w:lang w:eastAsia="ar-SA"/>
        </w:rPr>
      </w:pPr>
      <w:r w:rsidRPr="003562B8">
        <w:rPr>
          <w:szCs w:val="22"/>
          <w:u w:val="single"/>
          <w:lang w:eastAsia="ar-SA"/>
        </w:rPr>
        <w:t>Lėtinis širdies nepakankamumas</w:t>
      </w:r>
    </w:p>
    <w:p w:rsidR="00421268" w:rsidRPr="003562B8" w:rsidRDefault="00421268" w:rsidP="00421268">
      <w:pPr>
        <w:suppressAutoHyphens/>
        <w:rPr>
          <w:szCs w:val="22"/>
          <w:u w:val="single"/>
          <w:lang w:eastAsia="ar-SA"/>
        </w:rPr>
      </w:pPr>
    </w:p>
    <w:p w:rsidR="00421268" w:rsidRPr="003562B8" w:rsidRDefault="00421268" w:rsidP="00421268">
      <w:pPr>
        <w:rPr>
          <w:szCs w:val="22"/>
        </w:rPr>
      </w:pPr>
      <w:r w:rsidRPr="003562B8">
        <w:rPr>
          <w:szCs w:val="22"/>
        </w:rPr>
        <w:t xml:space="preserve">Duomenys apie nepageidaujamus poveikius LŠN sergantiems pacientams gauti iš vieno placebu kontroliuojamo klinikinio tyrimo, kuriame dalyvavo 1067 pacientai, gydomi nebivololiu, ir 1061 pacientai, gydomi placebu. Šio tyrimo metu apie mažiausiai tikėtinus nepageidaujamus poveikius, susijusius priežastimi, iš viso pranešė 449 nebivololiu gydomi pacientai (42,1  %) lyginant su 334 placebu gydomais pacientais (31,5  %). Dažniausi nepageidaujami poveikiai, kuriais skundėsi nebivololį vartojantys pacientai, buvo bradikardija ir svaigulys; abu poveikiai pasireiškė maždaug 11 % pacientų. Šie poveikiai pasireiškė 2 % ir 7 % placebu gydomų pacientų, atitinkamai. </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Nepageidaujamų poveikių (mažiausiai tikėtinų, su vaistiniu preparatu susijusių), kurie, manoma, yra specifiškai susiję su lėtinio širdies nepakankamumo gydymu, dažnis, nurodytas žemiau: </w:t>
      </w:r>
    </w:p>
    <w:p w:rsidR="00421268" w:rsidRPr="003562B8" w:rsidRDefault="00421268" w:rsidP="00421268">
      <w:pPr>
        <w:rPr>
          <w:szCs w:val="22"/>
        </w:rPr>
      </w:pPr>
    </w:p>
    <w:p w:rsidR="00421268" w:rsidRPr="003562B8" w:rsidRDefault="00421268" w:rsidP="00421268">
      <w:pPr>
        <w:numPr>
          <w:ilvl w:val="0"/>
          <w:numId w:val="19"/>
        </w:numPr>
        <w:tabs>
          <w:tab w:val="num" w:pos="567"/>
        </w:tabs>
        <w:ind w:left="567" w:hanging="567"/>
        <w:rPr>
          <w:szCs w:val="22"/>
        </w:rPr>
      </w:pPr>
      <w:r w:rsidRPr="003562B8">
        <w:rPr>
          <w:szCs w:val="22"/>
        </w:rPr>
        <w:t xml:space="preserve">širdies nepakankamumas sustiprėjo 5,8 % pacientų, vartojusių nebivololį, lyginant su 5,2 % pacientų, vartojusių placebą; </w:t>
      </w:r>
    </w:p>
    <w:p w:rsidR="00421268" w:rsidRPr="003562B8" w:rsidRDefault="00421268" w:rsidP="00421268">
      <w:pPr>
        <w:numPr>
          <w:ilvl w:val="0"/>
          <w:numId w:val="19"/>
        </w:numPr>
        <w:tabs>
          <w:tab w:val="num" w:pos="567"/>
        </w:tabs>
        <w:ind w:left="567" w:hanging="567"/>
        <w:rPr>
          <w:szCs w:val="22"/>
        </w:rPr>
      </w:pPr>
      <w:r w:rsidRPr="003562B8">
        <w:rPr>
          <w:szCs w:val="22"/>
        </w:rPr>
        <w:t xml:space="preserve">ortostatinė hipotenzija pasireiškė 2,1 % pacientų, vartojusių nebivololį, lyginant su 1,0 % pacientų, vartojusių placebą; </w:t>
      </w:r>
    </w:p>
    <w:p w:rsidR="00421268" w:rsidRPr="003562B8" w:rsidRDefault="00421268" w:rsidP="00421268">
      <w:pPr>
        <w:numPr>
          <w:ilvl w:val="0"/>
          <w:numId w:val="19"/>
        </w:numPr>
        <w:tabs>
          <w:tab w:val="num" w:pos="567"/>
        </w:tabs>
        <w:ind w:left="567" w:hanging="567"/>
        <w:rPr>
          <w:szCs w:val="22"/>
        </w:rPr>
      </w:pPr>
      <w:r w:rsidRPr="003562B8">
        <w:rPr>
          <w:szCs w:val="22"/>
        </w:rPr>
        <w:t xml:space="preserve">vaistinio preparato netoleravo 1,6 % pacientų, vartojusių nebivololį, lyginant su 0,8 % pacientų, vartojusių placebą; </w:t>
      </w:r>
    </w:p>
    <w:p w:rsidR="00421268" w:rsidRPr="003562B8" w:rsidRDefault="00421268" w:rsidP="00421268">
      <w:pPr>
        <w:numPr>
          <w:ilvl w:val="0"/>
          <w:numId w:val="19"/>
        </w:numPr>
        <w:tabs>
          <w:tab w:val="num" w:pos="567"/>
        </w:tabs>
        <w:ind w:left="567" w:hanging="567"/>
        <w:rPr>
          <w:szCs w:val="22"/>
        </w:rPr>
      </w:pPr>
      <w:r w:rsidRPr="003562B8">
        <w:rPr>
          <w:szCs w:val="22"/>
        </w:rPr>
        <w:t xml:space="preserve">pirmo laipsnio atrioventrikulinė blokada išsivystė 1,4 % pacientų, vartojusių nebivololį, lyginant su 0,9 % pacientų, vartojusių placebą; </w:t>
      </w:r>
    </w:p>
    <w:p w:rsidR="00421268" w:rsidRPr="003562B8" w:rsidRDefault="00421268" w:rsidP="00421268">
      <w:pPr>
        <w:numPr>
          <w:ilvl w:val="0"/>
          <w:numId w:val="19"/>
        </w:numPr>
        <w:tabs>
          <w:tab w:val="num" w:pos="567"/>
        </w:tabs>
        <w:ind w:left="567" w:hanging="567"/>
        <w:rPr>
          <w:szCs w:val="22"/>
        </w:rPr>
      </w:pPr>
      <w:r w:rsidRPr="003562B8">
        <w:rPr>
          <w:szCs w:val="22"/>
        </w:rPr>
        <w:t>kojų edema išsivystė 1,0 % pacientų, vartojusių nebivololį, lyginant su 0,2 % pacientų, vartojusių placebą.</w:t>
      </w:r>
    </w:p>
    <w:p w:rsidR="00421268" w:rsidRPr="003562B8" w:rsidRDefault="00421268" w:rsidP="00421268">
      <w:pPr>
        <w:rPr>
          <w:szCs w:val="22"/>
        </w:rPr>
      </w:pPr>
    </w:p>
    <w:p w:rsidR="00421268" w:rsidRPr="003562B8" w:rsidRDefault="00421268" w:rsidP="00421268">
      <w:pPr>
        <w:autoSpaceDE w:val="0"/>
        <w:autoSpaceDN w:val="0"/>
        <w:adjustRightInd w:val="0"/>
        <w:jc w:val="both"/>
        <w:rPr>
          <w:szCs w:val="22"/>
          <w:u w:val="single"/>
        </w:rPr>
      </w:pPr>
      <w:r w:rsidRPr="003562B8">
        <w:rPr>
          <w:noProof/>
          <w:szCs w:val="22"/>
          <w:u w:val="single"/>
        </w:rPr>
        <w:t>Pranešimas apie įtariamas nepageidaujamas reakcijas</w:t>
      </w:r>
    </w:p>
    <w:p w:rsidR="00421268" w:rsidRPr="003562B8" w:rsidRDefault="00421268" w:rsidP="00421268">
      <w:pPr>
        <w:autoSpaceDE w:val="0"/>
        <w:autoSpaceDN w:val="0"/>
        <w:adjustRightInd w:val="0"/>
        <w:jc w:val="both"/>
        <w:rPr>
          <w:noProof/>
          <w:szCs w:val="22"/>
        </w:rPr>
      </w:pPr>
      <w:r w:rsidRPr="003562B8">
        <w:rPr>
          <w:noProof/>
          <w:szCs w:val="22"/>
        </w:rPr>
        <w:t>Svarbu pranešti apie įtariamas nepageidaujamas reakcijas, pastebėtas po vaistinio preparato pateikimo į rinką, nes tai leidžia nuolat stebėti vaistinio preparato naudos ir rizikos santykį.</w:t>
      </w:r>
      <w:r w:rsidRPr="003562B8">
        <w:rPr>
          <w:szCs w:val="22"/>
        </w:rPr>
        <w:t xml:space="preserve"> </w:t>
      </w:r>
      <w:r w:rsidRPr="003562B8">
        <w:rPr>
          <w:noProof/>
          <w:szCs w:val="22"/>
        </w:rPr>
        <w:t>Sveikatos priežiūros specialistai turi pranešti apie bet kokias įtariamas nepageidaujamas reakcijas, užpildę interneto svetainėje http://</w:t>
      </w:r>
      <w:hyperlink r:id="rId8" w:history="1">
        <w:r w:rsidRPr="003562B8">
          <w:rPr>
            <w:rFonts w:eastAsia="SimSun"/>
            <w:noProof/>
            <w:color w:val="0000FF"/>
            <w:szCs w:val="22"/>
            <w:u w:val="single"/>
          </w:rPr>
          <w:t>www.vvkt.lt</w:t>
        </w:r>
      </w:hyperlink>
      <w:r w:rsidRPr="003562B8">
        <w:rPr>
          <w:noProof/>
          <w:szCs w:val="22"/>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3562B8">
          <w:rPr>
            <w:rFonts w:eastAsia="SimSun"/>
            <w:noProof/>
            <w:color w:val="0000FF"/>
            <w:szCs w:val="22"/>
            <w:u w:val="single"/>
          </w:rPr>
          <w:t>NepageidaujamaR@vvkt.lt</w:t>
        </w:r>
      </w:hyperlink>
      <w:r w:rsidRPr="003562B8">
        <w:rPr>
          <w:noProof/>
          <w:szCs w:val="22"/>
        </w:rPr>
        <w:t>.</w:t>
      </w:r>
    </w:p>
    <w:p w:rsidR="00421268" w:rsidRPr="003562B8" w:rsidRDefault="00421268" w:rsidP="00421268">
      <w:pPr>
        <w:rPr>
          <w:szCs w:val="22"/>
        </w:rPr>
      </w:pPr>
    </w:p>
    <w:p w:rsidR="00421268" w:rsidRPr="003562B8" w:rsidRDefault="00421268" w:rsidP="00421268">
      <w:pPr>
        <w:keepNext/>
        <w:keepLines/>
        <w:tabs>
          <w:tab w:val="left" w:pos="567"/>
        </w:tabs>
        <w:ind w:left="567" w:hanging="567"/>
        <w:outlineLvl w:val="2"/>
        <w:rPr>
          <w:b/>
          <w:kern w:val="28"/>
          <w:szCs w:val="22"/>
        </w:rPr>
      </w:pPr>
      <w:bookmarkStart w:id="28" w:name="_Toc129243235"/>
      <w:bookmarkStart w:id="29" w:name="_Toc129243110"/>
      <w:r w:rsidRPr="003562B8">
        <w:rPr>
          <w:b/>
          <w:kern w:val="28"/>
          <w:szCs w:val="22"/>
        </w:rPr>
        <w:t>4.9</w:t>
      </w:r>
      <w:r w:rsidRPr="003562B8">
        <w:rPr>
          <w:b/>
          <w:kern w:val="28"/>
          <w:szCs w:val="22"/>
        </w:rPr>
        <w:tab/>
        <w:t>Perdozavimas</w:t>
      </w:r>
      <w:bookmarkEnd w:id="28"/>
      <w:bookmarkEnd w:id="29"/>
    </w:p>
    <w:p w:rsidR="00421268" w:rsidRPr="003562B8" w:rsidRDefault="00421268" w:rsidP="00421268">
      <w:pPr>
        <w:rPr>
          <w:szCs w:val="22"/>
        </w:rPr>
      </w:pPr>
    </w:p>
    <w:p w:rsidR="00421268" w:rsidRPr="003562B8" w:rsidRDefault="00421268" w:rsidP="00421268">
      <w:pPr>
        <w:rPr>
          <w:szCs w:val="22"/>
        </w:rPr>
      </w:pPr>
      <w:r w:rsidRPr="003562B8">
        <w:rPr>
          <w:szCs w:val="22"/>
        </w:rPr>
        <w:t xml:space="preserve">Pranešimų apie nebivololio perdozavimą negauta. </w:t>
      </w:r>
    </w:p>
    <w:p w:rsidR="00421268" w:rsidRPr="003562B8" w:rsidRDefault="00421268" w:rsidP="00421268">
      <w:pPr>
        <w:rPr>
          <w:szCs w:val="22"/>
        </w:rPr>
      </w:pPr>
    </w:p>
    <w:p w:rsidR="00421268" w:rsidRPr="003562B8" w:rsidRDefault="00421268" w:rsidP="00421268">
      <w:pPr>
        <w:rPr>
          <w:szCs w:val="22"/>
          <w:u w:val="single"/>
        </w:rPr>
      </w:pPr>
      <w:r w:rsidRPr="003562B8">
        <w:rPr>
          <w:szCs w:val="22"/>
          <w:u w:val="single"/>
        </w:rPr>
        <w:t>Simptomai</w:t>
      </w:r>
    </w:p>
    <w:p w:rsidR="00421268" w:rsidRPr="003562B8" w:rsidRDefault="00421268" w:rsidP="00421268">
      <w:pPr>
        <w:rPr>
          <w:szCs w:val="22"/>
          <w:u w:val="single"/>
        </w:rPr>
      </w:pPr>
    </w:p>
    <w:p w:rsidR="00421268" w:rsidRPr="003562B8" w:rsidRDefault="00421268" w:rsidP="00421268">
      <w:pPr>
        <w:rPr>
          <w:szCs w:val="22"/>
        </w:rPr>
      </w:pPr>
      <w:r w:rsidRPr="003562B8">
        <w:rPr>
          <w:szCs w:val="22"/>
        </w:rPr>
        <w:t xml:space="preserve">Beta adrenoblokatorių perdozavimo simptomai yra bradikardija, hipotenzija, bronchų spazmas ir ūmus širdies nepakankamumas. </w:t>
      </w:r>
    </w:p>
    <w:p w:rsidR="00421268" w:rsidRPr="003562B8" w:rsidRDefault="00421268" w:rsidP="00421268">
      <w:pPr>
        <w:rPr>
          <w:szCs w:val="22"/>
        </w:rPr>
      </w:pPr>
    </w:p>
    <w:p w:rsidR="00421268" w:rsidRPr="003562B8" w:rsidRDefault="00421268" w:rsidP="00421268">
      <w:pPr>
        <w:rPr>
          <w:szCs w:val="22"/>
          <w:u w:val="single"/>
        </w:rPr>
      </w:pPr>
      <w:r w:rsidRPr="003562B8">
        <w:rPr>
          <w:szCs w:val="22"/>
          <w:u w:val="single"/>
        </w:rPr>
        <w:t>Gydymas</w:t>
      </w:r>
    </w:p>
    <w:p w:rsidR="00421268" w:rsidRPr="003562B8" w:rsidRDefault="00421268" w:rsidP="00421268">
      <w:pPr>
        <w:rPr>
          <w:szCs w:val="22"/>
        </w:rPr>
      </w:pPr>
    </w:p>
    <w:p w:rsidR="00421268" w:rsidRPr="003562B8" w:rsidRDefault="00421268" w:rsidP="00421268">
      <w:pPr>
        <w:rPr>
          <w:szCs w:val="22"/>
        </w:rPr>
      </w:pPr>
      <w:r w:rsidRPr="003562B8">
        <w:rPr>
          <w:szCs w:val="22"/>
        </w:rPr>
        <w:t>Perdozavus ar išsivysčius padidėjusio jautrumo reakcijoms, pacientą būtina atidžiai stebėti ir gydyti intensyviosios terapijos skyriuje. Būtina patikrinti gliukozės koncentraciją kraujyje. Virškinamajame trakte likusių vaistinio preparato likučių absorbciją galima sumažinti išplaunant skrandį ir paskiriant aktyvintos anglies bei laksantų. Gali reikėti dirbtinai ventiliuoti. Bradikardiją ar stiprias vagusines reakcijas reikia gydyti atropinu arba metilatropinu. Hipotenziją ir šoką reikia gydyti kraujo plazma arba jo pakaitalais ir, jei reikia, katecholaminais. Beta adrenoreceptorių blokadą galima neutralizuoti į veną lėtai leidžiant izoprenalino hidrochlorido (pradedant nuo ~ 5 mikrogramų/min dozės) arba dobutamino (pradedant nuo 2,5 mikrogramų/min dozės) tol, kol bus pasiektas pageidaujamas poveikis. Refrakteriniais atvejais, izoprenaliną galima skirti kartu su dopaminu. Jei ir šie vaistiniai preparatai nepadeda, galima įšvirkšti 50</w:t>
      </w:r>
      <w:r w:rsidRPr="003562B8">
        <w:rPr>
          <w:szCs w:val="22"/>
        </w:rPr>
        <w:noBreakHyphen/>
        <w:t xml:space="preserve">100 mikrogramų/kg gliukagono į veną. Jei reikia, injekciją galima pakartoti per vieną valandą ir, jei reikia, toliau galima skirti 70 mikrogramų/kg/val gliukagono infuziją </w:t>
      </w:r>
      <w:r w:rsidRPr="003562B8">
        <w:rPr>
          <w:szCs w:val="22"/>
        </w:rPr>
        <w:lastRenderedPageBreak/>
        <w:t xml:space="preserve">į veną. Kraštutiniais gydymui rezistentiškos bradikardijos atvejais, galima implantuoti širdies stimuliatorių. </w:t>
      </w:r>
    </w:p>
    <w:p w:rsidR="00421268" w:rsidRPr="003562B8" w:rsidRDefault="00421268" w:rsidP="00421268">
      <w:pPr>
        <w:rPr>
          <w:szCs w:val="22"/>
        </w:rPr>
      </w:pPr>
    </w:p>
    <w:p w:rsidR="00421268" w:rsidRPr="003562B8" w:rsidRDefault="00421268" w:rsidP="00421268">
      <w:pPr>
        <w:rPr>
          <w:szCs w:val="22"/>
        </w:rPr>
      </w:pPr>
    </w:p>
    <w:p w:rsidR="00421268" w:rsidRPr="003562B8" w:rsidRDefault="00421268" w:rsidP="00421268">
      <w:pPr>
        <w:keepNext/>
        <w:tabs>
          <w:tab w:val="left" w:pos="567"/>
        </w:tabs>
        <w:ind w:left="567" w:hanging="567"/>
        <w:outlineLvl w:val="1"/>
        <w:rPr>
          <w:b/>
          <w:szCs w:val="22"/>
        </w:rPr>
      </w:pPr>
      <w:bookmarkStart w:id="30" w:name="_Toc129243236"/>
      <w:bookmarkStart w:id="31" w:name="_Toc129243111"/>
      <w:r w:rsidRPr="003562B8">
        <w:rPr>
          <w:b/>
          <w:szCs w:val="22"/>
        </w:rPr>
        <w:t>5.</w:t>
      </w:r>
      <w:r w:rsidRPr="003562B8">
        <w:rPr>
          <w:b/>
          <w:szCs w:val="22"/>
        </w:rPr>
        <w:tab/>
        <w:t>FARMAKOLOGINĖS SAVYBĖS</w:t>
      </w:r>
      <w:bookmarkEnd w:id="30"/>
      <w:bookmarkEnd w:id="31"/>
    </w:p>
    <w:p w:rsidR="00421268" w:rsidRPr="003562B8" w:rsidRDefault="00421268" w:rsidP="00421268">
      <w:pPr>
        <w:rPr>
          <w:szCs w:val="22"/>
        </w:rPr>
      </w:pPr>
    </w:p>
    <w:p w:rsidR="00421268" w:rsidRPr="003562B8" w:rsidRDefault="00421268" w:rsidP="00421268">
      <w:pPr>
        <w:keepNext/>
        <w:keepLines/>
        <w:tabs>
          <w:tab w:val="left" w:pos="567"/>
        </w:tabs>
        <w:ind w:left="567" w:hanging="567"/>
        <w:outlineLvl w:val="2"/>
        <w:rPr>
          <w:b/>
          <w:kern w:val="28"/>
          <w:szCs w:val="22"/>
        </w:rPr>
      </w:pPr>
      <w:bookmarkStart w:id="32" w:name="_Toc129243237"/>
      <w:bookmarkStart w:id="33" w:name="_Toc129243112"/>
      <w:r w:rsidRPr="003562B8">
        <w:rPr>
          <w:b/>
          <w:kern w:val="28"/>
          <w:szCs w:val="22"/>
        </w:rPr>
        <w:t>5.1</w:t>
      </w:r>
      <w:r w:rsidRPr="003562B8">
        <w:rPr>
          <w:b/>
          <w:kern w:val="28"/>
          <w:szCs w:val="22"/>
        </w:rPr>
        <w:tab/>
        <w:t>Farmakodinaminės savybės</w:t>
      </w:r>
      <w:bookmarkEnd w:id="32"/>
      <w:bookmarkEnd w:id="33"/>
    </w:p>
    <w:p w:rsidR="00421268" w:rsidRPr="003562B8" w:rsidRDefault="00421268" w:rsidP="00421268">
      <w:pPr>
        <w:rPr>
          <w:szCs w:val="22"/>
        </w:rPr>
      </w:pPr>
    </w:p>
    <w:p w:rsidR="00421268" w:rsidRPr="003562B8" w:rsidRDefault="00421268" w:rsidP="00421268">
      <w:pPr>
        <w:rPr>
          <w:szCs w:val="22"/>
        </w:rPr>
      </w:pPr>
      <w:r w:rsidRPr="003562B8">
        <w:rPr>
          <w:szCs w:val="22"/>
        </w:rPr>
        <w:t>Farmakoterapinė grupė – beta adrenoreceptorių blokatoriai, selektyvūs, ATC kodas – C07A B12.</w:t>
      </w:r>
    </w:p>
    <w:p w:rsidR="00421268" w:rsidRPr="003562B8" w:rsidRDefault="00421268" w:rsidP="00421268">
      <w:pPr>
        <w:rPr>
          <w:szCs w:val="22"/>
        </w:rPr>
      </w:pPr>
    </w:p>
    <w:p w:rsidR="00421268" w:rsidRPr="003562B8" w:rsidRDefault="00421268" w:rsidP="00421268">
      <w:pPr>
        <w:rPr>
          <w:szCs w:val="22"/>
        </w:rPr>
      </w:pPr>
      <w:r w:rsidRPr="003562B8">
        <w:rPr>
          <w:szCs w:val="22"/>
          <w:u w:val="single"/>
        </w:rPr>
        <w:t>Veikimo mechanizmas</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Nebivololį sudaro du giminingi enantiomerai: SRRR-nebivololis (arba d-nebivololis) ir RSSS-nebivololis (arba l-nebivololis). Jis pasižymi dviem farmakologinėmis funkcijomis: </w:t>
      </w:r>
    </w:p>
    <w:p w:rsidR="00421268" w:rsidRPr="003562B8" w:rsidRDefault="00421268" w:rsidP="00421268">
      <w:pPr>
        <w:rPr>
          <w:szCs w:val="22"/>
        </w:rPr>
      </w:pPr>
    </w:p>
    <w:p w:rsidR="00421268" w:rsidRPr="003562B8" w:rsidRDefault="00421268" w:rsidP="00421268">
      <w:pPr>
        <w:numPr>
          <w:ilvl w:val="0"/>
          <w:numId w:val="20"/>
        </w:numPr>
        <w:tabs>
          <w:tab w:val="num" w:pos="567"/>
        </w:tabs>
        <w:ind w:left="567" w:hanging="567"/>
        <w:rPr>
          <w:szCs w:val="22"/>
        </w:rPr>
      </w:pPr>
      <w:r w:rsidRPr="003562B8">
        <w:rPr>
          <w:szCs w:val="22"/>
        </w:rPr>
        <w:t xml:space="preserve">Konkurencinis ir selektyvus beta adrenoreceptorių blokatorius: šis poveikis priskiriamas SRRR-enantiomerui (d-enantiomerui). </w:t>
      </w:r>
    </w:p>
    <w:p w:rsidR="00421268" w:rsidRPr="003562B8" w:rsidRDefault="00421268" w:rsidP="00421268">
      <w:pPr>
        <w:tabs>
          <w:tab w:val="num" w:pos="567"/>
        </w:tabs>
        <w:ind w:left="567" w:hanging="567"/>
        <w:rPr>
          <w:szCs w:val="22"/>
        </w:rPr>
      </w:pPr>
    </w:p>
    <w:p w:rsidR="00421268" w:rsidRPr="003562B8" w:rsidRDefault="00421268" w:rsidP="00421268">
      <w:pPr>
        <w:numPr>
          <w:ilvl w:val="0"/>
          <w:numId w:val="20"/>
        </w:numPr>
        <w:tabs>
          <w:tab w:val="num" w:pos="567"/>
        </w:tabs>
        <w:ind w:left="567" w:hanging="567"/>
        <w:rPr>
          <w:szCs w:val="22"/>
        </w:rPr>
      </w:pPr>
      <w:r w:rsidRPr="003562B8">
        <w:rPr>
          <w:szCs w:val="22"/>
        </w:rPr>
        <w:t>Šiek tiek plečia kraujagysles, nes sąveikauja su L-argininu / azoto oksidu.</w:t>
      </w:r>
    </w:p>
    <w:p w:rsidR="00421268" w:rsidRPr="003562B8" w:rsidRDefault="00421268" w:rsidP="00421268">
      <w:pPr>
        <w:rPr>
          <w:szCs w:val="22"/>
        </w:rPr>
      </w:pPr>
    </w:p>
    <w:p w:rsidR="00421268" w:rsidRPr="003562B8" w:rsidRDefault="00421268" w:rsidP="00421268">
      <w:pPr>
        <w:rPr>
          <w:szCs w:val="22"/>
        </w:rPr>
      </w:pPr>
      <w:r w:rsidRPr="003562B8">
        <w:rPr>
          <w:szCs w:val="22"/>
          <w:u w:val="single"/>
        </w:rPr>
        <w:t>Farmakodinaminis poveikis</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Pavienės ir daugkartinės nebivololio dozės mažina širdies susitraukimų dažnį ir kraujospūdį ramybėje ir krūvio metu tiek asmenims, kurių kraujospūdis normalus, tiek pacientams, kurie serga hipertenzija. Antihipertenzinis poveikis išlieka skiriant nuolatinį gydymą. </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Terapinės nebivololio dozės nepasižymi alfa adrenoreceptorių blokavimu. </w:t>
      </w:r>
    </w:p>
    <w:p w:rsidR="00421268" w:rsidRPr="003562B8" w:rsidRDefault="00421268" w:rsidP="00421268">
      <w:pPr>
        <w:rPr>
          <w:szCs w:val="22"/>
        </w:rPr>
      </w:pPr>
    </w:p>
    <w:p w:rsidR="00421268" w:rsidRPr="003562B8" w:rsidRDefault="00421268" w:rsidP="00421268">
      <w:pPr>
        <w:rPr>
          <w:szCs w:val="22"/>
        </w:rPr>
      </w:pPr>
      <w:r w:rsidRPr="003562B8">
        <w:rPr>
          <w:szCs w:val="22"/>
          <w:u w:val="single"/>
        </w:rPr>
        <w:t>Klinikinis veiksmingumas ir saugumas</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Skiriant nebivololį hipertenzija sergantiems pacientams ūmiais ar lėtiniais atvejais, sumažėja sisteminis kraujagyslių rezistentiškumas. Nepaisant to, kad sumažėja širdies susitraukimų dažnis, širdies minutinio tūrio sumažėjimas ramybėje ir krūvio metu gali būti ribotas, nes padidėja sistolinis tūris. Klinikinė šių hemodinaminių skirtumų reikšmė, lyginant su kitais beta-1 adrenoreceptorių blokatoriais, ligi galo nenustatyta. </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Hipertenzija sergantiems pacientams nebivololis sustiprina nuo azoto oksido (NO) priklausomą kraujagyslių atsaką į acetilcholiną (ACh), kuris būna sumažėjęs, jei endotelio funkcija sutrikusi. </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Mirtingumo-sergamumo, placebu kontroliuojamas, 20 mėn. trukmės tyrimas, kuriame dalyvavo </w:t>
      </w:r>
      <w:r w:rsidRPr="003562B8">
        <w:rPr>
          <w:szCs w:val="22"/>
          <w:u w:val="single"/>
        </w:rPr>
        <w:t>&gt;</w:t>
      </w:r>
      <w:r w:rsidRPr="003562B8">
        <w:rPr>
          <w:szCs w:val="22"/>
        </w:rPr>
        <w:t xml:space="preserve">70 m. amžiaus (amžiaus vidurkis – 75,2 m.) 2128 pacientai, sergantys stabiliu lėtiniu širdies nepakankamumu su ar be susilpnėjusios kairio skilvelio išmetimo frakcijos (LVEF) (vidutinis LVEF: 36 ± 12,3 %, pasiskirtymas: 56 % pacientų LVEF – &lt; 35 %, 25 % pacientų LVEF – 35 %-45 % ir 19 % pacientų LVEF – &gt; 45 %) parodė, kad nebivololis, labiausiai iš kitų standartinių vaistinių preparatų, statistiškai reikšmingai prailgino laiką iki mirčių ar hospitalizacijų dėl kardiovaskulinių priežasčių atsiradimo (svarbiausias veiksmingumo kriterijus) ir santykinis rizikos sumažėjimas buvo 14 % (absoliutus sumažėjimas: 4,2 %). Toks rizikos sumažėjimas buvo pasiektas po 6 mėnesių trukmės gydymo ir išliko per visą gydymo laiką (vidutinė trukmė: 18 mėnesių). Nebivololio poveikis nepriklausė nuo tyrimo populiacijos amžiaus, lyties ar kairiojo skilvelio išmetimo frakcijos. Mirtingumo dėl visų priežasčių sumažėjimas nebuvo statistiškai reikšmingas lyginant su placebu (absoliutus sumažėjimas: 2,3 %). </w:t>
      </w:r>
    </w:p>
    <w:p w:rsidR="00421268" w:rsidRPr="003562B8" w:rsidRDefault="00421268" w:rsidP="00421268">
      <w:pPr>
        <w:rPr>
          <w:szCs w:val="22"/>
        </w:rPr>
      </w:pPr>
    </w:p>
    <w:p w:rsidR="00421268" w:rsidRPr="003562B8" w:rsidRDefault="00421268" w:rsidP="00421268">
      <w:pPr>
        <w:rPr>
          <w:szCs w:val="22"/>
        </w:rPr>
      </w:pPr>
      <w:r w:rsidRPr="003562B8">
        <w:rPr>
          <w:szCs w:val="22"/>
        </w:rPr>
        <w:t>Nustatyta, kad pacientus gydant nebivololiu, sumažėjo staigių mirčių dažnis (4,1 % palyginti su 6,6 %, santykinis sumažėjimas – 38 %).</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Eksperimentiniai </w:t>
      </w:r>
      <w:r w:rsidRPr="003562B8">
        <w:rPr>
          <w:i/>
          <w:szCs w:val="22"/>
        </w:rPr>
        <w:t xml:space="preserve">in vitro </w:t>
      </w:r>
      <w:r w:rsidRPr="003562B8">
        <w:rPr>
          <w:szCs w:val="22"/>
        </w:rPr>
        <w:t xml:space="preserve">ir </w:t>
      </w:r>
      <w:r w:rsidRPr="003562B8">
        <w:rPr>
          <w:i/>
          <w:szCs w:val="22"/>
        </w:rPr>
        <w:t>in vivo</w:t>
      </w:r>
      <w:r w:rsidRPr="003562B8">
        <w:rPr>
          <w:szCs w:val="22"/>
        </w:rPr>
        <w:t xml:space="preserve"> gyvūnų tyrimai parodė, kad nebivololis nepasižymi vidiniu simpatomimetiniu poveikiu. </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Eksperimentiniai </w:t>
      </w:r>
      <w:r w:rsidRPr="003562B8">
        <w:rPr>
          <w:i/>
          <w:szCs w:val="22"/>
        </w:rPr>
        <w:t xml:space="preserve">in vitro </w:t>
      </w:r>
      <w:r w:rsidRPr="003562B8">
        <w:rPr>
          <w:szCs w:val="22"/>
        </w:rPr>
        <w:t xml:space="preserve">ir </w:t>
      </w:r>
      <w:r w:rsidRPr="003562B8">
        <w:rPr>
          <w:i/>
          <w:szCs w:val="22"/>
        </w:rPr>
        <w:t>in vivo</w:t>
      </w:r>
      <w:r w:rsidRPr="003562B8">
        <w:rPr>
          <w:szCs w:val="22"/>
        </w:rPr>
        <w:t xml:space="preserve"> gyvūnų tyrimai parodė, kad farmakologinės nebivololio dozės nepasižymi membranas stabilizuojančiu poveikiu. </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Tiriant sveikus savanorius, nustatyta, kad nebivololis neturi jokio reikšmingo poveikio maksimaliam fiziniam pajėgumui ar ištvermei. </w:t>
      </w:r>
    </w:p>
    <w:p w:rsidR="00421268" w:rsidRPr="003562B8" w:rsidRDefault="00421268" w:rsidP="00421268">
      <w:pPr>
        <w:rPr>
          <w:szCs w:val="22"/>
        </w:rPr>
      </w:pPr>
    </w:p>
    <w:p w:rsidR="00421268" w:rsidRPr="003562B8" w:rsidRDefault="00421268" w:rsidP="00421268">
      <w:pPr>
        <w:keepNext/>
        <w:keepLines/>
        <w:tabs>
          <w:tab w:val="left" w:pos="567"/>
        </w:tabs>
        <w:ind w:left="567" w:hanging="567"/>
        <w:outlineLvl w:val="2"/>
        <w:rPr>
          <w:b/>
          <w:kern w:val="28"/>
          <w:szCs w:val="22"/>
        </w:rPr>
      </w:pPr>
      <w:bookmarkStart w:id="34" w:name="_Toc129243238"/>
      <w:bookmarkStart w:id="35" w:name="_Toc129243113"/>
      <w:r w:rsidRPr="003562B8">
        <w:rPr>
          <w:b/>
          <w:kern w:val="28"/>
          <w:szCs w:val="22"/>
        </w:rPr>
        <w:t>5.2</w:t>
      </w:r>
      <w:r w:rsidRPr="003562B8">
        <w:rPr>
          <w:b/>
          <w:kern w:val="28"/>
          <w:szCs w:val="22"/>
        </w:rPr>
        <w:tab/>
        <w:t>Farmakokinetinės savybės</w:t>
      </w:r>
      <w:bookmarkEnd w:id="34"/>
      <w:bookmarkEnd w:id="35"/>
    </w:p>
    <w:p w:rsidR="00421268" w:rsidRPr="003562B8" w:rsidRDefault="00421268" w:rsidP="00421268">
      <w:pPr>
        <w:rPr>
          <w:szCs w:val="22"/>
        </w:rPr>
      </w:pPr>
    </w:p>
    <w:p w:rsidR="00421268" w:rsidRPr="003562B8" w:rsidRDefault="00421268" w:rsidP="00421268">
      <w:pPr>
        <w:rPr>
          <w:szCs w:val="22"/>
        </w:rPr>
      </w:pPr>
      <w:r w:rsidRPr="003562B8">
        <w:rPr>
          <w:szCs w:val="22"/>
        </w:rPr>
        <w:t>Nebivololis – tai lipofiliškas kardioselektyvus beta adrenoreceptorių blokatorius, nepasižymintis vidiniu simpatomimetiniu aktyvumu ar membranas stabilizuojančiomis savybėmis (l-enantiomeras). Jam būdingas nuo azoto oksido priklausomas vazodilatacinis poveikis (d-enantiomeras).</w:t>
      </w:r>
    </w:p>
    <w:p w:rsidR="00421268" w:rsidRPr="003562B8" w:rsidRDefault="00421268" w:rsidP="00421268">
      <w:pPr>
        <w:rPr>
          <w:szCs w:val="22"/>
        </w:rPr>
      </w:pPr>
    </w:p>
    <w:p w:rsidR="00421268" w:rsidRPr="003562B8" w:rsidRDefault="00421268" w:rsidP="00421268">
      <w:pPr>
        <w:rPr>
          <w:szCs w:val="22"/>
          <w:u w:val="single"/>
        </w:rPr>
      </w:pPr>
      <w:r w:rsidRPr="003562B8">
        <w:rPr>
          <w:szCs w:val="22"/>
          <w:u w:val="single"/>
        </w:rPr>
        <w:t>Absorbcija</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Išgėrus nebivololio, abu jo enantiomerai greitai absorbuojami. Nebivololio absorbcijos neveikia maistas, todėl jį galima vartoti valgio metu arba po jo. </w:t>
      </w:r>
    </w:p>
    <w:p w:rsidR="00421268" w:rsidRPr="003562B8" w:rsidRDefault="00421268" w:rsidP="00421268">
      <w:pPr>
        <w:rPr>
          <w:szCs w:val="22"/>
        </w:rPr>
      </w:pPr>
    </w:p>
    <w:p w:rsidR="00421268" w:rsidRPr="003562B8" w:rsidRDefault="00421268" w:rsidP="00421268">
      <w:pPr>
        <w:rPr>
          <w:szCs w:val="22"/>
          <w:u w:val="single"/>
        </w:rPr>
      </w:pPr>
      <w:r w:rsidRPr="003562B8">
        <w:rPr>
          <w:szCs w:val="22"/>
          <w:u w:val="single"/>
        </w:rPr>
        <w:t>Pasiskirstymas</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Plazmoje didžioji abiejų nebivololio enantiomerų dalis jungiasi su albuminu. </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Su plazmos baltymais jungiasi 98,1 % SRRR-nebivololio enantiomerų ir 97,9 % RSSS-nebivololio enantiomerų. </w:t>
      </w:r>
    </w:p>
    <w:p w:rsidR="00421268" w:rsidRPr="003562B8" w:rsidRDefault="00421268" w:rsidP="00421268">
      <w:pPr>
        <w:rPr>
          <w:szCs w:val="22"/>
        </w:rPr>
      </w:pPr>
    </w:p>
    <w:p w:rsidR="00421268" w:rsidRPr="003562B8" w:rsidRDefault="00421268" w:rsidP="00421268">
      <w:pPr>
        <w:rPr>
          <w:szCs w:val="22"/>
        </w:rPr>
      </w:pPr>
      <w:r w:rsidRPr="003562B8">
        <w:rPr>
          <w:szCs w:val="22"/>
        </w:rPr>
        <w:t>Pasiskirstymo tūris yra 10,1-39,4 l/kg.</w:t>
      </w:r>
    </w:p>
    <w:p w:rsidR="00421268" w:rsidRPr="003562B8" w:rsidRDefault="00421268" w:rsidP="00421268">
      <w:pPr>
        <w:rPr>
          <w:szCs w:val="22"/>
        </w:rPr>
      </w:pPr>
    </w:p>
    <w:p w:rsidR="00421268" w:rsidRPr="003562B8" w:rsidRDefault="00421268" w:rsidP="00421268">
      <w:pPr>
        <w:rPr>
          <w:i/>
          <w:szCs w:val="22"/>
        </w:rPr>
      </w:pPr>
      <w:r w:rsidRPr="003562B8">
        <w:rPr>
          <w:szCs w:val="22"/>
          <w:u w:val="single"/>
        </w:rPr>
        <w:t>Biotransformacija</w:t>
      </w:r>
    </w:p>
    <w:p w:rsidR="00421268" w:rsidRPr="003562B8" w:rsidRDefault="00421268" w:rsidP="00421268">
      <w:pPr>
        <w:rPr>
          <w:i/>
          <w:szCs w:val="22"/>
        </w:rPr>
      </w:pPr>
    </w:p>
    <w:p w:rsidR="00421268" w:rsidRPr="003562B8" w:rsidRDefault="00421268" w:rsidP="00421268">
      <w:pPr>
        <w:rPr>
          <w:szCs w:val="22"/>
        </w:rPr>
      </w:pPr>
      <w:r w:rsidRPr="003562B8">
        <w:rPr>
          <w:szCs w:val="22"/>
        </w:rPr>
        <w:t xml:space="preserve">Nebivololis ekstensyviai metabolizuojamas, iš dalies iki aktyvių hidroksimetabolitų. Nebivololis metabolizuojamas vykstant alicikliniam ir aromatiniam hidroksilinimui, N-dealkilinimui ir gliukuronidacijai; be to, susidaro hidroksimetabolitų gliukuronidai. Aromatinis nebivololio hidroksilinimas priklauso nuo genetinio CYP2D6 oksidacinės sistemos polimorfizmo. Greitųjų metabolizuotojų vidutinis geriamojo nebivololio biologinis prieinamumas yra 12 %, o lėtųjų – iš esmės 100 %. Jei sąlygos yra vienodos ir dozė yra ta pati, didžiausia nepakitusio nebivololio koncentracija lėtųjų metabolizuotojų plazmoje yra 23 kartus didesnė nei greitųjų metabolizuotojų plazmoje. Vertinant nepakitusį vaistinį preparatą ir aktyvius metabolitus, didžiausios koncentracijos plazmoje skiriasi 1,3-1,4 kartus. Dėl skirtingo metabolizmo greičio Nebivolol Orion dozę visada reikia nustatyti pagal individualius paciento poreikius: lėtiesiems metabolizuotojams gali reikėti mažesnių dozių. </w:t>
      </w:r>
    </w:p>
    <w:p w:rsidR="00421268" w:rsidRPr="003562B8" w:rsidRDefault="00421268" w:rsidP="00421268">
      <w:pPr>
        <w:rPr>
          <w:szCs w:val="22"/>
        </w:rPr>
      </w:pPr>
    </w:p>
    <w:p w:rsidR="00421268" w:rsidRPr="003562B8" w:rsidRDefault="00421268" w:rsidP="00421268">
      <w:pPr>
        <w:rPr>
          <w:szCs w:val="22"/>
        </w:rPr>
      </w:pPr>
      <w:r w:rsidRPr="003562B8">
        <w:rPr>
          <w:szCs w:val="22"/>
        </w:rPr>
        <w:t>Be to, dozę reikia koreguoti, jei pacientas yra vyresnis nei 65 m., serga inkstų ar kepenų nepakankamumu (žr. 4.2 skyrių).</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Greitųjų metabolizuotojų vidutinis pusinės nebivololio enantiomerų eliminacijos laikas yra 10 valandų. Lėtųjų metabolizuotojų – 3-5 kartus ilgesnis. Greitųjų metabolizuotojų plazmoje RSSS-enantiomerų koncentracija yra šiek tiek didesnė nei SRRR-enantiomerų. Lėtųjų metabolizuotojų plazmoje šis skirtumas yra didesnis. Greitųjų metabolizuotojų vidutinis pusinės abiejų enantiomerų hidroksimetabolitų eliminacijos laikas yra 24 valandos, o lėtųjų metabolizuotojų – maždaug dvigubai ilgesnis. </w:t>
      </w:r>
    </w:p>
    <w:p w:rsidR="00421268" w:rsidRPr="003562B8" w:rsidRDefault="00421268" w:rsidP="00421268">
      <w:pPr>
        <w:rPr>
          <w:szCs w:val="22"/>
        </w:rPr>
      </w:pPr>
    </w:p>
    <w:p w:rsidR="00421268" w:rsidRPr="003562B8" w:rsidRDefault="00421268" w:rsidP="00421268">
      <w:pPr>
        <w:rPr>
          <w:szCs w:val="22"/>
        </w:rPr>
      </w:pPr>
      <w:r w:rsidRPr="003562B8">
        <w:rPr>
          <w:szCs w:val="22"/>
        </w:rPr>
        <w:t xml:space="preserve">Pastovi nebivololio koncentracija daugumos asmenų (greitųjų metabolizuotojų) plazmoje pasiekiama per 24 valandas, o pastovi hidroksimetabolitų koncentracija – per keletą dienų. </w:t>
      </w:r>
    </w:p>
    <w:p w:rsidR="00421268" w:rsidRPr="003562B8" w:rsidRDefault="00421268" w:rsidP="00421268">
      <w:pPr>
        <w:rPr>
          <w:szCs w:val="22"/>
        </w:rPr>
      </w:pPr>
      <w:r w:rsidRPr="003562B8">
        <w:rPr>
          <w:szCs w:val="22"/>
        </w:rPr>
        <w:t xml:space="preserve">Koncentracija plazmoje yra proporcinga dozei (1-30 mg). Nebivololio farmakokinetika nepriklauso nuo amžiaus. </w:t>
      </w:r>
    </w:p>
    <w:p w:rsidR="00421268" w:rsidRPr="003562B8" w:rsidRDefault="00421268" w:rsidP="00421268">
      <w:pPr>
        <w:rPr>
          <w:i/>
          <w:szCs w:val="22"/>
          <w:u w:val="single"/>
        </w:rPr>
      </w:pPr>
      <w:r w:rsidRPr="003562B8">
        <w:rPr>
          <w:szCs w:val="22"/>
          <w:u w:val="single"/>
        </w:rPr>
        <w:t>Eliminacija</w:t>
      </w:r>
    </w:p>
    <w:p w:rsidR="00421268" w:rsidRPr="003562B8" w:rsidRDefault="00421268" w:rsidP="00421268">
      <w:pPr>
        <w:rPr>
          <w:szCs w:val="22"/>
        </w:rPr>
      </w:pPr>
    </w:p>
    <w:p w:rsidR="00421268" w:rsidRPr="003562B8" w:rsidRDefault="00421268" w:rsidP="00421268">
      <w:pPr>
        <w:rPr>
          <w:szCs w:val="22"/>
        </w:rPr>
      </w:pPr>
      <w:r w:rsidRPr="003562B8">
        <w:rPr>
          <w:szCs w:val="22"/>
        </w:rPr>
        <w:lastRenderedPageBreak/>
        <w:t xml:space="preserve">Po vienos savaitės vartojimo 38 % dozės išsiskiria su šlapimu, o 48 % – su išmatomis. Su šlapimu išsiskiria &lt; 0,5 % nepakitusio nebivololio dozės. </w:t>
      </w:r>
    </w:p>
    <w:p w:rsidR="00421268" w:rsidRPr="003562B8" w:rsidRDefault="00421268" w:rsidP="00421268">
      <w:pPr>
        <w:rPr>
          <w:szCs w:val="22"/>
        </w:rPr>
      </w:pPr>
    </w:p>
    <w:p w:rsidR="00421268" w:rsidRPr="003562B8" w:rsidRDefault="00421268" w:rsidP="00421268">
      <w:pPr>
        <w:keepNext/>
        <w:keepLines/>
        <w:tabs>
          <w:tab w:val="left" w:pos="567"/>
        </w:tabs>
        <w:ind w:left="567" w:hanging="567"/>
        <w:outlineLvl w:val="2"/>
        <w:rPr>
          <w:b/>
          <w:kern w:val="28"/>
          <w:szCs w:val="22"/>
        </w:rPr>
      </w:pPr>
      <w:bookmarkStart w:id="36" w:name="_Toc129243239"/>
      <w:bookmarkStart w:id="37" w:name="_Toc129243114"/>
      <w:r w:rsidRPr="003562B8">
        <w:rPr>
          <w:b/>
          <w:kern w:val="28"/>
          <w:szCs w:val="22"/>
        </w:rPr>
        <w:t>5.3</w:t>
      </w:r>
      <w:r w:rsidRPr="003562B8">
        <w:rPr>
          <w:b/>
          <w:kern w:val="28"/>
          <w:szCs w:val="22"/>
        </w:rPr>
        <w:tab/>
        <w:t>Ikiklinikinių saugumo tyrimų duomenys</w:t>
      </w:r>
      <w:bookmarkEnd w:id="36"/>
      <w:bookmarkEnd w:id="37"/>
    </w:p>
    <w:p w:rsidR="00421268" w:rsidRPr="003562B8" w:rsidRDefault="00421268" w:rsidP="00421268">
      <w:pPr>
        <w:rPr>
          <w:szCs w:val="22"/>
        </w:rPr>
      </w:pPr>
    </w:p>
    <w:p w:rsidR="00421268" w:rsidRPr="003562B8" w:rsidRDefault="00421268" w:rsidP="00421268">
      <w:pPr>
        <w:rPr>
          <w:szCs w:val="22"/>
        </w:rPr>
      </w:pPr>
      <w:r w:rsidRPr="003562B8">
        <w:rPr>
          <w:szCs w:val="22"/>
        </w:rPr>
        <w:t>Įprastų genotoksiškumo ir galimo kancerogeniškumo ikiklinikinių tyrimų duomenys specifinio pavojaus žmogui nerodo.</w:t>
      </w:r>
    </w:p>
    <w:p w:rsidR="00421268" w:rsidRPr="003562B8" w:rsidRDefault="00421268" w:rsidP="00421268">
      <w:pPr>
        <w:rPr>
          <w:szCs w:val="22"/>
        </w:rPr>
      </w:pPr>
    </w:p>
    <w:p w:rsidR="00421268" w:rsidRPr="003562B8" w:rsidRDefault="00421268" w:rsidP="00421268">
      <w:pPr>
        <w:rPr>
          <w:szCs w:val="22"/>
        </w:rPr>
      </w:pPr>
    </w:p>
    <w:p w:rsidR="00421268" w:rsidRPr="003562B8" w:rsidRDefault="00421268" w:rsidP="00421268">
      <w:pPr>
        <w:keepNext/>
        <w:tabs>
          <w:tab w:val="left" w:pos="567"/>
        </w:tabs>
        <w:ind w:left="567" w:hanging="567"/>
        <w:outlineLvl w:val="1"/>
        <w:rPr>
          <w:b/>
          <w:szCs w:val="22"/>
        </w:rPr>
      </w:pPr>
      <w:bookmarkStart w:id="38" w:name="_Toc129243240"/>
      <w:bookmarkStart w:id="39" w:name="_Toc129243115"/>
      <w:r w:rsidRPr="003562B8">
        <w:rPr>
          <w:b/>
          <w:szCs w:val="22"/>
        </w:rPr>
        <w:t>6.</w:t>
      </w:r>
      <w:r w:rsidRPr="003562B8">
        <w:rPr>
          <w:b/>
          <w:szCs w:val="22"/>
        </w:rPr>
        <w:tab/>
        <w:t>FARMACINĖ INFORMACIJA</w:t>
      </w:r>
      <w:bookmarkEnd w:id="38"/>
      <w:bookmarkEnd w:id="39"/>
    </w:p>
    <w:p w:rsidR="00421268" w:rsidRPr="003562B8" w:rsidRDefault="00421268" w:rsidP="00421268">
      <w:pPr>
        <w:rPr>
          <w:szCs w:val="22"/>
        </w:rPr>
      </w:pPr>
    </w:p>
    <w:p w:rsidR="00421268" w:rsidRPr="003562B8" w:rsidRDefault="00421268" w:rsidP="00421268">
      <w:pPr>
        <w:keepNext/>
        <w:keepLines/>
        <w:tabs>
          <w:tab w:val="left" w:pos="567"/>
        </w:tabs>
        <w:ind w:left="567" w:hanging="567"/>
        <w:outlineLvl w:val="2"/>
        <w:rPr>
          <w:b/>
          <w:kern w:val="28"/>
          <w:szCs w:val="22"/>
        </w:rPr>
      </w:pPr>
      <w:bookmarkStart w:id="40" w:name="_Toc129243241"/>
      <w:bookmarkStart w:id="41" w:name="_Toc129243116"/>
      <w:r w:rsidRPr="003562B8">
        <w:rPr>
          <w:b/>
          <w:kern w:val="28"/>
          <w:szCs w:val="22"/>
        </w:rPr>
        <w:t>6.1</w:t>
      </w:r>
      <w:r w:rsidRPr="003562B8">
        <w:rPr>
          <w:b/>
          <w:kern w:val="28"/>
          <w:szCs w:val="22"/>
        </w:rPr>
        <w:tab/>
        <w:t>Pagalbinių medžiagų sąrašas</w:t>
      </w:r>
      <w:bookmarkEnd w:id="40"/>
      <w:bookmarkEnd w:id="41"/>
    </w:p>
    <w:p w:rsidR="00421268" w:rsidRPr="003562B8" w:rsidRDefault="00421268" w:rsidP="00421268">
      <w:pPr>
        <w:rPr>
          <w:szCs w:val="22"/>
        </w:rPr>
      </w:pPr>
    </w:p>
    <w:p w:rsidR="00421268" w:rsidRPr="003562B8" w:rsidRDefault="00421268" w:rsidP="00421268">
      <w:pPr>
        <w:rPr>
          <w:color w:val="000000"/>
          <w:szCs w:val="22"/>
        </w:rPr>
      </w:pPr>
      <w:r w:rsidRPr="003562B8">
        <w:rPr>
          <w:color w:val="000000"/>
          <w:szCs w:val="22"/>
        </w:rPr>
        <w:t>Laktozė monohidratas</w:t>
      </w:r>
    </w:p>
    <w:p w:rsidR="00421268" w:rsidRPr="003562B8" w:rsidRDefault="00421268" w:rsidP="00421268">
      <w:pPr>
        <w:rPr>
          <w:color w:val="000000"/>
          <w:szCs w:val="22"/>
        </w:rPr>
      </w:pPr>
      <w:r w:rsidRPr="003562B8">
        <w:rPr>
          <w:color w:val="000000"/>
          <w:szCs w:val="22"/>
        </w:rPr>
        <w:t>A tipo krospovidonas</w:t>
      </w:r>
    </w:p>
    <w:p w:rsidR="00421268" w:rsidRPr="003562B8" w:rsidRDefault="00421268" w:rsidP="00421268">
      <w:pPr>
        <w:rPr>
          <w:color w:val="000000"/>
          <w:szCs w:val="22"/>
        </w:rPr>
      </w:pPr>
      <w:r w:rsidRPr="003562B8">
        <w:rPr>
          <w:color w:val="000000"/>
          <w:szCs w:val="22"/>
        </w:rPr>
        <w:t>Poloksameras 188</w:t>
      </w:r>
    </w:p>
    <w:p w:rsidR="00421268" w:rsidRPr="003562B8" w:rsidRDefault="00421268" w:rsidP="00421268">
      <w:pPr>
        <w:rPr>
          <w:color w:val="000000"/>
          <w:szCs w:val="22"/>
        </w:rPr>
      </w:pPr>
      <w:r w:rsidRPr="003562B8">
        <w:rPr>
          <w:color w:val="000000"/>
          <w:szCs w:val="22"/>
        </w:rPr>
        <w:t>Povidonas K 30</w:t>
      </w:r>
    </w:p>
    <w:p w:rsidR="00421268" w:rsidRPr="003562B8" w:rsidRDefault="00421268" w:rsidP="00421268">
      <w:pPr>
        <w:rPr>
          <w:color w:val="000000"/>
          <w:szCs w:val="22"/>
        </w:rPr>
      </w:pPr>
      <w:r w:rsidRPr="003562B8">
        <w:rPr>
          <w:color w:val="000000"/>
          <w:szCs w:val="22"/>
        </w:rPr>
        <w:t>Mikrokristalinė celiuliozė</w:t>
      </w:r>
    </w:p>
    <w:p w:rsidR="00421268" w:rsidRPr="003562B8" w:rsidRDefault="00421268" w:rsidP="00421268">
      <w:pPr>
        <w:rPr>
          <w:color w:val="000000"/>
          <w:szCs w:val="22"/>
        </w:rPr>
      </w:pPr>
      <w:r w:rsidRPr="003562B8">
        <w:rPr>
          <w:color w:val="000000"/>
          <w:szCs w:val="22"/>
        </w:rPr>
        <w:t>Magnio stearatas</w:t>
      </w:r>
    </w:p>
    <w:p w:rsidR="00421268" w:rsidRPr="003562B8" w:rsidRDefault="00421268" w:rsidP="00421268">
      <w:pPr>
        <w:rPr>
          <w:szCs w:val="22"/>
        </w:rPr>
      </w:pPr>
    </w:p>
    <w:p w:rsidR="00421268" w:rsidRPr="003562B8" w:rsidRDefault="00421268" w:rsidP="00421268">
      <w:pPr>
        <w:keepNext/>
        <w:keepLines/>
        <w:tabs>
          <w:tab w:val="left" w:pos="567"/>
        </w:tabs>
        <w:ind w:left="567" w:hanging="567"/>
        <w:outlineLvl w:val="2"/>
        <w:rPr>
          <w:b/>
          <w:kern w:val="28"/>
          <w:szCs w:val="22"/>
        </w:rPr>
      </w:pPr>
      <w:bookmarkStart w:id="42" w:name="_Toc129243242"/>
      <w:bookmarkStart w:id="43" w:name="_Toc129243117"/>
      <w:r w:rsidRPr="003562B8">
        <w:rPr>
          <w:b/>
          <w:kern w:val="28"/>
          <w:szCs w:val="22"/>
        </w:rPr>
        <w:t>6.2</w:t>
      </w:r>
      <w:r w:rsidRPr="003562B8">
        <w:rPr>
          <w:b/>
          <w:kern w:val="28"/>
          <w:szCs w:val="22"/>
        </w:rPr>
        <w:tab/>
        <w:t>Nesuderinamumas</w:t>
      </w:r>
      <w:bookmarkEnd w:id="42"/>
      <w:bookmarkEnd w:id="43"/>
    </w:p>
    <w:p w:rsidR="00421268" w:rsidRPr="003562B8" w:rsidRDefault="00421268" w:rsidP="00421268">
      <w:pPr>
        <w:rPr>
          <w:szCs w:val="22"/>
        </w:rPr>
      </w:pPr>
    </w:p>
    <w:p w:rsidR="00421268" w:rsidRPr="003562B8" w:rsidRDefault="00421268" w:rsidP="00421268">
      <w:pPr>
        <w:rPr>
          <w:szCs w:val="22"/>
        </w:rPr>
      </w:pPr>
      <w:r w:rsidRPr="003562B8">
        <w:rPr>
          <w:szCs w:val="22"/>
        </w:rPr>
        <w:t>Duomenys nebūtini.</w:t>
      </w:r>
    </w:p>
    <w:p w:rsidR="00421268" w:rsidRPr="003562B8" w:rsidRDefault="00421268" w:rsidP="00421268">
      <w:pPr>
        <w:rPr>
          <w:szCs w:val="22"/>
        </w:rPr>
      </w:pPr>
    </w:p>
    <w:p w:rsidR="00421268" w:rsidRPr="003562B8" w:rsidRDefault="00421268" w:rsidP="00421268">
      <w:pPr>
        <w:keepNext/>
        <w:keepLines/>
        <w:tabs>
          <w:tab w:val="left" w:pos="567"/>
        </w:tabs>
        <w:ind w:left="567" w:hanging="567"/>
        <w:outlineLvl w:val="2"/>
        <w:rPr>
          <w:b/>
          <w:kern w:val="28"/>
          <w:szCs w:val="22"/>
        </w:rPr>
      </w:pPr>
      <w:bookmarkStart w:id="44" w:name="_Toc129243243"/>
      <w:bookmarkStart w:id="45" w:name="_Toc129243118"/>
      <w:r w:rsidRPr="003562B8">
        <w:rPr>
          <w:b/>
          <w:kern w:val="28"/>
          <w:szCs w:val="22"/>
        </w:rPr>
        <w:t>6.3</w:t>
      </w:r>
      <w:r w:rsidRPr="003562B8">
        <w:rPr>
          <w:b/>
          <w:kern w:val="28"/>
          <w:szCs w:val="22"/>
        </w:rPr>
        <w:tab/>
        <w:t>Tinkamumo laikas</w:t>
      </w:r>
      <w:bookmarkEnd w:id="44"/>
      <w:bookmarkEnd w:id="45"/>
    </w:p>
    <w:p w:rsidR="00421268" w:rsidRPr="003562B8" w:rsidRDefault="00421268" w:rsidP="00421268">
      <w:pPr>
        <w:rPr>
          <w:szCs w:val="22"/>
        </w:rPr>
      </w:pPr>
    </w:p>
    <w:p w:rsidR="00421268" w:rsidRPr="003562B8" w:rsidRDefault="00421268" w:rsidP="00421268">
      <w:pPr>
        <w:rPr>
          <w:szCs w:val="22"/>
        </w:rPr>
      </w:pPr>
      <w:r w:rsidRPr="003562B8">
        <w:rPr>
          <w:szCs w:val="22"/>
        </w:rPr>
        <w:t xml:space="preserve">3 metai </w:t>
      </w:r>
    </w:p>
    <w:p w:rsidR="00421268" w:rsidRPr="003562B8" w:rsidRDefault="00421268" w:rsidP="00421268">
      <w:pPr>
        <w:rPr>
          <w:szCs w:val="22"/>
        </w:rPr>
      </w:pPr>
    </w:p>
    <w:p w:rsidR="00421268" w:rsidRPr="003562B8" w:rsidRDefault="00421268" w:rsidP="00421268">
      <w:pPr>
        <w:keepNext/>
        <w:keepLines/>
        <w:tabs>
          <w:tab w:val="left" w:pos="567"/>
        </w:tabs>
        <w:ind w:left="567" w:hanging="567"/>
        <w:outlineLvl w:val="2"/>
        <w:rPr>
          <w:b/>
          <w:kern w:val="28"/>
          <w:szCs w:val="22"/>
        </w:rPr>
      </w:pPr>
      <w:bookmarkStart w:id="46" w:name="_Toc129243244"/>
      <w:bookmarkStart w:id="47" w:name="_Toc129243119"/>
      <w:r w:rsidRPr="003562B8">
        <w:rPr>
          <w:b/>
          <w:kern w:val="28"/>
          <w:szCs w:val="22"/>
        </w:rPr>
        <w:t>6.4</w:t>
      </w:r>
      <w:r w:rsidRPr="003562B8">
        <w:rPr>
          <w:b/>
          <w:kern w:val="28"/>
          <w:szCs w:val="22"/>
        </w:rPr>
        <w:tab/>
        <w:t>Specialios laikymo sąlygos</w:t>
      </w:r>
      <w:bookmarkEnd w:id="46"/>
      <w:bookmarkEnd w:id="47"/>
    </w:p>
    <w:p w:rsidR="00421268" w:rsidRPr="003562B8" w:rsidRDefault="00421268" w:rsidP="00421268">
      <w:pPr>
        <w:rPr>
          <w:szCs w:val="22"/>
        </w:rPr>
      </w:pPr>
    </w:p>
    <w:p w:rsidR="00421268" w:rsidRPr="003562B8" w:rsidRDefault="00421268" w:rsidP="00421268">
      <w:pPr>
        <w:rPr>
          <w:szCs w:val="22"/>
        </w:rPr>
      </w:pPr>
      <w:r w:rsidRPr="003562B8">
        <w:rPr>
          <w:szCs w:val="22"/>
        </w:rPr>
        <w:t>Laikyti ne aukštesnėje kaip 30 °C temperatūroje.</w:t>
      </w:r>
    </w:p>
    <w:p w:rsidR="00421268" w:rsidRPr="003562B8" w:rsidRDefault="00421268" w:rsidP="00421268">
      <w:pPr>
        <w:rPr>
          <w:szCs w:val="22"/>
        </w:rPr>
      </w:pPr>
    </w:p>
    <w:p w:rsidR="00421268" w:rsidRPr="003562B8" w:rsidRDefault="00421268" w:rsidP="00421268">
      <w:pPr>
        <w:keepNext/>
        <w:keepLines/>
        <w:tabs>
          <w:tab w:val="left" w:pos="567"/>
        </w:tabs>
        <w:ind w:left="567" w:hanging="567"/>
        <w:outlineLvl w:val="2"/>
        <w:rPr>
          <w:b/>
          <w:kern w:val="28"/>
          <w:szCs w:val="22"/>
        </w:rPr>
      </w:pPr>
      <w:bookmarkStart w:id="48" w:name="_Toc129243245"/>
      <w:bookmarkStart w:id="49" w:name="_Toc129243120"/>
      <w:r w:rsidRPr="003562B8">
        <w:rPr>
          <w:b/>
          <w:kern w:val="28"/>
          <w:szCs w:val="22"/>
        </w:rPr>
        <w:t>6.5</w:t>
      </w:r>
      <w:r w:rsidRPr="003562B8">
        <w:rPr>
          <w:b/>
          <w:kern w:val="28"/>
          <w:szCs w:val="22"/>
        </w:rPr>
        <w:tab/>
        <w:t>Talpyklės pobūdis ir jos turinys</w:t>
      </w:r>
      <w:bookmarkEnd w:id="48"/>
      <w:bookmarkEnd w:id="49"/>
    </w:p>
    <w:p w:rsidR="00421268" w:rsidRPr="003562B8" w:rsidRDefault="00421268" w:rsidP="00421268">
      <w:pPr>
        <w:rPr>
          <w:szCs w:val="22"/>
        </w:rPr>
      </w:pPr>
    </w:p>
    <w:p w:rsidR="00421268" w:rsidRPr="003562B8" w:rsidRDefault="00421268" w:rsidP="00421268">
      <w:pPr>
        <w:rPr>
          <w:szCs w:val="22"/>
        </w:rPr>
      </w:pPr>
      <w:r w:rsidRPr="003562B8">
        <w:rPr>
          <w:szCs w:val="22"/>
        </w:rPr>
        <w:t>Tabletės tiekiamos PVC/PE/PVDC//aliuminio lizdinėse plokštelėse po 7,10 arba 14 tablečių.</w:t>
      </w:r>
    </w:p>
    <w:p w:rsidR="00421268" w:rsidRPr="003562B8" w:rsidRDefault="00421268" w:rsidP="00421268">
      <w:pPr>
        <w:rPr>
          <w:szCs w:val="22"/>
        </w:rPr>
      </w:pPr>
      <w:r w:rsidRPr="003562B8">
        <w:rPr>
          <w:szCs w:val="22"/>
        </w:rPr>
        <w:t xml:space="preserve">Pakuočių dydžiai: </w:t>
      </w:r>
    </w:p>
    <w:p w:rsidR="00421268" w:rsidRPr="003562B8" w:rsidRDefault="00421268" w:rsidP="00421268">
      <w:pPr>
        <w:rPr>
          <w:szCs w:val="22"/>
          <w:shd w:val="clear" w:color="auto" w:fill="C0C0C0"/>
        </w:rPr>
      </w:pPr>
    </w:p>
    <w:p w:rsidR="00421268" w:rsidRPr="003562B8" w:rsidRDefault="00421268" w:rsidP="00421268">
      <w:pPr>
        <w:rPr>
          <w:szCs w:val="22"/>
        </w:rPr>
      </w:pPr>
      <w:r w:rsidRPr="003562B8">
        <w:rPr>
          <w:szCs w:val="22"/>
        </w:rPr>
        <w:t>7, 10, 14, 20, 28, 30, 50, 56, 60, 90, 100 arba 120 tablečių.</w:t>
      </w:r>
    </w:p>
    <w:p w:rsidR="00421268" w:rsidRPr="003562B8" w:rsidRDefault="00421268" w:rsidP="00421268">
      <w:pPr>
        <w:rPr>
          <w:szCs w:val="22"/>
        </w:rPr>
      </w:pPr>
    </w:p>
    <w:p w:rsidR="00421268" w:rsidRPr="003562B8" w:rsidRDefault="00421268" w:rsidP="00421268">
      <w:pPr>
        <w:rPr>
          <w:szCs w:val="22"/>
        </w:rPr>
      </w:pPr>
      <w:r w:rsidRPr="003562B8">
        <w:rPr>
          <w:szCs w:val="22"/>
        </w:rPr>
        <w:t>Gali būti tiekiamos ne visų dydžių pakuotės.</w:t>
      </w:r>
    </w:p>
    <w:p w:rsidR="00421268" w:rsidRPr="003562B8" w:rsidRDefault="00421268" w:rsidP="00421268">
      <w:pPr>
        <w:rPr>
          <w:szCs w:val="22"/>
        </w:rPr>
      </w:pPr>
    </w:p>
    <w:p w:rsidR="00421268" w:rsidRPr="003562B8" w:rsidRDefault="00421268" w:rsidP="00421268">
      <w:pPr>
        <w:keepNext/>
        <w:keepLines/>
        <w:tabs>
          <w:tab w:val="left" w:pos="567"/>
        </w:tabs>
        <w:ind w:left="567" w:hanging="567"/>
        <w:outlineLvl w:val="2"/>
        <w:rPr>
          <w:b/>
          <w:kern w:val="28"/>
          <w:szCs w:val="22"/>
        </w:rPr>
      </w:pPr>
      <w:bookmarkStart w:id="50" w:name="_Toc129243246"/>
      <w:bookmarkStart w:id="51" w:name="_Toc129243121"/>
      <w:r w:rsidRPr="003562B8">
        <w:rPr>
          <w:b/>
          <w:kern w:val="28"/>
          <w:szCs w:val="22"/>
        </w:rPr>
        <w:t>6.6</w:t>
      </w:r>
      <w:r w:rsidRPr="003562B8">
        <w:rPr>
          <w:b/>
          <w:kern w:val="28"/>
          <w:szCs w:val="22"/>
        </w:rPr>
        <w:tab/>
        <w:t xml:space="preserve">Specialūs reikalavimai atliekoms tvarkyti </w:t>
      </w:r>
      <w:bookmarkEnd w:id="50"/>
      <w:bookmarkEnd w:id="51"/>
    </w:p>
    <w:p w:rsidR="00421268" w:rsidRPr="003562B8" w:rsidRDefault="00421268" w:rsidP="00421268">
      <w:pPr>
        <w:rPr>
          <w:szCs w:val="22"/>
        </w:rPr>
      </w:pPr>
    </w:p>
    <w:p w:rsidR="00421268" w:rsidRPr="003562B8" w:rsidRDefault="00421268" w:rsidP="00421268">
      <w:pPr>
        <w:rPr>
          <w:szCs w:val="22"/>
        </w:rPr>
      </w:pPr>
      <w:r w:rsidRPr="003562B8">
        <w:rPr>
          <w:szCs w:val="22"/>
        </w:rPr>
        <w:t xml:space="preserve">Specialių reikalavimų nėra. </w:t>
      </w:r>
    </w:p>
    <w:p w:rsidR="00421268" w:rsidRPr="003562B8" w:rsidRDefault="00421268" w:rsidP="00421268">
      <w:pPr>
        <w:rPr>
          <w:szCs w:val="22"/>
        </w:rPr>
      </w:pPr>
    </w:p>
    <w:p w:rsidR="00421268" w:rsidRPr="003562B8" w:rsidRDefault="00421268" w:rsidP="00421268">
      <w:pPr>
        <w:rPr>
          <w:szCs w:val="22"/>
        </w:rPr>
      </w:pPr>
    </w:p>
    <w:p w:rsidR="00421268" w:rsidRPr="003562B8" w:rsidRDefault="00421268" w:rsidP="00421268">
      <w:pPr>
        <w:keepNext/>
        <w:tabs>
          <w:tab w:val="left" w:pos="567"/>
        </w:tabs>
        <w:ind w:left="567" w:hanging="567"/>
        <w:outlineLvl w:val="1"/>
        <w:rPr>
          <w:b/>
          <w:szCs w:val="22"/>
        </w:rPr>
      </w:pPr>
      <w:bookmarkStart w:id="52" w:name="_Toc129243247"/>
      <w:bookmarkStart w:id="53" w:name="_Toc129243122"/>
      <w:r w:rsidRPr="003562B8">
        <w:rPr>
          <w:b/>
          <w:szCs w:val="22"/>
        </w:rPr>
        <w:t>7.</w:t>
      </w:r>
      <w:r w:rsidRPr="003562B8">
        <w:rPr>
          <w:b/>
          <w:szCs w:val="22"/>
        </w:rPr>
        <w:tab/>
        <w:t>RINKODAROS TEISĖS TURĖTOJAS</w:t>
      </w:r>
      <w:bookmarkEnd w:id="52"/>
      <w:bookmarkEnd w:id="53"/>
    </w:p>
    <w:p w:rsidR="00421268" w:rsidRPr="003562B8" w:rsidRDefault="00421268" w:rsidP="00421268">
      <w:pPr>
        <w:rPr>
          <w:szCs w:val="22"/>
        </w:rPr>
      </w:pPr>
    </w:p>
    <w:p w:rsidR="00421268" w:rsidRPr="003562B8" w:rsidRDefault="00421268" w:rsidP="00421268">
      <w:pPr>
        <w:rPr>
          <w:b/>
          <w:szCs w:val="22"/>
        </w:rPr>
      </w:pPr>
      <w:r w:rsidRPr="003562B8">
        <w:rPr>
          <w:szCs w:val="22"/>
        </w:rPr>
        <w:t>Orion Corporation</w:t>
      </w:r>
    </w:p>
    <w:p w:rsidR="00421268" w:rsidRPr="003562B8" w:rsidRDefault="00421268" w:rsidP="00421268">
      <w:pPr>
        <w:rPr>
          <w:szCs w:val="22"/>
        </w:rPr>
      </w:pPr>
      <w:r w:rsidRPr="003562B8">
        <w:rPr>
          <w:szCs w:val="22"/>
        </w:rPr>
        <w:t>Orionintie 1</w:t>
      </w:r>
    </w:p>
    <w:p w:rsidR="00421268" w:rsidRPr="003562B8" w:rsidRDefault="00421268" w:rsidP="00421268">
      <w:pPr>
        <w:rPr>
          <w:szCs w:val="22"/>
        </w:rPr>
      </w:pPr>
      <w:r w:rsidRPr="003562B8">
        <w:rPr>
          <w:szCs w:val="22"/>
        </w:rPr>
        <w:t>FI-02200 Espoo</w:t>
      </w:r>
    </w:p>
    <w:p w:rsidR="00421268" w:rsidRPr="003562B8" w:rsidRDefault="00421268" w:rsidP="00421268">
      <w:pPr>
        <w:rPr>
          <w:szCs w:val="22"/>
        </w:rPr>
      </w:pPr>
      <w:r w:rsidRPr="003562B8">
        <w:rPr>
          <w:szCs w:val="22"/>
        </w:rPr>
        <w:t>Suomija</w:t>
      </w:r>
    </w:p>
    <w:p w:rsidR="00421268" w:rsidRPr="003562B8" w:rsidRDefault="00421268" w:rsidP="00421268">
      <w:pPr>
        <w:rPr>
          <w:szCs w:val="22"/>
        </w:rPr>
      </w:pPr>
    </w:p>
    <w:p w:rsidR="00421268" w:rsidRPr="003562B8" w:rsidRDefault="00421268" w:rsidP="00421268">
      <w:pPr>
        <w:rPr>
          <w:szCs w:val="22"/>
        </w:rPr>
      </w:pPr>
    </w:p>
    <w:p w:rsidR="00421268" w:rsidRPr="003562B8" w:rsidRDefault="00421268" w:rsidP="00421268">
      <w:pPr>
        <w:keepNext/>
        <w:tabs>
          <w:tab w:val="left" w:pos="567"/>
        </w:tabs>
        <w:ind w:left="567" w:hanging="567"/>
        <w:outlineLvl w:val="1"/>
        <w:rPr>
          <w:b/>
          <w:szCs w:val="22"/>
        </w:rPr>
      </w:pPr>
      <w:bookmarkStart w:id="54" w:name="_Toc129243248"/>
      <w:bookmarkStart w:id="55" w:name="_Toc129243123"/>
      <w:r w:rsidRPr="003562B8">
        <w:rPr>
          <w:b/>
          <w:szCs w:val="22"/>
        </w:rPr>
        <w:t>8.</w:t>
      </w:r>
      <w:r w:rsidRPr="003562B8">
        <w:rPr>
          <w:b/>
          <w:szCs w:val="22"/>
        </w:rPr>
        <w:tab/>
        <w:t>RINKODAROS PAŽYMĖJIMO NUMERIS</w:t>
      </w:r>
      <w:bookmarkEnd w:id="54"/>
      <w:bookmarkEnd w:id="55"/>
      <w:r w:rsidRPr="003562B8">
        <w:rPr>
          <w:b/>
          <w:szCs w:val="22"/>
        </w:rPr>
        <w:t xml:space="preserve"> (-IAI)</w:t>
      </w:r>
    </w:p>
    <w:p w:rsidR="00421268" w:rsidRPr="003562B8" w:rsidRDefault="00421268" w:rsidP="00421268">
      <w:pPr>
        <w:rPr>
          <w:szCs w:val="22"/>
        </w:rPr>
      </w:pPr>
    </w:p>
    <w:p w:rsidR="00421268" w:rsidRPr="003562B8" w:rsidRDefault="00421268" w:rsidP="00421268">
      <w:pPr>
        <w:rPr>
          <w:bCs/>
          <w:szCs w:val="22"/>
        </w:rPr>
      </w:pPr>
      <w:r w:rsidRPr="003562B8">
        <w:rPr>
          <w:bCs/>
          <w:szCs w:val="22"/>
        </w:rPr>
        <w:t xml:space="preserve">N7 – LT/1/08/0996/001 </w:t>
      </w:r>
    </w:p>
    <w:p w:rsidR="00421268" w:rsidRPr="003562B8" w:rsidRDefault="00421268" w:rsidP="00421268">
      <w:pPr>
        <w:rPr>
          <w:bCs/>
          <w:szCs w:val="22"/>
        </w:rPr>
      </w:pPr>
      <w:r w:rsidRPr="003562B8">
        <w:rPr>
          <w:bCs/>
          <w:szCs w:val="22"/>
        </w:rPr>
        <w:lastRenderedPageBreak/>
        <w:t xml:space="preserve">N10 – LT/1/08/0996/002 </w:t>
      </w:r>
    </w:p>
    <w:p w:rsidR="00421268" w:rsidRPr="003562B8" w:rsidRDefault="00421268" w:rsidP="00421268">
      <w:pPr>
        <w:rPr>
          <w:bCs/>
          <w:szCs w:val="22"/>
        </w:rPr>
      </w:pPr>
      <w:r w:rsidRPr="003562B8">
        <w:rPr>
          <w:bCs/>
          <w:szCs w:val="22"/>
        </w:rPr>
        <w:t xml:space="preserve">N14 – LT/1/08/0996/003 </w:t>
      </w:r>
    </w:p>
    <w:p w:rsidR="00421268" w:rsidRPr="003562B8" w:rsidRDefault="00421268" w:rsidP="00421268">
      <w:pPr>
        <w:rPr>
          <w:bCs/>
          <w:szCs w:val="22"/>
        </w:rPr>
      </w:pPr>
      <w:r w:rsidRPr="003562B8">
        <w:rPr>
          <w:bCs/>
          <w:szCs w:val="22"/>
        </w:rPr>
        <w:t xml:space="preserve">N20 – LT/1/08/0996/004 </w:t>
      </w:r>
    </w:p>
    <w:p w:rsidR="00421268" w:rsidRPr="003562B8" w:rsidRDefault="00421268" w:rsidP="00421268">
      <w:pPr>
        <w:rPr>
          <w:bCs/>
          <w:szCs w:val="22"/>
        </w:rPr>
      </w:pPr>
      <w:r w:rsidRPr="003562B8">
        <w:rPr>
          <w:bCs/>
          <w:szCs w:val="22"/>
        </w:rPr>
        <w:t xml:space="preserve">N28 – LT/1/08/0996/005 </w:t>
      </w:r>
    </w:p>
    <w:p w:rsidR="00421268" w:rsidRPr="003562B8" w:rsidRDefault="00421268" w:rsidP="00421268">
      <w:pPr>
        <w:rPr>
          <w:bCs/>
          <w:szCs w:val="22"/>
        </w:rPr>
      </w:pPr>
      <w:r w:rsidRPr="003562B8">
        <w:rPr>
          <w:bCs/>
          <w:szCs w:val="22"/>
        </w:rPr>
        <w:t xml:space="preserve">N30 – LT/1/08/0996/006 </w:t>
      </w:r>
    </w:p>
    <w:p w:rsidR="00421268" w:rsidRPr="003562B8" w:rsidRDefault="00421268" w:rsidP="00421268">
      <w:pPr>
        <w:rPr>
          <w:bCs/>
          <w:szCs w:val="22"/>
        </w:rPr>
      </w:pPr>
      <w:r w:rsidRPr="003562B8">
        <w:rPr>
          <w:bCs/>
          <w:szCs w:val="22"/>
        </w:rPr>
        <w:t xml:space="preserve">N50 – LT/1/08/0996/007 </w:t>
      </w:r>
    </w:p>
    <w:p w:rsidR="00421268" w:rsidRPr="003562B8" w:rsidRDefault="00421268" w:rsidP="00421268">
      <w:pPr>
        <w:rPr>
          <w:bCs/>
          <w:szCs w:val="22"/>
        </w:rPr>
      </w:pPr>
      <w:r w:rsidRPr="003562B8">
        <w:rPr>
          <w:bCs/>
          <w:szCs w:val="22"/>
        </w:rPr>
        <w:t xml:space="preserve">N56 – LT/1/08/0996/008 </w:t>
      </w:r>
    </w:p>
    <w:p w:rsidR="00421268" w:rsidRPr="003562B8" w:rsidRDefault="00421268" w:rsidP="00421268">
      <w:pPr>
        <w:rPr>
          <w:bCs/>
          <w:szCs w:val="22"/>
        </w:rPr>
      </w:pPr>
      <w:r w:rsidRPr="003562B8">
        <w:rPr>
          <w:bCs/>
          <w:szCs w:val="22"/>
        </w:rPr>
        <w:t xml:space="preserve">N60 – LT/1/08/0996/009 </w:t>
      </w:r>
    </w:p>
    <w:p w:rsidR="00421268" w:rsidRPr="003562B8" w:rsidRDefault="00421268" w:rsidP="00421268">
      <w:pPr>
        <w:rPr>
          <w:bCs/>
          <w:szCs w:val="22"/>
        </w:rPr>
      </w:pPr>
      <w:r w:rsidRPr="003562B8">
        <w:rPr>
          <w:bCs/>
          <w:szCs w:val="22"/>
        </w:rPr>
        <w:t xml:space="preserve">N90 – LT/1/08/0996/010 </w:t>
      </w:r>
    </w:p>
    <w:p w:rsidR="00421268" w:rsidRPr="003562B8" w:rsidRDefault="00421268" w:rsidP="00421268">
      <w:pPr>
        <w:rPr>
          <w:bCs/>
          <w:szCs w:val="22"/>
        </w:rPr>
      </w:pPr>
      <w:r w:rsidRPr="003562B8">
        <w:rPr>
          <w:bCs/>
          <w:szCs w:val="22"/>
        </w:rPr>
        <w:t xml:space="preserve">N100 – LT/1/08/0996/011 </w:t>
      </w:r>
    </w:p>
    <w:p w:rsidR="00421268" w:rsidRPr="003562B8" w:rsidRDefault="00421268" w:rsidP="00421268">
      <w:pPr>
        <w:rPr>
          <w:bCs/>
          <w:noProof/>
          <w:szCs w:val="22"/>
        </w:rPr>
      </w:pPr>
      <w:r w:rsidRPr="003562B8">
        <w:rPr>
          <w:bCs/>
          <w:noProof/>
          <w:szCs w:val="22"/>
        </w:rPr>
        <w:t xml:space="preserve">N120 – LT/1/08/0996/012 </w:t>
      </w:r>
    </w:p>
    <w:p w:rsidR="00421268" w:rsidRPr="003562B8" w:rsidRDefault="00421268" w:rsidP="00421268">
      <w:pPr>
        <w:rPr>
          <w:szCs w:val="22"/>
        </w:rPr>
      </w:pPr>
    </w:p>
    <w:p w:rsidR="00421268" w:rsidRPr="003562B8" w:rsidRDefault="00421268" w:rsidP="00421268">
      <w:pPr>
        <w:rPr>
          <w:szCs w:val="22"/>
        </w:rPr>
      </w:pPr>
    </w:p>
    <w:p w:rsidR="00421268" w:rsidRPr="003562B8" w:rsidRDefault="00421268" w:rsidP="00421268">
      <w:pPr>
        <w:keepNext/>
        <w:tabs>
          <w:tab w:val="left" w:pos="567"/>
        </w:tabs>
        <w:ind w:left="567" w:hanging="567"/>
        <w:outlineLvl w:val="1"/>
        <w:rPr>
          <w:b/>
          <w:szCs w:val="22"/>
        </w:rPr>
      </w:pPr>
      <w:bookmarkStart w:id="56" w:name="_Toc129243249"/>
      <w:bookmarkStart w:id="57" w:name="_Toc129243124"/>
      <w:r w:rsidRPr="003562B8">
        <w:rPr>
          <w:b/>
          <w:szCs w:val="22"/>
        </w:rPr>
        <w:t>9.</w:t>
      </w:r>
      <w:r w:rsidRPr="003562B8">
        <w:rPr>
          <w:b/>
          <w:szCs w:val="22"/>
        </w:rPr>
        <w:tab/>
        <w:t>RINKODAROS TEISĖS SUTEIKIMO / ATNAUJINIMO DATA</w:t>
      </w:r>
      <w:bookmarkEnd w:id="56"/>
      <w:bookmarkEnd w:id="57"/>
    </w:p>
    <w:p w:rsidR="00421268" w:rsidRPr="003562B8" w:rsidRDefault="00421268" w:rsidP="00421268">
      <w:pPr>
        <w:rPr>
          <w:szCs w:val="22"/>
        </w:rPr>
      </w:pPr>
    </w:p>
    <w:p w:rsidR="00421268" w:rsidRPr="003562B8" w:rsidRDefault="00421268" w:rsidP="00421268">
      <w:pPr>
        <w:rPr>
          <w:szCs w:val="22"/>
        </w:rPr>
      </w:pPr>
      <w:r w:rsidRPr="003562B8">
        <w:rPr>
          <w:noProof/>
          <w:szCs w:val="22"/>
        </w:rPr>
        <w:t>Rinkodaros teisė pirmą kartą suteikta</w:t>
      </w:r>
      <w:r w:rsidRPr="003562B8">
        <w:rPr>
          <w:szCs w:val="22"/>
        </w:rPr>
        <w:t xml:space="preserve"> 2008 m. sausio mėn. 25 d.</w:t>
      </w:r>
    </w:p>
    <w:p w:rsidR="00421268" w:rsidRPr="003562B8" w:rsidRDefault="00421268" w:rsidP="00421268">
      <w:pPr>
        <w:rPr>
          <w:szCs w:val="22"/>
        </w:rPr>
      </w:pPr>
      <w:r w:rsidRPr="003562B8">
        <w:rPr>
          <w:szCs w:val="22"/>
        </w:rPr>
        <w:t>Rinkodaros teisė paskutinį kartą atnaujinta 2013 m. birželio mėn. 27 d.</w:t>
      </w:r>
    </w:p>
    <w:p w:rsidR="00421268" w:rsidRPr="003562B8" w:rsidRDefault="00421268" w:rsidP="00421268">
      <w:pPr>
        <w:rPr>
          <w:szCs w:val="22"/>
        </w:rPr>
      </w:pPr>
    </w:p>
    <w:p w:rsidR="00421268" w:rsidRPr="003562B8" w:rsidRDefault="00421268" w:rsidP="00421268">
      <w:pPr>
        <w:rPr>
          <w:szCs w:val="22"/>
        </w:rPr>
      </w:pPr>
    </w:p>
    <w:p w:rsidR="00421268" w:rsidRPr="003562B8" w:rsidRDefault="00421268" w:rsidP="00421268">
      <w:pPr>
        <w:keepNext/>
        <w:tabs>
          <w:tab w:val="left" w:pos="567"/>
        </w:tabs>
        <w:ind w:left="567" w:hanging="567"/>
        <w:outlineLvl w:val="1"/>
        <w:rPr>
          <w:b/>
          <w:szCs w:val="22"/>
        </w:rPr>
      </w:pPr>
      <w:bookmarkStart w:id="58" w:name="_Toc129243250"/>
      <w:bookmarkStart w:id="59" w:name="_Toc129243125"/>
      <w:r w:rsidRPr="003562B8">
        <w:rPr>
          <w:b/>
          <w:szCs w:val="22"/>
        </w:rPr>
        <w:t>10.</w:t>
      </w:r>
      <w:r w:rsidRPr="003562B8">
        <w:rPr>
          <w:b/>
          <w:szCs w:val="22"/>
        </w:rPr>
        <w:tab/>
        <w:t>TEKSTO PERŽIŪROS DATA</w:t>
      </w:r>
      <w:bookmarkEnd w:id="58"/>
      <w:bookmarkEnd w:id="59"/>
    </w:p>
    <w:p w:rsidR="00421268" w:rsidRPr="003562B8" w:rsidRDefault="00421268" w:rsidP="00421268">
      <w:pPr>
        <w:rPr>
          <w:szCs w:val="22"/>
        </w:rPr>
      </w:pPr>
    </w:p>
    <w:p w:rsidR="00421268" w:rsidRPr="003562B8" w:rsidRDefault="00421268" w:rsidP="00421268">
      <w:pPr>
        <w:rPr>
          <w:szCs w:val="22"/>
        </w:rPr>
      </w:pPr>
      <w:r w:rsidRPr="003562B8">
        <w:rPr>
          <w:szCs w:val="22"/>
        </w:rPr>
        <w:t>2014 m. gruodžio 10 d.</w:t>
      </w:r>
    </w:p>
    <w:p w:rsidR="00421268" w:rsidRPr="003562B8" w:rsidRDefault="00421268" w:rsidP="00421268">
      <w:pPr>
        <w:rPr>
          <w:szCs w:val="22"/>
        </w:rPr>
      </w:pPr>
    </w:p>
    <w:p w:rsidR="00421268" w:rsidRPr="003562B8" w:rsidRDefault="00421268" w:rsidP="00421268">
      <w:pPr>
        <w:tabs>
          <w:tab w:val="left" w:pos="5954"/>
          <w:tab w:val="left" w:pos="6237"/>
          <w:tab w:val="left" w:pos="6663"/>
          <w:tab w:val="left" w:pos="6946"/>
        </w:tabs>
        <w:rPr>
          <w:rFonts w:eastAsia="SimSun"/>
          <w:szCs w:val="22"/>
        </w:rPr>
      </w:pPr>
      <w:r w:rsidRPr="003562B8">
        <w:rPr>
          <w:rFonts w:eastAsia="SimSun"/>
          <w:noProof/>
          <w:szCs w:val="22"/>
        </w:rPr>
        <w:t>Išsami informacija apie šį vaistinį preparatą pateikiama Valstybinės vaistų kontrolės tarnybos prie Lietuvos Respublikos  sveikatos apsaugos ministerijos tinklalapyje</w:t>
      </w:r>
      <w:r w:rsidRPr="003562B8">
        <w:rPr>
          <w:rFonts w:eastAsia="SimSun"/>
          <w:i/>
          <w:noProof/>
          <w:szCs w:val="22"/>
        </w:rPr>
        <w:t xml:space="preserve"> </w:t>
      </w:r>
      <w:hyperlink r:id="rId10" w:history="1">
        <w:r w:rsidRPr="003562B8">
          <w:rPr>
            <w:rFonts w:eastAsia="SimSun"/>
            <w:noProof/>
            <w:color w:val="0000FF"/>
            <w:szCs w:val="22"/>
            <w:u w:val="single"/>
          </w:rPr>
          <w:t>http://www.</w:t>
        </w:r>
        <w:r w:rsidRPr="003562B8">
          <w:rPr>
            <w:rFonts w:eastAsia="SimSun"/>
            <w:color w:val="0000FF"/>
            <w:szCs w:val="22"/>
            <w:u w:val="single"/>
          </w:rPr>
          <w:t>vvkt.lt</w:t>
        </w:r>
      </w:hyperlink>
    </w:p>
    <w:p w:rsidR="00421268" w:rsidRPr="003562B8" w:rsidRDefault="00421268" w:rsidP="00421268">
      <w:pPr>
        <w:rPr>
          <w:rFonts w:eastAsia="SimSun"/>
          <w:b/>
          <w:szCs w:val="22"/>
          <w:lang w:eastAsia="zh-CN"/>
        </w:rPr>
      </w:pPr>
      <w:r w:rsidRPr="003562B8">
        <w:rPr>
          <w:rFonts w:eastAsia="SimSun"/>
          <w:b/>
          <w:szCs w:val="22"/>
          <w:lang w:eastAsia="zh-CN"/>
        </w:rPr>
        <w:br w:type="page"/>
      </w:r>
    </w:p>
    <w:p w:rsidR="00A85C91" w:rsidRPr="00384ADC" w:rsidRDefault="00A85C91" w:rsidP="00421268">
      <w:pPr>
        <w:pStyle w:val="PI-1EMEASMCA"/>
        <w:rPr>
          <w:rFonts w:eastAsia="SimSun"/>
          <w:szCs w:val="20"/>
          <w:lang w:eastAsia="zh-CN"/>
        </w:rPr>
      </w:pPr>
    </w:p>
    <w:p w:rsidR="00A85C91" w:rsidRPr="001922D2" w:rsidRDefault="00A85C91" w:rsidP="001922D2">
      <w:pPr>
        <w:tabs>
          <w:tab w:val="left" w:pos="567"/>
        </w:tabs>
        <w:spacing w:line="260" w:lineRule="exact"/>
        <w:rPr>
          <w:rFonts w:eastAsia="SimSun"/>
          <w:szCs w:val="20"/>
          <w:lang w:eastAsia="zh-CN"/>
        </w:rPr>
      </w:pPr>
    </w:p>
    <w:p w:rsidR="00A85C91" w:rsidRPr="001922D2" w:rsidRDefault="00A85C91" w:rsidP="001922D2">
      <w:pPr>
        <w:tabs>
          <w:tab w:val="left" w:pos="567"/>
        </w:tabs>
        <w:spacing w:line="260" w:lineRule="exact"/>
        <w:rPr>
          <w:rFonts w:eastAsia="SimSun"/>
          <w:szCs w:val="20"/>
          <w:lang w:eastAsia="zh-CN"/>
        </w:rPr>
      </w:pPr>
    </w:p>
    <w:p w:rsidR="00A85C91" w:rsidRPr="001922D2" w:rsidRDefault="00A85C91" w:rsidP="001922D2">
      <w:pPr>
        <w:tabs>
          <w:tab w:val="left" w:pos="567"/>
        </w:tabs>
        <w:spacing w:line="260" w:lineRule="exact"/>
        <w:rPr>
          <w:rFonts w:eastAsia="SimSun"/>
          <w:szCs w:val="20"/>
          <w:lang w:eastAsia="zh-CN"/>
        </w:rPr>
      </w:pPr>
    </w:p>
    <w:p w:rsidR="00A85C91" w:rsidRDefault="00A85C91" w:rsidP="001922D2">
      <w:pPr>
        <w:tabs>
          <w:tab w:val="left" w:pos="567"/>
        </w:tabs>
        <w:spacing w:line="260" w:lineRule="exact"/>
        <w:rPr>
          <w:rFonts w:eastAsia="SimSun"/>
          <w:szCs w:val="20"/>
          <w:lang w:eastAsia="zh-CN"/>
        </w:rPr>
      </w:pPr>
    </w:p>
    <w:p w:rsidR="00D3030E" w:rsidRDefault="00D3030E" w:rsidP="001922D2">
      <w:pPr>
        <w:tabs>
          <w:tab w:val="left" w:pos="567"/>
        </w:tabs>
        <w:spacing w:line="260" w:lineRule="exact"/>
        <w:rPr>
          <w:rFonts w:eastAsia="SimSun"/>
          <w:szCs w:val="20"/>
          <w:lang w:eastAsia="zh-CN"/>
        </w:rPr>
      </w:pPr>
    </w:p>
    <w:p w:rsidR="00D3030E" w:rsidRDefault="00D3030E" w:rsidP="001922D2">
      <w:pPr>
        <w:tabs>
          <w:tab w:val="left" w:pos="567"/>
        </w:tabs>
        <w:spacing w:line="260" w:lineRule="exact"/>
        <w:rPr>
          <w:rFonts w:eastAsia="SimSun"/>
          <w:szCs w:val="20"/>
          <w:lang w:eastAsia="zh-CN"/>
        </w:rPr>
      </w:pPr>
    </w:p>
    <w:p w:rsidR="00D3030E" w:rsidRDefault="00D3030E" w:rsidP="001922D2">
      <w:pPr>
        <w:tabs>
          <w:tab w:val="left" w:pos="567"/>
        </w:tabs>
        <w:spacing w:line="260" w:lineRule="exact"/>
        <w:rPr>
          <w:rFonts w:eastAsia="SimSun"/>
          <w:szCs w:val="20"/>
          <w:lang w:eastAsia="zh-CN"/>
        </w:rPr>
      </w:pPr>
    </w:p>
    <w:p w:rsidR="00D3030E" w:rsidRDefault="00D3030E" w:rsidP="001922D2">
      <w:pPr>
        <w:tabs>
          <w:tab w:val="left" w:pos="567"/>
        </w:tabs>
        <w:spacing w:line="260" w:lineRule="exact"/>
        <w:rPr>
          <w:rFonts w:eastAsia="SimSun"/>
          <w:szCs w:val="20"/>
          <w:lang w:eastAsia="zh-CN"/>
        </w:rPr>
      </w:pPr>
    </w:p>
    <w:p w:rsidR="00D3030E" w:rsidRDefault="00D3030E" w:rsidP="001922D2">
      <w:pPr>
        <w:tabs>
          <w:tab w:val="left" w:pos="567"/>
        </w:tabs>
        <w:spacing w:line="260" w:lineRule="exact"/>
        <w:rPr>
          <w:rFonts w:eastAsia="SimSun"/>
          <w:szCs w:val="20"/>
          <w:lang w:eastAsia="zh-CN"/>
        </w:rPr>
      </w:pPr>
    </w:p>
    <w:p w:rsidR="00D3030E" w:rsidRDefault="00D3030E" w:rsidP="001922D2">
      <w:pPr>
        <w:tabs>
          <w:tab w:val="left" w:pos="567"/>
        </w:tabs>
        <w:spacing w:line="260" w:lineRule="exact"/>
        <w:rPr>
          <w:rFonts w:eastAsia="SimSun"/>
          <w:szCs w:val="20"/>
          <w:lang w:eastAsia="zh-CN"/>
        </w:rPr>
      </w:pPr>
    </w:p>
    <w:p w:rsidR="00D3030E" w:rsidRDefault="00D3030E" w:rsidP="001922D2">
      <w:pPr>
        <w:tabs>
          <w:tab w:val="left" w:pos="567"/>
        </w:tabs>
        <w:spacing w:line="260" w:lineRule="exact"/>
        <w:rPr>
          <w:rFonts w:eastAsia="SimSun"/>
          <w:szCs w:val="20"/>
          <w:lang w:eastAsia="zh-CN"/>
        </w:rPr>
      </w:pPr>
    </w:p>
    <w:p w:rsidR="00D3030E" w:rsidRDefault="00D3030E" w:rsidP="001922D2">
      <w:pPr>
        <w:tabs>
          <w:tab w:val="left" w:pos="567"/>
        </w:tabs>
        <w:spacing w:line="260" w:lineRule="exact"/>
        <w:rPr>
          <w:rFonts w:eastAsia="SimSun"/>
          <w:szCs w:val="20"/>
          <w:lang w:eastAsia="zh-CN"/>
        </w:rPr>
      </w:pPr>
    </w:p>
    <w:p w:rsidR="00D3030E" w:rsidRDefault="00D3030E" w:rsidP="001922D2">
      <w:pPr>
        <w:tabs>
          <w:tab w:val="left" w:pos="567"/>
        </w:tabs>
        <w:spacing w:line="260" w:lineRule="exact"/>
        <w:rPr>
          <w:rFonts w:eastAsia="SimSun"/>
          <w:szCs w:val="20"/>
          <w:lang w:eastAsia="zh-CN"/>
        </w:rPr>
      </w:pPr>
    </w:p>
    <w:p w:rsidR="00D3030E" w:rsidRDefault="00D3030E" w:rsidP="001922D2">
      <w:pPr>
        <w:tabs>
          <w:tab w:val="left" w:pos="567"/>
        </w:tabs>
        <w:spacing w:line="260" w:lineRule="exact"/>
        <w:rPr>
          <w:rFonts w:eastAsia="SimSun"/>
          <w:szCs w:val="20"/>
          <w:lang w:eastAsia="zh-CN"/>
        </w:rPr>
      </w:pPr>
    </w:p>
    <w:p w:rsidR="00D3030E" w:rsidRDefault="00D3030E" w:rsidP="001922D2">
      <w:pPr>
        <w:tabs>
          <w:tab w:val="left" w:pos="567"/>
        </w:tabs>
        <w:spacing w:line="260" w:lineRule="exact"/>
        <w:rPr>
          <w:rFonts w:eastAsia="SimSun"/>
          <w:szCs w:val="20"/>
          <w:lang w:eastAsia="zh-CN"/>
        </w:rPr>
      </w:pPr>
    </w:p>
    <w:p w:rsidR="00D3030E" w:rsidRDefault="00D3030E" w:rsidP="001922D2">
      <w:pPr>
        <w:tabs>
          <w:tab w:val="left" w:pos="567"/>
        </w:tabs>
        <w:spacing w:line="260" w:lineRule="exact"/>
        <w:rPr>
          <w:rFonts w:eastAsia="SimSun"/>
          <w:szCs w:val="20"/>
          <w:lang w:eastAsia="zh-CN"/>
        </w:rPr>
      </w:pPr>
    </w:p>
    <w:p w:rsidR="00D3030E" w:rsidRDefault="00D3030E" w:rsidP="001922D2">
      <w:pPr>
        <w:tabs>
          <w:tab w:val="left" w:pos="567"/>
        </w:tabs>
        <w:spacing w:line="260" w:lineRule="exact"/>
        <w:rPr>
          <w:rFonts w:eastAsia="SimSun"/>
          <w:szCs w:val="20"/>
          <w:lang w:eastAsia="zh-CN"/>
        </w:rPr>
      </w:pPr>
    </w:p>
    <w:p w:rsidR="00D3030E" w:rsidRDefault="00D3030E" w:rsidP="001922D2">
      <w:pPr>
        <w:tabs>
          <w:tab w:val="left" w:pos="567"/>
        </w:tabs>
        <w:spacing w:line="260" w:lineRule="exact"/>
        <w:rPr>
          <w:rFonts w:eastAsia="SimSun"/>
          <w:szCs w:val="20"/>
          <w:lang w:eastAsia="zh-CN"/>
        </w:rPr>
      </w:pPr>
    </w:p>
    <w:p w:rsidR="00D3030E" w:rsidRPr="001922D2" w:rsidRDefault="00D3030E" w:rsidP="001922D2">
      <w:pPr>
        <w:tabs>
          <w:tab w:val="left" w:pos="567"/>
        </w:tabs>
        <w:spacing w:line="260" w:lineRule="exact"/>
        <w:rPr>
          <w:rFonts w:eastAsia="SimSun"/>
          <w:szCs w:val="20"/>
          <w:lang w:eastAsia="zh-CN"/>
        </w:rPr>
      </w:pPr>
    </w:p>
    <w:p w:rsidR="00A85C91" w:rsidRDefault="00A85C91" w:rsidP="001922D2">
      <w:pPr>
        <w:keepNext/>
        <w:tabs>
          <w:tab w:val="left" w:pos="567"/>
        </w:tabs>
        <w:jc w:val="center"/>
        <w:outlineLvl w:val="1"/>
        <w:rPr>
          <w:rFonts w:eastAsia="SimSun"/>
          <w:b/>
          <w:iCs/>
          <w:szCs w:val="22"/>
        </w:rPr>
      </w:pPr>
    </w:p>
    <w:p w:rsidR="00A85C91" w:rsidRDefault="00A85C91" w:rsidP="001922D2">
      <w:pPr>
        <w:keepNext/>
        <w:tabs>
          <w:tab w:val="left" w:pos="567"/>
        </w:tabs>
        <w:jc w:val="center"/>
        <w:outlineLvl w:val="1"/>
        <w:rPr>
          <w:rFonts w:eastAsia="SimSun"/>
          <w:b/>
          <w:iCs/>
          <w:szCs w:val="22"/>
        </w:rPr>
      </w:pPr>
    </w:p>
    <w:p w:rsidR="00A85C91" w:rsidRDefault="00A85C91" w:rsidP="001922D2">
      <w:pPr>
        <w:keepNext/>
        <w:tabs>
          <w:tab w:val="left" w:pos="567"/>
        </w:tabs>
        <w:jc w:val="center"/>
        <w:outlineLvl w:val="1"/>
        <w:rPr>
          <w:rFonts w:eastAsia="SimSun"/>
          <w:b/>
          <w:iCs/>
          <w:szCs w:val="22"/>
        </w:rPr>
      </w:pPr>
    </w:p>
    <w:p w:rsidR="00A85C91" w:rsidRPr="001922D2" w:rsidRDefault="00A85C91" w:rsidP="001922D2">
      <w:pPr>
        <w:keepNext/>
        <w:tabs>
          <w:tab w:val="left" w:pos="567"/>
        </w:tabs>
        <w:jc w:val="center"/>
        <w:outlineLvl w:val="1"/>
        <w:rPr>
          <w:rFonts w:eastAsia="SimSun"/>
          <w:b/>
          <w:iCs/>
          <w:szCs w:val="22"/>
        </w:rPr>
      </w:pPr>
      <w:r w:rsidRPr="001922D2">
        <w:rPr>
          <w:rFonts w:eastAsia="SimSun"/>
          <w:b/>
          <w:iCs/>
          <w:szCs w:val="22"/>
        </w:rPr>
        <w:t>II PRIEDAS</w:t>
      </w:r>
    </w:p>
    <w:p w:rsidR="00A85C91" w:rsidRPr="001922D2" w:rsidRDefault="00A85C91" w:rsidP="001922D2">
      <w:pPr>
        <w:tabs>
          <w:tab w:val="left" w:pos="567"/>
        </w:tabs>
        <w:spacing w:line="260" w:lineRule="exact"/>
        <w:rPr>
          <w:rFonts w:eastAsia="SimSun"/>
          <w:b/>
          <w:i/>
          <w:szCs w:val="20"/>
          <w:lang w:eastAsia="zh-CN"/>
        </w:rPr>
      </w:pPr>
    </w:p>
    <w:p w:rsidR="00A85C91" w:rsidRPr="001922D2" w:rsidRDefault="00A85C91" w:rsidP="001922D2">
      <w:pPr>
        <w:tabs>
          <w:tab w:val="left" w:pos="567"/>
        </w:tabs>
        <w:spacing w:line="260" w:lineRule="exact"/>
        <w:jc w:val="center"/>
        <w:rPr>
          <w:rFonts w:eastAsia="SimSun"/>
          <w:i/>
          <w:szCs w:val="20"/>
          <w:lang w:eastAsia="zh-CN"/>
        </w:rPr>
      </w:pPr>
      <w:r w:rsidRPr="001922D2">
        <w:rPr>
          <w:rFonts w:eastAsia="SimSun"/>
          <w:b/>
          <w:szCs w:val="20"/>
        </w:rPr>
        <w:t>RINKODAROS SĄLYGOS</w:t>
      </w:r>
    </w:p>
    <w:p w:rsidR="00A85C91" w:rsidRPr="001922D2" w:rsidRDefault="00A85C91" w:rsidP="001922D2">
      <w:pPr>
        <w:tabs>
          <w:tab w:val="left" w:pos="567"/>
        </w:tabs>
        <w:spacing w:line="260" w:lineRule="exact"/>
        <w:rPr>
          <w:rFonts w:eastAsia="SimSun"/>
          <w:szCs w:val="20"/>
          <w:lang w:eastAsia="zh-CN"/>
        </w:rPr>
      </w:pPr>
    </w:p>
    <w:p w:rsidR="00A85C91" w:rsidRPr="001922D2" w:rsidRDefault="00A85C91" w:rsidP="001922D2">
      <w:pPr>
        <w:tabs>
          <w:tab w:val="left" w:pos="567"/>
        </w:tabs>
        <w:ind w:left="1701" w:right="1416" w:hanging="708"/>
        <w:rPr>
          <w:rFonts w:eastAsia="SimSun"/>
          <w:b/>
          <w:szCs w:val="20"/>
          <w:lang w:eastAsia="zh-CN"/>
        </w:rPr>
      </w:pPr>
      <w:r w:rsidRPr="001922D2">
        <w:rPr>
          <w:rFonts w:eastAsia="SimSun"/>
          <w:b/>
          <w:lang w:eastAsia="zh-CN"/>
        </w:rPr>
        <w:t>A.</w:t>
      </w:r>
      <w:r w:rsidRPr="001922D2">
        <w:rPr>
          <w:rFonts w:eastAsia="SimSun"/>
          <w:b/>
          <w:szCs w:val="20"/>
          <w:lang w:eastAsia="zh-CN"/>
        </w:rPr>
        <w:tab/>
      </w:r>
      <w:r w:rsidRPr="001922D2">
        <w:rPr>
          <w:rFonts w:eastAsia="SimSun"/>
          <w:b/>
          <w:szCs w:val="22"/>
          <w:lang w:eastAsia="zh-CN"/>
        </w:rPr>
        <w:t>GAMINTOJAS (-AI), ATSAKINGAS (-I) UŽ SERIJŲ IŠLEIDIMĄ</w:t>
      </w:r>
    </w:p>
    <w:p w:rsidR="00A85C91" w:rsidRPr="001922D2" w:rsidRDefault="00A85C91" w:rsidP="001922D2">
      <w:pPr>
        <w:tabs>
          <w:tab w:val="left" w:pos="567"/>
        </w:tabs>
        <w:spacing w:line="260" w:lineRule="exact"/>
        <w:rPr>
          <w:rFonts w:eastAsia="SimSun"/>
          <w:szCs w:val="20"/>
          <w:lang w:eastAsia="zh-CN"/>
        </w:rPr>
      </w:pPr>
    </w:p>
    <w:p w:rsidR="00A85C91" w:rsidRPr="001922D2" w:rsidRDefault="00A85C91" w:rsidP="001922D2">
      <w:pPr>
        <w:suppressLineNumbers/>
        <w:tabs>
          <w:tab w:val="left" w:pos="567"/>
        </w:tabs>
        <w:ind w:left="1701" w:right="1416" w:hanging="708"/>
        <w:rPr>
          <w:rFonts w:eastAsia="SimSun"/>
          <w:szCs w:val="20"/>
          <w:lang w:eastAsia="zh-CN"/>
        </w:rPr>
      </w:pPr>
      <w:r w:rsidRPr="001922D2">
        <w:rPr>
          <w:rFonts w:eastAsia="SimSun"/>
          <w:b/>
          <w:lang w:eastAsia="zh-CN"/>
        </w:rPr>
        <w:t>B.</w:t>
      </w:r>
      <w:r w:rsidRPr="001922D2">
        <w:rPr>
          <w:rFonts w:eastAsia="SimSun"/>
          <w:b/>
          <w:szCs w:val="20"/>
          <w:lang w:eastAsia="zh-CN"/>
        </w:rPr>
        <w:tab/>
      </w:r>
      <w:r w:rsidRPr="001922D2">
        <w:rPr>
          <w:rFonts w:eastAsia="SimSun"/>
          <w:b/>
          <w:lang w:eastAsia="zh-CN"/>
        </w:rPr>
        <w:t>TIEKIMO IR VARTOJIMO SĄLYGOS AR APRIBOJIMAI</w:t>
      </w:r>
    </w:p>
    <w:p w:rsidR="00A85C91" w:rsidRPr="001922D2" w:rsidRDefault="00A85C91" w:rsidP="001922D2">
      <w:pPr>
        <w:tabs>
          <w:tab w:val="left" w:pos="567"/>
        </w:tabs>
        <w:spacing w:line="260" w:lineRule="exact"/>
        <w:rPr>
          <w:rFonts w:eastAsia="SimSun"/>
          <w:szCs w:val="20"/>
          <w:lang w:eastAsia="zh-CN"/>
        </w:rPr>
      </w:pPr>
    </w:p>
    <w:p w:rsidR="00A85C91" w:rsidRPr="001922D2" w:rsidRDefault="00A85C91" w:rsidP="001922D2">
      <w:pPr>
        <w:tabs>
          <w:tab w:val="left" w:pos="567"/>
        </w:tabs>
        <w:spacing w:line="260" w:lineRule="exact"/>
        <w:rPr>
          <w:rFonts w:eastAsia="SimSun"/>
          <w:szCs w:val="20"/>
          <w:lang w:eastAsia="zh-CN"/>
        </w:rPr>
      </w:pPr>
    </w:p>
    <w:p w:rsidR="00A85C91" w:rsidRPr="001922D2" w:rsidRDefault="00A85C91" w:rsidP="001922D2">
      <w:pPr>
        <w:tabs>
          <w:tab w:val="left" w:pos="567"/>
        </w:tabs>
        <w:spacing w:line="260" w:lineRule="exact"/>
        <w:rPr>
          <w:rFonts w:eastAsia="SimSun"/>
          <w:b/>
          <w:szCs w:val="20"/>
          <w:lang w:eastAsia="zh-CN"/>
        </w:rPr>
      </w:pPr>
      <w:r w:rsidRPr="001922D2">
        <w:rPr>
          <w:rFonts w:eastAsia="SimSun"/>
          <w:szCs w:val="20"/>
          <w:lang w:eastAsia="zh-CN"/>
        </w:rPr>
        <w:br w:type="page"/>
      </w:r>
      <w:r w:rsidRPr="001922D2">
        <w:rPr>
          <w:rFonts w:eastAsia="SimSun"/>
          <w:b/>
          <w:lang w:eastAsia="zh-CN"/>
        </w:rPr>
        <w:lastRenderedPageBreak/>
        <w:t>A.</w:t>
      </w:r>
      <w:r w:rsidRPr="001922D2">
        <w:rPr>
          <w:rFonts w:eastAsia="SimSun"/>
          <w:b/>
          <w:lang w:eastAsia="zh-CN"/>
        </w:rPr>
        <w:tab/>
      </w:r>
      <w:r w:rsidRPr="001922D2">
        <w:rPr>
          <w:rFonts w:eastAsia="SimSun"/>
          <w:b/>
          <w:szCs w:val="22"/>
          <w:lang w:eastAsia="zh-CN"/>
        </w:rPr>
        <w:t>GAMINTOJAS (-AI), ATSAKINGAS (-I) UŽ SERIJŲ IŠLEIDIMĄ</w:t>
      </w:r>
    </w:p>
    <w:p w:rsidR="00A85C91" w:rsidRPr="001922D2" w:rsidRDefault="00A85C91" w:rsidP="001922D2">
      <w:pPr>
        <w:tabs>
          <w:tab w:val="left" w:pos="567"/>
        </w:tabs>
        <w:spacing w:line="260" w:lineRule="exact"/>
        <w:rPr>
          <w:rFonts w:eastAsia="SimSun"/>
          <w:szCs w:val="20"/>
          <w:lang w:eastAsia="zh-CN"/>
        </w:rPr>
      </w:pPr>
    </w:p>
    <w:p w:rsidR="00A85C91" w:rsidRPr="001922D2" w:rsidRDefault="00A85C91" w:rsidP="001922D2">
      <w:pPr>
        <w:tabs>
          <w:tab w:val="left" w:pos="567"/>
        </w:tabs>
        <w:jc w:val="both"/>
        <w:rPr>
          <w:rFonts w:eastAsia="SimSun"/>
          <w:szCs w:val="22"/>
          <w:lang w:eastAsia="zh-CN"/>
        </w:rPr>
      </w:pPr>
      <w:r w:rsidRPr="001922D2">
        <w:rPr>
          <w:rFonts w:eastAsia="SimSun"/>
          <w:szCs w:val="22"/>
          <w:u w:val="single"/>
          <w:lang w:eastAsia="zh-CN"/>
        </w:rPr>
        <w:t>Gamintojo (-ų), atsakingo (-ų) už serijų išleidimą, pavadinimas (-ai) ir adresas (-ai)</w:t>
      </w:r>
    </w:p>
    <w:p w:rsidR="00A85C91" w:rsidRPr="001922D2" w:rsidRDefault="00A85C91" w:rsidP="001922D2">
      <w:pPr>
        <w:tabs>
          <w:tab w:val="left" w:pos="567"/>
        </w:tabs>
        <w:spacing w:line="260" w:lineRule="exact"/>
        <w:rPr>
          <w:rFonts w:eastAsia="SimSun"/>
          <w:szCs w:val="20"/>
          <w:lang w:eastAsia="zh-CN"/>
        </w:rPr>
      </w:pPr>
    </w:p>
    <w:p w:rsidR="00A85C91" w:rsidRPr="004B027E" w:rsidRDefault="00A85C91" w:rsidP="001922D2">
      <w:pPr>
        <w:pStyle w:val="BTEMEASMCA"/>
        <w:rPr>
          <w:noProof w:val="0"/>
        </w:rPr>
      </w:pPr>
      <w:r w:rsidRPr="004B027E">
        <w:rPr>
          <w:noProof w:val="0"/>
        </w:rPr>
        <w:t>Orion Corporation, Orion Pharma</w:t>
      </w:r>
    </w:p>
    <w:p w:rsidR="00A85C91" w:rsidRPr="004B027E" w:rsidRDefault="00A85C91" w:rsidP="001922D2">
      <w:pPr>
        <w:pStyle w:val="BTEMEASMCA"/>
        <w:rPr>
          <w:noProof w:val="0"/>
        </w:rPr>
      </w:pPr>
      <w:r w:rsidRPr="004B027E">
        <w:rPr>
          <w:noProof w:val="0"/>
        </w:rPr>
        <w:t>Orionintie 1</w:t>
      </w:r>
    </w:p>
    <w:p w:rsidR="00A85C91" w:rsidRPr="004B027E" w:rsidRDefault="00A85C91" w:rsidP="001922D2">
      <w:pPr>
        <w:pStyle w:val="BTEMEASMCA"/>
        <w:rPr>
          <w:noProof w:val="0"/>
        </w:rPr>
      </w:pPr>
      <w:r w:rsidRPr="004B027E">
        <w:rPr>
          <w:noProof w:val="0"/>
        </w:rPr>
        <w:t>FI-02200 Espoo</w:t>
      </w:r>
    </w:p>
    <w:p w:rsidR="00A85C91" w:rsidRPr="004B027E" w:rsidRDefault="00A85C91" w:rsidP="001922D2">
      <w:pPr>
        <w:pStyle w:val="BTEMEASMCA"/>
        <w:rPr>
          <w:noProof w:val="0"/>
        </w:rPr>
      </w:pPr>
      <w:r w:rsidRPr="004B027E">
        <w:rPr>
          <w:noProof w:val="0"/>
        </w:rPr>
        <w:t>Suomija</w:t>
      </w:r>
    </w:p>
    <w:p w:rsidR="00A85C91" w:rsidRDefault="00A85C91" w:rsidP="001922D2">
      <w:pPr>
        <w:tabs>
          <w:tab w:val="left" w:pos="567"/>
        </w:tabs>
        <w:spacing w:line="260" w:lineRule="exact"/>
        <w:rPr>
          <w:rFonts w:eastAsia="SimSun"/>
          <w:szCs w:val="20"/>
          <w:lang w:eastAsia="zh-CN"/>
        </w:rPr>
      </w:pPr>
    </w:p>
    <w:p w:rsidR="00A85C91" w:rsidRPr="001922D2" w:rsidRDefault="00A85C91" w:rsidP="001922D2">
      <w:pPr>
        <w:tabs>
          <w:tab w:val="left" w:pos="567"/>
        </w:tabs>
        <w:spacing w:line="260" w:lineRule="exact"/>
        <w:rPr>
          <w:rFonts w:eastAsia="SimSun"/>
          <w:szCs w:val="20"/>
          <w:lang w:eastAsia="zh-CN"/>
        </w:rPr>
      </w:pPr>
    </w:p>
    <w:p w:rsidR="00A85C91" w:rsidRPr="001922D2" w:rsidRDefault="00A85C91" w:rsidP="001922D2">
      <w:pPr>
        <w:suppressLineNumbers/>
        <w:tabs>
          <w:tab w:val="left" w:pos="567"/>
        </w:tabs>
        <w:ind w:left="567" w:hanging="567"/>
        <w:rPr>
          <w:rFonts w:eastAsia="SimSun"/>
          <w:szCs w:val="20"/>
          <w:lang w:eastAsia="zh-CN"/>
        </w:rPr>
      </w:pPr>
      <w:r w:rsidRPr="001922D2">
        <w:rPr>
          <w:rFonts w:eastAsia="SimSun"/>
          <w:b/>
          <w:lang w:eastAsia="zh-CN"/>
        </w:rPr>
        <w:t>B.</w:t>
      </w:r>
      <w:r w:rsidRPr="001922D2">
        <w:rPr>
          <w:rFonts w:eastAsia="SimSun"/>
          <w:b/>
          <w:szCs w:val="20"/>
          <w:lang w:eastAsia="zh-CN"/>
        </w:rPr>
        <w:tab/>
      </w:r>
      <w:r w:rsidRPr="001922D2">
        <w:rPr>
          <w:rFonts w:eastAsia="SimSun"/>
          <w:b/>
          <w:lang w:eastAsia="zh-CN"/>
        </w:rPr>
        <w:t xml:space="preserve">TIEKIMO IR VARTOJIMO SĄLYGOS AR APRIBOJIMAI </w:t>
      </w:r>
    </w:p>
    <w:p w:rsidR="00A85C91" w:rsidRPr="001922D2" w:rsidRDefault="00A85C91" w:rsidP="001922D2">
      <w:pPr>
        <w:tabs>
          <w:tab w:val="left" w:pos="567"/>
        </w:tabs>
        <w:spacing w:line="260" w:lineRule="exact"/>
        <w:rPr>
          <w:rFonts w:eastAsia="SimSun"/>
          <w:szCs w:val="20"/>
          <w:lang w:eastAsia="zh-CN"/>
        </w:rPr>
      </w:pPr>
    </w:p>
    <w:p w:rsidR="00A85C91" w:rsidRDefault="00A85C91" w:rsidP="001922D2">
      <w:pPr>
        <w:tabs>
          <w:tab w:val="left" w:pos="567"/>
        </w:tabs>
        <w:spacing w:line="260" w:lineRule="exact"/>
        <w:rPr>
          <w:rFonts w:eastAsia="SimSun"/>
          <w:szCs w:val="20"/>
          <w:lang w:eastAsia="zh-CN"/>
        </w:rPr>
      </w:pPr>
      <w:r w:rsidRPr="001922D2">
        <w:rPr>
          <w:rFonts w:eastAsia="SimSun"/>
          <w:szCs w:val="20"/>
          <w:lang w:eastAsia="zh-CN"/>
        </w:rPr>
        <w:t>R</w:t>
      </w:r>
      <w:r>
        <w:rPr>
          <w:rFonts w:eastAsia="SimSun"/>
          <w:szCs w:val="20"/>
          <w:lang w:eastAsia="zh-CN"/>
        </w:rPr>
        <w:t>eceptinis vaistinis preparatas.</w:t>
      </w:r>
    </w:p>
    <w:p w:rsidR="00A85C91" w:rsidRDefault="00A85C91" w:rsidP="001922D2">
      <w:pPr>
        <w:tabs>
          <w:tab w:val="left" w:pos="567"/>
        </w:tabs>
        <w:spacing w:line="260" w:lineRule="exact"/>
        <w:rPr>
          <w:rFonts w:eastAsia="SimSun"/>
          <w:szCs w:val="20"/>
          <w:lang w:eastAsia="zh-CN"/>
        </w:rPr>
      </w:pPr>
    </w:p>
    <w:p w:rsidR="00A85C91" w:rsidRPr="001922D2" w:rsidRDefault="00A85C91" w:rsidP="001922D2">
      <w:pPr>
        <w:tabs>
          <w:tab w:val="left" w:pos="567"/>
        </w:tabs>
        <w:spacing w:line="260" w:lineRule="exact"/>
        <w:rPr>
          <w:rFonts w:eastAsia="SimSun"/>
          <w:szCs w:val="20"/>
          <w:lang w:eastAsia="zh-CN"/>
        </w:rPr>
      </w:pPr>
    </w:p>
    <w:p w:rsidR="00A85C91" w:rsidRDefault="00A85C91">
      <w:pPr>
        <w:spacing w:after="200" w:line="276" w:lineRule="auto"/>
        <w:rPr>
          <w:szCs w:val="22"/>
        </w:rPr>
      </w:pPr>
      <w:r>
        <w:br w:type="page"/>
      </w:r>
    </w:p>
    <w:p w:rsidR="00A85C91" w:rsidRPr="004B027E" w:rsidRDefault="00A85C91" w:rsidP="001922D2">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Default="00A85C91">
      <w:pPr>
        <w:pStyle w:val="BTEMEASMCA"/>
        <w:rPr>
          <w:noProof w:val="0"/>
        </w:rPr>
      </w:pPr>
    </w:p>
    <w:p w:rsidR="00A85C91" w:rsidRDefault="00A85C91">
      <w:pPr>
        <w:pStyle w:val="BTEMEASMCA"/>
        <w:rPr>
          <w:noProof w:val="0"/>
        </w:rPr>
      </w:pPr>
    </w:p>
    <w:p w:rsidR="00A85C91" w:rsidRDefault="00A85C91">
      <w:pPr>
        <w:pStyle w:val="BTEMEASMCA"/>
        <w:rPr>
          <w:noProof w:val="0"/>
        </w:rPr>
      </w:pPr>
    </w:p>
    <w:p w:rsidR="00A85C91" w:rsidRPr="004B027E" w:rsidRDefault="00A85C91">
      <w:pPr>
        <w:pStyle w:val="BTEMEASMCA"/>
        <w:rPr>
          <w:noProof w:val="0"/>
        </w:rPr>
      </w:pPr>
    </w:p>
    <w:p w:rsidR="00A85C91" w:rsidRPr="004B027E" w:rsidRDefault="00A85C91">
      <w:pPr>
        <w:pStyle w:val="TTEMEASMCA"/>
        <w:rPr>
          <w:lang w:val="lt-LT"/>
        </w:rPr>
      </w:pPr>
      <w:bookmarkStart w:id="60" w:name="_Toc129243134"/>
      <w:bookmarkStart w:id="61" w:name="_Toc129243259"/>
      <w:r w:rsidRPr="004B027E">
        <w:rPr>
          <w:lang w:val="lt-LT"/>
        </w:rPr>
        <w:t>III PRIEDAS</w:t>
      </w:r>
      <w:bookmarkEnd w:id="60"/>
      <w:bookmarkEnd w:id="61"/>
    </w:p>
    <w:p w:rsidR="00A85C91" w:rsidRPr="004B027E" w:rsidRDefault="00A85C91">
      <w:pPr>
        <w:pStyle w:val="BTEMEASMCA"/>
        <w:rPr>
          <w:noProof w:val="0"/>
        </w:rPr>
      </w:pPr>
    </w:p>
    <w:p w:rsidR="00A85C91" w:rsidRPr="004B027E" w:rsidRDefault="00A85C91">
      <w:pPr>
        <w:pStyle w:val="TTEMEASMCA"/>
        <w:rPr>
          <w:lang w:val="lt-LT"/>
        </w:rPr>
      </w:pPr>
      <w:bookmarkStart w:id="62" w:name="_Toc129243135"/>
      <w:bookmarkStart w:id="63" w:name="_Toc129243260"/>
      <w:r w:rsidRPr="004B027E">
        <w:rPr>
          <w:lang w:val="lt-LT"/>
        </w:rPr>
        <w:t>ŽENKLINIMAS IR PAKUOTĖS LAPELIS</w:t>
      </w:r>
      <w:bookmarkEnd w:id="62"/>
      <w:bookmarkEnd w:id="63"/>
    </w:p>
    <w:p w:rsidR="00A85C91" w:rsidRPr="004B027E" w:rsidRDefault="00A85C91">
      <w:pPr>
        <w:pStyle w:val="BTEMEASMCA"/>
        <w:rPr>
          <w:noProof w:val="0"/>
        </w:rPr>
      </w:pPr>
      <w:r w:rsidRPr="004B027E">
        <w:rPr>
          <w:noProof w:val="0"/>
        </w:rPr>
        <w:br w:type="page"/>
      </w: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Default="00A85C91">
      <w:pPr>
        <w:pStyle w:val="BTEMEASMCA"/>
        <w:rPr>
          <w:noProof w:val="0"/>
        </w:rPr>
      </w:pPr>
    </w:p>
    <w:p w:rsidR="00A85C91" w:rsidRPr="004B027E" w:rsidRDefault="00A85C91">
      <w:pPr>
        <w:pStyle w:val="BTEMEASMCA"/>
        <w:rPr>
          <w:noProof w:val="0"/>
        </w:rPr>
      </w:pPr>
    </w:p>
    <w:p w:rsidR="00A85C91" w:rsidRPr="004B027E" w:rsidRDefault="00A85C91">
      <w:pPr>
        <w:pStyle w:val="TTEMEASMCA"/>
        <w:rPr>
          <w:lang w:val="lt-LT"/>
        </w:rPr>
      </w:pPr>
      <w:bookmarkStart w:id="64" w:name="_Toc129243136"/>
      <w:bookmarkStart w:id="65" w:name="_Toc129243261"/>
      <w:r w:rsidRPr="004B027E">
        <w:rPr>
          <w:lang w:val="lt-LT"/>
        </w:rPr>
        <w:t>A. ŽENKLINIMAS</w:t>
      </w:r>
      <w:bookmarkEnd w:id="64"/>
      <w:bookmarkEnd w:id="65"/>
    </w:p>
    <w:p w:rsidR="00A85C91" w:rsidRPr="004B027E" w:rsidRDefault="00A85C91">
      <w:pPr>
        <w:pStyle w:val="BTEMEASMCA"/>
        <w:rPr>
          <w:noProof w:val="0"/>
        </w:rPr>
      </w:pPr>
      <w:r w:rsidRPr="004B027E">
        <w:rPr>
          <w:noProof w:val="0"/>
        </w:rPr>
        <w:br w:type="page"/>
      </w: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lastRenderedPageBreak/>
        <w:t>INFORMACIJA ANT IŠORINĖS PAKUOTĖS</w:t>
      </w: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t>KartonO dėžutė</w:t>
      </w: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t>1.</w:t>
      </w:r>
      <w:r w:rsidRPr="0011137F">
        <w:rPr>
          <w:b/>
          <w:caps/>
          <w:szCs w:val="22"/>
        </w:rPr>
        <w:tab/>
        <w:t>VAISTINIO PREPARATO PAVADINIMAS</w:t>
      </w:r>
    </w:p>
    <w:p w:rsidR="00421268" w:rsidRPr="0011137F" w:rsidRDefault="00421268" w:rsidP="00421268">
      <w:pPr>
        <w:rPr>
          <w:szCs w:val="22"/>
        </w:rPr>
      </w:pPr>
    </w:p>
    <w:p w:rsidR="00421268" w:rsidRPr="0011137F" w:rsidRDefault="00421268" w:rsidP="00421268">
      <w:pPr>
        <w:rPr>
          <w:szCs w:val="22"/>
        </w:rPr>
      </w:pPr>
      <w:r w:rsidRPr="0011137F">
        <w:rPr>
          <w:szCs w:val="22"/>
        </w:rPr>
        <w:t>Nebivolol Orion 5 mg tabletės</w:t>
      </w:r>
    </w:p>
    <w:p w:rsidR="00421268" w:rsidRPr="0011137F" w:rsidRDefault="00421268" w:rsidP="00421268">
      <w:pPr>
        <w:rPr>
          <w:szCs w:val="22"/>
        </w:rPr>
      </w:pPr>
      <w:r w:rsidRPr="0011137F">
        <w:rPr>
          <w:szCs w:val="22"/>
        </w:rPr>
        <w:t>Nebivololum</w:t>
      </w:r>
    </w:p>
    <w:p w:rsidR="00421268" w:rsidRPr="0011137F" w:rsidRDefault="00421268" w:rsidP="00421268">
      <w:pPr>
        <w:rPr>
          <w:szCs w:val="22"/>
        </w:rPr>
      </w:pP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t>2.</w:t>
      </w:r>
      <w:r w:rsidRPr="0011137F">
        <w:rPr>
          <w:b/>
          <w:caps/>
          <w:szCs w:val="22"/>
        </w:rPr>
        <w:tab/>
        <w:t>VEIKLIOJI (-IOS) MEDŽIAGA (-OS) IR JOS (-Ų) KIEKIS (-IAI)</w:t>
      </w:r>
    </w:p>
    <w:p w:rsidR="00421268" w:rsidRPr="0011137F" w:rsidRDefault="00421268" w:rsidP="00421268">
      <w:pPr>
        <w:tabs>
          <w:tab w:val="left" w:pos="6120"/>
          <w:tab w:val="left" w:pos="7797"/>
        </w:tabs>
        <w:rPr>
          <w:szCs w:val="22"/>
        </w:rPr>
      </w:pPr>
    </w:p>
    <w:p w:rsidR="00421268" w:rsidRPr="0011137F" w:rsidRDefault="00421268" w:rsidP="00421268">
      <w:pPr>
        <w:tabs>
          <w:tab w:val="left" w:pos="6120"/>
          <w:tab w:val="left" w:pos="7797"/>
        </w:tabs>
        <w:rPr>
          <w:color w:val="221E1F"/>
          <w:szCs w:val="22"/>
        </w:rPr>
      </w:pPr>
      <w:r w:rsidRPr="0011137F">
        <w:rPr>
          <w:szCs w:val="22"/>
        </w:rPr>
        <w:t>Kiekvienoje tabletėje yra 5 mg nebivololio, atitinkančio 5,45 mg nebivololio hidrochlorido</w:t>
      </w:r>
      <w:r w:rsidRPr="0011137F">
        <w:rPr>
          <w:color w:val="221E1F"/>
          <w:szCs w:val="22"/>
        </w:rPr>
        <w:t>.</w:t>
      </w:r>
    </w:p>
    <w:p w:rsidR="00421268" w:rsidRPr="0011137F" w:rsidRDefault="00421268" w:rsidP="00421268">
      <w:pPr>
        <w:rPr>
          <w:szCs w:val="22"/>
        </w:rPr>
      </w:pP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highlight w:val="lightGray"/>
        </w:rPr>
      </w:pPr>
      <w:r w:rsidRPr="0011137F">
        <w:rPr>
          <w:b/>
          <w:caps/>
          <w:szCs w:val="22"/>
        </w:rPr>
        <w:t>3.</w:t>
      </w:r>
      <w:r w:rsidRPr="0011137F">
        <w:rPr>
          <w:b/>
          <w:caps/>
          <w:szCs w:val="22"/>
        </w:rPr>
        <w:tab/>
        <w:t>PAGALBINIŲ MEDŽIAGŲ SĄRAŠAS</w:t>
      </w:r>
    </w:p>
    <w:p w:rsidR="00421268" w:rsidRPr="0011137F" w:rsidRDefault="00421268" w:rsidP="00421268">
      <w:pPr>
        <w:rPr>
          <w:szCs w:val="22"/>
        </w:rPr>
      </w:pPr>
    </w:p>
    <w:p w:rsidR="00421268" w:rsidRPr="0011137F" w:rsidRDefault="00421268" w:rsidP="00421268">
      <w:pPr>
        <w:rPr>
          <w:szCs w:val="22"/>
        </w:rPr>
      </w:pPr>
      <w:r w:rsidRPr="0011137F">
        <w:rPr>
          <w:szCs w:val="22"/>
        </w:rPr>
        <w:t>Sudėtyje yra laktozės monohidrato. Daugiau informacijos rasite pakuotės lapelyje.</w:t>
      </w:r>
    </w:p>
    <w:p w:rsidR="00421268" w:rsidRPr="0011137F" w:rsidRDefault="00421268" w:rsidP="00421268">
      <w:pPr>
        <w:tabs>
          <w:tab w:val="left" w:pos="6120"/>
          <w:tab w:val="left" w:pos="7797"/>
        </w:tabs>
        <w:rPr>
          <w:szCs w:val="22"/>
        </w:rPr>
      </w:pP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t>4.</w:t>
      </w:r>
      <w:r w:rsidRPr="0011137F">
        <w:rPr>
          <w:b/>
          <w:caps/>
          <w:szCs w:val="22"/>
        </w:rPr>
        <w:tab/>
        <w:t>FARMACINĖ FORMA IR KIEKIS PAKUOTĖJE</w:t>
      </w:r>
    </w:p>
    <w:p w:rsidR="00421268" w:rsidRPr="0011137F" w:rsidRDefault="00421268" w:rsidP="00421268">
      <w:pPr>
        <w:rPr>
          <w:szCs w:val="22"/>
        </w:rPr>
      </w:pPr>
    </w:p>
    <w:p w:rsidR="00421268" w:rsidRPr="0011137F" w:rsidRDefault="00421268" w:rsidP="00421268">
      <w:pPr>
        <w:rPr>
          <w:noProof/>
          <w:szCs w:val="22"/>
          <w:lang w:eastAsia="en-GB"/>
        </w:rPr>
      </w:pPr>
      <w:r w:rsidRPr="0011137F">
        <w:rPr>
          <w:noProof/>
          <w:szCs w:val="22"/>
          <w:lang w:eastAsia="en-GB"/>
        </w:rPr>
        <w:t>7 tabletės</w:t>
      </w:r>
    </w:p>
    <w:p w:rsidR="00421268" w:rsidRPr="0011137F" w:rsidRDefault="00421268" w:rsidP="00421268">
      <w:pPr>
        <w:rPr>
          <w:noProof/>
          <w:szCs w:val="22"/>
          <w:highlight w:val="lightGray"/>
          <w:lang w:eastAsia="en-GB"/>
        </w:rPr>
      </w:pPr>
      <w:r w:rsidRPr="0011137F">
        <w:rPr>
          <w:noProof/>
          <w:szCs w:val="22"/>
          <w:highlight w:val="lightGray"/>
          <w:lang w:eastAsia="en-GB"/>
        </w:rPr>
        <w:t>10 tablečių</w:t>
      </w:r>
    </w:p>
    <w:p w:rsidR="00421268" w:rsidRPr="0011137F" w:rsidRDefault="00421268" w:rsidP="00421268">
      <w:pPr>
        <w:rPr>
          <w:noProof/>
          <w:szCs w:val="22"/>
          <w:highlight w:val="lightGray"/>
          <w:lang w:eastAsia="en-GB"/>
        </w:rPr>
      </w:pPr>
      <w:r w:rsidRPr="0011137F">
        <w:rPr>
          <w:noProof/>
          <w:szCs w:val="22"/>
          <w:highlight w:val="lightGray"/>
          <w:lang w:eastAsia="en-GB"/>
        </w:rPr>
        <w:t>14 tablečių</w:t>
      </w:r>
    </w:p>
    <w:p w:rsidR="00421268" w:rsidRPr="0011137F" w:rsidRDefault="00421268" w:rsidP="00421268">
      <w:pPr>
        <w:rPr>
          <w:noProof/>
          <w:szCs w:val="22"/>
          <w:highlight w:val="lightGray"/>
          <w:lang w:eastAsia="en-GB"/>
        </w:rPr>
      </w:pPr>
      <w:r w:rsidRPr="0011137F">
        <w:rPr>
          <w:noProof/>
          <w:szCs w:val="22"/>
          <w:highlight w:val="lightGray"/>
          <w:lang w:eastAsia="en-GB"/>
        </w:rPr>
        <w:t>20 tablečių</w:t>
      </w:r>
    </w:p>
    <w:p w:rsidR="00421268" w:rsidRPr="0011137F" w:rsidRDefault="00421268" w:rsidP="00421268">
      <w:pPr>
        <w:rPr>
          <w:noProof/>
          <w:szCs w:val="22"/>
          <w:highlight w:val="lightGray"/>
          <w:lang w:eastAsia="en-GB"/>
        </w:rPr>
      </w:pPr>
      <w:r w:rsidRPr="0011137F">
        <w:rPr>
          <w:noProof/>
          <w:szCs w:val="22"/>
          <w:highlight w:val="lightGray"/>
          <w:lang w:eastAsia="en-GB"/>
        </w:rPr>
        <w:t>28 tabletės</w:t>
      </w:r>
    </w:p>
    <w:p w:rsidR="00421268" w:rsidRPr="0011137F" w:rsidRDefault="00421268" w:rsidP="00421268">
      <w:pPr>
        <w:rPr>
          <w:noProof/>
          <w:szCs w:val="22"/>
          <w:highlight w:val="lightGray"/>
          <w:lang w:eastAsia="en-GB"/>
        </w:rPr>
      </w:pPr>
      <w:r w:rsidRPr="0011137F">
        <w:rPr>
          <w:noProof/>
          <w:szCs w:val="22"/>
          <w:highlight w:val="lightGray"/>
          <w:lang w:eastAsia="en-GB"/>
        </w:rPr>
        <w:t>30 tablečių</w:t>
      </w:r>
    </w:p>
    <w:p w:rsidR="00421268" w:rsidRPr="0011137F" w:rsidRDefault="00421268" w:rsidP="00421268">
      <w:pPr>
        <w:rPr>
          <w:noProof/>
          <w:szCs w:val="22"/>
          <w:highlight w:val="lightGray"/>
          <w:lang w:eastAsia="en-GB"/>
        </w:rPr>
      </w:pPr>
      <w:r w:rsidRPr="0011137F">
        <w:rPr>
          <w:noProof/>
          <w:szCs w:val="22"/>
          <w:highlight w:val="lightGray"/>
          <w:lang w:eastAsia="en-GB"/>
        </w:rPr>
        <w:t>50 tablečių</w:t>
      </w:r>
    </w:p>
    <w:p w:rsidR="00421268" w:rsidRPr="0011137F" w:rsidRDefault="00421268" w:rsidP="00421268">
      <w:pPr>
        <w:rPr>
          <w:noProof/>
          <w:szCs w:val="22"/>
          <w:highlight w:val="lightGray"/>
          <w:lang w:eastAsia="en-GB"/>
        </w:rPr>
      </w:pPr>
      <w:r w:rsidRPr="0011137F">
        <w:rPr>
          <w:noProof/>
          <w:szCs w:val="22"/>
          <w:highlight w:val="lightGray"/>
          <w:lang w:eastAsia="en-GB"/>
        </w:rPr>
        <w:t>56 tabletės</w:t>
      </w:r>
    </w:p>
    <w:p w:rsidR="00421268" w:rsidRPr="0011137F" w:rsidRDefault="00421268" w:rsidP="00421268">
      <w:pPr>
        <w:rPr>
          <w:noProof/>
          <w:szCs w:val="22"/>
          <w:highlight w:val="lightGray"/>
          <w:lang w:eastAsia="en-GB"/>
        </w:rPr>
      </w:pPr>
      <w:r w:rsidRPr="0011137F">
        <w:rPr>
          <w:noProof/>
          <w:szCs w:val="22"/>
          <w:highlight w:val="lightGray"/>
          <w:lang w:eastAsia="en-GB"/>
        </w:rPr>
        <w:t>60 tablečių</w:t>
      </w:r>
    </w:p>
    <w:p w:rsidR="00421268" w:rsidRPr="0011137F" w:rsidRDefault="00421268" w:rsidP="00421268">
      <w:pPr>
        <w:rPr>
          <w:noProof/>
          <w:szCs w:val="22"/>
          <w:highlight w:val="lightGray"/>
          <w:lang w:eastAsia="en-GB"/>
        </w:rPr>
      </w:pPr>
      <w:r w:rsidRPr="0011137F">
        <w:rPr>
          <w:noProof/>
          <w:szCs w:val="22"/>
          <w:highlight w:val="lightGray"/>
          <w:lang w:eastAsia="en-GB"/>
        </w:rPr>
        <w:t>90 tablečių</w:t>
      </w:r>
    </w:p>
    <w:p w:rsidR="00421268" w:rsidRPr="0011137F" w:rsidRDefault="00421268" w:rsidP="00421268">
      <w:pPr>
        <w:rPr>
          <w:noProof/>
          <w:szCs w:val="22"/>
          <w:highlight w:val="lightGray"/>
          <w:lang w:eastAsia="en-GB"/>
        </w:rPr>
      </w:pPr>
      <w:r w:rsidRPr="0011137F">
        <w:rPr>
          <w:noProof/>
          <w:szCs w:val="22"/>
          <w:highlight w:val="lightGray"/>
          <w:lang w:eastAsia="en-GB"/>
        </w:rPr>
        <w:t>100 tablečių</w:t>
      </w:r>
    </w:p>
    <w:p w:rsidR="00421268" w:rsidRPr="0011137F" w:rsidRDefault="00421268" w:rsidP="00421268">
      <w:pPr>
        <w:rPr>
          <w:noProof/>
          <w:szCs w:val="22"/>
          <w:highlight w:val="lightGray"/>
          <w:lang w:eastAsia="en-GB"/>
        </w:rPr>
      </w:pPr>
      <w:r w:rsidRPr="0011137F">
        <w:rPr>
          <w:szCs w:val="22"/>
          <w:highlight w:val="lightGray"/>
          <w:lang w:eastAsia="en-GB"/>
        </w:rPr>
        <w:t xml:space="preserve">120 </w:t>
      </w:r>
      <w:r w:rsidRPr="0011137F">
        <w:rPr>
          <w:noProof/>
          <w:szCs w:val="22"/>
          <w:highlight w:val="lightGray"/>
          <w:lang w:eastAsia="en-GB"/>
        </w:rPr>
        <w:t>tablečių</w:t>
      </w:r>
    </w:p>
    <w:p w:rsidR="00421268" w:rsidRPr="0011137F" w:rsidRDefault="00421268" w:rsidP="00421268">
      <w:pPr>
        <w:jc w:val="both"/>
        <w:rPr>
          <w:szCs w:val="22"/>
        </w:rPr>
      </w:pP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highlight w:val="lightGray"/>
        </w:rPr>
      </w:pPr>
      <w:r w:rsidRPr="0011137F">
        <w:rPr>
          <w:b/>
          <w:caps/>
          <w:szCs w:val="22"/>
        </w:rPr>
        <w:t>5.</w:t>
      </w:r>
      <w:r w:rsidRPr="0011137F">
        <w:rPr>
          <w:b/>
          <w:caps/>
          <w:szCs w:val="22"/>
        </w:rPr>
        <w:tab/>
        <w:t>VARTOJIMO METODAS IR BŪDAS (-AI)</w:t>
      </w:r>
    </w:p>
    <w:p w:rsidR="00421268" w:rsidRPr="0011137F" w:rsidRDefault="00421268" w:rsidP="00421268">
      <w:pPr>
        <w:rPr>
          <w:szCs w:val="22"/>
        </w:rPr>
      </w:pPr>
    </w:p>
    <w:p w:rsidR="00421268" w:rsidRPr="0011137F" w:rsidRDefault="00421268" w:rsidP="00421268">
      <w:pPr>
        <w:rPr>
          <w:szCs w:val="22"/>
        </w:rPr>
      </w:pPr>
      <w:r w:rsidRPr="0011137F">
        <w:rPr>
          <w:szCs w:val="22"/>
        </w:rPr>
        <w:t>Vartoti per burną.</w:t>
      </w:r>
    </w:p>
    <w:p w:rsidR="00421268" w:rsidRPr="0011137F" w:rsidRDefault="00421268" w:rsidP="00421268">
      <w:pPr>
        <w:rPr>
          <w:szCs w:val="22"/>
        </w:rPr>
      </w:pPr>
      <w:r w:rsidRPr="0011137F">
        <w:rPr>
          <w:szCs w:val="22"/>
        </w:rPr>
        <w:t>Prieš vartojimą perskaitykite pakuotės lapelį.</w:t>
      </w:r>
    </w:p>
    <w:p w:rsidR="00421268" w:rsidRPr="0011137F" w:rsidRDefault="00421268" w:rsidP="00421268">
      <w:pPr>
        <w:rPr>
          <w:szCs w:val="22"/>
        </w:rPr>
      </w:pP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t>6.</w:t>
      </w:r>
      <w:r w:rsidRPr="0011137F">
        <w:rPr>
          <w:b/>
          <w:caps/>
          <w:szCs w:val="22"/>
        </w:rPr>
        <w:tab/>
        <w:t>SPECIALUS ĮSPĖJIMAS, KAD VAISTINĮ PREPARATĄ BŪTINA LAIKYTI VAIKAMS NEPASTEBIMOJE IR NEPASIEKIAMOJE VIETOJE</w:t>
      </w:r>
    </w:p>
    <w:p w:rsidR="00421268" w:rsidRPr="0011137F" w:rsidRDefault="00421268" w:rsidP="00421268">
      <w:pPr>
        <w:rPr>
          <w:szCs w:val="22"/>
        </w:rPr>
      </w:pPr>
    </w:p>
    <w:p w:rsidR="00421268" w:rsidRPr="0011137F" w:rsidRDefault="00421268" w:rsidP="00421268">
      <w:pPr>
        <w:rPr>
          <w:szCs w:val="22"/>
        </w:rPr>
      </w:pPr>
      <w:r w:rsidRPr="0011137F">
        <w:rPr>
          <w:szCs w:val="22"/>
        </w:rPr>
        <w:t>Laikyti vaikams nepastebimoje ir nepasiekiamoje vietoje.</w:t>
      </w:r>
    </w:p>
    <w:p w:rsidR="00421268" w:rsidRPr="0011137F" w:rsidRDefault="00421268" w:rsidP="00421268">
      <w:pPr>
        <w:rPr>
          <w:szCs w:val="22"/>
        </w:rPr>
      </w:pP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highlight w:val="lightGray"/>
        </w:rPr>
      </w:pPr>
      <w:r w:rsidRPr="0011137F">
        <w:rPr>
          <w:b/>
          <w:caps/>
          <w:szCs w:val="22"/>
        </w:rPr>
        <w:t>7.</w:t>
      </w:r>
      <w:r w:rsidRPr="0011137F">
        <w:rPr>
          <w:b/>
          <w:caps/>
          <w:szCs w:val="22"/>
        </w:rPr>
        <w:tab/>
        <w:t>KITAS (-I) SPECIALUS (-ŪS) ĮSPĖJIMAS (-AI) (JEI REIKIA)</w:t>
      </w:r>
    </w:p>
    <w:p w:rsidR="00421268" w:rsidRPr="0011137F" w:rsidRDefault="00421268" w:rsidP="00421268">
      <w:pPr>
        <w:rPr>
          <w:szCs w:val="22"/>
        </w:rPr>
      </w:pP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highlight w:val="lightGray"/>
        </w:rPr>
      </w:pPr>
      <w:r w:rsidRPr="0011137F">
        <w:rPr>
          <w:b/>
          <w:caps/>
          <w:szCs w:val="22"/>
        </w:rPr>
        <w:t>8.</w:t>
      </w:r>
      <w:r w:rsidRPr="0011137F">
        <w:rPr>
          <w:b/>
          <w:caps/>
          <w:szCs w:val="22"/>
        </w:rPr>
        <w:tab/>
        <w:t>TINKAMUMO LAIKAS</w:t>
      </w:r>
    </w:p>
    <w:p w:rsidR="00421268" w:rsidRPr="0011137F" w:rsidRDefault="00421268" w:rsidP="00421268">
      <w:pPr>
        <w:rPr>
          <w:szCs w:val="22"/>
        </w:rPr>
      </w:pPr>
    </w:p>
    <w:p w:rsidR="00421268" w:rsidRPr="0011137F" w:rsidRDefault="00421268" w:rsidP="00421268">
      <w:pPr>
        <w:rPr>
          <w:szCs w:val="22"/>
        </w:rPr>
      </w:pPr>
      <w:r w:rsidRPr="0011137F">
        <w:rPr>
          <w:szCs w:val="22"/>
        </w:rPr>
        <w:t>Tinka iki: {mm/MMMM}</w:t>
      </w:r>
    </w:p>
    <w:p w:rsidR="00421268" w:rsidRPr="0011137F" w:rsidRDefault="00421268" w:rsidP="00421268">
      <w:pPr>
        <w:rPr>
          <w:szCs w:val="22"/>
        </w:rPr>
      </w:pP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t>9.</w:t>
      </w:r>
      <w:r w:rsidRPr="0011137F">
        <w:rPr>
          <w:b/>
          <w:caps/>
          <w:szCs w:val="22"/>
        </w:rPr>
        <w:tab/>
        <w:t>SPECIALIOS LAIKYMO SĄLYGOS</w:t>
      </w:r>
    </w:p>
    <w:p w:rsidR="00421268" w:rsidRPr="0011137F" w:rsidRDefault="00421268" w:rsidP="00421268">
      <w:pPr>
        <w:rPr>
          <w:szCs w:val="22"/>
        </w:rPr>
      </w:pPr>
    </w:p>
    <w:p w:rsidR="00421268" w:rsidRPr="0011137F" w:rsidRDefault="00421268" w:rsidP="00421268">
      <w:pPr>
        <w:ind w:left="567" w:hanging="567"/>
        <w:rPr>
          <w:szCs w:val="22"/>
        </w:rPr>
      </w:pPr>
      <w:r w:rsidRPr="0011137F">
        <w:rPr>
          <w:szCs w:val="22"/>
        </w:rPr>
        <w:t>Laikyti ne aukštesnėje kaip 30 °C temperatūroje.</w:t>
      </w:r>
    </w:p>
    <w:p w:rsidR="00421268" w:rsidRPr="0011137F" w:rsidRDefault="00421268" w:rsidP="00421268">
      <w:pPr>
        <w:rPr>
          <w:szCs w:val="22"/>
        </w:rPr>
      </w:pP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t>10.</w:t>
      </w:r>
      <w:r w:rsidRPr="0011137F">
        <w:rPr>
          <w:b/>
          <w:caps/>
          <w:szCs w:val="22"/>
        </w:rPr>
        <w:tab/>
        <w:t>SPECIALIOS ATSARGUMO PRIEMONĖS DĖL NESUVARTOTO VAISTINIO PREPARATO AR JO ATLIEKŲ TVARKYMO (JEI REIKIA)</w:t>
      </w:r>
    </w:p>
    <w:p w:rsidR="00421268" w:rsidRPr="0011137F" w:rsidRDefault="00421268" w:rsidP="00421268">
      <w:pPr>
        <w:rPr>
          <w:szCs w:val="22"/>
        </w:rPr>
      </w:pP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t>11.</w:t>
      </w:r>
      <w:r w:rsidRPr="0011137F">
        <w:rPr>
          <w:b/>
          <w:caps/>
          <w:szCs w:val="22"/>
        </w:rPr>
        <w:tab/>
        <w:t>RINKODAROS TEISĖS TURĖTOJO PAVADINIMAS IR ADRESAS</w:t>
      </w:r>
    </w:p>
    <w:p w:rsidR="00421268" w:rsidRPr="0011137F" w:rsidRDefault="00421268" w:rsidP="00421268">
      <w:pPr>
        <w:rPr>
          <w:szCs w:val="22"/>
        </w:rPr>
      </w:pPr>
    </w:p>
    <w:p w:rsidR="00421268" w:rsidRPr="0011137F" w:rsidRDefault="00421268" w:rsidP="00421268">
      <w:pPr>
        <w:rPr>
          <w:szCs w:val="22"/>
        </w:rPr>
      </w:pPr>
      <w:r w:rsidRPr="0011137F">
        <w:rPr>
          <w:szCs w:val="22"/>
        </w:rPr>
        <w:t>Orion Corporation</w:t>
      </w:r>
    </w:p>
    <w:p w:rsidR="00421268" w:rsidRPr="0011137F" w:rsidRDefault="00421268" w:rsidP="00421268">
      <w:pPr>
        <w:rPr>
          <w:szCs w:val="22"/>
        </w:rPr>
      </w:pPr>
      <w:r w:rsidRPr="0011137F">
        <w:rPr>
          <w:szCs w:val="22"/>
        </w:rPr>
        <w:t>Orionintie 1</w:t>
      </w:r>
    </w:p>
    <w:p w:rsidR="00421268" w:rsidRPr="0011137F" w:rsidRDefault="00421268" w:rsidP="00421268">
      <w:pPr>
        <w:rPr>
          <w:szCs w:val="22"/>
        </w:rPr>
      </w:pPr>
      <w:r w:rsidRPr="0011137F">
        <w:rPr>
          <w:szCs w:val="22"/>
        </w:rPr>
        <w:t>FI- 02200 Espoo</w:t>
      </w:r>
    </w:p>
    <w:p w:rsidR="00421268" w:rsidRPr="0011137F" w:rsidRDefault="00421268" w:rsidP="00421268">
      <w:pPr>
        <w:rPr>
          <w:szCs w:val="22"/>
        </w:rPr>
      </w:pPr>
      <w:r w:rsidRPr="0011137F">
        <w:rPr>
          <w:szCs w:val="22"/>
        </w:rPr>
        <w:t>Suomija</w:t>
      </w:r>
    </w:p>
    <w:p w:rsidR="00421268" w:rsidRPr="0011137F" w:rsidRDefault="00421268" w:rsidP="00421268">
      <w:pPr>
        <w:rPr>
          <w:szCs w:val="22"/>
        </w:rPr>
      </w:pP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t>12.</w:t>
      </w:r>
      <w:r w:rsidRPr="0011137F">
        <w:rPr>
          <w:b/>
          <w:caps/>
          <w:szCs w:val="22"/>
        </w:rPr>
        <w:tab/>
        <w:t>RINKODAROS TEISĖS NUMERIAI</w:t>
      </w:r>
    </w:p>
    <w:p w:rsidR="00421268" w:rsidRPr="0011137F" w:rsidRDefault="00421268" w:rsidP="00421268">
      <w:pPr>
        <w:rPr>
          <w:szCs w:val="22"/>
        </w:rPr>
      </w:pPr>
    </w:p>
    <w:p w:rsidR="00421268" w:rsidRPr="0011137F" w:rsidRDefault="00421268" w:rsidP="00421268">
      <w:pPr>
        <w:rPr>
          <w:bCs/>
          <w:szCs w:val="22"/>
        </w:rPr>
      </w:pPr>
      <w:r w:rsidRPr="0011137F">
        <w:rPr>
          <w:bCs/>
          <w:szCs w:val="22"/>
        </w:rPr>
        <w:t xml:space="preserve">N7 – LT/1/08/0996/001 </w:t>
      </w:r>
    </w:p>
    <w:p w:rsidR="00421268" w:rsidRPr="0011137F" w:rsidRDefault="00421268" w:rsidP="00421268">
      <w:pPr>
        <w:rPr>
          <w:bCs/>
          <w:szCs w:val="22"/>
        </w:rPr>
      </w:pPr>
      <w:r w:rsidRPr="0011137F">
        <w:rPr>
          <w:bCs/>
          <w:szCs w:val="22"/>
        </w:rPr>
        <w:t xml:space="preserve">N10 – LT/1/08/0996/002 </w:t>
      </w:r>
    </w:p>
    <w:p w:rsidR="00421268" w:rsidRPr="0011137F" w:rsidRDefault="00421268" w:rsidP="00421268">
      <w:pPr>
        <w:rPr>
          <w:bCs/>
          <w:szCs w:val="22"/>
        </w:rPr>
      </w:pPr>
      <w:r w:rsidRPr="0011137F">
        <w:rPr>
          <w:bCs/>
          <w:szCs w:val="22"/>
        </w:rPr>
        <w:t xml:space="preserve">N14 – LT/1/08/0996/003 </w:t>
      </w:r>
    </w:p>
    <w:p w:rsidR="00421268" w:rsidRPr="0011137F" w:rsidRDefault="00421268" w:rsidP="00421268">
      <w:pPr>
        <w:rPr>
          <w:bCs/>
          <w:szCs w:val="22"/>
        </w:rPr>
      </w:pPr>
      <w:r w:rsidRPr="0011137F">
        <w:rPr>
          <w:bCs/>
          <w:szCs w:val="22"/>
        </w:rPr>
        <w:t xml:space="preserve">N20 – LT/1/08/0996/004 </w:t>
      </w:r>
    </w:p>
    <w:p w:rsidR="00421268" w:rsidRPr="0011137F" w:rsidRDefault="00421268" w:rsidP="00421268">
      <w:pPr>
        <w:rPr>
          <w:bCs/>
          <w:szCs w:val="22"/>
        </w:rPr>
      </w:pPr>
      <w:r w:rsidRPr="0011137F">
        <w:rPr>
          <w:bCs/>
          <w:szCs w:val="22"/>
        </w:rPr>
        <w:t xml:space="preserve">N28 – LT/1/08/0996/005 </w:t>
      </w:r>
    </w:p>
    <w:p w:rsidR="00421268" w:rsidRPr="0011137F" w:rsidRDefault="00421268" w:rsidP="00421268">
      <w:pPr>
        <w:rPr>
          <w:bCs/>
          <w:szCs w:val="22"/>
        </w:rPr>
      </w:pPr>
      <w:r w:rsidRPr="0011137F">
        <w:rPr>
          <w:bCs/>
          <w:szCs w:val="22"/>
        </w:rPr>
        <w:t xml:space="preserve">N30 – LT/1/08/0996/006 </w:t>
      </w:r>
    </w:p>
    <w:p w:rsidR="00421268" w:rsidRPr="0011137F" w:rsidRDefault="00421268" w:rsidP="00421268">
      <w:pPr>
        <w:rPr>
          <w:bCs/>
          <w:szCs w:val="22"/>
        </w:rPr>
      </w:pPr>
      <w:r w:rsidRPr="0011137F">
        <w:rPr>
          <w:bCs/>
          <w:szCs w:val="22"/>
        </w:rPr>
        <w:t xml:space="preserve">N50 – LT/1/08/0996/007 </w:t>
      </w:r>
    </w:p>
    <w:p w:rsidR="00421268" w:rsidRPr="0011137F" w:rsidRDefault="00421268" w:rsidP="00421268">
      <w:pPr>
        <w:rPr>
          <w:bCs/>
          <w:szCs w:val="22"/>
        </w:rPr>
      </w:pPr>
      <w:r w:rsidRPr="0011137F">
        <w:rPr>
          <w:bCs/>
          <w:szCs w:val="22"/>
        </w:rPr>
        <w:t xml:space="preserve">N56 – LT/1/08/0996/008 </w:t>
      </w:r>
    </w:p>
    <w:p w:rsidR="00421268" w:rsidRPr="0011137F" w:rsidRDefault="00421268" w:rsidP="00421268">
      <w:pPr>
        <w:rPr>
          <w:bCs/>
          <w:szCs w:val="22"/>
        </w:rPr>
      </w:pPr>
      <w:r w:rsidRPr="0011137F">
        <w:rPr>
          <w:bCs/>
          <w:szCs w:val="22"/>
        </w:rPr>
        <w:t xml:space="preserve">N60 – LT/1/08/0996/009 </w:t>
      </w:r>
    </w:p>
    <w:p w:rsidR="00421268" w:rsidRPr="0011137F" w:rsidRDefault="00421268" w:rsidP="00421268">
      <w:pPr>
        <w:rPr>
          <w:bCs/>
          <w:szCs w:val="22"/>
        </w:rPr>
      </w:pPr>
      <w:r w:rsidRPr="0011137F">
        <w:rPr>
          <w:bCs/>
          <w:szCs w:val="22"/>
        </w:rPr>
        <w:t xml:space="preserve">N90 – LT/1/08/0996/010 </w:t>
      </w:r>
    </w:p>
    <w:p w:rsidR="00421268" w:rsidRPr="0011137F" w:rsidRDefault="00421268" w:rsidP="00421268">
      <w:pPr>
        <w:rPr>
          <w:bCs/>
          <w:szCs w:val="22"/>
        </w:rPr>
      </w:pPr>
      <w:r w:rsidRPr="0011137F">
        <w:rPr>
          <w:bCs/>
          <w:szCs w:val="22"/>
        </w:rPr>
        <w:t xml:space="preserve">N100 – LT/1/08/0996/011 </w:t>
      </w:r>
    </w:p>
    <w:p w:rsidR="00421268" w:rsidRPr="0011137F" w:rsidRDefault="00421268" w:rsidP="00421268">
      <w:pPr>
        <w:rPr>
          <w:bCs/>
          <w:noProof/>
          <w:szCs w:val="22"/>
        </w:rPr>
      </w:pPr>
      <w:r w:rsidRPr="0011137F">
        <w:rPr>
          <w:bCs/>
          <w:noProof/>
          <w:szCs w:val="22"/>
        </w:rPr>
        <w:t xml:space="preserve">N120 – LT/1/08/0996/012 </w:t>
      </w:r>
    </w:p>
    <w:p w:rsidR="00421268" w:rsidRPr="0011137F" w:rsidRDefault="00421268" w:rsidP="00421268">
      <w:pPr>
        <w:rPr>
          <w:szCs w:val="22"/>
        </w:rPr>
      </w:pP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t>13.</w:t>
      </w:r>
      <w:r w:rsidRPr="0011137F">
        <w:rPr>
          <w:b/>
          <w:caps/>
          <w:szCs w:val="22"/>
        </w:rPr>
        <w:tab/>
        <w:t>SERIJOS NUMERIS</w:t>
      </w:r>
    </w:p>
    <w:p w:rsidR="00421268" w:rsidRPr="0011137F" w:rsidRDefault="00421268" w:rsidP="00421268">
      <w:pPr>
        <w:rPr>
          <w:szCs w:val="22"/>
        </w:rPr>
      </w:pPr>
    </w:p>
    <w:p w:rsidR="00421268" w:rsidRPr="0011137F" w:rsidRDefault="00421268" w:rsidP="00421268">
      <w:pPr>
        <w:rPr>
          <w:szCs w:val="22"/>
        </w:rPr>
      </w:pPr>
      <w:r w:rsidRPr="0011137F">
        <w:rPr>
          <w:szCs w:val="22"/>
        </w:rPr>
        <w:t>Serija:</w:t>
      </w:r>
    </w:p>
    <w:p w:rsidR="00421268" w:rsidRPr="0011137F" w:rsidRDefault="00421268" w:rsidP="00421268">
      <w:pPr>
        <w:rPr>
          <w:szCs w:val="22"/>
        </w:rPr>
      </w:pP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t>14.</w:t>
      </w:r>
      <w:r w:rsidRPr="0011137F">
        <w:rPr>
          <w:b/>
          <w:caps/>
          <w:szCs w:val="22"/>
        </w:rPr>
        <w:tab/>
        <w:t>PARDAVIMO (IŠDAVIMO) TVARKA</w:t>
      </w:r>
    </w:p>
    <w:p w:rsidR="00421268" w:rsidRPr="0011137F" w:rsidRDefault="00421268" w:rsidP="00421268">
      <w:pPr>
        <w:rPr>
          <w:szCs w:val="22"/>
        </w:rPr>
      </w:pPr>
    </w:p>
    <w:p w:rsidR="00421268" w:rsidRPr="0011137F" w:rsidRDefault="00421268" w:rsidP="00421268">
      <w:pPr>
        <w:rPr>
          <w:szCs w:val="22"/>
        </w:rPr>
      </w:pPr>
      <w:r w:rsidRPr="0011137F">
        <w:rPr>
          <w:szCs w:val="22"/>
        </w:rPr>
        <w:t>Receptinis vaistinis preparatas</w:t>
      </w:r>
    </w:p>
    <w:p w:rsidR="00421268" w:rsidRPr="0011137F" w:rsidRDefault="00421268" w:rsidP="00421268">
      <w:pPr>
        <w:rPr>
          <w:szCs w:val="22"/>
        </w:rPr>
      </w:pP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t>15.</w:t>
      </w:r>
      <w:r w:rsidRPr="0011137F">
        <w:rPr>
          <w:b/>
          <w:caps/>
          <w:szCs w:val="22"/>
        </w:rPr>
        <w:tab/>
        <w:t>VARTOJIMO INSTRUKCIJA</w:t>
      </w:r>
    </w:p>
    <w:p w:rsidR="00421268" w:rsidRPr="0011137F" w:rsidRDefault="00421268" w:rsidP="00421268">
      <w:pPr>
        <w:rPr>
          <w:szCs w:val="22"/>
        </w:rPr>
      </w:pP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t>16.</w:t>
      </w:r>
      <w:r w:rsidRPr="0011137F">
        <w:rPr>
          <w:b/>
          <w:caps/>
          <w:szCs w:val="22"/>
        </w:rPr>
        <w:tab/>
        <w:t>INFORMACIJA BRAILIO RAŠTU</w:t>
      </w:r>
    </w:p>
    <w:p w:rsidR="00421268" w:rsidRPr="0011137F" w:rsidRDefault="00421268" w:rsidP="00421268">
      <w:pPr>
        <w:rPr>
          <w:szCs w:val="22"/>
        </w:rPr>
      </w:pPr>
    </w:p>
    <w:p w:rsidR="00421268" w:rsidRPr="0011137F" w:rsidRDefault="00421268" w:rsidP="00421268">
      <w:pPr>
        <w:rPr>
          <w:szCs w:val="22"/>
        </w:rPr>
      </w:pPr>
      <w:r w:rsidRPr="0011137F">
        <w:rPr>
          <w:szCs w:val="22"/>
        </w:rPr>
        <w:t xml:space="preserve">nebivolol orion 5 mg </w:t>
      </w:r>
    </w:p>
    <w:p w:rsidR="00421268" w:rsidRDefault="00421268" w:rsidP="00421268">
      <w:pPr>
        <w:rPr>
          <w:szCs w:val="22"/>
        </w:rPr>
      </w:pPr>
    </w:p>
    <w:p w:rsidR="008B33D8" w:rsidRDefault="008B33D8" w:rsidP="00421268">
      <w:pPr>
        <w:rPr>
          <w:szCs w:val="22"/>
        </w:rPr>
      </w:pPr>
    </w:p>
    <w:p w:rsidR="008B33D8" w:rsidRDefault="008B33D8" w:rsidP="00421268">
      <w:pPr>
        <w:rPr>
          <w:szCs w:val="22"/>
        </w:rPr>
      </w:pPr>
    </w:p>
    <w:p w:rsidR="008B33D8" w:rsidRDefault="008B33D8" w:rsidP="00421268">
      <w:pPr>
        <w:rPr>
          <w:szCs w:val="22"/>
        </w:rPr>
      </w:pPr>
    </w:p>
    <w:p w:rsidR="008B33D8" w:rsidRDefault="008B33D8" w:rsidP="00421268">
      <w:pPr>
        <w:rPr>
          <w:szCs w:val="22"/>
        </w:rPr>
      </w:pPr>
    </w:p>
    <w:p w:rsidR="008B33D8" w:rsidRPr="0011137F" w:rsidRDefault="008B33D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t>MINIMALI informacija ant LIZDINIŲ PLOKŠTELIŲ ARBA DVISLUOKSNIŲ JUOSTELIŲ</w:t>
      </w: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t>Lizdinės plokštelės</w:t>
      </w:r>
    </w:p>
    <w:p w:rsidR="00421268" w:rsidRPr="0011137F" w:rsidRDefault="00421268" w:rsidP="00421268">
      <w:pPr>
        <w:rPr>
          <w:szCs w:val="22"/>
        </w:rPr>
      </w:pP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t>1.</w:t>
      </w:r>
      <w:r w:rsidRPr="0011137F">
        <w:rPr>
          <w:b/>
          <w:caps/>
          <w:szCs w:val="22"/>
        </w:rPr>
        <w:tab/>
        <w:t>VAISTINIO PREPARATO PAVADINIMAS</w:t>
      </w:r>
    </w:p>
    <w:p w:rsidR="00421268" w:rsidRPr="0011137F" w:rsidRDefault="00421268" w:rsidP="00421268">
      <w:pPr>
        <w:rPr>
          <w:szCs w:val="22"/>
        </w:rPr>
      </w:pPr>
    </w:p>
    <w:p w:rsidR="00421268" w:rsidRPr="0011137F" w:rsidRDefault="00421268" w:rsidP="00421268">
      <w:pPr>
        <w:rPr>
          <w:bCs/>
          <w:szCs w:val="22"/>
        </w:rPr>
      </w:pPr>
      <w:r w:rsidRPr="0011137F">
        <w:rPr>
          <w:szCs w:val="22"/>
        </w:rPr>
        <w:t xml:space="preserve">Nebivolol Orion </w:t>
      </w:r>
      <w:r w:rsidRPr="0011137F">
        <w:rPr>
          <w:bCs/>
          <w:szCs w:val="22"/>
        </w:rPr>
        <w:t>5 mg tabletės</w:t>
      </w:r>
    </w:p>
    <w:p w:rsidR="00421268" w:rsidRPr="0011137F" w:rsidRDefault="00421268" w:rsidP="00421268">
      <w:pPr>
        <w:rPr>
          <w:szCs w:val="22"/>
        </w:rPr>
      </w:pPr>
      <w:r w:rsidRPr="0011137F">
        <w:rPr>
          <w:szCs w:val="22"/>
        </w:rPr>
        <w:t>Nebivololum</w:t>
      </w:r>
    </w:p>
    <w:p w:rsidR="00421268" w:rsidRPr="0011137F" w:rsidRDefault="00421268" w:rsidP="00421268">
      <w:pPr>
        <w:rPr>
          <w:szCs w:val="22"/>
        </w:rPr>
      </w:pP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t>2.</w:t>
      </w:r>
      <w:r w:rsidRPr="0011137F">
        <w:rPr>
          <w:b/>
          <w:caps/>
          <w:szCs w:val="22"/>
        </w:rPr>
        <w:tab/>
        <w:t>RINKODAROS TEISĖS TURĖTOJO PAVADINIMAS</w:t>
      </w:r>
    </w:p>
    <w:p w:rsidR="00421268" w:rsidRPr="0011137F" w:rsidRDefault="00421268" w:rsidP="00421268">
      <w:pPr>
        <w:rPr>
          <w:szCs w:val="22"/>
        </w:rPr>
      </w:pPr>
    </w:p>
    <w:p w:rsidR="00421268" w:rsidRPr="0011137F" w:rsidRDefault="00421268" w:rsidP="00421268">
      <w:pPr>
        <w:rPr>
          <w:szCs w:val="22"/>
        </w:rPr>
      </w:pPr>
      <w:r w:rsidRPr="0011137F">
        <w:rPr>
          <w:szCs w:val="22"/>
        </w:rPr>
        <w:t>Orion Corporation</w:t>
      </w:r>
    </w:p>
    <w:p w:rsidR="00421268" w:rsidRPr="0011137F" w:rsidRDefault="00421268" w:rsidP="00421268">
      <w:pPr>
        <w:rPr>
          <w:szCs w:val="22"/>
        </w:rPr>
      </w:pP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t>3.</w:t>
      </w:r>
      <w:r w:rsidRPr="0011137F">
        <w:rPr>
          <w:b/>
          <w:caps/>
          <w:szCs w:val="22"/>
        </w:rPr>
        <w:tab/>
        <w:t>TINKAMUMO LAIKAS</w:t>
      </w:r>
    </w:p>
    <w:p w:rsidR="00421268" w:rsidRPr="0011137F" w:rsidRDefault="00421268" w:rsidP="00421268">
      <w:pPr>
        <w:rPr>
          <w:szCs w:val="22"/>
        </w:rPr>
      </w:pPr>
    </w:p>
    <w:p w:rsidR="00421268" w:rsidRPr="0011137F" w:rsidRDefault="00421268" w:rsidP="00421268">
      <w:pPr>
        <w:rPr>
          <w:szCs w:val="22"/>
        </w:rPr>
      </w:pPr>
      <w:r w:rsidRPr="0011137F">
        <w:rPr>
          <w:szCs w:val="22"/>
        </w:rPr>
        <w:t>Tinka iki: {mm/MMMM}</w:t>
      </w:r>
    </w:p>
    <w:p w:rsidR="00421268" w:rsidRPr="0011137F" w:rsidRDefault="00421268" w:rsidP="00421268">
      <w:pPr>
        <w:rPr>
          <w:szCs w:val="22"/>
        </w:rPr>
      </w:pP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t>4.</w:t>
      </w:r>
      <w:r w:rsidRPr="0011137F">
        <w:rPr>
          <w:b/>
          <w:caps/>
          <w:szCs w:val="22"/>
        </w:rPr>
        <w:tab/>
        <w:t>SERIJOS NUMERIS</w:t>
      </w:r>
    </w:p>
    <w:p w:rsidR="00421268" w:rsidRPr="0011137F" w:rsidRDefault="00421268" w:rsidP="00421268">
      <w:pPr>
        <w:rPr>
          <w:szCs w:val="22"/>
        </w:rPr>
      </w:pPr>
    </w:p>
    <w:p w:rsidR="00421268" w:rsidRPr="0011137F" w:rsidRDefault="00421268" w:rsidP="00421268">
      <w:pPr>
        <w:ind w:right="113"/>
        <w:rPr>
          <w:szCs w:val="22"/>
        </w:rPr>
      </w:pPr>
      <w:r w:rsidRPr="0011137F">
        <w:rPr>
          <w:szCs w:val="22"/>
        </w:rPr>
        <w:t>Serija:</w:t>
      </w:r>
    </w:p>
    <w:p w:rsidR="00421268" w:rsidRPr="0011137F" w:rsidRDefault="00421268" w:rsidP="00421268">
      <w:pPr>
        <w:rPr>
          <w:szCs w:val="22"/>
        </w:rPr>
      </w:pPr>
    </w:p>
    <w:p w:rsidR="00421268" w:rsidRPr="0011137F" w:rsidRDefault="00421268" w:rsidP="00421268">
      <w:pPr>
        <w:rPr>
          <w:szCs w:val="22"/>
        </w:rPr>
      </w:pPr>
    </w:p>
    <w:p w:rsidR="00421268" w:rsidRPr="0011137F" w:rsidRDefault="00421268" w:rsidP="00421268">
      <w:pPr>
        <w:pBdr>
          <w:top w:val="single" w:sz="4" w:space="1" w:color="auto"/>
          <w:left w:val="single" w:sz="4" w:space="4" w:color="auto"/>
          <w:bottom w:val="single" w:sz="4" w:space="1" w:color="auto"/>
          <w:right w:val="single" w:sz="4" w:space="4" w:color="auto"/>
        </w:pBdr>
        <w:tabs>
          <w:tab w:val="left" w:pos="540"/>
        </w:tabs>
        <w:rPr>
          <w:b/>
          <w:caps/>
          <w:szCs w:val="22"/>
        </w:rPr>
      </w:pPr>
      <w:r w:rsidRPr="0011137F">
        <w:rPr>
          <w:b/>
          <w:caps/>
          <w:szCs w:val="22"/>
        </w:rPr>
        <w:t>5.</w:t>
      </w:r>
      <w:r w:rsidRPr="0011137F">
        <w:rPr>
          <w:b/>
          <w:caps/>
          <w:szCs w:val="22"/>
        </w:rPr>
        <w:tab/>
        <w:t>KITA</w:t>
      </w:r>
    </w:p>
    <w:p w:rsidR="00421268" w:rsidRPr="0011137F" w:rsidRDefault="00421268" w:rsidP="00421268">
      <w:pPr>
        <w:rPr>
          <w:szCs w:val="22"/>
        </w:rPr>
      </w:pPr>
    </w:p>
    <w:p w:rsidR="00421268" w:rsidRPr="0011137F" w:rsidRDefault="00421268" w:rsidP="00421268">
      <w:pPr>
        <w:rPr>
          <w:szCs w:val="22"/>
        </w:rPr>
      </w:pPr>
    </w:p>
    <w:p w:rsidR="00A85C91" w:rsidRPr="004B027E" w:rsidRDefault="00A85C91">
      <w:pPr>
        <w:pStyle w:val="BTEMEASMCA"/>
        <w:rPr>
          <w:noProof w:val="0"/>
        </w:rPr>
      </w:pPr>
    </w:p>
    <w:p w:rsidR="00A85C91" w:rsidRPr="004B027E" w:rsidRDefault="00A85C91">
      <w:pPr>
        <w:pStyle w:val="BTEMEASMCA"/>
        <w:rPr>
          <w:noProof w:val="0"/>
        </w:rPr>
      </w:pPr>
      <w:r w:rsidRPr="004B027E">
        <w:rPr>
          <w:noProof w:val="0"/>
        </w:rPr>
        <w:br w:type="page"/>
      </w: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Pr="004B027E" w:rsidRDefault="00A85C91">
      <w:pPr>
        <w:pStyle w:val="BTEMEASMCA"/>
        <w:rPr>
          <w:noProof w:val="0"/>
        </w:rPr>
      </w:pPr>
    </w:p>
    <w:p w:rsidR="00A85C91" w:rsidRDefault="00A85C91">
      <w:pPr>
        <w:pStyle w:val="TTEMEASMCA"/>
        <w:rPr>
          <w:lang w:val="lt-LT"/>
        </w:rPr>
      </w:pPr>
      <w:bookmarkStart w:id="66" w:name="_Toc129243137"/>
      <w:bookmarkStart w:id="67" w:name="_Toc129243262"/>
    </w:p>
    <w:p w:rsidR="00A85C91" w:rsidRPr="004B027E" w:rsidRDefault="00A85C91">
      <w:pPr>
        <w:pStyle w:val="TTEMEASMCA"/>
        <w:rPr>
          <w:lang w:val="lt-LT"/>
        </w:rPr>
      </w:pPr>
      <w:r w:rsidRPr="004B027E">
        <w:rPr>
          <w:lang w:val="lt-LT"/>
        </w:rPr>
        <w:t>B. PAKUOTĖS LAPELIS</w:t>
      </w:r>
      <w:bookmarkEnd w:id="66"/>
      <w:bookmarkEnd w:id="67"/>
    </w:p>
    <w:p w:rsidR="00421268" w:rsidRPr="009D6ED7" w:rsidRDefault="00A85C91" w:rsidP="00421268">
      <w:pPr>
        <w:tabs>
          <w:tab w:val="left" w:pos="567"/>
        </w:tabs>
        <w:ind w:left="567" w:hanging="567"/>
        <w:jc w:val="center"/>
        <w:outlineLvl w:val="0"/>
        <w:rPr>
          <w:b/>
          <w:caps/>
          <w:szCs w:val="22"/>
        </w:rPr>
      </w:pPr>
      <w:r w:rsidRPr="004B027E">
        <w:br w:type="page"/>
      </w:r>
      <w:bookmarkStart w:id="68" w:name="_Toc129243263"/>
      <w:bookmarkStart w:id="69" w:name="_Toc129243138"/>
      <w:r w:rsidR="00421268" w:rsidRPr="009D6ED7">
        <w:rPr>
          <w:b/>
          <w:szCs w:val="22"/>
        </w:rPr>
        <w:lastRenderedPageBreak/>
        <w:t xml:space="preserve">Pakuotės lapelis: informacija </w:t>
      </w:r>
      <w:bookmarkEnd w:id="68"/>
      <w:bookmarkEnd w:id="69"/>
      <w:r w:rsidR="00421268" w:rsidRPr="009D6ED7">
        <w:rPr>
          <w:b/>
          <w:szCs w:val="22"/>
        </w:rPr>
        <w:t>pacientui</w:t>
      </w:r>
    </w:p>
    <w:p w:rsidR="00421268" w:rsidRPr="009D6ED7" w:rsidRDefault="00421268" w:rsidP="00421268">
      <w:pPr>
        <w:rPr>
          <w:szCs w:val="22"/>
        </w:rPr>
      </w:pPr>
    </w:p>
    <w:p w:rsidR="00421268" w:rsidRPr="009D6ED7" w:rsidRDefault="00421268" w:rsidP="00421268">
      <w:pPr>
        <w:widowControl w:val="0"/>
        <w:suppressAutoHyphens/>
        <w:autoSpaceDE w:val="0"/>
        <w:jc w:val="center"/>
        <w:rPr>
          <w:rFonts w:eastAsia="Calibri"/>
          <w:color w:val="221E1F"/>
          <w:szCs w:val="22"/>
          <w:lang w:eastAsia="ar-SA"/>
        </w:rPr>
      </w:pPr>
      <w:r w:rsidRPr="009D6ED7">
        <w:rPr>
          <w:rFonts w:eastAsia="Calibri"/>
          <w:b/>
          <w:szCs w:val="22"/>
          <w:lang w:eastAsia="ar-SA"/>
        </w:rPr>
        <w:t>Nebivolol Orion</w:t>
      </w:r>
      <w:r w:rsidRPr="009D6ED7">
        <w:rPr>
          <w:rFonts w:eastAsia="Calibri"/>
          <w:b/>
          <w:bCs/>
          <w:szCs w:val="22"/>
          <w:lang w:eastAsia="ar-SA"/>
        </w:rPr>
        <w:t xml:space="preserve"> </w:t>
      </w:r>
      <w:r w:rsidRPr="009D6ED7">
        <w:rPr>
          <w:rFonts w:eastAsia="Calibri"/>
          <w:b/>
          <w:bCs/>
          <w:color w:val="221E1F"/>
          <w:szCs w:val="22"/>
          <w:lang w:eastAsia="ar-SA"/>
        </w:rPr>
        <w:t>5 mg tabletės</w:t>
      </w:r>
      <w:r w:rsidRPr="009D6ED7">
        <w:rPr>
          <w:rFonts w:eastAsia="Calibri"/>
          <w:color w:val="221E1F"/>
          <w:szCs w:val="22"/>
          <w:lang w:eastAsia="ar-SA"/>
        </w:rPr>
        <w:t xml:space="preserve"> </w:t>
      </w:r>
    </w:p>
    <w:p w:rsidR="00421268" w:rsidRPr="009D6ED7" w:rsidRDefault="00421268" w:rsidP="00421268">
      <w:pPr>
        <w:widowControl w:val="0"/>
        <w:suppressAutoHyphens/>
        <w:autoSpaceDE w:val="0"/>
        <w:jc w:val="center"/>
        <w:rPr>
          <w:rFonts w:eastAsia="Calibri"/>
          <w:szCs w:val="22"/>
          <w:lang w:eastAsia="ar-SA"/>
        </w:rPr>
      </w:pPr>
      <w:r w:rsidRPr="009D6ED7">
        <w:rPr>
          <w:rFonts w:eastAsia="Calibri"/>
          <w:szCs w:val="22"/>
          <w:lang w:eastAsia="ar-SA"/>
        </w:rPr>
        <w:t>Nebivololis</w:t>
      </w:r>
    </w:p>
    <w:p w:rsidR="00421268" w:rsidRPr="009D6ED7" w:rsidRDefault="00421268" w:rsidP="00421268">
      <w:pPr>
        <w:rPr>
          <w:szCs w:val="22"/>
        </w:rPr>
      </w:pPr>
    </w:p>
    <w:p w:rsidR="00421268" w:rsidRPr="009D6ED7" w:rsidRDefault="00421268" w:rsidP="00421268">
      <w:pPr>
        <w:suppressAutoHyphens/>
        <w:rPr>
          <w:szCs w:val="22"/>
        </w:rPr>
      </w:pPr>
      <w:r w:rsidRPr="009D6ED7">
        <w:rPr>
          <w:b/>
          <w:szCs w:val="22"/>
        </w:rPr>
        <w:t>Atidžiai perskaitykite visą šį lapelį, prieš pradėdami vartoti vaistą, nes jame pateikiama Jums svarbi informacija.</w:t>
      </w:r>
    </w:p>
    <w:p w:rsidR="00421268" w:rsidRPr="009D6ED7" w:rsidRDefault="00421268" w:rsidP="00421268">
      <w:pPr>
        <w:numPr>
          <w:ilvl w:val="0"/>
          <w:numId w:val="21"/>
        </w:numPr>
        <w:ind w:left="567" w:right="-2" w:hanging="567"/>
        <w:rPr>
          <w:szCs w:val="22"/>
        </w:rPr>
      </w:pPr>
      <w:r w:rsidRPr="009D6ED7">
        <w:rPr>
          <w:szCs w:val="22"/>
        </w:rPr>
        <w:t xml:space="preserve">Neišmeskite šio lapelio, nes vėl gali prireikti jį perskaityti. </w:t>
      </w:r>
    </w:p>
    <w:p w:rsidR="00421268" w:rsidRPr="009D6ED7" w:rsidRDefault="00421268" w:rsidP="00421268">
      <w:pPr>
        <w:numPr>
          <w:ilvl w:val="0"/>
          <w:numId w:val="21"/>
        </w:numPr>
        <w:ind w:left="567" w:right="-2" w:hanging="567"/>
        <w:rPr>
          <w:szCs w:val="22"/>
        </w:rPr>
      </w:pPr>
      <w:r w:rsidRPr="009D6ED7">
        <w:rPr>
          <w:szCs w:val="22"/>
        </w:rPr>
        <w:t>Jeigu kiltų daugiau klausimų, kreipkitės į gydytoją arba vaistininką.</w:t>
      </w:r>
    </w:p>
    <w:p w:rsidR="00421268" w:rsidRPr="009D6ED7" w:rsidRDefault="00421268" w:rsidP="00421268">
      <w:pPr>
        <w:ind w:left="567" w:right="-2" w:hanging="567"/>
        <w:rPr>
          <w:szCs w:val="22"/>
        </w:rPr>
      </w:pPr>
      <w:r w:rsidRPr="009D6ED7">
        <w:rPr>
          <w:szCs w:val="22"/>
        </w:rPr>
        <w:t>-</w:t>
      </w:r>
      <w:r w:rsidRPr="009D6ED7">
        <w:rPr>
          <w:szCs w:val="22"/>
        </w:rPr>
        <w:tab/>
        <w:t>Šis vaistas skirtas tik Jums, todėl kitiems žmonėms jo duoti negalima. Vaistas gali jiems pakenkti (net tiems, kurių ligos požymiai yra tokie patys kaip Jūsų).</w:t>
      </w:r>
      <w:r w:rsidRPr="009D6ED7">
        <w:rPr>
          <w:color w:val="008000"/>
          <w:szCs w:val="22"/>
        </w:rPr>
        <w:t xml:space="preserve"> </w:t>
      </w:r>
    </w:p>
    <w:p w:rsidR="00421268" w:rsidRPr="009D6ED7" w:rsidRDefault="00421268" w:rsidP="00421268">
      <w:pPr>
        <w:ind w:left="567" w:hanging="567"/>
        <w:rPr>
          <w:szCs w:val="22"/>
        </w:rPr>
      </w:pPr>
      <w:r w:rsidRPr="009D6ED7">
        <w:rPr>
          <w:szCs w:val="22"/>
        </w:rPr>
        <w:t>-</w:t>
      </w:r>
      <w:r w:rsidRPr="009D6ED7">
        <w:rPr>
          <w:szCs w:val="22"/>
        </w:rPr>
        <w:tab/>
        <w:t>Jeigu pasireiškė šalutinis poveikis (net jeigu jis šiame lapelyje nenurodytas), kreipkitės į gydytoją arba vaistininką.</w:t>
      </w:r>
    </w:p>
    <w:p w:rsidR="00421268" w:rsidRPr="009D6ED7" w:rsidRDefault="00421268" w:rsidP="00421268">
      <w:pPr>
        <w:ind w:left="567" w:hanging="567"/>
        <w:rPr>
          <w:szCs w:val="22"/>
        </w:rPr>
      </w:pPr>
    </w:p>
    <w:p w:rsidR="00421268" w:rsidRPr="009D6ED7" w:rsidRDefault="00421268" w:rsidP="00421268">
      <w:pPr>
        <w:autoSpaceDE w:val="0"/>
        <w:rPr>
          <w:b/>
          <w:bCs/>
          <w:szCs w:val="22"/>
        </w:rPr>
      </w:pPr>
      <w:r w:rsidRPr="009D6ED7">
        <w:rPr>
          <w:b/>
          <w:bCs/>
          <w:szCs w:val="22"/>
        </w:rPr>
        <w:t>Apie ką rašoma šiame lapelyje?</w:t>
      </w:r>
    </w:p>
    <w:p w:rsidR="00421268" w:rsidRPr="009D6ED7" w:rsidRDefault="00421268" w:rsidP="00421268">
      <w:pPr>
        <w:numPr>
          <w:ilvl w:val="0"/>
          <w:numId w:val="22"/>
        </w:numPr>
        <w:tabs>
          <w:tab w:val="left" w:pos="567"/>
        </w:tabs>
        <w:suppressAutoHyphens/>
        <w:autoSpaceDE w:val="0"/>
        <w:ind w:left="567" w:hanging="567"/>
        <w:rPr>
          <w:color w:val="221E1F"/>
          <w:szCs w:val="22"/>
        </w:rPr>
      </w:pPr>
      <w:r w:rsidRPr="009D6ED7">
        <w:rPr>
          <w:szCs w:val="22"/>
        </w:rPr>
        <w:t>Kas yra Nebivolol Orion</w:t>
      </w:r>
      <w:r w:rsidRPr="009D6ED7">
        <w:rPr>
          <w:color w:val="221E1F"/>
          <w:szCs w:val="22"/>
        </w:rPr>
        <w:t xml:space="preserve"> ir kam jis vartojamas</w:t>
      </w:r>
    </w:p>
    <w:p w:rsidR="00421268" w:rsidRPr="009D6ED7" w:rsidRDefault="00421268" w:rsidP="00421268">
      <w:pPr>
        <w:numPr>
          <w:ilvl w:val="0"/>
          <w:numId w:val="22"/>
        </w:numPr>
        <w:tabs>
          <w:tab w:val="left" w:pos="567"/>
        </w:tabs>
        <w:suppressAutoHyphens/>
        <w:autoSpaceDE w:val="0"/>
        <w:ind w:left="567" w:hanging="567"/>
        <w:rPr>
          <w:bCs/>
          <w:szCs w:val="22"/>
          <w:shd w:val="clear" w:color="auto" w:fill="C0C0C0"/>
        </w:rPr>
      </w:pPr>
      <w:r w:rsidRPr="009D6ED7">
        <w:rPr>
          <w:szCs w:val="22"/>
        </w:rPr>
        <w:t>Kas žinotina prieš vartojant Nebivolol Orion</w:t>
      </w:r>
    </w:p>
    <w:p w:rsidR="00421268" w:rsidRPr="009D6ED7" w:rsidRDefault="00421268" w:rsidP="00421268">
      <w:pPr>
        <w:numPr>
          <w:ilvl w:val="0"/>
          <w:numId w:val="22"/>
        </w:numPr>
        <w:tabs>
          <w:tab w:val="left" w:pos="567"/>
        </w:tabs>
        <w:suppressAutoHyphens/>
        <w:ind w:left="567" w:hanging="567"/>
        <w:rPr>
          <w:bCs/>
          <w:szCs w:val="22"/>
          <w:shd w:val="clear" w:color="auto" w:fill="C0C0C0"/>
        </w:rPr>
      </w:pPr>
      <w:r w:rsidRPr="009D6ED7">
        <w:rPr>
          <w:szCs w:val="22"/>
        </w:rPr>
        <w:t>Kaip vartoti Nebivolol Orion</w:t>
      </w:r>
    </w:p>
    <w:p w:rsidR="00421268" w:rsidRPr="009D6ED7" w:rsidRDefault="00421268" w:rsidP="00421268">
      <w:pPr>
        <w:numPr>
          <w:ilvl w:val="0"/>
          <w:numId w:val="22"/>
        </w:numPr>
        <w:tabs>
          <w:tab w:val="left" w:pos="567"/>
        </w:tabs>
        <w:suppressAutoHyphens/>
        <w:autoSpaceDE w:val="0"/>
        <w:ind w:left="567" w:hanging="567"/>
        <w:rPr>
          <w:szCs w:val="22"/>
        </w:rPr>
      </w:pPr>
      <w:r w:rsidRPr="009D6ED7">
        <w:rPr>
          <w:szCs w:val="22"/>
        </w:rPr>
        <w:t>Galimas šalutinis poveikis</w:t>
      </w:r>
    </w:p>
    <w:p w:rsidR="00421268" w:rsidRPr="009D6ED7" w:rsidRDefault="00421268" w:rsidP="00421268">
      <w:pPr>
        <w:numPr>
          <w:ilvl w:val="0"/>
          <w:numId w:val="22"/>
        </w:numPr>
        <w:tabs>
          <w:tab w:val="left" w:pos="567"/>
        </w:tabs>
        <w:suppressAutoHyphens/>
        <w:autoSpaceDE w:val="0"/>
        <w:ind w:left="567" w:hanging="567"/>
        <w:rPr>
          <w:bCs/>
          <w:szCs w:val="22"/>
          <w:shd w:val="clear" w:color="auto" w:fill="C0C0C0"/>
        </w:rPr>
      </w:pPr>
      <w:r w:rsidRPr="009D6ED7">
        <w:rPr>
          <w:color w:val="221E1F"/>
          <w:szCs w:val="22"/>
        </w:rPr>
        <w:t xml:space="preserve">Kaip laikyti </w:t>
      </w:r>
      <w:r w:rsidRPr="009D6ED7">
        <w:rPr>
          <w:szCs w:val="22"/>
        </w:rPr>
        <w:t>Nebivolol Orion</w:t>
      </w:r>
    </w:p>
    <w:p w:rsidR="00421268" w:rsidRPr="009D6ED7" w:rsidRDefault="00421268" w:rsidP="00421268">
      <w:pPr>
        <w:numPr>
          <w:ilvl w:val="0"/>
          <w:numId w:val="22"/>
        </w:numPr>
        <w:tabs>
          <w:tab w:val="left" w:pos="567"/>
        </w:tabs>
        <w:suppressAutoHyphens/>
        <w:autoSpaceDE w:val="0"/>
        <w:ind w:left="567" w:hanging="567"/>
        <w:rPr>
          <w:szCs w:val="22"/>
        </w:rPr>
      </w:pPr>
      <w:r w:rsidRPr="009D6ED7">
        <w:rPr>
          <w:szCs w:val="22"/>
        </w:rPr>
        <w:t>Pakuotės turinys ir kita informacija</w:t>
      </w:r>
    </w:p>
    <w:p w:rsidR="00421268" w:rsidRPr="009D6ED7" w:rsidRDefault="00421268" w:rsidP="00421268">
      <w:pPr>
        <w:rPr>
          <w:szCs w:val="22"/>
        </w:rPr>
      </w:pPr>
    </w:p>
    <w:p w:rsidR="00421268" w:rsidRPr="009D6ED7" w:rsidRDefault="00421268" w:rsidP="00421268">
      <w:pPr>
        <w:rPr>
          <w:szCs w:val="22"/>
        </w:rPr>
      </w:pPr>
    </w:p>
    <w:p w:rsidR="00421268" w:rsidRPr="009D6ED7" w:rsidRDefault="00421268" w:rsidP="00421268">
      <w:pPr>
        <w:keepNext/>
        <w:tabs>
          <w:tab w:val="left" w:pos="567"/>
        </w:tabs>
        <w:ind w:left="567" w:hanging="567"/>
        <w:outlineLvl w:val="1"/>
        <w:rPr>
          <w:b/>
          <w:szCs w:val="22"/>
        </w:rPr>
      </w:pPr>
      <w:bookmarkStart w:id="70" w:name="_Toc129243264"/>
      <w:bookmarkStart w:id="71" w:name="_Toc129243139"/>
      <w:r w:rsidRPr="009D6ED7">
        <w:rPr>
          <w:b/>
          <w:szCs w:val="22"/>
        </w:rPr>
        <w:t>1.</w:t>
      </w:r>
      <w:r w:rsidRPr="009D6ED7">
        <w:rPr>
          <w:b/>
          <w:szCs w:val="22"/>
        </w:rPr>
        <w:tab/>
        <w:t>Kas yra Nebivolol Orion ir kam jis vartojamas</w:t>
      </w:r>
      <w:bookmarkEnd w:id="70"/>
      <w:bookmarkEnd w:id="71"/>
    </w:p>
    <w:p w:rsidR="00421268" w:rsidRPr="009D6ED7" w:rsidRDefault="00421268" w:rsidP="00421268">
      <w:pPr>
        <w:rPr>
          <w:szCs w:val="22"/>
        </w:rPr>
      </w:pPr>
    </w:p>
    <w:p w:rsidR="00421268" w:rsidRPr="009D6ED7" w:rsidRDefault="00421268" w:rsidP="00421268">
      <w:pPr>
        <w:widowControl w:val="0"/>
        <w:suppressAutoHyphens/>
        <w:autoSpaceDE w:val="0"/>
        <w:rPr>
          <w:rFonts w:eastAsia="Calibri"/>
          <w:szCs w:val="22"/>
          <w:lang w:eastAsia="ar-SA"/>
        </w:rPr>
      </w:pPr>
      <w:r w:rsidRPr="009D6ED7">
        <w:rPr>
          <w:rFonts w:eastAsia="Calibri"/>
          <w:szCs w:val="22"/>
          <w:lang w:eastAsia="ar-SA"/>
        </w:rPr>
        <w:t>Nebivolol Orion sudaro nebivololis, kuris yra selektyvus beta adrenoreceptorių blokatorius ir plečia kraujagysles (vazodilatatorius). Jis vartojamas padidėjusiam kraujospūdžiui (hipertenzijai) gydyti.</w:t>
      </w:r>
    </w:p>
    <w:p w:rsidR="00421268" w:rsidRPr="009D6ED7" w:rsidRDefault="00421268" w:rsidP="00421268">
      <w:pPr>
        <w:widowControl w:val="0"/>
        <w:suppressAutoHyphens/>
        <w:autoSpaceDE w:val="0"/>
        <w:rPr>
          <w:rFonts w:eastAsia="Calibri"/>
          <w:color w:val="221E1F"/>
          <w:szCs w:val="22"/>
          <w:lang w:eastAsia="ar-SA"/>
        </w:rPr>
      </w:pPr>
      <w:r w:rsidRPr="009D6ED7">
        <w:rPr>
          <w:rFonts w:eastAsia="Calibri"/>
          <w:color w:val="221E1F"/>
          <w:szCs w:val="22"/>
          <w:lang w:eastAsia="ar-SA"/>
        </w:rPr>
        <w:br/>
        <w:t xml:space="preserve">Be to, </w:t>
      </w:r>
      <w:r w:rsidRPr="009D6ED7">
        <w:rPr>
          <w:rFonts w:eastAsia="Calibri"/>
          <w:szCs w:val="22"/>
          <w:lang w:eastAsia="ar-SA"/>
        </w:rPr>
        <w:t xml:space="preserve">Nebivolol Orion </w:t>
      </w:r>
      <w:r w:rsidRPr="009D6ED7">
        <w:rPr>
          <w:rFonts w:eastAsia="Calibri"/>
          <w:color w:val="221E1F"/>
          <w:szCs w:val="22"/>
          <w:lang w:eastAsia="ar-SA"/>
        </w:rPr>
        <w:t>vartojamas 70 metų amžiaus ir vyresniems pacientams, sergantiems lėtiniu širdies nepakankamumu, gydyti.</w:t>
      </w:r>
    </w:p>
    <w:p w:rsidR="00421268" w:rsidRPr="009D6ED7" w:rsidRDefault="00421268" w:rsidP="00421268">
      <w:pPr>
        <w:rPr>
          <w:szCs w:val="22"/>
        </w:rPr>
      </w:pPr>
    </w:p>
    <w:p w:rsidR="00421268" w:rsidRPr="009D6ED7" w:rsidRDefault="00421268" w:rsidP="00421268">
      <w:pPr>
        <w:rPr>
          <w:szCs w:val="22"/>
        </w:rPr>
      </w:pPr>
    </w:p>
    <w:p w:rsidR="00421268" w:rsidRPr="009D6ED7" w:rsidRDefault="00421268" w:rsidP="00421268">
      <w:pPr>
        <w:keepNext/>
        <w:tabs>
          <w:tab w:val="left" w:pos="567"/>
        </w:tabs>
        <w:ind w:left="567" w:hanging="567"/>
        <w:outlineLvl w:val="1"/>
        <w:rPr>
          <w:b/>
          <w:szCs w:val="22"/>
        </w:rPr>
      </w:pPr>
      <w:bookmarkStart w:id="72" w:name="_Toc129243265"/>
      <w:bookmarkStart w:id="73" w:name="_Toc129243140"/>
      <w:r w:rsidRPr="009D6ED7">
        <w:rPr>
          <w:b/>
          <w:szCs w:val="22"/>
        </w:rPr>
        <w:t>2.</w:t>
      </w:r>
      <w:r w:rsidRPr="009D6ED7">
        <w:rPr>
          <w:b/>
          <w:szCs w:val="22"/>
        </w:rPr>
        <w:tab/>
        <w:t xml:space="preserve">Kas žinotina prieš vartojant </w:t>
      </w:r>
      <w:bookmarkEnd w:id="72"/>
      <w:bookmarkEnd w:id="73"/>
      <w:r w:rsidRPr="009D6ED7">
        <w:rPr>
          <w:b/>
          <w:szCs w:val="22"/>
        </w:rPr>
        <w:t>Nebivolol Orion</w:t>
      </w:r>
    </w:p>
    <w:p w:rsidR="00421268" w:rsidRPr="009D6ED7" w:rsidRDefault="00421268" w:rsidP="00421268">
      <w:pPr>
        <w:rPr>
          <w:szCs w:val="22"/>
        </w:rPr>
      </w:pPr>
    </w:p>
    <w:p w:rsidR="00421268" w:rsidRPr="009D6ED7" w:rsidRDefault="00421268" w:rsidP="00421268">
      <w:pPr>
        <w:widowControl w:val="0"/>
        <w:suppressAutoHyphens/>
        <w:autoSpaceDE w:val="0"/>
        <w:ind w:right="1770"/>
        <w:rPr>
          <w:rFonts w:eastAsia="Calibri"/>
          <w:b/>
          <w:bCs/>
          <w:color w:val="221E1F"/>
          <w:szCs w:val="22"/>
          <w:lang w:eastAsia="ar-SA"/>
        </w:rPr>
      </w:pPr>
      <w:r w:rsidRPr="009D6ED7">
        <w:rPr>
          <w:rFonts w:eastAsia="Calibri"/>
          <w:b/>
          <w:color w:val="000000"/>
          <w:szCs w:val="22"/>
          <w:lang w:eastAsia="ar-SA"/>
        </w:rPr>
        <w:t>Nebivolol Orion</w:t>
      </w:r>
      <w:r w:rsidRPr="009D6ED7">
        <w:rPr>
          <w:rFonts w:eastAsia="Calibri"/>
          <w:color w:val="000000"/>
          <w:szCs w:val="22"/>
          <w:lang w:eastAsia="ar-SA"/>
        </w:rPr>
        <w:t xml:space="preserve"> </w:t>
      </w:r>
      <w:r w:rsidRPr="009D6ED7">
        <w:rPr>
          <w:rFonts w:eastAsia="Calibri"/>
          <w:b/>
          <w:bCs/>
          <w:color w:val="221E1F"/>
          <w:szCs w:val="22"/>
          <w:lang w:eastAsia="ar-SA"/>
        </w:rPr>
        <w:t>vartoti negalima:</w:t>
      </w:r>
    </w:p>
    <w:p w:rsidR="00421268" w:rsidRPr="009D6ED7" w:rsidRDefault="00421268" w:rsidP="00421268">
      <w:pPr>
        <w:numPr>
          <w:ilvl w:val="0"/>
          <w:numId w:val="23"/>
        </w:numPr>
        <w:tabs>
          <w:tab w:val="num" w:pos="567"/>
        </w:tabs>
        <w:ind w:left="567" w:hanging="567"/>
        <w:rPr>
          <w:szCs w:val="22"/>
        </w:rPr>
      </w:pPr>
      <w:r w:rsidRPr="009D6ED7">
        <w:rPr>
          <w:szCs w:val="22"/>
        </w:rPr>
        <w:t>jeigu yra alergija nebivololiui arba bet kuriai pagalbinei šio vaisto medžiagai (jos išvardytos 6 skyriuje);</w:t>
      </w:r>
    </w:p>
    <w:p w:rsidR="00421268" w:rsidRPr="009D6ED7" w:rsidRDefault="00421268" w:rsidP="00421268">
      <w:pPr>
        <w:widowControl w:val="0"/>
        <w:numPr>
          <w:ilvl w:val="0"/>
          <w:numId w:val="23"/>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jeigu yra sumažėjęs kraujospūdis (sistolinis arba „viršutinis“ spaudimas yra mažesnis nei 90 mmHg);</w:t>
      </w:r>
    </w:p>
    <w:p w:rsidR="00421268" w:rsidRPr="009D6ED7" w:rsidRDefault="00421268" w:rsidP="00421268">
      <w:pPr>
        <w:widowControl w:val="0"/>
        <w:numPr>
          <w:ilvl w:val="0"/>
          <w:numId w:val="23"/>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jeigu yra prasta rankų ir kojų kraujotaka;</w:t>
      </w:r>
    </w:p>
    <w:p w:rsidR="00421268" w:rsidRPr="009D6ED7" w:rsidRDefault="00421268" w:rsidP="00421268">
      <w:pPr>
        <w:widowControl w:val="0"/>
        <w:numPr>
          <w:ilvl w:val="0"/>
          <w:numId w:val="23"/>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 xml:space="preserve">jeigu širdies plakimas yra labai retas (mažiau nei 60 širdies dūžių per minutę prieš šio vaisto vartojimo pradžią); </w:t>
      </w:r>
    </w:p>
    <w:p w:rsidR="00421268" w:rsidRPr="009D6ED7" w:rsidRDefault="00421268" w:rsidP="00421268">
      <w:pPr>
        <w:widowControl w:val="0"/>
        <w:numPr>
          <w:ilvl w:val="0"/>
          <w:numId w:val="23"/>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jeigu Jums diagnozuoti širdies laidumo sutrikimai (pvz., sinusinio mazgo silpnumo sindromas arba atrioventrikulinė blokada) ir neįstatytas funkcionuojantis širdies stimuliatorius;</w:t>
      </w:r>
    </w:p>
    <w:p w:rsidR="00421268" w:rsidRPr="009D6ED7" w:rsidRDefault="00421268" w:rsidP="00421268">
      <w:pPr>
        <w:widowControl w:val="0"/>
        <w:numPr>
          <w:ilvl w:val="0"/>
          <w:numId w:val="23"/>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jeigu sergate ūmiu širdies nepakankamumu arba Jums į veną leidžia vaistus (skiria intravenines lašelines), padedančius Jūsų širdžiai dirbti;</w:t>
      </w:r>
    </w:p>
    <w:p w:rsidR="00421268" w:rsidRPr="009D6ED7" w:rsidRDefault="00421268" w:rsidP="00421268">
      <w:pPr>
        <w:widowControl w:val="0"/>
        <w:numPr>
          <w:ilvl w:val="0"/>
          <w:numId w:val="23"/>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 xml:space="preserve">jeigu Jums labai sunku kvėpuoti arba Jus vargina švokštimas; </w:t>
      </w:r>
    </w:p>
    <w:p w:rsidR="00421268" w:rsidRPr="009D6ED7" w:rsidRDefault="00421268" w:rsidP="00421268">
      <w:pPr>
        <w:widowControl w:val="0"/>
        <w:numPr>
          <w:ilvl w:val="0"/>
          <w:numId w:val="23"/>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jeigu Jums diagnozuotas antinksčių auglys, vadinamas feochromocitoma</w:t>
      </w:r>
    </w:p>
    <w:p w:rsidR="00421268" w:rsidRPr="009D6ED7" w:rsidRDefault="00421268" w:rsidP="00421268">
      <w:pPr>
        <w:widowControl w:val="0"/>
        <w:numPr>
          <w:ilvl w:val="0"/>
          <w:numId w:val="23"/>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jeigu sergate sunkia kepenų liga arba Jūsų kepenų funkcija sutrikusi;</w:t>
      </w:r>
    </w:p>
    <w:p w:rsidR="00421268" w:rsidRPr="009D6ED7" w:rsidRDefault="00421268" w:rsidP="00421268">
      <w:pPr>
        <w:widowControl w:val="0"/>
        <w:numPr>
          <w:ilvl w:val="0"/>
          <w:numId w:val="23"/>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jeigu yra metabolinė acidozė (pvz., kai cukriniu diabetu sergančių pacientų kraujyje per daug padidėja cukraus kiekis ir kraujas tampa per daug rūgštus);</w:t>
      </w:r>
    </w:p>
    <w:p w:rsidR="00421268" w:rsidRPr="009D6ED7" w:rsidRDefault="00421268" w:rsidP="00421268">
      <w:pPr>
        <w:widowControl w:val="0"/>
        <w:numPr>
          <w:ilvl w:val="0"/>
          <w:numId w:val="23"/>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jeigu vartojate floktafenino arba sultoprido turinčių vaistų.</w:t>
      </w:r>
    </w:p>
    <w:p w:rsidR="00421268" w:rsidRPr="009D6ED7" w:rsidRDefault="00421268" w:rsidP="00421268">
      <w:pPr>
        <w:widowControl w:val="0"/>
        <w:suppressAutoHyphens/>
        <w:autoSpaceDE w:val="0"/>
        <w:rPr>
          <w:rFonts w:eastAsia="Calibri"/>
          <w:b/>
          <w:bCs/>
          <w:color w:val="221E1F"/>
          <w:szCs w:val="22"/>
          <w:lang w:eastAsia="ar-SA"/>
        </w:rPr>
      </w:pPr>
    </w:p>
    <w:p w:rsidR="00421268" w:rsidRPr="009D6ED7" w:rsidRDefault="00421268" w:rsidP="00421268">
      <w:pPr>
        <w:widowControl w:val="0"/>
        <w:suppressAutoHyphens/>
        <w:autoSpaceDE w:val="0"/>
        <w:rPr>
          <w:rFonts w:eastAsia="Calibri"/>
          <w:b/>
          <w:bCs/>
          <w:color w:val="221E1F"/>
          <w:szCs w:val="22"/>
          <w:lang w:eastAsia="ar-SA"/>
        </w:rPr>
      </w:pPr>
      <w:r w:rsidRPr="009D6ED7">
        <w:rPr>
          <w:rFonts w:eastAsia="Calibri"/>
          <w:b/>
          <w:bCs/>
          <w:color w:val="221E1F"/>
          <w:szCs w:val="22"/>
          <w:lang w:eastAsia="ar-SA"/>
        </w:rPr>
        <w:t>Įspėjimai ir atsargumo priemonės</w:t>
      </w:r>
    </w:p>
    <w:p w:rsidR="00421268" w:rsidRPr="009D6ED7" w:rsidRDefault="00421268" w:rsidP="00421268">
      <w:pPr>
        <w:widowControl w:val="0"/>
        <w:suppressAutoHyphens/>
        <w:autoSpaceDE w:val="0"/>
        <w:rPr>
          <w:rFonts w:eastAsia="Calibri"/>
          <w:color w:val="221E1F"/>
          <w:szCs w:val="22"/>
          <w:lang w:eastAsia="ar-SA"/>
        </w:rPr>
      </w:pPr>
    </w:p>
    <w:p w:rsidR="00421268" w:rsidRPr="009D6ED7" w:rsidRDefault="00421268" w:rsidP="00421268">
      <w:pPr>
        <w:widowControl w:val="0"/>
        <w:suppressAutoHyphens/>
        <w:autoSpaceDE w:val="0"/>
        <w:rPr>
          <w:rFonts w:eastAsia="Calibri"/>
          <w:color w:val="221E1F"/>
          <w:szCs w:val="22"/>
          <w:lang w:eastAsia="ar-SA"/>
        </w:rPr>
      </w:pPr>
      <w:r w:rsidRPr="009D6ED7">
        <w:rPr>
          <w:rFonts w:eastAsia="Calibri"/>
          <w:color w:val="221E1F"/>
          <w:szCs w:val="22"/>
          <w:lang w:eastAsia="ar-SA"/>
        </w:rPr>
        <w:t xml:space="preserve">Jeigu sergate arba Jums atsirado viena iš šių būklių, pasitarkite su gydytoju arba vaistininku, prieš pradėdami vartoti Nebivolol Orion: </w:t>
      </w:r>
    </w:p>
    <w:p w:rsidR="00421268" w:rsidRPr="009D6ED7" w:rsidRDefault="00421268" w:rsidP="00421268">
      <w:pPr>
        <w:widowControl w:val="0"/>
        <w:numPr>
          <w:ilvl w:val="0"/>
          <w:numId w:val="24"/>
        </w:numPr>
        <w:tabs>
          <w:tab w:val="left" w:pos="567"/>
        </w:tabs>
        <w:suppressAutoHyphens/>
        <w:autoSpaceDE w:val="0"/>
        <w:ind w:left="567" w:hanging="567"/>
        <w:rPr>
          <w:rFonts w:eastAsia="Calibri"/>
          <w:color w:val="000000"/>
          <w:szCs w:val="22"/>
          <w:lang w:eastAsia="ar-SA"/>
        </w:rPr>
      </w:pPr>
      <w:r w:rsidRPr="009D6ED7">
        <w:rPr>
          <w:rFonts w:eastAsia="Calibri"/>
          <w:color w:val="221E1F"/>
          <w:szCs w:val="22"/>
          <w:lang w:eastAsia="ar-SA"/>
        </w:rPr>
        <w:lastRenderedPageBreak/>
        <w:t>širdies nepakankamumas</w:t>
      </w:r>
      <w:r w:rsidRPr="009D6ED7">
        <w:rPr>
          <w:rFonts w:eastAsia="Calibri"/>
          <w:color w:val="000000"/>
          <w:szCs w:val="22"/>
          <w:lang w:eastAsia="ar-SA"/>
        </w:rPr>
        <w:t xml:space="preserve"> (širdis negali išpumpuoti pakankamai kraujo ir patenkinti organizmo poreikių);</w:t>
      </w:r>
    </w:p>
    <w:p w:rsidR="00421268" w:rsidRPr="009D6ED7" w:rsidRDefault="00421268" w:rsidP="00421268">
      <w:pPr>
        <w:widowControl w:val="0"/>
        <w:numPr>
          <w:ilvl w:val="0"/>
          <w:numId w:val="24"/>
        </w:numPr>
        <w:tabs>
          <w:tab w:val="left" w:pos="567"/>
        </w:tabs>
        <w:suppressAutoHyphens/>
        <w:autoSpaceDE w:val="0"/>
        <w:ind w:left="567" w:hanging="567"/>
        <w:rPr>
          <w:rFonts w:eastAsia="Calibri"/>
          <w:color w:val="000000"/>
          <w:szCs w:val="22"/>
          <w:lang w:eastAsia="ar-SA"/>
        </w:rPr>
      </w:pPr>
      <w:r w:rsidRPr="009D6ED7">
        <w:rPr>
          <w:rFonts w:eastAsia="Calibri"/>
          <w:color w:val="000000"/>
          <w:szCs w:val="22"/>
          <w:lang w:eastAsia="ar-SA"/>
        </w:rPr>
        <w:t>lengva (pirmo laipsnio) Jūsų širdies atrioventrikulinė blokada;</w:t>
      </w:r>
    </w:p>
    <w:p w:rsidR="00421268" w:rsidRPr="009D6ED7" w:rsidRDefault="00421268" w:rsidP="00421268">
      <w:pPr>
        <w:widowControl w:val="0"/>
        <w:numPr>
          <w:ilvl w:val="0"/>
          <w:numId w:val="24"/>
        </w:numPr>
        <w:tabs>
          <w:tab w:val="left" w:pos="567"/>
        </w:tabs>
        <w:suppressAutoHyphens/>
        <w:autoSpaceDE w:val="0"/>
        <w:ind w:left="567" w:hanging="567"/>
        <w:rPr>
          <w:rFonts w:eastAsia="Calibri"/>
          <w:color w:val="000000"/>
          <w:szCs w:val="22"/>
          <w:lang w:eastAsia="ar-SA"/>
        </w:rPr>
      </w:pPr>
      <w:r w:rsidRPr="009D6ED7">
        <w:rPr>
          <w:rFonts w:eastAsia="Calibri"/>
          <w:color w:val="000000"/>
          <w:szCs w:val="22"/>
          <w:lang w:eastAsia="ar-SA"/>
        </w:rPr>
        <w:t>krūtinės skausmas, sukeltas vainikinių arterijų spazmo (vadinamas Prinzmetalio krūtinės angina arba variantine krūtinės angina)</w:t>
      </w:r>
    </w:p>
    <w:p w:rsidR="00421268" w:rsidRPr="009D6ED7" w:rsidRDefault="00421268" w:rsidP="00421268">
      <w:pPr>
        <w:widowControl w:val="0"/>
        <w:numPr>
          <w:ilvl w:val="0"/>
          <w:numId w:val="24"/>
        </w:numPr>
        <w:tabs>
          <w:tab w:val="left"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 xml:space="preserve">prasta rankų ir kojų kraujotaka, pvz., </w:t>
      </w:r>
      <w:r w:rsidRPr="009D6ED7">
        <w:rPr>
          <w:rFonts w:eastAsia="Calibri"/>
          <w:i/>
          <w:color w:val="221E1F"/>
          <w:szCs w:val="22"/>
          <w:lang w:eastAsia="ar-SA"/>
        </w:rPr>
        <w:t>Raynaud‘o</w:t>
      </w:r>
      <w:r w:rsidRPr="009D6ED7">
        <w:rPr>
          <w:rFonts w:eastAsia="Calibri"/>
          <w:color w:val="221E1F"/>
          <w:szCs w:val="22"/>
          <w:lang w:eastAsia="ar-SA"/>
        </w:rPr>
        <w:t xml:space="preserve"> liga ar sindromas, panašūs į mėšlungį skausmai vaikštant; </w:t>
      </w:r>
    </w:p>
    <w:p w:rsidR="00421268" w:rsidRPr="009D6ED7" w:rsidRDefault="00421268" w:rsidP="00421268">
      <w:pPr>
        <w:widowControl w:val="0"/>
        <w:numPr>
          <w:ilvl w:val="0"/>
          <w:numId w:val="24"/>
        </w:numPr>
        <w:tabs>
          <w:tab w:val="left"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 xml:space="preserve">užsitęsusios kvėpavimo problemos; </w:t>
      </w:r>
    </w:p>
    <w:p w:rsidR="00421268" w:rsidRPr="009D6ED7" w:rsidRDefault="00421268" w:rsidP="00421268">
      <w:pPr>
        <w:widowControl w:val="0"/>
        <w:numPr>
          <w:ilvl w:val="0"/>
          <w:numId w:val="24"/>
        </w:numPr>
        <w:tabs>
          <w:tab w:val="left"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 xml:space="preserve">cukrinis diabetas: </w:t>
      </w:r>
      <w:r w:rsidRPr="009D6ED7">
        <w:rPr>
          <w:rFonts w:eastAsia="Calibri"/>
          <w:color w:val="000000"/>
          <w:szCs w:val="22"/>
          <w:lang w:eastAsia="ar-SA"/>
        </w:rPr>
        <w:t xml:space="preserve">Nebivolol Orion </w:t>
      </w:r>
      <w:r w:rsidRPr="009D6ED7">
        <w:rPr>
          <w:rFonts w:eastAsia="Calibri"/>
          <w:color w:val="221E1F"/>
          <w:szCs w:val="22"/>
          <w:lang w:eastAsia="ar-SA"/>
        </w:rPr>
        <w:t>neturi įtakos cukraus koncentracijai kraujyje, tačiau jis gali užmaskuoti sumažėjusios cukraus koncentracijos simptomus (pvz., drebulį, dažną širdies plakimą);</w:t>
      </w:r>
    </w:p>
    <w:p w:rsidR="00421268" w:rsidRPr="009D6ED7" w:rsidRDefault="00421268" w:rsidP="00421268">
      <w:pPr>
        <w:widowControl w:val="0"/>
        <w:numPr>
          <w:ilvl w:val="0"/>
          <w:numId w:val="24"/>
        </w:numPr>
        <w:tabs>
          <w:tab w:val="left"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 xml:space="preserve">per daug aktyvi skydliaukė: </w:t>
      </w:r>
      <w:r w:rsidRPr="009D6ED7">
        <w:rPr>
          <w:rFonts w:eastAsia="Calibri"/>
          <w:color w:val="000000"/>
          <w:szCs w:val="22"/>
          <w:lang w:eastAsia="ar-SA"/>
        </w:rPr>
        <w:t xml:space="preserve">Nebivolol Orion </w:t>
      </w:r>
      <w:r w:rsidRPr="009D6ED7">
        <w:rPr>
          <w:rFonts w:eastAsia="Calibri"/>
          <w:color w:val="221E1F"/>
          <w:szCs w:val="22"/>
          <w:lang w:eastAsia="ar-SA"/>
        </w:rPr>
        <w:t xml:space="preserve">gali užmaskuoti nenormaliai dažno širdies plakimo požymius, kuriuos sukelia ši liga; </w:t>
      </w:r>
    </w:p>
    <w:p w:rsidR="00421268" w:rsidRPr="009D6ED7" w:rsidRDefault="00421268" w:rsidP="00421268">
      <w:pPr>
        <w:widowControl w:val="0"/>
        <w:numPr>
          <w:ilvl w:val="0"/>
          <w:numId w:val="24"/>
        </w:numPr>
        <w:tabs>
          <w:tab w:val="left" w:pos="567"/>
        </w:tabs>
        <w:suppressAutoHyphens/>
        <w:autoSpaceDE w:val="0"/>
        <w:ind w:left="567" w:hanging="567"/>
        <w:rPr>
          <w:rFonts w:eastAsia="Calibri"/>
          <w:color w:val="000000"/>
          <w:szCs w:val="22"/>
          <w:lang w:eastAsia="ar-SA"/>
        </w:rPr>
      </w:pPr>
      <w:r w:rsidRPr="009D6ED7">
        <w:rPr>
          <w:rFonts w:eastAsia="Calibri"/>
          <w:color w:val="000000"/>
          <w:szCs w:val="22"/>
          <w:lang w:eastAsia="ar-SA"/>
        </w:rPr>
        <w:t>alergija: gali sustiprėti alerginės reakcijos ir reikėti daugiau vaistų joms gydyti;</w:t>
      </w:r>
    </w:p>
    <w:p w:rsidR="00421268" w:rsidRPr="009D6ED7" w:rsidRDefault="00421268" w:rsidP="00421268">
      <w:pPr>
        <w:widowControl w:val="0"/>
        <w:numPr>
          <w:ilvl w:val="0"/>
          <w:numId w:val="24"/>
        </w:numPr>
        <w:tabs>
          <w:tab w:val="left" w:pos="567"/>
        </w:tabs>
        <w:suppressAutoHyphens/>
        <w:autoSpaceDE w:val="0"/>
        <w:ind w:left="567" w:hanging="567"/>
        <w:rPr>
          <w:rFonts w:eastAsia="Calibri"/>
          <w:color w:val="000000"/>
          <w:szCs w:val="22"/>
          <w:lang w:eastAsia="ar-SA"/>
        </w:rPr>
      </w:pPr>
      <w:r w:rsidRPr="009D6ED7">
        <w:rPr>
          <w:rFonts w:eastAsia="Calibri"/>
          <w:color w:val="000000"/>
          <w:szCs w:val="22"/>
          <w:lang w:eastAsia="ar-SA"/>
        </w:rPr>
        <w:t>odos liga, vadinama žvyneline: Nebivolol Orion gali sustiprinti šios ligos simptomus;</w:t>
      </w:r>
    </w:p>
    <w:p w:rsidR="00421268" w:rsidRPr="009D6ED7" w:rsidRDefault="00421268" w:rsidP="00421268">
      <w:pPr>
        <w:widowControl w:val="0"/>
        <w:numPr>
          <w:ilvl w:val="0"/>
          <w:numId w:val="24"/>
        </w:numPr>
        <w:tabs>
          <w:tab w:val="left" w:pos="567"/>
        </w:tabs>
        <w:suppressAutoHyphens/>
        <w:autoSpaceDE w:val="0"/>
        <w:ind w:left="567" w:hanging="567"/>
        <w:rPr>
          <w:rFonts w:eastAsia="Calibri"/>
          <w:color w:val="000000"/>
          <w:szCs w:val="22"/>
          <w:lang w:eastAsia="ar-SA"/>
        </w:rPr>
      </w:pPr>
      <w:r w:rsidRPr="009D6ED7">
        <w:rPr>
          <w:rFonts w:eastAsia="Calibri"/>
          <w:color w:val="000000"/>
          <w:szCs w:val="22"/>
          <w:lang w:eastAsia="ar-SA"/>
        </w:rPr>
        <w:t xml:space="preserve">kontaktinių lęšių nešiojimas: Nebivolol Orion gali sumažinti ašarų išsiskyrimą ir sukelti akių sausumą. </w:t>
      </w:r>
    </w:p>
    <w:p w:rsidR="00421268" w:rsidRPr="009D6ED7" w:rsidRDefault="00421268" w:rsidP="00421268">
      <w:pPr>
        <w:rPr>
          <w:szCs w:val="22"/>
        </w:rPr>
      </w:pPr>
    </w:p>
    <w:p w:rsidR="00421268" w:rsidRPr="009D6ED7" w:rsidRDefault="00421268" w:rsidP="00421268">
      <w:pPr>
        <w:rPr>
          <w:szCs w:val="22"/>
        </w:rPr>
      </w:pPr>
      <w:r w:rsidRPr="009D6ED7">
        <w:rPr>
          <w:szCs w:val="22"/>
        </w:rPr>
        <w:t>Tokiais atvejais Jūsų gydytojui gali reikėti koreguoti Jūsų gydymą arba dažniau tikrinti Jūsų būklę.</w:t>
      </w:r>
    </w:p>
    <w:p w:rsidR="00421268" w:rsidRPr="009D6ED7" w:rsidRDefault="00421268" w:rsidP="00421268">
      <w:pPr>
        <w:widowControl w:val="0"/>
        <w:suppressAutoHyphens/>
        <w:autoSpaceDE w:val="0"/>
        <w:rPr>
          <w:rFonts w:eastAsia="Calibri"/>
          <w:color w:val="000000"/>
          <w:szCs w:val="22"/>
          <w:shd w:val="clear" w:color="auto" w:fill="00FF00"/>
          <w:lang w:eastAsia="ar-SA"/>
        </w:rPr>
      </w:pPr>
    </w:p>
    <w:p w:rsidR="00421268" w:rsidRPr="009D6ED7" w:rsidRDefault="00421268" w:rsidP="00421268">
      <w:pPr>
        <w:rPr>
          <w:szCs w:val="22"/>
        </w:rPr>
      </w:pPr>
      <w:r w:rsidRPr="009D6ED7">
        <w:rPr>
          <w:szCs w:val="22"/>
        </w:rPr>
        <w:t xml:space="preserve">Jei Jums reikia atlikti operaciją arba skirti anestetikų, svarbu, kad pasakytumėte savo chirurgui arba odontologui, kad vartojate šį vaistą. </w:t>
      </w:r>
    </w:p>
    <w:p w:rsidR="00421268" w:rsidRPr="009D6ED7" w:rsidRDefault="00421268" w:rsidP="00421268">
      <w:pPr>
        <w:rPr>
          <w:szCs w:val="22"/>
        </w:rPr>
      </w:pPr>
      <w:r w:rsidRPr="009D6ED7">
        <w:rPr>
          <w:szCs w:val="22"/>
        </w:rPr>
        <w:t>Jei turite problemų dėl inkstų, nevartokite šio vaisto širdies nepakankamumui gydyti ir informuokite savo gydytoją.</w:t>
      </w:r>
    </w:p>
    <w:p w:rsidR="00421268" w:rsidRPr="009D6ED7" w:rsidRDefault="00421268" w:rsidP="00421268">
      <w:pPr>
        <w:rPr>
          <w:szCs w:val="22"/>
          <w:shd w:val="clear" w:color="auto" w:fill="FFFF00"/>
        </w:rPr>
      </w:pPr>
    </w:p>
    <w:p w:rsidR="00421268" w:rsidRPr="009D6ED7" w:rsidRDefault="00421268" w:rsidP="00421268">
      <w:pPr>
        <w:rPr>
          <w:szCs w:val="22"/>
          <w:shd w:val="clear" w:color="auto" w:fill="FFFF00"/>
        </w:rPr>
      </w:pPr>
      <w:r w:rsidRPr="009D6ED7">
        <w:rPr>
          <w:b/>
          <w:szCs w:val="22"/>
        </w:rPr>
        <w:t>Vaikams</w:t>
      </w:r>
      <w:r w:rsidRPr="009D6ED7">
        <w:rPr>
          <w:szCs w:val="22"/>
        </w:rPr>
        <w:t xml:space="preserve"> </w:t>
      </w:r>
      <w:r w:rsidRPr="009D6ED7">
        <w:rPr>
          <w:b/>
          <w:szCs w:val="22"/>
        </w:rPr>
        <w:t>ir</w:t>
      </w:r>
      <w:r w:rsidRPr="009D6ED7">
        <w:rPr>
          <w:szCs w:val="22"/>
        </w:rPr>
        <w:t xml:space="preserve"> </w:t>
      </w:r>
      <w:r w:rsidRPr="009D6ED7">
        <w:rPr>
          <w:b/>
          <w:szCs w:val="22"/>
        </w:rPr>
        <w:t>paaugliams</w:t>
      </w:r>
    </w:p>
    <w:p w:rsidR="00421268" w:rsidRPr="009D6ED7" w:rsidRDefault="00421268" w:rsidP="00421268">
      <w:pPr>
        <w:rPr>
          <w:b/>
          <w:szCs w:val="22"/>
        </w:rPr>
      </w:pPr>
    </w:p>
    <w:p w:rsidR="00421268" w:rsidRPr="009D6ED7" w:rsidRDefault="00421268" w:rsidP="00421268">
      <w:pPr>
        <w:rPr>
          <w:szCs w:val="22"/>
        </w:rPr>
      </w:pPr>
      <w:r w:rsidRPr="009D6ED7">
        <w:rPr>
          <w:szCs w:val="22"/>
        </w:rPr>
        <w:t xml:space="preserve">Nebivololio nerekomenduojama vartoti jaunesniems nei 18 metų amžiaus vaikams ir paaugliams. </w:t>
      </w:r>
    </w:p>
    <w:p w:rsidR="00421268" w:rsidRPr="009D6ED7" w:rsidRDefault="00421268" w:rsidP="00421268">
      <w:pPr>
        <w:rPr>
          <w:b/>
          <w:szCs w:val="22"/>
        </w:rPr>
      </w:pPr>
    </w:p>
    <w:p w:rsidR="00421268" w:rsidRPr="009D6ED7" w:rsidRDefault="00421268" w:rsidP="00421268">
      <w:pPr>
        <w:rPr>
          <w:b/>
          <w:bCs/>
          <w:szCs w:val="22"/>
        </w:rPr>
      </w:pPr>
      <w:r w:rsidRPr="009D6ED7">
        <w:rPr>
          <w:b/>
          <w:szCs w:val="22"/>
        </w:rPr>
        <w:t>Kiti vaistai ir Nebivolol Orion</w:t>
      </w:r>
    </w:p>
    <w:p w:rsidR="00421268" w:rsidRPr="009D6ED7" w:rsidRDefault="00421268" w:rsidP="00421268">
      <w:pPr>
        <w:ind w:right="-2"/>
        <w:rPr>
          <w:szCs w:val="22"/>
        </w:rPr>
      </w:pPr>
    </w:p>
    <w:p w:rsidR="00421268" w:rsidRPr="009D6ED7" w:rsidRDefault="00421268" w:rsidP="00421268">
      <w:pPr>
        <w:ind w:right="-2"/>
        <w:rPr>
          <w:szCs w:val="22"/>
        </w:rPr>
      </w:pPr>
      <w:r w:rsidRPr="009D6ED7">
        <w:rPr>
          <w:szCs w:val="22"/>
        </w:rPr>
        <w:t>Jeigu vartojate ar neseniai vartojote kitų vaistų, įskaitant įsigytus be recepto, žolinius preparatus, stiprius vitaminus ir mineralus, arba dėl to nesate tikri, apie tai pasakykite gydytojui arba vaistininkui.</w:t>
      </w:r>
    </w:p>
    <w:p w:rsidR="00421268" w:rsidRPr="009D6ED7" w:rsidRDefault="00421268" w:rsidP="00421268">
      <w:pPr>
        <w:ind w:right="-2"/>
        <w:rPr>
          <w:szCs w:val="22"/>
        </w:rPr>
      </w:pPr>
    </w:p>
    <w:p w:rsidR="00421268" w:rsidRPr="009D6ED7" w:rsidRDefault="00421268" w:rsidP="00421268">
      <w:pPr>
        <w:widowControl w:val="0"/>
        <w:suppressAutoHyphens/>
        <w:autoSpaceDE w:val="0"/>
        <w:rPr>
          <w:rFonts w:eastAsia="Calibri"/>
          <w:color w:val="221E1F"/>
          <w:szCs w:val="22"/>
          <w:lang w:eastAsia="ar-SA"/>
        </w:rPr>
      </w:pPr>
      <w:r w:rsidRPr="009D6ED7">
        <w:rPr>
          <w:rFonts w:eastAsia="Calibri"/>
          <w:szCs w:val="22"/>
          <w:lang w:eastAsia="ar-SA"/>
        </w:rPr>
        <w:t>Jeigu kartu su Nebivolol Orion vartojate bet kurių iš toliau išvardintų vaistų, visada pasakykite gydytojui arba vaistininkui</w:t>
      </w:r>
      <w:r w:rsidRPr="009D6ED7">
        <w:rPr>
          <w:rFonts w:eastAsia="Calibri"/>
          <w:color w:val="221E1F"/>
          <w:szCs w:val="22"/>
          <w:lang w:eastAsia="ar-SA"/>
        </w:rPr>
        <w:t xml:space="preserve">: </w:t>
      </w:r>
    </w:p>
    <w:p w:rsidR="00421268" w:rsidRPr="009D6ED7" w:rsidRDefault="00421268" w:rsidP="00421268">
      <w:pPr>
        <w:widowControl w:val="0"/>
        <w:suppressAutoHyphens/>
        <w:autoSpaceDE w:val="0"/>
        <w:rPr>
          <w:rFonts w:eastAsia="Calibri"/>
          <w:color w:val="000000"/>
          <w:szCs w:val="22"/>
          <w:lang w:eastAsia="ar-SA"/>
        </w:rPr>
      </w:pPr>
    </w:p>
    <w:p w:rsidR="00421268" w:rsidRPr="009D6ED7" w:rsidRDefault="00421268" w:rsidP="00421268">
      <w:pPr>
        <w:widowControl w:val="0"/>
        <w:numPr>
          <w:ilvl w:val="0"/>
          <w:numId w:val="25"/>
        </w:numPr>
        <w:tabs>
          <w:tab w:val="left" w:pos="567"/>
        </w:tabs>
        <w:suppressAutoHyphens/>
        <w:autoSpaceDE w:val="0"/>
        <w:ind w:left="567" w:hanging="567"/>
        <w:rPr>
          <w:rFonts w:eastAsia="Calibri"/>
          <w:color w:val="000000"/>
          <w:szCs w:val="22"/>
          <w:lang w:eastAsia="ar-SA"/>
        </w:rPr>
      </w:pPr>
      <w:r w:rsidRPr="009D6ED7">
        <w:rPr>
          <w:rFonts w:eastAsia="Calibri"/>
          <w:color w:val="000000"/>
          <w:szCs w:val="22"/>
          <w:lang w:eastAsia="ar-SA"/>
        </w:rPr>
        <w:t>diltiazemo arba verapamilio (vartojami padidėjusiam kraujospūdžiui ir kitoms širdies ligoms gydyti). Vartojant Nebivolol Orion, verapamilio negalima leisti į veną;</w:t>
      </w:r>
    </w:p>
    <w:p w:rsidR="00421268" w:rsidRPr="009D6ED7" w:rsidRDefault="00421268" w:rsidP="00421268">
      <w:pPr>
        <w:widowControl w:val="0"/>
        <w:numPr>
          <w:ilvl w:val="0"/>
          <w:numId w:val="25"/>
        </w:numPr>
        <w:tabs>
          <w:tab w:val="left" w:pos="567"/>
        </w:tabs>
        <w:suppressAutoHyphens/>
        <w:autoSpaceDE w:val="0"/>
        <w:ind w:left="567" w:hanging="567"/>
        <w:rPr>
          <w:rFonts w:eastAsia="Calibri"/>
          <w:color w:val="000000"/>
          <w:szCs w:val="22"/>
          <w:lang w:eastAsia="ar-SA"/>
        </w:rPr>
      </w:pPr>
      <w:r w:rsidRPr="009D6ED7">
        <w:rPr>
          <w:rFonts w:eastAsia="Calibri"/>
          <w:color w:val="000000"/>
          <w:szCs w:val="22"/>
          <w:lang w:eastAsia="ar-SA"/>
        </w:rPr>
        <w:t>kalcio kanalų blokatorių (kiti vaistai, skirti padidėjusiam kraujospūdžiui arba kitoms širdies ligoms gydyti), pvz., amlodipino, felodipino, lacidipino, nifedipino, nikardipino, nimodipino, nitrendipino;</w:t>
      </w:r>
    </w:p>
    <w:p w:rsidR="00421268" w:rsidRPr="009D6ED7" w:rsidRDefault="00421268" w:rsidP="00421268">
      <w:pPr>
        <w:widowControl w:val="0"/>
        <w:numPr>
          <w:ilvl w:val="0"/>
          <w:numId w:val="25"/>
        </w:numPr>
        <w:tabs>
          <w:tab w:val="left" w:pos="567"/>
        </w:tabs>
        <w:suppressAutoHyphens/>
        <w:autoSpaceDE w:val="0"/>
        <w:ind w:left="567" w:hanging="567"/>
        <w:rPr>
          <w:rFonts w:eastAsia="Calibri"/>
          <w:color w:val="000000"/>
          <w:szCs w:val="22"/>
          <w:lang w:eastAsia="ar-SA"/>
        </w:rPr>
      </w:pPr>
      <w:r w:rsidRPr="009D6ED7">
        <w:rPr>
          <w:rFonts w:eastAsia="Calibri"/>
          <w:color w:val="000000"/>
          <w:szCs w:val="22"/>
          <w:lang w:eastAsia="ar-SA"/>
        </w:rPr>
        <w:t>kitų antihipertenzinių vaistų arba nitratų, skirtų krūtinės skausmui gydyti;</w:t>
      </w:r>
    </w:p>
    <w:p w:rsidR="00421268" w:rsidRPr="009D6ED7" w:rsidRDefault="00421268" w:rsidP="00421268">
      <w:pPr>
        <w:widowControl w:val="0"/>
        <w:numPr>
          <w:ilvl w:val="0"/>
          <w:numId w:val="25"/>
        </w:numPr>
        <w:tabs>
          <w:tab w:val="left"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klonidino, guanfacino, moksonidino, metildopos, rilmenidino (vartojami padidėjusiam kraujospūdžiui gydyti);</w:t>
      </w:r>
    </w:p>
    <w:p w:rsidR="00421268" w:rsidRPr="009D6ED7" w:rsidRDefault="00421268" w:rsidP="00421268">
      <w:pPr>
        <w:widowControl w:val="0"/>
        <w:numPr>
          <w:ilvl w:val="0"/>
          <w:numId w:val="25"/>
        </w:numPr>
        <w:tabs>
          <w:tab w:val="left"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širdies aritmijoms (nereguliariam širdies plakimui) gydyti skirtų vaistų, pvz., chinidino, hidrochinidino, amjodarono, cibenzolino, flekainido, dizopiramido, lidokaino, meksiletino, propafenono;</w:t>
      </w:r>
    </w:p>
    <w:p w:rsidR="00421268" w:rsidRPr="009D6ED7" w:rsidRDefault="00421268" w:rsidP="00421268">
      <w:pPr>
        <w:numPr>
          <w:ilvl w:val="0"/>
          <w:numId w:val="25"/>
        </w:numPr>
        <w:tabs>
          <w:tab w:val="left" w:pos="567"/>
        </w:tabs>
        <w:suppressAutoHyphens/>
        <w:ind w:left="567" w:hanging="567"/>
        <w:rPr>
          <w:color w:val="000000"/>
          <w:szCs w:val="22"/>
        </w:rPr>
      </w:pPr>
      <w:r w:rsidRPr="009D6ED7">
        <w:rPr>
          <w:color w:val="000000"/>
          <w:szCs w:val="22"/>
        </w:rPr>
        <w:t>triciklių antidepresantų (nuo depresijos), fenotiazinų (nuo psichozių) arba barbitūratų (nuo epilepsijos);</w:t>
      </w:r>
    </w:p>
    <w:p w:rsidR="00421268" w:rsidRPr="009D6ED7" w:rsidRDefault="00421268" w:rsidP="00421268">
      <w:pPr>
        <w:numPr>
          <w:ilvl w:val="0"/>
          <w:numId w:val="25"/>
        </w:numPr>
        <w:tabs>
          <w:tab w:val="left" w:pos="567"/>
        </w:tabs>
        <w:suppressAutoHyphens/>
        <w:ind w:left="567" w:hanging="567"/>
        <w:rPr>
          <w:color w:val="000000"/>
          <w:szCs w:val="22"/>
        </w:rPr>
      </w:pPr>
      <w:r w:rsidRPr="009D6ED7">
        <w:rPr>
          <w:color w:val="000000"/>
          <w:szCs w:val="22"/>
        </w:rPr>
        <w:t>cukriniam diabetui gydyti skirtų vaistų (insulino ir geriamųjų vaistų);</w:t>
      </w:r>
    </w:p>
    <w:p w:rsidR="00421268" w:rsidRPr="009D6ED7" w:rsidRDefault="00421268" w:rsidP="00421268">
      <w:pPr>
        <w:numPr>
          <w:ilvl w:val="0"/>
          <w:numId w:val="25"/>
        </w:numPr>
        <w:tabs>
          <w:tab w:val="left" w:pos="567"/>
        </w:tabs>
        <w:suppressAutoHyphens/>
        <w:ind w:left="567" w:hanging="567"/>
        <w:rPr>
          <w:color w:val="000000"/>
          <w:szCs w:val="22"/>
        </w:rPr>
      </w:pPr>
      <w:r w:rsidRPr="009D6ED7">
        <w:rPr>
          <w:color w:val="000000"/>
          <w:szCs w:val="22"/>
        </w:rPr>
        <w:t>digoksino arba kitų širdį veikiančių glikozidų (širdies nepakankamumui gydyti);</w:t>
      </w:r>
    </w:p>
    <w:p w:rsidR="00421268" w:rsidRPr="009D6ED7" w:rsidRDefault="00421268" w:rsidP="00421268">
      <w:pPr>
        <w:numPr>
          <w:ilvl w:val="0"/>
          <w:numId w:val="25"/>
        </w:numPr>
        <w:tabs>
          <w:tab w:val="left" w:pos="567"/>
        </w:tabs>
        <w:suppressAutoHyphens/>
        <w:ind w:left="567" w:hanging="567"/>
        <w:rPr>
          <w:szCs w:val="22"/>
        </w:rPr>
      </w:pPr>
      <w:r w:rsidRPr="009D6ED7">
        <w:rPr>
          <w:szCs w:val="22"/>
        </w:rPr>
        <w:t>priešuždegiminių analgetikų (NVNU), skirtų skausmui ir uždegimui gydyti – įsidėmėkite, kad mažos kasdienės, antitrombozinį poveikį turinčios, acetilsalicilo rūgšties dozės (pvz., 50 mg ar 100 mg) nekelia pavojaus vartojant jas kartu su Nebivolol Orion;</w:t>
      </w:r>
    </w:p>
    <w:p w:rsidR="00421268" w:rsidRPr="009D6ED7" w:rsidRDefault="00421268" w:rsidP="00421268">
      <w:pPr>
        <w:widowControl w:val="0"/>
        <w:numPr>
          <w:ilvl w:val="0"/>
          <w:numId w:val="25"/>
        </w:numPr>
        <w:tabs>
          <w:tab w:val="left"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 xml:space="preserve">vaistų nuo astmos, nosies užsikimšimo arba tam tikrų akių ligų, pvz., glaukomos (padidėjusio akių spaudimo) arba vyzdžio išsiplėtimo; </w:t>
      </w:r>
    </w:p>
    <w:p w:rsidR="00421268" w:rsidRPr="009D6ED7" w:rsidRDefault="00421268" w:rsidP="00421268">
      <w:pPr>
        <w:widowControl w:val="0"/>
        <w:numPr>
          <w:ilvl w:val="0"/>
          <w:numId w:val="25"/>
        </w:numPr>
        <w:tabs>
          <w:tab w:val="left" w:pos="567"/>
        </w:tabs>
        <w:suppressAutoHyphens/>
        <w:autoSpaceDE w:val="0"/>
        <w:ind w:left="567" w:hanging="567"/>
        <w:rPr>
          <w:rFonts w:eastAsia="Calibri"/>
          <w:color w:val="221E1F"/>
          <w:szCs w:val="22"/>
          <w:lang w:eastAsia="ar-SA"/>
        </w:rPr>
      </w:pPr>
      <w:r w:rsidRPr="009D6ED7">
        <w:rPr>
          <w:rFonts w:eastAsia="Calibri"/>
          <w:color w:val="221E1F"/>
          <w:szCs w:val="22"/>
          <w:lang w:eastAsia="ar-SA"/>
        </w:rPr>
        <w:lastRenderedPageBreak/>
        <w:t xml:space="preserve">anestetikų: prieš anesteziją visada informuokite anesteziologą, kad vartojate </w:t>
      </w:r>
      <w:r w:rsidRPr="009D6ED7">
        <w:rPr>
          <w:rFonts w:eastAsia="Calibri"/>
          <w:color w:val="000000"/>
          <w:szCs w:val="22"/>
          <w:lang w:eastAsia="ar-SA"/>
        </w:rPr>
        <w:t>Nebivolol Orion</w:t>
      </w:r>
      <w:r w:rsidRPr="009D6ED7">
        <w:rPr>
          <w:rFonts w:eastAsia="Calibri"/>
          <w:color w:val="221E1F"/>
          <w:szCs w:val="22"/>
          <w:lang w:eastAsia="ar-SA"/>
        </w:rPr>
        <w:t>;</w:t>
      </w:r>
    </w:p>
    <w:p w:rsidR="00421268" w:rsidRPr="009D6ED7" w:rsidRDefault="00421268" w:rsidP="00421268">
      <w:pPr>
        <w:widowControl w:val="0"/>
        <w:numPr>
          <w:ilvl w:val="0"/>
          <w:numId w:val="25"/>
        </w:numPr>
        <w:tabs>
          <w:tab w:val="left" w:pos="567"/>
        </w:tabs>
        <w:suppressAutoHyphens/>
        <w:autoSpaceDE w:val="0"/>
        <w:ind w:left="567" w:hanging="567"/>
        <w:rPr>
          <w:rFonts w:eastAsia="Calibri"/>
          <w:color w:val="221E1F"/>
          <w:szCs w:val="22"/>
          <w:lang w:eastAsia="ar-SA"/>
        </w:rPr>
      </w:pPr>
      <w:r w:rsidRPr="009D6ED7">
        <w:rPr>
          <w:rFonts w:eastAsia="Calibri"/>
          <w:color w:val="000000"/>
          <w:szCs w:val="22"/>
          <w:lang w:eastAsia="ar-SA"/>
        </w:rPr>
        <w:t xml:space="preserve">cimetidino (nuo padidėjusio skrandžio rūgštingumo) – Nebivolol Orion </w:t>
      </w:r>
      <w:r w:rsidRPr="009D6ED7">
        <w:rPr>
          <w:rFonts w:eastAsia="Calibri"/>
          <w:color w:val="221E1F"/>
          <w:szCs w:val="22"/>
          <w:lang w:eastAsia="ar-SA"/>
        </w:rPr>
        <w:t>turite išgerti valgio metu, o antacidinio vaisto tarp valgių;</w:t>
      </w:r>
    </w:p>
    <w:p w:rsidR="00421268" w:rsidRPr="009D6ED7" w:rsidRDefault="00421268" w:rsidP="00421268">
      <w:pPr>
        <w:widowControl w:val="0"/>
        <w:tabs>
          <w:tab w:val="num" w:pos="360"/>
          <w:tab w:val="left" w:pos="567"/>
        </w:tabs>
        <w:suppressAutoHyphens/>
        <w:autoSpaceDE w:val="0"/>
        <w:ind w:left="567" w:hanging="567"/>
        <w:rPr>
          <w:rFonts w:eastAsia="Calibri"/>
          <w:color w:val="221E1F"/>
          <w:szCs w:val="22"/>
          <w:lang w:eastAsia="ar-SA"/>
        </w:rPr>
      </w:pPr>
    </w:p>
    <w:p w:rsidR="00421268" w:rsidRPr="009D6ED7" w:rsidRDefault="00421268" w:rsidP="00421268">
      <w:pPr>
        <w:widowControl w:val="0"/>
        <w:numPr>
          <w:ilvl w:val="0"/>
          <w:numId w:val="25"/>
        </w:numPr>
        <w:tabs>
          <w:tab w:val="left" w:pos="567"/>
          <w:tab w:val="left" w:pos="755"/>
        </w:tabs>
        <w:suppressAutoHyphens/>
        <w:autoSpaceDE w:val="0"/>
        <w:ind w:left="567" w:hanging="567"/>
        <w:rPr>
          <w:rFonts w:eastAsia="Calibri"/>
          <w:color w:val="221E1F"/>
          <w:szCs w:val="22"/>
          <w:lang w:eastAsia="ar-SA"/>
        </w:rPr>
      </w:pPr>
      <w:r w:rsidRPr="009D6ED7">
        <w:rPr>
          <w:rFonts w:eastAsia="Calibri"/>
          <w:color w:val="221E1F"/>
          <w:szCs w:val="22"/>
          <w:lang w:eastAsia="ar-SA"/>
        </w:rPr>
        <w:t xml:space="preserve">vaistų, veikiančių nebivololio metabolizmą, t.y. terbinafino </w:t>
      </w:r>
      <w:r w:rsidRPr="009D6ED7">
        <w:rPr>
          <w:rFonts w:eastAsia="Calibri"/>
          <w:color w:val="000000"/>
          <w:szCs w:val="22"/>
          <w:lang w:eastAsia="ar-SA"/>
        </w:rPr>
        <w:t>(nuo grybelinių ar mieliagrybių infekcijų)</w:t>
      </w:r>
      <w:r w:rsidRPr="009D6ED7">
        <w:rPr>
          <w:rFonts w:eastAsia="Calibri"/>
          <w:color w:val="221E1F"/>
          <w:szCs w:val="22"/>
          <w:lang w:eastAsia="ar-SA"/>
        </w:rPr>
        <w:t xml:space="preserve">, bupropiono </w:t>
      </w:r>
      <w:r w:rsidRPr="009D6ED7">
        <w:rPr>
          <w:rFonts w:eastAsia="Calibri"/>
          <w:color w:val="000000"/>
          <w:szCs w:val="22"/>
          <w:lang w:eastAsia="ar-SA"/>
        </w:rPr>
        <w:t>(padeda mesti rūkyti)</w:t>
      </w:r>
      <w:r w:rsidRPr="009D6ED7">
        <w:rPr>
          <w:rFonts w:eastAsia="Calibri"/>
          <w:color w:val="221E1F"/>
          <w:szCs w:val="22"/>
          <w:lang w:eastAsia="ar-SA"/>
        </w:rPr>
        <w:t xml:space="preserve">, chlorokvino </w:t>
      </w:r>
      <w:r w:rsidRPr="009D6ED7">
        <w:rPr>
          <w:rFonts w:eastAsia="Calibri"/>
          <w:color w:val="000000"/>
          <w:szCs w:val="22"/>
          <w:lang w:eastAsia="ar-SA"/>
        </w:rPr>
        <w:t>(nuo maliarijos arba reumatoidinio artrito)</w:t>
      </w:r>
      <w:r w:rsidRPr="009D6ED7">
        <w:rPr>
          <w:rFonts w:eastAsia="Calibri"/>
          <w:color w:val="221E1F"/>
          <w:szCs w:val="22"/>
          <w:lang w:eastAsia="ar-SA"/>
        </w:rPr>
        <w:t xml:space="preserve">, levomepromazino </w:t>
      </w:r>
      <w:r w:rsidRPr="009D6ED7">
        <w:rPr>
          <w:rFonts w:eastAsia="Calibri"/>
          <w:color w:val="000000"/>
          <w:szCs w:val="22"/>
          <w:lang w:eastAsia="ar-SA"/>
        </w:rPr>
        <w:t>(nuo psichozių), paroksetino, fluoksetino, tioridiazino (nuo depresijos);</w:t>
      </w:r>
    </w:p>
    <w:p w:rsidR="00421268" w:rsidRPr="009D6ED7" w:rsidRDefault="00421268" w:rsidP="00421268">
      <w:pPr>
        <w:numPr>
          <w:ilvl w:val="0"/>
          <w:numId w:val="25"/>
        </w:numPr>
        <w:tabs>
          <w:tab w:val="left" w:pos="567"/>
        </w:tabs>
        <w:suppressAutoHyphens/>
        <w:ind w:left="567" w:hanging="567"/>
        <w:rPr>
          <w:color w:val="000000"/>
          <w:szCs w:val="22"/>
        </w:rPr>
      </w:pPr>
      <w:r w:rsidRPr="009D6ED7">
        <w:rPr>
          <w:color w:val="000000"/>
          <w:szCs w:val="22"/>
        </w:rPr>
        <w:t>amifostino (apsauginis vaistinis preparatas, skiriamas chemoterapijos arba radioterapijos metu);</w:t>
      </w:r>
    </w:p>
    <w:p w:rsidR="00421268" w:rsidRPr="009D6ED7" w:rsidRDefault="00421268" w:rsidP="00421268">
      <w:pPr>
        <w:numPr>
          <w:ilvl w:val="0"/>
          <w:numId w:val="25"/>
        </w:numPr>
        <w:tabs>
          <w:tab w:val="left" w:pos="567"/>
        </w:tabs>
        <w:suppressAutoHyphens/>
        <w:ind w:left="567" w:hanging="567"/>
        <w:rPr>
          <w:color w:val="000000"/>
          <w:szCs w:val="22"/>
        </w:rPr>
      </w:pPr>
      <w:r w:rsidRPr="009D6ED7">
        <w:rPr>
          <w:color w:val="000000"/>
          <w:szCs w:val="22"/>
        </w:rPr>
        <w:t>baklofeno (raumenis atpalaiduojantis vaistas);</w:t>
      </w:r>
    </w:p>
    <w:p w:rsidR="00421268" w:rsidRPr="009D6ED7" w:rsidRDefault="00421268" w:rsidP="00421268">
      <w:pPr>
        <w:widowControl w:val="0"/>
        <w:numPr>
          <w:ilvl w:val="0"/>
          <w:numId w:val="25"/>
        </w:numPr>
        <w:tabs>
          <w:tab w:val="left" w:pos="567"/>
          <w:tab w:val="left" w:pos="755"/>
        </w:tabs>
        <w:suppressAutoHyphens/>
        <w:autoSpaceDE w:val="0"/>
        <w:ind w:left="567" w:hanging="567"/>
        <w:rPr>
          <w:rFonts w:eastAsia="Calibri"/>
          <w:color w:val="000000"/>
          <w:szCs w:val="22"/>
          <w:lang w:eastAsia="ar-SA"/>
        </w:rPr>
      </w:pPr>
      <w:r w:rsidRPr="009D6ED7">
        <w:rPr>
          <w:rFonts w:eastAsia="Calibri"/>
          <w:color w:val="000000"/>
          <w:szCs w:val="22"/>
          <w:lang w:eastAsia="ar-SA"/>
        </w:rPr>
        <w:t>meflochino (antimaliarinis vaistas).</w:t>
      </w:r>
    </w:p>
    <w:p w:rsidR="00421268" w:rsidRPr="009D6ED7" w:rsidRDefault="00421268" w:rsidP="00421268">
      <w:pPr>
        <w:tabs>
          <w:tab w:val="left" w:pos="567"/>
        </w:tabs>
        <w:rPr>
          <w:szCs w:val="22"/>
        </w:rPr>
      </w:pPr>
    </w:p>
    <w:p w:rsidR="00421268" w:rsidRPr="009D6ED7" w:rsidRDefault="00421268" w:rsidP="00421268">
      <w:pPr>
        <w:rPr>
          <w:b/>
          <w:bCs/>
          <w:szCs w:val="22"/>
        </w:rPr>
      </w:pPr>
      <w:r w:rsidRPr="009D6ED7">
        <w:rPr>
          <w:b/>
          <w:bCs/>
          <w:szCs w:val="22"/>
        </w:rPr>
        <w:t>Nebivolol Orion vartojimas su maistu ir gėrimais</w:t>
      </w:r>
    </w:p>
    <w:p w:rsidR="00421268" w:rsidRPr="009D6ED7" w:rsidRDefault="00421268" w:rsidP="00421268">
      <w:pPr>
        <w:rPr>
          <w:b/>
          <w:bCs/>
          <w:szCs w:val="22"/>
        </w:rPr>
      </w:pPr>
    </w:p>
    <w:p w:rsidR="00421268" w:rsidRPr="009D6ED7" w:rsidRDefault="00421268" w:rsidP="00421268">
      <w:pPr>
        <w:widowControl w:val="0"/>
        <w:suppressAutoHyphens/>
        <w:autoSpaceDE w:val="0"/>
        <w:rPr>
          <w:rFonts w:eastAsia="Calibri"/>
          <w:color w:val="221E1F"/>
          <w:szCs w:val="22"/>
          <w:lang w:eastAsia="ar-SA"/>
        </w:rPr>
      </w:pPr>
      <w:r w:rsidRPr="009D6ED7">
        <w:rPr>
          <w:rFonts w:eastAsia="Calibri"/>
          <w:color w:val="000000"/>
          <w:szCs w:val="22"/>
          <w:lang w:eastAsia="ar-SA"/>
        </w:rPr>
        <w:t>Nebivolol Orion 5 mg tabletes galima gerti prieš valgį, valgio metu arba po jo, be to, jas galite gerti ir tarp valgių</w:t>
      </w:r>
      <w:r w:rsidRPr="009D6ED7">
        <w:rPr>
          <w:rFonts w:eastAsia="Calibri"/>
          <w:color w:val="221E1F"/>
          <w:szCs w:val="22"/>
          <w:lang w:eastAsia="ar-SA"/>
        </w:rPr>
        <w:t>. Tabletę ar jos dalis reikia praryti užsigeriant vandeniu ar kitu skysčiu.</w:t>
      </w:r>
    </w:p>
    <w:p w:rsidR="00421268" w:rsidRPr="009D6ED7" w:rsidRDefault="00421268" w:rsidP="00421268">
      <w:pPr>
        <w:rPr>
          <w:szCs w:val="22"/>
        </w:rPr>
      </w:pPr>
    </w:p>
    <w:p w:rsidR="00421268" w:rsidRPr="009D6ED7" w:rsidRDefault="00421268" w:rsidP="00421268">
      <w:pPr>
        <w:rPr>
          <w:b/>
          <w:bCs/>
          <w:szCs w:val="22"/>
        </w:rPr>
      </w:pPr>
      <w:r w:rsidRPr="009D6ED7">
        <w:rPr>
          <w:b/>
          <w:bCs/>
          <w:szCs w:val="22"/>
        </w:rPr>
        <w:t>Nėštumas ir žindymo laikotarpis</w:t>
      </w:r>
    </w:p>
    <w:p w:rsidR="00421268" w:rsidRPr="009D6ED7" w:rsidRDefault="00421268" w:rsidP="00421268">
      <w:pPr>
        <w:rPr>
          <w:i/>
          <w:iCs/>
          <w:szCs w:val="22"/>
        </w:rPr>
      </w:pPr>
    </w:p>
    <w:p w:rsidR="00421268" w:rsidRPr="009D6ED7" w:rsidRDefault="00421268" w:rsidP="00421268">
      <w:pPr>
        <w:rPr>
          <w:iCs/>
          <w:szCs w:val="22"/>
          <w:u w:val="single"/>
        </w:rPr>
      </w:pPr>
      <w:r w:rsidRPr="009D6ED7">
        <w:rPr>
          <w:iCs/>
          <w:szCs w:val="22"/>
          <w:u w:val="single"/>
        </w:rPr>
        <w:t>Nėštumas</w:t>
      </w:r>
    </w:p>
    <w:p w:rsidR="00421268" w:rsidRPr="009D6ED7" w:rsidRDefault="00421268" w:rsidP="00421268">
      <w:pPr>
        <w:rPr>
          <w:szCs w:val="22"/>
        </w:rPr>
      </w:pPr>
      <w:r w:rsidRPr="009D6ED7">
        <w:rPr>
          <w:szCs w:val="22"/>
        </w:rPr>
        <w:t xml:space="preserve">Nebivolol Orion negalima vartoti nėštumo metu, nebent vartoti nurodė gydytojas. </w:t>
      </w:r>
    </w:p>
    <w:p w:rsidR="00421268" w:rsidRPr="009D6ED7" w:rsidRDefault="00421268" w:rsidP="00421268">
      <w:pPr>
        <w:rPr>
          <w:szCs w:val="22"/>
        </w:rPr>
      </w:pPr>
    </w:p>
    <w:p w:rsidR="00421268" w:rsidRPr="009D6ED7" w:rsidRDefault="00421268" w:rsidP="00421268">
      <w:pPr>
        <w:rPr>
          <w:iCs/>
          <w:szCs w:val="22"/>
          <w:u w:val="single"/>
        </w:rPr>
      </w:pPr>
      <w:r w:rsidRPr="009D6ED7">
        <w:rPr>
          <w:iCs/>
          <w:szCs w:val="22"/>
          <w:u w:val="single"/>
        </w:rPr>
        <w:t>Žindymo laikotarpis</w:t>
      </w:r>
    </w:p>
    <w:p w:rsidR="00421268" w:rsidRPr="009D6ED7" w:rsidRDefault="00421268" w:rsidP="00421268">
      <w:pPr>
        <w:rPr>
          <w:szCs w:val="22"/>
        </w:rPr>
      </w:pPr>
      <w:r w:rsidRPr="009D6ED7">
        <w:rPr>
          <w:szCs w:val="22"/>
        </w:rPr>
        <w:t>Vartojant Nebivolol Orion, žindyti nerekomenduojama.</w:t>
      </w:r>
    </w:p>
    <w:p w:rsidR="00421268" w:rsidRPr="009D6ED7" w:rsidRDefault="00421268" w:rsidP="00421268">
      <w:pPr>
        <w:rPr>
          <w:szCs w:val="22"/>
        </w:rPr>
      </w:pPr>
    </w:p>
    <w:p w:rsidR="00421268" w:rsidRPr="009D6ED7" w:rsidRDefault="00421268" w:rsidP="00421268">
      <w:pPr>
        <w:rPr>
          <w:szCs w:val="22"/>
        </w:rPr>
      </w:pPr>
      <w:r w:rsidRPr="009D6ED7">
        <w:rPr>
          <w:szCs w:val="22"/>
        </w:rPr>
        <w:t>Jeigu esate nėščia, žindote kūdikį, manote, kad galbūt esate nėščia arba planuojate pastoti, tai prieš vartodama šį vaistą pasitarkite su gydytoju arba vaistininku.</w:t>
      </w:r>
    </w:p>
    <w:p w:rsidR="00421268" w:rsidRPr="009D6ED7" w:rsidRDefault="00421268" w:rsidP="00421268">
      <w:pPr>
        <w:rPr>
          <w:szCs w:val="22"/>
        </w:rPr>
      </w:pPr>
    </w:p>
    <w:p w:rsidR="00421268" w:rsidRPr="009D6ED7" w:rsidRDefault="00421268" w:rsidP="00421268">
      <w:pPr>
        <w:rPr>
          <w:b/>
          <w:bCs/>
          <w:szCs w:val="22"/>
        </w:rPr>
      </w:pPr>
      <w:r w:rsidRPr="009D6ED7">
        <w:rPr>
          <w:b/>
          <w:bCs/>
          <w:szCs w:val="22"/>
        </w:rPr>
        <w:t>Vairavimas ir mechanizmų valdymas</w:t>
      </w:r>
    </w:p>
    <w:p w:rsidR="00421268" w:rsidRPr="009D6ED7" w:rsidRDefault="00421268" w:rsidP="00421268">
      <w:pPr>
        <w:widowControl w:val="0"/>
        <w:suppressAutoHyphens/>
        <w:autoSpaceDE w:val="0"/>
        <w:rPr>
          <w:rFonts w:eastAsia="Calibri"/>
          <w:color w:val="221E1F"/>
          <w:szCs w:val="22"/>
          <w:lang w:eastAsia="ar-SA"/>
        </w:rPr>
      </w:pPr>
      <w:r w:rsidRPr="009D6ED7">
        <w:rPr>
          <w:rFonts w:eastAsia="Calibri"/>
          <w:szCs w:val="22"/>
          <w:lang w:eastAsia="ar-SA"/>
        </w:rPr>
        <w:t>Poveikio gebėjimui vairuoti ir valdyti mechanizmus tyrimų neatlikta. Šis vaistas mažina kraujospūdį, todėl gali sukelti svaigulį, nuovargį arba alpimą</w:t>
      </w:r>
      <w:r w:rsidRPr="009D6ED7">
        <w:rPr>
          <w:rFonts w:eastAsia="Calibri"/>
          <w:color w:val="221E1F"/>
          <w:szCs w:val="22"/>
          <w:lang w:eastAsia="ar-SA"/>
        </w:rPr>
        <w:t xml:space="preserve">. Jei pasireiškė šios reakcijos, NEVAIRUOKITE ir NEVALDYKITE MECHANIZMŲ. </w:t>
      </w:r>
      <w:r w:rsidRPr="009D6ED7">
        <w:rPr>
          <w:rFonts w:eastAsia="Calibri"/>
          <w:szCs w:val="22"/>
          <w:lang w:eastAsia="ar-SA"/>
        </w:rPr>
        <w:t>Labiau tikėtina, kad šie poveikiai pasireikš pradėjus gydymą ar padidinus dozę</w:t>
      </w:r>
      <w:r w:rsidRPr="009D6ED7">
        <w:rPr>
          <w:rFonts w:eastAsia="Calibri"/>
          <w:color w:val="221E1F"/>
          <w:szCs w:val="22"/>
          <w:lang w:eastAsia="ar-SA"/>
        </w:rPr>
        <w:t xml:space="preserve"> (taip pat žr. 4 skyrių).</w:t>
      </w:r>
    </w:p>
    <w:p w:rsidR="00421268" w:rsidRPr="009D6ED7" w:rsidRDefault="00421268" w:rsidP="00421268">
      <w:pPr>
        <w:rPr>
          <w:szCs w:val="22"/>
        </w:rPr>
      </w:pPr>
    </w:p>
    <w:p w:rsidR="00421268" w:rsidRPr="009D6ED7" w:rsidRDefault="00421268" w:rsidP="00421268">
      <w:pPr>
        <w:rPr>
          <w:b/>
          <w:bCs/>
          <w:szCs w:val="22"/>
        </w:rPr>
      </w:pPr>
      <w:r w:rsidRPr="009D6ED7">
        <w:rPr>
          <w:b/>
          <w:bCs/>
          <w:szCs w:val="22"/>
        </w:rPr>
        <w:t>Nebivolol Orion sudėtyje yra laktozės</w:t>
      </w:r>
    </w:p>
    <w:p w:rsidR="00421268" w:rsidRPr="009D6ED7" w:rsidRDefault="00421268" w:rsidP="00421268">
      <w:pPr>
        <w:widowControl w:val="0"/>
        <w:suppressAutoHyphens/>
        <w:autoSpaceDE w:val="0"/>
        <w:rPr>
          <w:rFonts w:eastAsia="Calibri"/>
          <w:color w:val="221E1F"/>
          <w:szCs w:val="22"/>
          <w:lang w:eastAsia="ar-SA"/>
        </w:rPr>
      </w:pPr>
      <w:r w:rsidRPr="009D6ED7">
        <w:rPr>
          <w:rFonts w:eastAsia="Calibri"/>
          <w:color w:val="221E1F"/>
          <w:szCs w:val="22"/>
          <w:lang w:eastAsia="ar-SA"/>
        </w:rPr>
        <w:t xml:space="preserve">Vaisto sudėtyje yra laktozės. Jeigu gydytojas Jums yra sakęs, kad netoleruojate kokių nors angliavandenių, kreipkitės į jį prieš pradėdami vartoti šį vaistą. </w:t>
      </w:r>
    </w:p>
    <w:p w:rsidR="00421268" w:rsidRPr="009D6ED7" w:rsidRDefault="00421268" w:rsidP="00421268">
      <w:pPr>
        <w:rPr>
          <w:szCs w:val="22"/>
        </w:rPr>
      </w:pPr>
    </w:p>
    <w:p w:rsidR="00421268" w:rsidRPr="009D6ED7" w:rsidRDefault="00421268" w:rsidP="00421268">
      <w:pPr>
        <w:rPr>
          <w:szCs w:val="22"/>
        </w:rPr>
      </w:pPr>
    </w:p>
    <w:p w:rsidR="00421268" w:rsidRPr="009D6ED7" w:rsidRDefault="00421268" w:rsidP="00421268">
      <w:pPr>
        <w:keepNext/>
        <w:tabs>
          <w:tab w:val="left" w:pos="567"/>
        </w:tabs>
        <w:ind w:left="567" w:hanging="567"/>
        <w:outlineLvl w:val="1"/>
        <w:rPr>
          <w:b/>
          <w:szCs w:val="22"/>
        </w:rPr>
      </w:pPr>
      <w:bookmarkStart w:id="74" w:name="_Toc129243266"/>
      <w:bookmarkStart w:id="75" w:name="_Toc129243141"/>
      <w:r w:rsidRPr="009D6ED7">
        <w:rPr>
          <w:b/>
          <w:szCs w:val="22"/>
        </w:rPr>
        <w:t>3.</w:t>
      </w:r>
      <w:r w:rsidRPr="009D6ED7">
        <w:rPr>
          <w:b/>
          <w:szCs w:val="22"/>
        </w:rPr>
        <w:tab/>
        <w:t xml:space="preserve">Kaip vartoti </w:t>
      </w:r>
      <w:bookmarkEnd w:id="74"/>
      <w:bookmarkEnd w:id="75"/>
      <w:r w:rsidRPr="009D6ED7">
        <w:rPr>
          <w:b/>
          <w:szCs w:val="22"/>
        </w:rPr>
        <w:t>Nebivolol Orion</w:t>
      </w:r>
    </w:p>
    <w:p w:rsidR="00421268" w:rsidRPr="009D6ED7" w:rsidRDefault="00421268" w:rsidP="00421268">
      <w:pPr>
        <w:rPr>
          <w:szCs w:val="22"/>
        </w:rPr>
      </w:pPr>
    </w:p>
    <w:p w:rsidR="00421268" w:rsidRPr="009D6ED7" w:rsidRDefault="00421268" w:rsidP="00421268">
      <w:pPr>
        <w:widowControl w:val="0"/>
        <w:suppressAutoHyphens/>
        <w:autoSpaceDE w:val="0"/>
        <w:rPr>
          <w:rFonts w:eastAsia="Calibri"/>
          <w:color w:val="000000"/>
          <w:szCs w:val="22"/>
          <w:lang w:eastAsia="ar-SA"/>
        </w:rPr>
      </w:pPr>
      <w:r w:rsidRPr="009D6ED7">
        <w:rPr>
          <w:rFonts w:eastAsia="Calibri"/>
          <w:color w:val="000000"/>
          <w:szCs w:val="22"/>
          <w:lang w:eastAsia="ar-SA"/>
        </w:rPr>
        <w:t>Visada vartokite šį vaistą tiksliai kaip nurodė gydytojas arba vaistininkas. Jeigu abejojate, kreipkitės į gydytoją arba vaistininką.</w:t>
      </w:r>
    </w:p>
    <w:p w:rsidR="00421268" w:rsidRPr="009D6ED7" w:rsidRDefault="00421268" w:rsidP="00421268">
      <w:pPr>
        <w:widowControl w:val="0"/>
        <w:suppressAutoHyphens/>
        <w:autoSpaceDE w:val="0"/>
        <w:rPr>
          <w:rFonts w:eastAsia="Calibri"/>
          <w:color w:val="221E1F"/>
          <w:szCs w:val="22"/>
          <w:lang w:eastAsia="ar-SA"/>
        </w:rPr>
      </w:pPr>
    </w:p>
    <w:p w:rsidR="00421268" w:rsidRPr="009D6ED7" w:rsidRDefault="00421268" w:rsidP="00421268">
      <w:pPr>
        <w:widowControl w:val="0"/>
        <w:suppressAutoHyphens/>
        <w:autoSpaceDE w:val="0"/>
        <w:rPr>
          <w:rFonts w:eastAsia="Calibri"/>
          <w:bCs/>
          <w:color w:val="221E1F"/>
          <w:szCs w:val="22"/>
          <w:u w:val="single"/>
          <w:lang w:eastAsia="ar-SA"/>
        </w:rPr>
      </w:pPr>
      <w:r w:rsidRPr="009D6ED7">
        <w:rPr>
          <w:rFonts w:eastAsia="Calibri"/>
          <w:bCs/>
          <w:color w:val="221E1F"/>
          <w:szCs w:val="22"/>
          <w:u w:val="single"/>
          <w:lang w:eastAsia="ar-SA"/>
        </w:rPr>
        <w:t>Padidėjusio kraujospūdžio (hipertenzijos) gydymas:</w:t>
      </w:r>
    </w:p>
    <w:p w:rsidR="00421268" w:rsidRPr="009D6ED7" w:rsidRDefault="00421268" w:rsidP="00421268">
      <w:pPr>
        <w:widowControl w:val="0"/>
        <w:numPr>
          <w:ilvl w:val="0"/>
          <w:numId w:val="26"/>
        </w:numPr>
        <w:tabs>
          <w:tab w:val="num" w:pos="567"/>
        </w:tabs>
        <w:suppressAutoHyphens/>
        <w:autoSpaceDE w:val="0"/>
        <w:ind w:left="567" w:hanging="567"/>
        <w:rPr>
          <w:rFonts w:eastAsia="Calibri"/>
          <w:color w:val="000000"/>
          <w:szCs w:val="22"/>
          <w:lang w:eastAsia="ar-SA"/>
        </w:rPr>
      </w:pPr>
      <w:r w:rsidRPr="009D6ED7">
        <w:rPr>
          <w:rFonts w:eastAsia="Calibri"/>
          <w:color w:val="221E1F"/>
          <w:szCs w:val="22"/>
          <w:lang w:eastAsia="ar-SA"/>
        </w:rPr>
        <w:t>rekomenduojama vaisto dozė yra</w:t>
      </w:r>
      <w:r w:rsidRPr="009D6ED7">
        <w:rPr>
          <w:rFonts w:eastAsia="Calibri"/>
          <w:color w:val="000000"/>
          <w:szCs w:val="22"/>
          <w:lang w:eastAsia="ar-SA"/>
        </w:rPr>
        <w:t xml:space="preserve"> 1 tabletė per parą;</w:t>
      </w:r>
    </w:p>
    <w:p w:rsidR="00421268" w:rsidRPr="009D6ED7" w:rsidRDefault="00421268" w:rsidP="00421268">
      <w:pPr>
        <w:widowControl w:val="0"/>
        <w:numPr>
          <w:ilvl w:val="0"/>
          <w:numId w:val="26"/>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senyvi ir inkstų veiklos sutrikimu sergantys pacientai paprastai pradedami gydyti nuo 1/2 tabletės per parą;</w:t>
      </w:r>
    </w:p>
    <w:p w:rsidR="00421268" w:rsidRPr="009D6ED7" w:rsidRDefault="00421268" w:rsidP="00421268">
      <w:pPr>
        <w:widowControl w:val="0"/>
        <w:numPr>
          <w:ilvl w:val="0"/>
          <w:numId w:val="26"/>
        </w:numPr>
        <w:tabs>
          <w:tab w:val="num" w:pos="567"/>
        </w:tabs>
        <w:suppressAutoHyphens/>
        <w:autoSpaceDE w:val="0"/>
        <w:ind w:left="567" w:hanging="567"/>
        <w:rPr>
          <w:rFonts w:eastAsia="Calibri"/>
          <w:color w:val="000000"/>
          <w:szCs w:val="22"/>
          <w:lang w:eastAsia="ar-SA"/>
        </w:rPr>
      </w:pPr>
      <w:r w:rsidRPr="009D6ED7">
        <w:rPr>
          <w:rFonts w:eastAsia="Calibri"/>
          <w:color w:val="221E1F"/>
          <w:szCs w:val="22"/>
          <w:lang w:eastAsia="ar-SA"/>
        </w:rPr>
        <w:t xml:space="preserve">šio vaisto poveikiui pasireikšti gali reikėti </w:t>
      </w:r>
      <w:r w:rsidRPr="009D6ED7">
        <w:rPr>
          <w:rFonts w:eastAsia="Calibri"/>
          <w:color w:val="000000"/>
          <w:szCs w:val="22"/>
          <w:lang w:eastAsia="ar-SA"/>
        </w:rPr>
        <w:t xml:space="preserve">4 savaičių. </w:t>
      </w:r>
    </w:p>
    <w:p w:rsidR="00421268" w:rsidRPr="009D6ED7" w:rsidRDefault="00421268" w:rsidP="00421268">
      <w:pPr>
        <w:widowControl w:val="0"/>
        <w:suppressAutoHyphens/>
        <w:autoSpaceDE w:val="0"/>
        <w:rPr>
          <w:rFonts w:eastAsia="Calibri"/>
          <w:color w:val="221E1F"/>
          <w:szCs w:val="22"/>
          <w:lang w:eastAsia="ar-SA"/>
        </w:rPr>
      </w:pPr>
    </w:p>
    <w:p w:rsidR="00421268" w:rsidRPr="009D6ED7" w:rsidRDefault="00421268" w:rsidP="00421268">
      <w:pPr>
        <w:widowControl w:val="0"/>
        <w:suppressAutoHyphens/>
        <w:autoSpaceDE w:val="0"/>
        <w:rPr>
          <w:rFonts w:eastAsia="Calibri"/>
          <w:b/>
          <w:bCs/>
          <w:color w:val="221E1F"/>
          <w:szCs w:val="22"/>
          <w:lang w:eastAsia="ar-SA"/>
        </w:rPr>
      </w:pPr>
      <w:r w:rsidRPr="009D6ED7">
        <w:rPr>
          <w:rFonts w:eastAsia="Calibri"/>
          <w:bCs/>
          <w:color w:val="221E1F"/>
          <w:szCs w:val="22"/>
          <w:u w:val="single"/>
          <w:lang w:eastAsia="ar-SA"/>
        </w:rPr>
        <w:t>Lėtinio širdies nepakankamumo gydymas:</w:t>
      </w:r>
    </w:p>
    <w:p w:rsidR="00421268" w:rsidRPr="009D6ED7" w:rsidRDefault="00421268" w:rsidP="00421268">
      <w:pPr>
        <w:widowControl w:val="0"/>
        <w:numPr>
          <w:ilvl w:val="0"/>
          <w:numId w:val="27"/>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jūsų gydymą pradės ir seks patyręs gydytojas;</w:t>
      </w:r>
    </w:p>
    <w:p w:rsidR="00421268" w:rsidRPr="009D6ED7" w:rsidRDefault="00421268" w:rsidP="00421268">
      <w:pPr>
        <w:widowControl w:val="0"/>
        <w:numPr>
          <w:ilvl w:val="0"/>
          <w:numId w:val="27"/>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jūsų gydytojas pradės gydyti nuo 1/4 tabletės per parą. ši dozė po 1</w:t>
      </w:r>
      <w:r w:rsidRPr="009D6ED7">
        <w:rPr>
          <w:rFonts w:eastAsia="Calibri"/>
          <w:color w:val="221E1F"/>
          <w:szCs w:val="22"/>
          <w:lang w:eastAsia="ar-SA"/>
        </w:rPr>
        <w:noBreakHyphen/>
        <w:t>2 savaičių gali būti padidinta iki 1/2 tabletės per parą, tada iki 1 tabletės per parą ir po to iki 2 tablečių per parą tol, kol bus pasiekta tinkama dozė;</w:t>
      </w:r>
    </w:p>
    <w:p w:rsidR="00421268" w:rsidRPr="009D6ED7" w:rsidRDefault="00421268" w:rsidP="00421268">
      <w:pPr>
        <w:widowControl w:val="0"/>
        <w:numPr>
          <w:ilvl w:val="0"/>
          <w:numId w:val="27"/>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didžiausia rekomenduojama dozė yra 10 mg (2 tabletės per parą);</w:t>
      </w:r>
    </w:p>
    <w:p w:rsidR="00421268" w:rsidRPr="009D6ED7" w:rsidRDefault="00421268" w:rsidP="00421268">
      <w:pPr>
        <w:widowControl w:val="0"/>
        <w:numPr>
          <w:ilvl w:val="0"/>
          <w:numId w:val="27"/>
        </w:numPr>
        <w:tabs>
          <w:tab w:val="num" w:pos="567"/>
        </w:tabs>
        <w:suppressAutoHyphens/>
        <w:autoSpaceDE w:val="0"/>
        <w:ind w:left="567" w:hanging="567"/>
        <w:rPr>
          <w:rFonts w:eastAsia="Calibri"/>
          <w:color w:val="221E1F"/>
          <w:szCs w:val="22"/>
          <w:lang w:eastAsia="ar-SA"/>
        </w:rPr>
      </w:pPr>
      <w:r w:rsidRPr="009D6ED7">
        <w:rPr>
          <w:rFonts w:eastAsia="Calibri"/>
          <w:color w:val="000000"/>
          <w:szCs w:val="22"/>
          <w:lang w:eastAsia="ar-SA"/>
        </w:rPr>
        <w:t xml:space="preserve">pradedant gydymą ir kiekvieną kartą didinant dozę, jūsų būklę mažiausiai 2 valandas turės sekti </w:t>
      </w:r>
      <w:r w:rsidRPr="009D6ED7">
        <w:rPr>
          <w:rFonts w:eastAsia="Calibri"/>
          <w:color w:val="000000"/>
          <w:szCs w:val="22"/>
          <w:lang w:eastAsia="ar-SA"/>
        </w:rPr>
        <w:lastRenderedPageBreak/>
        <w:t>patyręs gydytojas</w:t>
      </w:r>
      <w:r w:rsidRPr="009D6ED7">
        <w:rPr>
          <w:rFonts w:eastAsia="Calibri"/>
          <w:color w:val="221E1F"/>
          <w:szCs w:val="22"/>
          <w:lang w:eastAsia="ar-SA"/>
        </w:rPr>
        <w:t>;</w:t>
      </w:r>
    </w:p>
    <w:p w:rsidR="00421268" w:rsidRPr="009D6ED7" w:rsidRDefault="00421268" w:rsidP="00421268">
      <w:pPr>
        <w:widowControl w:val="0"/>
        <w:numPr>
          <w:ilvl w:val="0"/>
          <w:numId w:val="27"/>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jei reikia, jūsų gydytojas gali sumažinti dozę, o jūs negalite staigiai liautis vartojęs vaistą, nes gali sustiprėti širdies nepakankamumas;</w:t>
      </w:r>
    </w:p>
    <w:p w:rsidR="00421268" w:rsidRPr="009D6ED7" w:rsidRDefault="00421268" w:rsidP="00421268">
      <w:pPr>
        <w:widowControl w:val="0"/>
        <w:numPr>
          <w:ilvl w:val="0"/>
          <w:numId w:val="27"/>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sunkiomis inkstų ligomis sergantiems pacientams šio vaisto vartoti negalima.</w:t>
      </w:r>
    </w:p>
    <w:p w:rsidR="00421268" w:rsidRPr="009D6ED7" w:rsidRDefault="00421268" w:rsidP="00421268">
      <w:pPr>
        <w:widowControl w:val="0"/>
        <w:tabs>
          <w:tab w:val="num" w:pos="567"/>
        </w:tabs>
        <w:suppressAutoHyphens/>
        <w:autoSpaceDE w:val="0"/>
        <w:ind w:left="567" w:hanging="567"/>
        <w:rPr>
          <w:rFonts w:eastAsia="Calibri"/>
          <w:color w:val="221E1F"/>
          <w:szCs w:val="22"/>
          <w:lang w:eastAsia="ar-SA"/>
        </w:rPr>
      </w:pPr>
    </w:p>
    <w:p w:rsidR="00421268" w:rsidRPr="009D6ED7" w:rsidRDefault="00421268" w:rsidP="00421268">
      <w:pPr>
        <w:widowControl w:val="0"/>
        <w:suppressAutoHyphens/>
        <w:autoSpaceDE w:val="0"/>
        <w:rPr>
          <w:rFonts w:eastAsia="Calibri"/>
          <w:color w:val="221E1F"/>
          <w:szCs w:val="22"/>
          <w:lang w:eastAsia="ar-SA"/>
        </w:rPr>
      </w:pPr>
      <w:r w:rsidRPr="009D6ED7">
        <w:rPr>
          <w:rFonts w:eastAsia="Calibri"/>
          <w:color w:val="221E1F"/>
          <w:szCs w:val="22"/>
          <w:lang w:eastAsia="ar-SA"/>
        </w:rPr>
        <w:t>Gerkite vaistą kartą per parą, geriau maždaug tuo pačiu metu.</w:t>
      </w:r>
    </w:p>
    <w:p w:rsidR="00421268" w:rsidRPr="009D6ED7" w:rsidRDefault="00421268" w:rsidP="00421268">
      <w:pPr>
        <w:widowControl w:val="0"/>
        <w:suppressAutoHyphens/>
        <w:autoSpaceDE w:val="0"/>
        <w:rPr>
          <w:rFonts w:eastAsia="Calibri"/>
          <w:color w:val="221E1F"/>
          <w:szCs w:val="22"/>
          <w:lang w:eastAsia="ar-SA"/>
        </w:rPr>
      </w:pPr>
    </w:p>
    <w:p w:rsidR="00421268" w:rsidRPr="009D6ED7" w:rsidRDefault="00421268" w:rsidP="00421268">
      <w:pPr>
        <w:widowControl w:val="0"/>
        <w:suppressAutoHyphens/>
        <w:autoSpaceDE w:val="0"/>
        <w:rPr>
          <w:rFonts w:eastAsia="Calibri"/>
          <w:color w:val="221E1F"/>
          <w:szCs w:val="22"/>
          <w:lang w:eastAsia="ar-SA"/>
        </w:rPr>
      </w:pPr>
      <w:r w:rsidRPr="009D6ED7">
        <w:rPr>
          <w:rFonts w:eastAsia="Calibri"/>
          <w:color w:val="221E1F"/>
          <w:szCs w:val="22"/>
          <w:lang w:eastAsia="ar-SA"/>
        </w:rPr>
        <w:t>Jūsų ligai gydyti gydytojas gali nuspręsti skirti kitų vaistų kartu su šiomis tabletėmis.</w:t>
      </w:r>
    </w:p>
    <w:p w:rsidR="00421268" w:rsidRPr="009D6ED7" w:rsidRDefault="00421268" w:rsidP="00421268">
      <w:pPr>
        <w:widowControl w:val="0"/>
        <w:suppressAutoHyphens/>
        <w:autoSpaceDE w:val="0"/>
        <w:rPr>
          <w:rFonts w:eastAsia="Calibri"/>
          <w:color w:val="000000"/>
          <w:szCs w:val="22"/>
          <w:shd w:val="clear" w:color="auto" w:fill="C0C0C0"/>
          <w:lang w:eastAsia="ar-SA"/>
        </w:rPr>
      </w:pPr>
    </w:p>
    <w:p w:rsidR="00421268" w:rsidRPr="009D6ED7" w:rsidRDefault="00421268" w:rsidP="00421268">
      <w:pPr>
        <w:rPr>
          <w:b/>
          <w:szCs w:val="22"/>
          <w:shd w:val="clear" w:color="auto" w:fill="C0C0C0"/>
        </w:rPr>
      </w:pPr>
      <w:r w:rsidRPr="009D6ED7">
        <w:rPr>
          <w:b/>
          <w:szCs w:val="22"/>
        </w:rPr>
        <w:t>Vartojimas vaikams ir paaugliams</w:t>
      </w:r>
    </w:p>
    <w:p w:rsidR="00421268" w:rsidRPr="009D6ED7" w:rsidRDefault="00421268" w:rsidP="00421268">
      <w:pPr>
        <w:widowControl w:val="0"/>
        <w:suppressAutoHyphens/>
        <w:autoSpaceDE w:val="0"/>
        <w:rPr>
          <w:rFonts w:eastAsia="Calibri"/>
          <w:color w:val="000000"/>
          <w:szCs w:val="22"/>
          <w:shd w:val="clear" w:color="auto" w:fill="C0C0C0"/>
          <w:lang w:eastAsia="ar-SA"/>
        </w:rPr>
      </w:pPr>
    </w:p>
    <w:p w:rsidR="00421268" w:rsidRPr="009D6ED7" w:rsidRDefault="00421268" w:rsidP="00421268">
      <w:pPr>
        <w:widowControl w:val="0"/>
        <w:suppressAutoHyphens/>
        <w:autoSpaceDE w:val="0"/>
        <w:rPr>
          <w:rFonts w:eastAsia="Calibri"/>
          <w:color w:val="000000"/>
          <w:szCs w:val="22"/>
          <w:lang w:eastAsia="ar-SA"/>
        </w:rPr>
      </w:pPr>
      <w:r w:rsidRPr="009D6ED7">
        <w:rPr>
          <w:rFonts w:eastAsia="Calibri"/>
          <w:color w:val="000000"/>
          <w:szCs w:val="22"/>
          <w:lang w:eastAsia="ar-SA"/>
        </w:rPr>
        <w:t>Nebivolol Orion nerekomenduojama vartoti vaikams ir paaugliams.</w:t>
      </w:r>
    </w:p>
    <w:p w:rsidR="00421268" w:rsidRPr="009D6ED7" w:rsidRDefault="00421268" w:rsidP="00421268">
      <w:pPr>
        <w:rPr>
          <w:szCs w:val="22"/>
        </w:rPr>
      </w:pPr>
    </w:p>
    <w:p w:rsidR="00421268" w:rsidRPr="009D6ED7" w:rsidRDefault="00421268" w:rsidP="00421268">
      <w:pPr>
        <w:rPr>
          <w:b/>
          <w:bCs/>
          <w:szCs w:val="22"/>
        </w:rPr>
      </w:pPr>
      <w:r w:rsidRPr="009D6ED7">
        <w:rPr>
          <w:b/>
          <w:bCs/>
          <w:szCs w:val="22"/>
        </w:rPr>
        <w:t>Ką daryti pavartojus per didelę Nebivolol Orion dozę?</w:t>
      </w:r>
    </w:p>
    <w:p w:rsidR="00421268" w:rsidRPr="009D6ED7" w:rsidRDefault="00421268" w:rsidP="00421268">
      <w:pPr>
        <w:rPr>
          <w:b/>
          <w:szCs w:val="22"/>
        </w:rPr>
      </w:pPr>
    </w:p>
    <w:p w:rsidR="00421268" w:rsidRPr="009D6ED7" w:rsidRDefault="00421268" w:rsidP="00421268">
      <w:pPr>
        <w:widowControl w:val="0"/>
        <w:suppressAutoHyphens/>
        <w:autoSpaceDE w:val="0"/>
        <w:rPr>
          <w:rFonts w:eastAsia="Calibri"/>
          <w:color w:val="221E1F"/>
          <w:szCs w:val="22"/>
          <w:lang w:eastAsia="ar-SA"/>
        </w:rPr>
      </w:pPr>
      <w:r w:rsidRPr="009D6ED7">
        <w:rPr>
          <w:rFonts w:eastAsia="Calibri"/>
          <w:color w:val="221E1F"/>
          <w:szCs w:val="22"/>
          <w:lang w:eastAsia="ar-SA"/>
        </w:rPr>
        <w:t xml:space="preserve">Jeigu netyčia išgėrėte per daug tablečių (perdozavote), gali sulėtėti širdies plakimas, sumažėti kraujospūdis ir atsirasti kitų širdies sutrikimų arba pasidaryti sunku kvėpuoti ir atsirasti švokštimas. </w:t>
      </w:r>
    </w:p>
    <w:p w:rsidR="00421268" w:rsidRPr="009D6ED7" w:rsidRDefault="00421268" w:rsidP="00421268">
      <w:pPr>
        <w:widowControl w:val="0"/>
        <w:suppressAutoHyphens/>
        <w:autoSpaceDE w:val="0"/>
        <w:rPr>
          <w:rFonts w:eastAsia="Calibri"/>
          <w:color w:val="221E1F"/>
          <w:szCs w:val="22"/>
          <w:lang w:eastAsia="ar-SA"/>
        </w:rPr>
      </w:pPr>
      <w:r w:rsidRPr="009D6ED7">
        <w:rPr>
          <w:rFonts w:eastAsia="Calibri"/>
          <w:color w:val="221E1F"/>
          <w:szCs w:val="22"/>
          <w:lang w:eastAsia="ar-SA"/>
        </w:rPr>
        <w:t>Nedelsdami kreipkitės į artimiausios ligoninės skubios pagalbos skyrių, gydytoją arba vaistininką.</w:t>
      </w:r>
    </w:p>
    <w:p w:rsidR="00421268" w:rsidRPr="009D6ED7" w:rsidRDefault="00421268" w:rsidP="00421268">
      <w:pPr>
        <w:widowControl w:val="0"/>
        <w:suppressAutoHyphens/>
        <w:autoSpaceDE w:val="0"/>
        <w:rPr>
          <w:rFonts w:eastAsia="Calibri"/>
          <w:color w:val="221E1F"/>
          <w:szCs w:val="22"/>
          <w:lang w:eastAsia="ar-SA"/>
        </w:rPr>
      </w:pPr>
    </w:p>
    <w:p w:rsidR="00421268" w:rsidRPr="009D6ED7" w:rsidRDefault="00421268" w:rsidP="00421268">
      <w:pPr>
        <w:rPr>
          <w:b/>
          <w:bCs/>
          <w:szCs w:val="22"/>
        </w:rPr>
      </w:pPr>
      <w:r w:rsidRPr="009D6ED7">
        <w:rPr>
          <w:b/>
          <w:bCs/>
          <w:szCs w:val="22"/>
        </w:rPr>
        <w:t>Pamiršus pavartoti Nebivolol Orion</w:t>
      </w:r>
    </w:p>
    <w:p w:rsidR="00421268" w:rsidRPr="009D6ED7" w:rsidRDefault="00421268" w:rsidP="00421268">
      <w:pPr>
        <w:rPr>
          <w:szCs w:val="22"/>
        </w:rPr>
      </w:pPr>
    </w:p>
    <w:p w:rsidR="00421268" w:rsidRPr="009D6ED7" w:rsidRDefault="00421268" w:rsidP="00421268">
      <w:pPr>
        <w:widowControl w:val="0"/>
        <w:suppressAutoHyphens/>
        <w:autoSpaceDE w:val="0"/>
        <w:rPr>
          <w:rFonts w:eastAsia="Calibri"/>
          <w:color w:val="221E1F"/>
          <w:szCs w:val="22"/>
          <w:lang w:eastAsia="ar-SA"/>
        </w:rPr>
      </w:pPr>
      <w:r w:rsidRPr="009D6ED7">
        <w:rPr>
          <w:rFonts w:eastAsia="Calibri"/>
          <w:color w:val="221E1F"/>
          <w:szCs w:val="22"/>
          <w:lang w:eastAsia="ar-SA"/>
        </w:rPr>
        <w:t xml:space="preserve">Jeigu pamiršote išgerti vaistų, bet greitai tai prisiminėte, išgerkite kitą tabletę, kai ateis laikas ją išgerti. Tačiau, jeigu praėjo daug laiko (pvz., visa para), praleiskite užmirštą dozę, o kitą dozę išgerkite kitą dieną įprastu laiku. Negalima vartoti dvigubos dozės norint kompensuoti praleistą dozę. Venkite dažnai praleidinėti dozes. </w:t>
      </w:r>
    </w:p>
    <w:p w:rsidR="00421268" w:rsidRPr="009D6ED7" w:rsidRDefault="00421268" w:rsidP="00421268">
      <w:pPr>
        <w:rPr>
          <w:szCs w:val="22"/>
        </w:rPr>
      </w:pPr>
    </w:p>
    <w:p w:rsidR="00421268" w:rsidRPr="009D6ED7" w:rsidRDefault="00421268" w:rsidP="00421268">
      <w:pPr>
        <w:rPr>
          <w:b/>
          <w:bCs/>
          <w:szCs w:val="22"/>
        </w:rPr>
      </w:pPr>
      <w:r w:rsidRPr="009D6ED7">
        <w:rPr>
          <w:b/>
          <w:bCs/>
          <w:szCs w:val="22"/>
        </w:rPr>
        <w:t>Nustojus vartoti Nebivolol Orion</w:t>
      </w:r>
    </w:p>
    <w:p w:rsidR="00421268" w:rsidRPr="009D6ED7" w:rsidRDefault="00421268" w:rsidP="00421268">
      <w:pPr>
        <w:rPr>
          <w:szCs w:val="22"/>
        </w:rPr>
      </w:pPr>
    </w:p>
    <w:p w:rsidR="00421268" w:rsidRPr="009D6ED7" w:rsidRDefault="00421268" w:rsidP="00421268">
      <w:pPr>
        <w:widowControl w:val="0"/>
        <w:suppressAutoHyphens/>
        <w:autoSpaceDE w:val="0"/>
        <w:rPr>
          <w:rFonts w:eastAsia="Calibri"/>
          <w:color w:val="221E1F"/>
          <w:szCs w:val="22"/>
          <w:lang w:eastAsia="ar-SA"/>
        </w:rPr>
      </w:pPr>
      <w:r w:rsidRPr="009D6ED7">
        <w:rPr>
          <w:rFonts w:eastAsia="Calibri"/>
          <w:color w:val="000000"/>
          <w:szCs w:val="22"/>
          <w:lang w:eastAsia="ar-SA"/>
        </w:rPr>
        <w:t>Nenustokite vartoti Nebivolol Orion prieš tai nepasikonsultavę su gydytoju. Staigiai nustojus vartoti vaistą, gali sustiprėti simptomai ir kilti pavojus sveikatai. Tai ypač liečia pacientus, sergančius krūtinės angina.</w:t>
      </w:r>
      <w:r w:rsidRPr="009D6ED7">
        <w:rPr>
          <w:rFonts w:eastAsia="Calibri"/>
          <w:color w:val="221E1F"/>
          <w:szCs w:val="22"/>
          <w:lang w:eastAsia="ar-SA"/>
        </w:rPr>
        <w:t xml:space="preserve"> </w:t>
      </w:r>
    </w:p>
    <w:p w:rsidR="00421268" w:rsidRPr="009D6ED7" w:rsidRDefault="00421268" w:rsidP="00421268">
      <w:pPr>
        <w:widowControl w:val="0"/>
        <w:suppressAutoHyphens/>
        <w:autoSpaceDE w:val="0"/>
        <w:rPr>
          <w:rFonts w:eastAsia="Calibri"/>
          <w:color w:val="221E1F"/>
          <w:szCs w:val="22"/>
          <w:lang w:eastAsia="ar-SA"/>
        </w:rPr>
      </w:pPr>
    </w:p>
    <w:p w:rsidR="00421268" w:rsidRPr="009D6ED7" w:rsidRDefault="00421268" w:rsidP="00421268">
      <w:pPr>
        <w:widowControl w:val="0"/>
        <w:suppressAutoHyphens/>
        <w:autoSpaceDE w:val="0"/>
        <w:rPr>
          <w:rFonts w:eastAsia="Calibri"/>
          <w:color w:val="221E1F"/>
          <w:szCs w:val="22"/>
          <w:lang w:eastAsia="ar-SA"/>
        </w:rPr>
      </w:pPr>
      <w:r w:rsidRPr="009D6ED7">
        <w:rPr>
          <w:rFonts w:eastAsia="Calibri"/>
          <w:color w:val="000000"/>
          <w:szCs w:val="22"/>
          <w:lang w:eastAsia="ar-SA"/>
        </w:rPr>
        <w:t>Jeigu kiltų daugiau klausimų dėl šio vaisto vartojimo, kreipkitės į gydytoją arba vaistininką</w:t>
      </w:r>
      <w:r w:rsidRPr="009D6ED7">
        <w:rPr>
          <w:rFonts w:eastAsia="Calibri"/>
          <w:color w:val="221E1F"/>
          <w:szCs w:val="22"/>
          <w:lang w:eastAsia="ar-SA"/>
        </w:rPr>
        <w:t>.</w:t>
      </w:r>
    </w:p>
    <w:p w:rsidR="00421268" w:rsidRPr="009D6ED7" w:rsidRDefault="00421268" w:rsidP="00421268">
      <w:pPr>
        <w:rPr>
          <w:szCs w:val="22"/>
        </w:rPr>
      </w:pPr>
    </w:p>
    <w:p w:rsidR="00421268" w:rsidRPr="009D6ED7" w:rsidRDefault="00421268" w:rsidP="00421268">
      <w:pPr>
        <w:rPr>
          <w:szCs w:val="22"/>
        </w:rPr>
      </w:pPr>
    </w:p>
    <w:p w:rsidR="00421268" w:rsidRPr="009D6ED7" w:rsidRDefault="00421268" w:rsidP="00421268">
      <w:pPr>
        <w:keepNext/>
        <w:tabs>
          <w:tab w:val="left" w:pos="567"/>
        </w:tabs>
        <w:ind w:left="567" w:hanging="567"/>
        <w:outlineLvl w:val="1"/>
        <w:rPr>
          <w:b/>
          <w:szCs w:val="22"/>
        </w:rPr>
      </w:pPr>
      <w:bookmarkStart w:id="76" w:name="_Toc129243267"/>
      <w:bookmarkStart w:id="77" w:name="_Toc129243142"/>
      <w:r w:rsidRPr="009D6ED7">
        <w:rPr>
          <w:b/>
          <w:szCs w:val="22"/>
        </w:rPr>
        <w:t>4.</w:t>
      </w:r>
      <w:r w:rsidRPr="009D6ED7">
        <w:rPr>
          <w:b/>
          <w:szCs w:val="22"/>
        </w:rPr>
        <w:tab/>
        <w:t>Galimas šalutinis poveikis</w:t>
      </w:r>
      <w:bookmarkEnd w:id="76"/>
      <w:bookmarkEnd w:id="77"/>
    </w:p>
    <w:p w:rsidR="00421268" w:rsidRPr="009D6ED7" w:rsidRDefault="00421268" w:rsidP="00421268">
      <w:pPr>
        <w:rPr>
          <w:szCs w:val="22"/>
        </w:rPr>
      </w:pPr>
    </w:p>
    <w:p w:rsidR="00421268" w:rsidRPr="009D6ED7" w:rsidRDefault="00421268" w:rsidP="00421268">
      <w:pPr>
        <w:widowControl w:val="0"/>
        <w:suppressAutoHyphens/>
        <w:autoSpaceDE w:val="0"/>
        <w:rPr>
          <w:rFonts w:eastAsia="Calibri"/>
          <w:color w:val="000000"/>
          <w:szCs w:val="22"/>
          <w:lang w:eastAsia="ar-SA"/>
        </w:rPr>
      </w:pPr>
      <w:r w:rsidRPr="009D6ED7">
        <w:rPr>
          <w:rFonts w:eastAsia="Calibri"/>
          <w:color w:val="000000"/>
          <w:szCs w:val="22"/>
          <w:lang w:eastAsia="ar-SA"/>
        </w:rPr>
        <w:t>Šis vaistas, kaip ir visi kiti, gali sukelti šalutinį poveikį, nors jis pasireiškia ne visiems žmonėms.</w:t>
      </w:r>
    </w:p>
    <w:p w:rsidR="00421268" w:rsidRPr="009D6ED7" w:rsidRDefault="00421268" w:rsidP="00421268">
      <w:pPr>
        <w:widowControl w:val="0"/>
        <w:suppressAutoHyphens/>
        <w:autoSpaceDE w:val="0"/>
        <w:rPr>
          <w:rFonts w:eastAsia="Calibri"/>
          <w:color w:val="221E1F"/>
          <w:szCs w:val="22"/>
          <w:lang w:eastAsia="ar-SA"/>
        </w:rPr>
      </w:pPr>
    </w:p>
    <w:p w:rsidR="00421268" w:rsidRPr="009D6ED7" w:rsidRDefault="00421268" w:rsidP="00421268">
      <w:pPr>
        <w:widowControl w:val="0"/>
        <w:suppressAutoHyphens/>
        <w:autoSpaceDE w:val="0"/>
        <w:rPr>
          <w:rFonts w:eastAsia="Calibri"/>
          <w:b/>
          <w:iCs/>
          <w:color w:val="221E1F"/>
          <w:szCs w:val="22"/>
          <w:lang w:eastAsia="ar-SA"/>
        </w:rPr>
      </w:pPr>
      <w:r w:rsidRPr="009D6ED7">
        <w:rPr>
          <w:rFonts w:eastAsia="Calibri"/>
          <w:b/>
          <w:iCs/>
          <w:color w:val="221E1F"/>
          <w:szCs w:val="22"/>
          <w:lang w:eastAsia="ar-SA"/>
        </w:rPr>
        <w:t>Dažni šalutiniai poveikiai (gali pasireikšti ne daugiau kaip 1 pacientui iš 10) vartojant padidėjusiam kraujospūdžiui gydyti:</w:t>
      </w:r>
    </w:p>
    <w:p w:rsidR="00421268" w:rsidRPr="009D6ED7" w:rsidRDefault="00421268" w:rsidP="00421268">
      <w:pPr>
        <w:widowControl w:val="0"/>
        <w:numPr>
          <w:ilvl w:val="0"/>
          <w:numId w:val="28"/>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galvos skausmas;</w:t>
      </w:r>
    </w:p>
    <w:p w:rsidR="00421268" w:rsidRPr="009D6ED7" w:rsidRDefault="00421268" w:rsidP="00421268">
      <w:pPr>
        <w:widowControl w:val="0"/>
        <w:numPr>
          <w:ilvl w:val="0"/>
          <w:numId w:val="28"/>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svaigulys;</w:t>
      </w:r>
    </w:p>
    <w:p w:rsidR="00421268" w:rsidRPr="009D6ED7" w:rsidRDefault="00421268" w:rsidP="00421268">
      <w:pPr>
        <w:widowControl w:val="0"/>
        <w:numPr>
          <w:ilvl w:val="0"/>
          <w:numId w:val="28"/>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nuovargis;</w:t>
      </w:r>
    </w:p>
    <w:p w:rsidR="00421268" w:rsidRPr="009D6ED7" w:rsidRDefault="00421268" w:rsidP="00421268">
      <w:pPr>
        <w:widowControl w:val="0"/>
        <w:numPr>
          <w:ilvl w:val="0"/>
          <w:numId w:val="28"/>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neįprastas niežėjimas arba dilgčiojimas;</w:t>
      </w:r>
    </w:p>
    <w:p w:rsidR="00421268" w:rsidRPr="009D6ED7" w:rsidRDefault="00421268" w:rsidP="00421268">
      <w:pPr>
        <w:widowControl w:val="0"/>
        <w:numPr>
          <w:ilvl w:val="0"/>
          <w:numId w:val="28"/>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viduriavimas;</w:t>
      </w:r>
    </w:p>
    <w:p w:rsidR="00421268" w:rsidRPr="009D6ED7" w:rsidRDefault="00421268" w:rsidP="00421268">
      <w:pPr>
        <w:widowControl w:val="0"/>
        <w:numPr>
          <w:ilvl w:val="0"/>
          <w:numId w:val="28"/>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vidurių užkietėjimas;</w:t>
      </w:r>
    </w:p>
    <w:p w:rsidR="00421268" w:rsidRPr="009D6ED7" w:rsidRDefault="00421268" w:rsidP="00421268">
      <w:pPr>
        <w:widowControl w:val="0"/>
        <w:numPr>
          <w:ilvl w:val="0"/>
          <w:numId w:val="28"/>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pykinimas;</w:t>
      </w:r>
    </w:p>
    <w:p w:rsidR="00421268" w:rsidRPr="009D6ED7" w:rsidRDefault="00421268" w:rsidP="00421268">
      <w:pPr>
        <w:widowControl w:val="0"/>
        <w:numPr>
          <w:ilvl w:val="0"/>
          <w:numId w:val="28"/>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dusulys;</w:t>
      </w:r>
    </w:p>
    <w:p w:rsidR="00421268" w:rsidRPr="009D6ED7" w:rsidRDefault="00421268" w:rsidP="00421268">
      <w:pPr>
        <w:widowControl w:val="0"/>
        <w:numPr>
          <w:ilvl w:val="0"/>
          <w:numId w:val="28"/>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plaštakų arba pėdų tinimas.</w:t>
      </w:r>
    </w:p>
    <w:p w:rsidR="00421268" w:rsidRPr="009D6ED7" w:rsidRDefault="00421268" w:rsidP="00421268">
      <w:pPr>
        <w:widowControl w:val="0"/>
        <w:tabs>
          <w:tab w:val="num" w:pos="900"/>
        </w:tabs>
        <w:suppressAutoHyphens/>
        <w:autoSpaceDE w:val="0"/>
        <w:rPr>
          <w:rFonts w:eastAsia="Calibri"/>
          <w:i/>
          <w:iCs/>
          <w:color w:val="221E1F"/>
          <w:szCs w:val="22"/>
          <w:lang w:eastAsia="ar-SA"/>
        </w:rPr>
      </w:pPr>
    </w:p>
    <w:p w:rsidR="00421268" w:rsidRPr="009D6ED7" w:rsidRDefault="00421268" w:rsidP="00421268">
      <w:pPr>
        <w:widowControl w:val="0"/>
        <w:suppressAutoHyphens/>
        <w:autoSpaceDE w:val="0"/>
        <w:rPr>
          <w:rFonts w:eastAsia="Calibri"/>
          <w:b/>
          <w:iCs/>
          <w:color w:val="221E1F"/>
          <w:szCs w:val="22"/>
          <w:lang w:eastAsia="ar-SA"/>
        </w:rPr>
      </w:pPr>
      <w:r w:rsidRPr="009D6ED7">
        <w:rPr>
          <w:rFonts w:eastAsia="Calibri"/>
          <w:b/>
          <w:iCs/>
          <w:color w:val="221E1F"/>
          <w:szCs w:val="22"/>
          <w:lang w:eastAsia="ar-SA"/>
        </w:rPr>
        <w:t>Nedažni šalutiniai poveikiai (gali pasireikšti ne daugiau kaip 1 pacientui iš 100) vartojant padidėjusiam kraujospūdžiui gydyti:</w:t>
      </w:r>
    </w:p>
    <w:p w:rsidR="00421268" w:rsidRPr="009D6ED7" w:rsidRDefault="00421268" w:rsidP="00421268">
      <w:pPr>
        <w:widowControl w:val="0"/>
        <w:numPr>
          <w:ilvl w:val="0"/>
          <w:numId w:val="29"/>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retas širdies plakimas arba kiti širdies veiklos sutrikimai;</w:t>
      </w:r>
    </w:p>
    <w:p w:rsidR="00421268" w:rsidRPr="009D6ED7" w:rsidRDefault="00421268" w:rsidP="00421268">
      <w:pPr>
        <w:widowControl w:val="0"/>
        <w:numPr>
          <w:ilvl w:val="0"/>
          <w:numId w:val="29"/>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mažas kraujospūdis;</w:t>
      </w:r>
    </w:p>
    <w:p w:rsidR="00421268" w:rsidRPr="009D6ED7" w:rsidRDefault="00421268" w:rsidP="00421268">
      <w:pPr>
        <w:widowControl w:val="0"/>
        <w:numPr>
          <w:ilvl w:val="0"/>
          <w:numId w:val="29"/>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regėjimo sutrikimas;</w:t>
      </w:r>
    </w:p>
    <w:p w:rsidR="00421268" w:rsidRPr="009D6ED7" w:rsidRDefault="00421268" w:rsidP="00421268">
      <w:pPr>
        <w:widowControl w:val="0"/>
        <w:numPr>
          <w:ilvl w:val="0"/>
          <w:numId w:val="29"/>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impotencija (apsunkinta erekcija);</w:t>
      </w:r>
    </w:p>
    <w:p w:rsidR="00421268" w:rsidRPr="009D6ED7" w:rsidRDefault="00421268" w:rsidP="00421268">
      <w:pPr>
        <w:widowControl w:val="0"/>
        <w:numPr>
          <w:ilvl w:val="0"/>
          <w:numId w:val="29"/>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lastRenderedPageBreak/>
        <w:t>slegiantys jausmai;</w:t>
      </w:r>
    </w:p>
    <w:p w:rsidR="00421268" w:rsidRPr="009D6ED7" w:rsidRDefault="00421268" w:rsidP="00421268">
      <w:pPr>
        <w:widowControl w:val="0"/>
        <w:numPr>
          <w:ilvl w:val="0"/>
          <w:numId w:val="29"/>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nevirškinimas, dujų susikaupimas skrandyje arba žarnose;</w:t>
      </w:r>
    </w:p>
    <w:p w:rsidR="00421268" w:rsidRPr="009D6ED7" w:rsidRDefault="00421268" w:rsidP="00421268">
      <w:pPr>
        <w:widowControl w:val="0"/>
        <w:numPr>
          <w:ilvl w:val="0"/>
          <w:numId w:val="29"/>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vėmimas;</w:t>
      </w:r>
    </w:p>
    <w:p w:rsidR="00421268" w:rsidRPr="009D6ED7" w:rsidRDefault="00421268" w:rsidP="00421268">
      <w:pPr>
        <w:widowControl w:val="0"/>
        <w:numPr>
          <w:ilvl w:val="0"/>
          <w:numId w:val="29"/>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odos bėrimas;</w:t>
      </w:r>
    </w:p>
    <w:p w:rsidR="00421268" w:rsidRPr="009D6ED7" w:rsidRDefault="00421268" w:rsidP="00421268">
      <w:pPr>
        <w:widowControl w:val="0"/>
        <w:numPr>
          <w:ilvl w:val="0"/>
          <w:numId w:val="29"/>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veržimas krūtinėje, kvėpavimo sunkumas arba švokštimas;</w:t>
      </w:r>
    </w:p>
    <w:p w:rsidR="00421268" w:rsidRPr="009D6ED7" w:rsidRDefault="00421268" w:rsidP="00421268">
      <w:pPr>
        <w:widowControl w:val="0"/>
        <w:numPr>
          <w:ilvl w:val="0"/>
          <w:numId w:val="29"/>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košmarai.</w:t>
      </w:r>
    </w:p>
    <w:p w:rsidR="00421268" w:rsidRPr="009D6ED7" w:rsidRDefault="00421268" w:rsidP="00421268">
      <w:pPr>
        <w:widowControl w:val="0"/>
        <w:suppressAutoHyphens/>
        <w:autoSpaceDE w:val="0"/>
        <w:rPr>
          <w:rFonts w:eastAsia="Calibri"/>
          <w:color w:val="221E1F"/>
          <w:szCs w:val="22"/>
          <w:lang w:eastAsia="ar-SA"/>
        </w:rPr>
      </w:pPr>
    </w:p>
    <w:p w:rsidR="00421268" w:rsidRPr="009D6ED7" w:rsidRDefault="00421268" w:rsidP="00421268">
      <w:pPr>
        <w:widowControl w:val="0"/>
        <w:suppressAutoHyphens/>
        <w:autoSpaceDE w:val="0"/>
        <w:rPr>
          <w:rFonts w:eastAsia="Calibri"/>
          <w:b/>
          <w:iCs/>
          <w:color w:val="221E1F"/>
          <w:szCs w:val="22"/>
          <w:lang w:eastAsia="ar-SA"/>
        </w:rPr>
      </w:pPr>
      <w:r w:rsidRPr="009D6ED7">
        <w:rPr>
          <w:rFonts w:eastAsia="Calibri"/>
          <w:b/>
          <w:iCs/>
          <w:color w:val="221E1F"/>
          <w:szCs w:val="22"/>
          <w:lang w:eastAsia="ar-SA"/>
        </w:rPr>
        <w:t>Labai reti šalutiniai poveikiai (gali pasireikšti ne daugiau kaip 1 pacientui iš 10 000) vartojant padidėjusiam kraujospūdžiui gydyti:</w:t>
      </w:r>
    </w:p>
    <w:p w:rsidR="00421268" w:rsidRPr="009D6ED7" w:rsidRDefault="00421268" w:rsidP="00421268">
      <w:pPr>
        <w:widowControl w:val="0"/>
        <w:numPr>
          <w:ilvl w:val="0"/>
          <w:numId w:val="30"/>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alpimas;</w:t>
      </w:r>
    </w:p>
    <w:p w:rsidR="00421268" w:rsidRPr="009D6ED7" w:rsidRDefault="00421268" w:rsidP="00421268">
      <w:pPr>
        <w:widowControl w:val="0"/>
        <w:numPr>
          <w:ilvl w:val="0"/>
          <w:numId w:val="30"/>
        </w:numPr>
        <w:tabs>
          <w:tab w:val="num" w:pos="567"/>
        </w:tabs>
        <w:suppressAutoHyphens/>
        <w:autoSpaceDE w:val="0"/>
        <w:ind w:left="567" w:hanging="567"/>
        <w:rPr>
          <w:rFonts w:eastAsia="Calibri"/>
          <w:color w:val="221E1F"/>
          <w:szCs w:val="22"/>
          <w:lang w:eastAsia="ar-SA"/>
        </w:rPr>
      </w:pPr>
      <w:r w:rsidRPr="009D6ED7">
        <w:rPr>
          <w:rFonts w:eastAsia="Calibri"/>
          <w:color w:val="221E1F"/>
          <w:szCs w:val="22"/>
          <w:lang w:eastAsia="ar-SA"/>
        </w:rPr>
        <w:t>žvynelinės simptomų sustiprėjimas.</w:t>
      </w:r>
    </w:p>
    <w:p w:rsidR="00421268" w:rsidRPr="009D6ED7" w:rsidRDefault="00421268" w:rsidP="00421268">
      <w:pPr>
        <w:widowControl w:val="0"/>
        <w:suppressAutoHyphens/>
        <w:autoSpaceDE w:val="0"/>
        <w:rPr>
          <w:rFonts w:eastAsia="Calibri"/>
          <w:color w:val="221E1F"/>
          <w:szCs w:val="22"/>
          <w:lang w:eastAsia="ar-SA"/>
        </w:rPr>
      </w:pPr>
    </w:p>
    <w:p w:rsidR="00421268" w:rsidRPr="009D6ED7" w:rsidRDefault="00421268" w:rsidP="00421268">
      <w:pPr>
        <w:widowControl w:val="0"/>
        <w:suppressAutoHyphens/>
        <w:autoSpaceDE w:val="0"/>
        <w:rPr>
          <w:rFonts w:eastAsia="Calibri"/>
          <w:b/>
          <w:color w:val="221E1F"/>
          <w:szCs w:val="22"/>
          <w:lang w:eastAsia="ar-SA"/>
        </w:rPr>
      </w:pPr>
      <w:r w:rsidRPr="009D6ED7">
        <w:rPr>
          <w:rFonts w:eastAsia="Calibri"/>
          <w:b/>
          <w:color w:val="221E1F"/>
          <w:szCs w:val="22"/>
          <w:lang w:eastAsia="ar-SA"/>
        </w:rPr>
        <w:t>Dažnis nežinomas (negali būti apskaičiuotas pagal turimus duomenis):</w:t>
      </w:r>
    </w:p>
    <w:p w:rsidR="00421268" w:rsidRPr="009D6ED7" w:rsidRDefault="00421268" w:rsidP="00421268">
      <w:pPr>
        <w:pStyle w:val="Sraopastraipa"/>
        <w:widowControl w:val="0"/>
        <w:numPr>
          <w:ilvl w:val="0"/>
          <w:numId w:val="31"/>
        </w:numPr>
        <w:suppressAutoHyphens/>
        <w:autoSpaceDE w:val="0"/>
        <w:ind w:left="567" w:hanging="567"/>
        <w:rPr>
          <w:rFonts w:eastAsia="Calibri"/>
          <w:color w:val="221E1F"/>
          <w:szCs w:val="22"/>
          <w:lang w:eastAsia="ar-SA"/>
        </w:rPr>
      </w:pPr>
      <w:r w:rsidRPr="009D6ED7">
        <w:rPr>
          <w:rFonts w:eastAsia="Calibri"/>
          <w:color w:val="221E1F"/>
          <w:szCs w:val="22"/>
          <w:lang w:eastAsia="ar-SA"/>
        </w:rPr>
        <w:t>angioneurozinė edema;</w:t>
      </w:r>
    </w:p>
    <w:p w:rsidR="00421268" w:rsidRPr="009D6ED7" w:rsidRDefault="00421268" w:rsidP="00421268">
      <w:pPr>
        <w:pStyle w:val="Sraopastraipa"/>
        <w:widowControl w:val="0"/>
        <w:numPr>
          <w:ilvl w:val="0"/>
          <w:numId w:val="31"/>
        </w:numPr>
        <w:suppressAutoHyphens/>
        <w:autoSpaceDE w:val="0"/>
        <w:ind w:left="567" w:hanging="567"/>
        <w:rPr>
          <w:rFonts w:eastAsia="Calibri"/>
          <w:color w:val="221E1F"/>
          <w:szCs w:val="22"/>
          <w:lang w:eastAsia="ar-SA"/>
        </w:rPr>
      </w:pPr>
      <w:r w:rsidRPr="009D6ED7">
        <w:rPr>
          <w:rFonts w:eastAsia="Calibri"/>
          <w:color w:val="221E1F"/>
          <w:szCs w:val="22"/>
          <w:lang w:eastAsia="ar-SA"/>
        </w:rPr>
        <w:t>padidėjęs jautrumas;</w:t>
      </w:r>
    </w:p>
    <w:p w:rsidR="00421268" w:rsidRPr="009D6ED7" w:rsidRDefault="00421268" w:rsidP="00421268">
      <w:pPr>
        <w:pStyle w:val="Sraopastraipa"/>
        <w:widowControl w:val="0"/>
        <w:numPr>
          <w:ilvl w:val="0"/>
          <w:numId w:val="31"/>
        </w:numPr>
        <w:suppressAutoHyphens/>
        <w:autoSpaceDE w:val="0"/>
        <w:ind w:left="567" w:hanging="567"/>
        <w:rPr>
          <w:rFonts w:eastAsia="Calibri"/>
          <w:color w:val="221E1F"/>
          <w:szCs w:val="22"/>
          <w:lang w:eastAsia="ar-SA"/>
        </w:rPr>
      </w:pPr>
      <w:r w:rsidRPr="009D6ED7">
        <w:rPr>
          <w:rFonts w:eastAsia="Calibri"/>
          <w:color w:val="221E1F"/>
          <w:szCs w:val="22"/>
          <w:lang w:eastAsia="ar-SA"/>
        </w:rPr>
        <w:t>dilgėlinė.</w:t>
      </w:r>
    </w:p>
    <w:p w:rsidR="00421268" w:rsidRPr="009D6ED7" w:rsidRDefault="00421268" w:rsidP="00421268">
      <w:pPr>
        <w:widowControl w:val="0"/>
        <w:suppressAutoHyphens/>
        <w:autoSpaceDE w:val="0"/>
        <w:rPr>
          <w:rFonts w:eastAsia="Calibri"/>
          <w:color w:val="221E1F"/>
          <w:szCs w:val="22"/>
          <w:lang w:eastAsia="ar-SA"/>
        </w:rPr>
      </w:pPr>
    </w:p>
    <w:p w:rsidR="00421268" w:rsidRPr="009D6ED7" w:rsidRDefault="00421268" w:rsidP="00421268">
      <w:pPr>
        <w:widowControl w:val="0"/>
        <w:suppressAutoHyphens/>
        <w:autoSpaceDE w:val="0"/>
        <w:rPr>
          <w:rFonts w:eastAsia="Calibri"/>
          <w:color w:val="221E1F"/>
          <w:szCs w:val="22"/>
          <w:lang w:eastAsia="ar-SA"/>
        </w:rPr>
      </w:pPr>
      <w:r w:rsidRPr="009D6ED7">
        <w:rPr>
          <w:rFonts w:eastAsia="Calibri"/>
          <w:color w:val="221E1F"/>
          <w:szCs w:val="22"/>
          <w:lang w:eastAsia="ar-SA"/>
        </w:rPr>
        <w:t xml:space="preserve">Atliekant klinikinį lėtinio širdies nepakankamumo tyrimą, šalutiniai poveikiai buvo retas širdies plakimas, svaigulys, širdies nepakankamumo sustiprėjimas, kraujospūdžio sumažėjimas (pvz., alpimo jausmas staigiai atsistojus), vaisto netoleravimas, nereguliarus širdies plakimas, tinimas (pvz., kulkšnių tinimas). </w:t>
      </w:r>
    </w:p>
    <w:p w:rsidR="00421268" w:rsidRPr="009D6ED7" w:rsidRDefault="00421268" w:rsidP="00421268">
      <w:pPr>
        <w:widowControl w:val="0"/>
        <w:suppressAutoHyphens/>
        <w:autoSpaceDE w:val="0"/>
        <w:rPr>
          <w:rFonts w:eastAsia="Calibri"/>
          <w:color w:val="221E1F"/>
          <w:szCs w:val="22"/>
          <w:lang w:eastAsia="ar-SA"/>
        </w:rPr>
      </w:pPr>
    </w:p>
    <w:p w:rsidR="00421268" w:rsidRPr="009D6ED7" w:rsidRDefault="00421268" w:rsidP="00421268">
      <w:pPr>
        <w:widowControl w:val="0"/>
        <w:suppressAutoHyphens/>
        <w:autoSpaceDE w:val="0"/>
        <w:rPr>
          <w:rFonts w:eastAsia="Calibri"/>
          <w:color w:val="000000"/>
          <w:szCs w:val="22"/>
          <w:lang w:eastAsia="ar-SA"/>
        </w:rPr>
      </w:pPr>
      <w:r w:rsidRPr="009D6ED7">
        <w:rPr>
          <w:rFonts w:eastAsia="Calibri"/>
          <w:color w:val="000000"/>
          <w:szCs w:val="22"/>
          <w:lang w:eastAsia="ar-SA"/>
        </w:rPr>
        <w:t>Jeigu pasireiškė šalutinis poveikis, įskaitant šiame lapelyje nenurodytą, pasakykite gydytojui arba vaistininkui.</w:t>
      </w:r>
    </w:p>
    <w:p w:rsidR="00421268" w:rsidRPr="009D6ED7" w:rsidRDefault="00421268" w:rsidP="00421268">
      <w:pPr>
        <w:widowControl w:val="0"/>
        <w:suppressAutoHyphens/>
        <w:autoSpaceDE w:val="0"/>
        <w:rPr>
          <w:rFonts w:eastAsia="Calibri"/>
          <w:color w:val="000000"/>
          <w:szCs w:val="22"/>
          <w:lang w:eastAsia="ar-SA"/>
        </w:rPr>
      </w:pPr>
    </w:p>
    <w:p w:rsidR="00421268" w:rsidRPr="009D6ED7" w:rsidRDefault="00421268" w:rsidP="00421268">
      <w:pPr>
        <w:rPr>
          <w:b/>
          <w:szCs w:val="22"/>
        </w:rPr>
      </w:pPr>
      <w:r w:rsidRPr="009D6ED7">
        <w:rPr>
          <w:b/>
          <w:noProof/>
          <w:szCs w:val="22"/>
        </w:rPr>
        <w:t>Pranešimas apie šalutinį poveikį</w:t>
      </w:r>
    </w:p>
    <w:p w:rsidR="00421268" w:rsidRPr="009D6ED7" w:rsidRDefault="00421268" w:rsidP="00421268">
      <w:pPr>
        <w:ind w:right="-449"/>
        <w:rPr>
          <w:noProof/>
          <w:szCs w:val="22"/>
        </w:rPr>
      </w:pPr>
      <w:r w:rsidRPr="009D6ED7">
        <w:rPr>
          <w:noProof/>
          <w:szCs w:val="22"/>
        </w:rPr>
        <w:t xml:space="preserve">Jeigu pasireiškė šalutinis poveikis, įskaitant šiame lapelyje nenurodytą, pasakykite gydytojui arba, vaistininkui arba </w:t>
      </w:r>
      <w:r w:rsidRPr="009D6ED7">
        <w:rPr>
          <w:szCs w:val="22"/>
        </w:rPr>
        <w:t>slaugytojui.</w:t>
      </w:r>
      <w:r w:rsidRPr="009D6ED7">
        <w:rPr>
          <w:noProof/>
          <w:szCs w:val="22"/>
        </w:rPr>
        <w:t xml:space="preserve"> Apie šalutinį poveikį taip pat galite pranešti tiesiogiai, užpildę interneto svetainėje </w:t>
      </w:r>
      <w:hyperlink r:id="rId11" w:history="1">
        <w:r w:rsidRPr="009D6ED7">
          <w:rPr>
            <w:rFonts w:eastAsia="SimSun"/>
            <w:noProof/>
            <w:color w:val="0000FF"/>
            <w:szCs w:val="22"/>
            <w:u w:val="single"/>
          </w:rPr>
          <w:t>www.vvkt.lt</w:t>
        </w:r>
      </w:hyperlink>
      <w:r w:rsidRPr="009D6ED7">
        <w:rPr>
          <w:noProof/>
          <w:szCs w:val="22"/>
        </w:rPr>
        <w:t xml:space="preserve"> esančią formą, paštu Valstybinei vaistų kontrolės tarnybai prie Lietuvos Respublikos sveikatos apsaugos ministerijos, Žirmūnų g. 139A, LT 09120 Vilnius, t</w:t>
      </w:r>
      <w:r w:rsidRPr="009D6ED7">
        <w:rPr>
          <w:rFonts w:eastAsia="Calibri"/>
          <w:noProof/>
          <w:szCs w:val="22"/>
          <w:lang w:eastAsia="zh-CN"/>
        </w:rPr>
        <w:t xml:space="preserve">el: 8 800 73568, </w:t>
      </w:r>
      <w:r w:rsidRPr="009D6ED7">
        <w:rPr>
          <w:noProof/>
          <w:szCs w:val="22"/>
        </w:rPr>
        <w:t xml:space="preserve">faksu 8 800 20131 arba el. paštu </w:t>
      </w:r>
      <w:hyperlink r:id="rId12" w:history="1">
        <w:r w:rsidRPr="009D6ED7">
          <w:rPr>
            <w:rFonts w:eastAsia="SimSun"/>
            <w:noProof/>
            <w:color w:val="0000FF"/>
            <w:szCs w:val="22"/>
            <w:u w:val="single"/>
          </w:rPr>
          <w:t>NepageidaujamaR@vvkt.lt</w:t>
        </w:r>
      </w:hyperlink>
      <w:r w:rsidRPr="009D6ED7">
        <w:rPr>
          <w:noProof/>
          <w:szCs w:val="22"/>
        </w:rPr>
        <w:t>. Pranešdami apie šalutinį poveikį galite mums padėti gauti daugiau informacijos apie šio vaisto saugumą.</w:t>
      </w:r>
    </w:p>
    <w:p w:rsidR="00421268" w:rsidRPr="009D6ED7" w:rsidRDefault="00421268" w:rsidP="00421268">
      <w:pPr>
        <w:rPr>
          <w:szCs w:val="22"/>
        </w:rPr>
      </w:pPr>
    </w:p>
    <w:p w:rsidR="00421268" w:rsidRPr="009D6ED7" w:rsidRDefault="00421268" w:rsidP="00421268">
      <w:pPr>
        <w:rPr>
          <w:b/>
          <w:bCs/>
          <w:szCs w:val="22"/>
        </w:rPr>
      </w:pPr>
    </w:p>
    <w:p w:rsidR="00421268" w:rsidRPr="009D6ED7" w:rsidRDefault="00421268" w:rsidP="00421268">
      <w:pPr>
        <w:keepNext/>
        <w:tabs>
          <w:tab w:val="left" w:pos="567"/>
        </w:tabs>
        <w:ind w:left="567" w:hanging="567"/>
        <w:outlineLvl w:val="1"/>
        <w:rPr>
          <w:b/>
          <w:bCs/>
          <w:szCs w:val="22"/>
        </w:rPr>
      </w:pPr>
      <w:bookmarkStart w:id="78" w:name="_Toc129243268"/>
      <w:bookmarkStart w:id="79" w:name="_Toc129243143"/>
      <w:r w:rsidRPr="009D6ED7">
        <w:rPr>
          <w:b/>
          <w:bCs/>
          <w:szCs w:val="22"/>
        </w:rPr>
        <w:t>5.</w:t>
      </w:r>
      <w:r w:rsidRPr="009D6ED7">
        <w:rPr>
          <w:b/>
          <w:bCs/>
          <w:szCs w:val="22"/>
        </w:rPr>
        <w:tab/>
        <w:t xml:space="preserve">Kaip laikyti </w:t>
      </w:r>
      <w:bookmarkEnd w:id="78"/>
      <w:bookmarkEnd w:id="79"/>
      <w:r w:rsidRPr="009D6ED7">
        <w:rPr>
          <w:b/>
          <w:szCs w:val="22"/>
        </w:rPr>
        <w:t>Nebivolol Orion</w:t>
      </w:r>
    </w:p>
    <w:p w:rsidR="00421268" w:rsidRPr="009D6ED7" w:rsidRDefault="00421268" w:rsidP="00421268">
      <w:pPr>
        <w:rPr>
          <w:szCs w:val="22"/>
        </w:rPr>
      </w:pPr>
    </w:p>
    <w:p w:rsidR="00421268" w:rsidRPr="009D6ED7" w:rsidRDefault="00421268" w:rsidP="00421268">
      <w:pPr>
        <w:numPr>
          <w:ilvl w:val="12"/>
          <w:numId w:val="0"/>
        </w:numPr>
        <w:ind w:right="-2"/>
        <w:rPr>
          <w:rFonts w:eastAsia="SimSun"/>
          <w:szCs w:val="22"/>
          <w:lang w:eastAsia="zh-CN"/>
        </w:rPr>
      </w:pPr>
      <w:r w:rsidRPr="009D6ED7">
        <w:rPr>
          <w:rFonts w:eastAsia="SimSun"/>
          <w:szCs w:val="22"/>
          <w:lang w:eastAsia="zh-CN"/>
        </w:rPr>
        <w:t>Šį vaistą laikykite vaikams nepastebimoje ir nepasiekiamoje vietoje.</w:t>
      </w:r>
    </w:p>
    <w:p w:rsidR="00421268" w:rsidRPr="009D6ED7" w:rsidRDefault="00421268" w:rsidP="00421268">
      <w:pPr>
        <w:widowControl w:val="0"/>
        <w:suppressAutoHyphens/>
        <w:autoSpaceDE w:val="0"/>
        <w:rPr>
          <w:rFonts w:eastAsia="Calibri"/>
          <w:color w:val="221E1F"/>
          <w:szCs w:val="22"/>
          <w:lang w:eastAsia="ar-SA"/>
        </w:rPr>
      </w:pPr>
    </w:p>
    <w:p w:rsidR="00421268" w:rsidRPr="009D6ED7" w:rsidRDefault="00421268" w:rsidP="00421268">
      <w:pPr>
        <w:widowControl w:val="0"/>
        <w:suppressAutoHyphens/>
        <w:autoSpaceDE w:val="0"/>
        <w:rPr>
          <w:rFonts w:eastAsia="Calibri"/>
          <w:color w:val="000000"/>
          <w:szCs w:val="22"/>
          <w:lang w:eastAsia="ar-SA"/>
        </w:rPr>
      </w:pPr>
      <w:r w:rsidRPr="009D6ED7">
        <w:rPr>
          <w:rFonts w:eastAsia="Calibri"/>
          <w:color w:val="000000"/>
          <w:szCs w:val="22"/>
          <w:lang w:eastAsia="ar-SA"/>
        </w:rPr>
        <w:t>Ant dėžutės po „Tinka iki“ nurodytam tinkamumo laikui pasibaigus, šio vaisto vartoti negalima. Vaistas tinkamas vartoti iki paskutinės nurodyto mėnesio dienos.</w:t>
      </w:r>
    </w:p>
    <w:p w:rsidR="00421268" w:rsidRPr="009D6ED7" w:rsidRDefault="00421268" w:rsidP="00421268">
      <w:pPr>
        <w:widowControl w:val="0"/>
        <w:suppressAutoHyphens/>
        <w:autoSpaceDE w:val="0"/>
        <w:rPr>
          <w:rFonts w:eastAsia="Calibri"/>
          <w:color w:val="221E1F"/>
          <w:szCs w:val="22"/>
          <w:lang w:eastAsia="ar-SA"/>
        </w:rPr>
      </w:pPr>
    </w:p>
    <w:p w:rsidR="00421268" w:rsidRPr="009D6ED7" w:rsidRDefault="00421268" w:rsidP="00421268">
      <w:pPr>
        <w:widowControl w:val="0"/>
        <w:suppressAutoHyphens/>
        <w:autoSpaceDE w:val="0"/>
        <w:rPr>
          <w:rFonts w:eastAsia="Calibri"/>
          <w:color w:val="221E1F"/>
          <w:szCs w:val="22"/>
          <w:lang w:eastAsia="ar-SA"/>
        </w:rPr>
      </w:pPr>
      <w:r w:rsidRPr="009D6ED7">
        <w:rPr>
          <w:rFonts w:eastAsia="Calibri"/>
          <w:color w:val="221E1F"/>
          <w:szCs w:val="22"/>
          <w:lang w:eastAsia="ar-SA"/>
        </w:rPr>
        <w:t>Laikyti ne aukštesnėje kaip 30 °C temperatūroje.</w:t>
      </w:r>
    </w:p>
    <w:p w:rsidR="00421268" w:rsidRPr="009D6ED7" w:rsidRDefault="00421268" w:rsidP="00421268">
      <w:pPr>
        <w:widowControl w:val="0"/>
        <w:suppressAutoHyphens/>
        <w:autoSpaceDE w:val="0"/>
        <w:rPr>
          <w:rFonts w:eastAsia="Calibri"/>
          <w:color w:val="221E1F"/>
          <w:szCs w:val="22"/>
          <w:lang w:eastAsia="ar-SA"/>
        </w:rPr>
      </w:pPr>
    </w:p>
    <w:p w:rsidR="00421268" w:rsidRPr="009D6ED7" w:rsidRDefault="00421268" w:rsidP="00421268">
      <w:pPr>
        <w:widowControl w:val="0"/>
        <w:suppressAutoHyphens/>
        <w:autoSpaceDE w:val="0"/>
        <w:rPr>
          <w:rFonts w:eastAsia="Calibri"/>
          <w:color w:val="000000"/>
          <w:szCs w:val="22"/>
          <w:lang w:eastAsia="ar-SA"/>
        </w:rPr>
      </w:pPr>
      <w:r w:rsidRPr="009D6ED7">
        <w:rPr>
          <w:rFonts w:eastAsia="Calibri"/>
          <w:color w:val="000000"/>
          <w:szCs w:val="22"/>
          <w:lang w:eastAsia="ar-SA"/>
        </w:rPr>
        <w:t>Vaistų negalima išmesti į kanalizaciją arba su buitinėmis atliekomis. Kaip išmesti nereikalingus vaistus, klauskite vaistininko. Šios priemonės padės apsaugoti aplinką.</w:t>
      </w:r>
    </w:p>
    <w:p w:rsidR="00421268" w:rsidRPr="009D6ED7" w:rsidRDefault="00421268" w:rsidP="00421268">
      <w:pPr>
        <w:rPr>
          <w:szCs w:val="22"/>
        </w:rPr>
      </w:pPr>
    </w:p>
    <w:p w:rsidR="00421268" w:rsidRPr="009D6ED7" w:rsidRDefault="00421268" w:rsidP="00421268">
      <w:pPr>
        <w:rPr>
          <w:szCs w:val="22"/>
        </w:rPr>
      </w:pPr>
    </w:p>
    <w:p w:rsidR="00421268" w:rsidRPr="009D6ED7" w:rsidRDefault="00421268" w:rsidP="00421268">
      <w:pPr>
        <w:keepNext/>
        <w:tabs>
          <w:tab w:val="left" w:pos="567"/>
        </w:tabs>
        <w:ind w:left="567" w:hanging="567"/>
        <w:outlineLvl w:val="1"/>
        <w:rPr>
          <w:b/>
          <w:szCs w:val="22"/>
        </w:rPr>
      </w:pPr>
      <w:bookmarkStart w:id="80" w:name="_Toc129243269"/>
      <w:bookmarkStart w:id="81" w:name="_Toc129243144"/>
      <w:r w:rsidRPr="009D6ED7">
        <w:rPr>
          <w:b/>
          <w:szCs w:val="22"/>
        </w:rPr>
        <w:t>6.</w:t>
      </w:r>
      <w:r w:rsidRPr="009D6ED7">
        <w:rPr>
          <w:b/>
          <w:szCs w:val="22"/>
        </w:rPr>
        <w:tab/>
        <w:t>Pakuotės turinys ir kita informacija</w:t>
      </w:r>
      <w:bookmarkEnd w:id="80"/>
      <w:bookmarkEnd w:id="81"/>
    </w:p>
    <w:p w:rsidR="00421268" w:rsidRPr="009D6ED7" w:rsidRDefault="00421268" w:rsidP="00421268">
      <w:pPr>
        <w:rPr>
          <w:szCs w:val="22"/>
        </w:rPr>
      </w:pPr>
    </w:p>
    <w:p w:rsidR="00421268" w:rsidRPr="009D6ED7" w:rsidRDefault="00421268" w:rsidP="00421268">
      <w:pPr>
        <w:widowControl w:val="0"/>
        <w:suppressAutoHyphens/>
        <w:autoSpaceDE w:val="0"/>
        <w:rPr>
          <w:rFonts w:eastAsia="Calibri"/>
          <w:b/>
          <w:bCs/>
          <w:color w:val="000000"/>
          <w:szCs w:val="22"/>
          <w:lang w:eastAsia="ar-SA"/>
        </w:rPr>
      </w:pPr>
      <w:r w:rsidRPr="009D6ED7">
        <w:rPr>
          <w:rFonts w:eastAsia="Calibri"/>
          <w:b/>
          <w:bCs/>
          <w:color w:val="000000"/>
          <w:szCs w:val="22"/>
          <w:lang w:eastAsia="ar-SA"/>
        </w:rPr>
        <w:t>Nebivolol Orion sudėtis</w:t>
      </w:r>
    </w:p>
    <w:p w:rsidR="00421268" w:rsidRPr="009D6ED7" w:rsidRDefault="00421268" w:rsidP="00421268">
      <w:pPr>
        <w:rPr>
          <w:color w:val="221E1F"/>
          <w:szCs w:val="22"/>
        </w:rPr>
      </w:pPr>
    </w:p>
    <w:p w:rsidR="00421268" w:rsidRPr="009D6ED7" w:rsidRDefault="00421268" w:rsidP="00421268">
      <w:pPr>
        <w:ind w:left="720" w:hanging="720"/>
        <w:rPr>
          <w:color w:val="221E1F"/>
          <w:szCs w:val="22"/>
        </w:rPr>
      </w:pPr>
      <w:r w:rsidRPr="009D6ED7">
        <w:rPr>
          <w:color w:val="221E1F"/>
          <w:szCs w:val="22"/>
        </w:rPr>
        <w:t>-</w:t>
      </w:r>
      <w:r w:rsidRPr="009D6ED7">
        <w:rPr>
          <w:color w:val="221E1F"/>
          <w:szCs w:val="22"/>
        </w:rPr>
        <w:tab/>
        <w:t xml:space="preserve">Veiklioji medžiaga yra nebivololis. </w:t>
      </w:r>
      <w:r w:rsidRPr="009D6ED7">
        <w:rPr>
          <w:szCs w:val="22"/>
        </w:rPr>
        <w:t>Kiekvienoje tabletėje yra 5 mg nebivololio, atitinkančio 5,45 mg nebivololio hidrochlorido</w:t>
      </w:r>
      <w:r w:rsidRPr="009D6ED7">
        <w:rPr>
          <w:color w:val="221E1F"/>
          <w:szCs w:val="22"/>
        </w:rPr>
        <w:t>.</w:t>
      </w:r>
    </w:p>
    <w:p w:rsidR="00421268" w:rsidRPr="009D6ED7" w:rsidRDefault="00421268" w:rsidP="00421268">
      <w:pPr>
        <w:ind w:left="720" w:hanging="720"/>
        <w:rPr>
          <w:color w:val="000000"/>
          <w:szCs w:val="22"/>
        </w:rPr>
      </w:pPr>
      <w:r w:rsidRPr="009D6ED7">
        <w:rPr>
          <w:color w:val="221E1F"/>
          <w:szCs w:val="22"/>
        </w:rPr>
        <w:t>-</w:t>
      </w:r>
      <w:r w:rsidRPr="009D6ED7">
        <w:rPr>
          <w:color w:val="221E1F"/>
          <w:szCs w:val="22"/>
        </w:rPr>
        <w:tab/>
        <w:t>Pagalbinės medžiagos yra l</w:t>
      </w:r>
      <w:r w:rsidRPr="009D6ED7">
        <w:rPr>
          <w:color w:val="000000"/>
          <w:szCs w:val="22"/>
        </w:rPr>
        <w:t>aktozė monohidratas, A tipo krospovidonas, poloksameras 188, povidonas K 30, mikrokristalinė celiuliozė, magnio stearatas.</w:t>
      </w:r>
    </w:p>
    <w:p w:rsidR="00421268" w:rsidRPr="009D6ED7" w:rsidRDefault="00421268" w:rsidP="00421268">
      <w:pPr>
        <w:rPr>
          <w:szCs w:val="22"/>
        </w:rPr>
      </w:pPr>
    </w:p>
    <w:p w:rsidR="00421268" w:rsidRPr="009D6ED7" w:rsidRDefault="00421268" w:rsidP="00421268">
      <w:pPr>
        <w:rPr>
          <w:b/>
          <w:bCs/>
          <w:szCs w:val="22"/>
        </w:rPr>
      </w:pPr>
      <w:r w:rsidRPr="009D6ED7">
        <w:rPr>
          <w:b/>
          <w:bCs/>
          <w:szCs w:val="22"/>
        </w:rPr>
        <w:t>Nebivolol Orion išvaizda ir kiekis pakuotėje</w:t>
      </w:r>
    </w:p>
    <w:p w:rsidR="00421268" w:rsidRPr="009D6ED7" w:rsidRDefault="00421268" w:rsidP="00421268">
      <w:pPr>
        <w:rPr>
          <w:szCs w:val="22"/>
          <w:u w:val="single"/>
        </w:rPr>
      </w:pPr>
    </w:p>
    <w:p w:rsidR="00421268" w:rsidRPr="009D6ED7" w:rsidRDefault="00421268" w:rsidP="00421268">
      <w:pPr>
        <w:rPr>
          <w:szCs w:val="22"/>
        </w:rPr>
      </w:pPr>
      <w:r w:rsidRPr="009D6ED7">
        <w:rPr>
          <w:szCs w:val="22"/>
        </w:rPr>
        <w:t>Nebivolol Orion tabletės yra baltos, apvalios, abipus išgaubtos, turi vienoje pusėje kryžminę vagelę, apie 9 mm skersmens.</w:t>
      </w:r>
    </w:p>
    <w:p w:rsidR="00421268" w:rsidRPr="009D6ED7" w:rsidRDefault="00421268" w:rsidP="00421268">
      <w:pPr>
        <w:rPr>
          <w:szCs w:val="22"/>
        </w:rPr>
      </w:pPr>
      <w:r w:rsidRPr="009D6ED7">
        <w:rPr>
          <w:szCs w:val="22"/>
        </w:rPr>
        <w:t xml:space="preserve">Nebivolol Orion </w:t>
      </w:r>
      <w:r w:rsidRPr="009D6ED7">
        <w:rPr>
          <w:bCs/>
          <w:szCs w:val="22"/>
        </w:rPr>
        <w:t>t</w:t>
      </w:r>
      <w:r w:rsidRPr="009D6ED7">
        <w:rPr>
          <w:szCs w:val="22"/>
        </w:rPr>
        <w:t>abletę galima padalyti į keturias vienodas dalis.</w:t>
      </w:r>
    </w:p>
    <w:p w:rsidR="00421268" w:rsidRPr="009D6ED7" w:rsidRDefault="00421268" w:rsidP="00421268">
      <w:pPr>
        <w:autoSpaceDE w:val="0"/>
        <w:rPr>
          <w:szCs w:val="22"/>
        </w:rPr>
      </w:pPr>
    </w:p>
    <w:p w:rsidR="00421268" w:rsidRPr="009D6ED7" w:rsidRDefault="00421268" w:rsidP="00421268">
      <w:pPr>
        <w:rPr>
          <w:szCs w:val="22"/>
        </w:rPr>
      </w:pPr>
      <w:r w:rsidRPr="009D6ED7">
        <w:rPr>
          <w:szCs w:val="22"/>
        </w:rPr>
        <w:t>Tabletės tiekiamos PVC/PE/PVDC//aliuminio lizdinėse plokštelėse po 7,10 arba 14 tablečių.</w:t>
      </w:r>
    </w:p>
    <w:p w:rsidR="00421268" w:rsidRPr="009D6ED7" w:rsidRDefault="00421268" w:rsidP="00421268">
      <w:pPr>
        <w:rPr>
          <w:szCs w:val="22"/>
        </w:rPr>
      </w:pPr>
      <w:r w:rsidRPr="009D6ED7">
        <w:rPr>
          <w:szCs w:val="22"/>
        </w:rPr>
        <w:t xml:space="preserve">Pakuočių dydžiai: </w:t>
      </w:r>
    </w:p>
    <w:p w:rsidR="00421268" w:rsidRPr="009D6ED7" w:rsidRDefault="00421268" w:rsidP="00421268">
      <w:pPr>
        <w:rPr>
          <w:szCs w:val="22"/>
        </w:rPr>
      </w:pPr>
    </w:p>
    <w:p w:rsidR="00421268" w:rsidRPr="009D6ED7" w:rsidRDefault="00421268" w:rsidP="00421268">
      <w:pPr>
        <w:rPr>
          <w:szCs w:val="22"/>
        </w:rPr>
      </w:pPr>
      <w:r w:rsidRPr="009D6ED7">
        <w:rPr>
          <w:szCs w:val="22"/>
        </w:rPr>
        <w:t>7, 10, 14, 20, 28, 30, 50, 56, 60, 90, 100 arba 120 tablečių.</w:t>
      </w:r>
    </w:p>
    <w:p w:rsidR="00421268" w:rsidRPr="009D6ED7" w:rsidRDefault="00421268" w:rsidP="00421268">
      <w:pPr>
        <w:rPr>
          <w:i/>
          <w:szCs w:val="22"/>
        </w:rPr>
      </w:pPr>
    </w:p>
    <w:p w:rsidR="00421268" w:rsidRPr="009D6ED7" w:rsidRDefault="00421268" w:rsidP="00421268">
      <w:pPr>
        <w:rPr>
          <w:szCs w:val="22"/>
        </w:rPr>
      </w:pPr>
      <w:r w:rsidRPr="009D6ED7">
        <w:rPr>
          <w:szCs w:val="22"/>
        </w:rPr>
        <w:t>Gali būti tiekiamos ne visų dydžių pakuotės.</w:t>
      </w:r>
    </w:p>
    <w:p w:rsidR="00421268" w:rsidRPr="009D6ED7" w:rsidRDefault="00421268" w:rsidP="00421268">
      <w:pPr>
        <w:rPr>
          <w:szCs w:val="22"/>
        </w:rPr>
      </w:pPr>
    </w:p>
    <w:p w:rsidR="00421268" w:rsidRPr="009D6ED7" w:rsidRDefault="00421268" w:rsidP="00421268">
      <w:pPr>
        <w:rPr>
          <w:b/>
          <w:bCs/>
          <w:szCs w:val="22"/>
        </w:rPr>
      </w:pPr>
      <w:r w:rsidRPr="009D6ED7">
        <w:rPr>
          <w:b/>
          <w:bCs/>
          <w:szCs w:val="22"/>
        </w:rPr>
        <w:t>Rinkodaros teisės turėtojas ir gamintojas</w:t>
      </w:r>
    </w:p>
    <w:p w:rsidR="00421268" w:rsidRPr="009D6ED7" w:rsidRDefault="00421268" w:rsidP="00421268">
      <w:pPr>
        <w:rPr>
          <w:b/>
          <w:bCs/>
          <w:szCs w:val="22"/>
        </w:rPr>
      </w:pPr>
    </w:p>
    <w:p w:rsidR="00421268" w:rsidRPr="009D6ED7" w:rsidRDefault="00421268" w:rsidP="00421268">
      <w:pPr>
        <w:rPr>
          <w:i/>
          <w:szCs w:val="22"/>
        </w:rPr>
      </w:pPr>
      <w:r w:rsidRPr="009D6ED7">
        <w:rPr>
          <w:i/>
          <w:szCs w:val="22"/>
        </w:rPr>
        <w:t>Rinkodaros teisės turėtojas</w:t>
      </w:r>
    </w:p>
    <w:p w:rsidR="00421268" w:rsidRPr="009D6ED7" w:rsidRDefault="00421268" w:rsidP="00421268">
      <w:pPr>
        <w:rPr>
          <w:szCs w:val="22"/>
        </w:rPr>
      </w:pPr>
      <w:r w:rsidRPr="009D6ED7">
        <w:rPr>
          <w:szCs w:val="22"/>
        </w:rPr>
        <w:t>Orion Corporation</w:t>
      </w:r>
    </w:p>
    <w:p w:rsidR="00421268" w:rsidRPr="009D6ED7" w:rsidRDefault="00421268" w:rsidP="00421268">
      <w:pPr>
        <w:rPr>
          <w:szCs w:val="22"/>
        </w:rPr>
      </w:pPr>
      <w:r w:rsidRPr="009D6ED7">
        <w:rPr>
          <w:szCs w:val="22"/>
        </w:rPr>
        <w:t>Orionintie 1</w:t>
      </w:r>
    </w:p>
    <w:p w:rsidR="00421268" w:rsidRPr="009D6ED7" w:rsidRDefault="00421268" w:rsidP="00421268">
      <w:pPr>
        <w:rPr>
          <w:szCs w:val="22"/>
        </w:rPr>
      </w:pPr>
      <w:r w:rsidRPr="009D6ED7">
        <w:rPr>
          <w:szCs w:val="22"/>
        </w:rPr>
        <w:t>FI-02200 Espoo</w:t>
      </w:r>
    </w:p>
    <w:p w:rsidR="00421268" w:rsidRPr="009D6ED7" w:rsidRDefault="00421268" w:rsidP="00421268">
      <w:pPr>
        <w:rPr>
          <w:szCs w:val="22"/>
        </w:rPr>
      </w:pPr>
      <w:r w:rsidRPr="009D6ED7">
        <w:rPr>
          <w:szCs w:val="22"/>
        </w:rPr>
        <w:t>Suomija</w:t>
      </w:r>
    </w:p>
    <w:p w:rsidR="00421268" w:rsidRPr="009D6ED7" w:rsidRDefault="00421268" w:rsidP="00421268">
      <w:pPr>
        <w:rPr>
          <w:szCs w:val="22"/>
        </w:rPr>
      </w:pPr>
    </w:p>
    <w:p w:rsidR="00421268" w:rsidRPr="009D6ED7" w:rsidRDefault="00421268" w:rsidP="00421268">
      <w:pPr>
        <w:rPr>
          <w:bCs/>
          <w:i/>
          <w:szCs w:val="22"/>
        </w:rPr>
      </w:pPr>
      <w:r w:rsidRPr="009D6ED7">
        <w:rPr>
          <w:bCs/>
          <w:i/>
          <w:szCs w:val="22"/>
        </w:rPr>
        <w:t xml:space="preserve">Gamintojas </w:t>
      </w:r>
    </w:p>
    <w:p w:rsidR="00421268" w:rsidRPr="009D6ED7" w:rsidRDefault="00421268" w:rsidP="00421268">
      <w:pPr>
        <w:rPr>
          <w:szCs w:val="22"/>
        </w:rPr>
      </w:pPr>
      <w:r w:rsidRPr="009D6ED7">
        <w:rPr>
          <w:szCs w:val="22"/>
        </w:rPr>
        <w:t>Orion Corporation, Orion Pharma</w:t>
      </w:r>
    </w:p>
    <w:p w:rsidR="00421268" w:rsidRPr="009D6ED7" w:rsidRDefault="00421268" w:rsidP="00421268">
      <w:pPr>
        <w:rPr>
          <w:szCs w:val="22"/>
        </w:rPr>
      </w:pPr>
      <w:r w:rsidRPr="009D6ED7">
        <w:rPr>
          <w:szCs w:val="22"/>
        </w:rPr>
        <w:t>Orionintie 1</w:t>
      </w:r>
    </w:p>
    <w:p w:rsidR="00421268" w:rsidRPr="009D6ED7" w:rsidRDefault="00421268" w:rsidP="00421268">
      <w:pPr>
        <w:rPr>
          <w:szCs w:val="22"/>
        </w:rPr>
      </w:pPr>
      <w:r w:rsidRPr="009D6ED7">
        <w:rPr>
          <w:szCs w:val="22"/>
        </w:rPr>
        <w:t>FI-02200 Espoo</w:t>
      </w:r>
    </w:p>
    <w:p w:rsidR="00421268" w:rsidRPr="009D6ED7" w:rsidRDefault="00421268" w:rsidP="00421268">
      <w:pPr>
        <w:rPr>
          <w:szCs w:val="22"/>
        </w:rPr>
      </w:pPr>
      <w:r w:rsidRPr="009D6ED7">
        <w:rPr>
          <w:szCs w:val="22"/>
        </w:rPr>
        <w:t>Suomija</w:t>
      </w:r>
    </w:p>
    <w:p w:rsidR="00421268" w:rsidRPr="009D6ED7" w:rsidRDefault="00421268" w:rsidP="00421268">
      <w:pPr>
        <w:rPr>
          <w:szCs w:val="22"/>
        </w:rPr>
      </w:pPr>
    </w:p>
    <w:p w:rsidR="00421268" w:rsidRPr="009D6ED7" w:rsidRDefault="00421268" w:rsidP="00421268">
      <w:pPr>
        <w:rPr>
          <w:szCs w:val="22"/>
        </w:rPr>
      </w:pPr>
      <w:r w:rsidRPr="009D6ED7">
        <w:rPr>
          <w:szCs w:val="22"/>
        </w:rPr>
        <w:t>Jeigu apie šį vaistą norite sužinoti daugiau, kreipkitės į vietinį rinkodaros teisės turėtojo atstovą.</w:t>
      </w:r>
    </w:p>
    <w:p w:rsidR="00421268" w:rsidRPr="009D6ED7" w:rsidRDefault="00421268" w:rsidP="00421268">
      <w:pPr>
        <w:rPr>
          <w:szCs w:val="22"/>
        </w:rPr>
      </w:pPr>
    </w:p>
    <w:tbl>
      <w:tblPr>
        <w:tblW w:w="4680" w:type="dxa"/>
        <w:tblInd w:w="-34" w:type="dxa"/>
        <w:tblLayout w:type="fixed"/>
        <w:tblLook w:val="04A0" w:firstRow="1" w:lastRow="0" w:firstColumn="1" w:lastColumn="0" w:noHBand="0" w:noVBand="1"/>
      </w:tblPr>
      <w:tblGrid>
        <w:gridCol w:w="4680"/>
      </w:tblGrid>
      <w:tr w:rsidR="00421268" w:rsidRPr="009D6ED7" w:rsidTr="00FA7D0E">
        <w:tc>
          <w:tcPr>
            <w:tcW w:w="4678" w:type="dxa"/>
            <w:hideMark/>
          </w:tcPr>
          <w:p w:rsidR="00421268" w:rsidRPr="009D6ED7" w:rsidRDefault="00421268" w:rsidP="00FA7D0E">
            <w:pPr>
              <w:rPr>
                <w:szCs w:val="22"/>
              </w:rPr>
            </w:pPr>
            <w:r w:rsidRPr="009D6ED7">
              <w:rPr>
                <w:szCs w:val="22"/>
              </w:rPr>
              <w:t>UAB „ORION PHARMA“</w:t>
            </w:r>
          </w:p>
          <w:p w:rsidR="00421268" w:rsidRPr="009D6ED7" w:rsidRDefault="00421268" w:rsidP="00FA7D0E">
            <w:pPr>
              <w:rPr>
                <w:szCs w:val="22"/>
              </w:rPr>
            </w:pPr>
            <w:r w:rsidRPr="009D6ED7">
              <w:rPr>
                <w:szCs w:val="22"/>
              </w:rPr>
              <w:t>Kubiliaus g. 6</w:t>
            </w:r>
          </w:p>
          <w:p w:rsidR="00421268" w:rsidRPr="009D6ED7" w:rsidRDefault="00421268" w:rsidP="00FA7D0E">
            <w:pPr>
              <w:rPr>
                <w:szCs w:val="22"/>
              </w:rPr>
            </w:pPr>
            <w:r w:rsidRPr="009D6ED7">
              <w:rPr>
                <w:szCs w:val="22"/>
              </w:rPr>
              <w:t>LT-08234 Vilnius</w:t>
            </w:r>
          </w:p>
          <w:p w:rsidR="00421268" w:rsidRPr="009D6ED7" w:rsidRDefault="00421268" w:rsidP="00FA7D0E">
            <w:pPr>
              <w:rPr>
                <w:noProof/>
                <w:szCs w:val="22"/>
              </w:rPr>
            </w:pPr>
            <w:r w:rsidRPr="009D6ED7">
              <w:rPr>
                <w:szCs w:val="22"/>
              </w:rPr>
              <w:t>Tel. +370~5~2769 499</w:t>
            </w:r>
          </w:p>
        </w:tc>
      </w:tr>
    </w:tbl>
    <w:p w:rsidR="00421268" w:rsidRPr="009D6ED7" w:rsidRDefault="00421268" w:rsidP="00421268">
      <w:pPr>
        <w:rPr>
          <w:szCs w:val="22"/>
        </w:rPr>
      </w:pPr>
    </w:p>
    <w:p w:rsidR="00421268" w:rsidRPr="009D6ED7" w:rsidRDefault="00421268" w:rsidP="00421268">
      <w:pPr>
        <w:rPr>
          <w:szCs w:val="22"/>
        </w:rPr>
      </w:pPr>
      <w:r w:rsidRPr="009D6ED7">
        <w:rPr>
          <w:b/>
          <w:szCs w:val="22"/>
        </w:rPr>
        <w:t>Šio vaistinio preparato rinkodaros teisė EEE valstybėse narėse suteikta tokiais pavadinimais</w:t>
      </w:r>
      <w:r w:rsidRPr="009D6ED7">
        <w:rPr>
          <w:szCs w:val="22"/>
        </w:rPr>
        <w:t>:</w:t>
      </w:r>
    </w:p>
    <w:p w:rsidR="00421268" w:rsidRPr="009D6ED7" w:rsidRDefault="00421268" w:rsidP="00421268">
      <w:pPr>
        <w:rPr>
          <w:szCs w:val="22"/>
        </w:rPr>
      </w:pPr>
      <w:r w:rsidRPr="009D6ED7">
        <w:rPr>
          <w:szCs w:val="22"/>
        </w:rPr>
        <w:t>Danijoje, Estijoje, Suomijoje, Latvijoje, Lietuvoje, Čekijoje – Nebivolol Orion.</w:t>
      </w:r>
    </w:p>
    <w:p w:rsidR="00421268" w:rsidRPr="009D6ED7" w:rsidRDefault="00421268" w:rsidP="00421268">
      <w:pPr>
        <w:rPr>
          <w:szCs w:val="22"/>
        </w:rPr>
      </w:pPr>
      <w:r w:rsidRPr="009D6ED7">
        <w:rPr>
          <w:szCs w:val="22"/>
        </w:rPr>
        <w:t>Lenkijoje – Nebivor.</w:t>
      </w:r>
    </w:p>
    <w:p w:rsidR="00421268" w:rsidRPr="009D6ED7" w:rsidRDefault="00421268" w:rsidP="00421268">
      <w:pPr>
        <w:rPr>
          <w:szCs w:val="22"/>
        </w:rPr>
      </w:pPr>
    </w:p>
    <w:p w:rsidR="00421268" w:rsidRPr="009D6ED7" w:rsidRDefault="00421268" w:rsidP="00421268">
      <w:pPr>
        <w:rPr>
          <w:b/>
          <w:szCs w:val="22"/>
        </w:rPr>
      </w:pPr>
      <w:r w:rsidRPr="009D6ED7">
        <w:rPr>
          <w:b/>
          <w:bCs/>
          <w:szCs w:val="22"/>
        </w:rPr>
        <w:t>Šis pakuotės lapelis</w:t>
      </w:r>
      <w:r w:rsidRPr="009D6ED7">
        <w:rPr>
          <w:b/>
          <w:szCs w:val="22"/>
        </w:rPr>
        <w:t xml:space="preserve"> paskutinį kartą peržiūrėtas 2014-12-10</w:t>
      </w:r>
    </w:p>
    <w:p w:rsidR="00421268" w:rsidRPr="009D6ED7" w:rsidRDefault="00421268" w:rsidP="00421268">
      <w:pPr>
        <w:rPr>
          <w:szCs w:val="22"/>
        </w:rPr>
      </w:pPr>
    </w:p>
    <w:p w:rsidR="00421268" w:rsidRPr="009D6ED7" w:rsidRDefault="00421268" w:rsidP="00421268">
      <w:pPr>
        <w:rPr>
          <w:szCs w:val="22"/>
        </w:rPr>
      </w:pPr>
    </w:p>
    <w:p w:rsidR="00421268" w:rsidRPr="009D6ED7" w:rsidRDefault="00421268" w:rsidP="00421268">
      <w:pPr>
        <w:numPr>
          <w:ilvl w:val="12"/>
          <w:numId w:val="0"/>
        </w:numPr>
        <w:ind w:right="-2"/>
        <w:rPr>
          <w:szCs w:val="22"/>
        </w:rPr>
      </w:pPr>
      <w:r w:rsidRPr="009D6ED7">
        <w:rPr>
          <w:szCs w:val="22"/>
        </w:rPr>
        <w:t>Išsami informacija apie šį vaistą pateikiama Valstybinės vaistų kontrolės tarnybos prie Lietuvos Respublikos sveikatos apsaugos ministerijos tinklalapyje</w:t>
      </w:r>
      <w:r w:rsidRPr="009D6ED7">
        <w:rPr>
          <w:i/>
          <w:szCs w:val="22"/>
        </w:rPr>
        <w:t xml:space="preserve"> </w:t>
      </w:r>
      <w:hyperlink r:id="rId13" w:history="1">
        <w:r w:rsidRPr="009D6ED7">
          <w:rPr>
            <w:rFonts w:eastAsia="SimSun"/>
            <w:color w:val="0000FF"/>
            <w:szCs w:val="22"/>
            <w:u w:val="single"/>
          </w:rPr>
          <w:t>http://www.vvkt.lt/</w:t>
        </w:r>
      </w:hyperlink>
      <w:r w:rsidRPr="009D6ED7">
        <w:rPr>
          <w:szCs w:val="22"/>
        </w:rPr>
        <w:t>.</w:t>
      </w:r>
    </w:p>
    <w:p w:rsidR="00421268" w:rsidRPr="009D6ED7" w:rsidRDefault="00421268" w:rsidP="00421268">
      <w:pPr>
        <w:rPr>
          <w:szCs w:val="22"/>
        </w:rPr>
      </w:pPr>
    </w:p>
    <w:p w:rsidR="00A85C91" w:rsidRPr="004B027E" w:rsidRDefault="00A85C91">
      <w:pPr>
        <w:rPr>
          <w:szCs w:val="22"/>
        </w:rPr>
      </w:pPr>
      <w:bookmarkStart w:id="82" w:name="_GoBack"/>
      <w:bookmarkEnd w:id="82"/>
      <w:permStart w:id="1316388200" w:edGrp="everyone"/>
      <w:permEnd w:id="1316388200"/>
    </w:p>
    <w:sectPr w:rsidR="00A85C91" w:rsidRPr="004B027E" w:rsidSect="003D017D">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EAE" w:rsidRDefault="000A7EAE">
      <w:r>
        <w:separator/>
      </w:r>
    </w:p>
  </w:endnote>
  <w:endnote w:type="continuationSeparator" w:id="0">
    <w:p w:rsidR="000A7EAE" w:rsidRDefault="000A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C91" w:rsidRDefault="004A4301" w:rsidP="003D017D">
    <w:pPr>
      <w:pStyle w:val="Porat"/>
      <w:framePr w:wrap="around" w:vAnchor="text" w:hAnchor="margin" w:xAlign="right" w:y="1"/>
      <w:rPr>
        <w:rStyle w:val="Puslapionumeris"/>
      </w:rPr>
    </w:pPr>
    <w:r>
      <w:rPr>
        <w:rStyle w:val="Puslapionumeris"/>
      </w:rPr>
      <w:fldChar w:fldCharType="begin"/>
    </w:r>
    <w:r w:rsidR="00A85C91">
      <w:rPr>
        <w:rStyle w:val="Puslapionumeris"/>
      </w:rPr>
      <w:instrText xml:space="preserve">PAGE  </w:instrText>
    </w:r>
    <w:r>
      <w:rPr>
        <w:rStyle w:val="Puslapionumeris"/>
      </w:rPr>
      <w:fldChar w:fldCharType="separate"/>
    </w:r>
    <w:r w:rsidR="00A85C91">
      <w:rPr>
        <w:rStyle w:val="Puslapionumeris"/>
        <w:noProof/>
      </w:rPr>
      <w:t>21</w:t>
    </w:r>
    <w:r>
      <w:rPr>
        <w:rStyle w:val="Puslapionumeris"/>
      </w:rPr>
      <w:fldChar w:fldCharType="end"/>
    </w:r>
  </w:p>
  <w:p w:rsidR="00A85C91" w:rsidRDefault="00A85C91" w:rsidP="003D017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C91" w:rsidRDefault="004A4301" w:rsidP="003D017D">
    <w:pPr>
      <w:pStyle w:val="Porat"/>
      <w:framePr w:wrap="around" w:vAnchor="text" w:hAnchor="margin" w:xAlign="right" w:y="1"/>
      <w:rPr>
        <w:rStyle w:val="Puslapionumeris"/>
      </w:rPr>
    </w:pPr>
    <w:r>
      <w:rPr>
        <w:rStyle w:val="Puslapionumeris"/>
      </w:rPr>
      <w:fldChar w:fldCharType="begin"/>
    </w:r>
    <w:r w:rsidR="00A85C91">
      <w:rPr>
        <w:rStyle w:val="Puslapionumeris"/>
      </w:rPr>
      <w:instrText xml:space="preserve">PAGE  </w:instrText>
    </w:r>
    <w:r>
      <w:rPr>
        <w:rStyle w:val="Puslapionumeris"/>
      </w:rPr>
      <w:fldChar w:fldCharType="separate"/>
    </w:r>
    <w:r w:rsidR="008B33D8">
      <w:rPr>
        <w:rStyle w:val="Puslapionumeris"/>
        <w:noProof/>
      </w:rPr>
      <w:t>27</w:t>
    </w:r>
    <w:r>
      <w:rPr>
        <w:rStyle w:val="Puslapionumeris"/>
      </w:rPr>
      <w:fldChar w:fldCharType="end"/>
    </w:r>
  </w:p>
  <w:p w:rsidR="00A85C91" w:rsidRDefault="00A85C91" w:rsidP="003D017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EAE" w:rsidRDefault="000A7EAE">
      <w:r>
        <w:separator/>
      </w:r>
    </w:p>
  </w:footnote>
  <w:footnote w:type="continuationSeparator" w:id="0">
    <w:p w:rsidR="000A7EAE" w:rsidRDefault="000A7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2"/>
    <w:multiLevelType w:val="singleLevel"/>
    <w:tmpl w:val="00000002"/>
    <w:name w:val="WW8Num2"/>
    <w:lvl w:ilvl="0">
      <w:start w:val="2"/>
      <w:numFmt w:val="bullet"/>
      <w:lvlText w:val=""/>
      <w:lvlJc w:val="left"/>
      <w:pPr>
        <w:tabs>
          <w:tab w:val="num" w:pos="1620"/>
        </w:tabs>
        <w:ind w:left="16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olor w:val="auto"/>
        <w:sz w:val="16"/>
      </w:rPr>
    </w:lvl>
  </w:abstractNum>
  <w:abstractNum w:abstractNumId="3">
    <w:nsid w:val="00000004"/>
    <w:multiLevelType w:val="singleLevel"/>
    <w:tmpl w:val="00000004"/>
    <w:name w:val="WW8Num5"/>
    <w:lvl w:ilvl="0">
      <w:start w:val="2"/>
      <w:numFmt w:val="bullet"/>
      <w:lvlText w:val=""/>
      <w:lvlJc w:val="left"/>
      <w:pPr>
        <w:tabs>
          <w:tab w:val="num" w:pos="720"/>
        </w:tabs>
        <w:ind w:left="720" w:hanging="360"/>
      </w:pPr>
      <w:rPr>
        <w:rFonts w:ascii="Symbol" w:hAnsi="Symbol"/>
        <w:b/>
      </w:rPr>
    </w:lvl>
  </w:abstractNum>
  <w:abstractNum w:abstractNumId="4">
    <w:nsid w:val="00000005"/>
    <w:multiLevelType w:val="singleLevel"/>
    <w:tmpl w:val="00000005"/>
    <w:lvl w:ilvl="0">
      <w:start w:val="1"/>
      <w:numFmt w:val="decimal"/>
      <w:lvlText w:val="%1."/>
      <w:lvlJc w:val="left"/>
      <w:pPr>
        <w:tabs>
          <w:tab w:val="num" w:pos="360"/>
        </w:tabs>
        <w:ind w:left="360" w:hanging="360"/>
      </w:pPr>
      <w:rPr>
        <w:rFonts w:ascii="Symbol" w:hAnsi="Symbol" w:cs="Symbol"/>
      </w:rPr>
    </w:lvl>
  </w:abstractNum>
  <w:abstractNum w:abstractNumId="5">
    <w:nsid w:val="00000006"/>
    <w:multiLevelType w:val="singleLevel"/>
    <w:tmpl w:val="34E82E18"/>
    <w:name w:val="WW8Num9"/>
    <w:lvl w:ilvl="0">
      <w:start w:val="2"/>
      <w:numFmt w:val="bullet"/>
      <w:lvlText w:val=""/>
      <w:lvlJc w:val="left"/>
      <w:pPr>
        <w:tabs>
          <w:tab w:val="num" w:pos="720"/>
        </w:tabs>
        <w:ind w:left="720" w:hanging="360"/>
      </w:pPr>
      <w:rPr>
        <w:rFonts w:ascii="Symbol" w:hAnsi="Symbol"/>
        <w:color w:val="auto"/>
        <w:sz w:val="22"/>
      </w:rPr>
    </w:lvl>
  </w:abstractNum>
  <w:abstractNum w:abstractNumId="6">
    <w:nsid w:val="00000007"/>
    <w:multiLevelType w:val="singleLevel"/>
    <w:tmpl w:val="00000007"/>
    <w:name w:val="WW8Num11"/>
    <w:lvl w:ilvl="0">
      <w:start w:val="1"/>
      <w:numFmt w:val="bullet"/>
      <w:lvlText w:val=""/>
      <w:lvlJc w:val="left"/>
      <w:pPr>
        <w:tabs>
          <w:tab w:val="num" w:pos="720"/>
        </w:tabs>
        <w:ind w:left="720" w:hanging="360"/>
      </w:pPr>
      <w:rPr>
        <w:rFonts w:ascii="Symbol" w:hAnsi="Symbol"/>
      </w:rPr>
    </w:lvl>
  </w:abstractNum>
  <w:abstractNum w:abstractNumId="7">
    <w:nsid w:val="00000009"/>
    <w:multiLevelType w:val="singleLevel"/>
    <w:tmpl w:val="00000009"/>
    <w:name w:val="WW8Num16"/>
    <w:lvl w:ilvl="0">
      <w:start w:val="5"/>
      <w:numFmt w:val="bullet"/>
      <w:lvlText w:val="-"/>
      <w:lvlJc w:val="left"/>
      <w:pPr>
        <w:tabs>
          <w:tab w:val="num" w:pos="1620"/>
        </w:tabs>
        <w:ind w:left="1620" w:hanging="360"/>
      </w:pPr>
      <w:rPr>
        <w:rFonts w:ascii="Times New Roman" w:hAnsi="Times New Roman"/>
        <w:b/>
      </w:rPr>
    </w:lvl>
  </w:abstractNum>
  <w:abstractNum w:abstractNumId="8">
    <w:nsid w:val="0000000A"/>
    <w:multiLevelType w:val="singleLevel"/>
    <w:tmpl w:val="0000000A"/>
    <w:name w:val="WW8Num17"/>
    <w:lvl w:ilvl="0">
      <w:start w:val="5"/>
      <w:numFmt w:val="bullet"/>
      <w:lvlText w:val="-"/>
      <w:lvlJc w:val="left"/>
      <w:pPr>
        <w:tabs>
          <w:tab w:val="num" w:pos="1620"/>
        </w:tabs>
        <w:ind w:left="1620" w:hanging="360"/>
      </w:pPr>
      <w:rPr>
        <w:rFonts w:ascii="Times New Roman" w:hAnsi="Times New Roman"/>
        <w:b/>
      </w:rPr>
    </w:lvl>
  </w:abstractNum>
  <w:abstractNum w:abstractNumId="9">
    <w:nsid w:val="0000000B"/>
    <w:multiLevelType w:val="singleLevel"/>
    <w:tmpl w:val="0000000B"/>
    <w:name w:val="WW8Num18"/>
    <w:lvl w:ilvl="0">
      <w:start w:val="5"/>
      <w:numFmt w:val="bullet"/>
      <w:lvlText w:val="-"/>
      <w:lvlJc w:val="left"/>
      <w:pPr>
        <w:tabs>
          <w:tab w:val="num" w:pos="1620"/>
        </w:tabs>
        <w:ind w:left="1620" w:hanging="360"/>
      </w:pPr>
      <w:rPr>
        <w:rFonts w:ascii="Times New Roman" w:hAnsi="Times New Roman"/>
        <w:b/>
      </w:rPr>
    </w:lvl>
  </w:abstractNum>
  <w:abstractNum w:abstractNumId="10">
    <w:nsid w:val="0000000C"/>
    <w:multiLevelType w:val="singleLevel"/>
    <w:tmpl w:val="0000000C"/>
    <w:name w:val="WW8Num19"/>
    <w:lvl w:ilvl="0">
      <w:start w:val="5"/>
      <w:numFmt w:val="bullet"/>
      <w:lvlText w:val="-"/>
      <w:lvlJc w:val="left"/>
      <w:pPr>
        <w:tabs>
          <w:tab w:val="num" w:pos="1620"/>
        </w:tabs>
        <w:ind w:left="1620" w:hanging="360"/>
      </w:pPr>
      <w:rPr>
        <w:rFonts w:ascii="Times New Roman" w:hAnsi="Times New Roman"/>
        <w:b/>
      </w:rPr>
    </w:lvl>
  </w:abstractNum>
  <w:abstractNum w:abstractNumId="11">
    <w:nsid w:val="006E23C5"/>
    <w:multiLevelType w:val="hybridMultilevel"/>
    <w:tmpl w:val="FFB4683C"/>
    <w:lvl w:ilvl="0" w:tplc="0000000A">
      <w:start w:val="5"/>
      <w:numFmt w:val="bullet"/>
      <w:lvlText w:val="-"/>
      <w:lvlJc w:val="left"/>
      <w:pPr>
        <w:tabs>
          <w:tab w:val="num" w:pos="720"/>
        </w:tabs>
        <w:ind w:left="720" w:hanging="360"/>
      </w:pPr>
      <w:rPr>
        <w:rFonts w:ascii="Times New Roman" w:hAnsi="Times New Roman" w:hint="default"/>
        <w:b/>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06C67EB5"/>
    <w:multiLevelType w:val="hybridMultilevel"/>
    <w:tmpl w:val="5EB4A54C"/>
    <w:lvl w:ilvl="0" w:tplc="0000000A">
      <w:start w:val="5"/>
      <w:numFmt w:val="bullet"/>
      <w:lvlText w:val="-"/>
      <w:lvlJc w:val="left"/>
      <w:pPr>
        <w:tabs>
          <w:tab w:val="num" w:pos="360"/>
        </w:tabs>
        <w:ind w:left="360" w:hanging="360"/>
      </w:pPr>
      <w:rPr>
        <w:rFonts w:ascii="Times New Roman" w:hAnsi="Times New Roman" w:hint="default"/>
        <w:b/>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0C704C87"/>
    <w:multiLevelType w:val="hybridMultilevel"/>
    <w:tmpl w:val="140A3D12"/>
    <w:name w:val="WW8Num1822"/>
    <w:lvl w:ilvl="0" w:tplc="04270001">
      <w:start w:val="1"/>
      <w:numFmt w:val="bullet"/>
      <w:lvlText w:val=""/>
      <w:lvlJc w:val="left"/>
      <w:pPr>
        <w:tabs>
          <w:tab w:val="num" w:pos="900"/>
        </w:tabs>
        <w:ind w:left="900" w:hanging="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4">
    <w:nsid w:val="127A0D02"/>
    <w:multiLevelType w:val="hybridMultilevel"/>
    <w:tmpl w:val="6EA2DD60"/>
    <w:name w:val="WW8Num1822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15131DE9"/>
    <w:multiLevelType w:val="hybridMultilevel"/>
    <w:tmpl w:val="6A80406E"/>
    <w:lvl w:ilvl="0" w:tplc="0000000A">
      <w:start w:val="5"/>
      <w:numFmt w:val="bullet"/>
      <w:lvlText w:val="-"/>
      <w:lvlJc w:val="left"/>
      <w:pPr>
        <w:ind w:left="720" w:hanging="360"/>
      </w:pPr>
      <w:rPr>
        <w:rFonts w:ascii="Times New Roman" w:hAnsi="Times New Roman"/>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7DE51EB"/>
    <w:multiLevelType w:val="hybridMultilevel"/>
    <w:tmpl w:val="4558D67A"/>
    <w:name w:val="WW8Num18222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291376DA"/>
    <w:multiLevelType w:val="hybridMultilevel"/>
    <w:tmpl w:val="9FE6D0CE"/>
    <w:name w:val="WW8Num18222232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31E27B5F"/>
    <w:multiLevelType w:val="hybridMultilevel"/>
    <w:tmpl w:val="6AEEC5B4"/>
    <w:name w:val="WW8Num182222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32547109"/>
    <w:multiLevelType w:val="hybridMultilevel"/>
    <w:tmpl w:val="7A7E97A0"/>
    <w:lvl w:ilvl="0" w:tplc="0000000A">
      <w:start w:val="5"/>
      <w:numFmt w:val="bullet"/>
      <w:lvlText w:val="-"/>
      <w:lvlJc w:val="left"/>
      <w:pPr>
        <w:tabs>
          <w:tab w:val="num" w:pos="720"/>
        </w:tabs>
        <w:ind w:left="720" w:hanging="360"/>
      </w:pPr>
      <w:rPr>
        <w:rFonts w:ascii="Times New Roman" w:hAnsi="Times New Roman" w:hint="default"/>
        <w:b/>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3F266094"/>
    <w:multiLevelType w:val="hybridMultilevel"/>
    <w:tmpl w:val="BF908794"/>
    <w:lvl w:ilvl="0" w:tplc="0000000A">
      <w:start w:val="5"/>
      <w:numFmt w:val="bullet"/>
      <w:lvlText w:val="-"/>
      <w:lvlJc w:val="left"/>
      <w:pPr>
        <w:ind w:left="720" w:hanging="360"/>
      </w:pPr>
      <w:rPr>
        <w:rFonts w:ascii="Times New Roman" w:hAnsi="Times New Roman"/>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49052D"/>
    <w:multiLevelType w:val="hybridMultilevel"/>
    <w:tmpl w:val="70C47B4A"/>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4626694F"/>
    <w:multiLevelType w:val="hybridMultilevel"/>
    <w:tmpl w:val="B94049E8"/>
    <w:name w:val="WW8Num1822223"/>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467067B2"/>
    <w:multiLevelType w:val="hybridMultilevel"/>
    <w:tmpl w:val="B13CFAB4"/>
    <w:lvl w:ilvl="0" w:tplc="0000000A">
      <w:start w:val="5"/>
      <w:numFmt w:val="bullet"/>
      <w:lvlText w:val="-"/>
      <w:lvlJc w:val="left"/>
      <w:pPr>
        <w:tabs>
          <w:tab w:val="num" w:pos="720"/>
        </w:tabs>
        <w:ind w:left="720" w:hanging="360"/>
      </w:pPr>
      <w:rPr>
        <w:rFonts w:ascii="Times New Roman" w:hAnsi="Times New Roman" w:hint="default"/>
        <w:b/>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53610A0A"/>
    <w:multiLevelType w:val="hybridMultilevel"/>
    <w:tmpl w:val="125A5DC0"/>
    <w:name w:val="WW8Num182222322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nsid w:val="614010C9"/>
    <w:multiLevelType w:val="hybridMultilevel"/>
    <w:tmpl w:val="53D69138"/>
    <w:lvl w:ilvl="0" w:tplc="0000000A">
      <w:start w:val="5"/>
      <w:numFmt w:val="bullet"/>
      <w:lvlText w:val="-"/>
      <w:lvlJc w:val="left"/>
      <w:pPr>
        <w:ind w:left="720" w:hanging="360"/>
      </w:pPr>
      <w:rPr>
        <w:rFonts w:ascii="Times New Roman" w:hAnsi="Times New Roman"/>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59001E1"/>
    <w:multiLevelType w:val="hybridMultilevel"/>
    <w:tmpl w:val="926240A6"/>
    <w:lvl w:ilvl="0" w:tplc="0000000A">
      <w:start w:val="5"/>
      <w:numFmt w:val="bullet"/>
      <w:lvlText w:val="-"/>
      <w:lvlJc w:val="left"/>
      <w:pPr>
        <w:tabs>
          <w:tab w:val="num" w:pos="360"/>
        </w:tabs>
        <w:ind w:left="360" w:hanging="360"/>
      </w:pPr>
      <w:rPr>
        <w:rFonts w:ascii="Times New Roman" w:hAnsi="Times New Roman" w:hint="default"/>
        <w:b/>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8">
    <w:nsid w:val="66F75AFE"/>
    <w:multiLevelType w:val="hybridMultilevel"/>
    <w:tmpl w:val="F45286EA"/>
    <w:name w:val="WW8Num1822223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nsid w:val="67404B26"/>
    <w:multiLevelType w:val="hybridMultilevel"/>
    <w:tmpl w:val="5A0E1D10"/>
    <w:lvl w:ilvl="0" w:tplc="0000000A">
      <w:start w:val="5"/>
      <w:numFmt w:val="bullet"/>
      <w:lvlText w:val="-"/>
      <w:lvlJc w:val="left"/>
      <w:pPr>
        <w:tabs>
          <w:tab w:val="num" w:pos="720"/>
        </w:tabs>
        <w:ind w:left="720" w:hanging="360"/>
      </w:pPr>
      <w:rPr>
        <w:rFonts w:ascii="Times New Roman" w:hAnsi="Times New Roman" w:hint="default"/>
        <w:b/>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nsid w:val="6EA044D8"/>
    <w:multiLevelType w:val="multilevel"/>
    <w:tmpl w:val="C14032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721134D0"/>
    <w:multiLevelType w:val="hybridMultilevel"/>
    <w:tmpl w:val="7DF22682"/>
    <w:lvl w:ilvl="0" w:tplc="0000000A">
      <w:start w:val="5"/>
      <w:numFmt w:val="bullet"/>
      <w:lvlText w:val="-"/>
      <w:lvlJc w:val="left"/>
      <w:pPr>
        <w:tabs>
          <w:tab w:val="num" w:pos="360"/>
        </w:tabs>
        <w:ind w:left="360" w:hanging="360"/>
      </w:pPr>
      <w:rPr>
        <w:rFonts w:ascii="Times New Roman" w:hAnsi="Times New Roman" w:hint="default"/>
        <w:b/>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2">
    <w:nsid w:val="765277DE"/>
    <w:multiLevelType w:val="hybridMultilevel"/>
    <w:tmpl w:val="9F4CA71A"/>
    <w:name w:val="WW8Num182"/>
    <w:lvl w:ilvl="0" w:tplc="04270001">
      <w:start w:val="1"/>
      <w:numFmt w:val="bullet"/>
      <w:lvlText w:val=""/>
      <w:lvlJc w:val="left"/>
      <w:pPr>
        <w:tabs>
          <w:tab w:val="num" w:pos="900"/>
        </w:tabs>
        <w:ind w:left="900" w:hanging="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3">
    <w:nsid w:val="79DB257E"/>
    <w:multiLevelType w:val="hybridMultilevel"/>
    <w:tmpl w:val="379A70FA"/>
    <w:lvl w:ilvl="0" w:tplc="0000000A">
      <w:start w:val="5"/>
      <w:numFmt w:val="bullet"/>
      <w:lvlText w:val="-"/>
      <w:lvlJc w:val="left"/>
      <w:pPr>
        <w:tabs>
          <w:tab w:val="num" w:pos="720"/>
        </w:tabs>
        <w:ind w:left="720" w:hanging="360"/>
      </w:pPr>
      <w:rPr>
        <w:rFonts w:ascii="Times New Roman" w:hAnsi="Times New Roman" w:hint="default"/>
        <w:b/>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nsid w:val="7B901C5F"/>
    <w:multiLevelType w:val="hybridMultilevel"/>
    <w:tmpl w:val="348C3302"/>
    <w:lvl w:ilvl="0" w:tplc="0000000A">
      <w:start w:val="5"/>
      <w:numFmt w:val="bullet"/>
      <w:lvlText w:val="-"/>
      <w:lvlJc w:val="left"/>
      <w:pPr>
        <w:ind w:left="720" w:hanging="360"/>
      </w:pPr>
      <w:rPr>
        <w:rFonts w:ascii="Times New Roman" w:hAnsi="Times New Roman"/>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15"/>
  </w:num>
  <w:num w:numId="4">
    <w:abstractNumId w:val="21"/>
  </w:num>
  <w:num w:numId="5">
    <w:abstractNumId w:val="31"/>
  </w:num>
  <w:num w:numId="6">
    <w:abstractNumId w:val="0"/>
    <w:lvlOverride w:ilvl="0">
      <w:lvl w:ilvl="0">
        <w:start w:val="1"/>
        <w:numFmt w:val="bullet"/>
        <w:lvlText w:val="-"/>
        <w:lvlJc w:val="left"/>
        <w:pPr>
          <w:ind w:left="360" w:hanging="360"/>
        </w:pPr>
      </w:lvl>
    </w:lvlOverride>
  </w:num>
  <w:num w:numId="7">
    <w:abstractNumId w:val="12"/>
  </w:num>
  <w:num w:numId="8">
    <w:abstractNumId w:val="20"/>
  </w:num>
  <w:num w:numId="9">
    <w:abstractNumId w:val="34"/>
  </w:num>
  <w:num w:numId="10">
    <w:abstractNumId w:val="27"/>
  </w:num>
  <w:num w:numId="11">
    <w:abstractNumId w:val="24"/>
  </w:num>
  <w:num w:numId="12">
    <w:abstractNumId w:val="29"/>
  </w:num>
  <w:num w:numId="13">
    <w:abstractNumId w:val="33"/>
  </w:num>
  <w:num w:numId="14">
    <w:abstractNumId w:val="11"/>
  </w:num>
  <w:num w:numId="15">
    <w:abstractNumId w:val="4"/>
    <w:lvlOverride w:ilvl="0">
      <w:startOverride w:val="1"/>
    </w:lvlOverride>
  </w:num>
  <w:num w:numId="16">
    <w:abstractNumId w:val="26"/>
  </w:num>
  <w:num w:numId="17">
    <w:abstractNumId w:val="3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Xhu/21OhQ2fOBp9oqRhYcuF2pfU=" w:salt="Bogq4gu5Kuufke53PS+UG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A61"/>
    <w:rsid w:val="000A2403"/>
    <w:rsid w:val="000A7EAE"/>
    <w:rsid w:val="000B4FD4"/>
    <w:rsid w:val="00153901"/>
    <w:rsid w:val="00176D4E"/>
    <w:rsid w:val="001922D2"/>
    <w:rsid w:val="00222A51"/>
    <w:rsid w:val="002360C7"/>
    <w:rsid w:val="0023767D"/>
    <w:rsid w:val="00261FE7"/>
    <w:rsid w:val="00321A61"/>
    <w:rsid w:val="00384ADC"/>
    <w:rsid w:val="003D017D"/>
    <w:rsid w:val="00421268"/>
    <w:rsid w:val="00447C0B"/>
    <w:rsid w:val="00483032"/>
    <w:rsid w:val="004A4301"/>
    <w:rsid w:val="004B027E"/>
    <w:rsid w:val="004B1BFF"/>
    <w:rsid w:val="00536D15"/>
    <w:rsid w:val="00584732"/>
    <w:rsid w:val="005D78A6"/>
    <w:rsid w:val="0060340A"/>
    <w:rsid w:val="006971BC"/>
    <w:rsid w:val="006D096F"/>
    <w:rsid w:val="006D4FDC"/>
    <w:rsid w:val="006E70DC"/>
    <w:rsid w:val="007241A0"/>
    <w:rsid w:val="00726D2F"/>
    <w:rsid w:val="00730DE3"/>
    <w:rsid w:val="0079764D"/>
    <w:rsid w:val="007E3247"/>
    <w:rsid w:val="00836AB8"/>
    <w:rsid w:val="0087256B"/>
    <w:rsid w:val="008B33D8"/>
    <w:rsid w:val="008F5B02"/>
    <w:rsid w:val="00906E9C"/>
    <w:rsid w:val="00925BCB"/>
    <w:rsid w:val="00A34686"/>
    <w:rsid w:val="00A470CD"/>
    <w:rsid w:val="00A8230E"/>
    <w:rsid w:val="00A85C91"/>
    <w:rsid w:val="00A87FFC"/>
    <w:rsid w:val="00A92961"/>
    <w:rsid w:val="00AF0C8C"/>
    <w:rsid w:val="00B07D68"/>
    <w:rsid w:val="00BA3D9B"/>
    <w:rsid w:val="00BE2394"/>
    <w:rsid w:val="00C116CB"/>
    <w:rsid w:val="00C429E3"/>
    <w:rsid w:val="00C96FFE"/>
    <w:rsid w:val="00CB77C9"/>
    <w:rsid w:val="00CD7CD4"/>
    <w:rsid w:val="00D046E2"/>
    <w:rsid w:val="00D17F11"/>
    <w:rsid w:val="00D26A80"/>
    <w:rsid w:val="00D3030E"/>
    <w:rsid w:val="00D74922"/>
    <w:rsid w:val="00E17BCB"/>
    <w:rsid w:val="00F1616F"/>
    <w:rsid w:val="00F933A1"/>
    <w:rsid w:val="00FB0864"/>
    <w:rsid w:val="00FE2605"/>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BA3D9B"/>
    <w:rPr>
      <w:rFonts w:ascii="Times New Roman" w:eastAsia="Times New Roman" w:hAnsi="Times New Roman"/>
      <w:sz w:val="22"/>
      <w:szCs w:val="24"/>
      <w:lang w:eastAsia="en-US"/>
    </w:rPr>
  </w:style>
  <w:style w:type="paragraph" w:styleId="Antrat1">
    <w:name w:val="heading 1"/>
    <w:basedOn w:val="prastasis"/>
    <w:next w:val="prastasis"/>
    <w:link w:val="Antrat1Diagrama"/>
    <w:uiPriority w:val="99"/>
    <w:qFormat/>
    <w:rsid w:val="00321A6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321A6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321A61"/>
    <w:pPr>
      <w:keepNext/>
      <w:spacing w:before="240" w:after="60"/>
      <w:outlineLvl w:val="2"/>
    </w:pPr>
    <w:rPr>
      <w:rFonts w:ascii="Arial" w:hAnsi="Arial" w:cs="Arial"/>
      <w:b/>
      <w:bCs/>
      <w:sz w:val="26"/>
      <w:szCs w:val="26"/>
    </w:rPr>
  </w:style>
  <w:style w:type="paragraph" w:styleId="Antrat6">
    <w:name w:val="heading 6"/>
    <w:basedOn w:val="prastasis"/>
    <w:next w:val="prastasis"/>
    <w:link w:val="Antrat6Diagrama"/>
    <w:uiPriority w:val="99"/>
    <w:qFormat/>
    <w:rsid w:val="006D096F"/>
    <w:pPr>
      <w:keepNext/>
      <w:keepLines/>
      <w:spacing w:before="200"/>
      <w:outlineLvl w:val="5"/>
    </w:pPr>
    <w:rPr>
      <w:rFonts w:ascii="Cambria" w:hAnsi="Cambria"/>
      <w:i/>
      <w:iCs/>
      <w:color w:val="243F60"/>
    </w:rPr>
  </w:style>
  <w:style w:type="paragraph" w:styleId="Antrat9">
    <w:name w:val="heading 9"/>
    <w:basedOn w:val="prastasis"/>
    <w:next w:val="prastasis"/>
    <w:link w:val="Antrat9Diagrama"/>
    <w:uiPriority w:val="99"/>
    <w:qFormat/>
    <w:rsid w:val="001922D2"/>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21A61"/>
    <w:rPr>
      <w:rFonts w:ascii="Arial" w:hAnsi="Arial" w:cs="Arial"/>
      <w:b/>
      <w:bCs/>
      <w:kern w:val="32"/>
      <w:sz w:val="32"/>
      <w:szCs w:val="32"/>
      <w:lang w:val="lt-LT"/>
    </w:rPr>
  </w:style>
  <w:style w:type="character" w:customStyle="1" w:styleId="Antrat2Diagrama">
    <w:name w:val="Antraštė 2 Diagrama"/>
    <w:link w:val="Antrat2"/>
    <w:uiPriority w:val="99"/>
    <w:locked/>
    <w:rsid w:val="00321A61"/>
    <w:rPr>
      <w:rFonts w:ascii="Arial" w:hAnsi="Arial" w:cs="Arial"/>
      <w:b/>
      <w:bCs/>
      <w:i/>
      <w:iCs/>
      <w:sz w:val="28"/>
      <w:szCs w:val="28"/>
      <w:lang w:val="lt-LT"/>
    </w:rPr>
  </w:style>
  <w:style w:type="character" w:customStyle="1" w:styleId="Antrat3Diagrama">
    <w:name w:val="Antraštė 3 Diagrama"/>
    <w:link w:val="Antrat3"/>
    <w:uiPriority w:val="99"/>
    <w:locked/>
    <w:rsid w:val="00321A61"/>
    <w:rPr>
      <w:rFonts w:ascii="Arial" w:hAnsi="Arial" w:cs="Arial"/>
      <w:b/>
      <w:bCs/>
      <w:sz w:val="26"/>
      <w:szCs w:val="26"/>
      <w:lang w:val="lt-LT"/>
    </w:rPr>
  </w:style>
  <w:style w:type="character" w:customStyle="1" w:styleId="Antrat6Diagrama">
    <w:name w:val="Antraštė 6 Diagrama"/>
    <w:link w:val="Antrat6"/>
    <w:uiPriority w:val="99"/>
    <w:locked/>
    <w:rsid w:val="006D096F"/>
    <w:rPr>
      <w:rFonts w:ascii="Cambria" w:hAnsi="Cambria" w:cs="Times New Roman"/>
      <w:i/>
      <w:iCs/>
      <w:color w:val="243F60"/>
      <w:sz w:val="24"/>
      <w:szCs w:val="24"/>
      <w:lang w:val="lt-LT"/>
    </w:rPr>
  </w:style>
  <w:style w:type="character" w:customStyle="1" w:styleId="Antrat9Diagrama">
    <w:name w:val="Antraštė 9 Diagrama"/>
    <w:link w:val="Antrat9"/>
    <w:uiPriority w:val="99"/>
    <w:locked/>
    <w:rsid w:val="001922D2"/>
    <w:rPr>
      <w:rFonts w:ascii="Cambria" w:hAnsi="Cambria" w:cs="Times New Roman"/>
      <w:i/>
      <w:iCs/>
      <w:color w:val="404040"/>
      <w:sz w:val="20"/>
      <w:szCs w:val="20"/>
      <w:lang w:val="lt-LT"/>
    </w:rPr>
  </w:style>
  <w:style w:type="character" w:styleId="Hipersaitas">
    <w:name w:val="Hyperlink"/>
    <w:uiPriority w:val="99"/>
    <w:rsid w:val="00321A61"/>
    <w:rPr>
      <w:rFonts w:cs="Times New Roman"/>
      <w:color w:val="0000FF"/>
      <w:u w:val="single"/>
    </w:rPr>
  </w:style>
  <w:style w:type="paragraph" w:customStyle="1" w:styleId="PI-1EMEASMCA">
    <w:name w:val="PI-1 EMEA_SMCA"/>
    <w:basedOn w:val="Antrat2"/>
    <w:autoRedefine/>
    <w:uiPriority w:val="99"/>
    <w:rsid w:val="00321A61"/>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321A61"/>
    <w:pPr>
      <w:pBdr>
        <w:top w:val="single" w:sz="4" w:space="1" w:color="auto"/>
        <w:left w:val="single" w:sz="4" w:space="4" w:color="auto"/>
        <w:bottom w:val="single" w:sz="4" w:space="1" w:color="auto"/>
        <w:right w:val="single" w:sz="4" w:space="4" w:color="auto"/>
      </w:pBdr>
      <w:tabs>
        <w:tab w:val="left" w:pos="540"/>
      </w:tabs>
    </w:pPr>
    <w:rPr>
      <w:b/>
      <w:caps/>
      <w:noProof/>
      <w:szCs w:val="22"/>
    </w:rPr>
  </w:style>
  <w:style w:type="character" w:customStyle="1" w:styleId="PI-1labEMEASMCAChar">
    <w:name w:val="PI-1_lab EMEA_SMCA Char"/>
    <w:link w:val="PI-1labEMEASMCA"/>
    <w:uiPriority w:val="99"/>
    <w:locked/>
    <w:rsid w:val="00321A61"/>
    <w:rPr>
      <w:rFonts w:ascii="Times New Roman" w:hAnsi="Times New Roman" w:cs="Times New Roman"/>
      <w:b/>
      <w:caps/>
      <w:noProof/>
      <w:lang w:val="lt-LT"/>
    </w:rPr>
  </w:style>
  <w:style w:type="paragraph" w:customStyle="1" w:styleId="PI-2EMEASMCA">
    <w:name w:val="PI-2 EMEA_SMCA"/>
    <w:basedOn w:val="Antrat3"/>
    <w:autoRedefine/>
    <w:uiPriority w:val="99"/>
    <w:rsid w:val="00321A61"/>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321A61"/>
    <w:rPr>
      <w:noProof/>
      <w:szCs w:val="22"/>
    </w:rPr>
  </w:style>
  <w:style w:type="paragraph" w:customStyle="1" w:styleId="TTEMEASMCA">
    <w:name w:val="TT EMEA_SMCA"/>
    <w:basedOn w:val="Antrat1"/>
    <w:link w:val="TTEMEASMCAChar"/>
    <w:autoRedefine/>
    <w:uiPriority w:val="99"/>
    <w:rsid w:val="00321A61"/>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locked/>
    <w:rsid w:val="00321A61"/>
    <w:rPr>
      <w:rFonts w:ascii="Times New Roman" w:hAnsi="Times New Roman" w:cs="Times New Roman"/>
      <w:b/>
      <w:caps/>
      <w:lang w:val="en-US"/>
    </w:rPr>
  </w:style>
  <w:style w:type="paragraph" w:customStyle="1" w:styleId="BTAnIIEMEASMCA">
    <w:name w:val="BT(AnII) EMEA_SMCA"/>
    <w:basedOn w:val="Debesliotekstas"/>
    <w:autoRedefine/>
    <w:uiPriority w:val="99"/>
    <w:rsid w:val="00321A61"/>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321A61"/>
    <w:pPr>
      <w:numPr>
        <w:numId w:val="1"/>
      </w:numPr>
      <w:tabs>
        <w:tab w:val="clear" w:pos="720"/>
        <w:tab w:val="num" w:pos="360"/>
      </w:tabs>
      <w:ind w:left="0" w:firstLine="0"/>
    </w:pPr>
  </w:style>
  <w:style w:type="paragraph" w:customStyle="1" w:styleId="PI-3EMEASMCA">
    <w:name w:val="PI-3 EMEA_SMCA"/>
    <w:basedOn w:val="prastasis"/>
    <w:autoRedefine/>
    <w:uiPriority w:val="99"/>
    <w:rsid w:val="00321A61"/>
    <w:pPr>
      <w:spacing w:line="220" w:lineRule="exact"/>
    </w:pPr>
    <w:rPr>
      <w:b/>
      <w:bCs/>
      <w:szCs w:val="22"/>
    </w:rPr>
  </w:style>
  <w:style w:type="paragraph" w:customStyle="1" w:styleId="BTbEMEASMCA">
    <w:name w:val="BT(b) EMEA_SMCA"/>
    <w:basedOn w:val="BTEMEASMCA"/>
    <w:autoRedefine/>
    <w:uiPriority w:val="99"/>
    <w:rsid w:val="00321A61"/>
    <w:rPr>
      <w:b/>
    </w:rPr>
  </w:style>
  <w:style w:type="paragraph" w:customStyle="1" w:styleId="BTbeEMEASMCA">
    <w:name w:val="BT(be) EMEA_SMCA"/>
    <w:basedOn w:val="BTEMEASMCA"/>
    <w:autoRedefine/>
    <w:uiPriority w:val="99"/>
    <w:rsid w:val="00321A61"/>
    <w:pPr>
      <w:jc w:val="center"/>
    </w:pPr>
    <w:rPr>
      <w:b/>
    </w:rPr>
  </w:style>
  <w:style w:type="paragraph" w:customStyle="1" w:styleId="BTeEMEASMCA">
    <w:name w:val="BT(e) EMEA_SMCA"/>
    <w:basedOn w:val="BTEMEASMCA"/>
    <w:autoRedefine/>
    <w:uiPriority w:val="99"/>
    <w:rsid w:val="00321A61"/>
    <w:pPr>
      <w:jc w:val="center"/>
    </w:pPr>
  </w:style>
  <w:style w:type="paragraph" w:customStyle="1" w:styleId="BTgEMEASMCA">
    <w:name w:val="BT(g) EMEA_SMCA"/>
    <w:basedOn w:val="BTEMEASMCA"/>
    <w:link w:val="BTgEMEASMCAChar"/>
    <w:autoRedefine/>
    <w:uiPriority w:val="99"/>
    <w:rsid w:val="00321A61"/>
    <w:rPr>
      <w:i/>
      <w:color w:val="008000"/>
    </w:rPr>
  </w:style>
  <w:style w:type="character" w:customStyle="1" w:styleId="BTEMEASMCAChar">
    <w:name w:val="BT EMEA_SMCA Char"/>
    <w:link w:val="BTEMEASMCA"/>
    <w:uiPriority w:val="99"/>
    <w:locked/>
    <w:rsid w:val="00321A61"/>
    <w:rPr>
      <w:rFonts w:ascii="Times New Roman" w:hAnsi="Times New Roman" w:cs="Times New Roman"/>
      <w:noProof/>
      <w:lang w:val="lt-LT"/>
    </w:rPr>
  </w:style>
  <w:style w:type="character" w:customStyle="1" w:styleId="BTgEMEASMCAChar">
    <w:name w:val="BT(g) EMEA_SMCA Char"/>
    <w:link w:val="BTgEMEASMCA"/>
    <w:uiPriority w:val="99"/>
    <w:locked/>
    <w:rsid w:val="00321A61"/>
    <w:rPr>
      <w:rFonts w:ascii="Times New Roman" w:hAnsi="Times New Roman" w:cs="Times New Roman"/>
      <w:i/>
      <w:noProof/>
      <w:color w:val="008000"/>
      <w:lang w:val="lt-LT"/>
    </w:rPr>
  </w:style>
  <w:style w:type="paragraph" w:customStyle="1" w:styleId="BTuEMEASMCA">
    <w:name w:val="BT(u) EMEA_SMCA"/>
    <w:basedOn w:val="BTEMEASMCA"/>
    <w:autoRedefine/>
    <w:uiPriority w:val="99"/>
    <w:rsid w:val="00321A61"/>
    <w:rPr>
      <w:u w:val="single"/>
    </w:rPr>
  </w:style>
  <w:style w:type="paragraph" w:styleId="Debesliotekstas">
    <w:name w:val="Balloon Text"/>
    <w:basedOn w:val="prastasis"/>
    <w:link w:val="DebesliotekstasDiagrama"/>
    <w:uiPriority w:val="99"/>
    <w:semiHidden/>
    <w:rsid w:val="00321A61"/>
    <w:rPr>
      <w:rFonts w:ascii="Tahoma" w:hAnsi="Tahoma" w:cs="Tahoma"/>
      <w:sz w:val="16"/>
      <w:szCs w:val="16"/>
    </w:rPr>
  </w:style>
  <w:style w:type="character" w:customStyle="1" w:styleId="DebesliotekstasDiagrama">
    <w:name w:val="Debesėlio tekstas Diagrama"/>
    <w:link w:val="Debesliotekstas"/>
    <w:uiPriority w:val="99"/>
    <w:semiHidden/>
    <w:locked/>
    <w:rsid w:val="00321A61"/>
    <w:rPr>
      <w:rFonts w:ascii="Tahoma" w:hAnsi="Tahoma" w:cs="Tahoma"/>
      <w:sz w:val="16"/>
      <w:szCs w:val="16"/>
      <w:lang w:val="lt-LT"/>
    </w:rPr>
  </w:style>
  <w:style w:type="paragraph" w:styleId="Dokumentostruktra">
    <w:name w:val="Document Map"/>
    <w:basedOn w:val="prastasis"/>
    <w:link w:val="DokumentostruktraDiagrama"/>
    <w:uiPriority w:val="99"/>
    <w:semiHidden/>
    <w:rsid w:val="00321A61"/>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locked/>
    <w:rsid w:val="00321A61"/>
    <w:rPr>
      <w:rFonts w:ascii="Tahoma" w:hAnsi="Tahoma" w:cs="Tahoma"/>
      <w:sz w:val="20"/>
      <w:szCs w:val="20"/>
      <w:shd w:val="clear" w:color="auto" w:fill="000080"/>
      <w:lang w:val="lt-LT"/>
    </w:rPr>
  </w:style>
  <w:style w:type="paragraph" w:styleId="prastasistinklapis">
    <w:name w:val="Normal (Web)"/>
    <w:basedOn w:val="prastasis"/>
    <w:uiPriority w:val="99"/>
    <w:rsid w:val="00321A61"/>
    <w:pPr>
      <w:suppressAutoHyphens/>
      <w:spacing w:before="280" w:after="280"/>
    </w:pPr>
    <w:rPr>
      <w:lang w:val="pl-PL" w:eastAsia="ar-SA"/>
    </w:rPr>
  </w:style>
  <w:style w:type="paragraph" w:customStyle="1" w:styleId="CM1">
    <w:name w:val="CM1"/>
    <w:basedOn w:val="prastasis"/>
    <w:next w:val="prastasis"/>
    <w:uiPriority w:val="99"/>
    <w:rsid w:val="00321A61"/>
    <w:pPr>
      <w:widowControl w:val="0"/>
      <w:suppressAutoHyphens/>
      <w:autoSpaceDE w:val="0"/>
    </w:pPr>
    <w:rPr>
      <w:rFonts w:ascii="Courier" w:eastAsia="Calibri" w:hAnsi="Courier" w:cs="Courier"/>
      <w:lang w:val="el-GR" w:eastAsia="ar-SA"/>
    </w:rPr>
  </w:style>
  <w:style w:type="paragraph" w:customStyle="1" w:styleId="CM6">
    <w:name w:val="CM6"/>
    <w:basedOn w:val="prastasis"/>
    <w:next w:val="prastasis"/>
    <w:uiPriority w:val="99"/>
    <w:rsid w:val="00321A61"/>
    <w:pPr>
      <w:widowControl w:val="0"/>
      <w:suppressAutoHyphens/>
      <w:autoSpaceDE w:val="0"/>
      <w:spacing w:after="180"/>
    </w:pPr>
    <w:rPr>
      <w:rFonts w:ascii="Courier" w:eastAsia="Calibri" w:hAnsi="Courier" w:cs="Courier"/>
      <w:lang w:val="el-GR" w:eastAsia="ar-SA"/>
    </w:rPr>
  </w:style>
  <w:style w:type="paragraph" w:customStyle="1" w:styleId="WW-Default">
    <w:name w:val="WW-Default"/>
    <w:uiPriority w:val="99"/>
    <w:rsid w:val="00321A61"/>
    <w:pPr>
      <w:widowControl w:val="0"/>
      <w:suppressAutoHyphens/>
      <w:autoSpaceDE w:val="0"/>
    </w:pPr>
    <w:rPr>
      <w:rFonts w:ascii="Courier" w:hAnsi="Courier" w:cs="Courier"/>
      <w:color w:val="000000"/>
      <w:sz w:val="24"/>
      <w:szCs w:val="24"/>
      <w:lang w:val="el-GR" w:eastAsia="ar-SA"/>
    </w:rPr>
  </w:style>
  <w:style w:type="paragraph" w:customStyle="1" w:styleId="CM2">
    <w:name w:val="CM2"/>
    <w:basedOn w:val="WW-Default"/>
    <w:next w:val="WW-Default"/>
    <w:uiPriority w:val="99"/>
    <w:rsid w:val="00321A61"/>
    <w:pPr>
      <w:spacing w:line="191" w:lineRule="atLeast"/>
    </w:pPr>
    <w:rPr>
      <w:color w:val="auto"/>
    </w:rPr>
  </w:style>
  <w:style w:type="paragraph" w:styleId="Pagrindinistekstas">
    <w:name w:val="Body Text"/>
    <w:basedOn w:val="prastasis"/>
    <w:link w:val="PagrindinistekstasDiagrama"/>
    <w:uiPriority w:val="99"/>
    <w:rsid w:val="00321A61"/>
    <w:rPr>
      <w:i/>
      <w:color w:val="008000"/>
      <w:szCs w:val="20"/>
      <w:lang w:val="en-GB"/>
    </w:rPr>
  </w:style>
  <w:style w:type="character" w:customStyle="1" w:styleId="PagrindinistekstasDiagrama">
    <w:name w:val="Pagrindinis tekstas Diagrama"/>
    <w:link w:val="Pagrindinistekstas"/>
    <w:uiPriority w:val="99"/>
    <w:locked/>
    <w:rsid w:val="00321A61"/>
    <w:rPr>
      <w:rFonts w:ascii="Times New Roman" w:hAnsi="Times New Roman" w:cs="Times New Roman"/>
      <w:i/>
      <w:color w:val="008000"/>
      <w:sz w:val="20"/>
      <w:szCs w:val="20"/>
    </w:rPr>
  </w:style>
  <w:style w:type="character" w:styleId="Komentaronuoroda">
    <w:name w:val="annotation reference"/>
    <w:uiPriority w:val="99"/>
    <w:rsid w:val="00321A61"/>
    <w:rPr>
      <w:rFonts w:cs="Times New Roman"/>
      <w:sz w:val="16"/>
      <w:szCs w:val="16"/>
    </w:rPr>
  </w:style>
  <w:style w:type="paragraph" w:styleId="Komentarotekstas">
    <w:name w:val="annotation text"/>
    <w:basedOn w:val="prastasis"/>
    <w:link w:val="KomentarotekstasDiagrama"/>
    <w:uiPriority w:val="99"/>
    <w:semiHidden/>
    <w:rsid w:val="00321A61"/>
    <w:rPr>
      <w:sz w:val="20"/>
      <w:szCs w:val="20"/>
    </w:rPr>
  </w:style>
  <w:style w:type="character" w:customStyle="1" w:styleId="KomentarotekstasDiagrama">
    <w:name w:val="Komentaro tekstas Diagrama"/>
    <w:link w:val="Komentarotekstas"/>
    <w:uiPriority w:val="99"/>
    <w:semiHidden/>
    <w:locked/>
    <w:rsid w:val="00321A61"/>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321A61"/>
    <w:rPr>
      <w:b/>
      <w:bCs/>
    </w:rPr>
  </w:style>
  <w:style w:type="character" w:customStyle="1" w:styleId="KomentarotemaDiagrama">
    <w:name w:val="Komentaro tema Diagrama"/>
    <w:link w:val="Komentarotema"/>
    <w:uiPriority w:val="99"/>
    <w:semiHidden/>
    <w:locked/>
    <w:rsid w:val="00321A61"/>
    <w:rPr>
      <w:rFonts w:ascii="Times New Roman" w:hAnsi="Times New Roman" w:cs="Times New Roman"/>
      <w:b/>
      <w:bCs/>
      <w:sz w:val="20"/>
      <w:szCs w:val="20"/>
      <w:lang w:val="lt-LT"/>
    </w:rPr>
  </w:style>
  <w:style w:type="paragraph" w:customStyle="1" w:styleId="pi-2emeasmca0">
    <w:name w:val="pi-2emeasmca"/>
    <w:basedOn w:val="prastasis"/>
    <w:uiPriority w:val="99"/>
    <w:rsid w:val="00321A61"/>
    <w:pPr>
      <w:spacing w:before="100" w:beforeAutospacing="1" w:after="100" w:afterAutospacing="1"/>
    </w:pPr>
    <w:rPr>
      <w:lang w:eastAsia="lt-LT"/>
    </w:rPr>
  </w:style>
  <w:style w:type="paragraph" w:customStyle="1" w:styleId="btemeasmca0">
    <w:name w:val="btemeasmca"/>
    <w:basedOn w:val="prastasis"/>
    <w:uiPriority w:val="99"/>
    <w:rsid w:val="00321A61"/>
    <w:pPr>
      <w:spacing w:before="100" w:beforeAutospacing="1" w:after="100" w:afterAutospacing="1"/>
    </w:pPr>
    <w:rPr>
      <w:lang w:eastAsia="lt-LT"/>
    </w:rPr>
  </w:style>
  <w:style w:type="character" w:styleId="Grietas">
    <w:name w:val="Strong"/>
    <w:uiPriority w:val="99"/>
    <w:qFormat/>
    <w:rsid w:val="00321A61"/>
    <w:rPr>
      <w:rFonts w:cs="Times New Roman"/>
      <w:b/>
      <w:bCs/>
    </w:rPr>
  </w:style>
  <w:style w:type="paragraph" w:styleId="Porat">
    <w:name w:val="footer"/>
    <w:basedOn w:val="prastasis"/>
    <w:link w:val="PoratDiagrama"/>
    <w:uiPriority w:val="99"/>
    <w:rsid w:val="00321A61"/>
    <w:pPr>
      <w:tabs>
        <w:tab w:val="center" w:pos="4819"/>
        <w:tab w:val="right" w:pos="9638"/>
      </w:tabs>
    </w:pPr>
  </w:style>
  <w:style w:type="character" w:customStyle="1" w:styleId="PoratDiagrama">
    <w:name w:val="Poraštė Diagrama"/>
    <w:link w:val="Porat"/>
    <w:uiPriority w:val="99"/>
    <w:locked/>
    <w:rsid w:val="00321A61"/>
    <w:rPr>
      <w:rFonts w:ascii="Times New Roman" w:hAnsi="Times New Roman" w:cs="Times New Roman"/>
      <w:sz w:val="24"/>
      <w:szCs w:val="24"/>
      <w:lang w:val="lt-LT"/>
    </w:rPr>
  </w:style>
  <w:style w:type="character" w:styleId="Puslapionumeris">
    <w:name w:val="page number"/>
    <w:uiPriority w:val="99"/>
    <w:rsid w:val="00321A61"/>
    <w:rPr>
      <w:rFonts w:cs="Times New Roman"/>
    </w:rPr>
  </w:style>
  <w:style w:type="paragraph" w:styleId="Antrats">
    <w:name w:val="header"/>
    <w:basedOn w:val="prastasis"/>
    <w:link w:val="AntratsDiagrama"/>
    <w:uiPriority w:val="99"/>
    <w:rsid w:val="00321A61"/>
    <w:pPr>
      <w:tabs>
        <w:tab w:val="center" w:pos="4320"/>
        <w:tab w:val="right" w:pos="8640"/>
      </w:tabs>
    </w:pPr>
    <w:rPr>
      <w:lang w:val="en-US"/>
    </w:rPr>
  </w:style>
  <w:style w:type="character" w:customStyle="1" w:styleId="AntratsDiagrama">
    <w:name w:val="Antraštės Diagrama"/>
    <w:link w:val="Antrats"/>
    <w:uiPriority w:val="99"/>
    <w:locked/>
    <w:rsid w:val="00321A61"/>
    <w:rPr>
      <w:rFonts w:ascii="Times New Roman" w:hAnsi="Times New Roman" w:cs="Times New Roman"/>
      <w:sz w:val="24"/>
      <w:szCs w:val="24"/>
      <w:lang w:val="en-US"/>
    </w:rPr>
  </w:style>
  <w:style w:type="paragraph" w:styleId="Sraopastraipa">
    <w:name w:val="List Paragraph"/>
    <w:basedOn w:val="prastasis"/>
    <w:uiPriority w:val="99"/>
    <w:qFormat/>
    <w:rsid w:val="00BA3D9B"/>
    <w:pPr>
      <w:ind w:left="720"/>
      <w:contextualSpacing/>
    </w:pPr>
  </w:style>
  <w:style w:type="paragraph" w:styleId="Paprastasistekstas">
    <w:name w:val="Plain Text"/>
    <w:basedOn w:val="prastasis"/>
    <w:link w:val="PaprastasistekstasDiagrama"/>
    <w:uiPriority w:val="99"/>
    <w:locked/>
    <w:rsid w:val="00384ADC"/>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384ADC"/>
    <w:rPr>
      <w:rFonts w:ascii="Courier New" w:eastAsia="SimSun" w:hAnsi="Courier New"/>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BA3D9B"/>
    <w:rPr>
      <w:rFonts w:ascii="Times New Roman" w:eastAsia="Times New Roman" w:hAnsi="Times New Roman"/>
      <w:sz w:val="22"/>
      <w:szCs w:val="24"/>
      <w:lang w:eastAsia="en-US"/>
    </w:rPr>
  </w:style>
  <w:style w:type="paragraph" w:styleId="Antrat1">
    <w:name w:val="heading 1"/>
    <w:basedOn w:val="prastasis"/>
    <w:next w:val="prastasis"/>
    <w:link w:val="Antrat1Diagrama"/>
    <w:uiPriority w:val="99"/>
    <w:qFormat/>
    <w:rsid w:val="00321A6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321A6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321A61"/>
    <w:pPr>
      <w:keepNext/>
      <w:spacing w:before="240" w:after="60"/>
      <w:outlineLvl w:val="2"/>
    </w:pPr>
    <w:rPr>
      <w:rFonts w:ascii="Arial" w:hAnsi="Arial" w:cs="Arial"/>
      <w:b/>
      <w:bCs/>
      <w:sz w:val="26"/>
      <w:szCs w:val="26"/>
    </w:rPr>
  </w:style>
  <w:style w:type="paragraph" w:styleId="Antrat6">
    <w:name w:val="heading 6"/>
    <w:basedOn w:val="prastasis"/>
    <w:next w:val="prastasis"/>
    <w:link w:val="Antrat6Diagrama"/>
    <w:uiPriority w:val="99"/>
    <w:qFormat/>
    <w:rsid w:val="006D096F"/>
    <w:pPr>
      <w:keepNext/>
      <w:keepLines/>
      <w:spacing w:before="200"/>
      <w:outlineLvl w:val="5"/>
    </w:pPr>
    <w:rPr>
      <w:rFonts w:ascii="Cambria" w:hAnsi="Cambria"/>
      <w:i/>
      <w:iCs/>
      <w:color w:val="243F60"/>
    </w:rPr>
  </w:style>
  <w:style w:type="paragraph" w:styleId="Antrat9">
    <w:name w:val="heading 9"/>
    <w:basedOn w:val="prastasis"/>
    <w:next w:val="prastasis"/>
    <w:link w:val="Antrat9Diagrama"/>
    <w:uiPriority w:val="99"/>
    <w:qFormat/>
    <w:rsid w:val="001922D2"/>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21A61"/>
    <w:rPr>
      <w:rFonts w:ascii="Arial" w:hAnsi="Arial" w:cs="Arial"/>
      <w:b/>
      <w:bCs/>
      <w:kern w:val="32"/>
      <w:sz w:val="32"/>
      <w:szCs w:val="32"/>
      <w:lang w:val="lt-LT"/>
    </w:rPr>
  </w:style>
  <w:style w:type="character" w:customStyle="1" w:styleId="Antrat2Diagrama">
    <w:name w:val="Antraštė 2 Diagrama"/>
    <w:link w:val="Antrat2"/>
    <w:uiPriority w:val="99"/>
    <w:locked/>
    <w:rsid w:val="00321A61"/>
    <w:rPr>
      <w:rFonts w:ascii="Arial" w:hAnsi="Arial" w:cs="Arial"/>
      <w:b/>
      <w:bCs/>
      <w:i/>
      <w:iCs/>
      <w:sz w:val="28"/>
      <w:szCs w:val="28"/>
      <w:lang w:val="lt-LT"/>
    </w:rPr>
  </w:style>
  <w:style w:type="character" w:customStyle="1" w:styleId="Antrat3Diagrama">
    <w:name w:val="Antraštė 3 Diagrama"/>
    <w:link w:val="Antrat3"/>
    <w:uiPriority w:val="99"/>
    <w:locked/>
    <w:rsid w:val="00321A61"/>
    <w:rPr>
      <w:rFonts w:ascii="Arial" w:hAnsi="Arial" w:cs="Arial"/>
      <w:b/>
      <w:bCs/>
      <w:sz w:val="26"/>
      <w:szCs w:val="26"/>
      <w:lang w:val="lt-LT"/>
    </w:rPr>
  </w:style>
  <w:style w:type="character" w:customStyle="1" w:styleId="Antrat6Diagrama">
    <w:name w:val="Antraštė 6 Diagrama"/>
    <w:link w:val="Antrat6"/>
    <w:uiPriority w:val="99"/>
    <w:locked/>
    <w:rsid w:val="006D096F"/>
    <w:rPr>
      <w:rFonts w:ascii="Cambria" w:hAnsi="Cambria" w:cs="Times New Roman"/>
      <w:i/>
      <w:iCs/>
      <w:color w:val="243F60"/>
      <w:sz w:val="24"/>
      <w:szCs w:val="24"/>
      <w:lang w:val="lt-LT"/>
    </w:rPr>
  </w:style>
  <w:style w:type="character" w:customStyle="1" w:styleId="Antrat9Diagrama">
    <w:name w:val="Antraštė 9 Diagrama"/>
    <w:link w:val="Antrat9"/>
    <w:uiPriority w:val="99"/>
    <w:locked/>
    <w:rsid w:val="001922D2"/>
    <w:rPr>
      <w:rFonts w:ascii="Cambria" w:hAnsi="Cambria" w:cs="Times New Roman"/>
      <w:i/>
      <w:iCs/>
      <w:color w:val="404040"/>
      <w:sz w:val="20"/>
      <w:szCs w:val="20"/>
      <w:lang w:val="lt-LT"/>
    </w:rPr>
  </w:style>
  <w:style w:type="character" w:styleId="Hipersaitas">
    <w:name w:val="Hyperlink"/>
    <w:uiPriority w:val="99"/>
    <w:rsid w:val="00321A61"/>
    <w:rPr>
      <w:rFonts w:cs="Times New Roman"/>
      <w:color w:val="0000FF"/>
      <w:u w:val="single"/>
    </w:rPr>
  </w:style>
  <w:style w:type="paragraph" w:customStyle="1" w:styleId="PI-1EMEASMCA">
    <w:name w:val="PI-1 EMEA_SMCA"/>
    <w:basedOn w:val="Antrat2"/>
    <w:autoRedefine/>
    <w:uiPriority w:val="99"/>
    <w:rsid w:val="00321A61"/>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321A61"/>
    <w:pPr>
      <w:pBdr>
        <w:top w:val="single" w:sz="4" w:space="1" w:color="auto"/>
        <w:left w:val="single" w:sz="4" w:space="4" w:color="auto"/>
        <w:bottom w:val="single" w:sz="4" w:space="1" w:color="auto"/>
        <w:right w:val="single" w:sz="4" w:space="4" w:color="auto"/>
      </w:pBdr>
      <w:tabs>
        <w:tab w:val="left" w:pos="540"/>
      </w:tabs>
    </w:pPr>
    <w:rPr>
      <w:b/>
      <w:caps/>
      <w:noProof/>
      <w:szCs w:val="22"/>
    </w:rPr>
  </w:style>
  <w:style w:type="character" w:customStyle="1" w:styleId="PI-1labEMEASMCAChar">
    <w:name w:val="PI-1_lab EMEA_SMCA Char"/>
    <w:link w:val="PI-1labEMEASMCA"/>
    <w:uiPriority w:val="99"/>
    <w:locked/>
    <w:rsid w:val="00321A61"/>
    <w:rPr>
      <w:rFonts w:ascii="Times New Roman" w:hAnsi="Times New Roman" w:cs="Times New Roman"/>
      <w:b/>
      <w:caps/>
      <w:noProof/>
      <w:lang w:val="lt-LT"/>
    </w:rPr>
  </w:style>
  <w:style w:type="paragraph" w:customStyle="1" w:styleId="PI-2EMEASMCA">
    <w:name w:val="PI-2 EMEA_SMCA"/>
    <w:basedOn w:val="Antrat3"/>
    <w:autoRedefine/>
    <w:uiPriority w:val="99"/>
    <w:rsid w:val="00321A61"/>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321A61"/>
    <w:rPr>
      <w:noProof/>
      <w:szCs w:val="22"/>
    </w:rPr>
  </w:style>
  <w:style w:type="paragraph" w:customStyle="1" w:styleId="TTEMEASMCA">
    <w:name w:val="TT EMEA_SMCA"/>
    <w:basedOn w:val="Antrat1"/>
    <w:link w:val="TTEMEASMCAChar"/>
    <w:autoRedefine/>
    <w:uiPriority w:val="99"/>
    <w:rsid w:val="00321A61"/>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locked/>
    <w:rsid w:val="00321A61"/>
    <w:rPr>
      <w:rFonts w:ascii="Times New Roman" w:hAnsi="Times New Roman" w:cs="Times New Roman"/>
      <w:b/>
      <w:caps/>
      <w:lang w:val="en-US"/>
    </w:rPr>
  </w:style>
  <w:style w:type="paragraph" w:customStyle="1" w:styleId="BTAnIIEMEASMCA">
    <w:name w:val="BT(AnII) EMEA_SMCA"/>
    <w:basedOn w:val="Debesliotekstas"/>
    <w:autoRedefine/>
    <w:uiPriority w:val="99"/>
    <w:rsid w:val="00321A61"/>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321A61"/>
    <w:pPr>
      <w:numPr>
        <w:numId w:val="1"/>
      </w:numPr>
      <w:tabs>
        <w:tab w:val="clear" w:pos="720"/>
        <w:tab w:val="num" w:pos="360"/>
      </w:tabs>
      <w:ind w:left="0" w:firstLine="0"/>
    </w:pPr>
  </w:style>
  <w:style w:type="paragraph" w:customStyle="1" w:styleId="PI-3EMEASMCA">
    <w:name w:val="PI-3 EMEA_SMCA"/>
    <w:basedOn w:val="prastasis"/>
    <w:autoRedefine/>
    <w:uiPriority w:val="99"/>
    <w:rsid w:val="00321A61"/>
    <w:pPr>
      <w:spacing w:line="220" w:lineRule="exact"/>
    </w:pPr>
    <w:rPr>
      <w:b/>
      <w:bCs/>
      <w:szCs w:val="22"/>
    </w:rPr>
  </w:style>
  <w:style w:type="paragraph" w:customStyle="1" w:styleId="BTbEMEASMCA">
    <w:name w:val="BT(b) EMEA_SMCA"/>
    <w:basedOn w:val="BTEMEASMCA"/>
    <w:autoRedefine/>
    <w:uiPriority w:val="99"/>
    <w:rsid w:val="00321A61"/>
    <w:rPr>
      <w:b/>
    </w:rPr>
  </w:style>
  <w:style w:type="paragraph" w:customStyle="1" w:styleId="BTbeEMEASMCA">
    <w:name w:val="BT(be) EMEA_SMCA"/>
    <w:basedOn w:val="BTEMEASMCA"/>
    <w:autoRedefine/>
    <w:uiPriority w:val="99"/>
    <w:rsid w:val="00321A61"/>
    <w:pPr>
      <w:jc w:val="center"/>
    </w:pPr>
    <w:rPr>
      <w:b/>
    </w:rPr>
  </w:style>
  <w:style w:type="paragraph" w:customStyle="1" w:styleId="BTeEMEASMCA">
    <w:name w:val="BT(e) EMEA_SMCA"/>
    <w:basedOn w:val="BTEMEASMCA"/>
    <w:autoRedefine/>
    <w:uiPriority w:val="99"/>
    <w:rsid w:val="00321A61"/>
    <w:pPr>
      <w:jc w:val="center"/>
    </w:pPr>
  </w:style>
  <w:style w:type="paragraph" w:customStyle="1" w:styleId="BTgEMEASMCA">
    <w:name w:val="BT(g) EMEA_SMCA"/>
    <w:basedOn w:val="BTEMEASMCA"/>
    <w:link w:val="BTgEMEASMCAChar"/>
    <w:autoRedefine/>
    <w:uiPriority w:val="99"/>
    <w:rsid w:val="00321A61"/>
    <w:rPr>
      <w:i/>
      <w:color w:val="008000"/>
    </w:rPr>
  </w:style>
  <w:style w:type="character" w:customStyle="1" w:styleId="BTEMEASMCAChar">
    <w:name w:val="BT EMEA_SMCA Char"/>
    <w:link w:val="BTEMEASMCA"/>
    <w:uiPriority w:val="99"/>
    <w:locked/>
    <w:rsid w:val="00321A61"/>
    <w:rPr>
      <w:rFonts w:ascii="Times New Roman" w:hAnsi="Times New Roman" w:cs="Times New Roman"/>
      <w:noProof/>
      <w:lang w:val="lt-LT"/>
    </w:rPr>
  </w:style>
  <w:style w:type="character" w:customStyle="1" w:styleId="BTgEMEASMCAChar">
    <w:name w:val="BT(g) EMEA_SMCA Char"/>
    <w:link w:val="BTgEMEASMCA"/>
    <w:uiPriority w:val="99"/>
    <w:locked/>
    <w:rsid w:val="00321A61"/>
    <w:rPr>
      <w:rFonts w:ascii="Times New Roman" w:hAnsi="Times New Roman" w:cs="Times New Roman"/>
      <w:i/>
      <w:noProof/>
      <w:color w:val="008000"/>
      <w:lang w:val="lt-LT"/>
    </w:rPr>
  </w:style>
  <w:style w:type="paragraph" w:customStyle="1" w:styleId="BTuEMEASMCA">
    <w:name w:val="BT(u) EMEA_SMCA"/>
    <w:basedOn w:val="BTEMEASMCA"/>
    <w:autoRedefine/>
    <w:uiPriority w:val="99"/>
    <w:rsid w:val="00321A61"/>
    <w:rPr>
      <w:u w:val="single"/>
    </w:rPr>
  </w:style>
  <w:style w:type="paragraph" w:styleId="Debesliotekstas">
    <w:name w:val="Balloon Text"/>
    <w:basedOn w:val="prastasis"/>
    <w:link w:val="DebesliotekstasDiagrama"/>
    <w:uiPriority w:val="99"/>
    <w:semiHidden/>
    <w:rsid w:val="00321A61"/>
    <w:rPr>
      <w:rFonts w:ascii="Tahoma" w:hAnsi="Tahoma" w:cs="Tahoma"/>
      <w:sz w:val="16"/>
      <w:szCs w:val="16"/>
    </w:rPr>
  </w:style>
  <w:style w:type="character" w:customStyle="1" w:styleId="DebesliotekstasDiagrama">
    <w:name w:val="Debesėlio tekstas Diagrama"/>
    <w:link w:val="Debesliotekstas"/>
    <w:uiPriority w:val="99"/>
    <w:semiHidden/>
    <w:locked/>
    <w:rsid w:val="00321A61"/>
    <w:rPr>
      <w:rFonts w:ascii="Tahoma" w:hAnsi="Tahoma" w:cs="Tahoma"/>
      <w:sz w:val="16"/>
      <w:szCs w:val="16"/>
      <w:lang w:val="lt-LT"/>
    </w:rPr>
  </w:style>
  <w:style w:type="paragraph" w:styleId="Dokumentostruktra">
    <w:name w:val="Document Map"/>
    <w:basedOn w:val="prastasis"/>
    <w:link w:val="DokumentostruktraDiagrama"/>
    <w:uiPriority w:val="99"/>
    <w:semiHidden/>
    <w:rsid w:val="00321A61"/>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locked/>
    <w:rsid w:val="00321A61"/>
    <w:rPr>
      <w:rFonts w:ascii="Tahoma" w:hAnsi="Tahoma" w:cs="Tahoma"/>
      <w:sz w:val="20"/>
      <w:szCs w:val="20"/>
      <w:shd w:val="clear" w:color="auto" w:fill="000080"/>
      <w:lang w:val="lt-LT"/>
    </w:rPr>
  </w:style>
  <w:style w:type="paragraph" w:styleId="prastasistinklapis">
    <w:name w:val="Normal (Web)"/>
    <w:basedOn w:val="prastasis"/>
    <w:uiPriority w:val="99"/>
    <w:rsid w:val="00321A61"/>
    <w:pPr>
      <w:suppressAutoHyphens/>
      <w:spacing w:before="280" w:after="280"/>
    </w:pPr>
    <w:rPr>
      <w:lang w:val="pl-PL" w:eastAsia="ar-SA"/>
    </w:rPr>
  </w:style>
  <w:style w:type="paragraph" w:customStyle="1" w:styleId="CM1">
    <w:name w:val="CM1"/>
    <w:basedOn w:val="prastasis"/>
    <w:next w:val="prastasis"/>
    <w:uiPriority w:val="99"/>
    <w:rsid w:val="00321A61"/>
    <w:pPr>
      <w:widowControl w:val="0"/>
      <w:suppressAutoHyphens/>
      <w:autoSpaceDE w:val="0"/>
    </w:pPr>
    <w:rPr>
      <w:rFonts w:ascii="Courier" w:eastAsia="Calibri" w:hAnsi="Courier" w:cs="Courier"/>
      <w:lang w:val="el-GR" w:eastAsia="ar-SA"/>
    </w:rPr>
  </w:style>
  <w:style w:type="paragraph" w:customStyle="1" w:styleId="CM6">
    <w:name w:val="CM6"/>
    <w:basedOn w:val="prastasis"/>
    <w:next w:val="prastasis"/>
    <w:uiPriority w:val="99"/>
    <w:rsid w:val="00321A61"/>
    <w:pPr>
      <w:widowControl w:val="0"/>
      <w:suppressAutoHyphens/>
      <w:autoSpaceDE w:val="0"/>
      <w:spacing w:after="180"/>
    </w:pPr>
    <w:rPr>
      <w:rFonts w:ascii="Courier" w:eastAsia="Calibri" w:hAnsi="Courier" w:cs="Courier"/>
      <w:lang w:val="el-GR" w:eastAsia="ar-SA"/>
    </w:rPr>
  </w:style>
  <w:style w:type="paragraph" w:customStyle="1" w:styleId="WW-Default">
    <w:name w:val="WW-Default"/>
    <w:uiPriority w:val="99"/>
    <w:rsid w:val="00321A61"/>
    <w:pPr>
      <w:widowControl w:val="0"/>
      <w:suppressAutoHyphens/>
      <w:autoSpaceDE w:val="0"/>
    </w:pPr>
    <w:rPr>
      <w:rFonts w:ascii="Courier" w:hAnsi="Courier" w:cs="Courier"/>
      <w:color w:val="000000"/>
      <w:sz w:val="24"/>
      <w:szCs w:val="24"/>
      <w:lang w:val="el-GR" w:eastAsia="ar-SA"/>
    </w:rPr>
  </w:style>
  <w:style w:type="paragraph" w:customStyle="1" w:styleId="CM2">
    <w:name w:val="CM2"/>
    <w:basedOn w:val="WW-Default"/>
    <w:next w:val="WW-Default"/>
    <w:uiPriority w:val="99"/>
    <w:rsid w:val="00321A61"/>
    <w:pPr>
      <w:spacing w:line="191" w:lineRule="atLeast"/>
    </w:pPr>
    <w:rPr>
      <w:color w:val="auto"/>
    </w:rPr>
  </w:style>
  <w:style w:type="paragraph" w:styleId="Pagrindinistekstas">
    <w:name w:val="Body Text"/>
    <w:basedOn w:val="prastasis"/>
    <w:link w:val="PagrindinistekstasDiagrama"/>
    <w:uiPriority w:val="99"/>
    <w:rsid w:val="00321A61"/>
    <w:rPr>
      <w:i/>
      <w:color w:val="008000"/>
      <w:szCs w:val="20"/>
      <w:lang w:val="en-GB"/>
    </w:rPr>
  </w:style>
  <w:style w:type="character" w:customStyle="1" w:styleId="PagrindinistekstasDiagrama">
    <w:name w:val="Pagrindinis tekstas Diagrama"/>
    <w:link w:val="Pagrindinistekstas"/>
    <w:uiPriority w:val="99"/>
    <w:locked/>
    <w:rsid w:val="00321A61"/>
    <w:rPr>
      <w:rFonts w:ascii="Times New Roman" w:hAnsi="Times New Roman" w:cs="Times New Roman"/>
      <w:i/>
      <w:color w:val="008000"/>
      <w:sz w:val="20"/>
      <w:szCs w:val="20"/>
    </w:rPr>
  </w:style>
  <w:style w:type="character" w:styleId="Komentaronuoroda">
    <w:name w:val="annotation reference"/>
    <w:uiPriority w:val="99"/>
    <w:rsid w:val="00321A61"/>
    <w:rPr>
      <w:rFonts w:cs="Times New Roman"/>
      <w:sz w:val="16"/>
      <w:szCs w:val="16"/>
    </w:rPr>
  </w:style>
  <w:style w:type="paragraph" w:styleId="Komentarotekstas">
    <w:name w:val="annotation text"/>
    <w:basedOn w:val="prastasis"/>
    <w:link w:val="KomentarotekstasDiagrama"/>
    <w:uiPriority w:val="99"/>
    <w:semiHidden/>
    <w:rsid w:val="00321A61"/>
    <w:rPr>
      <w:sz w:val="20"/>
      <w:szCs w:val="20"/>
    </w:rPr>
  </w:style>
  <w:style w:type="character" w:customStyle="1" w:styleId="KomentarotekstasDiagrama">
    <w:name w:val="Komentaro tekstas Diagrama"/>
    <w:link w:val="Komentarotekstas"/>
    <w:uiPriority w:val="99"/>
    <w:semiHidden/>
    <w:locked/>
    <w:rsid w:val="00321A61"/>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321A61"/>
    <w:rPr>
      <w:b/>
      <w:bCs/>
    </w:rPr>
  </w:style>
  <w:style w:type="character" w:customStyle="1" w:styleId="KomentarotemaDiagrama">
    <w:name w:val="Komentaro tema Diagrama"/>
    <w:link w:val="Komentarotema"/>
    <w:uiPriority w:val="99"/>
    <w:semiHidden/>
    <w:locked/>
    <w:rsid w:val="00321A61"/>
    <w:rPr>
      <w:rFonts w:ascii="Times New Roman" w:hAnsi="Times New Roman" w:cs="Times New Roman"/>
      <w:b/>
      <w:bCs/>
      <w:sz w:val="20"/>
      <w:szCs w:val="20"/>
      <w:lang w:val="lt-LT"/>
    </w:rPr>
  </w:style>
  <w:style w:type="paragraph" w:customStyle="1" w:styleId="pi-2emeasmca0">
    <w:name w:val="pi-2emeasmca"/>
    <w:basedOn w:val="prastasis"/>
    <w:uiPriority w:val="99"/>
    <w:rsid w:val="00321A61"/>
    <w:pPr>
      <w:spacing w:before="100" w:beforeAutospacing="1" w:after="100" w:afterAutospacing="1"/>
    </w:pPr>
    <w:rPr>
      <w:lang w:eastAsia="lt-LT"/>
    </w:rPr>
  </w:style>
  <w:style w:type="paragraph" w:customStyle="1" w:styleId="btemeasmca0">
    <w:name w:val="btemeasmca"/>
    <w:basedOn w:val="prastasis"/>
    <w:uiPriority w:val="99"/>
    <w:rsid w:val="00321A61"/>
    <w:pPr>
      <w:spacing w:before="100" w:beforeAutospacing="1" w:after="100" w:afterAutospacing="1"/>
    </w:pPr>
    <w:rPr>
      <w:lang w:eastAsia="lt-LT"/>
    </w:rPr>
  </w:style>
  <w:style w:type="character" w:styleId="Grietas">
    <w:name w:val="Strong"/>
    <w:uiPriority w:val="99"/>
    <w:qFormat/>
    <w:rsid w:val="00321A61"/>
    <w:rPr>
      <w:rFonts w:cs="Times New Roman"/>
      <w:b/>
      <w:bCs/>
    </w:rPr>
  </w:style>
  <w:style w:type="paragraph" w:styleId="Porat">
    <w:name w:val="footer"/>
    <w:basedOn w:val="prastasis"/>
    <w:link w:val="PoratDiagrama"/>
    <w:uiPriority w:val="99"/>
    <w:rsid w:val="00321A61"/>
    <w:pPr>
      <w:tabs>
        <w:tab w:val="center" w:pos="4819"/>
        <w:tab w:val="right" w:pos="9638"/>
      </w:tabs>
    </w:pPr>
  </w:style>
  <w:style w:type="character" w:customStyle="1" w:styleId="PoratDiagrama">
    <w:name w:val="Poraštė Diagrama"/>
    <w:link w:val="Porat"/>
    <w:uiPriority w:val="99"/>
    <w:locked/>
    <w:rsid w:val="00321A61"/>
    <w:rPr>
      <w:rFonts w:ascii="Times New Roman" w:hAnsi="Times New Roman" w:cs="Times New Roman"/>
      <w:sz w:val="24"/>
      <w:szCs w:val="24"/>
      <w:lang w:val="lt-LT"/>
    </w:rPr>
  </w:style>
  <w:style w:type="character" w:styleId="Puslapionumeris">
    <w:name w:val="page number"/>
    <w:uiPriority w:val="99"/>
    <w:rsid w:val="00321A61"/>
    <w:rPr>
      <w:rFonts w:cs="Times New Roman"/>
    </w:rPr>
  </w:style>
  <w:style w:type="paragraph" w:styleId="Antrats">
    <w:name w:val="header"/>
    <w:basedOn w:val="prastasis"/>
    <w:link w:val="AntratsDiagrama"/>
    <w:uiPriority w:val="99"/>
    <w:rsid w:val="00321A61"/>
    <w:pPr>
      <w:tabs>
        <w:tab w:val="center" w:pos="4320"/>
        <w:tab w:val="right" w:pos="8640"/>
      </w:tabs>
    </w:pPr>
    <w:rPr>
      <w:lang w:val="en-US"/>
    </w:rPr>
  </w:style>
  <w:style w:type="character" w:customStyle="1" w:styleId="AntratsDiagrama">
    <w:name w:val="Antraštės Diagrama"/>
    <w:link w:val="Antrats"/>
    <w:uiPriority w:val="99"/>
    <w:locked/>
    <w:rsid w:val="00321A61"/>
    <w:rPr>
      <w:rFonts w:ascii="Times New Roman" w:hAnsi="Times New Roman" w:cs="Times New Roman"/>
      <w:sz w:val="24"/>
      <w:szCs w:val="24"/>
      <w:lang w:val="en-US"/>
    </w:rPr>
  </w:style>
  <w:style w:type="paragraph" w:styleId="Sraopastraipa">
    <w:name w:val="List Paragraph"/>
    <w:basedOn w:val="prastasis"/>
    <w:uiPriority w:val="99"/>
    <w:qFormat/>
    <w:rsid w:val="00BA3D9B"/>
    <w:pPr>
      <w:ind w:left="720"/>
      <w:contextualSpacing/>
    </w:pPr>
  </w:style>
  <w:style w:type="paragraph" w:styleId="Paprastasistekstas">
    <w:name w:val="Plain Text"/>
    <w:basedOn w:val="prastasis"/>
    <w:link w:val="PaprastasistekstasDiagrama"/>
    <w:uiPriority w:val="99"/>
    <w:locked/>
    <w:rsid w:val="00384ADC"/>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384ADC"/>
    <w:rPr>
      <w:rFonts w:ascii="Courier New" w:eastAsia="SimSun" w:hAnsi="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5745</Words>
  <Characters>42200</Characters>
  <Application>Microsoft Office Word</Application>
  <DocSecurity>8</DocSecurity>
  <Lines>351</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Hewlett-Packard Company</Company>
  <LinksUpToDate>false</LinksUpToDate>
  <CharactersWithSpaces>47850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dc:creator>
  <cp:lastModifiedBy>Albina Burkauskaitė</cp:lastModifiedBy>
  <cp:revision>3</cp:revision>
  <dcterms:created xsi:type="dcterms:W3CDTF">2014-12-11T07:14:00Z</dcterms:created>
  <dcterms:modified xsi:type="dcterms:W3CDTF">2014-12-11T07:22:00Z</dcterms:modified>
</cp:coreProperties>
</file>