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1D88D4" w14:textId="77777777" w:rsidR="000C61CC" w:rsidRPr="0047338E" w:rsidRDefault="000C61CC" w:rsidP="000C61CC">
      <w:pPr>
        <w:spacing w:after="0" w:line="240" w:lineRule="auto"/>
        <w:rPr>
          <w:rFonts w:ascii="Times New Roman" w:eastAsia="Times New Roman" w:hAnsi="Times New Roman" w:cs="Times New Roman"/>
        </w:rPr>
      </w:pPr>
      <w:bookmarkStart w:id="0" w:name="_GoBack"/>
      <w:bookmarkEnd w:id="0"/>
    </w:p>
    <w:p w14:paraId="0917304B" w14:textId="77777777" w:rsidR="000C61CC" w:rsidRPr="0047338E" w:rsidRDefault="000C61CC" w:rsidP="000C61CC">
      <w:pPr>
        <w:spacing w:after="0" w:line="240" w:lineRule="auto"/>
        <w:rPr>
          <w:rFonts w:ascii="Times New Roman" w:eastAsia="Times New Roman" w:hAnsi="Times New Roman" w:cs="Times New Roman"/>
        </w:rPr>
      </w:pPr>
    </w:p>
    <w:p w14:paraId="59A469B6" w14:textId="77777777" w:rsidR="000C61CC" w:rsidRPr="0047338E" w:rsidRDefault="000C61CC" w:rsidP="000C61CC">
      <w:pPr>
        <w:spacing w:after="0" w:line="240" w:lineRule="auto"/>
        <w:rPr>
          <w:rFonts w:ascii="Times New Roman" w:eastAsia="Times New Roman" w:hAnsi="Times New Roman" w:cs="Times New Roman"/>
        </w:rPr>
      </w:pPr>
    </w:p>
    <w:p w14:paraId="13785B5D" w14:textId="77777777" w:rsidR="000C61CC" w:rsidRPr="0047338E" w:rsidRDefault="000C61CC" w:rsidP="000C61CC">
      <w:pPr>
        <w:spacing w:after="0" w:line="240" w:lineRule="auto"/>
        <w:rPr>
          <w:rFonts w:ascii="Times New Roman" w:eastAsia="Times New Roman" w:hAnsi="Times New Roman" w:cs="Times New Roman"/>
        </w:rPr>
      </w:pPr>
    </w:p>
    <w:p w14:paraId="0B55B603" w14:textId="77777777" w:rsidR="000C61CC" w:rsidRPr="0047338E" w:rsidRDefault="000C61CC" w:rsidP="000C61CC">
      <w:pPr>
        <w:spacing w:after="0" w:line="240" w:lineRule="auto"/>
        <w:rPr>
          <w:rFonts w:ascii="Times New Roman" w:eastAsia="Times New Roman" w:hAnsi="Times New Roman" w:cs="Times New Roman"/>
        </w:rPr>
      </w:pPr>
    </w:p>
    <w:p w14:paraId="72343F8B" w14:textId="77777777" w:rsidR="000C61CC" w:rsidRPr="0047338E" w:rsidRDefault="000C61CC" w:rsidP="000C61CC">
      <w:pPr>
        <w:spacing w:after="0" w:line="240" w:lineRule="auto"/>
        <w:rPr>
          <w:rFonts w:ascii="Times New Roman" w:eastAsia="Times New Roman" w:hAnsi="Times New Roman" w:cs="Times New Roman"/>
        </w:rPr>
      </w:pPr>
    </w:p>
    <w:p w14:paraId="5976A903" w14:textId="77777777" w:rsidR="000C61CC" w:rsidRPr="0047338E" w:rsidRDefault="000C61CC" w:rsidP="000C61CC">
      <w:pPr>
        <w:spacing w:after="0" w:line="240" w:lineRule="auto"/>
        <w:rPr>
          <w:rFonts w:ascii="Times New Roman" w:eastAsia="Times New Roman" w:hAnsi="Times New Roman" w:cs="Times New Roman"/>
        </w:rPr>
      </w:pPr>
    </w:p>
    <w:p w14:paraId="383EB91F" w14:textId="77777777" w:rsidR="000C61CC" w:rsidRPr="0047338E" w:rsidRDefault="000C61CC" w:rsidP="000C61CC">
      <w:pPr>
        <w:spacing w:after="0" w:line="240" w:lineRule="auto"/>
        <w:rPr>
          <w:rFonts w:ascii="Times New Roman" w:eastAsia="Times New Roman" w:hAnsi="Times New Roman" w:cs="Times New Roman"/>
        </w:rPr>
      </w:pPr>
    </w:p>
    <w:p w14:paraId="5950BCB7" w14:textId="77777777" w:rsidR="000C61CC" w:rsidRPr="0047338E" w:rsidRDefault="000C61CC" w:rsidP="000C61CC">
      <w:pPr>
        <w:spacing w:after="0" w:line="240" w:lineRule="auto"/>
        <w:rPr>
          <w:rFonts w:ascii="Times New Roman" w:eastAsia="Times New Roman" w:hAnsi="Times New Roman" w:cs="Times New Roman"/>
        </w:rPr>
      </w:pPr>
    </w:p>
    <w:p w14:paraId="0964AC40" w14:textId="77777777" w:rsidR="000C61CC" w:rsidRPr="0047338E" w:rsidRDefault="000C61CC" w:rsidP="000C61CC">
      <w:pPr>
        <w:spacing w:after="0" w:line="240" w:lineRule="auto"/>
        <w:rPr>
          <w:rFonts w:ascii="Times New Roman" w:eastAsia="Times New Roman" w:hAnsi="Times New Roman" w:cs="Times New Roman"/>
        </w:rPr>
      </w:pPr>
    </w:p>
    <w:p w14:paraId="7630B8B6" w14:textId="77777777" w:rsidR="000C61CC" w:rsidRPr="0047338E" w:rsidRDefault="000C61CC" w:rsidP="000C61CC">
      <w:pPr>
        <w:spacing w:after="0" w:line="240" w:lineRule="auto"/>
        <w:rPr>
          <w:rFonts w:ascii="Times New Roman" w:eastAsia="SimSun" w:hAnsi="Times New Roman" w:cs="Times New Roman"/>
          <w:color w:val="000000"/>
        </w:rPr>
      </w:pPr>
    </w:p>
    <w:p w14:paraId="462B176D" w14:textId="77777777" w:rsidR="000C61CC" w:rsidRPr="0047338E" w:rsidRDefault="000C61CC" w:rsidP="000C61CC">
      <w:pPr>
        <w:spacing w:after="0" w:line="240" w:lineRule="auto"/>
        <w:rPr>
          <w:rFonts w:ascii="Times New Roman" w:eastAsia="SimSun" w:hAnsi="Times New Roman" w:cs="Times New Roman"/>
          <w:color w:val="000000"/>
        </w:rPr>
      </w:pPr>
    </w:p>
    <w:p w14:paraId="7E2E8D6E" w14:textId="77777777" w:rsidR="000C61CC" w:rsidRPr="0047338E" w:rsidRDefault="000C61CC" w:rsidP="000C61CC">
      <w:pPr>
        <w:spacing w:after="0" w:line="240" w:lineRule="auto"/>
        <w:rPr>
          <w:rFonts w:ascii="Times New Roman" w:eastAsia="SimSun" w:hAnsi="Times New Roman" w:cs="Times New Roman"/>
          <w:color w:val="000000"/>
        </w:rPr>
      </w:pPr>
    </w:p>
    <w:p w14:paraId="5AF4B72F" w14:textId="77777777" w:rsidR="000C61CC" w:rsidRPr="0047338E" w:rsidRDefault="000C61CC" w:rsidP="000C61CC">
      <w:pPr>
        <w:spacing w:after="0" w:line="240" w:lineRule="auto"/>
        <w:rPr>
          <w:rFonts w:ascii="Times New Roman" w:eastAsia="SimSun" w:hAnsi="Times New Roman" w:cs="Times New Roman"/>
          <w:color w:val="000000"/>
        </w:rPr>
      </w:pPr>
    </w:p>
    <w:p w14:paraId="79247A96" w14:textId="77777777" w:rsidR="000C61CC" w:rsidRPr="0047338E" w:rsidRDefault="000C61CC" w:rsidP="000C61CC">
      <w:pPr>
        <w:spacing w:after="0" w:line="240" w:lineRule="auto"/>
        <w:rPr>
          <w:rFonts w:ascii="Times New Roman" w:eastAsia="SimSun" w:hAnsi="Times New Roman" w:cs="Times New Roman"/>
          <w:color w:val="000000"/>
        </w:rPr>
      </w:pPr>
    </w:p>
    <w:p w14:paraId="077FB7A5" w14:textId="77777777" w:rsidR="000C61CC" w:rsidRPr="0047338E" w:rsidRDefault="000C61CC" w:rsidP="000C61CC">
      <w:pPr>
        <w:spacing w:after="0" w:line="240" w:lineRule="auto"/>
        <w:rPr>
          <w:rFonts w:ascii="Times New Roman" w:eastAsia="SimSun" w:hAnsi="Times New Roman" w:cs="Times New Roman"/>
          <w:color w:val="000000"/>
        </w:rPr>
      </w:pPr>
    </w:p>
    <w:p w14:paraId="49B4DED3" w14:textId="77777777" w:rsidR="000C61CC" w:rsidRPr="0047338E" w:rsidRDefault="000C61CC" w:rsidP="000C61CC">
      <w:pPr>
        <w:spacing w:after="0" w:line="240" w:lineRule="auto"/>
        <w:rPr>
          <w:rFonts w:ascii="Times New Roman" w:eastAsia="SimSun" w:hAnsi="Times New Roman" w:cs="Times New Roman"/>
          <w:color w:val="000000"/>
        </w:rPr>
      </w:pPr>
    </w:p>
    <w:p w14:paraId="3AD53319" w14:textId="77777777" w:rsidR="000C61CC" w:rsidRPr="0047338E" w:rsidRDefault="000C61CC" w:rsidP="000C61CC">
      <w:pPr>
        <w:spacing w:after="0" w:line="240" w:lineRule="auto"/>
        <w:rPr>
          <w:rFonts w:ascii="Times New Roman" w:eastAsia="SimSun" w:hAnsi="Times New Roman" w:cs="Times New Roman"/>
          <w:color w:val="000000"/>
        </w:rPr>
      </w:pPr>
    </w:p>
    <w:p w14:paraId="201615E2" w14:textId="77777777" w:rsidR="000C61CC" w:rsidRPr="0047338E" w:rsidRDefault="000C61CC" w:rsidP="000C61CC">
      <w:pPr>
        <w:spacing w:after="0" w:line="240" w:lineRule="auto"/>
        <w:rPr>
          <w:rFonts w:ascii="Times New Roman" w:eastAsia="SimSun" w:hAnsi="Times New Roman" w:cs="Times New Roman"/>
          <w:color w:val="000000"/>
        </w:rPr>
      </w:pPr>
    </w:p>
    <w:p w14:paraId="0A5243BD" w14:textId="77777777" w:rsidR="000C61CC" w:rsidRPr="0047338E" w:rsidRDefault="000C61CC" w:rsidP="000C61CC">
      <w:pPr>
        <w:spacing w:after="0" w:line="240" w:lineRule="auto"/>
        <w:rPr>
          <w:rFonts w:ascii="Times New Roman" w:eastAsia="SimSun" w:hAnsi="Times New Roman" w:cs="Times New Roman"/>
          <w:color w:val="000000"/>
        </w:rPr>
      </w:pPr>
    </w:p>
    <w:p w14:paraId="10FD6BD3" w14:textId="77777777" w:rsidR="000C61CC" w:rsidRPr="0047338E" w:rsidRDefault="000C61CC" w:rsidP="000C61CC">
      <w:pPr>
        <w:spacing w:after="0" w:line="240" w:lineRule="auto"/>
        <w:rPr>
          <w:rFonts w:ascii="Times New Roman" w:eastAsia="SimSun" w:hAnsi="Times New Roman" w:cs="Times New Roman"/>
          <w:color w:val="000000"/>
        </w:rPr>
      </w:pPr>
    </w:p>
    <w:p w14:paraId="651E4009" w14:textId="77777777" w:rsidR="000C61CC" w:rsidRPr="0047338E" w:rsidRDefault="000C61CC" w:rsidP="000C61CC">
      <w:pPr>
        <w:spacing w:after="0" w:line="240" w:lineRule="auto"/>
        <w:rPr>
          <w:rFonts w:ascii="Times New Roman" w:eastAsia="SimSun" w:hAnsi="Times New Roman" w:cs="Times New Roman"/>
          <w:color w:val="000000"/>
        </w:rPr>
      </w:pPr>
    </w:p>
    <w:p w14:paraId="548B96EC" w14:textId="77777777" w:rsidR="000C61CC" w:rsidRPr="0047338E" w:rsidRDefault="000C61CC" w:rsidP="000C61CC">
      <w:pPr>
        <w:spacing w:after="0" w:line="240" w:lineRule="auto"/>
        <w:rPr>
          <w:rFonts w:ascii="Times New Roman" w:eastAsia="SimSun" w:hAnsi="Times New Roman" w:cs="Times New Roman"/>
          <w:color w:val="000000"/>
        </w:rPr>
      </w:pPr>
    </w:p>
    <w:p w14:paraId="0A29CD08"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1" w:name="_Toc129243096"/>
      <w:bookmarkStart w:id="2" w:name="_Toc129243221"/>
      <w:r w:rsidRPr="0047338E">
        <w:rPr>
          <w:rFonts w:ascii="Times New Roman" w:eastAsia="Times New Roman" w:hAnsi="Times New Roman" w:cs="Times New Roman"/>
          <w:b/>
        </w:rPr>
        <w:t>I PRIEDAS</w:t>
      </w:r>
      <w:bookmarkEnd w:id="1"/>
      <w:bookmarkEnd w:id="2"/>
    </w:p>
    <w:p w14:paraId="00AB5199" w14:textId="77777777" w:rsidR="000C61CC" w:rsidRPr="0047338E" w:rsidRDefault="000C61CC" w:rsidP="000C61CC">
      <w:pPr>
        <w:spacing w:after="0" w:line="240" w:lineRule="auto"/>
        <w:rPr>
          <w:rFonts w:ascii="Times New Roman" w:eastAsia="SimSun" w:hAnsi="Times New Roman" w:cs="Times New Roman"/>
          <w:color w:val="000000"/>
        </w:rPr>
      </w:pPr>
    </w:p>
    <w:p w14:paraId="47661C12"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3" w:name="_Toc129243097"/>
      <w:bookmarkStart w:id="4" w:name="_Toc129243222"/>
      <w:r w:rsidRPr="0047338E">
        <w:rPr>
          <w:rFonts w:ascii="Times New Roman" w:eastAsia="Times New Roman" w:hAnsi="Times New Roman" w:cs="Times New Roman"/>
          <w:b/>
        </w:rPr>
        <w:t>PREPARATO CHARAKTERISTIKŲ SANTRAUKA</w:t>
      </w:r>
      <w:bookmarkEnd w:id="3"/>
      <w:bookmarkEnd w:id="4"/>
    </w:p>
    <w:p w14:paraId="334FAEF0" w14:textId="77777777" w:rsidR="000C61CC" w:rsidRPr="0047338E" w:rsidRDefault="000C61CC" w:rsidP="000C61CC">
      <w:pPr>
        <w:keepNext/>
        <w:tabs>
          <w:tab w:val="left" w:pos="567"/>
        </w:tabs>
        <w:spacing w:after="0" w:line="240" w:lineRule="auto"/>
        <w:ind w:left="567" w:hanging="567"/>
        <w:outlineLvl w:val="1"/>
        <w:rPr>
          <w:rFonts w:ascii="Times New Roman" w:eastAsia="Times New Roman" w:hAnsi="Times New Roman" w:cs="Times New Roman"/>
          <w:b/>
          <w:caps/>
        </w:rPr>
      </w:pPr>
      <w:r w:rsidRPr="0047338E">
        <w:rPr>
          <w:rFonts w:ascii="Times New Roman" w:eastAsia="Times New Roman" w:hAnsi="Times New Roman" w:cs="Times New Roman"/>
          <w:b/>
          <w:caps/>
        </w:rPr>
        <w:br w:type="page"/>
      </w:r>
      <w:bookmarkStart w:id="5" w:name="_Toc129243098"/>
      <w:bookmarkStart w:id="6" w:name="_Toc129243223"/>
      <w:r w:rsidRPr="0047338E">
        <w:rPr>
          <w:rFonts w:ascii="Times New Roman" w:eastAsia="Times New Roman" w:hAnsi="Times New Roman" w:cs="Times New Roman"/>
          <w:b/>
          <w:caps/>
        </w:rPr>
        <w:lastRenderedPageBreak/>
        <w:t>1.</w:t>
      </w:r>
      <w:r w:rsidRPr="0047338E">
        <w:rPr>
          <w:rFonts w:ascii="Times New Roman" w:eastAsia="Times New Roman" w:hAnsi="Times New Roman" w:cs="Times New Roman"/>
          <w:b/>
          <w:caps/>
        </w:rPr>
        <w:tab/>
        <w:t>VAISTINIO PREPARATO PAVADINIMAS</w:t>
      </w:r>
      <w:bookmarkEnd w:id="5"/>
      <w:bookmarkEnd w:id="6"/>
    </w:p>
    <w:p w14:paraId="12F70EAC" w14:textId="77777777" w:rsidR="000C61CC" w:rsidRPr="0047338E" w:rsidRDefault="000C61CC" w:rsidP="000C61CC">
      <w:pPr>
        <w:spacing w:after="0" w:line="240" w:lineRule="auto"/>
        <w:rPr>
          <w:rFonts w:ascii="Times New Roman" w:eastAsia="SimSun" w:hAnsi="Times New Roman" w:cs="Times New Roman"/>
          <w:color w:val="000000"/>
        </w:rPr>
      </w:pPr>
    </w:p>
    <w:p w14:paraId="2AFA9C0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Letrozole Accord 2,5 mg plėvele dengtos tabletės</w:t>
      </w:r>
    </w:p>
    <w:p w14:paraId="6B406D37" w14:textId="77777777" w:rsidR="000C61CC" w:rsidRPr="0047338E" w:rsidRDefault="000C61CC" w:rsidP="000C61CC">
      <w:pPr>
        <w:spacing w:after="0" w:line="240" w:lineRule="auto"/>
        <w:rPr>
          <w:rFonts w:ascii="Times New Roman" w:eastAsia="SimSun" w:hAnsi="Times New Roman" w:cs="Times New Roman"/>
          <w:color w:val="000000"/>
        </w:rPr>
      </w:pPr>
    </w:p>
    <w:p w14:paraId="21AACB6C" w14:textId="77777777" w:rsidR="000C61CC" w:rsidRPr="0047338E" w:rsidRDefault="000C61CC" w:rsidP="000C61CC">
      <w:pPr>
        <w:spacing w:after="0" w:line="240" w:lineRule="auto"/>
        <w:rPr>
          <w:rFonts w:ascii="Times New Roman" w:eastAsia="SimSun" w:hAnsi="Times New Roman" w:cs="Times New Roman"/>
          <w:color w:val="000000"/>
        </w:rPr>
      </w:pPr>
    </w:p>
    <w:p w14:paraId="304AAC34" w14:textId="77777777" w:rsidR="000C61CC" w:rsidRPr="0047338E" w:rsidRDefault="000C61CC" w:rsidP="000C61CC">
      <w:pPr>
        <w:keepNext/>
        <w:tabs>
          <w:tab w:val="left" w:pos="567"/>
        </w:tabs>
        <w:spacing w:after="0" w:line="240" w:lineRule="auto"/>
        <w:ind w:left="567" w:hanging="567"/>
        <w:outlineLvl w:val="1"/>
        <w:rPr>
          <w:rFonts w:ascii="Times New Roman" w:eastAsia="Times New Roman" w:hAnsi="Times New Roman" w:cs="Times New Roman"/>
          <w:b/>
          <w:caps/>
        </w:rPr>
      </w:pPr>
      <w:bookmarkStart w:id="7" w:name="_Toc129243099"/>
      <w:bookmarkStart w:id="8" w:name="_Toc129243224"/>
      <w:r w:rsidRPr="0047338E">
        <w:rPr>
          <w:rFonts w:ascii="Times New Roman" w:eastAsia="Times New Roman" w:hAnsi="Times New Roman" w:cs="Times New Roman"/>
          <w:b/>
          <w:caps/>
        </w:rPr>
        <w:t>2.</w:t>
      </w:r>
      <w:r w:rsidRPr="0047338E">
        <w:rPr>
          <w:rFonts w:ascii="Times New Roman" w:eastAsia="Times New Roman" w:hAnsi="Times New Roman" w:cs="Times New Roman"/>
          <w:b/>
          <w:caps/>
        </w:rPr>
        <w:tab/>
        <w:t>KOKYBINĖ IR KIEKYBINĖ SUDĖTIS</w:t>
      </w:r>
      <w:bookmarkEnd w:id="7"/>
      <w:bookmarkEnd w:id="8"/>
    </w:p>
    <w:p w14:paraId="3BBD02AF" w14:textId="77777777" w:rsidR="000C61CC" w:rsidRPr="0047338E" w:rsidRDefault="000C61CC" w:rsidP="000C61CC">
      <w:pPr>
        <w:spacing w:after="0" w:line="240" w:lineRule="auto"/>
        <w:rPr>
          <w:rFonts w:ascii="Times New Roman" w:eastAsia="SimSun" w:hAnsi="Times New Roman" w:cs="Times New Roman"/>
          <w:color w:val="000000"/>
        </w:rPr>
      </w:pPr>
    </w:p>
    <w:p w14:paraId="5D1CCB77" w14:textId="77777777" w:rsidR="000C61CC" w:rsidRPr="0047338E" w:rsidRDefault="00345D82"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Kiekvienoje </w:t>
      </w:r>
      <w:r w:rsidR="000C61CC" w:rsidRPr="0047338E">
        <w:rPr>
          <w:rFonts w:ascii="Times New Roman" w:eastAsia="SimSun" w:hAnsi="Times New Roman" w:cs="Times New Roman"/>
          <w:color w:val="000000"/>
        </w:rPr>
        <w:t>plėvele dengtoje tabletėje yra 2,5 mg letrozolo.</w:t>
      </w:r>
    </w:p>
    <w:p w14:paraId="34B6708B" w14:textId="77777777" w:rsidR="00214E92" w:rsidRPr="0047338E" w:rsidRDefault="00214E92" w:rsidP="000C61CC">
      <w:pPr>
        <w:spacing w:after="0" w:line="240" w:lineRule="auto"/>
        <w:rPr>
          <w:rFonts w:ascii="Times New Roman" w:eastAsia="SimSun" w:hAnsi="Times New Roman" w:cs="Times New Roman"/>
          <w:color w:val="000000"/>
          <w:u w:val="single"/>
        </w:rPr>
      </w:pPr>
    </w:p>
    <w:p w14:paraId="357BA6E1" w14:textId="77777777" w:rsidR="00B21EF7"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u w:val="single"/>
        </w:rPr>
        <w:t>Pagalbinė (-s) medžiaga (-os), kurios (-ių) poveikis žinomas</w:t>
      </w:r>
    </w:p>
    <w:p w14:paraId="560855F1" w14:textId="4279470E" w:rsidR="000C61CC" w:rsidRPr="0047338E" w:rsidRDefault="00B21EF7" w:rsidP="000C61CC">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w:t>
      </w:r>
      <w:r w:rsidR="00345D82" w:rsidRPr="0047338E">
        <w:rPr>
          <w:rFonts w:ascii="Times New Roman" w:eastAsia="SimSun" w:hAnsi="Times New Roman" w:cs="Times New Roman"/>
          <w:color w:val="000000"/>
        </w:rPr>
        <w:t>iek</w:t>
      </w:r>
      <w:r w:rsidR="000C61CC" w:rsidRPr="0047338E">
        <w:rPr>
          <w:rFonts w:ascii="Times New Roman" w:eastAsia="SimSun" w:hAnsi="Times New Roman" w:cs="Times New Roman"/>
          <w:color w:val="000000"/>
        </w:rPr>
        <w:t xml:space="preserve">vienoje </w:t>
      </w:r>
      <w:r>
        <w:rPr>
          <w:rFonts w:ascii="Times New Roman" w:eastAsia="SimSun" w:hAnsi="Times New Roman" w:cs="Times New Roman"/>
          <w:color w:val="000000"/>
        </w:rPr>
        <w:t xml:space="preserve">plėvele dengtoje </w:t>
      </w:r>
      <w:r w:rsidR="000C61CC" w:rsidRPr="0047338E">
        <w:rPr>
          <w:rFonts w:ascii="Times New Roman" w:eastAsia="SimSun" w:hAnsi="Times New Roman" w:cs="Times New Roman"/>
          <w:color w:val="000000"/>
        </w:rPr>
        <w:t>tabletėje yra 61,5 mg laktozės monohidrato.</w:t>
      </w:r>
    </w:p>
    <w:p w14:paraId="18D5E967" w14:textId="77777777" w:rsidR="000C61CC" w:rsidRPr="0047338E" w:rsidRDefault="000C61CC" w:rsidP="000C61CC">
      <w:pPr>
        <w:spacing w:after="0" w:line="240" w:lineRule="auto"/>
        <w:rPr>
          <w:rFonts w:ascii="Times New Roman" w:eastAsia="SimSun" w:hAnsi="Times New Roman" w:cs="Times New Roman"/>
          <w:color w:val="000000"/>
        </w:rPr>
      </w:pPr>
    </w:p>
    <w:p w14:paraId="6167C8A4"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Visos pagalbinės medžiagos išvardytos 6.1 skyriuje.</w:t>
      </w:r>
    </w:p>
    <w:p w14:paraId="65892C91" w14:textId="77777777" w:rsidR="000C61CC" w:rsidRPr="0047338E" w:rsidRDefault="000C61CC" w:rsidP="000C61CC">
      <w:pPr>
        <w:spacing w:after="0" w:line="240" w:lineRule="auto"/>
        <w:rPr>
          <w:rFonts w:ascii="Times New Roman" w:eastAsia="SimSun" w:hAnsi="Times New Roman" w:cs="Times New Roman"/>
          <w:color w:val="000000"/>
        </w:rPr>
      </w:pPr>
    </w:p>
    <w:p w14:paraId="5A7FB394" w14:textId="77777777" w:rsidR="000C61CC" w:rsidRPr="0047338E" w:rsidRDefault="000C61CC" w:rsidP="000C61CC">
      <w:pPr>
        <w:spacing w:after="0" w:line="240" w:lineRule="auto"/>
        <w:rPr>
          <w:rFonts w:ascii="Times New Roman" w:eastAsia="SimSun" w:hAnsi="Times New Roman" w:cs="Times New Roman"/>
          <w:color w:val="000000"/>
        </w:rPr>
      </w:pPr>
    </w:p>
    <w:p w14:paraId="70192D19" w14:textId="77777777" w:rsidR="000C61CC" w:rsidRPr="0047338E" w:rsidRDefault="000C61CC" w:rsidP="000C61CC">
      <w:pPr>
        <w:keepNext/>
        <w:tabs>
          <w:tab w:val="left" w:pos="567"/>
        </w:tabs>
        <w:spacing w:after="0" w:line="240" w:lineRule="auto"/>
        <w:ind w:left="567" w:hanging="567"/>
        <w:outlineLvl w:val="1"/>
        <w:rPr>
          <w:rFonts w:ascii="Times New Roman" w:eastAsia="Times New Roman" w:hAnsi="Times New Roman" w:cs="Times New Roman"/>
          <w:b/>
          <w:caps/>
        </w:rPr>
      </w:pPr>
      <w:bookmarkStart w:id="9" w:name="_Toc129243100"/>
      <w:bookmarkStart w:id="10" w:name="_Toc129243225"/>
      <w:r w:rsidRPr="0047338E">
        <w:rPr>
          <w:rFonts w:ascii="Times New Roman" w:eastAsia="Times New Roman" w:hAnsi="Times New Roman" w:cs="Times New Roman"/>
          <w:b/>
          <w:caps/>
        </w:rPr>
        <w:t>3.</w:t>
      </w:r>
      <w:r w:rsidRPr="0047338E">
        <w:rPr>
          <w:rFonts w:ascii="Times New Roman" w:eastAsia="Times New Roman" w:hAnsi="Times New Roman" w:cs="Times New Roman"/>
          <w:b/>
          <w:caps/>
        </w:rPr>
        <w:tab/>
        <w:t>FARMACINĖ FORMA</w:t>
      </w:r>
      <w:bookmarkEnd w:id="9"/>
      <w:bookmarkEnd w:id="10"/>
    </w:p>
    <w:p w14:paraId="10E40D59" w14:textId="77777777" w:rsidR="000C61CC" w:rsidRPr="0047338E" w:rsidRDefault="000C61CC" w:rsidP="000C61CC">
      <w:pPr>
        <w:spacing w:after="0" w:line="240" w:lineRule="auto"/>
        <w:rPr>
          <w:rFonts w:ascii="Times New Roman" w:eastAsia="SimSun" w:hAnsi="Times New Roman" w:cs="Times New Roman"/>
          <w:color w:val="000000"/>
        </w:rPr>
      </w:pPr>
    </w:p>
    <w:p w14:paraId="17E0CD27" w14:textId="77777777" w:rsidR="000C61CC" w:rsidRPr="0047338E" w:rsidRDefault="000C61CC" w:rsidP="000C61CC">
      <w:pPr>
        <w:spacing w:after="0" w:line="240" w:lineRule="auto"/>
        <w:rPr>
          <w:rFonts w:ascii="Times New Roman" w:eastAsia="SimSun" w:hAnsi="Times New Roman" w:cs="Times New Roman"/>
          <w:color w:val="000000"/>
          <w:shd w:val="clear" w:color="auto" w:fill="FFFFFF"/>
        </w:rPr>
      </w:pPr>
      <w:r w:rsidRPr="0047338E">
        <w:rPr>
          <w:rFonts w:ascii="Times New Roman" w:eastAsia="SimSun" w:hAnsi="Times New Roman" w:cs="Times New Roman"/>
          <w:color w:val="000000"/>
          <w:shd w:val="clear" w:color="auto" w:fill="FFFFFF"/>
        </w:rPr>
        <w:t>Plėvele dengta tabletė</w:t>
      </w:r>
    </w:p>
    <w:p w14:paraId="262AFF07" w14:textId="77777777" w:rsidR="000C61CC" w:rsidRPr="0047338E" w:rsidRDefault="000C61CC" w:rsidP="000C61CC">
      <w:pPr>
        <w:spacing w:after="0" w:line="240" w:lineRule="auto"/>
        <w:rPr>
          <w:rFonts w:ascii="Times New Roman" w:eastAsia="SimSun" w:hAnsi="Times New Roman" w:cs="Times New Roman"/>
          <w:color w:val="000000"/>
          <w:shd w:val="clear" w:color="auto" w:fill="FFFFFF"/>
        </w:rPr>
      </w:pPr>
    </w:p>
    <w:p w14:paraId="5A866950" w14:textId="518D1828" w:rsidR="000C61CC" w:rsidRPr="0047338E" w:rsidRDefault="000C61CC" w:rsidP="000C61CC">
      <w:pPr>
        <w:spacing w:after="0" w:line="240" w:lineRule="auto"/>
        <w:rPr>
          <w:rFonts w:ascii="Times New Roman" w:eastAsia="SimSun" w:hAnsi="Times New Roman" w:cs="Times New Roman"/>
          <w:color w:val="000000"/>
          <w:shd w:val="clear" w:color="auto" w:fill="FFFFFF"/>
        </w:rPr>
      </w:pPr>
      <w:r w:rsidRPr="0047338E">
        <w:rPr>
          <w:rFonts w:ascii="Times New Roman" w:eastAsia="SimSun" w:hAnsi="Times New Roman" w:cs="Times New Roman"/>
          <w:color w:val="000000"/>
          <w:shd w:val="clear" w:color="auto" w:fill="FFFFFF"/>
        </w:rPr>
        <w:t>Geltonos spalvos, apvali</w:t>
      </w:r>
      <w:r w:rsidR="00BF2920">
        <w:rPr>
          <w:rFonts w:ascii="Times New Roman" w:eastAsia="SimSun" w:hAnsi="Times New Roman" w:cs="Times New Roman"/>
          <w:color w:val="000000"/>
          <w:shd w:val="clear" w:color="auto" w:fill="FFFFFF"/>
        </w:rPr>
        <w:t>os</w:t>
      </w:r>
      <w:r w:rsidRPr="0047338E">
        <w:rPr>
          <w:rFonts w:ascii="Times New Roman" w:eastAsia="SimSun" w:hAnsi="Times New Roman" w:cs="Times New Roman"/>
          <w:color w:val="000000"/>
          <w:shd w:val="clear" w:color="auto" w:fill="FFFFFF"/>
        </w:rPr>
        <w:t>, abipus išgaubt</w:t>
      </w:r>
      <w:r w:rsidR="00BF2920">
        <w:rPr>
          <w:rFonts w:ascii="Times New Roman" w:eastAsia="SimSun" w:hAnsi="Times New Roman" w:cs="Times New Roman"/>
          <w:color w:val="000000"/>
          <w:shd w:val="clear" w:color="auto" w:fill="FFFFFF"/>
        </w:rPr>
        <w:t>os</w:t>
      </w:r>
      <w:r w:rsidRPr="0047338E">
        <w:rPr>
          <w:rFonts w:ascii="Times New Roman" w:eastAsia="SimSun" w:hAnsi="Times New Roman" w:cs="Times New Roman"/>
          <w:color w:val="000000"/>
          <w:shd w:val="clear" w:color="auto" w:fill="FFFFFF"/>
        </w:rPr>
        <w:t>, lygaus paviršiaus</w:t>
      </w:r>
      <w:r w:rsidR="00BF2920">
        <w:rPr>
          <w:rFonts w:ascii="Times New Roman" w:eastAsia="SimSun" w:hAnsi="Times New Roman" w:cs="Times New Roman"/>
          <w:color w:val="000000"/>
          <w:shd w:val="clear" w:color="auto" w:fill="FFFFFF"/>
        </w:rPr>
        <w:t xml:space="preserve">, </w:t>
      </w:r>
      <w:r w:rsidR="00BF2920" w:rsidRPr="00BF2920">
        <w:rPr>
          <w:rFonts w:ascii="Times New Roman" w:eastAsia="SimSun" w:hAnsi="Times New Roman" w:cs="Times New Roman"/>
          <w:color w:val="000000"/>
          <w:shd w:val="clear" w:color="auto" w:fill="FFFFFF"/>
        </w:rPr>
        <w:t>maždaug 6</w:t>
      </w:r>
      <w:r w:rsidR="00BF2920">
        <w:rPr>
          <w:rFonts w:ascii="Times New Roman" w:eastAsia="SimSun" w:hAnsi="Times New Roman" w:cs="Times New Roman"/>
          <w:color w:val="000000"/>
          <w:shd w:val="clear" w:color="auto" w:fill="FFFFFF"/>
        </w:rPr>
        <w:t> </w:t>
      </w:r>
      <w:r w:rsidR="00BF2920" w:rsidRPr="00BF2920">
        <w:rPr>
          <w:rFonts w:ascii="Times New Roman" w:eastAsia="SimSun" w:hAnsi="Times New Roman" w:cs="Times New Roman"/>
          <w:color w:val="000000"/>
          <w:shd w:val="clear" w:color="auto" w:fill="FFFFFF"/>
        </w:rPr>
        <w:t>mm skersmens</w:t>
      </w:r>
      <w:r w:rsidR="00BF2920">
        <w:rPr>
          <w:rFonts w:ascii="Times New Roman" w:eastAsia="SimSun" w:hAnsi="Times New Roman" w:cs="Times New Roman"/>
          <w:color w:val="000000"/>
          <w:shd w:val="clear" w:color="auto" w:fill="FFFFFF"/>
        </w:rPr>
        <w:t xml:space="preserve"> </w:t>
      </w:r>
      <w:r w:rsidRPr="0047338E">
        <w:rPr>
          <w:rFonts w:ascii="Times New Roman" w:eastAsia="SimSun" w:hAnsi="Times New Roman" w:cs="Times New Roman"/>
          <w:color w:val="000000"/>
          <w:shd w:val="clear" w:color="auto" w:fill="FFFFFF"/>
        </w:rPr>
        <w:t>plėvele dengt</w:t>
      </w:r>
      <w:r w:rsidR="00BF2920">
        <w:rPr>
          <w:rFonts w:ascii="Times New Roman" w:eastAsia="SimSun" w:hAnsi="Times New Roman" w:cs="Times New Roman"/>
          <w:color w:val="000000"/>
          <w:shd w:val="clear" w:color="auto" w:fill="FFFFFF"/>
        </w:rPr>
        <w:t>os</w:t>
      </w:r>
      <w:r w:rsidRPr="0047338E">
        <w:rPr>
          <w:rFonts w:ascii="Times New Roman" w:eastAsia="SimSun" w:hAnsi="Times New Roman" w:cs="Times New Roman"/>
          <w:color w:val="000000"/>
          <w:shd w:val="clear" w:color="auto" w:fill="FFFFFF"/>
        </w:rPr>
        <w:t xml:space="preserve"> tabletė</w:t>
      </w:r>
      <w:r w:rsidR="00BF2920">
        <w:rPr>
          <w:rFonts w:ascii="Times New Roman" w:eastAsia="SimSun" w:hAnsi="Times New Roman" w:cs="Times New Roman"/>
          <w:color w:val="000000"/>
          <w:shd w:val="clear" w:color="auto" w:fill="FFFFFF"/>
        </w:rPr>
        <w:t>s</w:t>
      </w:r>
      <w:r w:rsidRPr="0047338E">
        <w:rPr>
          <w:rFonts w:ascii="Times New Roman" w:eastAsia="SimSun" w:hAnsi="Times New Roman" w:cs="Times New Roman"/>
          <w:color w:val="000000"/>
          <w:shd w:val="clear" w:color="auto" w:fill="FFFFFF"/>
        </w:rPr>
        <w:t>.</w:t>
      </w:r>
    </w:p>
    <w:p w14:paraId="7182FD9F" w14:textId="77777777" w:rsidR="000C61CC" w:rsidRPr="0047338E" w:rsidRDefault="000C61CC" w:rsidP="000C61CC">
      <w:pPr>
        <w:spacing w:after="0" w:line="240" w:lineRule="auto"/>
        <w:rPr>
          <w:rFonts w:ascii="Times New Roman" w:eastAsia="SimSun" w:hAnsi="Times New Roman" w:cs="Times New Roman"/>
          <w:color w:val="000000"/>
        </w:rPr>
      </w:pPr>
    </w:p>
    <w:p w14:paraId="4948BB9D" w14:textId="77777777" w:rsidR="000C61CC" w:rsidRPr="0047338E" w:rsidRDefault="000C61CC" w:rsidP="000C61CC">
      <w:pPr>
        <w:spacing w:after="0" w:line="240" w:lineRule="auto"/>
        <w:rPr>
          <w:rFonts w:ascii="Times New Roman" w:eastAsia="SimSun" w:hAnsi="Times New Roman" w:cs="Times New Roman"/>
          <w:color w:val="000000"/>
        </w:rPr>
      </w:pPr>
    </w:p>
    <w:p w14:paraId="065263CF" w14:textId="77777777" w:rsidR="000C61CC" w:rsidRPr="0047338E" w:rsidRDefault="000C61CC" w:rsidP="000C61CC">
      <w:pPr>
        <w:keepNext/>
        <w:tabs>
          <w:tab w:val="left" w:pos="567"/>
        </w:tabs>
        <w:spacing w:after="0" w:line="240" w:lineRule="auto"/>
        <w:ind w:left="567" w:hanging="567"/>
        <w:outlineLvl w:val="1"/>
        <w:rPr>
          <w:rFonts w:ascii="Times New Roman" w:eastAsia="Times New Roman" w:hAnsi="Times New Roman" w:cs="Times New Roman"/>
          <w:b/>
          <w:caps/>
        </w:rPr>
      </w:pPr>
      <w:bookmarkStart w:id="11" w:name="_Toc129243101"/>
      <w:bookmarkStart w:id="12" w:name="_Toc129243226"/>
      <w:r w:rsidRPr="0047338E">
        <w:rPr>
          <w:rFonts w:ascii="Times New Roman" w:eastAsia="Times New Roman" w:hAnsi="Times New Roman" w:cs="Times New Roman"/>
          <w:b/>
          <w:caps/>
        </w:rPr>
        <w:t>4.</w:t>
      </w:r>
      <w:r w:rsidRPr="0047338E">
        <w:rPr>
          <w:rFonts w:ascii="Times New Roman" w:eastAsia="Times New Roman" w:hAnsi="Times New Roman" w:cs="Times New Roman"/>
          <w:b/>
          <w:caps/>
        </w:rPr>
        <w:tab/>
        <w:t>KLINIKINĖ INFORMACIJA</w:t>
      </w:r>
      <w:bookmarkEnd w:id="11"/>
      <w:bookmarkEnd w:id="12"/>
    </w:p>
    <w:p w14:paraId="21CBB3A6" w14:textId="77777777" w:rsidR="000C61CC" w:rsidRPr="0047338E" w:rsidRDefault="000C61CC" w:rsidP="000C61CC">
      <w:pPr>
        <w:spacing w:after="0" w:line="240" w:lineRule="auto"/>
        <w:rPr>
          <w:rFonts w:ascii="Times New Roman" w:eastAsia="SimSun" w:hAnsi="Times New Roman" w:cs="Times New Roman"/>
          <w:color w:val="000000"/>
        </w:rPr>
      </w:pPr>
    </w:p>
    <w:p w14:paraId="1EB7AAAB"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13" w:name="_Toc129243102"/>
      <w:bookmarkStart w:id="14" w:name="_Toc129243227"/>
      <w:r w:rsidRPr="0047338E">
        <w:rPr>
          <w:rFonts w:ascii="Times New Roman" w:eastAsia="Times New Roman" w:hAnsi="Times New Roman" w:cs="Times New Roman"/>
          <w:b/>
        </w:rPr>
        <w:t>4.1</w:t>
      </w:r>
      <w:r w:rsidRPr="0047338E">
        <w:rPr>
          <w:rFonts w:ascii="Times New Roman" w:eastAsia="Times New Roman" w:hAnsi="Times New Roman" w:cs="Times New Roman"/>
          <w:b/>
        </w:rPr>
        <w:tab/>
        <w:t>Terapinės indikacijos</w:t>
      </w:r>
      <w:bookmarkEnd w:id="13"/>
      <w:bookmarkEnd w:id="14"/>
    </w:p>
    <w:p w14:paraId="071B20EA" w14:textId="77777777" w:rsidR="000C61CC" w:rsidRPr="0047338E" w:rsidRDefault="000C61CC" w:rsidP="000C61CC">
      <w:pPr>
        <w:spacing w:after="0" w:line="240" w:lineRule="auto"/>
        <w:rPr>
          <w:rFonts w:ascii="Times New Roman" w:eastAsia="SimSun" w:hAnsi="Times New Roman" w:cs="Times New Roman"/>
          <w:color w:val="000000"/>
        </w:rPr>
      </w:pPr>
    </w:p>
    <w:p w14:paraId="36CA6CBA" w14:textId="77777777" w:rsidR="000C61CC" w:rsidRPr="0047338E" w:rsidRDefault="00214E92"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Adjuvantinis ankstyvojo invazinio krūties vėžio, kuriame yra hormon</w:t>
      </w:r>
      <w:r w:rsidR="00D72FD8" w:rsidRPr="0047338E">
        <w:rPr>
          <w:rFonts w:ascii="Times New Roman" w:eastAsia="SimSun" w:hAnsi="Times New Roman" w:cs="Times New Roman"/>
          <w:color w:val="000000"/>
        </w:rPr>
        <w:t>ini</w:t>
      </w:r>
      <w:r w:rsidR="000C61CC" w:rsidRPr="0047338E">
        <w:rPr>
          <w:rFonts w:ascii="Times New Roman" w:eastAsia="SimSun" w:hAnsi="Times New Roman" w:cs="Times New Roman"/>
          <w:color w:val="000000"/>
        </w:rPr>
        <w:t xml:space="preserve">ų receptorių, gydymas moterims po menopauzės. </w:t>
      </w:r>
    </w:p>
    <w:p w14:paraId="0EB9EC7F" w14:textId="77777777" w:rsidR="000C61CC" w:rsidRPr="0047338E" w:rsidRDefault="00214E92"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 xml:space="preserve">Tęstinis adjuvantinis nuo hormonų priklausomo invazinio krūties vėžio gydymas po menopauzės moterims, kurioms prieš tai 5 metus taikytas įprastinis adjuvantinis gydymas tamoksifenu. </w:t>
      </w:r>
    </w:p>
    <w:p w14:paraId="0DB27E36" w14:textId="77777777" w:rsidR="000C61CC" w:rsidRPr="0047338E" w:rsidRDefault="00214E92"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 xml:space="preserve">Pirmiausia pasirenkamas progresavusio nuo hormonų priklausomo krūties vėžio gydymas moterims po menopauzės. </w:t>
      </w:r>
    </w:p>
    <w:p w14:paraId="13A08854" w14:textId="2725B732" w:rsidR="000C61CC" w:rsidRPr="0047338E" w:rsidRDefault="00214E92"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Progresavusio krūties vėžio gydymas po natūralios arba dirbtiniu būdu sukeltos pomenopauzinės endokrininės b</w:t>
      </w:r>
      <w:r w:rsidR="00FF2E9B" w:rsidRPr="0047338E">
        <w:rPr>
          <w:rFonts w:ascii="Times New Roman" w:eastAsia="SimSun" w:hAnsi="Times New Roman" w:cs="Times New Roman"/>
          <w:color w:val="000000"/>
        </w:rPr>
        <w:t>ū</w:t>
      </w:r>
      <w:r w:rsidR="000C61CC" w:rsidRPr="0047338E">
        <w:rPr>
          <w:rFonts w:ascii="Times New Roman" w:eastAsia="SimSun" w:hAnsi="Times New Roman" w:cs="Times New Roman"/>
          <w:color w:val="000000"/>
        </w:rPr>
        <w:t xml:space="preserve">klės moterims, kurios anksčiau buvo gydytos antiestrogenais, tuo atveju, jeigu vėžys atsinaujino arba progresuoja. </w:t>
      </w:r>
    </w:p>
    <w:p w14:paraId="109AC686" w14:textId="6CF1C537" w:rsidR="000C61CC" w:rsidRPr="0047338E" w:rsidRDefault="00214E92"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Neoadjuvantinis HER-2 neigiamo krūties v</w:t>
      </w:r>
      <w:r w:rsidR="00FF2E9B" w:rsidRPr="0047338E">
        <w:rPr>
          <w:rFonts w:ascii="Times New Roman" w:eastAsia="SimSun" w:hAnsi="Times New Roman" w:cs="Times New Roman"/>
          <w:color w:val="000000"/>
        </w:rPr>
        <w:t>ė</w:t>
      </w:r>
      <w:r w:rsidR="000C61CC" w:rsidRPr="0047338E">
        <w:rPr>
          <w:rFonts w:ascii="Times New Roman" w:eastAsia="SimSun" w:hAnsi="Times New Roman" w:cs="Times New Roman"/>
          <w:color w:val="000000"/>
        </w:rPr>
        <w:t>žio, kuriame yra hormonini</w:t>
      </w:r>
      <w:r w:rsidR="00D72FD8" w:rsidRPr="0047338E">
        <w:rPr>
          <w:rFonts w:ascii="Times New Roman" w:eastAsia="SimSun" w:hAnsi="Times New Roman" w:cs="Times New Roman"/>
          <w:color w:val="000000"/>
        </w:rPr>
        <w:t>ų</w:t>
      </w:r>
      <w:r w:rsidR="000C61CC" w:rsidRPr="0047338E">
        <w:rPr>
          <w:rFonts w:ascii="Times New Roman" w:eastAsia="SimSun" w:hAnsi="Times New Roman" w:cs="Times New Roman"/>
          <w:color w:val="000000"/>
        </w:rPr>
        <w:t xml:space="preserve"> receptori</w:t>
      </w:r>
      <w:r w:rsidR="00D72FD8" w:rsidRPr="0047338E">
        <w:rPr>
          <w:rFonts w:ascii="Times New Roman" w:eastAsia="SimSun" w:hAnsi="Times New Roman" w:cs="Times New Roman"/>
          <w:color w:val="000000"/>
        </w:rPr>
        <w:t>ų</w:t>
      </w:r>
      <w:r w:rsidR="000C61CC" w:rsidRPr="0047338E">
        <w:rPr>
          <w:rFonts w:ascii="Times New Roman" w:eastAsia="SimSun" w:hAnsi="Times New Roman" w:cs="Times New Roman"/>
          <w:color w:val="000000"/>
        </w:rPr>
        <w:t xml:space="preserve">, gydymas moterims po menopauzės tuo atveju, jei chemoterapija ir nedelsiamas chirurginis gydymas netinka. </w:t>
      </w:r>
    </w:p>
    <w:p w14:paraId="1CBECB83" w14:textId="77777777" w:rsidR="000C61CC" w:rsidRPr="0047338E" w:rsidRDefault="000C61CC" w:rsidP="000C61CC">
      <w:pPr>
        <w:tabs>
          <w:tab w:val="num" w:pos="0"/>
        </w:tabs>
        <w:spacing w:after="0" w:line="240" w:lineRule="auto"/>
        <w:ind w:left="567" w:hanging="567"/>
        <w:rPr>
          <w:rFonts w:ascii="Times New Roman" w:eastAsia="SimSun" w:hAnsi="Times New Roman" w:cs="Times New Roman"/>
          <w:color w:val="000000"/>
        </w:rPr>
      </w:pPr>
    </w:p>
    <w:p w14:paraId="5E922958"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lang w:eastAsia="en-GB"/>
        </w:rPr>
        <w:t xml:space="preserve">Krūties vėžio, kuriame hormoninių receptorių nėra, gydymo šiuo vaistiniu preparatu veiksmingumas </w:t>
      </w:r>
      <w:r w:rsidRPr="0047338E">
        <w:rPr>
          <w:rFonts w:ascii="Times New Roman" w:eastAsia="SimSun" w:hAnsi="Times New Roman" w:cs="Times New Roman"/>
          <w:color w:val="000000"/>
        </w:rPr>
        <w:t>neįrodytas.</w:t>
      </w:r>
    </w:p>
    <w:p w14:paraId="2848FD1F"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1323542C"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15" w:name="_Toc129243103"/>
      <w:bookmarkStart w:id="16" w:name="_Toc129243228"/>
      <w:r w:rsidRPr="0047338E">
        <w:rPr>
          <w:rFonts w:ascii="Times New Roman" w:eastAsia="Times New Roman" w:hAnsi="Times New Roman" w:cs="Times New Roman"/>
          <w:b/>
        </w:rPr>
        <w:t>4.2</w:t>
      </w:r>
      <w:r w:rsidRPr="0047338E">
        <w:rPr>
          <w:rFonts w:ascii="Times New Roman" w:eastAsia="Times New Roman" w:hAnsi="Times New Roman" w:cs="Times New Roman"/>
          <w:b/>
        </w:rPr>
        <w:tab/>
        <w:t>Dozavimas ir vartojimo metodas</w:t>
      </w:r>
      <w:bookmarkEnd w:id="15"/>
      <w:bookmarkEnd w:id="16"/>
    </w:p>
    <w:p w14:paraId="4D60E184" w14:textId="77777777" w:rsidR="000C61CC" w:rsidRPr="0047338E" w:rsidRDefault="000C61CC" w:rsidP="000C61CC">
      <w:pPr>
        <w:spacing w:after="0" w:line="240" w:lineRule="auto"/>
        <w:rPr>
          <w:rFonts w:ascii="Times New Roman" w:eastAsia="SimSun" w:hAnsi="Times New Roman" w:cs="Times New Roman"/>
          <w:color w:val="000000"/>
        </w:rPr>
      </w:pPr>
    </w:p>
    <w:p w14:paraId="18B87460"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u w:val="single"/>
        </w:rPr>
        <w:t>Dozavimas</w:t>
      </w:r>
    </w:p>
    <w:p w14:paraId="77553E2B"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u w:val="single"/>
        </w:rPr>
        <w:t xml:space="preserve">Suaugusioms ir senyvoms pacientėms </w:t>
      </w:r>
    </w:p>
    <w:p w14:paraId="1C3EF9C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Rekomenduojama letrozolo tablečių dozė yra po 2,5 mg kartą per parą. Senyvoms pacientėms dozės keisti nereikia.</w:t>
      </w:r>
    </w:p>
    <w:p w14:paraId="3700E80A" w14:textId="77777777" w:rsidR="000C61CC" w:rsidRPr="0047338E" w:rsidRDefault="000C61CC" w:rsidP="000C61CC">
      <w:pPr>
        <w:spacing w:after="0" w:line="240" w:lineRule="auto"/>
        <w:rPr>
          <w:rFonts w:ascii="Times New Roman" w:eastAsia="SimSun" w:hAnsi="Times New Roman" w:cs="Times New Roman"/>
          <w:color w:val="000000"/>
        </w:rPr>
      </w:pPr>
    </w:p>
    <w:p w14:paraId="38D2899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 vėžys progresavęs arba metastazavęs, gydymą letrozolo tabletėmis reikia tęsti tol, kol naviko progresavimas tampa akivaizdus. </w:t>
      </w:r>
    </w:p>
    <w:p w14:paraId="7FF479E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p>
    <w:p w14:paraId="60F4B6C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Skiriant adjuvantinį ar tęstinį adjuvantinį gydymą, letrozolą reikia vartoti 5 metus arba tol, kol navikas atsinaujina.</w:t>
      </w:r>
    </w:p>
    <w:p w14:paraId="2713FA6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p>
    <w:p w14:paraId="447B3284"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skiriamas adjuvantinis gydymas, galima apsvarstyti nuoseklaus gydymo schemą (2 metus vartojama letrozolo, po to 3 metus tamoksifeno) (žr. 4.4 ir 5.1 skyrius).</w:t>
      </w:r>
    </w:p>
    <w:p w14:paraId="454DC2A7" w14:textId="77777777" w:rsidR="000C61CC" w:rsidRPr="0047338E" w:rsidRDefault="000C61CC" w:rsidP="000C61CC">
      <w:pPr>
        <w:spacing w:after="0" w:line="240" w:lineRule="auto"/>
        <w:rPr>
          <w:rFonts w:ascii="Times New Roman" w:eastAsia="SimSun" w:hAnsi="Times New Roman" w:cs="Times New Roman"/>
          <w:color w:val="000000"/>
        </w:rPr>
      </w:pPr>
    </w:p>
    <w:p w14:paraId="53314C3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Neoadjuvantinio gydymo atveju letrozolo gali būti vartojama 4-8 mėnesius, siekiant nustatyti optimalų naviko sumažėjimą. Jei reakcija nėra adekvati, gydymą letrozolu reikia nutraukti bei suplanuoti operacinį gydymą ir (arba) su paciente aptarti kitokio gydymo galimybes.</w:t>
      </w:r>
    </w:p>
    <w:p w14:paraId="2544F79A" w14:textId="77777777" w:rsidR="000C61CC" w:rsidRPr="0047338E" w:rsidRDefault="000C61CC" w:rsidP="000C61CC">
      <w:pPr>
        <w:spacing w:after="0" w:line="240" w:lineRule="auto"/>
        <w:rPr>
          <w:rFonts w:ascii="Times New Roman" w:eastAsia="SimSun" w:hAnsi="Times New Roman" w:cs="Times New Roman"/>
          <w:color w:val="000000"/>
        </w:rPr>
      </w:pPr>
    </w:p>
    <w:p w14:paraId="61DB95D3"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Vaikų populiacija</w:t>
      </w:r>
    </w:p>
    <w:p w14:paraId="400FB96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tablečių vaikams ir paaugliams vartoti nerekomenduojama. Letrozolo tablečių saugumas ir veiksmingumas vaikams ir paaugliams iki 17 metų nenustatytas. Duomenų yra nedaug, dozavimo rekomendacijų pateikti negalima.</w:t>
      </w:r>
    </w:p>
    <w:p w14:paraId="3648D15A" w14:textId="77777777" w:rsidR="000C61CC" w:rsidRPr="0047338E" w:rsidRDefault="000C61CC" w:rsidP="000C61CC">
      <w:pPr>
        <w:spacing w:after="0" w:line="240" w:lineRule="auto"/>
        <w:rPr>
          <w:rFonts w:ascii="Times New Roman" w:eastAsia="SimSun" w:hAnsi="Times New Roman" w:cs="Times New Roman"/>
          <w:color w:val="000000"/>
        </w:rPr>
      </w:pPr>
    </w:p>
    <w:p w14:paraId="22944C3A"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Inkstų funkcijos sutrikimas</w:t>
      </w:r>
    </w:p>
    <w:p w14:paraId="2E3D217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Pacientėms, kurios serga inkstų nepakankamumu ir kurių kreatinino klirensas yra ≥10 ml/min., Letrozolo tablečių dozės koreguoti nereikia. Duomenų apie pacienčių, kurių kreatinino klirensas mažesnis kaip 10 ml/min., gydymą nepakanka (žr. 4.4 ir 5.2 skyrius).</w:t>
      </w:r>
    </w:p>
    <w:p w14:paraId="7A38B3C1" w14:textId="77777777" w:rsidR="000C61CC" w:rsidRPr="0047338E" w:rsidRDefault="000C61CC" w:rsidP="000C61CC">
      <w:pPr>
        <w:spacing w:after="0" w:line="240" w:lineRule="auto"/>
        <w:rPr>
          <w:rFonts w:ascii="Times New Roman" w:eastAsia="SimSun" w:hAnsi="Times New Roman" w:cs="Times New Roman"/>
          <w:color w:val="000000"/>
        </w:rPr>
      </w:pPr>
    </w:p>
    <w:p w14:paraId="6C54ECCB"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Kepenų funkcijos sutrikimas</w:t>
      </w:r>
    </w:p>
    <w:p w14:paraId="110D275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Pacientėms, kurioms yra lengvas ar vidutinio sunkumo kepenų nepakankamumas (A arba B pagal Child-Pugh), Letrozolo tablečių dozės koreguoti nereikia. Duomenų apie pacienčių, kurioms yra sunkus kepenų nepakankamumas, gydymą nepakanka. Ligones, kurioms yra sunkus kepenų nepakankamumas (C pagal Child-Pugh), būtina atidžiai stebėti (žr. 4.4 ir 5.2 skyrius).</w:t>
      </w:r>
    </w:p>
    <w:p w14:paraId="40AB680F" w14:textId="77777777" w:rsidR="000C61CC" w:rsidRPr="0047338E" w:rsidRDefault="000C61CC" w:rsidP="000C61CC">
      <w:pPr>
        <w:spacing w:after="0" w:line="240" w:lineRule="auto"/>
        <w:rPr>
          <w:rFonts w:ascii="Times New Roman" w:eastAsia="SimSun" w:hAnsi="Times New Roman" w:cs="Times New Roman"/>
          <w:color w:val="000000"/>
        </w:rPr>
      </w:pPr>
    </w:p>
    <w:p w14:paraId="0AC3E26A"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Vartojimo metodas</w:t>
      </w:r>
    </w:p>
    <w:p w14:paraId="17D1C39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tabletes reikia vartoti per burną ir galima vartoti valgant arba nevalgant.</w:t>
      </w:r>
      <w:r w:rsidRPr="0047338E" w:rsidDel="009A3755">
        <w:rPr>
          <w:rFonts w:ascii="Times New Roman" w:eastAsia="SimSun" w:hAnsi="Times New Roman" w:cs="Times New Roman"/>
          <w:color w:val="000000"/>
        </w:rPr>
        <w:t xml:space="preserve"> </w:t>
      </w:r>
    </w:p>
    <w:p w14:paraId="654A4655" w14:textId="77777777" w:rsidR="000C61CC" w:rsidRPr="0047338E" w:rsidRDefault="000C61CC" w:rsidP="000C61CC">
      <w:pPr>
        <w:spacing w:after="0" w:line="240" w:lineRule="auto"/>
        <w:rPr>
          <w:rFonts w:ascii="Times New Roman" w:eastAsia="SimSun" w:hAnsi="Times New Roman" w:cs="Times New Roman"/>
          <w:color w:val="000000"/>
        </w:rPr>
      </w:pPr>
    </w:p>
    <w:p w14:paraId="6D792516" w14:textId="77777777" w:rsidR="000C61CC" w:rsidRPr="0047338E" w:rsidRDefault="000C61CC" w:rsidP="000C61CC">
      <w:pPr>
        <w:widowControl w:val="0"/>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Praleistą dozę reikia išgerti iškart pacientei prisiminus.</w:t>
      </w:r>
      <w:r w:rsidRPr="0047338E">
        <w:rPr>
          <w:rFonts w:ascii="Times New Roman" w:eastAsia="Times New Roman" w:hAnsi="Times New Roman" w:cs="Times New Roman"/>
          <w:b/>
          <w:color w:val="222222"/>
          <w:kern w:val="28"/>
        </w:rPr>
        <w:t xml:space="preserve"> </w:t>
      </w:r>
      <w:r w:rsidRPr="0047338E">
        <w:rPr>
          <w:rFonts w:ascii="Times New Roman" w:eastAsia="Times New Roman" w:hAnsi="Times New Roman" w:cs="Times New Roman"/>
          <w:color w:val="222222"/>
        </w:rPr>
        <w:t>Tačiau, jei jau laikas vartoti kitą dozę (po 2 ar 3 valandų), tai praleistos dozės gerti nereikia, ir toliau vartoti įprastu režimu. Nereikia vartoti dvigubos dozės, nes buvo stebėtas padidėjęs proporcingumas sisteminėje ekspozicijoje, vartojant paros dozę didesnę kaip 2,5 mg rekomenduojamos dozės (žr. 5.2 skyrių).</w:t>
      </w:r>
      <w:r w:rsidRPr="0047338E">
        <w:rPr>
          <w:rFonts w:ascii="Times New Roman" w:eastAsia="Times New Roman" w:hAnsi="Times New Roman" w:cs="Times New Roman"/>
        </w:rPr>
        <w:t xml:space="preserve"> </w:t>
      </w:r>
    </w:p>
    <w:p w14:paraId="5B90A0A5" w14:textId="77777777" w:rsidR="000C61CC" w:rsidRPr="0047338E" w:rsidRDefault="000C61CC" w:rsidP="000C61CC">
      <w:pPr>
        <w:spacing w:after="0" w:line="240" w:lineRule="auto"/>
        <w:rPr>
          <w:rFonts w:ascii="Times New Roman" w:eastAsia="SimSun" w:hAnsi="Times New Roman" w:cs="Times New Roman"/>
          <w:color w:val="000000"/>
        </w:rPr>
      </w:pPr>
    </w:p>
    <w:p w14:paraId="566FCA42"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17" w:name="_Toc129243104"/>
      <w:bookmarkStart w:id="18" w:name="_Toc129243229"/>
      <w:r w:rsidRPr="0047338E">
        <w:rPr>
          <w:rFonts w:ascii="Times New Roman" w:eastAsia="Times New Roman" w:hAnsi="Times New Roman" w:cs="Times New Roman"/>
          <w:b/>
        </w:rPr>
        <w:t>4.3</w:t>
      </w:r>
      <w:r w:rsidRPr="0047338E">
        <w:rPr>
          <w:rFonts w:ascii="Times New Roman" w:eastAsia="Times New Roman" w:hAnsi="Times New Roman" w:cs="Times New Roman"/>
          <w:b/>
        </w:rPr>
        <w:tab/>
        <w:t>Kontraindikacijos</w:t>
      </w:r>
      <w:bookmarkEnd w:id="17"/>
      <w:bookmarkEnd w:id="18"/>
    </w:p>
    <w:p w14:paraId="19AF2A88" w14:textId="77777777" w:rsidR="000C61CC" w:rsidRPr="0047338E" w:rsidRDefault="000C61CC" w:rsidP="000C61CC">
      <w:pPr>
        <w:spacing w:after="0" w:line="240" w:lineRule="auto"/>
        <w:rPr>
          <w:rFonts w:ascii="Times New Roman" w:eastAsia="SimSun" w:hAnsi="Times New Roman" w:cs="Times New Roman"/>
          <w:color w:val="000000"/>
        </w:rPr>
      </w:pPr>
    </w:p>
    <w:p w14:paraId="6FFF741A" w14:textId="77777777" w:rsidR="000C61CC" w:rsidRPr="0047338E" w:rsidRDefault="000C61CC" w:rsidP="000C61CC">
      <w:pPr>
        <w:numPr>
          <w:ilvl w:val="0"/>
          <w:numId w:val="2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Padidėjęs jautrumas veikliajai arba bet kuriai 6.1 skyriuje nurodytai pagalbinei medžiagai.</w:t>
      </w:r>
    </w:p>
    <w:p w14:paraId="3615FB56" w14:textId="77777777" w:rsidR="000C61CC" w:rsidRPr="0047338E" w:rsidRDefault="000C61CC" w:rsidP="000C61CC">
      <w:pPr>
        <w:numPr>
          <w:ilvl w:val="0"/>
          <w:numId w:val="2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Premenopauzinė endokrininė būklė.</w:t>
      </w:r>
    </w:p>
    <w:p w14:paraId="0457EFAF" w14:textId="77777777" w:rsidR="000C61CC" w:rsidRPr="0047338E" w:rsidRDefault="000C61CC" w:rsidP="000C61CC">
      <w:pPr>
        <w:numPr>
          <w:ilvl w:val="0"/>
          <w:numId w:val="2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Nėštumas (žr. 4.6 skyrių).</w:t>
      </w:r>
    </w:p>
    <w:p w14:paraId="3C92AD18" w14:textId="77777777" w:rsidR="000C61CC" w:rsidRPr="0047338E" w:rsidRDefault="000C61CC" w:rsidP="000C61CC">
      <w:pPr>
        <w:numPr>
          <w:ilvl w:val="0"/>
          <w:numId w:val="24"/>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Žindymo laikotarpis (žr. 4.6 skyrių).</w:t>
      </w:r>
    </w:p>
    <w:p w14:paraId="6207451D" w14:textId="77777777" w:rsidR="000C61CC" w:rsidRPr="0047338E" w:rsidRDefault="000C61CC" w:rsidP="000C61CC">
      <w:pPr>
        <w:spacing w:after="0" w:line="240" w:lineRule="auto"/>
        <w:rPr>
          <w:rFonts w:ascii="Times New Roman" w:eastAsia="SimSun" w:hAnsi="Times New Roman" w:cs="Times New Roman"/>
          <w:color w:val="000000"/>
        </w:rPr>
      </w:pPr>
    </w:p>
    <w:p w14:paraId="4BF349BE"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19" w:name="_Toc129243105"/>
      <w:bookmarkStart w:id="20" w:name="_Toc129243230"/>
      <w:r w:rsidRPr="0047338E">
        <w:rPr>
          <w:rFonts w:ascii="Times New Roman" w:eastAsia="Times New Roman" w:hAnsi="Times New Roman" w:cs="Times New Roman"/>
          <w:b/>
        </w:rPr>
        <w:t>4.4</w:t>
      </w:r>
      <w:r w:rsidRPr="0047338E">
        <w:rPr>
          <w:rFonts w:ascii="Times New Roman" w:eastAsia="Times New Roman" w:hAnsi="Times New Roman" w:cs="Times New Roman"/>
          <w:b/>
        </w:rPr>
        <w:tab/>
        <w:t>Specialūs įspėjimai ir atsargumo priemonės</w:t>
      </w:r>
      <w:bookmarkEnd w:id="19"/>
      <w:bookmarkEnd w:id="20"/>
    </w:p>
    <w:p w14:paraId="4F60E08E" w14:textId="77777777" w:rsidR="000C61CC" w:rsidRPr="0047338E" w:rsidRDefault="000C61CC" w:rsidP="000C61CC">
      <w:pPr>
        <w:spacing w:after="0" w:line="240" w:lineRule="auto"/>
        <w:rPr>
          <w:rFonts w:ascii="Times New Roman" w:eastAsia="SimSun" w:hAnsi="Times New Roman" w:cs="Times New Roman"/>
          <w:color w:val="000000"/>
        </w:rPr>
      </w:pPr>
    </w:p>
    <w:p w14:paraId="52937BF4"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Menopauzinė būklė</w:t>
      </w:r>
    </w:p>
    <w:p w14:paraId="7F072DB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Moterims, kurių menopauzinė būklė nėra aiški, prieš pradedant gydymą Letrozolo tabletėmis būtina ištirti liuteinizuojančio hormono (LH), folikulus stimuliuojančio hormono (FSH) ir (arba) estradiolio koncentraciją. Letrozolo tabletes gali vartoti tik moterys, esančios pomenopauzinėje endokrininėje būklėje.</w:t>
      </w:r>
    </w:p>
    <w:p w14:paraId="51717270" w14:textId="77777777" w:rsidR="000C61CC" w:rsidRPr="0047338E" w:rsidRDefault="000C61CC" w:rsidP="000C61CC">
      <w:pPr>
        <w:spacing w:after="0" w:line="240" w:lineRule="auto"/>
        <w:rPr>
          <w:rFonts w:ascii="Times New Roman" w:eastAsia="SimSun" w:hAnsi="Times New Roman" w:cs="Times New Roman"/>
          <w:color w:val="000000"/>
        </w:rPr>
      </w:pPr>
    </w:p>
    <w:p w14:paraId="08400BEE" w14:textId="71512679" w:rsidR="000C61CC" w:rsidRPr="0047338E" w:rsidRDefault="00D72FD8"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Sutrikusi i</w:t>
      </w:r>
      <w:r w:rsidR="000C61CC" w:rsidRPr="0047338E">
        <w:rPr>
          <w:rFonts w:ascii="Times New Roman" w:eastAsia="Times New Roman" w:hAnsi="Times New Roman" w:cs="Times New Roman"/>
          <w:i/>
        </w:rPr>
        <w:t>nkstų funkcij</w:t>
      </w:r>
      <w:r w:rsidRPr="0047338E">
        <w:rPr>
          <w:rFonts w:ascii="Times New Roman" w:eastAsia="Times New Roman" w:hAnsi="Times New Roman" w:cs="Times New Roman"/>
          <w:i/>
        </w:rPr>
        <w:t>a</w:t>
      </w:r>
      <w:r w:rsidR="000C61CC" w:rsidRPr="0047338E">
        <w:rPr>
          <w:rFonts w:ascii="Times New Roman" w:eastAsia="Times New Roman" w:hAnsi="Times New Roman" w:cs="Times New Roman"/>
          <w:i/>
        </w:rPr>
        <w:t xml:space="preserve"> </w:t>
      </w:r>
    </w:p>
    <w:p w14:paraId="1C1669C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tablečių tyrimų su pakankamu kiekiu pacienčių, kurių kreatinino klirensas yra mažesnis kaip 10 ml/min., neatlikta. Prieš skiriant Letrozolą, būtina atidžiai įvertinti galimą riziką ir naudą.</w:t>
      </w:r>
    </w:p>
    <w:p w14:paraId="22E3BEB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p>
    <w:p w14:paraId="1619709E" w14:textId="505E44C7" w:rsidR="000C61CC" w:rsidRPr="0047338E" w:rsidRDefault="00D72FD8"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Sutrikusi k</w:t>
      </w:r>
      <w:r w:rsidR="000C61CC" w:rsidRPr="0047338E">
        <w:rPr>
          <w:rFonts w:ascii="Times New Roman" w:eastAsia="Times New Roman" w:hAnsi="Times New Roman" w:cs="Times New Roman"/>
          <w:i/>
        </w:rPr>
        <w:t>epenų funkcij</w:t>
      </w:r>
      <w:r w:rsidRPr="0047338E">
        <w:rPr>
          <w:rFonts w:ascii="Times New Roman" w:eastAsia="Times New Roman" w:hAnsi="Times New Roman" w:cs="Times New Roman"/>
          <w:i/>
        </w:rPr>
        <w:t>a</w:t>
      </w:r>
    </w:p>
    <w:p w14:paraId="69021EF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Pacientėms, kurioms buvo sunkus kepenų funkcijos sutrikimas (C pagal Child-Pugh), sisteminė ekspozicija ir galutinis pusinės eliminacijos laikas buvo maždaug dvigubai didesnis nei atitinkami sveikų savanorių rodmenys. Dėl šios priežasties tokias ligones būtina atidžiai stebėti (žr. 5.2 skyrių).</w:t>
      </w:r>
    </w:p>
    <w:p w14:paraId="116A9ABD" w14:textId="77777777" w:rsidR="000C61CC" w:rsidRPr="0047338E" w:rsidRDefault="000C61CC" w:rsidP="000C61CC">
      <w:pPr>
        <w:spacing w:after="0" w:line="240" w:lineRule="auto"/>
        <w:rPr>
          <w:rFonts w:ascii="Times New Roman" w:eastAsia="SimSun" w:hAnsi="Times New Roman" w:cs="Times New Roman"/>
          <w:color w:val="000000"/>
        </w:rPr>
      </w:pPr>
    </w:p>
    <w:p w14:paraId="41BEF032"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Poveikis kaulams</w:t>
      </w:r>
    </w:p>
    <w:p w14:paraId="55117618" w14:textId="549E529A"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tabletės yra stipraus poveikio estrogenų koncentraciją mažinantis preparatas. Moterims, kurios sirgo osteoporoze ir (arba) turėjo kaulų lūžių arba kurioms yra padidėjusi osteoporozės rizika, prieš adjuvantinį ir tęstinį adjuvantinį gydymą letrozolu reikia tinkamai nustatyti mineralinį kaulų tankį bei jį stebėti gydymo metu ir po jo. Reikia pradėti tinkamą osteoporozės gydymą ar profilaktiką bei pacientę atidžiai stebėti. Jei skiriamas adjuvantinis gydymas, galima apsvarstyti nuoseklaus gydymo schemą (2 metus vartojama letrozolo, po to 3 metus tamoksifeno), atsižvelgiant į pacientės saugumo savybes (žr. 4.2, 4.8 ir 5.1 skyrius).</w:t>
      </w:r>
    </w:p>
    <w:p w14:paraId="58D3C5CB" w14:textId="4F57F382" w:rsidR="002008E4" w:rsidRPr="0047338E" w:rsidRDefault="002008E4" w:rsidP="000C61CC">
      <w:pPr>
        <w:spacing w:after="0" w:line="240" w:lineRule="auto"/>
        <w:rPr>
          <w:rFonts w:ascii="Times New Roman" w:eastAsia="SimSun" w:hAnsi="Times New Roman" w:cs="Times New Roman"/>
          <w:color w:val="000000"/>
        </w:rPr>
      </w:pPr>
    </w:p>
    <w:p w14:paraId="24B61FC1" w14:textId="77777777" w:rsidR="002008E4" w:rsidRPr="0047338E" w:rsidRDefault="002008E4" w:rsidP="002008E4">
      <w:pPr>
        <w:spacing w:after="0" w:line="240" w:lineRule="auto"/>
        <w:rPr>
          <w:rFonts w:ascii="Times New Roman" w:eastAsia="SimSun" w:hAnsi="Times New Roman" w:cs="Times New Roman"/>
          <w:i/>
          <w:iCs/>
          <w:color w:val="000000"/>
        </w:rPr>
      </w:pPr>
      <w:r w:rsidRPr="0047338E">
        <w:rPr>
          <w:rFonts w:ascii="Times New Roman" w:eastAsia="SimSun" w:hAnsi="Times New Roman" w:cs="Times New Roman"/>
          <w:i/>
          <w:iCs/>
          <w:color w:val="000000"/>
        </w:rPr>
        <w:t>Tendinitas ir sausgyslės plyšimas</w:t>
      </w:r>
    </w:p>
    <w:p w14:paraId="7C25983E" w14:textId="79ECEC67" w:rsidR="002008E4" w:rsidRPr="0047338E" w:rsidRDefault="002008E4" w:rsidP="002008E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Gali išsivystyti tendinitas ir įplyšti sausgyslė (retos nepageidaujamos reakcijos). Reikėtų atidžiai stebėti paciento būklę ir pažeistos sausgyslės atžvilgiu imtis atitinkamų priemonių (pvz., ją imobilizuoti).</w:t>
      </w:r>
    </w:p>
    <w:p w14:paraId="19EC5EF2" w14:textId="77777777" w:rsidR="000C61CC" w:rsidRPr="0047338E" w:rsidRDefault="000C61CC" w:rsidP="000C61CC">
      <w:pPr>
        <w:spacing w:after="0" w:line="240" w:lineRule="auto"/>
        <w:rPr>
          <w:rFonts w:ascii="Times New Roman" w:eastAsia="SimSun" w:hAnsi="Times New Roman" w:cs="Times New Roman"/>
          <w:color w:val="000000"/>
        </w:rPr>
      </w:pPr>
    </w:p>
    <w:p w14:paraId="1C0336CB"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Kiti įspėjimai</w:t>
      </w:r>
    </w:p>
    <w:p w14:paraId="4259CB2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tablečių nerekomenduojama vartoti kartu su tamoksifenu, kitais antiestrogenais ar preparatais, kuriuose yra estrogenų, kadangi šios medžiagos gali silpninti farmakologinį letrozolo poveikį (žr. 4.5 skyrių).</w:t>
      </w:r>
    </w:p>
    <w:p w14:paraId="09D3AD54" w14:textId="77777777" w:rsidR="000C61CC" w:rsidRPr="0047338E" w:rsidRDefault="000C61CC" w:rsidP="000C61CC">
      <w:pPr>
        <w:spacing w:after="0" w:line="240" w:lineRule="auto"/>
        <w:rPr>
          <w:rFonts w:ascii="Times New Roman" w:eastAsia="SimSun" w:hAnsi="Times New Roman" w:cs="Times New Roman"/>
          <w:color w:val="000000"/>
        </w:rPr>
      </w:pPr>
    </w:p>
    <w:p w14:paraId="18AD234B" w14:textId="1DC1E2B2" w:rsidR="000C61CC" w:rsidRDefault="00B21EF7" w:rsidP="000C61CC">
      <w:pPr>
        <w:spacing w:after="0" w:line="240" w:lineRule="auto"/>
      </w:pPr>
      <w:r w:rsidRPr="00B21EF7">
        <w:rPr>
          <w:rFonts w:ascii="Times New Roman" w:eastAsia="SimSun" w:hAnsi="Times New Roman" w:cs="Times New Roman"/>
          <w:color w:val="000000"/>
        </w:rPr>
        <w:t xml:space="preserve">Šio vaistinio preparato </w:t>
      </w:r>
      <w:r>
        <w:rPr>
          <w:rFonts w:ascii="Times New Roman" w:eastAsia="SimSun" w:hAnsi="Times New Roman" w:cs="Times New Roman"/>
          <w:color w:val="000000"/>
        </w:rPr>
        <w:t xml:space="preserve">sudėtyje </w:t>
      </w:r>
      <w:r w:rsidR="000C61CC" w:rsidRPr="0047338E">
        <w:rPr>
          <w:rFonts w:ascii="Times New Roman" w:eastAsia="SimSun" w:hAnsi="Times New Roman" w:cs="Times New Roman"/>
          <w:color w:val="000000"/>
        </w:rPr>
        <w:t>yra laktozės</w:t>
      </w:r>
      <w:r>
        <w:rPr>
          <w:rFonts w:ascii="Times New Roman" w:eastAsia="SimSun" w:hAnsi="Times New Roman" w:cs="Times New Roman"/>
          <w:color w:val="000000"/>
        </w:rPr>
        <w:t>.</w:t>
      </w:r>
      <w:r w:rsidR="000C61CC" w:rsidRPr="0047338E">
        <w:rPr>
          <w:rFonts w:ascii="Times New Roman" w:eastAsia="SimSun" w:hAnsi="Times New Roman" w:cs="Times New Roman"/>
          <w:color w:val="000000"/>
        </w:rPr>
        <w:t xml:space="preserve"> </w:t>
      </w:r>
      <w:r w:rsidRPr="00B21EF7">
        <w:rPr>
          <w:rFonts w:ascii="Times New Roman" w:eastAsia="SimSun" w:hAnsi="Times New Roman" w:cs="Times New Roman"/>
          <w:color w:val="000000"/>
        </w:rPr>
        <w:t>Šio vaistinio preparato</w:t>
      </w:r>
      <w:r w:rsidR="000C61CC" w:rsidRPr="0047338E">
        <w:rPr>
          <w:rFonts w:ascii="Times New Roman" w:eastAsia="SimSun" w:hAnsi="Times New Roman" w:cs="Times New Roman"/>
          <w:color w:val="000000"/>
        </w:rPr>
        <w:t xml:space="preserve"> </w:t>
      </w:r>
      <w:r w:rsidR="00CA1674" w:rsidRPr="0047338E">
        <w:rPr>
          <w:rFonts w:ascii="Times New Roman" w:eastAsia="SimSun" w:hAnsi="Times New Roman" w:cs="Times New Roman"/>
          <w:color w:val="000000"/>
        </w:rPr>
        <w:t>negalima</w:t>
      </w:r>
      <w:r w:rsidR="000C61CC" w:rsidRPr="0047338E">
        <w:rPr>
          <w:rFonts w:ascii="Times New Roman" w:eastAsia="SimSun" w:hAnsi="Times New Roman" w:cs="Times New Roman"/>
          <w:color w:val="000000"/>
        </w:rPr>
        <w:t xml:space="preserve"> vartoti pacientėms, kurioms nustatytas retas paveldimas sutrikimas – galaktozės netoleravimas, </w:t>
      </w:r>
      <w:r w:rsidR="00CA1674" w:rsidRPr="0047338E">
        <w:rPr>
          <w:rFonts w:ascii="Times New Roman" w:eastAsia="SimSun" w:hAnsi="Times New Roman" w:cs="Times New Roman"/>
          <w:color w:val="000000"/>
        </w:rPr>
        <w:t xml:space="preserve">visiškas </w:t>
      </w:r>
      <w:r w:rsidR="000C61CC" w:rsidRPr="0047338E">
        <w:rPr>
          <w:rFonts w:ascii="Times New Roman" w:eastAsia="SimSun" w:hAnsi="Times New Roman" w:cs="Times New Roman"/>
          <w:color w:val="000000"/>
        </w:rPr>
        <w:t>laktazės stygius arba gliukozės ir galaktozės malabsorbcija.</w:t>
      </w:r>
      <w:r w:rsidRPr="00B21EF7">
        <w:t xml:space="preserve"> </w:t>
      </w:r>
    </w:p>
    <w:p w14:paraId="0125E53E" w14:textId="16874213" w:rsidR="00B21EF7" w:rsidRPr="0047338E" w:rsidRDefault="00B21EF7" w:rsidP="000C61CC">
      <w:pPr>
        <w:spacing w:after="0" w:line="240" w:lineRule="auto"/>
        <w:rPr>
          <w:rFonts w:ascii="Times New Roman" w:eastAsia="SimSun" w:hAnsi="Times New Roman" w:cs="Times New Roman"/>
          <w:color w:val="000000"/>
        </w:rPr>
      </w:pPr>
      <w:r w:rsidRPr="00B21EF7">
        <w:rPr>
          <w:rFonts w:ascii="Times New Roman" w:eastAsia="SimSun" w:hAnsi="Times New Roman" w:cs="Times New Roman"/>
          <w:color w:val="000000"/>
        </w:rPr>
        <w:t xml:space="preserve">Šio vaistinio preparato </w:t>
      </w:r>
      <w:r>
        <w:rPr>
          <w:rFonts w:ascii="Times New Roman" w:eastAsia="SimSun" w:hAnsi="Times New Roman" w:cs="Times New Roman"/>
          <w:color w:val="000000"/>
        </w:rPr>
        <w:t xml:space="preserve">tabletėje taip pat yra </w:t>
      </w:r>
      <w:r w:rsidRPr="00B21EF7">
        <w:rPr>
          <w:rFonts w:ascii="Times New Roman" w:eastAsia="SimSun" w:hAnsi="Times New Roman" w:cs="Times New Roman"/>
          <w:color w:val="000000"/>
        </w:rPr>
        <w:t>mažiau kaip 1</w:t>
      </w:r>
      <w:r>
        <w:rPr>
          <w:rFonts w:ascii="Times New Roman" w:eastAsia="SimSun" w:hAnsi="Times New Roman" w:cs="Times New Roman"/>
          <w:color w:val="000000"/>
        </w:rPr>
        <w:t> </w:t>
      </w:r>
      <w:r w:rsidRPr="00B21EF7">
        <w:rPr>
          <w:rFonts w:ascii="Times New Roman" w:eastAsia="SimSun" w:hAnsi="Times New Roman" w:cs="Times New Roman"/>
          <w:color w:val="000000"/>
        </w:rPr>
        <w:t>mmol (23</w:t>
      </w:r>
      <w:r>
        <w:rPr>
          <w:rFonts w:ascii="Times New Roman" w:eastAsia="SimSun" w:hAnsi="Times New Roman" w:cs="Times New Roman"/>
          <w:color w:val="000000"/>
        </w:rPr>
        <w:t> </w:t>
      </w:r>
      <w:r w:rsidRPr="00B21EF7">
        <w:rPr>
          <w:rFonts w:ascii="Times New Roman" w:eastAsia="SimSun" w:hAnsi="Times New Roman" w:cs="Times New Roman"/>
          <w:color w:val="000000"/>
        </w:rPr>
        <w:t>mg) natrio, t.</w:t>
      </w:r>
      <w:r>
        <w:rPr>
          <w:rFonts w:ascii="Times New Roman" w:eastAsia="SimSun" w:hAnsi="Times New Roman" w:cs="Times New Roman"/>
          <w:color w:val="000000"/>
        </w:rPr>
        <w:t xml:space="preserve"> </w:t>
      </w:r>
      <w:r w:rsidRPr="00B21EF7">
        <w:rPr>
          <w:rFonts w:ascii="Times New Roman" w:eastAsia="SimSun" w:hAnsi="Times New Roman" w:cs="Times New Roman"/>
          <w:color w:val="000000"/>
        </w:rPr>
        <w:t>y. jis beveik neturi reikšmės.</w:t>
      </w:r>
    </w:p>
    <w:p w14:paraId="452FBB6E" w14:textId="77777777" w:rsidR="000C61CC" w:rsidRPr="0047338E" w:rsidRDefault="000C61CC" w:rsidP="000C61CC">
      <w:pPr>
        <w:spacing w:after="0" w:line="240" w:lineRule="auto"/>
        <w:rPr>
          <w:rFonts w:ascii="Times New Roman" w:eastAsia="SimSun" w:hAnsi="Times New Roman" w:cs="Times New Roman"/>
          <w:color w:val="000000"/>
        </w:rPr>
      </w:pPr>
    </w:p>
    <w:p w14:paraId="533633DE"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21" w:name="_Toc129243106"/>
      <w:bookmarkStart w:id="22" w:name="_Toc129243231"/>
      <w:r w:rsidRPr="0047338E">
        <w:rPr>
          <w:rFonts w:ascii="Times New Roman" w:eastAsia="Times New Roman" w:hAnsi="Times New Roman" w:cs="Times New Roman"/>
          <w:b/>
        </w:rPr>
        <w:t>4.5</w:t>
      </w:r>
      <w:r w:rsidRPr="0047338E">
        <w:rPr>
          <w:rFonts w:ascii="Times New Roman" w:eastAsia="Times New Roman" w:hAnsi="Times New Roman" w:cs="Times New Roman"/>
          <w:b/>
        </w:rPr>
        <w:tab/>
        <w:t>Sąveika su kitais vaistiniais preparatais ir kitokia sąveika</w:t>
      </w:r>
      <w:bookmarkEnd w:id="21"/>
      <w:bookmarkEnd w:id="22"/>
    </w:p>
    <w:p w14:paraId="61709B5F" w14:textId="77777777" w:rsidR="000C61CC" w:rsidRPr="0047338E" w:rsidRDefault="000C61CC" w:rsidP="000C61CC">
      <w:pPr>
        <w:spacing w:after="0" w:line="240" w:lineRule="auto"/>
        <w:rPr>
          <w:rFonts w:ascii="Times New Roman" w:eastAsia="SimSun" w:hAnsi="Times New Roman" w:cs="Times New Roman"/>
          <w:color w:val="000000"/>
        </w:rPr>
      </w:pPr>
    </w:p>
    <w:p w14:paraId="38056F8B" w14:textId="71A30524"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metabolizmą iš dalies sukelia CYP2A6 ir CYP3A4. Cimetidinas, t. y. silpnas nespecifinio poveikio CYP450 fermentų inhibitorius, letrozolo koncentracijos plazmoje neveikia. Stiprių CYP450 inhibitorių poveikis n</w:t>
      </w:r>
      <w:r w:rsidR="00B61221" w:rsidRPr="0047338E">
        <w:rPr>
          <w:rFonts w:ascii="Times New Roman" w:eastAsia="SimSun" w:hAnsi="Times New Roman" w:cs="Times New Roman"/>
          <w:color w:val="000000"/>
        </w:rPr>
        <w:t>ė</w:t>
      </w:r>
      <w:r w:rsidRPr="0047338E">
        <w:rPr>
          <w:rFonts w:ascii="Times New Roman" w:eastAsia="SimSun" w:hAnsi="Times New Roman" w:cs="Times New Roman"/>
          <w:color w:val="000000"/>
        </w:rPr>
        <w:t>ra žinomas.</w:t>
      </w:r>
    </w:p>
    <w:p w14:paraId="4394EDC7"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4372D3AB"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Iki šiol klinikinių duomenų apie Letrozolo tablečių vartojimą kartu su estrogenais ar kitais antivėžiniais preparatais, išskyrus tamoksifeną, nėra. Tamoksifenas, kitokie antiestrogenai arba preparatai, kuriuose yra estrogenų, gali silpninti farmakologinį letrozolo poveikį. Be to, nustatyta, kad kartu su tamoksifenu vartojamo letrozolo koncentracija plazmoje gerokai sumažėja. Letrozolo nerekomenduojama vartoti kartu su tamoksifenu, kitokiais antiestrogenais ar estrogenais.</w:t>
      </w:r>
    </w:p>
    <w:p w14:paraId="272F21F0"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5635AD5B" w14:textId="783B1382"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i/>
          <w:color w:val="000000"/>
        </w:rPr>
        <w:t>In vitro</w:t>
      </w:r>
      <w:r w:rsidRPr="0047338E">
        <w:rPr>
          <w:rFonts w:ascii="Times New Roman" w:eastAsia="SimSun" w:hAnsi="Times New Roman" w:cs="Times New Roman"/>
          <w:color w:val="000000"/>
        </w:rPr>
        <w:t xml:space="preserve"> letrozolas slopina citochromo P450 izofermentus 2A6 ir (vidutiniškai) 2C19, ta</w:t>
      </w:r>
      <w:r w:rsidR="00B61221" w:rsidRPr="0047338E">
        <w:rPr>
          <w:rFonts w:ascii="Times New Roman" w:eastAsia="SimSun" w:hAnsi="Times New Roman" w:cs="Times New Roman"/>
          <w:color w:val="000000"/>
        </w:rPr>
        <w:t>č</w:t>
      </w:r>
      <w:r w:rsidRPr="0047338E">
        <w:rPr>
          <w:rFonts w:ascii="Times New Roman" w:eastAsia="SimSun" w:hAnsi="Times New Roman" w:cs="Times New Roman"/>
          <w:color w:val="000000"/>
        </w:rPr>
        <w:t>iau klinikinė tokio poveikio reikšmė nėra žinoma. D</w:t>
      </w:r>
      <w:r w:rsidR="00B61221" w:rsidRPr="0047338E">
        <w:rPr>
          <w:rFonts w:ascii="Times New Roman" w:eastAsia="SimSun" w:hAnsi="Times New Roman" w:cs="Times New Roman"/>
          <w:color w:val="000000"/>
        </w:rPr>
        <w:t>ė</w:t>
      </w:r>
      <w:r w:rsidRPr="0047338E">
        <w:rPr>
          <w:rFonts w:ascii="Times New Roman" w:eastAsia="SimSun" w:hAnsi="Times New Roman" w:cs="Times New Roman"/>
          <w:color w:val="000000"/>
        </w:rPr>
        <w:t>l šios priežasties letrozolo reikia skirti atsargiai kartu su vaistiniais preparatais, kurių eliminacija daugiausia priklauso nuo minėtų izofermentų ir kurių terapinis indeksas yra siauras (pvz., fenitoinu, klopidogreliu).</w:t>
      </w:r>
    </w:p>
    <w:p w14:paraId="64486C99"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497B230A"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23" w:name="_Toc129243107"/>
      <w:bookmarkStart w:id="24" w:name="_Toc129243232"/>
      <w:r w:rsidRPr="0047338E">
        <w:rPr>
          <w:rFonts w:ascii="Times New Roman" w:eastAsia="Times New Roman" w:hAnsi="Times New Roman" w:cs="Times New Roman"/>
          <w:b/>
        </w:rPr>
        <w:t>4.6</w:t>
      </w:r>
      <w:r w:rsidRPr="0047338E">
        <w:rPr>
          <w:rFonts w:ascii="Times New Roman" w:eastAsia="Times New Roman" w:hAnsi="Times New Roman" w:cs="Times New Roman"/>
          <w:b/>
        </w:rPr>
        <w:tab/>
        <w:t>Vaisingumas, nėštumo ir žindymo laikotarpis</w:t>
      </w:r>
      <w:bookmarkEnd w:id="23"/>
      <w:bookmarkEnd w:id="24"/>
    </w:p>
    <w:p w14:paraId="13FC2155" w14:textId="77777777" w:rsidR="000C61CC" w:rsidRPr="0047338E" w:rsidRDefault="000C61CC" w:rsidP="000C61CC">
      <w:pPr>
        <w:spacing w:after="0" w:line="240" w:lineRule="auto"/>
        <w:rPr>
          <w:rFonts w:ascii="Times New Roman" w:eastAsia="SimSun" w:hAnsi="Times New Roman" w:cs="Times New Roman"/>
          <w:color w:val="000000"/>
        </w:rPr>
      </w:pPr>
    </w:p>
    <w:p w14:paraId="4A978688"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Moterys, kurioms yra perimenopauzinė būklė arba kurios yra vaisingo amžiaus</w:t>
      </w:r>
    </w:p>
    <w:p w14:paraId="3210E247"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tabletes galima vartoti tik toms moterims, kurioms nustatyta neabejotina pomenopauzinė būklė (žr. 4.4 skyrių). Kadangi gauta pranešimų apie moterų kiaušidžių funkcijos atsinaujinimą gydymo letrozolo metu, nepaisant neabejotinos pomenopauzinės būklės pradedant gydymą, jei reikia, gydytojas su paciente turi aptarti tinkamą kontracepciją.</w:t>
      </w:r>
    </w:p>
    <w:p w14:paraId="4CC59396" w14:textId="77777777" w:rsidR="000C61CC" w:rsidRPr="0047338E" w:rsidRDefault="000C61CC" w:rsidP="000C61CC">
      <w:pPr>
        <w:spacing w:after="0" w:line="240" w:lineRule="auto"/>
        <w:rPr>
          <w:rFonts w:ascii="Times New Roman" w:eastAsia="SimSun" w:hAnsi="Times New Roman" w:cs="Times New Roman"/>
          <w:color w:val="000000"/>
        </w:rPr>
      </w:pPr>
    </w:p>
    <w:p w14:paraId="52BBBA82"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Nėštumas</w:t>
      </w:r>
    </w:p>
    <w:p w14:paraId="06EEDEF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Remiantis patyrimu su žmonėmis, kai pastebėti pavieniai apsigimimų (lūpų suaugimas, neaiškūs lyties organai) atvejai, Letrozolo tabletės, vartojamos nėštumo metu, sukelia apsigimimų. Su gyvūnais atlikti tyrimai parodė toksinį poveikį reprodukcijai (žr. 5.3 skyrių). Letrozolo tablečių negalima vartoti nėštumo metu (žr. 4.3 ir 5.3 skyrius).</w:t>
      </w:r>
    </w:p>
    <w:p w14:paraId="14ECD6D1" w14:textId="77777777" w:rsidR="000C61CC" w:rsidRPr="0047338E" w:rsidRDefault="000C61CC" w:rsidP="000C61CC">
      <w:pPr>
        <w:spacing w:after="0" w:line="240" w:lineRule="auto"/>
        <w:rPr>
          <w:rFonts w:ascii="Times New Roman" w:eastAsia="SimSun" w:hAnsi="Times New Roman" w:cs="Times New Roman"/>
          <w:color w:val="000000"/>
        </w:rPr>
      </w:pPr>
    </w:p>
    <w:p w14:paraId="5CF9DA07"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Žindymas</w:t>
      </w:r>
    </w:p>
    <w:p w14:paraId="782E310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Nežinoma, ar letrozolas/metabolitai išsiskiria į motinos pieną. Pavojaus žindomiems naujagimiams/kūdikiams negalima atmesti. Letrozolo tablečių negalima vartoti žindymo metu (žr. 4.3 skyrių).</w:t>
      </w:r>
    </w:p>
    <w:p w14:paraId="1F1BEEBA" w14:textId="77777777" w:rsidR="000C61CC" w:rsidRPr="0047338E" w:rsidRDefault="000C61CC" w:rsidP="000C61CC">
      <w:pPr>
        <w:spacing w:after="0" w:line="240" w:lineRule="auto"/>
        <w:rPr>
          <w:rFonts w:ascii="Times New Roman" w:eastAsia="SimSun" w:hAnsi="Times New Roman" w:cs="Times New Roman"/>
          <w:color w:val="000000"/>
        </w:rPr>
      </w:pPr>
    </w:p>
    <w:p w14:paraId="0DA221ED"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Vaisingumas</w:t>
      </w:r>
    </w:p>
    <w:p w14:paraId="1FFC381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Farmakologinis letrozolo poveikis yra dėl aromatazės slopinimo pasireiškiantis estrogenų susidarymo mažėjimas. Moterims, kurioms yra premenopauzė, estrogenų sintezės slopinimas dėl grįžtamojo ryšio sukelia gonadotropino (LH, FSH) koncentracijos padidėjimą. Dėl padidėjusios FSH koncentracijos stimuliuojamas folikulų augimas ir gali pasireikšti ovuliacija. </w:t>
      </w:r>
    </w:p>
    <w:p w14:paraId="2A00D6FF" w14:textId="77777777" w:rsidR="000C61CC" w:rsidRPr="0047338E" w:rsidRDefault="000C61CC" w:rsidP="000C61CC">
      <w:pPr>
        <w:spacing w:after="0" w:line="240" w:lineRule="auto"/>
        <w:rPr>
          <w:rFonts w:ascii="Times New Roman" w:eastAsia="SimSun" w:hAnsi="Times New Roman" w:cs="Times New Roman"/>
          <w:color w:val="000000"/>
        </w:rPr>
      </w:pPr>
    </w:p>
    <w:p w14:paraId="7D44CC26"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25" w:name="_Toc129243108"/>
      <w:bookmarkStart w:id="26" w:name="_Toc129243233"/>
      <w:r w:rsidRPr="0047338E">
        <w:rPr>
          <w:rFonts w:ascii="Times New Roman" w:eastAsia="Times New Roman" w:hAnsi="Times New Roman" w:cs="Times New Roman"/>
          <w:b/>
        </w:rPr>
        <w:t>4.7</w:t>
      </w:r>
      <w:r w:rsidRPr="0047338E">
        <w:rPr>
          <w:rFonts w:ascii="Times New Roman" w:eastAsia="Times New Roman" w:hAnsi="Times New Roman" w:cs="Times New Roman"/>
          <w:b/>
        </w:rPr>
        <w:tab/>
        <w:t>Poveikis gebėjimui vairuoti ir valdyti mechanizmus</w:t>
      </w:r>
      <w:bookmarkEnd w:id="25"/>
      <w:bookmarkEnd w:id="26"/>
    </w:p>
    <w:p w14:paraId="5358D400" w14:textId="77777777" w:rsidR="000C61CC" w:rsidRPr="0047338E" w:rsidRDefault="000C61CC" w:rsidP="000C61CC">
      <w:pPr>
        <w:spacing w:after="0" w:line="240" w:lineRule="auto"/>
        <w:rPr>
          <w:rFonts w:ascii="Times New Roman" w:eastAsia="SimSun" w:hAnsi="Times New Roman" w:cs="Times New Roman"/>
          <w:color w:val="000000"/>
        </w:rPr>
      </w:pPr>
    </w:p>
    <w:p w14:paraId="11C9EA2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Letrozolo tabletės gebėjimą vairuoti ir valdyti mechanizmus veikia silpnai. Kadangi vartojant letrozolo gali pasireikšti nuovargis ir galvos svaigimas, o nedažnais atvejais ir mieguistumas, vairuoti ir valdyti mechanizmus reikia atsargiai. </w:t>
      </w:r>
    </w:p>
    <w:p w14:paraId="0A27BD92" w14:textId="77777777" w:rsidR="000C61CC" w:rsidRPr="0047338E" w:rsidRDefault="000C61CC" w:rsidP="000C61CC">
      <w:pPr>
        <w:spacing w:after="0" w:line="240" w:lineRule="auto"/>
        <w:rPr>
          <w:rFonts w:ascii="Times New Roman" w:eastAsia="SimSun" w:hAnsi="Times New Roman" w:cs="Times New Roman"/>
          <w:color w:val="000000"/>
        </w:rPr>
      </w:pPr>
    </w:p>
    <w:p w14:paraId="31A04BC1"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27" w:name="_Toc129243109"/>
      <w:bookmarkStart w:id="28" w:name="_Toc129243234"/>
      <w:r w:rsidRPr="0047338E">
        <w:rPr>
          <w:rFonts w:ascii="Times New Roman" w:eastAsia="Times New Roman" w:hAnsi="Times New Roman" w:cs="Times New Roman"/>
          <w:b/>
        </w:rPr>
        <w:t>4.8</w:t>
      </w:r>
      <w:r w:rsidRPr="0047338E">
        <w:rPr>
          <w:rFonts w:ascii="Times New Roman" w:eastAsia="Times New Roman" w:hAnsi="Times New Roman" w:cs="Times New Roman"/>
          <w:b/>
        </w:rPr>
        <w:tab/>
        <w:t>Nepageidaujamas poveikis</w:t>
      </w:r>
      <w:bookmarkEnd w:id="27"/>
      <w:bookmarkEnd w:id="28"/>
    </w:p>
    <w:p w14:paraId="6D86EA0D" w14:textId="77777777" w:rsidR="000C61CC" w:rsidRPr="0047338E" w:rsidRDefault="000C61CC" w:rsidP="000C61CC">
      <w:pPr>
        <w:spacing w:after="0" w:line="240" w:lineRule="auto"/>
        <w:rPr>
          <w:rFonts w:ascii="Times New Roman" w:eastAsia="SimSun" w:hAnsi="Times New Roman" w:cs="Times New Roman"/>
          <w:color w:val="000000"/>
        </w:rPr>
      </w:pPr>
    </w:p>
    <w:p w14:paraId="6BCDE4BD" w14:textId="77777777" w:rsidR="000C61CC" w:rsidRPr="005014CA" w:rsidRDefault="000C61CC" w:rsidP="000C61CC">
      <w:pPr>
        <w:spacing w:after="0" w:line="240" w:lineRule="auto"/>
        <w:rPr>
          <w:rFonts w:ascii="Times New Roman" w:eastAsia="SimSun" w:hAnsi="Times New Roman" w:cs="Times New Roman"/>
          <w:color w:val="000000"/>
          <w:u w:val="single"/>
        </w:rPr>
      </w:pPr>
      <w:r w:rsidRPr="005014CA">
        <w:rPr>
          <w:rFonts w:ascii="Times New Roman" w:eastAsia="SimSun" w:hAnsi="Times New Roman" w:cs="Times New Roman"/>
          <w:color w:val="000000"/>
          <w:u w:val="single"/>
        </w:rPr>
        <w:t>Saugumo duomenų santrauka</w:t>
      </w:r>
    </w:p>
    <w:p w14:paraId="54CD15C7"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nepageidaujamų reakcijų dažnis nustatytas daugiausia remiantis duomenimis, gautais klinikinių tyrimų metu.</w:t>
      </w:r>
    </w:p>
    <w:p w14:paraId="5AC95B84" w14:textId="77777777" w:rsidR="000C61CC" w:rsidRPr="0047338E" w:rsidRDefault="000C61CC" w:rsidP="000C61CC">
      <w:pPr>
        <w:spacing w:after="0" w:line="240" w:lineRule="auto"/>
        <w:rPr>
          <w:rFonts w:ascii="Times New Roman" w:eastAsia="SimSun" w:hAnsi="Times New Roman" w:cs="Times New Roman"/>
          <w:color w:val="000000"/>
        </w:rPr>
      </w:pPr>
    </w:p>
    <w:p w14:paraId="79C8CA31" w14:textId="0D684CEE"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Nepageidaujamų reakcijų atsirado apytiksliai ne daugiau ka</w:t>
      </w:r>
      <w:r w:rsidR="00B61221" w:rsidRPr="0047338E">
        <w:rPr>
          <w:rFonts w:ascii="Times New Roman" w:eastAsia="SimSun" w:hAnsi="Times New Roman" w:cs="Times New Roman"/>
          <w:color w:val="000000"/>
        </w:rPr>
        <w:t>i</w:t>
      </w:r>
      <w:r w:rsidRPr="0047338E">
        <w:rPr>
          <w:rFonts w:ascii="Times New Roman" w:eastAsia="SimSun" w:hAnsi="Times New Roman" w:cs="Times New Roman"/>
          <w:color w:val="000000"/>
        </w:rPr>
        <w:t>p trečdaliui pacienčių, kurios letrozolu buvo gydomos nuo metastazavusio vėžio, ir maždaug 80 % ligonių, kurioms buvo skiriamas adjuvantinis gydymas, įskaitant tęstinį adjuvantinį gydymą. Dauguma nepageidaujamų reakcijų atsirado per kelias pirmąsias gydymo savaites.</w:t>
      </w:r>
    </w:p>
    <w:p w14:paraId="2701A194" w14:textId="77777777" w:rsidR="000C61CC" w:rsidRPr="0047338E" w:rsidRDefault="000C61CC" w:rsidP="000C61CC">
      <w:pPr>
        <w:spacing w:after="0" w:line="240" w:lineRule="auto"/>
        <w:rPr>
          <w:rFonts w:ascii="Times New Roman" w:eastAsia="SimSun" w:hAnsi="Times New Roman" w:cs="Times New Roman"/>
          <w:color w:val="000000"/>
        </w:rPr>
      </w:pPr>
    </w:p>
    <w:p w14:paraId="04A0744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Klinikinių tyrimų metu dažniausios nepageidaujamos reakcijos buvo karščio pylimas, hipercholesterolemija, artralgija, nuovargis, sustiprėjęs prakaitavimas ir pykinimas.</w:t>
      </w:r>
    </w:p>
    <w:p w14:paraId="1A995C2D" w14:textId="77777777" w:rsidR="000C61CC" w:rsidRPr="0047338E" w:rsidRDefault="000C61CC" w:rsidP="000C61CC">
      <w:pPr>
        <w:spacing w:after="0" w:line="240" w:lineRule="auto"/>
        <w:rPr>
          <w:rFonts w:ascii="Times New Roman" w:eastAsia="SimSun" w:hAnsi="Times New Roman" w:cs="Times New Roman"/>
          <w:color w:val="000000"/>
        </w:rPr>
      </w:pPr>
    </w:p>
    <w:p w14:paraId="0871ED6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Svarbios papildomos nepageidaujamos reakcijos, galinčios pasireikšti vartojant letrozolą, yra skeleto sutrikimai, pvz., osteoporozė ir (arba) kaulų lūžiai, bei kardiovaskuliniai sutrikimai (įskaitant cerebrovaskulinius ir tromboembolinius reiškinius). Šių nepageidaujamų reakcijų dažnio apibūdinimas pateiktas 1 lentelėje.</w:t>
      </w:r>
    </w:p>
    <w:p w14:paraId="15AD9E6D" w14:textId="77777777" w:rsidR="000C61CC" w:rsidRPr="0047338E" w:rsidRDefault="000C61CC" w:rsidP="000C61CC">
      <w:pPr>
        <w:spacing w:after="0" w:line="240" w:lineRule="auto"/>
        <w:rPr>
          <w:rFonts w:ascii="Times New Roman" w:eastAsia="SimSun" w:hAnsi="Times New Roman" w:cs="Times New Roman"/>
          <w:color w:val="000000"/>
        </w:rPr>
      </w:pPr>
    </w:p>
    <w:p w14:paraId="40A387CD" w14:textId="77777777" w:rsidR="000C61CC" w:rsidRPr="005014CA" w:rsidRDefault="000C61CC" w:rsidP="000C61CC">
      <w:pPr>
        <w:spacing w:after="0" w:line="240" w:lineRule="auto"/>
        <w:rPr>
          <w:rFonts w:ascii="Times New Roman" w:eastAsia="SimSun" w:hAnsi="Times New Roman" w:cs="Times New Roman"/>
          <w:color w:val="000000"/>
          <w:u w:val="single"/>
        </w:rPr>
      </w:pPr>
      <w:r w:rsidRPr="005014CA">
        <w:rPr>
          <w:rFonts w:ascii="Times New Roman" w:eastAsia="SimSun" w:hAnsi="Times New Roman" w:cs="Times New Roman"/>
          <w:color w:val="000000"/>
          <w:u w:val="single"/>
        </w:rPr>
        <w:t>Nepageidaujamų reakcijų santrauka lentelėje</w:t>
      </w:r>
    </w:p>
    <w:p w14:paraId="5C9D92E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Nepageidaujamos reakcijos lentelės forma letrozolo nepageidaujamų reakcijų dažnis nustatytas daugiausia remiantis duomenimis, gautais klinikinių tyrimų metu.</w:t>
      </w:r>
    </w:p>
    <w:p w14:paraId="241949B6" w14:textId="77777777" w:rsidR="000C61CC" w:rsidRPr="0047338E" w:rsidRDefault="000C61CC" w:rsidP="000C61CC">
      <w:pPr>
        <w:spacing w:after="0" w:line="240" w:lineRule="auto"/>
        <w:rPr>
          <w:rFonts w:ascii="Times New Roman" w:eastAsia="SimSun" w:hAnsi="Times New Roman" w:cs="Times New Roman"/>
          <w:color w:val="000000"/>
        </w:rPr>
      </w:pPr>
    </w:p>
    <w:p w14:paraId="792DA1E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Duomenų apie 1 lentelėje išvardytas nepageidaujamas reakcijas gauta klinikinių tyrimų metu ir po Letrozole Accord pasirodymo rinkoje.</w:t>
      </w:r>
    </w:p>
    <w:p w14:paraId="66A841FA" w14:textId="77777777" w:rsidR="000C61CC" w:rsidRPr="0047338E" w:rsidRDefault="000C61CC" w:rsidP="000C61CC">
      <w:pPr>
        <w:spacing w:after="0" w:line="240" w:lineRule="auto"/>
        <w:rPr>
          <w:rFonts w:ascii="Times New Roman" w:eastAsia="SimSun" w:hAnsi="Times New Roman" w:cs="Times New Roman"/>
          <w:color w:val="000000"/>
        </w:rPr>
      </w:pPr>
    </w:p>
    <w:p w14:paraId="5FF7FCCB" w14:textId="77777777" w:rsidR="000C61CC" w:rsidRPr="0047338E" w:rsidRDefault="000C61CC" w:rsidP="000C61CC">
      <w:pPr>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 xml:space="preserve">1 lentelė </w:t>
      </w:r>
    </w:p>
    <w:p w14:paraId="47A9E3F1" w14:textId="1333F86E" w:rsidR="000C61CC" w:rsidRPr="0047338E" w:rsidRDefault="000C61CC" w:rsidP="000C61CC">
      <w:pPr>
        <w:autoSpaceDE w:val="0"/>
        <w:spacing w:after="0" w:line="240" w:lineRule="auto"/>
        <w:contextualSpacing/>
        <w:rPr>
          <w:rFonts w:ascii="Times New Roman" w:eastAsia="Times New Roman" w:hAnsi="Times New Roman" w:cs="Times New Roman"/>
          <w:snapToGrid w:val="0"/>
        </w:rPr>
      </w:pPr>
      <w:r w:rsidRPr="0047338E">
        <w:rPr>
          <w:rFonts w:ascii="Times New Roman" w:eastAsia="Times New Roman" w:hAnsi="Times New Roman" w:cs="Times New Roman"/>
          <w:snapToGrid w:val="0"/>
        </w:rPr>
        <w:t>Nepageidaujamo poveikio dažnis apibūdinamas taip: labai dažnas (≥ 1/10), dažnas (nuo ≥ 1/100 iki &lt; 1/10), nedažnas (nuo ≥ 1/1</w:t>
      </w:r>
      <w:r w:rsidR="00B21EF7">
        <w:rPr>
          <w:rFonts w:ascii="Times New Roman" w:eastAsia="Times New Roman" w:hAnsi="Times New Roman" w:cs="Times New Roman"/>
          <w:snapToGrid w:val="0"/>
        </w:rPr>
        <w:t> </w:t>
      </w:r>
      <w:r w:rsidRPr="0047338E">
        <w:rPr>
          <w:rFonts w:ascii="Times New Roman" w:eastAsia="Times New Roman" w:hAnsi="Times New Roman" w:cs="Times New Roman"/>
          <w:snapToGrid w:val="0"/>
        </w:rPr>
        <w:t>000 iki &lt; 1/100), retas (nuo ≥ 1/10</w:t>
      </w:r>
      <w:r w:rsidR="00B21EF7">
        <w:rPr>
          <w:rFonts w:ascii="Times New Roman" w:eastAsia="Times New Roman" w:hAnsi="Times New Roman" w:cs="Times New Roman"/>
          <w:snapToGrid w:val="0"/>
        </w:rPr>
        <w:t> </w:t>
      </w:r>
      <w:r w:rsidRPr="0047338E">
        <w:rPr>
          <w:rFonts w:ascii="Times New Roman" w:eastAsia="Times New Roman" w:hAnsi="Times New Roman" w:cs="Times New Roman"/>
          <w:snapToGrid w:val="0"/>
        </w:rPr>
        <w:t>000 iki &lt; 1/1</w:t>
      </w:r>
      <w:r w:rsidR="00B21EF7">
        <w:rPr>
          <w:rFonts w:ascii="Times New Roman" w:eastAsia="Times New Roman" w:hAnsi="Times New Roman" w:cs="Times New Roman"/>
          <w:snapToGrid w:val="0"/>
        </w:rPr>
        <w:t> </w:t>
      </w:r>
      <w:r w:rsidRPr="0047338E">
        <w:rPr>
          <w:rFonts w:ascii="Times New Roman" w:eastAsia="Times New Roman" w:hAnsi="Times New Roman" w:cs="Times New Roman"/>
          <w:snapToGrid w:val="0"/>
        </w:rPr>
        <w:t>000), labai retas (&lt; 1/10</w:t>
      </w:r>
      <w:r w:rsidR="00B21EF7">
        <w:rPr>
          <w:rFonts w:ascii="Times New Roman" w:eastAsia="Times New Roman" w:hAnsi="Times New Roman" w:cs="Times New Roman"/>
          <w:snapToGrid w:val="0"/>
        </w:rPr>
        <w:t> </w:t>
      </w:r>
      <w:r w:rsidRPr="0047338E">
        <w:rPr>
          <w:rFonts w:ascii="Times New Roman" w:eastAsia="Times New Roman" w:hAnsi="Times New Roman" w:cs="Times New Roman"/>
          <w:snapToGrid w:val="0"/>
        </w:rPr>
        <w:t>000) ir nežinomas (negali būti apskaičiuotas pagal turimus duomenis).</w:t>
      </w:r>
    </w:p>
    <w:p w14:paraId="5B9A797A" w14:textId="77777777" w:rsidR="000C61CC" w:rsidRPr="0047338E" w:rsidRDefault="000C61CC" w:rsidP="000C61CC">
      <w:pPr>
        <w:spacing w:after="0" w:line="240" w:lineRule="auto"/>
        <w:rPr>
          <w:rFonts w:ascii="Times New Roman" w:eastAsia="Times New Roman" w:hAnsi="Times New Roman" w:cs="Times New Roman"/>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0"/>
      </w:tblGrid>
      <w:tr w:rsidR="000C61CC" w:rsidRPr="0047338E" w14:paraId="56E64535" w14:textId="77777777" w:rsidTr="00CE38F5">
        <w:trPr>
          <w:cantSplit/>
          <w:trHeight w:val="284"/>
        </w:trPr>
        <w:tc>
          <w:tcPr>
            <w:tcW w:w="9540" w:type="dxa"/>
            <w:vAlign w:val="center"/>
          </w:tcPr>
          <w:p w14:paraId="503330DC"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Infekcijos ir infestacijos</w:t>
            </w:r>
          </w:p>
        </w:tc>
      </w:tr>
      <w:tr w:rsidR="00CE38F5" w:rsidRPr="0047338E" w14:paraId="4134FC80" w14:textId="77777777" w:rsidTr="005010B1">
        <w:trPr>
          <w:cantSplit/>
          <w:trHeight w:val="284"/>
        </w:trPr>
        <w:tc>
          <w:tcPr>
            <w:tcW w:w="9540" w:type="dxa"/>
            <w:vAlign w:val="center"/>
          </w:tcPr>
          <w:p w14:paraId="56CE3E33"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 xml:space="preserve">Nedažni: </w:t>
            </w:r>
            <w:r w:rsidRPr="0047338E">
              <w:rPr>
                <w:rFonts w:ascii="Times New Roman" w:eastAsia="Times New Roman" w:hAnsi="Times New Roman" w:cs="Times New Roman"/>
              </w:rPr>
              <w:tab/>
            </w:r>
            <w:r w:rsidRPr="0047338E">
              <w:rPr>
                <w:rFonts w:ascii="Times New Roman" w:eastAsia="Times New Roman" w:hAnsi="Times New Roman" w:cs="Times New Roman"/>
              </w:rPr>
              <w:tab/>
              <w:t>Šlapimo takų infekcija</w:t>
            </w:r>
          </w:p>
        </w:tc>
      </w:tr>
      <w:tr w:rsidR="000C61CC" w:rsidRPr="0047338E" w14:paraId="498C26DF" w14:textId="77777777" w:rsidTr="00CE38F5">
        <w:trPr>
          <w:cantSplit/>
          <w:trHeight w:val="284"/>
        </w:trPr>
        <w:tc>
          <w:tcPr>
            <w:tcW w:w="9540" w:type="dxa"/>
            <w:vAlign w:val="center"/>
          </w:tcPr>
          <w:p w14:paraId="5B7C45BC"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Gerybiniai, piktybiniai ir nepatikslinti navikai (tarp jų cistos ir polipai)</w:t>
            </w:r>
          </w:p>
        </w:tc>
      </w:tr>
      <w:tr w:rsidR="00CE38F5" w:rsidRPr="0047338E" w14:paraId="2EFC68A9" w14:textId="77777777" w:rsidTr="005010B1">
        <w:trPr>
          <w:cantSplit/>
          <w:trHeight w:val="284"/>
        </w:trPr>
        <w:tc>
          <w:tcPr>
            <w:tcW w:w="9540" w:type="dxa"/>
            <w:vAlign w:val="center"/>
          </w:tcPr>
          <w:p w14:paraId="14A592C6"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 xml:space="preserve">Naviko skausmas </w:t>
            </w:r>
            <w:r w:rsidRPr="0047338E">
              <w:rPr>
                <w:rFonts w:ascii="Times New Roman" w:eastAsia="Times New Roman" w:hAnsi="Times New Roman" w:cs="Times New Roman"/>
                <w:vertAlign w:val="superscript"/>
              </w:rPr>
              <w:t>(1)</w:t>
            </w:r>
          </w:p>
        </w:tc>
      </w:tr>
      <w:tr w:rsidR="000C61CC" w:rsidRPr="0047338E" w14:paraId="36D2F2C3" w14:textId="77777777" w:rsidTr="00CE38F5">
        <w:trPr>
          <w:cantSplit/>
          <w:trHeight w:val="284"/>
        </w:trPr>
        <w:tc>
          <w:tcPr>
            <w:tcW w:w="9540" w:type="dxa"/>
            <w:vAlign w:val="center"/>
          </w:tcPr>
          <w:p w14:paraId="226FD1DE"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Kraujo ir limfinės sistemos sutrikimai</w:t>
            </w:r>
          </w:p>
        </w:tc>
      </w:tr>
      <w:tr w:rsidR="00CE38F5" w:rsidRPr="0047338E" w14:paraId="54A92649" w14:textId="77777777" w:rsidTr="005010B1">
        <w:trPr>
          <w:cantSplit/>
          <w:trHeight w:val="284"/>
        </w:trPr>
        <w:tc>
          <w:tcPr>
            <w:tcW w:w="9540" w:type="dxa"/>
            <w:vAlign w:val="center"/>
          </w:tcPr>
          <w:p w14:paraId="47AD0BC4"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Leukopenija</w:t>
            </w:r>
          </w:p>
        </w:tc>
      </w:tr>
      <w:tr w:rsidR="000C61CC" w:rsidRPr="0047338E" w14:paraId="270A5AFB" w14:textId="77777777" w:rsidTr="00CE38F5">
        <w:trPr>
          <w:cantSplit/>
          <w:trHeight w:val="284"/>
        </w:trPr>
        <w:tc>
          <w:tcPr>
            <w:tcW w:w="9540" w:type="dxa"/>
            <w:vAlign w:val="center"/>
          </w:tcPr>
          <w:p w14:paraId="5CEDBA21"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Imuninės sistemos sutrikimai</w:t>
            </w:r>
          </w:p>
        </w:tc>
      </w:tr>
      <w:tr w:rsidR="00CE38F5" w:rsidRPr="0047338E" w14:paraId="2F41ED60" w14:textId="77777777" w:rsidTr="005010B1">
        <w:trPr>
          <w:cantSplit/>
          <w:trHeight w:val="284"/>
        </w:trPr>
        <w:tc>
          <w:tcPr>
            <w:tcW w:w="9540" w:type="dxa"/>
            <w:vAlign w:val="center"/>
          </w:tcPr>
          <w:p w14:paraId="36928D42"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Dažnis nežinomas:</w:t>
            </w:r>
            <w:r w:rsidRPr="0047338E">
              <w:rPr>
                <w:rFonts w:ascii="Times New Roman" w:eastAsia="Times New Roman" w:hAnsi="Times New Roman" w:cs="Times New Roman"/>
              </w:rPr>
              <w:tab/>
              <w:t>Anafilaksinė edema</w:t>
            </w:r>
          </w:p>
        </w:tc>
      </w:tr>
      <w:tr w:rsidR="000C61CC" w:rsidRPr="0047338E" w14:paraId="342B3CE8" w14:textId="77777777" w:rsidTr="00CE38F5">
        <w:trPr>
          <w:cantSplit/>
          <w:trHeight w:val="284"/>
        </w:trPr>
        <w:tc>
          <w:tcPr>
            <w:tcW w:w="9540" w:type="dxa"/>
            <w:vAlign w:val="center"/>
          </w:tcPr>
          <w:p w14:paraId="7B16C908"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Metabolizmo ir mitybos sutrikimai</w:t>
            </w:r>
          </w:p>
        </w:tc>
      </w:tr>
      <w:tr w:rsidR="00CE38F5" w:rsidRPr="0047338E" w14:paraId="066C4CD4" w14:textId="77777777" w:rsidTr="005010B1">
        <w:trPr>
          <w:cantSplit/>
          <w:trHeight w:val="284"/>
        </w:trPr>
        <w:tc>
          <w:tcPr>
            <w:tcW w:w="9540" w:type="dxa"/>
            <w:vAlign w:val="center"/>
          </w:tcPr>
          <w:p w14:paraId="6EB73B56"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 xml:space="preserve">Labai dažni: </w:t>
            </w:r>
            <w:r w:rsidRPr="0047338E">
              <w:rPr>
                <w:rFonts w:ascii="Times New Roman" w:eastAsia="Times New Roman" w:hAnsi="Times New Roman" w:cs="Times New Roman"/>
              </w:rPr>
              <w:tab/>
            </w:r>
            <w:r w:rsidRPr="0047338E">
              <w:rPr>
                <w:rFonts w:ascii="Times New Roman" w:eastAsia="Times New Roman" w:hAnsi="Times New Roman" w:cs="Times New Roman"/>
              </w:rPr>
              <w:tab/>
              <w:t>Hipercholesterolemija</w:t>
            </w:r>
          </w:p>
        </w:tc>
      </w:tr>
      <w:tr w:rsidR="00CE38F5" w:rsidRPr="0047338E" w14:paraId="62FA3E8E" w14:textId="77777777" w:rsidTr="005010B1">
        <w:trPr>
          <w:cantSplit/>
          <w:trHeight w:val="284"/>
        </w:trPr>
        <w:tc>
          <w:tcPr>
            <w:tcW w:w="9540" w:type="dxa"/>
            <w:vAlign w:val="center"/>
          </w:tcPr>
          <w:p w14:paraId="32257B5C" w14:textId="322276D8"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A</w:t>
            </w:r>
            <w:r w:rsidR="00B21EF7" w:rsidRPr="0047338E">
              <w:rPr>
                <w:rFonts w:ascii="Times New Roman" w:eastAsia="Times New Roman" w:hAnsi="Times New Roman" w:cs="Times New Roman"/>
              </w:rPr>
              <w:t xml:space="preserve">petito </w:t>
            </w:r>
            <w:r w:rsidR="00B21EF7">
              <w:rPr>
                <w:rFonts w:ascii="Times New Roman" w:eastAsia="Times New Roman" w:hAnsi="Times New Roman" w:cs="Times New Roman"/>
              </w:rPr>
              <w:t>sumažėjimas</w:t>
            </w:r>
            <w:r w:rsidRPr="0047338E">
              <w:rPr>
                <w:rFonts w:ascii="Times New Roman" w:eastAsia="Times New Roman" w:hAnsi="Times New Roman" w:cs="Times New Roman"/>
              </w:rPr>
              <w:t>, apetito padidėjimas</w:t>
            </w:r>
          </w:p>
        </w:tc>
      </w:tr>
      <w:tr w:rsidR="000C61CC" w:rsidRPr="0047338E" w14:paraId="6C62EFFE" w14:textId="77777777" w:rsidTr="00CE38F5">
        <w:trPr>
          <w:cantSplit/>
          <w:trHeight w:val="284"/>
        </w:trPr>
        <w:tc>
          <w:tcPr>
            <w:tcW w:w="9540" w:type="dxa"/>
            <w:vAlign w:val="center"/>
          </w:tcPr>
          <w:p w14:paraId="2259DC3E"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Psichikos sutrikimai</w:t>
            </w:r>
          </w:p>
        </w:tc>
      </w:tr>
      <w:tr w:rsidR="00CE38F5" w:rsidRPr="0047338E" w14:paraId="7282365B" w14:textId="77777777" w:rsidTr="005010B1">
        <w:trPr>
          <w:cantSplit/>
          <w:trHeight w:val="284"/>
        </w:trPr>
        <w:tc>
          <w:tcPr>
            <w:tcW w:w="9540" w:type="dxa"/>
            <w:vAlign w:val="center"/>
          </w:tcPr>
          <w:p w14:paraId="11BBF3BC" w14:textId="77777777" w:rsidR="00CE38F5" w:rsidRPr="0047338E" w:rsidRDefault="00CE38F5" w:rsidP="000C61CC">
            <w:pPr>
              <w:spacing w:after="0" w:line="240" w:lineRule="auto"/>
              <w:rPr>
                <w:rFonts w:ascii="Times New Roman" w:hAnsi="Times New Roman" w:cs="Times New Roman"/>
                <w:color w:val="000000"/>
                <w:sz w:val="24"/>
              </w:rPr>
            </w:pPr>
            <w:r w:rsidRPr="0047338E">
              <w:rPr>
                <w:rFonts w:ascii="Times New Roman" w:eastAsia="Times New Roman" w:hAnsi="Times New Roman" w:cs="Times New Roman"/>
              </w:rPr>
              <w:t xml:space="preserve">Dažni: </w:t>
            </w:r>
            <w:r w:rsidRPr="0047338E">
              <w:rPr>
                <w:rFonts w:ascii="Times New Roman" w:eastAsia="Times New Roman" w:hAnsi="Times New Roman" w:cs="Times New Roman"/>
              </w:rPr>
              <w:tab/>
            </w:r>
            <w:r w:rsidRPr="0047338E">
              <w:rPr>
                <w:rFonts w:ascii="Times New Roman" w:eastAsia="Times New Roman" w:hAnsi="Times New Roman" w:cs="Times New Roman"/>
              </w:rPr>
              <w:tab/>
            </w:r>
            <w:r w:rsidRPr="0047338E">
              <w:rPr>
                <w:rFonts w:ascii="Times New Roman" w:eastAsia="Times New Roman" w:hAnsi="Times New Roman" w:cs="Times New Roman"/>
                <w:color w:val="000000"/>
              </w:rPr>
              <w:t>Depresija</w:t>
            </w:r>
          </w:p>
        </w:tc>
      </w:tr>
      <w:tr w:rsidR="00CE38F5" w:rsidRPr="0047338E" w14:paraId="5AAEB9FA" w14:textId="77777777" w:rsidTr="005010B1">
        <w:trPr>
          <w:cantSplit/>
          <w:trHeight w:val="284"/>
        </w:trPr>
        <w:tc>
          <w:tcPr>
            <w:tcW w:w="9540" w:type="dxa"/>
            <w:vAlign w:val="center"/>
          </w:tcPr>
          <w:p w14:paraId="79194D13"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 xml:space="preserve">Nedažni: </w:t>
            </w:r>
            <w:r w:rsidRPr="0047338E">
              <w:rPr>
                <w:rFonts w:ascii="Times New Roman" w:eastAsia="Times New Roman" w:hAnsi="Times New Roman" w:cs="Times New Roman"/>
              </w:rPr>
              <w:tab/>
            </w:r>
            <w:r w:rsidRPr="0047338E">
              <w:rPr>
                <w:rFonts w:ascii="Times New Roman" w:eastAsia="Times New Roman" w:hAnsi="Times New Roman" w:cs="Times New Roman"/>
              </w:rPr>
              <w:tab/>
              <w:t xml:space="preserve">Nerimas (įskaitant nervingumą), irzlumas </w:t>
            </w:r>
          </w:p>
        </w:tc>
      </w:tr>
      <w:tr w:rsidR="000C61CC" w:rsidRPr="0047338E" w14:paraId="38CC15A3" w14:textId="77777777" w:rsidTr="00CE38F5">
        <w:trPr>
          <w:cantSplit/>
          <w:trHeight w:val="284"/>
        </w:trPr>
        <w:tc>
          <w:tcPr>
            <w:tcW w:w="9540" w:type="dxa"/>
            <w:vAlign w:val="center"/>
          </w:tcPr>
          <w:p w14:paraId="0B5436EF"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Nervų sistemos sutrikimai</w:t>
            </w:r>
          </w:p>
        </w:tc>
      </w:tr>
      <w:tr w:rsidR="00CE38F5" w:rsidRPr="0047338E" w14:paraId="5E89A893" w14:textId="77777777" w:rsidTr="005010B1">
        <w:trPr>
          <w:cantSplit/>
          <w:trHeight w:val="284"/>
        </w:trPr>
        <w:tc>
          <w:tcPr>
            <w:tcW w:w="9540" w:type="dxa"/>
            <w:vAlign w:val="center"/>
          </w:tcPr>
          <w:p w14:paraId="6DDD516D"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Galvos skausmas, svaigulys</w:t>
            </w:r>
          </w:p>
        </w:tc>
      </w:tr>
      <w:tr w:rsidR="00CE38F5" w:rsidRPr="0047338E" w14:paraId="5276822D" w14:textId="77777777" w:rsidTr="005010B1">
        <w:trPr>
          <w:cantSplit/>
          <w:trHeight w:val="284"/>
        </w:trPr>
        <w:tc>
          <w:tcPr>
            <w:tcW w:w="9540" w:type="dxa"/>
            <w:vAlign w:val="center"/>
          </w:tcPr>
          <w:p w14:paraId="275DBF09" w14:textId="6F360E70" w:rsidR="00CE38F5" w:rsidRPr="0047338E" w:rsidRDefault="00CE38F5" w:rsidP="00CE38F5">
            <w:pPr>
              <w:spacing w:after="0" w:line="240" w:lineRule="auto"/>
              <w:ind w:left="2586" w:hanging="2586"/>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 xml:space="preserve">Somnolencija, nemiga, atminties pablogėjimas, dizestezija (įskaitant paresteziją, hipoesteziją), </w:t>
            </w:r>
            <w:r w:rsidR="00B21EF7">
              <w:rPr>
                <w:rFonts w:ascii="Times New Roman" w:eastAsia="Times New Roman" w:hAnsi="Times New Roman" w:cs="Times New Roman"/>
              </w:rPr>
              <w:t>disgeusija</w:t>
            </w:r>
            <w:r w:rsidRPr="0047338E">
              <w:rPr>
                <w:rFonts w:ascii="Times New Roman" w:eastAsia="Times New Roman" w:hAnsi="Times New Roman" w:cs="Times New Roman"/>
              </w:rPr>
              <w:t>, cerebrovaskuliarinis sutrikimas, tunelinis riešo kanalo sindromas</w:t>
            </w:r>
          </w:p>
        </w:tc>
      </w:tr>
      <w:tr w:rsidR="000C61CC" w:rsidRPr="0047338E" w14:paraId="6F35818D" w14:textId="77777777" w:rsidTr="00CE38F5">
        <w:trPr>
          <w:cantSplit/>
          <w:trHeight w:val="284"/>
        </w:trPr>
        <w:tc>
          <w:tcPr>
            <w:tcW w:w="9540" w:type="dxa"/>
            <w:vAlign w:val="center"/>
          </w:tcPr>
          <w:p w14:paraId="6D5EF6F8"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Akių sutrikimai</w:t>
            </w:r>
          </w:p>
        </w:tc>
      </w:tr>
      <w:tr w:rsidR="00CE38F5" w:rsidRPr="0047338E" w14:paraId="5CFD89A1" w14:textId="77777777" w:rsidTr="005010B1">
        <w:trPr>
          <w:cantSplit/>
          <w:trHeight w:val="284"/>
        </w:trPr>
        <w:tc>
          <w:tcPr>
            <w:tcW w:w="9540" w:type="dxa"/>
            <w:vAlign w:val="center"/>
          </w:tcPr>
          <w:p w14:paraId="1C7C05F7"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Katarakta, akies dirginimas, matomo vaizdo neryškumas</w:t>
            </w:r>
          </w:p>
        </w:tc>
      </w:tr>
      <w:tr w:rsidR="000C61CC" w:rsidRPr="0047338E" w14:paraId="61690B7F" w14:textId="77777777" w:rsidTr="00CE38F5">
        <w:trPr>
          <w:cantSplit/>
          <w:trHeight w:val="284"/>
        </w:trPr>
        <w:tc>
          <w:tcPr>
            <w:tcW w:w="9540" w:type="dxa"/>
            <w:vAlign w:val="center"/>
          </w:tcPr>
          <w:p w14:paraId="00CD5CAD" w14:textId="77777777" w:rsidR="000C61CC" w:rsidRPr="0047338E" w:rsidRDefault="000C61CC" w:rsidP="000C61CC">
            <w:pPr>
              <w:spacing w:after="0" w:line="240" w:lineRule="auto"/>
              <w:rPr>
                <w:rFonts w:ascii="Times New Roman" w:eastAsia="Times New Roman" w:hAnsi="Times New Roman" w:cs="Times New Roman"/>
                <w:b/>
                <w:sz w:val="24"/>
                <w:szCs w:val="24"/>
                <w:u w:val="single"/>
              </w:rPr>
            </w:pPr>
            <w:r w:rsidRPr="0047338E">
              <w:rPr>
                <w:rFonts w:ascii="Times New Roman" w:eastAsia="Times New Roman" w:hAnsi="Times New Roman" w:cs="Times New Roman"/>
                <w:b/>
                <w:u w:val="single"/>
              </w:rPr>
              <w:t>Širdies sutrikimai</w:t>
            </w:r>
          </w:p>
        </w:tc>
      </w:tr>
      <w:tr w:rsidR="00CE38F5" w:rsidRPr="0047338E" w14:paraId="17207B97" w14:textId="77777777" w:rsidTr="005010B1">
        <w:trPr>
          <w:cantSplit/>
          <w:trHeight w:val="263"/>
        </w:trPr>
        <w:tc>
          <w:tcPr>
            <w:tcW w:w="9540" w:type="dxa"/>
            <w:vAlign w:val="center"/>
          </w:tcPr>
          <w:p w14:paraId="68BC33EA"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 xml:space="preserve">Dažni:              </w:t>
            </w:r>
            <w:r w:rsidRPr="0047338E">
              <w:rPr>
                <w:rFonts w:ascii="Times New Roman" w:eastAsia="Times New Roman" w:hAnsi="Times New Roman" w:cs="Times New Roman"/>
              </w:rPr>
              <w:tab/>
              <w:t>Palpitacija</w:t>
            </w:r>
            <w:r w:rsidRPr="0047338E">
              <w:rPr>
                <w:rFonts w:ascii="Times New Roman" w:eastAsia="Times New Roman" w:hAnsi="Times New Roman" w:cs="Times New Roman"/>
                <w:szCs w:val="24"/>
                <w:vertAlign w:val="superscript"/>
              </w:rPr>
              <w:t>1</w:t>
            </w:r>
          </w:p>
        </w:tc>
      </w:tr>
      <w:tr w:rsidR="00CE38F5" w:rsidRPr="0047338E" w14:paraId="0A3F9971" w14:textId="77777777" w:rsidTr="005010B1">
        <w:trPr>
          <w:cantSplit/>
          <w:trHeight w:val="989"/>
        </w:trPr>
        <w:tc>
          <w:tcPr>
            <w:tcW w:w="9540" w:type="dxa"/>
            <w:vAlign w:val="center"/>
          </w:tcPr>
          <w:p w14:paraId="141F279E" w14:textId="77777777" w:rsidR="00CE38F5" w:rsidRPr="0047338E" w:rsidRDefault="00CE38F5" w:rsidP="00CE38F5">
            <w:pPr>
              <w:spacing w:after="0" w:line="240" w:lineRule="auto"/>
              <w:ind w:left="2586" w:hanging="2586"/>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Tachikardija, išeminiai širdies reiškiniai (įskaitant naują ar pasunkėjusią anginą, anginą, kurią reikia gydyti chirurginiu būdu, miokardo infarktą ir miokardo išemiją).</w:t>
            </w:r>
          </w:p>
        </w:tc>
      </w:tr>
      <w:tr w:rsidR="000C61CC" w:rsidRPr="0047338E" w14:paraId="3A07419B" w14:textId="77777777" w:rsidTr="00CE38F5">
        <w:trPr>
          <w:cantSplit/>
          <w:trHeight w:val="284"/>
        </w:trPr>
        <w:tc>
          <w:tcPr>
            <w:tcW w:w="9540" w:type="dxa"/>
            <w:vAlign w:val="center"/>
          </w:tcPr>
          <w:p w14:paraId="48E5FC27" w14:textId="77777777" w:rsidR="000C61CC" w:rsidRPr="0047338E" w:rsidRDefault="000C61CC" w:rsidP="000C61CC">
            <w:pPr>
              <w:spacing w:after="0" w:line="240" w:lineRule="auto"/>
              <w:rPr>
                <w:rFonts w:ascii="Times New Roman" w:eastAsia="Times New Roman" w:hAnsi="Times New Roman" w:cs="Times New Roman"/>
                <w:b/>
                <w:sz w:val="24"/>
                <w:szCs w:val="24"/>
                <w:u w:val="single"/>
              </w:rPr>
            </w:pPr>
            <w:r w:rsidRPr="0047338E">
              <w:rPr>
                <w:rFonts w:ascii="Times New Roman" w:eastAsia="Times New Roman" w:hAnsi="Times New Roman" w:cs="Times New Roman"/>
                <w:b/>
                <w:u w:val="single"/>
              </w:rPr>
              <w:t>Kraujagyslių sutrikimai</w:t>
            </w:r>
          </w:p>
        </w:tc>
      </w:tr>
      <w:tr w:rsidR="00CE38F5" w:rsidRPr="0047338E" w14:paraId="57A635BF" w14:textId="77777777" w:rsidTr="005010B1">
        <w:trPr>
          <w:cantSplit/>
          <w:trHeight w:val="284"/>
        </w:trPr>
        <w:tc>
          <w:tcPr>
            <w:tcW w:w="9540" w:type="dxa"/>
            <w:vAlign w:val="center"/>
          </w:tcPr>
          <w:p w14:paraId="7F360D39"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Labai dažni:</w:t>
            </w:r>
            <w:r w:rsidRPr="0047338E">
              <w:rPr>
                <w:rFonts w:ascii="Times New Roman" w:eastAsia="Times New Roman" w:hAnsi="Times New Roman" w:cs="Times New Roman"/>
              </w:rPr>
              <w:tab/>
            </w:r>
            <w:r w:rsidRPr="0047338E">
              <w:rPr>
                <w:rFonts w:ascii="Times New Roman" w:eastAsia="Times New Roman" w:hAnsi="Times New Roman" w:cs="Times New Roman"/>
              </w:rPr>
              <w:tab/>
              <w:t>Karščio pylimas</w:t>
            </w:r>
          </w:p>
        </w:tc>
      </w:tr>
      <w:tr w:rsidR="00CE38F5" w:rsidRPr="0047338E" w14:paraId="2828BB22" w14:textId="77777777" w:rsidTr="005010B1">
        <w:trPr>
          <w:cantSplit/>
          <w:trHeight w:val="284"/>
        </w:trPr>
        <w:tc>
          <w:tcPr>
            <w:tcW w:w="9540" w:type="dxa"/>
            <w:vAlign w:val="center"/>
          </w:tcPr>
          <w:p w14:paraId="31B92E0F"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Hipertenzija</w:t>
            </w:r>
          </w:p>
        </w:tc>
      </w:tr>
      <w:tr w:rsidR="00CE38F5" w:rsidRPr="0047338E" w14:paraId="30D79FED" w14:textId="77777777" w:rsidTr="005010B1">
        <w:trPr>
          <w:cantSplit/>
          <w:trHeight w:val="284"/>
        </w:trPr>
        <w:tc>
          <w:tcPr>
            <w:tcW w:w="9540" w:type="dxa"/>
            <w:vAlign w:val="center"/>
          </w:tcPr>
          <w:p w14:paraId="0BB81A5A"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Tromboflebitas (įskaitant paviršinį ir giliųjų venų tromboflebitą)</w:t>
            </w:r>
          </w:p>
        </w:tc>
      </w:tr>
      <w:tr w:rsidR="00CE38F5" w:rsidRPr="0047338E" w14:paraId="40D4ADE6" w14:textId="77777777" w:rsidTr="005010B1">
        <w:trPr>
          <w:cantSplit/>
          <w:trHeight w:val="284"/>
        </w:trPr>
        <w:tc>
          <w:tcPr>
            <w:tcW w:w="9540" w:type="dxa"/>
            <w:vAlign w:val="center"/>
          </w:tcPr>
          <w:p w14:paraId="70E5F429"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Reti:</w:t>
            </w:r>
            <w:r w:rsidRPr="0047338E">
              <w:rPr>
                <w:rFonts w:ascii="Times New Roman" w:eastAsia="Times New Roman" w:hAnsi="Times New Roman" w:cs="Times New Roman"/>
              </w:rPr>
              <w:tab/>
            </w:r>
            <w:r w:rsidRPr="0047338E">
              <w:rPr>
                <w:rFonts w:ascii="Times New Roman" w:eastAsia="Times New Roman" w:hAnsi="Times New Roman" w:cs="Times New Roman"/>
              </w:rPr>
              <w:tab/>
              <w:t>Plaučių embolija, arterijos trombozė, smegenų (cerebrovaskulinis) infarktas</w:t>
            </w:r>
          </w:p>
        </w:tc>
      </w:tr>
      <w:tr w:rsidR="000C61CC" w:rsidRPr="0047338E" w14:paraId="6AAE92DB" w14:textId="77777777" w:rsidTr="00CE38F5">
        <w:trPr>
          <w:cantSplit/>
          <w:trHeight w:val="284"/>
        </w:trPr>
        <w:tc>
          <w:tcPr>
            <w:tcW w:w="9540" w:type="dxa"/>
            <w:vAlign w:val="center"/>
          </w:tcPr>
          <w:p w14:paraId="2DE5F9D8"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Kvėpavimo sistemos, krūtinės ląstos ir tarpuplaučio sutrikimai</w:t>
            </w:r>
          </w:p>
        </w:tc>
      </w:tr>
      <w:tr w:rsidR="00CE38F5" w:rsidRPr="0047338E" w14:paraId="24F9B04B" w14:textId="77777777" w:rsidTr="005010B1">
        <w:trPr>
          <w:cantSplit/>
          <w:trHeight w:val="284"/>
        </w:trPr>
        <w:tc>
          <w:tcPr>
            <w:tcW w:w="9540" w:type="dxa"/>
            <w:vAlign w:val="center"/>
          </w:tcPr>
          <w:p w14:paraId="292253E8"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Dispnėja, kosulys</w:t>
            </w:r>
          </w:p>
        </w:tc>
      </w:tr>
      <w:tr w:rsidR="000C61CC" w:rsidRPr="0047338E" w14:paraId="16419BF1" w14:textId="77777777" w:rsidTr="00CE38F5">
        <w:trPr>
          <w:cantSplit/>
          <w:trHeight w:val="284"/>
        </w:trPr>
        <w:tc>
          <w:tcPr>
            <w:tcW w:w="9540" w:type="dxa"/>
            <w:vAlign w:val="center"/>
          </w:tcPr>
          <w:p w14:paraId="62DEBE91"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Virškinimo trakto sutrikimai</w:t>
            </w:r>
          </w:p>
        </w:tc>
      </w:tr>
      <w:tr w:rsidR="00CE38F5" w:rsidRPr="0047338E" w14:paraId="4F02F0B9" w14:textId="77777777" w:rsidTr="005010B1">
        <w:trPr>
          <w:cantSplit/>
          <w:trHeight w:val="284"/>
        </w:trPr>
        <w:tc>
          <w:tcPr>
            <w:tcW w:w="9540" w:type="dxa"/>
            <w:vAlign w:val="center"/>
          </w:tcPr>
          <w:p w14:paraId="41575920" w14:textId="77777777" w:rsidR="00CE38F5" w:rsidRPr="0047338E" w:rsidRDefault="00CE38F5" w:rsidP="00CE38F5">
            <w:pPr>
              <w:spacing w:after="0" w:line="240" w:lineRule="auto"/>
              <w:ind w:left="2586" w:hanging="2586"/>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Pykinimas, dispepsija</w:t>
            </w:r>
            <w:r w:rsidRPr="0047338E">
              <w:rPr>
                <w:rFonts w:ascii="Times New Roman" w:eastAsia="Times New Roman" w:hAnsi="Times New Roman" w:cs="Times New Roman"/>
                <w:vertAlign w:val="superscript"/>
              </w:rPr>
              <w:t>1</w:t>
            </w:r>
            <w:r w:rsidRPr="0047338E">
              <w:rPr>
                <w:rFonts w:ascii="Times New Roman" w:eastAsia="Times New Roman" w:hAnsi="Times New Roman" w:cs="Times New Roman"/>
              </w:rPr>
              <w:t>, vidurių užkietėjimas, pilvo skausmas, viduriavimas, vėmimas</w:t>
            </w:r>
          </w:p>
        </w:tc>
      </w:tr>
      <w:tr w:rsidR="00CE38F5" w:rsidRPr="0047338E" w14:paraId="6D08730D" w14:textId="77777777" w:rsidTr="005010B1">
        <w:trPr>
          <w:cantSplit/>
          <w:trHeight w:val="284"/>
        </w:trPr>
        <w:tc>
          <w:tcPr>
            <w:tcW w:w="9540" w:type="dxa"/>
            <w:vAlign w:val="center"/>
          </w:tcPr>
          <w:p w14:paraId="3F70FF8C" w14:textId="77777777" w:rsidR="00CE38F5" w:rsidRPr="0047338E" w:rsidRDefault="00CE38F5" w:rsidP="000C61CC">
            <w:pPr>
              <w:spacing w:after="0" w:line="240" w:lineRule="auto"/>
              <w:rPr>
                <w:rFonts w:ascii="Times New Roman" w:hAnsi="Times New Roman" w:cs="Times New Roman"/>
                <w:sz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Burnos džiūvimas, stomatitas</w:t>
            </w:r>
            <w:r w:rsidRPr="0047338E">
              <w:rPr>
                <w:rFonts w:ascii="Times New Roman" w:eastAsia="Times New Roman" w:hAnsi="Times New Roman" w:cs="Times New Roman"/>
                <w:vertAlign w:val="superscript"/>
              </w:rPr>
              <w:t>1</w:t>
            </w:r>
          </w:p>
        </w:tc>
      </w:tr>
      <w:tr w:rsidR="000C61CC" w:rsidRPr="0047338E" w14:paraId="3EE4A212" w14:textId="77777777" w:rsidTr="00CE38F5">
        <w:trPr>
          <w:cantSplit/>
          <w:trHeight w:val="284"/>
        </w:trPr>
        <w:tc>
          <w:tcPr>
            <w:tcW w:w="9540" w:type="dxa"/>
            <w:vAlign w:val="center"/>
          </w:tcPr>
          <w:p w14:paraId="0EDFE86F"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Kepenų, tulžies pūslės ir latakų sutrikimai</w:t>
            </w:r>
          </w:p>
        </w:tc>
      </w:tr>
      <w:tr w:rsidR="00CE38F5" w:rsidRPr="0047338E" w14:paraId="041D49C3" w14:textId="77777777" w:rsidTr="005010B1">
        <w:trPr>
          <w:cantSplit/>
          <w:trHeight w:val="284"/>
        </w:trPr>
        <w:tc>
          <w:tcPr>
            <w:tcW w:w="9540" w:type="dxa"/>
            <w:vAlign w:val="center"/>
          </w:tcPr>
          <w:p w14:paraId="517EAF70"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Kepenų fermentų aktyvumo kraujyje padidėjimas, hiperbilirubinemija, gelta</w:t>
            </w:r>
          </w:p>
        </w:tc>
      </w:tr>
      <w:tr w:rsidR="00CE38F5" w:rsidRPr="0047338E" w14:paraId="48FF4E64" w14:textId="77777777" w:rsidTr="005010B1">
        <w:trPr>
          <w:cantSplit/>
          <w:trHeight w:val="284"/>
        </w:trPr>
        <w:tc>
          <w:tcPr>
            <w:tcW w:w="9540" w:type="dxa"/>
            <w:vAlign w:val="center"/>
          </w:tcPr>
          <w:p w14:paraId="0D6724E6"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Dažnis nežinomas:</w:t>
            </w:r>
            <w:r w:rsidRPr="0047338E">
              <w:rPr>
                <w:rFonts w:ascii="Times New Roman" w:eastAsia="Times New Roman" w:hAnsi="Times New Roman" w:cs="Times New Roman"/>
              </w:rPr>
              <w:tab/>
              <w:t>Hepatitas</w:t>
            </w:r>
          </w:p>
        </w:tc>
      </w:tr>
      <w:tr w:rsidR="000C61CC" w:rsidRPr="0047338E" w14:paraId="4F7CCA12" w14:textId="77777777" w:rsidTr="00CE38F5">
        <w:trPr>
          <w:cantSplit/>
          <w:trHeight w:val="284"/>
        </w:trPr>
        <w:tc>
          <w:tcPr>
            <w:tcW w:w="9540" w:type="dxa"/>
            <w:vAlign w:val="center"/>
          </w:tcPr>
          <w:p w14:paraId="67FF7D74"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Odos ir poodinio audinio sutrikimai</w:t>
            </w:r>
          </w:p>
        </w:tc>
      </w:tr>
      <w:tr w:rsidR="00CE38F5" w:rsidRPr="0047338E" w14:paraId="5A87990B" w14:textId="77777777" w:rsidTr="005010B1">
        <w:trPr>
          <w:cantSplit/>
          <w:trHeight w:val="284"/>
        </w:trPr>
        <w:tc>
          <w:tcPr>
            <w:tcW w:w="9540" w:type="dxa"/>
            <w:vAlign w:val="center"/>
          </w:tcPr>
          <w:p w14:paraId="17EC2D03" w14:textId="07D4D3F4"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Labai dažni:</w:t>
            </w:r>
            <w:r w:rsidRPr="0047338E">
              <w:rPr>
                <w:rFonts w:ascii="Times New Roman" w:eastAsia="Times New Roman" w:hAnsi="Times New Roman" w:cs="Times New Roman"/>
              </w:rPr>
              <w:tab/>
            </w:r>
            <w:r w:rsidRPr="0047338E">
              <w:rPr>
                <w:rFonts w:ascii="Times New Roman" w:eastAsia="Times New Roman" w:hAnsi="Times New Roman" w:cs="Times New Roman"/>
              </w:rPr>
              <w:tab/>
            </w:r>
            <w:r w:rsidR="006409E1">
              <w:rPr>
                <w:rFonts w:ascii="Times New Roman" w:eastAsia="Times New Roman" w:hAnsi="Times New Roman" w:cs="Times New Roman"/>
              </w:rPr>
              <w:t>Hiperhidrozė</w:t>
            </w:r>
          </w:p>
        </w:tc>
      </w:tr>
      <w:tr w:rsidR="00CE38F5" w:rsidRPr="0047338E" w14:paraId="66BA1EF4" w14:textId="77777777" w:rsidTr="005010B1">
        <w:trPr>
          <w:cantSplit/>
          <w:trHeight w:val="284"/>
        </w:trPr>
        <w:tc>
          <w:tcPr>
            <w:tcW w:w="9540" w:type="dxa"/>
            <w:vAlign w:val="center"/>
          </w:tcPr>
          <w:p w14:paraId="7F1BC0A3" w14:textId="77777777" w:rsidR="00CE38F5" w:rsidRPr="0047338E" w:rsidRDefault="00CE38F5" w:rsidP="00CE38F5">
            <w:pPr>
              <w:spacing w:after="0" w:line="240" w:lineRule="auto"/>
              <w:ind w:left="2586" w:hanging="2586"/>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Alopecija, išbėrimas (įskaitant eritematozinį, makulopapulinį, panašų į psoriazę ir pūslinį išbėrimą), odos sausumas</w:t>
            </w:r>
          </w:p>
        </w:tc>
      </w:tr>
      <w:tr w:rsidR="00CE38F5" w:rsidRPr="0047338E" w14:paraId="60DBADC3" w14:textId="77777777" w:rsidTr="005010B1">
        <w:trPr>
          <w:cantSplit/>
          <w:trHeight w:val="284"/>
        </w:trPr>
        <w:tc>
          <w:tcPr>
            <w:tcW w:w="9540" w:type="dxa"/>
            <w:vAlign w:val="center"/>
          </w:tcPr>
          <w:p w14:paraId="16BCB796"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Niežėjimas, dilgėlinė</w:t>
            </w:r>
          </w:p>
        </w:tc>
      </w:tr>
      <w:tr w:rsidR="00CE38F5" w:rsidRPr="0047338E" w14:paraId="114E3433" w14:textId="77777777" w:rsidTr="005010B1">
        <w:trPr>
          <w:cantSplit/>
          <w:trHeight w:val="284"/>
        </w:trPr>
        <w:tc>
          <w:tcPr>
            <w:tcW w:w="9540" w:type="dxa"/>
            <w:vAlign w:val="center"/>
          </w:tcPr>
          <w:p w14:paraId="0C32BB75" w14:textId="77777777" w:rsidR="00CE38F5" w:rsidRPr="0047338E" w:rsidRDefault="00CE38F5" w:rsidP="00CE38F5">
            <w:pPr>
              <w:spacing w:after="0" w:line="240" w:lineRule="auto"/>
              <w:ind w:left="2586" w:hanging="2586"/>
              <w:rPr>
                <w:rFonts w:ascii="Times New Roman" w:eastAsia="Times New Roman" w:hAnsi="Times New Roman" w:cs="Times New Roman"/>
                <w:sz w:val="24"/>
                <w:szCs w:val="24"/>
              </w:rPr>
            </w:pPr>
            <w:r w:rsidRPr="0047338E">
              <w:rPr>
                <w:rFonts w:ascii="Times New Roman" w:eastAsia="Times New Roman" w:hAnsi="Times New Roman" w:cs="Times New Roman"/>
              </w:rPr>
              <w:t>Dažnis nežinomas:</w:t>
            </w:r>
            <w:r w:rsidRPr="0047338E">
              <w:rPr>
                <w:rFonts w:ascii="Times New Roman" w:eastAsia="Times New Roman" w:hAnsi="Times New Roman" w:cs="Times New Roman"/>
              </w:rPr>
              <w:tab/>
              <w:t>Angioneurozinė edema, toksinė epidermio nekrolizė, daugiaformė raudonė (eritema)</w:t>
            </w:r>
          </w:p>
        </w:tc>
      </w:tr>
      <w:tr w:rsidR="000C61CC" w:rsidRPr="0047338E" w14:paraId="7B3EA8C3" w14:textId="77777777" w:rsidTr="00CE38F5">
        <w:trPr>
          <w:cantSplit/>
          <w:trHeight w:val="284"/>
        </w:trPr>
        <w:tc>
          <w:tcPr>
            <w:tcW w:w="9540" w:type="dxa"/>
            <w:vAlign w:val="center"/>
          </w:tcPr>
          <w:p w14:paraId="61E3CD0F"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Skeleto, raumenų ir jungiamojo audinio sutrikimai</w:t>
            </w:r>
          </w:p>
        </w:tc>
      </w:tr>
      <w:tr w:rsidR="00CE38F5" w:rsidRPr="0047338E" w14:paraId="58E12904" w14:textId="77777777" w:rsidTr="005010B1">
        <w:trPr>
          <w:cantSplit/>
          <w:trHeight w:val="284"/>
        </w:trPr>
        <w:tc>
          <w:tcPr>
            <w:tcW w:w="9540" w:type="dxa"/>
            <w:vAlign w:val="center"/>
          </w:tcPr>
          <w:p w14:paraId="21E7E8F8" w14:textId="77777777" w:rsidR="00CE38F5" w:rsidRPr="0047338E" w:rsidRDefault="00CE38F5" w:rsidP="000C61CC">
            <w:pPr>
              <w:spacing w:after="0" w:line="240" w:lineRule="auto"/>
              <w:rPr>
                <w:rFonts w:ascii="Times New Roman" w:hAnsi="Times New Roman" w:cs="Times New Roman"/>
                <w:color w:val="000000"/>
                <w:sz w:val="24"/>
              </w:rPr>
            </w:pPr>
            <w:r w:rsidRPr="0047338E">
              <w:rPr>
                <w:rFonts w:ascii="Times New Roman" w:eastAsia="Times New Roman" w:hAnsi="Times New Roman" w:cs="Times New Roman"/>
              </w:rPr>
              <w:t>Labai dažni:</w:t>
            </w:r>
            <w:r w:rsidRPr="0047338E">
              <w:rPr>
                <w:rFonts w:ascii="Times New Roman" w:eastAsia="Times New Roman" w:hAnsi="Times New Roman" w:cs="Times New Roman"/>
              </w:rPr>
              <w:tab/>
            </w:r>
            <w:r w:rsidRPr="0047338E">
              <w:rPr>
                <w:rFonts w:ascii="Times New Roman" w:eastAsia="Times New Roman" w:hAnsi="Times New Roman" w:cs="Times New Roman"/>
              </w:rPr>
              <w:tab/>
            </w:r>
            <w:r w:rsidRPr="0047338E">
              <w:rPr>
                <w:rFonts w:ascii="Times New Roman" w:eastAsia="Times New Roman" w:hAnsi="Times New Roman" w:cs="Times New Roman"/>
                <w:color w:val="000000"/>
              </w:rPr>
              <w:t>Artralgija</w:t>
            </w:r>
          </w:p>
        </w:tc>
      </w:tr>
      <w:tr w:rsidR="00CE38F5" w:rsidRPr="0047338E" w14:paraId="00A11AD7" w14:textId="77777777" w:rsidTr="005010B1">
        <w:trPr>
          <w:cantSplit/>
          <w:trHeight w:val="284"/>
        </w:trPr>
        <w:tc>
          <w:tcPr>
            <w:tcW w:w="9540" w:type="dxa"/>
            <w:vAlign w:val="center"/>
          </w:tcPr>
          <w:p w14:paraId="69C9DFF1"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Mialgija, kaulų skausmas</w:t>
            </w:r>
            <w:r w:rsidRPr="0047338E">
              <w:rPr>
                <w:rFonts w:ascii="Times New Roman" w:eastAsia="Times New Roman" w:hAnsi="Times New Roman" w:cs="Times New Roman"/>
                <w:vertAlign w:val="superscript"/>
              </w:rPr>
              <w:t>1</w:t>
            </w:r>
            <w:r w:rsidRPr="0047338E">
              <w:rPr>
                <w:rFonts w:ascii="Times New Roman" w:eastAsia="Times New Roman" w:hAnsi="Times New Roman" w:cs="Times New Roman"/>
              </w:rPr>
              <w:t xml:space="preserve">, osteoporozė, kaulų lūžiai, </w:t>
            </w:r>
            <w:r w:rsidRPr="0047338E">
              <w:rPr>
                <w:rFonts w:ascii="Times New Roman" w:eastAsia="Times New Roman" w:hAnsi="Times New Roman" w:cs="Times New Roman"/>
                <w:color w:val="000000"/>
              </w:rPr>
              <w:t>Artritas</w:t>
            </w:r>
          </w:p>
        </w:tc>
      </w:tr>
      <w:tr w:rsidR="002008E4" w:rsidRPr="0047338E" w14:paraId="4F588AFB" w14:textId="77777777" w:rsidTr="00127912">
        <w:trPr>
          <w:cantSplit/>
          <w:trHeight w:val="206"/>
        </w:trPr>
        <w:tc>
          <w:tcPr>
            <w:tcW w:w="9540" w:type="dxa"/>
            <w:vAlign w:val="center"/>
          </w:tcPr>
          <w:p w14:paraId="63CD202F" w14:textId="62AE049A" w:rsidR="002008E4" w:rsidRPr="0047338E" w:rsidRDefault="002008E4" w:rsidP="00A82A63">
            <w:pPr>
              <w:tabs>
                <w:tab w:val="left" w:pos="2560"/>
              </w:tabs>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Nedažn</w:t>
            </w:r>
            <w:r w:rsidR="00A82A63" w:rsidRPr="0047338E">
              <w:rPr>
                <w:rFonts w:ascii="Times New Roman" w:eastAsia="Times New Roman" w:hAnsi="Times New Roman" w:cs="Times New Roman"/>
              </w:rPr>
              <w:t>i</w:t>
            </w:r>
            <w:r w:rsidRPr="0047338E">
              <w:rPr>
                <w:rFonts w:ascii="Times New Roman" w:eastAsia="Times New Roman" w:hAnsi="Times New Roman" w:cs="Times New Roman"/>
              </w:rPr>
              <w:t>:</w:t>
            </w:r>
            <w:r w:rsidR="00A82A63" w:rsidRPr="0047338E">
              <w:rPr>
                <w:rFonts w:ascii="Times New Roman" w:eastAsia="Times New Roman" w:hAnsi="Times New Roman" w:cs="Times New Roman"/>
              </w:rPr>
              <w:t xml:space="preserve"> </w:t>
            </w:r>
            <w:r w:rsidR="00A82A63" w:rsidRPr="0047338E">
              <w:rPr>
                <w:rFonts w:ascii="Times New Roman" w:eastAsia="Times New Roman" w:hAnsi="Times New Roman" w:cs="Times New Roman"/>
              </w:rPr>
              <w:tab/>
            </w:r>
            <w:r w:rsidRPr="0047338E">
              <w:rPr>
                <w:rFonts w:ascii="Times New Roman" w:eastAsia="Times New Roman" w:hAnsi="Times New Roman" w:cs="Times New Roman"/>
              </w:rPr>
              <w:t xml:space="preserve">Tendinitas </w:t>
            </w:r>
          </w:p>
        </w:tc>
      </w:tr>
      <w:tr w:rsidR="00127912" w:rsidRPr="0047338E" w14:paraId="50545023" w14:textId="77777777" w:rsidTr="005010B1">
        <w:trPr>
          <w:cantSplit/>
          <w:trHeight w:val="285"/>
        </w:trPr>
        <w:tc>
          <w:tcPr>
            <w:tcW w:w="9540" w:type="dxa"/>
            <w:vAlign w:val="center"/>
          </w:tcPr>
          <w:p w14:paraId="522E2BD4" w14:textId="6C4F8664" w:rsidR="00127912" w:rsidRPr="0047338E" w:rsidRDefault="00127912" w:rsidP="00127912">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Ret</w:t>
            </w:r>
            <w:r w:rsidR="00A82A63" w:rsidRPr="0047338E">
              <w:rPr>
                <w:rFonts w:ascii="Times New Roman" w:eastAsia="Times New Roman" w:hAnsi="Times New Roman" w:cs="Times New Roman"/>
              </w:rPr>
              <w:t>i</w:t>
            </w:r>
            <w:r w:rsidRPr="0047338E">
              <w:rPr>
                <w:rFonts w:ascii="Times New Roman" w:eastAsia="Times New Roman" w:hAnsi="Times New Roman" w:cs="Times New Roman"/>
              </w:rPr>
              <w:t>:</w:t>
            </w:r>
            <w:r w:rsidR="00A82A63" w:rsidRPr="0047338E">
              <w:rPr>
                <w:rFonts w:ascii="Times New Roman" w:eastAsia="Times New Roman" w:hAnsi="Times New Roman" w:cs="Times New Roman"/>
              </w:rPr>
              <w:tab/>
            </w:r>
            <w:r w:rsidR="00A82A63" w:rsidRPr="0047338E">
              <w:rPr>
                <w:rFonts w:ascii="Times New Roman" w:eastAsia="Times New Roman" w:hAnsi="Times New Roman" w:cs="Times New Roman"/>
              </w:rPr>
              <w:tab/>
            </w:r>
            <w:r w:rsidRPr="0047338E">
              <w:rPr>
                <w:rFonts w:ascii="Times New Roman" w:eastAsia="Times New Roman" w:hAnsi="Times New Roman" w:cs="Times New Roman"/>
              </w:rPr>
              <w:t>Sausgyslės plyšimas</w:t>
            </w:r>
          </w:p>
        </w:tc>
      </w:tr>
      <w:tr w:rsidR="00CE38F5" w:rsidRPr="0047338E" w14:paraId="3040CF35" w14:textId="77777777" w:rsidTr="005010B1">
        <w:trPr>
          <w:cantSplit/>
          <w:trHeight w:val="284"/>
        </w:trPr>
        <w:tc>
          <w:tcPr>
            <w:tcW w:w="9540" w:type="dxa"/>
            <w:vAlign w:val="center"/>
          </w:tcPr>
          <w:p w14:paraId="335DCAFB" w14:textId="77777777" w:rsidR="00CE38F5" w:rsidRPr="0047338E" w:rsidRDefault="00CE38F5" w:rsidP="000C61CC">
            <w:pPr>
              <w:spacing w:after="0" w:line="240" w:lineRule="auto"/>
              <w:rPr>
                <w:rFonts w:ascii="Times New Roman" w:hAnsi="Times New Roman" w:cs="Times New Roman"/>
                <w:color w:val="000000"/>
                <w:sz w:val="24"/>
              </w:rPr>
            </w:pPr>
            <w:r w:rsidRPr="0047338E">
              <w:rPr>
                <w:rFonts w:ascii="Times New Roman" w:eastAsia="Times New Roman" w:hAnsi="Times New Roman" w:cs="Times New Roman"/>
              </w:rPr>
              <w:t>Dažnis nežinomas:</w:t>
            </w:r>
            <w:r w:rsidRPr="0047338E">
              <w:rPr>
                <w:rFonts w:ascii="Times New Roman" w:eastAsia="Times New Roman" w:hAnsi="Times New Roman" w:cs="Times New Roman"/>
              </w:rPr>
              <w:tab/>
              <w:t>Spragsintis pirštas</w:t>
            </w:r>
          </w:p>
        </w:tc>
      </w:tr>
      <w:tr w:rsidR="000C61CC" w:rsidRPr="0047338E" w14:paraId="10940C17" w14:textId="77777777" w:rsidTr="00CE38F5">
        <w:trPr>
          <w:cantSplit/>
          <w:trHeight w:val="284"/>
        </w:trPr>
        <w:tc>
          <w:tcPr>
            <w:tcW w:w="9540" w:type="dxa"/>
            <w:vAlign w:val="center"/>
          </w:tcPr>
          <w:p w14:paraId="4B622E39"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Inkstų ir šlapimo takų sutrikimai</w:t>
            </w:r>
          </w:p>
        </w:tc>
      </w:tr>
      <w:tr w:rsidR="00CE38F5" w:rsidRPr="0047338E" w14:paraId="56388A87" w14:textId="77777777" w:rsidTr="005010B1">
        <w:trPr>
          <w:cantSplit/>
          <w:trHeight w:val="284"/>
        </w:trPr>
        <w:tc>
          <w:tcPr>
            <w:tcW w:w="9540" w:type="dxa"/>
            <w:vAlign w:val="center"/>
          </w:tcPr>
          <w:p w14:paraId="21C32393" w14:textId="0AD3F576"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r>
            <w:r w:rsidR="006409E1">
              <w:rPr>
                <w:rFonts w:ascii="Times New Roman" w:eastAsia="Times New Roman" w:hAnsi="Times New Roman" w:cs="Times New Roman"/>
              </w:rPr>
              <w:t>Polakiurija</w:t>
            </w:r>
          </w:p>
        </w:tc>
      </w:tr>
      <w:tr w:rsidR="000C61CC" w:rsidRPr="0047338E" w14:paraId="7829F0C7" w14:textId="77777777" w:rsidTr="00CE38F5">
        <w:trPr>
          <w:cantSplit/>
          <w:trHeight w:val="284"/>
        </w:trPr>
        <w:tc>
          <w:tcPr>
            <w:tcW w:w="9540" w:type="dxa"/>
            <w:vAlign w:val="center"/>
          </w:tcPr>
          <w:p w14:paraId="52AAA933"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Lytinės sistemos ir krūties sutrikimai</w:t>
            </w:r>
          </w:p>
        </w:tc>
      </w:tr>
      <w:tr w:rsidR="00CE38F5" w:rsidRPr="0047338E" w14:paraId="47304FF3" w14:textId="77777777" w:rsidTr="005010B1">
        <w:trPr>
          <w:cantSplit/>
          <w:trHeight w:val="284"/>
        </w:trPr>
        <w:tc>
          <w:tcPr>
            <w:tcW w:w="9540" w:type="dxa"/>
            <w:vAlign w:val="center"/>
          </w:tcPr>
          <w:p w14:paraId="6D3C8E69" w14:textId="007C5DBA" w:rsidR="00CE38F5" w:rsidRPr="0047338E" w:rsidRDefault="00CE38F5" w:rsidP="00D7435E">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r>
            <w:r w:rsidR="006409E1">
              <w:rPr>
                <w:rFonts w:ascii="Times New Roman" w:eastAsia="Times New Roman" w:hAnsi="Times New Roman" w:cs="Times New Roman"/>
              </w:rPr>
              <w:t>M</w:t>
            </w:r>
            <w:r w:rsidRPr="0047338E">
              <w:rPr>
                <w:rFonts w:ascii="Times New Roman" w:eastAsia="Times New Roman" w:hAnsi="Times New Roman" w:cs="Times New Roman"/>
              </w:rPr>
              <w:t>akšties</w:t>
            </w:r>
            <w:r w:rsidR="006409E1">
              <w:rPr>
                <w:rFonts w:ascii="Times New Roman" w:eastAsia="Times New Roman" w:hAnsi="Times New Roman" w:cs="Times New Roman"/>
              </w:rPr>
              <w:t xml:space="preserve"> hemoragija</w:t>
            </w:r>
          </w:p>
        </w:tc>
      </w:tr>
      <w:tr w:rsidR="00CE38F5" w:rsidRPr="0047338E" w14:paraId="5C149896" w14:textId="77777777" w:rsidTr="005010B1">
        <w:trPr>
          <w:cantSplit/>
          <w:trHeight w:val="284"/>
        </w:trPr>
        <w:tc>
          <w:tcPr>
            <w:tcW w:w="9540" w:type="dxa"/>
            <w:vAlign w:val="center"/>
          </w:tcPr>
          <w:p w14:paraId="204D99DE" w14:textId="3E24625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 xml:space="preserve">Išskyros iš makšties, </w:t>
            </w:r>
            <w:r w:rsidR="006409E1" w:rsidRPr="006409E1">
              <w:rPr>
                <w:rFonts w:ascii="Times New Roman" w:eastAsia="Times New Roman" w:hAnsi="Times New Roman" w:cs="Times New Roman"/>
              </w:rPr>
              <w:t>vulvovaginalinis</w:t>
            </w:r>
            <w:r w:rsidRPr="0047338E">
              <w:rPr>
                <w:rFonts w:ascii="Times New Roman" w:eastAsia="Times New Roman" w:hAnsi="Times New Roman" w:cs="Times New Roman"/>
                <w:i/>
              </w:rPr>
              <w:t xml:space="preserve"> </w:t>
            </w:r>
            <w:r w:rsidRPr="0047338E">
              <w:rPr>
                <w:rFonts w:ascii="Times New Roman" w:eastAsia="Times New Roman" w:hAnsi="Times New Roman" w:cs="Times New Roman"/>
              </w:rPr>
              <w:t>sausumas</w:t>
            </w:r>
            <w:r w:rsidRPr="0047338E">
              <w:rPr>
                <w:rFonts w:ascii="Times New Roman" w:eastAsia="Times New Roman" w:hAnsi="Times New Roman" w:cs="Times New Roman"/>
                <w:i/>
              </w:rPr>
              <w:t xml:space="preserve">, </w:t>
            </w:r>
            <w:r w:rsidRPr="0047338E">
              <w:rPr>
                <w:rFonts w:ascii="Times New Roman" w:eastAsia="Times New Roman" w:hAnsi="Times New Roman" w:cs="Times New Roman"/>
              </w:rPr>
              <w:t>krūtų skausmas</w:t>
            </w:r>
          </w:p>
        </w:tc>
      </w:tr>
      <w:tr w:rsidR="000C61CC" w:rsidRPr="0047338E" w14:paraId="11EC1FA6" w14:textId="77777777" w:rsidTr="00CE38F5">
        <w:trPr>
          <w:cantSplit/>
          <w:trHeight w:val="284"/>
        </w:trPr>
        <w:tc>
          <w:tcPr>
            <w:tcW w:w="9540" w:type="dxa"/>
            <w:vAlign w:val="center"/>
          </w:tcPr>
          <w:p w14:paraId="5813FD60"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Bendrieji sutrikimai ir vartojimo vietos pažeidimai</w:t>
            </w:r>
          </w:p>
        </w:tc>
      </w:tr>
      <w:tr w:rsidR="00CE38F5" w:rsidRPr="0047338E" w14:paraId="4EAF720A" w14:textId="77777777" w:rsidTr="005010B1">
        <w:trPr>
          <w:cantSplit/>
          <w:trHeight w:val="284"/>
        </w:trPr>
        <w:tc>
          <w:tcPr>
            <w:tcW w:w="9540" w:type="dxa"/>
            <w:vAlign w:val="center"/>
          </w:tcPr>
          <w:p w14:paraId="2DAFDC9E"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Labai dažni:</w:t>
            </w:r>
            <w:r w:rsidRPr="0047338E">
              <w:rPr>
                <w:rFonts w:ascii="Times New Roman" w:eastAsia="Times New Roman" w:hAnsi="Times New Roman" w:cs="Times New Roman"/>
              </w:rPr>
              <w:tab/>
            </w:r>
            <w:r w:rsidRPr="0047338E">
              <w:rPr>
                <w:rFonts w:ascii="Times New Roman" w:eastAsia="Times New Roman" w:hAnsi="Times New Roman" w:cs="Times New Roman"/>
              </w:rPr>
              <w:tab/>
              <w:t>Nuovargis (įskaitant asteniją, bendrąjį negalavimą)</w:t>
            </w:r>
          </w:p>
        </w:tc>
      </w:tr>
      <w:tr w:rsidR="00CE38F5" w:rsidRPr="0047338E" w14:paraId="7ED809DA" w14:textId="77777777" w:rsidTr="005010B1">
        <w:trPr>
          <w:cantSplit/>
          <w:trHeight w:val="284"/>
        </w:trPr>
        <w:tc>
          <w:tcPr>
            <w:tcW w:w="9540" w:type="dxa"/>
            <w:vAlign w:val="center"/>
          </w:tcPr>
          <w:p w14:paraId="61045905"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Periferinė edema, skausmas krūtinėje</w:t>
            </w:r>
          </w:p>
        </w:tc>
      </w:tr>
      <w:tr w:rsidR="00CE38F5" w:rsidRPr="0047338E" w14:paraId="1E343A35" w14:textId="77777777" w:rsidTr="005010B1">
        <w:trPr>
          <w:cantSplit/>
          <w:trHeight w:val="284"/>
        </w:trPr>
        <w:tc>
          <w:tcPr>
            <w:tcW w:w="9540" w:type="dxa"/>
            <w:vAlign w:val="center"/>
          </w:tcPr>
          <w:p w14:paraId="3C6C34D9" w14:textId="77777777" w:rsidR="00CE38F5" w:rsidRPr="0047338E" w:rsidRDefault="00CE38F5" w:rsidP="00CE38F5">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Bendroji edema, gleivinės sausumas, troškulys, karščiavimas</w:t>
            </w:r>
          </w:p>
        </w:tc>
      </w:tr>
      <w:tr w:rsidR="000C61CC" w:rsidRPr="0047338E" w14:paraId="039B2EE5" w14:textId="77777777" w:rsidTr="00CE38F5">
        <w:trPr>
          <w:cantSplit/>
          <w:trHeight w:val="284"/>
        </w:trPr>
        <w:tc>
          <w:tcPr>
            <w:tcW w:w="9540" w:type="dxa"/>
            <w:vAlign w:val="center"/>
          </w:tcPr>
          <w:p w14:paraId="1C7D07A6" w14:textId="77777777" w:rsidR="000C61CC" w:rsidRPr="0047338E" w:rsidRDefault="000C61CC" w:rsidP="000C61CC">
            <w:pPr>
              <w:spacing w:after="0" w:line="240" w:lineRule="auto"/>
              <w:rPr>
                <w:rFonts w:ascii="Times New Roman" w:eastAsia="Times New Roman" w:hAnsi="Times New Roman" w:cs="Times New Roman"/>
                <w:b/>
                <w:sz w:val="24"/>
                <w:szCs w:val="24"/>
              </w:rPr>
            </w:pPr>
            <w:r w:rsidRPr="0047338E">
              <w:rPr>
                <w:rFonts w:ascii="Times New Roman" w:eastAsia="Times New Roman" w:hAnsi="Times New Roman" w:cs="Times New Roman"/>
                <w:b/>
              </w:rPr>
              <w:t>Tyrimai</w:t>
            </w:r>
          </w:p>
        </w:tc>
      </w:tr>
      <w:tr w:rsidR="00CE38F5" w:rsidRPr="0047338E" w14:paraId="4B9AA0CF" w14:textId="77777777" w:rsidTr="005010B1">
        <w:trPr>
          <w:cantSplit/>
          <w:trHeight w:val="284"/>
        </w:trPr>
        <w:tc>
          <w:tcPr>
            <w:tcW w:w="9540" w:type="dxa"/>
            <w:vAlign w:val="center"/>
          </w:tcPr>
          <w:p w14:paraId="45F46384"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Dažni:</w:t>
            </w:r>
            <w:r w:rsidRPr="0047338E">
              <w:rPr>
                <w:rFonts w:ascii="Times New Roman" w:eastAsia="Times New Roman" w:hAnsi="Times New Roman" w:cs="Times New Roman"/>
              </w:rPr>
              <w:tab/>
            </w:r>
            <w:r w:rsidRPr="0047338E">
              <w:rPr>
                <w:rFonts w:ascii="Times New Roman" w:eastAsia="Times New Roman" w:hAnsi="Times New Roman" w:cs="Times New Roman"/>
              </w:rPr>
              <w:tab/>
              <w:t>Kūno svorio didėjimas</w:t>
            </w:r>
          </w:p>
        </w:tc>
      </w:tr>
      <w:tr w:rsidR="00CE38F5" w:rsidRPr="0047338E" w14:paraId="496C9D67" w14:textId="77777777" w:rsidTr="005010B1">
        <w:trPr>
          <w:cantSplit/>
          <w:trHeight w:val="284"/>
        </w:trPr>
        <w:tc>
          <w:tcPr>
            <w:tcW w:w="9540" w:type="dxa"/>
            <w:vAlign w:val="center"/>
          </w:tcPr>
          <w:p w14:paraId="542FD0DD" w14:textId="77777777" w:rsidR="00CE38F5" w:rsidRPr="0047338E" w:rsidRDefault="00CE38F5" w:rsidP="000C61CC">
            <w:pPr>
              <w:spacing w:after="0" w:line="240" w:lineRule="auto"/>
              <w:rPr>
                <w:rFonts w:ascii="Times New Roman" w:eastAsia="Times New Roman" w:hAnsi="Times New Roman" w:cs="Times New Roman"/>
                <w:sz w:val="24"/>
                <w:szCs w:val="24"/>
              </w:rPr>
            </w:pPr>
            <w:r w:rsidRPr="0047338E">
              <w:rPr>
                <w:rFonts w:ascii="Times New Roman" w:eastAsia="Times New Roman" w:hAnsi="Times New Roman" w:cs="Times New Roman"/>
              </w:rPr>
              <w:t>Nedažni:</w:t>
            </w:r>
            <w:r w:rsidRPr="0047338E">
              <w:rPr>
                <w:rFonts w:ascii="Times New Roman" w:eastAsia="Times New Roman" w:hAnsi="Times New Roman" w:cs="Times New Roman"/>
              </w:rPr>
              <w:tab/>
            </w:r>
            <w:r w:rsidRPr="0047338E">
              <w:rPr>
                <w:rFonts w:ascii="Times New Roman" w:eastAsia="Times New Roman" w:hAnsi="Times New Roman" w:cs="Times New Roman"/>
              </w:rPr>
              <w:tab/>
              <w:t>Kūno svorio mažėjimas</w:t>
            </w:r>
          </w:p>
        </w:tc>
      </w:tr>
    </w:tbl>
    <w:p w14:paraId="2064850C" w14:textId="77777777" w:rsidR="000C61CC" w:rsidRPr="0047338E" w:rsidRDefault="000C61CC" w:rsidP="000C61CC">
      <w:pPr>
        <w:spacing w:after="0" w:line="240" w:lineRule="auto"/>
        <w:ind w:left="567" w:hanging="567"/>
        <w:rPr>
          <w:rFonts w:ascii="Times New Roman" w:eastAsia="Times New Roman" w:hAnsi="Times New Roman" w:cs="Times New Roman"/>
        </w:rPr>
      </w:pPr>
      <w:r w:rsidRPr="0047338E">
        <w:rPr>
          <w:rFonts w:ascii="Times New Roman" w:eastAsia="Times New Roman" w:hAnsi="Times New Roman" w:cs="Times New Roman"/>
          <w:vertAlign w:val="superscript"/>
        </w:rPr>
        <w:t>1</w:t>
      </w:r>
      <w:r w:rsidRPr="0047338E">
        <w:rPr>
          <w:rFonts w:ascii="Times New Roman" w:eastAsia="Times New Roman" w:hAnsi="Times New Roman" w:cs="Times New Roman"/>
        </w:rPr>
        <w:t xml:space="preserve"> Nepageidaujamos reakcijos, pasireiškusios tik pacientėms, sirgusioms metastazavusiu vėžiu. </w:t>
      </w:r>
    </w:p>
    <w:p w14:paraId="4B50EAFC" w14:textId="77777777" w:rsidR="000C61CC" w:rsidRPr="0047338E" w:rsidRDefault="000C61CC" w:rsidP="000C61CC">
      <w:pPr>
        <w:spacing w:after="0" w:line="240" w:lineRule="auto"/>
        <w:ind w:left="567" w:hanging="567"/>
        <w:rPr>
          <w:rFonts w:ascii="Times New Roman" w:eastAsia="Times New Roman" w:hAnsi="Times New Roman" w:cs="Times New Roman"/>
        </w:rPr>
      </w:pPr>
    </w:p>
    <w:p w14:paraId="7A53A647"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Kai kurios nepageidaujamos reakcijos, skiriant adjuvantinį gydymą, atsirado reikšmingai skirtingu dažniu. Toliau esančiose lentelėse pateikiama informacija apie reikšmingus skirtumus, nustatytus taikant letrozolo ir tamoksifeno monoterapiją bei nuoseklaus gydymo letrozolo ir tamoksifenu atveju.</w:t>
      </w:r>
    </w:p>
    <w:p w14:paraId="761EDEBC" w14:textId="77777777" w:rsidR="000C61CC" w:rsidRPr="0047338E" w:rsidRDefault="000C61CC" w:rsidP="000C61CC">
      <w:pPr>
        <w:spacing w:after="0" w:line="240" w:lineRule="auto"/>
        <w:rPr>
          <w:rFonts w:ascii="Times New Roman" w:eastAsia="Times New Roman" w:hAnsi="Times New Roman" w:cs="Times New Roman"/>
        </w:rPr>
      </w:pPr>
    </w:p>
    <w:p w14:paraId="1953D6B3" w14:textId="77777777" w:rsidR="000C61CC" w:rsidRPr="0047338E" w:rsidRDefault="000C61CC" w:rsidP="000C61CC">
      <w:pPr>
        <w:autoSpaceDE w:val="0"/>
        <w:autoSpaceDN w:val="0"/>
        <w:adjustRightInd w:val="0"/>
        <w:spacing w:after="0" w:line="240" w:lineRule="auto"/>
        <w:rPr>
          <w:rFonts w:ascii="Times New Roman" w:eastAsia="Times New Roman" w:hAnsi="Times New Roman" w:cs="Times New Roman"/>
        </w:rPr>
      </w:pPr>
      <w:r w:rsidRPr="0047338E">
        <w:rPr>
          <w:rFonts w:ascii="Times New Roman" w:eastAsia="SimSun" w:hAnsi="Times New Roman" w:cs="Times New Roman"/>
          <w:b/>
          <w:color w:val="000000"/>
        </w:rPr>
        <w:t>2</w:t>
      </w:r>
      <w:r w:rsidRPr="0047338E">
        <w:rPr>
          <w:rFonts w:ascii="Times New Roman" w:eastAsia="SimSun" w:hAnsi="Times New Roman" w:cs="Times New Roman"/>
          <w:b/>
          <w:bCs/>
          <w:color w:val="000000"/>
          <w:lang w:eastAsia="en-GB"/>
        </w:rPr>
        <w:t> </w:t>
      </w:r>
      <w:r w:rsidRPr="0047338E">
        <w:rPr>
          <w:rFonts w:ascii="Times New Roman" w:eastAsia="SimSun" w:hAnsi="Times New Roman" w:cs="Times New Roman"/>
          <w:b/>
          <w:color w:val="000000"/>
        </w:rPr>
        <w:t>lentelė</w:t>
      </w:r>
      <w:r w:rsidRPr="0047338E">
        <w:rPr>
          <w:rFonts w:ascii="Times New Roman" w:eastAsia="SimSun" w:hAnsi="Times New Roman" w:cs="Times New Roman"/>
          <w:b/>
          <w:color w:val="000000"/>
        </w:rPr>
        <w:tab/>
        <w:t>Adjuvantine monoterapija letrozolu ir monoterapija tamoksifenu:</w:t>
      </w:r>
      <w:r w:rsidRPr="0047338E">
        <w:rPr>
          <w:rFonts w:ascii="Times New Roman" w:eastAsia="SimSun" w:hAnsi="Times New Roman" w:cs="Times New Roman"/>
          <w:b/>
          <w:bCs/>
          <w:color w:val="000000"/>
          <w:lang w:eastAsia="en-GB"/>
        </w:rPr>
        <w:t xml:space="preserve"> </w:t>
      </w:r>
      <w:r w:rsidRPr="0047338E">
        <w:rPr>
          <w:rFonts w:ascii="Times New Roman" w:eastAsia="SimSun" w:hAnsi="Times New Roman" w:cs="Times New Roman"/>
          <w:b/>
          <w:color w:val="000000"/>
        </w:rPr>
        <w:t>nepageidaujami reiškiniai, kurių dažnis reikšmingai</w:t>
      </w:r>
      <w:r w:rsidRPr="0047338E">
        <w:rPr>
          <w:rFonts w:ascii="Times New Roman" w:eastAsia="SimSun" w:hAnsi="Times New Roman" w:cs="Times New Roman"/>
          <w:b/>
          <w:bCs/>
          <w:color w:val="000000"/>
          <w:lang w:eastAsia="en-GB"/>
        </w:rPr>
        <w:t> </w:t>
      </w:r>
      <w:r w:rsidRPr="0047338E">
        <w:rPr>
          <w:rFonts w:ascii="Times New Roman" w:eastAsia="SimSun" w:hAnsi="Times New Roman" w:cs="Times New Roman"/>
          <w:b/>
          <w:color w:val="000000"/>
        </w:rPr>
        <w:t xml:space="preserve">skyrėsi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417"/>
        <w:gridCol w:w="1701"/>
        <w:gridCol w:w="1418"/>
        <w:gridCol w:w="1701"/>
      </w:tblGrid>
      <w:tr w:rsidR="000C61CC" w:rsidRPr="0047338E" w14:paraId="0DF01611" w14:textId="77777777" w:rsidTr="00CE38F5">
        <w:tc>
          <w:tcPr>
            <w:tcW w:w="2093" w:type="dxa"/>
            <w:shd w:val="clear" w:color="auto" w:fill="auto"/>
          </w:tcPr>
          <w:p w14:paraId="40604301"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p>
        </w:tc>
        <w:tc>
          <w:tcPr>
            <w:tcW w:w="3118" w:type="dxa"/>
            <w:gridSpan w:val="2"/>
            <w:shd w:val="clear" w:color="auto" w:fill="auto"/>
          </w:tcPr>
          <w:p w14:paraId="47F75D1F" w14:textId="755BECBF"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lang w:bidi="lo-LA"/>
              </w:rPr>
              <w:t>Letrozol</w:t>
            </w:r>
            <w:r w:rsidR="00B61221" w:rsidRPr="0047338E">
              <w:rPr>
                <w:rFonts w:ascii="Times New Roman" w:eastAsia="Times New Roman" w:hAnsi="Times New Roman" w:cs="Times New Roman"/>
                <w:b/>
                <w:lang w:bidi="lo-LA"/>
              </w:rPr>
              <w:t>a</w:t>
            </w:r>
            <w:r w:rsidRPr="0047338E">
              <w:rPr>
                <w:rFonts w:ascii="Times New Roman" w:eastAsia="Times New Roman" w:hAnsi="Times New Roman" w:cs="Times New Roman"/>
                <w:b/>
                <w:lang w:bidi="lo-LA"/>
              </w:rPr>
              <w:t>s</w:t>
            </w:r>
            <w:r w:rsidRPr="0047338E">
              <w:rPr>
                <w:rFonts w:ascii="Times New Roman" w:eastAsia="Times New Roman" w:hAnsi="Times New Roman" w:cs="Times New Roman"/>
                <w:b/>
              </w:rPr>
              <w:t>, poveikio dažnis</w:t>
            </w:r>
          </w:p>
        </w:tc>
        <w:tc>
          <w:tcPr>
            <w:tcW w:w="3119" w:type="dxa"/>
            <w:gridSpan w:val="2"/>
          </w:tcPr>
          <w:p w14:paraId="77BC4D58"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Tamoksifenas, poveikio dažnis</w:t>
            </w:r>
          </w:p>
        </w:tc>
      </w:tr>
      <w:tr w:rsidR="000C61CC" w:rsidRPr="0047338E" w14:paraId="63401886" w14:textId="77777777" w:rsidTr="00CE38F5">
        <w:tc>
          <w:tcPr>
            <w:tcW w:w="2093" w:type="dxa"/>
            <w:shd w:val="clear" w:color="auto" w:fill="auto"/>
          </w:tcPr>
          <w:p w14:paraId="4E8B4FA2"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p>
        </w:tc>
        <w:tc>
          <w:tcPr>
            <w:tcW w:w="3118" w:type="dxa"/>
            <w:gridSpan w:val="2"/>
            <w:shd w:val="clear" w:color="auto" w:fill="auto"/>
          </w:tcPr>
          <w:p w14:paraId="517AE24D" w14:textId="77777777" w:rsidR="000C61CC" w:rsidRPr="0047338E" w:rsidRDefault="000C61CC" w:rsidP="000C61CC">
            <w:pPr>
              <w:keepNext/>
              <w:widowControl w:val="0"/>
              <w:spacing w:after="0" w:line="240" w:lineRule="auto"/>
              <w:jc w:val="center"/>
              <w:rPr>
                <w:rFonts w:ascii="Times New Roman" w:hAnsi="Times New Roman" w:cs="Times New Roman"/>
                <w:b/>
                <w:sz w:val="24"/>
              </w:rPr>
            </w:pPr>
            <w:r w:rsidRPr="0047338E">
              <w:rPr>
                <w:rFonts w:ascii="Times New Roman" w:hAnsi="Times New Roman" w:cs="Times New Roman"/>
                <w:b/>
              </w:rPr>
              <w:t>N=2448</w:t>
            </w:r>
          </w:p>
        </w:tc>
        <w:tc>
          <w:tcPr>
            <w:tcW w:w="3119" w:type="dxa"/>
            <w:gridSpan w:val="2"/>
          </w:tcPr>
          <w:p w14:paraId="724885C0"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hAnsi="Times New Roman" w:cs="Times New Roman"/>
                <w:b/>
              </w:rPr>
              <w:t>N=2447</w:t>
            </w:r>
          </w:p>
        </w:tc>
      </w:tr>
      <w:tr w:rsidR="000C61CC" w:rsidRPr="0047338E" w14:paraId="5BD6B32E" w14:textId="77777777" w:rsidTr="00CE38F5">
        <w:tc>
          <w:tcPr>
            <w:tcW w:w="2093" w:type="dxa"/>
            <w:shd w:val="clear" w:color="auto" w:fill="auto"/>
          </w:tcPr>
          <w:p w14:paraId="2CF9BD99"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p>
        </w:tc>
        <w:tc>
          <w:tcPr>
            <w:tcW w:w="1417" w:type="dxa"/>
            <w:shd w:val="clear" w:color="auto" w:fill="auto"/>
          </w:tcPr>
          <w:p w14:paraId="03EB6629"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Gydymo metu</w:t>
            </w:r>
          </w:p>
          <w:p w14:paraId="78BAE29F"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(mediana 5 m.)</w:t>
            </w:r>
          </w:p>
        </w:tc>
        <w:tc>
          <w:tcPr>
            <w:tcW w:w="1701" w:type="dxa"/>
          </w:tcPr>
          <w:p w14:paraId="3494E2A7"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Bet kuriuo metu po randomizacijos</w:t>
            </w:r>
          </w:p>
          <w:p w14:paraId="4EC7E1EE"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(mediana 8 m.)</w:t>
            </w:r>
          </w:p>
        </w:tc>
        <w:tc>
          <w:tcPr>
            <w:tcW w:w="1418" w:type="dxa"/>
          </w:tcPr>
          <w:p w14:paraId="65334951"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Gydymo</w:t>
            </w:r>
          </w:p>
          <w:p w14:paraId="7B908ACE"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metu</w:t>
            </w:r>
          </w:p>
          <w:p w14:paraId="7329EDA1"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(mediana 5 m.)</w:t>
            </w:r>
          </w:p>
        </w:tc>
        <w:tc>
          <w:tcPr>
            <w:tcW w:w="1701" w:type="dxa"/>
            <w:shd w:val="clear" w:color="auto" w:fill="auto"/>
          </w:tcPr>
          <w:p w14:paraId="2A8E2FCD"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 xml:space="preserve">Bet kuriuo </w:t>
            </w:r>
          </w:p>
          <w:p w14:paraId="2BCC9E1F"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metu po randomizacijos</w:t>
            </w:r>
          </w:p>
          <w:p w14:paraId="63DACC26"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b/>
                <w:sz w:val="24"/>
                <w:szCs w:val="24"/>
              </w:rPr>
            </w:pPr>
            <w:r w:rsidRPr="0047338E">
              <w:rPr>
                <w:rFonts w:ascii="Times New Roman" w:eastAsia="Times New Roman" w:hAnsi="Times New Roman" w:cs="Times New Roman"/>
                <w:b/>
              </w:rPr>
              <w:t>(mediana 8 m.)</w:t>
            </w:r>
          </w:p>
        </w:tc>
      </w:tr>
      <w:tr w:rsidR="000C61CC" w:rsidRPr="0047338E" w14:paraId="2B340F26" w14:textId="77777777" w:rsidTr="00CE38F5">
        <w:tc>
          <w:tcPr>
            <w:tcW w:w="2093" w:type="dxa"/>
            <w:shd w:val="clear" w:color="auto" w:fill="auto"/>
          </w:tcPr>
          <w:p w14:paraId="56A4E2B2"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Kaulų lūžimai</w:t>
            </w:r>
          </w:p>
        </w:tc>
        <w:tc>
          <w:tcPr>
            <w:tcW w:w="1417" w:type="dxa"/>
            <w:shd w:val="clear" w:color="auto" w:fill="auto"/>
          </w:tcPr>
          <w:p w14:paraId="0E99B197"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10,2%</w:t>
            </w:r>
          </w:p>
        </w:tc>
        <w:tc>
          <w:tcPr>
            <w:tcW w:w="1701" w:type="dxa"/>
          </w:tcPr>
          <w:p w14:paraId="393EA90D"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14,7%</w:t>
            </w:r>
          </w:p>
        </w:tc>
        <w:tc>
          <w:tcPr>
            <w:tcW w:w="1418" w:type="dxa"/>
          </w:tcPr>
          <w:p w14:paraId="33E81E3B"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7,2%</w:t>
            </w:r>
          </w:p>
        </w:tc>
        <w:tc>
          <w:tcPr>
            <w:tcW w:w="1701" w:type="dxa"/>
            <w:shd w:val="clear" w:color="auto" w:fill="auto"/>
          </w:tcPr>
          <w:p w14:paraId="6ADC9459"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11,4%</w:t>
            </w:r>
          </w:p>
        </w:tc>
      </w:tr>
      <w:tr w:rsidR="000C61CC" w:rsidRPr="0047338E" w14:paraId="62BA1B0D" w14:textId="77777777" w:rsidTr="00CE38F5">
        <w:tc>
          <w:tcPr>
            <w:tcW w:w="2093" w:type="dxa"/>
            <w:shd w:val="clear" w:color="auto" w:fill="auto"/>
          </w:tcPr>
          <w:p w14:paraId="0735DF2D"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Osteoporozė</w:t>
            </w:r>
          </w:p>
        </w:tc>
        <w:tc>
          <w:tcPr>
            <w:tcW w:w="1417" w:type="dxa"/>
            <w:shd w:val="clear" w:color="auto" w:fill="auto"/>
          </w:tcPr>
          <w:p w14:paraId="38BF87EE"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5,1%</w:t>
            </w:r>
          </w:p>
        </w:tc>
        <w:tc>
          <w:tcPr>
            <w:tcW w:w="1701" w:type="dxa"/>
          </w:tcPr>
          <w:p w14:paraId="26CE9359"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5,1%</w:t>
            </w:r>
          </w:p>
        </w:tc>
        <w:tc>
          <w:tcPr>
            <w:tcW w:w="1418" w:type="dxa"/>
          </w:tcPr>
          <w:p w14:paraId="5DF787A9"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2,7%</w:t>
            </w:r>
          </w:p>
        </w:tc>
        <w:tc>
          <w:tcPr>
            <w:tcW w:w="1701" w:type="dxa"/>
            <w:shd w:val="clear" w:color="auto" w:fill="auto"/>
          </w:tcPr>
          <w:p w14:paraId="7C1C3F6C"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2,7%</w:t>
            </w:r>
          </w:p>
        </w:tc>
      </w:tr>
      <w:tr w:rsidR="000C61CC" w:rsidRPr="0047338E" w14:paraId="2E48ACC3" w14:textId="77777777" w:rsidTr="00CE38F5">
        <w:trPr>
          <w:trHeight w:val="312"/>
        </w:trPr>
        <w:tc>
          <w:tcPr>
            <w:tcW w:w="2093" w:type="dxa"/>
            <w:shd w:val="clear" w:color="auto" w:fill="auto"/>
          </w:tcPr>
          <w:p w14:paraId="18ACB5A4"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Tromboemboliniai reiškiniai</w:t>
            </w:r>
          </w:p>
        </w:tc>
        <w:tc>
          <w:tcPr>
            <w:tcW w:w="1417" w:type="dxa"/>
            <w:shd w:val="clear" w:color="auto" w:fill="auto"/>
          </w:tcPr>
          <w:p w14:paraId="34C107FB"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2,1%</w:t>
            </w:r>
          </w:p>
        </w:tc>
        <w:tc>
          <w:tcPr>
            <w:tcW w:w="1701" w:type="dxa"/>
          </w:tcPr>
          <w:p w14:paraId="6C5BF2E2"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3,2%</w:t>
            </w:r>
          </w:p>
        </w:tc>
        <w:tc>
          <w:tcPr>
            <w:tcW w:w="1418" w:type="dxa"/>
          </w:tcPr>
          <w:p w14:paraId="1E81CBFA"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3,6%</w:t>
            </w:r>
          </w:p>
        </w:tc>
        <w:tc>
          <w:tcPr>
            <w:tcW w:w="1701" w:type="dxa"/>
            <w:shd w:val="clear" w:color="auto" w:fill="auto"/>
          </w:tcPr>
          <w:p w14:paraId="747B03AB"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4,6%</w:t>
            </w:r>
          </w:p>
        </w:tc>
      </w:tr>
      <w:tr w:rsidR="000C61CC" w:rsidRPr="0047338E" w14:paraId="6E5E0F62" w14:textId="77777777" w:rsidTr="00CE38F5">
        <w:tc>
          <w:tcPr>
            <w:tcW w:w="2093" w:type="dxa"/>
            <w:shd w:val="clear" w:color="auto" w:fill="auto"/>
          </w:tcPr>
          <w:p w14:paraId="35186F36"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Miokardo infarktas</w:t>
            </w:r>
          </w:p>
        </w:tc>
        <w:tc>
          <w:tcPr>
            <w:tcW w:w="1417" w:type="dxa"/>
            <w:shd w:val="clear" w:color="auto" w:fill="auto"/>
          </w:tcPr>
          <w:p w14:paraId="056F3134"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1,0%</w:t>
            </w:r>
          </w:p>
        </w:tc>
        <w:tc>
          <w:tcPr>
            <w:tcW w:w="1701" w:type="dxa"/>
          </w:tcPr>
          <w:p w14:paraId="15BF4F6A"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1,7%</w:t>
            </w:r>
          </w:p>
        </w:tc>
        <w:tc>
          <w:tcPr>
            <w:tcW w:w="1418" w:type="dxa"/>
          </w:tcPr>
          <w:p w14:paraId="67565FD6"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0,5%</w:t>
            </w:r>
          </w:p>
        </w:tc>
        <w:tc>
          <w:tcPr>
            <w:tcW w:w="1701" w:type="dxa"/>
            <w:shd w:val="clear" w:color="auto" w:fill="auto"/>
          </w:tcPr>
          <w:p w14:paraId="77A775C5"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1,1%</w:t>
            </w:r>
          </w:p>
        </w:tc>
      </w:tr>
      <w:tr w:rsidR="000C61CC" w:rsidRPr="0047338E" w14:paraId="3A9A706E" w14:textId="77777777" w:rsidTr="00CE38F5">
        <w:tc>
          <w:tcPr>
            <w:tcW w:w="2093" w:type="dxa"/>
            <w:shd w:val="clear" w:color="auto" w:fill="auto"/>
          </w:tcPr>
          <w:p w14:paraId="29811684"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Endometriumo hiperplazija / endometriumo vėžys</w:t>
            </w:r>
          </w:p>
        </w:tc>
        <w:tc>
          <w:tcPr>
            <w:tcW w:w="1417" w:type="dxa"/>
            <w:shd w:val="clear" w:color="auto" w:fill="auto"/>
          </w:tcPr>
          <w:p w14:paraId="58499FCA"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0,2%</w:t>
            </w:r>
          </w:p>
        </w:tc>
        <w:tc>
          <w:tcPr>
            <w:tcW w:w="1701" w:type="dxa"/>
          </w:tcPr>
          <w:p w14:paraId="1B84006C"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0,4%</w:t>
            </w:r>
          </w:p>
        </w:tc>
        <w:tc>
          <w:tcPr>
            <w:tcW w:w="1418" w:type="dxa"/>
          </w:tcPr>
          <w:p w14:paraId="3210E243"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2,3%</w:t>
            </w:r>
          </w:p>
        </w:tc>
        <w:tc>
          <w:tcPr>
            <w:tcW w:w="1701" w:type="dxa"/>
            <w:shd w:val="clear" w:color="auto" w:fill="auto"/>
          </w:tcPr>
          <w:p w14:paraId="4CC4F291"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2,9%</w:t>
            </w:r>
          </w:p>
        </w:tc>
      </w:tr>
      <w:tr w:rsidR="000C61CC" w:rsidRPr="0047338E" w14:paraId="654F9311" w14:textId="77777777" w:rsidTr="00CE38F5">
        <w:tc>
          <w:tcPr>
            <w:tcW w:w="8330" w:type="dxa"/>
            <w:gridSpan w:val="5"/>
          </w:tcPr>
          <w:p w14:paraId="51D7F7F0" w14:textId="77777777" w:rsidR="000C61CC" w:rsidRPr="0047338E" w:rsidRDefault="000C61CC" w:rsidP="000C61CC">
            <w:pPr>
              <w:keepNext/>
              <w:widowControl w:val="0"/>
              <w:spacing w:after="0" w:line="240" w:lineRule="auto"/>
              <w:jc w:val="center"/>
              <w:rPr>
                <w:rFonts w:ascii="Times New Roman" w:eastAsia="Times New Roman" w:hAnsi="Times New Roman" w:cs="Times New Roman"/>
                <w:sz w:val="24"/>
                <w:szCs w:val="24"/>
              </w:rPr>
            </w:pPr>
            <w:r w:rsidRPr="0047338E">
              <w:rPr>
                <w:rFonts w:ascii="Times New Roman" w:eastAsia="Times New Roman" w:hAnsi="Times New Roman" w:cs="Times New Roman"/>
              </w:rPr>
              <w:t>Pastaba. „Gydymo metu“ apima 30</w:t>
            </w:r>
            <w:r w:rsidRPr="0047338E">
              <w:rPr>
                <w:rFonts w:ascii="Times New Roman" w:eastAsia="Times New Roman" w:hAnsi="Times New Roman" w:cs="Times New Roman"/>
                <w:b/>
              </w:rPr>
              <w:t> </w:t>
            </w:r>
            <w:r w:rsidRPr="0047338E">
              <w:rPr>
                <w:rFonts w:ascii="Times New Roman" w:eastAsia="Times New Roman" w:hAnsi="Times New Roman" w:cs="Times New Roman"/>
              </w:rPr>
              <w:t>dienų laikotarpį po paskutinės dozės suvartojimo. „Bet kuriuo metu“ apima stebėjimo periodą užbaigus arba nutraukus gydymą tyrimo metu. Skirtumai buvo pagrįsti santykine rizika ir 95% pasikliautinumo intervalu.</w:t>
            </w:r>
          </w:p>
        </w:tc>
      </w:tr>
    </w:tbl>
    <w:p w14:paraId="38C9EE0F"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b/>
          <w:bCs/>
          <w:color w:val="000000"/>
          <w:lang w:eastAsia="en-GB"/>
        </w:rPr>
      </w:pPr>
    </w:p>
    <w:p w14:paraId="35BE8B18" w14:textId="75F3AE78" w:rsidR="000C61CC" w:rsidRPr="0047338E" w:rsidRDefault="000C61CC" w:rsidP="00953C38">
      <w:pPr>
        <w:tabs>
          <w:tab w:val="left" w:pos="1134"/>
        </w:tabs>
        <w:autoSpaceDE w:val="0"/>
        <w:autoSpaceDN w:val="0"/>
        <w:adjustRightInd w:val="0"/>
        <w:spacing w:after="0" w:line="240" w:lineRule="auto"/>
        <w:rPr>
          <w:rFonts w:ascii="Times New Roman" w:eastAsia="SimSun" w:hAnsi="Times New Roman" w:cs="Times New Roman"/>
          <w:b/>
          <w:bCs/>
          <w:color w:val="000000"/>
          <w:lang w:eastAsia="en-GB"/>
        </w:rPr>
      </w:pPr>
      <w:r w:rsidRPr="0047338E">
        <w:rPr>
          <w:rFonts w:ascii="Times New Roman" w:eastAsia="SimSun" w:hAnsi="Times New Roman" w:cs="Times New Roman"/>
          <w:b/>
          <w:bCs/>
          <w:color w:val="000000"/>
          <w:lang w:eastAsia="en-GB"/>
        </w:rPr>
        <w:t xml:space="preserve">3 lentelė </w:t>
      </w:r>
      <w:r w:rsidRPr="0047338E">
        <w:rPr>
          <w:rFonts w:ascii="Times New Roman" w:eastAsia="SimSun" w:hAnsi="Times New Roman" w:cs="Times New Roman"/>
          <w:b/>
          <w:bCs/>
          <w:color w:val="000000"/>
          <w:lang w:eastAsia="en-GB"/>
        </w:rPr>
        <w:tab/>
        <w:t>Nuoseklus gydymas ir monoterapija letr</w:t>
      </w:r>
      <w:r w:rsidR="00B61221" w:rsidRPr="0047338E">
        <w:rPr>
          <w:rFonts w:ascii="Times New Roman" w:eastAsia="SimSun" w:hAnsi="Times New Roman" w:cs="Times New Roman"/>
          <w:b/>
          <w:bCs/>
          <w:color w:val="000000"/>
          <w:lang w:eastAsia="en-GB"/>
        </w:rPr>
        <w:t>o</w:t>
      </w:r>
      <w:r w:rsidRPr="0047338E">
        <w:rPr>
          <w:rFonts w:ascii="Times New Roman" w:eastAsia="SimSun" w:hAnsi="Times New Roman" w:cs="Times New Roman"/>
          <w:b/>
          <w:bCs/>
          <w:color w:val="000000"/>
          <w:lang w:eastAsia="en-GB"/>
        </w:rPr>
        <w:t>zolu: nepageidaujami reiškiniai, kurių dažnis reikšmingai skyrėsi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6"/>
        <w:gridCol w:w="2215"/>
        <w:gridCol w:w="2216"/>
        <w:gridCol w:w="2233"/>
      </w:tblGrid>
      <w:tr w:rsidR="000C61CC" w:rsidRPr="0047338E" w14:paraId="67EE51C0" w14:textId="77777777" w:rsidTr="00CE38F5">
        <w:tc>
          <w:tcPr>
            <w:tcW w:w="2402" w:type="dxa"/>
          </w:tcPr>
          <w:p w14:paraId="69EAE2CB" w14:textId="77777777" w:rsidR="000C61CC" w:rsidRPr="0047338E" w:rsidRDefault="000C61CC" w:rsidP="000C61CC">
            <w:pPr>
              <w:spacing w:after="0" w:line="240" w:lineRule="auto"/>
              <w:rPr>
                <w:rFonts w:ascii="Times New Roman" w:eastAsia="SimSun" w:hAnsi="Times New Roman" w:cs="Times New Roman"/>
                <w:color w:val="000000"/>
              </w:rPr>
            </w:pPr>
          </w:p>
        </w:tc>
        <w:tc>
          <w:tcPr>
            <w:tcW w:w="2236" w:type="dxa"/>
          </w:tcPr>
          <w:p w14:paraId="730B861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monoterapija</w:t>
            </w:r>
          </w:p>
        </w:tc>
        <w:tc>
          <w:tcPr>
            <w:tcW w:w="2324" w:type="dxa"/>
          </w:tcPr>
          <w:p w14:paraId="1C244CB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Letrozolas –&gt; tamoksifenas</w:t>
            </w:r>
          </w:p>
        </w:tc>
        <w:tc>
          <w:tcPr>
            <w:tcW w:w="2324" w:type="dxa"/>
          </w:tcPr>
          <w:p w14:paraId="379EF37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Tamoksifenas -&gt; letrozolas</w:t>
            </w:r>
          </w:p>
        </w:tc>
      </w:tr>
      <w:tr w:rsidR="000C61CC" w:rsidRPr="0047338E" w14:paraId="3083D5FF" w14:textId="77777777" w:rsidTr="00CE38F5">
        <w:tc>
          <w:tcPr>
            <w:tcW w:w="2463" w:type="dxa"/>
          </w:tcPr>
          <w:p w14:paraId="3CC31DD3" w14:textId="77777777" w:rsidR="000C61CC" w:rsidRPr="0047338E" w:rsidRDefault="000C61CC" w:rsidP="000C61CC">
            <w:pPr>
              <w:spacing w:after="0" w:line="240" w:lineRule="auto"/>
              <w:rPr>
                <w:rFonts w:ascii="Times New Roman" w:eastAsia="SimSun" w:hAnsi="Times New Roman" w:cs="Times New Roman"/>
                <w:color w:val="000000"/>
                <w:lang w:eastAsia="en-GB"/>
              </w:rPr>
            </w:pPr>
          </w:p>
        </w:tc>
        <w:tc>
          <w:tcPr>
            <w:tcW w:w="2463" w:type="dxa"/>
            <w:tcBorders>
              <w:top w:val="single" w:sz="4" w:space="0" w:color="000000"/>
              <w:left w:val="single" w:sz="4" w:space="0" w:color="000000"/>
              <w:bottom w:val="single" w:sz="4" w:space="0" w:color="000000"/>
              <w:right w:val="single" w:sz="4" w:space="0" w:color="000000"/>
            </w:tcBorders>
          </w:tcPr>
          <w:p w14:paraId="245BF0C9" w14:textId="77777777" w:rsidR="000C61CC" w:rsidRPr="0047338E" w:rsidRDefault="000C61CC" w:rsidP="000C61CC">
            <w:pPr>
              <w:spacing w:after="0" w:line="240" w:lineRule="auto"/>
              <w:rPr>
                <w:rFonts w:ascii="Times New Roman" w:eastAsia="SimSun" w:hAnsi="Times New Roman" w:cs="Times New Roman"/>
                <w:color w:val="000000"/>
                <w:w w:val="99"/>
              </w:rPr>
            </w:pPr>
            <w:r w:rsidRPr="0047338E">
              <w:rPr>
                <w:rFonts w:ascii="Times New Roman" w:eastAsia="SimSun" w:hAnsi="Times New Roman" w:cs="Times New Roman"/>
                <w:color w:val="000000"/>
              </w:rPr>
              <w:t>N = 1535</w:t>
            </w:r>
          </w:p>
        </w:tc>
        <w:tc>
          <w:tcPr>
            <w:tcW w:w="2464" w:type="dxa"/>
            <w:tcBorders>
              <w:top w:val="single" w:sz="4" w:space="0" w:color="000000"/>
              <w:left w:val="single" w:sz="4" w:space="0" w:color="000000"/>
              <w:bottom w:val="single" w:sz="4" w:space="0" w:color="000000"/>
              <w:right w:val="single" w:sz="4" w:space="0" w:color="000000"/>
            </w:tcBorders>
          </w:tcPr>
          <w:p w14:paraId="76310D48" w14:textId="77777777" w:rsidR="000C61CC" w:rsidRPr="0047338E" w:rsidRDefault="000C61CC" w:rsidP="000C61CC">
            <w:pPr>
              <w:spacing w:after="0" w:line="240" w:lineRule="auto"/>
              <w:rPr>
                <w:rFonts w:ascii="Times New Roman" w:eastAsia="SimSun" w:hAnsi="Times New Roman" w:cs="Times New Roman"/>
                <w:color w:val="000000"/>
                <w:w w:val="99"/>
              </w:rPr>
            </w:pPr>
            <w:r w:rsidRPr="0047338E">
              <w:rPr>
                <w:rFonts w:ascii="Times New Roman" w:eastAsia="SimSun" w:hAnsi="Times New Roman" w:cs="Times New Roman"/>
                <w:color w:val="000000"/>
              </w:rPr>
              <w:t>N = 1527</w:t>
            </w:r>
          </w:p>
        </w:tc>
        <w:tc>
          <w:tcPr>
            <w:tcW w:w="2464" w:type="dxa"/>
            <w:tcBorders>
              <w:top w:val="single" w:sz="4" w:space="0" w:color="000000"/>
              <w:left w:val="single" w:sz="4" w:space="0" w:color="000000"/>
              <w:bottom w:val="single" w:sz="4" w:space="0" w:color="000000"/>
              <w:right w:val="single" w:sz="4" w:space="0" w:color="000000"/>
            </w:tcBorders>
          </w:tcPr>
          <w:p w14:paraId="52D7812F" w14:textId="77777777" w:rsidR="000C61CC" w:rsidRPr="0047338E" w:rsidRDefault="000C61CC" w:rsidP="000C61CC">
            <w:pPr>
              <w:spacing w:after="0" w:line="240" w:lineRule="auto"/>
              <w:rPr>
                <w:rFonts w:ascii="Times New Roman" w:eastAsia="SimSun" w:hAnsi="Times New Roman" w:cs="Times New Roman"/>
                <w:color w:val="000000"/>
                <w:w w:val="99"/>
              </w:rPr>
            </w:pPr>
            <w:r w:rsidRPr="0047338E">
              <w:rPr>
                <w:rFonts w:ascii="Times New Roman" w:eastAsia="SimSun" w:hAnsi="Times New Roman" w:cs="Times New Roman"/>
                <w:color w:val="000000"/>
              </w:rPr>
              <w:t>N = 1541</w:t>
            </w:r>
          </w:p>
        </w:tc>
      </w:tr>
      <w:tr w:rsidR="000C61CC" w:rsidRPr="0047338E" w14:paraId="0BD85DA4" w14:textId="77777777" w:rsidTr="00CE38F5">
        <w:tc>
          <w:tcPr>
            <w:tcW w:w="2402" w:type="dxa"/>
          </w:tcPr>
          <w:p w14:paraId="4CB55D05" w14:textId="77777777" w:rsidR="000C61CC" w:rsidRPr="0047338E" w:rsidRDefault="000C61CC" w:rsidP="000C61CC">
            <w:pPr>
              <w:spacing w:after="0" w:line="240" w:lineRule="auto"/>
              <w:rPr>
                <w:rFonts w:ascii="Times New Roman" w:eastAsia="SimSun" w:hAnsi="Times New Roman" w:cs="Times New Roman"/>
                <w:color w:val="000000"/>
                <w:lang w:eastAsia="en-GB"/>
              </w:rPr>
            </w:pPr>
          </w:p>
        </w:tc>
        <w:tc>
          <w:tcPr>
            <w:tcW w:w="2236" w:type="dxa"/>
            <w:tcBorders>
              <w:top w:val="single" w:sz="4" w:space="0" w:color="000000"/>
              <w:left w:val="single" w:sz="4" w:space="0" w:color="000000"/>
              <w:bottom w:val="single" w:sz="4" w:space="0" w:color="000000"/>
              <w:right w:val="single" w:sz="4" w:space="0" w:color="000000"/>
            </w:tcBorders>
          </w:tcPr>
          <w:p w14:paraId="64BE6A4C" w14:textId="77777777" w:rsidR="000C61CC" w:rsidRPr="0047338E" w:rsidRDefault="000C61CC" w:rsidP="000C61CC">
            <w:pPr>
              <w:spacing w:after="0" w:line="240" w:lineRule="auto"/>
              <w:rPr>
                <w:rFonts w:ascii="Times New Roman" w:eastAsia="SimSun" w:hAnsi="Times New Roman" w:cs="Times New Roman"/>
                <w:color w:val="000000"/>
                <w:w w:val="99"/>
              </w:rPr>
            </w:pPr>
            <w:r w:rsidRPr="0047338E">
              <w:rPr>
                <w:rFonts w:ascii="Times New Roman" w:eastAsia="SimSun" w:hAnsi="Times New Roman" w:cs="Times New Roman"/>
                <w:color w:val="000000"/>
              </w:rPr>
              <w:t>5 metai</w:t>
            </w:r>
          </w:p>
        </w:tc>
        <w:tc>
          <w:tcPr>
            <w:tcW w:w="2324" w:type="dxa"/>
            <w:tcBorders>
              <w:top w:val="single" w:sz="4" w:space="0" w:color="000000"/>
              <w:left w:val="single" w:sz="4" w:space="0" w:color="000000"/>
              <w:bottom w:val="single" w:sz="4" w:space="0" w:color="000000"/>
              <w:right w:val="single" w:sz="4" w:space="0" w:color="000000"/>
            </w:tcBorders>
          </w:tcPr>
          <w:p w14:paraId="7800CB82" w14:textId="77777777" w:rsidR="000C61CC" w:rsidRPr="0047338E" w:rsidRDefault="000C61CC" w:rsidP="000C61CC">
            <w:pPr>
              <w:spacing w:after="0" w:line="240" w:lineRule="auto"/>
              <w:rPr>
                <w:rFonts w:ascii="Times New Roman" w:eastAsia="SimSun" w:hAnsi="Times New Roman" w:cs="Times New Roman"/>
                <w:color w:val="000000"/>
                <w:w w:val="99"/>
              </w:rPr>
            </w:pPr>
            <w:r w:rsidRPr="0047338E">
              <w:rPr>
                <w:rFonts w:ascii="Times New Roman" w:eastAsia="SimSun" w:hAnsi="Times New Roman" w:cs="Times New Roman"/>
                <w:color w:val="000000"/>
              </w:rPr>
              <w:t>2 metai -&gt; 3 metai</w:t>
            </w:r>
          </w:p>
        </w:tc>
        <w:tc>
          <w:tcPr>
            <w:tcW w:w="2324" w:type="dxa"/>
            <w:tcBorders>
              <w:top w:val="single" w:sz="4" w:space="0" w:color="000000"/>
              <w:left w:val="single" w:sz="4" w:space="0" w:color="000000"/>
              <w:bottom w:val="single" w:sz="4" w:space="0" w:color="000000"/>
              <w:right w:val="single" w:sz="4" w:space="0" w:color="000000"/>
            </w:tcBorders>
          </w:tcPr>
          <w:p w14:paraId="518C3BA1" w14:textId="77777777" w:rsidR="000C61CC" w:rsidRPr="0047338E" w:rsidRDefault="000C61CC" w:rsidP="000C61CC">
            <w:pPr>
              <w:spacing w:after="0" w:line="240" w:lineRule="auto"/>
              <w:rPr>
                <w:rFonts w:ascii="Times New Roman" w:eastAsia="SimSun" w:hAnsi="Times New Roman" w:cs="Times New Roman"/>
                <w:color w:val="000000"/>
                <w:w w:val="99"/>
              </w:rPr>
            </w:pPr>
            <w:r w:rsidRPr="0047338E">
              <w:rPr>
                <w:rFonts w:ascii="Times New Roman" w:eastAsia="SimSun" w:hAnsi="Times New Roman" w:cs="Times New Roman"/>
                <w:color w:val="000000"/>
              </w:rPr>
              <w:t>2 metai -&gt; 3 metai</w:t>
            </w:r>
          </w:p>
        </w:tc>
      </w:tr>
      <w:tr w:rsidR="000C61CC" w:rsidRPr="0047338E" w14:paraId="0ED6625E" w14:textId="77777777" w:rsidTr="00CE38F5">
        <w:tc>
          <w:tcPr>
            <w:tcW w:w="2402" w:type="dxa"/>
          </w:tcPr>
          <w:p w14:paraId="068D215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Kaulų lūžimai</w:t>
            </w:r>
          </w:p>
        </w:tc>
        <w:tc>
          <w:tcPr>
            <w:tcW w:w="2236" w:type="dxa"/>
            <w:tcBorders>
              <w:top w:val="single" w:sz="4" w:space="0" w:color="000000"/>
              <w:left w:val="single" w:sz="4" w:space="0" w:color="000000"/>
              <w:bottom w:val="single" w:sz="4" w:space="0" w:color="000000"/>
              <w:right w:val="single" w:sz="4" w:space="0" w:color="000000"/>
            </w:tcBorders>
          </w:tcPr>
          <w:p w14:paraId="6F45BCE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10,0%</w:t>
            </w:r>
          </w:p>
        </w:tc>
        <w:tc>
          <w:tcPr>
            <w:tcW w:w="2324" w:type="dxa"/>
            <w:tcBorders>
              <w:top w:val="single" w:sz="4" w:space="0" w:color="000000"/>
              <w:left w:val="single" w:sz="4" w:space="0" w:color="000000"/>
              <w:bottom w:val="single" w:sz="4" w:space="0" w:color="000000"/>
              <w:right w:val="single" w:sz="4" w:space="0" w:color="000000"/>
            </w:tcBorders>
          </w:tcPr>
          <w:p w14:paraId="616C0A9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7,7</w:t>
            </w:r>
            <w:r w:rsidRPr="0047338E">
              <w:rPr>
                <w:rFonts w:ascii="Times New Roman" w:eastAsia="SimSun" w:hAnsi="Times New Roman" w:cs="Times New Roman"/>
                <w:color w:val="000000"/>
                <w:spacing w:val="-1"/>
                <w:w w:val="99"/>
              </w:rPr>
              <w:t>%</w:t>
            </w:r>
            <w:r w:rsidRPr="0047338E">
              <w:rPr>
                <w:rFonts w:ascii="Times New Roman" w:eastAsia="SimSun" w:hAnsi="Times New Roman" w:cs="Times New Roman"/>
                <w:color w:val="000000"/>
                <w:w w:val="99"/>
              </w:rPr>
              <w:t>*</w:t>
            </w:r>
          </w:p>
        </w:tc>
        <w:tc>
          <w:tcPr>
            <w:tcW w:w="2324" w:type="dxa"/>
            <w:tcBorders>
              <w:top w:val="single" w:sz="4" w:space="0" w:color="000000"/>
              <w:left w:val="single" w:sz="4" w:space="0" w:color="000000"/>
              <w:bottom w:val="single" w:sz="4" w:space="0" w:color="000000"/>
              <w:right w:val="single" w:sz="4" w:space="0" w:color="000000"/>
            </w:tcBorders>
          </w:tcPr>
          <w:p w14:paraId="08DFDAB7"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9,7%</w:t>
            </w:r>
          </w:p>
        </w:tc>
      </w:tr>
      <w:tr w:rsidR="000C61CC" w:rsidRPr="0047338E" w14:paraId="56F9DD47" w14:textId="77777777" w:rsidTr="00CE38F5">
        <w:tc>
          <w:tcPr>
            <w:tcW w:w="2402" w:type="dxa"/>
          </w:tcPr>
          <w:p w14:paraId="5188795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Proliferacinės endometriumo ligos</w:t>
            </w:r>
          </w:p>
        </w:tc>
        <w:tc>
          <w:tcPr>
            <w:tcW w:w="2236" w:type="dxa"/>
            <w:tcBorders>
              <w:top w:val="single" w:sz="4" w:space="0" w:color="000000"/>
              <w:left w:val="single" w:sz="4" w:space="0" w:color="000000"/>
              <w:bottom w:val="single" w:sz="4" w:space="0" w:color="000000"/>
              <w:right w:val="single" w:sz="4" w:space="0" w:color="000000"/>
            </w:tcBorders>
          </w:tcPr>
          <w:p w14:paraId="7BA45D4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spacing w:val="1"/>
                <w:w w:val="99"/>
              </w:rPr>
              <w:t>0,7%</w:t>
            </w:r>
          </w:p>
        </w:tc>
        <w:tc>
          <w:tcPr>
            <w:tcW w:w="2324" w:type="dxa"/>
            <w:tcBorders>
              <w:top w:val="single" w:sz="4" w:space="0" w:color="000000"/>
              <w:left w:val="single" w:sz="4" w:space="0" w:color="000000"/>
              <w:bottom w:val="single" w:sz="4" w:space="0" w:color="000000"/>
              <w:right w:val="single" w:sz="4" w:space="0" w:color="000000"/>
            </w:tcBorders>
          </w:tcPr>
          <w:p w14:paraId="6B9BD9C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spacing w:val="1"/>
                <w:w w:val="99"/>
              </w:rPr>
              <w:t>3,4</w:t>
            </w:r>
            <w:r w:rsidRPr="0047338E">
              <w:rPr>
                <w:rFonts w:ascii="Times New Roman" w:eastAsia="SimSun" w:hAnsi="Times New Roman" w:cs="Times New Roman"/>
                <w:color w:val="000000"/>
                <w:spacing w:val="-1"/>
                <w:w w:val="99"/>
              </w:rPr>
              <w:t>%</w:t>
            </w:r>
            <w:r w:rsidRPr="0047338E">
              <w:rPr>
                <w:rFonts w:ascii="Times New Roman" w:eastAsia="SimSun" w:hAnsi="Times New Roman" w:cs="Times New Roman"/>
                <w:color w:val="000000"/>
                <w:spacing w:val="1"/>
                <w:w w:val="99"/>
              </w:rPr>
              <w:t>**</w:t>
            </w:r>
          </w:p>
        </w:tc>
        <w:tc>
          <w:tcPr>
            <w:tcW w:w="2324" w:type="dxa"/>
            <w:tcBorders>
              <w:top w:val="single" w:sz="4" w:space="0" w:color="000000"/>
              <w:left w:val="single" w:sz="4" w:space="0" w:color="000000"/>
              <w:bottom w:val="single" w:sz="4" w:space="0" w:color="000000"/>
              <w:right w:val="single" w:sz="4" w:space="0" w:color="000000"/>
            </w:tcBorders>
          </w:tcPr>
          <w:p w14:paraId="54FF089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spacing w:val="1"/>
                <w:w w:val="99"/>
              </w:rPr>
              <w:t>1,7</w:t>
            </w:r>
            <w:r w:rsidRPr="0047338E">
              <w:rPr>
                <w:rFonts w:ascii="Times New Roman" w:eastAsia="SimSun" w:hAnsi="Times New Roman" w:cs="Times New Roman"/>
                <w:color w:val="000000"/>
                <w:spacing w:val="-1"/>
                <w:w w:val="99"/>
              </w:rPr>
              <w:t>%</w:t>
            </w:r>
            <w:r w:rsidRPr="0047338E">
              <w:rPr>
                <w:rFonts w:ascii="Times New Roman" w:eastAsia="SimSun" w:hAnsi="Times New Roman" w:cs="Times New Roman"/>
                <w:color w:val="000000"/>
                <w:spacing w:val="1"/>
                <w:w w:val="99"/>
              </w:rPr>
              <w:t>**</w:t>
            </w:r>
          </w:p>
        </w:tc>
      </w:tr>
      <w:tr w:rsidR="000C61CC" w:rsidRPr="0047338E" w14:paraId="7B369EBA" w14:textId="77777777" w:rsidTr="00CE38F5">
        <w:tc>
          <w:tcPr>
            <w:tcW w:w="2402" w:type="dxa"/>
          </w:tcPr>
          <w:p w14:paraId="4AAAC4C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Hipercholesterolemija</w:t>
            </w:r>
          </w:p>
        </w:tc>
        <w:tc>
          <w:tcPr>
            <w:tcW w:w="2236" w:type="dxa"/>
            <w:tcBorders>
              <w:top w:val="single" w:sz="4" w:space="0" w:color="000000"/>
              <w:left w:val="single" w:sz="4" w:space="0" w:color="000000"/>
              <w:bottom w:val="single" w:sz="4" w:space="0" w:color="000000"/>
              <w:right w:val="single" w:sz="4" w:space="0" w:color="000000"/>
            </w:tcBorders>
          </w:tcPr>
          <w:p w14:paraId="144B29C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52,5%</w:t>
            </w:r>
          </w:p>
        </w:tc>
        <w:tc>
          <w:tcPr>
            <w:tcW w:w="2324" w:type="dxa"/>
            <w:tcBorders>
              <w:top w:val="single" w:sz="4" w:space="0" w:color="000000"/>
              <w:left w:val="single" w:sz="4" w:space="0" w:color="000000"/>
              <w:bottom w:val="single" w:sz="4" w:space="0" w:color="000000"/>
              <w:right w:val="single" w:sz="4" w:space="0" w:color="000000"/>
            </w:tcBorders>
          </w:tcPr>
          <w:p w14:paraId="228DC4C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44,2</w:t>
            </w:r>
            <w:r w:rsidRPr="0047338E">
              <w:rPr>
                <w:rFonts w:ascii="Times New Roman" w:eastAsia="SimSun" w:hAnsi="Times New Roman" w:cs="Times New Roman"/>
                <w:color w:val="000000"/>
                <w:spacing w:val="-1"/>
                <w:w w:val="99"/>
              </w:rPr>
              <w:t>%</w:t>
            </w:r>
            <w:r w:rsidRPr="0047338E">
              <w:rPr>
                <w:rFonts w:ascii="Times New Roman" w:eastAsia="SimSun" w:hAnsi="Times New Roman" w:cs="Times New Roman"/>
                <w:color w:val="000000"/>
                <w:w w:val="99"/>
              </w:rPr>
              <w:t>*</w:t>
            </w:r>
          </w:p>
        </w:tc>
        <w:tc>
          <w:tcPr>
            <w:tcW w:w="2324" w:type="dxa"/>
            <w:tcBorders>
              <w:top w:val="single" w:sz="4" w:space="0" w:color="000000"/>
              <w:left w:val="single" w:sz="4" w:space="0" w:color="000000"/>
              <w:bottom w:val="single" w:sz="4" w:space="0" w:color="000000"/>
              <w:right w:val="single" w:sz="4" w:space="0" w:color="000000"/>
            </w:tcBorders>
          </w:tcPr>
          <w:p w14:paraId="33C3D7B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40,8</w:t>
            </w:r>
            <w:r w:rsidRPr="0047338E">
              <w:rPr>
                <w:rFonts w:ascii="Times New Roman" w:eastAsia="SimSun" w:hAnsi="Times New Roman" w:cs="Times New Roman"/>
                <w:color w:val="000000"/>
                <w:spacing w:val="-1"/>
                <w:w w:val="99"/>
              </w:rPr>
              <w:t>%</w:t>
            </w:r>
            <w:r w:rsidRPr="0047338E">
              <w:rPr>
                <w:rFonts w:ascii="Times New Roman" w:eastAsia="SimSun" w:hAnsi="Times New Roman" w:cs="Times New Roman"/>
                <w:color w:val="000000"/>
                <w:w w:val="99"/>
              </w:rPr>
              <w:t>*</w:t>
            </w:r>
          </w:p>
        </w:tc>
      </w:tr>
      <w:tr w:rsidR="000C61CC" w:rsidRPr="0047338E" w14:paraId="0F0623DC" w14:textId="77777777" w:rsidTr="00CE38F5">
        <w:tc>
          <w:tcPr>
            <w:tcW w:w="2402" w:type="dxa"/>
          </w:tcPr>
          <w:p w14:paraId="7974485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Karščio pylimas</w:t>
            </w:r>
          </w:p>
        </w:tc>
        <w:tc>
          <w:tcPr>
            <w:tcW w:w="2236" w:type="dxa"/>
            <w:tcBorders>
              <w:top w:val="single" w:sz="4" w:space="0" w:color="000000"/>
              <w:left w:val="single" w:sz="4" w:space="0" w:color="000000"/>
              <w:bottom w:val="single" w:sz="4" w:space="0" w:color="000000"/>
              <w:right w:val="single" w:sz="4" w:space="0" w:color="000000"/>
            </w:tcBorders>
          </w:tcPr>
          <w:p w14:paraId="7D074A47"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37,6%</w:t>
            </w:r>
          </w:p>
        </w:tc>
        <w:tc>
          <w:tcPr>
            <w:tcW w:w="2324" w:type="dxa"/>
            <w:tcBorders>
              <w:top w:val="single" w:sz="4" w:space="0" w:color="000000"/>
              <w:left w:val="single" w:sz="4" w:space="0" w:color="000000"/>
              <w:bottom w:val="single" w:sz="4" w:space="0" w:color="000000"/>
              <w:right w:val="single" w:sz="4" w:space="0" w:color="000000"/>
            </w:tcBorders>
          </w:tcPr>
          <w:p w14:paraId="1BB9739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41,7%**</w:t>
            </w:r>
          </w:p>
        </w:tc>
        <w:tc>
          <w:tcPr>
            <w:tcW w:w="2324" w:type="dxa"/>
            <w:tcBorders>
              <w:top w:val="single" w:sz="4" w:space="0" w:color="000000"/>
              <w:left w:val="single" w:sz="4" w:space="0" w:color="000000"/>
              <w:bottom w:val="single" w:sz="4" w:space="0" w:color="000000"/>
              <w:right w:val="single" w:sz="4" w:space="0" w:color="000000"/>
            </w:tcBorders>
          </w:tcPr>
          <w:p w14:paraId="3493393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43,9%**</w:t>
            </w:r>
          </w:p>
        </w:tc>
      </w:tr>
      <w:tr w:rsidR="000C61CC" w:rsidRPr="0047338E" w14:paraId="6D93452C" w14:textId="77777777" w:rsidTr="00CE38F5">
        <w:tc>
          <w:tcPr>
            <w:tcW w:w="2402" w:type="dxa"/>
          </w:tcPr>
          <w:p w14:paraId="799A699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Kraujavimas iš makšties</w:t>
            </w:r>
          </w:p>
        </w:tc>
        <w:tc>
          <w:tcPr>
            <w:tcW w:w="2236" w:type="dxa"/>
            <w:tcBorders>
              <w:top w:val="single" w:sz="4" w:space="0" w:color="000000"/>
              <w:left w:val="single" w:sz="4" w:space="0" w:color="000000"/>
              <w:bottom w:val="single" w:sz="4" w:space="0" w:color="000000"/>
              <w:right w:val="single" w:sz="4" w:space="0" w:color="000000"/>
            </w:tcBorders>
          </w:tcPr>
          <w:p w14:paraId="33D1A85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6,3%</w:t>
            </w:r>
          </w:p>
        </w:tc>
        <w:tc>
          <w:tcPr>
            <w:tcW w:w="2324" w:type="dxa"/>
            <w:tcBorders>
              <w:top w:val="single" w:sz="4" w:space="0" w:color="000000"/>
              <w:left w:val="single" w:sz="4" w:space="0" w:color="000000"/>
              <w:bottom w:val="single" w:sz="4" w:space="0" w:color="000000"/>
              <w:right w:val="single" w:sz="4" w:space="0" w:color="000000"/>
            </w:tcBorders>
          </w:tcPr>
          <w:p w14:paraId="0D32D29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w w:val="99"/>
              </w:rPr>
              <w:t>9,6%</w:t>
            </w:r>
            <w:r w:rsidRPr="0047338E">
              <w:rPr>
                <w:rFonts w:ascii="Times New Roman" w:eastAsia="SimSun" w:hAnsi="Times New Roman" w:cs="Times New Roman"/>
                <w:color w:val="000000"/>
              </w:rPr>
              <w:t>**</w:t>
            </w:r>
          </w:p>
        </w:tc>
        <w:tc>
          <w:tcPr>
            <w:tcW w:w="2324" w:type="dxa"/>
            <w:tcBorders>
              <w:top w:val="single" w:sz="4" w:space="0" w:color="000000"/>
              <w:left w:val="single" w:sz="4" w:space="0" w:color="000000"/>
              <w:bottom w:val="single" w:sz="4" w:space="0" w:color="000000"/>
              <w:right w:val="single" w:sz="4" w:space="0" w:color="000000"/>
            </w:tcBorders>
          </w:tcPr>
          <w:p w14:paraId="71C6AAC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12,7%**</w:t>
            </w:r>
          </w:p>
        </w:tc>
      </w:tr>
      <w:tr w:rsidR="000C61CC" w:rsidRPr="0047338E" w14:paraId="45311D91" w14:textId="77777777" w:rsidTr="00CE38F5">
        <w:tc>
          <w:tcPr>
            <w:tcW w:w="9286" w:type="dxa"/>
            <w:gridSpan w:val="4"/>
          </w:tcPr>
          <w:p w14:paraId="45D1ACE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 Reikšmingai rečiau nei monoterapijos letrozolo atveju </w:t>
            </w:r>
          </w:p>
          <w:p w14:paraId="17E421B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Reikšmingai dažniau nei monoterapijos letrozolo atveju</w:t>
            </w:r>
          </w:p>
          <w:p w14:paraId="25EE61F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Pastaba. Pranešinėjimo laikotarpis apėmė gydymo laikotarpį ir 30</w:t>
            </w:r>
            <w:r w:rsidRPr="0047338E">
              <w:rPr>
                <w:rFonts w:ascii="Times New Roman" w:eastAsia="SimSun" w:hAnsi="Times New Roman" w:cs="Times New Roman"/>
                <w:color w:val="000000"/>
                <w:lang w:eastAsia="en-GB"/>
              </w:rPr>
              <w:t> </w:t>
            </w:r>
            <w:r w:rsidRPr="0047338E">
              <w:rPr>
                <w:rFonts w:ascii="Times New Roman" w:eastAsia="SimSun" w:hAnsi="Times New Roman" w:cs="Times New Roman"/>
                <w:color w:val="000000"/>
              </w:rPr>
              <w:t>dienų po jo nutraukimo.</w:t>
            </w:r>
          </w:p>
        </w:tc>
      </w:tr>
    </w:tbl>
    <w:p w14:paraId="08481F8B"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bookmarkStart w:id="29" w:name="_Toc129243110"/>
      <w:bookmarkStart w:id="30" w:name="_Toc129243235"/>
    </w:p>
    <w:p w14:paraId="51EEBF22"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Tam tikrų nepageidaujamų reakcijų apibūdinimas</w:t>
      </w:r>
    </w:p>
    <w:p w14:paraId="4F275890"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i/>
          <w:iCs/>
          <w:kern w:val="28"/>
        </w:rPr>
      </w:pPr>
      <w:r w:rsidRPr="0047338E">
        <w:rPr>
          <w:rFonts w:ascii="Times New Roman" w:eastAsia="Times New Roman" w:hAnsi="Times New Roman" w:cs="Times New Roman"/>
          <w:i/>
          <w:iCs/>
          <w:kern w:val="28"/>
        </w:rPr>
        <w:t>Širdies nepageidaujamos reakcijos</w:t>
      </w:r>
    </w:p>
    <w:p w14:paraId="337D64A7"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r w:rsidRPr="0047338E">
        <w:rPr>
          <w:rFonts w:ascii="Times New Roman" w:eastAsia="Times New Roman" w:hAnsi="Times New Roman" w:cs="Times New Roman"/>
          <w:kern w:val="28"/>
        </w:rPr>
        <w:t>Adjuvantinio gydymo atveju, be duomenų, pateiktų 2 lentelėje, gauta pranešimų apie toliau išvardytus nepageidaujamus reiškinius, atsiradusius vartojant atitinkamai letrozolo ir tamoksifeno (gydymo trukmės mediana buvo 60 mėnesių ir 30 dienų): krūtinės angina, kurią reikėjo gydyti chirurginiu būdu (1,0 % ir 1,0 %), širdies nepakankamumas (1,1 % ir 0,6 %), hipertenzija (5,6 % ir 5,7 %), cerebrovaskuliniai sutrikimai/praeinantis išemijos priepuolis (2,1 % ir 1,9 %).</w:t>
      </w:r>
    </w:p>
    <w:p w14:paraId="6C8B3A6D"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p>
    <w:p w14:paraId="344D46AF"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r w:rsidRPr="0047338E">
        <w:rPr>
          <w:rFonts w:ascii="Times New Roman" w:eastAsia="Times New Roman" w:hAnsi="Times New Roman" w:cs="Times New Roman"/>
          <w:kern w:val="28"/>
        </w:rPr>
        <w:t>Tęstinio adjuvantinio gydymo atveju gauta pranešimų apie toliau išvardytus nepageidaujamus</w:t>
      </w:r>
    </w:p>
    <w:p w14:paraId="139D6E62"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r w:rsidRPr="0047338E">
        <w:rPr>
          <w:rFonts w:ascii="Times New Roman" w:eastAsia="Times New Roman" w:hAnsi="Times New Roman" w:cs="Times New Roman"/>
          <w:kern w:val="28"/>
        </w:rPr>
        <w:t>reiškinius, atsiradusius vartojant atitinkamai letrozolą (gydymo trukmės mediana 5 metai) ir placebo (vartojimo trukmės mediana 3 metai): angina, kurią reikėjo gydyti chirurginiu būdu (0,8 % ir 0,6 %), nauja ar pasunkėjusi angina (1,4 % ir 1,0 %), miokardo infarktas (1,0 % ir 0,7 %), tromboemboliniai reiškiniai* (0,9 % ir 0,3 %), insultas/praeinantis išemijos priepuolis* (1,5 % ir 0,8 %).</w:t>
      </w:r>
    </w:p>
    <w:p w14:paraId="19A07208"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p>
    <w:p w14:paraId="3B435ADF"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r w:rsidRPr="0047338E">
        <w:rPr>
          <w:rFonts w:ascii="Times New Roman" w:eastAsia="Times New Roman" w:hAnsi="Times New Roman" w:cs="Times New Roman"/>
          <w:kern w:val="28"/>
        </w:rPr>
        <w:t>Reiškinių, pažymėtų simboliu „*“, dažnis dviejose gydymo grupėse statistiškai reikšmingai skyrėsi.</w:t>
      </w:r>
    </w:p>
    <w:p w14:paraId="2201FF2C"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p>
    <w:p w14:paraId="41A6EC83"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i/>
          <w:iCs/>
          <w:kern w:val="28"/>
        </w:rPr>
      </w:pPr>
      <w:r w:rsidRPr="0047338E">
        <w:rPr>
          <w:rFonts w:ascii="Times New Roman" w:eastAsia="Times New Roman" w:hAnsi="Times New Roman" w:cs="Times New Roman"/>
          <w:i/>
          <w:iCs/>
          <w:kern w:val="28"/>
        </w:rPr>
        <w:t>Skeleto nepageidaujamos reakcijos</w:t>
      </w:r>
    </w:p>
    <w:p w14:paraId="3BCC39E7"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r w:rsidRPr="0047338E">
        <w:rPr>
          <w:rFonts w:ascii="Times New Roman" w:eastAsia="Times New Roman" w:hAnsi="Times New Roman" w:cs="Times New Roman"/>
          <w:kern w:val="28"/>
        </w:rPr>
        <w:t>Su poveikiu skeletui susiję saugumo duomenys adjuvantinio gydymo atveju pateikti 2 lentelėje.</w:t>
      </w:r>
    </w:p>
    <w:p w14:paraId="24D6245E"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p>
    <w:p w14:paraId="463DEEA2"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r w:rsidRPr="0047338E">
        <w:rPr>
          <w:rFonts w:ascii="Times New Roman" w:eastAsia="Times New Roman" w:hAnsi="Times New Roman" w:cs="Times New Roman"/>
          <w:kern w:val="28"/>
        </w:rPr>
        <w:t>Tęstinio adjuvantinio gydymo atveju reikšmingai didesniam skaičiui pacienčių, vartojusių letrozolą, atsirado kaulų lūžių ar osteoporozė (kaulų lūžiai 10,4 %, osteoporozė 12,2 %), palyginti su placebo vartojusiomis ligonėmis (atitinkamai 5,8 % ir 6,4 %). Letrozolo vartojimo trukmės mediana buvo 5 metai, placebo – 3 metai.</w:t>
      </w:r>
    </w:p>
    <w:p w14:paraId="50F89770" w14:textId="77777777" w:rsidR="000C61CC" w:rsidRPr="0047338E" w:rsidRDefault="000C61CC" w:rsidP="000C61CC">
      <w:pPr>
        <w:tabs>
          <w:tab w:val="left" w:pos="567"/>
        </w:tabs>
        <w:autoSpaceDE w:val="0"/>
        <w:autoSpaceDN w:val="0"/>
        <w:adjustRightInd w:val="0"/>
        <w:spacing w:after="0" w:line="260" w:lineRule="exact"/>
        <w:jc w:val="both"/>
        <w:rPr>
          <w:rFonts w:ascii="Times New Roman" w:eastAsia="Times New Roman" w:hAnsi="Times New Roman" w:cs="Times New Roman"/>
          <w:snapToGrid w:val="0"/>
          <w:u w:val="single"/>
        </w:rPr>
      </w:pPr>
    </w:p>
    <w:p w14:paraId="6BD694AD" w14:textId="77777777" w:rsidR="000C61CC" w:rsidRPr="005014CA" w:rsidRDefault="000C61CC" w:rsidP="000C61CC">
      <w:pPr>
        <w:tabs>
          <w:tab w:val="left" w:pos="567"/>
        </w:tabs>
        <w:autoSpaceDE w:val="0"/>
        <w:autoSpaceDN w:val="0"/>
        <w:adjustRightInd w:val="0"/>
        <w:spacing w:after="0" w:line="260" w:lineRule="exact"/>
        <w:jc w:val="both"/>
        <w:rPr>
          <w:rFonts w:ascii="Times New Roman" w:eastAsia="Times New Roman" w:hAnsi="Times New Roman" w:cs="Times New Roman"/>
          <w:bCs/>
          <w:snapToGrid w:val="0"/>
          <w:u w:val="single"/>
        </w:rPr>
      </w:pPr>
      <w:r w:rsidRPr="005014CA">
        <w:rPr>
          <w:rFonts w:ascii="Times New Roman" w:eastAsia="Times New Roman" w:hAnsi="Times New Roman" w:cs="Times New Roman"/>
          <w:bCs/>
          <w:snapToGrid w:val="0"/>
          <w:u w:val="single"/>
        </w:rPr>
        <w:t>Pranešimas apie įtariamas nepageidaujamas reakcijas</w:t>
      </w:r>
    </w:p>
    <w:p w14:paraId="2212ADC1" w14:textId="4314AB7C"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snapToGrid w:val="0"/>
          <w:kern w:val="28"/>
        </w:rPr>
      </w:pPr>
      <w:r w:rsidRPr="0047338E">
        <w:rPr>
          <w:rFonts w:ascii="Times New Roman" w:eastAsia="Times New Roman" w:hAnsi="Times New Roman" w:cs="Times New Roman"/>
          <w:snapToGrid w:val="0"/>
          <w:kern w:val="28"/>
        </w:rPr>
        <w:t xml:space="preserve">Svarbu pranešti apie įtariamas nepageidaujamas reakcijas, pastebėtas po vaistinio preparato registracijos, nes tai leidžia nuolat stebėti vaistinio preparato naudos ir rizikos santykį. </w:t>
      </w:r>
      <w:r w:rsidR="00CB10B5" w:rsidRPr="00CB10B5">
        <w:rPr>
          <w:rFonts w:ascii="Times New Roman" w:eastAsia="Times New Roman" w:hAnsi="Times New Roman" w:cs="Times New Roman"/>
          <w:snapToGrid w:val="0"/>
          <w:kern w:val="28"/>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41A09729" w14:textId="77777777" w:rsidR="000C61CC" w:rsidRPr="0047338E" w:rsidRDefault="000C61CC" w:rsidP="000C61CC">
      <w:pPr>
        <w:keepNext/>
        <w:keepLines/>
        <w:tabs>
          <w:tab w:val="left" w:pos="0"/>
        </w:tabs>
        <w:spacing w:after="0" w:line="240" w:lineRule="auto"/>
        <w:outlineLvl w:val="2"/>
        <w:rPr>
          <w:rFonts w:ascii="Times New Roman" w:eastAsia="Times New Roman" w:hAnsi="Times New Roman" w:cs="Times New Roman"/>
          <w:kern w:val="28"/>
        </w:rPr>
      </w:pPr>
    </w:p>
    <w:p w14:paraId="48D3D5C3"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4.9</w:t>
      </w:r>
      <w:r w:rsidRPr="0047338E">
        <w:rPr>
          <w:rFonts w:ascii="Times New Roman" w:eastAsia="Times New Roman" w:hAnsi="Times New Roman" w:cs="Times New Roman"/>
          <w:b/>
        </w:rPr>
        <w:tab/>
        <w:t>Perdozavimas</w:t>
      </w:r>
      <w:bookmarkEnd w:id="29"/>
      <w:bookmarkEnd w:id="30"/>
    </w:p>
    <w:p w14:paraId="01BC79D4" w14:textId="77777777" w:rsidR="000C61CC" w:rsidRPr="0047338E" w:rsidRDefault="000C61CC" w:rsidP="000C61CC">
      <w:pPr>
        <w:spacing w:after="0" w:line="240" w:lineRule="auto"/>
        <w:rPr>
          <w:rFonts w:ascii="Times New Roman" w:eastAsia="SimSun" w:hAnsi="Times New Roman" w:cs="Times New Roman"/>
          <w:color w:val="000000"/>
        </w:rPr>
      </w:pPr>
    </w:p>
    <w:p w14:paraId="369A6147"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lang w:eastAsia="en-GB"/>
        </w:rPr>
        <w:t>Gauta pavienių pranešimų apie letrozolo tablečių perdozavimo atvejus.</w:t>
      </w:r>
    </w:p>
    <w:p w14:paraId="5B92C187"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Specifinio perdozavimo gydymo nėra, skiriamas simptominis ir palaikomasis gydymas.</w:t>
      </w:r>
    </w:p>
    <w:p w14:paraId="281735A1" w14:textId="77777777" w:rsidR="000C61CC" w:rsidRPr="0047338E" w:rsidRDefault="000C61CC" w:rsidP="000C61CC">
      <w:pPr>
        <w:spacing w:after="0" w:line="240" w:lineRule="auto"/>
        <w:rPr>
          <w:rFonts w:ascii="Times New Roman" w:eastAsia="SimSun" w:hAnsi="Times New Roman" w:cs="Times New Roman"/>
          <w:color w:val="000000"/>
        </w:rPr>
      </w:pPr>
    </w:p>
    <w:p w14:paraId="1D71364F" w14:textId="77777777" w:rsidR="000C61CC" w:rsidRPr="0047338E" w:rsidRDefault="000C61CC" w:rsidP="000C61CC">
      <w:pPr>
        <w:spacing w:after="0" w:line="240" w:lineRule="auto"/>
        <w:rPr>
          <w:rFonts w:ascii="Times New Roman" w:eastAsia="SimSun" w:hAnsi="Times New Roman" w:cs="Times New Roman"/>
          <w:color w:val="000000"/>
        </w:rPr>
      </w:pPr>
    </w:p>
    <w:p w14:paraId="1B3D3FDB" w14:textId="77777777" w:rsidR="000C61CC" w:rsidRPr="0047338E" w:rsidRDefault="000C61CC" w:rsidP="000C61CC">
      <w:pPr>
        <w:keepNext/>
        <w:tabs>
          <w:tab w:val="left" w:pos="567"/>
        </w:tabs>
        <w:spacing w:after="0" w:line="240" w:lineRule="auto"/>
        <w:ind w:left="567" w:hanging="567"/>
        <w:outlineLvl w:val="1"/>
        <w:rPr>
          <w:rFonts w:ascii="Times New Roman" w:eastAsia="Times New Roman" w:hAnsi="Times New Roman" w:cs="Times New Roman"/>
          <w:b/>
          <w:caps/>
        </w:rPr>
      </w:pPr>
      <w:bookmarkStart w:id="31" w:name="_Toc129243111"/>
      <w:bookmarkStart w:id="32" w:name="_Toc129243236"/>
      <w:r w:rsidRPr="0047338E">
        <w:rPr>
          <w:rFonts w:ascii="Times New Roman" w:eastAsia="Times New Roman" w:hAnsi="Times New Roman" w:cs="Times New Roman"/>
          <w:b/>
          <w:caps/>
        </w:rPr>
        <w:t>5.</w:t>
      </w:r>
      <w:r w:rsidRPr="0047338E">
        <w:rPr>
          <w:rFonts w:ascii="Times New Roman" w:eastAsia="Times New Roman" w:hAnsi="Times New Roman" w:cs="Times New Roman"/>
          <w:b/>
          <w:caps/>
        </w:rPr>
        <w:tab/>
        <w:t>FARMAKOLOGINĖS SAVYBĖS</w:t>
      </w:r>
      <w:bookmarkEnd w:id="31"/>
      <w:bookmarkEnd w:id="32"/>
    </w:p>
    <w:p w14:paraId="17C76F28" w14:textId="77777777" w:rsidR="000C61CC" w:rsidRPr="0047338E" w:rsidRDefault="000C61CC" w:rsidP="000C61CC">
      <w:pPr>
        <w:spacing w:after="0" w:line="240" w:lineRule="auto"/>
        <w:rPr>
          <w:rFonts w:ascii="Times New Roman" w:eastAsia="SimSun" w:hAnsi="Times New Roman" w:cs="Times New Roman"/>
          <w:color w:val="000000"/>
        </w:rPr>
      </w:pPr>
    </w:p>
    <w:p w14:paraId="590006A7"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33" w:name="_Toc129243112"/>
      <w:bookmarkStart w:id="34" w:name="_Toc129243237"/>
      <w:r w:rsidRPr="0047338E">
        <w:rPr>
          <w:rFonts w:ascii="Times New Roman" w:eastAsia="Times New Roman" w:hAnsi="Times New Roman" w:cs="Times New Roman"/>
          <w:b/>
        </w:rPr>
        <w:t>5.1</w:t>
      </w:r>
      <w:r w:rsidRPr="0047338E">
        <w:rPr>
          <w:rFonts w:ascii="Times New Roman" w:eastAsia="Times New Roman" w:hAnsi="Times New Roman" w:cs="Times New Roman"/>
          <w:b/>
        </w:rPr>
        <w:tab/>
        <w:t>Farmakodinaminės savybės</w:t>
      </w:r>
      <w:bookmarkEnd w:id="33"/>
      <w:bookmarkEnd w:id="34"/>
    </w:p>
    <w:p w14:paraId="710C2C8D" w14:textId="77777777" w:rsidR="000C61CC" w:rsidRPr="0047338E" w:rsidRDefault="000C61CC" w:rsidP="000C61CC">
      <w:pPr>
        <w:spacing w:after="0" w:line="240" w:lineRule="auto"/>
        <w:rPr>
          <w:rFonts w:ascii="Times New Roman" w:eastAsia="SimSun" w:hAnsi="Times New Roman" w:cs="Times New Roman"/>
          <w:color w:val="000000"/>
        </w:rPr>
      </w:pPr>
    </w:p>
    <w:p w14:paraId="7B160F0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Farmakoterapinė grupė – endokrininę sistemą veikiantys preparatai, hormonų antagonistai ir susiję preparatai, aromatazės inhibitoriai, ATC kodas – L02BG04.</w:t>
      </w:r>
    </w:p>
    <w:p w14:paraId="184BC92E" w14:textId="77777777" w:rsidR="000C61CC" w:rsidRPr="0047338E" w:rsidRDefault="000C61CC" w:rsidP="000C61CC">
      <w:pPr>
        <w:spacing w:after="0" w:line="240" w:lineRule="auto"/>
        <w:rPr>
          <w:rFonts w:ascii="Times New Roman" w:eastAsia="SimSun" w:hAnsi="Times New Roman" w:cs="Times New Roman"/>
          <w:color w:val="000000"/>
        </w:rPr>
      </w:pPr>
    </w:p>
    <w:p w14:paraId="2E71956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Farmakodinamika</w:t>
      </w:r>
    </w:p>
    <w:p w14:paraId="567D198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Estrogenų sukeliamo naviko augimo stimuliavimo blokada yra būtina sąlyga naviko, kurio audinio augimas priklauso nuo estrogenų, reakcijai į gydymą sukelti, jei taikomas endokrininę sistemą veikiantis gydymas. Po menopauzės moterų organizme estrogenai daugiausia gaminami veikiant fermentui aromatazei, kuris antinksčių androgenus (visų pirma androstenedioną ir testosteroną) verčia estrogenais (estronu ir estradioliu). Vadinasi, specifiškai užslopinus fermentą aromatazę, galima slopinti estrogenų biosintezę periferiniuose audiniuose bei naviko audinyje.</w:t>
      </w:r>
    </w:p>
    <w:p w14:paraId="184A62EF" w14:textId="77777777" w:rsidR="000C61CC" w:rsidRPr="0047338E" w:rsidRDefault="000C61CC" w:rsidP="000C61CC">
      <w:pPr>
        <w:spacing w:after="0" w:line="240" w:lineRule="auto"/>
        <w:rPr>
          <w:rFonts w:ascii="Times New Roman" w:eastAsia="SimSun" w:hAnsi="Times New Roman" w:cs="Times New Roman"/>
          <w:color w:val="000000"/>
        </w:rPr>
      </w:pPr>
    </w:p>
    <w:p w14:paraId="78C2387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Letrozolas yra nesteroidinis aromatazės inhibitorius. Aromatazę jis slopina konkurenciniu būdu prisijungdamas prie jo citochromo P 450 hemo, todėl estrogeno biosintezė mažėja visuose audiniuose, kuriuose šio fermento yra.</w:t>
      </w:r>
    </w:p>
    <w:p w14:paraId="4DFC7482" w14:textId="77777777" w:rsidR="000C61CC" w:rsidRPr="0047338E" w:rsidRDefault="000C61CC" w:rsidP="000C61CC">
      <w:pPr>
        <w:spacing w:after="0" w:line="240" w:lineRule="auto"/>
        <w:rPr>
          <w:rFonts w:ascii="Times New Roman" w:eastAsia="SimSun" w:hAnsi="Times New Roman" w:cs="Times New Roman"/>
          <w:color w:val="000000"/>
        </w:rPr>
      </w:pPr>
    </w:p>
    <w:p w14:paraId="690E8C3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Nustatyta, kad sveikoms moterims po menopauzės vienkartinė 0,1 mg, 0,5 mg ar 2,5 mg letrozolo dozė estrono ir estradiolio koncentraciją serume nuo pradinio rodmens sumažina atitinkamai 75 %,</w:t>
      </w:r>
    </w:p>
    <w:p w14:paraId="6E2731B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78 % ir 78 %. Stipriausias slopinamasis poveikis pasireiškia per 48-78 val.</w:t>
      </w:r>
    </w:p>
    <w:p w14:paraId="70AC0C3B" w14:textId="77777777" w:rsidR="000C61CC" w:rsidRPr="0047338E" w:rsidRDefault="000C61CC" w:rsidP="000C61CC">
      <w:pPr>
        <w:spacing w:after="0" w:line="240" w:lineRule="auto"/>
        <w:rPr>
          <w:rFonts w:ascii="Times New Roman" w:eastAsia="SimSun" w:hAnsi="Times New Roman" w:cs="Times New Roman"/>
          <w:color w:val="000000"/>
        </w:rPr>
      </w:pPr>
    </w:p>
    <w:p w14:paraId="135E14EB"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Visoms tirtoms pomenopauziniu laikotarpiu progresuojančiu krūties vėžiu sirgusioms moterims 0,1-5 mg letrozolo paros dozė estradiolio, estrono ir estrono sulfato koncentraciją plazmoje nuo pradinio rodmens sumažino 75-95 %. Vartojant 0,5 mg ar didesnę dozę, estrono ir estrono sulfato koncentracija plazmoje būna mažesnė už tą, kurią įmanoma nustatyti, vadinasi, vartojant tokias dozes, estrogenų sintezė slopinama labiau. Visoms tirtoms pacientėms estrogenų sintezę letrozolas slopino visu gydymo juo laikotarpiu.</w:t>
      </w:r>
    </w:p>
    <w:p w14:paraId="1B553AFD" w14:textId="77777777" w:rsidR="000C61CC" w:rsidRPr="0047338E" w:rsidRDefault="000C61CC" w:rsidP="000C61CC">
      <w:pPr>
        <w:spacing w:after="0" w:line="240" w:lineRule="auto"/>
        <w:rPr>
          <w:rFonts w:ascii="Times New Roman" w:eastAsia="SimSun" w:hAnsi="Times New Roman" w:cs="Times New Roman"/>
          <w:color w:val="000000"/>
        </w:rPr>
      </w:pPr>
    </w:p>
    <w:p w14:paraId="2FC4B78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Letrozolas aromatazės aktyvumą slopina labai specifiškai. Steroidinių hormonų sintezė antinksčiuose nesutrinka. Pacientėms, pomenopauziniu laikotarpiu gydytoms 0,1-5 mg letrozolo paros doze, kliniškai reikšmingų kortizolio, aldosterono, 11-deoksikortizolio, 17-hidroksiprogesterono bei AKTH koncentracijos plazmoje ir renino aktyvumo plazmoje pokyčių nepastebėta. Po 6 ir 12 gydymo letrozolu savaičių (vartota 0,1 mg, 0,25 mg, 0,5 mg, 1 mg, 2,5 mg ar 5 mg paros dozė) atlikus AKTH stimuliavimo testą, nustatyta, kad aldosterono ar kortizolio gamyba nesumažėjo. Vadinasi, papildomai vartoti gliukokortikoidų ir mineralkortikoidų nereikia.</w:t>
      </w:r>
    </w:p>
    <w:p w14:paraId="28C28C8B" w14:textId="77777777" w:rsidR="000C61CC" w:rsidRPr="0047338E" w:rsidRDefault="000C61CC" w:rsidP="000C61CC">
      <w:pPr>
        <w:spacing w:after="0" w:line="240" w:lineRule="auto"/>
        <w:rPr>
          <w:rFonts w:ascii="Times New Roman" w:eastAsia="SimSun" w:hAnsi="Times New Roman" w:cs="Times New Roman"/>
          <w:color w:val="000000"/>
        </w:rPr>
      </w:pPr>
    </w:p>
    <w:p w14:paraId="4A966EB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Sveikoms moterims, pomenopauziniu laikotarpiu išgėrusioms vieną 0,1 mg, 0,5 mg ar 2,5 mg letrozolo dozę, androgenų (androstenediono ir testosterono) koncentracija plazmoje nekito. Androstenediono koncentracija nekito ir moterų, pomenopauziniu laikotarpiu vartojusių 0,1-5 mg letrozolo paros dozę, plazmoje. Tai rodo, kad, užblokavus estrogenų biosintezę, androgenų pirmtakų organizme nesikaupia. Letrozolu gydomų pacienčių LH ir FSH koncentracija plazmoje bei skydliaukės funkcija (remiantis TSH, T4, ir T3 pasisavinimo tyrimų duomenimis) nepakito.</w:t>
      </w:r>
    </w:p>
    <w:p w14:paraId="082126A4" w14:textId="77777777" w:rsidR="000C61CC" w:rsidRPr="0047338E" w:rsidRDefault="000C61CC" w:rsidP="000C61CC">
      <w:pPr>
        <w:spacing w:after="0" w:line="240" w:lineRule="auto"/>
        <w:rPr>
          <w:rFonts w:ascii="Times New Roman" w:eastAsia="SimSun" w:hAnsi="Times New Roman" w:cs="Times New Roman"/>
          <w:color w:val="000000"/>
        </w:rPr>
      </w:pPr>
    </w:p>
    <w:p w14:paraId="7AD406B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Adjuvantinis gydymas</w:t>
      </w:r>
    </w:p>
    <w:p w14:paraId="33138476" w14:textId="77777777" w:rsidR="000C61CC" w:rsidRPr="0047338E" w:rsidRDefault="000C61CC" w:rsidP="000C61CC">
      <w:pPr>
        <w:spacing w:after="0" w:line="240" w:lineRule="auto"/>
        <w:rPr>
          <w:rFonts w:ascii="Times New Roman" w:eastAsia="Times New Roman" w:hAnsi="Times New Roman" w:cs="Times New Roman"/>
          <w:bCs/>
          <w:i/>
          <w:iCs/>
          <w:u w:val="single"/>
        </w:rPr>
      </w:pPr>
      <w:r w:rsidRPr="0047338E">
        <w:rPr>
          <w:rFonts w:ascii="Times New Roman" w:eastAsia="Times New Roman" w:hAnsi="Times New Roman" w:cs="Times New Roman"/>
          <w:bCs/>
          <w:i/>
          <w:iCs/>
          <w:u w:val="single"/>
        </w:rPr>
        <w:t>BIG 1-98 tyrimas</w:t>
      </w:r>
    </w:p>
    <w:p w14:paraId="0ECD69D4" w14:textId="77777777" w:rsidR="000C61CC" w:rsidRPr="0047338E" w:rsidRDefault="000C61CC" w:rsidP="000C61CC">
      <w:pPr>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rPr>
        <w:t xml:space="preserve">BIG 1-98 buvo daugiacentris dvigubai koduotas tyrimas, kuriame dalyvavo daugiau kaip 8 000 moterų, pomenopauziniu laikotarpiu sirgusių ankstyvų krūties vėžiu, kuriame buvo estrogenų receptorių. Atsitiktinai parinkus buvo skirta viena iš šių gydymo schemų: A. tamoksifenas 5 metus, B. letrozolas 5 metus, C. tamoksifenas 2 metus, po to letrozolas 3 metus, D. letrozolas 2 metus, po to tamoksifenas 3 metus. </w:t>
      </w:r>
      <w:r w:rsidRPr="0047338E">
        <w:rPr>
          <w:rFonts w:ascii="Times New Roman" w:eastAsia="SimSun" w:hAnsi="Times New Roman" w:cs="Times New Roman"/>
          <w:color w:val="000000"/>
          <w:lang w:eastAsia="en-GB"/>
        </w:rPr>
        <w:t>Pagrindinė vertinamoji baigtis buvo išgyvenamumas be ligos pasireiškimo (IBLP), antrinės vertinamosios baigtys buvo laikas iki nutolusių metastazių atsiradimo (LINMA), išgyvenamumas iki tolimojo ligos išplitimo (IITLI), bendrasis išgyvenamumas (BI), išgyvenamumas be sisteminio ligos pasireiškimo (IBSLP), invazinio kitos krūties vėžio pasireiškimas bei laikas iki krūties vėžio atsinaujinimo.</w:t>
      </w:r>
    </w:p>
    <w:p w14:paraId="79619E03" w14:textId="77777777" w:rsidR="000C61CC" w:rsidRPr="0047338E" w:rsidRDefault="000C61CC" w:rsidP="000C61CC">
      <w:pPr>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lang w:eastAsia="en-GB"/>
        </w:rPr>
        <w:t>Veiksmingumo rezultatai (stebėjimo mediana – 26 mėnesiai ir 60 mėnesių) 4 lentelėje pateikti duomenys atspindi pirminės pagrindinės analizės (PPA) rezultatus ir apima monoterapijos grupių (A ir B grupės) bei dviejų grupių, kur gydymas keistas (C ir D grupės), duomenis (atitinkamai gydymo trukmės mediana 24 mėnesiai, stebėjimo trukmės mediana 26 mėnesiai ir gydymo trukmės mediana 32 mėnesiai, stebėjimo trukmės mediana 60 mėnesių).</w:t>
      </w:r>
    </w:p>
    <w:p w14:paraId="30F7DB8B" w14:textId="77777777" w:rsidR="000C61CC" w:rsidRPr="0047338E" w:rsidRDefault="000C61CC" w:rsidP="000C61CC">
      <w:pPr>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lang w:eastAsia="en-GB"/>
        </w:rPr>
        <w:t>5 metų laikotarpiu IBLP dažnis buvo 84 % vartojant letrozolo ir 81,4 % vartojant tamoksifeno.</w:t>
      </w:r>
    </w:p>
    <w:p w14:paraId="2FAE201D" w14:textId="77777777" w:rsidR="000C61CC" w:rsidRPr="0047338E" w:rsidRDefault="000C61CC" w:rsidP="000C61CC">
      <w:pPr>
        <w:spacing w:after="0" w:line="240" w:lineRule="auto"/>
        <w:ind w:left="1440" w:hanging="1440"/>
        <w:jc w:val="both"/>
        <w:rPr>
          <w:rFonts w:ascii="Times New Roman" w:eastAsia="SimSun" w:hAnsi="Times New Roman" w:cs="Times New Roman"/>
          <w:b/>
          <w:color w:val="000000"/>
          <w:lang w:eastAsia="en-GB"/>
        </w:rPr>
      </w:pPr>
    </w:p>
    <w:p w14:paraId="4612D05A" w14:textId="77777777" w:rsidR="000C61CC" w:rsidRPr="0047338E" w:rsidRDefault="000C61CC" w:rsidP="005014CA">
      <w:pPr>
        <w:spacing w:after="0" w:line="240" w:lineRule="auto"/>
        <w:ind w:left="1440" w:hanging="1440"/>
        <w:rPr>
          <w:rFonts w:ascii="Times New Roman" w:eastAsia="SimSun" w:hAnsi="Times New Roman" w:cs="Times New Roman"/>
          <w:b/>
          <w:color w:val="000000"/>
          <w:lang w:eastAsia="en-GB"/>
        </w:rPr>
      </w:pPr>
      <w:r w:rsidRPr="0047338E">
        <w:rPr>
          <w:rFonts w:ascii="Times New Roman" w:eastAsia="SimSun" w:hAnsi="Times New Roman" w:cs="Times New Roman"/>
          <w:b/>
          <w:color w:val="000000"/>
          <w:lang w:eastAsia="en-GB"/>
        </w:rPr>
        <w:t xml:space="preserve">4 lentelė </w:t>
      </w:r>
      <w:r w:rsidRPr="0047338E">
        <w:rPr>
          <w:rFonts w:ascii="Times New Roman" w:eastAsia="SimSun" w:hAnsi="Times New Roman" w:cs="Times New Roman"/>
          <w:b/>
          <w:color w:val="000000"/>
          <w:lang w:eastAsia="en-GB"/>
        </w:rPr>
        <w:tab/>
        <w:t>Pirminė pagrindinė analizė: išgyvenamumas be ligos pasireiškimo ir bendrasis išgyvenamumas (ITT populiacija), stebėjimo mediana 26 mėnesiai ir 60 mėnesių</w:t>
      </w:r>
    </w:p>
    <w:p w14:paraId="5ACFE20A" w14:textId="77777777" w:rsidR="000C61CC" w:rsidRPr="0047338E" w:rsidRDefault="000C61CC" w:rsidP="000C61CC">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6"/>
        <w:gridCol w:w="1257"/>
        <w:gridCol w:w="1524"/>
        <w:gridCol w:w="940"/>
        <w:gridCol w:w="1237"/>
        <w:gridCol w:w="1524"/>
        <w:gridCol w:w="932"/>
      </w:tblGrid>
      <w:tr w:rsidR="000C61CC" w:rsidRPr="0047338E" w14:paraId="315FF830" w14:textId="77777777" w:rsidTr="00CE38F5">
        <w:tc>
          <w:tcPr>
            <w:tcW w:w="1646" w:type="dxa"/>
          </w:tcPr>
          <w:p w14:paraId="741F6F33" w14:textId="77777777" w:rsidR="000C61CC" w:rsidRPr="0047338E" w:rsidRDefault="000C61CC" w:rsidP="000C61CC">
            <w:pPr>
              <w:spacing w:after="0" w:line="240" w:lineRule="auto"/>
              <w:rPr>
                <w:rFonts w:ascii="Times New Roman" w:eastAsia="Times New Roman" w:hAnsi="Times New Roman" w:cs="Times New Roman"/>
              </w:rPr>
            </w:pPr>
          </w:p>
        </w:tc>
        <w:tc>
          <w:tcPr>
            <w:tcW w:w="8208" w:type="dxa"/>
            <w:gridSpan w:val="6"/>
          </w:tcPr>
          <w:p w14:paraId="74F9E1FF"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Pirminė pagrindinė analizė</w:t>
            </w:r>
          </w:p>
        </w:tc>
      </w:tr>
      <w:tr w:rsidR="000C61CC" w:rsidRPr="0047338E" w14:paraId="1CE2FDD5" w14:textId="77777777" w:rsidTr="00CE38F5">
        <w:tc>
          <w:tcPr>
            <w:tcW w:w="1646" w:type="dxa"/>
          </w:tcPr>
          <w:p w14:paraId="49C1095A" w14:textId="77777777" w:rsidR="000C61CC" w:rsidRPr="0047338E" w:rsidRDefault="000C61CC" w:rsidP="000C61CC">
            <w:pPr>
              <w:spacing w:after="0" w:line="240" w:lineRule="auto"/>
              <w:rPr>
                <w:rFonts w:ascii="Times New Roman" w:eastAsia="Times New Roman" w:hAnsi="Times New Roman" w:cs="Times New Roman"/>
              </w:rPr>
            </w:pPr>
          </w:p>
        </w:tc>
        <w:tc>
          <w:tcPr>
            <w:tcW w:w="4148" w:type="dxa"/>
            <w:gridSpan w:val="3"/>
          </w:tcPr>
          <w:p w14:paraId="0D909937"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Stebėjimo mediana 26 mėnesiai</w:t>
            </w:r>
          </w:p>
        </w:tc>
        <w:tc>
          <w:tcPr>
            <w:tcW w:w="4060" w:type="dxa"/>
            <w:gridSpan w:val="3"/>
          </w:tcPr>
          <w:p w14:paraId="7F528C72"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Stebėjimo mediana 60 mėnesių</w:t>
            </w:r>
          </w:p>
        </w:tc>
      </w:tr>
      <w:tr w:rsidR="000C61CC" w:rsidRPr="0047338E" w14:paraId="464AA398" w14:textId="77777777" w:rsidTr="00CE38F5">
        <w:tc>
          <w:tcPr>
            <w:tcW w:w="1646" w:type="dxa"/>
          </w:tcPr>
          <w:p w14:paraId="4B309724" w14:textId="77777777" w:rsidR="000C61CC" w:rsidRPr="0047338E" w:rsidRDefault="000C61CC" w:rsidP="000C61CC">
            <w:pPr>
              <w:spacing w:after="0" w:line="240" w:lineRule="auto"/>
              <w:rPr>
                <w:rFonts w:ascii="Times New Roman" w:eastAsia="Times New Roman" w:hAnsi="Times New Roman" w:cs="Times New Roman"/>
              </w:rPr>
            </w:pPr>
          </w:p>
        </w:tc>
        <w:tc>
          <w:tcPr>
            <w:tcW w:w="1363" w:type="dxa"/>
          </w:tcPr>
          <w:p w14:paraId="222313DA"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Letrozolas N = 4003</w:t>
            </w:r>
          </w:p>
        </w:tc>
        <w:tc>
          <w:tcPr>
            <w:tcW w:w="1524" w:type="dxa"/>
          </w:tcPr>
          <w:p w14:paraId="36BD4885"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Tamoksifenas</w:t>
            </w:r>
          </w:p>
          <w:p w14:paraId="1693E43F"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N = 4007</w:t>
            </w:r>
          </w:p>
        </w:tc>
        <w:tc>
          <w:tcPr>
            <w:tcW w:w="1261" w:type="dxa"/>
          </w:tcPr>
          <w:p w14:paraId="42A7F4C4"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RS</w:t>
            </w:r>
            <w:r w:rsidRPr="0047338E">
              <w:rPr>
                <w:rFonts w:ascii="Times New Roman" w:eastAsia="Times New Roman" w:hAnsi="Times New Roman" w:cs="Times New Roman"/>
                <w:b/>
                <w:vertAlign w:val="superscript"/>
              </w:rPr>
              <w:t>1</w:t>
            </w:r>
            <w:r w:rsidRPr="0047338E">
              <w:rPr>
                <w:rFonts w:ascii="Times New Roman" w:eastAsia="Times New Roman" w:hAnsi="Times New Roman" w:cs="Times New Roman"/>
                <w:b/>
              </w:rPr>
              <w:t xml:space="preserve"> (95 % PI) P</w:t>
            </w:r>
          </w:p>
        </w:tc>
        <w:tc>
          <w:tcPr>
            <w:tcW w:w="1301" w:type="dxa"/>
          </w:tcPr>
          <w:p w14:paraId="4065DFAA" w14:textId="77777777" w:rsidR="000C61CC" w:rsidRPr="0047338E" w:rsidRDefault="000C61CC" w:rsidP="000C61CC">
            <w:pPr>
              <w:spacing w:after="0" w:line="240" w:lineRule="auto"/>
              <w:jc w:val="center"/>
              <w:rPr>
                <w:rFonts w:ascii="Times New Roman" w:eastAsia="Times New Roman" w:hAnsi="Times New Roman" w:cs="Times New Roman"/>
              </w:rPr>
            </w:pPr>
            <w:r w:rsidRPr="0047338E">
              <w:rPr>
                <w:rFonts w:ascii="Times New Roman" w:eastAsia="Times New Roman" w:hAnsi="Times New Roman" w:cs="Times New Roman"/>
                <w:b/>
              </w:rPr>
              <w:t>Letrozolas N = 4003</w:t>
            </w:r>
          </w:p>
        </w:tc>
        <w:tc>
          <w:tcPr>
            <w:tcW w:w="1524" w:type="dxa"/>
          </w:tcPr>
          <w:p w14:paraId="1F425C25" w14:textId="77777777" w:rsidR="000C61CC" w:rsidRPr="0047338E" w:rsidRDefault="000C61CC" w:rsidP="000C61CC">
            <w:pPr>
              <w:spacing w:after="0" w:line="240" w:lineRule="auto"/>
              <w:jc w:val="center"/>
              <w:rPr>
                <w:rFonts w:ascii="Times New Roman" w:eastAsia="Times New Roman" w:hAnsi="Times New Roman" w:cs="Times New Roman"/>
                <w:b/>
              </w:rPr>
            </w:pPr>
            <w:r w:rsidRPr="0047338E">
              <w:rPr>
                <w:rFonts w:ascii="Times New Roman" w:eastAsia="Times New Roman" w:hAnsi="Times New Roman" w:cs="Times New Roman"/>
                <w:b/>
              </w:rPr>
              <w:t>Tamoksifenas</w:t>
            </w:r>
          </w:p>
          <w:p w14:paraId="4FD5B3AF" w14:textId="77777777" w:rsidR="000C61CC" w:rsidRPr="0047338E" w:rsidRDefault="000C61CC" w:rsidP="000C61CC">
            <w:pPr>
              <w:spacing w:after="0" w:line="240" w:lineRule="auto"/>
              <w:jc w:val="center"/>
              <w:rPr>
                <w:rFonts w:ascii="Times New Roman" w:eastAsia="Times New Roman" w:hAnsi="Times New Roman" w:cs="Times New Roman"/>
              </w:rPr>
            </w:pPr>
            <w:r w:rsidRPr="0047338E">
              <w:rPr>
                <w:rFonts w:ascii="Times New Roman" w:eastAsia="Times New Roman" w:hAnsi="Times New Roman" w:cs="Times New Roman"/>
                <w:b/>
              </w:rPr>
              <w:t>N = 4007</w:t>
            </w:r>
          </w:p>
        </w:tc>
        <w:tc>
          <w:tcPr>
            <w:tcW w:w="1235" w:type="dxa"/>
          </w:tcPr>
          <w:p w14:paraId="545B1BE9" w14:textId="77777777" w:rsidR="000C61CC" w:rsidRPr="0047338E" w:rsidRDefault="000C61CC" w:rsidP="000C61CC">
            <w:pPr>
              <w:spacing w:after="0" w:line="240" w:lineRule="auto"/>
              <w:jc w:val="center"/>
              <w:rPr>
                <w:rFonts w:ascii="Times New Roman" w:eastAsia="Times New Roman" w:hAnsi="Times New Roman" w:cs="Times New Roman"/>
              </w:rPr>
            </w:pPr>
            <w:r w:rsidRPr="0047338E">
              <w:rPr>
                <w:rFonts w:ascii="Times New Roman" w:eastAsia="Times New Roman" w:hAnsi="Times New Roman" w:cs="Times New Roman"/>
                <w:b/>
              </w:rPr>
              <w:t>RS</w:t>
            </w:r>
            <w:r w:rsidRPr="0047338E">
              <w:rPr>
                <w:rFonts w:ascii="Times New Roman" w:eastAsia="Times New Roman" w:hAnsi="Times New Roman" w:cs="Times New Roman"/>
                <w:b/>
                <w:vertAlign w:val="superscript"/>
              </w:rPr>
              <w:t>1</w:t>
            </w:r>
            <w:r w:rsidRPr="0047338E">
              <w:rPr>
                <w:rFonts w:ascii="Times New Roman" w:eastAsia="Times New Roman" w:hAnsi="Times New Roman" w:cs="Times New Roman"/>
                <w:b/>
              </w:rPr>
              <w:t xml:space="preserve"> (95 % PI) P</w:t>
            </w:r>
          </w:p>
        </w:tc>
      </w:tr>
      <w:tr w:rsidR="000C61CC" w:rsidRPr="0047338E" w14:paraId="4F832404" w14:textId="77777777" w:rsidTr="00CE38F5">
        <w:tc>
          <w:tcPr>
            <w:tcW w:w="1646" w:type="dxa"/>
          </w:tcPr>
          <w:p w14:paraId="3872D1EA"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Išgyvenamumas be ligos pasireiškimo (pagrindinė) – reiškiniai (protokolinis apibūdinimas</w:t>
            </w:r>
            <w:r w:rsidRPr="0047338E">
              <w:rPr>
                <w:rFonts w:ascii="Times New Roman" w:eastAsia="Times New Roman" w:hAnsi="Times New Roman" w:cs="Times New Roman"/>
                <w:vertAlign w:val="superscript"/>
              </w:rPr>
              <w:t>2</w:t>
            </w:r>
            <w:r w:rsidRPr="0047338E">
              <w:rPr>
                <w:rFonts w:ascii="Times New Roman" w:eastAsia="Times New Roman" w:hAnsi="Times New Roman" w:cs="Times New Roman"/>
              </w:rPr>
              <w:t>)</w:t>
            </w:r>
          </w:p>
        </w:tc>
        <w:tc>
          <w:tcPr>
            <w:tcW w:w="1363" w:type="dxa"/>
          </w:tcPr>
          <w:p w14:paraId="27EBD3BA"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351</w:t>
            </w:r>
          </w:p>
        </w:tc>
        <w:tc>
          <w:tcPr>
            <w:tcW w:w="1524" w:type="dxa"/>
          </w:tcPr>
          <w:p w14:paraId="1D26589F"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428</w:t>
            </w:r>
          </w:p>
        </w:tc>
        <w:tc>
          <w:tcPr>
            <w:tcW w:w="1261" w:type="dxa"/>
          </w:tcPr>
          <w:p w14:paraId="63227B44"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0,81 (0,70, 0,93) 0,003</w:t>
            </w:r>
          </w:p>
        </w:tc>
        <w:tc>
          <w:tcPr>
            <w:tcW w:w="1301" w:type="dxa"/>
          </w:tcPr>
          <w:p w14:paraId="3CDFBFB0"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585</w:t>
            </w:r>
          </w:p>
        </w:tc>
        <w:tc>
          <w:tcPr>
            <w:tcW w:w="1524" w:type="dxa"/>
          </w:tcPr>
          <w:p w14:paraId="6EC99090"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664</w:t>
            </w:r>
          </w:p>
        </w:tc>
        <w:tc>
          <w:tcPr>
            <w:tcW w:w="1235" w:type="dxa"/>
          </w:tcPr>
          <w:p w14:paraId="45BBC50B"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0,86 (0,77, 0,96) 0,008</w:t>
            </w:r>
          </w:p>
        </w:tc>
      </w:tr>
      <w:tr w:rsidR="000C61CC" w:rsidRPr="0047338E" w14:paraId="2CFC273B" w14:textId="77777777" w:rsidTr="00CE38F5">
        <w:tc>
          <w:tcPr>
            <w:tcW w:w="1646" w:type="dxa"/>
          </w:tcPr>
          <w:p w14:paraId="7509924E"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Bendrasis išgyvenamumas (antrinė)</w:t>
            </w:r>
          </w:p>
          <w:p w14:paraId="0B3EA6E9"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Mirčių skaičius</w:t>
            </w:r>
          </w:p>
        </w:tc>
        <w:tc>
          <w:tcPr>
            <w:tcW w:w="1363" w:type="dxa"/>
          </w:tcPr>
          <w:p w14:paraId="7D95F3C2"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166</w:t>
            </w:r>
          </w:p>
        </w:tc>
        <w:tc>
          <w:tcPr>
            <w:tcW w:w="1524" w:type="dxa"/>
          </w:tcPr>
          <w:p w14:paraId="7CB565BD"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192</w:t>
            </w:r>
          </w:p>
        </w:tc>
        <w:tc>
          <w:tcPr>
            <w:tcW w:w="1261" w:type="dxa"/>
          </w:tcPr>
          <w:p w14:paraId="560D050F"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0,86 (0,70, 1,06)</w:t>
            </w:r>
          </w:p>
        </w:tc>
        <w:tc>
          <w:tcPr>
            <w:tcW w:w="1301" w:type="dxa"/>
          </w:tcPr>
          <w:p w14:paraId="4C8804F6"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330</w:t>
            </w:r>
          </w:p>
        </w:tc>
        <w:tc>
          <w:tcPr>
            <w:tcW w:w="1524" w:type="dxa"/>
          </w:tcPr>
          <w:p w14:paraId="19333C84"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374</w:t>
            </w:r>
          </w:p>
        </w:tc>
        <w:tc>
          <w:tcPr>
            <w:tcW w:w="1235" w:type="dxa"/>
          </w:tcPr>
          <w:p w14:paraId="5DA5640D"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0,87 (0,75, 1,01)</w:t>
            </w:r>
          </w:p>
        </w:tc>
      </w:tr>
      <w:tr w:rsidR="000C61CC" w:rsidRPr="0047338E" w14:paraId="081D1CFE" w14:textId="77777777" w:rsidTr="00CE38F5">
        <w:tc>
          <w:tcPr>
            <w:tcW w:w="9854" w:type="dxa"/>
            <w:gridSpan w:val="7"/>
          </w:tcPr>
          <w:p w14:paraId="6079DA79" w14:textId="11095DDA" w:rsidR="000C61CC" w:rsidRPr="0047338E" w:rsidRDefault="000C61CC" w:rsidP="000C61CC">
            <w:pPr>
              <w:autoSpaceDE w:val="0"/>
              <w:autoSpaceDN w:val="0"/>
              <w:adjustRightInd w:val="0"/>
              <w:spacing w:after="0" w:line="240" w:lineRule="auto"/>
              <w:rPr>
                <w:rFonts w:ascii="Times New Roman" w:eastAsia="SimSun" w:hAnsi="Times New Roman" w:cs="Times New Roman"/>
                <w:sz w:val="24"/>
                <w:szCs w:val="24"/>
              </w:rPr>
            </w:pPr>
            <w:r w:rsidRPr="0047338E">
              <w:rPr>
                <w:rFonts w:ascii="Times New Roman" w:eastAsia="SimSun" w:hAnsi="Times New Roman" w:cs="Times New Roman"/>
                <w:color w:val="000000"/>
              </w:rPr>
              <w:t>RS</w:t>
            </w:r>
            <w:r w:rsidRPr="0047338E">
              <w:rPr>
                <w:rFonts w:ascii="Times New Roman" w:eastAsia="SimSun" w:hAnsi="Times New Roman" w:cs="Times New Roman"/>
                <w:color w:val="000000"/>
                <w:lang w:eastAsia="en-GB"/>
              </w:rPr>
              <w:t> = </w:t>
            </w:r>
            <w:r w:rsidRPr="0047338E">
              <w:rPr>
                <w:rFonts w:ascii="Times New Roman" w:eastAsia="SimSun" w:hAnsi="Times New Roman" w:cs="Times New Roman"/>
                <w:color w:val="000000"/>
              </w:rPr>
              <w:t>rizikos santykis; PI</w:t>
            </w:r>
            <w:r w:rsidRPr="0047338E">
              <w:rPr>
                <w:rFonts w:ascii="Times New Roman" w:eastAsia="SimSun" w:hAnsi="Times New Roman" w:cs="Times New Roman"/>
                <w:color w:val="000000"/>
                <w:lang w:eastAsia="en-GB"/>
              </w:rPr>
              <w:t> = </w:t>
            </w:r>
            <w:r w:rsidRPr="0047338E">
              <w:rPr>
                <w:rFonts w:ascii="Times New Roman" w:eastAsia="SimSun" w:hAnsi="Times New Roman" w:cs="Times New Roman"/>
                <w:color w:val="000000"/>
              </w:rPr>
              <w:t>pasikliautin</w:t>
            </w:r>
            <w:r w:rsidR="006409E1">
              <w:rPr>
                <w:rFonts w:ascii="Times New Roman" w:eastAsia="SimSun" w:hAnsi="Times New Roman" w:cs="Times New Roman"/>
                <w:color w:val="000000"/>
              </w:rPr>
              <w:t>asis</w:t>
            </w:r>
            <w:r w:rsidRPr="0047338E">
              <w:rPr>
                <w:rFonts w:ascii="Times New Roman" w:eastAsia="SimSun" w:hAnsi="Times New Roman" w:cs="Times New Roman"/>
                <w:color w:val="000000"/>
              </w:rPr>
              <w:t xml:space="preserve"> intervala</w:t>
            </w:r>
            <w:r w:rsidR="006409E1">
              <w:rPr>
                <w:rFonts w:ascii="Times New Roman" w:eastAsia="SimSun" w:hAnsi="Times New Roman" w:cs="Times New Roman"/>
                <w:color w:val="000000"/>
              </w:rPr>
              <w:t>s</w:t>
            </w:r>
            <w:r w:rsidRPr="0047338E">
              <w:rPr>
                <w:rFonts w:ascii="Times New Roman" w:eastAsia="SimSun" w:hAnsi="Times New Roman" w:cs="Times New Roman"/>
                <w:color w:val="000000"/>
              </w:rPr>
              <w:t xml:space="preserve"> </w:t>
            </w:r>
          </w:p>
          <w:p w14:paraId="3DBF3E35" w14:textId="2F622FFD" w:rsidR="000C61CC" w:rsidRPr="0047338E" w:rsidRDefault="000C61CC" w:rsidP="000C61CC">
            <w:pPr>
              <w:autoSpaceDE w:val="0"/>
              <w:autoSpaceDN w:val="0"/>
              <w:adjustRightInd w:val="0"/>
              <w:spacing w:after="0" w:line="240" w:lineRule="auto"/>
              <w:rPr>
                <w:rFonts w:ascii="Times New Roman" w:eastAsia="SimSun" w:hAnsi="Times New Roman" w:cs="Times New Roman"/>
                <w:sz w:val="24"/>
                <w:szCs w:val="24"/>
              </w:rPr>
            </w:pPr>
            <w:r w:rsidRPr="0047338E">
              <w:rPr>
                <w:rFonts w:ascii="Times New Roman" w:eastAsia="SimSun" w:hAnsi="Times New Roman" w:cs="Times New Roman"/>
                <w:color w:val="000000"/>
                <w:vertAlign w:val="superscript"/>
              </w:rPr>
              <w:t xml:space="preserve">1 </w:t>
            </w:r>
            <w:r w:rsidRPr="0047338E">
              <w:rPr>
                <w:rFonts w:ascii="Times New Roman" w:eastAsia="SimSun" w:hAnsi="Times New Roman" w:cs="Times New Roman"/>
                <w:i/>
                <w:color w:val="000000"/>
              </w:rPr>
              <w:t>Log rank</w:t>
            </w:r>
            <w:r w:rsidRPr="0047338E">
              <w:rPr>
                <w:rFonts w:ascii="Times New Roman" w:eastAsia="SimSun" w:hAnsi="Times New Roman" w:cs="Times New Roman"/>
                <w:color w:val="000000"/>
              </w:rPr>
              <w:t xml:space="preserve"> testas, stratifikuota pagal atsitiktiniu imčių grupes ir ankstesnę chemoterapiją (taip/ne)</w:t>
            </w:r>
          </w:p>
          <w:p w14:paraId="6CC24075" w14:textId="64D7D4CD" w:rsidR="000C61CC" w:rsidRPr="0047338E" w:rsidRDefault="000C61CC" w:rsidP="000C61CC">
            <w:pPr>
              <w:autoSpaceDE w:val="0"/>
              <w:autoSpaceDN w:val="0"/>
              <w:adjustRightInd w:val="0"/>
              <w:spacing w:after="0" w:line="240" w:lineRule="auto"/>
              <w:rPr>
                <w:rFonts w:ascii="Times New Roman" w:eastAsia="SimSun" w:hAnsi="Times New Roman" w:cs="Times New Roman"/>
                <w:sz w:val="24"/>
                <w:szCs w:val="24"/>
              </w:rPr>
            </w:pPr>
            <w:r w:rsidRPr="0047338E">
              <w:rPr>
                <w:rFonts w:ascii="Times New Roman" w:eastAsia="SimSun" w:hAnsi="Times New Roman" w:cs="Times New Roman"/>
                <w:color w:val="000000"/>
                <w:vertAlign w:val="superscript"/>
              </w:rPr>
              <w:t>2</w:t>
            </w:r>
            <w:r w:rsidR="006409E1">
              <w:rPr>
                <w:rFonts w:ascii="Times New Roman" w:eastAsia="SimSun" w:hAnsi="Times New Roman" w:cs="Times New Roman"/>
                <w:color w:val="000000"/>
              </w:rPr>
              <w:t xml:space="preserve"> </w:t>
            </w:r>
            <w:r w:rsidRPr="0047338E">
              <w:rPr>
                <w:rFonts w:ascii="Times New Roman" w:eastAsia="SimSun" w:hAnsi="Times New Roman" w:cs="Times New Roman"/>
                <w:color w:val="000000"/>
              </w:rPr>
              <w:t>IBLP reiškiniai: lokalus regioninis atsinaujinimas, nutolusios metastazės, invazinis kitos krūties vėžys, antras (ne krūties) pirminis v</w:t>
            </w:r>
            <w:r w:rsidR="00B61221" w:rsidRPr="0047338E">
              <w:rPr>
                <w:rFonts w:ascii="Times New Roman" w:eastAsia="SimSun" w:hAnsi="Times New Roman" w:cs="Times New Roman"/>
                <w:color w:val="000000"/>
              </w:rPr>
              <w:t>ė</w:t>
            </w:r>
            <w:r w:rsidRPr="0047338E">
              <w:rPr>
                <w:rFonts w:ascii="Times New Roman" w:eastAsia="SimSun" w:hAnsi="Times New Roman" w:cs="Times New Roman"/>
                <w:color w:val="000000"/>
              </w:rPr>
              <w:t xml:space="preserve">žinis susirgimas, mirtis nuo bet kokios priežasties be ankstesnių su vėžiu susijusių reiškinių atsiradimo </w:t>
            </w:r>
          </w:p>
          <w:p w14:paraId="732FB419" w14:textId="77777777" w:rsidR="000C61CC" w:rsidRPr="0047338E" w:rsidRDefault="000C61CC" w:rsidP="000C61CC">
            <w:pPr>
              <w:spacing w:after="0" w:line="240" w:lineRule="auto"/>
              <w:rPr>
                <w:rFonts w:ascii="Times New Roman" w:eastAsia="Times New Roman" w:hAnsi="Times New Roman" w:cs="Times New Roman"/>
              </w:rPr>
            </w:pPr>
          </w:p>
        </w:tc>
      </w:tr>
    </w:tbl>
    <w:p w14:paraId="5FEE042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i/>
          <w:color w:val="000000"/>
        </w:rPr>
      </w:pPr>
      <w:r w:rsidRPr="0047338E">
        <w:rPr>
          <w:rFonts w:ascii="Times New Roman" w:eastAsia="SimSun" w:hAnsi="Times New Roman" w:cs="Times New Roman"/>
          <w:i/>
          <w:color w:val="000000"/>
        </w:rPr>
        <w:t>Rezultatai (stebėjimo mediana – 73</w:t>
      </w:r>
      <w:r w:rsidRPr="0047338E">
        <w:rPr>
          <w:rFonts w:ascii="Times New Roman" w:eastAsia="SimSun" w:hAnsi="Times New Roman" w:cs="Times New Roman"/>
          <w:i/>
          <w:iCs/>
          <w:color w:val="000000"/>
          <w:lang w:eastAsia="en-GB"/>
        </w:rPr>
        <w:t> </w:t>
      </w:r>
      <w:r w:rsidRPr="0047338E">
        <w:rPr>
          <w:rFonts w:ascii="Times New Roman" w:eastAsia="SimSun" w:hAnsi="Times New Roman" w:cs="Times New Roman"/>
          <w:i/>
          <w:color w:val="000000"/>
        </w:rPr>
        <w:t>mėnesiai) (tik monoterapijos grupės)</w:t>
      </w:r>
    </w:p>
    <w:p w14:paraId="4921473F"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5</w:t>
      </w:r>
      <w:r w:rsidRPr="0047338E">
        <w:rPr>
          <w:rFonts w:ascii="Times New Roman" w:eastAsia="SimSun" w:hAnsi="Times New Roman" w:cs="Times New Roman"/>
          <w:color w:val="000000"/>
          <w:lang w:eastAsia="en-GB"/>
        </w:rPr>
        <w:t> </w:t>
      </w:r>
      <w:r w:rsidRPr="0047338E">
        <w:rPr>
          <w:rFonts w:ascii="Times New Roman" w:eastAsia="SimSun" w:hAnsi="Times New Roman" w:cs="Times New Roman"/>
          <w:color w:val="000000"/>
        </w:rPr>
        <w:t>lentelėje pateikiami monoterapijos grupių analizės (MGA) metu gauti atnaujinti ilgalaikiai Letrozolo ir tamoksifeno monoterapijos veiksmingumo duomenys (adjuvantinio gydymo trukmės mediana 5</w:t>
      </w:r>
      <w:r w:rsidRPr="0047338E">
        <w:rPr>
          <w:rFonts w:ascii="Times New Roman" w:eastAsia="SimSun" w:hAnsi="Times New Roman" w:cs="Times New Roman"/>
          <w:color w:val="000000"/>
          <w:lang w:eastAsia="en-GB"/>
        </w:rPr>
        <w:t> </w:t>
      </w:r>
      <w:r w:rsidRPr="0047338E">
        <w:rPr>
          <w:rFonts w:ascii="Times New Roman" w:eastAsia="SimSun" w:hAnsi="Times New Roman" w:cs="Times New Roman"/>
          <w:color w:val="000000"/>
        </w:rPr>
        <w:t>metai).</w:t>
      </w:r>
    </w:p>
    <w:p w14:paraId="1CB70CE3"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35762181" w14:textId="77777777" w:rsidR="000C61CC" w:rsidRPr="0047338E" w:rsidRDefault="000C61CC" w:rsidP="005014CA">
      <w:pPr>
        <w:autoSpaceDE w:val="0"/>
        <w:autoSpaceDN w:val="0"/>
        <w:adjustRightInd w:val="0"/>
        <w:spacing w:after="0" w:line="240" w:lineRule="auto"/>
        <w:ind w:left="1298" w:hanging="1298"/>
        <w:rPr>
          <w:rFonts w:ascii="Times New Roman" w:eastAsia="SimSun" w:hAnsi="Times New Roman" w:cs="Times New Roman"/>
        </w:rPr>
      </w:pPr>
      <w:r w:rsidRPr="0047338E">
        <w:rPr>
          <w:rFonts w:ascii="Times New Roman" w:eastAsia="SimSun" w:hAnsi="Times New Roman" w:cs="Times New Roman"/>
          <w:b/>
          <w:color w:val="000000"/>
        </w:rPr>
        <w:t>5</w:t>
      </w:r>
      <w:r w:rsidRPr="0047338E">
        <w:rPr>
          <w:rFonts w:ascii="Times New Roman" w:eastAsia="SimSun" w:hAnsi="Times New Roman" w:cs="Times New Roman"/>
          <w:b/>
          <w:bCs/>
          <w:color w:val="000000"/>
          <w:lang w:eastAsia="en-GB"/>
        </w:rPr>
        <w:t> </w:t>
      </w:r>
      <w:r w:rsidRPr="0047338E">
        <w:rPr>
          <w:rFonts w:ascii="Times New Roman" w:eastAsia="SimSun" w:hAnsi="Times New Roman" w:cs="Times New Roman"/>
          <w:b/>
          <w:color w:val="000000"/>
        </w:rPr>
        <w:t xml:space="preserve">lentelė </w:t>
      </w:r>
      <w:r w:rsidRPr="0047338E">
        <w:rPr>
          <w:rFonts w:ascii="Times New Roman" w:eastAsia="SimSun" w:hAnsi="Times New Roman" w:cs="Times New Roman"/>
          <w:b/>
          <w:color w:val="000000"/>
        </w:rPr>
        <w:tab/>
        <w:t xml:space="preserve">Monoterapijos grupių analizė: išgyvenamumas be ligos pasireiškimo ir bendrasis išgyvenamumas (ITT populiacija), stebėjimo mediana </w:t>
      </w:r>
      <w:r w:rsidRPr="0047338E">
        <w:rPr>
          <w:rFonts w:ascii="Times New Roman" w:eastAsia="SimSun" w:hAnsi="Times New Roman" w:cs="Times New Roman"/>
          <w:b/>
          <w:bCs/>
          <w:color w:val="000000"/>
          <w:lang w:eastAsia="en-GB"/>
        </w:rPr>
        <w:t>96 </w:t>
      </w:r>
      <w:r w:rsidRPr="0047338E">
        <w:rPr>
          <w:rFonts w:ascii="Times New Roman" w:eastAsia="SimSun" w:hAnsi="Times New Roman" w:cs="Times New Roman"/>
          <w:b/>
          <w:color w:val="000000"/>
        </w:rPr>
        <w:t>mėnesiai</w:t>
      </w:r>
    </w:p>
    <w:p w14:paraId="0FF01ED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b/>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1607"/>
        <w:gridCol w:w="1681"/>
        <w:gridCol w:w="1574"/>
        <w:gridCol w:w="1552"/>
      </w:tblGrid>
      <w:tr w:rsidR="000C61CC" w:rsidRPr="0047338E" w14:paraId="1C7A7312" w14:textId="77777777" w:rsidTr="00CE38F5">
        <w:trPr>
          <w:jc w:val="center"/>
        </w:trPr>
        <w:tc>
          <w:tcPr>
            <w:tcW w:w="2721" w:type="dxa"/>
          </w:tcPr>
          <w:p w14:paraId="09DB004F"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vertAlign w:val="superscript"/>
              </w:rPr>
            </w:pPr>
          </w:p>
        </w:tc>
        <w:tc>
          <w:tcPr>
            <w:tcW w:w="1638" w:type="dxa"/>
          </w:tcPr>
          <w:p w14:paraId="31A79C02"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rPr>
              <w:t>Letrozolas</w:t>
            </w:r>
          </w:p>
          <w:p w14:paraId="0618D33E" w14:textId="470B98C9"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hAnsi="Times New Roman" w:cs="Times New Roman"/>
                <w:b/>
                <w:color w:val="000000"/>
              </w:rPr>
              <w:t>N = </w:t>
            </w:r>
            <w:r w:rsidR="006409E1">
              <w:rPr>
                <w:rFonts w:ascii="Times New Roman" w:hAnsi="Times New Roman" w:cs="Times New Roman"/>
                <w:b/>
                <w:color w:val="000000"/>
              </w:rPr>
              <w:t>2463</w:t>
            </w:r>
          </w:p>
        </w:tc>
        <w:tc>
          <w:tcPr>
            <w:tcW w:w="1693" w:type="dxa"/>
          </w:tcPr>
          <w:p w14:paraId="016CB530"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rPr>
              <w:t>Tamoksifenas</w:t>
            </w:r>
          </w:p>
          <w:p w14:paraId="426FA6BD"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rPr>
              <w:t>N</w:t>
            </w:r>
            <w:r w:rsidRPr="0047338E">
              <w:rPr>
                <w:rFonts w:ascii="Times New Roman" w:eastAsia="SimSun" w:hAnsi="Times New Roman" w:cs="Times New Roman"/>
                <w:b/>
                <w:bCs/>
                <w:color w:val="000000"/>
                <w:lang w:eastAsia="en-GB"/>
              </w:rPr>
              <w:t> = </w:t>
            </w:r>
            <w:r w:rsidRPr="0047338E">
              <w:rPr>
                <w:rFonts w:ascii="Times New Roman" w:eastAsia="SimSun" w:hAnsi="Times New Roman" w:cs="Times New Roman"/>
                <w:b/>
                <w:color w:val="000000"/>
              </w:rPr>
              <w:t>2459</w:t>
            </w:r>
          </w:p>
        </w:tc>
        <w:tc>
          <w:tcPr>
            <w:tcW w:w="1614" w:type="dxa"/>
          </w:tcPr>
          <w:p w14:paraId="505C7242"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rPr>
              <w:t>Rizikos santykis</w:t>
            </w:r>
            <w:r w:rsidRPr="0047338E">
              <w:rPr>
                <w:rFonts w:ascii="Times New Roman" w:eastAsia="SimSun" w:hAnsi="Times New Roman" w:cs="Times New Roman"/>
                <w:b/>
                <w:color w:val="000000"/>
                <w:vertAlign w:val="superscript"/>
              </w:rPr>
              <w:t>1</w:t>
            </w:r>
            <w:r w:rsidRPr="0047338E">
              <w:rPr>
                <w:rFonts w:ascii="Times New Roman" w:eastAsia="SimSun" w:hAnsi="Times New Roman" w:cs="Times New Roman"/>
                <w:b/>
                <w:color w:val="000000"/>
              </w:rPr>
              <w:t xml:space="preserve"> </w:t>
            </w:r>
          </w:p>
          <w:p w14:paraId="05982BDE"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rPr>
              <w:t>(95</w:t>
            </w:r>
            <w:r w:rsidRPr="0047338E">
              <w:rPr>
                <w:rFonts w:ascii="Times New Roman" w:eastAsia="SimSun" w:hAnsi="Times New Roman" w:cs="Times New Roman"/>
                <w:b/>
                <w:bCs/>
                <w:color w:val="000000"/>
                <w:lang w:eastAsia="en-GB"/>
              </w:rPr>
              <w:t> </w:t>
            </w:r>
            <w:r w:rsidRPr="0047338E">
              <w:rPr>
                <w:rFonts w:ascii="Times New Roman" w:eastAsia="SimSun" w:hAnsi="Times New Roman" w:cs="Times New Roman"/>
                <w:b/>
                <w:color w:val="000000"/>
              </w:rPr>
              <w:t>% PI)</w:t>
            </w:r>
          </w:p>
        </w:tc>
        <w:tc>
          <w:tcPr>
            <w:tcW w:w="1620" w:type="dxa"/>
          </w:tcPr>
          <w:p w14:paraId="39D7879D"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i/>
                <w:color w:val="000000"/>
              </w:rPr>
              <w:t>P</w:t>
            </w:r>
            <w:r w:rsidRPr="0047338E">
              <w:rPr>
                <w:rFonts w:ascii="Times New Roman" w:eastAsia="SimSun" w:hAnsi="Times New Roman" w:cs="Times New Roman"/>
                <w:b/>
                <w:color w:val="000000"/>
              </w:rPr>
              <w:t xml:space="preserve"> reikšmė</w:t>
            </w:r>
          </w:p>
        </w:tc>
      </w:tr>
      <w:tr w:rsidR="000C61CC" w:rsidRPr="0047338E" w14:paraId="1E959FF3" w14:textId="77777777" w:rsidTr="00CE38F5">
        <w:trPr>
          <w:jc w:val="center"/>
        </w:trPr>
        <w:tc>
          <w:tcPr>
            <w:tcW w:w="2943" w:type="dxa"/>
          </w:tcPr>
          <w:p w14:paraId="209D35A2"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b/>
                <w:color w:val="000000"/>
                <w:sz w:val="24"/>
                <w:szCs w:val="24"/>
              </w:rPr>
            </w:pPr>
            <w:r w:rsidRPr="0047338E">
              <w:rPr>
                <w:rFonts w:ascii="Times New Roman" w:eastAsia="SimSun" w:hAnsi="Times New Roman" w:cs="Times New Roman"/>
                <w:color w:val="000000"/>
              </w:rPr>
              <w:t>Išgyvenamumas be ligos pasireiškimo (pagrindinė)</w:t>
            </w:r>
            <w:r w:rsidRPr="0047338E">
              <w:rPr>
                <w:rFonts w:ascii="Times New Roman" w:eastAsia="SimSun" w:hAnsi="Times New Roman" w:cs="Times New Roman"/>
                <w:color w:val="000000"/>
                <w:vertAlign w:val="superscript"/>
              </w:rPr>
              <w:t>2</w:t>
            </w:r>
          </w:p>
        </w:tc>
        <w:tc>
          <w:tcPr>
            <w:tcW w:w="1727" w:type="dxa"/>
            <w:tcBorders>
              <w:top w:val="single" w:sz="4" w:space="0" w:color="000000"/>
              <w:left w:val="single" w:sz="4" w:space="0" w:color="000000"/>
              <w:bottom w:val="single" w:sz="4" w:space="0" w:color="000000"/>
              <w:right w:val="single" w:sz="4" w:space="0" w:color="000000"/>
            </w:tcBorders>
          </w:tcPr>
          <w:p w14:paraId="4A1F554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bCs/>
              </w:rPr>
              <w:t>626</w:t>
            </w:r>
          </w:p>
        </w:tc>
        <w:tc>
          <w:tcPr>
            <w:tcW w:w="1728" w:type="dxa"/>
            <w:tcBorders>
              <w:top w:val="single" w:sz="4" w:space="0" w:color="000000"/>
              <w:left w:val="single" w:sz="4" w:space="0" w:color="000000"/>
              <w:bottom w:val="single" w:sz="4" w:space="0" w:color="000000"/>
              <w:right w:val="single" w:sz="4" w:space="0" w:color="000000"/>
            </w:tcBorders>
          </w:tcPr>
          <w:p w14:paraId="2F166A7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bCs/>
              </w:rPr>
              <w:t>698</w:t>
            </w:r>
          </w:p>
        </w:tc>
        <w:tc>
          <w:tcPr>
            <w:tcW w:w="1728" w:type="dxa"/>
            <w:tcBorders>
              <w:top w:val="single" w:sz="4" w:space="0" w:color="000000"/>
              <w:left w:val="single" w:sz="4" w:space="0" w:color="000000"/>
              <w:bottom w:val="single" w:sz="4" w:space="0" w:color="000000"/>
              <w:right w:val="single" w:sz="4" w:space="0" w:color="000000"/>
            </w:tcBorders>
          </w:tcPr>
          <w:p w14:paraId="09FE4400"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w w:val="99"/>
              </w:rPr>
              <w:t>0,</w:t>
            </w:r>
            <w:r w:rsidRPr="0047338E">
              <w:rPr>
                <w:rFonts w:ascii="Times New Roman" w:eastAsia="Times New Roman" w:hAnsi="Times New Roman" w:cs="Times New Roman"/>
                <w:bCs/>
                <w:w w:val="99"/>
              </w:rPr>
              <w:t>87</w:t>
            </w:r>
            <w:r w:rsidRPr="0047338E">
              <w:rPr>
                <w:rFonts w:ascii="Times New Roman" w:eastAsia="Times New Roman" w:hAnsi="Times New Roman" w:cs="Times New Roman"/>
                <w:w w:val="99"/>
              </w:rPr>
              <w:t xml:space="preserve"> (0,78, 0,</w:t>
            </w:r>
            <w:r w:rsidRPr="0047338E">
              <w:rPr>
                <w:rFonts w:ascii="Times New Roman" w:eastAsia="Times New Roman" w:hAnsi="Times New Roman" w:cs="Times New Roman"/>
                <w:bCs/>
                <w:w w:val="99"/>
              </w:rPr>
              <w:t>97</w:t>
            </w:r>
            <w:r w:rsidRPr="0047338E">
              <w:rPr>
                <w:rFonts w:ascii="Times New Roman" w:eastAsia="Times New Roman" w:hAnsi="Times New Roman" w:cs="Times New Roman"/>
                <w:w w:val="99"/>
              </w:rPr>
              <w:t>)</w:t>
            </w:r>
          </w:p>
        </w:tc>
        <w:tc>
          <w:tcPr>
            <w:tcW w:w="1728" w:type="dxa"/>
            <w:tcBorders>
              <w:top w:val="single" w:sz="4" w:space="0" w:color="000000"/>
              <w:left w:val="single" w:sz="4" w:space="0" w:color="000000"/>
              <w:bottom w:val="single" w:sz="4" w:space="0" w:color="000000"/>
              <w:right w:val="single" w:sz="4" w:space="0" w:color="000000"/>
            </w:tcBorders>
          </w:tcPr>
          <w:p w14:paraId="7A836A65"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hAnsi="Times New Roman" w:cs="Times New Roman"/>
              </w:rPr>
              <w:t>0,01</w:t>
            </w:r>
          </w:p>
        </w:tc>
      </w:tr>
      <w:tr w:rsidR="000C61CC" w:rsidRPr="0047338E" w14:paraId="726FEB52" w14:textId="77777777" w:rsidTr="00CE38F5">
        <w:trPr>
          <w:jc w:val="center"/>
        </w:trPr>
        <w:tc>
          <w:tcPr>
            <w:tcW w:w="2730" w:type="dxa"/>
          </w:tcPr>
          <w:p w14:paraId="6D25FF79"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SimSun" w:hAnsi="Times New Roman" w:cs="Times New Roman"/>
                <w:bCs/>
                <w:color w:val="000000"/>
                <w:lang w:eastAsia="en-GB"/>
              </w:rPr>
              <w:t>Laikas iki nutolusių metastazių atsiradimo (antrinė)</w:t>
            </w:r>
          </w:p>
        </w:tc>
        <w:tc>
          <w:tcPr>
            <w:tcW w:w="1641" w:type="dxa"/>
            <w:tcBorders>
              <w:top w:val="single" w:sz="4" w:space="0" w:color="000000"/>
              <w:left w:val="single" w:sz="4" w:space="0" w:color="000000"/>
              <w:bottom w:val="single" w:sz="4" w:space="0" w:color="000000"/>
              <w:right w:val="single" w:sz="4" w:space="0" w:color="000000"/>
            </w:tcBorders>
          </w:tcPr>
          <w:p w14:paraId="65C6A8C2"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bCs/>
              </w:rPr>
              <w:t>301</w:t>
            </w:r>
          </w:p>
        </w:tc>
        <w:tc>
          <w:tcPr>
            <w:tcW w:w="1695" w:type="dxa"/>
            <w:tcBorders>
              <w:top w:val="single" w:sz="4" w:space="0" w:color="000000"/>
              <w:left w:val="single" w:sz="4" w:space="0" w:color="000000"/>
              <w:bottom w:val="single" w:sz="4" w:space="0" w:color="000000"/>
              <w:right w:val="single" w:sz="4" w:space="0" w:color="000000"/>
            </w:tcBorders>
          </w:tcPr>
          <w:p w14:paraId="11451896"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bCs/>
              </w:rPr>
              <w:t>342</w:t>
            </w:r>
          </w:p>
        </w:tc>
        <w:tc>
          <w:tcPr>
            <w:tcW w:w="1618" w:type="dxa"/>
            <w:tcBorders>
              <w:top w:val="single" w:sz="4" w:space="0" w:color="000000"/>
              <w:left w:val="single" w:sz="4" w:space="0" w:color="000000"/>
              <w:bottom w:val="single" w:sz="4" w:space="0" w:color="000000"/>
              <w:right w:val="single" w:sz="4" w:space="0" w:color="000000"/>
            </w:tcBorders>
          </w:tcPr>
          <w:p w14:paraId="22CCDA82"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hAnsi="Times New Roman" w:cs="Times New Roman"/>
              </w:rPr>
              <w:t>0,86 (0,74, 1,01)</w:t>
            </w:r>
          </w:p>
        </w:tc>
        <w:tc>
          <w:tcPr>
            <w:tcW w:w="1602" w:type="dxa"/>
            <w:tcBorders>
              <w:top w:val="single" w:sz="4" w:space="0" w:color="000000"/>
              <w:left w:val="single" w:sz="4" w:space="0" w:color="000000"/>
              <w:bottom w:val="single" w:sz="4" w:space="0" w:color="000000"/>
              <w:right w:val="single" w:sz="4" w:space="0" w:color="000000"/>
            </w:tcBorders>
          </w:tcPr>
          <w:p w14:paraId="27E7608E"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rPr>
              <w:t>0,</w:t>
            </w:r>
            <w:r w:rsidRPr="0047338E">
              <w:rPr>
                <w:rFonts w:ascii="Times New Roman" w:eastAsia="Times New Roman" w:hAnsi="Times New Roman" w:cs="Times New Roman"/>
                <w:bCs/>
              </w:rPr>
              <w:t>06</w:t>
            </w:r>
          </w:p>
        </w:tc>
      </w:tr>
      <w:tr w:rsidR="000C61CC" w:rsidRPr="0047338E" w14:paraId="01D0F97B" w14:textId="77777777" w:rsidTr="00CE38F5">
        <w:trPr>
          <w:jc w:val="center"/>
        </w:trPr>
        <w:tc>
          <w:tcPr>
            <w:tcW w:w="2730" w:type="dxa"/>
          </w:tcPr>
          <w:p w14:paraId="4AA38A6C" w14:textId="6591E42E"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SimSun" w:hAnsi="Times New Roman" w:cs="Times New Roman"/>
                <w:color w:val="000000"/>
              </w:rPr>
              <w:t>Bendrasis išgyve</w:t>
            </w:r>
            <w:r w:rsidR="00B61221" w:rsidRPr="0047338E">
              <w:rPr>
                <w:rFonts w:ascii="Times New Roman" w:eastAsia="SimSun" w:hAnsi="Times New Roman" w:cs="Times New Roman"/>
                <w:color w:val="000000"/>
              </w:rPr>
              <w:t>na</w:t>
            </w:r>
            <w:r w:rsidRPr="0047338E">
              <w:rPr>
                <w:rFonts w:ascii="Times New Roman" w:eastAsia="SimSun" w:hAnsi="Times New Roman" w:cs="Times New Roman"/>
                <w:color w:val="000000"/>
              </w:rPr>
              <w:t>mumas (antrinė) – mirtys</w:t>
            </w:r>
          </w:p>
        </w:tc>
        <w:tc>
          <w:tcPr>
            <w:tcW w:w="1641" w:type="dxa"/>
            <w:tcBorders>
              <w:top w:val="single" w:sz="4" w:space="0" w:color="000000"/>
              <w:left w:val="single" w:sz="4" w:space="0" w:color="000000"/>
              <w:bottom w:val="single" w:sz="4" w:space="0" w:color="000000"/>
              <w:right w:val="single" w:sz="4" w:space="0" w:color="000000"/>
            </w:tcBorders>
          </w:tcPr>
          <w:p w14:paraId="7F021EC8"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w w:val="99"/>
              </w:rPr>
              <w:t>393</w:t>
            </w:r>
          </w:p>
        </w:tc>
        <w:tc>
          <w:tcPr>
            <w:tcW w:w="1695" w:type="dxa"/>
            <w:tcBorders>
              <w:top w:val="single" w:sz="4" w:space="0" w:color="000000"/>
              <w:left w:val="single" w:sz="4" w:space="0" w:color="000000"/>
              <w:bottom w:val="single" w:sz="4" w:space="0" w:color="000000"/>
              <w:right w:val="single" w:sz="4" w:space="0" w:color="000000"/>
            </w:tcBorders>
          </w:tcPr>
          <w:p w14:paraId="0F63DEC9"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w w:val="99"/>
              </w:rPr>
              <w:t>436</w:t>
            </w:r>
          </w:p>
        </w:tc>
        <w:tc>
          <w:tcPr>
            <w:tcW w:w="1618" w:type="dxa"/>
            <w:tcBorders>
              <w:top w:val="single" w:sz="4" w:space="0" w:color="000000"/>
              <w:left w:val="single" w:sz="4" w:space="0" w:color="000000"/>
              <w:bottom w:val="single" w:sz="4" w:space="0" w:color="000000"/>
              <w:right w:val="single" w:sz="4" w:space="0" w:color="000000"/>
            </w:tcBorders>
          </w:tcPr>
          <w:p w14:paraId="05668FE0"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hAnsi="Times New Roman" w:cs="Times New Roman"/>
              </w:rPr>
              <w:t>0,89 (0,77, 1,02)</w:t>
            </w:r>
          </w:p>
        </w:tc>
        <w:tc>
          <w:tcPr>
            <w:tcW w:w="1602" w:type="dxa"/>
            <w:tcBorders>
              <w:top w:val="single" w:sz="4" w:space="0" w:color="000000"/>
              <w:left w:val="single" w:sz="4" w:space="0" w:color="000000"/>
              <w:bottom w:val="single" w:sz="4" w:space="0" w:color="000000"/>
              <w:right w:val="single" w:sz="4" w:space="0" w:color="000000"/>
            </w:tcBorders>
          </w:tcPr>
          <w:p w14:paraId="4AAA4975"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rPr>
              <w:t>0,08</w:t>
            </w:r>
          </w:p>
        </w:tc>
      </w:tr>
      <w:tr w:rsidR="000C61CC" w:rsidRPr="0047338E" w14:paraId="340AF378" w14:textId="77777777" w:rsidTr="00CE38F5">
        <w:trPr>
          <w:jc w:val="center"/>
        </w:trPr>
        <w:tc>
          <w:tcPr>
            <w:tcW w:w="2730" w:type="dxa"/>
            <w:tcBorders>
              <w:top w:val="single" w:sz="4" w:space="0" w:color="000000"/>
              <w:left w:val="single" w:sz="4" w:space="0" w:color="000000"/>
              <w:bottom w:val="single" w:sz="4" w:space="0" w:color="000000"/>
              <w:right w:val="single" w:sz="4" w:space="0" w:color="000000"/>
            </w:tcBorders>
          </w:tcPr>
          <w:p w14:paraId="48FF8D58"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vertAlign w:val="superscript"/>
              </w:rPr>
            </w:pPr>
            <w:r w:rsidRPr="0047338E">
              <w:rPr>
                <w:rFonts w:ascii="Times New Roman" w:eastAsia="Times New Roman" w:hAnsi="Times New Roman" w:cs="Times New Roman"/>
              </w:rPr>
              <w:t>Koreguota (censored) DFS analizė</w:t>
            </w:r>
            <w:r w:rsidRPr="0047338E">
              <w:rPr>
                <w:rFonts w:ascii="Times New Roman" w:eastAsia="Times New Roman" w:hAnsi="Times New Roman" w:cs="Times New Roman"/>
                <w:vertAlign w:val="superscript"/>
              </w:rPr>
              <w:t>3</w:t>
            </w:r>
          </w:p>
        </w:tc>
        <w:tc>
          <w:tcPr>
            <w:tcW w:w="1641" w:type="dxa"/>
            <w:tcBorders>
              <w:top w:val="single" w:sz="4" w:space="0" w:color="000000"/>
              <w:left w:val="single" w:sz="4" w:space="0" w:color="000000"/>
              <w:bottom w:val="single" w:sz="4" w:space="0" w:color="000000"/>
              <w:right w:val="single" w:sz="4" w:space="0" w:color="000000"/>
            </w:tcBorders>
          </w:tcPr>
          <w:p w14:paraId="0EDE4284"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spacing w:val="1"/>
                <w:w w:val="99"/>
              </w:rPr>
              <w:t>626</w:t>
            </w:r>
          </w:p>
        </w:tc>
        <w:tc>
          <w:tcPr>
            <w:tcW w:w="1695" w:type="dxa"/>
            <w:tcBorders>
              <w:top w:val="single" w:sz="4" w:space="0" w:color="000000"/>
              <w:left w:val="single" w:sz="4" w:space="0" w:color="000000"/>
              <w:bottom w:val="single" w:sz="4" w:space="0" w:color="000000"/>
              <w:right w:val="single" w:sz="4" w:space="0" w:color="000000"/>
            </w:tcBorders>
          </w:tcPr>
          <w:p w14:paraId="7FAA6863"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spacing w:val="1"/>
                <w:w w:val="99"/>
              </w:rPr>
              <w:t>649</w:t>
            </w:r>
          </w:p>
        </w:tc>
        <w:tc>
          <w:tcPr>
            <w:tcW w:w="1618" w:type="dxa"/>
            <w:tcBorders>
              <w:top w:val="single" w:sz="4" w:space="0" w:color="000000"/>
              <w:left w:val="single" w:sz="4" w:space="0" w:color="000000"/>
              <w:bottom w:val="single" w:sz="4" w:space="0" w:color="000000"/>
              <w:right w:val="single" w:sz="4" w:space="0" w:color="000000"/>
            </w:tcBorders>
          </w:tcPr>
          <w:p w14:paraId="4773A523"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hAnsi="Times New Roman" w:cs="Times New Roman"/>
              </w:rPr>
              <w:t>0,83 (0,74, 0,92)</w:t>
            </w:r>
          </w:p>
        </w:tc>
        <w:tc>
          <w:tcPr>
            <w:tcW w:w="1602" w:type="dxa"/>
            <w:tcBorders>
              <w:top w:val="single" w:sz="4" w:space="0" w:color="000000"/>
              <w:left w:val="single" w:sz="4" w:space="0" w:color="000000"/>
              <w:bottom w:val="single" w:sz="4" w:space="0" w:color="000000"/>
              <w:right w:val="single" w:sz="4" w:space="0" w:color="000000"/>
            </w:tcBorders>
          </w:tcPr>
          <w:p w14:paraId="3A92FD44"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p>
        </w:tc>
      </w:tr>
      <w:tr w:rsidR="000C61CC" w:rsidRPr="0047338E" w14:paraId="76E800AA" w14:textId="77777777" w:rsidTr="00CE38F5">
        <w:trPr>
          <w:jc w:val="center"/>
        </w:trPr>
        <w:tc>
          <w:tcPr>
            <w:tcW w:w="2721" w:type="dxa"/>
            <w:tcBorders>
              <w:top w:val="single" w:sz="4" w:space="0" w:color="000000"/>
              <w:left w:val="single" w:sz="4" w:space="0" w:color="000000"/>
              <w:bottom w:val="single" w:sz="4" w:space="0" w:color="000000"/>
              <w:right w:val="single" w:sz="4" w:space="0" w:color="000000"/>
            </w:tcBorders>
          </w:tcPr>
          <w:p w14:paraId="232B0D4D"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vertAlign w:val="superscript"/>
              </w:rPr>
            </w:pPr>
            <w:r w:rsidRPr="0047338E">
              <w:rPr>
                <w:rFonts w:ascii="Times New Roman" w:eastAsia="Times New Roman" w:hAnsi="Times New Roman" w:cs="Times New Roman"/>
              </w:rPr>
              <w:t>Koreguota (censored) OS analizė</w:t>
            </w:r>
            <w:r w:rsidRPr="0047338E">
              <w:rPr>
                <w:rFonts w:ascii="Times New Roman" w:eastAsia="Times New Roman" w:hAnsi="Times New Roman" w:cs="Times New Roman"/>
                <w:vertAlign w:val="superscript"/>
              </w:rPr>
              <w:t>3</w:t>
            </w:r>
          </w:p>
        </w:tc>
        <w:tc>
          <w:tcPr>
            <w:tcW w:w="1638" w:type="dxa"/>
            <w:tcBorders>
              <w:top w:val="single" w:sz="4" w:space="0" w:color="000000"/>
              <w:left w:val="single" w:sz="4" w:space="0" w:color="000000"/>
              <w:bottom w:val="single" w:sz="4" w:space="0" w:color="000000"/>
              <w:right w:val="single" w:sz="4" w:space="0" w:color="000000"/>
            </w:tcBorders>
          </w:tcPr>
          <w:p w14:paraId="45A9FA1F"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w w:val="99"/>
              </w:rPr>
              <w:t>393</w:t>
            </w:r>
          </w:p>
        </w:tc>
        <w:tc>
          <w:tcPr>
            <w:tcW w:w="1693" w:type="dxa"/>
            <w:tcBorders>
              <w:top w:val="single" w:sz="4" w:space="0" w:color="000000"/>
              <w:left w:val="single" w:sz="4" w:space="0" w:color="000000"/>
              <w:bottom w:val="single" w:sz="4" w:space="0" w:color="000000"/>
              <w:right w:val="single" w:sz="4" w:space="0" w:color="000000"/>
            </w:tcBorders>
          </w:tcPr>
          <w:p w14:paraId="24ED451D"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Times New Roman" w:hAnsi="Times New Roman" w:cs="Times New Roman"/>
                <w:w w:val="99"/>
              </w:rPr>
              <w:t>416</w:t>
            </w:r>
          </w:p>
        </w:tc>
        <w:tc>
          <w:tcPr>
            <w:tcW w:w="1614" w:type="dxa"/>
            <w:tcBorders>
              <w:top w:val="single" w:sz="4" w:space="0" w:color="000000"/>
              <w:left w:val="single" w:sz="4" w:space="0" w:color="000000"/>
              <w:bottom w:val="single" w:sz="4" w:space="0" w:color="000000"/>
              <w:right w:val="single" w:sz="4" w:space="0" w:color="000000"/>
            </w:tcBorders>
          </w:tcPr>
          <w:p w14:paraId="3D8138CF"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hAnsi="Times New Roman" w:cs="Times New Roman"/>
              </w:rPr>
              <w:t>0,81 (0,70, 0,93)</w:t>
            </w:r>
          </w:p>
        </w:tc>
        <w:tc>
          <w:tcPr>
            <w:tcW w:w="1620" w:type="dxa"/>
            <w:tcBorders>
              <w:top w:val="single" w:sz="4" w:space="0" w:color="000000"/>
              <w:left w:val="single" w:sz="4" w:space="0" w:color="000000"/>
              <w:bottom w:val="single" w:sz="4" w:space="0" w:color="000000"/>
              <w:right w:val="single" w:sz="4" w:space="0" w:color="000000"/>
            </w:tcBorders>
          </w:tcPr>
          <w:p w14:paraId="216D3DC9"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p>
        </w:tc>
      </w:tr>
    </w:tbl>
    <w:p w14:paraId="3D6E5FE3" w14:textId="22F12878"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1</w:t>
      </w:r>
      <w:r w:rsidR="00CB10B5">
        <w:rPr>
          <w:rFonts w:ascii="Times New Roman" w:eastAsia="SimSun" w:hAnsi="Times New Roman" w:cs="Times New Roman"/>
          <w:color w:val="000000"/>
        </w:rPr>
        <w:t xml:space="preserve"> </w:t>
      </w:r>
      <w:r w:rsidRPr="0047338E">
        <w:rPr>
          <w:rFonts w:ascii="Times New Roman" w:eastAsia="SimSun" w:hAnsi="Times New Roman" w:cs="Times New Roman"/>
          <w:i/>
          <w:color w:val="000000"/>
        </w:rPr>
        <w:t>Log rank</w:t>
      </w:r>
      <w:r w:rsidRPr="0047338E">
        <w:rPr>
          <w:rFonts w:ascii="Times New Roman" w:eastAsia="SimSun" w:hAnsi="Times New Roman" w:cs="Times New Roman"/>
          <w:color w:val="000000"/>
        </w:rPr>
        <w:t xml:space="preserve"> testas, stratifikuota pagal atsitiktinių imčių grupes ir ankstesnę chemoterapiją (taip/ne) </w:t>
      </w:r>
    </w:p>
    <w:p w14:paraId="4E61511E" w14:textId="18AA4815"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2</w:t>
      </w:r>
      <w:r w:rsidR="00CB10B5">
        <w:rPr>
          <w:rFonts w:ascii="Times New Roman" w:eastAsia="SimSun" w:hAnsi="Times New Roman" w:cs="Times New Roman"/>
          <w:color w:val="000000"/>
        </w:rPr>
        <w:t xml:space="preserve"> </w:t>
      </w:r>
      <w:r w:rsidRPr="0047338E">
        <w:rPr>
          <w:rFonts w:ascii="Times New Roman" w:eastAsia="SimSun" w:hAnsi="Times New Roman" w:cs="Times New Roman"/>
          <w:color w:val="000000"/>
        </w:rPr>
        <w:t xml:space="preserve">IBLP reiškiniai: lokalus regioninis atsinaujinimas, nutolusios metastazės, invazinis kitos krūties vėžys, antras (ne krūties) pirminis vėžinis susirgimas, mirtis nuo bet kokios priežasties be ankstesnių su vėžiu susijusių reiškinių atsiradimo. </w:t>
      </w:r>
    </w:p>
    <w:p w14:paraId="0671DAF2" w14:textId="579C01DA"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3</w:t>
      </w:r>
      <w:r w:rsidR="00CB10B5">
        <w:rPr>
          <w:rFonts w:ascii="Times New Roman" w:eastAsia="SimSun" w:hAnsi="Times New Roman" w:cs="Times New Roman"/>
          <w:color w:val="000000"/>
        </w:rPr>
        <w:t xml:space="preserve"> </w:t>
      </w:r>
      <w:r w:rsidRPr="0047338E">
        <w:rPr>
          <w:rFonts w:ascii="Times New Roman" w:eastAsia="SimSun" w:hAnsi="Times New Roman" w:cs="Times New Roman"/>
          <w:color w:val="000000"/>
        </w:rPr>
        <w:t>Tamoksifeno grupės duomenų kritinės analizės metu vertinti duomenys, gauti iki datos, kai selektyviai buvo pradėta vartoti letrozolo</w:t>
      </w:r>
    </w:p>
    <w:p w14:paraId="58E930BB" w14:textId="77777777" w:rsidR="000C61CC" w:rsidRPr="0047338E" w:rsidRDefault="000C61CC" w:rsidP="000C61CC">
      <w:pPr>
        <w:spacing w:after="0" w:line="240" w:lineRule="auto"/>
        <w:rPr>
          <w:rFonts w:ascii="Times New Roman" w:eastAsia="SimSun" w:hAnsi="Times New Roman" w:cs="Times New Roman"/>
          <w:color w:val="000000"/>
        </w:rPr>
      </w:pPr>
    </w:p>
    <w:p w14:paraId="04FF6654"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i/>
          <w:iCs/>
          <w:color w:val="000000"/>
          <w:lang w:eastAsia="en-GB"/>
        </w:rPr>
      </w:pPr>
      <w:r w:rsidRPr="0047338E">
        <w:rPr>
          <w:rFonts w:ascii="Times New Roman" w:eastAsia="SimSun" w:hAnsi="Times New Roman" w:cs="Times New Roman"/>
          <w:i/>
          <w:iCs/>
          <w:color w:val="000000"/>
          <w:lang w:eastAsia="en-GB"/>
        </w:rPr>
        <w:t>Nuoseklaus gydymo analizė (NGA)</w:t>
      </w:r>
    </w:p>
    <w:p w14:paraId="550569AC"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iCs/>
          <w:color w:val="000000"/>
          <w:lang w:eastAsia="en-GB"/>
        </w:rPr>
        <w:t>Nuoseklaus gydymo analize (NGA) siekta atsakyti į antrąjį pagrindinį BIG 1-98 klausimą, t. y. ar nuoseklus gydymas tamoksifenu ir letrozolu yra pranašesnis už monoterapiją. Nuoseklaus gydymo ir monoterapijos grupėse IBLP, BI, IBSLP ar IITLI reikšmingai nesiskyrė (6 lentelė).</w:t>
      </w:r>
    </w:p>
    <w:p w14:paraId="4BB3DE6D"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p>
    <w:p w14:paraId="4E68C780" w14:textId="77777777" w:rsidR="000C61CC" w:rsidRPr="0047338E" w:rsidRDefault="000C61CC" w:rsidP="000C61CC">
      <w:pPr>
        <w:autoSpaceDE w:val="0"/>
        <w:autoSpaceDN w:val="0"/>
        <w:adjustRightInd w:val="0"/>
        <w:spacing w:after="0" w:line="240" w:lineRule="auto"/>
        <w:ind w:left="1440" w:hanging="1440"/>
        <w:rPr>
          <w:rFonts w:ascii="Times New Roman" w:eastAsia="SimSun" w:hAnsi="Times New Roman" w:cs="Times New Roman"/>
          <w:b/>
          <w:bCs/>
          <w:color w:val="000000"/>
          <w:lang w:eastAsia="en-GB"/>
        </w:rPr>
      </w:pPr>
      <w:r w:rsidRPr="0047338E">
        <w:rPr>
          <w:rFonts w:ascii="Times New Roman" w:eastAsia="SimSun" w:hAnsi="Times New Roman" w:cs="Times New Roman"/>
          <w:b/>
          <w:bCs/>
          <w:color w:val="000000"/>
          <w:lang w:eastAsia="en-GB"/>
        </w:rPr>
        <w:t xml:space="preserve">6 lentelė </w:t>
      </w:r>
      <w:r w:rsidRPr="0047338E">
        <w:rPr>
          <w:rFonts w:ascii="Times New Roman" w:eastAsia="SimSun" w:hAnsi="Times New Roman" w:cs="Times New Roman"/>
          <w:b/>
          <w:bCs/>
          <w:color w:val="000000"/>
          <w:lang w:eastAsia="en-GB"/>
        </w:rPr>
        <w:tab/>
        <w:t>Nuoseklaus gydymo analizė: išgyvenamumas be ligos pasireiškimo, vartojant letrozolo kaip pradinio endokrininę sistemą veikiančio preparato (NGA gydymo keitimo populiacija)</w:t>
      </w:r>
    </w:p>
    <w:p w14:paraId="24BA536A"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1453"/>
        <w:gridCol w:w="1472"/>
        <w:gridCol w:w="1470"/>
        <w:gridCol w:w="1622"/>
        <w:gridCol w:w="1466"/>
      </w:tblGrid>
      <w:tr w:rsidR="000C61CC" w:rsidRPr="0047338E" w14:paraId="42808977" w14:textId="77777777" w:rsidTr="00CE38F5">
        <w:tc>
          <w:tcPr>
            <w:tcW w:w="2406" w:type="dxa"/>
          </w:tcPr>
          <w:p w14:paraId="1B1EE227"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p>
        </w:tc>
        <w:tc>
          <w:tcPr>
            <w:tcW w:w="1453" w:type="dxa"/>
          </w:tcPr>
          <w:p w14:paraId="0AD6A114"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N</w:t>
            </w:r>
          </w:p>
        </w:tc>
        <w:tc>
          <w:tcPr>
            <w:tcW w:w="1472" w:type="dxa"/>
          </w:tcPr>
          <w:p w14:paraId="66EE2480"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Reiškinių skaičius</w:t>
            </w:r>
            <w:r w:rsidRPr="0047338E">
              <w:rPr>
                <w:rFonts w:ascii="Times New Roman" w:eastAsia="SimSun" w:hAnsi="Times New Roman" w:cs="Times New Roman"/>
                <w:b/>
                <w:color w:val="000000"/>
                <w:vertAlign w:val="superscript"/>
                <w:lang w:eastAsia="en-GB"/>
              </w:rPr>
              <w:t>1</w:t>
            </w:r>
          </w:p>
        </w:tc>
        <w:tc>
          <w:tcPr>
            <w:tcW w:w="1470" w:type="dxa"/>
          </w:tcPr>
          <w:p w14:paraId="58FB3118"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vertAlign w:val="superscript"/>
              </w:rPr>
            </w:pPr>
            <w:r w:rsidRPr="0047338E">
              <w:rPr>
                <w:rFonts w:ascii="Times New Roman" w:eastAsia="SimSun" w:hAnsi="Times New Roman" w:cs="Times New Roman"/>
                <w:b/>
                <w:color w:val="000000"/>
                <w:lang w:eastAsia="en-GB"/>
              </w:rPr>
              <w:t>Rizikos santykis</w:t>
            </w:r>
            <w:r w:rsidRPr="0047338E">
              <w:rPr>
                <w:rFonts w:ascii="Times New Roman" w:eastAsia="SimSun" w:hAnsi="Times New Roman" w:cs="Times New Roman"/>
                <w:b/>
                <w:color w:val="000000"/>
                <w:vertAlign w:val="superscript"/>
                <w:lang w:eastAsia="en-GB"/>
              </w:rPr>
              <w:t>2</w:t>
            </w:r>
          </w:p>
        </w:tc>
        <w:tc>
          <w:tcPr>
            <w:tcW w:w="1622" w:type="dxa"/>
          </w:tcPr>
          <w:p w14:paraId="37974374"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(97,5 % pasikliautinieji intervalai)</w:t>
            </w:r>
          </w:p>
        </w:tc>
        <w:tc>
          <w:tcPr>
            <w:tcW w:w="1466" w:type="dxa"/>
          </w:tcPr>
          <w:p w14:paraId="41039BE5"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 xml:space="preserve">Cox modelis </w:t>
            </w:r>
            <w:r w:rsidRPr="0047338E">
              <w:rPr>
                <w:rFonts w:ascii="Times New Roman" w:eastAsia="SimSun" w:hAnsi="Times New Roman" w:cs="Times New Roman"/>
                <w:b/>
                <w:i/>
                <w:color w:val="000000"/>
                <w:lang w:eastAsia="en-GB"/>
              </w:rPr>
              <w:t>P</w:t>
            </w:r>
            <w:r w:rsidRPr="0047338E">
              <w:rPr>
                <w:rFonts w:ascii="Times New Roman" w:eastAsia="SimSun" w:hAnsi="Times New Roman" w:cs="Times New Roman"/>
                <w:b/>
                <w:color w:val="000000"/>
                <w:lang w:eastAsia="en-GB"/>
              </w:rPr>
              <w:t>-reikšmė</w:t>
            </w:r>
          </w:p>
        </w:tc>
      </w:tr>
      <w:tr w:rsidR="000C61CC" w:rsidRPr="0047338E" w14:paraId="56853484" w14:textId="77777777" w:rsidTr="00CE38F5">
        <w:tc>
          <w:tcPr>
            <w:tcW w:w="2443" w:type="dxa"/>
          </w:tcPr>
          <w:p w14:paraId="58267BF0"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[Letrozolas</w:t>
            </w:r>
          </w:p>
          <w:p w14:paraId="576D7AA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-&gt;] Tamoksifenas</w:t>
            </w:r>
          </w:p>
          <w:p w14:paraId="1E066787"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b/>
                <w:color w:val="000000"/>
                <w:sz w:val="24"/>
                <w:szCs w:val="24"/>
              </w:rPr>
            </w:pPr>
          </w:p>
        </w:tc>
        <w:tc>
          <w:tcPr>
            <w:tcW w:w="1487" w:type="dxa"/>
            <w:shd w:val="clear" w:color="auto" w:fill="auto"/>
          </w:tcPr>
          <w:p w14:paraId="76BE753D"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rPr>
              <w:t>1460</w:t>
            </w:r>
          </w:p>
        </w:tc>
        <w:tc>
          <w:tcPr>
            <w:tcW w:w="1488" w:type="dxa"/>
            <w:shd w:val="clear" w:color="auto" w:fill="auto"/>
          </w:tcPr>
          <w:p w14:paraId="03A4A524"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rPr>
              <w:t>254</w:t>
            </w:r>
          </w:p>
        </w:tc>
        <w:tc>
          <w:tcPr>
            <w:tcW w:w="1488" w:type="dxa"/>
            <w:shd w:val="clear" w:color="auto" w:fill="auto"/>
          </w:tcPr>
          <w:p w14:paraId="5E6012D8"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rPr>
              <w:t>1,03</w:t>
            </w:r>
          </w:p>
        </w:tc>
        <w:tc>
          <w:tcPr>
            <w:tcW w:w="1495" w:type="dxa"/>
            <w:shd w:val="clear" w:color="auto" w:fill="auto"/>
          </w:tcPr>
          <w:p w14:paraId="26BFCE39"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w w:val="99"/>
              </w:rPr>
              <w:t>(0,</w:t>
            </w:r>
            <w:r w:rsidRPr="0047338E">
              <w:rPr>
                <w:rFonts w:ascii="Times New Roman" w:eastAsia="Times New Roman" w:hAnsi="Times New Roman" w:cs="Times New Roman"/>
                <w:bCs/>
                <w:w w:val="99"/>
              </w:rPr>
              <w:t>84</w:t>
            </w:r>
            <w:r w:rsidRPr="0047338E">
              <w:rPr>
                <w:rFonts w:ascii="Times New Roman" w:eastAsia="Times New Roman" w:hAnsi="Times New Roman" w:cs="Times New Roman"/>
                <w:w w:val="99"/>
              </w:rPr>
              <w:t>, 1,</w:t>
            </w:r>
            <w:r w:rsidRPr="0047338E">
              <w:rPr>
                <w:rFonts w:ascii="Times New Roman" w:eastAsia="Times New Roman" w:hAnsi="Times New Roman" w:cs="Times New Roman"/>
                <w:bCs/>
                <w:w w:val="99"/>
              </w:rPr>
              <w:t>26</w:t>
            </w:r>
            <w:r w:rsidRPr="0047338E">
              <w:rPr>
                <w:rFonts w:ascii="Times New Roman" w:eastAsia="Times New Roman" w:hAnsi="Times New Roman" w:cs="Times New Roman"/>
                <w:w w:val="99"/>
              </w:rPr>
              <w:t>)</w:t>
            </w:r>
          </w:p>
        </w:tc>
        <w:tc>
          <w:tcPr>
            <w:tcW w:w="1488" w:type="dxa"/>
            <w:shd w:val="clear" w:color="auto" w:fill="auto"/>
          </w:tcPr>
          <w:p w14:paraId="27572DCF"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rPr>
              <w:t>0,72</w:t>
            </w:r>
          </w:p>
        </w:tc>
      </w:tr>
      <w:tr w:rsidR="000C61CC" w:rsidRPr="0047338E" w14:paraId="66481CD7" w14:textId="77777777" w:rsidTr="00CE38F5">
        <w:tc>
          <w:tcPr>
            <w:tcW w:w="2406" w:type="dxa"/>
          </w:tcPr>
          <w:p w14:paraId="4F3C8F62"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Letrozolas</w:t>
            </w:r>
          </w:p>
        </w:tc>
        <w:tc>
          <w:tcPr>
            <w:tcW w:w="1453" w:type="dxa"/>
            <w:shd w:val="clear" w:color="auto" w:fill="auto"/>
          </w:tcPr>
          <w:p w14:paraId="61557DDD"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rPr>
              <w:t>1464</w:t>
            </w:r>
          </w:p>
        </w:tc>
        <w:tc>
          <w:tcPr>
            <w:tcW w:w="1472" w:type="dxa"/>
            <w:shd w:val="clear" w:color="auto" w:fill="auto"/>
          </w:tcPr>
          <w:p w14:paraId="27CA6A44"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rPr>
              <w:t>249</w:t>
            </w:r>
          </w:p>
        </w:tc>
        <w:tc>
          <w:tcPr>
            <w:tcW w:w="1470" w:type="dxa"/>
            <w:shd w:val="clear" w:color="auto" w:fill="auto"/>
          </w:tcPr>
          <w:p w14:paraId="1B5B8A86"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p>
        </w:tc>
        <w:tc>
          <w:tcPr>
            <w:tcW w:w="1622" w:type="dxa"/>
            <w:shd w:val="clear" w:color="auto" w:fill="auto"/>
          </w:tcPr>
          <w:p w14:paraId="21DDE5A9"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p>
        </w:tc>
        <w:tc>
          <w:tcPr>
            <w:tcW w:w="1466" w:type="dxa"/>
            <w:shd w:val="clear" w:color="auto" w:fill="auto"/>
          </w:tcPr>
          <w:p w14:paraId="58C059F6"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p>
        </w:tc>
      </w:tr>
    </w:tbl>
    <w:p w14:paraId="77874236" w14:textId="16FFF931"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vertAlign w:val="superscript"/>
          <w:lang w:eastAsia="en-GB"/>
        </w:rPr>
        <w:t>1</w:t>
      </w:r>
      <w:r w:rsidRPr="0047338E">
        <w:rPr>
          <w:rFonts w:ascii="Times New Roman" w:eastAsia="SimSun" w:hAnsi="Times New Roman" w:cs="Times New Roman"/>
          <w:color w:val="000000"/>
          <w:lang w:eastAsia="en-GB"/>
        </w:rPr>
        <w:t xml:space="preserve"> Protokolinis apibūdinimas, įskaitant antrą ne krūties pirminį vėžį, po keitimo / po dvejų metų</w:t>
      </w:r>
    </w:p>
    <w:p w14:paraId="1B041738" w14:textId="75077CFA"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vertAlign w:val="superscript"/>
          <w:lang w:eastAsia="en-GB"/>
        </w:rPr>
        <w:t>2</w:t>
      </w:r>
      <w:r w:rsidRPr="0047338E">
        <w:rPr>
          <w:rFonts w:ascii="Times New Roman" w:eastAsia="SimSun" w:hAnsi="Times New Roman" w:cs="Times New Roman"/>
          <w:color w:val="000000"/>
          <w:lang w:eastAsia="en-GB"/>
        </w:rPr>
        <w:t xml:space="preserve"> Koreguota pagal taikytą chemoterapiją</w:t>
      </w:r>
    </w:p>
    <w:p w14:paraId="06FB6DBA"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p>
    <w:p w14:paraId="76AD3CC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r w:rsidRPr="0047338E">
        <w:rPr>
          <w:rFonts w:ascii="Times New Roman" w:eastAsia="SimSun" w:hAnsi="Times New Roman" w:cs="Times New Roman"/>
          <w:color w:val="000000"/>
          <w:lang w:eastAsia="en-GB"/>
        </w:rPr>
        <w:t>Atlikus visus STA po atsitiktinių imčių sudarymo porinius palyginimus, reikšmingų IBLP, BI, IBSLP ar IITLI skirtumų nenustatyta (7 lentelė).</w:t>
      </w:r>
    </w:p>
    <w:p w14:paraId="6F009D30"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p>
    <w:p w14:paraId="059B3BFE" w14:textId="77777777" w:rsidR="000C61CC" w:rsidRPr="0047338E" w:rsidRDefault="000C61CC" w:rsidP="000C61CC">
      <w:pPr>
        <w:autoSpaceDE w:val="0"/>
        <w:autoSpaceDN w:val="0"/>
        <w:adjustRightInd w:val="0"/>
        <w:spacing w:after="0" w:line="240" w:lineRule="auto"/>
        <w:ind w:left="1440" w:hanging="1440"/>
        <w:rPr>
          <w:rFonts w:ascii="Times New Roman" w:eastAsia="SimSun" w:hAnsi="Times New Roman" w:cs="Times New Roman"/>
          <w:b/>
          <w:color w:val="000000"/>
          <w:lang w:eastAsia="en-GB"/>
        </w:rPr>
      </w:pPr>
      <w:r w:rsidRPr="0047338E">
        <w:rPr>
          <w:rFonts w:ascii="Times New Roman" w:eastAsia="SimSun" w:hAnsi="Times New Roman" w:cs="Times New Roman"/>
          <w:b/>
          <w:color w:val="000000"/>
          <w:lang w:eastAsia="en-GB"/>
        </w:rPr>
        <w:t xml:space="preserve">7 lentelė </w:t>
      </w:r>
      <w:r w:rsidRPr="0047338E">
        <w:rPr>
          <w:rFonts w:ascii="Times New Roman" w:eastAsia="SimSun" w:hAnsi="Times New Roman" w:cs="Times New Roman"/>
          <w:b/>
          <w:color w:val="000000"/>
          <w:lang w:eastAsia="en-GB"/>
        </w:rPr>
        <w:tab/>
        <w:t>Nuoseklaus gydymo analizė po atsitiktinių imčių sudarymo (NGA-R): išgyvenamumas be ligos pasireiškimo (ITT NGA-R populiacija)</w:t>
      </w:r>
    </w:p>
    <w:p w14:paraId="2F593500"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8"/>
        <w:gridCol w:w="1961"/>
        <w:gridCol w:w="1961"/>
      </w:tblGrid>
      <w:tr w:rsidR="000C61CC" w:rsidRPr="0047338E" w14:paraId="6EB0C7F2" w14:textId="77777777" w:rsidTr="00CE38F5">
        <w:tc>
          <w:tcPr>
            <w:tcW w:w="5320" w:type="dxa"/>
          </w:tcPr>
          <w:p w14:paraId="0C52FD8C"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p>
        </w:tc>
        <w:tc>
          <w:tcPr>
            <w:tcW w:w="1983" w:type="dxa"/>
          </w:tcPr>
          <w:p w14:paraId="66D58E57"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Letrozolas -&gt;</w:t>
            </w:r>
          </w:p>
          <w:p w14:paraId="29C29F6F"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Tamoksifenas</w:t>
            </w:r>
          </w:p>
        </w:tc>
        <w:tc>
          <w:tcPr>
            <w:tcW w:w="1983" w:type="dxa"/>
          </w:tcPr>
          <w:p w14:paraId="2A6B3A85"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Letrozolas</w:t>
            </w:r>
          </w:p>
        </w:tc>
      </w:tr>
      <w:tr w:rsidR="000C61CC" w:rsidRPr="0047338E" w14:paraId="63167C94" w14:textId="77777777" w:rsidTr="00CE38F5">
        <w:tc>
          <w:tcPr>
            <w:tcW w:w="5320" w:type="dxa"/>
          </w:tcPr>
          <w:p w14:paraId="0EF381A2"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SimSun" w:hAnsi="Times New Roman" w:cs="Times New Roman"/>
                <w:color w:val="000000"/>
                <w:lang w:eastAsia="en-GB"/>
              </w:rPr>
              <w:t>Pacienčių skaičius</w:t>
            </w:r>
          </w:p>
        </w:tc>
        <w:tc>
          <w:tcPr>
            <w:tcW w:w="1983" w:type="dxa"/>
            <w:tcBorders>
              <w:top w:val="single" w:sz="4" w:space="0" w:color="000000"/>
              <w:left w:val="single" w:sz="4" w:space="0" w:color="000000"/>
              <w:bottom w:val="single" w:sz="4" w:space="0" w:color="000000"/>
              <w:right w:val="single" w:sz="4" w:space="0" w:color="000000"/>
            </w:tcBorders>
          </w:tcPr>
          <w:p w14:paraId="2EC0DAED"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hAnsi="Times New Roman" w:cs="Times New Roman"/>
              </w:rPr>
              <w:t>1540</w:t>
            </w:r>
          </w:p>
        </w:tc>
        <w:tc>
          <w:tcPr>
            <w:tcW w:w="1983" w:type="dxa"/>
            <w:tcBorders>
              <w:top w:val="single" w:sz="4" w:space="0" w:color="000000"/>
              <w:left w:val="single" w:sz="4" w:space="0" w:color="000000"/>
              <w:bottom w:val="single" w:sz="4" w:space="0" w:color="000000"/>
              <w:right w:val="single" w:sz="4" w:space="0" w:color="000000"/>
            </w:tcBorders>
          </w:tcPr>
          <w:p w14:paraId="379B7CFB"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hAnsi="Times New Roman" w:cs="Times New Roman"/>
              </w:rPr>
              <w:t>1546</w:t>
            </w:r>
          </w:p>
        </w:tc>
      </w:tr>
      <w:tr w:rsidR="000C61CC" w:rsidRPr="0047338E" w14:paraId="4E2736BC" w14:textId="77777777" w:rsidTr="00CE38F5">
        <w:tc>
          <w:tcPr>
            <w:tcW w:w="5320" w:type="dxa"/>
          </w:tcPr>
          <w:p w14:paraId="70B619F9"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SimSun" w:hAnsi="Times New Roman" w:cs="Times New Roman"/>
                <w:color w:val="000000"/>
                <w:lang w:eastAsia="en-GB"/>
              </w:rPr>
              <w:t>Skaičius pacienčių, kurioms atsirado IBLP reiškinių (protokolinis apibūdinimas)</w:t>
            </w:r>
          </w:p>
        </w:tc>
        <w:tc>
          <w:tcPr>
            <w:tcW w:w="1983" w:type="dxa"/>
            <w:tcBorders>
              <w:top w:val="single" w:sz="4" w:space="0" w:color="000000"/>
              <w:left w:val="single" w:sz="4" w:space="0" w:color="000000"/>
              <w:bottom w:val="single" w:sz="4" w:space="0" w:color="000000"/>
              <w:right w:val="single" w:sz="4" w:space="0" w:color="000000"/>
            </w:tcBorders>
          </w:tcPr>
          <w:p w14:paraId="150F47FE"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bCs/>
              </w:rPr>
              <w:t>330</w:t>
            </w:r>
          </w:p>
        </w:tc>
        <w:tc>
          <w:tcPr>
            <w:tcW w:w="1983" w:type="dxa"/>
            <w:tcBorders>
              <w:top w:val="single" w:sz="4" w:space="0" w:color="000000"/>
              <w:left w:val="single" w:sz="4" w:space="0" w:color="000000"/>
              <w:bottom w:val="single" w:sz="4" w:space="0" w:color="000000"/>
              <w:right w:val="single" w:sz="4" w:space="0" w:color="000000"/>
            </w:tcBorders>
          </w:tcPr>
          <w:p w14:paraId="0649895C"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bCs/>
              </w:rPr>
              <w:t>319</w:t>
            </w:r>
          </w:p>
        </w:tc>
      </w:tr>
      <w:tr w:rsidR="000C61CC" w:rsidRPr="0047338E" w14:paraId="359486E2" w14:textId="77777777" w:rsidTr="00CE38F5">
        <w:tc>
          <w:tcPr>
            <w:tcW w:w="5320" w:type="dxa"/>
          </w:tcPr>
          <w:p w14:paraId="516B997F"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SimSun" w:hAnsi="Times New Roman" w:cs="Times New Roman"/>
                <w:color w:val="000000"/>
                <w:lang w:eastAsia="en-GB"/>
              </w:rPr>
              <w:t>Rizikos santykis</w:t>
            </w:r>
            <w:r w:rsidRPr="0047338E">
              <w:rPr>
                <w:rFonts w:ascii="Times New Roman" w:eastAsia="SimSun" w:hAnsi="Times New Roman" w:cs="Times New Roman"/>
                <w:color w:val="000000"/>
                <w:vertAlign w:val="superscript"/>
                <w:lang w:eastAsia="en-GB"/>
              </w:rPr>
              <w:t>1</w:t>
            </w:r>
            <w:r w:rsidRPr="0047338E">
              <w:rPr>
                <w:rFonts w:ascii="Times New Roman" w:eastAsia="SimSun" w:hAnsi="Times New Roman" w:cs="Times New Roman"/>
                <w:color w:val="000000"/>
                <w:lang w:eastAsia="en-GB"/>
              </w:rPr>
              <w:t xml:space="preserve"> (99 % PI)</w:t>
            </w:r>
          </w:p>
        </w:tc>
        <w:tc>
          <w:tcPr>
            <w:tcW w:w="3966" w:type="dxa"/>
            <w:gridSpan w:val="2"/>
            <w:tcBorders>
              <w:top w:val="single" w:sz="4" w:space="0" w:color="000000"/>
              <w:left w:val="single" w:sz="4" w:space="0" w:color="000000"/>
              <w:bottom w:val="single" w:sz="4" w:space="0" w:color="000000"/>
              <w:right w:val="single" w:sz="4" w:space="0" w:color="000000"/>
            </w:tcBorders>
          </w:tcPr>
          <w:p w14:paraId="27EC76C1"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w w:val="99"/>
              </w:rPr>
              <w:t>1,04 (0,85, 1,27)</w:t>
            </w:r>
          </w:p>
        </w:tc>
      </w:tr>
      <w:tr w:rsidR="000C61CC" w:rsidRPr="0047338E" w14:paraId="49398632" w14:textId="77777777" w:rsidTr="00CE38F5">
        <w:tc>
          <w:tcPr>
            <w:tcW w:w="5320" w:type="dxa"/>
          </w:tcPr>
          <w:p w14:paraId="1E074B7E"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p>
        </w:tc>
        <w:tc>
          <w:tcPr>
            <w:tcW w:w="1983" w:type="dxa"/>
          </w:tcPr>
          <w:p w14:paraId="18E7EDE1"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Letrozolas -&gt;</w:t>
            </w:r>
          </w:p>
          <w:p w14:paraId="149D80B2"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SimSun" w:hAnsi="Times New Roman" w:cs="Times New Roman"/>
                <w:b/>
                <w:color w:val="000000"/>
                <w:lang w:eastAsia="en-GB"/>
              </w:rPr>
              <w:t>Tamoksifenas</w:t>
            </w:r>
          </w:p>
        </w:tc>
        <w:tc>
          <w:tcPr>
            <w:tcW w:w="1983" w:type="dxa"/>
          </w:tcPr>
          <w:p w14:paraId="795EE9BA"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b/>
                <w:color w:val="000000"/>
                <w:sz w:val="24"/>
                <w:szCs w:val="24"/>
              </w:rPr>
            </w:pPr>
            <w:r w:rsidRPr="0047338E">
              <w:rPr>
                <w:rFonts w:ascii="Times New Roman" w:eastAsia="SimSun" w:hAnsi="Times New Roman" w:cs="Times New Roman"/>
                <w:b/>
                <w:color w:val="000000"/>
                <w:lang w:eastAsia="en-GB"/>
              </w:rPr>
              <w:t>Tamoksifenas</w:t>
            </w:r>
          </w:p>
        </w:tc>
      </w:tr>
      <w:tr w:rsidR="000C61CC" w:rsidRPr="0047338E" w14:paraId="1CFDFAC4" w14:textId="77777777" w:rsidTr="00CE38F5">
        <w:tc>
          <w:tcPr>
            <w:tcW w:w="5320" w:type="dxa"/>
            <w:tcBorders>
              <w:top w:val="single" w:sz="4" w:space="0" w:color="000000"/>
              <w:left w:val="single" w:sz="4" w:space="0" w:color="000000"/>
              <w:bottom w:val="single" w:sz="4" w:space="0" w:color="000000"/>
              <w:right w:val="single" w:sz="4" w:space="0" w:color="000000"/>
            </w:tcBorders>
          </w:tcPr>
          <w:p w14:paraId="3EDE0F4B" w14:textId="3B527B28" w:rsidR="000C61CC" w:rsidRPr="0047338E" w:rsidRDefault="00CB10B5" w:rsidP="000C61CC">
            <w:pPr>
              <w:autoSpaceDE w:val="0"/>
              <w:autoSpaceDN w:val="0"/>
              <w:adjustRightInd w:val="0"/>
              <w:spacing w:after="0" w:line="240" w:lineRule="auto"/>
              <w:rPr>
                <w:rFonts w:ascii="Times New Roman" w:eastAsia="SimSun" w:hAnsi="Times New Roman" w:cs="Times New Roman"/>
                <w:color w:val="000000"/>
                <w:sz w:val="24"/>
                <w:szCs w:val="24"/>
              </w:rPr>
            </w:pPr>
            <w:r>
              <w:rPr>
                <w:rFonts w:ascii="Times New Roman" w:eastAsia="Times New Roman" w:hAnsi="Times New Roman" w:cs="Times New Roman"/>
              </w:rPr>
              <w:t>Pacientų skaičius</w:t>
            </w:r>
          </w:p>
        </w:tc>
        <w:tc>
          <w:tcPr>
            <w:tcW w:w="1983" w:type="dxa"/>
            <w:tcBorders>
              <w:top w:val="single" w:sz="4" w:space="0" w:color="000000"/>
              <w:left w:val="single" w:sz="4" w:space="0" w:color="000000"/>
              <w:bottom w:val="single" w:sz="4" w:space="0" w:color="000000"/>
              <w:right w:val="single" w:sz="4" w:space="0" w:color="000000"/>
            </w:tcBorders>
          </w:tcPr>
          <w:p w14:paraId="67FD95FF" w14:textId="77777777" w:rsidR="000C61CC" w:rsidRPr="0047338E" w:rsidRDefault="000C61CC" w:rsidP="005014CA">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hAnsi="Times New Roman" w:cs="Times New Roman"/>
              </w:rPr>
              <w:t>1540</w:t>
            </w:r>
          </w:p>
        </w:tc>
        <w:tc>
          <w:tcPr>
            <w:tcW w:w="1983" w:type="dxa"/>
            <w:tcBorders>
              <w:top w:val="single" w:sz="4" w:space="0" w:color="000000"/>
              <w:left w:val="single" w:sz="4" w:space="0" w:color="000000"/>
              <w:bottom w:val="single" w:sz="4" w:space="0" w:color="000000"/>
              <w:right w:val="single" w:sz="4" w:space="0" w:color="000000"/>
            </w:tcBorders>
          </w:tcPr>
          <w:p w14:paraId="06704B1B" w14:textId="77777777" w:rsidR="000C61CC" w:rsidRPr="0047338E" w:rsidRDefault="000C61CC" w:rsidP="005014CA">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hAnsi="Times New Roman" w:cs="Times New Roman"/>
              </w:rPr>
              <w:t>1548</w:t>
            </w:r>
          </w:p>
        </w:tc>
      </w:tr>
      <w:tr w:rsidR="000C61CC" w:rsidRPr="0047338E" w14:paraId="0B18BCF5" w14:textId="77777777" w:rsidTr="00CE38F5">
        <w:tc>
          <w:tcPr>
            <w:tcW w:w="5320" w:type="dxa"/>
            <w:tcBorders>
              <w:top w:val="single" w:sz="4" w:space="0" w:color="000000"/>
              <w:left w:val="single" w:sz="4" w:space="0" w:color="000000"/>
              <w:bottom w:val="single" w:sz="4" w:space="0" w:color="000000"/>
              <w:right w:val="single" w:sz="4" w:space="0" w:color="000000"/>
            </w:tcBorders>
          </w:tcPr>
          <w:p w14:paraId="5689EE45" w14:textId="78F72BCE" w:rsidR="000C61CC" w:rsidRPr="0047338E" w:rsidRDefault="00CB10B5" w:rsidP="000C61CC">
            <w:pPr>
              <w:autoSpaceDE w:val="0"/>
              <w:autoSpaceDN w:val="0"/>
              <w:adjustRightInd w:val="0"/>
              <w:spacing w:after="0" w:line="240" w:lineRule="auto"/>
              <w:rPr>
                <w:rFonts w:ascii="Times New Roman" w:eastAsia="SimSun" w:hAnsi="Times New Roman" w:cs="Times New Roman"/>
                <w:color w:val="000000"/>
                <w:sz w:val="24"/>
                <w:szCs w:val="24"/>
              </w:rPr>
            </w:pPr>
            <w:r>
              <w:rPr>
                <w:rFonts w:ascii="Times New Roman" w:eastAsia="Times New Roman" w:hAnsi="Times New Roman" w:cs="Times New Roman"/>
              </w:rPr>
              <w:t>Pacientų skaičius</w:t>
            </w:r>
            <w:r w:rsidRPr="0047338E" w:rsidDel="00CB10B5">
              <w:rPr>
                <w:rFonts w:ascii="Times New Roman" w:eastAsia="Times New Roman" w:hAnsi="Times New Roman" w:cs="Times New Roman"/>
              </w:rPr>
              <w:t xml:space="preserve"> </w:t>
            </w:r>
            <w:r>
              <w:rPr>
                <w:rFonts w:ascii="Times New Roman" w:eastAsia="Times New Roman" w:hAnsi="Times New Roman" w:cs="Times New Roman"/>
              </w:rPr>
              <w:t xml:space="preserve">su </w:t>
            </w:r>
            <w:r w:rsidRPr="0047338E">
              <w:rPr>
                <w:rFonts w:ascii="Times New Roman" w:eastAsia="SimSun" w:hAnsi="Times New Roman" w:cs="Times New Roman"/>
                <w:color w:val="000000"/>
              </w:rPr>
              <w:t>IBLP reiškiniai</w:t>
            </w:r>
            <w:r>
              <w:rPr>
                <w:rFonts w:ascii="Times New Roman" w:eastAsia="SimSun" w:hAnsi="Times New Roman" w:cs="Times New Roman"/>
                <w:color w:val="000000"/>
              </w:rPr>
              <w:t>s (protokolinis apibūdinimas)</w:t>
            </w:r>
          </w:p>
        </w:tc>
        <w:tc>
          <w:tcPr>
            <w:tcW w:w="1983" w:type="dxa"/>
            <w:tcBorders>
              <w:top w:val="single" w:sz="4" w:space="0" w:color="000000"/>
              <w:left w:val="single" w:sz="4" w:space="0" w:color="000000"/>
              <w:bottom w:val="single" w:sz="4" w:space="0" w:color="000000"/>
              <w:right w:val="single" w:sz="4" w:space="0" w:color="000000"/>
            </w:tcBorders>
          </w:tcPr>
          <w:p w14:paraId="0486A855" w14:textId="77777777" w:rsidR="000C61CC" w:rsidRPr="0047338E" w:rsidRDefault="000C61CC" w:rsidP="005014CA">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bCs/>
              </w:rPr>
              <w:t>330</w:t>
            </w:r>
          </w:p>
        </w:tc>
        <w:tc>
          <w:tcPr>
            <w:tcW w:w="1983" w:type="dxa"/>
            <w:tcBorders>
              <w:top w:val="single" w:sz="4" w:space="0" w:color="000000"/>
              <w:left w:val="single" w:sz="4" w:space="0" w:color="000000"/>
              <w:bottom w:val="single" w:sz="4" w:space="0" w:color="000000"/>
              <w:right w:val="single" w:sz="4" w:space="0" w:color="000000"/>
            </w:tcBorders>
          </w:tcPr>
          <w:p w14:paraId="3CF4817F" w14:textId="77777777" w:rsidR="000C61CC" w:rsidRPr="0047338E" w:rsidRDefault="000C61CC" w:rsidP="005014CA">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eastAsia="Times New Roman" w:hAnsi="Times New Roman" w:cs="Times New Roman"/>
                <w:bCs/>
              </w:rPr>
              <w:t>353</w:t>
            </w:r>
          </w:p>
        </w:tc>
      </w:tr>
      <w:tr w:rsidR="000C61CC" w:rsidRPr="0047338E" w14:paraId="29DDD103" w14:textId="77777777" w:rsidTr="00CE38F5">
        <w:tc>
          <w:tcPr>
            <w:tcW w:w="5320" w:type="dxa"/>
          </w:tcPr>
          <w:p w14:paraId="4F15B1FC"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sz w:val="24"/>
                <w:szCs w:val="24"/>
              </w:rPr>
            </w:pPr>
            <w:r w:rsidRPr="0047338E">
              <w:rPr>
                <w:rFonts w:ascii="Times New Roman" w:eastAsia="SimSun" w:hAnsi="Times New Roman" w:cs="Times New Roman"/>
                <w:color w:val="000000"/>
                <w:lang w:eastAsia="en-GB"/>
              </w:rPr>
              <w:t>Rizikos santykis</w:t>
            </w:r>
            <w:r w:rsidRPr="0047338E">
              <w:rPr>
                <w:rFonts w:ascii="Times New Roman" w:eastAsia="SimSun" w:hAnsi="Times New Roman" w:cs="Times New Roman"/>
                <w:color w:val="000000"/>
                <w:vertAlign w:val="superscript"/>
                <w:lang w:eastAsia="en-GB"/>
              </w:rPr>
              <w:t>1</w:t>
            </w:r>
            <w:r w:rsidRPr="0047338E">
              <w:rPr>
                <w:rFonts w:ascii="Times New Roman" w:eastAsia="SimSun" w:hAnsi="Times New Roman" w:cs="Times New Roman"/>
                <w:color w:val="000000"/>
                <w:lang w:eastAsia="en-GB"/>
              </w:rPr>
              <w:t xml:space="preserve"> (99 % PI)</w:t>
            </w:r>
          </w:p>
        </w:tc>
        <w:tc>
          <w:tcPr>
            <w:tcW w:w="3966" w:type="dxa"/>
            <w:gridSpan w:val="2"/>
            <w:tcBorders>
              <w:top w:val="single" w:sz="4" w:space="0" w:color="000000"/>
              <w:left w:val="single" w:sz="4" w:space="0" w:color="000000"/>
              <w:bottom w:val="single" w:sz="4" w:space="0" w:color="000000"/>
              <w:right w:val="single" w:sz="4" w:space="0" w:color="000000"/>
            </w:tcBorders>
          </w:tcPr>
          <w:p w14:paraId="0E59E61E" w14:textId="77777777" w:rsidR="000C61CC" w:rsidRPr="0047338E" w:rsidRDefault="000C61CC" w:rsidP="000C61CC">
            <w:pPr>
              <w:autoSpaceDE w:val="0"/>
              <w:autoSpaceDN w:val="0"/>
              <w:adjustRightInd w:val="0"/>
              <w:spacing w:after="0" w:line="240" w:lineRule="auto"/>
              <w:jc w:val="center"/>
              <w:rPr>
                <w:rFonts w:ascii="Times New Roman" w:eastAsia="SimSun" w:hAnsi="Times New Roman" w:cs="Times New Roman"/>
                <w:color w:val="000000"/>
                <w:sz w:val="24"/>
                <w:szCs w:val="24"/>
              </w:rPr>
            </w:pPr>
            <w:r w:rsidRPr="0047338E">
              <w:rPr>
                <w:rFonts w:ascii="Times New Roman" w:hAnsi="Times New Roman" w:cs="Times New Roman"/>
              </w:rPr>
              <w:t>0,92 (0,75, 1,12)</w:t>
            </w:r>
          </w:p>
        </w:tc>
      </w:tr>
      <w:tr w:rsidR="000C61CC" w:rsidRPr="0047338E" w14:paraId="511A8A7D" w14:textId="77777777" w:rsidTr="00CE38F5">
        <w:tc>
          <w:tcPr>
            <w:tcW w:w="9286" w:type="dxa"/>
            <w:gridSpan w:val="3"/>
          </w:tcPr>
          <w:p w14:paraId="3DA817D6" w14:textId="77777777" w:rsidR="000C61CC" w:rsidRPr="0047338E" w:rsidRDefault="000C61CC" w:rsidP="000C61CC">
            <w:pPr>
              <w:autoSpaceDE w:val="0"/>
              <w:autoSpaceDN w:val="0"/>
              <w:adjustRightInd w:val="0"/>
              <w:spacing w:after="0" w:line="240" w:lineRule="auto"/>
              <w:ind w:left="567" w:hanging="567"/>
              <w:rPr>
                <w:rFonts w:ascii="Times New Roman" w:eastAsia="SimSun" w:hAnsi="Times New Roman" w:cs="Times New Roman"/>
                <w:color w:val="000000"/>
                <w:sz w:val="24"/>
                <w:szCs w:val="24"/>
              </w:rPr>
            </w:pPr>
            <w:r w:rsidRPr="0047338E">
              <w:rPr>
                <w:rFonts w:ascii="Times New Roman" w:eastAsia="SimSun" w:hAnsi="Times New Roman" w:cs="Times New Roman"/>
                <w:color w:val="000000"/>
                <w:vertAlign w:val="superscript"/>
                <w:lang w:eastAsia="en-GB"/>
              </w:rPr>
              <w:t>1</w:t>
            </w:r>
            <w:r w:rsidRPr="0047338E">
              <w:rPr>
                <w:rFonts w:ascii="Times New Roman" w:eastAsia="SimSun" w:hAnsi="Times New Roman" w:cs="Times New Roman"/>
                <w:color w:val="000000"/>
                <w:lang w:eastAsia="en-GB"/>
              </w:rPr>
              <w:tab/>
              <w:t xml:space="preserve">Koreguota pagal taikytą chemoterapiją (taip/ne) </w:t>
            </w:r>
          </w:p>
          <w:p w14:paraId="74A74BF9" w14:textId="77777777" w:rsidR="000C61CC" w:rsidRPr="0047338E" w:rsidRDefault="000C61CC" w:rsidP="000C61CC">
            <w:pPr>
              <w:autoSpaceDE w:val="0"/>
              <w:autoSpaceDN w:val="0"/>
              <w:adjustRightInd w:val="0"/>
              <w:spacing w:after="0" w:line="240" w:lineRule="auto"/>
              <w:ind w:left="567" w:hanging="567"/>
              <w:rPr>
                <w:rFonts w:ascii="Times New Roman" w:eastAsia="SimSun" w:hAnsi="Times New Roman" w:cs="Times New Roman"/>
                <w:color w:val="000000"/>
                <w:sz w:val="24"/>
                <w:szCs w:val="24"/>
              </w:rPr>
            </w:pPr>
            <w:r w:rsidRPr="0047338E">
              <w:rPr>
                <w:rFonts w:ascii="Times New Roman" w:eastAsia="SimSun" w:hAnsi="Times New Roman" w:cs="Times New Roman"/>
                <w:color w:val="000000"/>
                <w:vertAlign w:val="superscript"/>
                <w:lang w:eastAsia="en-GB"/>
              </w:rPr>
              <w:t>2</w:t>
            </w:r>
            <w:r w:rsidRPr="0047338E">
              <w:rPr>
                <w:rFonts w:ascii="Times New Roman" w:eastAsia="SimSun" w:hAnsi="Times New Roman" w:cs="Times New Roman"/>
                <w:color w:val="000000"/>
                <w:lang w:eastAsia="en-GB"/>
              </w:rPr>
              <w:tab/>
              <w:t>624 (40 %) pacientės po tamoksino grupės atkodavimo 2005 m. selektyviai pradėjo vartoti letrozolo</w:t>
            </w:r>
          </w:p>
        </w:tc>
      </w:tr>
    </w:tbl>
    <w:p w14:paraId="023FC125"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lang w:eastAsia="en-GB"/>
        </w:rPr>
      </w:pPr>
    </w:p>
    <w:p w14:paraId="62E152D9"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i/>
          <w:iCs/>
          <w:color w:val="000000"/>
          <w:u w:val="single"/>
          <w:lang w:eastAsia="en-GB"/>
        </w:rPr>
      </w:pPr>
      <w:r w:rsidRPr="0047338E">
        <w:rPr>
          <w:rFonts w:ascii="Times New Roman" w:eastAsia="SimSun" w:hAnsi="Times New Roman" w:cs="Times New Roman"/>
          <w:i/>
          <w:iCs/>
          <w:color w:val="000000"/>
          <w:u w:val="single"/>
          <w:lang w:eastAsia="en-GB"/>
        </w:rPr>
        <w:t>D2407 tyrimas</w:t>
      </w:r>
    </w:p>
    <w:p w14:paraId="793447B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D2407 tyrimas buvo atviras, atsitiktinių imčių, daugiacentris, poregistracinis saugumo tyrimas, kuriuo siekta palyginti adjuvantinio gydymo letrozolu ir tamoksifenu poveikį mineraliniam kaulų tankiui (MKT) ir lipidų koncentracijai serume. Iš viso tyrime dalyvavo 262 moterys, kurios arba 5</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metus vartojo letrozolo, arba 2</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metus tamoksifeno ir po to 3</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metus letrozolo.</w:t>
      </w:r>
    </w:p>
    <w:p w14:paraId="65AF419E"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0F752F08"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Po 24</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mėnesių pagrindinė vertinamoji baigtis juosmeninių slankstelių (L2-L4) MKT</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skyrėsi statistiškai reikšmingai: letrozolo vartojusių pacienčių grupėje sumažėjo (mediana 4,1</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 xml:space="preserve">%), o vartojant tamoksifeno </w:t>
      </w:r>
      <w:r w:rsidRPr="0047338E">
        <w:rPr>
          <w:rFonts w:ascii="Times New Roman" w:eastAsia="SimSun" w:hAnsi="Times New Roman" w:cs="Times New Roman"/>
          <w:iCs/>
          <w:color w:val="000000"/>
          <w:lang w:eastAsia="en-GB"/>
        </w:rPr>
        <w:t>–</w:t>
      </w:r>
      <w:r w:rsidRPr="0047338E">
        <w:rPr>
          <w:rFonts w:ascii="Times New Roman" w:eastAsia="SimSun" w:hAnsi="Times New Roman" w:cs="Times New Roman"/>
          <w:color w:val="000000"/>
        </w:rPr>
        <w:t xml:space="preserve"> padidėjo (mediana 0,3</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w:t>
      </w:r>
    </w:p>
    <w:p w14:paraId="1D99F736"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36AD9A06"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2</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metų laikotarpiu osteoporozės neatsirado nė vienai pacientei, kurios pradinis MKT buvo normalus, ir tik 1 ligonei, kuriai prieš tyrimą buvo osteopenija (T rodmuo 1,9) (centrinės peržiūros vertinimas).</w:t>
      </w:r>
    </w:p>
    <w:p w14:paraId="3CFAB5FE"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792494A1"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Poveikis visos šlaunies MKT buvo panašus į poveikį juosmeninių slankstelių MKT, tačiau skirtumas buvo mažesnis.</w:t>
      </w:r>
    </w:p>
    <w:p w14:paraId="0B66F002"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07123899"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Reikšmingo lūžimų dažnio skirtumo gydymo grupėse nebuvo (15</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 letrozolo ir 17</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 tamoksifeno vartojusių pacienčių grupėse).</w:t>
      </w:r>
    </w:p>
    <w:p w14:paraId="6111FE14"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p>
    <w:p w14:paraId="0A4D1D76" w14:textId="77777777" w:rsidR="000C61CC" w:rsidRPr="0047338E" w:rsidRDefault="000C61CC" w:rsidP="000C61CC">
      <w:pPr>
        <w:autoSpaceDE w:val="0"/>
        <w:autoSpaceDN w:val="0"/>
        <w:adjustRightInd w:val="0"/>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Tamoksifeno vartojusių pacienčių grupėje bendrojo cholesterolio koncentracijos sumažėjimo mediana po 6</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mėnesių buvo 16</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 (palyginti su pradiniu rodmeniu), panašus sumažėjimas stebėtas ir vėlesnių apsilankymų metu (iki 24</w:t>
      </w:r>
      <w:r w:rsidRPr="0047338E">
        <w:rPr>
          <w:rFonts w:ascii="Times New Roman" w:eastAsia="SimSun" w:hAnsi="Times New Roman" w:cs="Times New Roman"/>
          <w:iCs/>
          <w:color w:val="000000"/>
          <w:lang w:eastAsia="en-GB"/>
        </w:rPr>
        <w:t> </w:t>
      </w:r>
      <w:r w:rsidRPr="0047338E">
        <w:rPr>
          <w:rFonts w:ascii="Times New Roman" w:eastAsia="SimSun" w:hAnsi="Times New Roman" w:cs="Times New Roman"/>
          <w:color w:val="000000"/>
        </w:rPr>
        <w:t>mėnesio). Letrozolo vartojusių pacienčių grupėje bendrojo cholesterolio koncentracijos sumažėjimo mediana laiko atžvilgiu buvo reliatyviai stabili, skirtumas bet kuriuo laikotarpiu buvo statistiškai reikšmingas tamoksifeno naudai.</w:t>
      </w:r>
    </w:p>
    <w:p w14:paraId="4B6FE353" w14:textId="77777777" w:rsidR="000C61CC" w:rsidRPr="0047338E" w:rsidRDefault="000C61CC" w:rsidP="000C61CC">
      <w:pPr>
        <w:spacing w:after="0" w:line="240" w:lineRule="auto"/>
        <w:rPr>
          <w:rFonts w:ascii="Times New Roman" w:eastAsia="SimSun" w:hAnsi="Times New Roman" w:cs="Times New Roman"/>
          <w:color w:val="000000"/>
        </w:rPr>
      </w:pPr>
    </w:p>
    <w:p w14:paraId="1E70CE7B" w14:textId="77777777" w:rsidR="000C61CC" w:rsidRPr="0047338E" w:rsidRDefault="000C61CC" w:rsidP="000C61CC">
      <w:pPr>
        <w:spacing w:after="0" w:line="240" w:lineRule="auto"/>
        <w:rPr>
          <w:rFonts w:ascii="Times New Roman" w:eastAsia="Times New Roman" w:hAnsi="Times New Roman" w:cs="Times New Roman"/>
          <w:bCs/>
          <w:i/>
          <w:iCs/>
          <w:u w:val="single"/>
        </w:rPr>
      </w:pPr>
      <w:r w:rsidRPr="0047338E">
        <w:rPr>
          <w:rFonts w:ascii="Times New Roman" w:eastAsia="Times New Roman" w:hAnsi="Times New Roman" w:cs="Times New Roman"/>
          <w:bCs/>
          <w:i/>
          <w:iCs/>
          <w:u w:val="single"/>
        </w:rPr>
        <w:t>Tęstinis adjuvantinis gydymas (MA-17)</w:t>
      </w:r>
    </w:p>
    <w:p w14:paraId="68AE0AA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Daugiacentrio dvigubai koduoto atsitiktinių imčių placebu kontroliuoto tyrimo (MA-17) metu daugiau negu 5 100 moterų, kurios pomenopauziniu laikotarpiu sirgo pirminiu krūties vėžiu (vėžiniame audinyje hormoninių receptorių buvo arba jų buvimas netirtas) ir kurios buvo baigusios adjuvantinį gydymą tamoksifenu (trukusį 4,5</w:t>
      </w:r>
      <w:r w:rsidRPr="0047338E">
        <w:rPr>
          <w:rFonts w:ascii="Times New Roman" w:eastAsia="SimSun" w:hAnsi="Times New Roman" w:cs="Times New Roman"/>
          <w:color w:val="000000"/>
        </w:rPr>
        <w:noBreakHyphen/>
        <w:t>6 metus), buvo suskirstytos į atsitiktines imtis ir 5 metus vartojo arba letrozolo, arba placebo.</w:t>
      </w:r>
    </w:p>
    <w:p w14:paraId="77DC0E9F" w14:textId="77777777" w:rsidR="000C61CC" w:rsidRPr="0047338E" w:rsidRDefault="000C61CC" w:rsidP="000C61CC">
      <w:pPr>
        <w:spacing w:after="0" w:line="240" w:lineRule="auto"/>
        <w:rPr>
          <w:rFonts w:ascii="Times New Roman" w:eastAsia="SimSun" w:hAnsi="Times New Roman" w:cs="Times New Roman"/>
          <w:color w:val="000000"/>
        </w:rPr>
      </w:pPr>
    </w:p>
    <w:p w14:paraId="5029D50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Pagrindinė vertinamoji baigtis buvo išgyvenamumas be ligos pasireiškimo, apibūdinamas kaip laikotarpis nuo atsitiktinių imčių sudarymo iki anksčiausio lokalaus regioninio atsinaujinimo, nutolusių metastazių ar kitos krūties vėžio atsiradimo. </w:t>
      </w:r>
    </w:p>
    <w:p w14:paraId="6FDF7E7B" w14:textId="77777777" w:rsidR="000C61CC" w:rsidRPr="0047338E" w:rsidRDefault="000C61CC" w:rsidP="000C61CC">
      <w:pPr>
        <w:spacing w:after="0" w:line="240" w:lineRule="auto"/>
        <w:rPr>
          <w:rFonts w:ascii="Times New Roman" w:eastAsia="SimSun" w:hAnsi="Times New Roman" w:cs="Times New Roman"/>
          <w:color w:val="000000"/>
        </w:rPr>
      </w:pPr>
    </w:p>
    <w:p w14:paraId="6C04334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Pirmosios suplanuotos tarpinės analizės metu (stebėjimo laikotarpio mediana buvo maždaug 28 mėnesiai, 25 % pacienčių buvo stebimos mažiausiai 38 mėnesius), nustatyta, kad letrozolas reikšmingai (42 %), palyginti su placebo poveikiu, sumažina krūties vėžio atsinaujinimo riziką (RS 0,58; 95 % PI 0,45, 0,76; P = 0,00003). Palankesnis letrozolo poveikis pasireiškė nepriklausomai nuo limfmazgių būklės. Bendrasis išgyvenamumas reikšmingai nesiskyrė (vartojant letrozolą – 51 mirtis, vartojant placebo – 62; RS 0,82; 95 % PI 0,56, 1,19).</w:t>
      </w:r>
    </w:p>
    <w:p w14:paraId="78315D00" w14:textId="77777777" w:rsidR="000C61CC" w:rsidRPr="0047338E" w:rsidRDefault="000C61CC" w:rsidP="000C61CC">
      <w:pPr>
        <w:spacing w:after="0" w:line="240" w:lineRule="auto"/>
        <w:rPr>
          <w:rFonts w:ascii="Times New Roman" w:eastAsia="SimSun" w:hAnsi="Times New Roman" w:cs="Times New Roman"/>
          <w:color w:val="000000"/>
        </w:rPr>
      </w:pPr>
    </w:p>
    <w:p w14:paraId="18C9BA3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Atsižvelgiant į gautus duomenis, po pirmosios tarpinės analizės, tyrimas buvo atkoduotas ir tęsiamas kaip atviras tyrimas. Placebo vartojusios pacientės galėjo pradėti vartoti letrozolą laikotarpiu iki 5 metų. Daugiau kaip 60 % tinkamų ligonių (t .y. pacienčių, kurioms atkodavimo metu liga nebuvo pasireiškusi) pradėjo vartoti letrozolą. Į galutinę analizę buvo įtraukti 1 551 moters, kuri po adjuvatinio gydymo tamoksifenu pabaigos vietoj placebo pradėjo vartoti letrozolą, duomenys (placebo vartojimo mediana buvo 31 mėnuo, ribos 12-106 mėnesiai). Po gydymo pakeitimo letrozolu vartojimo mediana buvo 40 mėnesių.</w:t>
      </w:r>
    </w:p>
    <w:p w14:paraId="0DF9BB82" w14:textId="77777777" w:rsidR="000C61CC" w:rsidRPr="0047338E" w:rsidRDefault="000C61CC" w:rsidP="000C61CC">
      <w:pPr>
        <w:spacing w:after="0" w:line="240" w:lineRule="auto"/>
        <w:rPr>
          <w:rFonts w:ascii="Times New Roman" w:eastAsia="SimSun" w:hAnsi="Times New Roman" w:cs="Times New Roman"/>
          <w:color w:val="000000"/>
        </w:rPr>
      </w:pPr>
    </w:p>
    <w:p w14:paraId="409B107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Galutinės analizės metu (stebėjimo laikotarpio mediana buvo 62 mėnesiai) patvirtinta, kad Letrozolą reikšmingai sumažina krūties vėžio atsinaujinimo riziką.</w:t>
      </w:r>
    </w:p>
    <w:p w14:paraId="17D28AF5" w14:textId="77777777" w:rsidR="000C61CC" w:rsidRPr="0047338E" w:rsidRDefault="000C61CC" w:rsidP="000C61CC">
      <w:pPr>
        <w:spacing w:after="0" w:line="240" w:lineRule="auto"/>
        <w:rPr>
          <w:rFonts w:ascii="Times New Roman" w:eastAsia="SimSun" w:hAnsi="Times New Roman" w:cs="Times New Roman"/>
          <w:color w:val="000000"/>
        </w:rPr>
      </w:pPr>
    </w:p>
    <w:p w14:paraId="03298C8F" w14:textId="28EBAB34" w:rsidR="000C61CC" w:rsidRPr="0047338E" w:rsidRDefault="000C61CC" w:rsidP="00953C38">
      <w:pPr>
        <w:keepNext/>
        <w:spacing w:after="0" w:line="240" w:lineRule="auto"/>
        <w:ind w:left="1276" w:hanging="1276"/>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8 lentelė </w:t>
      </w:r>
      <w:r w:rsidRPr="0047338E">
        <w:rPr>
          <w:rFonts w:ascii="Times New Roman" w:eastAsia="Times New Roman" w:hAnsi="Times New Roman" w:cs="Times New Roman"/>
          <w:b/>
        </w:rPr>
        <w:tab/>
        <w:t>Išgyvenamumas be ligos pasireiškimo ir bendrasis išgyvenamumas (modifikuota ITT populiacija)</w:t>
      </w:r>
    </w:p>
    <w:p w14:paraId="6C01FC39" w14:textId="77777777" w:rsidR="000C61CC" w:rsidRPr="0047338E" w:rsidRDefault="000C61CC" w:rsidP="000C61CC">
      <w:pPr>
        <w:spacing w:after="0" w:line="240" w:lineRule="auto"/>
        <w:rPr>
          <w:rFonts w:ascii="Times New Roman" w:eastAsia="SimSun" w:hAnsi="Times New Roman" w:cs="Times New Roman"/>
          <w:color w:val="000000"/>
        </w:rPr>
      </w:pPr>
    </w:p>
    <w:tbl>
      <w:tblPr>
        <w:tblStyle w:val="Lentelstinklelis"/>
        <w:tblW w:w="0" w:type="auto"/>
        <w:tblLook w:val="04A0" w:firstRow="1" w:lastRow="0" w:firstColumn="1" w:lastColumn="0" w:noHBand="0" w:noVBand="1"/>
      </w:tblPr>
      <w:tblGrid>
        <w:gridCol w:w="2205"/>
        <w:gridCol w:w="1172"/>
        <w:gridCol w:w="1146"/>
        <w:gridCol w:w="1112"/>
        <w:gridCol w:w="1172"/>
        <w:gridCol w:w="1146"/>
        <w:gridCol w:w="1107"/>
      </w:tblGrid>
      <w:tr w:rsidR="000C61CC" w:rsidRPr="0047338E" w14:paraId="79B5001A" w14:textId="77777777" w:rsidTr="00CB10B5">
        <w:tc>
          <w:tcPr>
            <w:tcW w:w="2205" w:type="dxa"/>
          </w:tcPr>
          <w:p w14:paraId="23361258" w14:textId="77777777" w:rsidR="000C61CC" w:rsidRPr="0047338E" w:rsidRDefault="000C61CC" w:rsidP="00550938">
            <w:pPr>
              <w:rPr>
                <w:rFonts w:ascii="Times New Roman" w:hAnsi="Times New Roman"/>
                <w:color w:val="000000"/>
                <w:lang w:val="lt-LT"/>
              </w:rPr>
            </w:pPr>
          </w:p>
        </w:tc>
        <w:tc>
          <w:tcPr>
            <w:tcW w:w="3430" w:type="dxa"/>
            <w:gridSpan w:val="3"/>
          </w:tcPr>
          <w:p w14:paraId="6C6A7948"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Stebėjimo mediana 28 mėnesiai</w:t>
            </w:r>
          </w:p>
        </w:tc>
        <w:tc>
          <w:tcPr>
            <w:tcW w:w="3425" w:type="dxa"/>
            <w:gridSpan w:val="3"/>
          </w:tcPr>
          <w:p w14:paraId="4BBBABA7"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Stebėjimo mediana 62 mėnesiai</w:t>
            </w:r>
          </w:p>
        </w:tc>
      </w:tr>
      <w:tr w:rsidR="00953C38" w:rsidRPr="0047338E" w14:paraId="27396115" w14:textId="77777777" w:rsidTr="00CB10B5">
        <w:tc>
          <w:tcPr>
            <w:tcW w:w="2205" w:type="dxa"/>
          </w:tcPr>
          <w:p w14:paraId="2FD1EEDD" w14:textId="77777777" w:rsidR="000C61CC" w:rsidRPr="0047338E" w:rsidRDefault="000C61CC" w:rsidP="00550938">
            <w:pPr>
              <w:rPr>
                <w:rFonts w:ascii="Times New Roman" w:hAnsi="Times New Roman"/>
                <w:color w:val="000000"/>
                <w:lang w:val="lt-LT"/>
              </w:rPr>
            </w:pPr>
          </w:p>
        </w:tc>
        <w:tc>
          <w:tcPr>
            <w:tcW w:w="1172" w:type="dxa"/>
          </w:tcPr>
          <w:p w14:paraId="23C57339"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Letrozolas N = 2582</w:t>
            </w:r>
          </w:p>
        </w:tc>
        <w:tc>
          <w:tcPr>
            <w:tcW w:w="1146" w:type="dxa"/>
          </w:tcPr>
          <w:p w14:paraId="68E20A80"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Placebas N = 2586</w:t>
            </w:r>
          </w:p>
        </w:tc>
        <w:tc>
          <w:tcPr>
            <w:tcW w:w="1112" w:type="dxa"/>
          </w:tcPr>
          <w:p w14:paraId="42B9C490"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RS (95 % PI)</w:t>
            </w:r>
            <w:r w:rsidRPr="0047338E">
              <w:rPr>
                <w:rFonts w:ascii="Times New Roman" w:hAnsi="Times New Roman"/>
                <w:color w:val="000000"/>
                <w:vertAlign w:val="superscript"/>
                <w:lang w:val="lt-LT"/>
              </w:rPr>
              <w:t>2</w:t>
            </w:r>
          </w:p>
          <w:p w14:paraId="6BB6B003" w14:textId="77777777" w:rsidR="000C61CC" w:rsidRPr="0047338E" w:rsidRDefault="000C61CC" w:rsidP="00953C38">
            <w:pPr>
              <w:rPr>
                <w:rFonts w:ascii="Times New Roman" w:hAnsi="Times New Roman"/>
                <w:color w:val="000000"/>
                <w:lang w:val="lt-LT"/>
              </w:rPr>
            </w:pPr>
            <w:r w:rsidRPr="0047338E">
              <w:rPr>
                <w:rFonts w:ascii="Times New Roman" w:hAnsi="Times New Roman"/>
                <w:i/>
                <w:color w:val="000000"/>
                <w:lang w:val="lt-LT"/>
              </w:rPr>
              <w:t>P</w:t>
            </w:r>
            <w:r w:rsidRPr="0047338E">
              <w:rPr>
                <w:rFonts w:ascii="Times New Roman" w:hAnsi="Times New Roman"/>
                <w:color w:val="000000"/>
                <w:lang w:val="lt-LT"/>
              </w:rPr>
              <w:t xml:space="preserve"> reikšmė</w:t>
            </w:r>
          </w:p>
        </w:tc>
        <w:tc>
          <w:tcPr>
            <w:tcW w:w="1172" w:type="dxa"/>
          </w:tcPr>
          <w:p w14:paraId="5A8B4BEA"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Letrozolas N = 2582</w:t>
            </w:r>
          </w:p>
        </w:tc>
        <w:tc>
          <w:tcPr>
            <w:tcW w:w="1146" w:type="dxa"/>
          </w:tcPr>
          <w:p w14:paraId="2CEC2E58"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Placebas N = 2586</w:t>
            </w:r>
          </w:p>
        </w:tc>
        <w:tc>
          <w:tcPr>
            <w:tcW w:w="1107" w:type="dxa"/>
          </w:tcPr>
          <w:p w14:paraId="7BBAB3BE"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RS (95 % PI)</w:t>
            </w:r>
            <w:r w:rsidRPr="0047338E">
              <w:rPr>
                <w:rFonts w:ascii="Times New Roman" w:hAnsi="Times New Roman"/>
                <w:color w:val="000000"/>
                <w:vertAlign w:val="superscript"/>
                <w:lang w:val="lt-LT"/>
              </w:rPr>
              <w:t>2</w:t>
            </w:r>
          </w:p>
          <w:p w14:paraId="448E6EB1" w14:textId="77777777" w:rsidR="000C61CC" w:rsidRPr="0047338E" w:rsidRDefault="000C61CC" w:rsidP="00953C38">
            <w:pPr>
              <w:rPr>
                <w:rFonts w:ascii="Times New Roman" w:hAnsi="Times New Roman"/>
                <w:color w:val="000000"/>
                <w:lang w:val="lt-LT"/>
              </w:rPr>
            </w:pPr>
            <w:r w:rsidRPr="0047338E">
              <w:rPr>
                <w:rFonts w:ascii="Times New Roman" w:hAnsi="Times New Roman"/>
                <w:i/>
                <w:color w:val="000000"/>
                <w:lang w:val="lt-LT"/>
              </w:rPr>
              <w:t>P</w:t>
            </w:r>
            <w:r w:rsidRPr="0047338E">
              <w:rPr>
                <w:rFonts w:ascii="Times New Roman" w:hAnsi="Times New Roman"/>
                <w:color w:val="000000"/>
                <w:lang w:val="lt-LT"/>
              </w:rPr>
              <w:t xml:space="preserve"> reikšmė</w:t>
            </w:r>
          </w:p>
        </w:tc>
      </w:tr>
      <w:tr w:rsidR="00CB10B5" w:rsidRPr="0047338E" w14:paraId="3093AFC0" w14:textId="77777777" w:rsidTr="00673797">
        <w:tc>
          <w:tcPr>
            <w:tcW w:w="9060" w:type="dxa"/>
            <w:gridSpan w:val="7"/>
          </w:tcPr>
          <w:p w14:paraId="56706306" w14:textId="47B84226" w:rsidR="00CB10B5" w:rsidRPr="005014CA" w:rsidRDefault="00CB10B5" w:rsidP="00953C38">
            <w:pPr>
              <w:rPr>
                <w:rFonts w:ascii="Times New Roman" w:hAnsi="Times New Roman"/>
                <w:b/>
                <w:bCs/>
                <w:color w:val="000000"/>
                <w:lang w:val="lt-LT"/>
              </w:rPr>
            </w:pPr>
            <w:r w:rsidRPr="005014CA">
              <w:rPr>
                <w:rFonts w:ascii="Times New Roman" w:hAnsi="Times New Roman"/>
                <w:b/>
                <w:bCs/>
                <w:color w:val="000000"/>
              </w:rPr>
              <w:t>Išgyvenamumas be ligos pasireiškimo</w:t>
            </w:r>
            <w:r w:rsidRPr="005014CA">
              <w:rPr>
                <w:rFonts w:ascii="Times New Roman" w:hAnsi="Times New Roman"/>
                <w:b/>
                <w:bCs/>
                <w:color w:val="000000"/>
                <w:vertAlign w:val="superscript"/>
              </w:rPr>
              <w:t>3</w:t>
            </w:r>
          </w:p>
        </w:tc>
      </w:tr>
      <w:tr w:rsidR="00953C38" w:rsidRPr="0047338E" w14:paraId="1DE7042F" w14:textId="77777777" w:rsidTr="00CB10B5">
        <w:tc>
          <w:tcPr>
            <w:tcW w:w="2205" w:type="dxa"/>
          </w:tcPr>
          <w:p w14:paraId="2CCA3909"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Reiškiniai</w:t>
            </w:r>
          </w:p>
        </w:tc>
        <w:tc>
          <w:tcPr>
            <w:tcW w:w="1172" w:type="dxa"/>
          </w:tcPr>
          <w:p w14:paraId="64FAD167"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92 (3,6 %)</w:t>
            </w:r>
          </w:p>
        </w:tc>
        <w:tc>
          <w:tcPr>
            <w:tcW w:w="1146" w:type="dxa"/>
          </w:tcPr>
          <w:p w14:paraId="05405309"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155 (6,0 %)</w:t>
            </w:r>
          </w:p>
        </w:tc>
        <w:tc>
          <w:tcPr>
            <w:tcW w:w="1112" w:type="dxa"/>
          </w:tcPr>
          <w:p w14:paraId="0FBE21FE"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0,58 (0,45, 0,76) 0,00003</w:t>
            </w:r>
          </w:p>
        </w:tc>
        <w:tc>
          <w:tcPr>
            <w:tcW w:w="1172" w:type="dxa"/>
          </w:tcPr>
          <w:p w14:paraId="0C2AB6B6"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209 (8,1 %)</w:t>
            </w:r>
          </w:p>
        </w:tc>
        <w:tc>
          <w:tcPr>
            <w:tcW w:w="1146" w:type="dxa"/>
          </w:tcPr>
          <w:p w14:paraId="5DB028C0"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286 (11,1 %)</w:t>
            </w:r>
          </w:p>
        </w:tc>
        <w:tc>
          <w:tcPr>
            <w:tcW w:w="1107" w:type="dxa"/>
          </w:tcPr>
          <w:p w14:paraId="4A183646"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0,75 (0,63, 0,89)</w:t>
            </w:r>
          </w:p>
        </w:tc>
      </w:tr>
      <w:tr w:rsidR="00953C38" w:rsidRPr="0047338E" w14:paraId="2B70DE97" w14:textId="77777777" w:rsidTr="00CB10B5">
        <w:tc>
          <w:tcPr>
            <w:tcW w:w="2205" w:type="dxa"/>
          </w:tcPr>
          <w:p w14:paraId="42983001"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4 metų IBLP dažnis</w:t>
            </w:r>
          </w:p>
        </w:tc>
        <w:tc>
          <w:tcPr>
            <w:tcW w:w="1172" w:type="dxa"/>
          </w:tcPr>
          <w:p w14:paraId="6376614A"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94,4 %</w:t>
            </w:r>
          </w:p>
        </w:tc>
        <w:tc>
          <w:tcPr>
            <w:tcW w:w="1146" w:type="dxa"/>
          </w:tcPr>
          <w:p w14:paraId="4F7F464C"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89,8 %</w:t>
            </w:r>
          </w:p>
        </w:tc>
        <w:tc>
          <w:tcPr>
            <w:tcW w:w="1112" w:type="dxa"/>
          </w:tcPr>
          <w:p w14:paraId="60B8B975" w14:textId="77777777" w:rsidR="000C61CC" w:rsidRPr="0047338E" w:rsidRDefault="000C61CC" w:rsidP="00953C38">
            <w:pPr>
              <w:rPr>
                <w:rFonts w:ascii="Times New Roman" w:hAnsi="Times New Roman"/>
                <w:color w:val="000000"/>
                <w:lang w:val="lt-LT"/>
              </w:rPr>
            </w:pPr>
          </w:p>
        </w:tc>
        <w:tc>
          <w:tcPr>
            <w:tcW w:w="1172" w:type="dxa"/>
          </w:tcPr>
          <w:p w14:paraId="29AFB444"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94,4 %</w:t>
            </w:r>
          </w:p>
        </w:tc>
        <w:tc>
          <w:tcPr>
            <w:tcW w:w="1146" w:type="dxa"/>
          </w:tcPr>
          <w:p w14:paraId="54A36AB8"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91,4 %</w:t>
            </w:r>
          </w:p>
        </w:tc>
        <w:tc>
          <w:tcPr>
            <w:tcW w:w="1107" w:type="dxa"/>
          </w:tcPr>
          <w:p w14:paraId="1C4202C4" w14:textId="77777777" w:rsidR="000C61CC" w:rsidRPr="0047338E" w:rsidRDefault="000C61CC" w:rsidP="00953C38">
            <w:pPr>
              <w:rPr>
                <w:rFonts w:ascii="Times New Roman" w:hAnsi="Times New Roman"/>
                <w:color w:val="000000"/>
                <w:lang w:val="lt-LT"/>
              </w:rPr>
            </w:pPr>
          </w:p>
        </w:tc>
      </w:tr>
      <w:tr w:rsidR="000C61CC" w:rsidRPr="0047338E" w14:paraId="4810935C" w14:textId="77777777" w:rsidTr="00CB10B5">
        <w:tc>
          <w:tcPr>
            <w:tcW w:w="9060" w:type="dxa"/>
            <w:gridSpan w:val="7"/>
          </w:tcPr>
          <w:p w14:paraId="241801FA" w14:textId="77777777" w:rsidR="000C61CC" w:rsidRPr="005014CA" w:rsidRDefault="000C61CC" w:rsidP="00550938">
            <w:pPr>
              <w:rPr>
                <w:rFonts w:ascii="Times New Roman" w:hAnsi="Times New Roman"/>
                <w:b/>
                <w:bCs/>
                <w:color w:val="000000"/>
                <w:lang w:val="lt-LT"/>
              </w:rPr>
            </w:pPr>
            <w:r w:rsidRPr="005014CA">
              <w:rPr>
                <w:rFonts w:ascii="Times New Roman" w:hAnsi="Times New Roman"/>
                <w:b/>
                <w:bCs/>
                <w:color w:val="000000"/>
              </w:rPr>
              <w:t>Išgyvenamumas be ligos pasireiškimo</w:t>
            </w:r>
            <w:r w:rsidRPr="005014CA">
              <w:rPr>
                <w:rFonts w:ascii="Times New Roman" w:hAnsi="Times New Roman"/>
                <w:b/>
                <w:bCs/>
                <w:color w:val="000000"/>
                <w:vertAlign w:val="superscript"/>
              </w:rPr>
              <w:t>3</w:t>
            </w:r>
            <w:r w:rsidRPr="005014CA">
              <w:rPr>
                <w:rFonts w:ascii="Times New Roman" w:hAnsi="Times New Roman"/>
                <w:b/>
                <w:bCs/>
                <w:color w:val="000000"/>
              </w:rPr>
              <w:t>, įskaitant mirtį nuo bet kokios priežasties</w:t>
            </w:r>
          </w:p>
        </w:tc>
      </w:tr>
      <w:tr w:rsidR="00953C38" w:rsidRPr="0047338E" w14:paraId="30B70191" w14:textId="77777777" w:rsidTr="00CB10B5">
        <w:tc>
          <w:tcPr>
            <w:tcW w:w="2205" w:type="dxa"/>
          </w:tcPr>
          <w:p w14:paraId="3EF20B76"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Reiškiniai</w:t>
            </w:r>
          </w:p>
        </w:tc>
        <w:tc>
          <w:tcPr>
            <w:tcW w:w="1172" w:type="dxa"/>
          </w:tcPr>
          <w:p w14:paraId="66AE7BF1"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122 (4,7 %)</w:t>
            </w:r>
          </w:p>
        </w:tc>
        <w:tc>
          <w:tcPr>
            <w:tcW w:w="1146" w:type="dxa"/>
          </w:tcPr>
          <w:p w14:paraId="4ED5B0BB"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193 (7,5 %)</w:t>
            </w:r>
          </w:p>
        </w:tc>
        <w:tc>
          <w:tcPr>
            <w:tcW w:w="1112" w:type="dxa"/>
          </w:tcPr>
          <w:p w14:paraId="76E9CA26"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0,62 (0,49, 0,78)</w:t>
            </w:r>
          </w:p>
        </w:tc>
        <w:tc>
          <w:tcPr>
            <w:tcW w:w="1172" w:type="dxa"/>
          </w:tcPr>
          <w:p w14:paraId="01FD1A4E"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344 (13,3 %)</w:t>
            </w:r>
          </w:p>
        </w:tc>
        <w:tc>
          <w:tcPr>
            <w:tcW w:w="1146" w:type="dxa"/>
          </w:tcPr>
          <w:p w14:paraId="65E6D79C"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402 (15,5 %)</w:t>
            </w:r>
          </w:p>
        </w:tc>
        <w:tc>
          <w:tcPr>
            <w:tcW w:w="1107" w:type="dxa"/>
          </w:tcPr>
          <w:p w14:paraId="63EA5B22"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0,89 (0,77, 1,03)</w:t>
            </w:r>
          </w:p>
        </w:tc>
      </w:tr>
      <w:tr w:rsidR="00953C38" w:rsidRPr="0047338E" w14:paraId="4C1048EF" w14:textId="77777777" w:rsidTr="00CB10B5">
        <w:tc>
          <w:tcPr>
            <w:tcW w:w="2205" w:type="dxa"/>
          </w:tcPr>
          <w:p w14:paraId="77C3E5D3"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5 metų IBLP dažnis</w:t>
            </w:r>
          </w:p>
        </w:tc>
        <w:tc>
          <w:tcPr>
            <w:tcW w:w="1172" w:type="dxa"/>
          </w:tcPr>
          <w:p w14:paraId="3154BACD"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90,5 %</w:t>
            </w:r>
          </w:p>
        </w:tc>
        <w:tc>
          <w:tcPr>
            <w:tcW w:w="1146" w:type="dxa"/>
          </w:tcPr>
          <w:p w14:paraId="1A8F1AB9"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80,8 %</w:t>
            </w:r>
          </w:p>
        </w:tc>
        <w:tc>
          <w:tcPr>
            <w:tcW w:w="1112" w:type="dxa"/>
          </w:tcPr>
          <w:p w14:paraId="7F00F349" w14:textId="77777777" w:rsidR="000C61CC" w:rsidRPr="0047338E" w:rsidRDefault="000C61CC" w:rsidP="00953C38">
            <w:pPr>
              <w:rPr>
                <w:rFonts w:ascii="Times New Roman" w:hAnsi="Times New Roman"/>
                <w:color w:val="000000"/>
                <w:lang w:val="lt-LT"/>
              </w:rPr>
            </w:pPr>
          </w:p>
        </w:tc>
        <w:tc>
          <w:tcPr>
            <w:tcW w:w="1172" w:type="dxa"/>
          </w:tcPr>
          <w:p w14:paraId="62822DAE"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88,8 %</w:t>
            </w:r>
          </w:p>
        </w:tc>
        <w:tc>
          <w:tcPr>
            <w:tcW w:w="1146" w:type="dxa"/>
          </w:tcPr>
          <w:p w14:paraId="371F5749"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86,7 %</w:t>
            </w:r>
          </w:p>
        </w:tc>
        <w:tc>
          <w:tcPr>
            <w:tcW w:w="1107" w:type="dxa"/>
          </w:tcPr>
          <w:p w14:paraId="486454A6" w14:textId="77777777" w:rsidR="000C61CC" w:rsidRPr="0047338E" w:rsidRDefault="000C61CC" w:rsidP="00953C38">
            <w:pPr>
              <w:rPr>
                <w:rFonts w:ascii="Times New Roman" w:hAnsi="Times New Roman"/>
                <w:color w:val="000000"/>
                <w:lang w:val="lt-LT"/>
              </w:rPr>
            </w:pPr>
          </w:p>
        </w:tc>
      </w:tr>
      <w:tr w:rsidR="00953C38" w:rsidRPr="0047338E" w14:paraId="42CF5495" w14:textId="77777777" w:rsidTr="00CB10B5">
        <w:tc>
          <w:tcPr>
            <w:tcW w:w="2205" w:type="dxa"/>
          </w:tcPr>
          <w:p w14:paraId="27CAD07E"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Nutolusios metastazės reiškiniai</w:t>
            </w:r>
          </w:p>
        </w:tc>
        <w:tc>
          <w:tcPr>
            <w:tcW w:w="1172" w:type="dxa"/>
          </w:tcPr>
          <w:p w14:paraId="2AAD392F"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57 (2,2 %)</w:t>
            </w:r>
          </w:p>
        </w:tc>
        <w:tc>
          <w:tcPr>
            <w:tcW w:w="1146" w:type="dxa"/>
          </w:tcPr>
          <w:p w14:paraId="52777785"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93 (3,6 %)</w:t>
            </w:r>
          </w:p>
        </w:tc>
        <w:tc>
          <w:tcPr>
            <w:tcW w:w="1112" w:type="dxa"/>
          </w:tcPr>
          <w:p w14:paraId="4C31130A"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0,61 (0,44, 0,84)</w:t>
            </w:r>
          </w:p>
        </w:tc>
        <w:tc>
          <w:tcPr>
            <w:tcW w:w="1172" w:type="dxa"/>
          </w:tcPr>
          <w:p w14:paraId="11B44BCA"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142 (5,5 %)</w:t>
            </w:r>
          </w:p>
        </w:tc>
        <w:tc>
          <w:tcPr>
            <w:tcW w:w="1146" w:type="dxa"/>
          </w:tcPr>
          <w:p w14:paraId="4CCC401A"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169 (6,5 %)</w:t>
            </w:r>
          </w:p>
        </w:tc>
        <w:tc>
          <w:tcPr>
            <w:tcW w:w="1107" w:type="dxa"/>
          </w:tcPr>
          <w:p w14:paraId="52C3F65E"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0,88 (0,70, 1,10)</w:t>
            </w:r>
          </w:p>
        </w:tc>
      </w:tr>
      <w:tr w:rsidR="00953C38" w:rsidRPr="0047338E" w14:paraId="7C1C46BE" w14:textId="77777777" w:rsidTr="00CB10B5">
        <w:tc>
          <w:tcPr>
            <w:tcW w:w="2205" w:type="dxa"/>
          </w:tcPr>
          <w:p w14:paraId="26ECA934"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Bendrasis išgyvenamumas</w:t>
            </w:r>
          </w:p>
        </w:tc>
        <w:tc>
          <w:tcPr>
            <w:tcW w:w="1172" w:type="dxa"/>
          </w:tcPr>
          <w:p w14:paraId="6023F7E5" w14:textId="77777777" w:rsidR="000C61CC" w:rsidRPr="0047338E" w:rsidRDefault="000C61CC" w:rsidP="00550938">
            <w:pPr>
              <w:rPr>
                <w:rFonts w:ascii="Times New Roman" w:hAnsi="Times New Roman"/>
                <w:color w:val="000000"/>
                <w:lang w:val="lt-LT"/>
              </w:rPr>
            </w:pPr>
          </w:p>
        </w:tc>
        <w:tc>
          <w:tcPr>
            <w:tcW w:w="1146" w:type="dxa"/>
          </w:tcPr>
          <w:p w14:paraId="5EE9FB62" w14:textId="77777777" w:rsidR="000C61CC" w:rsidRPr="0047338E" w:rsidRDefault="000C61CC" w:rsidP="00550938">
            <w:pPr>
              <w:rPr>
                <w:rFonts w:ascii="Times New Roman" w:hAnsi="Times New Roman"/>
                <w:color w:val="000000"/>
                <w:lang w:val="lt-LT"/>
              </w:rPr>
            </w:pPr>
          </w:p>
        </w:tc>
        <w:tc>
          <w:tcPr>
            <w:tcW w:w="1112" w:type="dxa"/>
          </w:tcPr>
          <w:p w14:paraId="515DCDB8" w14:textId="77777777" w:rsidR="000C61CC" w:rsidRPr="0047338E" w:rsidRDefault="000C61CC" w:rsidP="00953C38">
            <w:pPr>
              <w:rPr>
                <w:rFonts w:ascii="Times New Roman" w:hAnsi="Times New Roman"/>
                <w:color w:val="000000"/>
                <w:lang w:val="lt-LT"/>
              </w:rPr>
            </w:pPr>
          </w:p>
        </w:tc>
        <w:tc>
          <w:tcPr>
            <w:tcW w:w="1172" w:type="dxa"/>
          </w:tcPr>
          <w:p w14:paraId="16A9F3FF" w14:textId="77777777" w:rsidR="000C61CC" w:rsidRPr="0047338E" w:rsidRDefault="000C61CC" w:rsidP="00953C38">
            <w:pPr>
              <w:rPr>
                <w:rFonts w:ascii="Times New Roman" w:hAnsi="Times New Roman"/>
                <w:color w:val="000000"/>
                <w:lang w:val="lt-LT"/>
              </w:rPr>
            </w:pPr>
          </w:p>
        </w:tc>
        <w:tc>
          <w:tcPr>
            <w:tcW w:w="1146" w:type="dxa"/>
          </w:tcPr>
          <w:p w14:paraId="1102438C" w14:textId="77777777" w:rsidR="000C61CC" w:rsidRPr="0047338E" w:rsidRDefault="000C61CC" w:rsidP="00953C38">
            <w:pPr>
              <w:rPr>
                <w:rFonts w:ascii="Times New Roman" w:hAnsi="Times New Roman"/>
                <w:color w:val="000000"/>
                <w:lang w:val="lt-LT"/>
              </w:rPr>
            </w:pPr>
          </w:p>
        </w:tc>
        <w:tc>
          <w:tcPr>
            <w:tcW w:w="1107" w:type="dxa"/>
          </w:tcPr>
          <w:p w14:paraId="1EE61765" w14:textId="77777777" w:rsidR="000C61CC" w:rsidRPr="0047338E" w:rsidRDefault="000C61CC" w:rsidP="00953C38">
            <w:pPr>
              <w:rPr>
                <w:rFonts w:ascii="Times New Roman" w:hAnsi="Times New Roman"/>
                <w:color w:val="000000"/>
                <w:lang w:val="lt-LT"/>
              </w:rPr>
            </w:pPr>
          </w:p>
        </w:tc>
      </w:tr>
      <w:tr w:rsidR="00953C38" w:rsidRPr="0047338E" w14:paraId="70E0FE8C" w14:textId="77777777" w:rsidTr="00CB10B5">
        <w:tc>
          <w:tcPr>
            <w:tcW w:w="2205" w:type="dxa"/>
          </w:tcPr>
          <w:p w14:paraId="63D2EB0C"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Mirtys</w:t>
            </w:r>
          </w:p>
        </w:tc>
        <w:tc>
          <w:tcPr>
            <w:tcW w:w="1172" w:type="dxa"/>
          </w:tcPr>
          <w:p w14:paraId="2D90074C"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51 (2,0 %)</w:t>
            </w:r>
          </w:p>
        </w:tc>
        <w:tc>
          <w:tcPr>
            <w:tcW w:w="1146" w:type="dxa"/>
          </w:tcPr>
          <w:p w14:paraId="0974C395"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62 (2,4 %)</w:t>
            </w:r>
          </w:p>
        </w:tc>
        <w:tc>
          <w:tcPr>
            <w:tcW w:w="1112" w:type="dxa"/>
          </w:tcPr>
          <w:p w14:paraId="5F7FDDDB"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0,82 (0,56, 1,19)</w:t>
            </w:r>
          </w:p>
        </w:tc>
        <w:tc>
          <w:tcPr>
            <w:tcW w:w="1172" w:type="dxa"/>
          </w:tcPr>
          <w:p w14:paraId="476EF346"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236 (9,1 %)</w:t>
            </w:r>
          </w:p>
        </w:tc>
        <w:tc>
          <w:tcPr>
            <w:tcW w:w="1146" w:type="dxa"/>
          </w:tcPr>
          <w:p w14:paraId="0677A0AC"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232 (9,0 %)</w:t>
            </w:r>
          </w:p>
        </w:tc>
        <w:tc>
          <w:tcPr>
            <w:tcW w:w="1107" w:type="dxa"/>
          </w:tcPr>
          <w:p w14:paraId="365B8A9A"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1,13 (0,95, 1,36)</w:t>
            </w:r>
          </w:p>
        </w:tc>
      </w:tr>
      <w:tr w:rsidR="00953C38" w:rsidRPr="0047338E" w14:paraId="4DEDE8C1" w14:textId="77777777" w:rsidTr="00CB10B5">
        <w:trPr>
          <w:trHeight w:val="717"/>
        </w:trPr>
        <w:tc>
          <w:tcPr>
            <w:tcW w:w="2205" w:type="dxa"/>
          </w:tcPr>
          <w:p w14:paraId="02924171" w14:textId="77777777" w:rsidR="000C61CC" w:rsidRPr="0047338E" w:rsidRDefault="000C61CC" w:rsidP="00550938">
            <w:pPr>
              <w:rPr>
                <w:rFonts w:ascii="Times New Roman" w:hAnsi="Times New Roman"/>
                <w:color w:val="000000"/>
                <w:vertAlign w:val="superscript"/>
                <w:lang w:val="lt-LT"/>
              </w:rPr>
            </w:pPr>
            <w:r w:rsidRPr="0047338E">
              <w:rPr>
                <w:rFonts w:ascii="Times New Roman" w:hAnsi="Times New Roman"/>
                <w:color w:val="000000"/>
                <w:lang w:val="lt-LT"/>
              </w:rPr>
              <w:t>Mirtys</w:t>
            </w:r>
            <w:r w:rsidRPr="0047338E">
              <w:rPr>
                <w:rFonts w:ascii="Times New Roman" w:hAnsi="Times New Roman"/>
                <w:color w:val="000000"/>
                <w:vertAlign w:val="superscript"/>
                <w:lang w:val="lt-LT"/>
              </w:rPr>
              <w:t>4</w:t>
            </w:r>
          </w:p>
        </w:tc>
        <w:tc>
          <w:tcPr>
            <w:tcW w:w="1172" w:type="dxa"/>
          </w:tcPr>
          <w:p w14:paraId="3FE533D7"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w:t>
            </w:r>
          </w:p>
        </w:tc>
        <w:tc>
          <w:tcPr>
            <w:tcW w:w="1146" w:type="dxa"/>
          </w:tcPr>
          <w:p w14:paraId="570283E4"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w:t>
            </w:r>
          </w:p>
        </w:tc>
        <w:tc>
          <w:tcPr>
            <w:tcW w:w="1112" w:type="dxa"/>
          </w:tcPr>
          <w:p w14:paraId="168AA8EF"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w:t>
            </w:r>
          </w:p>
        </w:tc>
        <w:tc>
          <w:tcPr>
            <w:tcW w:w="1172" w:type="dxa"/>
          </w:tcPr>
          <w:p w14:paraId="607F89E7" w14:textId="6C0EF0C6" w:rsidR="000C61CC" w:rsidRDefault="000C61CC" w:rsidP="00953C38">
            <w:pPr>
              <w:rPr>
                <w:rFonts w:ascii="Times New Roman" w:hAnsi="Times New Roman"/>
                <w:color w:val="000000"/>
                <w:vertAlign w:val="superscript"/>
                <w:lang w:val="lt-LT"/>
              </w:rPr>
            </w:pPr>
            <w:r w:rsidRPr="0047338E">
              <w:rPr>
                <w:rFonts w:ascii="Times New Roman" w:hAnsi="Times New Roman"/>
                <w:color w:val="000000"/>
                <w:lang w:val="lt-LT"/>
              </w:rPr>
              <w:t>236</w:t>
            </w:r>
            <w:r w:rsidRPr="0047338E">
              <w:rPr>
                <w:rFonts w:ascii="Times New Roman" w:hAnsi="Times New Roman"/>
                <w:color w:val="000000"/>
                <w:vertAlign w:val="superscript"/>
                <w:lang w:val="lt-LT"/>
              </w:rPr>
              <w:t>5</w:t>
            </w:r>
            <w:r w:rsidR="00DB0D78">
              <w:rPr>
                <w:rFonts w:ascii="Times New Roman" w:hAnsi="Times New Roman"/>
                <w:color w:val="000000"/>
                <w:vertAlign w:val="superscript"/>
                <w:lang w:val="lt-LT"/>
              </w:rPr>
              <w:t xml:space="preserve">     </w:t>
            </w:r>
          </w:p>
          <w:p w14:paraId="1437BFBD" w14:textId="3BFE7B70" w:rsidR="00DB0D78" w:rsidRDefault="00DB0D78" w:rsidP="00953C38">
            <w:pPr>
              <w:rPr>
                <w:rFonts w:ascii="Times New Roman" w:hAnsi="Times New Roman"/>
                <w:color w:val="000000"/>
                <w:vertAlign w:val="superscript"/>
                <w:lang w:val="lt-LT"/>
              </w:rPr>
            </w:pPr>
            <w:r>
              <w:rPr>
                <w:rFonts w:ascii="Times New Roman" w:hAnsi="Times New Roman"/>
                <w:color w:val="000000"/>
                <w:lang w:val="lt-LT"/>
              </w:rPr>
              <w:t>(9,1</w:t>
            </w:r>
            <w:r w:rsidRPr="0047338E">
              <w:rPr>
                <w:rFonts w:ascii="Times New Roman" w:hAnsi="Times New Roman"/>
                <w:color w:val="000000"/>
                <w:lang w:val="lt-LT"/>
              </w:rPr>
              <w:t> %)</w:t>
            </w:r>
          </w:p>
          <w:p w14:paraId="07DD7012" w14:textId="152B8D18" w:rsidR="00DB0D78" w:rsidRDefault="00DB0D78" w:rsidP="00953C38">
            <w:pPr>
              <w:rPr>
                <w:rFonts w:ascii="Times New Roman" w:hAnsi="Times New Roman"/>
                <w:color w:val="000000"/>
                <w:vertAlign w:val="superscript"/>
                <w:lang w:val="lt-LT"/>
              </w:rPr>
            </w:pPr>
          </w:p>
          <w:p w14:paraId="42D07C34" w14:textId="77777777" w:rsidR="00DB0D78" w:rsidRPr="0047338E" w:rsidRDefault="00DB0D78" w:rsidP="00953C38">
            <w:pPr>
              <w:rPr>
                <w:rFonts w:ascii="Times New Roman" w:hAnsi="Times New Roman"/>
                <w:color w:val="000000"/>
                <w:vertAlign w:val="superscript"/>
                <w:lang w:val="lt-LT"/>
              </w:rPr>
            </w:pPr>
          </w:p>
          <w:p w14:paraId="17DA3BC9" w14:textId="77777777" w:rsidR="000C61CC" w:rsidRPr="0047338E" w:rsidRDefault="000C61CC" w:rsidP="00953C38">
            <w:pPr>
              <w:rPr>
                <w:rFonts w:ascii="Times New Roman" w:hAnsi="Times New Roman"/>
                <w:color w:val="000000"/>
                <w:vertAlign w:val="superscript"/>
                <w:lang w:val="lt-LT"/>
              </w:rPr>
            </w:pPr>
          </w:p>
        </w:tc>
        <w:tc>
          <w:tcPr>
            <w:tcW w:w="1146" w:type="dxa"/>
          </w:tcPr>
          <w:p w14:paraId="71C00201" w14:textId="77777777" w:rsidR="000C61CC" w:rsidRDefault="000C61CC" w:rsidP="00953C38">
            <w:pPr>
              <w:rPr>
                <w:rFonts w:ascii="Times New Roman" w:hAnsi="Times New Roman"/>
                <w:color w:val="000000"/>
                <w:vertAlign w:val="superscript"/>
                <w:lang w:val="lt-LT"/>
              </w:rPr>
            </w:pPr>
            <w:r w:rsidRPr="0047338E">
              <w:rPr>
                <w:rFonts w:ascii="Times New Roman" w:hAnsi="Times New Roman"/>
                <w:color w:val="000000"/>
                <w:lang w:val="lt-LT"/>
              </w:rPr>
              <w:t>170</w:t>
            </w:r>
            <w:r w:rsidRPr="0047338E">
              <w:rPr>
                <w:rFonts w:ascii="Times New Roman" w:hAnsi="Times New Roman"/>
                <w:color w:val="000000"/>
                <w:vertAlign w:val="superscript"/>
                <w:lang w:val="lt-LT"/>
              </w:rPr>
              <w:t>6</w:t>
            </w:r>
            <w:r w:rsidR="00DB0D78">
              <w:rPr>
                <w:rFonts w:ascii="Times New Roman" w:hAnsi="Times New Roman"/>
                <w:color w:val="000000"/>
                <w:vertAlign w:val="superscript"/>
                <w:lang w:val="lt-LT"/>
              </w:rPr>
              <w:t xml:space="preserve">  </w:t>
            </w:r>
          </w:p>
          <w:p w14:paraId="2A3451D5" w14:textId="6C2F34D2" w:rsidR="00DB0D78" w:rsidRPr="0047338E" w:rsidRDefault="00DB0D78" w:rsidP="00953C38">
            <w:pPr>
              <w:rPr>
                <w:rFonts w:ascii="Times New Roman" w:hAnsi="Times New Roman"/>
                <w:color w:val="000000"/>
                <w:vertAlign w:val="superscript"/>
                <w:lang w:val="lt-LT"/>
              </w:rPr>
            </w:pPr>
            <w:r>
              <w:rPr>
                <w:rFonts w:ascii="Times New Roman" w:hAnsi="Times New Roman"/>
                <w:color w:val="000000"/>
                <w:lang w:val="lt-LT"/>
              </w:rPr>
              <w:t>(6,6</w:t>
            </w:r>
            <w:r w:rsidRPr="0047338E">
              <w:rPr>
                <w:rFonts w:ascii="Times New Roman" w:hAnsi="Times New Roman"/>
                <w:color w:val="000000"/>
                <w:lang w:val="lt-LT"/>
              </w:rPr>
              <w:t> %)</w:t>
            </w:r>
          </w:p>
        </w:tc>
        <w:tc>
          <w:tcPr>
            <w:tcW w:w="1107" w:type="dxa"/>
          </w:tcPr>
          <w:p w14:paraId="34341A9E"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0,78 (0,64, 0,96)</w:t>
            </w:r>
          </w:p>
        </w:tc>
      </w:tr>
    </w:tbl>
    <w:p w14:paraId="3B070749" w14:textId="77777777" w:rsidR="000C61CC" w:rsidRPr="0047338E" w:rsidRDefault="000C61CC" w:rsidP="000C61CC">
      <w:pPr>
        <w:spacing w:after="0" w:line="240" w:lineRule="auto"/>
        <w:rPr>
          <w:rFonts w:ascii="Times New Roman" w:eastAsia="SimSun" w:hAnsi="Times New Roman" w:cs="Times New Roman"/>
          <w:color w:val="000000"/>
        </w:rPr>
      </w:pPr>
    </w:p>
    <w:p w14:paraId="17AF46D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RS = rizikos santykis; PI = pasikliautinasis intervalas </w:t>
      </w:r>
    </w:p>
    <w:p w14:paraId="4ACB3F52" w14:textId="3D586935"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vertAlign w:val="superscript"/>
        </w:rPr>
        <w:t>1</w:t>
      </w:r>
      <w:r w:rsidRPr="0047338E">
        <w:rPr>
          <w:rFonts w:ascii="Times New Roman" w:eastAsia="SimSun" w:hAnsi="Times New Roman" w:cs="Times New Roman"/>
          <w:color w:val="000000"/>
        </w:rPr>
        <w:t xml:space="preserve"> Kai tyrimas 2003 m. buvo atkoduotas, 1551 pacientė, atsitiktiniu būdu įtraukta į placebo grupę (60 % pacienčių, kurioms gydymą buvo galima keisti, t. y. kurioms liga nepasireiškė), pradėjo vartoti letrozolo (laiko po atsitiktinių imčių sudarymo mediana buvo 31 mėnuo). Šioje analizėje į selektyvų gydymo keitimą neatsižvelgta. </w:t>
      </w:r>
    </w:p>
    <w:p w14:paraId="7248FF0F" w14:textId="03C8FB56"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vertAlign w:val="superscript"/>
        </w:rPr>
        <w:t>2</w:t>
      </w:r>
      <w:r w:rsidRPr="0047338E">
        <w:rPr>
          <w:rFonts w:ascii="Times New Roman" w:eastAsia="SimSun" w:hAnsi="Times New Roman" w:cs="Times New Roman"/>
          <w:color w:val="000000"/>
        </w:rPr>
        <w:t xml:space="preserve"> Stratifikuota pagal receptorių būklę, limfmazgių būklę ir ankstesnę adjuvantinę chemoterapiją. </w:t>
      </w:r>
    </w:p>
    <w:p w14:paraId="756DCD38" w14:textId="505EC6FE"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vertAlign w:val="superscript"/>
        </w:rPr>
        <w:t>3</w:t>
      </w:r>
      <w:r w:rsidRPr="0047338E">
        <w:rPr>
          <w:rFonts w:ascii="Times New Roman" w:eastAsia="SimSun" w:hAnsi="Times New Roman" w:cs="Times New Roman"/>
          <w:color w:val="000000"/>
        </w:rPr>
        <w:t xml:space="preserve"> Protokolinis išgyvenamumo be ligos pasireiškimo reiškinių apibūdinimas: lokalus regioninis atsinaujinimas, nutolusių metastazių ar kitos krūties vėžio atsiradimas. </w:t>
      </w:r>
    </w:p>
    <w:p w14:paraId="1066D768" w14:textId="5F04D351"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vertAlign w:val="superscript"/>
        </w:rPr>
        <w:t>4</w:t>
      </w:r>
      <w:r w:rsidRPr="0047338E">
        <w:rPr>
          <w:rFonts w:ascii="Times New Roman" w:eastAsia="SimSun" w:hAnsi="Times New Roman" w:cs="Times New Roman"/>
          <w:color w:val="000000"/>
        </w:rPr>
        <w:t xml:space="preserve"> Žvalgomoji analizė, neįtraukiant stebėjimo iki gydymo keitimo (jei jis buvo) duomenų placebo grupėje. </w:t>
      </w:r>
    </w:p>
    <w:p w14:paraId="54626036" w14:textId="572BAA7C"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vertAlign w:val="superscript"/>
        </w:rPr>
        <w:t>5</w:t>
      </w:r>
      <w:r w:rsidRPr="0047338E">
        <w:rPr>
          <w:rFonts w:ascii="Times New Roman" w:eastAsia="SimSun" w:hAnsi="Times New Roman" w:cs="Times New Roman"/>
          <w:color w:val="000000"/>
        </w:rPr>
        <w:t xml:space="preserve"> Stebėjimo mediana 62 mėnesiai. </w:t>
      </w:r>
    </w:p>
    <w:p w14:paraId="5D11D0A1" w14:textId="41382BA4"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vertAlign w:val="superscript"/>
        </w:rPr>
        <w:t>6</w:t>
      </w:r>
      <w:r w:rsidRPr="0047338E">
        <w:rPr>
          <w:rFonts w:ascii="Times New Roman" w:eastAsia="SimSun" w:hAnsi="Times New Roman" w:cs="Times New Roman"/>
          <w:color w:val="000000"/>
        </w:rPr>
        <w:t xml:space="preserve"> Stebėjimo iki gydymo keitimo (jei jis buvo) mediana 37 mėnesiai.</w:t>
      </w:r>
    </w:p>
    <w:p w14:paraId="0F7DA89A" w14:textId="77777777" w:rsidR="000C61CC" w:rsidRPr="0047338E" w:rsidRDefault="000C61CC" w:rsidP="000C61CC">
      <w:pPr>
        <w:spacing w:after="0" w:line="240" w:lineRule="auto"/>
        <w:rPr>
          <w:rFonts w:ascii="Times New Roman" w:eastAsia="SimSun" w:hAnsi="Times New Roman" w:cs="Times New Roman"/>
          <w:color w:val="000000"/>
        </w:rPr>
      </w:pPr>
    </w:p>
    <w:p w14:paraId="62B9D5F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MA-17 kaulų subtyrimo, kuriame dalyvavusios pacientės kartu vartojo kalcio ir vitamino D papildų, metu nustatyta, kad MKT, palyginti su pradiniu rodmeniu, labiau sumažėjo letrozolo vartojusių pacienčių grupėje, palyginti su vartojusiomis placebo. Vienintelis statistiškai reikšmingas skirtumas nustatytas po 2 metų, analizuojant bendrąjį šlaunikaulio MKT (sumažėjimo mediana 3,8 % vartojant letrozolo, ir 2,0 % vartojant placebo).</w:t>
      </w:r>
    </w:p>
    <w:p w14:paraId="0E5148A9" w14:textId="77777777" w:rsidR="000C61CC" w:rsidRPr="0047338E" w:rsidRDefault="000C61CC" w:rsidP="000C61CC">
      <w:pPr>
        <w:spacing w:after="0" w:line="240" w:lineRule="auto"/>
        <w:rPr>
          <w:rFonts w:ascii="Times New Roman" w:eastAsia="SimSun" w:hAnsi="Times New Roman" w:cs="Times New Roman"/>
          <w:color w:val="000000"/>
        </w:rPr>
      </w:pPr>
    </w:p>
    <w:p w14:paraId="5F5D212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MA-17 lipidų subtyrimo metu reikšmingo bendrojo cholesterolio ar bet kurios lipidų frakcijos koncentracijos skirtumo letrozolo ir placebo vartojusių ligonių grupėse nenustatyta.</w:t>
      </w:r>
    </w:p>
    <w:p w14:paraId="12CDEA5A" w14:textId="77777777" w:rsidR="000C61CC" w:rsidRPr="0047338E" w:rsidRDefault="000C61CC" w:rsidP="000C61CC">
      <w:pPr>
        <w:spacing w:after="0" w:line="240" w:lineRule="auto"/>
        <w:rPr>
          <w:rFonts w:ascii="Times New Roman" w:eastAsia="SimSun" w:hAnsi="Times New Roman" w:cs="Times New Roman"/>
          <w:color w:val="000000"/>
        </w:rPr>
      </w:pPr>
    </w:p>
    <w:p w14:paraId="00A44AF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Atnaujintos gyvenimo kokybės subtyrimo analizės metu reikšmingų skirtumų gydymo grupėse, atsižvelgiant į apibendrintą fizinių ar psichinių komponentų įvertinimą ar į bet kurį SF-36 skalės punkto įvertinimą, nenustatyta. Analizuojant MNQOL skalės įvertinimą, nustatyta, kad reikšmingai daugiau moterų, vartojusių Letrozole Accord, palyginti su vartojusiomis placebo, pasireiškė (paprastai pirmaisiais gydymo metais) estrogenų stokos sukeliamų simptomų: karščio pylimas ir makšties džiūvimas. Simptomas, kuris atsirado daugumai abiejų grupių pacienčių, tačiau reikšmingai dažniau vartojant letrozolą, buvo raumenų skausmas.</w:t>
      </w:r>
    </w:p>
    <w:p w14:paraId="39DD08DA" w14:textId="77777777" w:rsidR="000C61CC" w:rsidRPr="0047338E" w:rsidRDefault="000C61CC" w:rsidP="000C61CC">
      <w:pPr>
        <w:spacing w:after="0" w:line="240" w:lineRule="auto"/>
        <w:rPr>
          <w:rFonts w:ascii="Times New Roman" w:eastAsia="SimSun" w:hAnsi="Times New Roman" w:cs="Times New Roman"/>
          <w:color w:val="000000"/>
        </w:rPr>
      </w:pPr>
    </w:p>
    <w:p w14:paraId="6FA9573B"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Neoadjuvantinis gydymas</w:t>
      </w:r>
    </w:p>
    <w:p w14:paraId="4E84550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Dvigubai koduoto tyrimo (P024) metu 337 po menopauzės krūties vėžiu sirgusios moterys buvo suskirstytos į atsitiktines imtis ir 4 mėnesius vartojo arba 2,5 mg letrozolo dozę, arba tamoksifeno. Tyrimo pradžioje visų pacienčių naviko stadija buvo T2-T4c, N0-2, M0, ER ir (arba) PgR teigiamas, nė vienai ligonei nebuvo numatytas krūtį išsaugantis chirurginis gydymas. Remiantis klinikiniu ištyrimu, objektyvi reakcija į gydymą pasireiškė 55 % letrozolo vartojusių moterų ir 36 % tamoksifenu gydytų pacienčių (P&lt;0,001). Šie duomenys nuosekliai buvo patvirtinti</w:t>
      </w:r>
    </w:p>
    <w:p w14:paraId="45BF3BF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ultragarsiniu tyrimu (35 % letrozolo ir 25 % tamoksifeno vartojusių pacienčių, P = 0,04) bei mamografija (34 % Letrozole Accord ir 16 % tamoksifeno vartojusių pacienčių, P&lt;0,001). Krūtį išsaugotas gydymas buvo taikytas iš viso 45 % tamoksifeno vartojusių pacienčių ir 35 % tamoksifenu gydytų ligonių (P = 0,02). 4 mėnesių ikioperacinio gydymo laikotarpiu 12 % tamoksifeno vartojusių pacienčių ir 17 % tamoksifenu gydytų ligonių pasireiškė ligos progresavimas, patvirtintas klinikiniu tyrimu.</w:t>
      </w:r>
    </w:p>
    <w:p w14:paraId="546C830B" w14:textId="77777777" w:rsidR="000C61CC" w:rsidRPr="0047338E" w:rsidRDefault="000C61CC" w:rsidP="000C61CC">
      <w:pPr>
        <w:spacing w:after="0" w:line="240" w:lineRule="auto"/>
        <w:rPr>
          <w:rFonts w:ascii="Times New Roman" w:eastAsia="SimSun" w:hAnsi="Times New Roman" w:cs="Times New Roman"/>
          <w:color w:val="000000"/>
        </w:rPr>
      </w:pPr>
    </w:p>
    <w:p w14:paraId="61EC10B0"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Pirmiausia pasirenkamas gydymas</w:t>
      </w:r>
    </w:p>
    <w:p w14:paraId="38492C0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Vieno kontroliuoto dvigubai koduoto tyrimo metu lygintas pirmiausia pasirenkamo progresavusio krūties vėžio gydymo pomenopauziniu laikotarpiu 2,5 mg Letrozole (letrozolo) ir 20 mg tamoksifeno doze veiksmingumas. Tyrime dalyvavo 907 moterys. Vertinant laiką iki progresavimo (pagrindinė vertinamoji baigtis) ir bendrą objektyvios reakcijos dažnį, laiką, per kurį preparatas tapo neveiksmingas, bei klinikinę naudą, nustatyta, kad gydymas letrozolu buvo pranašesnis už gydymą tamoksifenu.</w:t>
      </w:r>
    </w:p>
    <w:p w14:paraId="6A2A8DDC" w14:textId="77777777" w:rsidR="000C61CC" w:rsidRPr="0047338E" w:rsidRDefault="000C61CC" w:rsidP="000C61CC">
      <w:pPr>
        <w:spacing w:after="0" w:line="240" w:lineRule="auto"/>
        <w:rPr>
          <w:rFonts w:ascii="Times New Roman" w:eastAsia="SimSun" w:hAnsi="Times New Roman" w:cs="Times New Roman"/>
          <w:color w:val="000000"/>
        </w:rPr>
      </w:pPr>
    </w:p>
    <w:p w14:paraId="7D912D2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Rezultatai apibendrinti 9 lentelėje.</w:t>
      </w:r>
    </w:p>
    <w:p w14:paraId="457E1127" w14:textId="77777777" w:rsidR="000C61CC" w:rsidRPr="0047338E" w:rsidRDefault="000C61CC" w:rsidP="000C61CC">
      <w:pPr>
        <w:spacing w:after="0" w:line="240" w:lineRule="auto"/>
        <w:rPr>
          <w:rFonts w:ascii="Times New Roman" w:eastAsia="SimSun" w:hAnsi="Times New Roman" w:cs="Times New Roman"/>
          <w:color w:val="000000"/>
        </w:rPr>
      </w:pPr>
    </w:p>
    <w:p w14:paraId="1064D2DF"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9 lentelė </w:t>
      </w:r>
      <w:r w:rsidRPr="0047338E">
        <w:rPr>
          <w:rFonts w:ascii="Times New Roman" w:eastAsia="Times New Roman" w:hAnsi="Times New Roman" w:cs="Times New Roman"/>
          <w:b/>
        </w:rPr>
        <w:tab/>
        <w:t>Rezultatai (stebėjimo mediana 32 mėnesiai)</w:t>
      </w:r>
    </w:p>
    <w:p w14:paraId="06FA765A" w14:textId="77777777" w:rsidR="000C61CC" w:rsidRPr="0047338E" w:rsidRDefault="000C61CC" w:rsidP="000C61CC">
      <w:pPr>
        <w:spacing w:after="0" w:line="240" w:lineRule="auto"/>
        <w:rPr>
          <w:rFonts w:ascii="Times New Roman" w:eastAsia="SimSun" w:hAnsi="Times New Roman" w:cs="Times New Roman"/>
          <w:color w:val="000000"/>
        </w:rPr>
      </w:pPr>
    </w:p>
    <w:tbl>
      <w:tblPr>
        <w:tblStyle w:val="Lentelstinklelis"/>
        <w:tblW w:w="0" w:type="auto"/>
        <w:tblLook w:val="04A0" w:firstRow="1" w:lastRow="0" w:firstColumn="1" w:lastColumn="0" w:noHBand="0" w:noVBand="1"/>
      </w:tblPr>
      <w:tblGrid>
        <w:gridCol w:w="2275"/>
        <w:gridCol w:w="2241"/>
        <w:gridCol w:w="2267"/>
        <w:gridCol w:w="2277"/>
      </w:tblGrid>
      <w:tr w:rsidR="000C61CC" w:rsidRPr="0047338E" w14:paraId="348D496F" w14:textId="77777777" w:rsidTr="00953C38">
        <w:tc>
          <w:tcPr>
            <w:tcW w:w="2463" w:type="dxa"/>
          </w:tcPr>
          <w:p w14:paraId="519B1D28" w14:textId="77777777" w:rsidR="000C61CC" w:rsidRPr="005014CA" w:rsidRDefault="000C61CC" w:rsidP="00550938">
            <w:pPr>
              <w:rPr>
                <w:rFonts w:ascii="Times New Roman" w:hAnsi="Times New Roman"/>
                <w:b/>
                <w:bCs/>
                <w:color w:val="000000"/>
                <w:lang w:val="lt-LT"/>
              </w:rPr>
            </w:pPr>
            <w:r w:rsidRPr="005014CA">
              <w:rPr>
                <w:rFonts w:ascii="Times New Roman" w:hAnsi="Times New Roman"/>
                <w:b/>
                <w:bCs/>
                <w:color w:val="000000"/>
              </w:rPr>
              <w:t>Kintamasis</w:t>
            </w:r>
          </w:p>
        </w:tc>
        <w:tc>
          <w:tcPr>
            <w:tcW w:w="2463" w:type="dxa"/>
          </w:tcPr>
          <w:p w14:paraId="46BA65CA" w14:textId="77777777" w:rsidR="000C61CC" w:rsidRPr="005014CA" w:rsidRDefault="000C61CC" w:rsidP="00550938">
            <w:pPr>
              <w:rPr>
                <w:rFonts w:ascii="Times New Roman" w:hAnsi="Times New Roman"/>
                <w:b/>
                <w:bCs/>
                <w:color w:val="000000"/>
                <w:lang w:val="lt-LT"/>
              </w:rPr>
            </w:pPr>
            <w:r w:rsidRPr="005014CA">
              <w:rPr>
                <w:rFonts w:ascii="Times New Roman" w:hAnsi="Times New Roman"/>
                <w:b/>
                <w:bCs/>
                <w:color w:val="000000"/>
              </w:rPr>
              <w:t>Statistinis parametras</w:t>
            </w:r>
          </w:p>
        </w:tc>
        <w:tc>
          <w:tcPr>
            <w:tcW w:w="2464" w:type="dxa"/>
          </w:tcPr>
          <w:p w14:paraId="77DFE38D" w14:textId="77777777" w:rsidR="000C61CC" w:rsidRPr="005014CA" w:rsidRDefault="000C61CC" w:rsidP="00550938">
            <w:pPr>
              <w:rPr>
                <w:rFonts w:ascii="Times New Roman" w:hAnsi="Times New Roman"/>
                <w:b/>
                <w:bCs/>
                <w:color w:val="000000"/>
                <w:lang w:val="lt-LT"/>
              </w:rPr>
            </w:pPr>
            <w:r w:rsidRPr="005014CA">
              <w:rPr>
                <w:rFonts w:ascii="Times New Roman" w:hAnsi="Times New Roman"/>
                <w:b/>
                <w:bCs/>
                <w:color w:val="000000"/>
              </w:rPr>
              <w:t>Letrozolas</w:t>
            </w:r>
          </w:p>
          <w:p w14:paraId="63298B03" w14:textId="77777777" w:rsidR="000C61CC" w:rsidRPr="005014CA" w:rsidRDefault="000C61CC" w:rsidP="00953C38">
            <w:pPr>
              <w:rPr>
                <w:rFonts w:ascii="Times New Roman" w:hAnsi="Times New Roman"/>
                <w:b/>
                <w:bCs/>
                <w:color w:val="000000"/>
                <w:lang w:val="lt-LT"/>
              </w:rPr>
            </w:pPr>
            <w:r w:rsidRPr="005014CA">
              <w:rPr>
                <w:rFonts w:ascii="Times New Roman" w:hAnsi="Times New Roman"/>
                <w:b/>
                <w:bCs/>
                <w:color w:val="000000"/>
              </w:rPr>
              <w:t>N = 453</w:t>
            </w:r>
          </w:p>
        </w:tc>
        <w:tc>
          <w:tcPr>
            <w:tcW w:w="2464" w:type="dxa"/>
          </w:tcPr>
          <w:p w14:paraId="4BC6D66B" w14:textId="77777777" w:rsidR="000C61CC" w:rsidRPr="005014CA" w:rsidRDefault="000C61CC" w:rsidP="00953C38">
            <w:pPr>
              <w:rPr>
                <w:rFonts w:ascii="Times New Roman" w:hAnsi="Times New Roman"/>
                <w:b/>
                <w:bCs/>
                <w:color w:val="000000"/>
                <w:lang w:val="lt-LT"/>
              </w:rPr>
            </w:pPr>
            <w:r w:rsidRPr="005014CA">
              <w:rPr>
                <w:rFonts w:ascii="Times New Roman" w:hAnsi="Times New Roman"/>
                <w:b/>
                <w:bCs/>
                <w:color w:val="000000"/>
              </w:rPr>
              <w:t>Tamoksifenas</w:t>
            </w:r>
          </w:p>
          <w:p w14:paraId="261CA907" w14:textId="77777777" w:rsidR="000C61CC" w:rsidRPr="005014CA" w:rsidRDefault="000C61CC" w:rsidP="00953C38">
            <w:pPr>
              <w:rPr>
                <w:rFonts w:ascii="Times New Roman" w:hAnsi="Times New Roman"/>
                <w:b/>
                <w:bCs/>
                <w:color w:val="000000"/>
                <w:lang w:val="lt-LT"/>
              </w:rPr>
            </w:pPr>
            <w:r w:rsidRPr="005014CA">
              <w:rPr>
                <w:rFonts w:ascii="Times New Roman" w:hAnsi="Times New Roman"/>
                <w:b/>
                <w:bCs/>
                <w:color w:val="000000"/>
              </w:rPr>
              <w:t>N = 454</w:t>
            </w:r>
          </w:p>
        </w:tc>
      </w:tr>
      <w:tr w:rsidR="000C61CC" w:rsidRPr="0047338E" w14:paraId="0BBFEB2B" w14:textId="77777777" w:rsidTr="00953C38">
        <w:tc>
          <w:tcPr>
            <w:tcW w:w="2463" w:type="dxa"/>
          </w:tcPr>
          <w:p w14:paraId="2B4703A3" w14:textId="77777777" w:rsidR="000C61CC" w:rsidRPr="005014CA" w:rsidRDefault="000C61CC" w:rsidP="00550938">
            <w:pPr>
              <w:rPr>
                <w:rFonts w:ascii="Times New Roman" w:hAnsi="Times New Roman"/>
                <w:b/>
                <w:bCs/>
                <w:color w:val="000000"/>
                <w:lang w:val="lt-LT"/>
              </w:rPr>
            </w:pPr>
            <w:r w:rsidRPr="005014CA">
              <w:rPr>
                <w:rFonts w:ascii="Times New Roman" w:hAnsi="Times New Roman"/>
                <w:b/>
                <w:bCs/>
                <w:color w:val="000000"/>
              </w:rPr>
              <w:t>Laikas iki progresavimo</w:t>
            </w:r>
          </w:p>
        </w:tc>
        <w:tc>
          <w:tcPr>
            <w:tcW w:w="2463" w:type="dxa"/>
          </w:tcPr>
          <w:p w14:paraId="5E6355A9"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Mediana</w:t>
            </w:r>
          </w:p>
        </w:tc>
        <w:tc>
          <w:tcPr>
            <w:tcW w:w="2464" w:type="dxa"/>
          </w:tcPr>
          <w:p w14:paraId="23DA1F3F"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9,4 mėnesio</w:t>
            </w:r>
          </w:p>
        </w:tc>
        <w:tc>
          <w:tcPr>
            <w:tcW w:w="2464" w:type="dxa"/>
          </w:tcPr>
          <w:p w14:paraId="01ED681E"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6,0 mėnesio</w:t>
            </w:r>
          </w:p>
        </w:tc>
      </w:tr>
      <w:tr w:rsidR="000C61CC" w:rsidRPr="0047338E" w14:paraId="58DE6E63" w14:textId="77777777" w:rsidTr="00953C38">
        <w:tc>
          <w:tcPr>
            <w:tcW w:w="2463" w:type="dxa"/>
          </w:tcPr>
          <w:p w14:paraId="5CAD80CD" w14:textId="77777777" w:rsidR="000C61CC" w:rsidRPr="005014CA" w:rsidRDefault="000C61CC" w:rsidP="00550938">
            <w:pPr>
              <w:rPr>
                <w:rFonts w:ascii="Times New Roman" w:hAnsi="Times New Roman"/>
                <w:b/>
                <w:bCs/>
                <w:color w:val="000000"/>
                <w:lang w:val="lt-LT"/>
              </w:rPr>
            </w:pPr>
          </w:p>
        </w:tc>
        <w:tc>
          <w:tcPr>
            <w:tcW w:w="2463" w:type="dxa"/>
          </w:tcPr>
          <w:p w14:paraId="07332171"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(95 % PI medianai)</w:t>
            </w:r>
          </w:p>
        </w:tc>
        <w:tc>
          <w:tcPr>
            <w:tcW w:w="2464" w:type="dxa"/>
          </w:tcPr>
          <w:p w14:paraId="4F96A299"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(8,9, 11,6 mėnesio)</w:t>
            </w:r>
          </w:p>
        </w:tc>
        <w:tc>
          <w:tcPr>
            <w:tcW w:w="2464" w:type="dxa"/>
          </w:tcPr>
          <w:p w14:paraId="60E8AA69"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(5,4, 6,3 mėnesio)</w:t>
            </w:r>
          </w:p>
        </w:tc>
      </w:tr>
      <w:tr w:rsidR="000C61CC" w:rsidRPr="0047338E" w14:paraId="44889E7A" w14:textId="77777777" w:rsidTr="00953C38">
        <w:tc>
          <w:tcPr>
            <w:tcW w:w="2463" w:type="dxa"/>
          </w:tcPr>
          <w:p w14:paraId="683DA98C" w14:textId="77777777" w:rsidR="000C61CC" w:rsidRPr="005014CA" w:rsidRDefault="000C61CC" w:rsidP="00550938">
            <w:pPr>
              <w:rPr>
                <w:rFonts w:ascii="Times New Roman" w:hAnsi="Times New Roman"/>
                <w:b/>
                <w:bCs/>
                <w:color w:val="000000"/>
                <w:lang w:val="lt-LT"/>
              </w:rPr>
            </w:pPr>
          </w:p>
        </w:tc>
        <w:tc>
          <w:tcPr>
            <w:tcW w:w="2463" w:type="dxa"/>
          </w:tcPr>
          <w:p w14:paraId="209E5B0B"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Rizikos santykis (RS)</w:t>
            </w:r>
          </w:p>
        </w:tc>
        <w:tc>
          <w:tcPr>
            <w:tcW w:w="2464" w:type="dxa"/>
          </w:tcPr>
          <w:p w14:paraId="76178025" w14:textId="77777777" w:rsidR="000C61CC" w:rsidRPr="0047338E" w:rsidRDefault="000C61CC" w:rsidP="00550938">
            <w:pPr>
              <w:rPr>
                <w:rFonts w:ascii="Times New Roman" w:hAnsi="Times New Roman"/>
                <w:color w:val="000000"/>
                <w:lang w:val="lt-LT"/>
              </w:rPr>
            </w:pPr>
          </w:p>
        </w:tc>
        <w:tc>
          <w:tcPr>
            <w:tcW w:w="2464" w:type="dxa"/>
          </w:tcPr>
          <w:p w14:paraId="7E9C12C2"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0,72</w:t>
            </w:r>
          </w:p>
        </w:tc>
      </w:tr>
      <w:tr w:rsidR="000C61CC" w:rsidRPr="0047338E" w14:paraId="1F5FE737" w14:textId="77777777" w:rsidTr="00953C38">
        <w:tc>
          <w:tcPr>
            <w:tcW w:w="2463" w:type="dxa"/>
          </w:tcPr>
          <w:p w14:paraId="48348DDB" w14:textId="77777777" w:rsidR="000C61CC" w:rsidRPr="005014CA" w:rsidRDefault="000C61CC" w:rsidP="00550938">
            <w:pPr>
              <w:rPr>
                <w:rFonts w:ascii="Times New Roman" w:hAnsi="Times New Roman"/>
                <w:b/>
                <w:bCs/>
                <w:color w:val="000000"/>
                <w:lang w:val="lt-LT"/>
              </w:rPr>
            </w:pPr>
          </w:p>
        </w:tc>
        <w:tc>
          <w:tcPr>
            <w:tcW w:w="2463" w:type="dxa"/>
          </w:tcPr>
          <w:p w14:paraId="2332D4BD"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(95 % PI RS)</w:t>
            </w:r>
          </w:p>
        </w:tc>
        <w:tc>
          <w:tcPr>
            <w:tcW w:w="2464" w:type="dxa"/>
          </w:tcPr>
          <w:p w14:paraId="701829C1" w14:textId="77777777" w:rsidR="000C61CC" w:rsidRPr="0047338E" w:rsidRDefault="000C61CC" w:rsidP="00550938">
            <w:pPr>
              <w:rPr>
                <w:rFonts w:ascii="Times New Roman" w:hAnsi="Times New Roman"/>
                <w:color w:val="000000"/>
                <w:lang w:val="lt-LT"/>
              </w:rPr>
            </w:pPr>
          </w:p>
        </w:tc>
        <w:tc>
          <w:tcPr>
            <w:tcW w:w="2464" w:type="dxa"/>
          </w:tcPr>
          <w:p w14:paraId="6A06BBCF"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(0,62, 0,83)</w:t>
            </w:r>
          </w:p>
        </w:tc>
      </w:tr>
      <w:tr w:rsidR="000C61CC" w:rsidRPr="0047338E" w14:paraId="5F60DCD3" w14:textId="77777777" w:rsidTr="00953C38">
        <w:tc>
          <w:tcPr>
            <w:tcW w:w="2463" w:type="dxa"/>
          </w:tcPr>
          <w:p w14:paraId="3D35FBDA" w14:textId="77777777" w:rsidR="000C61CC" w:rsidRPr="005014CA" w:rsidRDefault="000C61CC" w:rsidP="00550938">
            <w:pPr>
              <w:rPr>
                <w:rFonts w:ascii="Times New Roman" w:hAnsi="Times New Roman"/>
                <w:b/>
                <w:bCs/>
                <w:color w:val="000000"/>
                <w:lang w:val="lt-LT"/>
              </w:rPr>
            </w:pPr>
          </w:p>
        </w:tc>
        <w:tc>
          <w:tcPr>
            <w:tcW w:w="2463" w:type="dxa"/>
          </w:tcPr>
          <w:p w14:paraId="5B0BAFFD" w14:textId="22EF0F31" w:rsidR="000C61CC" w:rsidRPr="0047338E" w:rsidRDefault="000C61CC" w:rsidP="00550938">
            <w:pPr>
              <w:rPr>
                <w:rFonts w:ascii="Times New Roman" w:hAnsi="Times New Roman"/>
                <w:color w:val="000000"/>
                <w:lang w:val="lt-LT"/>
              </w:rPr>
            </w:pPr>
          </w:p>
        </w:tc>
        <w:tc>
          <w:tcPr>
            <w:tcW w:w="2464" w:type="dxa"/>
          </w:tcPr>
          <w:p w14:paraId="6A6B55EC" w14:textId="77777777" w:rsidR="000C61CC" w:rsidRPr="0047338E" w:rsidRDefault="000C61CC" w:rsidP="00550938">
            <w:pPr>
              <w:rPr>
                <w:rFonts w:ascii="Times New Roman" w:hAnsi="Times New Roman"/>
                <w:color w:val="000000"/>
                <w:lang w:val="lt-LT"/>
              </w:rPr>
            </w:pPr>
          </w:p>
        </w:tc>
        <w:tc>
          <w:tcPr>
            <w:tcW w:w="2464" w:type="dxa"/>
          </w:tcPr>
          <w:p w14:paraId="32CC36D8" w14:textId="0A5044D4" w:rsidR="000C61CC" w:rsidRPr="0047338E" w:rsidRDefault="00CB10B5" w:rsidP="00953C38">
            <w:pPr>
              <w:rPr>
                <w:rFonts w:ascii="Times New Roman" w:hAnsi="Times New Roman"/>
                <w:color w:val="000000"/>
                <w:lang w:val="lt-LT"/>
              </w:rPr>
            </w:pPr>
            <w:r w:rsidRPr="0047338E">
              <w:rPr>
                <w:rFonts w:ascii="Times New Roman" w:hAnsi="Times New Roman"/>
                <w:color w:val="000000"/>
                <w:lang w:val="lt-LT"/>
              </w:rPr>
              <w:t xml:space="preserve">P </w:t>
            </w:r>
            <w:r>
              <w:rPr>
                <w:rFonts w:ascii="Times New Roman" w:hAnsi="Times New Roman"/>
                <w:color w:val="000000"/>
                <w:lang w:val="lt-LT"/>
              </w:rPr>
              <w:t xml:space="preserve">= </w:t>
            </w:r>
            <w:r w:rsidR="000C61CC" w:rsidRPr="0047338E">
              <w:rPr>
                <w:rFonts w:ascii="Times New Roman" w:hAnsi="Times New Roman"/>
                <w:color w:val="000000"/>
                <w:lang w:val="lt-LT"/>
              </w:rPr>
              <w:t>&lt; 0,0001</w:t>
            </w:r>
          </w:p>
        </w:tc>
      </w:tr>
      <w:tr w:rsidR="000C61CC" w:rsidRPr="0047338E" w14:paraId="1AD71D01" w14:textId="77777777" w:rsidTr="00953C38">
        <w:tc>
          <w:tcPr>
            <w:tcW w:w="2463" w:type="dxa"/>
          </w:tcPr>
          <w:p w14:paraId="22047B1F" w14:textId="77777777" w:rsidR="000C61CC" w:rsidRPr="005014CA" w:rsidRDefault="000C61CC" w:rsidP="00550938">
            <w:pPr>
              <w:rPr>
                <w:rFonts w:ascii="Times New Roman" w:hAnsi="Times New Roman"/>
                <w:b/>
                <w:bCs/>
                <w:color w:val="000000"/>
                <w:lang w:val="lt-LT"/>
              </w:rPr>
            </w:pPr>
            <w:r w:rsidRPr="005014CA">
              <w:rPr>
                <w:rFonts w:ascii="Times New Roman" w:hAnsi="Times New Roman"/>
                <w:b/>
                <w:bCs/>
                <w:color w:val="000000"/>
              </w:rPr>
              <w:t>Objektyvios reakcijos dažnis (ORD)</w:t>
            </w:r>
          </w:p>
        </w:tc>
        <w:tc>
          <w:tcPr>
            <w:tcW w:w="2463" w:type="dxa"/>
          </w:tcPr>
          <w:p w14:paraId="20F42064"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CR+PR</w:t>
            </w:r>
          </w:p>
        </w:tc>
        <w:tc>
          <w:tcPr>
            <w:tcW w:w="2464" w:type="dxa"/>
          </w:tcPr>
          <w:p w14:paraId="508B64C8"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145 (32 %)</w:t>
            </w:r>
          </w:p>
        </w:tc>
        <w:tc>
          <w:tcPr>
            <w:tcW w:w="2464" w:type="dxa"/>
          </w:tcPr>
          <w:p w14:paraId="0EA63F4D"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95 (21 %)</w:t>
            </w:r>
          </w:p>
        </w:tc>
      </w:tr>
      <w:tr w:rsidR="000C61CC" w:rsidRPr="0047338E" w14:paraId="71236DD8" w14:textId="77777777" w:rsidTr="00953C38">
        <w:tc>
          <w:tcPr>
            <w:tcW w:w="2463" w:type="dxa"/>
          </w:tcPr>
          <w:p w14:paraId="49807366" w14:textId="77777777" w:rsidR="000C61CC" w:rsidRPr="0047338E" w:rsidRDefault="000C61CC" w:rsidP="00550938">
            <w:pPr>
              <w:rPr>
                <w:rFonts w:ascii="Times New Roman" w:hAnsi="Times New Roman"/>
                <w:color w:val="000000"/>
                <w:lang w:val="lt-LT"/>
              </w:rPr>
            </w:pPr>
          </w:p>
        </w:tc>
        <w:tc>
          <w:tcPr>
            <w:tcW w:w="2463" w:type="dxa"/>
          </w:tcPr>
          <w:p w14:paraId="5FD7E732"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(95 % PI dažniui)</w:t>
            </w:r>
          </w:p>
        </w:tc>
        <w:tc>
          <w:tcPr>
            <w:tcW w:w="2464" w:type="dxa"/>
          </w:tcPr>
          <w:p w14:paraId="78CD4C84"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(28,36 %)</w:t>
            </w:r>
          </w:p>
        </w:tc>
        <w:tc>
          <w:tcPr>
            <w:tcW w:w="2464" w:type="dxa"/>
          </w:tcPr>
          <w:p w14:paraId="76FD5E9C"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(17,25 %)</w:t>
            </w:r>
          </w:p>
        </w:tc>
      </w:tr>
      <w:tr w:rsidR="000C61CC" w:rsidRPr="0047338E" w14:paraId="41549917" w14:textId="77777777" w:rsidTr="00953C38">
        <w:tc>
          <w:tcPr>
            <w:tcW w:w="2463" w:type="dxa"/>
          </w:tcPr>
          <w:p w14:paraId="7739FC50" w14:textId="77777777" w:rsidR="000C61CC" w:rsidRPr="0047338E" w:rsidRDefault="000C61CC" w:rsidP="00550938">
            <w:pPr>
              <w:rPr>
                <w:rFonts w:ascii="Times New Roman" w:hAnsi="Times New Roman"/>
                <w:color w:val="000000"/>
                <w:lang w:val="lt-LT"/>
              </w:rPr>
            </w:pPr>
          </w:p>
        </w:tc>
        <w:tc>
          <w:tcPr>
            <w:tcW w:w="2463" w:type="dxa"/>
          </w:tcPr>
          <w:p w14:paraId="06918B37"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Šansų santykis</w:t>
            </w:r>
          </w:p>
        </w:tc>
        <w:tc>
          <w:tcPr>
            <w:tcW w:w="2464" w:type="dxa"/>
          </w:tcPr>
          <w:p w14:paraId="18968417" w14:textId="77777777" w:rsidR="000C61CC" w:rsidRPr="0047338E" w:rsidRDefault="000C61CC" w:rsidP="00550938">
            <w:pPr>
              <w:rPr>
                <w:rFonts w:ascii="Times New Roman" w:hAnsi="Times New Roman"/>
                <w:color w:val="000000"/>
                <w:lang w:val="lt-LT"/>
              </w:rPr>
            </w:pPr>
          </w:p>
        </w:tc>
        <w:tc>
          <w:tcPr>
            <w:tcW w:w="2464" w:type="dxa"/>
          </w:tcPr>
          <w:p w14:paraId="6156284A"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1,78</w:t>
            </w:r>
          </w:p>
        </w:tc>
      </w:tr>
      <w:tr w:rsidR="000C61CC" w:rsidRPr="0047338E" w14:paraId="14867BDC" w14:textId="77777777" w:rsidTr="00953C38">
        <w:tc>
          <w:tcPr>
            <w:tcW w:w="2463" w:type="dxa"/>
          </w:tcPr>
          <w:p w14:paraId="6581EB02" w14:textId="77777777" w:rsidR="000C61CC" w:rsidRPr="0047338E" w:rsidRDefault="000C61CC" w:rsidP="00550938">
            <w:pPr>
              <w:rPr>
                <w:rFonts w:ascii="Times New Roman" w:hAnsi="Times New Roman"/>
                <w:color w:val="000000"/>
                <w:lang w:val="lt-LT"/>
              </w:rPr>
            </w:pPr>
          </w:p>
        </w:tc>
        <w:tc>
          <w:tcPr>
            <w:tcW w:w="2463" w:type="dxa"/>
          </w:tcPr>
          <w:p w14:paraId="44219BE5" w14:textId="77777777" w:rsidR="000C61CC" w:rsidRPr="0047338E" w:rsidRDefault="000C61CC" w:rsidP="00550938">
            <w:pPr>
              <w:rPr>
                <w:rFonts w:ascii="Times New Roman" w:hAnsi="Times New Roman"/>
                <w:color w:val="000000"/>
                <w:lang w:val="lt-LT"/>
              </w:rPr>
            </w:pPr>
            <w:r w:rsidRPr="0047338E">
              <w:rPr>
                <w:rFonts w:ascii="Times New Roman" w:hAnsi="Times New Roman"/>
                <w:color w:val="000000"/>
                <w:lang w:val="lt-LT"/>
              </w:rPr>
              <w:t>(95 % PI šansų santykiui)</w:t>
            </w:r>
          </w:p>
        </w:tc>
        <w:tc>
          <w:tcPr>
            <w:tcW w:w="2464" w:type="dxa"/>
          </w:tcPr>
          <w:p w14:paraId="586676CF" w14:textId="77777777" w:rsidR="000C61CC" w:rsidRPr="0047338E" w:rsidRDefault="000C61CC" w:rsidP="00550938">
            <w:pPr>
              <w:rPr>
                <w:rFonts w:ascii="Times New Roman" w:hAnsi="Times New Roman"/>
                <w:color w:val="000000"/>
                <w:lang w:val="lt-LT"/>
              </w:rPr>
            </w:pPr>
          </w:p>
        </w:tc>
        <w:tc>
          <w:tcPr>
            <w:tcW w:w="2464" w:type="dxa"/>
          </w:tcPr>
          <w:p w14:paraId="6DE8BC23" w14:textId="77777777" w:rsidR="000C61CC" w:rsidRPr="0047338E" w:rsidRDefault="000C61CC" w:rsidP="00953C38">
            <w:pPr>
              <w:rPr>
                <w:rFonts w:ascii="Times New Roman" w:hAnsi="Times New Roman"/>
                <w:color w:val="000000"/>
                <w:lang w:val="lt-LT"/>
              </w:rPr>
            </w:pPr>
            <w:r w:rsidRPr="0047338E">
              <w:rPr>
                <w:rFonts w:ascii="Times New Roman" w:hAnsi="Times New Roman"/>
                <w:color w:val="000000"/>
                <w:lang w:val="lt-LT"/>
              </w:rPr>
              <w:t>(1,32, 2,40)</w:t>
            </w:r>
          </w:p>
        </w:tc>
      </w:tr>
      <w:tr w:rsidR="000C61CC" w:rsidRPr="0047338E" w14:paraId="77A32AF9" w14:textId="77777777" w:rsidTr="00953C38">
        <w:tc>
          <w:tcPr>
            <w:tcW w:w="2463" w:type="dxa"/>
          </w:tcPr>
          <w:p w14:paraId="064A6531" w14:textId="77777777" w:rsidR="000C61CC" w:rsidRPr="0047338E" w:rsidRDefault="000C61CC" w:rsidP="00550938">
            <w:pPr>
              <w:rPr>
                <w:rFonts w:ascii="Times New Roman" w:hAnsi="Times New Roman"/>
                <w:color w:val="000000"/>
                <w:lang w:val="lt-LT"/>
              </w:rPr>
            </w:pPr>
          </w:p>
        </w:tc>
        <w:tc>
          <w:tcPr>
            <w:tcW w:w="2463" w:type="dxa"/>
          </w:tcPr>
          <w:p w14:paraId="6F18BA1A" w14:textId="482691C2" w:rsidR="000C61CC" w:rsidRPr="0047338E" w:rsidRDefault="000C61CC" w:rsidP="00550938">
            <w:pPr>
              <w:rPr>
                <w:rFonts w:ascii="Times New Roman" w:hAnsi="Times New Roman"/>
                <w:color w:val="000000"/>
                <w:lang w:val="lt-LT"/>
              </w:rPr>
            </w:pPr>
          </w:p>
        </w:tc>
        <w:tc>
          <w:tcPr>
            <w:tcW w:w="2464" w:type="dxa"/>
          </w:tcPr>
          <w:p w14:paraId="22A86538" w14:textId="77777777" w:rsidR="000C61CC" w:rsidRPr="0047338E" w:rsidRDefault="000C61CC" w:rsidP="00550938">
            <w:pPr>
              <w:rPr>
                <w:rFonts w:ascii="Times New Roman" w:hAnsi="Times New Roman"/>
                <w:color w:val="000000"/>
                <w:lang w:val="lt-LT"/>
              </w:rPr>
            </w:pPr>
          </w:p>
        </w:tc>
        <w:tc>
          <w:tcPr>
            <w:tcW w:w="2464" w:type="dxa"/>
          </w:tcPr>
          <w:p w14:paraId="313FCCDE" w14:textId="24242039" w:rsidR="000C61CC" w:rsidRPr="0047338E" w:rsidRDefault="00CB10B5" w:rsidP="00953C38">
            <w:pPr>
              <w:rPr>
                <w:rFonts w:ascii="Times New Roman" w:hAnsi="Times New Roman"/>
                <w:color w:val="000000"/>
                <w:lang w:val="lt-LT"/>
              </w:rPr>
            </w:pPr>
            <w:r w:rsidRPr="0047338E">
              <w:rPr>
                <w:rFonts w:ascii="Times New Roman" w:hAnsi="Times New Roman"/>
                <w:color w:val="000000"/>
                <w:lang w:val="lt-LT"/>
              </w:rPr>
              <w:t xml:space="preserve">P </w:t>
            </w:r>
            <w:r>
              <w:rPr>
                <w:rFonts w:ascii="Times New Roman" w:hAnsi="Times New Roman"/>
                <w:color w:val="000000"/>
                <w:lang w:val="lt-LT"/>
              </w:rPr>
              <w:t xml:space="preserve">= </w:t>
            </w:r>
            <w:r w:rsidR="000C61CC" w:rsidRPr="0047338E">
              <w:rPr>
                <w:rFonts w:ascii="Times New Roman" w:hAnsi="Times New Roman"/>
                <w:color w:val="000000"/>
                <w:lang w:val="lt-LT"/>
              </w:rPr>
              <w:t>0,0002</w:t>
            </w:r>
          </w:p>
        </w:tc>
      </w:tr>
    </w:tbl>
    <w:p w14:paraId="49B499DA" w14:textId="77777777" w:rsidR="000C61CC" w:rsidRPr="0047338E" w:rsidRDefault="000C61CC" w:rsidP="000C61CC">
      <w:pPr>
        <w:spacing w:after="0" w:line="240" w:lineRule="auto"/>
        <w:rPr>
          <w:rFonts w:ascii="Times New Roman" w:eastAsia="SimSun" w:hAnsi="Times New Roman" w:cs="Times New Roman"/>
          <w:color w:val="000000"/>
        </w:rPr>
      </w:pPr>
    </w:p>
    <w:p w14:paraId="307F22B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Gydant letrozolu, laikas iki progresavimo buvo reikšmingai ilgesnis, o reakcijos dažnis – reikšmingai didesnis. Toks poveikis nepriklausė nuo to, ar buvo taikomas antiestrogeninis adjuvantinis gydymas. Gydant letrozolu, laikas iki progresavimo buvo reikšmingai ilgesnis nepriklausomai nuo dominuojančios ligos pasireiškimo srities. Laiko iki ligos progresavimo mediana pacientėms, kurioms buvo pažeisti tik minkštieji audiniai, buvo 12,1 mėn. vartojant letrozolą ir 6,4 mėn. vartojant tamoksifeno, o ligonėms, kurioms buvo metastazių vidaus organuose – 8,3 mėn. vartojant letrozolą ir 4,6 mėn. vartojant tamoksifeno.</w:t>
      </w:r>
    </w:p>
    <w:p w14:paraId="18640DF1" w14:textId="77777777" w:rsidR="000C61CC" w:rsidRPr="0047338E" w:rsidRDefault="000C61CC" w:rsidP="000C61CC">
      <w:pPr>
        <w:spacing w:after="0" w:line="240" w:lineRule="auto"/>
        <w:rPr>
          <w:rFonts w:ascii="Times New Roman" w:eastAsia="SimSun" w:hAnsi="Times New Roman" w:cs="Times New Roman"/>
          <w:color w:val="000000"/>
        </w:rPr>
      </w:pPr>
    </w:p>
    <w:p w14:paraId="51779E4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Tyrimo plane buvo numatyta, kad pasireiškus ligos progresavimui, pacientės galės keisti gydymą arba bus pašalintos iš tyrimo. Gydymas buvo pakeistas maždaug 50 % pacienčių, vėliausiai vaistinis preparatas pakeistas po 36 gydymo mėnesių. Laiko, po kurio gydymas letrozolu keistas gydymu tamoksifenu, mediana buvo 17 mėn., o laiko, po kurio gydymas tamoksifenu keistas gydymu letrozolu -13 mėn. </w:t>
      </w:r>
    </w:p>
    <w:p w14:paraId="74FF1D4B" w14:textId="77777777" w:rsidR="000C61CC" w:rsidRPr="0047338E" w:rsidRDefault="000C61CC" w:rsidP="000C61CC">
      <w:pPr>
        <w:spacing w:after="0" w:line="240" w:lineRule="auto"/>
        <w:rPr>
          <w:rFonts w:ascii="Times New Roman" w:eastAsia="SimSun" w:hAnsi="Times New Roman" w:cs="Times New Roman"/>
          <w:color w:val="000000"/>
        </w:rPr>
      </w:pPr>
    </w:p>
    <w:p w14:paraId="7A13C5D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Taikant pirmiausia pasirenkamą progresavusio krūties vėžio gydymą letrozolu, bendrojo išgyvenamumo mediana buvo 34 mėn., vartojant tamoksifeno – 30 mėn. (log-rank testo P = 0,53, skirtumas nereikšmingas). Letrozolo pranašumo nebuvimą, vertinant bendrąjį išgyvenamumą, galima paaiškinti tuo, kad tyrimas buvo kryžminės struktūros. </w:t>
      </w:r>
    </w:p>
    <w:p w14:paraId="6399FC8F" w14:textId="77777777" w:rsidR="000C61CC" w:rsidRPr="0047338E" w:rsidRDefault="000C61CC" w:rsidP="000C61CC">
      <w:pPr>
        <w:spacing w:after="0" w:line="240" w:lineRule="auto"/>
        <w:rPr>
          <w:rFonts w:ascii="Times New Roman" w:eastAsia="SimSun" w:hAnsi="Times New Roman" w:cs="Times New Roman"/>
          <w:color w:val="000000"/>
        </w:rPr>
      </w:pPr>
    </w:p>
    <w:p w14:paraId="257AD4FD"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Antrojo pasirinkimo gydymas</w:t>
      </w:r>
    </w:p>
    <w:p w14:paraId="7449BBF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Dviejų tinkamai kontroliuotų tyrimų metu lygintas dviejų letrozolo dozių (0,5 mg ir 2,5 mg) ir megestrolio acetato bei aminoglutetimido veiksmingumas gydant moteris, kurios pomenopauziniu laikotarpiu sirgo progresavusiu krūties vėžiu ir jau buvo gydytos antiestrogenais. </w:t>
      </w:r>
    </w:p>
    <w:p w14:paraId="4BBD96BA" w14:textId="77777777" w:rsidR="000C61CC" w:rsidRPr="0047338E" w:rsidRDefault="000C61CC" w:rsidP="000C61CC">
      <w:pPr>
        <w:spacing w:after="0" w:line="240" w:lineRule="auto"/>
        <w:rPr>
          <w:rFonts w:ascii="Times New Roman" w:eastAsia="SimSun" w:hAnsi="Times New Roman" w:cs="Times New Roman"/>
          <w:color w:val="000000"/>
        </w:rPr>
      </w:pPr>
    </w:p>
    <w:p w14:paraId="434C31D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Laikas iki progresavimo moterims, vartojusioms 2,5 mg letrozolo dozę arba megestrolio acetato, reikšmingai nesiskyrė (P = 0,07). Moterų, gydytų 2,5 mg letrozolo doze, bendras objektyvios naviko reakcijos dažnis buvo statistiškai reikšmingai didesnis (24 % ir 16 %, P = 0,04), o laikas, per kurį gydymas tapo neveiksmingas, ilgesnis (P = 0,04). Bendrasis išgyvenamumas 2 grupėse reikšmingai nesiskyrė (P = 0,2).</w:t>
      </w:r>
    </w:p>
    <w:p w14:paraId="5D21D263" w14:textId="77777777" w:rsidR="000C61CC" w:rsidRPr="0047338E" w:rsidRDefault="000C61CC" w:rsidP="000C61CC">
      <w:pPr>
        <w:spacing w:after="0" w:line="240" w:lineRule="auto"/>
        <w:rPr>
          <w:rFonts w:ascii="Times New Roman" w:eastAsia="SimSun" w:hAnsi="Times New Roman" w:cs="Times New Roman"/>
          <w:color w:val="000000"/>
        </w:rPr>
      </w:pPr>
    </w:p>
    <w:p w14:paraId="7590F767"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Antrojo tyrimo metu moterims, vartojusioms 2,5 mg letrozolo dozę arba aminoglutetimido, naviko reakcijos dažnis reikšmingai nesiskyrė (P = 0,06). Vertinant laiką iki progresavimo (P = 0,008), laiką, per kurį gydymas tapo neveiksmingas (P = 0,003) bei bendrąjį išgyvenamumą (P = 0,002), gydymas 2,5 mg letrozolo doze buvo statistiškai reikšmingai pranašesnis už gydymą aminoglutetimidu.</w:t>
      </w:r>
    </w:p>
    <w:p w14:paraId="557029A5" w14:textId="77777777" w:rsidR="000C61CC" w:rsidRPr="0047338E" w:rsidRDefault="000C61CC" w:rsidP="000C61CC">
      <w:pPr>
        <w:spacing w:after="0" w:line="240" w:lineRule="auto"/>
        <w:rPr>
          <w:rFonts w:ascii="Times New Roman" w:eastAsia="SimSun" w:hAnsi="Times New Roman" w:cs="Times New Roman"/>
          <w:color w:val="000000"/>
        </w:rPr>
      </w:pPr>
    </w:p>
    <w:p w14:paraId="4AFA8944" w14:textId="77777777" w:rsidR="000C61CC" w:rsidRPr="0047338E" w:rsidRDefault="000C61CC" w:rsidP="000C61CC">
      <w:pPr>
        <w:spacing w:after="0" w:line="240" w:lineRule="auto"/>
        <w:rPr>
          <w:rFonts w:ascii="Times New Roman" w:eastAsia="Times New Roman" w:hAnsi="Times New Roman" w:cs="Times New Roman"/>
          <w:bCs/>
          <w:u w:val="single"/>
        </w:rPr>
      </w:pPr>
      <w:r w:rsidRPr="0047338E">
        <w:rPr>
          <w:rFonts w:ascii="Times New Roman" w:eastAsia="Times New Roman" w:hAnsi="Times New Roman" w:cs="Times New Roman"/>
          <w:bCs/>
          <w:u w:val="single"/>
        </w:rPr>
        <w:t>Vyrų krūties vėžys</w:t>
      </w:r>
    </w:p>
    <w:p w14:paraId="0870C5E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Vyrų krūties vėžio gydymas letrozolu netirtas.</w:t>
      </w:r>
    </w:p>
    <w:p w14:paraId="696409D9" w14:textId="77777777" w:rsidR="000C61CC" w:rsidRPr="0047338E" w:rsidRDefault="000C61CC" w:rsidP="000C61CC">
      <w:pPr>
        <w:spacing w:after="0" w:line="240" w:lineRule="auto"/>
        <w:rPr>
          <w:rFonts w:ascii="Times New Roman" w:eastAsia="SimSun" w:hAnsi="Times New Roman" w:cs="Times New Roman"/>
          <w:color w:val="000000"/>
        </w:rPr>
      </w:pPr>
    </w:p>
    <w:p w14:paraId="3DDAC41E"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35" w:name="_Toc129243113"/>
      <w:bookmarkStart w:id="36" w:name="_Toc129243238"/>
      <w:r w:rsidRPr="0047338E">
        <w:rPr>
          <w:rFonts w:ascii="Times New Roman" w:eastAsia="Times New Roman" w:hAnsi="Times New Roman" w:cs="Times New Roman"/>
          <w:b/>
        </w:rPr>
        <w:t>5.2</w:t>
      </w:r>
      <w:r w:rsidRPr="0047338E">
        <w:rPr>
          <w:rFonts w:ascii="Times New Roman" w:eastAsia="Times New Roman" w:hAnsi="Times New Roman" w:cs="Times New Roman"/>
          <w:b/>
        </w:rPr>
        <w:tab/>
        <w:t>Farmakokinetinės savybės</w:t>
      </w:r>
      <w:bookmarkEnd w:id="35"/>
      <w:bookmarkEnd w:id="36"/>
    </w:p>
    <w:p w14:paraId="0CA27729" w14:textId="77777777" w:rsidR="000C61CC" w:rsidRPr="0047338E" w:rsidRDefault="000C61CC" w:rsidP="000C61CC">
      <w:pPr>
        <w:spacing w:after="0" w:line="240" w:lineRule="auto"/>
        <w:rPr>
          <w:rFonts w:ascii="Times New Roman" w:eastAsia="SimSun" w:hAnsi="Times New Roman" w:cs="Times New Roman"/>
          <w:color w:val="000000"/>
        </w:rPr>
      </w:pPr>
    </w:p>
    <w:p w14:paraId="4FC22594"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Absorbcija</w:t>
      </w:r>
    </w:p>
    <w:p w14:paraId="662875C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Letrozolas greitai ir visiškai absorbuojamas iš virškinimo trakto (vidutinis absoliutus biologinis prieinamumas yra 99,9 </w:t>
      </w:r>
      <w:r w:rsidRPr="0047338E">
        <w:rPr>
          <w:rFonts w:ascii="Times New Roman" w:eastAsia="SimSun" w:hAnsi="Times New Roman" w:cs="Times New Roman"/>
          <w:color w:val="000000"/>
        </w:rPr>
        <w:sym w:font="Symbol" w:char="F025"/>
      </w:r>
      <w:r w:rsidRPr="0047338E">
        <w:rPr>
          <w:rFonts w:ascii="Times New Roman" w:eastAsia="SimSun" w:hAnsi="Times New Roman" w:cs="Times New Roman"/>
          <w:color w:val="000000"/>
        </w:rPr>
        <w:t>). Maistas šiek tiek lėtina preparato absorbciją. Jei vaisinis preparatas išgeriamas nevalgius, didžiausios jo koncentracijos kraujo plazmoje susidarymo laiko (t</w:t>
      </w:r>
      <w:r w:rsidRPr="0047338E">
        <w:rPr>
          <w:rFonts w:ascii="Times New Roman" w:eastAsia="SimSun" w:hAnsi="Times New Roman" w:cs="Times New Roman"/>
          <w:color w:val="000000"/>
          <w:vertAlign w:val="subscript"/>
        </w:rPr>
        <w:t>max</w:t>
      </w:r>
      <w:r w:rsidRPr="0047338E">
        <w:rPr>
          <w:rFonts w:ascii="Times New Roman" w:eastAsia="SimSun" w:hAnsi="Times New Roman" w:cs="Times New Roman"/>
          <w:color w:val="000000"/>
        </w:rPr>
        <w:t>) mediana yra 1 val., jei po valgio – 2 val. (vidutinis C</w:t>
      </w:r>
      <w:r w:rsidRPr="0047338E">
        <w:rPr>
          <w:rFonts w:ascii="Times New Roman" w:eastAsia="SimSun" w:hAnsi="Times New Roman" w:cs="Times New Roman"/>
          <w:color w:val="000000"/>
          <w:vertAlign w:val="subscript"/>
        </w:rPr>
        <w:t>max</w:t>
      </w:r>
      <w:r w:rsidRPr="0047338E">
        <w:rPr>
          <w:rFonts w:ascii="Times New Roman" w:eastAsia="SimSun" w:hAnsi="Times New Roman" w:cs="Times New Roman"/>
          <w:color w:val="000000"/>
        </w:rPr>
        <w:t xml:space="preserve"> nevalgius yra 129 </w:t>
      </w:r>
      <w:r w:rsidRPr="0047338E">
        <w:rPr>
          <w:rFonts w:ascii="Times New Roman" w:eastAsia="SimSun" w:hAnsi="Times New Roman" w:cs="Times New Roman"/>
          <w:color w:val="000000"/>
        </w:rPr>
        <w:sym w:font="Symbol" w:char="F0B1"/>
      </w:r>
      <w:r w:rsidRPr="0047338E">
        <w:rPr>
          <w:rFonts w:ascii="Times New Roman" w:eastAsia="SimSun" w:hAnsi="Times New Roman" w:cs="Times New Roman"/>
          <w:color w:val="000000"/>
        </w:rPr>
        <w:t> 20,3 nmol/litrui, o po valgio – 98,7 </w:t>
      </w:r>
      <w:r w:rsidRPr="0047338E">
        <w:rPr>
          <w:rFonts w:ascii="Times New Roman" w:eastAsia="SimSun" w:hAnsi="Times New Roman" w:cs="Times New Roman"/>
          <w:color w:val="000000"/>
        </w:rPr>
        <w:sym w:font="Symbol" w:char="F0B1"/>
      </w:r>
      <w:r w:rsidRPr="0047338E">
        <w:rPr>
          <w:rFonts w:ascii="Times New Roman" w:eastAsia="SimSun" w:hAnsi="Times New Roman" w:cs="Times New Roman"/>
          <w:color w:val="000000"/>
        </w:rPr>
        <w:t xml:space="preserve"> 18,6 nmol/litrui), tačiau absorbcijos laipsnis (plotas po koncentracijos kreive – AUC) nepakinta. Manoma, kad nedidelis absorbcijos greičio pokytis nėra kliniškai svarbus, todėl letrozolo galima vartoti neatsižvelgiant į valgymo laiką. </w:t>
      </w:r>
    </w:p>
    <w:p w14:paraId="393A68E5" w14:textId="77777777" w:rsidR="000C61CC" w:rsidRPr="0047338E" w:rsidRDefault="000C61CC" w:rsidP="000C61CC">
      <w:pPr>
        <w:spacing w:after="0" w:line="240" w:lineRule="auto"/>
        <w:rPr>
          <w:rFonts w:ascii="Times New Roman" w:eastAsia="SimSun" w:hAnsi="Times New Roman" w:cs="Times New Roman"/>
          <w:color w:val="000000"/>
        </w:rPr>
      </w:pPr>
    </w:p>
    <w:p w14:paraId="10D6F5BB" w14:textId="77777777" w:rsidR="000C61CC" w:rsidRPr="0047338E" w:rsidRDefault="000C61CC" w:rsidP="005014CA">
      <w:pPr>
        <w:keepNext/>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Pasiskirstymas</w:t>
      </w:r>
    </w:p>
    <w:p w14:paraId="219DC6ED" w14:textId="77777777" w:rsidR="000C61CC" w:rsidRPr="0047338E" w:rsidRDefault="000C61CC" w:rsidP="005014CA">
      <w:pPr>
        <w:keepNext/>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Maždaug 60 </w:t>
      </w:r>
      <w:r w:rsidRPr="0047338E">
        <w:rPr>
          <w:rFonts w:ascii="Times New Roman" w:eastAsia="SimSun" w:hAnsi="Times New Roman" w:cs="Times New Roman"/>
          <w:color w:val="000000"/>
        </w:rPr>
        <w:sym w:font="Symbol" w:char="F025"/>
      </w:r>
      <w:r w:rsidRPr="0047338E">
        <w:rPr>
          <w:rFonts w:ascii="Times New Roman" w:eastAsia="SimSun" w:hAnsi="Times New Roman" w:cs="Times New Roman"/>
          <w:color w:val="000000"/>
        </w:rPr>
        <w:t xml:space="preserve"> letrozolo jungiasi prie kraujo plazmos baltymų, daugiausia albuminų (55 </w:t>
      </w:r>
      <w:r w:rsidRPr="0047338E">
        <w:rPr>
          <w:rFonts w:ascii="Times New Roman" w:eastAsia="SimSun" w:hAnsi="Times New Roman" w:cs="Times New Roman"/>
          <w:color w:val="000000"/>
        </w:rPr>
        <w:sym w:font="Symbol" w:char="F025"/>
      </w:r>
      <w:r w:rsidRPr="0047338E">
        <w:rPr>
          <w:rFonts w:ascii="Times New Roman" w:eastAsia="SimSun" w:hAnsi="Times New Roman" w:cs="Times New Roman"/>
          <w:color w:val="000000"/>
        </w:rPr>
        <w:t>). Eritrocituose preparato koncentracija būna maždaug 80 </w:t>
      </w:r>
      <w:r w:rsidRPr="0047338E">
        <w:rPr>
          <w:rFonts w:ascii="Times New Roman" w:eastAsia="SimSun" w:hAnsi="Times New Roman" w:cs="Times New Roman"/>
          <w:color w:val="000000"/>
        </w:rPr>
        <w:sym w:font="Symbol" w:char="F025"/>
      </w:r>
      <w:r w:rsidRPr="0047338E">
        <w:rPr>
          <w:rFonts w:ascii="Times New Roman" w:eastAsia="SimSun" w:hAnsi="Times New Roman" w:cs="Times New Roman"/>
          <w:color w:val="000000"/>
        </w:rPr>
        <w:t xml:space="preserve"> tos, kuri susidaro kraujo plazmoje. Išgėrus 2,5 mg </w:t>
      </w:r>
      <w:r w:rsidRPr="0047338E">
        <w:rPr>
          <w:rFonts w:ascii="Times New Roman" w:eastAsia="SimSun" w:hAnsi="Times New Roman" w:cs="Times New Roman"/>
          <w:color w:val="000000"/>
          <w:vertAlign w:val="superscript"/>
        </w:rPr>
        <w:t>14</w:t>
      </w:r>
      <w:r w:rsidRPr="0047338E">
        <w:rPr>
          <w:rFonts w:ascii="Times New Roman" w:eastAsia="SimSun" w:hAnsi="Times New Roman" w:cs="Times New Roman"/>
          <w:color w:val="000000"/>
        </w:rPr>
        <w:t>C žymėto letrozolo, kraujo plazmoje buvo nustatoma apie 82 </w:t>
      </w:r>
      <w:r w:rsidRPr="0047338E">
        <w:rPr>
          <w:rFonts w:ascii="Times New Roman" w:eastAsia="SimSun" w:hAnsi="Times New Roman" w:cs="Times New Roman"/>
          <w:color w:val="000000"/>
        </w:rPr>
        <w:sym w:font="Symbol" w:char="F025"/>
      </w:r>
      <w:r w:rsidRPr="0047338E">
        <w:rPr>
          <w:rFonts w:ascii="Times New Roman" w:eastAsia="SimSun" w:hAnsi="Times New Roman" w:cs="Times New Roman"/>
          <w:color w:val="000000"/>
        </w:rPr>
        <w:t xml:space="preserve"> nepakitusio radioaktyvaus preparato. Taigi, sisteminė preparato metabolitų ekspozicija yra maža. Letrozolas greitai ir plačiai pasiskirsto audiniuose. Nusistovėjus pusiausvyrinei koncentracijai, tariamasis pasiskirstymo tūris yra apie 1,87 </w:t>
      </w:r>
      <w:r w:rsidRPr="0047338E">
        <w:rPr>
          <w:rFonts w:ascii="Times New Roman" w:eastAsia="SimSun" w:hAnsi="Times New Roman" w:cs="Times New Roman"/>
          <w:color w:val="000000"/>
        </w:rPr>
        <w:sym w:font="Symbol" w:char="F0B1"/>
      </w:r>
      <w:r w:rsidRPr="0047338E">
        <w:rPr>
          <w:rFonts w:ascii="Times New Roman" w:eastAsia="SimSun" w:hAnsi="Times New Roman" w:cs="Times New Roman"/>
          <w:color w:val="000000"/>
        </w:rPr>
        <w:t xml:space="preserve"> 0,47 l/kg. </w:t>
      </w:r>
    </w:p>
    <w:p w14:paraId="3CE52A38" w14:textId="77777777" w:rsidR="000C61CC" w:rsidRPr="0047338E" w:rsidRDefault="000C61CC" w:rsidP="000C61CC">
      <w:pPr>
        <w:spacing w:after="0" w:line="240" w:lineRule="auto"/>
        <w:rPr>
          <w:rFonts w:ascii="Times New Roman" w:eastAsia="SimSun" w:hAnsi="Times New Roman" w:cs="Times New Roman"/>
          <w:color w:val="000000"/>
        </w:rPr>
      </w:pPr>
    </w:p>
    <w:p w14:paraId="3E91820E" w14:textId="77777777" w:rsidR="000C61CC" w:rsidRPr="0047338E" w:rsidRDefault="000C61CC" w:rsidP="000C61CC">
      <w:pPr>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Biotransformacija</w:t>
      </w:r>
    </w:p>
    <w:p w14:paraId="6F37398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Pagrindinis letrozolo eliminacijos mechanizmas yra metabolizmas (susidaro farmakologinio poveikio nesukeliantis karbinolio metabolitas, CL</w:t>
      </w:r>
      <w:r w:rsidRPr="0047338E">
        <w:rPr>
          <w:rFonts w:ascii="Times New Roman" w:eastAsia="SimSun" w:hAnsi="Times New Roman" w:cs="Times New Roman"/>
          <w:color w:val="000000"/>
          <w:vertAlign w:val="subscript"/>
        </w:rPr>
        <w:t>m</w:t>
      </w:r>
      <w:r w:rsidRPr="0047338E">
        <w:rPr>
          <w:rFonts w:ascii="Times New Roman" w:eastAsia="SimSun" w:hAnsi="Times New Roman" w:cs="Times New Roman"/>
          <w:color w:val="000000"/>
        </w:rPr>
        <w:t xml:space="preserve"> = 2,1 l/val.), tačiau metabolizmo klirensas, palyginti su kepenų kraujotaka (maždaug 90 l/val.), yra reliatyviai mažas. Nustatyta, kad letrozolo virtimą minėtu metabolitu gali katalizuoti citochromo P 450 izofermentai 3A4 ir 2A6. Nedidelio neidentifikuotų metabolitų kiekio susidarymas ir tiesioginis preparato išsiskyrimas pro inkstus bei su išmatomis bendrajai letrozolo eliminacijai yra mažai reikšmingas. Iš sveikų moterų, kurioms buvo pomenopauzinis laikotarpis ir kurios išgėrė 2,5 mg 14C žymėto letrozolo dozę, organizmo su šlapimu per dvi savaites išsiskyrė 88,2 </w:t>
      </w:r>
      <w:r w:rsidRPr="0047338E">
        <w:rPr>
          <w:rFonts w:ascii="Times New Roman" w:eastAsia="Symbol" w:hAnsi="Times New Roman" w:cs="Times New Roman"/>
          <w:color w:val="000000"/>
        </w:rPr>
        <w:t>±</w:t>
      </w:r>
      <w:r w:rsidRPr="0047338E">
        <w:rPr>
          <w:rFonts w:ascii="Times New Roman" w:eastAsia="SimSun" w:hAnsi="Times New Roman" w:cs="Times New Roman"/>
          <w:color w:val="000000"/>
        </w:rPr>
        <w:t xml:space="preserve"> 7,6 % radioaktyvumo, su išmatomis — 3,8 </w:t>
      </w:r>
      <w:r w:rsidRPr="0047338E">
        <w:rPr>
          <w:rFonts w:ascii="Times New Roman" w:eastAsia="Symbol" w:hAnsi="Times New Roman" w:cs="Times New Roman"/>
          <w:color w:val="000000"/>
        </w:rPr>
        <w:t>±</w:t>
      </w:r>
      <w:r w:rsidRPr="0047338E">
        <w:rPr>
          <w:rFonts w:ascii="Times New Roman" w:eastAsia="SimSun" w:hAnsi="Times New Roman" w:cs="Times New Roman"/>
          <w:color w:val="000000"/>
        </w:rPr>
        <w:t xml:space="preserve"> 0,9 %. Ne mažiau kaip 75 % radioaktyvumo, išsiskyrusio su šlapimu per ne daugiau kaip 216 val. (84,7 </w:t>
      </w:r>
      <w:r w:rsidRPr="0047338E">
        <w:rPr>
          <w:rFonts w:ascii="Times New Roman" w:eastAsia="Symbol" w:hAnsi="Times New Roman" w:cs="Times New Roman"/>
          <w:color w:val="000000"/>
        </w:rPr>
        <w:t>±</w:t>
      </w:r>
      <w:r w:rsidRPr="0047338E">
        <w:rPr>
          <w:rFonts w:ascii="Times New Roman" w:eastAsia="SimSun" w:hAnsi="Times New Roman" w:cs="Times New Roman"/>
          <w:color w:val="000000"/>
        </w:rPr>
        <w:t xml:space="preserve"> 7,8 % dozės), buvo susiję su karbinolio metabolitu gliukuronidu, 9 % – su dviem neidentifikuotais metabolitais, 6 %- su nepakitusiu letrozolu.</w:t>
      </w:r>
    </w:p>
    <w:p w14:paraId="34A63C0B" w14:textId="77777777" w:rsidR="000C61CC" w:rsidRPr="0047338E" w:rsidRDefault="000C61CC" w:rsidP="000C61CC">
      <w:pPr>
        <w:spacing w:after="0" w:line="240" w:lineRule="auto"/>
        <w:rPr>
          <w:rFonts w:ascii="Times New Roman" w:eastAsia="SimSun" w:hAnsi="Times New Roman" w:cs="Times New Roman"/>
          <w:color w:val="000000"/>
        </w:rPr>
      </w:pPr>
    </w:p>
    <w:p w14:paraId="685A49BC" w14:textId="77777777" w:rsidR="000C61CC" w:rsidRPr="0047338E" w:rsidRDefault="000C61CC" w:rsidP="000C61CC">
      <w:pPr>
        <w:spacing w:after="0" w:line="240" w:lineRule="auto"/>
        <w:rPr>
          <w:rFonts w:ascii="Times New Roman" w:eastAsia="Times New Roman" w:hAnsi="Times New Roman" w:cs="Times New Roman"/>
          <w:bCs/>
          <w:u w:val="single"/>
        </w:rPr>
      </w:pPr>
      <w:r w:rsidRPr="0047338E">
        <w:rPr>
          <w:rFonts w:ascii="Times New Roman" w:eastAsia="Times New Roman" w:hAnsi="Times New Roman" w:cs="Times New Roman"/>
          <w:bCs/>
          <w:u w:val="single"/>
        </w:rPr>
        <w:t>Eliminacija</w:t>
      </w:r>
    </w:p>
    <w:p w14:paraId="6ACBA608" w14:textId="1B12FBF1"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Letrozolo tariamasis galutinės pusinės eliminacijos iš plazmos laikas yra maždaug 2</w:t>
      </w:r>
      <w:r w:rsidR="00CB10B5">
        <w:rPr>
          <w:rFonts w:ascii="Times New Roman" w:eastAsia="SimSun" w:hAnsi="Times New Roman" w:cs="Times New Roman"/>
          <w:color w:val="000000"/>
        </w:rPr>
        <w:t>–4</w:t>
      </w:r>
      <w:r w:rsidRPr="0047338E">
        <w:rPr>
          <w:rFonts w:ascii="Times New Roman" w:eastAsia="SimSun" w:hAnsi="Times New Roman" w:cs="Times New Roman"/>
          <w:color w:val="000000"/>
        </w:rPr>
        <w:t> paros. Kasdien vartojant 2,5 mg paros dozę, pusiausvyrinė apykaita nusistovi per 2</w:t>
      </w:r>
      <w:r w:rsidRPr="0047338E">
        <w:rPr>
          <w:rFonts w:ascii="Times New Roman" w:eastAsia="SimSun" w:hAnsi="Times New Roman" w:cs="Times New Roman"/>
          <w:color w:val="000000"/>
        </w:rPr>
        <w:noBreakHyphen/>
        <w:t>6 savaites. Nusistovėjus pusiausvyrinei apykaitai, koncentracija plazmoje būna maždaug 7 kartus didesnė už koncentraciją, kuri atsiranda išgėrus vieną 2,5 mg dozę, ir 1,5</w:t>
      </w:r>
      <w:r w:rsidRPr="0047338E">
        <w:rPr>
          <w:rFonts w:ascii="Times New Roman" w:eastAsia="SimSun" w:hAnsi="Times New Roman" w:cs="Times New Roman"/>
          <w:color w:val="000000"/>
        </w:rPr>
        <w:noBreakHyphen/>
        <w:t>2 kartus didesnė nei apskaičiuota, atsižvelgiant į koncentraciją po vienos 2,5 mg dozės pavartojimo. Tai rodo, kad kasdien vartojant 2,5 mg dozę, letrozolo farmakokinetika nėra visiškai tiesinė. Kadangi pusiausvyrinė apykaita laikui bėgant nekinta, galima daryti išvadą, kad nuolatinio letrozolo kaupimosi organizme nebūna.</w:t>
      </w:r>
    </w:p>
    <w:p w14:paraId="21AD80F6" w14:textId="77777777" w:rsidR="000C61CC" w:rsidRPr="0047338E" w:rsidRDefault="000C61CC" w:rsidP="000C61CC">
      <w:pPr>
        <w:spacing w:after="0" w:line="240" w:lineRule="auto"/>
        <w:rPr>
          <w:rFonts w:ascii="Times New Roman" w:eastAsia="SimSun" w:hAnsi="Times New Roman" w:cs="Times New Roman"/>
          <w:color w:val="000000"/>
        </w:rPr>
      </w:pPr>
    </w:p>
    <w:p w14:paraId="1839212E" w14:textId="77777777" w:rsidR="000C61CC" w:rsidRPr="0047338E" w:rsidRDefault="000C61CC" w:rsidP="000C61CC">
      <w:pPr>
        <w:spacing w:after="0" w:line="240" w:lineRule="auto"/>
        <w:rPr>
          <w:rFonts w:ascii="Times New Roman" w:eastAsia="Times New Roman" w:hAnsi="Times New Roman" w:cs="Times New Roman"/>
          <w:bCs/>
          <w:u w:val="single"/>
        </w:rPr>
      </w:pPr>
      <w:r w:rsidRPr="0047338E">
        <w:rPr>
          <w:rFonts w:ascii="Times New Roman" w:eastAsia="Times New Roman" w:hAnsi="Times New Roman" w:cs="Times New Roman"/>
          <w:bCs/>
          <w:u w:val="single"/>
        </w:rPr>
        <w:t>Tiesinis / netiesinis pobūdis</w:t>
      </w:r>
    </w:p>
    <w:p w14:paraId="62BAA3F2" w14:textId="77777777" w:rsidR="000C61CC" w:rsidRPr="0047338E" w:rsidRDefault="000C61CC" w:rsidP="000C61CC">
      <w:pPr>
        <w:widowControl w:val="0"/>
        <w:spacing w:after="0" w:line="240" w:lineRule="auto"/>
        <w:rPr>
          <w:rFonts w:ascii="Times New Roman" w:eastAsia="Times New Roman" w:hAnsi="Times New Roman" w:cs="Times New Roman"/>
        </w:rPr>
      </w:pPr>
      <w:r w:rsidRPr="0047338E">
        <w:rPr>
          <w:rFonts w:ascii="Times New Roman" w:eastAsia="Times New Roman" w:hAnsi="Times New Roman" w:cs="Times New Roman"/>
          <w:color w:val="222222"/>
        </w:rPr>
        <w:t>Letrozolo farmakokinetika buvo proporcinga dozei suvartojus vienkartinę geriamąją dozę iki 10 mg (dozė nuo 0,01 mg iki 30 mg), ir paros dozę iki 1,0 mg (dozė nuo 0,1 iki 5 mg). Suvartojus vienkartinę 30 mg dozę, buvo šiek tiek padidėjęs dozės proporcingumas vertinant AUC. Padidėjęs dozės proporcingumas gali būti metabolinių eliminacinių procesų prisotinimo rezultatas. Pastovi koncentracija pasiekta po 1 ar 2 mėnesių vartojant visas tirtas dozes (nuo 0,1 iki 5,0 mg per parą).</w:t>
      </w:r>
    </w:p>
    <w:p w14:paraId="2D306AA2" w14:textId="77777777" w:rsidR="000C61CC" w:rsidRPr="0047338E" w:rsidRDefault="000C61CC" w:rsidP="000C61CC">
      <w:pPr>
        <w:spacing w:after="0" w:line="240" w:lineRule="auto"/>
        <w:rPr>
          <w:rFonts w:ascii="Times New Roman" w:eastAsia="SimSun" w:hAnsi="Times New Roman" w:cs="Times New Roman"/>
          <w:color w:val="000000"/>
        </w:rPr>
      </w:pPr>
    </w:p>
    <w:p w14:paraId="35779C0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Ypatingos populiacijos</w:t>
      </w:r>
      <w:r w:rsidRPr="0047338E" w:rsidDel="003702DB">
        <w:rPr>
          <w:rFonts w:ascii="Times New Roman" w:eastAsia="SimSun" w:hAnsi="Times New Roman" w:cs="Times New Roman"/>
          <w:color w:val="000000"/>
        </w:rPr>
        <w:t xml:space="preserve"> </w:t>
      </w:r>
    </w:p>
    <w:p w14:paraId="48A95D7B" w14:textId="77777777" w:rsidR="000C61CC" w:rsidRPr="0047338E" w:rsidRDefault="000C61CC" w:rsidP="000C61CC">
      <w:pPr>
        <w:spacing w:after="0" w:line="240" w:lineRule="auto"/>
        <w:rPr>
          <w:rFonts w:ascii="Times New Roman" w:eastAsia="SimSun" w:hAnsi="Times New Roman" w:cs="Times New Roman"/>
          <w:i/>
          <w:iCs/>
          <w:color w:val="000000"/>
        </w:rPr>
      </w:pPr>
      <w:r w:rsidRPr="0047338E">
        <w:rPr>
          <w:rFonts w:ascii="Times New Roman" w:eastAsia="SimSun" w:hAnsi="Times New Roman" w:cs="Times New Roman"/>
          <w:i/>
          <w:iCs/>
          <w:color w:val="000000"/>
        </w:rPr>
        <w:t>Senyvos pacientės</w:t>
      </w:r>
    </w:p>
    <w:p w14:paraId="24742694"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Nuo moters amžiaus letrozolo farmakokinetika nepriklauso.</w:t>
      </w:r>
    </w:p>
    <w:p w14:paraId="16F8CF04" w14:textId="77777777" w:rsidR="000C61CC" w:rsidRPr="0047338E" w:rsidRDefault="000C61CC" w:rsidP="000C61CC">
      <w:pPr>
        <w:spacing w:after="0" w:line="240" w:lineRule="auto"/>
        <w:rPr>
          <w:rFonts w:ascii="Times New Roman" w:eastAsia="SimSun" w:hAnsi="Times New Roman" w:cs="Times New Roman"/>
          <w:color w:val="000000"/>
        </w:rPr>
      </w:pPr>
    </w:p>
    <w:p w14:paraId="622A785C" w14:textId="77777777" w:rsidR="000C61CC" w:rsidRPr="0047338E" w:rsidRDefault="000C61CC" w:rsidP="000C61CC">
      <w:pPr>
        <w:spacing w:after="0" w:line="240" w:lineRule="auto"/>
        <w:rPr>
          <w:rFonts w:ascii="Times New Roman" w:eastAsia="SimSun" w:hAnsi="Times New Roman" w:cs="Times New Roman"/>
          <w:bCs/>
          <w:szCs w:val="24"/>
          <w:u w:val="single"/>
        </w:rPr>
      </w:pPr>
      <w:r w:rsidRPr="0047338E">
        <w:rPr>
          <w:rFonts w:ascii="Times New Roman" w:eastAsia="SimSun" w:hAnsi="Times New Roman" w:cs="Times New Roman"/>
          <w:bCs/>
          <w:szCs w:val="24"/>
          <w:u w:val="single"/>
        </w:rPr>
        <w:t>Sutrikusi inkstų funkcija</w:t>
      </w:r>
      <w:r w:rsidRPr="0047338E" w:rsidDel="003702DB">
        <w:rPr>
          <w:rFonts w:ascii="Times New Roman" w:eastAsia="SimSun" w:hAnsi="Times New Roman" w:cs="Times New Roman"/>
          <w:bCs/>
          <w:szCs w:val="24"/>
          <w:u w:val="single"/>
        </w:rPr>
        <w:t xml:space="preserve"> </w:t>
      </w:r>
    </w:p>
    <w:p w14:paraId="12584C33" w14:textId="77777777" w:rsidR="000C61CC" w:rsidRPr="0047338E" w:rsidRDefault="000C61CC" w:rsidP="000C61CC">
      <w:pPr>
        <w:widowControl w:val="0"/>
        <w:spacing w:after="0" w:line="240" w:lineRule="auto"/>
        <w:rPr>
          <w:rFonts w:ascii="Times New Roman" w:eastAsia="Times New Roman" w:hAnsi="Times New Roman" w:cs="Times New Roman"/>
          <w:color w:val="222222"/>
        </w:rPr>
      </w:pPr>
      <w:r w:rsidRPr="0047338E">
        <w:rPr>
          <w:rFonts w:ascii="Times New Roman" w:eastAsia="Times New Roman" w:hAnsi="Times New Roman" w:cs="Times New Roman"/>
        </w:rPr>
        <w:t>Tyrimo, kuriame dalyvavo 19 savanorių, kurioms buvo įvairaus sunkumo inkstų funkcijos sutrikimas (24 val. kreatinino klirensas 9</w:t>
      </w:r>
      <w:r w:rsidRPr="0047338E">
        <w:rPr>
          <w:rFonts w:ascii="Times New Roman" w:eastAsia="Times New Roman" w:hAnsi="Times New Roman" w:cs="Times New Roman"/>
        </w:rPr>
        <w:noBreakHyphen/>
        <w:t>116 ml/min.), metu poveikio letrozolo farmakokinetikai po vienos 2,5 mg letrozolo dozės pavartojimo nenustatyta.</w:t>
      </w:r>
      <w:r w:rsidRPr="0047338E">
        <w:rPr>
          <w:rFonts w:ascii="Times New Roman" w:eastAsia="Times New Roman" w:hAnsi="Times New Roman" w:cs="Times New Roman"/>
          <w:color w:val="222222"/>
          <w:kern w:val="28"/>
        </w:rPr>
        <w:t xml:space="preserve"> Papildant</w:t>
      </w:r>
      <w:r w:rsidRPr="0047338E">
        <w:rPr>
          <w:rFonts w:ascii="Times New Roman" w:eastAsia="Times New Roman" w:hAnsi="Times New Roman" w:cs="Times New Roman"/>
          <w:b/>
          <w:color w:val="222222"/>
          <w:kern w:val="28"/>
        </w:rPr>
        <w:t xml:space="preserve"> </w:t>
      </w:r>
      <w:r w:rsidRPr="0047338E">
        <w:rPr>
          <w:rFonts w:ascii="Times New Roman" w:eastAsia="Times New Roman" w:hAnsi="Times New Roman" w:cs="Times New Roman"/>
          <w:color w:val="222222"/>
        </w:rPr>
        <w:t>anksčiau minėtą tyrimą, įvertinantį inkstų funkcijos sutrikimą vartojant letrozolą, buvo atlikta dviejų pagrindinių tyrimų (AR/BC2 ir AR/BC3) duomenų kintamųjų analizė. Apskaičiuotas kreatinino klirensas [tyrime AR/BC2 svyravo nuo 19 iki 187 ml/min; tyrime AR/BC3 svyravo nuo 10 iki 180 ml/min] neparodė statistiškai reikšmingo ryšio tarp letrozolo koncentracijos plazmoje ir nusistovėjusios pusiausvyrinės apykaitos (C</w:t>
      </w:r>
      <w:r w:rsidRPr="0047338E">
        <w:rPr>
          <w:rFonts w:ascii="Times New Roman" w:eastAsia="Times New Roman" w:hAnsi="Times New Roman" w:cs="Times New Roman"/>
          <w:color w:val="222222"/>
          <w:vertAlign w:val="subscript"/>
        </w:rPr>
        <w:t>min</w:t>
      </w:r>
      <w:r w:rsidRPr="0047338E">
        <w:rPr>
          <w:rFonts w:ascii="Times New Roman" w:eastAsia="Times New Roman" w:hAnsi="Times New Roman" w:cs="Times New Roman"/>
          <w:color w:val="222222"/>
        </w:rPr>
        <w:t xml:space="preserve">). Be to, AR/BC2 ir AR/BC3 antrojo pasirinkimo gydymo tyrimų duomenys, sergant metastazavusiu krūties vėžiu, neįrodė nepageidaujamo letrozolo poveikio kreatinino klirensui ar inkstų funkcijos sutrikimui. </w:t>
      </w:r>
    </w:p>
    <w:p w14:paraId="606FEDC8" w14:textId="77777777" w:rsidR="000C61CC" w:rsidRPr="0047338E" w:rsidRDefault="000C61CC" w:rsidP="000C61CC">
      <w:pPr>
        <w:widowControl w:val="0"/>
        <w:spacing w:after="0" w:line="240" w:lineRule="auto"/>
        <w:rPr>
          <w:rFonts w:ascii="Times New Roman" w:eastAsia="Times New Roman" w:hAnsi="Times New Roman" w:cs="Times New Roman"/>
        </w:rPr>
      </w:pPr>
      <w:r w:rsidRPr="0047338E">
        <w:rPr>
          <w:rFonts w:ascii="Times New Roman" w:eastAsia="Times New Roman" w:hAnsi="Times New Roman" w:cs="Times New Roman"/>
          <w:color w:val="222222"/>
        </w:rPr>
        <w:t>Taigi, nereikia koreguoti dozės pacientams, kurių inkstų funkcija yra sutrikusi (kreatinino klirensas yra ≥ 10 ml/min). Nedaug informacijos apie pacientus, kuriems yra sunkus inkstų funkcijos sutrikimas (kreatinino klirensas &lt;10 ml/min).</w:t>
      </w:r>
    </w:p>
    <w:p w14:paraId="410206C5" w14:textId="77777777" w:rsidR="000C61CC" w:rsidRPr="0047338E" w:rsidRDefault="000C61CC" w:rsidP="000C61CC">
      <w:pPr>
        <w:spacing w:after="0" w:line="240" w:lineRule="auto"/>
        <w:rPr>
          <w:rFonts w:ascii="Times New Roman" w:eastAsia="SimSun" w:hAnsi="Times New Roman" w:cs="Times New Roman"/>
          <w:color w:val="000000"/>
        </w:rPr>
      </w:pPr>
    </w:p>
    <w:p w14:paraId="05CA89BD" w14:textId="77777777" w:rsidR="000C61CC" w:rsidRPr="0047338E" w:rsidRDefault="000C61CC" w:rsidP="005014CA">
      <w:pPr>
        <w:keepNext/>
        <w:spacing w:after="0" w:line="240" w:lineRule="auto"/>
        <w:rPr>
          <w:rFonts w:ascii="Times New Roman" w:eastAsia="Times New Roman" w:hAnsi="Times New Roman" w:cs="Times New Roman"/>
          <w:bCs/>
          <w:szCs w:val="24"/>
          <w:u w:val="single"/>
        </w:rPr>
      </w:pPr>
      <w:r w:rsidRPr="0047338E">
        <w:rPr>
          <w:rFonts w:ascii="Times New Roman" w:eastAsia="Times New Roman" w:hAnsi="Times New Roman" w:cs="Times New Roman"/>
          <w:bCs/>
          <w:szCs w:val="24"/>
          <w:u w:val="single"/>
        </w:rPr>
        <w:t>Sutrikusi kepenų funkcija</w:t>
      </w:r>
      <w:r w:rsidRPr="0047338E" w:rsidDel="003702DB">
        <w:rPr>
          <w:rFonts w:ascii="Times New Roman" w:eastAsia="Times New Roman" w:hAnsi="Times New Roman" w:cs="Times New Roman"/>
          <w:bCs/>
          <w:szCs w:val="24"/>
          <w:u w:val="single"/>
        </w:rPr>
        <w:t xml:space="preserve"> </w:t>
      </w:r>
    </w:p>
    <w:p w14:paraId="4612C6CA" w14:textId="77777777" w:rsidR="000C61CC" w:rsidRPr="0047338E" w:rsidRDefault="000C61CC" w:rsidP="005014CA">
      <w:pPr>
        <w:keepNext/>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Panašus tyrimas buvo atliktas su moterimis, kurioms buvo įvairaus sunkumo kepenų funkcijos sutrikimas. Nustatyta, kad esant vidutinio sunkumo kepenų funkcijos sutrikimui (B pagal Child-Pugh skalę), letrozolo AUC buvo 37 % didesnis nei esant normaliai kepenų funkcijai, bet neviršijo normos ribų. Tyrimo, kuriame dalyvavo aštuoni vyrai, kuriems buvo kepenų cirozė arba sunkus kepenų funkcijos sutrikimas (C pagal Child-Pugh skalę), metu lyginant letrozolo farmakokinetiką po vienkartinės geriamosios dozės pavartojimo, nustatyta, kad AUC ir t½ buvo atitinkamai 95 % ir 187 % didesni nei atitinkami sveikų savanorių (N = 8) rodmenys. Vadinasi, letrozolo pacientėms, kurioms yra sunkus kepenų funkcijos sutrikimas, reikia skirti atsargiai ir tik individualiai įvertinus rizikos ir naudos santykį. </w:t>
      </w:r>
    </w:p>
    <w:p w14:paraId="596116E3" w14:textId="77777777" w:rsidR="000C61CC" w:rsidRPr="0047338E" w:rsidRDefault="000C61CC" w:rsidP="000C61CC">
      <w:pPr>
        <w:spacing w:after="0" w:line="240" w:lineRule="auto"/>
        <w:rPr>
          <w:rFonts w:ascii="Times New Roman" w:eastAsia="SimSun" w:hAnsi="Times New Roman" w:cs="Times New Roman"/>
          <w:color w:val="000000"/>
        </w:rPr>
      </w:pPr>
    </w:p>
    <w:p w14:paraId="7CB7E4B1"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37" w:name="_Toc129243114"/>
      <w:bookmarkStart w:id="38" w:name="_Toc129243239"/>
      <w:r w:rsidRPr="0047338E">
        <w:rPr>
          <w:rFonts w:ascii="Times New Roman" w:eastAsia="Times New Roman" w:hAnsi="Times New Roman" w:cs="Times New Roman"/>
          <w:b/>
        </w:rPr>
        <w:t>5.3</w:t>
      </w:r>
      <w:r w:rsidRPr="0047338E">
        <w:rPr>
          <w:rFonts w:ascii="Times New Roman" w:eastAsia="Times New Roman" w:hAnsi="Times New Roman" w:cs="Times New Roman"/>
          <w:b/>
        </w:rPr>
        <w:tab/>
        <w:t>Ikiklinikinių saugumo tyrimų duomenys</w:t>
      </w:r>
      <w:bookmarkEnd w:id="37"/>
      <w:bookmarkEnd w:id="38"/>
    </w:p>
    <w:p w14:paraId="35CD5F86" w14:textId="77777777" w:rsidR="000C61CC" w:rsidRPr="0047338E" w:rsidRDefault="000C61CC" w:rsidP="000C61CC">
      <w:pPr>
        <w:spacing w:after="0" w:line="240" w:lineRule="auto"/>
        <w:rPr>
          <w:rFonts w:ascii="Times New Roman" w:eastAsia="SimSun" w:hAnsi="Times New Roman" w:cs="Times New Roman"/>
          <w:color w:val="000000"/>
        </w:rPr>
      </w:pPr>
    </w:p>
    <w:p w14:paraId="22D6700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Buvo atlikta daug ikiklinikinių tyrimų su įprastinėmis gyvūnų rūšimis, duomenų apie sisteminį toksinį poveikį ar toksinį poveikį organams taikiniams negauta.</w:t>
      </w:r>
    </w:p>
    <w:p w14:paraId="17944F94" w14:textId="77777777" w:rsidR="000C61CC" w:rsidRPr="0047338E" w:rsidRDefault="000C61CC" w:rsidP="000C61CC">
      <w:pPr>
        <w:spacing w:after="0" w:line="240" w:lineRule="auto"/>
        <w:rPr>
          <w:rFonts w:ascii="Times New Roman" w:eastAsia="SimSun" w:hAnsi="Times New Roman" w:cs="Times New Roman"/>
          <w:color w:val="000000"/>
        </w:rPr>
      </w:pPr>
    </w:p>
    <w:p w14:paraId="2FBD997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Graužikams ne didesnių kaip 2000 mg/kg kūno svorio letrozolo dozių sukeltas ūminis toksinis poveikis buvo silpnas. Šunims 100 mg/kg kūno svorio dozės sukėlė vidutinio sunkumo toksinio poveikio simptomų.</w:t>
      </w:r>
    </w:p>
    <w:p w14:paraId="17B61725" w14:textId="77777777" w:rsidR="000C61CC" w:rsidRPr="0047338E" w:rsidRDefault="000C61CC" w:rsidP="000C61CC">
      <w:pPr>
        <w:spacing w:after="0" w:line="240" w:lineRule="auto"/>
        <w:rPr>
          <w:rFonts w:ascii="Times New Roman" w:eastAsia="SimSun" w:hAnsi="Times New Roman" w:cs="Times New Roman"/>
          <w:color w:val="000000"/>
        </w:rPr>
      </w:pPr>
    </w:p>
    <w:p w14:paraId="3FA2ABE6" w14:textId="7413B258"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Iki 12 mėnesių trukusių kartotinių dozių tyrimų su žiurkėms ir šunims metu svarbiausias pastebėtas poveikis gali būti priskiriamas farmakologiniam medžiagos poveikiui. Nepageidaujamo poveikio nesukelianti dozė abiem rūšims buvo 0,3 mg/kg kūno svorio. </w:t>
      </w:r>
    </w:p>
    <w:p w14:paraId="5EA97F01" w14:textId="77777777" w:rsidR="000C61CC" w:rsidRPr="0047338E" w:rsidRDefault="000C61CC" w:rsidP="000C61CC">
      <w:pPr>
        <w:widowControl w:val="0"/>
        <w:spacing w:after="0" w:line="240" w:lineRule="auto"/>
        <w:rPr>
          <w:rFonts w:ascii="Times New Roman" w:eastAsia="Times New Roman" w:hAnsi="Times New Roman" w:cs="Times New Roman"/>
        </w:rPr>
      </w:pPr>
      <w:r w:rsidRPr="0047338E">
        <w:rPr>
          <w:rFonts w:ascii="Times New Roman" w:eastAsia="Times New Roman" w:hAnsi="Times New Roman" w:cs="Times New Roman"/>
          <w:color w:val="222222"/>
        </w:rPr>
        <w:t>Žiurkių patelėms geriamasis letrozolas sumažino poravimosi ir nėštumo santykį, ir didino preimplantacinį netekimą.</w:t>
      </w:r>
    </w:p>
    <w:p w14:paraId="277A2B26" w14:textId="77777777" w:rsidR="000C61CC" w:rsidRPr="0047338E" w:rsidRDefault="000C61CC" w:rsidP="000C61CC">
      <w:pPr>
        <w:spacing w:after="0" w:line="240" w:lineRule="auto"/>
        <w:rPr>
          <w:rFonts w:ascii="Times New Roman" w:eastAsia="SimSun" w:hAnsi="Times New Roman" w:cs="Times New Roman"/>
          <w:color w:val="000000"/>
        </w:rPr>
      </w:pPr>
    </w:p>
    <w:p w14:paraId="14D605DB"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i/>
          <w:color w:val="000000"/>
        </w:rPr>
        <w:t>In vitro</w:t>
      </w:r>
      <w:r w:rsidRPr="0047338E">
        <w:rPr>
          <w:rFonts w:ascii="Times New Roman" w:eastAsia="SimSun" w:hAnsi="Times New Roman" w:cs="Times New Roman"/>
          <w:color w:val="000000"/>
        </w:rPr>
        <w:t xml:space="preserve"> ir </w:t>
      </w:r>
      <w:r w:rsidRPr="0047338E">
        <w:rPr>
          <w:rFonts w:ascii="Times New Roman" w:eastAsia="SimSun" w:hAnsi="Times New Roman" w:cs="Times New Roman"/>
          <w:i/>
          <w:color w:val="000000"/>
        </w:rPr>
        <w:t>in vivo</w:t>
      </w:r>
      <w:r w:rsidRPr="0047338E">
        <w:rPr>
          <w:rFonts w:ascii="Times New Roman" w:eastAsia="SimSun" w:hAnsi="Times New Roman" w:cs="Times New Roman"/>
          <w:color w:val="000000"/>
        </w:rPr>
        <w:t xml:space="preserve"> mutageninio letrozolo poveikio tyrimų metu duomenų apie genotoksinį poveikį negauta.</w:t>
      </w:r>
    </w:p>
    <w:p w14:paraId="71AB6D1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p>
    <w:p w14:paraId="5885C11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104 savaites trukusio kancerogeninio poveikio tyrimo su žiurkėmis metu patinams nuo vaistinio preparato priklausomų navikų neatsirado, o patelėms visos tirtos letrozolo dozės mažino gerybinių ir piktybinių krūties navikų atsiradimo dažnį.</w:t>
      </w:r>
    </w:p>
    <w:p w14:paraId="1E4E256B" w14:textId="77777777" w:rsidR="000C61CC" w:rsidRPr="0047338E" w:rsidRDefault="000C61CC" w:rsidP="000C61CC">
      <w:pPr>
        <w:widowControl w:val="0"/>
        <w:spacing w:after="0" w:line="240" w:lineRule="auto"/>
        <w:rPr>
          <w:rFonts w:ascii="Times New Roman" w:eastAsia="Times New Roman" w:hAnsi="Times New Roman" w:cs="Times New Roman"/>
          <w:color w:val="222222"/>
        </w:rPr>
      </w:pPr>
    </w:p>
    <w:p w14:paraId="36FE2FF8" w14:textId="77777777" w:rsidR="000C61CC" w:rsidRPr="0047338E" w:rsidRDefault="000C61CC" w:rsidP="000C61CC">
      <w:pPr>
        <w:widowControl w:val="0"/>
        <w:spacing w:after="0" w:line="240" w:lineRule="auto"/>
        <w:rPr>
          <w:rFonts w:ascii="Times New Roman" w:eastAsia="Times New Roman" w:hAnsi="Times New Roman" w:cs="Times New Roman"/>
          <w:color w:val="222222"/>
        </w:rPr>
      </w:pPr>
      <w:r w:rsidRPr="0047338E">
        <w:rPr>
          <w:rFonts w:ascii="Times New Roman" w:eastAsia="Times New Roman" w:hAnsi="Times New Roman" w:cs="Times New Roman"/>
          <w:color w:val="222222"/>
        </w:rPr>
        <w:t>104</w:t>
      </w:r>
      <w:r w:rsidRPr="0047338E">
        <w:rPr>
          <w:rFonts w:ascii="Times New Roman" w:eastAsia="Times New Roman" w:hAnsi="Times New Roman" w:cs="Times New Roman"/>
        </w:rPr>
        <w:t> </w:t>
      </w:r>
      <w:r w:rsidRPr="0047338E">
        <w:rPr>
          <w:rFonts w:ascii="Times New Roman" w:eastAsia="Times New Roman" w:hAnsi="Times New Roman" w:cs="Times New Roman"/>
          <w:color w:val="222222"/>
        </w:rPr>
        <w:t xml:space="preserve">savaičių trukmės </w:t>
      </w:r>
      <w:r w:rsidRPr="0047338E">
        <w:rPr>
          <w:rFonts w:ascii="Times New Roman" w:eastAsia="Times New Roman" w:hAnsi="Times New Roman" w:cs="Times New Roman"/>
        </w:rPr>
        <w:t xml:space="preserve">kancerogeninio poveikio tyrimo su </w:t>
      </w:r>
      <w:r w:rsidRPr="0047338E">
        <w:rPr>
          <w:rFonts w:ascii="Times New Roman" w:eastAsia="Times New Roman" w:hAnsi="Times New Roman" w:cs="Times New Roman"/>
          <w:color w:val="222222"/>
        </w:rPr>
        <w:t>pelėmis metu jokių su gydymu susijusių navikų patinams nebuvo pastebėta. Tiriant visas letrozolo dozes pelių patelėms buvo pastebėtas nuo dozės priklausomas, padidėjęs gerybinių kiaušidžių granuliozinių ląstelių navikų atsiradimas. Manoma, kad šių navikų išsivystymas susijęs su farmakologiniu estrogenų sintezės slopinimu, ir gali būti dėl padidėjusio LH, kuris atsirado dėl cirkuliuojančių estrogenų sumažėjimo.</w:t>
      </w:r>
    </w:p>
    <w:p w14:paraId="50831C7A" w14:textId="77777777" w:rsidR="000C61CC" w:rsidRPr="0047338E" w:rsidRDefault="000C61CC" w:rsidP="000C61CC">
      <w:pPr>
        <w:spacing w:after="0" w:line="240" w:lineRule="auto"/>
        <w:rPr>
          <w:rFonts w:ascii="Times New Roman" w:eastAsia="SimSun" w:hAnsi="Times New Roman" w:cs="Times New Roman"/>
          <w:color w:val="000000"/>
        </w:rPr>
      </w:pPr>
    </w:p>
    <w:p w14:paraId="50E856E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Kliniškai reikšmingos geriamojo letrozolo dozės vaikingoms žiurkių ir triušių patelėms sukėlė embriotoksinį ir fetotoksinį poveikį. Gyviems likusiems žiurkių vaisiams dažniau buvo sklaidos defektų, įskaitant kupolo formos kaukolę ir kaklo bei centrinės dalies stuburo slankstelių suaugimą.</w:t>
      </w:r>
    </w:p>
    <w:p w14:paraId="7C5B9D6F" w14:textId="77777777" w:rsidR="000C61CC" w:rsidRPr="0047338E" w:rsidRDefault="000C61CC" w:rsidP="000C61CC">
      <w:pPr>
        <w:spacing w:after="0" w:line="240" w:lineRule="auto"/>
        <w:rPr>
          <w:rFonts w:ascii="Times New Roman" w:eastAsia="SimSun" w:hAnsi="Times New Roman" w:cs="Times New Roman"/>
          <w:color w:val="000000"/>
        </w:rPr>
      </w:pPr>
    </w:p>
    <w:p w14:paraId="61B3954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Triušiams vaisiaus sklaidos defektų nepadažnėjo. Nežinoma, ar tai susiję su netiesioginiu vaistinio preparato farmakologiniu poveikiu (estrogenų biosintezės slopinimu), ar su tiesioginiu poveikiu (žr. 4.3 ir 4.6 skyrių). </w:t>
      </w:r>
    </w:p>
    <w:p w14:paraId="41727246" w14:textId="77777777" w:rsidR="000C61CC" w:rsidRPr="0047338E" w:rsidRDefault="000C61CC" w:rsidP="000C61CC">
      <w:pPr>
        <w:spacing w:after="0" w:line="240" w:lineRule="auto"/>
        <w:rPr>
          <w:rFonts w:ascii="Times New Roman" w:eastAsia="SimSun" w:hAnsi="Times New Roman" w:cs="Times New Roman"/>
          <w:color w:val="000000"/>
        </w:rPr>
      </w:pPr>
    </w:p>
    <w:p w14:paraId="5E96CB1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Ikiklinikinių tyrimų metu visi gauti duomenys atitiko žinomą farmakologinį poveikį, ir tai buvo vienintelis žmonėms aktualus su saugumu susijęs tyrimų su gyvūnais metu nustatytas poveikis.</w:t>
      </w:r>
    </w:p>
    <w:p w14:paraId="59F9D4CC" w14:textId="77777777" w:rsidR="000C61CC" w:rsidRPr="0047338E" w:rsidRDefault="000C61CC" w:rsidP="000C61CC">
      <w:pPr>
        <w:spacing w:after="0" w:line="240" w:lineRule="auto"/>
        <w:rPr>
          <w:rFonts w:ascii="Times New Roman" w:eastAsia="SimSun" w:hAnsi="Times New Roman" w:cs="Times New Roman"/>
          <w:color w:val="000000"/>
        </w:rPr>
      </w:pPr>
    </w:p>
    <w:p w14:paraId="60656CBA" w14:textId="77777777" w:rsidR="000C61CC" w:rsidRPr="0047338E" w:rsidRDefault="000C61CC" w:rsidP="000C61CC">
      <w:pPr>
        <w:spacing w:after="0" w:line="240" w:lineRule="auto"/>
        <w:rPr>
          <w:rFonts w:ascii="Times New Roman" w:eastAsia="SimSun" w:hAnsi="Times New Roman" w:cs="Times New Roman"/>
          <w:color w:val="000000"/>
        </w:rPr>
      </w:pPr>
    </w:p>
    <w:p w14:paraId="2E08F483"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39" w:name="_Toc129243115"/>
      <w:bookmarkStart w:id="40" w:name="_Toc129243240"/>
      <w:r w:rsidRPr="0047338E">
        <w:rPr>
          <w:rFonts w:ascii="Times New Roman" w:eastAsia="Times New Roman" w:hAnsi="Times New Roman" w:cs="Times New Roman"/>
          <w:b/>
        </w:rPr>
        <w:t>6.</w:t>
      </w:r>
      <w:r w:rsidRPr="0047338E">
        <w:rPr>
          <w:rFonts w:ascii="Times New Roman" w:eastAsia="Times New Roman" w:hAnsi="Times New Roman" w:cs="Times New Roman"/>
          <w:b/>
        </w:rPr>
        <w:tab/>
        <w:t>FARMACINĖ INFORMACIJA</w:t>
      </w:r>
      <w:bookmarkEnd w:id="39"/>
      <w:bookmarkEnd w:id="40"/>
    </w:p>
    <w:p w14:paraId="2899105F" w14:textId="77777777" w:rsidR="000C61CC" w:rsidRPr="0047338E" w:rsidRDefault="000C61CC" w:rsidP="000C61CC">
      <w:pPr>
        <w:spacing w:after="0" w:line="240" w:lineRule="auto"/>
        <w:rPr>
          <w:rFonts w:ascii="Times New Roman" w:eastAsia="SimSun" w:hAnsi="Times New Roman" w:cs="Times New Roman"/>
          <w:color w:val="000000"/>
        </w:rPr>
      </w:pPr>
    </w:p>
    <w:p w14:paraId="1315CAA1"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41" w:name="_Toc129243116"/>
      <w:bookmarkStart w:id="42" w:name="_Toc129243241"/>
      <w:r w:rsidRPr="0047338E">
        <w:rPr>
          <w:rFonts w:ascii="Times New Roman" w:eastAsia="Times New Roman" w:hAnsi="Times New Roman" w:cs="Times New Roman"/>
          <w:b/>
        </w:rPr>
        <w:t>6.1</w:t>
      </w:r>
      <w:r w:rsidRPr="0047338E">
        <w:rPr>
          <w:rFonts w:ascii="Times New Roman" w:eastAsia="Times New Roman" w:hAnsi="Times New Roman" w:cs="Times New Roman"/>
          <w:b/>
        </w:rPr>
        <w:tab/>
        <w:t>Pagalbinių medžiagų sąrašas</w:t>
      </w:r>
      <w:bookmarkEnd w:id="41"/>
      <w:bookmarkEnd w:id="42"/>
    </w:p>
    <w:p w14:paraId="460B4C38" w14:textId="77777777" w:rsidR="000C61CC" w:rsidRPr="0047338E" w:rsidRDefault="000C61CC" w:rsidP="000C61CC">
      <w:pPr>
        <w:spacing w:after="0" w:line="240" w:lineRule="auto"/>
        <w:rPr>
          <w:rFonts w:ascii="Times New Roman" w:eastAsia="SimSun" w:hAnsi="Times New Roman" w:cs="Times New Roman"/>
          <w:color w:val="000000"/>
        </w:rPr>
      </w:pPr>
    </w:p>
    <w:p w14:paraId="3A77CFFE" w14:textId="001E3C0E"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Tabletės branduolys</w:t>
      </w:r>
    </w:p>
    <w:p w14:paraId="21732056" w14:textId="22F2968A"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Laktozė monohidratas</w:t>
      </w:r>
    </w:p>
    <w:p w14:paraId="58AC4DA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Kukurūzų krakmolas</w:t>
      </w:r>
    </w:p>
    <w:p w14:paraId="652B9AF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Hipromeliozė 2910 tipo</w:t>
      </w:r>
    </w:p>
    <w:p w14:paraId="54E3EDE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Mikrokristalinė celiuliozė</w:t>
      </w:r>
    </w:p>
    <w:p w14:paraId="4729EB3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Karboksimetilkrakmolo A natrio druska</w:t>
      </w:r>
    </w:p>
    <w:p w14:paraId="2E3271D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Koloidinis bevandenis silicio dioksidas </w:t>
      </w:r>
    </w:p>
    <w:p w14:paraId="6045B6B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Magnio stearatas</w:t>
      </w:r>
    </w:p>
    <w:p w14:paraId="6D7F8F7A" w14:textId="77777777" w:rsidR="000C61CC" w:rsidRPr="0047338E" w:rsidRDefault="000C61CC" w:rsidP="000C61CC">
      <w:pPr>
        <w:spacing w:after="0" w:line="240" w:lineRule="auto"/>
        <w:rPr>
          <w:rFonts w:ascii="Times New Roman" w:eastAsia="SimSun" w:hAnsi="Times New Roman" w:cs="Times New Roman"/>
          <w:color w:val="000000"/>
        </w:rPr>
      </w:pPr>
    </w:p>
    <w:p w14:paraId="51B024F8" w14:textId="4F86017A"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Tabletės plėvelė (Opadry geltonasis 03B82927)</w:t>
      </w:r>
    </w:p>
    <w:p w14:paraId="6D871C6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Hipromeliozė 6 cp (E 464)</w:t>
      </w:r>
    </w:p>
    <w:p w14:paraId="735A75B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Titano dioksidas (E 171)</w:t>
      </w:r>
    </w:p>
    <w:p w14:paraId="70639C1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Geltonasis geležies oksidas (E 172)</w:t>
      </w:r>
    </w:p>
    <w:p w14:paraId="3868F74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Makrogolis 400</w:t>
      </w:r>
    </w:p>
    <w:p w14:paraId="2DE22FB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Talkas (E 553b)</w:t>
      </w:r>
    </w:p>
    <w:p w14:paraId="594C39D2" w14:textId="77777777" w:rsidR="000C61CC" w:rsidRPr="0047338E" w:rsidRDefault="000C61CC" w:rsidP="000C61CC">
      <w:pPr>
        <w:spacing w:after="0" w:line="240" w:lineRule="auto"/>
        <w:rPr>
          <w:rFonts w:ascii="Times New Roman" w:eastAsia="SimSun" w:hAnsi="Times New Roman" w:cs="Times New Roman"/>
          <w:color w:val="000000"/>
        </w:rPr>
      </w:pPr>
    </w:p>
    <w:p w14:paraId="5C5300AF"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43" w:name="_Toc129243117"/>
      <w:bookmarkStart w:id="44" w:name="_Toc129243242"/>
      <w:r w:rsidRPr="0047338E">
        <w:rPr>
          <w:rFonts w:ascii="Times New Roman" w:eastAsia="Times New Roman" w:hAnsi="Times New Roman" w:cs="Times New Roman"/>
          <w:b/>
        </w:rPr>
        <w:t>6.2</w:t>
      </w:r>
      <w:r w:rsidRPr="0047338E">
        <w:rPr>
          <w:rFonts w:ascii="Times New Roman" w:eastAsia="Times New Roman" w:hAnsi="Times New Roman" w:cs="Times New Roman"/>
          <w:b/>
        </w:rPr>
        <w:tab/>
        <w:t>Nesuderinamumas</w:t>
      </w:r>
      <w:bookmarkEnd w:id="43"/>
      <w:bookmarkEnd w:id="44"/>
    </w:p>
    <w:p w14:paraId="774E19C7" w14:textId="77777777" w:rsidR="000C61CC" w:rsidRPr="0047338E" w:rsidRDefault="000C61CC" w:rsidP="000C61CC">
      <w:pPr>
        <w:spacing w:after="0" w:line="240" w:lineRule="auto"/>
        <w:rPr>
          <w:rFonts w:ascii="Times New Roman" w:eastAsia="SimSun" w:hAnsi="Times New Roman" w:cs="Times New Roman"/>
          <w:color w:val="000000"/>
        </w:rPr>
      </w:pPr>
    </w:p>
    <w:p w14:paraId="0A3FF03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Duomenys nebūtini.</w:t>
      </w:r>
    </w:p>
    <w:p w14:paraId="51EE35E2" w14:textId="77777777" w:rsidR="000C61CC" w:rsidRPr="0047338E" w:rsidRDefault="000C61CC" w:rsidP="000C61CC">
      <w:pPr>
        <w:spacing w:after="0" w:line="240" w:lineRule="auto"/>
        <w:rPr>
          <w:rFonts w:ascii="Times New Roman" w:eastAsia="SimSun" w:hAnsi="Times New Roman" w:cs="Times New Roman"/>
          <w:color w:val="000000"/>
        </w:rPr>
      </w:pPr>
    </w:p>
    <w:p w14:paraId="3A95EDC7"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45" w:name="_Toc129243118"/>
      <w:bookmarkStart w:id="46" w:name="_Toc129243243"/>
      <w:r w:rsidRPr="0047338E">
        <w:rPr>
          <w:rFonts w:ascii="Times New Roman" w:eastAsia="Times New Roman" w:hAnsi="Times New Roman" w:cs="Times New Roman"/>
          <w:b/>
        </w:rPr>
        <w:t>6.3</w:t>
      </w:r>
      <w:r w:rsidRPr="0047338E">
        <w:rPr>
          <w:rFonts w:ascii="Times New Roman" w:eastAsia="Times New Roman" w:hAnsi="Times New Roman" w:cs="Times New Roman"/>
          <w:b/>
        </w:rPr>
        <w:tab/>
        <w:t>Tinkamumo laikas</w:t>
      </w:r>
      <w:bookmarkEnd w:id="45"/>
      <w:bookmarkEnd w:id="46"/>
    </w:p>
    <w:p w14:paraId="24CFBA7F" w14:textId="77777777" w:rsidR="000C61CC" w:rsidRPr="0047338E" w:rsidRDefault="000C61CC" w:rsidP="000C61CC">
      <w:pPr>
        <w:spacing w:after="0" w:line="240" w:lineRule="auto"/>
        <w:rPr>
          <w:rFonts w:ascii="Times New Roman" w:eastAsia="SimSun" w:hAnsi="Times New Roman" w:cs="Times New Roman"/>
          <w:color w:val="000000"/>
        </w:rPr>
      </w:pPr>
    </w:p>
    <w:p w14:paraId="50324D6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3 metai</w:t>
      </w:r>
    </w:p>
    <w:p w14:paraId="34CFB219" w14:textId="77777777" w:rsidR="000C61CC" w:rsidRPr="0047338E" w:rsidRDefault="000C61CC" w:rsidP="000C61CC">
      <w:pPr>
        <w:spacing w:after="0" w:line="240" w:lineRule="auto"/>
        <w:rPr>
          <w:rFonts w:ascii="Times New Roman" w:eastAsia="SimSun" w:hAnsi="Times New Roman" w:cs="Times New Roman"/>
          <w:color w:val="000000"/>
        </w:rPr>
      </w:pPr>
    </w:p>
    <w:p w14:paraId="1EF02879"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47" w:name="_Toc129243119"/>
      <w:bookmarkStart w:id="48" w:name="_Toc129243244"/>
      <w:r w:rsidRPr="0047338E">
        <w:rPr>
          <w:rFonts w:ascii="Times New Roman" w:eastAsia="Times New Roman" w:hAnsi="Times New Roman" w:cs="Times New Roman"/>
          <w:b/>
        </w:rPr>
        <w:t>6.4</w:t>
      </w:r>
      <w:r w:rsidRPr="0047338E">
        <w:rPr>
          <w:rFonts w:ascii="Times New Roman" w:eastAsia="Times New Roman" w:hAnsi="Times New Roman" w:cs="Times New Roman"/>
          <w:b/>
        </w:rPr>
        <w:tab/>
        <w:t>Specialios laikymo sąlygos</w:t>
      </w:r>
      <w:bookmarkEnd w:id="47"/>
      <w:bookmarkEnd w:id="48"/>
    </w:p>
    <w:p w14:paraId="7E4D770E" w14:textId="77777777" w:rsidR="000C61CC" w:rsidRPr="0047338E" w:rsidRDefault="000C61CC" w:rsidP="000C61CC">
      <w:pPr>
        <w:spacing w:after="0" w:line="240" w:lineRule="auto"/>
        <w:rPr>
          <w:rFonts w:ascii="Times New Roman" w:eastAsia="SimSun" w:hAnsi="Times New Roman" w:cs="Times New Roman"/>
          <w:color w:val="000000"/>
        </w:rPr>
      </w:pPr>
    </w:p>
    <w:p w14:paraId="7CDD50C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Šiam vaistiniam preparatui specialių laikymo sąlygų nereikia.</w:t>
      </w:r>
    </w:p>
    <w:p w14:paraId="517052A2" w14:textId="77777777" w:rsidR="000C61CC" w:rsidRPr="0047338E" w:rsidRDefault="000C61CC" w:rsidP="000C61CC">
      <w:pPr>
        <w:spacing w:after="0" w:line="240" w:lineRule="auto"/>
        <w:rPr>
          <w:rFonts w:ascii="Times New Roman" w:eastAsia="SimSun" w:hAnsi="Times New Roman" w:cs="Times New Roman"/>
          <w:color w:val="000000"/>
        </w:rPr>
      </w:pPr>
    </w:p>
    <w:p w14:paraId="5D1EEC30" w14:textId="62F38946"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49" w:name="_Toc129243120"/>
      <w:bookmarkStart w:id="50" w:name="_Toc129243245"/>
      <w:r w:rsidRPr="0047338E">
        <w:rPr>
          <w:rFonts w:ascii="Times New Roman" w:eastAsia="Times New Roman" w:hAnsi="Times New Roman" w:cs="Times New Roman"/>
          <w:b/>
        </w:rPr>
        <w:t>6.5</w:t>
      </w:r>
      <w:r w:rsidRPr="0047338E">
        <w:rPr>
          <w:rFonts w:ascii="Times New Roman" w:eastAsia="Times New Roman" w:hAnsi="Times New Roman" w:cs="Times New Roman"/>
          <w:b/>
        </w:rPr>
        <w:tab/>
      </w:r>
      <w:r w:rsidR="00345D82" w:rsidRPr="0047338E">
        <w:rPr>
          <w:rFonts w:ascii="Times New Roman" w:eastAsia="Times New Roman" w:hAnsi="Times New Roman" w:cs="Times New Roman"/>
          <w:b/>
        </w:rPr>
        <w:t xml:space="preserve">Talpyklės pobūdis </w:t>
      </w:r>
      <w:r w:rsidRPr="0047338E">
        <w:rPr>
          <w:rFonts w:ascii="Times New Roman" w:eastAsia="Times New Roman" w:hAnsi="Times New Roman" w:cs="Times New Roman"/>
          <w:b/>
        </w:rPr>
        <w:t>ir jos turinys</w:t>
      </w:r>
      <w:bookmarkEnd w:id="49"/>
      <w:bookmarkEnd w:id="50"/>
    </w:p>
    <w:p w14:paraId="0657D764" w14:textId="77777777" w:rsidR="000C61CC" w:rsidRPr="0047338E" w:rsidRDefault="000C61CC" w:rsidP="000C61CC">
      <w:pPr>
        <w:spacing w:after="0" w:line="240" w:lineRule="auto"/>
        <w:rPr>
          <w:rFonts w:ascii="Times New Roman" w:eastAsia="SimSun" w:hAnsi="Times New Roman" w:cs="Times New Roman"/>
          <w:color w:val="000000"/>
        </w:rPr>
      </w:pPr>
    </w:p>
    <w:p w14:paraId="72EEC4A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Lizdinės plokštelės, pagamintos iš 250 µm polivinilchlorido (PVC) plokštelės, padengtos 90 gsm polivinilideno chlorido (PVdC) ir 25 µg aliuminio folija.</w:t>
      </w:r>
    </w:p>
    <w:p w14:paraId="4CFB5D1D" w14:textId="77777777" w:rsidR="000C61CC" w:rsidRPr="0047338E" w:rsidRDefault="000C61CC" w:rsidP="000C61CC">
      <w:pPr>
        <w:spacing w:after="0" w:line="240" w:lineRule="auto"/>
        <w:rPr>
          <w:rFonts w:ascii="Times New Roman" w:eastAsia="SimSun" w:hAnsi="Times New Roman" w:cs="Times New Roman"/>
          <w:color w:val="000000"/>
        </w:rPr>
      </w:pPr>
    </w:p>
    <w:p w14:paraId="622FF394"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10, 14, 28, 30, 50, 60, 84, 90, 98 arba 100 tablečių kartono dėžutėje.</w:t>
      </w:r>
    </w:p>
    <w:p w14:paraId="64A070FF" w14:textId="77777777" w:rsidR="000C61CC" w:rsidRPr="0047338E" w:rsidRDefault="00345D82"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Gali būti tiekiamos ne visų dydžių pakuotės.</w:t>
      </w:r>
    </w:p>
    <w:p w14:paraId="7A1BC69E" w14:textId="77777777" w:rsidR="00345D82" w:rsidRPr="0047338E" w:rsidRDefault="00345D82" w:rsidP="000C61CC">
      <w:pPr>
        <w:spacing w:after="0" w:line="240" w:lineRule="auto"/>
        <w:rPr>
          <w:rFonts w:ascii="Times New Roman" w:eastAsia="SimSun" w:hAnsi="Times New Roman" w:cs="Times New Roman"/>
          <w:color w:val="000000"/>
        </w:rPr>
      </w:pPr>
    </w:p>
    <w:p w14:paraId="169F8F64"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51" w:name="_Toc129243121"/>
      <w:bookmarkStart w:id="52" w:name="_Toc129243246"/>
      <w:r w:rsidRPr="0047338E">
        <w:rPr>
          <w:rFonts w:ascii="Times New Roman" w:eastAsia="Times New Roman" w:hAnsi="Times New Roman" w:cs="Times New Roman"/>
          <w:b/>
        </w:rPr>
        <w:t>6.6</w:t>
      </w:r>
      <w:r w:rsidRPr="0047338E">
        <w:rPr>
          <w:rFonts w:ascii="Times New Roman" w:eastAsia="Times New Roman" w:hAnsi="Times New Roman" w:cs="Times New Roman"/>
          <w:b/>
        </w:rPr>
        <w:tab/>
        <w:t>Specialūs reikalavimai atliekoms tvarkyti ir vaistiniam preparatui ruošti</w:t>
      </w:r>
      <w:bookmarkEnd w:id="51"/>
      <w:bookmarkEnd w:id="52"/>
    </w:p>
    <w:p w14:paraId="024CA9B4" w14:textId="77777777" w:rsidR="000C61CC" w:rsidRPr="0047338E" w:rsidRDefault="000C61CC" w:rsidP="000C61CC">
      <w:pPr>
        <w:spacing w:after="0" w:line="240" w:lineRule="auto"/>
        <w:rPr>
          <w:rFonts w:ascii="Times New Roman" w:eastAsia="SimSun" w:hAnsi="Times New Roman" w:cs="Times New Roman"/>
          <w:color w:val="000000"/>
        </w:rPr>
      </w:pPr>
    </w:p>
    <w:p w14:paraId="5216FE9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Nesuvartotą </w:t>
      </w:r>
      <w:r w:rsidR="00345D82" w:rsidRPr="0047338E">
        <w:rPr>
          <w:rFonts w:ascii="Times New Roman" w:eastAsia="SimSun" w:hAnsi="Times New Roman" w:cs="Times New Roman"/>
          <w:color w:val="000000"/>
        </w:rPr>
        <w:t xml:space="preserve">vaistinį </w:t>
      </w:r>
      <w:r w:rsidRPr="0047338E">
        <w:rPr>
          <w:rFonts w:ascii="Times New Roman" w:eastAsia="SimSun" w:hAnsi="Times New Roman" w:cs="Times New Roman"/>
          <w:color w:val="000000"/>
        </w:rPr>
        <w:t>preparatą ar atliekas reikia tvarkyti laikantis vietinių reikalavimų.</w:t>
      </w:r>
    </w:p>
    <w:p w14:paraId="5732848F" w14:textId="77777777" w:rsidR="000C61CC" w:rsidRPr="0047338E" w:rsidRDefault="000C61CC" w:rsidP="000C61CC">
      <w:pPr>
        <w:spacing w:after="0" w:line="240" w:lineRule="auto"/>
        <w:rPr>
          <w:rFonts w:ascii="Times New Roman" w:eastAsia="SimSun" w:hAnsi="Times New Roman" w:cs="Times New Roman"/>
          <w:color w:val="000000"/>
        </w:rPr>
      </w:pPr>
    </w:p>
    <w:p w14:paraId="48144348" w14:textId="77777777" w:rsidR="000C61CC" w:rsidRPr="0047338E" w:rsidRDefault="000C61CC" w:rsidP="000C61CC">
      <w:pPr>
        <w:spacing w:after="0" w:line="240" w:lineRule="auto"/>
        <w:rPr>
          <w:rFonts w:ascii="Times New Roman" w:eastAsia="SimSun" w:hAnsi="Times New Roman" w:cs="Times New Roman"/>
          <w:color w:val="000000"/>
        </w:rPr>
      </w:pPr>
    </w:p>
    <w:p w14:paraId="4C65F91F" w14:textId="77777777" w:rsidR="000C61CC" w:rsidRPr="0047338E" w:rsidRDefault="000C61CC" w:rsidP="000C61CC">
      <w:pPr>
        <w:keepNext/>
        <w:keepLines/>
        <w:tabs>
          <w:tab w:val="left" w:pos="567"/>
        </w:tabs>
        <w:spacing w:after="0" w:line="240" w:lineRule="auto"/>
        <w:outlineLvl w:val="2"/>
        <w:rPr>
          <w:rFonts w:ascii="Times New Roman" w:eastAsia="Times New Roman" w:hAnsi="Times New Roman" w:cs="Times New Roman"/>
          <w:b/>
          <w:bCs/>
          <w:snapToGrid w:val="0"/>
        </w:rPr>
      </w:pPr>
      <w:bookmarkStart w:id="53" w:name="_Toc129243122"/>
      <w:bookmarkStart w:id="54" w:name="_Toc129243247"/>
      <w:r w:rsidRPr="0047338E">
        <w:rPr>
          <w:rFonts w:ascii="Times New Roman" w:eastAsia="Times New Roman" w:hAnsi="Times New Roman" w:cs="Times New Roman"/>
          <w:b/>
          <w:bCs/>
          <w:snapToGrid w:val="0"/>
        </w:rPr>
        <w:t>7.</w:t>
      </w:r>
      <w:r w:rsidRPr="0047338E">
        <w:rPr>
          <w:rFonts w:ascii="Times New Roman" w:eastAsia="Times New Roman" w:hAnsi="Times New Roman" w:cs="Times New Roman"/>
          <w:b/>
          <w:bCs/>
          <w:snapToGrid w:val="0"/>
        </w:rPr>
        <w:tab/>
        <w:t>REGISTRUOTOJAS</w:t>
      </w:r>
    </w:p>
    <w:bookmarkEnd w:id="53"/>
    <w:bookmarkEnd w:id="54"/>
    <w:p w14:paraId="7F12FD8A" w14:textId="77777777" w:rsidR="000C61CC" w:rsidRPr="0047338E" w:rsidRDefault="000C61CC" w:rsidP="000C61CC">
      <w:pPr>
        <w:spacing w:after="0" w:line="240" w:lineRule="auto"/>
        <w:rPr>
          <w:rFonts w:ascii="Times New Roman" w:eastAsia="SimSun" w:hAnsi="Times New Roman" w:cs="Times New Roman"/>
          <w:color w:val="000000"/>
        </w:rPr>
      </w:pPr>
    </w:p>
    <w:p w14:paraId="7FF28CB7"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Accord Healthcare B.V. </w:t>
      </w:r>
    </w:p>
    <w:p w14:paraId="170D374D"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Winthontlaan 200 </w:t>
      </w:r>
    </w:p>
    <w:p w14:paraId="710F5152"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3526 KV Utrecht </w:t>
      </w:r>
    </w:p>
    <w:p w14:paraId="73AFBA83"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Nyderlandai</w:t>
      </w:r>
    </w:p>
    <w:p w14:paraId="06FA5249" w14:textId="77777777" w:rsidR="000C61CC" w:rsidRPr="0047338E" w:rsidRDefault="000C61CC" w:rsidP="000C61CC">
      <w:pPr>
        <w:spacing w:after="0" w:line="240" w:lineRule="auto"/>
        <w:rPr>
          <w:rFonts w:ascii="Times New Roman" w:eastAsia="SimSun" w:hAnsi="Times New Roman" w:cs="Times New Roman"/>
          <w:color w:val="000000"/>
        </w:rPr>
      </w:pPr>
    </w:p>
    <w:p w14:paraId="4C33818D" w14:textId="77777777" w:rsidR="000C61CC" w:rsidRPr="0047338E" w:rsidRDefault="000C61CC" w:rsidP="000C61CC">
      <w:pPr>
        <w:spacing w:after="0" w:line="240" w:lineRule="auto"/>
        <w:rPr>
          <w:rFonts w:ascii="Times New Roman" w:eastAsia="SimSun" w:hAnsi="Times New Roman" w:cs="Times New Roman"/>
          <w:color w:val="000000"/>
        </w:rPr>
      </w:pPr>
    </w:p>
    <w:p w14:paraId="6EFDDF8D" w14:textId="77777777" w:rsidR="000C61CC" w:rsidRPr="0047338E" w:rsidRDefault="000C61CC" w:rsidP="000C61CC">
      <w:pPr>
        <w:keepNext/>
        <w:keepLines/>
        <w:tabs>
          <w:tab w:val="left" w:pos="567"/>
        </w:tabs>
        <w:spacing w:after="0" w:line="240" w:lineRule="auto"/>
        <w:outlineLvl w:val="2"/>
        <w:rPr>
          <w:rFonts w:ascii="Times New Roman" w:eastAsia="Times New Roman" w:hAnsi="Times New Roman" w:cs="Times New Roman"/>
          <w:b/>
        </w:rPr>
      </w:pPr>
      <w:bookmarkStart w:id="55" w:name="_Toc129243123"/>
      <w:bookmarkStart w:id="56" w:name="_Toc129243248"/>
      <w:r w:rsidRPr="0047338E">
        <w:rPr>
          <w:rFonts w:ascii="Times New Roman" w:eastAsia="Times New Roman" w:hAnsi="Times New Roman" w:cs="Times New Roman"/>
          <w:b/>
        </w:rPr>
        <w:t>8.</w:t>
      </w:r>
      <w:r w:rsidRPr="0047338E">
        <w:rPr>
          <w:rFonts w:ascii="Times New Roman" w:eastAsia="Times New Roman" w:hAnsi="Times New Roman" w:cs="Times New Roman"/>
          <w:b/>
        </w:rPr>
        <w:tab/>
      </w:r>
      <w:r w:rsidRPr="0047338E">
        <w:rPr>
          <w:rFonts w:ascii="Times New Roman" w:eastAsia="Times New Roman" w:hAnsi="Times New Roman" w:cs="Times New Roman"/>
          <w:b/>
          <w:bCs/>
          <w:snapToGrid w:val="0"/>
        </w:rPr>
        <w:t>REGISTRACIJOS</w:t>
      </w:r>
      <w:r w:rsidRPr="0047338E">
        <w:rPr>
          <w:rFonts w:ascii="Times New Roman" w:eastAsia="Times New Roman" w:hAnsi="Times New Roman" w:cs="Times New Roman"/>
          <w:b/>
        </w:rPr>
        <w:t xml:space="preserve"> PAŽYMĖJIMO NUMERIS (-IAI)</w:t>
      </w:r>
      <w:r w:rsidRPr="0047338E">
        <w:rPr>
          <w:rFonts w:ascii="Times New Roman" w:eastAsia="Times New Roman" w:hAnsi="Times New Roman" w:cs="Times New Roman"/>
          <w:b/>
          <w:bCs/>
          <w:snapToGrid w:val="0"/>
        </w:rPr>
        <w:t xml:space="preserve"> </w:t>
      </w:r>
    </w:p>
    <w:bookmarkEnd w:id="55"/>
    <w:bookmarkEnd w:id="56"/>
    <w:p w14:paraId="1C76228E" w14:textId="77777777" w:rsidR="000C61CC" w:rsidRPr="0047338E" w:rsidRDefault="000C61CC" w:rsidP="000C61CC">
      <w:pPr>
        <w:spacing w:after="0" w:line="240" w:lineRule="auto"/>
        <w:rPr>
          <w:rFonts w:ascii="Times New Roman" w:eastAsia="SimSun" w:hAnsi="Times New Roman" w:cs="Times New Roman"/>
          <w:color w:val="000000"/>
        </w:rPr>
      </w:pPr>
    </w:p>
    <w:p w14:paraId="788325EA" w14:textId="6128CD47"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LT/1/09/1451/002 – N10</w:t>
      </w:r>
    </w:p>
    <w:p w14:paraId="5A5273F9" w14:textId="4D693652"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LT/1/09/1451/003 – N14</w:t>
      </w:r>
    </w:p>
    <w:p w14:paraId="5A882130" w14:textId="77777777" w:rsidR="00E24C0C" w:rsidRPr="0047338E" w:rsidRDefault="00E24C0C" w:rsidP="00E24C0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LT/1/09/1451/001 – N28</w:t>
      </w:r>
    </w:p>
    <w:p w14:paraId="2837FBF0" w14:textId="6E567F1F"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LT/1/09/1451/004 – N30</w:t>
      </w:r>
    </w:p>
    <w:p w14:paraId="06C8EFEC" w14:textId="11CA5BC5"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LT/1/09/1451/005 – N50</w:t>
      </w:r>
    </w:p>
    <w:p w14:paraId="65A8DA05" w14:textId="7F842452"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LT/1/09/1451/006 – N60</w:t>
      </w:r>
    </w:p>
    <w:p w14:paraId="19C0CEE1" w14:textId="3CB7F497"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LT/1/09/1451/007 – N84</w:t>
      </w:r>
    </w:p>
    <w:p w14:paraId="14CD5825" w14:textId="4368BC72"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LT/1/09/1451/008 – N90</w:t>
      </w:r>
    </w:p>
    <w:p w14:paraId="24BB4515" w14:textId="6CFBE150" w:rsidR="004D4AF4"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LT/1/09/1451/009 – N98</w:t>
      </w:r>
    </w:p>
    <w:p w14:paraId="7CC4CFFF" w14:textId="0E2C595E" w:rsidR="000C61CC" w:rsidRPr="0047338E" w:rsidRDefault="004D4AF4" w:rsidP="004D4AF4">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LT/1/09/1451/010 – N100</w:t>
      </w:r>
    </w:p>
    <w:p w14:paraId="5EAF57B8" w14:textId="77777777" w:rsidR="004D4AF4" w:rsidRPr="0047338E" w:rsidRDefault="004D4AF4" w:rsidP="004D4AF4">
      <w:pPr>
        <w:spacing w:after="0" w:line="240" w:lineRule="auto"/>
        <w:rPr>
          <w:rFonts w:ascii="Times New Roman" w:eastAsia="SimSun" w:hAnsi="Times New Roman" w:cs="Times New Roman"/>
          <w:color w:val="000000"/>
        </w:rPr>
      </w:pPr>
    </w:p>
    <w:p w14:paraId="256C7275" w14:textId="77777777" w:rsidR="000C61CC" w:rsidRPr="0047338E" w:rsidRDefault="000C61CC" w:rsidP="000C61CC">
      <w:pPr>
        <w:spacing w:after="0" w:line="240" w:lineRule="auto"/>
        <w:rPr>
          <w:rFonts w:ascii="Times New Roman" w:eastAsia="SimSun" w:hAnsi="Times New Roman" w:cs="Times New Roman"/>
          <w:color w:val="000000"/>
        </w:rPr>
      </w:pPr>
    </w:p>
    <w:p w14:paraId="4C6FC00E" w14:textId="77777777" w:rsidR="000C61CC" w:rsidRPr="0047338E" w:rsidRDefault="000C61CC" w:rsidP="000C61CC">
      <w:pPr>
        <w:keepNext/>
        <w:keepLines/>
        <w:tabs>
          <w:tab w:val="left" w:pos="567"/>
        </w:tabs>
        <w:spacing w:after="0" w:line="240" w:lineRule="auto"/>
        <w:outlineLvl w:val="2"/>
        <w:rPr>
          <w:rFonts w:ascii="Times New Roman" w:eastAsia="Times New Roman" w:hAnsi="Times New Roman" w:cs="Times New Roman"/>
          <w:b/>
        </w:rPr>
      </w:pPr>
      <w:bookmarkStart w:id="57" w:name="_Toc129243124"/>
      <w:bookmarkStart w:id="58" w:name="_Toc129243249"/>
      <w:r w:rsidRPr="0047338E">
        <w:rPr>
          <w:rFonts w:ascii="Times New Roman" w:eastAsia="Times New Roman" w:hAnsi="Times New Roman" w:cs="Times New Roman"/>
          <w:b/>
        </w:rPr>
        <w:t>9.</w:t>
      </w:r>
      <w:r w:rsidRPr="0047338E">
        <w:rPr>
          <w:rFonts w:ascii="Times New Roman" w:eastAsia="Times New Roman" w:hAnsi="Times New Roman" w:cs="Times New Roman"/>
          <w:b/>
        </w:rPr>
        <w:tab/>
      </w:r>
      <w:r w:rsidRPr="0047338E">
        <w:rPr>
          <w:rFonts w:ascii="Times New Roman" w:eastAsia="Times New Roman" w:hAnsi="Times New Roman" w:cs="Times New Roman"/>
          <w:b/>
          <w:bCs/>
          <w:snapToGrid w:val="0"/>
        </w:rPr>
        <w:t>REGISTRAVIMO / PERREGISTRAVIMO</w:t>
      </w:r>
      <w:r w:rsidRPr="0047338E">
        <w:rPr>
          <w:rFonts w:ascii="Times New Roman" w:eastAsia="Times New Roman" w:hAnsi="Times New Roman" w:cs="Times New Roman"/>
          <w:b/>
        </w:rPr>
        <w:t xml:space="preserve"> DATA</w:t>
      </w:r>
    </w:p>
    <w:bookmarkEnd w:id="57"/>
    <w:bookmarkEnd w:id="58"/>
    <w:p w14:paraId="7627B2D9" w14:textId="77777777" w:rsidR="000C61CC" w:rsidRPr="0047338E" w:rsidRDefault="000C61CC" w:rsidP="000C61CC">
      <w:pPr>
        <w:spacing w:after="0" w:line="240" w:lineRule="auto"/>
        <w:rPr>
          <w:rFonts w:ascii="Times New Roman" w:eastAsia="SimSun" w:hAnsi="Times New Roman" w:cs="Times New Roman"/>
          <w:color w:val="000000"/>
        </w:rPr>
      </w:pPr>
    </w:p>
    <w:p w14:paraId="6C051FE5" w14:textId="34AF811D"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Registravimo data 2009 m.</w:t>
      </w:r>
      <w:r w:rsidR="004D4AF4" w:rsidRPr="0047338E">
        <w:rPr>
          <w:rFonts w:ascii="Times New Roman" w:eastAsia="SimSun" w:hAnsi="Times New Roman" w:cs="Times New Roman"/>
          <w:color w:val="000000"/>
        </w:rPr>
        <w:t xml:space="preserve"> </w:t>
      </w:r>
      <w:r w:rsidRPr="0047338E">
        <w:rPr>
          <w:rFonts w:ascii="Times New Roman" w:eastAsia="SimSun" w:hAnsi="Times New Roman" w:cs="Times New Roman"/>
          <w:color w:val="000000"/>
        </w:rPr>
        <w:t>vasario 3 d.</w:t>
      </w:r>
    </w:p>
    <w:p w14:paraId="1BA59825" w14:textId="02C425EA" w:rsidR="000C61CC" w:rsidRPr="0047338E" w:rsidRDefault="00345D82"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Paskutinio perregistravimo data</w:t>
      </w:r>
      <w:r w:rsidR="004D4AF4" w:rsidRPr="0047338E">
        <w:rPr>
          <w:rFonts w:ascii="Times New Roman" w:eastAsia="SimSun" w:hAnsi="Times New Roman" w:cs="Times New Roman"/>
          <w:color w:val="000000"/>
        </w:rPr>
        <w:t xml:space="preserve"> 2018 m. balandžio 26 d.</w:t>
      </w:r>
    </w:p>
    <w:p w14:paraId="3ACA71F9" w14:textId="77777777" w:rsidR="00345D82" w:rsidRPr="0047338E" w:rsidRDefault="00345D82" w:rsidP="000C61CC">
      <w:pPr>
        <w:spacing w:after="0" w:line="240" w:lineRule="auto"/>
        <w:rPr>
          <w:rFonts w:ascii="Times New Roman" w:eastAsia="SimSun" w:hAnsi="Times New Roman" w:cs="Times New Roman"/>
          <w:color w:val="000000"/>
        </w:rPr>
      </w:pPr>
    </w:p>
    <w:p w14:paraId="03832F95" w14:textId="77777777" w:rsidR="000C61CC" w:rsidRPr="0047338E" w:rsidRDefault="000C61CC" w:rsidP="000C61CC">
      <w:pPr>
        <w:spacing w:after="0" w:line="240" w:lineRule="auto"/>
        <w:rPr>
          <w:rFonts w:ascii="Times New Roman" w:eastAsia="SimSun" w:hAnsi="Times New Roman" w:cs="Times New Roman"/>
          <w:color w:val="000000"/>
        </w:rPr>
      </w:pPr>
    </w:p>
    <w:p w14:paraId="5AC51D9A" w14:textId="77777777" w:rsidR="000C61CC" w:rsidRPr="0047338E" w:rsidRDefault="000C61CC" w:rsidP="000C61CC">
      <w:pPr>
        <w:keepNext/>
        <w:tabs>
          <w:tab w:val="left" w:pos="567"/>
        </w:tabs>
        <w:spacing w:after="0" w:line="240" w:lineRule="auto"/>
        <w:ind w:left="567" w:hanging="567"/>
        <w:outlineLvl w:val="1"/>
        <w:rPr>
          <w:rFonts w:ascii="Times New Roman" w:eastAsia="Times New Roman" w:hAnsi="Times New Roman" w:cs="Times New Roman"/>
          <w:b/>
          <w:caps/>
        </w:rPr>
      </w:pPr>
      <w:bookmarkStart w:id="59" w:name="_Toc129243125"/>
      <w:bookmarkStart w:id="60" w:name="_Toc129243250"/>
      <w:r w:rsidRPr="0047338E">
        <w:rPr>
          <w:rFonts w:ascii="Times New Roman" w:eastAsia="Times New Roman" w:hAnsi="Times New Roman" w:cs="Times New Roman"/>
          <w:b/>
          <w:caps/>
        </w:rPr>
        <w:t>10.</w:t>
      </w:r>
      <w:r w:rsidRPr="0047338E">
        <w:rPr>
          <w:rFonts w:ascii="Times New Roman" w:eastAsia="Times New Roman" w:hAnsi="Times New Roman" w:cs="Times New Roman"/>
          <w:b/>
          <w:caps/>
        </w:rPr>
        <w:tab/>
        <w:t>TEKSTO PERŽIŪROS DATA</w:t>
      </w:r>
      <w:bookmarkEnd w:id="59"/>
      <w:bookmarkEnd w:id="60"/>
    </w:p>
    <w:p w14:paraId="47F6F9CF" w14:textId="77777777" w:rsidR="004D4AF4" w:rsidRPr="0047338E" w:rsidRDefault="004D4AF4" w:rsidP="000C61CC">
      <w:pPr>
        <w:spacing w:after="0" w:line="240" w:lineRule="auto"/>
        <w:rPr>
          <w:rFonts w:ascii="Times New Roman" w:eastAsia="SimSun" w:hAnsi="Times New Roman" w:cs="Times New Roman"/>
          <w:color w:val="000000"/>
        </w:rPr>
      </w:pPr>
    </w:p>
    <w:p w14:paraId="3AE06B33" w14:textId="139B9FB6" w:rsidR="000C61CC" w:rsidRPr="0047338E" w:rsidRDefault="00257A5F" w:rsidP="000C61CC">
      <w:pPr>
        <w:spacing w:after="0" w:line="240" w:lineRule="auto"/>
        <w:rPr>
          <w:rFonts w:ascii="Times New Roman" w:hAnsi="Times New Roman" w:cs="Times New Roman"/>
          <w:sz w:val="24"/>
        </w:rPr>
      </w:pPr>
      <w:r w:rsidRPr="0047338E">
        <w:rPr>
          <w:rFonts w:ascii="Times New Roman" w:eastAsia="SimSun" w:hAnsi="Times New Roman" w:cs="Times New Roman"/>
          <w:color w:val="000000"/>
        </w:rPr>
        <w:t>202</w:t>
      </w:r>
      <w:r w:rsidR="00CE18E4">
        <w:rPr>
          <w:rFonts w:ascii="Times New Roman" w:eastAsia="SimSun" w:hAnsi="Times New Roman" w:cs="Times New Roman"/>
          <w:color w:val="000000"/>
        </w:rPr>
        <w:t>3</w:t>
      </w:r>
      <w:r w:rsidRPr="0047338E">
        <w:rPr>
          <w:rFonts w:ascii="Times New Roman" w:eastAsia="SimSun" w:hAnsi="Times New Roman" w:cs="Times New Roman"/>
          <w:color w:val="000000"/>
        </w:rPr>
        <w:t xml:space="preserve"> m. </w:t>
      </w:r>
      <w:r w:rsidR="00CE18E4">
        <w:rPr>
          <w:rFonts w:ascii="Times New Roman" w:eastAsia="SimSun" w:hAnsi="Times New Roman" w:cs="Times New Roman"/>
          <w:color w:val="000000"/>
        </w:rPr>
        <w:t>gruodžio</w:t>
      </w:r>
      <w:r w:rsidRPr="0047338E">
        <w:rPr>
          <w:rFonts w:ascii="Times New Roman" w:eastAsia="SimSun" w:hAnsi="Times New Roman" w:cs="Times New Roman"/>
          <w:color w:val="000000"/>
        </w:rPr>
        <w:t xml:space="preserve"> </w:t>
      </w:r>
      <w:r w:rsidR="00CE18E4">
        <w:rPr>
          <w:rFonts w:ascii="Times New Roman" w:eastAsia="SimSun" w:hAnsi="Times New Roman" w:cs="Times New Roman"/>
          <w:color w:val="000000"/>
        </w:rPr>
        <w:t>7</w:t>
      </w:r>
      <w:r w:rsidRPr="0047338E">
        <w:rPr>
          <w:rFonts w:ascii="Times New Roman" w:eastAsia="SimSun" w:hAnsi="Times New Roman" w:cs="Times New Roman"/>
          <w:color w:val="000000"/>
        </w:rPr>
        <w:t xml:space="preserve"> d.</w:t>
      </w:r>
    </w:p>
    <w:p w14:paraId="4E7D60BD" w14:textId="77777777" w:rsidR="000C61CC" w:rsidRPr="0047338E" w:rsidRDefault="000C61CC" w:rsidP="000C61CC">
      <w:pPr>
        <w:spacing w:after="0" w:line="240" w:lineRule="auto"/>
        <w:rPr>
          <w:rFonts w:ascii="Times New Roman" w:eastAsia="SimSun" w:hAnsi="Times New Roman" w:cs="Times New Roman"/>
          <w:color w:val="000000"/>
        </w:rPr>
      </w:pPr>
    </w:p>
    <w:p w14:paraId="3AF50B00" w14:textId="77777777" w:rsidR="000C61CC" w:rsidRPr="0047338E" w:rsidRDefault="000C61CC" w:rsidP="000C61CC">
      <w:pPr>
        <w:tabs>
          <w:tab w:val="left" w:pos="5954"/>
          <w:tab w:val="left" w:pos="6237"/>
          <w:tab w:val="left" w:pos="6663"/>
          <w:tab w:val="left" w:pos="6946"/>
        </w:tabs>
        <w:spacing w:after="0" w:line="240" w:lineRule="auto"/>
        <w:rPr>
          <w:rFonts w:ascii="Times New Roman" w:eastAsia="SimSun" w:hAnsi="Times New Roman" w:cs="Times New Roman"/>
        </w:rPr>
      </w:pPr>
      <w:r w:rsidRPr="0047338E">
        <w:rPr>
          <w:rFonts w:ascii="Times New Roman" w:eastAsia="SimSun" w:hAnsi="Times New Roman" w:cs="Times New Roman"/>
        </w:rPr>
        <w:t>Išsami informacija apie šį vaistinį preparatą pateikiama Valstybinės vaistų kontrolės tarnybos prie Lietuvos Respublikos sveikatos apsaugos ministerijos tinklalapyje</w:t>
      </w:r>
      <w:r w:rsidRPr="0047338E">
        <w:rPr>
          <w:rFonts w:ascii="Times New Roman" w:eastAsia="SimSun" w:hAnsi="Times New Roman" w:cs="Times New Roman"/>
          <w:i/>
        </w:rPr>
        <w:t xml:space="preserve"> </w:t>
      </w:r>
      <w:hyperlink r:id="rId11" w:history="1">
        <w:r w:rsidRPr="0047338E">
          <w:rPr>
            <w:rFonts w:ascii="Times New Roman" w:eastAsia="SimSun" w:hAnsi="Times New Roman" w:cs="Times New Roman"/>
            <w:color w:val="0000FF"/>
            <w:u w:val="single"/>
          </w:rPr>
          <w:t>http://www.vvkt.lt</w:t>
        </w:r>
      </w:hyperlink>
    </w:p>
    <w:p w14:paraId="65B3DEC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br w:type="page"/>
      </w:r>
    </w:p>
    <w:p w14:paraId="40759790" w14:textId="77777777" w:rsidR="000C61CC" w:rsidRPr="0047338E" w:rsidRDefault="000C61CC" w:rsidP="000C61CC">
      <w:pPr>
        <w:spacing w:after="0" w:line="240" w:lineRule="auto"/>
        <w:rPr>
          <w:rFonts w:ascii="Times New Roman" w:eastAsia="SimSun" w:hAnsi="Times New Roman" w:cs="Times New Roman"/>
          <w:color w:val="000000"/>
        </w:rPr>
      </w:pPr>
    </w:p>
    <w:p w14:paraId="7A44360B" w14:textId="77777777" w:rsidR="000C61CC" w:rsidRPr="0047338E" w:rsidRDefault="000C61CC" w:rsidP="000C61CC">
      <w:pPr>
        <w:spacing w:after="0" w:line="240" w:lineRule="auto"/>
        <w:rPr>
          <w:rFonts w:ascii="Times New Roman" w:eastAsia="SimSun" w:hAnsi="Times New Roman" w:cs="Times New Roman"/>
          <w:color w:val="000000"/>
        </w:rPr>
      </w:pPr>
    </w:p>
    <w:p w14:paraId="25DA2FD2" w14:textId="77777777" w:rsidR="000C61CC" w:rsidRPr="0047338E" w:rsidRDefault="000C61CC" w:rsidP="000C61CC">
      <w:pPr>
        <w:spacing w:after="0" w:line="240" w:lineRule="auto"/>
        <w:rPr>
          <w:rFonts w:ascii="Times New Roman" w:eastAsia="SimSun" w:hAnsi="Times New Roman" w:cs="Times New Roman"/>
          <w:color w:val="000000"/>
        </w:rPr>
      </w:pPr>
    </w:p>
    <w:p w14:paraId="3E694D73" w14:textId="77777777" w:rsidR="000C61CC" w:rsidRPr="0047338E" w:rsidRDefault="000C61CC" w:rsidP="000C61CC">
      <w:pPr>
        <w:spacing w:after="0" w:line="240" w:lineRule="auto"/>
        <w:rPr>
          <w:rFonts w:ascii="Times New Roman" w:eastAsia="SimSun" w:hAnsi="Times New Roman" w:cs="Times New Roman"/>
          <w:color w:val="000000"/>
        </w:rPr>
      </w:pPr>
    </w:p>
    <w:p w14:paraId="68CD1D86" w14:textId="77777777" w:rsidR="000C61CC" w:rsidRPr="0047338E" w:rsidRDefault="000C61CC" w:rsidP="000C61CC">
      <w:pPr>
        <w:spacing w:after="0" w:line="240" w:lineRule="auto"/>
        <w:rPr>
          <w:rFonts w:ascii="Times New Roman" w:eastAsia="SimSun" w:hAnsi="Times New Roman" w:cs="Times New Roman"/>
          <w:color w:val="000000"/>
        </w:rPr>
      </w:pPr>
    </w:p>
    <w:p w14:paraId="1FF29B56" w14:textId="77777777" w:rsidR="000C61CC" w:rsidRPr="0047338E" w:rsidRDefault="000C61CC" w:rsidP="000C61CC">
      <w:pPr>
        <w:spacing w:after="0" w:line="240" w:lineRule="auto"/>
        <w:rPr>
          <w:rFonts w:ascii="Times New Roman" w:eastAsia="SimSun" w:hAnsi="Times New Roman" w:cs="Times New Roman"/>
          <w:color w:val="000000"/>
        </w:rPr>
      </w:pPr>
    </w:p>
    <w:p w14:paraId="393DFD2C" w14:textId="77777777" w:rsidR="000C61CC" w:rsidRPr="0047338E" w:rsidRDefault="000C61CC" w:rsidP="000C61CC">
      <w:pPr>
        <w:spacing w:after="0" w:line="240" w:lineRule="auto"/>
        <w:rPr>
          <w:rFonts w:ascii="Times New Roman" w:eastAsia="SimSun" w:hAnsi="Times New Roman" w:cs="Times New Roman"/>
          <w:color w:val="000000"/>
        </w:rPr>
      </w:pPr>
    </w:p>
    <w:p w14:paraId="1A264D0A" w14:textId="77777777" w:rsidR="000C61CC" w:rsidRPr="0047338E" w:rsidRDefault="000C61CC" w:rsidP="000C61CC">
      <w:pPr>
        <w:spacing w:after="0" w:line="240" w:lineRule="auto"/>
        <w:rPr>
          <w:rFonts w:ascii="Times New Roman" w:eastAsia="SimSun" w:hAnsi="Times New Roman" w:cs="Times New Roman"/>
          <w:color w:val="000000"/>
        </w:rPr>
      </w:pPr>
    </w:p>
    <w:p w14:paraId="4A663A1F" w14:textId="77777777" w:rsidR="000C61CC" w:rsidRPr="0047338E" w:rsidRDefault="000C61CC" w:rsidP="000C61CC">
      <w:pPr>
        <w:spacing w:after="0" w:line="240" w:lineRule="auto"/>
        <w:rPr>
          <w:rFonts w:ascii="Times New Roman" w:eastAsia="SimSun" w:hAnsi="Times New Roman" w:cs="Times New Roman"/>
          <w:color w:val="000000"/>
        </w:rPr>
      </w:pPr>
    </w:p>
    <w:p w14:paraId="4ED087A9" w14:textId="77777777" w:rsidR="000C61CC" w:rsidRPr="0047338E" w:rsidRDefault="000C61CC" w:rsidP="000C61CC">
      <w:pPr>
        <w:spacing w:after="0" w:line="240" w:lineRule="auto"/>
        <w:rPr>
          <w:rFonts w:ascii="Times New Roman" w:eastAsia="SimSun" w:hAnsi="Times New Roman" w:cs="Times New Roman"/>
          <w:color w:val="000000"/>
        </w:rPr>
      </w:pPr>
    </w:p>
    <w:p w14:paraId="30F1346A" w14:textId="77777777" w:rsidR="000C61CC" w:rsidRPr="0047338E" w:rsidRDefault="000C61CC" w:rsidP="000C61CC">
      <w:pPr>
        <w:spacing w:after="0" w:line="240" w:lineRule="auto"/>
        <w:rPr>
          <w:rFonts w:ascii="Times New Roman" w:eastAsia="SimSun" w:hAnsi="Times New Roman" w:cs="Times New Roman"/>
          <w:color w:val="000000"/>
        </w:rPr>
      </w:pPr>
    </w:p>
    <w:p w14:paraId="30748E11" w14:textId="77777777" w:rsidR="000C61CC" w:rsidRPr="0047338E" w:rsidRDefault="000C61CC" w:rsidP="000C61CC">
      <w:pPr>
        <w:spacing w:after="0" w:line="240" w:lineRule="auto"/>
        <w:rPr>
          <w:rFonts w:ascii="Times New Roman" w:eastAsia="SimSun" w:hAnsi="Times New Roman" w:cs="Times New Roman"/>
          <w:color w:val="000000"/>
        </w:rPr>
      </w:pPr>
    </w:p>
    <w:p w14:paraId="027AE790" w14:textId="77777777" w:rsidR="000C61CC" w:rsidRPr="0047338E" w:rsidRDefault="000C61CC" w:rsidP="000C61CC">
      <w:pPr>
        <w:spacing w:after="0" w:line="240" w:lineRule="auto"/>
        <w:rPr>
          <w:rFonts w:ascii="Times New Roman" w:eastAsia="SimSun" w:hAnsi="Times New Roman" w:cs="Times New Roman"/>
          <w:color w:val="000000"/>
        </w:rPr>
      </w:pPr>
    </w:p>
    <w:p w14:paraId="40123A6E" w14:textId="77777777" w:rsidR="000C61CC" w:rsidRPr="0047338E" w:rsidRDefault="000C61CC" w:rsidP="000C61CC">
      <w:pPr>
        <w:spacing w:after="0" w:line="240" w:lineRule="auto"/>
        <w:rPr>
          <w:rFonts w:ascii="Times New Roman" w:eastAsia="SimSun" w:hAnsi="Times New Roman" w:cs="Times New Roman"/>
          <w:color w:val="000000"/>
        </w:rPr>
      </w:pPr>
    </w:p>
    <w:p w14:paraId="165873DE" w14:textId="77777777" w:rsidR="000C61CC" w:rsidRPr="0047338E" w:rsidRDefault="000C61CC" w:rsidP="000C61CC">
      <w:pPr>
        <w:spacing w:after="0" w:line="240" w:lineRule="auto"/>
        <w:rPr>
          <w:rFonts w:ascii="Times New Roman" w:eastAsia="SimSun" w:hAnsi="Times New Roman" w:cs="Times New Roman"/>
          <w:color w:val="000000"/>
        </w:rPr>
      </w:pPr>
    </w:p>
    <w:p w14:paraId="5A61D753" w14:textId="77777777" w:rsidR="000C61CC" w:rsidRPr="0047338E" w:rsidRDefault="000C61CC" w:rsidP="000C61CC">
      <w:pPr>
        <w:spacing w:after="0" w:line="240" w:lineRule="auto"/>
        <w:rPr>
          <w:rFonts w:ascii="Times New Roman" w:eastAsia="SimSun" w:hAnsi="Times New Roman" w:cs="Times New Roman"/>
          <w:color w:val="000000"/>
        </w:rPr>
      </w:pPr>
    </w:p>
    <w:p w14:paraId="768E7686" w14:textId="77777777" w:rsidR="000C61CC" w:rsidRPr="0047338E" w:rsidRDefault="000C61CC" w:rsidP="000C61CC">
      <w:pPr>
        <w:spacing w:after="0" w:line="240" w:lineRule="auto"/>
        <w:rPr>
          <w:rFonts w:ascii="Times New Roman" w:eastAsia="SimSun" w:hAnsi="Times New Roman" w:cs="Times New Roman"/>
          <w:color w:val="000000"/>
        </w:rPr>
      </w:pPr>
    </w:p>
    <w:p w14:paraId="5265D7AF" w14:textId="77777777" w:rsidR="000C61CC" w:rsidRPr="0047338E" w:rsidRDefault="000C61CC" w:rsidP="000C61CC">
      <w:pPr>
        <w:spacing w:after="0" w:line="240" w:lineRule="auto"/>
        <w:rPr>
          <w:rFonts w:ascii="Times New Roman" w:eastAsia="SimSun" w:hAnsi="Times New Roman" w:cs="Times New Roman"/>
          <w:color w:val="000000"/>
        </w:rPr>
      </w:pPr>
    </w:p>
    <w:p w14:paraId="281028B8" w14:textId="77777777" w:rsidR="000C61CC" w:rsidRPr="0047338E" w:rsidRDefault="000C61CC" w:rsidP="000C61CC">
      <w:pPr>
        <w:spacing w:after="0" w:line="240" w:lineRule="auto"/>
        <w:rPr>
          <w:rFonts w:ascii="Times New Roman" w:eastAsia="SimSun" w:hAnsi="Times New Roman" w:cs="Times New Roman"/>
          <w:color w:val="000000"/>
        </w:rPr>
      </w:pPr>
    </w:p>
    <w:p w14:paraId="0EF6F403" w14:textId="77777777" w:rsidR="000C61CC" w:rsidRPr="0047338E" w:rsidRDefault="000C61CC" w:rsidP="000C61CC">
      <w:pPr>
        <w:spacing w:after="0" w:line="240" w:lineRule="auto"/>
        <w:rPr>
          <w:rFonts w:ascii="Times New Roman" w:eastAsia="SimSun" w:hAnsi="Times New Roman" w:cs="Times New Roman"/>
          <w:color w:val="000000"/>
        </w:rPr>
      </w:pPr>
    </w:p>
    <w:p w14:paraId="32FBD069" w14:textId="77777777" w:rsidR="000C61CC" w:rsidRPr="0047338E" w:rsidRDefault="000C61CC" w:rsidP="000C61CC">
      <w:pPr>
        <w:spacing w:after="0" w:line="240" w:lineRule="auto"/>
        <w:rPr>
          <w:rFonts w:ascii="Times New Roman" w:eastAsia="SimSun" w:hAnsi="Times New Roman" w:cs="Times New Roman"/>
          <w:color w:val="000000"/>
        </w:rPr>
      </w:pPr>
    </w:p>
    <w:p w14:paraId="01772444" w14:textId="77777777" w:rsidR="000C61CC" w:rsidRPr="0047338E" w:rsidRDefault="000C61CC" w:rsidP="000C61CC">
      <w:pPr>
        <w:spacing w:after="0" w:line="240" w:lineRule="auto"/>
        <w:rPr>
          <w:rFonts w:ascii="Times New Roman" w:eastAsia="SimSun" w:hAnsi="Times New Roman" w:cs="Times New Roman"/>
          <w:color w:val="000000"/>
        </w:rPr>
      </w:pPr>
    </w:p>
    <w:p w14:paraId="52B6E931"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61" w:name="_Toc129243128"/>
      <w:bookmarkStart w:id="62" w:name="_Toc129243253"/>
    </w:p>
    <w:p w14:paraId="4E1CE840"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r w:rsidRPr="0047338E">
        <w:rPr>
          <w:rFonts w:ascii="Times New Roman" w:eastAsia="Times New Roman" w:hAnsi="Times New Roman" w:cs="Times New Roman"/>
          <w:b/>
        </w:rPr>
        <w:t>II PRIEDAS</w:t>
      </w:r>
      <w:bookmarkEnd w:id="61"/>
      <w:bookmarkEnd w:id="62"/>
    </w:p>
    <w:p w14:paraId="4606B053"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p>
    <w:p w14:paraId="09A72829"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r w:rsidRPr="0047338E">
        <w:rPr>
          <w:rFonts w:ascii="Times New Roman" w:eastAsia="Times New Roman" w:hAnsi="Times New Roman" w:cs="Times New Roman"/>
          <w:b/>
        </w:rPr>
        <w:t>REGISTRACIJOS SĄLYGOS</w:t>
      </w:r>
    </w:p>
    <w:p w14:paraId="6CBC75B9" w14:textId="77777777" w:rsidR="000C61CC" w:rsidRPr="0047338E" w:rsidRDefault="000C61CC" w:rsidP="000C61CC">
      <w:pPr>
        <w:spacing w:after="0" w:line="240" w:lineRule="auto"/>
        <w:rPr>
          <w:rFonts w:ascii="Times New Roman" w:eastAsia="SimSun" w:hAnsi="Times New Roman" w:cs="Times New Roman"/>
          <w:color w:val="000000"/>
        </w:rPr>
      </w:pPr>
    </w:p>
    <w:p w14:paraId="14FD2954" w14:textId="77777777" w:rsidR="000C61CC" w:rsidRPr="0047338E" w:rsidRDefault="000C61CC" w:rsidP="000C61CC">
      <w:pPr>
        <w:tabs>
          <w:tab w:val="left" w:pos="1701"/>
        </w:tabs>
        <w:spacing w:after="0" w:line="240" w:lineRule="auto"/>
        <w:ind w:left="1701" w:hanging="567"/>
        <w:rPr>
          <w:rFonts w:ascii="Times New Roman" w:eastAsia="Times New Roman" w:hAnsi="Times New Roman" w:cs="Times New Roman"/>
          <w:b/>
        </w:rPr>
      </w:pPr>
      <w:r w:rsidRPr="0047338E">
        <w:rPr>
          <w:rFonts w:ascii="Times New Roman" w:eastAsia="Times New Roman" w:hAnsi="Times New Roman" w:cs="Times New Roman"/>
          <w:b/>
        </w:rPr>
        <w:t>A.</w:t>
      </w:r>
      <w:r w:rsidRPr="0047338E">
        <w:rPr>
          <w:rFonts w:ascii="Times New Roman" w:eastAsia="Times New Roman" w:hAnsi="Times New Roman" w:cs="Times New Roman"/>
          <w:b/>
        </w:rPr>
        <w:tab/>
        <w:t>GAMINTOJAS (-AI), ATSAKINGAS (-I) UŽ SERIJŲ IŠLEIDIMĄ</w:t>
      </w:r>
    </w:p>
    <w:p w14:paraId="4F273D61" w14:textId="77777777" w:rsidR="000C61CC" w:rsidRPr="0047338E" w:rsidRDefault="000C61CC" w:rsidP="000C61CC">
      <w:pPr>
        <w:spacing w:after="0" w:line="240" w:lineRule="auto"/>
        <w:rPr>
          <w:rFonts w:ascii="Times New Roman" w:eastAsia="SimSun" w:hAnsi="Times New Roman" w:cs="Times New Roman"/>
          <w:color w:val="000000"/>
        </w:rPr>
      </w:pPr>
    </w:p>
    <w:p w14:paraId="2F6A7F1E" w14:textId="77777777" w:rsidR="000C61CC" w:rsidRPr="0047338E" w:rsidRDefault="000C61CC" w:rsidP="000C61CC">
      <w:pPr>
        <w:tabs>
          <w:tab w:val="left" w:pos="1701"/>
        </w:tabs>
        <w:spacing w:after="0" w:line="260" w:lineRule="exact"/>
        <w:ind w:left="1701" w:right="567" w:hanging="567"/>
        <w:rPr>
          <w:rFonts w:ascii="Times New Roman" w:eastAsia="Times New Roman" w:hAnsi="Times New Roman" w:cs="Times New Roman"/>
          <w:b/>
        </w:rPr>
      </w:pPr>
      <w:r w:rsidRPr="0047338E">
        <w:rPr>
          <w:rFonts w:ascii="Times New Roman" w:eastAsia="Times New Roman" w:hAnsi="Times New Roman" w:cs="Times New Roman"/>
          <w:b/>
        </w:rPr>
        <w:t>B.</w:t>
      </w:r>
      <w:r w:rsidRPr="0047338E">
        <w:rPr>
          <w:rFonts w:ascii="Times New Roman" w:eastAsia="Times New Roman" w:hAnsi="Times New Roman" w:cs="Times New Roman"/>
          <w:b/>
        </w:rPr>
        <w:tab/>
      </w:r>
      <w:r w:rsidRPr="0047338E">
        <w:rPr>
          <w:rFonts w:ascii="Times New Roman" w:eastAsia="Times New Roman" w:hAnsi="Times New Roman" w:cs="Times New Roman"/>
          <w:b/>
          <w:snapToGrid w:val="0"/>
        </w:rPr>
        <w:t>TIEKIMO IR VARTOJIMO</w:t>
      </w:r>
      <w:r w:rsidRPr="0047338E">
        <w:rPr>
          <w:rFonts w:ascii="Times New Roman" w:eastAsia="Times New Roman" w:hAnsi="Times New Roman" w:cs="Times New Roman"/>
          <w:b/>
        </w:rPr>
        <w:t xml:space="preserve"> SĄLYGOS</w:t>
      </w:r>
      <w:r w:rsidRPr="0047338E">
        <w:rPr>
          <w:rFonts w:ascii="Times New Roman" w:eastAsia="Times New Roman" w:hAnsi="Times New Roman" w:cs="Times New Roman"/>
          <w:b/>
          <w:snapToGrid w:val="0"/>
        </w:rPr>
        <w:t xml:space="preserve"> AR APRIBOJIMAI</w:t>
      </w:r>
    </w:p>
    <w:p w14:paraId="239B6350" w14:textId="77777777" w:rsidR="000C61CC" w:rsidRPr="0047338E" w:rsidRDefault="000C61CC" w:rsidP="000C61CC">
      <w:pPr>
        <w:spacing w:after="0" w:line="240" w:lineRule="auto"/>
        <w:rPr>
          <w:rFonts w:ascii="Times New Roman" w:eastAsia="SimSun" w:hAnsi="Times New Roman" w:cs="Times New Roman"/>
          <w:color w:val="000000"/>
        </w:rPr>
      </w:pPr>
    </w:p>
    <w:p w14:paraId="1B3DBD7F" w14:textId="77777777" w:rsidR="000C61CC" w:rsidRPr="0047338E" w:rsidRDefault="000C61CC" w:rsidP="000C61CC">
      <w:pPr>
        <w:tabs>
          <w:tab w:val="left" w:pos="567"/>
        </w:tabs>
        <w:spacing w:after="0" w:line="260" w:lineRule="exact"/>
        <w:ind w:left="567" w:hanging="567"/>
        <w:rPr>
          <w:rFonts w:ascii="Times New Roman" w:eastAsia="Times New Roman" w:hAnsi="Times New Roman" w:cs="Times New Roman"/>
          <w:b/>
        </w:rPr>
      </w:pPr>
      <w:r w:rsidRPr="0047338E">
        <w:rPr>
          <w:rFonts w:ascii="Times New Roman" w:eastAsia="Times New Roman" w:hAnsi="Times New Roman" w:cs="Times New Roman"/>
          <w:snapToGrid w:val="0"/>
        </w:rPr>
        <w:br w:type="page"/>
      </w:r>
      <w:r w:rsidRPr="0047338E">
        <w:rPr>
          <w:rFonts w:ascii="Times New Roman" w:eastAsia="Times New Roman" w:hAnsi="Times New Roman" w:cs="Times New Roman"/>
          <w:b/>
        </w:rPr>
        <w:t>A.</w:t>
      </w:r>
      <w:r w:rsidRPr="0047338E">
        <w:rPr>
          <w:rFonts w:ascii="Times New Roman" w:eastAsia="Times New Roman" w:hAnsi="Times New Roman" w:cs="Times New Roman"/>
          <w:b/>
        </w:rPr>
        <w:tab/>
      </w:r>
      <w:r w:rsidRPr="0047338E">
        <w:rPr>
          <w:rFonts w:ascii="Times New Roman" w:eastAsia="Times New Roman" w:hAnsi="Times New Roman" w:cs="Times New Roman"/>
          <w:b/>
          <w:snapToGrid w:val="0"/>
        </w:rPr>
        <w:t>GAMINTOJAS</w:t>
      </w:r>
      <w:r w:rsidRPr="0047338E">
        <w:rPr>
          <w:rFonts w:ascii="Times New Roman" w:eastAsia="Times New Roman" w:hAnsi="Times New Roman" w:cs="Times New Roman"/>
          <w:b/>
        </w:rPr>
        <w:t xml:space="preserve"> (-AI), ATSAKINGAS (-I) UŽ SERIJŲ IŠLEIDIMĄ</w:t>
      </w:r>
    </w:p>
    <w:p w14:paraId="2A9B64EA" w14:textId="77777777" w:rsidR="000C61CC" w:rsidRPr="0047338E" w:rsidRDefault="000C61CC" w:rsidP="000C61CC">
      <w:pPr>
        <w:spacing w:after="0" w:line="240" w:lineRule="auto"/>
        <w:rPr>
          <w:rFonts w:ascii="Times New Roman" w:eastAsia="SimSun" w:hAnsi="Times New Roman" w:cs="Times New Roman"/>
          <w:color w:val="000000"/>
        </w:rPr>
      </w:pPr>
    </w:p>
    <w:p w14:paraId="267B2C31" w14:textId="77777777" w:rsidR="000C61CC" w:rsidRPr="0047338E" w:rsidRDefault="000C61CC" w:rsidP="000C61CC">
      <w:pPr>
        <w:spacing w:after="0" w:line="240" w:lineRule="auto"/>
        <w:rPr>
          <w:rFonts w:ascii="Times New Roman" w:eastAsia="SimSun" w:hAnsi="Times New Roman" w:cs="Times New Roman"/>
          <w:color w:val="000000"/>
          <w:u w:val="single"/>
        </w:rPr>
      </w:pPr>
      <w:r w:rsidRPr="0047338E">
        <w:rPr>
          <w:rFonts w:ascii="Times New Roman" w:eastAsia="SimSun" w:hAnsi="Times New Roman" w:cs="Times New Roman"/>
          <w:color w:val="000000"/>
          <w:u w:val="single"/>
        </w:rPr>
        <w:t>Gamintojo (-ų), atsakingo (-ų) už serijų išleidimą, pavadinimas (-ai) ir adresas (-ai)</w:t>
      </w:r>
    </w:p>
    <w:p w14:paraId="5F04E433" w14:textId="77777777" w:rsidR="008B4D37" w:rsidRPr="0047338E" w:rsidRDefault="008B4D37" w:rsidP="000C61CC">
      <w:pPr>
        <w:spacing w:after="0" w:line="240" w:lineRule="auto"/>
        <w:rPr>
          <w:rFonts w:ascii="Times New Roman" w:eastAsia="SimSun" w:hAnsi="Times New Roman" w:cs="Times New Roman"/>
          <w:color w:val="000000"/>
        </w:rPr>
      </w:pPr>
    </w:p>
    <w:p w14:paraId="0E2BEE9C" w14:textId="6D694B7D" w:rsidR="00B61221" w:rsidRPr="0047338E" w:rsidRDefault="00B61221" w:rsidP="00B61221">
      <w:pPr>
        <w:spacing w:after="0" w:line="240" w:lineRule="auto"/>
        <w:rPr>
          <w:rFonts w:ascii="Times New Roman" w:hAnsi="Times New Roman" w:cs="Times New Roman"/>
        </w:rPr>
      </w:pPr>
      <w:r w:rsidRPr="0047338E">
        <w:rPr>
          <w:rFonts w:ascii="Times New Roman" w:hAnsi="Times New Roman" w:cs="Times New Roman"/>
        </w:rPr>
        <w:t xml:space="preserve">Accord Healthcare B.V. </w:t>
      </w:r>
    </w:p>
    <w:p w14:paraId="466D7E9C" w14:textId="77777777" w:rsidR="00B61221" w:rsidRPr="0047338E" w:rsidRDefault="00B61221" w:rsidP="00B61221">
      <w:pPr>
        <w:spacing w:after="0" w:line="240" w:lineRule="auto"/>
        <w:rPr>
          <w:rFonts w:ascii="Times New Roman" w:hAnsi="Times New Roman" w:cs="Times New Roman"/>
        </w:rPr>
      </w:pPr>
      <w:r w:rsidRPr="0047338E">
        <w:rPr>
          <w:rFonts w:ascii="Times New Roman" w:hAnsi="Times New Roman" w:cs="Times New Roman"/>
        </w:rPr>
        <w:t xml:space="preserve">Winthontlaan 200 </w:t>
      </w:r>
    </w:p>
    <w:p w14:paraId="719EF964" w14:textId="77777777" w:rsidR="00B61221" w:rsidRPr="0047338E" w:rsidRDefault="00B61221" w:rsidP="00B61221">
      <w:pPr>
        <w:spacing w:after="0" w:line="240" w:lineRule="auto"/>
        <w:rPr>
          <w:rFonts w:ascii="Times New Roman" w:hAnsi="Times New Roman" w:cs="Times New Roman"/>
        </w:rPr>
      </w:pPr>
      <w:r w:rsidRPr="0047338E">
        <w:rPr>
          <w:rFonts w:ascii="Times New Roman" w:hAnsi="Times New Roman" w:cs="Times New Roman"/>
        </w:rPr>
        <w:t xml:space="preserve">3526 KV Utrecht </w:t>
      </w:r>
    </w:p>
    <w:p w14:paraId="62746CC8" w14:textId="4E59D350" w:rsidR="000C61CC" w:rsidRPr="0047338E" w:rsidRDefault="00B61221" w:rsidP="000C61CC">
      <w:pPr>
        <w:spacing w:after="0" w:line="240" w:lineRule="auto"/>
        <w:rPr>
          <w:rFonts w:ascii="Times New Roman" w:eastAsia="Times New Roman" w:hAnsi="Times New Roman" w:cs="Times New Roman"/>
        </w:rPr>
      </w:pPr>
      <w:r w:rsidRPr="0047338E">
        <w:rPr>
          <w:rFonts w:ascii="Times New Roman" w:hAnsi="Times New Roman" w:cs="Times New Roman"/>
        </w:rPr>
        <w:t>Nyderlandai</w:t>
      </w:r>
    </w:p>
    <w:p w14:paraId="277E17A3" w14:textId="77777777" w:rsidR="000C61CC" w:rsidRPr="0047338E" w:rsidRDefault="000C61CC" w:rsidP="000C61CC">
      <w:pPr>
        <w:spacing w:after="0" w:line="240" w:lineRule="auto"/>
        <w:rPr>
          <w:rFonts w:ascii="Times New Roman" w:hAnsi="Times New Roman" w:cs="Times New Roman"/>
        </w:rPr>
      </w:pPr>
    </w:p>
    <w:p w14:paraId="475DDC84" w14:textId="77777777" w:rsidR="00E731AC" w:rsidRPr="0047338E" w:rsidRDefault="00E731AC" w:rsidP="00E731A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arba</w:t>
      </w:r>
    </w:p>
    <w:p w14:paraId="76E17D4E" w14:textId="77777777" w:rsidR="00E731AC" w:rsidRPr="0047338E" w:rsidRDefault="00E731AC" w:rsidP="00E731AC">
      <w:pPr>
        <w:spacing w:after="0" w:line="240" w:lineRule="auto"/>
        <w:rPr>
          <w:rFonts w:ascii="Times New Roman" w:eastAsia="Times New Roman" w:hAnsi="Times New Roman" w:cs="Times New Roman"/>
        </w:rPr>
      </w:pPr>
    </w:p>
    <w:p w14:paraId="439112DF" w14:textId="77777777" w:rsidR="00E731AC" w:rsidRPr="0047338E" w:rsidRDefault="00E731AC" w:rsidP="00E731A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Accord Healthcare Polska Sp.z o.o.,</w:t>
      </w:r>
    </w:p>
    <w:p w14:paraId="2F8DC077" w14:textId="77777777" w:rsidR="00E731AC" w:rsidRPr="0047338E" w:rsidRDefault="00E731AC" w:rsidP="00E731A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ul. Lutomierska 50,</w:t>
      </w:r>
      <w:r w:rsidR="00EE6E77" w:rsidRPr="0047338E">
        <w:rPr>
          <w:rFonts w:ascii="Times New Roman" w:eastAsia="Times New Roman" w:hAnsi="Times New Roman" w:cs="Times New Roman"/>
        </w:rPr>
        <w:t xml:space="preserve"> </w:t>
      </w:r>
      <w:r w:rsidRPr="0047338E">
        <w:rPr>
          <w:rFonts w:ascii="Times New Roman" w:eastAsia="Times New Roman" w:hAnsi="Times New Roman" w:cs="Times New Roman"/>
        </w:rPr>
        <w:t>95-200 Pabianice, Lenkija</w:t>
      </w:r>
    </w:p>
    <w:p w14:paraId="6C1D6BB2" w14:textId="77777777" w:rsidR="00EE6E77" w:rsidRDefault="00EE6E77" w:rsidP="00390F01">
      <w:pPr>
        <w:spacing w:after="0" w:line="240" w:lineRule="auto"/>
        <w:rPr>
          <w:rFonts w:ascii="Times New Roman" w:eastAsia="SimSun" w:hAnsi="Times New Roman" w:cs="Times New Roman"/>
          <w:color w:val="000000"/>
        </w:rPr>
      </w:pPr>
    </w:p>
    <w:p w14:paraId="7B04206B" w14:textId="2ED6E56C" w:rsidR="00FA2F0D" w:rsidRDefault="00FA2F0D" w:rsidP="00390F01">
      <w:p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arba</w:t>
      </w:r>
    </w:p>
    <w:p w14:paraId="05CEB2DB" w14:textId="77777777" w:rsidR="00FA2F0D" w:rsidRDefault="00FA2F0D" w:rsidP="00390F01">
      <w:pPr>
        <w:spacing w:after="0" w:line="240" w:lineRule="auto"/>
        <w:rPr>
          <w:rFonts w:ascii="Times New Roman" w:eastAsia="SimSun" w:hAnsi="Times New Roman" w:cs="Times New Roman"/>
          <w:color w:val="000000"/>
        </w:rPr>
      </w:pPr>
    </w:p>
    <w:p w14:paraId="3A701860" w14:textId="77777777" w:rsidR="00FA2F0D" w:rsidRPr="00FA2F0D" w:rsidRDefault="00FA2F0D" w:rsidP="00FA2F0D">
      <w:pPr>
        <w:spacing w:after="0" w:line="240" w:lineRule="auto"/>
        <w:rPr>
          <w:rFonts w:ascii="Times New Roman" w:eastAsia="SimSun" w:hAnsi="Times New Roman" w:cs="Times New Roman"/>
          <w:color w:val="000000"/>
        </w:rPr>
      </w:pPr>
      <w:r w:rsidRPr="00FA2F0D">
        <w:rPr>
          <w:rFonts w:ascii="Times New Roman" w:eastAsia="SimSun" w:hAnsi="Times New Roman" w:cs="Times New Roman"/>
          <w:color w:val="000000"/>
        </w:rPr>
        <w:t>Accord Healthcare Single Member S.A.</w:t>
      </w:r>
    </w:p>
    <w:p w14:paraId="7963FD2E" w14:textId="77777777" w:rsidR="00FA2F0D" w:rsidRPr="00FA2F0D" w:rsidRDefault="00FA2F0D" w:rsidP="00FA2F0D">
      <w:pPr>
        <w:spacing w:after="0" w:line="240" w:lineRule="auto"/>
        <w:rPr>
          <w:rFonts w:ascii="Times New Roman" w:eastAsia="SimSun" w:hAnsi="Times New Roman" w:cs="Times New Roman"/>
          <w:color w:val="000000"/>
        </w:rPr>
      </w:pPr>
      <w:r w:rsidRPr="00FA2F0D">
        <w:rPr>
          <w:rFonts w:ascii="Times New Roman" w:eastAsia="SimSun" w:hAnsi="Times New Roman" w:cs="Times New Roman"/>
          <w:color w:val="000000"/>
        </w:rPr>
        <w:t xml:space="preserve">64th Km National Road Athens, </w:t>
      </w:r>
    </w:p>
    <w:p w14:paraId="1B9BBC73" w14:textId="0BF4B38B" w:rsidR="00FA2F0D" w:rsidRDefault="00FA2F0D" w:rsidP="00FA2F0D">
      <w:pPr>
        <w:spacing w:after="0" w:line="240" w:lineRule="auto"/>
        <w:rPr>
          <w:rFonts w:ascii="Times New Roman" w:eastAsia="SimSun" w:hAnsi="Times New Roman" w:cs="Times New Roman"/>
          <w:color w:val="000000"/>
        </w:rPr>
      </w:pPr>
      <w:r w:rsidRPr="00FA2F0D">
        <w:rPr>
          <w:rFonts w:ascii="Times New Roman" w:eastAsia="SimSun" w:hAnsi="Times New Roman" w:cs="Times New Roman"/>
          <w:color w:val="000000"/>
        </w:rPr>
        <w:t>Lamia, 32009, Graikija</w:t>
      </w:r>
    </w:p>
    <w:p w14:paraId="1CA16DE1" w14:textId="77777777" w:rsidR="00FA2F0D" w:rsidRPr="0047338E" w:rsidRDefault="00FA2F0D" w:rsidP="00FA2F0D">
      <w:pPr>
        <w:spacing w:after="0" w:line="240" w:lineRule="auto"/>
        <w:rPr>
          <w:rFonts w:ascii="Times New Roman" w:eastAsia="SimSun" w:hAnsi="Times New Roman" w:cs="Times New Roman"/>
          <w:color w:val="000000"/>
        </w:rPr>
      </w:pPr>
    </w:p>
    <w:p w14:paraId="2B5DA008" w14:textId="77777777" w:rsidR="008B4D37" w:rsidRPr="0047338E" w:rsidRDefault="008B4D37" w:rsidP="009C18F0">
      <w:pPr>
        <w:tabs>
          <w:tab w:val="left" w:pos="567"/>
        </w:tabs>
        <w:spacing w:after="0" w:line="240" w:lineRule="auto"/>
        <w:rPr>
          <w:rFonts w:ascii="Times New Roman" w:eastAsia="Times New Roman" w:hAnsi="Times New Roman" w:cs="Times New Roman"/>
          <w:snapToGrid w:val="0"/>
          <w:szCs w:val="24"/>
        </w:rPr>
      </w:pPr>
      <w:r w:rsidRPr="0047338E">
        <w:rPr>
          <w:rFonts w:ascii="Times New Roman" w:eastAsia="Times New Roman" w:hAnsi="Times New Roman" w:cs="Times New Roman"/>
          <w:snapToGrid w:val="0"/>
          <w:szCs w:val="24"/>
        </w:rPr>
        <w:t>Su pakuote pateikiamame lapelyje nurodomas gamintojo, atsakingo už konkrečios serijos išleidimą, pavadinimas ir adresas.</w:t>
      </w:r>
    </w:p>
    <w:p w14:paraId="41D12840" w14:textId="77777777" w:rsidR="008B4D37" w:rsidRPr="0047338E" w:rsidRDefault="008B4D37" w:rsidP="008B4D37">
      <w:pPr>
        <w:tabs>
          <w:tab w:val="left" w:pos="567"/>
        </w:tabs>
        <w:spacing w:after="0" w:line="240" w:lineRule="auto"/>
        <w:jc w:val="both"/>
        <w:rPr>
          <w:rFonts w:ascii="Times New Roman" w:eastAsia="Times New Roman" w:hAnsi="Times New Roman" w:cs="Times New Roman"/>
          <w:snapToGrid w:val="0"/>
          <w:szCs w:val="24"/>
        </w:rPr>
      </w:pPr>
    </w:p>
    <w:p w14:paraId="1001F4D2" w14:textId="77777777" w:rsidR="000C61CC" w:rsidRPr="0047338E" w:rsidRDefault="000C61CC" w:rsidP="000C61CC">
      <w:pPr>
        <w:spacing w:after="0" w:line="240" w:lineRule="auto"/>
        <w:rPr>
          <w:rFonts w:ascii="Times New Roman" w:eastAsia="SimSun" w:hAnsi="Times New Roman" w:cs="Times New Roman"/>
          <w:color w:val="000000"/>
        </w:rPr>
      </w:pPr>
    </w:p>
    <w:p w14:paraId="3619E066" w14:textId="77777777" w:rsidR="000C61CC" w:rsidRPr="0047338E" w:rsidRDefault="000C61CC" w:rsidP="000C61CC">
      <w:pPr>
        <w:tabs>
          <w:tab w:val="left" w:pos="567"/>
        </w:tabs>
        <w:spacing w:after="0" w:line="240" w:lineRule="auto"/>
        <w:ind w:left="567" w:hanging="567"/>
        <w:rPr>
          <w:rFonts w:ascii="Times New Roman" w:eastAsia="Times New Roman" w:hAnsi="Times New Roman" w:cs="Times New Roman"/>
        </w:rPr>
      </w:pPr>
      <w:bookmarkStart w:id="63" w:name="_Toc129243130"/>
      <w:bookmarkStart w:id="64" w:name="_Toc129243255"/>
      <w:bookmarkStart w:id="65" w:name="_Toc129243129"/>
      <w:bookmarkStart w:id="66" w:name="_Toc129243254"/>
      <w:r w:rsidRPr="0047338E">
        <w:rPr>
          <w:rFonts w:ascii="Times New Roman" w:eastAsia="Times New Roman" w:hAnsi="Times New Roman" w:cs="Times New Roman"/>
          <w:b/>
          <w:snapToGrid w:val="0"/>
        </w:rPr>
        <w:t>B.</w:t>
      </w:r>
      <w:r w:rsidRPr="0047338E">
        <w:rPr>
          <w:rFonts w:ascii="Times New Roman" w:eastAsia="Times New Roman" w:hAnsi="Times New Roman" w:cs="Times New Roman"/>
          <w:b/>
        </w:rPr>
        <w:tab/>
        <w:t>TIEKIMO IR VARTOJIMO SĄLYGOS AR APRIBOJIMAI</w:t>
      </w:r>
      <w:bookmarkEnd w:id="63"/>
      <w:bookmarkEnd w:id="64"/>
    </w:p>
    <w:bookmarkEnd w:id="65"/>
    <w:bookmarkEnd w:id="66"/>
    <w:p w14:paraId="19C2872B" w14:textId="77777777" w:rsidR="000C61CC" w:rsidRPr="0047338E" w:rsidRDefault="000C61CC" w:rsidP="000C61CC">
      <w:pPr>
        <w:spacing w:after="0" w:line="240" w:lineRule="auto"/>
        <w:rPr>
          <w:rFonts w:ascii="Times New Roman" w:eastAsia="SimSun" w:hAnsi="Times New Roman" w:cs="Times New Roman"/>
          <w:color w:val="000000"/>
        </w:rPr>
      </w:pPr>
    </w:p>
    <w:p w14:paraId="56C8357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Receptinis vaistinis preparatas</w:t>
      </w:r>
      <w:r w:rsidR="008B4D37" w:rsidRPr="0047338E">
        <w:rPr>
          <w:rFonts w:ascii="Times New Roman" w:eastAsia="SimSun" w:hAnsi="Times New Roman" w:cs="Times New Roman"/>
          <w:color w:val="000000"/>
        </w:rPr>
        <w:t>.</w:t>
      </w:r>
    </w:p>
    <w:p w14:paraId="59B8F771" w14:textId="77777777" w:rsidR="000C61CC" w:rsidRPr="0047338E" w:rsidRDefault="000C61CC" w:rsidP="000C61CC">
      <w:pPr>
        <w:spacing w:after="0" w:line="240" w:lineRule="auto"/>
        <w:rPr>
          <w:rFonts w:ascii="Times New Roman" w:eastAsia="SimSun" w:hAnsi="Times New Roman" w:cs="Times New Roman"/>
          <w:color w:val="000000"/>
        </w:rPr>
      </w:pPr>
    </w:p>
    <w:p w14:paraId="27F98DA2" w14:textId="77777777" w:rsidR="000C61CC" w:rsidRPr="0047338E" w:rsidRDefault="000C61CC" w:rsidP="000C61CC">
      <w:pPr>
        <w:spacing w:after="0" w:line="240" w:lineRule="auto"/>
        <w:rPr>
          <w:rFonts w:ascii="Times New Roman" w:eastAsia="SimSun" w:hAnsi="Times New Roman" w:cs="Times New Roman"/>
          <w:color w:val="000000"/>
        </w:rPr>
      </w:pPr>
    </w:p>
    <w:p w14:paraId="2BBB42B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br w:type="page"/>
      </w:r>
    </w:p>
    <w:p w14:paraId="49FA34AD" w14:textId="77777777" w:rsidR="000C61CC" w:rsidRPr="0047338E" w:rsidRDefault="000C61CC" w:rsidP="000C61CC">
      <w:pPr>
        <w:spacing w:after="0" w:line="240" w:lineRule="auto"/>
        <w:rPr>
          <w:rFonts w:ascii="Times New Roman" w:eastAsia="SimSun" w:hAnsi="Times New Roman" w:cs="Times New Roman"/>
          <w:color w:val="000000"/>
        </w:rPr>
      </w:pPr>
    </w:p>
    <w:p w14:paraId="1EC3A96A" w14:textId="77777777" w:rsidR="000C61CC" w:rsidRPr="0047338E" w:rsidRDefault="000C61CC" w:rsidP="000C61CC">
      <w:pPr>
        <w:spacing w:after="0" w:line="240" w:lineRule="auto"/>
        <w:rPr>
          <w:rFonts w:ascii="Times New Roman" w:eastAsia="SimSun" w:hAnsi="Times New Roman" w:cs="Times New Roman"/>
          <w:color w:val="000000"/>
        </w:rPr>
      </w:pPr>
    </w:p>
    <w:p w14:paraId="534715CF" w14:textId="77777777" w:rsidR="000C61CC" w:rsidRPr="0047338E" w:rsidRDefault="000C61CC" w:rsidP="000C61CC">
      <w:pPr>
        <w:spacing w:after="0" w:line="240" w:lineRule="auto"/>
        <w:rPr>
          <w:rFonts w:ascii="Times New Roman" w:eastAsia="SimSun" w:hAnsi="Times New Roman" w:cs="Times New Roman"/>
          <w:color w:val="000000"/>
        </w:rPr>
      </w:pPr>
    </w:p>
    <w:p w14:paraId="691C78EB" w14:textId="77777777" w:rsidR="000C61CC" w:rsidRPr="0047338E" w:rsidRDefault="000C61CC" w:rsidP="000C61CC">
      <w:pPr>
        <w:spacing w:after="0" w:line="240" w:lineRule="auto"/>
        <w:rPr>
          <w:rFonts w:ascii="Times New Roman" w:eastAsia="SimSun" w:hAnsi="Times New Roman" w:cs="Times New Roman"/>
          <w:color w:val="000000"/>
        </w:rPr>
      </w:pPr>
    </w:p>
    <w:p w14:paraId="0457BD98" w14:textId="77777777" w:rsidR="000C61CC" w:rsidRPr="0047338E" w:rsidRDefault="000C61CC" w:rsidP="000C61CC">
      <w:pPr>
        <w:spacing w:after="0" w:line="240" w:lineRule="auto"/>
        <w:rPr>
          <w:rFonts w:ascii="Times New Roman" w:eastAsia="SimSun" w:hAnsi="Times New Roman" w:cs="Times New Roman"/>
          <w:color w:val="000000"/>
        </w:rPr>
      </w:pPr>
    </w:p>
    <w:p w14:paraId="35112B1D" w14:textId="77777777" w:rsidR="000C61CC" w:rsidRPr="0047338E" w:rsidRDefault="000C61CC" w:rsidP="000C61CC">
      <w:pPr>
        <w:spacing w:after="0" w:line="240" w:lineRule="auto"/>
        <w:rPr>
          <w:rFonts w:ascii="Times New Roman" w:eastAsia="SimSun" w:hAnsi="Times New Roman" w:cs="Times New Roman"/>
          <w:color w:val="000000"/>
        </w:rPr>
      </w:pPr>
    </w:p>
    <w:p w14:paraId="6EAFC888" w14:textId="77777777" w:rsidR="000C61CC" w:rsidRPr="0047338E" w:rsidRDefault="000C61CC" w:rsidP="000C61CC">
      <w:pPr>
        <w:spacing w:after="0" w:line="240" w:lineRule="auto"/>
        <w:rPr>
          <w:rFonts w:ascii="Times New Roman" w:eastAsia="SimSun" w:hAnsi="Times New Roman" w:cs="Times New Roman"/>
          <w:color w:val="000000"/>
        </w:rPr>
      </w:pPr>
    </w:p>
    <w:p w14:paraId="68ACF0CE" w14:textId="77777777" w:rsidR="000C61CC" w:rsidRPr="0047338E" w:rsidRDefault="000C61CC" w:rsidP="000C61CC">
      <w:pPr>
        <w:spacing w:after="0" w:line="240" w:lineRule="auto"/>
        <w:rPr>
          <w:rFonts w:ascii="Times New Roman" w:eastAsia="SimSun" w:hAnsi="Times New Roman" w:cs="Times New Roman"/>
          <w:color w:val="000000"/>
        </w:rPr>
      </w:pPr>
    </w:p>
    <w:p w14:paraId="4D9F0226" w14:textId="77777777" w:rsidR="000C61CC" w:rsidRPr="0047338E" w:rsidRDefault="000C61CC" w:rsidP="000C61CC">
      <w:pPr>
        <w:spacing w:after="0" w:line="240" w:lineRule="auto"/>
        <w:rPr>
          <w:rFonts w:ascii="Times New Roman" w:eastAsia="SimSun" w:hAnsi="Times New Roman" w:cs="Times New Roman"/>
          <w:color w:val="000000"/>
        </w:rPr>
      </w:pPr>
    </w:p>
    <w:p w14:paraId="68225A8C" w14:textId="77777777" w:rsidR="000C61CC" w:rsidRPr="0047338E" w:rsidRDefault="000C61CC" w:rsidP="000C61CC">
      <w:pPr>
        <w:spacing w:after="0" w:line="240" w:lineRule="auto"/>
        <w:rPr>
          <w:rFonts w:ascii="Times New Roman" w:eastAsia="SimSun" w:hAnsi="Times New Roman" w:cs="Times New Roman"/>
          <w:color w:val="000000"/>
        </w:rPr>
      </w:pPr>
    </w:p>
    <w:p w14:paraId="08F89889" w14:textId="77777777" w:rsidR="000C61CC" w:rsidRPr="0047338E" w:rsidRDefault="000C61CC" w:rsidP="000C61CC">
      <w:pPr>
        <w:spacing w:after="0" w:line="240" w:lineRule="auto"/>
        <w:rPr>
          <w:rFonts w:ascii="Times New Roman" w:eastAsia="SimSun" w:hAnsi="Times New Roman" w:cs="Times New Roman"/>
          <w:color w:val="000000"/>
        </w:rPr>
      </w:pPr>
    </w:p>
    <w:p w14:paraId="440073EB" w14:textId="77777777" w:rsidR="000C61CC" w:rsidRPr="0047338E" w:rsidRDefault="000C61CC" w:rsidP="000C61CC">
      <w:pPr>
        <w:spacing w:after="0" w:line="240" w:lineRule="auto"/>
        <w:rPr>
          <w:rFonts w:ascii="Times New Roman" w:eastAsia="SimSun" w:hAnsi="Times New Roman" w:cs="Times New Roman"/>
          <w:color w:val="000000"/>
        </w:rPr>
      </w:pPr>
    </w:p>
    <w:p w14:paraId="606BE865" w14:textId="77777777" w:rsidR="000C61CC" w:rsidRPr="0047338E" w:rsidRDefault="000C61CC" w:rsidP="000C61CC">
      <w:pPr>
        <w:spacing w:after="0" w:line="240" w:lineRule="auto"/>
        <w:rPr>
          <w:rFonts w:ascii="Times New Roman" w:eastAsia="SimSun" w:hAnsi="Times New Roman" w:cs="Times New Roman"/>
          <w:color w:val="000000"/>
        </w:rPr>
      </w:pPr>
    </w:p>
    <w:p w14:paraId="26BF455B" w14:textId="77777777" w:rsidR="000C61CC" w:rsidRPr="0047338E" w:rsidRDefault="000C61CC" w:rsidP="000C61CC">
      <w:pPr>
        <w:spacing w:after="0" w:line="240" w:lineRule="auto"/>
        <w:rPr>
          <w:rFonts w:ascii="Times New Roman" w:eastAsia="SimSun" w:hAnsi="Times New Roman" w:cs="Times New Roman"/>
          <w:color w:val="000000"/>
        </w:rPr>
      </w:pPr>
    </w:p>
    <w:p w14:paraId="12D485A9" w14:textId="77777777" w:rsidR="000C61CC" w:rsidRPr="0047338E" w:rsidRDefault="000C61CC" w:rsidP="000C61CC">
      <w:pPr>
        <w:spacing w:after="0" w:line="240" w:lineRule="auto"/>
        <w:rPr>
          <w:rFonts w:ascii="Times New Roman" w:eastAsia="SimSun" w:hAnsi="Times New Roman" w:cs="Times New Roman"/>
          <w:color w:val="000000"/>
        </w:rPr>
      </w:pPr>
    </w:p>
    <w:p w14:paraId="7E185073" w14:textId="77777777" w:rsidR="000C61CC" w:rsidRPr="0047338E" w:rsidRDefault="000C61CC" w:rsidP="000C61CC">
      <w:pPr>
        <w:spacing w:after="0" w:line="240" w:lineRule="auto"/>
        <w:rPr>
          <w:rFonts w:ascii="Times New Roman" w:eastAsia="SimSun" w:hAnsi="Times New Roman" w:cs="Times New Roman"/>
          <w:color w:val="000000"/>
        </w:rPr>
      </w:pPr>
    </w:p>
    <w:p w14:paraId="05D3447E" w14:textId="77777777" w:rsidR="000C61CC" w:rsidRPr="0047338E" w:rsidRDefault="000C61CC" w:rsidP="000C61CC">
      <w:pPr>
        <w:spacing w:after="0" w:line="240" w:lineRule="auto"/>
        <w:rPr>
          <w:rFonts w:ascii="Times New Roman" w:eastAsia="SimSun" w:hAnsi="Times New Roman" w:cs="Times New Roman"/>
          <w:color w:val="000000"/>
        </w:rPr>
      </w:pPr>
    </w:p>
    <w:p w14:paraId="14F73ADE" w14:textId="77777777" w:rsidR="000C61CC" w:rsidRPr="0047338E" w:rsidRDefault="000C61CC" w:rsidP="000C61CC">
      <w:pPr>
        <w:spacing w:after="0" w:line="240" w:lineRule="auto"/>
        <w:rPr>
          <w:rFonts w:ascii="Times New Roman" w:eastAsia="SimSun" w:hAnsi="Times New Roman" w:cs="Times New Roman"/>
          <w:color w:val="000000"/>
        </w:rPr>
      </w:pPr>
    </w:p>
    <w:p w14:paraId="6B9A06C0" w14:textId="77777777" w:rsidR="000C61CC" w:rsidRPr="0047338E" w:rsidRDefault="000C61CC" w:rsidP="000C61CC">
      <w:pPr>
        <w:spacing w:after="0" w:line="240" w:lineRule="auto"/>
        <w:rPr>
          <w:rFonts w:ascii="Times New Roman" w:eastAsia="SimSun" w:hAnsi="Times New Roman" w:cs="Times New Roman"/>
          <w:color w:val="000000"/>
        </w:rPr>
      </w:pPr>
    </w:p>
    <w:p w14:paraId="0F01E51F" w14:textId="77777777" w:rsidR="000C61CC" w:rsidRPr="0047338E" w:rsidRDefault="000C61CC" w:rsidP="000C61CC">
      <w:pPr>
        <w:spacing w:after="0" w:line="240" w:lineRule="auto"/>
        <w:rPr>
          <w:rFonts w:ascii="Times New Roman" w:eastAsia="SimSun" w:hAnsi="Times New Roman" w:cs="Times New Roman"/>
          <w:color w:val="000000"/>
        </w:rPr>
      </w:pPr>
    </w:p>
    <w:p w14:paraId="56BF82FE" w14:textId="77777777" w:rsidR="000C61CC" w:rsidRPr="0047338E" w:rsidRDefault="000C61CC" w:rsidP="000C61CC">
      <w:pPr>
        <w:spacing w:after="0" w:line="240" w:lineRule="auto"/>
        <w:rPr>
          <w:rFonts w:ascii="Times New Roman" w:eastAsia="SimSun" w:hAnsi="Times New Roman" w:cs="Times New Roman"/>
          <w:color w:val="000000"/>
        </w:rPr>
      </w:pPr>
    </w:p>
    <w:p w14:paraId="0C1134FA" w14:textId="77777777" w:rsidR="000C61CC" w:rsidRPr="0047338E" w:rsidRDefault="000C61CC" w:rsidP="000C61CC">
      <w:pPr>
        <w:spacing w:after="0" w:line="240" w:lineRule="auto"/>
        <w:rPr>
          <w:rFonts w:ascii="Times New Roman" w:eastAsia="SimSun" w:hAnsi="Times New Roman" w:cs="Times New Roman"/>
          <w:color w:val="000000"/>
        </w:rPr>
      </w:pPr>
    </w:p>
    <w:p w14:paraId="0B2A011D"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67" w:name="_Toc129243134"/>
      <w:bookmarkStart w:id="68" w:name="_Toc129243259"/>
    </w:p>
    <w:p w14:paraId="6579620A"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r w:rsidRPr="0047338E">
        <w:rPr>
          <w:rFonts w:ascii="Times New Roman" w:eastAsia="Times New Roman" w:hAnsi="Times New Roman" w:cs="Times New Roman"/>
          <w:b/>
        </w:rPr>
        <w:t>III PRIEDAS</w:t>
      </w:r>
      <w:bookmarkEnd w:id="67"/>
      <w:bookmarkEnd w:id="68"/>
    </w:p>
    <w:p w14:paraId="7CB315C9" w14:textId="77777777" w:rsidR="000C61CC" w:rsidRPr="0047338E" w:rsidRDefault="000C61CC" w:rsidP="000C61CC">
      <w:pPr>
        <w:spacing w:after="0" w:line="240" w:lineRule="auto"/>
        <w:rPr>
          <w:rFonts w:ascii="Times New Roman" w:eastAsia="SimSun" w:hAnsi="Times New Roman" w:cs="Times New Roman"/>
          <w:color w:val="000000"/>
        </w:rPr>
      </w:pPr>
    </w:p>
    <w:p w14:paraId="7D57BF65"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69" w:name="_Toc129243135"/>
      <w:bookmarkStart w:id="70" w:name="_Toc129243260"/>
      <w:r w:rsidRPr="0047338E">
        <w:rPr>
          <w:rFonts w:ascii="Times New Roman" w:eastAsia="Times New Roman" w:hAnsi="Times New Roman" w:cs="Times New Roman"/>
          <w:b/>
        </w:rPr>
        <w:t>ŽENKLINIMAS IR PAKUOTĖS LAPELIS</w:t>
      </w:r>
      <w:bookmarkEnd w:id="69"/>
      <w:bookmarkEnd w:id="70"/>
    </w:p>
    <w:p w14:paraId="2A567DC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br w:type="page"/>
      </w:r>
    </w:p>
    <w:p w14:paraId="532501E8" w14:textId="77777777" w:rsidR="000C61CC" w:rsidRPr="0047338E" w:rsidRDefault="000C61CC" w:rsidP="000C61CC">
      <w:pPr>
        <w:spacing w:after="0" w:line="240" w:lineRule="auto"/>
        <w:rPr>
          <w:rFonts w:ascii="Times New Roman" w:eastAsia="SimSun" w:hAnsi="Times New Roman" w:cs="Times New Roman"/>
          <w:color w:val="000000"/>
        </w:rPr>
      </w:pPr>
    </w:p>
    <w:p w14:paraId="4DC6F25A" w14:textId="77777777" w:rsidR="000C61CC" w:rsidRPr="0047338E" w:rsidRDefault="000C61CC" w:rsidP="000C61CC">
      <w:pPr>
        <w:spacing w:after="0" w:line="240" w:lineRule="auto"/>
        <w:rPr>
          <w:rFonts w:ascii="Times New Roman" w:eastAsia="SimSun" w:hAnsi="Times New Roman" w:cs="Times New Roman"/>
          <w:color w:val="000000"/>
        </w:rPr>
      </w:pPr>
    </w:p>
    <w:p w14:paraId="644C5510" w14:textId="77777777" w:rsidR="000C61CC" w:rsidRPr="0047338E" w:rsidRDefault="000C61CC" w:rsidP="000C61CC">
      <w:pPr>
        <w:spacing w:after="0" w:line="240" w:lineRule="auto"/>
        <w:rPr>
          <w:rFonts w:ascii="Times New Roman" w:eastAsia="SimSun" w:hAnsi="Times New Roman" w:cs="Times New Roman"/>
          <w:color w:val="000000"/>
        </w:rPr>
      </w:pPr>
    </w:p>
    <w:p w14:paraId="5F683601" w14:textId="77777777" w:rsidR="000C61CC" w:rsidRPr="0047338E" w:rsidRDefault="000C61CC" w:rsidP="000C61CC">
      <w:pPr>
        <w:spacing w:after="0" w:line="240" w:lineRule="auto"/>
        <w:rPr>
          <w:rFonts w:ascii="Times New Roman" w:eastAsia="SimSun" w:hAnsi="Times New Roman" w:cs="Times New Roman"/>
          <w:color w:val="000000"/>
        </w:rPr>
      </w:pPr>
    </w:p>
    <w:p w14:paraId="3BECB37C" w14:textId="77777777" w:rsidR="000C61CC" w:rsidRPr="0047338E" w:rsidRDefault="000C61CC" w:rsidP="000C61CC">
      <w:pPr>
        <w:spacing w:after="0" w:line="240" w:lineRule="auto"/>
        <w:rPr>
          <w:rFonts w:ascii="Times New Roman" w:eastAsia="SimSun" w:hAnsi="Times New Roman" w:cs="Times New Roman"/>
          <w:color w:val="000000"/>
        </w:rPr>
      </w:pPr>
    </w:p>
    <w:p w14:paraId="02AE5DD7" w14:textId="77777777" w:rsidR="000C61CC" w:rsidRPr="0047338E" w:rsidRDefault="000C61CC" w:rsidP="000C61CC">
      <w:pPr>
        <w:spacing w:after="0" w:line="240" w:lineRule="auto"/>
        <w:rPr>
          <w:rFonts w:ascii="Times New Roman" w:eastAsia="SimSun" w:hAnsi="Times New Roman" w:cs="Times New Roman"/>
          <w:color w:val="000000"/>
        </w:rPr>
      </w:pPr>
    </w:p>
    <w:p w14:paraId="7652A0A6" w14:textId="77777777" w:rsidR="000C61CC" w:rsidRPr="0047338E" w:rsidRDefault="000C61CC" w:rsidP="000C61CC">
      <w:pPr>
        <w:spacing w:after="0" w:line="240" w:lineRule="auto"/>
        <w:rPr>
          <w:rFonts w:ascii="Times New Roman" w:eastAsia="SimSun" w:hAnsi="Times New Roman" w:cs="Times New Roman"/>
          <w:color w:val="000000"/>
        </w:rPr>
      </w:pPr>
    </w:p>
    <w:p w14:paraId="5AE9EC34" w14:textId="77777777" w:rsidR="000C61CC" w:rsidRPr="0047338E" w:rsidRDefault="000C61CC" w:rsidP="000C61CC">
      <w:pPr>
        <w:spacing w:after="0" w:line="240" w:lineRule="auto"/>
        <w:rPr>
          <w:rFonts w:ascii="Times New Roman" w:eastAsia="SimSun" w:hAnsi="Times New Roman" w:cs="Times New Roman"/>
          <w:color w:val="000000"/>
        </w:rPr>
      </w:pPr>
    </w:p>
    <w:p w14:paraId="5B176706" w14:textId="77777777" w:rsidR="000C61CC" w:rsidRPr="0047338E" w:rsidRDefault="000C61CC" w:rsidP="000C61CC">
      <w:pPr>
        <w:spacing w:after="0" w:line="240" w:lineRule="auto"/>
        <w:rPr>
          <w:rFonts w:ascii="Times New Roman" w:eastAsia="SimSun" w:hAnsi="Times New Roman" w:cs="Times New Roman"/>
          <w:color w:val="000000"/>
        </w:rPr>
      </w:pPr>
    </w:p>
    <w:p w14:paraId="2BD82CBE" w14:textId="77777777" w:rsidR="000C61CC" w:rsidRPr="0047338E" w:rsidRDefault="000C61CC" w:rsidP="000C61CC">
      <w:pPr>
        <w:spacing w:after="0" w:line="240" w:lineRule="auto"/>
        <w:rPr>
          <w:rFonts w:ascii="Times New Roman" w:eastAsia="SimSun" w:hAnsi="Times New Roman" w:cs="Times New Roman"/>
          <w:color w:val="000000"/>
        </w:rPr>
      </w:pPr>
    </w:p>
    <w:p w14:paraId="1F394D84" w14:textId="77777777" w:rsidR="000C61CC" w:rsidRPr="0047338E" w:rsidRDefault="000C61CC" w:rsidP="000C61CC">
      <w:pPr>
        <w:spacing w:after="0" w:line="240" w:lineRule="auto"/>
        <w:rPr>
          <w:rFonts w:ascii="Times New Roman" w:eastAsia="SimSun" w:hAnsi="Times New Roman" w:cs="Times New Roman"/>
          <w:color w:val="000000"/>
        </w:rPr>
      </w:pPr>
    </w:p>
    <w:p w14:paraId="745F8848" w14:textId="77777777" w:rsidR="000C61CC" w:rsidRPr="0047338E" w:rsidRDefault="000C61CC" w:rsidP="000C61CC">
      <w:pPr>
        <w:spacing w:after="0" w:line="240" w:lineRule="auto"/>
        <w:rPr>
          <w:rFonts w:ascii="Times New Roman" w:eastAsia="SimSun" w:hAnsi="Times New Roman" w:cs="Times New Roman"/>
          <w:color w:val="000000"/>
        </w:rPr>
      </w:pPr>
    </w:p>
    <w:p w14:paraId="0FFC2F5D" w14:textId="77777777" w:rsidR="000C61CC" w:rsidRPr="0047338E" w:rsidRDefault="000C61CC" w:rsidP="000C61CC">
      <w:pPr>
        <w:spacing w:after="0" w:line="240" w:lineRule="auto"/>
        <w:rPr>
          <w:rFonts w:ascii="Times New Roman" w:eastAsia="SimSun" w:hAnsi="Times New Roman" w:cs="Times New Roman"/>
          <w:color w:val="000000"/>
        </w:rPr>
      </w:pPr>
    </w:p>
    <w:p w14:paraId="58B1CA57" w14:textId="77777777" w:rsidR="000C61CC" w:rsidRPr="0047338E" w:rsidRDefault="000C61CC" w:rsidP="000C61CC">
      <w:pPr>
        <w:spacing w:after="0" w:line="240" w:lineRule="auto"/>
        <w:rPr>
          <w:rFonts w:ascii="Times New Roman" w:eastAsia="SimSun" w:hAnsi="Times New Roman" w:cs="Times New Roman"/>
          <w:color w:val="000000"/>
        </w:rPr>
      </w:pPr>
    </w:p>
    <w:p w14:paraId="37AC575A" w14:textId="77777777" w:rsidR="000C61CC" w:rsidRPr="0047338E" w:rsidRDefault="000C61CC" w:rsidP="000C61CC">
      <w:pPr>
        <w:spacing w:after="0" w:line="240" w:lineRule="auto"/>
        <w:rPr>
          <w:rFonts w:ascii="Times New Roman" w:eastAsia="SimSun" w:hAnsi="Times New Roman" w:cs="Times New Roman"/>
          <w:color w:val="000000"/>
        </w:rPr>
      </w:pPr>
    </w:p>
    <w:p w14:paraId="699FF92D" w14:textId="77777777" w:rsidR="000C61CC" w:rsidRPr="0047338E" w:rsidRDefault="000C61CC" w:rsidP="000C61CC">
      <w:pPr>
        <w:spacing w:after="0" w:line="240" w:lineRule="auto"/>
        <w:rPr>
          <w:rFonts w:ascii="Times New Roman" w:eastAsia="SimSun" w:hAnsi="Times New Roman" w:cs="Times New Roman"/>
          <w:color w:val="000000"/>
        </w:rPr>
      </w:pPr>
    </w:p>
    <w:p w14:paraId="39271940" w14:textId="77777777" w:rsidR="000C61CC" w:rsidRPr="0047338E" w:rsidRDefault="000C61CC" w:rsidP="000C61CC">
      <w:pPr>
        <w:spacing w:after="0" w:line="240" w:lineRule="auto"/>
        <w:rPr>
          <w:rFonts w:ascii="Times New Roman" w:eastAsia="SimSun" w:hAnsi="Times New Roman" w:cs="Times New Roman"/>
          <w:color w:val="000000"/>
        </w:rPr>
      </w:pPr>
    </w:p>
    <w:p w14:paraId="2C00874A" w14:textId="77777777" w:rsidR="000C61CC" w:rsidRPr="0047338E" w:rsidRDefault="000C61CC" w:rsidP="000C61CC">
      <w:pPr>
        <w:spacing w:after="0" w:line="240" w:lineRule="auto"/>
        <w:rPr>
          <w:rFonts w:ascii="Times New Roman" w:eastAsia="SimSun" w:hAnsi="Times New Roman" w:cs="Times New Roman"/>
          <w:color w:val="000000"/>
        </w:rPr>
      </w:pPr>
    </w:p>
    <w:p w14:paraId="2B52EFF6" w14:textId="77777777" w:rsidR="000C61CC" w:rsidRPr="0047338E" w:rsidRDefault="000C61CC" w:rsidP="000C61CC">
      <w:pPr>
        <w:spacing w:after="0" w:line="240" w:lineRule="auto"/>
        <w:rPr>
          <w:rFonts w:ascii="Times New Roman" w:eastAsia="SimSun" w:hAnsi="Times New Roman" w:cs="Times New Roman"/>
          <w:color w:val="000000"/>
        </w:rPr>
      </w:pPr>
    </w:p>
    <w:p w14:paraId="27CC6E2F" w14:textId="77777777" w:rsidR="000C61CC" w:rsidRPr="0047338E" w:rsidRDefault="000C61CC" w:rsidP="000C61CC">
      <w:pPr>
        <w:spacing w:after="0" w:line="240" w:lineRule="auto"/>
        <w:rPr>
          <w:rFonts w:ascii="Times New Roman" w:eastAsia="SimSun" w:hAnsi="Times New Roman" w:cs="Times New Roman"/>
          <w:color w:val="000000"/>
        </w:rPr>
      </w:pPr>
    </w:p>
    <w:p w14:paraId="68ABD54B" w14:textId="77777777" w:rsidR="000C61CC" w:rsidRPr="0047338E" w:rsidRDefault="000C61CC" w:rsidP="000C61CC">
      <w:pPr>
        <w:spacing w:after="0" w:line="240" w:lineRule="auto"/>
        <w:rPr>
          <w:rFonts w:ascii="Times New Roman" w:eastAsia="SimSun" w:hAnsi="Times New Roman" w:cs="Times New Roman"/>
          <w:color w:val="000000"/>
        </w:rPr>
      </w:pPr>
    </w:p>
    <w:p w14:paraId="23227E62" w14:textId="77777777" w:rsidR="000C61CC" w:rsidRPr="0047338E" w:rsidRDefault="000C61CC" w:rsidP="000C61CC">
      <w:pPr>
        <w:spacing w:after="0" w:line="240" w:lineRule="auto"/>
        <w:rPr>
          <w:rFonts w:ascii="Times New Roman" w:eastAsia="SimSun" w:hAnsi="Times New Roman" w:cs="Times New Roman"/>
          <w:color w:val="000000"/>
        </w:rPr>
      </w:pPr>
    </w:p>
    <w:p w14:paraId="7D572ACC"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71" w:name="_Toc129243136"/>
      <w:bookmarkStart w:id="72" w:name="_Toc129243261"/>
    </w:p>
    <w:p w14:paraId="1411D2F7"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r w:rsidRPr="0047338E">
        <w:rPr>
          <w:rFonts w:ascii="Times New Roman" w:eastAsia="Times New Roman" w:hAnsi="Times New Roman" w:cs="Times New Roman"/>
          <w:b/>
        </w:rPr>
        <w:t>A. ŽENKLINIMAS</w:t>
      </w:r>
      <w:bookmarkEnd w:id="71"/>
      <w:bookmarkEnd w:id="72"/>
    </w:p>
    <w:p w14:paraId="0AD71524"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br w:type="page"/>
      </w:r>
    </w:p>
    <w:p w14:paraId="7852BD86"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INFORMACIJA ANT IŠORINĖS PAKUOTĖS</w:t>
      </w:r>
    </w:p>
    <w:p w14:paraId="193DA768"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6D4BFFA5"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rPr>
        <w:t>KARTONO DĖŽUTĖ</w:t>
      </w:r>
    </w:p>
    <w:p w14:paraId="179B45FE" w14:textId="77777777" w:rsidR="000C61CC" w:rsidRPr="0047338E" w:rsidRDefault="000C61CC" w:rsidP="000C61CC">
      <w:pPr>
        <w:spacing w:after="0" w:line="240" w:lineRule="auto"/>
        <w:rPr>
          <w:rFonts w:ascii="Times New Roman" w:eastAsia="SimSun" w:hAnsi="Times New Roman" w:cs="Times New Roman"/>
          <w:color w:val="000000"/>
        </w:rPr>
      </w:pPr>
    </w:p>
    <w:p w14:paraId="3AD8EE3A"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1.</w:t>
      </w:r>
      <w:r w:rsidRPr="0047338E">
        <w:rPr>
          <w:rFonts w:ascii="Times New Roman" w:eastAsia="Times New Roman" w:hAnsi="Times New Roman" w:cs="Times New Roman"/>
          <w:b/>
        </w:rPr>
        <w:tab/>
        <w:t>VAISTINIO PREPARATO PAVADINIMAS</w:t>
      </w:r>
    </w:p>
    <w:p w14:paraId="2F37EF74" w14:textId="77777777" w:rsidR="000C61CC" w:rsidRPr="0047338E" w:rsidRDefault="000C61CC" w:rsidP="000C61CC">
      <w:pPr>
        <w:spacing w:after="0" w:line="240" w:lineRule="auto"/>
        <w:rPr>
          <w:rFonts w:ascii="Times New Roman" w:eastAsia="SimSun" w:hAnsi="Times New Roman" w:cs="Times New Roman"/>
          <w:color w:val="000000"/>
        </w:rPr>
      </w:pPr>
    </w:p>
    <w:p w14:paraId="0FE9FA74"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Letrozole Accord 2,5 mg plėvele dengtos tabletės</w:t>
      </w:r>
    </w:p>
    <w:p w14:paraId="1E39E84B"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Letrozolas</w:t>
      </w:r>
    </w:p>
    <w:p w14:paraId="2E9148E8" w14:textId="77777777" w:rsidR="000C61CC" w:rsidRPr="0047338E" w:rsidRDefault="000C61CC" w:rsidP="000C61CC">
      <w:pPr>
        <w:spacing w:after="0" w:line="240" w:lineRule="auto"/>
        <w:rPr>
          <w:rFonts w:ascii="Times New Roman" w:eastAsia="SimSun" w:hAnsi="Times New Roman" w:cs="Times New Roman"/>
          <w:color w:val="000000"/>
        </w:rPr>
      </w:pPr>
    </w:p>
    <w:p w14:paraId="16A6C6F3" w14:textId="77777777" w:rsidR="000C61CC" w:rsidRPr="0047338E" w:rsidRDefault="000C61CC" w:rsidP="000C61CC">
      <w:pPr>
        <w:spacing w:after="0" w:line="240" w:lineRule="auto"/>
        <w:rPr>
          <w:rFonts w:ascii="Times New Roman" w:eastAsia="SimSun" w:hAnsi="Times New Roman" w:cs="Times New Roman"/>
          <w:color w:val="000000"/>
        </w:rPr>
      </w:pPr>
    </w:p>
    <w:p w14:paraId="172B0384"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2.</w:t>
      </w:r>
      <w:r w:rsidRPr="0047338E">
        <w:rPr>
          <w:rFonts w:ascii="Times New Roman" w:eastAsia="Times New Roman" w:hAnsi="Times New Roman" w:cs="Times New Roman"/>
          <w:b/>
        </w:rPr>
        <w:tab/>
        <w:t xml:space="preserve">VEIKLIOJI </w:t>
      </w:r>
      <w:r w:rsidRPr="0047338E">
        <w:rPr>
          <w:rFonts w:ascii="Times New Roman" w:eastAsia="Times New Roman" w:hAnsi="Times New Roman" w:cs="Times New Roman"/>
          <w:b/>
          <w:snapToGrid w:val="0"/>
        </w:rPr>
        <w:t xml:space="preserve">(-IOS) </w:t>
      </w:r>
      <w:r w:rsidRPr="0047338E">
        <w:rPr>
          <w:rFonts w:ascii="Times New Roman" w:eastAsia="Times New Roman" w:hAnsi="Times New Roman" w:cs="Times New Roman"/>
          <w:b/>
        </w:rPr>
        <w:t xml:space="preserve">MEDŽIAGA </w:t>
      </w:r>
      <w:r w:rsidRPr="0047338E">
        <w:rPr>
          <w:rFonts w:ascii="Times New Roman" w:eastAsia="Times New Roman" w:hAnsi="Times New Roman" w:cs="Times New Roman"/>
          <w:b/>
          <w:snapToGrid w:val="0"/>
        </w:rPr>
        <w:t xml:space="preserve">(-OS) </w:t>
      </w:r>
      <w:r w:rsidRPr="0047338E">
        <w:rPr>
          <w:rFonts w:ascii="Times New Roman" w:eastAsia="Times New Roman" w:hAnsi="Times New Roman" w:cs="Times New Roman"/>
          <w:b/>
        </w:rPr>
        <w:t xml:space="preserve">IR JOS </w:t>
      </w:r>
      <w:r w:rsidRPr="0047338E">
        <w:rPr>
          <w:rFonts w:ascii="Times New Roman" w:eastAsia="Times New Roman" w:hAnsi="Times New Roman" w:cs="Times New Roman"/>
          <w:b/>
          <w:snapToGrid w:val="0"/>
        </w:rPr>
        <w:t xml:space="preserve">(-Ų) </w:t>
      </w:r>
      <w:r w:rsidRPr="0047338E">
        <w:rPr>
          <w:rFonts w:ascii="Times New Roman" w:eastAsia="Times New Roman" w:hAnsi="Times New Roman" w:cs="Times New Roman"/>
          <w:b/>
        </w:rPr>
        <w:t>KIEKIS</w:t>
      </w:r>
      <w:r w:rsidRPr="0047338E">
        <w:rPr>
          <w:rFonts w:ascii="Times New Roman" w:eastAsia="Times New Roman" w:hAnsi="Times New Roman" w:cs="Times New Roman"/>
          <w:b/>
          <w:snapToGrid w:val="0"/>
        </w:rPr>
        <w:t xml:space="preserve"> (-IAI)</w:t>
      </w:r>
    </w:p>
    <w:p w14:paraId="68328B02" w14:textId="77777777" w:rsidR="000C61CC" w:rsidRPr="0047338E" w:rsidRDefault="000C61CC" w:rsidP="000C61CC">
      <w:pPr>
        <w:spacing w:after="0" w:line="240" w:lineRule="auto"/>
        <w:rPr>
          <w:rFonts w:ascii="Times New Roman" w:eastAsia="SimSun" w:hAnsi="Times New Roman" w:cs="Times New Roman"/>
          <w:color w:val="000000"/>
        </w:rPr>
      </w:pPr>
    </w:p>
    <w:p w14:paraId="760BC46F" w14:textId="77777777" w:rsidR="000C61CC" w:rsidRPr="0047338E" w:rsidRDefault="008B4D37"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Kiekvienoje </w:t>
      </w:r>
      <w:r w:rsidR="000C61CC" w:rsidRPr="0047338E">
        <w:rPr>
          <w:rFonts w:ascii="Times New Roman" w:eastAsia="SimSun" w:hAnsi="Times New Roman" w:cs="Times New Roman"/>
          <w:color w:val="000000"/>
        </w:rPr>
        <w:t>plėvele dengtoje tabletėje yra 2,5 mg letrozolo.</w:t>
      </w:r>
    </w:p>
    <w:p w14:paraId="3C7BC811" w14:textId="77777777" w:rsidR="000C61CC" w:rsidRPr="0047338E" w:rsidRDefault="000C61CC" w:rsidP="000C61CC">
      <w:pPr>
        <w:spacing w:after="0" w:line="240" w:lineRule="auto"/>
        <w:rPr>
          <w:rFonts w:ascii="Times New Roman" w:eastAsia="SimSun" w:hAnsi="Times New Roman" w:cs="Times New Roman"/>
          <w:color w:val="000000"/>
        </w:rPr>
      </w:pPr>
    </w:p>
    <w:p w14:paraId="73B703D2" w14:textId="77777777" w:rsidR="000C61CC" w:rsidRPr="0047338E" w:rsidRDefault="000C61CC" w:rsidP="000C61CC">
      <w:pPr>
        <w:spacing w:after="0" w:line="240" w:lineRule="auto"/>
        <w:rPr>
          <w:rFonts w:ascii="Times New Roman" w:eastAsia="SimSun" w:hAnsi="Times New Roman" w:cs="Times New Roman"/>
          <w:color w:val="000000"/>
        </w:rPr>
      </w:pPr>
    </w:p>
    <w:p w14:paraId="4F1A92B6"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3.</w:t>
      </w:r>
      <w:r w:rsidRPr="0047338E">
        <w:rPr>
          <w:rFonts w:ascii="Times New Roman" w:eastAsia="Times New Roman" w:hAnsi="Times New Roman" w:cs="Times New Roman"/>
          <w:b/>
        </w:rPr>
        <w:tab/>
        <w:t>PAGALBINIŲ MEDŽIAGŲ SĄRAŠAS</w:t>
      </w:r>
    </w:p>
    <w:p w14:paraId="497B4109" w14:textId="77777777" w:rsidR="000C61CC" w:rsidRPr="0047338E" w:rsidRDefault="000C61CC" w:rsidP="000C61CC">
      <w:pPr>
        <w:spacing w:after="0" w:line="240" w:lineRule="auto"/>
        <w:rPr>
          <w:rFonts w:ascii="Times New Roman" w:eastAsia="SimSun" w:hAnsi="Times New Roman" w:cs="Times New Roman"/>
          <w:color w:val="000000"/>
        </w:rPr>
      </w:pPr>
    </w:p>
    <w:p w14:paraId="187AC5D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Sudėtyje yra laktozės.</w:t>
      </w:r>
    </w:p>
    <w:p w14:paraId="3904C59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highlight w:val="lightGray"/>
        </w:rPr>
        <w:t>Išsamesnės informacijos ieškokite pakuotės lapelyje.</w:t>
      </w:r>
    </w:p>
    <w:p w14:paraId="071BF3D7" w14:textId="77777777" w:rsidR="000C61CC" w:rsidRPr="0047338E" w:rsidRDefault="000C61CC" w:rsidP="000C61CC">
      <w:pPr>
        <w:spacing w:after="0" w:line="240" w:lineRule="auto"/>
        <w:rPr>
          <w:rFonts w:ascii="Times New Roman" w:eastAsia="SimSun" w:hAnsi="Times New Roman" w:cs="Times New Roman"/>
          <w:color w:val="000000"/>
        </w:rPr>
      </w:pPr>
    </w:p>
    <w:p w14:paraId="5666405E" w14:textId="77777777" w:rsidR="000C61CC" w:rsidRPr="0047338E" w:rsidRDefault="000C61CC" w:rsidP="000C61CC">
      <w:pPr>
        <w:spacing w:after="0" w:line="240" w:lineRule="auto"/>
        <w:rPr>
          <w:rFonts w:ascii="Times New Roman" w:eastAsia="SimSun" w:hAnsi="Times New Roman" w:cs="Times New Roman"/>
          <w:color w:val="000000"/>
        </w:rPr>
      </w:pPr>
    </w:p>
    <w:p w14:paraId="2BC03802"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4.</w:t>
      </w:r>
      <w:r w:rsidRPr="0047338E">
        <w:rPr>
          <w:rFonts w:ascii="Times New Roman" w:eastAsia="Times New Roman" w:hAnsi="Times New Roman" w:cs="Times New Roman"/>
          <w:b/>
        </w:rPr>
        <w:tab/>
        <w:t>FARMACINĖ FORMA IR KIEKIS PAKUOTĖJE</w:t>
      </w:r>
    </w:p>
    <w:p w14:paraId="083160BF" w14:textId="77777777" w:rsidR="000C61CC" w:rsidRPr="0047338E" w:rsidRDefault="000C61CC" w:rsidP="000C61CC">
      <w:pPr>
        <w:spacing w:after="0" w:line="240" w:lineRule="auto"/>
        <w:rPr>
          <w:rFonts w:ascii="Times New Roman" w:eastAsia="SimSun" w:hAnsi="Times New Roman" w:cs="Times New Roman"/>
          <w:color w:val="000000"/>
        </w:rPr>
      </w:pPr>
    </w:p>
    <w:p w14:paraId="695945D1"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highlight w:val="lightGray"/>
        </w:rPr>
        <w:t>Plėvele dengta tabletė</w:t>
      </w:r>
    </w:p>
    <w:p w14:paraId="20D8593D"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 xml:space="preserve">10 plėvele </w:t>
      </w:r>
      <w:r w:rsidRPr="0047338E">
        <w:rPr>
          <w:rFonts w:ascii="Times New Roman" w:eastAsia="Times New Roman" w:hAnsi="Times New Roman" w:cs="Times New Roman"/>
          <w:iCs/>
        </w:rPr>
        <w:t>dengtų tablečių</w:t>
      </w:r>
    </w:p>
    <w:p w14:paraId="26E44BBC" w14:textId="77777777" w:rsidR="000C61CC" w:rsidRPr="0047338E" w:rsidRDefault="000C61CC" w:rsidP="000C61CC">
      <w:pPr>
        <w:spacing w:after="0" w:line="240" w:lineRule="auto"/>
        <w:rPr>
          <w:rFonts w:ascii="Times New Roman" w:eastAsia="Times New Roman" w:hAnsi="Times New Roman" w:cs="Times New Roman"/>
          <w:highlight w:val="lightGray"/>
        </w:rPr>
      </w:pPr>
      <w:r w:rsidRPr="0047338E">
        <w:rPr>
          <w:rFonts w:ascii="Times New Roman" w:eastAsia="Times New Roman" w:hAnsi="Times New Roman" w:cs="Times New Roman"/>
          <w:highlight w:val="lightGray"/>
        </w:rPr>
        <w:t xml:space="preserve">14 plėvele </w:t>
      </w:r>
      <w:r w:rsidRPr="0047338E">
        <w:rPr>
          <w:rFonts w:ascii="Times New Roman" w:eastAsia="Times New Roman" w:hAnsi="Times New Roman" w:cs="Times New Roman"/>
          <w:iCs/>
          <w:highlight w:val="lightGray"/>
        </w:rPr>
        <w:t>dengtų tablečių</w:t>
      </w:r>
    </w:p>
    <w:p w14:paraId="1F3A2538" w14:textId="77777777" w:rsidR="000C61CC" w:rsidRPr="0047338E" w:rsidRDefault="000C61CC" w:rsidP="000C61CC">
      <w:pPr>
        <w:spacing w:after="0" w:line="240" w:lineRule="auto"/>
        <w:rPr>
          <w:rFonts w:ascii="Times New Roman" w:eastAsia="Times New Roman" w:hAnsi="Times New Roman" w:cs="Times New Roman"/>
          <w:highlight w:val="lightGray"/>
        </w:rPr>
      </w:pPr>
      <w:r w:rsidRPr="0047338E">
        <w:rPr>
          <w:rFonts w:ascii="Times New Roman" w:eastAsia="Times New Roman" w:hAnsi="Times New Roman" w:cs="Times New Roman"/>
          <w:highlight w:val="lightGray"/>
        </w:rPr>
        <w:t xml:space="preserve">28 plėvele </w:t>
      </w:r>
      <w:r w:rsidRPr="0047338E">
        <w:rPr>
          <w:rFonts w:ascii="Times New Roman" w:eastAsia="Times New Roman" w:hAnsi="Times New Roman" w:cs="Times New Roman"/>
          <w:iCs/>
          <w:highlight w:val="lightGray"/>
        </w:rPr>
        <w:t>dengtos tabletės</w:t>
      </w:r>
    </w:p>
    <w:p w14:paraId="14B2987C" w14:textId="77777777" w:rsidR="000C61CC" w:rsidRPr="0047338E" w:rsidRDefault="000C61CC" w:rsidP="000C61CC">
      <w:pPr>
        <w:spacing w:after="0" w:line="240" w:lineRule="auto"/>
        <w:rPr>
          <w:rFonts w:ascii="Times New Roman" w:eastAsia="Times New Roman" w:hAnsi="Times New Roman" w:cs="Times New Roman"/>
          <w:iCs/>
          <w:highlight w:val="lightGray"/>
        </w:rPr>
      </w:pPr>
      <w:r w:rsidRPr="0047338E">
        <w:rPr>
          <w:rFonts w:ascii="Times New Roman" w:eastAsia="Times New Roman" w:hAnsi="Times New Roman" w:cs="Times New Roman"/>
          <w:highlight w:val="lightGray"/>
        </w:rPr>
        <w:t xml:space="preserve">30 plėvele </w:t>
      </w:r>
      <w:r w:rsidRPr="0047338E">
        <w:rPr>
          <w:rFonts w:ascii="Times New Roman" w:eastAsia="Times New Roman" w:hAnsi="Times New Roman" w:cs="Times New Roman"/>
          <w:iCs/>
          <w:highlight w:val="lightGray"/>
        </w:rPr>
        <w:t>dengtų tablečių</w:t>
      </w:r>
    </w:p>
    <w:p w14:paraId="229076EF" w14:textId="77777777" w:rsidR="000C61CC" w:rsidRPr="0047338E" w:rsidRDefault="000C61CC" w:rsidP="000C61CC">
      <w:pPr>
        <w:spacing w:after="0" w:line="240" w:lineRule="auto"/>
        <w:rPr>
          <w:rFonts w:ascii="Times New Roman" w:eastAsia="Times New Roman" w:hAnsi="Times New Roman" w:cs="Times New Roman"/>
          <w:iCs/>
          <w:highlight w:val="lightGray"/>
        </w:rPr>
      </w:pPr>
      <w:r w:rsidRPr="0047338E">
        <w:rPr>
          <w:rFonts w:ascii="Times New Roman" w:eastAsia="Times New Roman" w:hAnsi="Times New Roman" w:cs="Times New Roman"/>
          <w:highlight w:val="lightGray"/>
        </w:rPr>
        <w:t xml:space="preserve">50 plėvele </w:t>
      </w:r>
      <w:r w:rsidRPr="0047338E">
        <w:rPr>
          <w:rFonts w:ascii="Times New Roman" w:eastAsia="Times New Roman" w:hAnsi="Times New Roman" w:cs="Times New Roman"/>
          <w:iCs/>
          <w:highlight w:val="lightGray"/>
        </w:rPr>
        <w:t>dengtų tablečių</w:t>
      </w:r>
    </w:p>
    <w:p w14:paraId="1B2F76E8" w14:textId="77777777" w:rsidR="000C61CC" w:rsidRPr="0047338E" w:rsidRDefault="000C61CC" w:rsidP="000C61CC">
      <w:pPr>
        <w:spacing w:after="0" w:line="240" w:lineRule="auto"/>
        <w:rPr>
          <w:rFonts w:ascii="Times New Roman" w:eastAsia="Times New Roman" w:hAnsi="Times New Roman" w:cs="Times New Roman"/>
          <w:iCs/>
          <w:highlight w:val="lightGray"/>
        </w:rPr>
      </w:pPr>
      <w:r w:rsidRPr="0047338E">
        <w:rPr>
          <w:rFonts w:ascii="Times New Roman" w:eastAsia="Times New Roman" w:hAnsi="Times New Roman" w:cs="Times New Roman"/>
          <w:highlight w:val="lightGray"/>
        </w:rPr>
        <w:t xml:space="preserve">60 plėvele </w:t>
      </w:r>
      <w:r w:rsidRPr="0047338E">
        <w:rPr>
          <w:rFonts w:ascii="Times New Roman" w:eastAsia="Times New Roman" w:hAnsi="Times New Roman" w:cs="Times New Roman"/>
          <w:iCs/>
          <w:highlight w:val="lightGray"/>
        </w:rPr>
        <w:t>dengtų tablečių</w:t>
      </w:r>
    </w:p>
    <w:p w14:paraId="06F17215" w14:textId="77777777" w:rsidR="000C61CC" w:rsidRPr="0047338E" w:rsidRDefault="000C61CC" w:rsidP="000C61CC">
      <w:pPr>
        <w:spacing w:after="0" w:line="240" w:lineRule="auto"/>
        <w:rPr>
          <w:rFonts w:ascii="Times New Roman" w:eastAsia="Times New Roman" w:hAnsi="Times New Roman" w:cs="Times New Roman"/>
          <w:iCs/>
          <w:highlight w:val="lightGray"/>
        </w:rPr>
      </w:pPr>
      <w:r w:rsidRPr="0047338E">
        <w:rPr>
          <w:rFonts w:ascii="Times New Roman" w:eastAsia="Times New Roman" w:hAnsi="Times New Roman" w:cs="Times New Roman"/>
          <w:highlight w:val="lightGray"/>
        </w:rPr>
        <w:t xml:space="preserve">84 plėvele </w:t>
      </w:r>
      <w:r w:rsidRPr="0047338E">
        <w:rPr>
          <w:rFonts w:ascii="Times New Roman" w:eastAsia="Times New Roman" w:hAnsi="Times New Roman" w:cs="Times New Roman"/>
          <w:iCs/>
          <w:highlight w:val="lightGray"/>
        </w:rPr>
        <w:t>dengtos tabletės</w:t>
      </w:r>
    </w:p>
    <w:p w14:paraId="77B25443" w14:textId="77777777" w:rsidR="000C61CC" w:rsidRPr="0047338E" w:rsidRDefault="000C61CC" w:rsidP="000C61CC">
      <w:pPr>
        <w:spacing w:after="0" w:line="240" w:lineRule="auto"/>
        <w:rPr>
          <w:rFonts w:ascii="Times New Roman" w:eastAsia="Times New Roman" w:hAnsi="Times New Roman" w:cs="Times New Roman"/>
          <w:iCs/>
          <w:highlight w:val="lightGray"/>
        </w:rPr>
      </w:pPr>
      <w:r w:rsidRPr="0047338E">
        <w:rPr>
          <w:rFonts w:ascii="Times New Roman" w:eastAsia="Times New Roman" w:hAnsi="Times New Roman" w:cs="Times New Roman"/>
          <w:highlight w:val="lightGray"/>
        </w:rPr>
        <w:t xml:space="preserve">90 plėvele </w:t>
      </w:r>
      <w:r w:rsidRPr="0047338E">
        <w:rPr>
          <w:rFonts w:ascii="Times New Roman" w:eastAsia="Times New Roman" w:hAnsi="Times New Roman" w:cs="Times New Roman"/>
          <w:iCs/>
          <w:highlight w:val="lightGray"/>
        </w:rPr>
        <w:t>dengtų tablečių</w:t>
      </w:r>
    </w:p>
    <w:p w14:paraId="0F5776DE" w14:textId="77777777" w:rsidR="000C61CC" w:rsidRPr="0047338E" w:rsidRDefault="000C61CC" w:rsidP="000C61CC">
      <w:pPr>
        <w:spacing w:after="0" w:line="240" w:lineRule="auto"/>
        <w:rPr>
          <w:rFonts w:ascii="Times New Roman" w:eastAsia="Times New Roman" w:hAnsi="Times New Roman" w:cs="Times New Roman"/>
          <w:iCs/>
          <w:highlight w:val="lightGray"/>
        </w:rPr>
      </w:pPr>
      <w:r w:rsidRPr="0047338E">
        <w:rPr>
          <w:rFonts w:ascii="Times New Roman" w:eastAsia="Times New Roman" w:hAnsi="Times New Roman" w:cs="Times New Roman"/>
          <w:highlight w:val="lightGray"/>
        </w:rPr>
        <w:t xml:space="preserve">98 plėvele </w:t>
      </w:r>
      <w:r w:rsidRPr="0047338E">
        <w:rPr>
          <w:rFonts w:ascii="Times New Roman" w:eastAsia="Times New Roman" w:hAnsi="Times New Roman" w:cs="Times New Roman"/>
          <w:iCs/>
          <w:highlight w:val="lightGray"/>
        </w:rPr>
        <w:t>dengtos tabletės</w:t>
      </w:r>
    </w:p>
    <w:p w14:paraId="2977E51D" w14:textId="77777777" w:rsidR="000C61CC" w:rsidRPr="0047338E" w:rsidRDefault="000C61CC" w:rsidP="000C61CC">
      <w:pPr>
        <w:spacing w:after="0" w:line="240" w:lineRule="auto"/>
        <w:rPr>
          <w:rFonts w:ascii="Times New Roman" w:eastAsia="Times New Roman" w:hAnsi="Times New Roman" w:cs="Times New Roman"/>
          <w:iCs/>
        </w:rPr>
      </w:pPr>
      <w:r w:rsidRPr="0047338E">
        <w:rPr>
          <w:rFonts w:ascii="Times New Roman" w:eastAsia="Times New Roman" w:hAnsi="Times New Roman" w:cs="Times New Roman"/>
          <w:highlight w:val="lightGray"/>
        </w:rPr>
        <w:t xml:space="preserve">100 plėvele </w:t>
      </w:r>
      <w:r w:rsidRPr="0047338E">
        <w:rPr>
          <w:rFonts w:ascii="Times New Roman" w:eastAsia="Times New Roman" w:hAnsi="Times New Roman" w:cs="Times New Roman"/>
          <w:iCs/>
          <w:highlight w:val="lightGray"/>
        </w:rPr>
        <w:t>dengtų tablečių</w:t>
      </w:r>
    </w:p>
    <w:p w14:paraId="779D416E" w14:textId="77777777" w:rsidR="000C61CC" w:rsidRPr="0047338E" w:rsidRDefault="000C61CC" w:rsidP="000C61CC">
      <w:pPr>
        <w:spacing w:after="0" w:line="240" w:lineRule="auto"/>
        <w:rPr>
          <w:rFonts w:ascii="Times New Roman" w:eastAsia="SimSun" w:hAnsi="Times New Roman" w:cs="Times New Roman"/>
          <w:color w:val="000000"/>
        </w:rPr>
      </w:pPr>
    </w:p>
    <w:p w14:paraId="66E40621" w14:textId="77777777" w:rsidR="000C61CC" w:rsidRPr="0047338E" w:rsidRDefault="000C61CC" w:rsidP="000C61CC">
      <w:pPr>
        <w:spacing w:after="0" w:line="240" w:lineRule="auto"/>
        <w:rPr>
          <w:rFonts w:ascii="Times New Roman" w:eastAsia="SimSun" w:hAnsi="Times New Roman" w:cs="Times New Roman"/>
          <w:color w:val="000000"/>
        </w:rPr>
      </w:pPr>
    </w:p>
    <w:p w14:paraId="54CC12DA"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5.</w:t>
      </w:r>
      <w:r w:rsidRPr="0047338E">
        <w:rPr>
          <w:rFonts w:ascii="Times New Roman" w:eastAsia="Times New Roman" w:hAnsi="Times New Roman" w:cs="Times New Roman"/>
          <w:b/>
        </w:rPr>
        <w:tab/>
        <w:t>VARTOJIMO METODAS IR BŪDAS (-AI)</w:t>
      </w:r>
    </w:p>
    <w:p w14:paraId="33FC207E" w14:textId="77777777" w:rsidR="000C61CC" w:rsidRPr="0047338E" w:rsidRDefault="000C61CC" w:rsidP="000C61CC">
      <w:pPr>
        <w:spacing w:after="0" w:line="240" w:lineRule="auto"/>
        <w:rPr>
          <w:rFonts w:ascii="Times New Roman" w:eastAsia="SimSun" w:hAnsi="Times New Roman" w:cs="Times New Roman"/>
          <w:color w:val="000000"/>
        </w:rPr>
      </w:pPr>
    </w:p>
    <w:p w14:paraId="6A775FC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Vartoti per burną.</w:t>
      </w:r>
    </w:p>
    <w:p w14:paraId="00A36078" w14:textId="77777777" w:rsidR="000C61CC" w:rsidRPr="0047338E" w:rsidRDefault="000C61CC" w:rsidP="000C61CC">
      <w:pPr>
        <w:spacing w:after="0" w:line="240" w:lineRule="auto"/>
        <w:rPr>
          <w:rFonts w:ascii="Times New Roman" w:eastAsia="SimSun" w:hAnsi="Times New Roman" w:cs="Times New Roman"/>
          <w:color w:val="000000"/>
        </w:rPr>
      </w:pPr>
    </w:p>
    <w:p w14:paraId="16B88E06"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Prieš vartojimą perskaitykite pakuotės lapelį. </w:t>
      </w:r>
    </w:p>
    <w:p w14:paraId="412D3906" w14:textId="77777777" w:rsidR="000C61CC" w:rsidRPr="0047338E" w:rsidRDefault="000C61CC" w:rsidP="000C61CC">
      <w:pPr>
        <w:spacing w:after="0" w:line="240" w:lineRule="auto"/>
        <w:rPr>
          <w:rFonts w:ascii="Times New Roman" w:eastAsia="SimSun" w:hAnsi="Times New Roman" w:cs="Times New Roman"/>
          <w:color w:val="000000"/>
        </w:rPr>
      </w:pPr>
    </w:p>
    <w:p w14:paraId="7EF16D0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Vartokite taip, kaip nurodė gydytojas.</w:t>
      </w:r>
    </w:p>
    <w:p w14:paraId="0EF0F04D" w14:textId="77777777" w:rsidR="000C61CC" w:rsidRPr="0047338E" w:rsidRDefault="000C61CC" w:rsidP="000C61CC">
      <w:pPr>
        <w:spacing w:after="0" w:line="240" w:lineRule="auto"/>
        <w:rPr>
          <w:rFonts w:ascii="Times New Roman" w:eastAsia="SimSun" w:hAnsi="Times New Roman" w:cs="Times New Roman"/>
          <w:color w:val="000000"/>
        </w:rPr>
      </w:pPr>
    </w:p>
    <w:p w14:paraId="4C3F8187" w14:textId="77777777" w:rsidR="000C61CC" w:rsidRPr="0047338E" w:rsidRDefault="000C61CC" w:rsidP="000C61CC">
      <w:pPr>
        <w:spacing w:after="0" w:line="240" w:lineRule="auto"/>
        <w:rPr>
          <w:rFonts w:ascii="Times New Roman" w:eastAsia="SimSun" w:hAnsi="Times New Roman" w:cs="Times New Roman"/>
          <w:color w:val="000000"/>
        </w:rPr>
      </w:pPr>
    </w:p>
    <w:p w14:paraId="3B5903CA"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snapToGrid w:val="0"/>
        </w:rPr>
      </w:pPr>
      <w:r w:rsidRPr="0047338E">
        <w:rPr>
          <w:rFonts w:ascii="Times New Roman" w:eastAsia="Times New Roman" w:hAnsi="Times New Roman" w:cs="Times New Roman"/>
          <w:b/>
        </w:rPr>
        <w:t>6.</w:t>
      </w:r>
      <w:r w:rsidRPr="0047338E">
        <w:rPr>
          <w:rFonts w:ascii="Times New Roman" w:eastAsia="Times New Roman" w:hAnsi="Times New Roman" w:cs="Times New Roman"/>
          <w:b/>
        </w:rPr>
        <w:tab/>
        <w:t xml:space="preserve">SPECIALUS ĮSPĖJIMAS, KAD VAISTINĮ PREPARATĄ BŪTINA LAIKYTI VAIKAMS </w:t>
      </w:r>
      <w:r w:rsidRPr="0047338E">
        <w:rPr>
          <w:rFonts w:ascii="Times New Roman" w:eastAsia="Times New Roman" w:hAnsi="Times New Roman" w:cs="Times New Roman"/>
          <w:b/>
          <w:snapToGrid w:val="0"/>
        </w:rPr>
        <w:t xml:space="preserve">NEPASTEBIMOJE IR </w:t>
      </w:r>
      <w:r w:rsidRPr="0047338E">
        <w:rPr>
          <w:rFonts w:ascii="Times New Roman" w:eastAsia="Times New Roman" w:hAnsi="Times New Roman" w:cs="Times New Roman"/>
          <w:b/>
        </w:rPr>
        <w:t>NEPASIEKIAMOJE VIETOJE</w:t>
      </w:r>
    </w:p>
    <w:p w14:paraId="60F33DDD" w14:textId="77777777" w:rsidR="000C61CC" w:rsidRPr="0047338E" w:rsidRDefault="000C61CC" w:rsidP="000C61CC">
      <w:pPr>
        <w:spacing w:after="0" w:line="240" w:lineRule="auto"/>
        <w:rPr>
          <w:rFonts w:ascii="Times New Roman" w:eastAsia="SimSun" w:hAnsi="Times New Roman" w:cs="Times New Roman"/>
          <w:color w:val="000000"/>
        </w:rPr>
      </w:pPr>
    </w:p>
    <w:p w14:paraId="6E992D2F" w14:textId="77777777" w:rsidR="000C61CC" w:rsidRPr="0047338E" w:rsidRDefault="000C61CC" w:rsidP="000C61CC">
      <w:pPr>
        <w:tabs>
          <w:tab w:val="left" w:pos="567"/>
        </w:tabs>
        <w:spacing w:after="0" w:line="260" w:lineRule="exact"/>
        <w:rPr>
          <w:rFonts w:ascii="Times New Roman" w:eastAsia="Times New Roman" w:hAnsi="Times New Roman" w:cs="Times New Roman"/>
          <w:snapToGrid w:val="0"/>
        </w:rPr>
      </w:pPr>
      <w:r w:rsidRPr="0047338E">
        <w:rPr>
          <w:rFonts w:ascii="Times New Roman" w:eastAsia="Times New Roman" w:hAnsi="Times New Roman" w:cs="Times New Roman"/>
          <w:snapToGrid w:val="0"/>
        </w:rPr>
        <w:t>Laikyti vaikams nepastebimoje ir nepasiekiamoje vietoje.</w:t>
      </w:r>
    </w:p>
    <w:p w14:paraId="0567657B" w14:textId="77777777" w:rsidR="000C61CC" w:rsidRPr="0047338E" w:rsidRDefault="000C61CC" w:rsidP="000C61CC">
      <w:pPr>
        <w:spacing w:after="0" w:line="240" w:lineRule="auto"/>
        <w:rPr>
          <w:rFonts w:ascii="Times New Roman" w:eastAsia="SimSun" w:hAnsi="Times New Roman" w:cs="Times New Roman"/>
          <w:color w:val="000000"/>
        </w:rPr>
      </w:pPr>
    </w:p>
    <w:p w14:paraId="6AACC778" w14:textId="77777777" w:rsidR="000C61CC" w:rsidRPr="0047338E" w:rsidRDefault="000C61CC" w:rsidP="000C61CC">
      <w:pPr>
        <w:spacing w:after="0" w:line="240" w:lineRule="auto"/>
        <w:rPr>
          <w:rFonts w:ascii="Times New Roman" w:eastAsia="SimSun" w:hAnsi="Times New Roman" w:cs="Times New Roman"/>
          <w:color w:val="000000"/>
        </w:rPr>
      </w:pPr>
    </w:p>
    <w:p w14:paraId="016D31BF"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7.</w:t>
      </w:r>
      <w:r w:rsidRPr="0047338E">
        <w:rPr>
          <w:rFonts w:ascii="Times New Roman" w:eastAsia="Times New Roman" w:hAnsi="Times New Roman" w:cs="Times New Roman"/>
          <w:b/>
        </w:rPr>
        <w:tab/>
        <w:t>KITAS (-I) SPECIALUS (-ŪS) ĮSPĖJIMAS (-AI) (JEI REIKIA)</w:t>
      </w:r>
    </w:p>
    <w:p w14:paraId="551A161F" w14:textId="77777777" w:rsidR="000C61CC" w:rsidRPr="0047338E" w:rsidRDefault="000C61CC" w:rsidP="000C61CC">
      <w:pPr>
        <w:spacing w:after="0" w:line="240" w:lineRule="auto"/>
        <w:rPr>
          <w:rFonts w:ascii="Times New Roman" w:eastAsia="SimSun" w:hAnsi="Times New Roman" w:cs="Times New Roman"/>
          <w:color w:val="000000"/>
        </w:rPr>
      </w:pPr>
    </w:p>
    <w:p w14:paraId="64CF83C5" w14:textId="77777777" w:rsidR="000C61CC" w:rsidRPr="0047338E" w:rsidRDefault="000C61CC" w:rsidP="000C61CC">
      <w:pPr>
        <w:spacing w:after="0" w:line="240" w:lineRule="auto"/>
        <w:rPr>
          <w:rFonts w:ascii="Times New Roman" w:eastAsia="SimSun" w:hAnsi="Times New Roman" w:cs="Times New Roman"/>
          <w:color w:val="000000"/>
        </w:rPr>
      </w:pPr>
    </w:p>
    <w:p w14:paraId="07FF0013"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8.</w:t>
      </w:r>
      <w:r w:rsidRPr="0047338E">
        <w:rPr>
          <w:rFonts w:ascii="Times New Roman" w:eastAsia="Times New Roman" w:hAnsi="Times New Roman" w:cs="Times New Roman"/>
          <w:b/>
        </w:rPr>
        <w:tab/>
        <w:t>TINKAMUMO LAIKAS</w:t>
      </w:r>
    </w:p>
    <w:p w14:paraId="5CB294C5" w14:textId="77777777" w:rsidR="000C61CC" w:rsidRPr="0047338E" w:rsidRDefault="000C61CC" w:rsidP="000C61CC">
      <w:pPr>
        <w:spacing w:after="0" w:line="240" w:lineRule="auto"/>
        <w:rPr>
          <w:rFonts w:ascii="Times New Roman" w:eastAsia="SimSun" w:hAnsi="Times New Roman" w:cs="Times New Roman"/>
          <w:color w:val="000000"/>
        </w:rPr>
      </w:pPr>
    </w:p>
    <w:p w14:paraId="4A02286D" w14:textId="6650CE33"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Tinka iki</w:t>
      </w:r>
      <w:r w:rsidR="009B6A01" w:rsidRPr="0047338E">
        <w:rPr>
          <w:rFonts w:ascii="Times New Roman" w:eastAsia="SimSun" w:hAnsi="Times New Roman" w:cs="Times New Roman"/>
          <w:color w:val="000000"/>
        </w:rPr>
        <w:t xml:space="preserve"> </w:t>
      </w:r>
      <w:r w:rsidR="009B6A01" w:rsidRPr="0047338E">
        <w:rPr>
          <w:rFonts w:ascii="Times New Roman" w:eastAsia="Times New Roman" w:hAnsi="Times New Roman" w:cs="Times New Roman"/>
        </w:rPr>
        <w:t>{mm/MMMM}</w:t>
      </w:r>
    </w:p>
    <w:p w14:paraId="4FD5B5CA" w14:textId="77777777" w:rsidR="000C61CC" w:rsidRPr="0047338E" w:rsidRDefault="000C61CC" w:rsidP="000C61CC">
      <w:pPr>
        <w:spacing w:after="0" w:line="240" w:lineRule="auto"/>
        <w:rPr>
          <w:rFonts w:ascii="Times New Roman" w:eastAsia="SimSun" w:hAnsi="Times New Roman" w:cs="Times New Roman"/>
          <w:color w:val="000000"/>
        </w:rPr>
      </w:pPr>
    </w:p>
    <w:p w14:paraId="54ABD834" w14:textId="77777777" w:rsidR="000C61CC" w:rsidRPr="0047338E" w:rsidRDefault="000C61CC" w:rsidP="000C61CC">
      <w:pPr>
        <w:spacing w:after="0" w:line="240" w:lineRule="auto"/>
        <w:rPr>
          <w:rFonts w:ascii="Times New Roman" w:eastAsia="SimSun" w:hAnsi="Times New Roman" w:cs="Times New Roman"/>
          <w:color w:val="000000"/>
        </w:rPr>
      </w:pPr>
    </w:p>
    <w:p w14:paraId="5F922A37"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9.</w:t>
      </w:r>
      <w:r w:rsidRPr="0047338E">
        <w:rPr>
          <w:rFonts w:ascii="Times New Roman" w:eastAsia="Times New Roman" w:hAnsi="Times New Roman" w:cs="Times New Roman"/>
          <w:b/>
        </w:rPr>
        <w:tab/>
        <w:t>SPECIALIOS LAIKYMO SĄLYGOS</w:t>
      </w:r>
    </w:p>
    <w:p w14:paraId="056A6C55" w14:textId="77777777" w:rsidR="000C61CC" w:rsidRPr="0047338E" w:rsidRDefault="000C61CC" w:rsidP="000C61CC">
      <w:pPr>
        <w:spacing w:after="0" w:line="240" w:lineRule="auto"/>
        <w:rPr>
          <w:rFonts w:ascii="Times New Roman" w:eastAsia="SimSun" w:hAnsi="Times New Roman" w:cs="Times New Roman"/>
          <w:color w:val="000000"/>
        </w:rPr>
      </w:pPr>
    </w:p>
    <w:p w14:paraId="5ECA9F04" w14:textId="77777777" w:rsidR="000C61CC" w:rsidRPr="0047338E" w:rsidRDefault="000C61CC" w:rsidP="000C61CC">
      <w:pPr>
        <w:spacing w:after="0" w:line="240" w:lineRule="auto"/>
        <w:rPr>
          <w:rFonts w:ascii="Times New Roman" w:eastAsia="SimSun" w:hAnsi="Times New Roman" w:cs="Times New Roman"/>
          <w:color w:val="000000"/>
        </w:rPr>
      </w:pPr>
    </w:p>
    <w:p w14:paraId="1E4347C1"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10.</w:t>
      </w:r>
      <w:r w:rsidRPr="0047338E">
        <w:rPr>
          <w:rFonts w:ascii="Times New Roman" w:eastAsia="Times New Roman" w:hAnsi="Times New Roman" w:cs="Times New Roman"/>
          <w:b/>
        </w:rPr>
        <w:tab/>
        <w:t xml:space="preserve">SPECIALIOS ATSARGUMO PRIEMONĖS DĖL NESUVARTOTO </w:t>
      </w:r>
      <w:r w:rsidRPr="0047338E">
        <w:rPr>
          <w:rFonts w:ascii="Times New Roman" w:eastAsia="Times New Roman" w:hAnsi="Times New Roman" w:cs="Times New Roman"/>
          <w:b/>
          <w:bCs/>
        </w:rPr>
        <w:t xml:space="preserve">VAISTINIO PREPARATO AR JO ATLIEKŲ </w:t>
      </w:r>
      <w:r w:rsidRPr="0047338E">
        <w:rPr>
          <w:rFonts w:ascii="Times New Roman" w:eastAsia="Times New Roman" w:hAnsi="Times New Roman" w:cs="Times New Roman"/>
          <w:b/>
        </w:rPr>
        <w:t>TVARKYMO (JEI REIKIA)</w:t>
      </w:r>
    </w:p>
    <w:p w14:paraId="16246ECA" w14:textId="77777777" w:rsidR="000C61CC" w:rsidRPr="0047338E" w:rsidRDefault="000C61CC" w:rsidP="000C61CC">
      <w:pPr>
        <w:spacing w:after="0" w:line="240" w:lineRule="auto"/>
        <w:rPr>
          <w:rFonts w:ascii="Times New Roman" w:eastAsia="SimSun" w:hAnsi="Times New Roman" w:cs="Times New Roman"/>
          <w:color w:val="000000"/>
        </w:rPr>
      </w:pPr>
    </w:p>
    <w:p w14:paraId="0EBAED4A" w14:textId="56ACD191"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Nesuvartotą </w:t>
      </w:r>
      <w:r w:rsidR="008B4D37" w:rsidRPr="0047338E">
        <w:rPr>
          <w:rFonts w:ascii="Times New Roman" w:eastAsia="SimSun" w:hAnsi="Times New Roman" w:cs="Times New Roman"/>
          <w:color w:val="000000"/>
        </w:rPr>
        <w:t xml:space="preserve">vaistą </w:t>
      </w:r>
      <w:r w:rsidRPr="0047338E">
        <w:rPr>
          <w:rFonts w:ascii="Times New Roman" w:eastAsia="SimSun" w:hAnsi="Times New Roman" w:cs="Times New Roman"/>
          <w:color w:val="000000"/>
        </w:rPr>
        <w:t>ar atliekas reikia tvarkyti laikantis vietinių reikalavimų.</w:t>
      </w:r>
    </w:p>
    <w:p w14:paraId="342DE250" w14:textId="77777777" w:rsidR="000C61CC" w:rsidRPr="0047338E" w:rsidRDefault="000C61CC" w:rsidP="000C61CC">
      <w:pPr>
        <w:spacing w:after="0" w:line="240" w:lineRule="auto"/>
        <w:rPr>
          <w:rFonts w:ascii="Times New Roman" w:eastAsia="SimSun" w:hAnsi="Times New Roman" w:cs="Times New Roman"/>
          <w:color w:val="000000"/>
        </w:rPr>
      </w:pPr>
    </w:p>
    <w:p w14:paraId="5F4FD3E7" w14:textId="77777777" w:rsidR="000C61CC" w:rsidRPr="0047338E" w:rsidRDefault="000C61CC" w:rsidP="000C61CC">
      <w:pPr>
        <w:spacing w:after="0" w:line="240" w:lineRule="auto"/>
        <w:rPr>
          <w:rFonts w:ascii="Times New Roman" w:eastAsia="SimSun" w:hAnsi="Times New Roman" w:cs="Times New Roman"/>
          <w:color w:val="000000"/>
        </w:rPr>
      </w:pPr>
    </w:p>
    <w:p w14:paraId="148131A4"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rPr>
      </w:pPr>
      <w:r w:rsidRPr="0047338E">
        <w:rPr>
          <w:rFonts w:ascii="Times New Roman" w:eastAsia="Times New Roman" w:hAnsi="Times New Roman" w:cs="Times New Roman"/>
          <w:b/>
        </w:rPr>
        <w:t>11.</w:t>
      </w:r>
      <w:r w:rsidRPr="0047338E">
        <w:rPr>
          <w:rFonts w:ascii="Times New Roman" w:eastAsia="Times New Roman" w:hAnsi="Times New Roman" w:cs="Times New Roman"/>
          <w:b/>
        </w:rPr>
        <w:tab/>
      </w:r>
      <w:r w:rsidRPr="0047338E">
        <w:rPr>
          <w:rFonts w:ascii="Times New Roman" w:eastAsia="Times New Roman" w:hAnsi="Times New Roman" w:cs="Times New Roman"/>
          <w:b/>
          <w:caps/>
          <w:snapToGrid w:val="0"/>
        </w:rPr>
        <w:t>REGISTRUOTOJO</w:t>
      </w:r>
      <w:r w:rsidRPr="0047338E">
        <w:rPr>
          <w:rFonts w:ascii="Times New Roman" w:eastAsia="Times New Roman" w:hAnsi="Times New Roman" w:cs="Times New Roman"/>
          <w:b/>
          <w:caps/>
        </w:rPr>
        <w:t xml:space="preserve"> PAVADINIMAS IR ADRESAS</w:t>
      </w:r>
    </w:p>
    <w:p w14:paraId="3B5A298F" w14:textId="77777777" w:rsidR="000C61CC" w:rsidRPr="0047338E" w:rsidRDefault="000C61CC" w:rsidP="000C61CC">
      <w:pPr>
        <w:spacing w:after="0" w:line="240" w:lineRule="auto"/>
        <w:rPr>
          <w:rFonts w:ascii="Times New Roman" w:eastAsia="SimSun" w:hAnsi="Times New Roman" w:cs="Times New Roman"/>
          <w:color w:val="000000"/>
        </w:rPr>
      </w:pPr>
    </w:p>
    <w:p w14:paraId="27626BE2"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Accord Healthcare B.V. </w:t>
      </w:r>
    </w:p>
    <w:p w14:paraId="05D17873"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Winthontlaan 200 </w:t>
      </w:r>
    </w:p>
    <w:p w14:paraId="500681DC"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3526 KV Utrecht </w:t>
      </w:r>
    </w:p>
    <w:p w14:paraId="24B0A399"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Nyderlandai</w:t>
      </w:r>
    </w:p>
    <w:p w14:paraId="7017017B" w14:textId="77777777" w:rsidR="000C61CC" w:rsidRPr="0047338E" w:rsidRDefault="000C61CC" w:rsidP="000C61CC">
      <w:pPr>
        <w:spacing w:after="0" w:line="240" w:lineRule="auto"/>
        <w:rPr>
          <w:rFonts w:ascii="Times New Roman" w:eastAsia="SimSun" w:hAnsi="Times New Roman" w:cs="Times New Roman"/>
          <w:color w:val="000000"/>
        </w:rPr>
      </w:pPr>
    </w:p>
    <w:p w14:paraId="3DA0D135" w14:textId="77777777" w:rsidR="000C61CC" w:rsidRPr="0047338E" w:rsidRDefault="000C61CC" w:rsidP="000C61CC">
      <w:pPr>
        <w:spacing w:after="0" w:line="240" w:lineRule="auto"/>
        <w:rPr>
          <w:rFonts w:ascii="Times New Roman" w:eastAsia="SimSun" w:hAnsi="Times New Roman" w:cs="Times New Roman"/>
          <w:color w:val="000000"/>
        </w:rPr>
      </w:pPr>
    </w:p>
    <w:p w14:paraId="5D86AC1A"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snapToGrid w:val="0"/>
        </w:rPr>
      </w:pPr>
      <w:r w:rsidRPr="0047338E">
        <w:rPr>
          <w:rFonts w:ascii="Times New Roman" w:eastAsia="Times New Roman" w:hAnsi="Times New Roman" w:cs="Times New Roman"/>
          <w:b/>
        </w:rPr>
        <w:t>12.</w:t>
      </w:r>
      <w:r w:rsidRPr="0047338E">
        <w:rPr>
          <w:rFonts w:ascii="Times New Roman" w:eastAsia="Times New Roman" w:hAnsi="Times New Roman" w:cs="Times New Roman"/>
          <w:b/>
        </w:rPr>
        <w:tab/>
      </w:r>
      <w:r w:rsidRPr="0047338E">
        <w:rPr>
          <w:rFonts w:ascii="Times New Roman" w:eastAsia="Times New Roman" w:hAnsi="Times New Roman" w:cs="Times New Roman"/>
          <w:b/>
          <w:snapToGrid w:val="0"/>
        </w:rPr>
        <w:t>REGISTRACIJOS</w:t>
      </w:r>
      <w:r w:rsidRPr="0047338E">
        <w:rPr>
          <w:rFonts w:ascii="Times New Roman" w:eastAsia="Times New Roman" w:hAnsi="Times New Roman" w:cs="Times New Roman"/>
          <w:b/>
        </w:rPr>
        <w:t xml:space="preserve"> PAŽYMĖJIMO NUMERIS </w:t>
      </w:r>
      <w:r w:rsidRPr="0047338E">
        <w:rPr>
          <w:rFonts w:ascii="Times New Roman" w:eastAsia="Times New Roman" w:hAnsi="Times New Roman" w:cs="Times New Roman"/>
          <w:b/>
          <w:snapToGrid w:val="0"/>
        </w:rPr>
        <w:t xml:space="preserve">(-IAI) </w:t>
      </w:r>
    </w:p>
    <w:p w14:paraId="12855716" w14:textId="77777777" w:rsidR="000C61CC" w:rsidRPr="0047338E" w:rsidRDefault="000C61CC" w:rsidP="000C61CC">
      <w:pPr>
        <w:spacing w:after="0" w:line="240" w:lineRule="auto"/>
        <w:rPr>
          <w:rFonts w:ascii="Times New Roman" w:eastAsia="SimSun" w:hAnsi="Times New Roman" w:cs="Times New Roman"/>
          <w:color w:val="000000"/>
        </w:rPr>
      </w:pPr>
    </w:p>
    <w:p w14:paraId="511FF702"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rPr>
        <w:t xml:space="preserve">LT/1/09/1451/002 </w:t>
      </w:r>
      <w:r w:rsidRPr="0047338E">
        <w:rPr>
          <w:rFonts w:ascii="Times New Roman" w:eastAsia="SimSun" w:hAnsi="Times New Roman" w:cs="Times New Roman"/>
          <w:color w:val="000000"/>
          <w:highlight w:val="lightGray"/>
        </w:rPr>
        <w:t>– N10</w:t>
      </w:r>
    </w:p>
    <w:p w14:paraId="5253F8DE"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LT/1/09/1451/003 – N14</w:t>
      </w:r>
    </w:p>
    <w:p w14:paraId="2943014E"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LT/1/09/1451/001 – N28</w:t>
      </w:r>
    </w:p>
    <w:p w14:paraId="7A7F4120"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LT/1/09/1451/004 – N30</w:t>
      </w:r>
    </w:p>
    <w:p w14:paraId="7EF258B7"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LT/1/09/1451/005 – N50</w:t>
      </w:r>
    </w:p>
    <w:p w14:paraId="32425A7E"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LT/1/09/1451/006 – N60</w:t>
      </w:r>
    </w:p>
    <w:p w14:paraId="369670E9"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LT/1/09/1451/007 – N84</w:t>
      </w:r>
    </w:p>
    <w:p w14:paraId="44766C04"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LT/1/09/1451/008 – N90</w:t>
      </w:r>
    </w:p>
    <w:p w14:paraId="0E1AB956" w14:textId="77777777" w:rsidR="00536DB6" w:rsidRPr="0047338E" w:rsidRDefault="00536DB6" w:rsidP="00536DB6">
      <w:pPr>
        <w:spacing w:after="0" w:line="240" w:lineRule="auto"/>
        <w:rPr>
          <w:rFonts w:ascii="Times New Roman" w:eastAsia="SimSun" w:hAnsi="Times New Roman" w:cs="Times New Roman"/>
          <w:color w:val="000000"/>
          <w:highlight w:val="lightGray"/>
        </w:rPr>
      </w:pPr>
      <w:r w:rsidRPr="0047338E">
        <w:rPr>
          <w:rFonts w:ascii="Times New Roman" w:eastAsia="SimSun" w:hAnsi="Times New Roman" w:cs="Times New Roman"/>
          <w:color w:val="000000"/>
          <w:highlight w:val="lightGray"/>
        </w:rPr>
        <w:t>LT/1/09/1451/009 – N98</w:t>
      </w:r>
    </w:p>
    <w:p w14:paraId="3244D097" w14:textId="77777777" w:rsidR="00536DB6" w:rsidRPr="0047338E" w:rsidRDefault="00536DB6" w:rsidP="00536DB6">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highlight w:val="lightGray"/>
        </w:rPr>
        <w:t>LT/1/09/1451/010 – N100</w:t>
      </w:r>
    </w:p>
    <w:p w14:paraId="2049D89C" w14:textId="77777777" w:rsidR="000C61CC" w:rsidRPr="0047338E" w:rsidRDefault="000C61CC" w:rsidP="000C61CC">
      <w:pPr>
        <w:spacing w:after="0" w:line="240" w:lineRule="auto"/>
        <w:rPr>
          <w:rFonts w:ascii="Times New Roman" w:eastAsia="SimSun" w:hAnsi="Times New Roman" w:cs="Times New Roman"/>
          <w:color w:val="000000"/>
        </w:rPr>
      </w:pPr>
    </w:p>
    <w:p w14:paraId="4C07A540" w14:textId="77777777" w:rsidR="000C61CC" w:rsidRPr="0047338E" w:rsidRDefault="000C61CC" w:rsidP="000C61CC">
      <w:pPr>
        <w:spacing w:after="0" w:line="240" w:lineRule="auto"/>
        <w:rPr>
          <w:rFonts w:ascii="Times New Roman" w:eastAsia="SimSun" w:hAnsi="Times New Roman" w:cs="Times New Roman"/>
          <w:color w:val="000000"/>
        </w:rPr>
      </w:pPr>
    </w:p>
    <w:p w14:paraId="5C5B5427"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13.</w:t>
      </w:r>
      <w:r w:rsidRPr="0047338E">
        <w:rPr>
          <w:rFonts w:ascii="Times New Roman" w:eastAsia="Times New Roman" w:hAnsi="Times New Roman" w:cs="Times New Roman"/>
          <w:b/>
        </w:rPr>
        <w:tab/>
        <w:t>SERIJOS NUMERIS</w:t>
      </w:r>
    </w:p>
    <w:p w14:paraId="36B83615" w14:textId="77777777" w:rsidR="000C61CC" w:rsidRPr="0047338E" w:rsidRDefault="000C61CC" w:rsidP="000C61CC">
      <w:pPr>
        <w:spacing w:after="0" w:line="240" w:lineRule="auto"/>
        <w:rPr>
          <w:rFonts w:ascii="Times New Roman" w:eastAsia="SimSun" w:hAnsi="Times New Roman" w:cs="Times New Roman"/>
          <w:color w:val="000000"/>
        </w:rPr>
      </w:pPr>
    </w:p>
    <w:p w14:paraId="53FF9C4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Serija</w:t>
      </w:r>
      <w:r w:rsidR="009B6A01" w:rsidRPr="0047338E">
        <w:rPr>
          <w:rFonts w:ascii="Times New Roman" w:eastAsia="SimSun" w:hAnsi="Times New Roman" w:cs="Times New Roman"/>
          <w:color w:val="000000"/>
        </w:rPr>
        <w:t xml:space="preserve"> </w:t>
      </w:r>
      <w:r w:rsidR="009B6A01" w:rsidRPr="0047338E">
        <w:rPr>
          <w:rFonts w:ascii="Times New Roman" w:eastAsia="Times New Roman" w:hAnsi="Times New Roman" w:cs="Times New Roman"/>
        </w:rPr>
        <w:t>{numeris}</w:t>
      </w:r>
    </w:p>
    <w:p w14:paraId="101AD857" w14:textId="77777777" w:rsidR="000C61CC" w:rsidRPr="0047338E" w:rsidRDefault="000C61CC" w:rsidP="000C61CC">
      <w:pPr>
        <w:spacing w:after="0" w:line="240" w:lineRule="auto"/>
        <w:rPr>
          <w:rFonts w:ascii="Times New Roman" w:eastAsia="SimSun" w:hAnsi="Times New Roman" w:cs="Times New Roman"/>
          <w:color w:val="000000"/>
        </w:rPr>
      </w:pPr>
    </w:p>
    <w:p w14:paraId="70EA29D7" w14:textId="77777777" w:rsidR="000C61CC" w:rsidRPr="0047338E" w:rsidRDefault="000C61CC" w:rsidP="000C61CC">
      <w:pPr>
        <w:spacing w:after="0" w:line="240" w:lineRule="auto"/>
        <w:rPr>
          <w:rFonts w:ascii="Times New Roman" w:eastAsia="SimSun" w:hAnsi="Times New Roman" w:cs="Times New Roman"/>
          <w:color w:val="000000"/>
        </w:rPr>
      </w:pPr>
    </w:p>
    <w:p w14:paraId="62540BB3"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14.</w:t>
      </w:r>
      <w:r w:rsidRPr="0047338E">
        <w:rPr>
          <w:rFonts w:ascii="Times New Roman" w:eastAsia="Times New Roman" w:hAnsi="Times New Roman" w:cs="Times New Roman"/>
          <w:b/>
        </w:rPr>
        <w:tab/>
        <w:t>PARDAVIMO (IŠDAVIMO) TVARKA</w:t>
      </w:r>
    </w:p>
    <w:p w14:paraId="4D51AFC3" w14:textId="77777777" w:rsidR="000C61CC" w:rsidRPr="0047338E" w:rsidRDefault="000C61CC" w:rsidP="000C61CC">
      <w:pPr>
        <w:spacing w:after="0" w:line="240" w:lineRule="auto"/>
        <w:rPr>
          <w:rFonts w:ascii="Times New Roman" w:eastAsia="SimSun" w:hAnsi="Times New Roman" w:cs="Times New Roman"/>
          <w:color w:val="000000"/>
        </w:rPr>
      </w:pPr>
    </w:p>
    <w:p w14:paraId="51D0AE98" w14:textId="47B00B0C"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Receptinis vaistas</w:t>
      </w:r>
    </w:p>
    <w:p w14:paraId="4DC6E67E" w14:textId="77777777" w:rsidR="000C61CC" w:rsidRPr="0047338E" w:rsidRDefault="000C61CC" w:rsidP="000C61CC">
      <w:pPr>
        <w:spacing w:after="0" w:line="240" w:lineRule="auto"/>
        <w:rPr>
          <w:rFonts w:ascii="Times New Roman" w:eastAsia="SimSun" w:hAnsi="Times New Roman" w:cs="Times New Roman"/>
          <w:color w:val="000000"/>
        </w:rPr>
      </w:pPr>
    </w:p>
    <w:p w14:paraId="6285517A" w14:textId="77777777" w:rsidR="000C61CC" w:rsidRPr="0047338E" w:rsidRDefault="000C61CC" w:rsidP="000C61CC">
      <w:pPr>
        <w:spacing w:after="0" w:line="240" w:lineRule="auto"/>
        <w:rPr>
          <w:rFonts w:ascii="Times New Roman" w:eastAsia="SimSun" w:hAnsi="Times New Roman" w:cs="Times New Roman"/>
          <w:color w:val="000000"/>
        </w:rPr>
      </w:pPr>
    </w:p>
    <w:p w14:paraId="2F93B021"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15.</w:t>
      </w:r>
      <w:r w:rsidRPr="0047338E">
        <w:rPr>
          <w:rFonts w:ascii="Times New Roman" w:eastAsia="Times New Roman" w:hAnsi="Times New Roman" w:cs="Times New Roman"/>
          <w:b/>
        </w:rPr>
        <w:tab/>
        <w:t>VARTOJIMO INSTRUKCIJA</w:t>
      </w:r>
    </w:p>
    <w:p w14:paraId="4FD8B0AA" w14:textId="77777777" w:rsidR="000C61CC" w:rsidRPr="0047338E" w:rsidRDefault="000C61CC" w:rsidP="000C61CC">
      <w:pPr>
        <w:spacing w:after="0" w:line="240" w:lineRule="auto"/>
        <w:rPr>
          <w:rFonts w:ascii="Times New Roman" w:eastAsia="SimSun" w:hAnsi="Times New Roman" w:cs="Times New Roman"/>
          <w:color w:val="000000"/>
        </w:rPr>
      </w:pPr>
    </w:p>
    <w:p w14:paraId="46FE38F5" w14:textId="77777777" w:rsidR="000C61CC" w:rsidRPr="0047338E" w:rsidRDefault="000C61CC" w:rsidP="000C61CC">
      <w:pPr>
        <w:spacing w:after="0" w:line="240" w:lineRule="auto"/>
        <w:rPr>
          <w:rFonts w:ascii="Times New Roman" w:eastAsia="SimSun" w:hAnsi="Times New Roman" w:cs="Times New Roman"/>
          <w:color w:val="000000"/>
        </w:rPr>
      </w:pPr>
    </w:p>
    <w:p w14:paraId="21DBE89F"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16.</w:t>
      </w:r>
      <w:r w:rsidRPr="0047338E">
        <w:rPr>
          <w:rFonts w:ascii="Times New Roman" w:eastAsia="Times New Roman" w:hAnsi="Times New Roman" w:cs="Times New Roman"/>
          <w:b/>
        </w:rPr>
        <w:tab/>
        <w:t>INFORMACIJA BRAILIO RAŠTU</w:t>
      </w:r>
    </w:p>
    <w:p w14:paraId="0C77D888" w14:textId="77777777" w:rsidR="000C61CC" w:rsidRPr="0047338E" w:rsidRDefault="000C61CC" w:rsidP="000C61CC">
      <w:pPr>
        <w:spacing w:after="0" w:line="240" w:lineRule="auto"/>
        <w:rPr>
          <w:rFonts w:ascii="Times New Roman" w:eastAsia="SimSun" w:hAnsi="Times New Roman" w:cs="Times New Roman"/>
          <w:color w:val="000000"/>
        </w:rPr>
      </w:pPr>
    </w:p>
    <w:p w14:paraId="6CBA98CB"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Letrozole </w:t>
      </w:r>
      <w:r w:rsidR="004C1D3F" w:rsidRPr="0047338E">
        <w:rPr>
          <w:rFonts w:ascii="Times New Roman" w:eastAsia="SimSun" w:hAnsi="Times New Roman" w:cs="Times New Roman"/>
          <w:color w:val="000000"/>
        </w:rPr>
        <w:t xml:space="preserve">Accord </w:t>
      </w:r>
      <w:r w:rsidRPr="0047338E">
        <w:rPr>
          <w:rFonts w:ascii="Times New Roman" w:eastAsia="SimSun" w:hAnsi="Times New Roman" w:cs="Times New Roman"/>
          <w:color w:val="000000"/>
        </w:rPr>
        <w:t xml:space="preserve">2,5 mg </w:t>
      </w:r>
    </w:p>
    <w:p w14:paraId="4D849736" w14:textId="77777777" w:rsidR="000C61CC" w:rsidRPr="0047338E" w:rsidRDefault="000C61CC" w:rsidP="000C61CC">
      <w:pPr>
        <w:spacing w:after="0" w:line="240" w:lineRule="auto"/>
        <w:rPr>
          <w:rFonts w:ascii="Times New Roman" w:eastAsia="SimSun" w:hAnsi="Times New Roman" w:cs="Times New Roman"/>
          <w:color w:val="000000"/>
        </w:rPr>
      </w:pPr>
    </w:p>
    <w:p w14:paraId="72A9C902" w14:textId="77777777" w:rsidR="000C61CC" w:rsidRPr="0047338E" w:rsidRDefault="000C61CC" w:rsidP="000C61CC">
      <w:pPr>
        <w:spacing w:after="0" w:line="240" w:lineRule="auto"/>
        <w:rPr>
          <w:rFonts w:ascii="Times New Roman" w:eastAsia="Times New Roman" w:hAnsi="Times New Roman" w:cs="Times New Roman"/>
          <w:sz w:val="24"/>
          <w:shd w:val="clear" w:color="auto" w:fill="CCCCCC"/>
        </w:rPr>
      </w:pPr>
    </w:p>
    <w:p w14:paraId="76913C1F" w14:textId="77777777" w:rsidR="000C61CC" w:rsidRPr="0047338E" w:rsidRDefault="000C61CC" w:rsidP="00D7435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rPr>
      </w:pPr>
      <w:r w:rsidRPr="0047338E">
        <w:rPr>
          <w:rFonts w:ascii="Times New Roman" w:eastAsia="Times New Roman" w:hAnsi="Times New Roman" w:cs="Times New Roman"/>
          <w:b/>
        </w:rPr>
        <w:t>17.</w:t>
      </w:r>
      <w:r w:rsidRPr="0047338E">
        <w:rPr>
          <w:rFonts w:ascii="Times New Roman" w:eastAsia="Times New Roman" w:hAnsi="Times New Roman" w:cs="Times New Roman"/>
          <w:b/>
        </w:rPr>
        <w:tab/>
        <w:t>UNIKALUS IDENTIFIKATORIUS – 2D BRŪKŠNINIS KODAS</w:t>
      </w:r>
    </w:p>
    <w:p w14:paraId="3CBC6EC4" w14:textId="77777777" w:rsidR="000C61CC" w:rsidRPr="0047338E" w:rsidRDefault="000C61CC" w:rsidP="00D7435E">
      <w:pPr>
        <w:tabs>
          <w:tab w:val="left" w:pos="567"/>
        </w:tabs>
        <w:spacing w:after="0" w:line="240" w:lineRule="auto"/>
        <w:rPr>
          <w:rFonts w:ascii="Times New Roman" w:eastAsia="Times New Roman" w:hAnsi="Times New Roman" w:cs="Times New Roman"/>
        </w:rPr>
      </w:pPr>
    </w:p>
    <w:p w14:paraId="23F238A3" w14:textId="77777777" w:rsidR="000C61CC" w:rsidRPr="0047338E" w:rsidRDefault="000C61CC" w:rsidP="00D7435E">
      <w:pPr>
        <w:tabs>
          <w:tab w:val="left" w:pos="567"/>
        </w:tabs>
        <w:spacing w:after="0" w:line="240" w:lineRule="auto"/>
        <w:rPr>
          <w:rFonts w:ascii="Times New Roman" w:eastAsia="Times New Roman" w:hAnsi="Times New Roman" w:cs="Times New Roman"/>
          <w:shd w:val="clear" w:color="auto" w:fill="CCCCCC"/>
        </w:rPr>
      </w:pPr>
      <w:r w:rsidRPr="0047338E">
        <w:rPr>
          <w:rFonts w:ascii="Times New Roman" w:eastAsia="Times New Roman" w:hAnsi="Times New Roman" w:cs="Times New Roman"/>
          <w:highlight w:val="lightGray"/>
        </w:rPr>
        <w:t>2D brūkšninis kodas su nurodytu unikaliu identifikatoriumi.</w:t>
      </w:r>
    </w:p>
    <w:p w14:paraId="2EE1D8C5" w14:textId="77777777" w:rsidR="000C61CC" w:rsidRPr="0047338E" w:rsidRDefault="000C61CC" w:rsidP="00D7435E">
      <w:pPr>
        <w:tabs>
          <w:tab w:val="left" w:pos="567"/>
        </w:tabs>
        <w:spacing w:after="0" w:line="240" w:lineRule="auto"/>
        <w:rPr>
          <w:rFonts w:ascii="Times New Roman" w:eastAsia="Times New Roman" w:hAnsi="Times New Roman" w:cs="Times New Roman"/>
          <w:vanish/>
        </w:rPr>
      </w:pPr>
    </w:p>
    <w:p w14:paraId="2945D2E9" w14:textId="77777777" w:rsidR="000C61CC" w:rsidRPr="0047338E" w:rsidRDefault="000C61CC" w:rsidP="00D7435E">
      <w:pPr>
        <w:tabs>
          <w:tab w:val="left" w:pos="567"/>
        </w:tabs>
        <w:spacing w:after="0" w:line="240" w:lineRule="auto"/>
        <w:rPr>
          <w:rFonts w:ascii="Times New Roman" w:eastAsia="Times New Roman" w:hAnsi="Times New Roman" w:cs="Times New Roman"/>
        </w:rPr>
      </w:pPr>
    </w:p>
    <w:p w14:paraId="76B90A36" w14:textId="77777777" w:rsidR="000C61CC" w:rsidRPr="0047338E" w:rsidRDefault="000C61CC" w:rsidP="00D7435E">
      <w:pPr>
        <w:keepNext/>
        <w:pBdr>
          <w:top w:val="single" w:sz="4" w:space="1" w:color="auto"/>
          <w:left w:val="single" w:sz="4" w:space="4" w:color="auto"/>
          <w:bottom w:val="single" w:sz="4" w:space="1" w:color="auto"/>
          <w:right w:val="single" w:sz="4" w:space="4" w:color="auto"/>
        </w:pBdr>
        <w:tabs>
          <w:tab w:val="left" w:pos="0"/>
          <w:tab w:val="left" w:pos="567"/>
        </w:tabs>
        <w:spacing w:after="0" w:line="240" w:lineRule="auto"/>
        <w:outlineLvl w:val="0"/>
        <w:rPr>
          <w:rFonts w:ascii="Times New Roman" w:eastAsia="Times New Roman" w:hAnsi="Times New Roman" w:cs="Times New Roman"/>
          <w:i/>
        </w:rPr>
      </w:pPr>
      <w:r w:rsidRPr="0047338E">
        <w:rPr>
          <w:rFonts w:ascii="Times New Roman" w:eastAsia="Times New Roman" w:hAnsi="Times New Roman" w:cs="Times New Roman"/>
          <w:b/>
        </w:rPr>
        <w:t>18.</w:t>
      </w:r>
      <w:r w:rsidRPr="0047338E">
        <w:rPr>
          <w:rFonts w:ascii="Times New Roman" w:eastAsia="Times New Roman" w:hAnsi="Times New Roman" w:cs="Times New Roman"/>
          <w:b/>
        </w:rPr>
        <w:tab/>
        <w:t>UNIKALUS IDENTIFIKATORIUS – ŽMONĖMS SUPRANTAMI DUOMENYS</w:t>
      </w:r>
    </w:p>
    <w:p w14:paraId="33C9A417" w14:textId="77777777" w:rsidR="000C61CC" w:rsidRPr="0047338E" w:rsidRDefault="000C61CC" w:rsidP="00D7435E">
      <w:pPr>
        <w:tabs>
          <w:tab w:val="left" w:pos="567"/>
        </w:tabs>
        <w:spacing w:after="0" w:line="240" w:lineRule="auto"/>
        <w:rPr>
          <w:rFonts w:ascii="Times New Roman" w:eastAsia="Times New Roman" w:hAnsi="Times New Roman" w:cs="Times New Roman"/>
        </w:rPr>
      </w:pPr>
    </w:p>
    <w:p w14:paraId="59A8E48A" w14:textId="77777777" w:rsidR="000C61CC" w:rsidRPr="0047338E" w:rsidRDefault="000C61CC"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 xml:space="preserve">PC: {numeris} </w:t>
      </w:r>
    </w:p>
    <w:p w14:paraId="3F546856" w14:textId="77777777" w:rsidR="000C61CC" w:rsidRPr="0047338E" w:rsidRDefault="000C61CC" w:rsidP="000C61CC">
      <w:pPr>
        <w:tabs>
          <w:tab w:val="left" w:pos="567"/>
        </w:tabs>
        <w:spacing w:after="0" w:line="260" w:lineRule="exact"/>
        <w:rPr>
          <w:rFonts w:ascii="Times New Roman" w:eastAsia="Times New Roman" w:hAnsi="Times New Roman" w:cs="Times New Roman"/>
        </w:rPr>
      </w:pPr>
      <w:r w:rsidRPr="0047338E">
        <w:rPr>
          <w:rFonts w:ascii="Times New Roman" w:eastAsia="Times New Roman" w:hAnsi="Times New Roman" w:cs="Times New Roman"/>
        </w:rPr>
        <w:t xml:space="preserve">SN: {numeris} </w:t>
      </w:r>
    </w:p>
    <w:p w14:paraId="24337BCB"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highlight w:val="lightGray"/>
        </w:rPr>
        <w:t>NN: {numeris}</w:t>
      </w:r>
    </w:p>
    <w:p w14:paraId="6620D856" w14:textId="77777777" w:rsidR="000C61CC" w:rsidRPr="0047338E" w:rsidRDefault="000C61CC" w:rsidP="000C61CC">
      <w:pPr>
        <w:spacing w:after="0" w:line="240" w:lineRule="auto"/>
        <w:rPr>
          <w:rFonts w:ascii="Times New Roman" w:eastAsia="SimSun" w:hAnsi="Times New Roman" w:cs="Times New Roman"/>
          <w:color w:val="000000"/>
        </w:rPr>
      </w:pPr>
    </w:p>
    <w:p w14:paraId="151840E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Times New Roman" w:hAnsi="Times New Roman" w:cs="Times New Roman"/>
        </w:rPr>
        <w:br w:type="page"/>
      </w:r>
    </w:p>
    <w:p w14:paraId="5E7F63DE" w14:textId="77777777" w:rsidR="000C61CC" w:rsidRPr="0047338E" w:rsidRDefault="000C61CC" w:rsidP="000C61CC">
      <w:pPr>
        <w:spacing w:after="0" w:line="240" w:lineRule="auto"/>
        <w:rPr>
          <w:rFonts w:ascii="Times New Roman" w:eastAsia="SimSun" w:hAnsi="Times New Roman" w:cs="Times New Roman"/>
          <w:color w:val="000000"/>
        </w:rPr>
      </w:pPr>
    </w:p>
    <w:p w14:paraId="58271616"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 xml:space="preserve">MINIMALI </w:t>
      </w:r>
      <w:r w:rsidRPr="0047338E">
        <w:rPr>
          <w:rFonts w:ascii="Times New Roman" w:eastAsia="Times New Roman" w:hAnsi="Times New Roman" w:cs="Times New Roman"/>
          <w:b/>
          <w:caps/>
        </w:rPr>
        <w:t xml:space="preserve">informacija ant </w:t>
      </w:r>
      <w:r w:rsidRPr="0047338E">
        <w:rPr>
          <w:rFonts w:ascii="Times New Roman" w:eastAsia="Times New Roman" w:hAnsi="Times New Roman" w:cs="Times New Roman"/>
          <w:b/>
        </w:rPr>
        <w:t>LIZDINIŲ PLOKŠTELIŲ ARBA DVISLUOKSNIŲ JUOSTELIŲ</w:t>
      </w:r>
    </w:p>
    <w:p w14:paraId="6E872D0B"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p>
    <w:p w14:paraId="52D80425"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LIZDINĖ PLOKŠTELĖ</w:t>
      </w:r>
    </w:p>
    <w:p w14:paraId="4423D0BD" w14:textId="77777777" w:rsidR="000C61CC" w:rsidRPr="0047338E" w:rsidRDefault="000C61CC" w:rsidP="000C61CC">
      <w:pPr>
        <w:spacing w:after="0" w:line="240" w:lineRule="auto"/>
        <w:rPr>
          <w:rFonts w:ascii="Times New Roman" w:eastAsia="SimSun" w:hAnsi="Times New Roman" w:cs="Times New Roman"/>
          <w:color w:val="000000"/>
        </w:rPr>
      </w:pPr>
    </w:p>
    <w:p w14:paraId="2D0BBF93" w14:textId="77777777" w:rsidR="000C61CC" w:rsidRPr="0047338E" w:rsidRDefault="000C61CC" w:rsidP="000C61CC">
      <w:pPr>
        <w:spacing w:after="0" w:line="240" w:lineRule="auto"/>
        <w:rPr>
          <w:rFonts w:ascii="Times New Roman" w:eastAsia="SimSun" w:hAnsi="Times New Roman" w:cs="Times New Roman"/>
          <w:color w:val="000000"/>
        </w:rPr>
      </w:pPr>
    </w:p>
    <w:p w14:paraId="36C126DF"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1.</w:t>
      </w:r>
      <w:r w:rsidRPr="0047338E">
        <w:rPr>
          <w:rFonts w:ascii="Times New Roman" w:eastAsia="Times New Roman" w:hAnsi="Times New Roman" w:cs="Times New Roman"/>
          <w:b/>
        </w:rPr>
        <w:tab/>
        <w:t>VAISTINIO PREPARATO PAVADINIMAS</w:t>
      </w:r>
    </w:p>
    <w:p w14:paraId="2AFD02E5" w14:textId="77777777" w:rsidR="000C61CC" w:rsidRPr="0047338E" w:rsidRDefault="000C61CC" w:rsidP="000C61CC">
      <w:pPr>
        <w:spacing w:after="0" w:line="240" w:lineRule="auto"/>
        <w:rPr>
          <w:rFonts w:ascii="Times New Roman" w:eastAsia="SimSun" w:hAnsi="Times New Roman" w:cs="Times New Roman"/>
          <w:color w:val="000000"/>
        </w:rPr>
      </w:pPr>
    </w:p>
    <w:p w14:paraId="4764C26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Letrozole Accord 2,5 mg plėvele dengtos tabletės</w:t>
      </w:r>
    </w:p>
    <w:p w14:paraId="7F83315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Letrozolas</w:t>
      </w:r>
    </w:p>
    <w:p w14:paraId="67082EAB" w14:textId="77777777" w:rsidR="000C61CC" w:rsidRPr="0047338E" w:rsidRDefault="000C61CC" w:rsidP="000C61CC">
      <w:pPr>
        <w:spacing w:after="0" w:line="240" w:lineRule="auto"/>
        <w:rPr>
          <w:rFonts w:ascii="Times New Roman" w:eastAsia="SimSun" w:hAnsi="Times New Roman" w:cs="Times New Roman"/>
          <w:color w:val="000000"/>
        </w:rPr>
      </w:pPr>
    </w:p>
    <w:p w14:paraId="3FF33727" w14:textId="77777777" w:rsidR="000C61CC" w:rsidRPr="0047338E" w:rsidRDefault="000C61CC" w:rsidP="000C61CC">
      <w:pPr>
        <w:spacing w:after="0" w:line="240" w:lineRule="auto"/>
        <w:rPr>
          <w:rFonts w:ascii="Times New Roman" w:eastAsia="SimSun" w:hAnsi="Times New Roman" w:cs="Times New Roman"/>
          <w:color w:val="000000"/>
        </w:rPr>
      </w:pPr>
    </w:p>
    <w:p w14:paraId="7097B59F"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47338E">
        <w:rPr>
          <w:rFonts w:ascii="Times New Roman" w:eastAsia="Times New Roman" w:hAnsi="Times New Roman" w:cs="Times New Roman"/>
          <w:b/>
          <w:snapToGrid w:val="0"/>
        </w:rPr>
        <w:t>2.</w:t>
      </w:r>
      <w:r w:rsidRPr="0047338E">
        <w:rPr>
          <w:rFonts w:ascii="Times New Roman" w:eastAsia="Times New Roman" w:hAnsi="Times New Roman" w:cs="Times New Roman"/>
          <w:b/>
          <w:snapToGrid w:val="0"/>
        </w:rPr>
        <w:tab/>
      </w:r>
      <w:r w:rsidRPr="0047338E">
        <w:rPr>
          <w:rFonts w:ascii="Times New Roman" w:eastAsia="Times New Roman" w:hAnsi="Times New Roman" w:cs="Times New Roman"/>
          <w:b/>
          <w:caps/>
          <w:snapToGrid w:val="0"/>
        </w:rPr>
        <w:t>REGISTRUOTOJO pavadinimas</w:t>
      </w:r>
    </w:p>
    <w:p w14:paraId="071F8888" w14:textId="77777777" w:rsidR="000C61CC" w:rsidRPr="0047338E" w:rsidRDefault="000C61CC" w:rsidP="000C61CC">
      <w:pPr>
        <w:spacing w:after="0" w:line="240" w:lineRule="auto"/>
        <w:rPr>
          <w:rFonts w:ascii="Times New Roman" w:eastAsia="SimSun" w:hAnsi="Times New Roman" w:cs="Times New Roman"/>
          <w:color w:val="000000"/>
        </w:rPr>
      </w:pPr>
    </w:p>
    <w:p w14:paraId="5FC56EF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Accord </w:t>
      </w:r>
    </w:p>
    <w:p w14:paraId="343E13D4" w14:textId="77777777" w:rsidR="000C61CC" w:rsidRPr="0047338E" w:rsidRDefault="000C61CC" w:rsidP="000C61CC">
      <w:pPr>
        <w:spacing w:after="0" w:line="240" w:lineRule="auto"/>
        <w:rPr>
          <w:rFonts w:ascii="Times New Roman" w:eastAsia="SimSun" w:hAnsi="Times New Roman" w:cs="Times New Roman"/>
          <w:color w:val="000000"/>
        </w:rPr>
      </w:pPr>
    </w:p>
    <w:p w14:paraId="4C8B84A8" w14:textId="77777777" w:rsidR="000C61CC" w:rsidRPr="0047338E" w:rsidRDefault="000C61CC" w:rsidP="000C61CC">
      <w:pPr>
        <w:spacing w:after="0" w:line="240" w:lineRule="auto"/>
        <w:rPr>
          <w:rFonts w:ascii="Times New Roman" w:eastAsia="SimSun" w:hAnsi="Times New Roman" w:cs="Times New Roman"/>
          <w:color w:val="000000"/>
        </w:rPr>
      </w:pPr>
    </w:p>
    <w:p w14:paraId="1F6CF64D"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3.</w:t>
      </w:r>
      <w:r w:rsidRPr="0047338E">
        <w:rPr>
          <w:rFonts w:ascii="Times New Roman" w:eastAsia="Times New Roman" w:hAnsi="Times New Roman" w:cs="Times New Roman"/>
          <w:b/>
        </w:rPr>
        <w:tab/>
        <w:t>TINKAMUMO LAIKAS</w:t>
      </w:r>
    </w:p>
    <w:p w14:paraId="3231B693" w14:textId="77777777" w:rsidR="000C61CC" w:rsidRPr="0047338E" w:rsidRDefault="000C61CC" w:rsidP="000C61CC">
      <w:pPr>
        <w:spacing w:after="0" w:line="240" w:lineRule="auto"/>
        <w:rPr>
          <w:rFonts w:ascii="Times New Roman" w:eastAsia="SimSun" w:hAnsi="Times New Roman" w:cs="Times New Roman"/>
          <w:color w:val="000000"/>
        </w:rPr>
      </w:pPr>
    </w:p>
    <w:p w14:paraId="3835EDA2" w14:textId="3162CB4A"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EXP</w:t>
      </w:r>
      <w:r w:rsidR="009B6A01" w:rsidRPr="0047338E">
        <w:rPr>
          <w:rFonts w:ascii="Times New Roman" w:eastAsia="SimSun" w:hAnsi="Times New Roman" w:cs="Times New Roman"/>
          <w:color w:val="000000"/>
        </w:rPr>
        <w:t>: {mm/MMMM}</w:t>
      </w:r>
    </w:p>
    <w:p w14:paraId="07EA3D97" w14:textId="77777777" w:rsidR="000C61CC" w:rsidRPr="0047338E" w:rsidRDefault="000C61CC" w:rsidP="000C61CC">
      <w:pPr>
        <w:spacing w:after="0" w:line="240" w:lineRule="auto"/>
        <w:rPr>
          <w:rFonts w:ascii="Times New Roman" w:eastAsia="SimSun" w:hAnsi="Times New Roman" w:cs="Times New Roman"/>
          <w:color w:val="000000"/>
        </w:rPr>
      </w:pPr>
    </w:p>
    <w:p w14:paraId="4049863F" w14:textId="77777777" w:rsidR="000C61CC" w:rsidRPr="0047338E" w:rsidRDefault="000C61CC" w:rsidP="000C61CC">
      <w:pPr>
        <w:spacing w:after="0" w:line="240" w:lineRule="auto"/>
        <w:rPr>
          <w:rFonts w:ascii="Times New Roman" w:eastAsia="SimSun" w:hAnsi="Times New Roman" w:cs="Times New Roman"/>
          <w:color w:val="000000"/>
        </w:rPr>
      </w:pPr>
    </w:p>
    <w:p w14:paraId="5FB00829"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4.</w:t>
      </w:r>
      <w:r w:rsidRPr="0047338E">
        <w:rPr>
          <w:rFonts w:ascii="Times New Roman" w:eastAsia="Times New Roman" w:hAnsi="Times New Roman" w:cs="Times New Roman"/>
          <w:b/>
        </w:rPr>
        <w:tab/>
        <w:t>SERIJOS NUMERIS</w:t>
      </w:r>
    </w:p>
    <w:p w14:paraId="7F35EE99" w14:textId="77777777" w:rsidR="000C61CC" w:rsidRPr="0047338E" w:rsidRDefault="000C61CC" w:rsidP="000C61CC">
      <w:pPr>
        <w:spacing w:after="0" w:line="240" w:lineRule="auto"/>
        <w:rPr>
          <w:rFonts w:ascii="Times New Roman" w:eastAsia="SimSun" w:hAnsi="Times New Roman" w:cs="Times New Roman"/>
          <w:color w:val="000000"/>
        </w:rPr>
      </w:pPr>
    </w:p>
    <w:p w14:paraId="530F5E63"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Lot</w:t>
      </w:r>
    </w:p>
    <w:p w14:paraId="0FA4F115" w14:textId="77777777" w:rsidR="000C61CC" w:rsidRPr="0047338E" w:rsidRDefault="000C61CC" w:rsidP="000C61CC">
      <w:pPr>
        <w:spacing w:after="0" w:line="240" w:lineRule="auto"/>
        <w:rPr>
          <w:rFonts w:ascii="Times New Roman" w:eastAsia="SimSun" w:hAnsi="Times New Roman" w:cs="Times New Roman"/>
          <w:color w:val="000000"/>
        </w:rPr>
      </w:pPr>
    </w:p>
    <w:p w14:paraId="45C1626F" w14:textId="77777777" w:rsidR="000C61CC" w:rsidRPr="0047338E" w:rsidRDefault="000C61CC" w:rsidP="000C61CC">
      <w:pPr>
        <w:spacing w:after="0" w:line="240" w:lineRule="auto"/>
        <w:rPr>
          <w:rFonts w:ascii="Times New Roman" w:eastAsia="SimSun" w:hAnsi="Times New Roman" w:cs="Times New Roman"/>
          <w:color w:val="000000"/>
        </w:rPr>
      </w:pPr>
    </w:p>
    <w:p w14:paraId="26EA11D2" w14:textId="77777777" w:rsidR="000C61CC" w:rsidRPr="0047338E" w:rsidRDefault="000C61CC" w:rsidP="000C61CC">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5.</w:t>
      </w:r>
      <w:r w:rsidRPr="0047338E">
        <w:rPr>
          <w:rFonts w:ascii="Times New Roman" w:eastAsia="Times New Roman" w:hAnsi="Times New Roman" w:cs="Times New Roman"/>
          <w:b/>
        </w:rPr>
        <w:tab/>
        <w:t>KITA</w:t>
      </w:r>
    </w:p>
    <w:p w14:paraId="7CBA626D" w14:textId="77777777" w:rsidR="000C61CC" w:rsidRPr="0047338E" w:rsidRDefault="000C61CC" w:rsidP="000C61CC">
      <w:pPr>
        <w:spacing w:after="0" w:line="240" w:lineRule="auto"/>
        <w:rPr>
          <w:rFonts w:ascii="Times New Roman" w:eastAsia="SimSun" w:hAnsi="Times New Roman" w:cs="Times New Roman"/>
          <w:color w:val="000000"/>
        </w:rPr>
      </w:pPr>
    </w:p>
    <w:p w14:paraId="155EF83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br w:type="page"/>
      </w:r>
    </w:p>
    <w:p w14:paraId="77644EBB" w14:textId="77777777" w:rsidR="000C61CC" w:rsidRPr="0047338E" w:rsidRDefault="000C61CC" w:rsidP="000C61CC">
      <w:pPr>
        <w:spacing w:after="0" w:line="240" w:lineRule="auto"/>
        <w:rPr>
          <w:rFonts w:ascii="Times New Roman" w:eastAsia="SimSun" w:hAnsi="Times New Roman" w:cs="Times New Roman"/>
          <w:color w:val="000000"/>
        </w:rPr>
      </w:pPr>
    </w:p>
    <w:p w14:paraId="5E2D6174" w14:textId="77777777" w:rsidR="000C61CC" w:rsidRPr="0047338E" w:rsidRDefault="000C61CC" w:rsidP="000C61CC">
      <w:pPr>
        <w:spacing w:after="0" w:line="240" w:lineRule="auto"/>
        <w:rPr>
          <w:rFonts w:ascii="Times New Roman" w:eastAsia="SimSun" w:hAnsi="Times New Roman" w:cs="Times New Roman"/>
          <w:color w:val="000000"/>
        </w:rPr>
      </w:pPr>
    </w:p>
    <w:p w14:paraId="0E00935C" w14:textId="77777777" w:rsidR="000C61CC" w:rsidRPr="0047338E" w:rsidRDefault="000C61CC" w:rsidP="000C61CC">
      <w:pPr>
        <w:spacing w:after="0" w:line="240" w:lineRule="auto"/>
        <w:rPr>
          <w:rFonts w:ascii="Times New Roman" w:eastAsia="SimSun" w:hAnsi="Times New Roman" w:cs="Times New Roman"/>
          <w:color w:val="000000"/>
        </w:rPr>
      </w:pPr>
    </w:p>
    <w:p w14:paraId="4721D955" w14:textId="77777777" w:rsidR="000C61CC" w:rsidRPr="0047338E" w:rsidRDefault="000C61CC" w:rsidP="000C61CC">
      <w:pPr>
        <w:spacing w:after="0" w:line="240" w:lineRule="auto"/>
        <w:rPr>
          <w:rFonts w:ascii="Times New Roman" w:eastAsia="SimSun" w:hAnsi="Times New Roman" w:cs="Times New Roman"/>
          <w:color w:val="000000"/>
        </w:rPr>
      </w:pPr>
    </w:p>
    <w:p w14:paraId="789B7275" w14:textId="77777777" w:rsidR="000C61CC" w:rsidRPr="0047338E" w:rsidRDefault="000C61CC" w:rsidP="000C61CC">
      <w:pPr>
        <w:spacing w:after="0" w:line="240" w:lineRule="auto"/>
        <w:rPr>
          <w:rFonts w:ascii="Times New Roman" w:eastAsia="SimSun" w:hAnsi="Times New Roman" w:cs="Times New Roman"/>
          <w:color w:val="000000"/>
        </w:rPr>
      </w:pPr>
    </w:p>
    <w:p w14:paraId="7E82F7DF" w14:textId="77777777" w:rsidR="000C61CC" w:rsidRPr="0047338E" w:rsidRDefault="000C61CC" w:rsidP="000C61CC">
      <w:pPr>
        <w:spacing w:after="0" w:line="240" w:lineRule="auto"/>
        <w:rPr>
          <w:rFonts w:ascii="Times New Roman" w:eastAsia="SimSun" w:hAnsi="Times New Roman" w:cs="Times New Roman"/>
          <w:color w:val="000000"/>
        </w:rPr>
      </w:pPr>
    </w:p>
    <w:p w14:paraId="016C3282" w14:textId="77777777" w:rsidR="000C61CC" w:rsidRPr="0047338E" w:rsidRDefault="000C61CC" w:rsidP="000C61CC">
      <w:pPr>
        <w:spacing w:after="0" w:line="240" w:lineRule="auto"/>
        <w:rPr>
          <w:rFonts w:ascii="Times New Roman" w:eastAsia="SimSun" w:hAnsi="Times New Roman" w:cs="Times New Roman"/>
          <w:color w:val="000000"/>
        </w:rPr>
      </w:pPr>
    </w:p>
    <w:p w14:paraId="2EDA4885" w14:textId="77777777" w:rsidR="000C61CC" w:rsidRPr="0047338E" w:rsidRDefault="000C61CC" w:rsidP="000C61CC">
      <w:pPr>
        <w:spacing w:after="0" w:line="240" w:lineRule="auto"/>
        <w:rPr>
          <w:rFonts w:ascii="Times New Roman" w:eastAsia="SimSun" w:hAnsi="Times New Roman" w:cs="Times New Roman"/>
          <w:color w:val="000000"/>
        </w:rPr>
      </w:pPr>
    </w:p>
    <w:p w14:paraId="071CDF00" w14:textId="77777777" w:rsidR="000C61CC" w:rsidRPr="0047338E" w:rsidRDefault="000C61CC" w:rsidP="000C61CC">
      <w:pPr>
        <w:spacing w:after="0" w:line="240" w:lineRule="auto"/>
        <w:rPr>
          <w:rFonts w:ascii="Times New Roman" w:eastAsia="SimSun" w:hAnsi="Times New Roman" w:cs="Times New Roman"/>
          <w:color w:val="000000"/>
        </w:rPr>
      </w:pPr>
    </w:p>
    <w:p w14:paraId="79A3C951" w14:textId="77777777" w:rsidR="000C61CC" w:rsidRPr="0047338E" w:rsidRDefault="000C61CC" w:rsidP="000C61CC">
      <w:pPr>
        <w:spacing w:after="0" w:line="240" w:lineRule="auto"/>
        <w:rPr>
          <w:rFonts w:ascii="Times New Roman" w:eastAsia="SimSun" w:hAnsi="Times New Roman" w:cs="Times New Roman"/>
          <w:color w:val="000000"/>
        </w:rPr>
      </w:pPr>
    </w:p>
    <w:p w14:paraId="1B6F2778" w14:textId="77777777" w:rsidR="000C61CC" w:rsidRPr="0047338E" w:rsidRDefault="000C61CC" w:rsidP="000C61CC">
      <w:pPr>
        <w:spacing w:after="0" w:line="240" w:lineRule="auto"/>
        <w:rPr>
          <w:rFonts w:ascii="Times New Roman" w:eastAsia="SimSun" w:hAnsi="Times New Roman" w:cs="Times New Roman"/>
          <w:color w:val="000000"/>
        </w:rPr>
      </w:pPr>
    </w:p>
    <w:p w14:paraId="1249EC35" w14:textId="77777777" w:rsidR="000C61CC" w:rsidRPr="0047338E" w:rsidRDefault="000C61CC" w:rsidP="000C61CC">
      <w:pPr>
        <w:spacing w:after="0" w:line="240" w:lineRule="auto"/>
        <w:rPr>
          <w:rFonts w:ascii="Times New Roman" w:eastAsia="SimSun" w:hAnsi="Times New Roman" w:cs="Times New Roman"/>
          <w:color w:val="000000"/>
        </w:rPr>
      </w:pPr>
    </w:p>
    <w:p w14:paraId="38F756EA" w14:textId="77777777" w:rsidR="000C61CC" w:rsidRPr="0047338E" w:rsidRDefault="000C61CC" w:rsidP="000C61CC">
      <w:pPr>
        <w:spacing w:after="0" w:line="240" w:lineRule="auto"/>
        <w:rPr>
          <w:rFonts w:ascii="Times New Roman" w:eastAsia="SimSun" w:hAnsi="Times New Roman" w:cs="Times New Roman"/>
          <w:color w:val="000000"/>
        </w:rPr>
      </w:pPr>
    </w:p>
    <w:p w14:paraId="03CE288D" w14:textId="77777777" w:rsidR="000C61CC" w:rsidRPr="0047338E" w:rsidRDefault="000C61CC" w:rsidP="000C61CC">
      <w:pPr>
        <w:spacing w:after="0" w:line="240" w:lineRule="auto"/>
        <w:rPr>
          <w:rFonts w:ascii="Times New Roman" w:eastAsia="SimSun" w:hAnsi="Times New Roman" w:cs="Times New Roman"/>
          <w:color w:val="000000"/>
        </w:rPr>
      </w:pPr>
    </w:p>
    <w:p w14:paraId="16F65F06" w14:textId="77777777" w:rsidR="000C61CC" w:rsidRPr="0047338E" w:rsidRDefault="000C61CC" w:rsidP="000C61CC">
      <w:pPr>
        <w:spacing w:after="0" w:line="240" w:lineRule="auto"/>
        <w:rPr>
          <w:rFonts w:ascii="Times New Roman" w:eastAsia="SimSun" w:hAnsi="Times New Roman" w:cs="Times New Roman"/>
          <w:color w:val="000000"/>
        </w:rPr>
      </w:pPr>
    </w:p>
    <w:p w14:paraId="04A82CB2" w14:textId="77777777" w:rsidR="000C61CC" w:rsidRPr="0047338E" w:rsidRDefault="000C61CC" w:rsidP="000C61CC">
      <w:pPr>
        <w:spacing w:after="0" w:line="240" w:lineRule="auto"/>
        <w:rPr>
          <w:rFonts w:ascii="Times New Roman" w:eastAsia="SimSun" w:hAnsi="Times New Roman" w:cs="Times New Roman"/>
          <w:color w:val="000000"/>
        </w:rPr>
      </w:pPr>
    </w:p>
    <w:p w14:paraId="42C74F07" w14:textId="77777777" w:rsidR="000C61CC" w:rsidRPr="0047338E" w:rsidRDefault="000C61CC" w:rsidP="000C61CC">
      <w:pPr>
        <w:spacing w:after="0" w:line="240" w:lineRule="auto"/>
        <w:rPr>
          <w:rFonts w:ascii="Times New Roman" w:eastAsia="SimSun" w:hAnsi="Times New Roman" w:cs="Times New Roman"/>
          <w:color w:val="000000"/>
        </w:rPr>
      </w:pPr>
    </w:p>
    <w:p w14:paraId="732F9961" w14:textId="77777777" w:rsidR="000C61CC" w:rsidRPr="0047338E" w:rsidRDefault="000C61CC" w:rsidP="000C61CC">
      <w:pPr>
        <w:spacing w:after="0" w:line="240" w:lineRule="auto"/>
        <w:rPr>
          <w:rFonts w:ascii="Times New Roman" w:eastAsia="SimSun" w:hAnsi="Times New Roman" w:cs="Times New Roman"/>
          <w:color w:val="000000"/>
        </w:rPr>
      </w:pPr>
    </w:p>
    <w:p w14:paraId="041C1647" w14:textId="77777777" w:rsidR="000C61CC" w:rsidRPr="0047338E" w:rsidRDefault="000C61CC" w:rsidP="000C61CC">
      <w:pPr>
        <w:spacing w:after="0" w:line="240" w:lineRule="auto"/>
        <w:rPr>
          <w:rFonts w:ascii="Times New Roman" w:eastAsia="SimSun" w:hAnsi="Times New Roman" w:cs="Times New Roman"/>
          <w:color w:val="000000"/>
        </w:rPr>
      </w:pPr>
    </w:p>
    <w:p w14:paraId="448F54F8" w14:textId="77777777" w:rsidR="000C61CC" w:rsidRPr="0047338E" w:rsidRDefault="000C61CC" w:rsidP="000C61CC">
      <w:pPr>
        <w:spacing w:after="0" w:line="240" w:lineRule="auto"/>
        <w:rPr>
          <w:rFonts w:ascii="Times New Roman" w:eastAsia="SimSun" w:hAnsi="Times New Roman" w:cs="Times New Roman"/>
          <w:color w:val="000000"/>
        </w:rPr>
      </w:pPr>
    </w:p>
    <w:p w14:paraId="49BB8A41" w14:textId="77777777" w:rsidR="000C61CC" w:rsidRPr="0047338E" w:rsidRDefault="000C61CC" w:rsidP="000C61CC">
      <w:pPr>
        <w:spacing w:after="0" w:line="240" w:lineRule="auto"/>
        <w:rPr>
          <w:rFonts w:ascii="Times New Roman" w:eastAsia="SimSun" w:hAnsi="Times New Roman" w:cs="Times New Roman"/>
          <w:color w:val="000000"/>
        </w:rPr>
      </w:pPr>
    </w:p>
    <w:p w14:paraId="3AB3C97D" w14:textId="77777777" w:rsidR="000C61CC" w:rsidRPr="0047338E" w:rsidRDefault="000C61CC" w:rsidP="000C61CC">
      <w:pPr>
        <w:spacing w:after="0" w:line="240" w:lineRule="auto"/>
        <w:rPr>
          <w:rFonts w:ascii="Times New Roman" w:eastAsia="SimSun" w:hAnsi="Times New Roman" w:cs="Times New Roman"/>
          <w:color w:val="000000"/>
        </w:rPr>
      </w:pPr>
    </w:p>
    <w:p w14:paraId="1E458D24"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bookmarkStart w:id="73" w:name="_Toc129243137"/>
      <w:bookmarkStart w:id="74" w:name="_Toc129243262"/>
    </w:p>
    <w:p w14:paraId="6D44518D" w14:textId="77777777" w:rsidR="000C61CC" w:rsidRPr="0047338E" w:rsidRDefault="000C61CC" w:rsidP="000C61CC">
      <w:pPr>
        <w:keepNext/>
        <w:tabs>
          <w:tab w:val="left" w:pos="567"/>
        </w:tabs>
        <w:spacing w:after="0" w:line="240" w:lineRule="auto"/>
        <w:ind w:left="567" w:hanging="567"/>
        <w:jc w:val="center"/>
        <w:outlineLvl w:val="0"/>
        <w:rPr>
          <w:rFonts w:ascii="Times New Roman" w:eastAsia="Times New Roman" w:hAnsi="Times New Roman" w:cs="Times New Roman"/>
          <w:b/>
        </w:rPr>
      </w:pPr>
      <w:r w:rsidRPr="0047338E">
        <w:rPr>
          <w:rFonts w:ascii="Times New Roman" w:eastAsia="Times New Roman" w:hAnsi="Times New Roman" w:cs="Times New Roman"/>
          <w:b/>
        </w:rPr>
        <w:t>B. PAKUOTĖS LAPELIS</w:t>
      </w:r>
      <w:bookmarkEnd w:id="73"/>
      <w:bookmarkEnd w:id="74"/>
    </w:p>
    <w:p w14:paraId="70F98641" w14:textId="77777777" w:rsidR="000C61CC" w:rsidRPr="0047338E" w:rsidRDefault="000C61CC" w:rsidP="000C61CC">
      <w:pPr>
        <w:keepNext/>
        <w:tabs>
          <w:tab w:val="left" w:pos="567"/>
        </w:tabs>
        <w:spacing w:after="0" w:line="240" w:lineRule="auto"/>
        <w:jc w:val="center"/>
        <w:outlineLvl w:val="1"/>
        <w:rPr>
          <w:rFonts w:ascii="Times New Roman" w:eastAsia="Times New Roman" w:hAnsi="Times New Roman" w:cs="Times New Roman"/>
          <w:b/>
        </w:rPr>
      </w:pPr>
      <w:r w:rsidRPr="0047338E">
        <w:rPr>
          <w:rFonts w:ascii="Times New Roman" w:eastAsia="Times New Roman" w:hAnsi="Times New Roman" w:cs="Times New Roman"/>
          <w:b/>
        </w:rPr>
        <w:br w:type="page"/>
      </w:r>
      <w:r w:rsidRPr="0047338E">
        <w:rPr>
          <w:rFonts w:ascii="Times New Roman" w:eastAsia="Times New Roman" w:hAnsi="Times New Roman" w:cs="Times New Roman"/>
          <w:b/>
          <w:bCs/>
          <w:iCs/>
          <w:snapToGrid w:val="0"/>
        </w:rPr>
        <w:t>Pakuotės lapelis:</w:t>
      </w:r>
      <w:r w:rsidRPr="0047338E">
        <w:rPr>
          <w:rFonts w:ascii="Times New Roman" w:eastAsia="Times New Roman" w:hAnsi="Times New Roman" w:cs="Times New Roman"/>
          <w:b/>
          <w:snapToGrid w:val="0"/>
        </w:rPr>
        <w:t xml:space="preserve"> </w:t>
      </w:r>
      <w:r w:rsidRPr="0047338E">
        <w:rPr>
          <w:rFonts w:ascii="Times New Roman" w:eastAsia="Times New Roman" w:hAnsi="Times New Roman" w:cs="Times New Roman"/>
          <w:b/>
          <w:bCs/>
          <w:iCs/>
          <w:snapToGrid w:val="0"/>
        </w:rPr>
        <w:t>informacija vartotojui</w:t>
      </w:r>
    </w:p>
    <w:p w14:paraId="2FA06B84" w14:textId="77777777" w:rsidR="000C61CC" w:rsidRPr="0047338E" w:rsidRDefault="000C61CC" w:rsidP="000C61CC">
      <w:pPr>
        <w:spacing w:after="0" w:line="240" w:lineRule="auto"/>
        <w:rPr>
          <w:rFonts w:ascii="Times New Roman" w:eastAsia="SimSun" w:hAnsi="Times New Roman" w:cs="Times New Roman"/>
          <w:color w:val="000000"/>
        </w:rPr>
      </w:pPr>
    </w:p>
    <w:p w14:paraId="38498331" w14:textId="77777777" w:rsidR="000C61CC" w:rsidRPr="0047338E" w:rsidRDefault="000C61CC" w:rsidP="00D7435E">
      <w:pPr>
        <w:spacing w:after="0" w:line="240" w:lineRule="auto"/>
        <w:jc w:val="center"/>
        <w:rPr>
          <w:rFonts w:ascii="Times New Roman" w:eastAsia="SimSun" w:hAnsi="Times New Roman" w:cs="Times New Roman"/>
          <w:b/>
          <w:color w:val="000000"/>
        </w:rPr>
      </w:pPr>
      <w:r w:rsidRPr="0047338E">
        <w:rPr>
          <w:rFonts w:ascii="Times New Roman" w:eastAsia="SimSun" w:hAnsi="Times New Roman" w:cs="Times New Roman"/>
          <w:b/>
          <w:color w:val="000000"/>
        </w:rPr>
        <w:t>Letrozole Accord 2,5 mg plėvele dengtos tabletės</w:t>
      </w:r>
    </w:p>
    <w:p w14:paraId="773AB947" w14:textId="544AB39A" w:rsidR="000C61CC" w:rsidRPr="0047338E" w:rsidRDefault="00945B2E" w:rsidP="00D7435E">
      <w:pPr>
        <w:spacing w:after="0" w:line="240" w:lineRule="auto"/>
        <w:jc w:val="center"/>
        <w:rPr>
          <w:rFonts w:ascii="Times New Roman" w:eastAsia="SimSun" w:hAnsi="Times New Roman" w:cs="Times New Roman"/>
          <w:color w:val="000000"/>
        </w:rPr>
      </w:pPr>
      <w:r>
        <w:rPr>
          <w:rFonts w:ascii="Times New Roman" w:eastAsia="SimSun" w:hAnsi="Times New Roman" w:cs="Times New Roman"/>
          <w:color w:val="000000"/>
        </w:rPr>
        <w:t>l</w:t>
      </w:r>
      <w:r w:rsidR="000C61CC" w:rsidRPr="0047338E">
        <w:rPr>
          <w:rFonts w:ascii="Times New Roman" w:eastAsia="SimSun" w:hAnsi="Times New Roman" w:cs="Times New Roman"/>
          <w:color w:val="000000"/>
        </w:rPr>
        <w:t>etrozolas</w:t>
      </w:r>
    </w:p>
    <w:p w14:paraId="22E2C7C4" w14:textId="77777777" w:rsidR="000C61CC" w:rsidRPr="0047338E" w:rsidRDefault="000C61CC" w:rsidP="000C61CC">
      <w:pPr>
        <w:spacing w:after="0" w:line="240" w:lineRule="auto"/>
        <w:rPr>
          <w:rFonts w:ascii="Times New Roman" w:eastAsia="SimSun" w:hAnsi="Times New Roman" w:cs="Times New Roman"/>
          <w:color w:val="000000"/>
        </w:rPr>
      </w:pPr>
    </w:p>
    <w:p w14:paraId="71165E20" w14:textId="77777777" w:rsidR="000C61CC" w:rsidRPr="0047338E" w:rsidRDefault="000C61CC" w:rsidP="00D7435E">
      <w:pPr>
        <w:tabs>
          <w:tab w:val="left" w:pos="567"/>
        </w:tabs>
        <w:spacing w:after="0" w:line="240" w:lineRule="auto"/>
        <w:rPr>
          <w:rFonts w:ascii="Times New Roman" w:eastAsia="SimSun" w:hAnsi="Times New Roman" w:cs="Times New Roman"/>
          <w:b/>
          <w:color w:val="000000"/>
        </w:rPr>
      </w:pPr>
      <w:r w:rsidRPr="0047338E">
        <w:rPr>
          <w:rFonts w:ascii="Times New Roman" w:eastAsia="SimSun" w:hAnsi="Times New Roman" w:cs="Times New Roman"/>
          <w:b/>
          <w:color w:val="000000"/>
        </w:rPr>
        <w:t>Atidžiai perskaitykite visą šį lapelį, prieš pradėdami vartoti vaistą, nes jame pateikiama Jums svarbi informacija.</w:t>
      </w:r>
    </w:p>
    <w:p w14:paraId="0225ED1C" w14:textId="77777777" w:rsidR="000C61CC" w:rsidRPr="0047338E" w:rsidRDefault="00AE2A33" w:rsidP="00D7435E">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Neišmeskite šio lapelio, nes vėl gali prireikti jį perskaityti.</w:t>
      </w:r>
    </w:p>
    <w:p w14:paraId="04060BD7" w14:textId="77777777" w:rsidR="000C61CC" w:rsidRPr="0047338E" w:rsidRDefault="00AE2A33" w:rsidP="00D7435E">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Jeigu kiltų daugiau klausimų, kreipkitės į gydytoją, vaistininką</w:t>
      </w:r>
      <w:r w:rsidR="000C61CC" w:rsidRPr="0047338E">
        <w:rPr>
          <w:rFonts w:ascii="Times New Roman" w:eastAsia="Times New Roman" w:hAnsi="Times New Roman" w:cs="Times New Roman"/>
          <w:snapToGrid w:val="0"/>
        </w:rPr>
        <w:t xml:space="preserve"> </w:t>
      </w:r>
      <w:r w:rsidR="000C61CC" w:rsidRPr="0047338E">
        <w:rPr>
          <w:rFonts w:ascii="Times New Roman" w:eastAsia="SimSun" w:hAnsi="Times New Roman" w:cs="Times New Roman"/>
          <w:color w:val="000000"/>
        </w:rPr>
        <w:t>arba slaugytoją.</w:t>
      </w:r>
    </w:p>
    <w:p w14:paraId="7700E137" w14:textId="77777777" w:rsidR="000C61CC" w:rsidRPr="0047338E" w:rsidRDefault="00AE2A33" w:rsidP="00D7435E">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Šis vaistas skirtas tik Jums, todėl kitiems žmonėms jo duoti negalima. Vaistas gali jiems pakenkti (net tiems, kurių ligos požymiai yra tokie patys kaip Jūsų).</w:t>
      </w:r>
    </w:p>
    <w:p w14:paraId="77CCEEF5" w14:textId="77777777" w:rsidR="000C61CC" w:rsidRPr="0047338E" w:rsidRDefault="00AE2A33" w:rsidP="00D7435E">
      <w:pPr>
        <w:tabs>
          <w:tab w:val="num" w:pos="0"/>
          <w:tab w:val="left" w:pos="567"/>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eastAsia="SimSun" w:hAnsi="Times New Roman" w:cs="Times New Roman"/>
          <w:color w:val="000000"/>
        </w:rPr>
        <w:tab/>
      </w:r>
      <w:r w:rsidR="000C61CC" w:rsidRPr="0047338E">
        <w:rPr>
          <w:rFonts w:ascii="Times New Roman" w:eastAsia="SimSun" w:hAnsi="Times New Roman" w:cs="Times New Roman"/>
          <w:color w:val="000000"/>
        </w:rPr>
        <w:t>Jeigu pasireiškė šalutinis poveikis (net jeigu jis šiame lapelyje nenurodytas), kreipkitės į gydytoją, vaistininką</w:t>
      </w:r>
      <w:r w:rsidR="000C61CC" w:rsidRPr="0047338E">
        <w:rPr>
          <w:rFonts w:ascii="Times New Roman" w:eastAsia="Times New Roman" w:hAnsi="Times New Roman" w:cs="Times New Roman"/>
          <w:snapToGrid w:val="0"/>
        </w:rPr>
        <w:t xml:space="preserve"> </w:t>
      </w:r>
      <w:r w:rsidR="000C61CC" w:rsidRPr="0047338E">
        <w:rPr>
          <w:rFonts w:ascii="Times New Roman" w:eastAsia="SimSun" w:hAnsi="Times New Roman" w:cs="Times New Roman"/>
          <w:color w:val="000000"/>
        </w:rPr>
        <w:t>arba slaugytoją. Žr. 4 skyrių.</w:t>
      </w:r>
    </w:p>
    <w:p w14:paraId="0BF824F8" w14:textId="77777777" w:rsidR="000C61CC" w:rsidRPr="0047338E" w:rsidRDefault="000C61CC" w:rsidP="00D7435E">
      <w:pPr>
        <w:tabs>
          <w:tab w:val="left" w:pos="567"/>
        </w:tabs>
        <w:spacing w:after="0" w:line="240" w:lineRule="auto"/>
        <w:rPr>
          <w:rFonts w:ascii="Times New Roman" w:eastAsia="SimSun" w:hAnsi="Times New Roman" w:cs="Times New Roman"/>
          <w:color w:val="000000"/>
        </w:rPr>
      </w:pPr>
    </w:p>
    <w:p w14:paraId="49AEEA3A" w14:textId="77777777" w:rsidR="000C61CC" w:rsidRPr="0047338E" w:rsidRDefault="000C61CC" w:rsidP="000C61CC">
      <w:pPr>
        <w:spacing w:after="0" w:line="240" w:lineRule="auto"/>
        <w:rPr>
          <w:rFonts w:ascii="Times New Roman" w:eastAsia="SimSun" w:hAnsi="Times New Roman" w:cs="Times New Roman"/>
          <w:color w:val="000000"/>
        </w:rPr>
      </w:pPr>
    </w:p>
    <w:p w14:paraId="565C8C62" w14:textId="77777777" w:rsidR="000C61CC" w:rsidRPr="0047338E" w:rsidRDefault="000C61CC" w:rsidP="000C61CC">
      <w:pPr>
        <w:keepNext/>
        <w:tabs>
          <w:tab w:val="left" w:pos="567"/>
        </w:tabs>
        <w:spacing w:after="0" w:line="260" w:lineRule="exact"/>
        <w:jc w:val="both"/>
        <w:outlineLvl w:val="3"/>
        <w:rPr>
          <w:rFonts w:ascii="Times New Roman" w:eastAsia="Times New Roman" w:hAnsi="Times New Roman" w:cs="Times New Roman"/>
          <w:b/>
          <w:bCs/>
          <w:snapToGrid w:val="0"/>
        </w:rPr>
      </w:pPr>
      <w:r w:rsidRPr="0047338E">
        <w:rPr>
          <w:rFonts w:ascii="Times New Roman" w:eastAsia="Times New Roman" w:hAnsi="Times New Roman" w:cs="Times New Roman"/>
          <w:b/>
        </w:rPr>
        <w:t xml:space="preserve">Apie ką </w:t>
      </w:r>
      <w:r w:rsidRPr="0047338E">
        <w:rPr>
          <w:rFonts w:ascii="Times New Roman" w:eastAsia="Times New Roman" w:hAnsi="Times New Roman" w:cs="Times New Roman"/>
          <w:b/>
          <w:bCs/>
          <w:snapToGrid w:val="0"/>
        </w:rPr>
        <w:t>rašoma</w:t>
      </w:r>
      <w:r w:rsidRPr="0047338E">
        <w:rPr>
          <w:rFonts w:ascii="Times New Roman" w:eastAsia="Times New Roman" w:hAnsi="Times New Roman" w:cs="Times New Roman"/>
          <w:b/>
        </w:rPr>
        <w:t xml:space="preserve"> šiame lapelyje</w:t>
      </w:r>
      <w:r w:rsidRPr="0047338E">
        <w:rPr>
          <w:rFonts w:ascii="Times New Roman" w:eastAsia="Times New Roman" w:hAnsi="Times New Roman" w:cs="Times New Roman"/>
          <w:b/>
          <w:bCs/>
          <w:snapToGrid w:val="0"/>
        </w:rPr>
        <w:t>?</w:t>
      </w:r>
    </w:p>
    <w:p w14:paraId="37827939" w14:textId="77777777" w:rsidR="000C61CC" w:rsidRPr="0047338E" w:rsidRDefault="000C61CC" w:rsidP="000C61CC">
      <w:pPr>
        <w:keepNext/>
        <w:tabs>
          <w:tab w:val="left" w:pos="567"/>
        </w:tabs>
        <w:spacing w:after="0" w:line="260" w:lineRule="exact"/>
        <w:jc w:val="both"/>
        <w:outlineLvl w:val="3"/>
        <w:rPr>
          <w:rFonts w:ascii="Times New Roman" w:eastAsia="Times New Roman" w:hAnsi="Times New Roman" w:cs="Times New Roman"/>
          <w:b/>
        </w:rPr>
      </w:pPr>
    </w:p>
    <w:p w14:paraId="23714F95" w14:textId="77777777" w:rsidR="000C61CC" w:rsidRPr="0047338E" w:rsidRDefault="000C61CC" w:rsidP="00D7435E">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1.</w:t>
      </w:r>
      <w:r w:rsidRPr="0047338E">
        <w:rPr>
          <w:rFonts w:ascii="Times New Roman" w:eastAsia="SimSun" w:hAnsi="Times New Roman" w:cs="Times New Roman"/>
          <w:color w:val="000000"/>
        </w:rPr>
        <w:tab/>
        <w:t>Kas yra Letrozole Accord ir kam jis vartojamas</w:t>
      </w:r>
    </w:p>
    <w:p w14:paraId="4D06D2BB" w14:textId="77777777" w:rsidR="000C61CC" w:rsidRPr="0047338E" w:rsidRDefault="000C61CC" w:rsidP="00D7435E">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2.</w:t>
      </w:r>
      <w:r w:rsidRPr="0047338E">
        <w:rPr>
          <w:rFonts w:ascii="Times New Roman" w:eastAsia="SimSun" w:hAnsi="Times New Roman" w:cs="Times New Roman"/>
          <w:color w:val="000000"/>
        </w:rPr>
        <w:tab/>
        <w:t>Kas žinotina prieš vartojant Letrozole Accord</w:t>
      </w:r>
    </w:p>
    <w:p w14:paraId="19CF3457" w14:textId="77777777" w:rsidR="000C61CC" w:rsidRPr="0047338E" w:rsidRDefault="000C61CC" w:rsidP="00D7435E">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3.</w:t>
      </w:r>
      <w:r w:rsidRPr="0047338E">
        <w:rPr>
          <w:rFonts w:ascii="Times New Roman" w:eastAsia="SimSun" w:hAnsi="Times New Roman" w:cs="Times New Roman"/>
          <w:color w:val="000000"/>
        </w:rPr>
        <w:tab/>
        <w:t>Kaip vartoti Letrozole Accord</w:t>
      </w:r>
    </w:p>
    <w:p w14:paraId="3D17B05E" w14:textId="77777777" w:rsidR="000C61CC" w:rsidRPr="0047338E" w:rsidRDefault="000C61CC" w:rsidP="00D7435E">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4.</w:t>
      </w:r>
      <w:r w:rsidRPr="0047338E">
        <w:rPr>
          <w:rFonts w:ascii="Times New Roman" w:eastAsia="SimSun" w:hAnsi="Times New Roman" w:cs="Times New Roman"/>
          <w:color w:val="000000"/>
        </w:rPr>
        <w:tab/>
        <w:t>Galimas šalutinis poveikis</w:t>
      </w:r>
    </w:p>
    <w:p w14:paraId="50D5D9EB" w14:textId="77777777" w:rsidR="000C61CC" w:rsidRPr="0047338E" w:rsidRDefault="000C61CC" w:rsidP="00D7435E">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5.</w:t>
      </w:r>
      <w:r w:rsidRPr="0047338E">
        <w:rPr>
          <w:rFonts w:ascii="Times New Roman" w:eastAsia="SimSun" w:hAnsi="Times New Roman" w:cs="Times New Roman"/>
          <w:color w:val="000000"/>
        </w:rPr>
        <w:tab/>
        <w:t>Kaip laikyti Letrozole Accord</w:t>
      </w:r>
    </w:p>
    <w:p w14:paraId="3715E90F" w14:textId="77777777" w:rsidR="000C61CC" w:rsidRPr="0047338E" w:rsidRDefault="000C61CC" w:rsidP="00D7435E">
      <w:pPr>
        <w:tabs>
          <w:tab w:val="left" w:pos="567"/>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6.</w:t>
      </w:r>
      <w:r w:rsidRPr="0047338E">
        <w:rPr>
          <w:rFonts w:ascii="Times New Roman" w:eastAsia="SimSun" w:hAnsi="Times New Roman" w:cs="Times New Roman"/>
          <w:color w:val="000000"/>
        </w:rPr>
        <w:tab/>
        <w:t>Pakuotės turinys ir kita informacija</w:t>
      </w:r>
    </w:p>
    <w:p w14:paraId="5E9AB260" w14:textId="77777777" w:rsidR="000C61CC" w:rsidRPr="0047338E" w:rsidRDefault="000C61CC" w:rsidP="000C61CC">
      <w:pPr>
        <w:spacing w:after="0" w:line="240" w:lineRule="auto"/>
        <w:rPr>
          <w:rFonts w:ascii="Times New Roman" w:eastAsia="SimSun" w:hAnsi="Times New Roman" w:cs="Times New Roman"/>
          <w:color w:val="000000"/>
        </w:rPr>
      </w:pPr>
    </w:p>
    <w:p w14:paraId="6FB9E31D" w14:textId="77777777" w:rsidR="000C61CC" w:rsidRPr="0047338E" w:rsidRDefault="000C61CC" w:rsidP="000C61CC">
      <w:pPr>
        <w:spacing w:after="0" w:line="240" w:lineRule="auto"/>
        <w:rPr>
          <w:rFonts w:ascii="Times New Roman" w:eastAsia="SimSun" w:hAnsi="Times New Roman" w:cs="Times New Roman"/>
          <w:color w:val="000000"/>
        </w:rPr>
      </w:pPr>
    </w:p>
    <w:p w14:paraId="494AD25C"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75" w:name="_Toc129243139"/>
      <w:bookmarkStart w:id="76" w:name="_Toc129243264"/>
      <w:r w:rsidRPr="0047338E">
        <w:rPr>
          <w:rFonts w:ascii="Times New Roman" w:eastAsia="Times New Roman" w:hAnsi="Times New Roman" w:cs="Times New Roman"/>
          <w:b/>
        </w:rPr>
        <w:t>1.</w:t>
      </w:r>
      <w:r w:rsidRPr="0047338E">
        <w:rPr>
          <w:rFonts w:ascii="Times New Roman" w:eastAsia="Times New Roman" w:hAnsi="Times New Roman" w:cs="Times New Roman"/>
          <w:b/>
        </w:rPr>
        <w:tab/>
        <w:t>Kas yra Letrozole Accord ir kam jis vartojamas</w:t>
      </w:r>
    </w:p>
    <w:bookmarkEnd w:id="75"/>
    <w:bookmarkEnd w:id="76"/>
    <w:p w14:paraId="5674F2F4" w14:textId="77777777" w:rsidR="000C61CC" w:rsidRPr="0047338E" w:rsidRDefault="000C61CC" w:rsidP="000C61CC">
      <w:pPr>
        <w:spacing w:after="0" w:line="240" w:lineRule="auto"/>
        <w:rPr>
          <w:rFonts w:ascii="Times New Roman" w:eastAsia="SimSun" w:hAnsi="Times New Roman" w:cs="Times New Roman"/>
          <w:color w:val="000000"/>
        </w:rPr>
      </w:pPr>
    </w:p>
    <w:p w14:paraId="5F996B2E"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Kas yra Letrozole Accord ir kaip jis veikia</w:t>
      </w:r>
    </w:p>
    <w:p w14:paraId="1BB1BD2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Letrozole Accord sudėtyje yra veikliosios medžiagos, vadinamos letrozolu. Jis priklauso vaistų, vadinamų aromatazės inhibitoriais, grupei. Šio vaisto vartojama hormoniniam (endokrininiam) krūties vėžio gydymui. Krūties vėžio augimą dažnai skatina estrogenai (moteriškieji lytiniai hormonai). Letrozole Accord sumažina estrogenų kiekį, nes blokuoja fermentą (aromatazę), dalyvaujantį susidarant estrogenams, todėl gali būti sustabdytas krūties vėžio augimas, kuriam būtini estrogenai. Todėl naviko ląstelių augimas ir (arba) plitimas į kitas organizmo sritis sulėtėja ar sustoja. </w:t>
      </w:r>
    </w:p>
    <w:p w14:paraId="0CB30553" w14:textId="77777777" w:rsidR="000C61CC" w:rsidRPr="0047338E" w:rsidRDefault="000C61CC" w:rsidP="000C61CC">
      <w:pPr>
        <w:spacing w:after="0" w:line="240" w:lineRule="auto"/>
        <w:rPr>
          <w:rFonts w:ascii="Times New Roman" w:eastAsia="SimSun" w:hAnsi="Times New Roman" w:cs="Times New Roman"/>
          <w:color w:val="000000"/>
        </w:rPr>
      </w:pPr>
    </w:p>
    <w:p w14:paraId="4ADFE771"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Kam Letrozole Accord vartojamas</w:t>
      </w:r>
    </w:p>
    <w:p w14:paraId="0ABEACED"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Letrozole Accord vartojamas krūties vėžiui gydyti moterims, kurios yra po menopauzės, t. y. kurioms nutrūko menstruacijos.</w:t>
      </w:r>
    </w:p>
    <w:p w14:paraId="4FFCAF87" w14:textId="77777777" w:rsidR="000C61CC" w:rsidRPr="0047338E" w:rsidRDefault="000C61CC" w:rsidP="000C61CC">
      <w:pPr>
        <w:spacing w:after="0" w:line="240" w:lineRule="auto"/>
        <w:rPr>
          <w:rFonts w:ascii="Times New Roman" w:eastAsia="SimSun" w:hAnsi="Times New Roman" w:cs="Times New Roman"/>
          <w:color w:val="000000"/>
        </w:rPr>
      </w:pPr>
    </w:p>
    <w:p w14:paraId="2BE6A70F" w14:textId="7B81FC8F"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Šio vaisto vartojama siekiant neleisti vėžiui atsinaujinti. Jo galima vartoti pirmiausia pasirenkamam gydymui prieš operacinį krūties vėžio gydymą, jei nedelsiamos operacijos atlikti negalima, arba pirmiausia pasirinktinam gydymui po krūties vėžio operacijos ar praėjus penkeriems gydymo tamoksifen</w:t>
      </w:r>
      <w:r w:rsidR="00AD2F72" w:rsidRPr="0047338E">
        <w:rPr>
          <w:rFonts w:ascii="Times New Roman" w:eastAsia="SimSun" w:hAnsi="Times New Roman" w:cs="Times New Roman"/>
          <w:color w:val="000000"/>
        </w:rPr>
        <w:t>u</w:t>
      </w:r>
      <w:r w:rsidRPr="0047338E">
        <w:rPr>
          <w:rFonts w:ascii="Times New Roman" w:eastAsia="SimSun" w:hAnsi="Times New Roman" w:cs="Times New Roman"/>
          <w:color w:val="000000"/>
        </w:rPr>
        <w:t xml:space="preserve"> metams. Be to, Letrozole Accord vartojamas siekiant neleisti navikui plisti į kitas organizmo sritis, jei yra progresavęs krūties vėžys.</w:t>
      </w:r>
    </w:p>
    <w:p w14:paraId="4AA3BC32" w14:textId="77777777" w:rsidR="000C61CC" w:rsidRPr="0047338E" w:rsidRDefault="000C61CC" w:rsidP="000C61CC">
      <w:pPr>
        <w:spacing w:after="0" w:line="240" w:lineRule="auto"/>
        <w:rPr>
          <w:rFonts w:ascii="Times New Roman" w:eastAsia="SimSun" w:hAnsi="Times New Roman" w:cs="Times New Roman"/>
          <w:color w:val="000000"/>
        </w:rPr>
      </w:pPr>
    </w:p>
    <w:p w14:paraId="0677AA87"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kiltų klausimų apie tai, kaip Letrozole Accord veikia ar kodėl šio vaisto Jums skirta, kreipkitės į gydytoją.</w:t>
      </w:r>
      <w:r w:rsidRPr="0047338E" w:rsidDel="002E4385">
        <w:rPr>
          <w:rFonts w:ascii="Times New Roman" w:eastAsia="SimSun" w:hAnsi="Times New Roman" w:cs="Times New Roman"/>
          <w:color w:val="000000"/>
        </w:rPr>
        <w:t xml:space="preserve"> </w:t>
      </w:r>
    </w:p>
    <w:p w14:paraId="37D5A0C9" w14:textId="77777777" w:rsidR="000C61CC" w:rsidRPr="0047338E" w:rsidRDefault="000C61CC" w:rsidP="000C61CC">
      <w:pPr>
        <w:spacing w:after="0" w:line="240" w:lineRule="auto"/>
        <w:rPr>
          <w:rFonts w:ascii="Times New Roman" w:eastAsia="SimSun" w:hAnsi="Times New Roman" w:cs="Times New Roman"/>
          <w:color w:val="000000"/>
        </w:rPr>
      </w:pPr>
    </w:p>
    <w:p w14:paraId="19860B26" w14:textId="77777777" w:rsidR="000C61CC" w:rsidRPr="0047338E" w:rsidRDefault="000C61CC" w:rsidP="000C61CC">
      <w:pPr>
        <w:spacing w:after="0" w:line="240" w:lineRule="auto"/>
        <w:rPr>
          <w:rFonts w:ascii="Times New Roman" w:eastAsia="SimSun" w:hAnsi="Times New Roman" w:cs="Times New Roman"/>
          <w:color w:val="000000"/>
        </w:rPr>
      </w:pPr>
    </w:p>
    <w:p w14:paraId="46667943"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77" w:name="_Toc129243140"/>
      <w:bookmarkStart w:id="78" w:name="_Toc129243265"/>
      <w:r w:rsidRPr="0047338E">
        <w:rPr>
          <w:rFonts w:ascii="Times New Roman" w:eastAsia="Times New Roman" w:hAnsi="Times New Roman" w:cs="Times New Roman"/>
          <w:b/>
        </w:rPr>
        <w:t>2.</w:t>
      </w:r>
      <w:r w:rsidRPr="0047338E">
        <w:rPr>
          <w:rFonts w:ascii="Times New Roman" w:eastAsia="Times New Roman" w:hAnsi="Times New Roman" w:cs="Times New Roman"/>
          <w:b/>
        </w:rPr>
        <w:tab/>
        <w:t>Kas žinotina prieš vartojant Letrozole Accord</w:t>
      </w:r>
    </w:p>
    <w:bookmarkEnd w:id="77"/>
    <w:bookmarkEnd w:id="78"/>
    <w:p w14:paraId="6446CB9D" w14:textId="77777777" w:rsidR="000C61CC" w:rsidRPr="0047338E" w:rsidRDefault="000C61CC" w:rsidP="000C61CC">
      <w:pPr>
        <w:spacing w:after="0" w:line="240" w:lineRule="auto"/>
        <w:rPr>
          <w:rFonts w:ascii="Times New Roman" w:eastAsia="SimSun" w:hAnsi="Times New Roman" w:cs="Times New Roman"/>
          <w:color w:val="000000"/>
        </w:rPr>
      </w:pPr>
    </w:p>
    <w:p w14:paraId="0AFE42CB"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Griežtai laikykitės gydytojo nurodymų. Jie gali skirtis nuo šiame lapelyje pateiktos bendros informacijos.</w:t>
      </w:r>
    </w:p>
    <w:p w14:paraId="575529C8" w14:textId="77777777" w:rsidR="000C61CC" w:rsidRPr="0047338E" w:rsidRDefault="000C61CC" w:rsidP="000C61CC">
      <w:pPr>
        <w:spacing w:after="0" w:line="240" w:lineRule="auto"/>
        <w:rPr>
          <w:rFonts w:ascii="Times New Roman" w:eastAsia="Times New Roman" w:hAnsi="Times New Roman" w:cs="Times New Roman"/>
          <w:b/>
          <w:bCs/>
        </w:rPr>
      </w:pPr>
    </w:p>
    <w:p w14:paraId="7930B4CB" w14:textId="50D8FFE9"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 xml:space="preserve">Letrozole Accord vartoti </w:t>
      </w:r>
      <w:r w:rsidR="00945B2E">
        <w:rPr>
          <w:rFonts w:ascii="Times New Roman" w:eastAsia="Times New Roman" w:hAnsi="Times New Roman" w:cs="Times New Roman"/>
          <w:b/>
          <w:bCs/>
        </w:rPr>
        <w:t>draudžia</w:t>
      </w:r>
      <w:r w:rsidRPr="0047338E">
        <w:rPr>
          <w:rFonts w:ascii="Times New Roman" w:eastAsia="Times New Roman" w:hAnsi="Times New Roman" w:cs="Times New Roman"/>
          <w:b/>
          <w:bCs/>
        </w:rPr>
        <w:t>ma:</w:t>
      </w:r>
    </w:p>
    <w:p w14:paraId="5C94D976" w14:textId="77777777" w:rsidR="000C61CC" w:rsidRPr="0047338E" w:rsidRDefault="000C61CC" w:rsidP="0058038C">
      <w:pPr>
        <w:pStyle w:val="Sraopastraipa"/>
        <w:numPr>
          <w:ilvl w:val="0"/>
          <w:numId w:val="29"/>
        </w:numPr>
        <w:ind w:left="567" w:hanging="567"/>
        <w:rPr>
          <w:rFonts w:eastAsia="SimSun"/>
          <w:color w:val="000000"/>
        </w:rPr>
      </w:pPr>
      <w:r w:rsidRPr="0047338E">
        <w:rPr>
          <w:rFonts w:eastAsia="SimSun"/>
          <w:color w:val="000000"/>
        </w:rPr>
        <w:t>jeigu yra alergija letrozolui arba bet kuriai pagalbinei šio vaisto medžiagai (jos išvardytos 6 skyriuje);</w:t>
      </w:r>
    </w:p>
    <w:p w14:paraId="55677EAC" w14:textId="257836F4" w:rsidR="000C61CC" w:rsidRPr="0047338E" w:rsidRDefault="000C61CC" w:rsidP="0058038C">
      <w:pPr>
        <w:pStyle w:val="Sraopastraipa"/>
        <w:numPr>
          <w:ilvl w:val="0"/>
          <w:numId w:val="29"/>
        </w:numPr>
        <w:ind w:left="567" w:hanging="567"/>
        <w:rPr>
          <w:rFonts w:eastAsia="SimSun"/>
          <w:color w:val="000000"/>
        </w:rPr>
      </w:pPr>
      <w:r w:rsidRPr="0047338E">
        <w:rPr>
          <w:rFonts w:eastAsia="SimSun"/>
          <w:color w:val="000000"/>
        </w:rPr>
        <w:t>jeigu dar sergate mėnesinėmis, t.</w:t>
      </w:r>
      <w:r w:rsidR="00B61221" w:rsidRPr="0047338E">
        <w:rPr>
          <w:rFonts w:eastAsia="SimSun"/>
          <w:color w:val="000000"/>
        </w:rPr>
        <w:t xml:space="preserve"> </w:t>
      </w:r>
      <w:r w:rsidRPr="0047338E">
        <w:rPr>
          <w:rFonts w:eastAsia="SimSun"/>
          <w:color w:val="000000"/>
        </w:rPr>
        <w:t>y. jeigu Jums dar neprasidėjo menopauzė;</w:t>
      </w:r>
    </w:p>
    <w:p w14:paraId="7E738185" w14:textId="77777777" w:rsidR="000C61CC" w:rsidRPr="0047338E" w:rsidRDefault="000C61CC" w:rsidP="0058038C">
      <w:pPr>
        <w:pStyle w:val="Sraopastraipa"/>
        <w:numPr>
          <w:ilvl w:val="0"/>
          <w:numId w:val="29"/>
        </w:numPr>
        <w:ind w:left="567" w:hanging="567"/>
        <w:rPr>
          <w:rFonts w:eastAsia="SimSun"/>
          <w:color w:val="000000"/>
        </w:rPr>
      </w:pPr>
      <w:r w:rsidRPr="0047338E">
        <w:rPr>
          <w:rFonts w:eastAsia="SimSun"/>
          <w:color w:val="000000"/>
        </w:rPr>
        <w:t>jeigu esate nėščia;</w:t>
      </w:r>
    </w:p>
    <w:p w14:paraId="303CC0E1" w14:textId="77777777" w:rsidR="000C61CC" w:rsidRPr="0047338E" w:rsidRDefault="000C61CC" w:rsidP="0058038C">
      <w:pPr>
        <w:pStyle w:val="Sraopastraipa"/>
        <w:numPr>
          <w:ilvl w:val="0"/>
          <w:numId w:val="29"/>
        </w:numPr>
        <w:ind w:left="567" w:hanging="567"/>
        <w:rPr>
          <w:rFonts w:eastAsia="SimSun"/>
          <w:color w:val="000000"/>
        </w:rPr>
      </w:pPr>
      <w:r w:rsidRPr="0047338E">
        <w:rPr>
          <w:rFonts w:eastAsia="SimSun"/>
          <w:color w:val="000000"/>
        </w:rPr>
        <w:t>jeigu žindote kūdikį;</w:t>
      </w:r>
    </w:p>
    <w:p w14:paraId="25C0516E" w14:textId="77777777" w:rsidR="000C61CC" w:rsidRPr="0047338E" w:rsidRDefault="000C61CC" w:rsidP="0058038C">
      <w:pPr>
        <w:pStyle w:val="Sraopastraipa"/>
        <w:numPr>
          <w:ilvl w:val="0"/>
          <w:numId w:val="29"/>
        </w:numPr>
        <w:ind w:left="567" w:hanging="567"/>
        <w:rPr>
          <w:rFonts w:eastAsia="SimSun"/>
          <w:color w:val="000000"/>
        </w:rPr>
      </w:pPr>
      <w:r w:rsidRPr="0047338E">
        <w:rPr>
          <w:rFonts w:eastAsia="SimSun"/>
          <w:color w:val="000000"/>
        </w:rPr>
        <w:t>jeigu sergate sunkia kepenų liga.</w:t>
      </w:r>
    </w:p>
    <w:p w14:paraId="5E00ACB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Jeigu bet kuri iš šių būklių Jums tinka, </w:t>
      </w:r>
      <w:r w:rsidRPr="0047338E">
        <w:rPr>
          <w:rFonts w:ascii="Times New Roman" w:eastAsia="SimSun" w:hAnsi="Times New Roman" w:cs="Times New Roman"/>
          <w:b/>
          <w:color w:val="000000"/>
        </w:rPr>
        <w:t>nevartokite šio vaisto ir pasitarkite su gydytoju.</w:t>
      </w:r>
    </w:p>
    <w:p w14:paraId="5AEE0A4B" w14:textId="77777777" w:rsidR="000C61CC" w:rsidRPr="0047338E" w:rsidRDefault="000C61CC" w:rsidP="000C61CC">
      <w:pPr>
        <w:spacing w:after="0" w:line="240" w:lineRule="auto"/>
        <w:rPr>
          <w:rFonts w:ascii="Times New Roman" w:eastAsia="SimSun" w:hAnsi="Times New Roman" w:cs="Times New Roman"/>
          <w:color w:val="000000"/>
        </w:rPr>
      </w:pPr>
    </w:p>
    <w:p w14:paraId="790DD315"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Įspėjimai ir atsargumo priemonės</w:t>
      </w:r>
    </w:p>
    <w:p w14:paraId="2267C5CA"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Cs/>
        </w:rPr>
        <w:t>Pasitarkite su gydytoju arba vaistininku, prieš pradėdami vartoti Letrozole Accord:</w:t>
      </w:r>
    </w:p>
    <w:p w14:paraId="021BA549" w14:textId="77777777" w:rsidR="000C61CC" w:rsidRPr="0047338E" w:rsidRDefault="000C61CC" w:rsidP="000C61C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 xml:space="preserve">- </w:t>
      </w:r>
      <w:r w:rsidRPr="0047338E">
        <w:rPr>
          <w:rFonts w:ascii="Times New Roman" w:eastAsia="Times New Roman" w:hAnsi="Times New Roman" w:cs="Times New Roman"/>
          <w:bCs/>
        </w:rPr>
        <w:tab/>
        <w:t>jeigu sergate sunkia inkstų liga;</w:t>
      </w:r>
    </w:p>
    <w:p w14:paraId="79A09F42" w14:textId="77777777" w:rsidR="000C61CC" w:rsidRPr="0047338E" w:rsidRDefault="000C61CC" w:rsidP="000C61C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 xml:space="preserve">- </w:t>
      </w:r>
      <w:r w:rsidRPr="0047338E">
        <w:rPr>
          <w:rFonts w:ascii="Times New Roman" w:eastAsia="Times New Roman" w:hAnsi="Times New Roman" w:cs="Times New Roman"/>
          <w:bCs/>
        </w:rPr>
        <w:tab/>
        <w:t>jeigu sergate sunkia kepenų liga;</w:t>
      </w:r>
    </w:p>
    <w:p w14:paraId="220A9A98" w14:textId="77777777" w:rsidR="000C61CC" w:rsidRPr="0047338E" w:rsidRDefault="000C61CC" w:rsidP="000C61C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 xml:space="preserve">- </w:t>
      </w:r>
      <w:r w:rsidRPr="0047338E">
        <w:rPr>
          <w:rFonts w:ascii="Times New Roman" w:eastAsia="Times New Roman" w:hAnsi="Times New Roman" w:cs="Times New Roman"/>
          <w:bCs/>
        </w:rPr>
        <w:tab/>
        <w:t>jeigu anksčiau sirgote osteoporoze ar buvo lūžę kaulai (taip pat žr. „Priežiūra gydymo Letrozole Accord metu“ 3 skyriuje).</w:t>
      </w:r>
    </w:p>
    <w:p w14:paraId="0BD98E1E" w14:textId="77777777" w:rsidR="000C61CC" w:rsidRPr="0047338E" w:rsidRDefault="000C61CC" w:rsidP="000C61C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Jeigu kuri iš šių būklių Jums tinka, pasakykite savo gydytojui. Gydytojas tai turės omenyje gydymo Letrozole Accord metu.</w:t>
      </w:r>
    </w:p>
    <w:p w14:paraId="342DC0A8" w14:textId="5357A3DF" w:rsidR="000C61CC" w:rsidRPr="0047338E" w:rsidRDefault="000C61CC" w:rsidP="000C61CC">
      <w:pPr>
        <w:spacing w:after="0" w:line="240" w:lineRule="auto"/>
        <w:rPr>
          <w:rFonts w:ascii="Times New Roman" w:eastAsia="Times New Roman" w:hAnsi="Times New Roman" w:cs="Times New Roman"/>
          <w:bCs/>
        </w:rPr>
      </w:pPr>
    </w:p>
    <w:p w14:paraId="64368F08" w14:textId="7C4B67E5" w:rsidR="002008E4" w:rsidRPr="0047338E" w:rsidRDefault="002008E4" w:rsidP="000C61C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Letrozolas gali sukelti sausgyslių uždegimą arba sausgyslės pažeidimą (žr. 4 skyrių). Pasireiškus bet kokiems sausgyslių skausmo ar patinimo požymiams, nejudinkite skaudamos kūno dalies ir kreipkitės į savo gydytoją.</w:t>
      </w:r>
    </w:p>
    <w:p w14:paraId="73DDBCEA" w14:textId="77777777" w:rsidR="002008E4" w:rsidRPr="0047338E" w:rsidRDefault="002008E4" w:rsidP="000C61CC">
      <w:pPr>
        <w:spacing w:after="0" w:line="240" w:lineRule="auto"/>
        <w:rPr>
          <w:rFonts w:ascii="Times New Roman" w:eastAsia="Times New Roman" w:hAnsi="Times New Roman" w:cs="Times New Roman"/>
          <w:bCs/>
        </w:rPr>
      </w:pPr>
    </w:p>
    <w:p w14:paraId="5A44C9DE"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Vaikams ir paaugliams (jaunesniems kaip 18 metų)</w:t>
      </w:r>
    </w:p>
    <w:p w14:paraId="1C012583" w14:textId="77777777" w:rsidR="000C61CC" w:rsidRPr="0047338E" w:rsidRDefault="000C61CC" w:rsidP="000C61C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Vaikams ir paaugliams šio vaisto vartoti negalima.</w:t>
      </w:r>
    </w:p>
    <w:p w14:paraId="7308E096" w14:textId="77777777" w:rsidR="000C61CC" w:rsidRPr="0047338E" w:rsidRDefault="000C61CC" w:rsidP="000C61CC">
      <w:pPr>
        <w:spacing w:after="0" w:line="240" w:lineRule="auto"/>
        <w:rPr>
          <w:rFonts w:ascii="Times New Roman" w:eastAsia="Times New Roman" w:hAnsi="Times New Roman" w:cs="Times New Roman"/>
          <w:bCs/>
        </w:rPr>
      </w:pPr>
    </w:p>
    <w:p w14:paraId="369CDE11"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Senyviems žmonėms (65 metų ir vyresniems)</w:t>
      </w:r>
    </w:p>
    <w:p w14:paraId="3B000A84" w14:textId="77777777" w:rsidR="000C61CC" w:rsidRPr="0047338E" w:rsidRDefault="000C61CC" w:rsidP="000C61C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65 metų ir vyresnėms moterims šio vaisto galima vartoti tokiomis pačiomis dozėmis, kaip ir kitiems suaugusiems žmonėms.</w:t>
      </w:r>
    </w:p>
    <w:p w14:paraId="0BA049B7" w14:textId="77777777" w:rsidR="000C61CC" w:rsidRPr="0047338E" w:rsidRDefault="000C61CC" w:rsidP="000C61CC">
      <w:pPr>
        <w:spacing w:after="0" w:line="240" w:lineRule="auto"/>
        <w:rPr>
          <w:rFonts w:ascii="Times New Roman" w:eastAsia="Times New Roman" w:hAnsi="Times New Roman" w:cs="Times New Roman"/>
          <w:bCs/>
        </w:rPr>
      </w:pPr>
    </w:p>
    <w:p w14:paraId="1F38AA34"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Kiti vaistai ir Letrozole Accord</w:t>
      </w:r>
    </w:p>
    <w:p w14:paraId="5BE6539F" w14:textId="77777777" w:rsidR="000C61CC" w:rsidRPr="0047338E" w:rsidRDefault="000C61CC" w:rsidP="000C61C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Jeigu vartojate ar neseniai vartojote kitų vaistų arba dėl to nesate tikri, apie tai pasakykite gydytojui arba vaistininkui.</w:t>
      </w:r>
    </w:p>
    <w:p w14:paraId="2E22E696" w14:textId="77777777" w:rsidR="000C61CC" w:rsidRPr="0047338E" w:rsidRDefault="000C61CC" w:rsidP="000C61CC">
      <w:pPr>
        <w:spacing w:after="0" w:line="240" w:lineRule="auto"/>
        <w:rPr>
          <w:rFonts w:ascii="Times New Roman" w:eastAsia="Times New Roman" w:hAnsi="Times New Roman" w:cs="Times New Roman"/>
          <w:bCs/>
        </w:rPr>
      </w:pPr>
    </w:p>
    <w:p w14:paraId="0BF4CA95"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Nėštumas, žindymo laikotarpis ir vaisingumas</w:t>
      </w:r>
    </w:p>
    <w:p w14:paraId="490C718C" w14:textId="77777777" w:rsidR="000C61CC" w:rsidRPr="0047338E" w:rsidRDefault="000C61CC" w:rsidP="000C61CC">
      <w:pPr>
        <w:numPr>
          <w:ilvl w:val="12"/>
          <w:numId w:val="0"/>
        </w:numPr>
        <w:spacing w:after="0" w:line="240" w:lineRule="auto"/>
        <w:rPr>
          <w:rFonts w:ascii="Times New Roman" w:eastAsia="Times New Roman" w:hAnsi="Times New Roman" w:cs="Times New Roman"/>
          <w:snapToGrid w:val="0"/>
        </w:rPr>
      </w:pPr>
      <w:r w:rsidRPr="0047338E">
        <w:rPr>
          <w:rFonts w:ascii="Times New Roman" w:eastAsia="Times New Roman" w:hAnsi="Times New Roman" w:cs="Times New Roman"/>
          <w:snapToGrid w:val="0"/>
        </w:rPr>
        <w:t>Jeigu esate nėščia, žindote kūdikį, manote, kad galbūt esate nėščia, arba planuojate pastoti, tai prieš vartodama šį vaistą, pasitarkite su gydytoju arba vaistininku.</w:t>
      </w:r>
    </w:p>
    <w:p w14:paraId="7D6CE345" w14:textId="77777777" w:rsidR="000C61CC" w:rsidRPr="0047338E" w:rsidRDefault="000C61CC" w:rsidP="000C61C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w:t>
      </w:r>
      <w:r w:rsidRPr="0047338E">
        <w:rPr>
          <w:rFonts w:ascii="Times New Roman" w:eastAsia="Times New Roman" w:hAnsi="Times New Roman" w:cs="Times New Roman"/>
          <w:bCs/>
        </w:rPr>
        <w:tab/>
        <w:t xml:space="preserve">Letrozole Accord vartokite tik tuomet, jeigu Jums baigėsi menopauzė. Tačiau gydytojas su Jumis turi aptarti veiksmingos kontracepcijos priemonės naudojimą, kadangi gydymo Letrozole Accord metu Jūs galite pastoti. </w:t>
      </w:r>
    </w:p>
    <w:p w14:paraId="5557BEFB" w14:textId="77777777" w:rsidR="000C61CC" w:rsidRPr="0047338E" w:rsidRDefault="000C61CC" w:rsidP="000C61CC">
      <w:pPr>
        <w:spacing w:after="0" w:line="240" w:lineRule="auto"/>
        <w:ind w:left="567" w:hanging="567"/>
        <w:rPr>
          <w:rFonts w:ascii="Times New Roman" w:eastAsia="Times New Roman" w:hAnsi="Times New Roman" w:cs="Times New Roman"/>
          <w:bCs/>
        </w:rPr>
      </w:pPr>
      <w:r w:rsidRPr="0047338E">
        <w:rPr>
          <w:rFonts w:ascii="Times New Roman" w:eastAsia="Times New Roman" w:hAnsi="Times New Roman" w:cs="Times New Roman"/>
          <w:bCs/>
        </w:rPr>
        <w:t>-</w:t>
      </w:r>
      <w:r w:rsidRPr="0047338E">
        <w:rPr>
          <w:rFonts w:ascii="Times New Roman" w:eastAsia="Times New Roman" w:hAnsi="Times New Roman" w:cs="Times New Roman"/>
          <w:bCs/>
        </w:rPr>
        <w:tab/>
        <w:t xml:space="preserve">Jei esate nėščia ar maitinate krūtimi, Letrozole Accord vartoti draudžiama, nes jis gali pakenkti kūdikiui. </w:t>
      </w:r>
    </w:p>
    <w:p w14:paraId="22469933" w14:textId="77777777" w:rsidR="000C61CC" w:rsidRPr="0047338E" w:rsidRDefault="000C61CC" w:rsidP="000C61CC">
      <w:pPr>
        <w:spacing w:after="0" w:line="240" w:lineRule="auto"/>
        <w:rPr>
          <w:rFonts w:ascii="Times New Roman" w:eastAsia="Times New Roman" w:hAnsi="Times New Roman" w:cs="Times New Roman"/>
          <w:bCs/>
        </w:rPr>
      </w:pPr>
    </w:p>
    <w:p w14:paraId="096FF03B"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 xml:space="preserve">Vairavimas ir mechanizmų valdymas </w:t>
      </w:r>
    </w:p>
    <w:p w14:paraId="265FAB7A" w14:textId="77777777" w:rsidR="000C61CC" w:rsidRPr="0047338E" w:rsidRDefault="000C61CC" w:rsidP="000C61CC">
      <w:pPr>
        <w:spacing w:after="0" w:line="240" w:lineRule="auto"/>
        <w:rPr>
          <w:rFonts w:ascii="Times New Roman" w:eastAsia="Times New Roman" w:hAnsi="Times New Roman" w:cs="Times New Roman"/>
          <w:bCs/>
        </w:rPr>
      </w:pPr>
      <w:r w:rsidRPr="0047338E">
        <w:rPr>
          <w:rFonts w:ascii="Times New Roman" w:eastAsia="Times New Roman" w:hAnsi="Times New Roman" w:cs="Times New Roman"/>
          <w:bCs/>
        </w:rPr>
        <w:t>Jeigu svaigsta galva, jaučiate nuovargį, mieguistumą ar bendrąjį negalavimą, nevairuokite ir nevaldykite jokių įrankių ar mechanizmų, kol vėl nesijausite normaliai.</w:t>
      </w:r>
    </w:p>
    <w:p w14:paraId="3F4228F5" w14:textId="77777777" w:rsidR="000C61CC" w:rsidRPr="0047338E" w:rsidRDefault="000C61CC" w:rsidP="000C61CC">
      <w:pPr>
        <w:spacing w:after="0" w:line="240" w:lineRule="auto"/>
        <w:rPr>
          <w:rFonts w:ascii="Times New Roman" w:eastAsia="Times New Roman" w:hAnsi="Times New Roman" w:cs="Times New Roman"/>
          <w:bCs/>
        </w:rPr>
      </w:pPr>
    </w:p>
    <w:p w14:paraId="682A1D56"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Letrozole Accord sudėtyje yra laktozės</w:t>
      </w:r>
    </w:p>
    <w:p w14:paraId="32B46062"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Letrozole Accord sudėtyje yra laktozės (pieno cukraus). Jeigu gydytojas Jums yra sakęs, kad netoleruojate kokių nors angliavandenių, kreipkitės į jį prieš pradėdami vartoti šį vaistą. </w:t>
      </w:r>
    </w:p>
    <w:p w14:paraId="4CE257E8" w14:textId="77777777" w:rsidR="000C61CC" w:rsidRDefault="000C61CC" w:rsidP="000C61CC">
      <w:pPr>
        <w:spacing w:after="0" w:line="240" w:lineRule="auto"/>
        <w:rPr>
          <w:rFonts w:ascii="Times New Roman" w:eastAsia="SimSun" w:hAnsi="Times New Roman" w:cs="Times New Roman"/>
          <w:color w:val="000000"/>
        </w:rPr>
      </w:pPr>
    </w:p>
    <w:p w14:paraId="1568ACA8" w14:textId="7761665D" w:rsidR="00945B2E" w:rsidRPr="0047338E" w:rsidRDefault="00945B2E" w:rsidP="00945B2E">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 xml:space="preserve">Letrozole Accord sudėtyje yra </w:t>
      </w:r>
      <w:r>
        <w:rPr>
          <w:rFonts w:ascii="Times New Roman" w:eastAsia="Times New Roman" w:hAnsi="Times New Roman" w:cs="Times New Roman"/>
          <w:b/>
          <w:bCs/>
        </w:rPr>
        <w:t>natrio</w:t>
      </w:r>
    </w:p>
    <w:p w14:paraId="53533053" w14:textId="3D56ABF7" w:rsidR="00945B2E" w:rsidRDefault="00945B2E" w:rsidP="000C61CC">
      <w:pPr>
        <w:spacing w:after="0" w:line="240" w:lineRule="auto"/>
        <w:rPr>
          <w:rFonts w:ascii="Times New Roman" w:eastAsia="SimSun" w:hAnsi="Times New Roman" w:cs="Times New Roman"/>
          <w:color w:val="000000"/>
        </w:rPr>
      </w:pPr>
      <w:r w:rsidRPr="00945B2E">
        <w:rPr>
          <w:rFonts w:ascii="Times New Roman" w:eastAsia="SimSun" w:hAnsi="Times New Roman" w:cs="Times New Roman"/>
          <w:color w:val="000000"/>
        </w:rPr>
        <w:t xml:space="preserve">Šio vaisto </w:t>
      </w:r>
      <w:r>
        <w:rPr>
          <w:rFonts w:ascii="Times New Roman" w:eastAsia="SimSun" w:hAnsi="Times New Roman" w:cs="Times New Roman"/>
          <w:color w:val="000000"/>
        </w:rPr>
        <w:t>tabletėje</w:t>
      </w:r>
      <w:r w:rsidRPr="00945B2E">
        <w:rPr>
          <w:rFonts w:ascii="Times New Roman" w:eastAsia="SimSun" w:hAnsi="Times New Roman" w:cs="Times New Roman"/>
          <w:color w:val="000000"/>
        </w:rPr>
        <w:t xml:space="preserve"> yra mažiau kaip 1</w:t>
      </w:r>
      <w:r>
        <w:rPr>
          <w:rFonts w:ascii="Times New Roman" w:eastAsia="SimSun" w:hAnsi="Times New Roman" w:cs="Times New Roman"/>
          <w:color w:val="000000"/>
        </w:rPr>
        <w:t> </w:t>
      </w:r>
      <w:r w:rsidRPr="00945B2E">
        <w:rPr>
          <w:rFonts w:ascii="Times New Roman" w:eastAsia="SimSun" w:hAnsi="Times New Roman" w:cs="Times New Roman"/>
          <w:color w:val="000000"/>
        </w:rPr>
        <w:t>mmol (23</w:t>
      </w:r>
      <w:r>
        <w:rPr>
          <w:rFonts w:ascii="Times New Roman" w:eastAsia="SimSun" w:hAnsi="Times New Roman" w:cs="Times New Roman"/>
          <w:color w:val="000000"/>
        </w:rPr>
        <w:t> </w:t>
      </w:r>
      <w:r w:rsidRPr="00945B2E">
        <w:rPr>
          <w:rFonts w:ascii="Times New Roman" w:eastAsia="SimSun" w:hAnsi="Times New Roman" w:cs="Times New Roman"/>
          <w:color w:val="000000"/>
        </w:rPr>
        <w:t>mg) natrio, t.</w:t>
      </w:r>
      <w:r>
        <w:rPr>
          <w:rFonts w:ascii="Times New Roman" w:eastAsia="SimSun" w:hAnsi="Times New Roman" w:cs="Times New Roman"/>
          <w:color w:val="000000"/>
        </w:rPr>
        <w:t xml:space="preserve"> </w:t>
      </w:r>
      <w:r w:rsidRPr="00945B2E">
        <w:rPr>
          <w:rFonts w:ascii="Times New Roman" w:eastAsia="SimSun" w:hAnsi="Times New Roman" w:cs="Times New Roman"/>
          <w:color w:val="000000"/>
        </w:rPr>
        <w:t>y. jis beveik neturi reikšmės.</w:t>
      </w:r>
    </w:p>
    <w:p w14:paraId="4F6444C4" w14:textId="77777777" w:rsidR="00945B2E" w:rsidRPr="0047338E" w:rsidRDefault="00945B2E" w:rsidP="000C61CC">
      <w:pPr>
        <w:spacing w:after="0" w:line="240" w:lineRule="auto"/>
        <w:rPr>
          <w:rFonts w:ascii="Times New Roman" w:eastAsia="SimSun" w:hAnsi="Times New Roman" w:cs="Times New Roman"/>
          <w:color w:val="000000"/>
        </w:rPr>
      </w:pPr>
    </w:p>
    <w:p w14:paraId="225343FD" w14:textId="77777777" w:rsidR="00430FB9" w:rsidRPr="0047338E" w:rsidRDefault="00430FB9" w:rsidP="000C61CC">
      <w:pPr>
        <w:spacing w:after="0" w:line="240" w:lineRule="auto"/>
        <w:rPr>
          <w:rFonts w:ascii="Times New Roman" w:eastAsia="SimSun" w:hAnsi="Times New Roman" w:cs="Times New Roman"/>
          <w:color w:val="000000"/>
        </w:rPr>
      </w:pPr>
    </w:p>
    <w:p w14:paraId="6F63F92E"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79" w:name="_Toc129243141"/>
      <w:bookmarkStart w:id="80" w:name="_Toc129243266"/>
      <w:r w:rsidRPr="0047338E">
        <w:rPr>
          <w:rFonts w:ascii="Times New Roman" w:eastAsia="Times New Roman" w:hAnsi="Times New Roman" w:cs="Times New Roman"/>
          <w:b/>
        </w:rPr>
        <w:t>3.</w:t>
      </w:r>
      <w:r w:rsidRPr="0047338E">
        <w:rPr>
          <w:rFonts w:ascii="Times New Roman" w:eastAsia="Times New Roman" w:hAnsi="Times New Roman" w:cs="Times New Roman"/>
          <w:b/>
        </w:rPr>
        <w:tab/>
        <w:t>Kaip vartoti Letrozole Accord</w:t>
      </w:r>
    </w:p>
    <w:bookmarkEnd w:id="79"/>
    <w:bookmarkEnd w:id="80"/>
    <w:p w14:paraId="695B435C" w14:textId="77777777" w:rsidR="000C61CC" w:rsidRPr="0047338E" w:rsidRDefault="000C61CC" w:rsidP="000C61CC">
      <w:pPr>
        <w:spacing w:after="0" w:line="240" w:lineRule="auto"/>
        <w:rPr>
          <w:rFonts w:ascii="Times New Roman" w:eastAsia="SimSun" w:hAnsi="Times New Roman" w:cs="Times New Roman"/>
          <w:color w:val="000000"/>
        </w:rPr>
      </w:pPr>
    </w:p>
    <w:p w14:paraId="6D33FEC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Visada vartokite šį vaistą tiksliai, kaip nurodė gydytojas arba vaistininkas. Jeigu abejojate, kreipkitės į gydytoją arba vaistininką.</w:t>
      </w:r>
    </w:p>
    <w:p w14:paraId="7EC12640" w14:textId="77777777" w:rsidR="000C61CC" w:rsidRPr="0047338E" w:rsidRDefault="000C61CC" w:rsidP="000C61CC">
      <w:pPr>
        <w:spacing w:after="0" w:line="240" w:lineRule="auto"/>
        <w:rPr>
          <w:rFonts w:ascii="Times New Roman" w:eastAsia="SimSun" w:hAnsi="Times New Roman" w:cs="Times New Roman"/>
          <w:color w:val="000000"/>
        </w:rPr>
      </w:pPr>
    </w:p>
    <w:p w14:paraId="52E55411"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Įprastinė kartą per parą vartojama Letrozole Accord dozė yra viena tabletė. Jei Letrozole Accord vartosite kasdien tokiu pačiu metu, bus lengviau atsiminti, kad reikia išgerti tabletę.</w:t>
      </w:r>
    </w:p>
    <w:p w14:paraId="42D702E4" w14:textId="77777777" w:rsidR="000C61CC" w:rsidRPr="0047338E" w:rsidRDefault="000C61CC" w:rsidP="000C61CC">
      <w:pPr>
        <w:spacing w:after="0" w:line="240" w:lineRule="auto"/>
        <w:rPr>
          <w:rFonts w:ascii="Times New Roman" w:eastAsia="SimSun" w:hAnsi="Times New Roman" w:cs="Times New Roman"/>
          <w:color w:val="000000"/>
        </w:rPr>
      </w:pPr>
    </w:p>
    <w:p w14:paraId="4D96C230"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Tabletę galima vartoti valgant arba nevalgant, ją būtina nuryti užgeriant pilna stikline vandens ar kitokio skysčio.</w:t>
      </w:r>
    </w:p>
    <w:p w14:paraId="2BA491B7" w14:textId="77777777" w:rsidR="000C61CC" w:rsidRPr="0047338E" w:rsidRDefault="000C61CC" w:rsidP="000C61CC">
      <w:pPr>
        <w:spacing w:after="0" w:line="240" w:lineRule="auto"/>
        <w:rPr>
          <w:rFonts w:ascii="Times New Roman" w:eastAsia="SimSun" w:hAnsi="Times New Roman" w:cs="Times New Roman"/>
          <w:color w:val="000000"/>
        </w:rPr>
      </w:pPr>
    </w:p>
    <w:p w14:paraId="6376F0FF"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Kiek laiko vartoti Letrozole Accord </w:t>
      </w:r>
    </w:p>
    <w:p w14:paraId="6508467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Vartokite Letrozole Accord kasdien tiek laiko, kiek nurodė gydytojas. Vaisto gali tekti vartoti kelis mėnesius ar net kelerius metus. Jeigu kiltų bet kokių klausimų, kiek ilgai vartoti Letrozole Accord, kreipkitės į gydytoją.</w:t>
      </w:r>
    </w:p>
    <w:p w14:paraId="09844FA6" w14:textId="77777777" w:rsidR="000C61CC" w:rsidRPr="0047338E" w:rsidRDefault="000C61CC" w:rsidP="000C61CC">
      <w:pPr>
        <w:spacing w:after="0" w:line="240" w:lineRule="auto"/>
        <w:rPr>
          <w:rFonts w:ascii="Times New Roman" w:eastAsia="SimSun" w:hAnsi="Times New Roman" w:cs="Times New Roman"/>
          <w:color w:val="000000"/>
        </w:rPr>
      </w:pPr>
    </w:p>
    <w:p w14:paraId="33F055EB"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Priežiūra gydymo Letrozole Accord metu </w:t>
      </w:r>
    </w:p>
    <w:p w14:paraId="261CDE35"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Šio vaisto galima vartoti tik atidžiai gydytojui prižiūrint. Gydytojas reguliariai tirs Jūsų būklę, kad nustatytų, ar gydymas sukelia tinkamą poveikį.</w:t>
      </w:r>
    </w:p>
    <w:p w14:paraId="3C8555D2" w14:textId="77777777" w:rsidR="000C61CC" w:rsidRPr="0047338E" w:rsidRDefault="000C61CC" w:rsidP="000C61CC">
      <w:pPr>
        <w:spacing w:after="0" w:line="240" w:lineRule="auto"/>
        <w:rPr>
          <w:rFonts w:ascii="Times New Roman" w:eastAsia="SimSun" w:hAnsi="Times New Roman" w:cs="Times New Roman"/>
          <w:color w:val="000000"/>
        </w:rPr>
      </w:pPr>
    </w:p>
    <w:p w14:paraId="623A2677" w14:textId="0FE0FD8B"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Letrozole Accord</w:t>
      </w:r>
      <w:r w:rsidR="00B61221" w:rsidRPr="0047338E">
        <w:rPr>
          <w:rFonts w:ascii="Times New Roman" w:eastAsia="SimSun" w:hAnsi="Times New Roman" w:cs="Times New Roman"/>
          <w:color w:val="000000"/>
        </w:rPr>
        <w:t xml:space="preserve"> </w:t>
      </w:r>
      <w:r w:rsidRPr="0047338E">
        <w:rPr>
          <w:rFonts w:ascii="Times New Roman" w:eastAsia="SimSun" w:hAnsi="Times New Roman" w:cs="Times New Roman"/>
          <w:color w:val="000000"/>
        </w:rPr>
        <w:t>gali sukelti kaulų plonėjimą ar retėjimą (osteoporozę), nes sumažėja estrogenų kiekis organizme. Gydytojas gali nuspręsti nustatyti Jūsų kaulų tankį (tai yra vienas iš osteoporozės vertinimo metodų) prieš pradedant gydymą, jo metu ir po gydymo.</w:t>
      </w:r>
    </w:p>
    <w:p w14:paraId="6BE28084" w14:textId="77777777" w:rsidR="000C61CC" w:rsidRPr="0047338E" w:rsidRDefault="000C61CC" w:rsidP="000C61CC">
      <w:pPr>
        <w:spacing w:after="0" w:line="240" w:lineRule="auto"/>
        <w:rPr>
          <w:rFonts w:ascii="Times New Roman" w:eastAsia="SimSun" w:hAnsi="Times New Roman" w:cs="Times New Roman"/>
          <w:color w:val="000000"/>
        </w:rPr>
      </w:pPr>
    </w:p>
    <w:p w14:paraId="6B692742" w14:textId="2FDE7173"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Ką daryti pavartojus per didelę Letrozole Accord dozę</w:t>
      </w:r>
    </w:p>
    <w:p w14:paraId="3C1410FA"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Jeigu išgėrėte per daug Letrozole Accord arba kas nors kitas netyčia išgėrė Jūsų tablečių, nedelsdami kreipkitės į gydytoją ar ligoninę. Parodykite tablečių pakuotę. Gali prireikti medicinos pagalbos.</w:t>
      </w:r>
    </w:p>
    <w:p w14:paraId="68DC265A" w14:textId="77777777" w:rsidR="000C61CC" w:rsidRPr="0047338E" w:rsidRDefault="000C61CC" w:rsidP="000C61CC">
      <w:pPr>
        <w:spacing w:after="0" w:line="240" w:lineRule="auto"/>
        <w:rPr>
          <w:rFonts w:ascii="Times New Roman" w:eastAsia="SimSun" w:hAnsi="Times New Roman" w:cs="Times New Roman"/>
          <w:color w:val="000000"/>
        </w:rPr>
      </w:pPr>
    </w:p>
    <w:p w14:paraId="60B83B3C"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Pamiršus pavartoti Letrozole Accord</w:t>
      </w:r>
    </w:p>
    <w:p w14:paraId="16C56642" w14:textId="77777777" w:rsidR="000C61CC" w:rsidRPr="0047338E" w:rsidRDefault="000C61CC" w:rsidP="000C61CC">
      <w:pPr>
        <w:numPr>
          <w:ilvl w:val="0"/>
          <w:numId w:val="17"/>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Jeigu jau beveik laikas gerti kitą dozę (pvz., 2 ar 3 valandų laikotarpiu), praleiskite pamirštąją ir kitą dozę gerkite tada, kada priklauso. </w:t>
      </w:r>
    </w:p>
    <w:p w14:paraId="2DF0B650" w14:textId="77777777" w:rsidR="000C61CC" w:rsidRPr="0047338E" w:rsidRDefault="000C61CC" w:rsidP="000C61CC">
      <w:pPr>
        <w:numPr>
          <w:ilvl w:val="0"/>
          <w:numId w:val="17"/>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Kitu atveju išgerkite pamirštąją dozę vos tik prisiminę, o kitą tabletę vartokite kaip įprasta.</w:t>
      </w:r>
    </w:p>
    <w:p w14:paraId="068EE7B8" w14:textId="77777777" w:rsidR="000C61CC" w:rsidRPr="0047338E" w:rsidRDefault="000C61CC" w:rsidP="000C61CC">
      <w:pPr>
        <w:numPr>
          <w:ilvl w:val="0"/>
          <w:numId w:val="17"/>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Negalima vartoti dvigubos dozės norint kompensuoti praleistą dozę.</w:t>
      </w:r>
    </w:p>
    <w:p w14:paraId="335C2A5A" w14:textId="77777777" w:rsidR="000C61CC" w:rsidRPr="0047338E" w:rsidRDefault="000C61CC" w:rsidP="000C61CC">
      <w:pPr>
        <w:spacing w:after="0" w:line="240" w:lineRule="auto"/>
        <w:rPr>
          <w:rFonts w:ascii="Times New Roman" w:eastAsia="SimSun" w:hAnsi="Times New Roman" w:cs="Times New Roman"/>
          <w:color w:val="000000"/>
        </w:rPr>
      </w:pPr>
    </w:p>
    <w:p w14:paraId="71D1947C"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Nustojus vartoti Letrozole Accord</w:t>
      </w:r>
    </w:p>
    <w:p w14:paraId="103A586E"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Nenustokite vartoti Letrozole Accord tol, kol nenurodys gydytojas. Taip pat žr. anksčiau esantį poskyrį „Kiek laiko vartoti Letrozole Accord“.</w:t>
      </w:r>
      <w:r w:rsidRPr="0047338E" w:rsidDel="007C5E3C">
        <w:rPr>
          <w:rFonts w:ascii="Times New Roman" w:eastAsia="SimSun" w:hAnsi="Times New Roman" w:cs="Times New Roman"/>
          <w:color w:val="000000"/>
        </w:rPr>
        <w:t xml:space="preserve"> </w:t>
      </w:r>
    </w:p>
    <w:p w14:paraId="295F1F59"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Jeigu kiltų daugiau klausimų dėl šio vaisto vartojimo, kreipkitės į gydytoją, vaistininką arba slaugytoją.</w:t>
      </w:r>
    </w:p>
    <w:p w14:paraId="41425354" w14:textId="77777777" w:rsidR="000C61CC" w:rsidRPr="0047338E" w:rsidRDefault="000C61CC" w:rsidP="000C61CC">
      <w:pPr>
        <w:spacing w:after="0" w:line="240" w:lineRule="auto"/>
        <w:rPr>
          <w:rFonts w:ascii="Times New Roman" w:eastAsia="SimSun" w:hAnsi="Times New Roman" w:cs="Times New Roman"/>
          <w:color w:val="000000"/>
        </w:rPr>
      </w:pPr>
    </w:p>
    <w:p w14:paraId="2883879F" w14:textId="77777777" w:rsidR="000C61CC" w:rsidRPr="0047338E" w:rsidRDefault="000C61CC" w:rsidP="000C61CC">
      <w:pPr>
        <w:spacing w:after="0" w:line="240" w:lineRule="auto"/>
        <w:rPr>
          <w:rFonts w:ascii="Times New Roman" w:eastAsia="SimSun" w:hAnsi="Times New Roman" w:cs="Times New Roman"/>
          <w:color w:val="000000"/>
        </w:rPr>
      </w:pPr>
    </w:p>
    <w:p w14:paraId="58F6AAE3"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bookmarkStart w:id="81" w:name="_Toc129243142"/>
      <w:bookmarkStart w:id="82" w:name="_Toc129243267"/>
      <w:r w:rsidRPr="0047338E">
        <w:rPr>
          <w:rFonts w:ascii="Times New Roman" w:eastAsia="Times New Roman" w:hAnsi="Times New Roman" w:cs="Times New Roman"/>
          <w:b/>
        </w:rPr>
        <w:t>4.</w:t>
      </w:r>
      <w:r w:rsidRPr="0047338E">
        <w:rPr>
          <w:rFonts w:ascii="Times New Roman" w:eastAsia="Times New Roman" w:hAnsi="Times New Roman" w:cs="Times New Roman"/>
          <w:b/>
        </w:rPr>
        <w:tab/>
        <w:t>Galimas šalutinis poveikis</w:t>
      </w:r>
    </w:p>
    <w:bookmarkEnd w:id="81"/>
    <w:bookmarkEnd w:id="82"/>
    <w:p w14:paraId="0A06B54A" w14:textId="77777777" w:rsidR="000C61CC" w:rsidRPr="0047338E" w:rsidRDefault="000C61CC" w:rsidP="000C61CC">
      <w:pPr>
        <w:spacing w:after="0" w:line="240" w:lineRule="auto"/>
        <w:rPr>
          <w:rFonts w:ascii="Times New Roman" w:eastAsia="SimSun" w:hAnsi="Times New Roman" w:cs="Times New Roman"/>
          <w:color w:val="000000"/>
        </w:rPr>
      </w:pPr>
    </w:p>
    <w:p w14:paraId="3E657DCC"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Šis vaistas, kaip ir visi kiti, gali sukelti šalutinį poveikį, nors jis pasireiškia ne visiems žmonėms.</w:t>
      </w:r>
    </w:p>
    <w:p w14:paraId="5697D180" w14:textId="77777777" w:rsidR="000C61CC" w:rsidRPr="0047338E" w:rsidRDefault="000C61CC" w:rsidP="000C61CC">
      <w:pPr>
        <w:spacing w:after="0" w:line="240" w:lineRule="auto"/>
        <w:rPr>
          <w:rFonts w:ascii="Times New Roman" w:eastAsia="SimSun" w:hAnsi="Times New Roman" w:cs="Times New Roman"/>
          <w:color w:val="000000"/>
        </w:rPr>
      </w:pPr>
    </w:p>
    <w:p w14:paraId="194D05E7"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Dažniausiai šalutinis poveikis būna lengvas arba vidutinio sunkumo ir paprastai išnyksta per kelias gydymo dienas ar savaites.</w:t>
      </w:r>
    </w:p>
    <w:p w14:paraId="3AE81FB2" w14:textId="77777777" w:rsidR="000C61CC" w:rsidRPr="0047338E" w:rsidRDefault="000C61CC" w:rsidP="000C61CC">
      <w:pPr>
        <w:spacing w:after="0" w:line="240" w:lineRule="auto"/>
        <w:rPr>
          <w:rFonts w:ascii="Times New Roman" w:eastAsia="SimSun" w:hAnsi="Times New Roman" w:cs="Times New Roman"/>
          <w:color w:val="000000"/>
        </w:rPr>
      </w:pPr>
    </w:p>
    <w:p w14:paraId="7614D304"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Tam tikras šalutinis poveikis, pavyzdžiui, karščio pylimas, plaukų slinkimas ar kraujavimas iš makšties, gali pasireikšti dėl sumažėjusio estrogenų kiekio organizme.</w:t>
      </w:r>
    </w:p>
    <w:p w14:paraId="17F03B1D" w14:textId="77777777" w:rsidR="000C61CC" w:rsidRPr="0047338E" w:rsidRDefault="000C61CC" w:rsidP="000C61CC">
      <w:pPr>
        <w:spacing w:after="0" w:line="240" w:lineRule="auto"/>
        <w:rPr>
          <w:rFonts w:ascii="Times New Roman" w:eastAsia="SimSun" w:hAnsi="Times New Roman" w:cs="Times New Roman"/>
          <w:color w:val="000000"/>
        </w:rPr>
      </w:pPr>
    </w:p>
    <w:p w14:paraId="76188858"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Dėl išvardyto galimo šalutinio poveikio nerimauti nereikia. Jums gali nepasireikšti nė vienas iš jų.</w:t>
      </w:r>
    </w:p>
    <w:p w14:paraId="26339CBE" w14:textId="77777777" w:rsidR="000C61CC" w:rsidRPr="0047338E" w:rsidRDefault="000C61CC" w:rsidP="000C61CC">
      <w:pPr>
        <w:spacing w:after="0" w:line="240" w:lineRule="auto"/>
        <w:rPr>
          <w:rFonts w:ascii="Times New Roman" w:eastAsia="SimSun" w:hAnsi="Times New Roman" w:cs="Times New Roman"/>
          <w:color w:val="000000"/>
        </w:rPr>
      </w:pPr>
    </w:p>
    <w:p w14:paraId="2510F9C5"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Tam tikras šalutinis poveikis gali būti sunkus.</w:t>
      </w:r>
    </w:p>
    <w:p w14:paraId="174ABEC1"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p>
    <w:p w14:paraId="2984B0D4" w14:textId="03B32086"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Retas šalutinis poveikis (gali pasireikšti </w:t>
      </w:r>
      <w:r w:rsidR="00BF5996" w:rsidRPr="0047338E">
        <w:rPr>
          <w:rFonts w:ascii="Times New Roman" w:eastAsia="Times New Roman" w:hAnsi="Times New Roman" w:cs="Times New Roman"/>
          <w:b/>
        </w:rPr>
        <w:t>rečiau</w:t>
      </w:r>
      <w:r w:rsidRPr="0047338E">
        <w:rPr>
          <w:rFonts w:ascii="Times New Roman" w:eastAsia="Times New Roman" w:hAnsi="Times New Roman" w:cs="Times New Roman"/>
          <w:b/>
        </w:rPr>
        <w:t xml:space="preserve"> kaip 1 iš 1</w:t>
      </w:r>
      <w:r w:rsidR="00945B2E">
        <w:rPr>
          <w:rFonts w:ascii="Times New Roman" w:eastAsia="Times New Roman" w:hAnsi="Times New Roman" w:cs="Times New Roman"/>
          <w:b/>
        </w:rPr>
        <w:t> </w:t>
      </w:r>
      <w:r w:rsidRPr="0047338E">
        <w:rPr>
          <w:rFonts w:ascii="Times New Roman" w:eastAsia="Times New Roman" w:hAnsi="Times New Roman" w:cs="Times New Roman"/>
          <w:b/>
        </w:rPr>
        <w:t xml:space="preserve">000 </w:t>
      </w:r>
      <w:r w:rsidR="00945B2E">
        <w:rPr>
          <w:rFonts w:ascii="Times New Roman" w:eastAsia="Times New Roman" w:hAnsi="Times New Roman" w:cs="Times New Roman"/>
          <w:b/>
        </w:rPr>
        <w:t>asmenų</w:t>
      </w:r>
      <w:r w:rsidRPr="0047338E">
        <w:rPr>
          <w:rFonts w:ascii="Times New Roman" w:eastAsia="Times New Roman" w:hAnsi="Times New Roman" w:cs="Times New Roman"/>
          <w:b/>
        </w:rPr>
        <w:t>):</w:t>
      </w:r>
    </w:p>
    <w:p w14:paraId="62809020" w14:textId="456B7B3D" w:rsidR="000C61CC" w:rsidRPr="0047338E" w:rsidRDefault="0077718A" w:rsidP="0058038C">
      <w:pPr>
        <w:tabs>
          <w:tab w:val="num" w:pos="0"/>
        </w:tabs>
        <w:spacing w:after="0" w:line="240" w:lineRule="auto"/>
        <w:ind w:left="142" w:hanging="142"/>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r w:rsidR="000C61CC" w:rsidRPr="0047338E">
        <w:rPr>
          <w:rFonts w:ascii="Times New Roman" w:eastAsia="SimSun" w:hAnsi="Times New Roman" w:cs="Times New Roman"/>
          <w:color w:val="000000"/>
        </w:rPr>
        <w:t>kvėpavimo pasunkėjimas, krūtinės skausmas, alpulys, dažnas širdies plakimas, odos pamėlimas ar staiga atsiradęs rankų, kojų ar pėdų skausmas (šie požymiai gali rodyti, kad susidarė kraujo krešulys</w:t>
      </w:r>
      <w:r w:rsidR="002008E4" w:rsidRPr="0047338E">
        <w:rPr>
          <w:rFonts w:ascii="Times New Roman" w:eastAsia="SimSun" w:hAnsi="Times New Roman" w:cs="Times New Roman"/>
          <w:color w:val="000000"/>
        </w:rPr>
        <w:t>);</w:t>
      </w:r>
    </w:p>
    <w:p w14:paraId="0F51AE3B" w14:textId="2F6B55E1" w:rsidR="002008E4" w:rsidRPr="0047338E" w:rsidRDefault="002008E4"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sausgyslės (jungiamojo audinio, kuriuo raumuo sujungtas su kaulu) plyšimas.</w:t>
      </w:r>
    </w:p>
    <w:p w14:paraId="4FC40E74" w14:textId="77777777" w:rsidR="002008E4" w:rsidRPr="0047338E" w:rsidRDefault="002008E4" w:rsidP="000C61CC">
      <w:pPr>
        <w:tabs>
          <w:tab w:val="num" w:pos="0"/>
        </w:tabs>
        <w:spacing w:after="0" w:line="240" w:lineRule="auto"/>
        <w:ind w:left="567" w:hanging="567"/>
        <w:rPr>
          <w:rFonts w:ascii="Times New Roman" w:eastAsia="SimSun" w:hAnsi="Times New Roman" w:cs="Times New Roman"/>
          <w:color w:val="000000"/>
        </w:rPr>
      </w:pPr>
    </w:p>
    <w:p w14:paraId="79261707" w14:textId="09F35CB2" w:rsidR="000C61CC" w:rsidRPr="0047338E" w:rsidRDefault="000C61CC" w:rsidP="000C61CC">
      <w:pPr>
        <w:keepNext/>
        <w:tabs>
          <w:tab w:val="left" w:pos="567"/>
        </w:tabs>
        <w:spacing w:after="0" w:line="240" w:lineRule="auto"/>
        <w:ind w:left="567" w:hanging="567"/>
        <w:outlineLvl w:val="0"/>
        <w:rPr>
          <w:rFonts w:ascii="Times New Roman" w:hAnsi="Times New Roman" w:cs="Times New Roman"/>
          <w:b/>
        </w:rPr>
      </w:pPr>
      <w:r w:rsidRPr="0047338E">
        <w:rPr>
          <w:rFonts w:ascii="Times New Roman" w:hAnsi="Times New Roman" w:cs="Times New Roman"/>
          <w:b/>
        </w:rPr>
        <w:t xml:space="preserve">Nedažnas šalutinis poveikis (gali pasireikšti </w:t>
      </w:r>
      <w:r w:rsidR="00BF5996" w:rsidRPr="0047338E">
        <w:rPr>
          <w:rFonts w:ascii="Times New Roman" w:hAnsi="Times New Roman" w:cs="Times New Roman"/>
          <w:b/>
        </w:rPr>
        <w:t>rečiau</w:t>
      </w:r>
      <w:r w:rsidRPr="0047338E">
        <w:rPr>
          <w:rFonts w:ascii="Times New Roman" w:hAnsi="Times New Roman" w:cs="Times New Roman"/>
          <w:b/>
        </w:rPr>
        <w:t xml:space="preserve"> kaip 1 iš 100 </w:t>
      </w:r>
      <w:r w:rsidR="00945B2E">
        <w:rPr>
          <w:rFonts w:ascii="Times New Roman" w:hAnsi="Times New Roman" w:cs="Times New Roman"/>
          <w:b/>
        </w:rPr>
        <w:t>asmen</w:t>
      </w:r>
      <w:r w:rsidRPr="0047338E">
        <w:rPr>
          <w:rFonts w:ascii="Times New Roman" w:hAnsi="Times New Roman" w:cs="Times New Roman"/>
          <w:b/>
        </w:rPr>
        <w:t>ų):</w:t>
      </w:r>
    </w:p>
    <w:p w14:paraId="454E6DF7" w14:textId="77777777" w:rsidR="000C61CC" w:rsidRPr="0047338E" w:rsidRDefault="0077718A"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r w:rsidR="000C61CC" w:rsidRPr="0047338E">
        <w:rPr>
          <w:rFonts w:ascii="Times New Roman" w:eastAsia="SimSun" w:hAnsi="Times New Roman" w:cs="Times New Roman"/>
          <w:color w:val="000000"/>
        </w:rPr>
        <w:t>didelis nuolatinis matomo vaizdo miglotumas;</w:t>
      </w:r>
    </w:p>
    <w:p w14:paraId="6CDD7179" w14:textId="77777777" w:rsidR="000C61CC" w:rsidRPr="0047338E" w:rsidRDefault="0077718A" w:rsidP="0058038C">
      <w:pPr>
        <w:tabs>
          <w:tab w:val="num" w:pos="0"/>
        </w:tabs>
        <w:spacing w:after="0" w:line="240" w:lineRule="auto"/>
        <w:ind w:left="142" w:hanging="142"/>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r w:rsidR="000C61CC" w:rsidRPr="0047338E">
        <w:rPr>
          <w:rFonts w:ascii="Times New Roman" w:eastAsia="SimSun" w:hAnsi="Times New Roman" w:cs="Times New Roman"/>
          <w:color w:val="000000"/>
        </w:rPr>
        <w:t>infekcijos sukeltas smarkus karščiavimas, šaltkrėtis ar burnos išopėjimas (baltųjų kraujo ląstelių stoka);</w:t>
      </w:r>
    </w:p>
    <w:p w14:paraId="06571982" w14:textId="77777777" w:rsidR="000C61CC" w:rsidRPr="0047338E" w:rsidRDefault="0077718A"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r w:rsidR="000C61CC" w:rsidRPr="0047338E">
        <w:rPr>
          <w:rFonts w:ascii="Times New Roman" w:eastAsia="SimSun" w:hAnsi="Times New Roman" w:cs="Times New Roman"/>
          <w:color w:val="000000"/>
        </w:rPr>
        <w:t>patinimas ir paraudimas išilgai venos, kartu labai stiprus jautrumas ir (kartais) skausmas liečiant;</w:t>
      </w:r>
    </w:p>
    <w:p w14:paraId="567A4F17" w14:textId="77777777" w:rsidR="000C61CC" w:rsidRPr="0047338E" w:rsidRDefault="0077718A"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r w:rsidR="000C61CC" w:rsidRPr="0047338E">
        <w:rPr>
          <w:rFonts w:ascii="Times New Roman" w:eastAsia="SimSun" w:hAnsi="Times New Roman" w:cs="Times New Roman"/>
          <w:color w:val="000000"/>
        </w:rPr>
        <w:t>staigus spaudžiantis krūtinės skausmas (širdies sutrikimo požymis);</w:t>
      </w:r>
    </w:p>
    <w:p w14:paraId="2D390E68" w14:textId="4763A069" w:rsidR="000C61CC" w:rsidRPr="0047338E" w:rsidRDefault="0077718A" w:rsidP="0058038C">
      <w:pPr>
        <w:tabs>
          <w:tab w:val="num" w:pos="0"/>
        </w:tabs>
        <w:spacing w:after="0" w:line="240" w:lineRule="auto"/>
        <w:ind w:left="142" w:hanging="142"/>
        <w:rPr>
          <w:rFonts w:ascii="Times New Roman" w:eastAsia="SimSun" w:hAnsi="Times New Roman" w:cs="Times New Roman"/>
          <w:color w:val="000000"/>
        </w:rPr>
      </w:pPr>
      <w:r w:rsidRPr="0047338E">
        <w:rPr>
          <w:rFonts w:ascii="Times New Roman" w:eastAsia="SimSun" w:hAnsi="Times New Roman" w:cs="Times New Roman"/>
          <w:color w:val="000000"/>
        </w:rPr>
        <w:t xml:space="preserve">- </w:t>
      </w:r>
      <w:r w:rsidR="000C61CC" w:rsidRPr="0047338E">
        <w:rPr>
          <w:rFonts w:ascii="Times New Roman" w:eastAsia="SimSun" w:hAnsi="Times New Roman" w:cs="Times New Roman"/>
          <w:color w:val="000000"/>
        </w:rPr>
        <w:t>silpnumas, paralyžius ar pojūčių sutrikimas bet kurioje kūno dalyje (ypač rankose ar kojose), koordinacijos sutrikimas, pykinimas, kalbos ar kvėpavimo pasunkėjimas (smegenų sutrikimo, pavyzdžiui, insulto, požymiai</w:t>
      </w:r>
      <w:r w:rsidR="002008E4" w:rsidRPr="0047338E">
        <w:rPr>
          <w:rFonts w:ascii="Times New Roman" w:eastAsia="SimSun" w:hAnsi="Times New Roman" w:cs="Times New Roman"/>
          <w:color w:val="000000"/>
        </w:rPr>
        <w:t>);</w:t>
      </w:r>
    </w:p>
    <w:p w14:paraId="4430BC43" w14:textId="400810EF" w:rsidR="002008E4" w:rsidRPr="0047338E" w:rsidRDefault="002008E4"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w:t>
      </w:r>
      <w:r w:rsidRPr="0047338E">
        <w:rPr>
          <w:rFonts w:ascii="Times New Roman" w:hAnsi="Times New Roman" w:cs="Times New Roman"/>
        </w:rPr>
        <w:t xml:space="preserve"> </w:t>
      </w:r>
      <w:r w:rsidRPr="0047338E">
        <w:rPr>
          <w:rFonts w:ascii="Times New Roman" w:eastAsia="SimSun" w:hAnsi="Times New Roman" w:cs="Times New Roman"/>
          <w:color w:val="000000"/>
        </w:rPr>
        <w:t>sausgyslės (jungiamojo audinio, kuriuo raumuo sujungtas su kaulu) uždegimas arba tendinitas.</w:t>
      </w:r>
    </w:p>
    <w:p w14:paraId="00EA7896"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p>
    <w:p w14:paraId="3E20CCF0"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Jei atsiranda bet kuri paminėta būklė, nedelsdama kreipkitės į gydytoją.</w:t>
      </w:r>
    </w:p>
    <w:p w14:paraId="0B62E0BE" w14:textId="44C2E76B" w:rsidR="000C61CC" w:rsidRPr="0047338E" w:rsidRDefault="000C61CC" w:rsidP="000C61CC">
      <w:pPr>
        <w:spacing w:after="0" w:line="240" w:lineRule="auto"/>
        <w:rPr>
          <w:rFonts w:ascii="Times New Roman" w:eastAsia="SimSun" w:hAnsi="Times New Roman" w:cs="Times New Roman"/>
          <w:color w:val="000000"/>
        </w:rPr>
      </w:pPr>
    </w:p>
    <w:p w14:paraId="6B5497E3" w14:textId="77777777" w:rsidR="000C61CC" w:rsidRPr="0047338E" w:rsidRDefault="000C61CC" w:rsidP="0058038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gydymo Letrozole Accord metu pasireiškė bent vienas toliau išvardytas simptomas, nedelsdama kreipkitės į gydytoją.</w:t>
      </w:r>
    </w:p>
    <w:p w14:paraId="2753C884" w14:textId="77777777" w:rsidR="000C61CC" w:rsidRPr="0047338E" w:rsidRDefault="000C61CC" w:rsidP="000C61CC">
      <w:pPr>
        <w:numPr>
          <w:ilvl w:val="0"/>
          <w:numId w:val="19"/>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Tinimas (ypač veido ir gerklės) (alerginės reakcijos požymiai).</w:t>
      </w:r>
    </w:p>
    <w:p w14:paraId="54403CE7" w14:textId="77777777" w:rsidR="000C61CC" w:rsidRPr="0047338E" w:rsidRDefault="000C61CC" w:rsidP="000C61CC">
      <w:pPr>
        <w:numPr>
          <w:ilvl w:val="0"/>
          <w:numId w:val="19"/>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Odos ir akių pageltimas, pykinimas, apetito netekimas, šlapimo patamsėjimas (hepatito požymiai). </w:t>
      </w:r>
    </w:p>
    <w:p w14:paraId="3F6D58AA" w14:textId="77777777" w:rsidR="000C61CC" w:rsidRPr="0047338E" w:rsidRDefault="000C61CC" w:rsidP="000C61CC">
      <w:pPr>
        <w:numPr>
          <w:ilvl w:val="0"/>
          <w:numId w:val="19"/>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Išbėrimas, odos paraudimas, pūslių ant lūpų, akių ar burnos atsiradimas, odos lupimasis, karščiavimas (odos sutrikimo požymiai). </w:t>
      </w:r>
    </w:p>
    <w:p w14:paraId="60EF3711" w14:textId="77777777" w:rsidR="000C61CC" w:rsidRPr="0047338E" w:rsidRDefault="000C61CC" w:rsidP="000C61CC">
      <w:pPr>
        <w:spacing w:after="0" w:line="240" w:lineRule="auto"/>
        <w:rPr>
          <w:rFonts w:ascii="Times New Roman" w:eastAsia="SimSun" w:hAnsi="Times New Roman" w:cs="Times New Roman"/>
          <w:color w:val="000000"/>
        </w:rPr>
      </w:pPr>
    </w:p>
    <w:p w14:paraId="542061B0" w14:textId="71A9955B"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Tam tikras šalutinis poveikis yra labai dažnas (gali pasireikšti </w:t>
      </w:r>
      <w:r w:rsidR="00945B2E">
        <w:rPr>
          <w:rFonts w:ascii="Times New Roman" w:eastAsia="Times New Roman" w:hAnsi="Times New Roman" w:cs="Times New Roman"/>
          <w:b/>
        </w:rPr>
        <w:t>ne rečiau</w:t>
      </w:r>
      <w:r w:rsidRPr="0047338E">
        <w:rPr>
          <w:rFonts w:ascii="Times New Roman" w:eastAsia="Times New Roman" w:hAnsi="Times New Roman" w:cs="Times New Roman"/>
          <w:b/>
        </w:rPr>
        <w:t xml:space="preserve"> kaip 1 iš 10 </w:t>
      </w:r>
      <w:r w:rsidR="00945B2E">
        <w:rPr>
          <w:rFonts w:ascii="Times New Roman" w:eastAsia="Times New Roman" w:hAnsi="Times New Roman" w:cs="Times New Roman"/>
          <w:b/>
        </w:rPr>
        <w:t>asmen</w:t>
      </w:r>
      <w:r w:rsidRPr="0047338E">
        <w:rPr>
          <w:rFonts w:ascii="Times New Roman" w:eastAsia="Times New Roman" w:hAnsi="Times New Roman" w:cs="Times New Roman"/>
          <w:b/>
        </w:rPr>
        <w:t xml:space="preserve">ų) </w:t>
      </w:r>
    </w:p>
    <w:p w14:paraId="795086F5" w14:textId="77777777" w:rsidR="000C61CC" w:rsidRPr="0047338E" w:rsidRDefault="000C61CC" w:rsidP="000C61CC">
      <w:pPr>
        <w:numPr>
          <w:ilvl w:val="0"/>
          <w:numId w:val="20"/>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Karščio pylimas.</w:t>
      </w:r>
    </w:p>
    <w:p w14:paraId="21566608" w14:textId="77777777" w:rsidR="000C61CC" w:rsidRPr="0047338E" w:rsidRDefault="000C61CC" w:rsidP="000C61CC">
      <w:pPr>
        <w:numPr>
          <w:ilvl w:val="0"/>
          <w:numId w:val="20"/>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Cholesterolio kiekio padidėjimas (hipercholesterolemija).</w:t>
      </w:r>
    </w:p>
    <w:p w14:paraId="0A9512A8" w14:textId="11D3B7FA" w:rsidR="000C61CC" w:rsidRPr="0047338E" w:rsidRDefault="000C61CC" w:rsidP="000C61CC">
      <w:pPr>
        <w:numPr>
          <w:ilvl w:val="0"/>
          <w:numId w:val="20"/>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Nuovargis.</w:t>
      </w:r>
    </w:p>
    <w:p w14:paraId="13F97107" w14:textId="77777777" w:rsidR="000C61CC" w:rsidRPr="0047338E" w:rsidRDefault="000C61CC" w:rsidP="000C61CC">
      <w:pPr>
        <w:numPr>
          <w:ilvl w:val="0"/>
          <w:numId w:val="20"/>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Sustiprėjęs prakaitavimas.</w:t>
      </w:r>
    </w:p>
    <w:p w14:paraId="2337236F" w14:textId="1850ED17" w:rsidR="000C61CC" w:rsidRPr="0047338E" w:rsidRDefault="00945B2E" w:rsidP="000C61CC">
      <w:pPr>
        <w:numPr>
          <w:ilvl w:val="0"/>
          <w:numId w:val="20"/>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Kaulų ir s</w:t>
      </w:r>
      <w:r w:rsidR="000C61CC" w:rsidRPr="0047338E">
        <w:rPr>
          <w:rFonts w:ascii="Times New Roman" w:eastAsia="SimSun" w:hAnsi="Times New Roman" w:cs="Times New Roman"/>
          <w:color w:val="000000"/>
        </w:rPr>
        <w:t>ąnarių skausmas (artralgija)</w:t>
      </w:r>
      <w:r w:rsidR="0077718A" w:rsidRPr="0047338E">
        <w:rPr>
          <w:rFonts w:ascii="Times New Roman" w:eastAsia="SimSun" w:hAnsi="Times New Roman" w:cs="Times New Roman"/>
          <w:color w:val="000000"/>
        </w:rPr>
        <w:t>.</w:t>
      </w:r>
    </w:p>
    <w:p w14:paraId="155721C8" w14:textId="249A816F" w:rsidR="000C61CC" w:rsidRPr="0047338E" w:rsidRDefault="000C61CC" w:rsidP="00D7435E">
      <w:pPr>
        <w:spacing w:after="0" w:line="240" w:lineRule="auto"/>
        <w:ind w:left="360"/>
        <w:rPr>
          <w:rFonts w:ascii="Times New Roman" w:eastAsia="SimSun" w:hAnsi="Times New Roman" w:cs="Times New Roman"/>
          <w:color w:val="000000"/>
        </w:rPr>
      </w:pPr>
    </w:p>
    <w:p w14:paraId="4AB7C1E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kuris nors minėtas poveikis tampa sunkus, pasakykite gydytojui.</w:t>
      </w:r>
    </w:p>
    <w:p w14:paraId="0697C438" w14:textId="77777777" w:rsidR="000C61CC" w:rsidRPr="0047338E" w:rsidRDefault="000C61CC" w:rsidP="000C61CC">
      <w:pPr>
        <w:spacing w:after="0" w:line="240" w:lineRule="auto"/>
        <w:rPr>
          <w:rFonts w:ascii="Times New Roman" w:eastAsia="SimSun" w:hAnsi="Times New Roman" w:cs="Times New Roman"/>
          <w:color w:val="000000"/>
        </w:rPr>
      </w:pPr>
    </w:p>
    <w:p w14:paraId="074F5C62" w14:textId="56643832"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Tam tikras šalutinis poveikis yra dažnas (gali pasireikšti </w:t>
      </w:r>
      <w:r w:rsidR="0077718A" w:rsidRPr="0047338E">
        <w:rPr>
          <w:rFonts w:ascii="Times New Roman" w:eastAsia="Times New Roman" w:hAnsi="Times New Roman" w:cs="Times New Roman"/>
          <w:b/>
        </w:rPr>
        <w:t xml:space="preserve">rečiau </w:t>
      </w:r>
      <w:r w:rsidRPr="0047338E">
        <w:rPr>
          <w:rFonts w:ascii="Times New Roman" w:eastAsia="Times New Roman" w:hAnsi="Times New Roman" w:cs="Times New Roman"/>
          <w:b/>
        </w:rPr>
        <w:t>kaip 1 iš 10 žmonių)</w:t>
      </w:r>
    </w:p>
    <w:p w14:paraId="0A97CC62"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Odos išbėrimas.</w:t>
      </w:r>
    </w:p>
    <w:p w14:paraId="7C888897"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Galvos skausmas.</w:t>
      </w:r>
    </w:p>
    <w:p w14:paraId="1CED0384"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Svaigulys.</w:t>
      </w:r>
    </w:p>
    <w:p w14:paraId="64169825" w14:textId="77777777" w:rsidR="00945B2E" w:rsidRPr="0047338E" w:rsidRDefault="00945B2E" w:rsidP="00945B2E">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Bendras negalavimas (bloga savijauta).</w:t>
      </w:r>
    </w:p>
    <w:p w14:paraId="4BAC9FC4"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Virškinimo trakto sutrikimai, pavyzdžiui, pykinimas, vėmimas, sutrikęs virškinimas, vidurių užkietėjimas, viduriavimas.</w:t>
      </w:r>
    </w:p>
    <w:p w14:paraId="387A009D"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Padidėjęs ar išnykęs apetitas.</w:t>
      </w:r>
    </w:p>
    <w:p w14:paraId="3B765BC8"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Raumenų skausmas. </w:t>
      </w:r>
    </w:p>
    <w:p w14:paraId="46ABCBD7"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Kaulų plonėjimas ir retėjimas (osteoporozė), dėl kurio kai kurioms ligonėms gali lūžti kaulai (taip pat žr. „Priežiūra gydymo Letrozole Accord metu“ 3 skyriuje).</w:t>
      </w:r>
    </w:p>
    <w:p w14:paraId="47B7DC2F"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Rankų, plaštakų, pėdų, kulkšnių tinimas (edema).</w:t>
      </w:r>
    </w:p>
    <w:p w14:paraId="7386D22F"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Depresija.</w:t>
      </w:r>
    </w:p>
    <w:p w14:paraId="163A507C"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Kūno svorio didėjimas.</w:t>
      </w:r>
    </w:p>
    <w:p w14:paraId="562E5ED1"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Plaukų slinkimas.</w:t>
      </w:r>
    </w:p>
    <w:p w14:paraId="4BF8537D"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Kraujospūdžio padidėjimas (hipertenzija).</w:t>
      </w:r>
    </w:p>
    <w:p w14:paraId="10A7BAE7"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Pilvo skausmas.</w:t>
      </w:r>
    </w:p>
    <w:p w14:paraId="0DB9F741"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Odos sausumas.</w:t>
      </w:r>
    </w:p>
    <w:p w14:paraId="324F2918"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Kraujavimas iš makšties.</w:t>
      </w:r>
    </w:p>
    <w:p w14:paraId="21E84534" w14:textId="4C8E56CB" w:rsidR="000C61CC" w:rsidRPr="0047338E" w:rsidRDefault="00945B2E" w:rsidP="000C61CC">
      <w:pPr>
        <w:numPr>
          <w:ilvl w:val="0"/>
          <w:numId w:val="21"/>
        </w:numPr>
        <w:spacing w:after="0" w:line="240" w:lineRule="auto"/>
        <w:rPr>
          <w:rFonts w:ascii="Times New Roman" w:eastAsia="SimSun" w:hAnsi="Times New Roman" w:cs="Times New Roman"/>
          <w:color w:val="000000"/>
        </w:rPr>
      </w:pPr>
      <w:r>
        <w:rPr>
          <w:rFonts w:ascii="Times New Roman" w:eastAsia="SimSun" w:hAnsi="Times New Roman" w:cs="Times New Roman"/>
          <w:color w:val="000000"/>
        </w:rPr>
        <w:t>Ju</w:t>
      </w:r>
      <w:r w:rsidRPr="00945B2E">
        <w:rPr>
          <w:rFonts w:ascii="Times New Roman" w:eastAsia="SimSun" w:hAnsi="Times New Roman" w:cs="Times New Roman"/>
          <w:color w:val="000000"/>
        </w:rPr>
        <w:t>ntamas širdies plakimas (palpitacijos)</w:t>
      </w:r>
      <w:r>
        <w:rPr>
          <w:rFonts w:ascii="Times New Roman" w:eastAsia="SimSun" w:hAnsi="Times New Roman" w:cs="Times New Roman"/>
          <w:color w:val="000000"/>
        </w:rPr>
        <w:t xml:space="preserve">, </w:t>
      </w:r>
      <w:r w:rsidR="000C61CC" w:rsidRPr="0047338E">
        <w:rPr>
          <w:rFonts w:ascii="Times New Roman" w:eastAsia="SimSun" w:hAnsi="Times New Roman" w:cs="Times New Roman"/>
          <w:color w:val="000000"/>
        </w:rPr>
        <w:t xml:space="preserve">greitas širdies plakimas. </w:t>
      </w:r>
    </w:p>
    <w:p w14:paraId="66B39A4E"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Sąnarių sustingimas (artritas). </w:t>
      </w:r>
    </w:p>
    <w:p w14:paraId="133387F1" w14:textId="77777777" w:rsidR="000C61CC" w:rsidRPr="0047338E" w:rsidRDefault="000C61CC" w:rsidP="000C61CC">
      <w:pPr>
        <w:numPr>
          <w:ilvl w:val="0"/>
          <w:numId w:val="21"/>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Skausmas krūtinėje.</w:t>
      </w:r>
    </w:p>
    <w:p w14:paraId="13B0360B"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kuris nors minėtas poveikis tampa sunkus, pasakykite gydytojui.</w:t>
      </w:r>
    </w:p>
    <w:p w14:paraId="6A160050" w14:textId="77777777" w:rsidR="000C61CC" w:rsidRPr="0047338E" w:rsidRDefault="000C61CC" w:rsidP="000C61CC">
      <w:pPr>
        <w:spacing w:after="0" w:line="240" w:lineRule="auto"/>
        <w:rPr>
          <w:rFonts w:ascii="Times New Roman" w:eastAsia="SimSun" w:hAnsi="Times New Roman" w:cs="Times New Roman"/>
          <w:color w:val="000000"/>
        </w:rPr>
      </w:pPr>
    </w:p>
    <w:p w14:paraId="6916DF5E" w14:textId="426FB69F"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Kitoks šalutinis poveikis yra nedažnas (gali pasireikšti</w:t>
      </w:r>
      <w:r w:rsidR="0077718A" w:rsidRPr="0047338E">
        <w:rPr>
          <w:rFonts w:ascii="Times New Roman" w:eastAsia="Times New Roman" w:hAnsi="Times New Roman" w:cs="Times New Roman"/>
          <w:b/>
        </w:rPr>
        <w:t xml:space="preserve"> rečiau kaip</w:t>
      </w:r>
      <w:r w:rsidRPr="0047338E">
        <w:rPr>
          <w:rFonts w:ascii="Times New Roman" w:eastAsia="Times New Roman" w:hAnsi="Times New Roman" w:cs="Times New Roman"/>
          <w:b/>
        </w:rPr>
        <w:t xml:space="preserve"> 1 iš 100 </w:t>
      </w:r>
      <w:r w:rsidR="00945B2E">
        <w:rPr>
          <w:rFonts w:ascii="Times New Roman" w:eastAsia="Times New Roman" w:hAnsi="Times New Roman" w:cs="Times New Roman"/>
          <w:b/>
        </w:rPr>
        <w:t>asmen</w:t>
      </w:r>
      <w:r w:rsidRPr="0047338E">
        <w:rPr>
          <w:rFonts w:ascii="Times New Roman" w:eastAsia="Times New Roman" w:hAnsi="Times New Roman" w:cs="Times New Roman"/>
          <w:b/>
        </w:rPr>
        <w:t xml:space="preserve">ų) </w:t>
      </w:r>
    </w:p>
    <w:p w14:paraId="2D83FEFA" w14:textId="44DDDE48"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Nervų sistemos sutrikimai, pavyzdžiui, nerimas, nervingumas, dirglumas, apsnūdimas, atminties sutrikimas, </w:t>
      </w:r>
      <w:r w:rsidR="00945B2E">
        <w:rPr>
          <w:rFonts w:ascii="Times New Roman" w:eastAsia="SimSun" w:hAnsi="Times New Roman" w:cs="Times New Roman"/>
          <w:color w:val="000000"/>
        </w:rPr>
        <w:t xml:space="preserve">mieguistumas, </w:t>
      </w:r>
      <w:r w:rsidRPr="0047338E">
        <w:rPr>
          <w:rFonts w:ascii="Times New Roman" w:eastAsia="SimSun" w:hAnsi="Times New Roman" w:cs="Times New Roman"/>
          <w:color w:val="000000"/>
        </w:rPr>
        <w:t>nemiga.</w:t>
      </w:r>
    </w:p>
    <w:p w14:paraId="3BD990E4" w14:textId="77777777" w:rsidR="000C61CC" w:rsidRPr="0047338E" w:rsidRDefault="000C61CC" w:rsidP="0058038C">
      <w:pPr>
        <w:numPr>
          <w:ilvl w:val="0"/>
          <w:numId w:val="22"/>
        </w:numPr>
        <w:spacing w:after="0" w:line="240" w:lineRule="auto"/>
        <w:rPr>
          <w:rFonts w:ascii="Times New Roman" w:hAnsi="Times New Roman" w:cs="Times New Roman"/>
          <w:color w:val="000000"/>
        </w:rPr>
      </w:pPr>
      <w:r w:rsidRPr="0047338E">
        <w:rPr>
          <w:rFonts w:ascii="Times New Roman" w:eastAsia="SimSun" w:hAnsi="Times New Roman" w:cs="Times New Roman"/>
          <w:color w:val="000000"/>
        </w:rPr>
        <w:t>Skausmo arba deginimo jausmas rankose ar rieše (tunelinis riešo kanalo sindromas).</w:t>
      </w:r>
    </w:p>
    <w:p w14:paraId="24984D07" w14:textId="53BD6133"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Sutrikę pojūčiai, ypač lytėjimo.</w:t>
      </w:r>
    </w:p>
    <w:p w14:paraId="01CFC2FD"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Akių sutrikimai, pavyzdžiui, matomo vaizdo miglotumas, akių dirginimas.</w:t>
      </w:r>
    </w:p>
    <w:p w14:paraId="1A78154A" w14:textId="019890E1"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Odos sutrikimai, pavyzdžiui, niežulys (</w:t>
      </w:r>
      <w:r w:rsidR="00945B2E">
        <w:rPr>
          <w:rFonts w:ascii="Times New Roman" w:eastAsia="SimSun" w:hAnsi="Times New Roman" w:cs="Times New Roman"/>
          <w:color w:val="000000"/>
        </w:rPr>
        <w:t>dilgėlinė)</w:t>
      </w:r>
      <w:r w:rsidRPr="0047338E">
        <w:rPr>
          <w:rFonts w:ascii="Times New Roman" w:eastAsia="SimSun" w:hAnsi="Times New Roman" w:cs="Times New Roman"/>
          <w:color w:val="000000"/>
        </w:rPr>
        <w:t>.</w:t>
      </w:r>
    </w:p>
    <w:p w14:paraId="198C82AC"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Išskyros iš makšties, makšties sausmė.</w:t>
      </w:r>
    </w:p>
    <w:p w14:paraId="3E7DBB27"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Krūtų skausmas. </w:t>
      </w:r>
    </w:p>
    <w:p w14:paraId="7881A99F"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Troškulys, skonio pojūčio pokytis, burnos džiūvimas.</w:t>
      </w:r>
    </w:p>
    <w:p w14:paraId="21552C87"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Gleivinės sausumas. </w:t>
      </w:r>
    </w:p>
    <w:p w14:paraId="5B9A02F2"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Kūno svorio mažėjimas. </w:t>
      </w:r>
    </w:p>
    <w:p w14:paraId="3E6FD7D4"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Šlapimo takų infekcija, šlapinimosi padažnėjimas.</w:t>
      </w:r>
    </w:p>
    <w:p w14:paraId="63B7B8A7"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Kosulys.</w:t>
      </w:r>
    </w:p>
    <w:p w14:paraId="1A33DA4D"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Fermentų kiekio padidėjimas.</w:t>
      </w:r>
    </w:p>
    <w:p w14:paraId="524A8A92"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 xml:space="preserve">Odos ir akių pageltimas. </w:t>
      </w:r>
    </w:p>
    <w:p w14:paraId="10B2F1A3" w14:textId="77777777" w:rsidR="000C61CC" w:rsidRPr="0047338E" w:rsidRDefault="000C61CC" w:rsidP="000C61CC">
      <w:pPr>
        <w:numPr>
          <w:ilvl w:val="0"/>
          <w:numId w:val="22"/>
        </w:num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Didelis bilirubino kiekis kraujyje (raudonųjų kraujo ląstelių skilimo produktas).</w:t>
      </w:r>
    </w:p>
    <w:p w14:paraId="09E2329B" w14:textId="77777777" w:rsidR="000C61CC" w:rsidRPr="00945B2E" w:rsidRDefault="000C61CC" w:rsidP="00945B2E">
      <w:pPr>
        <w:numPr>
          <w:ilvl w:val="0"/>
          <w:numId w:val="22"/>
        </w:numPr>
        <w:spacing w:after="0" w:line="240" w:lineRule="auto"/>
        <w:rPr>
          <w:rFonts w:ascii="Times New Roman" w:eastAsia="SimSun" w:hAnsi="Times New Roman" w:cs="Times New Roman"/>
          <w:color w:val="000000"/>
        </w:rPr>
      </w:pPr>
      <w:r w:rsidRPr="00945B2E">
        <w:rPr>
          <w:rFonts w:ascii="Times New Roman" w:eastAsia="SimSun" w:hAnsi="Times New Roman" w:cs="Times New Roman"/>
          <w:color w:val="000000"/>
        </w:rPr>
        <w:t>Karščiavimas.</w:t>
      </w:r>
    </w:p>
    <w:p w14:paraId="5E8CCD4C" w14:textId="77777777" w:rsidR="000C61CC" w:rsidRPr="0047338E" w:rsidRDefault="000C61CC" w:rsidP="00D7435E">
      <w:pPr>
        <w:spacing w:after="0" w:line="240" w:lineRule="auto"/>
        <w:ind w:left="360"/>
        <w:rPr>
          <w:rFonts w:ascii="Times New Roman" w:eastAsia="SimSun" w:hAnsi="Times New Roman" w:cs="Times New Roman"/>
          <w:color w:val="000000"/>
        </w:rPr>
      </w:pPr>
    </w:p>
    <w:p w14:paraId="5AACD2FF" w14:textId="77777777" w:rsidR="000C61CC" w:rsidRPr="0047338E" w:rsidRDefault="000C61CC" w:rsidP="000C61CC">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Jei kuris nors minėtas poveikis tampa sunkus, pasakykite gydytojui.</w:t>
      </w:r>
    </w:p>
    <w:p w14:paraId="33275A2D" w14:textId="77777777" w:rsidR="000C61CC" w:rsidRPr="0047338E" w:rsidRDefault="000C61CC" w:rsidP="000C61CC">
      <w:pPr>
        <w:spacing w:after="0" w:line="240" w:lineRule="auto"/>
        <w:rPr>
          <w:rFonts w:ascii="Times New Roman" w:eastAsia="SimSun" w:hAnsi="Times New Roman" w:cs="Times New Roman"/>
          <w:color w:val="000000"/>
        </w:rPr>
      </w:pPr>
    </w:p>
    <w:p w14:paraId="07BB4C83" w14:textId="5C511608" w:rsidR="000C61CC" w:rsidRPr="0047338E" w:rsidRDefault="000C61CC" w:rsidP="000C61CC">
      <w:pPr>
        <w:widowControl w:val="0"/>
        <w:spacing w:after="0" w:line="240" w:lineRule="auto"/>
        <w:rPr>
          <w:rFonts w:ascii="Times New Roman" w:eastAsia="Times New Roman" w:hAnsi="Times New Roman" w:cs="Times New Roman"/>
          <w:b/>
        </w:rPr>
      </w:pPr>
      <w:r w:rsidRPr="0047338E">
        <w:rPr>
          <w:rFonts w:ascii="Times New Roman" w:eastAsia="Times New Roman" w:hAnsi="Times New Roman" w:cs="Times New Roman"/>
          <w:b/>
        </w:rPr>
        <w:t>Šalutinis poveikis, kurio dažnis nežinomas</w:t>
      </w:r>
      <w:r w:rsidR="00945B2E">
        <w:rPr>
          <w:rFonts w:ascii="Times New Roman" w:eastAsia="Times New Roman" w:hAnsi="Times New Roman" w:cs="Times New Roman"/>
          <w:b/>
        </w:rPr>
        <w:t xml:space="preserve"> (</w:t>
      </w:r>
      <w:r w:rsidR="00945B2E" w:rsidRPr="00945B2E">
        <w:rPr>
          <w:rFonts w:ascii="Times New Roman" w:eastAsia="Times New Roman" w:hAnsi="Times New Roman" w:cs="Times New Roman"/>
          <w:b/>
        </w:rPr>
        <w:t>negali būti apskaičiuotas pagal turimus duomenis</w:t>
      </w:r>
      <w:r w:rsidR="00945B2E">
        <w:rPr>
          <w:rFonts w:ascii="Times New Roman" w:eastAsia="Times New Roman" w:hAnsi="Times New Roman" w:cs="Times New Roman"/>
          <w:b/>
        </w:rPr>
        <w:t>)</w:t>
      </w:r>
    </w:p>
    <w:p w14:paraId="3773011A" w14:textId="77777777" w:rsidR="000C61CC" w:rsidRPr="0047338E" w:rsidRDefault="000C61CC" w:rsidP="000C61CC">
      <w:pPr>
        <w:widowControl w:val="0"/>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Spragsintis pirštas, tai tokia būklė, kurios metu sulenktas pirštas arba nykštys užstringa.</w:t>
      </w:r>
    </w:p>
    <w:p w14:paraId="51FE0F2C" w14:textId="77777777" w:rsidR="000C61CC" w:rsidRPr="0047338E" w:rsidRDefault="000C61CC" w:rsidP="000C61CC">
      <w:pPr>
        <w:tabs>
          <w:tab w:val="left" w:pos="567"/>
        </w:tabs>
        <w:spacing w:after="0" w:line="240" w:lineRule="auto"/>
        <w:rPr>
          <w:rFonts w:ascii="Times New Roman" w:eastAsia="Times New Roman" w:hAnsi="Times New Roman" w:cs="Times New Roman"/>
        </w:rPr>
      </w:pPr>
    </w:p>
    <w:p w14:paraId="1A98E4D3" w14:textId="77777777" w:rsidR="000C61CC" w:rsidRPr="0047338E" w:rsidRDefault="000C61CC" w:rsidP="000C61CC">
      <w:pPr>
        <w:tabs>
          <w:tab w:val="left" w:pos="567"/>
        </w:tabs>
        <w:spacing w:after="0" w:line="240" w:lineRule="auto"/>
        <w:rPr>
          <w:rFonts w:ascii="Times New Roman" w:eastAsia="Times New Roman" w:hAnsi="Times New Roman" w:cs="Times New Roman"/>
          <w:b/>
          <w:snapToGrid w:val="0"/>
        </w:rPr>
      </w:pPr>
      <w:r w:rsidRPr="0047338E">
        <w:rPr>
          <w:rFonts w:ascii="Times New Roman" w:eastAsia="Times New Roman" w:hAnsi="Times New Roman" w:cs="Times New Roman"/>
          <w:b/>
          <w:snapToGrid w:val="0"/>
        </w:rPr>
        <w:t>Pranešimas apie šalutinį poveikį</w:t>
      </w:r>
    </w:p>
    <w:p w14:paraId="768F4452" w14:textId="68EF5713" w:rsidR="000C61CC" w:rsidRPr="0047338E" w:rsidRDefault="000C61CC" w:rsidP="000C61CC">
      <w:pPr>
        <w:tabs>
          <w:tab w:val="left" w:pos="567"/>
        </w:tabs>
        <w:spacing w:after="0" w:line="260" w:lineRule="exact"/>
        <w:ind w:right="-449"/>
        <w:rPr>
          <w:rFonts w:ascii="Times New Roman" w:eastAsia="Times New Roman" w:hAnsi="Times New Roman" w:cs="Times New Roman"/>
          <w:snapToGrid w:val="0"/>
        </w:rPr>
      </w:pPr>
      <w:r w:rsidRPr="0047338E">
        <w:rPr>
          <w:rFonts w:ascii="Times New Roman" w:eastAsia="Times New Roman" w:hAnsi="Times New Roman" w:cs="Times New Roman"/>
          <w:snapToGrid w:val="0"/>
        </w:rPr>
        <w:t>Jeigu pasireiškė šalutinis poveikis, įskaitant šiame lapelyje nenurodytą, pasakykite gydytojui, vaistininkui arba slaugytojui</w:t>
      </w:r>
      <w:r w:rsidR="00945B2E">
        <w:rPr>
          <w:rFonts w:ascii="Times New Roman" w:eastAsia="Times New Roman" w:hAnsi="Times New Roman" w:cs="Times New Roman"/>
          <w:snapToGrid w:val="0"/>
        </w:rPr>
        <w:t>.</w:t>
      </w:r>
      <w:r w:rsidR="00945B2E" w:rsidRPr="00945B2E">
        <w:t xml:space="preserve"> </w:t>
      </w:r>
      <w:r w:rsidR="00945B2E" w:rsidRPr="00945B2E">
        <w:rPr>
          <w:rFonts w:ascii="Times New Roman" w:eastAsia="Times New Roman" w:hAnsi="Times New Roman" w:cs="Times New Roman"/>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https://vapris.vvkt.lt/vvkt-web/public/nrv arba užpildant Paciento pranešimo apie įtariamą nepageidaujamą reakciją (ĮNR) formą, kuri skelbiama https://www.vvkt.lt/index.php?4004286486, ir atsiunčiant elektroniniu paštu (adresu NepageidaujamaR@vvkt.lt) arba nemokamu telefonu 8 800 73 568. </w:t>
      </w:r>
      <w:r w:rsidRPr="0047338E">
        <w:rPr>
          <w:rFonts w:ascii="Times New Roman" w:eastAsia="Times New Roman" w:hAnsi="Times New Roman" w:cs="Times New Roman"/>
          <w:snapToGrid w:val="0"/>
        </w:rPr>
        <w:t>Pranešdami apie šalutinį poveikį galite mums padėti gauti daugiau informacijos apie šio vaisto saugumą.</w:t>
      </w:r>
    </w:p>
    <w:p w14:paraId="713CFD8A" w14:textId="77777777" w:rsidR="000C61CC" w:rsidRPr="0047338E" w:rsidRDefault="000C61CC" w:rsidP="000C61CC">
      <w:pPr>
        <w:spacing w:after="0" w:line="240" w:lineRule="auto"/>
        <w:rPr>
          <w:rFonts w:ascii="Times New Roman" w:eastAsia="SimSun" w:hAnsi="Times New Roman" w:cs="Times New Roman"/>
          <w:color w:val="000000"/>
        </w:rPr>
      </w:pPr>
    </w:p>
    <w:p w14:paraId="4BD78BCC" w14:textId="77777777" w:rsidR="000C61CC" w:rsidRPr="0047338E" w:rsidRDefault="000C61CC" w:rsidP="000C61CC">
      <w:pPr>
        <w:spacing w:after="0" w:line="240" w:lineRule="auto"/>
        <w:rPr>
          <w:rFonts w:ascii="Times New Roman" w:eastAsia="SimSun" w:hAnsi="Times New Roman" w:cs="Times New Roman"/>
          <w:color w:val="000000"/>
        </w:rPr>
      </w:pPr>
    </w:p>
    <w:p w14:paraId="271AE3E8" w14:textId="77777777" w:rsidR="000C61CC" w:rsidRPr="0047338E" w:rsidRDefault="000C61CC" w:rsidP="00D7435E">
      <w:pPr>
        <w:tabs>
          <w:tab w:val="left" w:pos="567"/>
        </w:tabs>
        <w:spacing w:after="0" w:line="240" w:lineRule="auto"/>
        <w:rPr>
          <w:rFonts w:ascii="Times New Roman" w:eastAsia="SimSun" w:hAnsi="Times New Roman" w:cs="Times New Roman"/>
          <w:b/>
          <w:color w:val="000000"/>
        </w:rPr>
      </w:pPr>
      <w:bookmarkStart w:id="83" w:name="_Toc129243143"/>
      <w:bookmarkStart w:id="84" w:name="_Toc129243268"/>
      <w:r w:rsidRPr="0047338E">
        <w:rPr>
          <w:rFonts w:ascii="Times New Roman" w:eastAsia="SimSun" w:hAnsi="Times New Roman" w:cs="Times New Roman"/>
          <w:b/>
          <w:color w:val="000000"/>
        </w:rPr>
        <w:t>5.</w:t>
      </w:r>
      <w:r w:rsidRPr="0047338E">
        <w:rPr>
          <w:rFonts w:ascii="Times New Roman" w:eastAsia="SimSun" w:hAnsi="Times New Roman" w:cs="Times New Roman"/>
          <w:b/>
          <w:color w:val="000000"/>
        </w:rPr>
        <w:tab/>
        <w:t>Kaip laikyti Letrozole Accord</w:t>
      </w:r>
    </w:p>
    <w:bookmarkEnd w:id="83"/>
    <w:bookmarkEnd w:id="84"/>
    <w:p w14:paraId="4DA60A1B" w14:textId="77777777" w:rsidR="000C61CC" w:rsidRPr="0047338E" w:rsidRDefault="000C61CC" w:rsidP="000C61CC">
      <w:pPr>
        <w:spacing w:after="0" w:line="240" w:lineRule="auto"/>
        <w:rPr>
          <w:rFonts w:ascii="Times New Roman" w:eastAsia="SimSun" w:hAnsi="Times New Roman" w:cs="Times New Roman"/>
          <w:color w:val="000000"/>
        </w:rPr>
      </w:pPr>
    </w:p>
    <w:p w14:paraId="75DE8AF1" w14:textId="77777777" w:rsidR="000C61CC" w:rsidRPr="0047338E" w:rsidRDefault="000C61CC" w:rsidP="00D7435E">
      <w:pPr>
        <w:pStyle w:val="Sraopastraipa"/>
        <w:numPr>
          <w:ilvl w:val="0"/>
          <w:numId w:val="28"/>
        </w:numPr>
        <w:tabs>
          <w:tab w:val="left" w:pos="567"/>
        </w:tabs>
        <w:ind w:left="567" w:hanging="567"/>
        <w:rPr>
          <w:rFonts w:eastAsia="SimSun"/>
          <w:color w:val="000000"/>
        </w:rPr>
      </w:pPr>
      <w:r w:rsidRPr="0047338E">
        <w:rPr>
          <w:rFonts w:eastAsia="SimSun"/>
          <w:color w:val="000000"/>
          <w:sz w:val="22"/>
          <w:szCs w:val="22"/>
        </w:rPr>
        <w:t>Šį vaistą laikykite vaikams nepastebimoje ir nepasiekiamoje vietoje.</w:t>
      </w:r>
    </w:p>
    <w:p w14:paraId="75853749" w14:textId="5DCCAAD5" w:rsidR="000C61CC" w:rsidRPr="0047338E" w:rsidRDefault="000C61CC" w:rsidP="00D7435E">
      <w:pPr>
        <w:pStyle w:val="Sraopastraipa"/>
        <w:numPr>
          <w:ilvl w:val="0"/>
          <w:numId w:val="28"/>
        </w:numPr>
        <w:tabs>
          <w:tab w:val="left" w:pos="567"/>
        </w:tabs>
        <w:ind w:left="567" w:hanging="567"/>
        <w:rPr>
          <w:rFonts w:eastAsia="SimSun"/>
          <w:color w:val="000000"/>
        </w:rPr>
      </w:pPr>
      <w:r w:rsidRPr="0047338E">
        <w:rPr>
          <w:rFonts w:eastAsia="SimSun"/>
          <w:color w:val="000000"/>
          <w:sz w:val="22"/>
          <w:szCs w:val="22"/>
        </w:rPr>
        <w:t>Šiam vaistui specialių laikymo sąlygų nereikia.</w:t>
      </w:r>
    </w:p>
    <w:p w14:paraId="12A6CF8D" w14:textId="77777777" w:rsidR="000C61CC" w:rsidRPr="0047338E" w:rsidRDefault="000C61CC" w:rsidP="00D7435E">
      <w:pPr>
        <w:pStyle w:val="Sraopastraipa"/>
        <w:numPr>
          <w:ilvl w:val="0"/>
          <w:numId w:val="28"/>
        </w:numPr>
        <w:tabs>
          <w:tab w:val="left" w:pos="567"/>
        </w:tabs>
        <w:ind w:left="567" w:hanging="567"/>
        <w:rPr>
          <w:rFonts w:eastAsia="SimSun"/>
          <w:color w:val="000000"/>
        </w:rPr>
      </w:pPr>
      <w:r w:rsidRPr="0047338E">
        <w:rPr>
          <w:rFonts w:eastAsia="SimSun"/>
          <w:color w:val="000000"/>
          <w:sz w:val="22"/>
          <w:szCs w:val="22"/>
        </w:rPr>
        <w:t>Ant dėžutės ir lizdinių plokštelių po „Tinka iki</w:t>
      </w:r>
      <w:r w:rsidR="003219C0" w:rsidRPr="0047338E">
        <w:rPr>
          <w:rFonts w:eastAsia="SimSun"/>
          <w:color w:val="000000"/>
          <w:sz w:val="22"/>
          <w:szCs w:val="22"/>
        </w:rPr>
        <w:t>/EXP</w:t>
      </w:r>
      <w:r w:rsidRPr="0047338E">
        <w:rPr>
          <w:rFonts w:eastAsia="SimSun"/>
          <w:color w:val="000000"/>
          <w:sz w:val="22"/>
          <w:szCs w:val="22"/>
        </w:rPr>
        <w:t>“ nurodytam tinkamumo laikui pasibaigus, šio vaisto vartoti negalima. Vaistas tinkamas vartoti iki paskutinės nurodyto mėnesio dienos.</w:t>
      </w:r>
    </w:p>
    <w:p w14:paraId="24751A95" w14:textId="0FC290F6" w:rsidR="000C61CC" w:rsidRPr="0047338E" w:rsidRDefault="000C61CC" w:rsidP="0058038C">
      <w:pPr>
        <w:pStyle w:val="Sraopastraipa"/>
        <w:numPr>
          <w:ilvl w:val="0"/>
          <w:numId w:val="28"/>
        </w:numPr>
        <w:tabs>
          <w:tab w:val="left" w:pos="567"/>
        </w:tabs>
        <w:ind w:left="567" w:hanging="567"/>
        <w:rPr>
          <w:rFonts w:eastAsia="SimSun"/>
          <w:color w:val="000000"/>
        </w:rPr>
      </w:pPr>
      <w:r w:rsidRPr="0047338E">
        <w:rPr>
          <w:rFonts w:eastAsia="SimSun"/>
          <w:color w:val="000000"/>
          <w:sz w:val="22"/>
        </w:rPr>
        <w:t xml:space="preserve">Vaistų negalima išmesti į kanalizaciją arba su buitinėmis atliekomis. Kaip išmesti </w:t>
      </w:r>
      <w:r w:rsidR="00430FB9" w:rsidRPr="0047338E">
        <w:rPr>
          <w:rFonts w:eastAsia="SimSun"/>
          <w:color w:val="000000"/>
          <w:sz w:val="22"/>
        </w:rPr>
        <w:t xml:space="preserve">nereikalingus </w:t>
      </w:r>
      <w:r w:rsidRPr="0047338E">
        <w:rPr>
          <w:rFonts w:eastAsia="SimSun"/>
          <w:color w:val="000000"/>
          <w:sz w:val="22"/>
        </w:rPr>
        <w:t>vaistus, klauskite vaistininko. Šios priemonės padės apsaugoti aplinką.</w:t>
      </w:r>
    </w:p>
    <w:p w14:paraId="3B898F1C" w14:textId="77777777" w:rsidR="000C61CC" w:rsidRPr="0047338E" w:rsidRDefault="000C61CC" w:rsidP="000C61CC">
      <w:pPr>
        <w:spacing w:after="0" w:line="240" w:lineRule="auto"/>
        <w:rPr>
          <w:rFonts w:ascii="Times New Roman" w:eastAsia="SimSun" w:hAnsi="Times New Roman" w:cs="Times New Roman"/>
          <w:color w:val="000000"/>
        </w:rPr>
      </w:pPr>
    </w:p>
    <w:p w14:paraId="2743FBDE" w14:textId="77777777" w:rsidR="000C61CC" w:rsidRPr="0047338E" w:rsidRDefault="000C61CC" w:rsidP="000C61CC">
      <w:pPr>
        <w:spacing w:after="0" w:line="240" w:lineRule="auto"/>
        <w:rPr>
          <w:rFonts w:ascii="Times New Roman" w:eastAsia="SimSun" w:hAnsi="Times New Roman" w:cs="Times New Roman"/>
          <w:color w:val="000000"/>
        </w:rPr>
      </w:pPr>
    </w:p>
    <w:p w14:paraId="76222D31" w14:textId="77777777" w:rsidR="000C61CC" w:rsidRPr="0047338E" w:rsidRDefault="000C61CC" w:rsidP="000C61CC">
      <w:pPr>
        <w:keepNext/>
        <w:keepLines/>
        <w:tabs>
          <w:tab w:val="left" w:pos="567"/>
        </w:tabs>
        <w:spacing w:after="0" w:line="240" w:lineRule="auto"/>
        <w:outlineLvl w:val="2"/>
        <w:rPr>
          <w:rFonts w:ascii="Times New Roman" w:eastAsia="Times New Roman" w:hAnsi="Times New Roman" w:cs="Times New Roman"/>
          <w:b/>
        </w:rPr>
      </w:pPr>
      <w:bookmarkStart w:id="85" w:name="_Toc129243144"/>
      <w:bookmarkStart w:id="86" w:name="_Toc129243269"/>
      <w:r w:rsidRPr="0047338E">
        <w:rPr>
          <w:rFonts w:ascii="Times New Roman" w:eastAsia="Times New Roman" w:hAnsi="Times New Roman" w:cs="Times New Roman"/>
          <w:b/>
        </w:rPr>
        <w:t>6.</w:t>
      </w:r>
      <w:r w:rsidRPr="0047338E">
        <w:rPr>
          <w:rFonts w:ascii="Times New Roman" w:eastAsia="Times New Roman" w:hAnsi="Times New Roman" w:cs="Times New Roman"/>
          <w:bCs/>
          <w:snapToGrid w:val="0"/>
        </w:rPr>
        <w:tab/>
      </w:r>
      <w:r w:rsidRPr="0047338E">
        <w:rPr>
          <w:rFonts w:ascii="Times New Roman" w:eastAsia="Times New Roman" w:hAnsi="Times New Roman" w:cs="Times New Roman"/>
          <w:b/>
          <w:bCs/>
          <w:snapToGrid w:val="0"/>
        </w:rPr>
        <w:t>Pakuotės turinys ir kita</w:t>
      </w:r>
      <w:r w:rsidRPr="0047338E">
        <w:rPr>
          <w:rFonts w:ascii="Times New Roman" w:eastAsia="Times New Roman" w:hAnsi="Times New Roman" w:cs="Times New Roman"/>
          <w:b/>
        </w:rPr>
        <w:t xml:space="preserve"> informacija</w:t>
      </w:r>
    </w:p>
    <w:bookmarkEnd w:id="85"/>
    <w:bookmarkEnd w:id="86"/>
    <w:p w14:paraId="182C9DD3" w14:textId="77777777" w:rsidR="000C61CC" w:rsidRPr="0047338E" w:rsidRDefault="000C61CC" w:rsidP="000C61CC">
      <w:pPr>
        <w:spacing w:after="0" w:line="240" w:lineRule="auto"/>
        <w:rPr>
          <w:rFonts w:ascii="Times New Roman" w:eastAsia="SimSun" w:hAnsi="Times New Roman" w:cs="Times New Roman"/>
          <w:color w:val="000000"/>
        </w:rPr>
      </w:pPr>
    </w:p>
    <w:p w14:paraId="02AF6639" w14:textId="77777777" w:rsidR="000C61CC" w:rsidRPr="0047338E" w:rsidRDefault="000C61CC" w:rsidP="000C61CC">
      <w:pPr>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Letrozole Accord sudėtis</w:t>
      </w:r>
    </w:p>
    <w:p w14:paraId="1DF13F86" w14:textId="77777777" w:rsidR="000C61CC" w:rsidRPr="0047338E" w:rsidRDefault="000C61CC" w:rsidP="000C61CC">
      <w:pPr>
        <w:tabs>
          <w:tab w:val="num" w:pos="0"/>
        </w:tabs>
        <w:spacing w:after="0" w:line="240" w:lineRule="auto"/>
        <w:ind w:left="567" w:hanging="567"/>
        <w:rPr>
          <w:rFonts w:ascii="Times New Roman" w:eastAsia="SimSun" w:hAnsi="Times New Roman" w:cs="Times New Roman"/>
          <w:color w:val="000000"/>
        </w:rPr>
      </w:pPr>
      <w:r w:rsidRPr="0047338E">
        <w:rPr>
          <w:rFonts w:ascii="Times New Roman" w:eastAsia="SimSun" w:hAnsi="Times New Roman" w:cs="Times New Roman"/>
          <w:color w:val="000000"/>
        </w:rPr>
        <w:t xml:space="preserve">Veiklioji medžiaga yra letrozolas. </w:t>
      </w:r>
      <w:r w:rsidR="00587793" w:rsidRPr="0047338E">
        <w:rPr>
          <w:rFonts w:ascii="Times New Roman" w:eastAsia="SimSun" w:hAnsi="Times New Roman" w:cs="Times New Roman"/>
          <w:color w:val="000000"/>
        </w:rPr>
        <w:t>Kiekvienoje </w:t>
      </w:r>
      <w:r w:rsidRPr="0047338E">
        <w:rPr>
          <w:rFonts w:ascii="Times New Roman" w:eastAsia="SimSun" w:hAnsi="Times New Roman" w:cs="Times New Roman"/>
          <w:color w:val="000000"/>
        </w:rPr>
        <w:t>plėvele dengtoje tabletėje yra 2,5 mg letrozolo.</w:t>
      </w:r>
    </w:p>
    <w:p w14:paraId="4B1EAE9B" w14:textId="5E865A0D" w:rsidR="000C61CC" w:rsidRPr="0047338E" w:rsidRDefault="000C61CC" w:rsidP="00587793">
      <w:pPr>
        <w:tabs>
          <w:tab w:val="num" w:pos="0"/>
        </w:tabs>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Pagalbinės medžiagos: tabletės branduolys – laktozė monohidratas, kukurūzų krakmolas, hipromeliozė 2910 tipo, mikrokristalinė celiuliozė, karboksimetilkrakmolo A natrio druska, bevandenis koloidinis silicio dioksidas, magnio stearatas; tabletės plėvelė – hipromeliozė 6 cp (E 464), titano dioksidas (E</w:t>
      </w:r>
      <w:r w:rsidR="00390462" w:rsidRPr="0047338E">
        <w:rPr>
          <w:rFonts w:ascii="Times New Roman" w:eastAsia="SimSun" w:hAnsi="Times New Roman" w:cs="Times New Roman"/>
          <w:color w:val="000000"/>
        </w:rPr>
        <w:t> </w:t>
      </w:r>
      <w:r w:rsidRPr="0047338E">
        <w:rPr>
          <w:rFonts w:ascii="Times New Roman" w:eastAsia="SimSun" w:hAnsi="Times New Roman" w:cs="Times New Roman"/>
          <w:color w:val="000000"/>
        </w:rPr>
        <w:t>171), geltonasis geležies oksidas (E 172), makrogolis 400, talkas (E 553b).</w:t>
      </w:r>
    </w:p>
    <w:p w14:paraId="731D4041" w14:textId="77777777" w:rsidR="000C61CC" w:rsidRPr="0047338E" w:rsidRDefault="000C61CC" w:rsidP="000C61CC">
      <w:pPr>
        <w:spacing w:after="0" w:line="240" w:lineRule="auto"/>
        <w:rPr>
          <w:rFonts w:ascii="Times New Roman" w:eastAsia="SimSun" w:hAnsi="Times New Roman" w:cs="Times New Roman"/>
          <w:color w:val="000000"/>
        </w:rPr>
      </w:pPr>
    </w:p>
    <w:p w14:paraId="4436F68C" w14:textId="77777777" w:rsidR="000C61CC" w:rsidRPr="0047338E" w:rsidRDefault="000C61CC" w:rsidP="005014CA">
      <w:pPr>
        <w:keepNext/>
        <w:spacing w:after="0" w:line="240" w:lineRule="auto"/>
        <w:rPr>
          <w:rFonts w:ascii="Times New Roman" w:eastAsia="Times New Roman" w:hAnsi="Times New Roman" w:cs="Times New Roman"/>
          <w:b/>
          <w:bCs/>
        </w:rPr>
      </w:pPr>
      <w:r w:rsidRPr="0047338E">
        <w:rPr>
          <w:rFonts w:ascii="Times New Roman" w:eastAsia="Times New Roman" w:hAnsi="Times New Roman" w:cs="Times New Roman"/>
          <w:b/>
          <w:bCs/>
        </w:rPr>
        <w:t>Letrozole Accord išvaizda ir kiekis pakuotėje</w:t>
      </w:r>
    </w:p>
    <w:p w14:paraId="0B9D394C" w14:textId="4E7B52B6" w:rsidR="000C61CC" w:rsidRPr="0047338E" w:rsidRDefault="000C61CC" w:rsidP="005014CA">
      <w:pPr>
        <w:keepNext/>
        <w:spacing w:after="0" w:line="240" w:lineRule="auto"/>
        <w:rPr>
          <w:rFonts w:ascii="Times New Roman" w:eastAsia="SimSun" w:hAnsi="Times New Roman" w:cs="Times New Roman"/>
          <w:color w:val="000000"/>
          <w:shd w:val="clear" w:color="auto" w:fill="FFFFFF"/>
        </w:rPr>
      </w:pPr>
      <w:r w:rsidRPr="0047338E">
        <w:rPr>
          <w:rFonts w:ascii="Times New Roman" w:eastAsia="SimSun" w:hAnsi="Times New Roman" w:cs="Times New Roman"/>
          <w:color w:val="000000"/>
        </w:rPr>
        <w:t>Letrozole Accord 2,5 mg plėvele dengtos tabletės yra g</w:t>
      </w:r>
      <w:r w:rsidRPr="0047338E">
        <w:rPr>
          <w:rFonts w:ascii="Times New Roman" w:eastAsia="SimSun" w:hAnsi="Times New Roman" w:cs="Times New Roman"/>
          <w:color w:val="000000"/>
          <w:shd w:val="clear" w:color="auto" w:fill="FFFFFF"/>
        </w:rPr>
        <w:t>eltonos spalvos, apvalios, abipus išgaubtos, lygaus paviršiaus</w:t>
      </w:r>
      <w:r w:rsidR="00BF2920">
        <w:rPr>
          <w:rFonts w:ascii="Times New Roman" w:eastAsia="SimSun" w:hAnsi="Times New Roman" w:cs="Times New Roman"/>
          <w:color w:val="000000"/>
          <w:shd w:val="clear" w:color="auto" w:fill="FFFFFF"/>
        </w:rPr>
        <w:t>,</w:t>
      </w:r>
      <w:r w:rsidR="00BF2920" w:rsidRPr="00BF2920">
        <w:t xml:space="preserve"> </w:t>
      </w:r>
      <w:r w:rsidR="00BF2920" w:rsidRPr="00BF2920">
        <w:rPr>
          <w:rFonts w:ascii="Times New Roman" w:eastAsia="SimSun" w:hAnsi="Times New Roman" w:cs="Times New Roman"/>
          <w:color w:val="000000"/>
          <w:shd w:val="clear" w:color="auto" w:fill="FFFFFF"/>
        </w:rPr>
        <w:t>maždaug 6</w:t>
      </w:r>
      <w:r w:rsidR="00BF2920">
        <w:rPr>
          <w:rFonts w:ascii="Times New Roman" w:eastAsia="SimSun" w:hAnsi="Times New Roman" w:cs="Times New Roman"/>
          <w:color w:val="000000"/>
          <w:shd w:val="clear" w:color="auto" w:fill="FFFFFF"/>
        </w:rPr>
        <w:t> </w:t>
      </w:r>
      <w:r w:rsidR="00BF2920" w:rsidRPr="00BF2920">
        <w:rPr>
          <w:rFonts w:ascii="Times New Roman" w:eastAsia="SimSun" w:hAnsi="Times New Roman" w:cs="Times New Roman"/>
          <w:color w:val="000000"/>
          <w:shd w:val="clear" w:color="auto" w:fill="FFFFFF"/>
        </w:rPr>
        <w:t>mm skersmens</w:t>
      </w:r>
      <w:r w:rsidRPr="0047338E">
        <w:rPr>
          <w:rFonts w:ascii="Times New Roman" w:eastAsia="SimSun" w:hAnsi="Times New Roman" w:cs="Times New Roman"/>
          <w:color w:val="000000"/>
          <w:shd w:val="clear" w:color="auto" w:fill="FFFFFF"/>
        </w:rPr>
        <w:t>.</w:t>
      </w:r>
    </w:p>
    <w:p w14:paraId="3D70E8CC" w14:textId="77777777" w:rsidR="000C61CC" w:rsidRPr="0047338E" w:rsidRDefault="000C61CC" w:rsidP="000C61CC">
      <w:pPr>
        <w:spacing w:after="0" w:line="240" w:lineRule="auto"/>
        <w:rPr>
          <w:rFonts w:ascii="Times New Roman" w:eastAsia="SimSun" w:hAnsi="Times New Roman" w:cs="Times New Roman"/>
          <w:color w:val="000000"/>
          <w:shd w:val="clear" w:color="auto" w:fill="FFFFFF"/>
        </w:rPr>
      </w:pPr>
      <w:r w:rsidRPr="0047338E">
        <w:rPr>
          <w:rFonts w:ascii="Times New Roman" w:eastAsia="SimSun" w:hAnsi="Times New Roman" w:cs="Times New Roman"/>
          <w:color w:val="000000"/>
        </w:rPr>
        <w:t>Letrozole Accord 2,5 mg plėvele dengtos tabletės pakuojamos į lizdines plokšteles po 10, 14, 28, 30, 50, 60, 84, 90, 98 arba 100 tablečių.</w:t>
      </w:r>
    </w:p>
    <w:p w14:paraId="2F9FA2F1" w14:textId="664351B2" w:rsidR="000C61CC" w:rsidRPr="006B7DB6" w:rsidRDefault="006B7DB6" w:rsidP="000C61CC">
      <w:pPr>
        <w:spacing w:after="0" w:line="240" w:lineRule="auto"/>
        <w:rPr>
          <w:rFonts w:ascii="Times New Roman" w:eastAsia="Times New Roman" w:hAnsi="Times New Roman" w:cs="Times New Roman"/>
        </w:rPr>
      </w:pPr>
      <w:r w:rsidRPr="006B7DB6">
        <w:rPr>
          <w:rFonts w:ascii="Times New Roman" w:eastAsia="Times New Roman" w:hAnsi="Times New Roman" w:cs="Times New Roman"/>
        </w:rPr>
        <w:t>Gali būti tiekiamos ne visų dydžių pakuotės.</w:t>
      </w:r>
    </w:p>
    <w:p w14:paraId="48BAE96B" w14:textId="77777777" w:rsidR="006B7DB6" w:rsidRPr="0047338E" w:rsidRDefault="006B7DB6" w:rsidP="000C61CC">
      <w:pPr>
        <w:spacing w:after="0" w:line="240" w:lineRule="auto"/>
        <w:rPr>
          <w:rFonts w:ascii="Times New Roman" w:eastAsia="Times New Roman" w:hAnsi="Times New Roman" w:cs="Times New Roman"/>
          <w:b/>
          <w:bCs/>
        </w:rPr>
      </w:pPr>
    </w:p>
    <w:p w14:paraId="1A3AC04F" w14:textId="7777777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 xml:space="preserve">Registruotojas </w:t>
      </w:r>
      <w:r w:rsidR="0091590A" w:rsidRPr="0047338E">
        <w:rPr>
          <w:rFonts w:ascii="Times New Roman" w:eastAsia="Times New Roman" w:hAnsi="Times New Roman" w:cs="Times New Roman"/>
          <w:b/>
        </w:rPr>
        <w:t>ir gamintojas</w:t>
      </w:r>
    </w:p>
    <w:p w14:paraId="5AF0587C" w14:textId="77777777" w:rsidR="000C61CC" w:rsidRPr="0047338E" w:rsidRDefault="000C61CC" w:rsidP="000C61CC">
      <w:pPr>
        <w:spacing w:after="0" w:line="240" w:lineRule="auto"/>
        <w:rPr>
          <w:rFonts w:ascii="Times New Roman" w:eastAsia="SimSun" w:hAnsi="Times New Roman" w:cs="Times New Roman"/>
          <w:color w:val="000000"/>
        </w:rPr>
      </w:pPr>
    </w:p>
    <w:p w14:paraId="517F7951" w14:textId="77777777" w:rsidR="0091590A" w:rsidRPr="0047338E" w:rsidRDefault="0091590A" w:rsidP="000C61CC">
      <w:pPr>
        <w:spacing w:after="0" w:line="240" w:lineRule="auto"/>
        <w:rPr>
          <w:rFonts w:ascii="Times New Roman" w:eastAsia="SimSun" w:hAnsi="Times New Roman" w:cs="Times New Roman"/>
          <w:i/>
          <w:color w:val="000000"/>
        </w:rPr>
      </w:pPr>
      <w:r w:rsidRPr="0047338E">
        <w:rPr>
          <w:rFonts w:ascii="Times New Roman" w:eastAsia="SimSun" w:hAnsi="Times New Roman" w:cs="Times New Roman"/>
          <w:i/>
          <w:color w:val="000000"/>
        </w:rPr>
        <w:t>Registruotojas</w:t>
      </w:r>
    </w:p>
    <w:p w14:paraId="6C44CEFD"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Accord Healthcare B.V. </w:t>
      </w:r>
    </w:p>
    <w:p w14:paraId="26C5AD9B"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Winthontlaan 200 </w:t>
      </w:r>
    </w:p>
    <w:p w14:paraId="08A1EA27"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 xml:space="preserve">3526 KV Utrecht </w:t>
      </w:r>
    </w:p>
    <w:p w14:paraId="46A0A1A6" w14:textId="77777777" w:rsidR="0005799E" w:rsidRPr="0047338E" w:rsidRDefault="0005799E" w:rsidP="0005799E">
      <w:pPr>
        <w:spacing w:after="0" w:line="240" w:lineRule="auto"/>
        <w:rPr>
          <w:rFonts w:ascii="Times New Roman" w:hAnsi="Times New Roman" w:cs="Times New Roman"/>
        </w:rPr>
      </w:pPr>
      <w:r w:rsidRPr="0047338E">
        <w:rPr>
          <w:rFonts w:ascii="Times New Roman" w:hAnsi="Times New Roman" w:cs="Times New Roman"/>
        </w:rPr>
        <w:t>Nyderlandai</w:t>
      </w:r>
    </w:p>
    <w:p w14:paraId="47B3D61C" w14:textId="77777777" w:rsidR="000C61CC" w:rsidRPr="0047338E" w:rsidRDefault="000C61CC" w:rsidP="000C61CC">
      <w:pPr>
        <w:spacing w:after="0" w:line="240" w:lineRule="auto"/>
        <w:rPr>
          <w:rFonts w:ascii="Times New Roman" w:eastAsia="SimSun" w:hAnsi="Times New Roman" w:cs="Times New Roman"/>
          <w:color w:val="000000"/>
        </w:rPr>
      </w:pPr>
    </w:p>
    <w:p w14:paraId="5929D373" w14:textId="231DC05D"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i/>
        </w:rPr>
      </w:pPr>
      <w:r w:rsidRPr="0047338E">
        <w:rPr>
          <w:rFonts w:ascii="Times New Roman" w:eastAsia="Times New Roman" w:hAnsi="Times New Roman" w:cs="Times New Roman"/>
          <w:i/>
        </w:rPr>
        <w:t>Gamintoja</w:t>
      </w:r>
      <w:r w:rsidR="0091590A" w:rsidRPr="0047338E">
        <w:rPr>
          <w:rFonts w:ascii="Times New Roman" w:eastAsia="Times New Roman" w:hAnsi="Times New Roman" w:cs="Times New Roman"/>
          <w:i/>
        </w:rPr>
        <w:t>s</w:t>
      </w:r>
    </w:p>
    <w:p w14:paraId="6B4A3501" w14:textId="3724756A" w:rsidR="00B61221" w:rsidRPr="0047338E" w:rsidRDefault="00B61221" w:rsidP="00B61221">
      <w:pPr>
        <w:spacing w:after="0" w:line="240" w:lineRule="auto"/>
        <w:rPr>
          <w:rFonts w:ascii="Times New Roman" w:eastAsia="Times New Roman" w:hAnsi="Times New Roman" w:cs="Times New Roman"/>
        </w:rPr>
      </w:pPr>
      <w:r w:rsidRPr="0047338E">
        <w:rPr>
          <w:rFonts w:ascii="Times New Roman" w:hAnsi="Times New Roman" w:cs="Times New Roman"/>
        </w:rPr>
        <w:t xml:space="preserve">Accord Healthcare </w:t>
      </w:r>
      <w:r w:rsidRPr="0047338E">
        <w:rPr>
          <w:rFonts w:ascii="Times New Roman" w:eastAsia="Times New Roman" w:hAnsi="Times New Roman" w:cs="Times New Roman"/>
        </w:rPr>
        <w:t xml:space="preserve">B.V. </w:t>
      </w:r>
    </w:p>
    <w:p w14:paraId="18E05AFB" w14:textId="77777777" w:rsidR="00B61221" w:rsidRPr="0047338E" w:rsidRDefault="00B61221" w:rsidP="00B61221">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 xml:space="preserve">Winthontlaan 200 </w:t>
      </w:r>
    </w:p>
    <w:p w14:paraId="720F0D26" w14:textId="77777777" w:rsidR="00B61221" w:rsidRPr="0047338E" w:rsidRDefault="00B61221" w:rsidP="00B61221">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 xml:space="preserve">3526 KV Utrecht </w:t>
      </w:r>
    </w:p>
    <w:p w14:paraId="66065F2D" w14:textId="0732FA8A" w:rsidR="000C61CC" w:rsidRPr="0047338E" w:rsidRDefault="00B61221" w:rsidP="000C61CC">
      <w:pPr>
        <w:spacing w:after="0" w:line="240" w:lineRule="auto"/>
        <w:rPr>
          <w:rFonts w:ascii="Times New Roman" w:eastAsia="Times New Roman" w:hAnsi="Times New Roman" w:cs="Times New Roman"/>
        </w:rPr>
      </w:pPr>
      <w:r w:rsidRPr="0047338E">
        <w:rPr>
          <w:rFonts w:ascii="Times New Roman" w:eastAsia="Times New Roman" w:hAnsi="Times New Roman" w:cs="Times New Roman"/>
        </w:rPr>
        <w:t>Nyderlandai</w:t>
      </w:r>
    </w:p>
    <w:p w14:paraId="04375C01" w14:textId="77777777" w:rsidR="00146A44" w:rsidRPr="0047338E" w:rsidRDefault="00146A44" w:rsidP="000C61CC">
      <w:pPr>
        <w:spacing w:after="0" w:line="240" w:lineRule="auto"/>
        <w:rPr>
          <w:rFonts w:ascii="Times New Roman" w:hAnsi="Times New Roman" w:cs="Times New Roman"/>
        </w:rPr>
      </w:pPr>
    </w:p>
    <w:p w14:paraId="4F948459" w14:textId="77777777" w:rsidR="001C6927" w:rsidRPr="0047338E" w:rsidRDefault="001C6927" w:rsidP="001C6927">
      <w:pPr>
        <w:spacing w:after="0" w:line="240" w:lineRule="auto"/>
        <w:rPr>
          <w:rFonts w:ascii="Times New Roman" w:eastAsia="SimSun" w:hAnsi="Times New Roman" w:cs="Times New Roman"/>
          <w:color w:val="000000"/>
        </w:rPr>
      </w:pPr>
      <w:r w:rsidRPr="0047338E">
        <w:rPr>
          <w:rFonts w:ascii="Times New Roman" w:eastAsia="SimSun" w:hAnsi="Times New Roman" w:cs="Times New Roman"/>
          <w:color w:val="000000"/>
        </w:rPr>
        <w:t>arba</w:t>
      </w:r>
    </w:p>
    <w:p w14:paraId="0FA63230" w14:textId="77777777" w:rsidR="001C6927" w:rsidRPr="0047338E" w:rsidRDefault="001C6927" w:rsidP="001C6927">
      <w:pPr>
        <w:spacing w:after="0" w:line="240" w:lineRule="auto"/>
        <w:rPr>
          <w:rFonts w:ascii="Times New Roman" w:hAnsi="Times New Roman" w:cs="Times New Roman"/>
        </w:rPr>
      </w:pPr>
    </w:p>
    <w:p w14:paraId="75E00578" w14:textId="77777777" w:rsidR="001C6927" w:rsidRPr="0047338E" w:rsidRDefault="001C6927" w:rsidP="001C6927">
      <w:pPr>
        <w:spacing w:after="0" w:line="240" w:lineRule="auto"/>
        <w:rPr>
          <w:rFonts w:ascii="Times New Roman" w:hAnsi="Times New Roman" w:cs="Times New Roman"/>
        </w:rPr>
      </w:pPr>
      <w:r w:rsidRPr="0047338E">
        <w:rPr>
          <w:rFonts w:ascii="Times New Roman" w:hAnsi="Times New Roman" w:cs="Times New Roman"/>
        </w:rPr>
        <w:t>Accord Healthcare Polska Sp.z o.o.,</w:t>
      </w:r>
    </w:p>
    <w:p w14:paraId="3E74BA26" w14:textId="40F53DB3" w:rsidR="00146A44" w:rsidRPr="0047338E" w:rsidRDefault="001C6927" w:rsidP="001C6927">
      <w:pPr>
        <w:spacing w:after="0" w:line="240" w:lineRule="auto"/>
        <w:rPr>
          <w:rFonts w:ascii="Times New Roman" w:hAnsi="Times New Roman" w:cs="Times New Roman"/>
        </w:rPr>
      </w:pPr>
      <w:r w:rsidRPr="0047338E">
        <w:rPr>
          <w:rFonts w:ascii="Times New Roman" w:hAnsi="Times New Roman" w:cs="Times New Roman"/>
        </w:rPr>
        <w:t>ul. Lutomierska 50,</w:t>
      </w:r>
      <w:r w:rsidR="00EE6E77" w:rsidRPr="0047338E">
        <w:rPr>
          <w:rFonts w:ascii="Times New Roman" w:hAnsi="Times New Roman" w:cs="Times New Roman"/>
          <w:color w:val="000000"/>
        </w:rPr>
        <w:t xml:space="preserve"> </w:t>
      </w:r>
      <w:r w:rsidRPr="0047338E">
        <w:rPr>
          <w:rFonts w:ascii="Times New Roman" w:hAnsi="Times New Roman" w:cs="Times New Roman"/>
        </w:rPr>
        <w:t>95-200 Pabianice, Lenkija</w:t>
      </w:r>
    </w:p>
    <w:p w14:paraId="1D7E2AED" w14:textId="77777777" w:rsidR="000C61CC" w:rsidRDefault="000C61CC" w:rsidP="000C61CC">
      <w:pPr>
        <w:spacing w:after="0" w:line="240" w:lineRule="auto"/>
        <w:rPr>
          <w:rFonts w:ascii="Times New Roman" w:eastAsia="Arial Unicode MS" w:hAnsi="Times New Roman" w:cs="Times New Roman"/>
          <w:color w:val="000000"/>
        </w:rPr>
      </w:pPr>
    </w:p>
    <w:p w14:paraId="658F4439" w14:textId="3184E922" w:rsidR="00FA2F0D" w:rsidRDefault="00FA2F0D" w:rsidP="000C61CC">
      <w:pPr>
        <w:spacing w:after="0" w:line="240" w:lineRule="auto"/>
        <w:rPr>
          <w:rFonts w:ascii="Times New Roman" w:eastAsia="Arial Unicode MS" w:hAnsi="Times New Roman" w:cs="Times New Roman"/>
          <w:color w:val="000000"/>
        </w:rPr>
      </w:pPr>
      <w:r>
        <w:rPr>
          <w:rFonts w:ascii="Times New Roman" w:eastAsia="Arial Unicode MS" w:hAnsi="Times New Roman" w:cs="Times New Roman"/>
          <w:color w:val="000000"/>
        </w:rPr>
        <w:t>arba</w:t>
      </w:r>
    </w:p>
    <w:p w14:paraId="70DEED27" w14:textId="77777777" w:rsidR="00FA2F0D" w:rsidRDefault="00FA2F0D" w:rsidP="000C61CC">
      <w:pPr>
        <w:spacing w:after="0" w:line="240" w:lineRule="auto"/>
        <w:rPr>
          <w:rFonts w:ascii="Times New Roman" w:eastAsia="Arial Unicode MS" w:hAnsi="Times New Roman" w:cs="Times New Roman"/>
          <w:color w:val="000000"/>
        </w:rPr>
      </w:pPr>
    </w:p>
    <w:p w14:paraId="1E772580" w14:textId="77777777" w:rsidR="00FA2F0D" w:rsidRPr="008A557B" w:rsidRDefault="00FA2F0D" w:rsidP="00FA2F0D">
      <w:pPr>
        <w:tabs>
          <w:tab w:val="left" w:pos="567"/>
        </w:tabs>
        <w:spacing w:after="0" w:line="260" w:lineRule="exact"/>
        <w:rPr>
          <w:rFonts w:ascii="Times New Roman" w:eastAsia="Times New Roman" w:hAnsi="Times New Roman" w:cs="Times New Roman"/>
          <w:snapToGrid w:val="0"/>
        </w:rPr>
      </w:pPr>
      <w:r w:rsidRPr="008A557B">
        <w:rPr>
          <w:rFonts w:ascii="Times New Roman" w:eastAsia="Times New Roman" w:hAnsi="Times New Roman" w:cs="Times New Roman"/>
          <w:snapToGrid w:val="0"/>
        </w:rPr>
        <w:t>Accord Healthcare Single Member S.A.</w:t>
      </w:r>
    </w:p>
    <w:p w14:paraId="5BE650A7" w14:textId="77777777" w:rsidR="00FA2F0D" w:rsidRPr="008A557B" w:rsidRDefault="00FA2F0D" w:rsidP="00FA2F0D">
      <w:pPr>
        <w:tabs>
          <w:tab w:val="left" w:pos="567"/>
        </w:tabs>
        <w:spacing w:after="0" w:line="260" w:lineRule="exact"/>
        <w:rPr>
          <w:rFonts w:ascii="Times New Roman" w:eastAsia="Times New Roman" w:hAnsi="Times New Roman" w:cs="Times New Roman"/>
          <w:snapToGrid w:val="0"/>
        </w:rPr>
      </w:pPr>
      <w:r w:rsidRPr="008A557B">
        <w:rPr>
          <w:rFonts w:ascii="Times New Roman" w:eastAsia="Times New Roman" w:hAnsi="Times New Roman" w:cs="Times New Roman"/>
          <w:snapToGrid w:val="0"/>
        </w:rPr>
        <w:t xml:space="preserve">64th Km National Road Athens, </w:t>
      </w:r>
    </w:p>
    <w:p w14:paraId="2DB0F681" w14:textId="77777777" w:rsidR="00FA2F0D" w:rsidRDefault="00FA2F0D" w:rsidP="00FA2F0D">
      <w:pPr>
        <w:tabs>
          <w:tab w:val="left" w:pos="567"/>
        </w:tabs>
        <w:spacing w:after="0" w:line="260" w:lineRule="exact"/>
        <w:rPr>
          <w:rFonts w:ascii="Times New Roman" w:eastAsia="Times New Roman" w:hAnsi="Times New Roman" w:cs="Times New Roman"/>
          <w:snapToGrid w:val="0"/>
        </w:rPr>
      </w:pPr>
      <w:r w:rsidRPr="008A557B">
        <w:rPr>
          <w:rFonts w:ascii="Times New Roman" w:eastAsia="Times New Roman" w:hAnsi="Times New Roman" w:cs="Times New Roman"/>
          <w:snapToGrid w:val="0"/>
        </w:rPr>
        <w:t xml:space="preserve">Lamia, 32009, </w:t>
      </w:r>
      <w:r w:rsidRPr="004D2908">
        <w:rPr>
          <w:rFonts w:ascii="Times New Roman" w:eastAsia="Times New Roman" w:hAnsi="Times New Roman" w:cs="Times New Roman"/>
          <w:snapToGrid w:val="0"/>
        </w:rPr>
        <w:t>Graikija</w:t>
      </w:r>
    </w:p>
    <w:p w14:paraId="28792383" w14:textId="77777777" w:rsidR="00FA2F0D" w:rsidRPr="0047338E" w:rsidRDefault="00FA2F0D" w:rsidP="000C61CC">
      <w:pPr>
        <w:spacing w:after="0" w:line="240" w:lineRule="auto"/>
        <w:rPr>
          <w:rFonts w:ascii="Times New Roman" w:eastAsia="Arial Unicode MS" w:hAnsi="Times New Roman" w:cs="Times New Roman"/>
          <w:color w:val="000000"/>
        </w:rPr>
      </w:pPr>
    </w:p>
    <w:p w14:paraId="0C4176F4" w14:textId="40EC6D36" w:rsidR="0091590A" w:rsidRDefault="0091590A" w:rsidP="0091590A">
      <w:pPr>
        <w:numPr>
          <w:ilvl w:val="12"/>
          <w:numId w:val="0"/>
        </w:numPr>
        <w:tabs>
          <w:tab w:val="left" w:pos="567"/>
        </w:tabs>
        <w:spacing w:after="0" w:line="260" w:lineRule="exact"/>
        <w:ind w:right="-2"/>
        <w:rPr>
          <w:rFonts w:ascii="Times New Roman" w:eastAsia="Times New Roman" w:hAnsi="Times New Roman" w:cs="Times New Roman"/>
          <w:snapToGrid w:val="0"/>
        </w:rPr>
      </w:pPr>
      <w:r w:rsidRPr="0047338E">
        <w:rPr>
          <w:rFonts w:ascii="Times New Roman" w:eastAsia="Times New Roman" w:hAnsi="Times New Roman" w:cs="Times New Roman"/>
          <w:b/>
          <w:snapToGrid w:val="0"/>
        </w:rPr>
        <w:t xml:space="preserve">Šis vaistas </w:t>
      </w:r>
      <w:r w:rsidR="006B7DB6" w:rsidRPr="006B7DB6">
        <w:rPr>
          <w:rFonts w:ascii="Times New Roman" w:eastAsia="Times New Roman" w:hAnsi="Times New Roman" w:cs="Times New Roman"/>
          <w:b/>
          <w:snapToGrid w:val="0"/>
        </w:rPr>
        <w:t xml:space="preserve">Europos ekonominės erdvės </w:t>
      </w:r>
      <w:r w:rsidRPr="0047338E">
        <w:rPr>
          <w:rFonts w:ascii="Times New Roman" w:eastAsia="Times New Roman" w:hAnsi="Times New Roman" w:cs="Times New Roman"/>
          <w:b/>
          <w:snapToGrid w:val="0"/>
        </w:rPr>
        <w:t xml:space="preserve">valstybėse narėse </w:t>
      </w:r>
      <w:r w:rsidR="006B7DB6" w:rsidRPr="006B7DB6">
        <w:rPr>
          <w:rFonts w:ascii="Times New Roman" w:eastAsia="Times New Roman" w:hAnsi="Times New Roman" w:cs="Times New Roman"/>
          <w:b/>
          <w:snapToGrid w:val="0"/>
        </w:rPr>
        <w:t>ir Jungtinėje Karalystėje (Šiaurės Airijoje)</w:t>
      </w:r>
      <w:r w:rsidR="006B7DB6">
        <w:rPr>
          <w:rFonts w:ascii="Times New Roman" w:eastAsia="Times New Roman" w:hAnsi="Times New Roman" w:cs="Times New Roman"/>
          <w:b/>
          <w:snapToGrid w:val="0"/>
        </w:rPr>
        <w:t xml:space="preserve"> </w:t>
      </w:r>
      <w:r w:rsidRPr="0047338E">
        <w:rPr>
          <w:rFonts w:ascii="Times New Roman" w:eastAsia="Times New Roman" w:hAnsi="Times New Roman" w:cs="Times New Roman"/>
          <w:b/>
          <w:snapToGrid w:val="0"/>
        </w:rPr>
        <w:t>registruotas tokiais pavadinimais</w:t>
      </w:r>
      <w:r w:rsidRPr="0047338E">
        <w:rPr>
          <w:rFonts w:ascii="Times New Roman" w:eastAsia="Times New Roman" w:hAnsi="Times New Roman" w:cs="Times New Roman"/>
          <w:snapToGrid w:val="0"/>
        </w:rPr>
        <w:t>:</w:t>
      </w:r>
    </w:p>
    <w:p w14:paraId="224D2A39" w14:textId="77777777" w:rsidR="006B7DB6" w:rsidRPr="0047338E" w:rsidRDefault="006B7DB6" w:rsidP="0091590A">
      <w:pPr>
        <w:numPr>
          <w:ilvl w:val="12"/>
          <w:numId w:val="0"/>
        </w:numPr>
        <w:tabs>
          <w:tab w:val="left" w:pos="567"/>
        </w:tabs>
        <w:spacing w:after="0" w:line="260" w:lineRule="exact"/>
        <w:ind w:right="-2"/>
        <w:rPr>
          <w:rFonts w:ascii="Times New Roman" w:eastAsia="Times New Roman" w:hAnsi="Times New Roman" w:cs="Times New Roman"/>
          <w:snapToGrid w:val="0"/>
        </w:rPr>
      </w:pP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7"/>
        <w:gridCol w:w="5811"/>
      </w:tblGrid>
      <w:tr w:rsidR="0091590A" w:rsidRPr="0047338E" w14:paraId="5F297C5F" w14:textId="77777777" w:rsidTr="005014CA">
        <w:trPr>
          <w:trHeight w:val="166"/>
        </w:trPr>
        <w:tc>
          <w:tcPr>
            <w:tcW w:w="3387" w:type="dxa"/>
            <w:tcBorders>
              <w:top w:val="single" w:sz="4" w:space="0" w:color="auto"/>
              <w:left w:val="single" w:sz="4" w:space="0" w:color="auto"/>
              <w:bottom w:val="single" w:sz="4" w:space="0" w:color="auto"/>
              <w:right w:val="single" w:sz="4" w:space="0" w:color="auto"/>
            </w:tcBorders>
            <w:vAlign w:val="center"/>
            <w:hideMark/>
          </w:tcPr>
          <w:p w14:paraId="467D329A" w14:textId="77777777" w:rsidR="0091590A" w:rsidRPr="0047338E" w:rsidRDefault="0091590A" w:rsidP="0091590A">
            <w:pPr>
              <w:spacing w:after="0" w:line="240" w:lineRule="auto"/>
              <w:rPr>
                <w:rFonts w:ascii="Times New Roman" w:hAnsi="Times New Roman" w:cs="Times New Roman"/>
                <w:b/>
              </w:rPr>
            </w:pPr>
            <w:r w:rsidRPr="0047338E">
              <w:rPr>
                <w:rFonts w:ascii="Times New Roman" w:hAnsi="Times New Roman" w:cs="Times New Roman"/>
                <w:b/>
              </w:rPr>
              <w:br w:type="page"/>
              <w:t>Valstybės narės pavadinimas</w:t>
            </w:r>
          </w:p>
        </w:tc>
        <w:tc>
          <w:tcPr>
            <w:tcW w:w="5811" w:type="dxa"/>
            <w:tcBorders>
              <w:top w:val="single" w:sz="4" w:space="0" w:color="auto"/>
              <w:left w:val="single" w:sz="4" w:space="0" w:color="auto"/>
              <w:bottom w:val="single" w:sz="4" w:space="0" w:color="auto"/>
              <w:right w:val="single" w:sz="4" w:space="0" w:color="auto"/>
            </w:tcBorders>
            <w:vAlign w:val="center"/>
            <w:hideMark/>
          </w:tcPr>
          <w:p w14:paraId="4C0B0E1E" w14:textId="77777777" w:rsidR="0091590A" w:rsidRPr="0047338E" w:rsidRDefault="00613732" w:rsidP="0091590A">
            <w:pPr>
              <w:tabs>
                <w:tab w:val="left" w:pos="720"/>
                <w:tab w:val="center" w:pos="4320"/>
                <w:tab w:val="right" w:pos="8640"/>
              </w:tabs>
              <w:spacing w:after="0" w:line="240" w:lineRule="auto"/>
              <w:rPr>
                <w:rFonts w:ascii="Times New Roman" w:hAnsi="Times New Roman" w:cs="Times New Roman"/>
                <w:b/>
              </w:rPr>
            </w:pPr>
            <w:r w:rsidRPr="0047338E">
              <w:rPr>
                <w:rFonts w:ascii="Times New Roman" w:hAnsi="Times New Roman" w:cs="Times New Roman"/>
                <w:b/>
              </w:rPr>
              <w:t>Vaisto pavadinimas</w:t>
            </w:r>
          </w:p>
        </w:tc>
      </w:tr>
      <w:tr w:rsidR="0091590A" w:rsidRPr="0047338E" w14:paraId="0A881233" w14:textId="77777777" w:rsidTr="005014CA">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14:paraId="559542CB" w14:textId="42D25F56" w:rsidR="0091590A" w:rsidRPr="0047338E" w:rsidRDefault="00613732" w:rsidP="0091590A">
            <w:pPr>
              <w:spacing w:after="0" w:line="240" w:lineRule="auto"/>
              <w:rPr>
                <w:rFonts w:ascii="Times New Roman" w:hAnsi="Times New Roman" w:cs="Times New Roman"/>
              </w:rPr>
            </w:pPr>
            <w:r w:rsidRPr="0047338E">
              <w:rPr>
                <w:rFonts w:ascii="Times New Roman" w:hAnsi="Times New Roman" w:cs="Times New Roman"/>
              </w:rPr>
              <w:t>Jungtinė Karalystė</w:t>
            </w:r>
            <w:r w:rsidR="006B7DB6">
              <w:rPr>
                <w:rFonts w:ascii="Times New Roman" w:hAnsi="Times New Roman" w:cs="Times New Roman"/>
              </w:rPr>
              <w:t xml:space="preserve"> (Šiaurės Airija)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5A30505E" w14:textId="77777777" w:rsidR="0091590A" w:rsidRPr="0047338E" w:rsidRDefault="0091590A" w:rsidP="0091590A">
            <w:pPr>
              <w:spacing w:after="0" w:line="240" w:lineRule="auto"/>
              <w:rPr>
                <w:rFonts w:ascii="Times New Roman" w:hAnsi="Times New Roman" w:cs="Times New Roman"/>
              </w:rPr>
            </w:pPr>
            <w:r w:rsidRPr="0047338E">
              <w:rPr>
                <w:rFonts w:ascii="Times New Roman" w:hAnsi="Times New Roman" w:cs="Times New Roman"/>
              </w:rPr>
              <w:t>Letrozole 2.5 mg film-coated Tablets</w:t>
            </w:r>
          </w:p>
        </w:tc>
      </w:tr>
      <w:tr w:rsidR="0091590A" w:rsidRPr="0047338E" w14:paraId="45CA04D0" w14:textId="77777777" w:rsidTr="005014CA">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14:paraId="212EDF28" w14:textId="77777777" w:rsidR="0091590A" w:rsidRPr="0047338E" w:rsidRDefault="00613732" w:rsidP="0091590A">
            <w:pPr>
              <w:spacing w:after="0" w:line="240" w:lineRule="auto"/>
              <w:rPr>
                <w:rFonts w:ascii="Times New Roman" w:hAnsi="Times New Roman" w:cs="Times New Roman"/>
              </w:rPr>
            </w:pPr>
            <w:r w:rsidRPr="0047338E">
              <w:rPr>
                <w:rFonts w:ascii="Times New Roman" w:hAnsi="Times New Roman" w:cs="Times New Roman"/>
              </w:rPr>
              <w:t>Estija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1E33D6F4" w14:textId="77777777" w:rsidR="0091590A" w:rsidRPr="0047338E" w:rsidRDefault="0091590A" w:rsidP="0091590A">
            <w:pPr>
              <w:spacing w:after="0" w:line="240" w:lineRule="auto"/>
              <w:rPr>
                <w:rFonts w:ascii="Times New Roman" w:hAnsi="Times New Roman" w:cs="Times New Roman"/>
              </w:rPr>
            </w:pPr>
            <w:r w:rsidRPr="0047338E">
              <w:rPr>
                <w:rFonts w:ascii="Times New Roman" w:hAnsi="Times New Roman" w:cs="Times New Roman"/>
              </w:rPr>
              <w:t>Letrozole Accord 2.5 mg õhukese polümeerikattega tabletid</w:t>
            </w:r>
          </w:p>
        </w:tc>
      </w:tr>
      <w:tr w:rsidR="0091590A" w:rsidRPr="0047338E" w14:paraId="223BFD90" w14:textId="77777777" w:rsidTr="005014CA">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14:paraId="722785E9" w14:textId="77777777" w:rsidR="0091590A" w:rsidRPr="0047338E" w:rsidRDefault="00613732" w:rsidP="0091590A">
            <w:pPr>
              <w:spacing w:after="0" w:line="240" w:lineRule="auto"/>
              <w:rPr>
                <w:rFonts w:ascii="Times New Roman" w:hAnsi="Times New Roman" w:cs="Times New Roman"/>
              </w:rPr>
            </w:pPr>
            <w:r w:rsidRPr="0047338E">
              <w:rPr>
                <w:rFonts w:ascii="Times New Roman" w:hAnsi="Times New Roman" w:cs="Times New Roman"/>
              </w:rPr>
              <w:t>Lietuva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149407D" w14:textId="77777777" w:rsidR="0091590A" w:rsidRPr="0047338E" w:rsidRDefault="0091590A" w:rsidP="0091590A">
            <w:pPr>
              <w:spacing w:after="0" w:line="240" w:lineRule="auto"/>
              <w:rPr>
                <w:rFonts w:ascii="Times New Roman" w:hAnsi="Times New Roman" w:cs="Times New Roman"/>
              </w:rPr>
            </w:pPr>
            <w:r w:rsidRPr="0047338E">
              <w:rPr>
                <w:rFonts w:ascii="Times New Roman" w:hAnsi="Times New Roman" w:cs="Times New Roman"/>
              </w:rPr>
              <w:t xml:space="preserve">Letrozole Accord </w:t>
            </w:r>
            <w:r w:rsidR="00613732" w:rsidRPr="0047338E">
              <w:rPr>
                <w:rFonts w:ascii="Times New Roman" w:hAnsi="Times New Roman" w:cs="Times New Roman"/>
              </w:rPr>
              <w:t>2,5 </w:t>
            </w:r>
            <w:r w:rsidRPr="0047338E">
              <w:rPr>
                <w:rFonts w:ascii="Times New Roman" w:hAnsi="Times New Roman" w:cs="Times New Roman"/>
              </w:rPr>
              <w:t xml:space="preserve">mg </w:t>
            </w:r>
            <w:r w:rsidR="00613732" w:rsidRPr="0047338E">
              <w:rPr>
                <w:rFonts w:ascii="Times New Roman" w:hAnsi="Times New Roman" w:cs="Times New Roman"/>
              </w:rPr>
              <w:t>plėvele dengtos tabletė</w:t>
            </w:r>
            <w:r w:rsidRPr="0047338E">
              <w:rPr>
                <w:rFonts w:ascii="Times New Roman" w:hAnsi="Times New Roman" w:cs="Times New Roman"/>
              </w:rPr>
              <w:t>s</w:t>
            </w:r>
          </w:p>
        </w:tc>
      </w:tr>
      <w:tr w:rsidR="0091590A" w:rsidRPr="0047338E" w14:paraId="60595CD4" w14:textId="77777777" w:rsidTr="005014CA">
        <w:trPr>
          <w:trHeight w:val="288"/>
        </w:trPr>
        <w:tc>
          <w:tcPr>
            <w:tcW w:w="3387" w:type="dxa"/>
            <w:tcBorders>
              <w:top w:val="single" w:sz="4" w:space="0" w:color="auto"/>
              <w:left w:val="single" w:sz="4" w:space="0" w:color="auto"/>
              <w:bottom w:val="single" w:sz="4" w:space="0" w:color="auto"/>
              <w:right w:val="single" w:sz="4" w:space="0" w:color="auto"/>
            </w:tcBorders>
            <w:vAlign w:val="center"/>
            <w:hideMark/>
          </w:tcPr>
          <w:p w14:paraId="727B446B" w14:textId="77777777" w:rsidR="0091590A" w:rsidRPr="0047338E" w:rsidRDefault="0091590A" w:rsidP="0091590A">
            <w:pPr>
              <w:spacing w:after="0" w:line="240" w:lineRule="auto"/>
              <w:rPr>
                <w:rFonts w:ascii="Times New Roman" w:hAnsi="Times New Roman" w:cs="Times New Roman"/>
              </w:rPr>
            </w:pPr>
            <w:r w:rsidRPr="0047338E">
              <w:rPr>
                <w:rFonts w:ascii="Times New Roman" w:hAnsi="Times New Roman" w:cs="Times New Roman"/>
              </w:rPr>
              <w:t>Malta</w:t>
            </w:r>
          </w:p>
        </w:tc>
        <w:tc>
          <w:tcPr>
            <w:tcW w:w="5811" w:type="dxa"/>
            <w:tcBorders>
              <w:top w:val="single" w:sz="4" w:space="0" w:color="auto"/>
              <w:left w:val="single" w:sz="4" w:space="0" w:color="auto"/>
              <w:bottom w:val="single" w:sz="4" w:space="0" w:color="auto"/>
              <w:right w:val="single" w:sz="4" w:space="0" w:color="auto"/>
            </w:tcBorders>
            <w:vAlign w:val="center"/>
            <w:hideMark/>
          </w:tcPr>
          <w:p w14:paraId="7DFCA52B" w14:textId="77777777" w:rsidR="0091590A" w:rsidRPr="0047338E" w:rsidRDefault="0091590A" w:rsidP="0091590A">
            <w:pPr>
              <w:spacing w:after="0" w:line="240" w:lineRule="auto"/>
              <w:rPr>
                <w:rFonts w:ascii="Times New Roman" w:hAnsi="Times New Roman" w:cs="Times New Roman"/>
              </w:rPr>
            </w:pPr>
            <w:r w:rsidRPr="0047338E">
              <w:rPr>
                <w:rFonts w:ascii="Times New Roman" w:hAnsi="Times New Roman" w:cs="Times New Roman"/>
              </w:rPr>
              <w:t>Letrozole 2.5mg film-coated tablets</w:t>
            </w:r>
          </w:p>
        </w:tc>
      </w:tr>
      <w:tr w:rsidR="006B7DB6" w:rsidRPr="0047338E" w14:paraId="3019ADC8" w14:textId="77777777" w:rsidTr="006B7DB6">
        <w:trPr>
          <w:trHeight w:val="288"/>
        </w:trPr>
        <w:tc>
          <w:tcPr>
            <w:tcW w:w="3387" w:type="dxa"/>
            <w:tcBorders>
              <w:top w:val="single" w:sz="4" w:space="0" w:color="auto"/>
              <w:left w:val="single" w:sz="4" w:space="0" w:color="auto"/>
              <w:bottom w:val="single" w:sz="4" w:space="0" w:color="auto"/>
              <w:right w:val="single" w:sz="4" w:space="0" w:color="auto"/>
            </w:tcBorders>
            <w:vAlign w:val="center"/>
          </w:tcPr>
          <w:p w14:paraId="40CABC2E" w14:textId="17A3018A" w:rsidR="006B7DB6" w:rsidRPr="0047338E" w:rsidRDefault="006B7DB6" w:rsidP="0091590A">
            <w:pPr>
              <w:spacing w:after="0" w:line="240" w:lineRule="auto"/>
              <w:rPr>
                <w:rFonts w:ascii="Times New Roman" w:hAnsi="Times New Roman" w:cs="Times New Roman"/>
              </w:rPr>
            </w:pPr>
            <w:r>
              <w:rPr>
                <w:rFonts w:ascii="Times New Roman" w:hAnsi="Times New Roman" w:cs="Times New Roman"/>
              </w:rPr>
              <w:t>Lenkija</w:t>
            </w:r>
          </w:p>
        </w:tc>
        <w:tc>
          <w:tcPr>
            <w:tcW w:w="5811" w:type="dxa"/>
            <w:tcBorders>
              <w:top w:val="single" w:sz="4" w:space="0" w:color="auto"/>
              <w:left w:val="single" w:sz="4" w:space="0" w:color="auto"/>
              <w:bottom w:val="single" w:sz="4" w:space="0" w:color="auto"/>
              <w:right w:val="single" w:sz="4" w:space="0" w:color="auto"/>
            </w:tcBorders>
            <w:vAlign w:val="center"/>
          </w:tcPr>
          <w:p w14:paraId="3CA20EAC" w14:textId="20121AE5" w:rsidR="006B7DB6" w:rsidRPr="0047338E" w:rsidRDefault="006B7DB6" w:rsidP="0091590A">
            <w:pPr>
              <w:spacing w:after="0" w:line="240" w:lineRule="auto"/>
              <w:rPr>
                <w:rFonts w:ascii="Times New Roman" w:hAnsi="Times New Roman" w:cs="Times New Roman"/>
              </w:rPr>
            </w:pPr>
            <w:r w:rsidRPr="006B7DB6">
              <w:rPr>
                <w:rFonts w:ascii="Times New Roman" w:hAnsi="Times New Roman" w:cs="Times New Roman"/>
              </w:rPr>
              <w:t>Letrozole Accord</w:t>
            </w:r>
          </w:p>
        </w:tc>
      </w:tr>
    </w:tbl>
    <w:p w14:paraId="3CF9E4A5" w14:textId="77777777" w:rsidR="000C61CC" w:rsidRPr="0047338E" w:rsidRDefault="000C61CC" w:rsidP="000C61CC">
      <w:pPr>
        <w:spacing w:after="0" w:line="240" w:lineRule="auto"/>
        <w:rPr>
          <w:rFonts w:ascii="Times New Roman" w:eastAsia="SimSun" w:hAnsi="Times New Roman" w:cs="Times New Roman"/>
          <w:color w:val="000000"/>
        </w:rPr>
      </w:pPr>
    </w:p>
    <w:p w14:paraId="59C55532" w14:textId="24C88CF7" w:rsidR="000C61CC" w:rsidRPr="0047338E" w:rsidRDefault="000C61CC" w:rsidP="000C61CC">
      <w:pPr>
        <w:keepNext/>
        <w:tabs>
          <w:tab w:val="left" w:pos="567"/>
        </w:tabs>
        <w:spacing w:after="0" w:line="240" w:lineRule="auto"/>
        <w:ind w:left="567" w:hanging="567"/>
        <w:outlineLvl w:val="0"/>
        <w:rPr>
          <w:rFonts w:ascii="Times New Roman" w:eastAsia="Times New Roman" w:hAnsi="Times New Roman" w:cs="Times New Roman"/>
          <w:b/>
        </w:rPr>
      </w:pPr>
      <w:r w:rsidRPr="0047338E">
        <w:rPr>
          <w:rFonts w:ascii="Times New Roman" w:eastAsia="Times New Roman" w:hAnsi="Times New Roman" w:cs="Times New Roman"/>
          <w:b/>
        </w:rPr>
        <w:t>Šis pakuotės lapelis paskutinį kartą peržiūrėtas</w:t>
      </w:r>
      <w:r w:rsidR="00C1447A">
        <w:rPr>
          <w:rFonts w:ascii="Times New Roman" w:eastAsia="Times New Roman" w:hAnsi="Times New Roman" w:cs="Times New Roman"/>
          <w:b/>
        </w:rPr>
        <w:t xml:space="preserve"> </w:t>
      </w:r>
      <w:r w:rsidR="00325CEC">
        <w:rPr>
          <w:rFonts w:ascii="Times New Roman" w:eastAsia="Times New Roman" w:hAnsi="Times New Roman" w:cs="Times New Roman"/>
          <w:b/>
        </w:rPr>
        <w:t>2024-10-2</w:t>
      </w:r>
      <w:r w:rsidR="00C3242C">
        <w:rPr>
          <w:rFonts w:ascii="Times New Roman" w:eastAsia="Times New Roman" w:hAnsi="Times New Roman" w:cs="Times New Roman"/>
          <w:b/>
        </w:rPr>
        <w:t>9</w:t>
      </w:r>
      <w:r w:rsidRPr="0047338E">
        <w:rPr>
          <w:rFonts w:ascii="Times New Roman" w:eastAsia="Times New Roman" w:hAnsi="Times New Roman" w:cs="Times New Roman"/>
          <w:b/>
        </w:rPr>
        <w:t>.</w:t>
      </w:r>
    </w:p>
    <w:p w14:paraId="02625568" w14:textId="77777777" w:rsidR="000C61CC" w:rsidRPr="0047338E" w:rsidRDefault="000C61CC" w:rsidP="00953C38">
      <w:pPr>
        <w:spacing w:after="0" w:line="240" w:lineRule="auto"/>
        <w:rPr>
          <w:rFonts w:ascii="Times New Roman" w:hAnsi="Times New Roman" w:cs="Times New Roman"/>
          <w:color w:val="000000"/>
        </w:rPr>
      </w:pPr>
    </w:p>
    <w:p w14:paraId="11731C06" w14:textId="77777777" w:rsidR="000C61CC" w:rsidRPr="0047338E" w:rsidRDefault="000C61CC" w:rsidP="000C61CC">
      <w:pPr>
        <w:spacing w:after="0" w:line="240" w:lineRule="auto"/>
        <w:rPr>
          <w:rFonts w:ascii="Times New Roman" w:eastAsia="Times New Roman" w:hAnsi="Times New Roman" w:cs="Times New Roman"/>
        </w:rPr>
      </w:pPr>
    </w:p>
    <w:p w14:paraId="0806D03A" w14:textId="77777777" w:rsidR="000C61CC" w:rsidRPr="0047338E" w:rsidRDefault="000C61CC" w:rsidP="000C61CC">
      <w:pPr>
        <w:numPr>
          <w:ilvl w:val="12"/>
          <w:numId w:val="0"/>
        </w:numPr>
        <w:tabs>
          <w:tab w:val="left" w:pos="567"/>
        </w:tabs>
        <w:spacing w:after="0" w:line="240" w:lineRule="auto"/>
        <w:ind w:right="-2"/>
        <w:rPr>
          <w:rFonts w:ascii="Times New Roman" w:eastAsia="Times New Roman" w:hAnsi="Times New Roman" w:cs="Times New Roman"/>
          <w:snapToGrid w:val="0"/>
        </w:rPr>
      </w:pPr>
      <w:r w:rsidRPr="0047338E">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47338E">
        <w:rPr>
          <w:rFonts w:ascii="Times New Roman" w:eastAsia="Times New Roman" w:hAnsi="Times New Roman" w:cs="Times New Roman"/>
          <w:i/>
        </w:rPr>
        <w:t xml:space="preserve"> </w:t>
      </w:r>
      <w:hyperlink r:id="rId12" w:history="1">
        <w:r w:rsidRPr="0047338E">
          <w:rPr>
            <w:rFonts w:ascii="Times New Roman" w:eastAsia="SimSun" w:hAnsi="Times New Roman" w:cs="Times New Roman"/>
            <w:snapToGrid w:val="0"/>
            <w:color w:val="0000FF"/>
            <w:u w:val="single"/>
          </w:rPr>
          <w:t>http://www.vvkt.lt/</w:t>
        </w:r>
      </w:hyperlink>
      <w:r w:rsidRPr="0047338E">
        <w:rPr>
          <w:rFonts w:ascii="Times New Roman" w:eastAsia="Times New Roman" w:hAnsi="Times New Roman" w:cs="Times New Roman"/>
          <w:snapToGrid w:val="0"/>
        </w:rPr>
        <w:t>.</w:t>
      </w:r>
    </w:p>
    <w:p w14:paraId="6BBB8E14" w14:textId="77777777" w:rsidR="00353F96" w:rsidRPr="0047338E" w:rsidRDefault="00353F96" w:rsidP="00353F96">
      <w:pPr>
        <w:spacing w:after="0" w:line="240" w:lineRule="auto"/>
        <w:rPr>
          <w:rFonts w:ascii="Times New Roman" w:hAnsi="Times New Roman" w:cs="Times New Roman"/>
        </w:rPr>
      </w:pPr>
    </w:p>
    <w:p w14:paraId="182D71A1" w14:textId="77777777" w:rsidR="00D42913" w:rsidRPr="0047338E" w:rsidRDefault="00D42913" w:rsidP="00550938">
      <w:pPr>
        <w:spacing w:after="0" w:line="240" w:lineRule="auto"/>
        <w:rPr>
          <w:rFonts w:ascii="Times New Roman" w:hAnsi="Times New Roman" w:cs="Times New Roman"/>
        </w:rPr>
      </w:pPr>
    </w:p>
    <w:sectPr w:rsidR="00D42913" w:rsidRPr="0047338E" w:rsidSect="009453E6">
      <w:headerReference w:type="default" r:id="rId13"/>
      <w:footerReference w:type="even" r:id="rId14"/>
      <w:footerReference w:type="default" r:id="rId15"/>
      <w:pgSz w:w="11906" w:h="16838"/>
      <w:pgMar w:top="1134" w:right="1418"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4E67F3" w14:textId="77777777" w:rsidR="00B3385D" w:rsidRDefault="00B3385D">
      <w:pPr>
        <w:spacing w:after="0" w:line="240" w:lineRule="auto"/>
      </w:pPr>
      <w:r>
        <w:separator/>
      </w:r>
    </w:p>
  </w:endnote>
  <w:endnote w:type="continuationSeparator" w:id="0">
    <w:p w14:paraId="03340DF0" w14:textId="77777777" w:rsidR="00B3385D" w:rsidRDefault="00B3385D">
      <w:pPr>
        <w:spacing w:after="0" w:line="240" w:lineRule="auto"/>
      </w:pPr>
      <w:r>
        <w:continuationSeparator/>
      </w:r>
    </w:p>
  </w:endnote>
  <w:endnote w:type="continuationNotice" w:id="1">
    <w:p w14:paraId="581FF299" w14:textId="77777777" w:rsidR="00B3385D" w:rsidRDefault="00B338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0002EFF" w:usb1="C000247B"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BA"/>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6CE7B6" w14:textId="77777777" w:rsidR="005010B1" w:rsidRDefault="005010B1" w:rsidP="00345D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7</w:t>
    </w:r>
    <w:r>
      <w:rPr>
        <w:rStyle w:val="Puslapionumeris"/>
      </w:rPr>
      <w:fldChar w:fldCharType="end"/>
    </w:r>
  </w:p>
  <w:p w14:paraId="4701E9C3" w14:textId="77777777" w:rsidR="005010B1" w:rsidRDefault="005010B1" w:rsidP="00345D8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7CAAD" w14:textId="06A80080" w:rsidR="005010B1" w:rsidRDefault="005010B1" w:rsidP="00345D82">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6C29DE">
      <w:rPr>
        <w:rStyle w:val="Puslapionumeris"/>
        <w:noProof/>
      </w:rPr>
      <w:t>1</w:t>
    </w:r>
    <w:r>
      <w:rPr>
        <w:rStyle w:val="Puslapionumeris"/>
      </w:rPr>
      <w:fldChar w:fldCharType="end"/>
    </w:r>
  </w:p>
  <w:p w14:paraId="20A71090" w14:textId="77777777" w:rsidR="005010B1" w:rsidRDefault="005010B1" w:rsidP="00345D8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81C9DC" w14:textId="77777777" w:rsidR="00B3385D" w:rsidRDefault="00B3385D">
      <w:pPr>
        <w:spacing w:after="0" w:line="240" w:lineRule="auto"/>
      </w:pPr>
      <w:r>
        <w:separator/>
      </w:r>
    </w:p>
  </w:footnote>
  <w:footnote w:type="continuationSeparator" w:id="0">
    <w:p w14:paraId="4DD68E67" w14:textId="77777777" w:rsidR="00B3385D" w:rsidRDefault="00B3385D">
      <w:pPr>
        <w:spacing w:after="0" w:line="240" w:lineRule="auto"/>
      </w:pPr>
      <w:r>
        <w:continuationSeparator/>
      </w:r>
    </w:p>
  </w:footnote>
  <w:footnote w:type="continuationNotice" w:id="1">
    <w:p w14:paraId="2027FA00" w14:textId="77777777" w:rsidR="00B3385D" w:rsidRDefault="00B3385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FB9AAD" w14:textId="77777777" w:rsidR="00B3385D" w:rsidRDefault="00B3385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03BC9"/>
    <w:multiLevelType w:val="hybridMultilevel"/>
    <w:tmpl w:val="ABEAAF00"/>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877769D"/>
    <w:multiLevelType w:val="hybridMultilevel"/>
    <w:tmpl w:val="5A9A207C"/>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B7C51A9"/>
    <w:multiLevelType w:val="hybridMultilevel"/>
    <w:tmpl w:val="20C465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DB7935"/>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107450"/>
    <w:multiLevelType w:val="hybridMultilevel"/>
    <w:tmpl w:val="DB722530"/>
    <w:lvl w:ilvl="0" w:tplc="89C4B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51BBC"/>
    <w:multiLevelType w:val="hybridMultilevel"/>
    <w:tmpl w:val="76CA9CF0"/>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277038A"/>
    <w:multiLevelType w:val="hybridMultilevel"/>
    <w:tmpl w:val="016CCECC"/>
    <w:lvl w:ilvl="0" w:tplc="2626EAE4">
      <w:start w:val="1"/>
      <w:numFmt w:val="bullet"/>
      <w:lvlText w:val=""/>
      <w:lvlJc w:val="left"/>
      <w:pPr>
        <w:tabs>
          <w:tab w:val="num" w:pos="567"/>
        </w:tabs>
        <w:ind w:left="567" w:hanging="56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DB4C2A"/>
    <w:multiLevelType w:val="hybridMultilevel"/>
    <w:tmpl w:val="6742D94C"/>
    <w:lvl w:ilvl="0" w:tplc="89C4BA8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72351B6"/>
    <w:multiLevelType w:val="hybridMultilevel"/>
    <w:tmpl w:val="E23CC40A"/>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8D6F97"/>
    <w:multiLevelType w:val="hybridMultilevel"/>
    <w:tmpl w:val="63F64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3324A1"/>
    <w:multiLevelType w:val="hybridMultilevel"/>
    <w:tmpl w:val="4094F2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224728BE"/>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D62C1"/>
    <w:multiLevelType w:val="hybridMultilevel"/>
    <w:tmpl w:val="8FC84C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7842EDE"/>
    <w:multiLevelType w:val="hybridMultilevel"/>
    <w:tmpl w:val="76C256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DFA1AD8"/>
    <w:multiLevelType w:val="hybridMultilevel"/>
    <w:tmpl w:val="C3C62986"/>
    <w:lvl w:ilvl="0" w:tplc="70DC2D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0F02CEA"/>
    <w:multiLevelType w:val="hybridMultilevel"/>
    <w:tmpl w:val="CEFAC6DC"/>
    <w:lvl w:ilvl="0" w:tplc="6B76F48A">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E418D6"/>
    <w:multiLevelType w:val="hybridMultilevel"/>
    <w:tmpl w:val="1096A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709160D"/>
    <w:multiLevelType w:val="hybridMultilevel"/>
    <w:tmpl w:val="29A0424E"/>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07A4205"/>
    <w:multiLevelType w:val="hybridMultilevel"/>
    <w:tmpl w:val="59EC0E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4F0FBC"/>
    <w:multiLevelType w:val="hybridMultilevel"/>
    <w:tmpl w:val="D3003640"/>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E03076B"/>
    <w:multiLevelType w:val="hybridMultilevel"/>
    <w:tmpl w:val="95B4C4E8"/>
    <w:lvl w:ilvl="0" w:tplc="955EB81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B6692E"/>
    <w:multiLevelType w:val="hybridMultilevel"/>
    <w:tmpl w:val="8E500EF8"/>
    <w:lvl w:ilvl="0" w:tplc="FFFFFFFF">
      <w:start w:val="1"/>
      <w:numFmt w:val="bullet"/>
      <w:lvlText w:val="-"/>
      <w:lvlJc w:val="left"/>
      <w:pPr>
        <w:tabs>
          <w:tab w:val="num" w:pos="851"/>
        </w:tabs>
        <w:ind w:left="0" w:firstLine="0"/>
      </w:pPr>
      <w:rPr>
        <w:rFonts w:ascii="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C1406B3"/>
    <w:multiLevelType w:val="hybridMultilevel"/>
    <w:tmpl w:val="5830BCB6"/>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C3C0ACF"/>
    <w:multiLevelType w:val="hybridMultilevel"/>
    <w:tmpl w:val="DE4A53EA"/>
    <w:lvl w:ilvl="0" w:tplc="04090001">
      <w:start w:val="1"/>
      <w:numFmt w:val="bullet"/>
      <w:lvlText w:val=""/>
      <w:lvlJc w:val="left"/>
      <w:pPr>
        <w:tabs>
          <w:tab w:val="num" w:pos="720"/>
        </w:tabs>
        <w:ind w:left="720" w:hanging="360"/>
      </w:pPr>
      <w:rPr>
        <w:rFonts w:ascii="Symbol" w:hAnsi="Symbol" w:hint="default"/>
      </w:rPr>
    </w:lvl>
    <w:lvl w:ilvl="1" w:tplc="B0C85D42">
      <w:start w:val="1"/>
      <w:numFmt w:val="bullet"/>
      <w:lvlText w:val="-"/>
      <w:lvlJc w:val="left"/>
      <w:pPr>
        <w:tabs>
          <w:tab w:val="num" w:pos="1800"/>
        </w:tabs>
        <w:ind w:left="1800" w:hanging="72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2C29C8"/>
    <w:multiLevelType w:val="hybridMultilevel"/>
    <w:tmpl w:val="3004625C"/>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cs="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cs="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cs="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5" w15:restartNumberingAfterBreak="0">
    <w:nsid w:val="752D0235"/>
    <w:multiLevelType w:val="hybridMultilevel"/>
    <w:tmpl w:val="957C32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8900494"/>
    <w:multiLevelType w:val="hybridMultilevel"/>
    <w:tmpl w:val="B27A7F9A"/>
    <w:lvl w:ilvl="0" w:tplc="CE5E783C">
      <w:start w:val="1"/>
      <w:numFmt w:val="bullet"/>
      <w:lvlText w:val=""/>
      <w:lvlJc w:val="left"/>
      <w:pPr>
        <w:tabs>
          <w:tab w:val="num" w:pos="720"/>
        </w:tabs>
        <w:ind w:left="720" w:hanging="360"/>
      </w:pPr>
      <w:rPr>
        <w:rFonts w:ascii="Symbol" w:hAnsi="Symbol" w:hint="default"/>
        <w:sz w:val="16"/>
      </w:rPr>
    </w:lvl>
    <w:lvl w:ilvl="1" w:tplc="3884ADD8">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B7F1107"/>
    <w:multiLevelType w:val="hybridMultilevel"/>
    <w:tmpl w:val="A1966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F646CB6"/>
    <w:multiLevelType w:val="hybridMultilevel"/>
    <w:tmpl w:val="8D603EF8"/>
    <w:lvl w:ilvl="0" w:tplc="45C2B5F6">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5"/>
  </w:num>
  <w:num w:numId="2">
    <w:abstractNumId w:val="6"/>
  </w:num>
  <w:num w:numId="3">
    <w:abstractNumId w:val="5"/>
  </w:num>
  <w:num w:numId="4">
    <w:abstractNumId w:val="21"/>
  </w:num>
  <w:num w:numId="5">
    <w:abstractNumId w:val="23"/>
  </w:num>
  <w:num w:numId="6">
    <w:abstractNumId w:val="26"/>
  </w:num>
  <w:num w:numId="7">
    <w:abstractNumId w:val="11"/>
  </w:num>
  <w:num w:numId="8">
    <w:abstractNumId w:val="18"/>
  </w:num>
  <w:num w:numId="9">
    <w:abstractNumId w:val="3"/>
  </w:num>
  <w:num w:numId="10">
    <w:abstractNumId w:val="13"/>
  </w:num>
  <w:num w:numId="11">
    <w:abstractNumId w:val="19"/>
  </w:num>
  <w:num w:numId="12">
    <w:abstractNumId w:val="24"/>
  </w:num>
  <w:num w:numId="13">
    <w:abstractNumId w:val="25"/>
  </w:num>
  <w:num w:numId="14">
    <w:abstractNumId w:val="2"/>
  </w:num>
  <w:num w:numId="15">
    <w:abstractNumId w:val="27"/>
  </w:num>
  <w:num w:numId="16">
    <w:abstractNumId w:val="12"/>
  </w:num>
  <w:num w:numId="17">
    <w:abstractNumId w:val="0"/>
  </w:num>
  <w:num w:numId="18">
    <w:abstractNumId w:val="22"/>
  </w:num>
  <w:num w:numId="19">
    <w:abstractNumId w:val="8"/>
  </w:num>
  <w:num w:numId="20">
    <w:abstractNumId w:val="17"/>
  </w:num>
  <w:num w:numId="21">
    <w:abstractNumId w:val="28"/>
  </w:num>
  <w:num w:numId="22">
    <w:abstractNumId w:val="1"/>
  </w:num>
  <w:num w:numId="23">
    <w:abstractNumId w:val="16"/>
  </w:num>
  <w:num w:numId="24">
    <w:abstractNumId w:val="9"/>
  </w:num>
  <w:num w:numId="25">
    <w:abstractNumId w:val="4"/>
  </w:num>
  <w:num w:numId="26">
    <w:abstractNumId w:val="14"/>
  </w:num>
  <w:num w:numId="27">
    <w:abstractNumId w:val="7"/>
  </w:num>
  <w:num w:numId="28">
    <w:abstractNumId w:val="10"/>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readOnly" w:enforcement="0"/>
  <w:defaultTabStop w:val="1298"/>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1CC"/>
    <w:rsid w:val="000218E6"/>
    <w:rsid w:val="00031E3A"/>
    <w:rsid w:val="0005799E"/>
    <w:rsid w:val="000A65CF"/>
    <w:rsid w:val="000C61CC"/>
    <w:rsid w:val="00127912"/>
    <w:rsid w:val="00146A44"/>
    <w:rsid w:val="00147E4E"/>
    <w:rsid w:val="0016471A"/>
    <w:rsid w:val="00174215"/>
    <w:rsid w:val="001801CC"/>
    <w:rsid w:val="0018617B"/>
    <w:rsid w:val="0019523A"/>
    <w:rsid w:val="001C6927"/>
    <w:rsid w:val="001E30A7"/>
    <w:rsid w:val="002008E4"/>
    <w:rsid w:val="00214E92"/>
    <w:rsid w:val="00220EEB"/>
    <w:rsid w:val="00257A5F"/>
    <w:rsid w:val="00266B6B"/>
    <w:rsid w:val="003147BF"/>
    <w:rsid w:val="003219C0"/>
    <w:rsid w:val="00325CEC"/>
    <w:rsid w:val="00345D82"/>
    <w:rsid w:val="00353F96"/>
    <w:rsid w:val="00376711"/>
    <w:rsid w:val="00390462"/>
    <w:rsid w:val="00390F01"/>
    <w:rsid w:val="003E14C3"/>
    <w:rsid w:val="003E2530"/>
    <w:rsid w:val="004112CC"/>
    <w:rsid w:val="00411337"/>
    <w:rsid w:val="00424009"/>
    <w:rsid w:val="00430FB9"/>
    <w:rsid w:val="0046242F"/>
    <w:rsid w:val="0047338E"/>
    <w:rsid w:val="004923A1"/>
    <w:rsid w:val="004C1D3F"/>
    <w:rsid w:val="004C6769"/>
    <w:rsid w:val="004D4AF4"/>
    <w:rsid w:val="004E30CE"/>
    <w:rsid w:val="005010B1"/>
    <w:rsid w:val="005014CA"/>
    <w:rsid w:val="00527564"/>
    <w:rsid w:val="00536DB6"/>
    <w:rsid w:val="00550938"/>
    <w:rsid w:val="005540D8"/>
    <w:rsid w:val="0058038C"/>
    <w:rsid w:val="0058632E"/>
    <w:rsid w:val="00587793"/>
    <w:rsid w:val="00595336"/>
    <w:rsid w:val="005A4FE8"/>
    <w:rsid w:val="005C6900"/>
    <w:rsid w:val="005D7483"/>
    <w:rsid w:val="00613732"/>
    <w:rsid w:val="0063045A"/>
    <w:rsid w:val="00635E35"/>
    <w:rsid w:val="00635FAD"/>
    <w:rsid w:val="006409E1"/>
    <w:rsid w:val="006661BE"/>
    <w:rsid w:val="006B7DB6"/>
    <w:rsid w:val="006C1F8E"/>
    <w:rsid w:val="006C29DE"/>
    <w:rsid w:val="007200C8"/>
    <w:rsid w:val="0077718A"/>
    <w:rsid w:val="0078492C"/>
    <w:rsid w:val="0079146E"/>
    <w:rsid w:val="007E2ED1"/>
    <w:rsid w:val="00812426"/>
    <w:rsid w:val="00847F57"/>
    <w:rsid w:val="008B23C0"/>
    <w:rsid w:val="008B4D37"/>
    <w:rsid w:val="008C4D3E"/>
    <w:rsid w:val="0091590A"/>
    <w:rsid w:val="009453E6"/>
    <w:rsid w:val="00945B2E"/>
    <w:rsid w:val="00946C48"/>
    <w:rsid w:val="00950C93"/>
    <w:rsid w:val="00952841"/>
    <w:rsid w:val="00952B1A"/>
    <w:rsid w:val="00953C38"/>
    <w:rsid w:val="00974847"/>
    <w:rsid w:val="00991C5C"/>
    <w:rsid w:val="00997530"/>
    <w:rsid w:val="009A65C3"/>
    <w:rsid w:val="009B6A01"/>
    <w:rsid w:val="009C18F0"/>
    <w:rsid w:val="00A009F3"/>
    <w:rsid w:val="00A36E85"/>
    <w:rsid w:val="00A7614B"/>
    <w:rsid w:val="00A82A63"/>
    <w:rsid w:val="00A929F2"/>
    <w:rsid w:val="00AC0016"/>
    <w:rsid w:val="00AD2F72"/>
    <w:rsid w:val="00AD4863"/>
    <w:rsid w:val="00AE2A33"/>
    <w:rsid w:val="00AF074E"/>
    <w:rsid w:val="00AF4550"/>
    <w:rsid w:val="00B21EF7"/>
    <w:rsid w:val="00B25B18"/>
    <w:rsid w:val="00B3385D"/>
    <w:rsid w:val="00B61221"/>
    <w:rsid w:val="00B81ABB"/>
    <w:rsid w:val="00BF2920"/>
    <w:rsid w:val="00BF5996"/>
    <w:rsid w:val="00C1447A"/>
    <w:rsid w:val="00C21DD1"/>
    <w:rsid w:val="00C3242C"/>
    <w:rsid w:val="00C75CA4"/>
    <w:rsid w:val="00CA1674"/>
    <w:rsid w:val="00CA5837"/>
    <w:rsid w:val="00CB10B5"/>
    <w:rsid w:val="00CE18E4"/>
    <w:rsid w:val="00CE38F5"/>
    <w:rsid w:val="00D07ECE"/>
    <w:rsid w:val="00D33F7E"/>
    <w:rsid w:val="00D42913"/>
    <w:rsid w:val="00D72FD8"/>
    <w:rsid w:val="00D7435E"/>
    <w:rsid w:val="00D97636"/>
    <w:rsid w:val="00DA25B3"/>
    <w:rsid w:val="00DA67E2"/>
    <w:rsid w:val="00DB0D78"/>
    <w:rsid w:val="00DB59F4"/>
    <w:rsid w:val="00E161D6"/>
    <w:rsid w:val="00E24C0C"/>
    <w:rsid w:val="00E31B28"/>
    <w:rsid w:val="00E62A9B"/>
    <w:rsid w:val="00E64618"/>
    <w:rsid w:val="00E731AC"/>
    <w:rsid w:val="00EB459A"/>
    <w:rsid w:val="00EE6A32"/>
    <w:rsid w:val="00EE6E77"/>
    <w:rsid w:val="00F1132A"/>
    <w:rsid w:val="00F12EFE"/>
    <w:rsid w:val="00FA2F0D"/>
    <w:rsid w:val="00FB60FF"/>
    <w:rsid w:val="00FF2E9B"/>
  </w:rsids>
  <m:mathPr>
    <m:mathFont m:val="Cambria Math"/>
    <m:brkBin m:val="before"/>
    <m:brkBinSub m:val="--"/>
    <m:smallFrac m:val="0"/>
    <m:dispDef/>
    <m:lMargin m:val="0"/>
    <m:rMargin m:val="0"/>
    <m:defJc m:val="centerGroup"/>
    <m:wrapIndent m:val="1440"/>
    <m:intLim m:val="subSup"/>
    <m:naryLim m:val="undOvr"/>
  </m:mathPr>
  <w:themeFontLang w:val="lt-LT"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5500A"/>
  <w15:docId w15:val="{194FC8F5-8D0E-4A24-8DA3-7F9014F64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45B2E"/>
  </w:style>
  <w:style w:type="paragraph" w:styleId="Antrat1">
    <w:name w:val="heading 1"/>
    <w:basedOn w:val="prastasis"/>
    <w:next w:val="prastasis"/>
    <w:link w:val="Antrat1Diagrama"/>
    <w:qFormat/>
    <w:rsid w:val="000C61CC"/>
    <w:pPr>
      <w:keepNext/>
      <w:tabs>
        <w:tab w:val="left" w:pos="567"/>
      </w:tabs>
      <w:spacing w:after="0" w:line="240" w:lineRule="auto"/>
      <w:ind w:left="567" w:hanging="567"/>
      <w:outlineLvl w:val="0"/>
    </w:pPr>
    <w:rPr>
      <w:rFonts w:ascii="Times New Roman" w:eastAsia="Times New Roman" w:hAnsi="Times New Roman" w:cs="Times New Roman"/>
      <w:b/>
    </w:rPr>
  </w:style>
  <w:style w:type="paragraph" w:styleId="Antrat2">
    <w:name w:val="heading 2"/>
    <w:basedOn w:val="Antrat1"/>
    <w:next w:val="prastasis"/>
    <w:link w:val="Antrat2Diagrama"/>
    <w:qFormat/>
    <w:rsid w:val="000C61CC"/>
    <w:pPr>
      <w:outlineLvl w:val="1"/>
    </w:pPr>
    <w:rPr>
      <w:caps/>
    </w:rPr>
  </w:style>
  <w:style w:type="paragraph" w:styleId="Antrat3">
    <w:name w:val="heading 3"/>
    <w:basedOn w:val="prastasis"/>
    <w:next w:val="prastasis"/>
    <w:link w:val="Antrat3Diagrama"/>
    <w:qFormat/>
    <w:rsid w:val="000C61CC"/>
    <w:pPr>
      <w:keepNext/>
      <w:spacing w:before="240" w:after="60" w:line="240" w:lineRule="auto"/>
      <w:outlineLvl w:val="2"/>
    </w:pPr>
    <w:rPr>
      <w:rFonts w:ascii="Arial" w:eastAsia="Times New Roman" w:hAnsi="Arial" w:cs="Arial"/>
      <w:b/>
      <w:bCs/>
      <w:sz w:val="26"/>
      <w:szCs w:val="26"/>
    </w:rPr>
  </w:style>
  <w:style w:type="paragraph" w:styleId="Antrat4">
    <w:name w:val="heading 4"/>
    <w:basedOn w:val="prastasis"/>
    <w:next w:val="prastasis"/>
    <w:link w:val="Antrat4Diagrama"/>
    <w:qFormat/>
    <w:rsid w:val="000C61CC"/>
    <w:pPr>
      <w:keepNext/>
      <w:spacing w:after="0" w:line="240" w:lineRule="auto"/>
      <w:jc w:val="both"/>
      <w:outlineLvl w:val="3"/>
    </w:pPr>
    <w:rPr>
      <w:rFonts w:ascii="Times New Roman" w:eastAsia="Times New Roman" w:hAnsi="Times New Roman" w:cs="Times New Roman"/>
      <w:b/>
      <w:noProof/>
      <w:sz w:val="24"/>
      <w:szCs w:val="24"/>
    </w:rPr>
  </w:style>
  <w:style w:type="paragraph" w:styleId="Antrat5">
    <w:name w:val="heading 5"/>
    <w:basedOn w:val="prastasis"/>
    <w:next w:val="prastasis"/>
    <w:link w:val="Antrat5Diagrama"/>
    <w:qFormat/>
    <w:rsid w:val="000C61CC"/>
    <w:pPr>
      <w:keepNext/>
      <w:spacing w:after="0" w:line="240" w:lineRule="auto"/>
      <w:jc w:val="both"/>
      <w:outlineLvl w:val="4"/>
    </w:pPr>
    <w:rPr>
      <w:rFonts w:ascii="Times New Roman" w:eastAsia="Times New Roman" w:hAnsi="Times New Roman" w:cs="Times New Roman"/>
      <w:noProof/>
      <w:sz w:val="24"/>
      <w:szCs w:val="24"/>
    </w:rPr>
  </w:style>
  <w:style w:type="paragraph" w:styleId="Antrat6">
    <w:name w:val="heading 6"/>
    <w:basedOn w:val="prastasis"/>
    <w:next w:val="prastasis"/>
    <w:link w:val="Antrat6Diagrama"/>
    <w:qFormat/>
    <w:rsid w:val="000C61CC"/>
    <w:pPr>
      <w:keepNext/>
      <w:tabs>
        <w:tab w:val="left" w:pos="-720"/>
        <w:tab w:val="left" w:pos="4536"/>
      </w:tabs>
      <w:suppressAutoHyphens/>
      <w:spacing w:after="0" w:line="240" w:lineRule="auto"/>
      <w:outlineLvl w:val="5"/>
    </w:pPr>
    <w:rPr>
      <w:rFonts w:ascii="Times New Roman" w:eastAsia="Times New Roman" w:hAnsi="Times New Roman" w:cs="Times New Roman"/>
      <w:i/>
      <w:sz w:val="24"/>
      <w:szCs w:val="24"/>
    </w:rPr>
  </w:style>
  <w:style w:type="paragraph" w:styleId="Antrat7">
    <w:name w:val="heading 7"/>
    <w:basedOn w:val="prastasis"/>
    <w:next w:val="prastasis"/>
    <w:link w:val="Antrat7Diagrama"/>
    <w:qFormat/>
    <w:rsid w:val="000C61CC"/>
    <w:pPr>
      <w:keepNext/>
      <w:tabs>
        <w:tab w:val="left" w:pos="-720"/>
        <w:tab w:val="left" w:pos="4536"/>
      </w:tabs>
      <w:suppressAutoHyphens/>
      <w:spacing w:after="0" w:line="240" w:lineRule="auto"/>
      <w:jc w:val="both"/>
      <w:outlineLvl w:val="6"/>
    </w:pPr>
    <w:rPr>
      <w:rFonts w:ascii="Times New Roman" w:eastAsia="Times New Roman" w:hAnsi="Times New Roman" w:cs="Times New Roman"/>
      <w:i/>
      <w:sz w:val="24"/>
      <w:szCs w:val="24"/>
    </w:rPr>
  </w:style>
  <w:style w:type="paragraph" w:styleId="Antrat8">
    <w:name w:val="heading 8"/>
    <w:basedOn w:val="prastasis"/>
    <w:next w:val="prastasis"/>
    <w:link w:val="Antrat8Diagrama"/>
    <w:qFormat/>
    <w:rsid w:val="000C61CC"/>
    <w:pPr>
      <w:keepNext/>
      <w:spacing w:after="0" w:line="240" w:lineRule="auto"/>
      <w:ind w:left="567" w:hanging="567"/>
      <w:jc w:val="both"/>
      <w:outlineLvl w:val="7"/>
    </w:pPr>
    <w:rPr>
      <w:rFonts w:ascii="Times New Roman" w:eastAsia="Times New Roman" w:hAnsi="Times New Roman" w:cs="Times New Roman"/>
      <w:b/>
      <w:i/>
      <w:sz w:val="24"/>
      <w:szCs w:val="24"/>
    </w:rPr>
  </w:style>
  <w:style w:type="paragraph" w:styleId="Antrat9">
    <w:name w:val="heading 9"/>
    <w:basedOn w:val="prastasis"/>
    <w:next w:val="prastasis"/>
    <w:link w:val="Antrat9Diagrama"/>
    <w:qFormat/>
    <w:rsid w:val="000C61CC"/>
    <w:pPr>
      <w:keepNext/>
      <w:spacing w:after="0" w:line="240" w:lineRule="auto"/>
      <w:jc w:val="both"/>
      <w:outlineLvl w:val="8"/>
    </w:pPr>
    <w:rPr>
      <w:rFonts w:ascii="Times New Roman" w:eastAsia="Times New Roman" w:hAnsi="Times New Roman" w:cs="Times New Roman"/>
      <w:b/>
      <w:i/>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C61CC"/>
    <w:rPr>
      <w:rFonts w:ascii="Times New Roman" w:eastAsia="Times New Roman" w:hAnsi="Times New Roman" w:cs="Times New Roman"/>
      <w:b/>
    </w:rPr>
  </w:style>
  <w:style w:type="character" w:customStyle="1" w:styleId="Antrat2Diagrama">
    <w:name w:val="Antraštė 2 Diagrama"/>
    <w:basedOn w:val="Numatytasispastraiposriftas"/>
    <w:link w:val="Antrat2"/>
    <w:rsid w:val="000C61CC"/>
    <w:rPr>
      <w:rFonts w:ascii="Times New Roman" w:eastAsia="Times New Roman" w:hAnsi="Times New Roman" w:cs="Times New Roman"/>
      <w:b/>
      <w:caps/>
    </w:rPr>
  </w:style>
  <w:style w:type="character" w:customStyle="1" w:styleId="Antrat3Diagrama">
    <w:name w:val="Antraštė 3 Diagrama"/>
    <w:basedOn w:val="Numatytasispastraiposriftas"/>
    <w:link w:val="Antrat3"/>
    <w:rsid w:val="000C61CC"/>
    <w:rPr>
      <w:rFonts w:ascii="Arial" w:eastAsia="Times New Roman" w:hAnsi="Arial" w:cs="Arial"/>
      <w:b/>
      <w:bCs/>
      <w:sz w:val="26"/>
      <w:szCs w:val="26"/>
    </w:rPr>
  </w:style>
  <w:style w:type="character" w:customStyle="1" w:styleId="Antrat4Diagrama">
    <w:name w:val="Antraštė 4 Diagrama"/>
    <w:basedOn w:val="Numatytasispastraiposriftas"/>
    <w:link w:val="Antrat4"/>
    <w:rsid w:val="000C61CC"/>
    <w:rPr>
      <w:rFonts w:ascii="Times New Roman" w:eastAsia="Times New Roman" w:hAnsi="Times New Roman" w:cs="Times New Roman"/>
      <w:b/>
      <w:noProof/>
      <w:sz w:val="24"/>
      <w:szCs w:val="24"/>
    </w:rPr>
  </w:style>
  <w:style w:type="character" w:customStyle="1" w:styleId="Antrat5Diagrama">
    <w:name w:val="Antraštė 5 Diagrama"/>
    <w:basedOn w:val="Numatytasispastraiposriftas"/>
    <w:link w:val="Antrat5"/>
    <w:rsid w:val="000C61CC"/>
    <w:rPr>
      <w:rFonts w:ascii="Times New Roman" w:eastAsia="Times New Roman" w:hAnsi="Times New Roman" w:cs="Times New Roman"/>
      <w:noProof/>
      <w:sz w:val="24"/>
      <w:szCs w:val="24"/>
    </w:rPr>
  </w:style>
  <w:style w:type="character" w:customStyle="1" w:styleId="Antrat6Diagrama">
    <w:name w:val="Antraštė 6 Diagrama"/>
    <w:basedOn w:val="Numatytasispastraiposriftas"/>
    <w:link w:val="Antrat6"/>
    <w:rsid w:val="000C61CC"/>
    <w:rPr>
      <w:rFonts w:ascii="Times New Roman" w:eastAsia="Times New Roman" w:hAnsi="Times New Roman" w:cs="Times New Roman"/>
      <w:i/>
      <w:sz w:val="24"/>
      <w:szCs w:val="24"/>
    </w:rPr>
  </w:style>
  <w:style w:type="character" w:customStyle="1" w:styleId="Antrat7Diagrama">
    <w:name w:val="Antraštė 7 Diagrama"/>
    <w:basedOn w:val="Numatytasispastraiposriftas"/>
    <w:link w:val="Antrat7"/>
    <w:rsid w:val="000C61CC"/>
    <w:rPr>
      <w:rFonts w:ascii="Times New Roman" w:eastAsia="Times New Roman" w:hAnsi="Times New Roman" w:cs="Times New Roman"/>
      <w:i/>
      <w:sz w:val="24"/>
      <w:szCs w:val="24"/>
    </w:rPr>
  </w:style>
  <w:style w:type="character" w:customStyle="1" w:styleId="Antrat8Diagrama">
    <w:name w:val="Antraštė 8 Diagrama"/>
    <w:basedOn w:val="Numatytasispastraiposriftas"/>
    <w:link w:val="Antrat8"/>
    <w:rsid w:val="000C61CC"/>
    <w:rPr>
      <w:rFonts w:ascii="Times New Roman" w:eastAsia="Times New Roman" w:hAnsi="Times New Roman" w:cs="Times New Roman"/>
      <w:b/>
      <w:i/>
      <w:sz w:val="24"/>
      <w:szCs w:val="24"/>
    </w:rPr>
  </w:style>
  <w:style w:type="character" w:customStyle="1" w:styleId="Antrat9Diagrama">
    <w:name w:val="Antraštė 9 Diagrama"/>
    <w:basedOn w:val="Numatytasispastraiposriftas"/>
    <w:link w:val="Antrat9"/>
    <w:rsid w:val="000C61CC"/>
    <w:rPr>
      <w:rFonts w:ascii="Times New Roman" w:eastAsia="Times New Roman" w:hAnsi="Times New Roman" w:cs="Times New Roman"/>
      <w:b/>
      <w:i/>
      <w:sz w:val="24"/>
      <w:szCs w:val="24"/>
    </w:rPr>
  </w:style>
  <w:style w:type="numbering" w:customStyle="1" w:styleId="Sraonra1">
    <w:name w:val="Sąrašo nėra1"/>
    <w:next w:val="Sraonra"/>
    <w:uiPriority w:val="99"/>
    <w:semiHidden/>
    <w:unhideWhenUsed/>
    <w:rsid w:val="000C61CC"/>
  </w:style>
  <w:style w:type="paragraph" w:styleId="Antrat">
    <w:name w:val="caption"/>
    <w:basedOn w:val="prastasis"/>
    <w:next w:val="prastasis"/>
    <w:qFormat/>
    <w:rsid w:val="000C61CC"/>
    <w:pPr>
      <w:spacing w:after="0" w:line="240" w:lineRule="auto"/>
    </w:pPr>
    <w:rPr>
      <w:rFonts w:ascii="Times New Roman" w:eastAsia="Times New Roman" w:hAnsi="Times New Roman" w:cs="Times New Roman"/>
      <w:bCs/>
      <w:szCs w:val="24"/>
      <w:u w:val="single"/>
      <w:lang w:val="de-DE"/>
    </w:rPr>
  </w:style>
  <w:style w:type="paragraph" w:customStyle="1" w:styleId="Pavadinimas1">
    <w:name w:val="Pavadinimas1"/>
    <w:basedOn w:val="prastasis"/>
    <w:next w:val="Pavadinimas"/>
    <w:link w:val="PavadinimasDiagrama"/>
    <w:qFormat/>
    <w:rsid w:val="000C61CC"/>
    <w:pPr>
      <w:spacing w:before="240" w:after="60" w:line="240" w:lineRule="auto"/>
      <w:jc w:val="center"/>
      <w:outlineLvl w:val="0"/>
    </w:pPr>
    <w:rPr>
      <w:rFonts w:ascii="Cambria" w:eastAsia="Times New Roman" w:hAnsi="Cambria" w:cs="Times New Roman"/>
      <w:b/>
      <w:bCs/>
      <w:kern w:val="28"/>
      <w:sz w:val="32"/>
      <w:szCs w:val="32"/>
    </w:rPr>
  </w:style>
  <w:style w:type="character" w:customStyle="1" w:styleId="PavadinimasDiagrama">
    <w:name w:val="Pavadinimas Diagrama"/>
    <w:basedOn w:val="Numatytasispastraiposriftas"/>
    <w:link w:val="Pavadinimas1"/>
    <w:rsid w:val="000C61CC"/>
    <w:rPr>
      <w:rFonts w:ascii="Cambria" w:eastAsia="Times New Roman" w:hAnsi="Cambria" w:cs="Times New Roman"/>
      <w:b/>
      <w:bCs/>
      <w:kern w:val="28"/>
      <w:sz w:val="32"/>
      <w:szCs w:val="32"/>
      <w:lang w:val="lt-LT"/>
    </w:rPr>
  </w:style>
  <w:style w:type="paragraph" w:customStyle="1" w:styleId="Antrinispavadinimas1">
    <w:name w:val="Antrinis pavadinimas1"/>
    <w:basedOn w:val="prastasis"/>
    <w:next w:val="Paantrat"/>
    <w:link w:val="AntrinispavadinimasDiagrama"/>
    <w:qFormat/>
    <w:rsid w:val="000C61CC"/>
    <w:pPr>
      <w:spacing w:after="60" w:line="240" w:lineRule="auto"/>
      <w:jc w:val="center"/>
      <w:outlineLvl w:val="1"/>
    </w:pPr>
    <w:rPr>
      <w:rFonts w:ascii="Cambria" w:eastAsia="Times New Roman" w:hAnsi="Cambria" w:cs="Times New Roman"/>
      <w:sz w:val="24"/>
      <w:szCs w:val="24"/>
    </w:rPr>
  </w:style>
  <w:style w:type="character" w:customStyle="1" w:styleId="AntrinispavadinimasDiagrama">
    <w:name w:val="Antrinis pavadinimas Diagrama"/>
    <w:basedOn w:val="Numatytasispastraiposriftas"/>
    <w:link w:val="Antrinispavadinimas1"/>
    <w:rsid w:val="000C61CC"/>
    <w:rPr>
      <w:rFonts w:ascii="Cambria" w:eastAsia="Times New Roman" w:hAnsi="Cambria" w:cs="Times New Roman"/>
      <w:sz w:val="24"/>
      <w:szCs w:val="24"/>
      <w:lang w:val="lt-LT"/>
    </w:rPr>
  </w:style>
  <w:style w:type="character" w:styleId="Emfaz">
    <w:name w:val="Emphasis"/>
    <w:qFormat/>
    <w:rsid w:val="000C61CC"/>
    <w:rPr>
      <w:i/>
      <w:iCs/>
      <w:lang w:val="de-DE"/>
    </w:rPr>
  </w:style>
  <w:style w:type="paragraph" w:customStyle="1" w:styleId="BodytextAgency">
    <w:name w:val="Body text (Agency)"/>
    <w:basedOn w:val="prastasis"/>
    <w:link w:val="BodytextAgencyChar"/>
    <w:qFormat/>
    <w:rsid w:val="000C61CC"/>
    <w:pPr>
      <w:spacing w:after="140" w:line="280" w:lineRule="atLeast"/>
    </w:pPr>
    <w:rPr>
      <w:rFonts w:ascii="Verdana" w:eastAsia="Verdana" w:hAnsi="Verdana" w:cs="Verdana"/>
      <w:sz w:val="18"/>
      <w:szCs w:val="18"/>
      <w:lang w:val="en-GB" w:eastAsia="en-GB"/>
    </w:rPr>
  </w:style>
  <w:style w:type="character" w:customStyle="1" w:styleId="BodytextAgencyChar">
    <w:name w:val="Body text (Agency) Char"/>
    <w:link w:val="BodytextAgency"/>
    <w:rsid w:val="000C61CC"/>
    <w:rPr>
      <w:rFonts w:ascii="Verdana" w:eastAsia="Verdana" w:hAnsi="Verdana" w:cs="Verdana"/>
      <w:sz w:val="18"/>
      <w:szCs w:val="18"/>
      <w:lang w:val="en-GB" w:eastAsia="en-GB"/>
    </w:rPr>
  </w:style>
  <w:style w:type="character" w:styleId="Hipersaitas">
    <w:name w:val="Hyperlink"/>
    <w:rsid w:val="000C61CC"/>
    <w:rPr>
      <w:color w:val="0000FF"/>
      <w:u w:val="single"/>
    </w:rPr>
  </w:style>
  <w:style w:type="paragraph" w:customStyle="1" w:styleId="PI-1EMEASMCA">
    <w:name w:val="PI-1 EMEA_SMCA"/>
    <w:basedOn w:val="Antrat2"/>
    <w:autoRedefine/>
    <w:rsid w:val="000C61CC"/>
    <w:rPr>
      <w:sz w:val="20"/>
    </w:rPr>
  </w:style>
  <w:style w:type="paragraph" w:customStyle="1" w:styleId="PI-1labEMEASMCA">
    <w:name w:val="PI-1_lab EMEA_SMCA"/>
    <w:basedOn w:val="prastasis"/>
    <w:link w:val="PI-1labEMEASMCAChar"/>
    <w:autoRedefine/>
    <w:rsid w:val="000C61CC"/>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sz w:val="20"/>
      <w:szCs w:val="20"/>
    </w:rPr>
  </w:style>
  <w:style w:type="character" w:customStyle="1" w:styleId="PI-1labEMEASMCAChar">
    <w:name w:val="PI-1_lab EMEA_SMCA Char"/>
    <w:link w:val="PI-1labEMEASMCA"/>
    <w:rsid w:val="000C61CC"/>
    <w:rPr>
      <w:rFonts w:ascii="Times New Roman" w:eastAsia="Times New Roman" w:hAnsi="Times New Roman" w:cs="Times New Roman"/>
      <w:b/>
      <w:noProof/>
      <w:sz w:val="20"/>
      <w:szCs w:val="20"/>
    </w:rPr>
  </w:style>
  <w:style w:type="paragraph" w:customStyle="1" w:styleId="PI-2EMEASMCA">
    <w:name w:val="PI-2 EMEA_SMCA"/>
    <w:basedOn w:val="Antrat3"/>
    <w:autoRedefine/>
    <w:rsid w:val="000C61CC"/>
    <w:pPr>
      <w:keepLines/>
      <w:tabs>
        <w:tab w:val="left" w:pos="0"/>
      </w:tabs>
      <w:spacing w:before="0" w:after="0"/>
    </w:pPr>
    <w:rPr>
      <w:rFonts w:ascii="Times New Roman" w:hAnsi="Times New Roman" w:cs="Times New Roman"/>
      <w:b w:val="0"/>
      <w:bCs w:val="0"/>
      <w:kern w:val="28"/>
      <w:sz w:val="22"/>
      <w:szCs w:val="22"/>
    </w:rPr>
  </w:style>
  <w:style w:type="paragraph" w:customStyle="1" w:styleId="BTEMEASMCA">
    <w:name w:val="BT EMEA_SMCA"/>
    <w:basedOn w:val="prastasis"/>
    <w:link w:val="BTEMEASMCAChar"/>
    <w:autoRedefine/>
    <w:rsid w:val="000C61CC"/>
    <w:pPr>
      <w:spacing w:after="0" w:line="240" w:lineRule="auto"/>
    </w:pPr>
    <w:rPr>
      <w:rFonts w:ascii="Times New Roman" w:eastAsia="SimSun" w:hAnsi="Times New Roman" w:cs="Times New Roman"/>
      <w:color w:val="000000"/>
    </w:rPr>
  </w:style>
  <w:style w:type="paragraph" w:customStyle="1" w:styleId="TTEMEASMCA">
    <w:name w:val="TT EMEA_SMCA"/>
    <w:basedOn w:val="Antrat1"/>
    <w:link w:val="TTEMEASMCAChar"/>
    <w:autoRedefine/>
    <w:rsid w:val="000C61CC"/>
    <w:pPr>
      <w:jc w:val="center"/>
    </w:pPr>
    <w:rPr>
      <w:sz w:val="20"/>
    </w:rPr>
  </w:style>
  <w:style w:type="character" w:customStyle="1" w:styleId="TTEMEASMCAChar">
    <w:name w:val="TT EMEA_SMCA Char"/>
    <w:link w:val="TTEMEASMCA"/>
    <w:rsid w:val="000C61CC"/>
    <w:rPr>
      <w:rFonts w:ascii="Times New Roman" w:eastAsia="Times New Roman" w:hAnsi="Times New Roman" w:cs="Times New Roman"/>
      <w:b/>
      <w:sz w:val="20"/>
    </w:rPr>
  </w:style>
  <w:style w:type="paragraph" w:customStyle="1" w:styleId="BTAnIIEMEASMCA">
    <w:name w:val="BT(AnII) EMEA_SMCA"/>
    <w:basedOn w:val="Debesliotekstas"/>
    <w:autoRedefine/>
    <w:rsid w:val="000C61CC"/>
    <w:pPr>
      <w:tabs>
        <w:tab w:val="left" w:pos="1701"/>
      </w:tabs>
      <w:ind w:left="1701" w:hanging="567"/>
    </w:pPr>
    <w:rPr>
      <w:rFonts w:ascii="Times New Roman" w:hAnsi="Times New Roman"/>
      <w:b/>
      <w:sz w:val="22"/>
      <w:szCs w:val="22"/>
      <w:lang w:val="en-GB"/>
    </w:rPr>
  </w:style>
  <w:style w:type="paragraph" w:customStyle="1" w:styleId="BT-EMEASMCA">
    <w:name w:val="BT- EMEA_SMCA"/>
    <w:basedOn w:val="BTEMEASMCA"/>
    <w:autoRedefine/>
    <w:rsid w:val="000C61CC"/>
    <w:pPr>
      <w:numPr>
        <w:numId w:val="1"/>
      </w:numPr>
      <w:tabs>
        <w:tab w:val="clear" w:pos="720"/>
        <w:tab w:val="num" w:pos="0"/>
      </w:tabs>
      <w:ind w:left="567" w:hanging="567"/>
    </w:pPr>
  </w:style>
  <w:style w:type="paragraph" w:customStyle="1" w:styleId="PI-3EMEASMCA">
    <w:name w:val="PI-3 EMEA_SMCA"/>
    <w:basedOn w:val="prastasis"/>
    <w:autoRedefine/>
    <w:rsid w:val="000C61CC"/>
    <w:pPr>
      <w:spacing w:after="0" w:line="240" w:lineRule="auto"/>
    </w:pPr>
    <w:rPr>
      <w:rFonts w:ascii="Times New Roman" w:eastAsia="Times New Roman" w:hAnsi="Times New Roman" w:cs="Times New Roman"/>
      <w:b/>
      <w:bCs/>
      <w:sz w:val="20"/>
      <w:szCs w:val="20"/>
    </w:rPr>
  </w:style>
  <w:style w:type="paragraph" w:customStyle="1" w:styleId="BTbEMEASMCA">
    <w:name w:val="BT(b) EMEA_SMCA"/>
    <w:basedOn w:val="BTEMEASMCA"/>
    <w:autoRedefine/>
    <w:rsid w:val="000C61CC"/>
    <w:rPr>
      <w:b/>
    </w:rPr>
  </w:style>
  <w:style w:type="paragraph" w:customStyle="1" w:styleId="BTbeEMEASMCA">
    <w:name w:val="BT(be) EMEA_SMCA"/>
    <w:basedOn w:val="BTEMEASMCA"/>
    <w:autoRedefine/>
    <w:rsid w:val="000C61CC"/>
    <w:pPr>
      <w:jc w:val="center"/>
    </w:pPr>
    <w:rPr>
      <w:b/>
    </w:rPr>
  </w:style>
  <w:style w:type="paragraph" w:customStyle="1" w:styleId="BTeEMEASMCA">
    <w:name w:val="BT(e) EMEA_SMCA"/>
    <w:basedOn w:val="BTEMEASMCA"/>
    <w:autoRedefine/>
    <w:rsid w:val="000C61CC"/>
    <w:pPr>
      <w:jc w:val="center"/>
    </w:pPr>
  </w:style>
  <w:style w:type="paragraph" w:customStyle="1" w:styleId="BTgEMEASMCA">
    <w:name w:val="BT(g) EMEA_SMCA"/>
    <w:basedOn w:val="BTEMEASMCA"/>
    <w:link w:val="BTgEMEASMCAChar"/>
    <w:autoRedefine/>
    <w:rsid w:val="000C61CC"/>
    <w:rPr>
      <w:rFonts w:eastAsia="Times New Roman"/>
      <w:i/>
      <w:color w:val="008000"/>
    </w:rPr>
  </w:style>
  <w:style w:type="character" w:customStyle="1" w:styleId="BTEMEASMCAChar">
    <w:name w:val="BT EMEA_SMCA Char"/>
    <w:link w:val="BTEMEASMCA"/>
    <w:rsid w:val="000C61CC"/>
    <w:rPr>
      <w:rFonts w:ascii="Times New Roman" w:eastAsia="SimSun" w:hAnsi="Times New Roman" w:cs="Times New Roman"/>
      <w:color w:val="000000"/>
    </w:rPr>
  </w:style>
  <w:style w:type="character" w:customStyle="1" w:styleId="BTgEMEASMCAChar">
    <w:name w:val="BT(g) EMEA_SMCA Char"/>
    <w:link w:val="BTgEMEASMCA"/>
    <w:rsid w:val="000C61CC"/>
    <w:rPr>
      <w:rFonts w:ascii="Times New Roman" w:eastAsia="Times New Roman" w:hAnsi="Times New Roman" w:cs="Times New Roman"/>
      <w:i/>
      <w:color w:val="008000"/>
    </w:rPr>
  </w:style>
  <w:style w:type="paragraph" w:customStyle="1" w:styleId="BTuEMEASMCA">
    <w:name w:val="BT(u) EMEA_SMCA"/>
    <w:basedOn w:val="BTEMEASMCA"/>
    <w:autoRedefine/>
    <w:rsid w:val="000C61CC"/>
    <w:rPr>
      <w:u w:val="single"/>
    </w:rPr>
  </w:style>
  <w:style w:type="paragraph" w:styleId="Debesliotekstas">
    <w:name w:val="Balloon Text"/>
    <w:basedOn w:val="prastasis"/>
    <w:link w:val="DebesliotekstasDiagrama"/>
    <w:semiHidden/>
    <w:rsid w:val="000C61CC"/>
    <w:pPr>
      <w:spacing w:after="0" w:line="240" w:lineRule="auto"/>
    </w:pPr>
    <w:rPr>
      <w:rFonts w:ascii="Tahoma" w:eastAsia="Times New Roman" w:hAnsi="Tahoma" w:cs="Times New Roman"/>
      <w:sz w:val="16"/>
      <w:szCs w:val="16"/>
    </w:rPr>
  </w:style>
  <w:style w:type="character" w:customStyle="1" w:styleId="DebesliotekstasDiagrama">
    <w:name w:val="Debesėlio tekstas Diagrama"/>
    <w:basedOn w:val="Numatytasispastraiposriftas"/>
    <w:link w:val="Debesliotekstas"/>
    <w:semiHidden/>
    <w:rsid w:val="000C61CC"/>
    <w:rPr>
      <w:rFonts w:ascii="Tahoma" w:eastAsia="Times New Roman" w:hAnsi="Tahoma" w:cs="Times New Roman"/>
      <w:sz w:val="16"/>
      <w:szCs w:val="16"/>
    </w:rPr>
  </w:style>
  <w:style w:type="paragraph" w:styleId="Dokumentostruktra">
    <w:name w:val="Document Map"/>
    <w:basedOn w:val="prastasis"/>
    <w:link w:val="DokumentostruktraDiagrama"/>
    <w:semiHidden/>
    <w:rsid w:val="000C61CC"/>
    <w:pPr>
      <w:shd w:val="clear" w:color="auto" w:fill="000080"/>
      <w:spacing w:after="0" w:line="240" w:lineRule="auto"/>
    </w:pPr>
    <w:rPr>
      <w:rFonts w:ascii="Tahoma" w:eastAsia="Times New Roman" w:hAnsi="Tahoma" w:cs="Times New Roman"/>
      <w:sz w:val="20"/>
      <w:szCs w:val="20"/>
    </w:rPr>
  </w:style>
  <w:style w:type="character" w:customStyle="1" w:styleId="DokumentostruktraDiagrama">
    <w:name w:val="Dokumento struktūra Diagrama"/>
    <w:basedOn w:val="Numatytasispastraiposriftas"/>
    <w:link w:val="Dokumentostruktra"/>
    <w:semiHidden/>
    <w:rsid w:val="000C61CC"/>
    <w:rPr>
      <w:rFonts w:ascii="Tahoma" w:eastAsia="Times New Roman" w:hAnsi="Tahoma" w:cs="Times New Roman"/>
      <w:sz w:val="20"/>
      <w:szCs w:val="20"/>
      <w:shd w:val="clear" w:color="auto" w:fill="000080"/>
    </w:rPr>
  </w:style>
  <w:style w:type="paragraph" w:styleId="Dokumentoinaostekstas">
    <w:name w:val="endnote text"/>
    <w:basedOn w:val="prastasis"/>
    <w:link w:val="DokumentoinaostekstasDiagrama"/>
    <w:semiHidden/>
    <w:rsid w:val="000C61CC"/>
    <w:pPr>
      <w:tabs>
        <w:tab w:val="left" w:pos="567"/>
      </w:tabs>
      <w:spacing w:after="0" w:line="240" w:lineRule="auto"/>
    </w:pPr>
    <w:rPr>
      <w:rFonts w:ascii="Times New Roman" w:eastAsia="Times New Roman" w:hAnsi="Times New Roman" w:cs="Times New Roman"/>
      <w:sz w:val="20"/>
      <w:szCs w:val="20"/>
      <w:lang w:val="en-GB"/>
    </w:rPr>
  </w:style>
  <w:style w:type="character" w:customStyle="1" w:styleId="DokumentoinaostekstasDiagrama">
    <w:name w:val="Dokumento išnašos tekstas Diagrama"/>
    <w:basedOn w:val="Numatytasispastraiposriftas"/>
    <w:link w:val="Dokumentoinaostekstas"/>
    <w:semiHidden/>
    <w:rsid w:val="000C61CC"/>
    <w:rPr>
      <w:rFonts w:ascii="Times New Roman" w:eastAsia="Times New Roman" w:hAnsi="Times New Roman" w:cs="Times New Roman"/>
      <w:sz w:val="20"/>
      <w:szCs w:val="20"/>
      <w:lang w:val="en-GB"/>
    </w:rPr>
  </w:style>
  <w:style w:type="paragraph" w:customStyle="1" w:styleId="Text">
    <w:name w:val="Text"/>
    <w:basedOn w:val="prastasis"/>
    <w:rsid w:val="000C61CC"/>
    <w:pPr>
      <w:spacing w:before="120" w:after="0" w:line="240" w:lineRule="auto"/>
      <w:jc w:val="both"/>
    </w:pPr>
    <w:rPr>
      <w:rFonts w:ascii="Arial" w:eastAsia="Times New Roman" w:hAnsi="Arial" w:cs="Times New Roman"/>
      <w:szCs w:val="20"/>
      <w:lang w:val="en-US"/>
    </w:rPr>
  </w:style>
  <w:style w:type="paragraph" w:styleId="Pagrindiniotekstotrauka">
    <w:name w:val="Body Text Indent"/>
    <w:basedOn w:val="prastasis"/>
    <w:link w:val="PagrindiniotekstotraukaDiagrama"/>
    <w:rsid w:val="000C61CC"/>
    <w:pPr>
      <w:spacing w:after="0" w:line="240" w:lineRule="auto"/>
      <w:ind w:left="567"/>
    </w:pPr>
    <w:rPr>
      <w:rFonts w:ascii="Times New Roman" w:eastAsia="Times New Roman" w:hAnsi="Times New Roman" w:cs="Times New Roman"/>
      <w:sz w:val="20"/>
      <w:szCs w:val="20"/>
    </w:rPr>
  </w:style>
  <w:style w:type="character" w:customStyle="1" w:styleId="PagrindiniotekstotraukaDiagrama">
    <w:name w:val="Pagrindinio teksto įtrauka Diagrama"/>
    <w:basedOn w:val="Numatytasispastraiposriftas"/>
    <w:link w:val="Pagrindiniotekstotrauka"/>
    <w:rsid w:val="000C61CC"/>
    <w:rPr>
      <w:rFonts w:ascii="Times New Roman" w:eastAsia="Times New Roman" w:hAnsi="Times New Roman" w:cs="Times New Roman"/>
      <w:sz w:val="20"/>
      <w:szCs w:val="20"/>
    </w:rPr>
  </w:style>
  <w:style w:type="paragraph" w:styleId="Pagrindiniotekstotrauka2">
    <w:name w:val="Body Text Indent 2"/>
    <w:basedOn w:val="prastasis"/>
    <w:link w:val="Pagrindiniotekstotrauka2Diagrama"/>
    <w:rsid w:val="000C61CC"/>
    <w:pPr>
      <w:spacing w:after="120" w:line="480" w:lineRule="auto"/>
      <w:ind w:left="283"/>
    </w:pPr>
    <w:rPr>
      <w:rFonts w:ascii="Times New Roman" w:eastAsia="Times New Roman" w:hAnsi="Times New Roman" w:cs="Times New Roman"/>
      <w:sz w:val="24"/>
      <w:szCs w:val="24"/>
    </w:rPr>
  </w:style>
  <w:style w:type="character" w:customStyle="1" w:styleId="Pagrindiniotekstotrauka2Diagrama">
    <w:name w:val="Pagrindinio teksto įtrauka 2 Diagrama"/>
    <w:basedOn w:val="Numatytasispastraiposriftas"/>
    <w:link w:val="Pagrindiniotekstotrauka2"/>
    <w:rsid w:val="000C61CC"/>
    <w:rPr>
      <w:rFonts w:ascii="Times New Roman" w:eastAsia="Times New Roman" w:hAnsi="Times New Roman" w:cs="Times New Roman"/>
      <w:sz w:val="24"/>
      <w:szCs w:val="24"/>
    </w:rPr>
  </w:style>
  <w:style w:type="paragraph" w:styleId="Pagrindinistekstas">
    <w:name w:val="Body Text"/>
    <w:basedOn w:val="prastasis"/>
    <w:link w:val="PagrindinistekstasDiagrama"/>
    <w:rsid w:val="000C61CC"/>
    <w:pPr>
      <w:spacing w:after="120" w:line="240" w:lineRule="auto"/>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C61CC"/>
    <w:rPr>
      <w:rFonts w:ascii="Times New Roman" w:eastAsia="Times New Roman" w:hAnsi="Times New Roman" w:cs="Times New Roman"/>
      <w:sz w:val="24"/>
      <w:szCs w:val="24"/>
    </w:rPr>
  </w:style>
  <w:style w:type="paragraph" w:customStyle="1" w:styleId="Table">
    <w:name w:val="Table"/>
    <w:basedOn w:val="prastasis"/>
    <w:rsid w:val="000C61CC"/>
    <w:pPr>
      <w:keepLines/>
      <w:tabs>
        <w:tab w:val="left" w:pos="284"/>
      </w:tabs>
      <w:spacing w:before="40" w:after="20" w:line="240" w:lineRule="auto"/>
    </w:pPr>
    <w:rPr>
      <w:rFonts w:ascii="Arial" w:eastAsia="Times New Roman" w:hAnsi="Arial" w:cs="Times New Roman"/>
      <w:sz w:val="24"/>
      <w:szCs w:val="20"/>
      <w:lang w:val="en-US"/>
    </w:rPr>
  </w:style>
  <w:style w:type="paragraph" w:customStyle="1" w:styleId="normallist">
    <w:name w:val="normallist"/>
    <w:rsid w:val="000C61CC"/>
    <w:pPr>
      <w:spacing w:after="0" w:line="240" w:lineRule="auto"/>
      <w:jc w:val="both"/>
    </w:pPr>
    <w:rPr>
      <w:rFonts w:ascii="Helvetica" w:eastAsia="Times New Roman" w:hAnsi="Helvetica" w:cs="Times New Roman"/>
      <w:sz w:val="24"/>
      <w:szCs w:val="20"/>
      <w:lang w:val="en-US"/>
    </w:rPr>
  </w:style>
  <w:style w:type="paragraph" w:customStyle="1" w:styleId="TextCharChar">
    <w:name w:val="Text Char Char"/>
    <w:basedOn w:val="prastasis"/>
    <w:rsid w:val="000C61CC"/>
    <w:pPr>
      <w:spacing w:before="120" w:after="0" w:line="240" w:lineRule="auto"/>
      <w:jc w:val="both"/>
    </w:pPr>
    <w:rPr>
      <w:rFonts w:ascii="Times New Roman" w:eastAsia="Times New Roman" w:hAnsi="Times New Roman" w:cs="Times New Roman"/>
      <w:sz w:val="24"/>
      <w:szCs w:val="20"/>
      <w:lang w:val="en-US"/>
    </w:rPr>
  </w:style>
  <w:style w:type="paragraph" w:customStyle="1" w:styleId="Listlevel1">
    <w:name w:val="List level 1"/>
    <w:basedOn w:val="prastasis"/>
    <w:rsid w:val="000C61CC"/>
    <w:pPr>
      <w:spacing w:before="40" w:after="20" w:line="240" w:lineRule="auto"/>
      <w:ind w:left="425" w:hanging="425"/>
    </w:pPr>
    <w:rPr>
      <w:rFonts w:ascii="Times New Roman" w:eastAsia="Times New Roman" w:hAnsi="Times New Roman" w:cs="Times New Roman"/>
      <w:sz w:val="24"/>
      <w:szCs w:val="20"/>
      <w:lang w:val="en-US"/>
    </w:rPr>
  </w:style>
  <w:style w:type="paragraph" w:styleId="Antrats">
    <w:name w:val="header"/>
    <w:basedOn w:val="prastasis"/>
    <w:link w:val="AntratsDiagrama"/>
    <w:rsid w:val="000C61C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AntratsDiagrama">
    <w:name w:val="Antraštės Diagrama"/>
    <w:basedOn w:val="Numatytasispastraiposriftas"/>
    <w:link w:val="Antrats"/>
    <w:rsid w:val="000C61CC"/>
    <w:rPr>
      <w:rFonts w:ascii="Times New Roman" w:eastAsia="Times New Roman" w:hAnsi="Times New Roman" w:cs="Times New Roman"/>
      <w:sz w:val="24"/>
      <w:szCs w:val="24"/>
    </w:rPr>
  </w:style>
  <w:style w:type="paragraph" w:customStyle="1" w:styleId="CharCharCharChar">
    <w:name w:val="Char Char Char Char"/>
    <w:basedOn w:val="prastasis"/>
    <w:rsid w:val="000C61CC"/>
    <w:pPr>
      <w:spacing w:after="160" w:line="240" w:lineRule="exact"/>
    </w:pPr>
    <w:rPr>
      <w:rFonts w:ascii="Verdana" w:eastAsia="Times New Roman" w:hAnsi="Verdana" w:cs="Verdana"/>
      <w:sz w:val="20"/>
      <w:szCs w:val="20"/>
      <w:lang w:val="en-GB"/>
    </w:rPr>
  </w:style>
  <w:style w:type="paragraph" w:customStyle="1" w:styleId="ReferenceLine">
    <w:name w:val="Reference Line"/>
    <w:basedOn w:val="Pagrindinistekstas"/>
    <w:rsid w:val="000C61CC"/>
    <w:pPr>
      <w:spacing w:after="0"/>
      <w:jc w:val="both"/>
    </w:pPr>
    <w:rPr>
      <w:rFonts w:ascii="Arial" w:hAnsi="Arial"/>
      <w:szCs w:val="20"/>
      <w:lang w:val="en-GB"/>
    </w:rPr>
  </w:style>
  <w:style w:type="character" w:styleId="Komentaronuoroda">
    <w:name w:val="annotation reference"/>
    <w:semiHidden/>
    <w:rsid w:val="000C61CC"/>
    <w:rPr>
      <w:sz w:val="16"/>
      <w:szCs w:val="16"/>
    </w:rPr>
  </w:style>
  <w:style w:type="paragraph" w:styleId="Komentarotekstas">
    <w:name w:val="annotation text"/>
    <w:basedOn w:val="prastasis"/>
    <w:link w:val="KomentarotekstasDiagrama"/>
    <w:semiHidden/>
    <w:rsid w:val="000C61CC"/>
    <w:pPr>
      <w:spacing w:after="0" w:line="240" w:lineRule="auto"/>
    </w:pPr>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semiHidden/>
    <w:rsid w:val="000C61CC"/>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semiHidden/>
    <w:rsid w:val="000C61CC"/>
    <w:rPr>
      <w:b/>
      <w:bCs/>
    </w:rPr>
  </w:style>
  <w:style w:type="character" w:customStyle="1" w:styleId="KomentarotemaDiagrama">
    <w:name w:val="Komentaro tema Diagrama"/>
    <w:basedOn w:val="KomentarotekstasDiagrama"/>
    <w:link w:val="Komentarotema"/>
    <w:semiHidden/>
    <w:rsid w:val="000C61CC"/>
    <w:rPr>
      <w:rFonts w:ascii="Times New Roman" w:eastAsia="Times New Roman" w:hAnsi="Times New Roman" w:cs="Times New Roman"/>
      <w:b/>
      <w:bCs/>
      <w:sz w:val="20"/>
      <w:szCs w:val="20"/>
    </w:rPr>
  </w:style>
  <w:style w:type="paragraph" w:styleId="Porat">
    <w:name w:val="footer"/>
    <w:basedOn w:val="prastasis"/>
    <w:link w:val="PoratDiagrama"/>
    <w:rsid w:val="000C61CC"/>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C61CC"/>
    <w:rPr>
      <w:rFonts w:ascii="Times New Roman" w:eastAsia="Times New Roman" w:hAnsi="Times New Roman" w:cs="Times New Roman"/>
      <w:sz w:val="24"/>
      <w:szCs w:val="24"/>
    </w:rPr>
  </w:style>
  <w:style w:type="character" w:styleId="Puslapionumeris">
    <w:name w:val="page number"/>
    <w:basedOn w:val="Numatytasispastraiposriftas"/>
    <w:rsid w:val="000C61CC"/>
  </w:style>
  <w:style w:type="paragraph" w:styleId="prastasiniatinklio">
    <w:name w:val="Normal (Web)"/>
    <w:basedOn w:val="prastasis"/>
    <w:rsid w:val="000C61C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DeltaViewInsertion">
    <w:name w:val="DeltaView Insertion"/>
    <w:rsid w:val="000C61CC"/>
    <w:rPr>
      <w:color w:val="0000FF"/>
      <w:spacing w:val="0"/>
      <w:u w:val="double"/>
    </w:rPr>
  </w:style>
  <w:style w:type="table" w:styleId="Lentelstinklelis">
    <w:name w:val="Table Grid"/>
    <w:basedOn w:val="prastojilentel"/>
    <w:uiPriority w:val="59"/>
    <w:rsid w:val="000C61CC"/>
    <w:pPr>
      <w:spacing w:after="0" w:line="240" w:lineRule="auto"/>
    </w:pPr>
    <w:rPr>
      <w:rFonts w:ascii="Calibri" w:eastAsia="SimSun"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w4winExternal">
    <w:name w:val="tw4winExternal"/>
    <w:uiPriority w:val="99"/>
    <w:rsid w:val="000C61CC"/>
    <w:rPr>
      <w:rFonts w:ascii="Courier New" w:hAnsi="Courier New"/>
      <w:noProof/>
      <w:color w:val="808080"/>
    </w:rPr>
  </w:style>
  <w:style w:type="paragraph" w:styleId="Sraopastraipa">
    <w:name w:val="List Paragraph"/>
    <w:basedOn w:val="prastasis"/>
    <w:uiPriority w:val="34"/>
    <w:qFormat/>
    <w:rsid w:val="000C61CC"/>
    <w:pPr>
      <w:spacing w:after="0" w:line="240" w:lineRule="auto"/>
      <w:ind w:left="720"/>
      <w:contextualSpacing/>
    </w:pPr>
    <w:rPr>
      <w:rFonts w:ascii="Times New Roman" w:eastAsia="Times New Roman" w:hAnsi="Times New Roman" w:cs="Times New Roman"/>
      <w:sz w:val="24"/>
      <w:szCs w:val="24"/>
    </w:rPr>
  </w:style>
  <w:style w:type="paragraph" w:styleId="Pataisymai">
    <w:name w:val="Revision"/>
    <w:hidden/>
    <w:uiPriority w:val="99"/>
    <w:semiHidden/>
    <w:rsid w:val="000C61CC"/>
    <w:pPr>
      <w:spacing w:after="0" w:line="240" w:lineRule="auto"/>
    </w:pPr>
    <w:rPr>
      <w:rFonts w:ascii="Times New Roman" w:eastAsia="Times New Roman" w:hAnsi="Times New Roman" w:cs="Times New Roman"/>
      <w:sz w:val="24"/>
      <w:szCs w:val="24"/>
    </w:rPr>
  </w:style>
  <w:style w:type="character" w:styleId="Grietas">
    <w:name w:val="Strong"/>
    <w:basedOn w:val="Numatytasispastraiposriftas"/>
    <w:qFormat/>
    <w:rsid w:val="000C61CC"/>
    <w:rPr>
      <w:rFonts w:ascii="Times New Roman" w:hAnsi="Times New Roman"/>
      <w:b/>
      <w:bCs/>
      <w:i/>
      <w:sz w:val="22"/>
    </w:rPr>
  </w:style>
  <w:style w:type="paragraph" w:styleId="Pagrindinistekstas2">
    <w:name w:val="Body Text 2"/>
    <w:basedOn w:val="prastasis"/>
    <w:link w:val="Pagrindinistekstas2Diagrama"/>
    <w:uiPriority w:val="99"/>
    <w:semiHidden/>
    <w:unhideWhenUsed/>
    <w:rsid w:val="000C61CC"/>
    <w:pPr>
      <w:spacing w:after="120" w:line="480" w:lineRule="auto"/>
    </w:pPr>
    <w:rPr>
      <w:rFonts w:ascii="Times New Roman" w:eastAsia="Times New Roman" w:hAnsi="Times New Roman" w:cs="Times New Roman"/>
      <w:sz w:val="24"/>
      <w:szCs w:val="24"/>
    </w:rPr>
  </w:style>
  <w:style w:type="character" w:customStyle="1" w:styleId="Pagrindinistekstas2Diagrama">
    <w:name w:val="Pagrindinis tekstas 2 Diagrama"/>
    <w:basedOn w:val="Numatytasispastraiposriftas"/>
    <w:link w:val="Pagrindinistekstas2"/>
    <w:uiPriority w:val="99"/>
    <w:semiHidden/>
    <w:rsid w:val="000C61CC"/>
    <w:rPr>
      <w:rFonts w:ascii="Times New Roman" w:eastAsia="Times New Roman" w:hAnsi="Times New Roman" w:cs="Times New Roman"/>
      <w:sz w:val="24"/>
      <w:szCs w:val="24"/>
    </w:rPr>
  </w:style>
  <w:style w:type="paragraph" w:styleId="Pavadinimas">
    <w:name w:val="Title"/>
    <w:basedOn w:val="prastasis"/>
    <w:next w:val="prastasis"/>
    <w:link w:val="PavadinimasDiagrama1"/>
    <w:uiPriority w:val="10"/>
    <w:qFormat/>
    <w:rsid w:val="0055093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basedOn w:val="Numatytasispastraiposriftas"/>
    <w:link w:val="Pavadinimas"/>
    <w:uiPriority w:val="10"/>
    <w:rsid w:val="000C61CC"/>
    <w:rPr>
      <w:rFonts w:asciiTheme="majorHAnsi" w:eastAsiaTheme="majorEastAsia" w:hAnsiTheme="majorHAnsi" w:cstheme="majorBidi"/>
      <w:color w:val="17365D" w:themeColor="text2" w:themeShade="BF"/>
      <w:spacing w:val="5"/>
      <w:kern w:val="28"/>
      <w:sz w:val="52"/>
      <w:szCs w:val="52"/>
    </w:rPr>
  </w:style>
  <w:style w:type="paragraph" w:styleId="Paantrat">
    <w:name w:val="Subtitle"/>
    <w:basedOn w:val="prastasis"/>
    <w:next w:val="prastasis"/>
    <w:link w:val="PaantratDiagrama"/>
    <w:uiPriority w:val="11"/>
    <w:qFormat/>
    <w:rsid w:val="0055093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aantratDiagrama">
    <w:name w:val="Paantraštė Diagrama"/>
    <w:basedOn w:val="Numatytasispastraiposriftas"/>
    <w:link w:val="Paantrat"/>
    <w:uiPriority w:val="11"/>
    <w:rsid w:val="000C61CC"/>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ma.europa.e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bf2eccc-375d-4251-95f3-c31d8c476153">
      <Terms xmlns="http://schemas.microsoft.com/office/infopath/2007/PartnerControls"/>
    </lcf76f155ced4ddcb4097134ff3c332f>
    <_Flow_SignoffStatus xmlns="dbf2eccc-375d-4251-95f3-c31d8c476153" xsi:nil="true"/>
    <TaxCatchAll xmlns="525029b5-868e-4932-a2f1-2267ab1d00c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4448ADDA094B941BF150AA70B0E97EF" ma:contentTypeVersion="16" ma:contentTypeDescription="Create a new document." ma:contentTypeScope="" ma:versionID="41b31dcf2bc2fa797960af5d84e47395">
  <xsd:schema xmlns:xsd="http://www.w3.org/2001/XMLSchema" xmlns:xs="http://www.w3.org/2001/XMLSchema" xmlns:p="http://schemas.microsoft.com/office/2006/metadata/properties" xmlns:ns2="525029b5-868e-4932-a2f1-2267ab1d00cd" xmlns:ns3="dbf2eccc-375d-4251-95f3-c31d8c476153" targetNamespace="http://schemas.microsoft.com/office/2006/metadata/properties" ma:root="true" ma:fieldsID="5ac4ed0fab30bafcaad3d732722e0ad7" ns2:_="" ns3:_="">
    <xsd:import namespace="525029b5-868e-4932-a2f1-2267ab1d00cd"/>
    <xsd:import namespace="dbf2eccc-375d-4251-95f3-c31d8c47615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_Flow_SignoffStatu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5029b5-868e-4932-a2f1-2267ab1d00c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ec199ded-01e6-456d-b2e6-382b5009bd82}" ma:internalName="TaxCatchAll" ma:showField="CatchAllData" ma:web="525029b5-868e-4932-a2f1-2267ab1d00c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bf2eccc-375d-4251-95f3-c31d8c47615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_Flow_SignoffStatus" ma:index="14" nillable="true" ma:displayName="Sign-off status" ma:internalName="Sign_x002d_off_x0020_status">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ee9522f1-744d-41f1-80ec-ba00924b947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8E4BF-6BBA-403B-A4CC-C9AFDE60BCA5}">
  <ds:schemaRefs>
    <ds:schemaRef ds:uri="http://schemas.microsoft.com/office/2006/metadata/properties"/>
    <ds:schemaRef ds:uri="http://schemas.microsoft.com/office/infopath/2007/PartnerControls"/>
    <ds:schemaRef ds:uri="http://purl.org/dc/dcmitype/"/>
    <ds:schemaRef ds:uri="http://schemas.microsoft.com/office/2006/documentManagement/types"/>
    <ds:schemaRef ds:uri="dbf2eccc-375d-4251-95f3-c31d8c476153"/>
    <ds:schemaRef ds:uri="http://schemas.openxmlformats.org/package/2006/metadata/core-properties"/>
    <ds:schemaRef ds:uri="http://www.w3.org/XML/1998/namespace"/>
    <ds:schemaRef ds:uri="http://purl.org/dc/terms/"/>
    <ds:schemaRef ds:uri="http://purl.org/dc/elements/1.1/"/>
    <ds:schemaRef ds:uri="525029b5-868e-4932-a2f1-2267ab1d00cd"/>
  </ds:schemaRefs>
</ds:datastoreItem>
</file>

<file path=customXml/itemProps2.xml><?xml version="1.0" encoding="utf-8"?>
<ds:datastoreItem xmlns:ds="http://schemas.openxmlformats.org/officeDocument/2006/customXml" ds:itemID="{AD5E87ED-9815-4A06-A0CA-3E50FD319ECC}">
  <ds:schemaRefs>
    <ds:schemaRef ds:uri="http://schemas.microsoft.com/sharepoint/v3/contenttype/forms"/>
  </ds:schemaRefs>
</ds:datastoreItem>
</file>

<file path=customXml/itemProps3.xml><?xml version="1.0" encoding="utf-8"?>
<ds:datastoreItem xmlns:ds="http://schemas.openxmlformats.org/officeDocument/2006/customXml" ds:itemID="{63772B5E-646D-4F4F-A108-FB957E506A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5029b5-868e-4932-a2f1-2267ab1d00cd"/>
    <ds:schemaRef ds:uri="dbf2eccc-375d-4251-95f3-c31d8c4761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28488A-70FA-4D56-B5BC-B9D87C2E3D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41968</Words>
  <Characters>23922</Characters>
  <Application>Microsoft Office Word</Application>
  <DocSecurity>4</DocSecurity>
  <Lines>199</Lines>
  <Paragraphs>131</Paragraphs>
  <ScaleCrop>false</ScaleCrop>
  <HeadingPairs>
    <vt:vector size="8" baseType="variant">
      <vt:variant>
        <vt:lpstr>Pavadinimas</vt:lpstr>
      </vt:variant>
      <vt:variant>
        <vt:i4>1</vt:i4>
      </vt:variant>
      <vt:variant>
        <vt:lpstr>Antraštės</vt:lpstr>
      </vt:variant>
      <vt:variant>
        <vt:i4>100</vt:i4>
      </vt:variant>
      <vt:variant>
        <vt:lpstr>Title</vt:lpstr>
      </vt:variant>
      <vt:variant>
        <vt:i4>1</vt:i4>
      </vt:variant>
      <vt:variant>
        <vt:lpstr>Headings</vt:lpstr>
      </vt:variant>
      <vt:variant>
        <vt:i4>100</vt:i4>
      </vt:variant>
    </vt:vector>
  </HeadingPairs>
  <TitlesOfParts>
    <vt:vector size="202" baseType="lpstr">
      <vt:lpstr/>
      <vt:lpstr>I PRIEDAS</vt:lpstr>
      <vt:lpstr>PREPARATO CHARAKTERISTIKŲ SANTRAUKA</vt:lpstr>
      <vt:lpstr>    1.	VAISTINIO PREPARATO PAVADINIMAS</vt:lpstr>
      <vt:lpstr>    2.	KOKYBINĖ IR KIEKYBINĖ SUDĖTIS</vt:lpstr>
      <vt:lpstr>    3.	FARMACINĖ FORMA</vt:lpstr>
      <vt:lpstr>    4.	KLINIKINĖ INFORMACIJA</vt:lpstr>
      <vt:lpstr>4.1	Terapinės indikacijos</vt:lpstr>
      <vt:lpstr>4.2	Dozavimas ir vartojimo metodas</vt:lpstr>
      <vt:lpstr>Vaikų populiacija</vt:lpstr>
      <vt:lpstr>Inkstų funkcijos sutrikimas</vt:lpstr>
      <vt:lpstr>Kepenų funkcijos sutrikimas</vt:lpstr>
      <vt:lpstr>Vartojimo metodas</vt:lpstr>
      <vt:lpstr>4.3	Kontraindikacijos</vt:lpstr>
      <vt:lpstr>4.4	Specialūs įspėjimai ir atsargumo priemonės</vt:lpstr>
      <vt:lpstr>Menopauzinė būklė</vt:lpstr>
      <vt:lpstr>Sutrikusi inkstų funkcija </vt:lpstr>
      <vt:lpstr>Sutrikusi kepenų funkcija</vt:lpstr>
      <vt:lpstr>Poveikis kaulams</vt:lpstr>
      <vt:lpstr>Kiti įspėjimai</vt:lpstr>
      <vt:lpstr>4.5	Sąveika su kitais vaistiniais preparatais ir kitokia sąveika</vt:lpstr>
      <vt:lpstr>4.6	Vaisingumas, nėštumo ir žindymo laikotarpis</vt:lpstr>
      <vt:lpstr>Moterys, kurioms yra perimenopauzinė būklė arba kurios yra vaisingo amžiaus</vt:lpstr>
      <vt:lpstr>Nėštumas</vt:lpstr>
      <vt:lpstr>Žindymas</vt:lpstr>
      <vt:lpstr>Vaisingumas</vt:lpstr>
      <vt:lpstr>4.7	Poveikis gebėjimui vairuoti ir valdyti mechanizmus</vt:lpstr>
      <vt:lpstr>4.8	Nepageidaujamas poveikis</vt:lpstr>
      <vt:lpstr>        </vt:lpstr>
      <vt:lpstr>        Širdies nepageidaujamos reakcijos</vt:lpstr>
      <vt:lpstr>        Adjuvantinio gydymo atveju, be duomenų, pateiktų 2 lentelėje, gauta pranešimų ap</vt:lpstr>
      <vt:lpstr>        </vt:lpstr>
      <vt:lpstr>        Tęstinio adjuvantinio gydymo atveju gauta pranešimų apie toliau išvardytus nepag</vt:lpstr>
      <vt:lpstr>        reiškinius, atsiradusius vartojant atitinkamai letrozolą (gydymo trukmės mediana</vt:lpstr>
      <vt:lpstr>        </vt:lpstr>
      <vt:lpstr>        Reiškinių, pažymėtų simboliu „*“, dažnis dviejose gydymo grupėse statistiškai re</vt:lpstr>
      <vt:lpstr>        </vt:lpstr>
      <vt:lpstr>        Skeleto nepageidaujamos reakcijos</vt:lpstr>
      <vt:lpstr>        Su poveikiu skeletui susiję saugumo duomenys adjuvantinio gydymo atveju pateikti</vt:lpstr>
      <vt:lpstr>        </vt:lpstr>
      <vt:lpstr>        Tęstinio adjuvantinio gydymo atveju reikšmingai didesniam skaičiui pacienčių, va</vt:lpstr>
      <vt:lpstr>        Svarbu pranešti apie įtariamas nepageidaujamas reakcijas, pastebėtas po vaistini</vt:lpstr>
      <vt:lpstr>        </vt:lpstr>
      <vt:lpstr>4.9	Perdozavimas</vt:lpstr>
      <vt:lpstr>    5.	FARMAKOLOGINĖS SAVYBĖS</vt:lpstr>
      <vt:lpstr>5.1	Farmakodinaminės savybės</vt:lpstr>
      <vt:lpstr>8 lentelė 	Išgyvenamumas be ligos pasireiškimo ir bendrasis išgyvenamumas (modif</vt:lpstr>
      <vt:lpstr>9 lentelė 	Rezultatai (stebėjimo mediana 32 mėnesiai)</vt:lpstr>
      <vt:lpstr>5.2	Farmakokinetinės savybės</vt:lpstr>
      <vt:lpstr>5.3	Ikiklinikinių saugumo tyrimų duomenys</vt:lpstr>
      <vt:lpstr>6.	FARMACINĖ INFORMACIJA</vt:lpstr>
      <vt:lpstr>6.1	Pagalbinių medžiagų sąrašas</vt:lpstr>
      <vt:lpstr>Tabletės branduolys</vt:lpstr>
      <vt:lpstr>Tabletės plėvelė (Opadry geltonasis 03B82927)</vt:lpstr>
      <vt:lpstr>6.2	Nesuderinamumas</vt:lpstr>
      <vt:lpstr>6.3	Tinkamumo laikas</vt:lpstr>
      <vt:lpstr>6.4	Specialios laikymo sąlygos</vt:lpstr>
      <vt:lpstr>6.5	Talpyklės pobūdis ir jos turinys</vt:lpstr>
      <vt:lpstr>6.6	Specialūs reikalavimai atliekoms tvarkyti ir vaistiniam preparatui ruošti</vt:lpstr>
      <vt:lpstr>        7.	REGISTRUOTOJAS</vt:lpstr>
      <vt:lpstr>        8.	REGISTRACIJOS PAŽYMĖJIMO NUMERIS (-IAI) </vt:lpstr>
      <vt:lpstr>        9.	REGISTRAVIMO / PERREGISTRAVIMO DATA</vt:lpstr>
      <vt:lpstr>    10.	TEKSTO PERŽIŪROS DATA</vt:lpstr>
      <vt:lpstr/>
      <vt:lpstr>II PRIEDAS</vt:lpstr>
      <vt:lpstr/>
      <vt:lpstr>REGISTRACIJOS SĄLYGOS</vt:lpstr>
      <vt:lpstr/>
      <vt:lpstr>III PRIEDAS</vt:lpstr>
      <vt:lpstr>ŽENKLINIMAS IR PAKUOTĖS LAPELIS</vt:lpstr>
      <vt:lpstr/>
      <vt:lpstr>A. ŽENKLINIMAS</vt:lpstr>
      <vt:lpstr>2.	VEIKLIOJI (-IOS) MEDŽIAGA (-OS) IR JOS (-Ų) KIEKIS (-IAI)</vt:lpstr>
      <vt:lpstr>6.	SPECIALUS ĮSPĖJIMAS, KAD VAISTINĮ PREPARATĄ BŪTINA LAIKYTI VAIKAMS NEPASTEBIM</vt:lpstr>
      <vt:lpstr>11.	REGISTRUOTOJO PAVADINIMAS IR ADRESAS</vt:lpstr>
      <vt:lpstr>12.	REGISTRACIJOS PAŽYMĖJIMO NUMERIS (-IAI) </vt:lpstr>
      <vt:lpstr>17.	UNIKALUS IDENTIFIKATORIUS – 2D BRŪKŠNINIS KODAS</vt:lpstr>
      <vt:lpstr>18.	UNIKALUS IDENTIFIKATORIUS – ŽMONĖMS SUPRANTAMI DUOMENYS</vt:lpstr>
      <vt:lpstr>2.	REGISTRUOTOJO pavadinimas</vt:lpstr>
      <vt:lpstr/>
      <vt:lpstr>B. PAKUOTĖS LAPELIS</vt:lpstr>
      <vt:lpstr>    Pakuotės lapelis: informacija vartotojui</vt:lpstr>
      <vt:lpstr>1.	Kas yra Letrozole Accord ir kam jis vartojamas</vt:lpstr>
      <vt:lpstr>Kas yra Letrozole Accord ir kaip jis veikia</vt:lpstr>
      <vt:lpstr>Kam Letrozole Accord vartojamas</vt:lpstr>
      <vt:lpstr>2.	Kas žinotina prieš vartojant Letrozole Accord</vt:lpstr>
      <vt:lpstr>3.	Kaip vartoti Letrozole Accord</vt:lpstr>
      <vt:lpstr>Kiek laiko vartoti Letrozole Accord </vt:lpstr>
      <vt:lpstr>Priežiūra gydymo Letrozole Accord metu </vt:lpstr>
      <vt:lpstr>Ką daryti pavartojus per didelę Letrozole Accord dozę</vt:lpstr>
      <vt:lpstr>Pamiršus pavartoti Letrozole Accord</vt:lpstr>
      <vt:lpstr>Nustojus vartoti Letrozole Accord</vt:lpstr>
      <vt:lpstr>4.	Galimas šalutinis poveikis</vt:lpstr>
      <vt:lpstr>Tam tikras šalutinis poveikis gali būti sunkus.</vt:lpstr>
      <vt:lpstr/>
      <vt:lpstr>Retas šalutinis poveikis (gali pasireikšti rečiau kaip 1 iš 1 000 asmenų):</vt:lpstr>
      <vt:lpstr>Nedažnas šalutinis poveikis (gali pasireikšti rečiau kaip 1 iš 100 asmenų):</vt:lpstr>
      <vt:lpstr/>
      <vt:lpstr>Jei atsiranda bet kuri paminėta būklė, nedelsdama kreipkitės į gydytoją.</vt:lpstr>
      <vt:lpstr>Tam tikras šalutinis poveikis yra labai dažnas (gali pasireikšti ne rečiau kaip </vt:lpstr>
      <vt:lpstr>Tam tikras šalutinis poveikis yra dažnas (gali pasireikšti rečiau kaip 1 iš 10 ž</vt:lpstr>
      <vt:lpstr/>
      <vt:lpstr>I PRIEDAS</vt:lpstr>
      <vt:lpstr>PREPARATO CHARAKTERISTIKŲ SANTRAUKA</vt:lpstr>
      <vt:lpstr>    1.	VAISTINIO PREPARATO PAVADINIMAS</vt:lpstr>
      <vt:lpstr>    2.	KOKYBINĖ IR KIEKYBINĖ SUDĖTIS</vt:lpstr>
      <vt:lpstr>    3.	FARMACINĖ FORMA</vt:lpstr>
      <vt:lpstr>    4.	KLINIKINĖ INFORMACIJA</vt:lpstr>
      <vt:lpstr>4.1	Terapinės indikacijos</vt:lpstr>
      <vt:lpstr>4.2	Dozavimas ir vartojimo metodas</vt:lpstr>
      <vt:lpstr>Vaikų populiacija</vt:lpstr>
      <vt:lpstr>Inkstų funkcijos sutrikimas</vt:lpstr>
      <vt:lpstr>Kepenų funkcijos sutrikimas</vt:lpstr>
      <vt:lpstr>Vartojimo metodas</vt:lpstr>
      <vt:lpstr>4.3	Kontraindikacijos</vt:lpstr>
      <vt:lpstr>4.4	Specialūs įspėjimai ir atsargumo priemonės</vt:lpstr>
      <vt:lpstr>Menopauzinė būklė</vt:lpstr>
      <vt:lpstr>Sutrikusi inkstų funkcija </vt:lpstr>
      <vt:lpstr>Sutrikusi kepenų funkcija</vt:lpstr>
      <vt:lpstr>Poveikis kaulams</vt:lpstr>
      <vt:lpstr>Kiti įspėjimai</vt:lpstr>
      <vt:lpstr>4.5	Sąveika su kitais vaistiniais preparatais ir kitokia sąveika</vt:lpstr>
      <vt:lpstr>4.6	Vaisingumas, nėštumo ir žindymo laikotarpis</vt:lpstr>
      <vt:lpstr>Moterys, kurioms yra perimenopauzinė būklė arba kurios yra vaisingo amžiaus</vt:lpstr>
      <vt:lpstr>Nėštumas</vt:lpstr>
      <vt:lpstr>Žindymas</vt:lpstr>
      <vt:lpstr>Vaisingumas</vt:lpstr>
      <vt:lpstr>4.7	Poveikis gebėjimui vairuoti ir valdyti mechanizmus</vt:lpstr>
      <vt:lpstr>4.8	Nepageidaujamas poveikis</vt:lpstr>
      <vt:lpstr>        </vt:lpstr>
      <vt:lpstr>        Širdies nepageidaujamos reakcijos</vt:lpstr>
      <vt:lpstr>        Adjuvantinio gydymo atveju, be duomenų, pateiktų 2 lentelėje, gauta pranešimų ap</vt:lpstr>
      <vt:lpstr>        </vt:lpstr>
      <vt:lpstr>        Tęstinio adjuvantinio gydymo atveju gauta pranešimų apie toliau išvardytus nepag</vt:lpstr>
      <vt:lpstr>        reiškinius, atsiradusius vartojant atitinkamai letrozolą (gydymo trukmės mediana</vt:lpstr>
      <vt:lpstr>        </vt:lpstr>
      <vt:lpstr>        Reiškinių, pažymėtų simboliu „*“, dažnis dviejose gydymo grupėse statistiškai re</vt:lpstr>
      <vt:lpstr>        </vt:lpstr>
      <vt:lpstr>        Skeleto nepageidaujamos reakcijos</vt:lpstr>
      <vt:lpstr>        Su poveikiu skeletui susiję saugumo duomenys adjuvantinio gydymo atveju pateikti</vt:lpstr>
      <vt:lpstr>        </vt:lpstr>
      <vt:lpstr>        Tęstinio adjuvantinio gydymo atveju reikšmingai didesniam skaičiui pacienčių, va</vt:lpstr>
      <vt:lpstr>        Svarbu pranešti apie įtariamas nepageidaujamas reakcijas, pastebėtas po vaistini</vt:lpstr>
      <vt:lpstr>        </vt:lpstr>
      <vt:lpstr>4.9	Perdozavimas</vt:lpstr>
      <vt:lpstr>    5.	FARMAKOLOGINĖS SAVYBĖS</vt:lpstr>
      <vt:lpstr>5.1	Farmakodinaminės savybės</vt:lpstr>
      <vt:lpstr>8 lentelė 	Išgyvenamumas be ligos pasireiškimo ir bendrasis išgyvenamumas (modif</vt:lpstr>
      <vt:lpstr>9 lentelė 	Rezultatai (stebėjimo mediana 32 mėnesiai)</vt:lpstr>
      <vt:lpstr>5.2	Farmakokinetinės savybės</vt:lpstr>
      <vt:lpstr>5.3	Ikiklinikinių saugumo tyrimų duomenys</vt:lpstr>
      <vt:lpstr>6.	FARMACINĖ INFORMACIJA</vt:lpstr>
      <vt:lpstr>6.1	Pagalbinių medžiagų sąrašas</vt:lpstr>
      <vt:lpstr>Tabletės branduolys</vt:lpstr>
      <vt:lpstr>Tabletės plėvelė (Opadry geltonasis 03B82927)</vt:lpstr>
      <vt:lpstr>6.2	Nesuderinamumas</vt:lpstr>
      <vt:lpstr>6.3	Tinkamumo laikas</vt:lpstr>
      <vt:lpstr>6.4	Specialios laikymo sąlygos</vt:lpstr>
      <vt:lpstr>6.5	Talpyklės pobūdis ir jos turinys</vt:lpstr>
      <vt:lpstr>6.6	Specialūs reikalavimai atliekoms tvarkyti ir vaistiniam preparatui ruošti</vt:lpstr>
      <vt:lpstr>        7.	REGISTRUOTOJAS</vt:lpstr>
      <vt:lpstr>        8.	REGISTRACIJOS PAŽYMĖJIMO NUMERIS (-IAI) </vt:lpstr>
      <vt:lpstr>        9.	REGISTRAVIMO / PERREGISTRAVIMO DATA</vt:lpstr>
      <vt:lpstr>    10.	TEKSTO PERŽIŪROS DATA</vt:lpstr>
      <vt:lpstr/>
      <vt:lpstr>II PRIEDAS</vt:lpstr>
      <vt:lpstr/>
      <vt:lpstr>REGISTRACIJOS SĄLYGOS</vt:lpstr>
      <vt:lpstr/>
      <vt:lpstr>III PRIEDAS</vt:lpstr>
      <vt:lpstr>ŽENKLINIMAS IR PAKUOTĖS LAPELIS</vt:lpstr>
      <vt:lpstr/>
      <vt:lpstr>A. ŽENKLINIMAS</vt:lpstr>
      <vt:lpstr>2.	VEIKLIOJI (-IOS) MEDŽIAGA (-OS) IR JOS (-Ų) KIEKIS (-IAI)</vt:lpstr>
      <vt:lpstr>6.	SPECIALUS ĮSPĖJIMAS, KAD VAISTINĮ PREPARATĄ BŪTINA LAIKYTI VAIKAMS NEPASTEBIM</vt:lpstr>
      <vt:lpstr>11.	REGISTRUOTOJO PAVADINIMAS IR ADRESAS</vt:lpstr>
      <vt:lpstr>12.	REGISTRACIJOS PAŽYMĖJIMO NUMERIS (-IAI) </vt:lpstr>
      <vt:lpstr>17.	UNIKALUS IDENTIFIKATORIUS – 2D BRŪKŠNINIS KODAS</vt:lpstr>
      <vt:lpstr>18.	UNIKALUS IDENTIFIKATORIUS – ŽMONĖMS SUPRANTAMI DUOMENYS</vt:lpstr>
      <vt:lpstr>2.	REGISTRUOTOJO pavadinimas</vt:lpstr>
      <vt:lpstr/>
      <vt:lpstr>B. PAKUOTĖS LAPELIS</vt:lpstr>
      <vt:lpstr>    Pakuotės lapelis: informacija vartotojui</vt:lpstr>
      <vt:lpstr>1.	Kas yra Letrozole Accord ir kam jis vartojamas</vt:lpstr>
      <vt:lpstr>Kas yra Letrozole Accord ir kaip jis veikia</vt:lpstr>
      <vt:lpstr>Kam Letrozole Accord vartojamas</vt:lpstr>
      <vt:lpstr>2.	Kas žinotina prieš vartojant Letrozole Accord</vt:lpstr>
      <vt:lpstr>3.	Kaip vartoti Letrozole Accord</vt:lpstr>
      <vt:lpstr>Kiek laiko vartoti Letrozole Accord </vt:lpstr>
      <vt:lpstr>Priežiūra gydymo Letrozole Accord metu </vt:lpstr>
      <vt:lpstr>Ką daryti pavartojus per didelę Letrozole Accord dozę</vt:lpstr>
      <vt:lpstr>Pamiršus pavartoti Letrozole Accord</vt:lpstr>
      <vt:lpstr>Nustojus vartoti Letrozole Accord</vt:lpstr>
      <vt:lpstr>4.	Galimas šalutinis poveikis</vt:lpstr>
      <vt:lpstr>Tam tikras šalutinis poveikis gali būti sunkus.</vt:lpstr>
      <vt:lpstr/>
      <vt:lpstr>Retas šalutinis poveikis (gali pasireikšti rečiau kaip 1 iš 1 000 asmenų):</vt:lpstr>
      <vt:lpstr>Nedažnas šalutinis poveikis (gali pasireikšti rečiau kaip 1 iš 100 asmenų):</vt:lpstr>
      <vt:lpstr/>
      <vt:lpstr>Jei atsiranda bet kuri paminėta būklė, nedelsdama kreipkitės į gydytoją.</vt:lpstr>
      <vt:lpstr>Tam tikras šalutinis poveikis yra labai dažnas (gali pasireikšti ne rečiau kaip </vt:lpstr>
      <vt:lpstr>Tam tikras šalutinis poveikis yra dažnas (gali pasireikšti rečiau kaip 1 iš 10 ž</vt:lpstr>
    </vt:vector>
  </TitlesOfParts>
  <Company/>
  <LinksUpToDate>false</LinksUpToDate>
  <CharactersWithSpaces>65759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dc:creator>
  <cp:lastModifiedBy>Albina Burkauskaitė</cp:lastModifiedBy>
  <cp:revision>2</cp:revision>
  <dcterms:created xsi:type="dcterms:W3CDTF">2024-11-11T09:03:00Z</dcterms:created>
  <dcterms:modified xsi:type="dcterms:W3CDTF">2024-11-11T09:03:00Z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0x01010024448ADDA094B941BF150AA70B0E97EF</vt:lpwstr>
  </property>
  <property fmtid="{D5CDD505-2E9C-101B-9397-08002B2CF9AE}" pid="3" name="MediaServiceImageTags">
    <vt:lpwstr/>
  </property>
</Properties>
</file>