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252" w:rsidRPr="00BA0735" w:rsidRDefault="00E93252" w:rsidP="00E93252">
      <w:pPr>
        <w:widowControl w:val="0"/>
        <w:rPr>
          <w:sz w:val="22"/>
          <w:szCs w:val="22"/>
          <w:lang w:val="lt-LT"/>
        </w:rPr>
      </w:pPr>
      <w:bookmarkStart w:id="0" w:name="Tab"/>
      <w:bookmarkEnd w:id="0"/>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bookmarkStart w:id="1" w:name="_Toc129243096"/>
      <w:bookmarkStart w:id="2" w:name="_Toc129243221"/>
      <w:r w:rsidRPr="00BA0735">
        <w:rPr>
          <w:b/>
          <w:caps/>
          <w:sz w:val="22"/>
          <w:szCs w:val="22"/>
          <w:lang w:val="lt-LT"/>
        </w:rPr>
        <w:t>I PRIEDAS</w:t>
      </w:r>
      <w:bookmarkEnd w:id="1"/>
      <w:bookmarkEnd w:id="2"/>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bookmarkStart w:id="3" w:name="_Toc129243097"/>
      <w:bookmarkStart w:id="4" w:name="_Toc129243222"/>
      <w:r w:rsidRPr="00BA0735">
        <w:rPr>
          <w:b/>
          <w:caps/>
          <w:sz w:val="22"/>
          <w:szCs w:val="22"/>
          <w:lang w:val="lt-LT"/>
        </w:rPr>
        <w:t>PREPARATO CHARAKTERISTIKŲ SANTRAUKA</w:t>
      </w:r>
      <w:bookmarkEnd w:id="3"/>
      <w:bookmarkEnd w:id="4"/>
    </w:p>
    <w:p w:rsidR="00E93252" w:rsidRPr="00BA0735" w:rsidRDefault="00E93252" w:rsidP="00E93252">
      <w:pPr>
        <w:widowControl w:val="0"/>
        <w:tabs>
          <w:tab w:val="left" w:pos="567"/>
        </w:tabs>
        <w:ind w:left="567" w:hanging="567"/>
        <w:outlineLvl w:val="1"/>
        <w:rPr>
          <w:b/>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rPr>
          <w:sz w:val="22"/>
          <w:szCs w:val="22"/>
          <w:lang w:val="lt-LT"/>
        </w:rPr>
      </w:pPr>
    </w:p>
    <w:p w:rsidR="00E93252" w:rsidRPr="00BA0735" w:rsidRDefault="00E93252" w:rsidP="00E93252">
      <w:pPr>
        <w:widowControl w:val="0"/>
        <w:tabs>
          <w:tab w:val="left" w:pos="567"/>
        </w:tabs>
        <w:ind w:left="567" w:hanging="567"/>
        <w:outlineLvl w:val="1"/>
        <w:rPr>
          <w:sz w:val="22"/>
          <w:szCs w:val="22"/>
          <w:lang w:val="lt-LT"/>
        </w:rPr>
      </w:pPr>
    </w:p>
    <w:p w:rsidR="00E93252" w:rsidRPr="00BA0735" w:rsidRDefault="00E93252" w:rsidP="00E93252">
      <w:pPr>
        <w:widowControl w:val="0"/>
        <w:tabs>
          <w:tab w:val="left" w:pos="567"/>
        </w:tabs>
        <w:ind w:left="567" w:hanging="567"/>
        <w:outlineLvl w:val="1"/>
        <w:rPr>
          <w:sz w:val="22"/>
          <w:szCs w:val="22"/>
          <w:lang w:val="lt-LT"/>
        </w:rPr>
      </w:pPr>
    </w:p>
    <w:p w:rsidR="00E93252" w:rsidRPr="00BA0735" w:rsidRDefault="00E93252" w:rsidP="00E93252">
      <w:pPr>
        <w:widowControl w:val="0"/>
        <w:tabs>
          <w:tab w:val="left" w:pos="567"/>
        </w:tabs>
        <w:ind w:left="567" w:hanging="567"/>
        <w:outlineLvl w:val="1"/>
        <w:rPr>
          <w:sz w:val="22"/>
          <w:szCs w:val="22"/>
          <w:lang w:val="lt-LT"/>
        </w:rPr>
      </w:pPr>
    </w:p>
    <w:p w:rsidR="00E93252" w:rsidRPr="00BA0735" w:rsidRDefault="00E93252" w:rsidP="00E93252">
      <w:pPr>
        <w:widowControl w:val="0"/>
        <w:tabs>
          <w:tab w:val="left" w:pos="1983"/>
        </w:tabs>
        <w:ind w:left="567" w:hanging="567"/>
        <w:outlineLvl w:val="1"/>
        <w:rPr>
          <w:sz w:val="22"/>
          <w:szCs w:val="22"/>
          <w:lang w:val="lt-LT"/>
        </w:rPr>
      </w:pPr>
      <w:r w:rsidRPr="00BA0735">
        <w:rPr>
          <w:sz w:val="22"/>
          <w:szCs w:val="22"/>
          <w:lang w:val="lt-LT"/>
        </w:rPr>
        <w:tab/>
      </w:r>
      <w:r w:rsidRPr="00BA0735">
        <w:rPr>
          <w:sz w:val="22"/>
          <w:szCs w:val="22"/>
          <w:lang w:val="lt-LT"/>
        </w:rPr>
        <w:tab/>
      </w:r>
    </w:p>
    <w:p w:rsidR="00E93252" w:rsidRPr="00BA0735" w:rsidRDefault="00E93252" w:rsidP="00E93252">
      <w:pPr>
        <w:widowControl w:val="0"/>
        <w:tabs>
          <w:tab w:val="left" w:pos="567"/>
        </w:tabs>
        <w:ind w:left="567" w:hanging="567"/>
        <w:outlineLvl w:val="1"/>
        <w:rPr>
          <w:b/>
          <w:sz w:val="22"/>
          <w:szCs w:val="22"/>
          <w:lang w:val="lt-LT"/>
        </w:rPr>
      </w:pPr>
      <w:r w:rsidRPr="00BA0735">
        <w:rPr>
          <w:sz w:val="22"/>
          <w:szCs w:val="22"/>
          <w:lang w:val="lt-LT"/>
        </w:rPr>
        <w:br w:type="page"/>
      </w:r>
      <w:bookmarkStart w:id="5" w:name="_Toc129243098"/>
      <w:bookmarkStart w:id="6" w:name="_Toc129243223"/>
      <w:r w:rsidRPr="00BA0735">
        <w:rPr>
          <w:b/>
          <w:sz w:val="22"/>
          <w:szCs w:val="22"/>
          <w:lang w:val="lt-LT"/>
        </w:rPr>
        <w:lastRenderedPageBreak/>
        <w:t>1.</w:t>
      </w:r>
      <w:r w:rsidRPr="00BA0735">
        <w:rPr>
          <w:b/>
          <w:sz w:val="22"/>
          <w:szCs w:val="22"/>
          <w:lang w:val="lt-LT"/>
        </w:rPr>
        <w:tab/>
        <w:t>VAISTINIO PREPARATO PAVADINIMAS</w:t>
      </w:r>
      <w:bookmarkEnd w:id="5"/>
      <w:bookmarkEnd w:id="6"/>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Prenewel 2 mg/0,625 mg tabletės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7" w:name="_Toc129243099"/>
      <w:bookmarkStart w:id="8" w:name="_Toc129243224"/>
      <w:r w:rsidRPr="00BA0735">
        <w:rPr>
          <w:b/>
          <w:sz w:val="22"/>
          <w:szCs w:val="22"/>
          <w:lang w:val="lt-LT"/>
        </w:rPr>
        <w:t>2.</w:t>
      </w:r>
      <w:r w:rsidRPr="00BA0735">
        <w:rPr>
          <w:b/>
          <w:sz w:val="22"/>
          <w:szCs w:val="22"/>
          <w:lang w:val="lt-LT"/>
        </w:rPr>
        <w:tab/>
        <w:t>KOKYBINĖ IR KIEKYBINĖ SUDĖTIS</w:t>
      </w:r>
      <w:bookmarkEnd w:id="7"/>
      <w:bookmarkEnd w:id="8"/>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 xml:space="preserve">Vienoje tabletėje yra 2 mg </w:t>
      </w:r>
      <w:bookmarkStart w:id="9" w:name="OLE_LINK11"/>
      <w:bookmarkStart w:id="10" w:name="OLE_LINK12"/>
      <w:r w:rsidRPr="00BA0735">
        <w:rPr>
          <w:sz w:val="22"/>
          <w:szCs w:val="22"/>
          <w:lang w:val="lt-LT"/>
        </w:rPr>
        <w:t xml:space="preserve">tert-butilamino perindoprilio </w:t>
      </w:r>
      <w:bookmarkEnd w:id="9"/>
      <w:bookmarkEnd w:id="10"/>
      <w:r w:rsidRPr="00BA0735">
        <w:rPr>
          <w:sz w:val="22"/>
          <w:szCs w:val="22"/>
          <w:lang w:val="lt-LT"/>
        </w:rPr>
        <w:t>(atitinka 1,67 mg perindoprilio) ir 0,625 mg indapamido.</w:t>
      </w:r>
    </w:p>
    <w:p w:rsidR="00E93252" w:rsidRPr="00BA0735" w:rsidRDefault="00E93252" w:rsidP="00E93252">
      <w:pPr>
        <w:widowControl w:val="0"/>
        <w:rPr>
          <w:sz w:val="22"/>
          <w:szCs w:val="22"/>
          <w:lang w:val="lt-LT"/>
        </w:rPr>
      </w:pPr>
    </w:p>
    <w:p w:rsidR="00E93252" w:rsidRPr="00526D52" w:rsidRDefault="00E93252" w:rsidP="00E93252">
      <w:pPr>
        <w:widowControl w:val="0"/>
        <w:jc w:val="both"/>
        <w:rPr>
          <w:sz w:val="22"/>
          <w:szCs w:val="22"/>
          <w:u w:val="single"/>
          <w:lang w:val="lt-LT"/>
        </w:rPr>
      </w:pPr>
      <w:r w:rsidRPr="00BA0735">
        <w:rPr>
          <w:sz w:val="22"/>
          <w:szCs w:val="22"/>
          <w:u w:val="single"/>
          <w:lang w:val="lt-LT"/>
        </w:rPr>
        <w:t>Pagalbinė medžiaga, kurios poveikis žinomas</w:t>
      </w:r>
      <w:r w:rsidRPr="00526D52">
        <w:rPr>
          <w:sz w:val="22"/>
          <w:szCs w:val="22"/>
          <w:u w:val="single"/>
          <w:lang w:val="lt-LT"/>
        </w:rPr>
        <w:t>: laktozė</w:t>
      </w:r>
    </w:p>
    <w:p w:rsidR="00E93252" w:rsidRPr="00BA0735" w:rsidRDefault="00E93252" w:rsidP="00E93252">
      <w:pPr>
        <w:widowControl w:val="0"/>
        <w:jc w:val="both"/>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 xml:space="preserve">Vienoje tabletėje yra </w:t>
      </w:r>
      <w:r w:rsidRPr="00BA0735">
        <w:rPr>
          <w:color w:val="000000"/>
          <w:sz w:val="22"/>
          <w:szCs w:val="22"/>
          <w:lang w:val="lt-LT"/>
        </w:rPr>
        <w:t>33,74 mg laktozės.</w:t>
      </w:r>
    </w:p>
    <w:p w:rsidR="00E93252" w:rsidRPr="00BA0735" w:rsidRDefault="00E93252" w:rsidP="00E93252">
      <w:pPr>
        <w:widowControl w:val="0"/>
        <w:rPr>
          <w:sz w:val="22"/>
          <w:szCs w:val="22"/>
          <w:lang w:val="lt-LT"/>
        </w:rPr>
      </w:pPr>
      <w:r w:rsidRPr="00BA0735">
        <w:rPr>
          <w:sz w:val="22"/>
          <w:szCs w:val="22"/>
          <w:lang w:val="lt-LT"/>
        </w:rPr>
        <w:t>Visos pagalbinės medžiagos išvardytos 6.1</w:t>
      </w:r>
      <w:r w:rsidR="00B31A3A">
        <w:rPr>
          <w:sz w:val="22"/>
          <w:szCs w:val="22"/>
          <w:lang w:val="lt-LT"/>
        </w:rPr>
        <w:t> </w:t>
      </w:r>
      <w:r w:rsidRPr="00BA0735">
        <w:rPr>
          <w:sz w:val="22"/>
          <w:szCs w:val="22"/>
          <w:lang w:val="lt-LT"/>
        </w:rPr>
        <w:t>skyriuje.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11" w:name="_Toc129243100"/>
      <w:bookmarkStart w:id="12" w:name="_Toc129243225"/>
      <w:r w:rsidRPr="00BA0735">
        <w:rPr>
          <w:b/>
          <w:sz w:val="22"/>
          <w:szCs w:val="22"/>
          <w:lang w:val="lt-LT"/>
        </w:rPr>
        <w:t>3.</w:t>
      </w:r>
      <w:r w:rsidRPr="00BA0735">
        <w:rPr>
          <w:b/>
          <w:sz w:val="22"/>
          <w:szCs w:val="22"/>
          <w:lang w:val="lt-LT"/>
        </w:rPr>
        <w:tab/>
        <w:t>FARMACINĖ FORMA</w:t>
      </w:r>
      <w:bookmarkEnd w:id="11"/>
      <w:bookmarkEnd w:id="12"/>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sz w:val="22"/>
          <w:szCs w:val="22"/>
          <w:lang w:val="lt-LT"/>
        </w:rPr>
      </w:pPr>
      <w:r w:rsidRPr="00BA0735">
        <w:rPr>
          <w:sz w:val="22"/>
          <w:szCs w:val="22"/>
          <w:lang w:val="lt-LT"/>
        </w:rPr>
        <w:t>Tabletė.</w:t>
      </w:r>
    </w:p>
    <w:p w:rsidR="00E93252" w:rsidRPr="00BA0735" w:rsidRDefault="00E93252" w:rsidP="00E93252">
      <w:pPr>
        <w:widowControl w:val="0"/>
        <w:tabs>
          <w:tab w:val="left" w:pos="567"/>
        </w:tabs>
        <w:rPr>
          <w:sz w:val="22"/>
          <w:szCs w:val="22"/>
          <w:lang w:val="lt-LT"/>
        </w:rPr>
      </w:pPr>
    </w:p>
    <w:p w:rsidR="00E93252" w:rsidRPr="00BA0735" w:rsidRDefault="00E93252" w:rsidP="00E93252">
      <w:pPr>
        <w:widowControl w:val="0"/>
        <w:tabs>
          <w:tab w:val="left" w:pos="567"/>
        </w:tabs>
        <w:rPr>
          <w:sz w:val="22"/>
          <w:szCs w:val="22"/>
          <w:lang w:val="lt-LT"/>
        </w:rPr>
      </w:pPr>
      <w:r w:rsidRPr="00BA0735">
        <w:rPr>
          <w:sz w:val="22"/>
          <w:szCs w:val="22"/>
          <w:lang w:val="lt-LT"/>
        </w:rPr>
        <w:t>Tabletės yra pailgos, baltos, šiek tiek abipus išgaubtos, nuožulniais kraštais.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13" w:name="_Toc129243101"/>
      <w:bookmarkStart w:id="14" w:name="_Toc129243226"/>
      <w:r w:rsidRPr="00BA0735">
        <w:rPr>
          <w:b/>
          <w:sz w:val="22"/>
          <w:szCs w:val="22"/>
          <w:lang w:val="lt-LT"/>
        </w:rPr>
        <w:t>4.</w:t>
      </w:r>
      <w:r w:rsidRPr="00BA0735">
        <w:rPr>
          <w:b/>
          <w:sz w:val="22"/>
          <w:szCs w:val="22"/>
          <w:lang w:val="lt-LT"/>
        </w:rPr>
        <w:tab/>
        <w:t>KLINIKINĖ INFORMACIJA</w:t>
      </w:r>
      <w:bookmarkEnd w:id="13"/>
      <w:bookmarkEnd w:id="14"/>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15" w:name="_Toc129243102"/>
      <w:bookmarkStart w:id="16" w:name="_Toc129243227"/>
      <w:r w:rsidRPr="00BA0735">
        <w:rPr>
          <w:b/>
          <w:kern w:val="28"/>
          <w:sz w:val="22"/>
          <w:szCs w:val="22"/>
          <w:lang w:val="lt-LT"/>
        </w:rPr>
        <w:t>4.1</w:t>
      </w:r>
      <w:r w:rsidRPr="00BA0735">
        <w:rPr>
          <w:b/>
          <w:kern w:val="28"/>
          <w:sz w:val="22"/>
          <w:szCs w:val="22"/>
          <w:lang w:val="lt-LT"/>
        </w:rPr>
        <w:tab/>
        <w:t>Terapinės indikacijos</w:t>
      </w:r>
      <w:bookmarkEnd w:id="15"/>
      <w:bookmarkEnd w:id="16"/>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Pirminės arterinės hipertenzijos gydymas.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17" w:name="_Toc129243103"/>
      <w:bookmarkStart w:id="18" w:name="_Toc129243228"/>
      <w:r w:rsidRPr="00BA0735">
        <w:rPr>
          <w:b/>
          <w:kern w:val="28"/>
          <w:sz w:val="22"/>
          <w:szCs w:val="22"/>
          <w:lang w:val="lt-LT"/>
        </w:rPr>
        <w:t>4.2</w:t>
      </w:r>
      <w:r w:rsidRPr="00BA0735">
        <w:rPr>
          <w:b/>
          <w:kern w:val="28"/>
          <w:sz w:val="22"/>
          <w:szCs w:val="22"/>
          <w:lang w:val="lt-LT"/>
        </w:rPr>
        <w:tab/>
        <w:t>Dozavimas ir vartojimo metodas</w:t>
      </w:r>
      <w:bookmarkEnd w:id="17"/>
      <w:bookmarkEnd w:id="18"/>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Dozavimas</w:t>
      </w:r>
    </w:p>
    <w:p w:rsidR="00E93252" w:rsidRPr="00BA0735" w:rsidRDefault="00E93252" w:rsidP="00E93252">
      <w:pPr>
        <w:widowControl w:val="0"/>
        <w:rPr>
          <w:sz w:val="22"/>
          <w:szCs w:val="22"/>
          <w:lang w:val="lt-LT"/>
        </w:rPr>
      </w:pPr>
      <w:r w:rsidRPr="00BA0735">
        <w:rPr>
          <w:sz w:val="22"/>
          <w:szCs w:val="22"/>
          <w:lang w:val="lt-LT"/>
        </w:rPr>
        <w:t>Siekiant individualizuoti rekomenduojamą veiksmingą dozę, jei įmanoma, pradžioje kiekvienos veikliosios medžiagos dozę reikia nustatyti atskirai.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Įprastinė dozė yra 1 Prenewel 2 mg/0,625 mg tabletė. Ją reikia gerti kartą per parą, geriausia ryte, prieš valgį. Jei tokia dozė kraujospūdį kontroliuoja nepakankamai, po mėnesio gydymo dozę galima dvigubinti, t. y. ryte gerti dvi Prenewel 2 mg/0,625 mg tabletes arba vieną Prenewel 4 mg/1,25 mg tabletę.</w:t>
      </w:r>
    </w:p>
    <w:p w:rsidR="00E93252" w:rsidRPr="00BA0735" w:rsidRDefault="00E93252" w:rsidP="00E93252">
      <w:pPr>
        <w:widowControl w:val="0"/>
        <w:rPr>
          <w:sz w:val="22"/>
          <w:szCs w:val="22"/>
          <w:lang w:val="lt-LT"/>
        </w:rPr>
      </w:pPr>
    </w:p>
    <w:p w:rsidR="00E93252" w:rsidRPr="00BA0735" w:rsidRDefault="00E93252" w:rsidP="00E93252">
      <w:pPr>
        <w:widowControl w:val="0"/>
        <w:jc w:val="both"/>
        <w:rPr>
          <w:i/>
          <w:sz w:val="22"/>
          <w:szCs w:val="22"/>
          <w:lang w:val="lt-LT"/>
        </w:rPr>
      </w:pPr>
      <w:r w:rsidRPr="00BA0735">
        <w:rPr>
          <w:i/>
          <w:sz w:val="22"/>
          <w:szCs w:val="22"/>
          <w:lang w:val="lt-LT"/>
        </w:rPr>
        <w:t>Sutrikusi inkstų funkcija (žr. 4.4</w:t>
      </w:r>
      <w:r w:rsidR="00B31A3A">
        <w:rPr>
          <w:sz w:val="22"/>
          <w:szCs w:val="22"/>
          <w:lang w:val="lt-LT"/>
        </w:rPr>
        <w:t> </w:t>
      </w:r>
      <w:r w:rsidRPr="00BA0735">
        <w:rPr>
          <w:i/>
          <w:sz w:val="22"/>
          <w:szCs w:val="22"/>
          <w:lang w:val="lt-LT"/>
        </w:rPr>
        <w:t>skyrių)</w:t>
      </w: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 xml:space="preserve">Jei </w:t>
      </w:r>
      <w:bookmarkStart w:id="19" w:name="OLE_LINK7"/>
      <w:bookmarkStart w:id="20" w:name="OLE_LINK8"/>
      <w:r w:rsidRPr="00BA0735">
        <w:rPr>
          <w:sz w:val="22"/>
          <w:szCs w:val="22"/>
          <w:lang w:val="lt-LT"/>
        </w:rPr>
        <w:t xml:space="preserve">inkstų funkcijos sutrikimas </w:t>
      </w:r>
      <w:bookmarkEnd w:id="19"/>
      <w:bookmarkEnd w:id="20"/>
      <w:r w:rsidRPr="00BA0735">
        <w:rPr>
          <w:sz w:val="22"/>
          <w:szCs w:val="22"/>
          <w:lang w:val="lt-LT"/>
        </w:rPr>
        <w:t>sunkus (kreatinino klirensas &lt;</w:t>
      </w:r>
      <w:r w:rsidR="00B31A3A">
        <w:rPr>
          <w:sz w:val="22"/>
          <w:szCs w:val="22"/>
          <w:lang w:val="lt-LT"/>
        </w:rPr>
        <w:t> </w:t>
      </w:r>
      <w:r w:rsidRPr="00BA0735">
        <w:rPr>
          <w:sz w:val="22"/>
          <w:szCs w:val="22"/>
          <w:lang w:val="lt-LT"/>
        </w:rPr>
        <w:t>30 ml/min.), Prenewel 2 mg/0,625 mg tablečių vartoti draudžiama.</w:t>
      </w:r>
    </w:p>
    <w:p w:rsidR="00E93252" w:rsidRPr="00BA0735" w:rsidRDefault="00E93252" w:rsidP="00E93252">
      <w:pPr>
        <w:widowControl w:val="0"/>
        <w:autoSpaceDE w:val="0"/>
        <w:autoSpaceDN w:val="0"/>
        <w:adjustRightInd w:val="0"/>
        <w:rPr>
          <w:sz w:val="22"/>
          <w:szCs w:val="22"/>
          <w:lang w:val="lt-LT"/>
        </w:rPr>
      </w:pP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Jei inkstų funkcijos sutrikimas vidutinio sunkumo (kreatinino klirensas 30</w:t>
      </w:r>
      <w:r w:rsidRPr="00BA0735">
        <w:rPr>
          <w:sz w:val="22"/>
          <w:szCs w:val="22"/>
          <w:lang w:val="lt-LT"/>
        </w:rPr>
        <w:noBreakHyphen/>
        <w:t>60 ml/min.), rekomenduojama pradėti gydyti tinkamomis mažomis atskirų veikliųjų medžiagų dozėmis. Maksimali paros dozė yra viena Prenewel 2 mg/0,625 mg tabletė.</w:t>
      </w:r>
    </w:p>
    <w:p w:rsidR="00E93252" w:rsidRPr="00BA0735" w:rsidRDefault="00E93252" w:rsidP="00E93252">
      <w:pPr>
        <w:widowControl w:val="0"/>
        <w:autoSpaceDE w:val="0"/>
        <w:autoSpaceDN w:val="0"/>
        <w:adjustRightInd w:val="0"/>
        <w:rPr>
          <w:sz w:val="22"/>
          <w:szCs w:val="22"/>
          <w:lang w:val="lt-LT"/>
        </w:rPr>
      </w:pP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Jei kreatinino klirensas didesnis kaip 60 ml/min., dozės koreguoti nereikia.</w:t>
      </w:r>
    </w:p>
    <w:p w:rsidR="00E93252" w:rsidRPr="00BA0735" w:rsidRDefault="00E93252" w:rsidP="00E93252">
      <w:pPr>
        <w:widowControl w:val="0"/>
        <w:autoSpaceDE w:val="0"/>
        <w:autoSpaceDN w:val="0"/>
        <w:adjustRightInd w:val="0"/>
        <w:rPr>
          <w:sz w:val="22"/>
          <w:szCs w:val="22"/>
          <w:lang w:val="lt-LT"/>
        </w:rPr>
      </w:pP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Gydymo metu būtina stebėti paciento būklę bei dažnai (pvz., kas 2 mėnesiai) nustatinėti kalio bei kreatinino koncentraciją serume.</w:t>
      </w:r>
    </w:p>
    <w:p w:rsidR="00E93252" w:rsidRPr="00BA0735" w:rsidRDefault="00E93252" w:rsidP="00E93252">
      <w:pPr>
        <w:widowControl w:val="0"/>
        <w:autoSpaceDE w:val="0"/>
        <w:autoSpaceDN w:val="0"/>
        <w:adjustRightInd w:val="0"/>
        <w:rPr>
          <w:sz w:val="22"/>
          <w:szCs w:val="22"/>
          <w:lang w:val="lt-LT"/>
        </w:rPr>
      </w:pPr>
    </w:p>
    <w:p w:rsidR="00E93252" w:rsidRPr="00BA0735" w:rsidRDefault="00E93252" w:rsidP="00E93252">
      <w:pPr>
        <w:widowControl w:val="0"/>
        <w:jc w:val="both"/>
        <w:rPr>
          <w:i/>
          <w:sz w:val="22"/>
          <w:szCs w:val="22"/>
          <w:lang w:val="lt-LT"/>
        </w:rPr>
      </w:pPr>
      <w:r w:rsidRPr="00BA0735">
        <w:rPr>
          <w:i/>
          <w:sz w:val="22"/>
          <w:szCs w:val="22"/>
          <w:lang w:val="lt-LT"/>
        </w:rPr>
        <w:t>Sutrikusi kepenų funkcija (žr. 4.3, 4,4 ir 5.2</w:t>
      </w:r>
      <w:r w:rsidR="00B31A3A">
        <w:rPr>
          <w:sz w:val="22"/>
          <w:szCs w:val="22"/>
          <w:lang w:val="lt-LT"/>
        </w:rPr>
        <w:t> </w:t>
      </w:r>
      <w:r w:rsidRPr="00BA0735">
        <w:rPr>
          <w:i/>
          <w:sz w:val="22"/>
          <w:szCs w:val="22"/>
          <w:lang w:val="lt-LT"/>
        </w:rPr>
        <w:t>skyrius)</w:t>
      </w:r>
    </w:p>
    <w:p w:rsidR="00E93252" w:rsidRPr="00BA0735" w:rsidRDefault="00E93252" w:rsidP="00E93252">
      <w:pPr>
        <w:widowControl w:val="0"/>
        <w:autoSpaceDE w:val="0"/>
        <w:autoSpaceDN w:val="0"/>
        <w:adjustRightInd w:val="0"/>
        <w:jc w:val="both"/>
        <w:rPr>
          <w:sz w:val="22"/>
          <w:szCs w:val="22"/>
          <w:lang w:val="lt-LT"/>
        </w:rPr>
      </w:pPr>
      <w:r w:rsidRPr="00BA0735">
        <w:rPr>
          <w:sz w:val="22"/>
          <w:szCs w:val="22"/>
          <w:lang w:val="lt-LT"/>
        </w:rPr>
        <w:t>Jei yra sunkus kepenų funkcijos sutrikimas, šio vaistinio preparato vartoti draudžiama.</w:t>
      </w: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Jei kepenų funkcijos sutrikimas vidutinio sunkumo, dozės keisti nereikia.</w:t>
      </w:r>
    </w:p>
    <w:p w:rsidR="00E93252" w:rsidRPr="00BA0735" w:rsidRDefault="00E93252" w:rsidP="00E93252">
      <w:pPr>
        <w:widowControl w:val="0"/>
        <w:rPr>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Vaikų populiacija</w:t>
      </w:r>
    </w:p>
    <w:p w:rsidR="00E93252" w:rsidRPr="00BA0735" w:rsidRDefault="00E93252" w:rsidP="00E93252">
      <w:pPr>
        <w:widowControl w:val="0"/>
        <w:rPr>
          <w:sz w:val="22"/>
          <w:szCs w:val="22"/>
          <w:lang w:val="lt-LT"/>
        </w:rPr>
      </w:pPr>
      <w:r w:rsidRPr="00BA0735">
        <w:rPr>
          <w:sz w:val="22"/>
          <w:szCs w:val="22"/>
          <w:lang w:val="lt-LT"/>
        </w:rPr>
        <w:t>Prenewel 2 mg/0,625 mg tablečių veiksmingumas ir saugumas vaikams ir jaunesniems kaip 18 metų paaugliams netirtas, todėl jiems šio vaistinio preparato vartoti nerekomenduojama.</w:t>
      </w:r>
    </w:p>
    <w:p w:rsidR="00E93252" w:rsidRPr="00BA0735" w:rsidRDefault="00E93252" w:rsidP="00E93252">
      <w:pPr>
        <w:widowControl w:val="0"/>
        <w:rPr>
          <w:sz w:val="22"/>
          <w:szCs w:val="22"/>
          <w:lang w:val="lt-LT"/>
        </w:rPr>
      </w:pPr>
    </w:p>
    <w:p w:rsidR="00E93252" w:rsidRPr="00BA0735" w:rsidRDefault="00E93252" w:rsidP="00E93252">
      <w:pPr>
        <w:widowControl w:val="0"/>
        <w:autoSpaceDE w:val="0"/>
        <w:autoSpaceDN w:val="0"/>
        <w:adjustRightInd w:val="0"/>
        <w:rPr>
          <w:sz w:val="22"/>
          <w:szCs w:val="22"/>
          <w:lang w:val="lt-LT"/>
        </w:rPr>
      </w:pPr>
      <w:r w:rsidRPr="00BA0735">
        <w:rPr>
          <w:i/>
          <w:sz w:val="22"/>
          <w:szCs w:val="22"/>
          <w:lang w:val="lt-LT"/>
        </w:rPr>
        <w:t>Senyviems pacientams</w:t>
      </w: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Gydymo pradžioje reikia skirti vartoti mažas atskirų veikliųjų medžiagų dozes arba, jei galima, kartą per parą gerti (geriausia ryte, prieš valgį) vieną Prenewel 2 mg/0,625 mg tabletę. Jei reikia, po mėnesio perindoprilio paros dozę galima atsargiai didinti iki 4 mg (žr. 4.4 skyrių).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Vartojimo metodas</w:t>
      </w:r>
    </w:p>
    <w:p w:rsidR="00E93252" w:rsidRPr="00BA0735" w:rsidRDefault="00E93252" w:rsidP="00E93252">
      <w:pPr>
        <w:widowControl w:val="0"/>
        <w:rPr>
          <w:sz w:val="22"/>
          <w:szCs w:val="22"/>
          <w:lang w:val="lt-LT"/>
        </w:rPr>
      </w:pPr>
      <w:r w:rsidRPr="00BA0735">
        <w:rPr>
          <w:sz w:val="22"/>
          <w:szCs w:val="22"/>
          <w:lang w:val="lt-LT"/>
        </w:rPr>
        <w:t>Vartoti per burną.</w:t>
      </w:r>
    </w:p>
    <w:p w:rsidR="00E93252" w:rsidRPr="00BA0735" w:rsidRDefault="00E93252" w:rsidP="00E93252">
      <w:pPr>
        <w:widowControl w:val="0"/>
        <w:autoSpaceDE w:val="0"/>
        <w:autoSpaceDN w:val="0"/>
        <w:adjustRightInd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21" w:name="_Toc129243104"/>
      <w:bookmarkStart w:id="22" w:name="_Toc129243229"/>
      <w:r w:rsidRPr="00BA0735">
        <w:rPr>
          <w:b/>
          <w:kern w:val="28"/>
          <w:sz w:val="22"/>
          <w:szCs w:val="22"/>
          <w:lang w:val="lt-LT"/>
        </w:rPr>
        <w:t>4.3</w:t>
      </w:r>
      <w:r w:rsidRPr="00BA0735">
        <w:rPr>
          <w:b/>
          <w:kern w:val="28"/>
          <w:sz w:val="22"/>
          <w:szCs w:val="22"/>
          <w:lang w:val="lt-LT"/>
        </w:rPr>
        <w:tab/>
        <w:t>Kontraindikacijos</w:t>
      </w:r>
      <w:bookmarkEnd w:id="21"/>
      <w:bookmarkEnd w:id="22"/>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Siejamos su perindopriliu</w:t>
      </w:r>
    </w:p>
    <w:p w:rsidR="00E93252" w:rsidRPr="00BA0735" w:rsidRDefault="00E93252" w:rsidP="00E93252">
      <w:pPr>
        <w:widowControl w:val="0"/>
        <w:numPr>
          <w:ilvl w:val="0"/>
          <w:numId w:val="36"/>
        </w:numPr>
        <w:ind w:left="567" w:hanging="567"/>
        <w:rPr>
          <w:sz w:val="22"/>
          <w:szCs w:val="22"/>
          <w:lang w:val="lt-LT"/>
        </w:rPr>
      </w:pPr>
      <w:r w:rsidRPr="00BA0735">
        <w:rPr>
          <w:sz w:val="22"/>
          <w:szCs w:val="22"/>
          <w:lang w:val="lt-LT"/>
        </w:rPr>
        <w:t>Padidėjęs jautrumas perindopriliui arba bet kuriam kitokiam AKF inhibitoriui.</w:t>
      </w:r>
    </w:p>
    <w:p w:rsidR="00E93252" w:rsidRPr="00BA0735" w:rsidRDefault="00E93252" w:rsidP="00DE1ABA">
      <w:pPr>
        <w:widowControl w:val="0"/>
        <w:numPr>
          <w:ilvl w:val="0"/>
          <w:numId w:val="36"/>
        </w:numPr>
        <w:rPr>
          <w:sz w:val="22"/>
          <w:szCs w:val="22"/>
          <w:lang w:val="lt-LT"/>
        </w:rPr>
      </w:pPr>
      <w:r w:rsidRPr="00BA0735">
        <w:rPr>
          <w:sz w:val="22"/>
          <w:szCs w:val="22"/>
          <w:lang w:val="lt-LT"/>
        </w:rPr>
        <w:t>Buvusi su AKF inhibitorių vartojimu susijusi angioneurozinė (Kvinkės [</w:t>
      </w:r>
      <w:r w:rsidRPr="00BA0735">
        <w:rPr>
          <w:i/>
          <w:sz w:val="22"/>
          <w:szCs w:val="22"/>
          <w:lang w:val="lt-LT"/>
        </w:rPr>
        <w:t>Quincke</w:t>
      </w:r>
      <w:r w:rsidRPr="00BA0735">
        <w:rPr>
          <w:sz w:val="22"/>
          <w:szCs w:val="22"/>
          <w:lang w:val="lt-LT"/>
        </w:rPr>
        <w:t>]) edema</w:t>
      </w:r>
      <w:r w:rsidR="00DE1ABA">
        <w:rPr>
          <w:sz w:val="22"/>
          <w:szCs w:val="22"/>
          <w:lang w:val="lt-LT"/>
        </w:rPr>
        <w:t xml:space="preserve"> (žr. 4.4</w:t>
      </w:r>
      <w:r w:rsidR="00691D21">
        <w:rPr>
          <w:sz w:val="22"/>
          <w:szCs w:val="22"/>
          <w:lang w:val="lt-LT"/>
        </w:rPr>
        <w:t> </w:t>
      </w:r>
      <w:r w:rsidR="00DE1ABA">
        <w:rPr>
          <w:sz w:val="22"/>
          <w:szCs w:val="22"/>
          <w:lang w:val="lt-LT"/>
        </w:rPr>
        <w:t>skyrių</w:t>
      </w:r>
      <w:r w:rsidR="00DE1ABA" w:rsidRPr="00DE1ABA">
        <w:rPr>
          <w:sz w:val="22"/>
          <w:szCs w:val="22"/>
          <w:lang w:val="lt-LT"/>
        </w:rPr>
        <w:t>)</w:t>
      </w:r>
      <w:r w:rsidR="00DE1ABA">
        <w:rPr>
          <w:sz w:val="22"/>
          <w:szCs w:val="22"/>
          <w:lang w:val="lt-LT"/>
        </w:rPr>
        <w:t xml:space="preserve"> </w:t>
      </w:r>
      <w:r w:rsidRPr="00BA0735">
        <w:rPr>
          <w:sz w:val="22"/>
          <w:szCs w:val="22"/>
          <w:lang w:val="lt-LT"/>
        </w:rPr>
        <w:t>.</w:t>
      </w:r>
    </w:p>
    <w:p w:rsidR="00E93252" w:rsidRPr="00BA0735" w:rsidRDefault="00E93252" w:rsidP="00E93252">
      <w:pPr>
        <w:widowControl w:val="0"/>
        <w:numPr>
          <w:ilvl w:val="0"/>
          <w:numId w:val="36"/>
        </w:numPr>
        <w:ind w:left="567" w:hanging="567"/>
        <w:rPr>
          <w:sz w:val="22"/>
          <w:szCs w:val="22"/>
          <w:lang w:val="lt-LT"/>
        </w:rPr>
      </w:pPr>
      <w:r w:rsidRPr="00BA0735">
        <w:rPr>
          <w:sz w:val="22"/>
          <w:szCs w:val="22"/>
          <w:lang w:val="lt-LT"/>
        </w:rPr>
        <w:t>Įgimta arba idiopatinė angioneurozinė edema.</w:t>
      </w:r>
    </w:p>
    <w:p w:rsidR="00E93252" w:rsidRPr="00BA0735" w:rsidRDefault="00E93252" w:rsidP="00E93252">
      <w:pPr>
        <w:widowControl w:val="0"/>
        <w:numPr>
          <w:ilvl w:val="0"/>
          <w:numId w:val="36"/>
        </w:numPr>
        <w:ind w:left="567" w:hanging="567"/>
        <w:rPr>
          <w:sz w:val="22"/>
          <w:szCs w:val="22"/>
          <w:lang w:val="lt-LT"/>
        </w:rPr>
      </w:pPr>
      <w:r w:rsidRPr="00BA0735">
        <w:rPr>
          <w:sz w:val="22"/>
          <w:szCs w:val="22"/>
          <w:lang w:val="lt-LT"/>
        </w:rPr>
        <w:t>Antrasis ir trečiasis nėštumo trimestrai (žr. 4.4 ir 4.6</w:t>
      </w:r>
      <w:r w:rsidR="00691D21">
        <w:rPr>
          <w:sz w:val="22"/>
          <w:szCs w:val="22"/>
          <w:lang w:val="lt-LT"/>
        </w:rPr>
        <w:t> </w:t>
      </w:r>
      <w:r w:rsidRPr="00BA0735">
        <w:rPr>
          <w:sz w:val="22"/>
          <w:szCs w:val="22"/>
          <w:lang w:val="lt-LT"/>
        </w:rPr>
        <w:t>skyrius).</w:t>
      </w:r>
    </w:p>
    <w:p w:rsidR="00E93252" w:rsidRPr="00BA0735" w:rsidRDefault="00E93252" w:rsidP="00E93252">
      <w:pPr>
        <w:widowControl w:val="0"/>
        <w:numPr>
          <w:ilvl w:val="0"/>
          <w:numId w:val="36"/>
        </w:numPr>
        <w:ind w:left="567" w:hanging="567"/>
        <w:contextualSpacing/>
        <w:rPr>
          <w:sz w:val="22"/>
          <w:szCs w:val="22"/>
          <w:lang w:val="lt-LT"/>
        </w:rPr>
      </w:pPr>
      <w:r w:rsidRPr="00BA0735">
        <w:rPr>
          <w:sz w:val="22"/>
          <w:szCs w:val="22"/>
          <w:lang w:val="lt-LT"/>
        </w:rPr>
        <w:t>Pacientams, kurie serga cukriniu diabetu arba kurių inkstų funkcija sutrikusi (GFG &lt; 60 ml/min/1,73 m</w:t>
      </w:r>
      <w:r w:rsidRPr="00BA0735">
        <w:rPr>
          <w:sz w:val="22"/>
          <w:szCs w:val="22"/>
          <w:vertAlign w:val="superscript"/>
          <w:lang w:val="lt-LT"/>
        </w:rPr>
        <w:t>2</w:t>
      </w:r>
      <w:r w:rsidRPr="00BA0735">
        <w:rPr>
          <w:sz w:val="22"/>
          <w:szCs w:val="22"/>
          <w:lang w:val="lt-LT"/>
        </w:rPr>
        <w:t>), Prenewel negalima vartoti kartu su preparatais, kurių sudėtyje yra aliskireno (žr. 4.5 ir 5.1</w:t>
      </w:r>
      <w:r w:rsidR="00691D21">
        <w:rPr>
          <w:sz w:val="22"/>
          <w:szCs w:val="22"/>
          <w:lang w:val="lt-LT"/>
        </w:rPr>
        <w:t> </w:t>
      </w:r>
      <w:r w:rsidRPr="00BA0735">
        <w:rPr>
          <w:sz w:val="22"/>
          <w:szCs w:val="22"/>
          <w:lang w:val="lt-LT"/>
        </w:rPr>
        <w:t>skyrius).</w:t>
      </w:r>
    </w:p>
    <w:p w:rsidR="00E93252" w:rsidRPr="00BA0735" w:rsidRDefault="00E93252" w:rsidP="00E93252">
      <w:pPr>
        <w:widowControl w:val="0"/>
        <w:numPr>
          <w:ilvl w:val="0"/>
          <w:numId w:val="36"/>
        </w:numPr>
        <w:ind w:left="567" w:hanging="567"/>
        <w:rPr>
          <w:sz w:val="22"/>
          <w:szCs w:val="22"/>
          <w:lang w:val="lt-LT"/>
        </w:rPr>
      </w:pPr>
      <w:r w:rsidRPr="00BA0735">
        <w:rPr>
          <w:sz w:val="22"/>
          <w:szCs w:val="22"/>
          <w:lang w:val="lt-LT"/>
        </w:rPr>
        <w:t xml:space="preserve">Vartojimas kartu su sakubitrilo ir valsartano deriniu. </w:t>
      </w:r>
      <w:r w:rsidRPr="00BA0735">
        <w:rPr>
          <w:rFonts w:eastAsia="Calibri"/>
          <w:sz w:val="22"/>
          <w:szCs w:val="22"/>
          <w:lang w:val="lt-LT"/>
        </w:rPr>
        <w:t>Prenewel</w:t>
      </w:r>
      <w:r w:rsidRPr="00BA0735">
        <w:rPr>
          <w:sz w:val="22"/>
          <w:szCs w:val="22"/>
          <w:lang w:val="lt-LT"/>
        </w:rPr>
        <w:t xml:space="preserve"> galima pradėti vartoti tik praėjus bent 36 valandoms po paskutinės sakubitrilo ir valsartano derinio dozės (žr. 4.4 ir 4.5</w:t>
      </w:r>
      <w:r w:rsidR="00691D21">
        <w:rPr>
          <w:sz w:val="22"/>
          <w:szCs w:val="22"/>
          <w:lang w:val="lt-LT"/>
        </w:rPr>
        <w:t> </w:t>
      </w:r>
      <w:r w:rsidRPr="00BA0735">
        <w:rPr>
          <w:sz w:val="22"/>
          <w:szCs w:val="22"/>
          <w:lang w:val="lt-LT"/>
        </w:rPr>
        <w:t>skyrius).</w:t>
      </w:r>
    </w:p>
    <w:p w:rsidR="00E93252" w:rsidRPr="00BA0735" w:rsidRDefault="00E93252" w:rsidP="00E93252">
      <w:pPr>
        <w:numPr>
          <w:ilvl w:val="0"/>
          <w:numId w:val="36"/>
        </w:numPr>
        <w:spacing w:after="200"/>
        <w:ind w:left="567" w:hanging="567"/>
        <w:contextualSpacing/>
        <w:rPr>
          <w:sz w:val="22"/>
          <w:szCs w:val="22"/>
          <w:lang w:val="lt-LT"/>
        </w:rPr>
      </w:pPr>
      <w:r w:rsidRPr="00BA0735">
        <w:rPr>
          <w:sz w:val="22"/>
          <w:szCs w:val="22"/>
          <w:lang w:val="lt-LT"/>
        </w:rPr>
        <w:t>Ekstrakorporinis gydymas, dėl kurio kraujas sąveikauja su neigiamą krūvį turinčiais paviršiais (žr. 4.5 skyriu).</w:t>
      </w:r>
    </w:p>
    <w:p w:rsidR="00E93252" w:rsidRPr="00BA0735" w:rsidRDefault="00E93252" w:rsidP="00E93252">
      <w:pPr>
        <w:numPr>
          <w:ilvl w:val="0"/>
          <w:numId w:val="36"/>
        </w:numPr>
        <w:spacing w:line="276" w:lineRule="auto"/>
        <w:ind w:left="567" w:hanging="567"/>
        <w:contextualSpacing/>
        <w:rPr>
          <w:sz w:val="22"/>
          <w:szCs w:val="22"/>
          <w:lang w:val="lt-LT"/>
        </w:rPr>
      </w:pPr>
      <w:r w:rsidRPr="00BA0735">
        <w:rPr>
          <w:sz w:val="22"/>
          <w:szCs w:val="22"/>
          <w:lang w:val="lt-LT"/>
        </w:rPr>
        <w:t>Reikšminga abiejų inkstų arterijų stenozė arba vienintelio funkcionuojančio inksto arterijos stenozė (žr. 4.4 skyriu).</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Siejamos su indapamidu</w:t>
      </w:r>
    </w:p>
    <w:p w:rsidR="00E93252" w:rsidRPr="00BA0735" w:rsidRDefault="00E93252" w:rsidP="00E93252">
      <w:pPr>
        <w:widowControl w:val="0"/>
        <w:numPr>
          <w:ilvl w:val="0"/>
          <w:numId w:val="13"/>
        </w:numPr>
        <w:rPr>
          <w:sz w:val="22"/>
          <w:szCs w:val="22"/>
          <w:lang w:val="lt-LT"/>
        </w:rPr>
      </w:pPr>
      <w:r w:rsidRPr="00BA0735">
        <w:rPr>
          <w:sz w:val="22"/>
          <w:szCs w:val="22"/>
          <w:lang w:val="lt-LT"/>
        </w:rPr>
        <w:t>Padidėjęs jautrumas indapamidui ar bet kokiems kitiems sulfonamidams.</w:t>
      </w:r>
    </w:p>
    <w:p w:rsidR="00E93252" w:rsidRPr="00BA0735" w:rsidRDefault="00E93252" w:rsidP="00E93252">
      <w:pPr>
        <w:widowControl w:val="0"/>
        <w:numPr>
          <w:ilvl w:val="0"/>
          <w:numId w:val="13"/>
        </w:numPr>
        <w:rPr>
          <w:sz w:val="22"/>
          <w:szCs w:val="22"/>
          <w:lang w:val="lt-LT"/>
        </w:rPr>
      </w:pPr>
      <w:r w:rsidRPr="00BA0735">
        <w:rPr>
          <w:sz w:val="22"/>
          <w:szCs w:val="22"/>
          <w:lang w:val="lt-LT"/>
        </w:rPr>
        <w:t>Sunkus inkstų funkcijos sutrikimas (kreatinino klirensas &lt;</w:t>
      </w:r>
      <w:r w:rsidR="00691D21">
        <w:rPr>
          <w:sz w:val="22"/>
          <w:szCs w:val="22"/>
          <w:lang w:val="lt-LT"/>
        </w:rPr>
        <w:t> </w:t>
      </w:r>
      <w:r w:rsidRPr="00BA0735">
        <w:rPr>
          <w:sz w:val="22"/>
          <w:szCs w:val="22"/>
          <w:lang w:val="lt-LT"/>
        </w:rPr>
        <w:t>30 ml/min.).</w:t>
      </w:r>
    </w:p>
    <w:p w:rsidR="00E93252" w:rsidRPr="00BA0735" w:rsidRDefault="00E93252" w:rsidP="00E93252">
      <w:pPr>
        <w:widowControl w:val="0"/>
        <w:numPr>
          <w:ilvl w:val="0"/>
          <w:numId w:val="13"/>
        </w:numPr>
        <w:rPr>
          <w:sz w:val="22"/>
          <w:szCs w:val="22"/>
          <w:lang w:val="lt-LT"/>
        </w:rPr>
      </w:pPr>
      <w:r w:rsidRPr="00BA0735">
        <w:rPr>
          <w:sz w:val="22"/>
          <w:szCs w:val="22"/>
          <w:lang w:val="lt-LT"/>
        </w:rPr>
        <w:t>Hepatinė encefalopatija.</w:t>
      </w:r>
    </w:p>
    <w:p w:rsidR="00E93252" w:rsidRPr="00BA0735" w:rsidRDefault="00E93252" w:rsidP="00E93252">
      <w:pPr>
        <w:widowControl w:val="0"/>
        <w:numPr>
          <w:ilvl w:val="0"/>
          <w:numId w:val="13"/>
        </w:numPr>
        <w:rPr>
          <w:sz w:val="22"/>
          <w:szCs w:val="22"/>
          <w:lang w:val="lt-LT"/>
        </w:rPr>
      </w:pPr>
      <w:r w:rsidRPr="00BA0735">
        <w:rPr>
          <w:sz w:val="22"/>
          <w:szCs w:val="22"/>
          <w:lang w:val="lt-LT"/>
        </w:rPr>
        <w:t>Sunkus kepenų veiklos sutrikimas.</w:t>
      </w:r>
    </w:p>
    <w:p w:rsidR="00E93252" w:rsidRPr="00BA0735" w:rsidRDefault="00E93252" w:rsidP="00E93252">
      <w:pPr>
        <w:widowControl w:val="0"/>
        <w:numPr>
          <w:ilvl w:val="0"/>
          <w:numId w:val="13"/>
        </w:numPr>
        <w:rPr>
          <w:sz w:val="22"/>
          <w:szCs w:val="22"/>
          <w:lang w:val="lt-LT"/>
        </w:rPr>
      </w:pPr>
      <w:r w:rsidRPr="00BA0735">
        <w:rPr>
          <w:sz w:val="22"/>
          <w:szCs w:val="22"/>
          <w:lang w:val="lt-LT"/>
        </w:rPr>
        <w:t>Hipokalemija.</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Siejamos su perindoprilio bei indapamido deriniu</w:t>
      </w:r>
    </w:p>
    <w:p w:rsidR="00E93252" w:rsidRPr="00BA0735" w:rsidRDefault="00E93252" w:rsidP="00E93252">
      <w:pPr>
        <w:widowControl w:val="0"/>
        <w:numPr>
          <w:ilvl w:val="0"/>
          <w:numId w:val="13"/>
        </w:numPr>
        <w:rPr>
          <w:sz w:val="22"/>
          <w:szCs w:val="22"/>
          <w:lang w:val="lt-LT"/>
        </w:rPr>
      </w:pPr>
      <w:r w:rsidRPr="00BA0735">
        <w:rPr>
          <w:sz w:val="22"/>
          <w:szCs w:val="22"/>
          <w:lang w:val="lt-LT"/>
        </w:rPr>
        <w:t>Padidėjęs jautrumas bet kuriai 6.1</w:t>
      </w:r>
      <w:r w:rsidR="00691D21">
        <w:rPr>
          <w:sz w:val="22"/>
          <w:szCs w:val="22"/>
          <w:lang w:val="lt-LT"/>
        </w:rPr>
        <w:t> </w:t>
      </w:r>
      <w:r w:rsidRPr="00BA0735">
        <w:rPr>
          <w:sz w:val="22"/>
          <w:szCs w:val="22"/>
          <w:lang w:val="lt-LT"/>
        </w:rPr>
        <w:t>skyriuje nurodytai pagalbinei medžiagai.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Kadangi trūksta gydymo patirties, Prenewel tablečių draudžiama vartoti:</w:t>
      </w:r>
    </w:p>
    <w:p w:rsidR="00E93252" w:rsidRPr="00BA0735" w:rsidRDefault="00E93252" w:rsidP="00E93252">
      <w:pPr>
        <w:widowControl w:val="0"/>
        <w:numPr>
          <w:ilvl w:val="0"/>
          <w:numId w:val="13"/>
        </w:numPr>
        <w:rPr>
          <w:sz w:val="22"/>
          <w:szCs w:val="22"/>
          <w:lang w:val="lt-LT"/>
        </w:rPr>
      </w:pPr>
      <w:r w:rsidRPr="00BA0735">
        <w:rPr>
          <w:sz w:val="22"/>
          <w:szCs w:val="22"/>
          <w:lang w:val="lt-LT"/>
        </w:rPr>
        <w:t>Dialize gydomiems pacientams;</w:t>
      </w:r>
    </w:p>
    <w:p w:rsidR="00E93252" w:rsidRPr="00BA0735" w:rsidRDefault="00E93252" w:rsidP="00E93252">
      <w:pPr>
        <w:widowControl w:val="0"/>
        <w:numPr>
          <w:ilvl w:val="0"/>
          <w:numId w:val="13"/>
        </w:numPr>
        <w:rPr>
          <w:sz w:val="22"/>
          <w:szCs w:val="22"/>
          <w:lang w:val="lt-LT"/>
        </w:rPr>
      </w:pPr>
      <w:r w:rsidRPr="00BA0735">
        <w:rPr>
          <w:sz w:val="22"/>
          <w:szCs w:val="22"/>
          <w:lang w:val="lt-LT"/>
        </w:rPr>
        <w:t>Ligoniams, kuriems yra negydomas dekompensuotas širdies nepakankamumas.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23" w:name="_Toc129243105"/>
      <w:bookmarkStart w:id="24" w:name="_Toc129243230"/>
      <w:r w:rsidRPr="00BA0735">
        <w:rPr>
          <w:b/>
          <w:kern w:val="28"/>
          <w:sz w:val="22"/>
          <w:szCs w:val="22"/>
          <w:lang w:val="lt-LT"/>
        </w:rPr>
        <w:t>4.4</w:t>
      </w:r>
      <w:r w:rsidRPr="00BA0735">
        <w:rPr>
          <w:b/>
          <w:kern w:val="28"/>
          <w:sz w:val="22"/>
          <w:szCs w:val="22"/>
          <w:lang w:val="lt-LT"/>
        </w:rPr>
        <w:tab/>
        <w:t>Specialūs įspėjimai ir atsargumo priemonės</w:t>
      </w:r>
      <w:bookmarkEnd w:id="23"/>
      <w:bookmarkEnd w:id="24"/>
    </w:p>
    <w:p w:rsidR="00E93252" w:rsidRPr="00BA0735" w:rsidRDefault="00E93252" w:rsidP="00E93252">
      <w:pPr>
        <w:widowControl w:val="0"/>
        <w:rPr>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Specialūs įspėjimai</w:t>
      </w:r>
    </w:p>
    <w:p w:rsidR="00E93252" w:rsidRPr="00BA0735" w:rsidRDefault="00E93252" w:rsidP="00E93252">
      <w:pPr>
        <w:widowControl w:val="0"/>
        <w:rPr>
          <w:b/>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Su perindoprliu ir indapaminu siejami specialūs įspėjimai</w:t>
      </w: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Gydymo maža (2 mg/0,625 mg) Prenewel doze metu nepageidaujamų reakcijų, išskyrus hipokalemiją (žr. 4.8</w:t>
      </w:r>
      <w:r w:rsidR="00691D21">
        <w:rPr>
          <w:sz w:val="22"/>
          <w:szCs w:val="22"/>
          <w:lang w:val="lt-LT"/>
        </w:rPr>
        <w:t> </w:t>
      </w:r>
      <w:r w:rsidRPr="00BA0735">
        <w:rPr>
          <w:sz w:val="22"/>
          <w:szCs w:val="22"/>
          <w:lang w:val="lt-LT"/>
        </w:rPr>
        <w:t>skyrių), dažnis, palyginanti su dažniu vartojant mažiausią patvirtintą atskirų veikliųjų medžiagų dozę, reikšmingai nesumažėjo.</w:t>
      </w: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Negalima paneigti, kad vartojant dviejų skirtingų antihipertenzinių preparatų, kuriais pacientas anksčiau nesigydė, padidės idiosinkrazinių reakcijų dažnis. Siekiant kuo labiau sumažinti minėto poveikio riziką, būtina atidžiai stebėti ligonio būklę.</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Ličio preparatai</w:t>
      </w:r>
    </w:p>
    <w:p w:rsidR="00E93252" w:rsidRPr="00BA0735" w:rsidRDefault="00E93252" w:rsidP="00E93252">
      <w:pPr>
        <w:widowControl w:val="0"/>
        <w:rPr>
          <w:sz w:val="22"/>
          <w:szCs w:val="22"/>
          <w:lang w:val="lt-LT"/>
        </w:rPr>
      </w:pPr>
      <w:r w:rsidRPr="00BA0735">
        <w:rPr>
          <w:sz w:val="22"/>
          <w:szCs w:val="22"/>
          <w:lang w:val="lt-LT"/>
        </w:rPr>
        <w:t>Ličio preparatų vartoti kartu su perindoprilio ir indapamido deriniu paprastai nerekomenduojama (žr. 4.5</w:t>
      </w:r>
      <w:r w:rsidR="00691D21">
        <w:rPr>
          <w:sz w:val="22"/>
          <w:szCs w:val="22"/>
          <w:lang w:val="lt-LT"/>
        </w:rPr>
        <w:t> </w:t>
      </w:r>
      <w:r w:rsidRPr="00BA0735">
        <w:rPr>
          <w:sz w:val="22"/>
          <w:szCs w:val="22"/>
          <w:lang w:val="lt-LT"/>
        </w:rPr>
        <w:t>skyrių).</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u w:val="single"/>
          <w:lang w:val="lt-LT"/>
        </w:rPr>
      </w:pPr>
      <w:r w:rsidRPr="00BA0735">
        <w:rPr>
          <w:i/>
          <w:sz w:val="22"/>
          <w:szCs w:val="22"/>
          <w:u w:val="single"/>
          <w:lang w:val="lt-LT"/>
        </w:rPr>
        <w:t>Su perindopriliu siejami specialūs įspėjimai</w:t>
      </w:r>
    </w:p>
    <w:p w:rsidR="00E93252" w:rsidRPr="00BA0735" w:rsidRDefault="00E93252" w:rsidP="00E93252">
      <w:pPr>
        <w:widowControl w:val="0"/>
        <w:rPr>
          <w:i/>
          <w:sz w:val="22"/>
          <w:szCs w:val="22"/>
          <w:u w:val="single"/>
          <w:lang w:val="lt-LT"/>
        </w:rPr>
      </w:pPr>
    </w:p>
    <w:p w:rsidR="00E93252" w:rsidRPr="00BA0735" w:rsidRDefault="00E93252" w:rsidP="00E93252">
      <w:pPr>
        <w:widowControl w:val="0"/>
        <w:rPr>
          <w:i/>
          <w:sz w:val="22"/>
          <w:szCs w:val="22"/>
          <w:lang w:val="lt-LT"/>
        </w:rPr>
      </w:pPr>
      <w:r w:rsidRPr="00BA0735">
        <w:rPr>
          <w:i/>
          <w:sz w:val="22"/>
          <w:szCs w:val="22"/>
          <w:lang w:val="lt-LT"/>
        </w:rPr>
        <w:t>Neutropenija, agranulocitozė, trombocitopenija, anemija</w:t>
      </w:r>
    </w:p>
    <w:p w:rsidR="00E93252" w:rsidRPr="00BA0735" w:rsidRDefault="00E93252" w:rsidP="00E93252">
      <w:pPr>
        <w:widowControl w:val="0"/>
        <w:rPr>
          <w:sz w:val="22"/>
          <w:szCs w:val="22"/>
          <w:lang w:val="lt-LT"/>
        </w:rPr>
      </w:pPr>
      <w:r w:rsidRPr="00BA0735">
        <w:rPr>
          <w:sz w:val="22"/>
          <w:szCs w:val="22"/>
          <w:lang w:val="lt-LT"/>
        </w:rPr>
        <w:t>AKF inhibitoriais gydytiems pacientams pasireiškė neutropenija ar agranulocitozė, trombocitopenija ir anemija. Pacientams, kurių inkstų funkcija yra normali ir nėra kitokių rizikos veiksnių, neutropenija pasireiškia retai. Pacientams, kurie serga kolagenoze, gydomi imunosupresantais, alopurinoliu ar prokainamidu arba kuriems yra keletas nurodytų rizikos veiksnių, ypač jeigu prieš pradedant gydymą jau buvo sutrikusi inkstų funkcija, perindopriliu gydyti reikia labai atsargiai. Kai kuriems tokiems pacientams gydymo metu pasireiškė sunki infekcinė liga, kurios intensyvus gydymas antibiotikais keletu atvejų buvo neveiksmingas. Jeigu tokie pacientai gydomi perindopriliu, rekomenduojama periodiškai tirti leukocitų kiekį kraujyje, ir pacientams reikia pasakyti, kad praneštų, jeigu atsirastų kokių nors infekcijos požymių (pvz., gerklės skausmas, karščiavimas) (žr. 4.5 ir 4.8</w:t>
      </w:r>
      <w:r w:rsidR="00691D21">
        <w:rPr>
          <w:sz w:val="22"/>
          <w:szCs w:val="22"/>
          <w:lang w:val="lt-LT"/>
        </w:rPr>
        <w:t> </w:t>
      </w:r>
      <w:r w:rsidRPr="00BA0735">
        <w:rPr>
          <w:sz w:val="22"/>
          <w:szCs w:val="22"/>
          <w:lang w:val="lt-LT"/>
        </w:rPr>
        <w:t>skyrius).</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Renovaskulinė hipertenzija</w:t>
      </w:r>
    </w:p>
    <w:p w:rsidR="00E93252" w:rsidRPr="00BA0735" w:rsidRDefault="00E93252" w:rsidP="00E93252">
      <w:pPr>
        <w:widowControl w:val="0"/>
        <w:rPr>
          <w:sz w:val="22"/>
          <w:szCs w:val="22"/>
          <w:lang w:val="lt-LT"/>
        </w:rPr>
      </w:pPr>
      <w:r w:rsidRPr="00BA0735">
        <w:rPr>
          <w:sz w:val="22"/>
          <w:szCs w:val="22"/>
          <w:lang w:val="lt-LT"/>
        </w:rPr>
        <w:t>Padidėjusi hipotenzijos ir inkstų nepakankamumo rizika yra pacientams, sergantiems abipuse inkstų arterijos stenoze ar vieno funkcionuojančio inksto arterijos stenoze, kuomet jie gydomi AKF inhibitoriais (žr. 4.3</w:t>
      </w:r>
      <w:r w:rsidR="00691D21">
        <w:rPr>
          <w:sz w:val="22"/>
          <w:szCs w:val="22"/>
          <w:lang w:val="lt-LT"/>
        </w:rPr>
        <w:t> </w:t>
      </w:r>
      <w:r w:rsidRPr="00BA0735">
        <w:rPr>
          <w:sz w:val="22"/>
          <w:szCs w:val="22"/>
          <w:lang w:val="lt-LT"/>
        </w:rPr>
        <w:t>skyrių). Gydymas diuretikais gali būti svarbus veiksnys. Inkstų funkcijos praradimas gali pasireikšti tik nedideliais kreatinino kiekio serume pokyčiais net pacientams, sergantiems vienpuse inkstų arterijos stenoze.</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Padidėjęs jautrumas/ angioneurozinė edema</w:t>
      </w:r>
    </w:p>
    <w:p w:rsidR="00E93252" w:rsidRPr="00BA0735" w:rsidRDefault="00E93252" w:rsidP="00526D52">
      <w:pPr>
        <w:widowControl w:val="0"/>
        <w:rPr>
          <w:sz w:val="22"/>
          <w:szCs w:val="22"/>
          <w:lang w:val="lt-LT"/>
        </w:rPr>
      </w:pPr>
      <w:r w:rsidRPr="00BA0735">
        <w:rPr>
          <w:sz w:val="22"/>
          <w:szCs w:val="22"/>
          <w:lang w:val="lt-LT"/>
        </w:rPr>
        <w:t>Retais atvejais pacientams, vartojusiems angiotenziną konvertuojančio fermento inhibitorių, įskaitant perindoprilį</w:t>
      </w:r>
      <w:r w:rsidR="00DE1ABA">
        <w:rPr>
          <w:sz w:val="22"/>
          <w:szCs w:val="22"/>
          <w:lang w:val="lt-LT"/>
        </w:rPr>
        <w:t xml:space="preserve"> (žr. </w:t>
      </w:r>
      <w:r w:rsidR="00DE1ABA" w:rsidRPr="00DE1ABA">
        <w:rPr>
          <w:sz w:val="22"/>
          <w:szCs w:val="22"/>
          <w:lang w:val="lt-LT"/>
        </w:rPr>
        <w:t>4.8</w:t>
      </w:r>
      <w:r w:rsidR="00691D21">
        <w:rPr>
          <w:sz w:val="22"/>
          <w:szCs w:val="22"/>
          <w:lang w:val="lt-LT"/>
        </w:rPr>
        <w:t> </w:t>
      </w:r>
      <w:r w:rsidR="00DE1ABA" w:rsidRPr="00DE1ABA">
        <w:rPr>
          <w:sz w:val="22"/>
          <w:szCs w:val="22"/>
          <w:lang w:val="lt-LT"/>
        </w:rPr>
        <w:t>skyri</w:t>
      </w:r>
      <w:r w:rsidR="00DE1ABA">
        <w:rPr>
          <w:sz w:val="22"/>
          <w:szCs w:val="22"/>
          <w:lang w:val="lt-LT"/>
        </w:rPr>
        <w:t>ų</w:t>
      </w:r>
      <w:r w:rsidR="00DE1ABA" w:rsidRPr="00DE1ABA">
        <w:rPr>
          <w:sz w:val="22"/>
          <w:szCs w:val="22"/>
          <w:lang w:val="lt-LT"/>
        </w:rPr>
        <w:t>)</w:t>
      </w:r>
      <w:r w:rsidRPr="00BA0735">
        <w:rPr>
          <w:sz w:val="22"/>
          <w:szCs w:val="22"/>
          <w:lang w:val="lt-LT"/>
        </w:rPr>
        <w:t>, pasireiškė angioneurozinė veido, galūnių, lūpų, liežuvio, tikrojo balso aparato ir (arba) gerklų edema. Tai gali pasireikšti bet kuriuo gydymo metu. Tokiu atveju reikia nedelsiant nutraukti perindoprilio vartojimą ir ligonį stebėti, siekiant užtikrinti visišką simptomų išnykimą prieš atleidžiant pacientą. Būtina turėti parengtas tinkamas gydymo priemones. Tais atvejais, kai yra tik veido ir lūpų patinimas, jis paprastai praeina negydomas, tokius simptomus naudinga palengvinti antihistamininiais preparatais.</w:t>
      </w:r>
    </w:p>
    <w:p w:rsidR="00E93252" w:rsidRPr="00BA0735" w:rsidRDefault="00E93252" w:rsidP="00E93252">
      <w:pPr>
        <w:widowControl w:val="0"/>
        <w:tabs>
          <w:tab w:val="left" w:pos="567"/>
        </w:tabs>
        <w:rPr>
          <w:sz w:val="22"/>
          <w:szCs w:val="22"/>
          <w:lang w:val="lt-LT"/>
        </w:rPr>
      </w:pPr>
      <w:r w:rsidRPr="00BA0735">
        <w:rPr>
          <w:sz w:val="22"/>
          <w:szCs w:val="22"/>
          <w:lang w:val="lt-LT"/>
        </w:rPr>
        <w:t>Angioneurozinė edema, susijusi su gerklų edema, gali būti mirtina. Kuomet edema apima liežuvį, tikrąjį balso aparatą ar gerklas, gali pasireikšti kvėpavimo takų obstrukcija, kurios tinkamas gydymas apima poodines</w:t>
      </w:r>
      <w:r w:rsidRPr="00BA0735">
        <w:rPr>
          <w:color w:val="000000"/>
          <w:sz w:val="22"/>
          <w:szCs w:val="22"/>
          <w:lang w:val="lt-LT"/>
        </w:rPr>
        <w:t xml:space="preserve"> epinefrino tirpalo 1:1000 (0,3</w:t>
      </w:r>
      <w:r w:rsidRPr="00BA0735">
        <w:rPr>
          <w:color w:val="000000"/>
          <w:sz w:val="22"/>
          <w:szCs w:val="22"/>
          <w:lang w:val="lt-LT"/>
        </w:rPr>
        <w:noBreakHyphen/>
        <w:t>0,5 ml) injekcijas ir / arba priemones, skirtas užtikrinti kvėpavimo takų praeinamumą, kurios turi būti vartojamos nedelsiant.</w:t>
      </w:r>
    </w:p>
    <w:p w:rsidR="00E93252" w:rsidRPr="00BA0735" w:rsidRDefault="00E93252" w:rsidP="00E93252">
      <w:pPr>
        <w:widowControl w:val="0"/>
        <w:tabs>
          <w:tab w:val="left" w:pos="567"/>
        </w:tabs>
        <w:rPr>
          <w:color w:val="000000"/>
          <w:sz w:val="22"/>
          <w:szCs w:val="22"/>
          <w:lang w:val="lt-LT"/>
        </w:rPr>
      </w:pPr>
      <w:r w:rsidRPr="00BA0735">
        <w:rPr>
          <w:sz w:val="22"/>
          <w:szCs w:val="22"/>
          <w:lang w:val="lt-LT"/>
        </w:rPr>
        <w:t>Juodaodžiams AKF inhibitoriai angioneurozinę edemą sukelia dažniau negu nejuodaodžiams.</w:t>
      </w:r>
    </w:p>
    <w:p w:rsidR="00E93252" w:rsidRPr="00BA0735" w:rsidRDefault="00E93252" w:rsidP="00E93252">
      <w:pPr>
        <w:widowControl w:val="0"/>
        <w:tabs>
          <w:tab w:val="left" w:pos="567"/>
        </w:tabs>
        <w:rPr>
          <w:sz w:val="22"/>
          <w:szCs w:val="22"/>
          <w:lang w:val="lt-LT"/>
        </w:rPr>
      </w:pPr>
      <w:r w:rsidRPr="00BA0735">
        <w:rPr>
          <w:sz w:val="22"/>
          <w:szCs w:val="22"/>
          <w:lang w:val="lt-LT"/>
        </w:rPr>
        <w:t>Žmonėms, kuriems angioneurozinė edema buvo atsiradusi ne dėl AKF inhibitorių vartojimo, jos pasireiškimo rizika gydymo AKF inhibitoriais metu gali būti didesnė (žr. 4.3</w:t>
      </w:r>
      <w:r w:rsidR="00691D21">
        <w:rPr>
          <w:sz w:val="22"/>
          <w:szCs w:val="22"/>
          <w:lang w:val="lt-LT"/>
        </w:rPr>
        <w:t> </w:t>
      </w:r>
      <w:r w:rsidRPr="00BA0735">
        <w:rPr>
          <w:sz w:val="22"/>
          <w:szCs w:val="22"/>
          <w:lang w:val="lt-LT"/>
        </w:rPr>
        <w:t>skyrių).</w:t>
      </w:r>
    </w:p>
    <w:p w:rsidR="00E93252" w:rsidRPr="00BA0735" w:rsidRDefault="00E93252" w:rsidP="00E93252">
      <w:pPr>
        <w:widowControl w:val="0"/>
        <w:rPr>
          <w:sz w:val="22"/>
          <w:szCs w:val="22"/>
          <w:lang w:val="lt-LT"/>
        </w:rPr>
      </w:pPr>
      <w:r w:rsidRPr="00BA0735">
        <w:rPr>
          <w:sz w:val="22"/>
          <w:szCs w:val="22"/>
          <w:lang w:val="lt-LT"/>
        </w:rPr>
        <w:t>Pranešta apie retus žarnų angioneurozinės edemos atvejus AKF inhibitoriais gydytiems pacientams. Tokiems pacientams pasireiškė pilvo skausmas (su pykinimu ar vėmimu arba be jų). Kai kuriais atvejais veido edemos prieš tai neatsirado ir buvo normalus C-1 esterazės aktyvumas. Angioneurozinė edema diagnozuota remiantis procedūrų (pilvo KT, ultragarsinio tyrimo ar chirurginės operacijos) duomenimis, simptomai išnyko, nutraukus AKF inhibitorių vartojimą. Jeigu AKF inhibitorių vartojančiam pacientui pasireiškia pilvo skausmas, nustatant diagnozę, reikia įvertinti, ar jį sukėlė ne žarnų angioneurozinė edema.</w:t>
      </w:r>
    </w:p>
    <w:p w:rsidR="00E93252" w:rsidRPr="00BA0735" w:rsidRDefault="00E93252" w:rsidP="00E93252">
      <w:pPr>
        <w:widowControl w:val="0"/>
        <w:rPr>
          <w:rFonts w:eastAsia="Calibri"/>
          <w:sz w:val="22"/>
          <w:szCs w:val="22"/>
          <w:lang w:val="lt-LT"/>
        </w:rPr>
      </w:pPr>
      <w:r w:rsidRPr="00BA0735">
        <w:rPr>
          <w:sz w:val="22"/>
          <w:szCs w:val="22"/>
          <w:lang w:val="lt-LT"/>
        </w:rPr>
        <w:t>Dėl padidėjusios angioneurozinės edemos rizikos AKF inhibitorių draudžiama skirti kartu su sakubitrilo ir valsartano deriniu. Gydymo sakubitrilo ir valsartano deriniu negalima pradėti nepraėjus 36 valandoms po paskutinės perindoprilio dozės. Gydymo perindopriliu negalima pradėti nepraėjus 36 valandoms po paskutinės sakubitrilo ir valsartano derinio dozės (žr. 4.3 ir 4.5</w:t>
      </w:r>
      <w:r w:rsidR="00691D21">
        <w:rPr>
          <w:sz w:val="22"/>
          <w:szCs w:val="22"/>
          <w:lang w:val="lt-LT"/>
        </w:rPr>
        <w:t> </w:t>
      </w:r>
      <w:r w:rsidRPr="00BA0735">
        <w:rPr>
          <w:sz w:val="22"/>
          <w:szCs w:val="22"/>
          <w:lang w:val="lt-LT"/>
        </w:rPr>
        <w:t>skyrius).</w:t>
      </w:r>
    </w:p>
    <w:p w:rsidR="00E93252" w:rsidRDefault="00E93252" w:rsidP="00E93252">
      <w:pPr>
        <w:widowControl w:val="0"/>
        <w:tabs>
          <w:tab w:val="left" w:pos="567"/>
        </w:tabs>
        <w:rPr>
          <w:sz w:val="22"/>
          <w:szCs w:val="22"/>
          <w:lang w:val="lt-LT"/>
        </w:rPr>
      </w:pPr>
    </w:p>
    <w:p w:rsidR="008534D4" w:rsidRPr="00BA0735" w:rsidRDefault="008534D4" w:rsidP="00E93252">
      <w:pPr>
        <w:widowControl w:val="0"/>
        <w:tabs>
          <w:tab w:val="left" w:pos="567"/>
        </w:tabs>
        <w:rPr>
          <w:sz w:val="22"/>
          <w:szCs w:val="22"/>
          <w:lang w:val="lt-LT"/>
        </w:rPr>
      </w:pPr>
      <w:r w:rsidRPr="008534D4">
        <w:rPr>
          <w:sz w:val="22"/>
          <w:szCs w:val="22"/>
          <w:lang w:val="lt-LT"/>
        </w:rPr>
        <w:t>AKF inhibitorių vartojimas kartu su racekadotriliu, mTOR inhibitoriais (pvz., sirolimuzu, everolimuzu,</w:t>
      </w:r>
      <w:r w:rsidR="0023394F">
        <w:rPr>
          <w:sz w:val="22"/>
          <w:szCs w:val="22"/>
          <w:lang w:val="lt-LT"/>
        </w:rPr>
        <w:t xml:space="preserve"> temsirolimuzu) ir gliptinais (pvz., linagliptinu, saksagliptinu, sitagliptinu, vildagliptinu) </w:t>
      </w:r>
      <w:r w:rsidRPr="008534D4">
        <w:rPr>
          <w:sz w:val="22"/>
          <w:szCs w:val="22"/>
          <w:lang w:val="lt-LT"/>
        </w:rPr>
        <w:t xml:space="preserve"> gali padidinti angioneurozinės edemos (pvz., kvėpavimo takų ar liežuvio</w:t>
      </w:r>
      <w:r w:rsidR="00C02FB4">
        <w:rPr>
          <w:sz w:val="22"/>
          <w:szCs w:val="22"/>
          <w:lang w:val="lt-LT"/>
        </w:rPr>
        <w:t xml:space="preserve"> patinimo</w:t>
      </w:r>
      <w:r w:rsidRPr="008534D4">
        <w:rPr>
          <w:sz w:val="22"/>
          <w:szCs w:val="22"/>
          <w:lang w:val="lt-LT"/>
        </w:rPr>
        <w:t xml:space="preserve"> su kvėpavimo sutrikimu</w:t>
      </w:r>
      <w:r w:rsidR="00C02FB4" w:rsidRPr="00C02FB4">
        <w:rPr>
          <w:sz w:val="22"/>
          <w:szCs w:val="22"/>
          <w:lang w:val="lt-LT"/>
        </w:rPr>
        <w:t xml:space="preserve"> </w:t>
      </w:r>
      <w:r w:rsidR="00C02FB4" w:rsidRPr="008534D4">
        <w:rPr>
          <w:sz w:val="22"/>
          <w:szCs w:val="22"/>
          <w:lang w:val="lt-LT"/>
        </w:rPr>
        <w:t>arba be</w:t>
      </w:r>
      <w:r w:rsidR="00C02FB4">
        <w:rPr>
          <w:sz w:val="22"/>
          <w:szCs w:val="22"/>
          <w:lang w:val="lt-LT"/>
        </w:rPr>
        <w:t xml:space="preserve"> jo</w:t>
      </w:r>
      <w:r w:rsidRPr="008534D4">
        <w:rPr>
          <w:sz w:val="22"/>
          <w:szCs w:val="22"/>
          <w:lang w:val="lt-LT"/>
        </w:rPr>
        <w:t xml:space="preserve">) </w:t>
      </w:r>
      <w:r w:rsidR="00C02FB4" w:rsidRPr="008534D4">
        <w:rPr>
          <w:sz w:val="22"/>
          <w:szCs w:val="22"/>
          <w:lang w:val="lt-LT"/>
        </w:rPr>
        <w:t xml:space="preserve">riziką </w:t>
      </w:r>
      <w:r w:rsidRPr="008534D4">
        <w:rPr>
          <w:sz w:val="22"/>
          <w:szCs w:val="22"/>
          <w:lang w:val="lt-LT"/>
        </w:rPr>
        <w:t>(žr. 4.5</w:t>
      </w:r>
      <w:r w:rsidR="00691D21">
        <w:rPr>
          <w:sz w:val="22"/>
          <w:szCs w:val="22"/>
          <w:lang w:val="lt-LT"/>
        </w:rPr>
        <w:t> </w:t>
      </w:r>
      <w:r w:rsidRPr="008534D4">
        <w:rPr>
          <w:sz w:val="22"/>
          <w:szCs w:val="22"/>
          <w:lang w:val="lt-LT"/>
        </w:rPr>
        <w:t xml:space="preserve">skyrių). AKF inhibitorių vartojančiam pacientui racekadotrilio, </w:t>
      </w:r>
      <w:r w:rsidRPr="008534D4">
        <w:rPr>
          <w:sz w:val="22"/>
          <w:szCs w:val="22"/>
          <w:lang w:val="lt-LT"/>
        </w:rPr>
        <w:lastRenderedPageBreak/>
        <w:t xml:space="preserve">mTOR inhibitorių (pvz., sirolimuzo, everolimuzo, temsirolimuzo) ar </w:t>
      </w:r>
      <w:r w:rsidR="0023394F">
        <w:rPr>
          <w:sz w:val="22"/>
          <w:szCs w:val="22"/>
          <w:lang w:val="lt-LT"/>
        </w:rPr>
        <w:t>gliptinų (pvz., linagliptino</w:t>
      </w:r>
      <w:r w:rsidR="0023394F" w:rsidRPr="0023394F">
        <w:rPr>
          <w:sz w:val="22"/>
          <w:szCs w:val="22"/>
          <w:lang w:val="lt-LT"/>
        </w:rPr>
        <w:t>, saksagliptin</w:t>
      </w:r>
      <w:r w:rsidR="0023394F">
        <w:rPr>
          <w:sz w:val="22"/>
          <w:szCs w:val="22"/>
          <w:lang w:val="lt-LT"/>
        </w:rPr>
        <w:t>o</w:t>
      </w:r>
      <w:r w:rsidR="0023394F" w:rsidRPr="0023394F">
        <w:rPr>
          <w:sz w:val="22"/>
          <w:szCs w:val="22"/>
          <w:lang w:val="lt-LT"/>
        </w:rPr>
        <w:t>, sitagliptin</w:t>
      </w:r>
      <w:r w:rsidR="0023394F">
        <w:rPr>
          <w:sz w:val="22"/>
          <w:szCs w:val="22"/>
          <w:lang w:val="lt-LT"/>
        </w:rPr>
        <w:t>o</w:t>
      </w:r>
      <w:r w:rsidR="0023394F" w:rsidRPr="0023394F">
        <w:rPr>
          <w:sz w:val="22"/>
          <w:szCs w:val="22"/>
          <w:lang w:val="lt-LT"/>
        </w:rPr>
        <w:t>, vildagliptin</w:t>
      </w:r>
      <w:r w:rsidR="0023394F">
        <w:rPr>
          <w:sz w:val="22"/>
          <w:szCs w:val="22"/>
          <w:lang w:val="lt-LT"/>
        </w:rPr>
        <w:t>o</w:t>
      </w:r>
      <w:r w:rsidR="0023394F" w:rsidRPr="0023394F">
        <w:rPr>
          <w:sz w:val="22"/>
          <w:szCs w:val="22"/>
          <w:lang w:val="lt-LT"/>
        </w:rPr>
        <w:t>)</w:t>
      </w:r>
      <w:r w:rsidRPr="008534D4">
        <w:rPr>
          <w:sz w:val="22"/>
          <w:szCs w:val="22"/>
          <w:lang w:val="lt-LT"/>
        </w:rPr>
        <w:t xml:space="preserve"> skirti reikia atsargiai.</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i/>
          <w:sz w:val="22"/>
          <w:szCs w:val="22"/>
          <w:lang w:val="lt-LT"/>
        </w:rPr>
      </w:pPr>
      <w:r w:rsidRPr="00BA0735">
        <w:rPr>
          <w:i/>
          <w:sz w:val="22"/>
          <w:szCs w:val="22"/>
          <w:lang w:val="lt-LT"/>
        </w:rPr>
        <w:t>Anafilaktoidinė reakcija desensibilizacijos metu</w:t>
      </w:r>
    </w:p>
    <w:p w:rsidR="00E93252" w:rsidRPr="00BA0735" w:rsidRDefault="00E93252" w:rsidP="00E93252">
      <w:pPr>
        <w:widowControl w:val="0"/>
        <w:rPr>
          <w:sz w:val="22"/>
          <w:szCs w:val="22"/>
          <w:lang w:val="lt-LT"/>
        </w:rPr>
      </w:pPr>
      <w:r w:rsidRPr="00BA0735">
        <w:rPr>
          <w:sz w:val="22"/>
          <w:szCs w:val="22"/>
          <w:lang w:val="lt-LT"/>
        </w:rPr>
        <w:t>Gauta pavienių pranešimų apie pacientus, kuriems pavartojus AKF inhibitorių taikant desensibilizuojamąjį gydymą plėviasparnių vabzdžių (bičių, vapsvų) nuodais, kilo užsitęsusių gyvybei pavojingų anafilaktoidinių reakcijų. Alergiškiems pacientams, kuriems taikomas desensibilizuojamasis gydymas, AKF inhibitorius vartoti reikia atsargiai, o pacientams, kuriems taikoma imunoterapija nuodais, šių vaistinių preparatų geriau nevartoti. Vis dėlto jeigu pacientui būtinas ir gydymas AKF inhibitoriais, ir desensibilizuojamasis gydymas, tokių reakcijų galima išvengti laikinai nutraukus AKF inhibitorių vartojimą likus ne mažiau kaip 24 valandoms.</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Anafilaktoidinės</w:t>
      </w:r>
      <w:r w:rsidRPr="00BA0735" w:rsidDel="00C30145">
        <w:rPr>
          <w:i/>
          <w:sz w:val="22"/>
          <w:szCs w:val="22"/>
          <w:lang w:val="lt-LT"/>
        </w:rPr>
        <w:t xml:space="preserve"> </w:t>
      </w:r>
      <w:r w:rsidRPr="00BA0735">
        <w:rPr>
          <w:i/>
          <w:sz w:val="22"/>
          <w:szCs w:val="22"/>
          <w:lang w:val="lt-LT"/>
        </w:rPr>
        <w:t>reakcijos taikant MTL aferezę</w:t>
      </w:r>
    </w:p>
    <w:p w:rsidR="00E93252" w:rsidRPr="00BA0735" w:rsidRDefault="00E93252" w:rsidP="00E93252">
      <w:pPr>
        <w:widowControl w:val="0"/>
        <w:rPr>
          <w:sz w:val="22"/>
          <w:szCs w:val="22"/>
          <w:lang w:val="lt-LT"/>
        </w:rPr>
      </w:pPr>
      <w:r w:rsidRPr="00BA0735">
        <w:rPr>
          <w:sz w:val="22"/>
          <w:szCs w:val="22"/>
          <w:lang w:val="lt-LT"/>
        </w:rPr>
        <w:t>AKF inhibitorių vartojantiems pacientams mažo tankio lipoproteinų (</w:t>
      </w:r>
      <w:smartTag w:uri="schemas-tilde-lv/tildestengine" w:element="currency2">
        <w:smartTagPr>
          <w:attr w:name="currency_text" w:val="MTL"/>
          <w:attr w:name="currency_value" w:val="1"/>
          <w:attr w:name="currency_key" w:val="MTL"/>
          <w:attr w:name="currency_id" w:val="33"/>
        </w:smartTagPr>
        <w:r w:rsidRPr="00BA0735">
          <w:rPr>
            <w:sz w:val="22"/>
            <w:szCs w:val="22"/>
            <w:lang w:val="lt-LT"/>
          </w:rPr>
          <w:t>MTL</w:t>
        </w:r>
      </w:smartTag>
      <w:r w:rsidRPr="00BA0735">
        <w:rPr>
          <w:sz w:val="22"/>
          <w:szCs w:val="22"/>
          <w:lang w:val="lt-LT"/>
        </w:rPr>
        <w:t>) aferezės, kuriai buvo naudotas dekstrano sulfatas, procedūros metu retais atvejais pasireiškė gyvybei pavojingos anafilaktoidinės reakcijos. Prieš kiekvieną aferezės seansą laikinai nutraukus gydymą AKF inhibitoriumi, tokių reakcijų išvengta.</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Pacientai, kuriems atliekamos hemodializės</w:t>
      </w:r>
    </w:p>
    <w:p w:rsidR="00E93252" w:rsidRPr="00BA0735" w:rsidRDefault="00E93252" w:rsidP="00E93252">
      <w:pPr>
        <w:widowControl w:val="0"/>
        <w:rPr>
          <w:sz w:val="22"/>
          <w:szCs w:val="22"/>
          <w:lang w:val="lt-LT"/>
        </w:rPr>
      </w:pPr>
      <w:r w:rsidRPr="00BA0735">
        <w:rPr>
          <w:sz w:val="22"/>
          <w:szCs w:val="22"/>
          <w:lang w:val="lt-LT"/>
        </w:rPr>
        <w:t>Pranešta apie anafilaktoidines reakcijas pacientams, kuriems buvo atliekama dializė naudojant didelio pralaidumo membranas (pvz., AN69</w:t>
      </w:r>
      <w:r w:rsidRPr="00BA0735">
        <w:rPr>
          <w:sz w:val="22"/>
          <w:szCs w:val="22"/>
          <w:vertAlign w:val="superscript"/>
          <w:lang w:val="lt-LT"/>
        </w:rPr>
        <w:t>®</w:t>
      </w:r>
      <w:r w:rsidRPr="00BA0735">
        <w:rPr>
          <w:sz w:val="22"/>
          <w:szCs w:val="22"/>
          <w:lang w:val="lt-LT"/>
        </w:rPr>
        <w:t>) ir kartu buvo taikomas gydymas AKF inhibitoriumi. Reikia apsvarstyti galimybę tokiems pacientams naudoti kitokios rūšies dializės membranas arba skirti kitos grupės antihipertenzinių vaistinių preparatų.</w:t>
      </w:r>
    </w:p>
    <w:p w:rsidR="00E93252" w:rsidRPr="00BA0735" w:rsidRDefault="00E93252" w:rsidP="00E93252">
      <w:pPr>
        <w:widowControl w:val="0"/>
        <w:rPr>
          <w:sz w:val="22"/>
          <w:szCs w:val="22"/>
          <w:lang w:val="lt-LT"/>
        </w:rPr>
      </w:pPr>
    </w:p>
    <w:p w:rsidR="00E93252" w:rsidRPr="00BA0735" w:rsidRDefault="00E93252" w:rsidP="00E93252">
      <w:pPr>
        <w:tabs>
          <w:tab w:val="left" w:pos="0"/>
        </w:tabs>
        <w:autoSpaceDE w:val="0"/>
        <w:autoSpaceDN w:val="0"/>
        <w:adjustRightInd w:val="0"/>
        <w:rPr>
          <w:i/>
          <w:sz w:val="22"/>
          <w:szCs w:val="22"/>
          <w:lang w:val="lt-LT" w:eastAsia="en-GB"/>
        </w:rPr>
      </w:pPr>
      <w:r w:rsidRPr="00BA0735">
        <w:rPr>
          <w:i/>
          <w:sz w:val="22"/>
          <w:szCs w:val="22"/>
          <w:lang w:val="lt-LT" w:eastAsia="en-GB"/>
        </w:rPr>
        <w:t>Pirminis aldosteronizmas</w:t>
      </w:r>
    </w:p>
    <w:p w:rsidR="00E93252" w:rsidRPr="00BA0735" w:rsidRDefault="00E93252" w:rsidP="00E93252">
      <w:pPr>
        <w:tabs>
          <w:tab w:val="left" w:pos="567"/>
        </w:tabs>
        <w:jc w:val="both"/>
        <w:rPr>
          <w:sz w:val="22"/>
          <w:szCs w:val="22"/>
          <w:lang w:val="lt-LT" w:eastAsia="en-GB"/>
        </w:rPr>
      </w:pPr>
      <w:r w:rsidRPr="00BA0735">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rsidR="00E93252" w:rsidRPr="00BA0735" w:rsidRDefault="00E93252" w:rsidP="00E93252">
      <w:pPr>
        <w:widowControl w:val="0"/>
        <w:rPr>
          <w:sz w:val="22"/>
          <w:szCs w:val="22"/>
          <w:lang w:val="lt-LT"/>
        </w:rPr>
      </w:pPr>
    </w:p>
    <w:p w:rsidR="00705456" w:rsidRPr="008B3A7C" w:rsidRDefault="00705456" w:rsidP="00705456">
      <w:pPr>
        <w:widowControl w:val="0"/>
        <w:tabs>
          <w:tab w:val="left" w:pos="567"/>
        </w:tabs>
        <w:rPr>
          <w:i/>
          <w:sz w:val="22"/>
          <w:szCs w:val="22"/>
          <w:lang w:val="lt-LT"/>
        </w:rPr>
      </w:pPr>
      <w:r w:rsidRPr="008B3A7C">
        <w:rPr>
          <w:i/>
          <w:sz w:val="22"/>
          <w:szCs w:val="22"/>
          <w:lang w:val="lt-LT"/>
        </w:rPr>
        <w:t>Kalį organizme sulaikantys diuretikai, vaistai, kalio papildai arba druskų pakaitalai, kuriuose</w:t>
      </w:r>
      <w:r w:rsidRPr="00705456">
        <w:rPr>
          <w:i/>
          <w:sz w:val="22"/>
          <w:szCs w:val="22"/>
          <w:lang w:val="lt-LT"/>
        </w:rPr>
        <w:t xml:space="preserve"> yra kalio</w:t>
      </w:r>
    </w:p>
    <w:p w:rsidR="00705456" w:rsidRDefault="00705456" w:rsidP="00705456">
      <w:pPr>
        <w:widowControl w:val="0"/>
        <w:tabs>
          <w:tab w:val="left" w:pos="567"/>
        </w:tabs>
        <w:rPr>
          <w:sz w:val="22"/>
          <w:szCs w:val="22"/>
          <w:lang w:val="lt-LT"/>
        </w:rPr>
      </w:pPr>
      <w:r>
        <w:rPr>
          <w:sz w:val="22"/>
          <w:szCs w:val="22"/>
          <w:lang w:val="lt-LT"/>
        </w:rPr>
        <w:t>Kalį organizme sulaikančių</w:t>
      </w:r>
      <w:r w:rsidRPr="00705456">
        <w:rPr>
          <w:sz w:val="22"/>
          <w:szCs w:val="22"/>
          <w:lang w:val="lt-LT"/>
        </w:rPr>
        <w:t xml:space="preserve"> diuretik</w:t>
      </w:r>
      <w:r>
        <w:rPr>
          <w:sz w:val="22"/>
          <w:szCs w:val="22"/>
          <w:lang w:val="lt-LT"/>
        </w:rPr>
        <w:t>ų</w:t>
      </w:r>
      <w:r w:rsidRPr="00705456">
        <w:rPr>
          <w:sz w:val="22"/>
          <w:szCs w:val="22"/>
          <w:lang w:val="lt-LT"/>
        </w:rPr>
        <w:t>, vaist</w:t>
      </w:r>
      <w:r>
        <w:rPr>
          <w:sz w:val="22"/>
          <w:szCs w:val="22"/>
          <w:lang w:val="lt-LT"/>
        </w:rPr>
        <w:t>ų, kalio papildų</w:t>
      </w:r>
      <w:r w:rsidRPr="00705456">
        <w:rPr>
          <w:sz w:val="22"/>
          <w:szCs w:val="22"/>
          <w:lang w:val="lt-LT"/>
        </w:rPr>
        <w:t xml:space="preserve"> arba druskų pakaital</w:t>
      </w:r>
      <w:r>
        <w:rPr>
          <w:sz w:val="22"/>
          <w:szCs w:val="22"/>
          <w:lang w:val="lt-LT"/>
        </w:rPr>
        <w:t>ų</w:t>
      </w:r>
      <w:r w:rsidRPr="00705456">
        <w:rPr>
          <w:sz w:val="22"/>
          <w:szCs w:val="22"/>
          <w:lang w:val="lt-LT"/>
        </w:rPr>
        <w:t>, kuriuose yra kalio kartu su perindopriliu vartoti paprastai nerekomenduojama (žr. 4.5</w:t>
      </w:r>
      <w:r w:rsidR="00691D21">
        <w:rPr>
          <w:sz w:val="22"/>
          <w:szCs w:val="22"/>
          <w:lang w:val="lt-LT"/>
        </w:rPr>
        <w:t> </w:t>
      </w:r>
      <w:r w:rsidRPr="00705456">
        <w:rPr>
          <w:sz w:val="22"/>
          <w:szCs w:val="22"/>
          <w:lang w:val="lt-LT"/>
        </w:rPr>
        <w:t>skyrių).</w:t>
      </w:r>
    </w:p>
    <w:p w:rsidR="00705456" w:rsidRDefault="00705456" w:rsidP="00705456">
      <w:pPr>
        <w:widowControl w:val="0"/>
        <w:tabs>
          <w:tab w:val="left" w:pos="567"/>
        </w:tabs>
        <w:rPr>
          <w:sz w:val="22"/>
          <w:szCs w:val="22"/>
          <w:lang w:val="lt-LT"/>
        </w:rPr>
      </w:pPr>
    </w:p>
    <w:p w:rsidR="00E93252" w:rsidRPr="00BA0735" w:rsidRDefault="00E93252" w:rsidP="00E93252">
      <w:pPr>
        <w:widowControl w:val="0"/>
        <w:autoSpaceDE w:val="0"/>
        <w:autoSpaceDN w:val="0"/>
        <w:adjustRightInd w:val="0"/>
        <w:rPr>
          <w:sz w:val="22"/>
          <w:szCs w:val="22"/>
          <w:lang w:val="lt-LT"/>
        </w:rPr>
      </w:pPr>
      <w:r w:rsidRPr="00BA0735">
        <w:rPr>
          <w:i/>
          <w:sz w:val="22"/>
          <w:szCs w:val="22"/>
          <w:lang w:val="lt-LT"/>
        </w:rPr>
        <w:t>Nėštumas</w:t>
      </w:r>
    </w:p>
    <w:p w:rsidR="00E93252" w:rsidRPr="00BA0735" w:rsidRDefault="00E93252" w:rsidP="00E93252">
      <w:pPr>
        <w:widowControl w:val="0"/>
        <w:tabs>
          <w:tab w:val="left" w:pos="567"/>
        </w:tabs>
        <w:rPr>
          <w:sz w:val="22"/>
          <w:szCs w:val="22"/>
          <w:lang w:val="lt-LT"/>
        </w:rPr>
      </w:pPr>
      <w:r w:rsidRPr="00BA0735">
        <w:rPr>
          <w:sz w:val="22"/>
          <w:szCs w:val="22"/>
          <w:lang w:val="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w:t>
      </w:r>
      <w:r w:rsidR="00691D21">
        <w:rPr>
          <w:sz w:val="22"/>
          <w:szCs w:val="22"/>
          <w:lang w:val="lt-LT"/>
        </w:rPr>
        <w:t> </w:t>
      </w:r>
      <w:r w:rsidRPr="00BA0735">
        <w:rPr>
          <w:sz w:val="22"/>
          <w:szCs w:val="22"/>
          <w:lang w:val="lt-LT"/>
        </w:rPr>
        <w:t>skyrius).</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u w:val="single"/>
          <w:lang w:val="lt-LT"/>
        </w:rPr>
      </w:pPr>
      <w:r w:rsidRPr="00BA0735">
        <w:rPr>
          <w:i/>
          <w:sz w:val="22"/>
          <w:szCs w:val="22"/>
          <w:u w:val="single"/>
          <w:lang w:val="lt-LT"/>
        </w:rPr>
        <w:t>Su indapamidu siejami specialūs įspėjimai</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Hepatinė encefalopatija</w:t>
      </w:r>
    </w:p>
    <w:p w:rsidR="00E93252" w:rsidRPr="00BA0735" w:rsidRDefault="00E93252" w:rsidP="00E93252">
      <w:pPr>
        <w:widowControl w:val="0"/>
        <w:rPr>
          <w:sz w:val="22"/>
          <w:szCs w:val="22"/>
          <w:lang w:val="lt-LT"/>
        </w:rPr>
      </w:pPr>
      <w:r w:rsidRPr="00BA0735">
        <w:rPr>
          <w:sz w:val="22"/>
          <w:szCs w:val="22"/>
          <w:lang w:val="lt-LT"/>
        </w:rPr>
        <w:t>Jeigu kepenų funkcija sutrikusi, tiazidiniai ir į juos panašūs diuretikai</w:t>
      </w:r>
      <w:r w:rsidR="00705456">
        <w:rPr>
          <w:sz w:val="22"/>
          <w:szCs w:val="22"/>
          <w:lang w:val="lt-LT"/>
        </w:rPr>
        <w:t xml:space="preserve">, </w:t>
      </w:r>
      <w:r w:rsidR="00705456" w:rsidRPr="00705456">
        <w:rPr>
          <w:sz w:val="22"/>
          <w:szCs w:val="22"/>
          <w:lang w:val="lt-LT"/>
        </w:rPr>
        <w:t>ypač esant elektrolitų disbalansui</w:t>
      </w:r>
      <w:r w:rsidR="00705456">
        <w:rPr>
          <w:sz w:val="22"/>
          <w:szCs w:val="22"/>
          <w:lang w:val="lt-LT"/>
        </w:rPr>
        <w:t>,</w:t>
      </w:r>
      <w:r w:rsidR="00705456" w:rsidRPr="00705456">
        <w:rPr>
          <w:sz w:val="22"/>
          <w:szCs w:val="22"/>
          <w:lang w:val="lt-LT"/>
        </w:rPr>
        <w:t xml:space="preserve"> </w:t>
      </w:r>
      <w:r w:rsidRPr="00BA0735">
        <w:rPr>
          <w:sz w:val="22"/>
          <w:szCs w:val="22"/>
          <w:lang w:val="lt-LT"/>
        </w:rPr>
        <w:t>gali skatinti hepatinę encefalopatiją</w:t>
      </w:r>
      <w:r w:rsidR="00705456">
        <w:rPr>
          <w:sz w:val="22"/>
          <w:szCs w:val="22"/>
          <w:lang w:val="lt-LT"/>
        </w:rPr>
        <w:t>, kuri</w:t>
      </w:r>
      <w:r w:rsidR="00705456" w:rsidRPr="00705456">
        <w:rPr>
          <w:sz w:val="22"/>
          <w:szCs w:val="22"/>
          <w:lang w:val="lt-LT"/>
        </w:rPr>
        <w:t xml:space="preserve"> gali išsivystyti į kepenų komą</w:t>
      </w:r>
      <w:r w:rsidRPr="00BA0735">
        <w:rPr>
          <w:sz w:val="22"/>
          <w:szCs w:val="22"/>
          <w:lang w:val="lt-LT"/>
        </w:rPr>
        <w:t>. Jeigu toks poveikis pasireiškia, diuretikų vartojimą būtina nedelsiant nutraukti.</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Padidėjęs jautrumas šviesai</w:t>
      </w:r>
    </w:p>
    <w:p w:rsidR="00E93252" w:rsidRPr="00BA0735" w:rsidRDefault="00E93252" w:rsidP="00E93252">
      <w:pPr>
        <w:widowControl w:val="0"/>
        <w:rPr>
          <w:sz w:val="22"/>
          <w:szCs w:val="22"/>
          <w:lang w:val="lt-LT"/>
        </w:rPr>
      </w:pPr>
      <w:r w:rsidRPr="00BA0735">
        <w:rPr>
          <w:sz w:val="22"/>
          <w:szCs w:val="22"/>
          <w:lang w:val="lt-LT"/>
        </w:rPr>
        <w:t>Gauta pranešimų apie jautrumo šviesai padidėjimą vartojant tiazidinius ir į juos panašius diuretikus (žr. 4.8</w:t>
      </w:r>
      <w:r w:rsidR="00691D21">
        <w:rPr>
          <w:sz w:val="22"/>
          <w:szCs w:val="22"/>
          <w:lang w:val="lt-LT"/>
        </w:rPr>
        <w:t> </w:t>
      </w:r>
      <w:r w:rsidRPr="00BA0735">
        <w:rPr>
          <w:sz w:val="22"/>
          <w:szCs w:val="22"/>
          <w:lang w:val="lt-LT"/>
        </w:rPr>
        <w:t>skyrių). Jeigu gydymo metu pasireiškia padidėjusio jautrumo šviesai reakcija, gydymą rekomenduojama nutraukti. Jeigu manoma, kad gydymą diuretikais būtina atnaujinti, rekomenduojama apsaugoti saulės arba dirbtinių UVA spindulių veikiamas kūno vietas.</w:t>
      </w:r>
    </w:p>
    <w:p w:rsidR="00E93252" w:rsidRPr="00BA0735" w:rsidRDefault="00E93252" w:rsidP="00E93252">
      <w:pPr>
        <w:widowControl w:val="0"/>
        <w:rPr>
          <w:i/>
          <w:sz w:val="22"/>
          <w:szCs w:val="22"/>
          <w:lang w:val="lt-LT"/>
        </w:rPr>
      </w:pPr>
    </w:p>
    <w:p w:rsidR="00E93252" w:rsidRPr="00526D52" w:rsidRDefault="00E93252" w:rsidP="00E93252">
      <w:pPr>
        <w:widowControl w:val="0"/>
        <w:rPr>
          <w:sz w:val="22"/>
          <w:szCs w:val="22"/>
          <w:lang w:val="lt-LT"/>
        </w:rPr>
      </w:pPr>
      <w:r w:rsidRPr="00526D52">
        <w:rPr>
          <w:sz w:val="22"/>
          <w:szCs w:val="22"/>
          <w:lang w:val="lt-LT"/>
        </w:rPr>
        <w:t>Atsargumo priemonės</w:t>
      </w:r>
    </w:p>
    <w:p w:rsidR="00E93252" w:rsidRPr="00526D52" w:rsidRDefault="00E93252" w:rsidP="00E93252">
      <w:pPr>
        <w:widowControl w:val="0"/>
        <w:rPr>
          <w:sz w:val="22"/>
          <w:szCs w:val="22"/>
          <w:lang w:val="lt-LT"/>
        </w:rPr>
      </w:pPr>
    </w:p>
    <w:p w:rsidR="00E93252" w:rsidRPr="00BA0735" w:rsidRDefault="00E93252" w:rsidP="00E93252">
      <w:pPr>
        <w:widowControl w:val="0"/>
        <w:rPr>
          <w:i/>
          <w:sz w:val="22"/>
          <w:szCs w:val="22"/>
          <w:u w:val="single"/>
          <w:lang w:val="lt-LT"/>
        </w:rPr>
      </w:pPr>
      <w:r w:rsidRPr="00BA0735">
        <w:rPr>
          <w:i/>
          <w:sz w:val="22"/>
          <w:szCs w:val="22"/>
          <w:u w:val="single"/>
          <w:lang w:val="lt-LT"/>
        </w:rPr>
        <w:lastRenderedPageBreak/>
        <w:t>Susijusios su perindopriliu ir indapamidu</w:t>
      </w:r>
    </w:p>
    <w:p w:rsidR="00E93252" w:rsidRPr="00BA0735" w:rsidRDefault="00E93252" w:rsidP="00E93252">
      <w:pPr>
        <w:widowControl w:val="0"/>
        <w:rPr>
          <w:i/>
          <w:sz w:val="22"/>
          <w:szCs w:val="22"/>
          <w:u w:val="single"/>
          <w:lang w:val="lt-LT"/>
        </w:rPr>
      </w:pPr>
    </w:p>
    <w:p w:rsidR="00E93252" w:rsidRPr="00BA0735" w:rsidRDefault="00E93252" w:rsidP="00E93252">
      <w:pPr>
        <w:widowControl w:val="0"/>
        <w:rPr>
          <w:i/>
          <w:sz w:val="22"/>
          <w:szCs w:val="22"/>
          <w:lang w:val="lt-LT"/>
        </w:rPr>
      </w:pPr>
      <w:r w:rsidRPr="00BA0735">
        <w:rPr>
          <w:i/>
          <w:sz w:val="22"/>
          <w:szCs w:val="22"/>
          <w:lang w:val="lt-LT"/>
        </w:rPr>
        <w:t>Inkstų funkcijos sutrikimas</w:t>
      </w:r>
    </w:p>
    <w:p w:rsidR="00E93252" w:rsidRPr="00BA0735" w:rsidRDefault="00E93252" w:rsidP="00E93252">
      <w:pPr>
        <w:widowControl w:val="0"/>
        <w:rPr>
          <w:sz w:val="22"/>
          <w:szCs w:val="22"/>
          <w:lang w:val="lt-LT"/>
        </w:rPr>
      </w:pPr>
      <w:r w:rsidRPr="00BA0735">
        <w:rPr>
          <w:sz w:val="22"/>
          <w:szCs w:val="22"/>
          <w:lang w:val="lt-LT"/>
        </w:rPr>
        <w:t>Jeigu yra sunkus inkstų funkcijos sutrikimas (kreatinino klirensas &lt;30 ml/min.), gydymas yra kontraindikuotinas. Kai kuriems hipertenzija sergantiems pacientams, kuriems prieš pradedant gydymą nėra aiškios inkstų pažaidos, tačiau inkstų funkcijos tyrimai rodo inkstų nepakankamumą, gydymą reikia nutraukti ir jį atnaujinti galima arba skiriant mažesnę šio vaistinio preparato dozę, arba skiriant tik vieną vaistinio preparato sudėtyje esančią veikliąją medžiagą.</w:t>
      </w:r>
    </w:p>
    <w:p w:rsidR="00E93252" w:rsidRPr="00BA0735" w:rsidRDefault="00E93252" w:rsidP="00E93252">
      <w:pPr>
        <w:widowControl w:val="0"/>
        <w:rPr>
          <w:sz w:val="22"/>
          <w:szCs w:val="22"/>
          <w:lang w:val="lt-LT"/>
        </w:rPr>
      </w:pPr>
      <w:r w:rsidRPr="00BA0735">
        <w:rPr>
          <w:sz w:val="22"/>
          <w:szCs w:val="22"/>
          <w:lang w:val="lt-LT"/>
        </w:rPr>
        <w:t>Inkstų funkcijai sunormalėjus, vėl gydyti galima tik viena iš veikliųjų medžiagų.</w:t>
      </w:r>
    </w:p>
    <w:p w:rsidR="00E93252" w:rsidRPr="00BA0735" w:rsidRDefault="00E93252" w:rsidP="00E93252">
      <w:pPr>
        <w:widowControl w:val="0"/>
        <w:rPr>
          <w:sz w:val="22"/>
          <w:szCs w:val="22"/>
          <w:lang w:val="lt-LT"/>
        </w:rPr>
      </w:pPr>
      <w:r w:rsidRPr="00BA0735">
        <w:rPr>
          <w:sz w:val="22"/>
          <w:szCs w:val="22"/>
          <w:lang w:val="lt-LT"/>
        </w:rPr>
        <w:t>Tokių ligonių kalio ir kreatinino koncentraciją serume reikia tirti reguliariai: pirmą kartą - po dviejų savaičių, vėliau kas 2 mėnesiai. Inkstų funkcijos nepakankamumas dažniausiai atsirasdavo pacientams, kurie sirgo sunkiu širdies funkcijos nepakankamumu arba inkstų ligos (pvz., inksto arterijos stenozės) sukeltu inkstų funkcijos sutrikimu.</w:t>
      </w:r>
    </w:p>
    <w:p w:rsidR="00E93252" w:rsidRPr="00BA0735" w:rsidRDefault="00E93252" w:rsidP="00E93252">
      <w:pPr>
        <w:widowControl w:val="0"/>
        <w:rPr>
          <w:sz w:val="22"/>
          <w:szCs w:val="22"/>
          <w:lang w:val="lt-LT"/>
        </w:rPr>
      </w:pPr>
      <w:r w:rsidRPr="00BA0735">
        <w:rPr>
          <w:sz w:val="22"/>
          <w:szCs w:val="22"/>
          <w:lang w:val="lt-LT"/>
        </w:rPr>
        <w:t>Jei yra abipusė arba vienintelio funkcionuojančio inksto arterijos stenozė, šio vaistinio preparato paprastai vartoti nerekomenduojama.</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Hipotenzija, skysčių ir elektrolitų trūkumas organizme</w:t>
      </w:r>
    </w:p>
    <w:p w:rsidR="00E93252" w:rsidRPr="00BA0735" w:rsidRDefault="00E93252" w:rsidP="00E93252">
      <w:pPr>
        <w:widowControl w:val="0"/>
        <w:rPr>
          <w:sz w:val="22"/>
          <w:szCs w:val="22"/>
          <w:lang w:val="lt-LT"/>
        </w:rPr>
      </w:pPr>
      <w:r w:rsidRPr="00BA0735">
        <w:rPr>
          <w:sz w:val="22"/>
          <w:szCs w:val="22"/>
          <w:lang w:val="lt-LT"/>
        </w:rPr>
        <w:t>Ligoniams, kurių organizme trūksta natrio (ypač jei yra inksto arterijos stenozė), gali staigiai pasireikšti hipotenzija. Būtina nuolat stebėti, ar tokiems ligoniams neatsiranda klinikinių skysčių ir elektrolitų stokos (pvz., sukelto vėmimo arba viduriavimo) organizme požymių ir simptomų bei matuoti elektrolitų koncentraciją plazmoje.</w:t>
      </w:r>
    </w:p>
    <w:p w:rsidR="00E93252" w:rsidRPr="00BA0735" w:rsidRDefault="00E93252" w:rsidP="00E93252">
      <w:pPr>
        <w:widowControl w:val="0"/>
        <w:rPr>
          <w:sz w:val="22"/>
          <w:szCs w:val="22"/>
          <w:lang w:val="lt-LT"/>
        </w:rPr>
      </w:pPr>
      <w:r w:rsidRPr="00BA0735">
        <w:rPr>
          <w:sz w:val="22"/>
          <w:szCs w:val="22"/>
          <w:lang w:val="lt-LT"/>
        </w:rPr>
        <w:t>Jeigu pasireiškia didelė hipotenzija, į veną reikia infuzuoti izotoninio natrio chlorido tirpalo.</w:t>
      </w:r>
    </w:p>
    <w:p w:rsidR="00E93252" w:rsidRPr="00BA0735" w:rsidRDefault="00E93252" w:rsidP="00E93252">
      <w:pPr>
        <w:widowControl w:val="0"/>
        <w:rPr>
          <w:sz w:val="22"/>
          <w:szCs w:val="22"/>
          <w:lang w:val="lt-LT"/>
        </w:rPr>
      </w:pPr>
      <w:r w:rsidRPr="00BA0735">
        <w:rPr>
          <w:sz w:val="22"/>
          <w:szCs w:val="22"/>
          <w:lang w:val="lt-LT"/>
        </w:rPr>
        <w:t>Jeigu pasireiškė laikina hipotenzija, gydymą galima tęsti. Kai kraujo tūris ir spaudimas sunormalinamas, galima gydyti arba mažesne doze, arba tik viena iš veikliųjų medžiagų.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i/>
          <w:sz w:val="22"/>
          <w:szCs w:val="22"/>
          <w:lang w:val="lt-LT"/>
        </w:rPr>
        <w:t>Kalio koncentracija</w:t>
      </w:r>
    </w:p>
    <w:p w:rsidR="00E93252" w:rsidRPr="00BA0735" w:rsidRDefault="00E93252" w:rsidP="00E93252">
      <w:pPr>
        <w:widowControl w:val="0"/>
        <w:rPr>
          <w:sz w:val="22"/>
          <w:szCs w:val="22"/>
          <w:lang w:val="lt-LT"/>
        </w:rPr>
      </w:pPr>
      <w:r w:rsidRPr="00BA0735">
        <w:rPr>
          <w:sz w:val="22"/>
          <w:szCs w:val="22"/>
          <w:lang w:val="lt-LT"/>
        </w:rPr>
        <w:t>Perindoprilio vartojimas kartu su indapamidu nuo hipokalemijos neapsaugo (ypač jeigu yra cukrinis diabetas arba inkstų funkcijos nepakankamumas). Kaip ir vartojant kitokių kombinuotų antihipertenzinių preparatų, kuriuose yra diuretikų, gydymo Prenewel metu reikia reguliariai nustatinėti kalio koncentraciją plazmoje.</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u w:val="single"/>
          <w:lang w:val="lt-LT"/>
        </w:rPr>
      </w:pPr>
      <w:r w:rsidRPr="00BA0735">
        <w:rPr>
          <w:i/>
          <w:sz w:val="22"/>
          <w:szCs w:val="22"/>
          <w:u w:val="single"/>
          <w:lang w:val="lt-LT"/>
        </w:rPr>
        <w:t>Specialus perspėjimas apie pagalbines medžiagas</w:t>
      </w:r>
    </w:p>
    <w:p w:rsidR="00E93252" w:rsidRPr="00BA0735" w:rsidRDefault="00E93252" w:rsidP="00E93252">
      <w:pPr>
        <w:widowControl w:val="0"/>
        <w:rPr>
          <w:i/>
          <w:sz w:val="22"/>
          <w:szCs w:val="22"/>
          <w:u w:val="single"/>
          <w:lang w:val="lt-LT"/>
        </w:rPr>
      </w:pPr>
    </w:p>
    <w:p w:rsidR="00E93252" w:rsidRPr="00BA0735" w:rsidRDefault="00E93252" w:rsidP="00E93252">
      <w:pPr>
        <w:widowControl w:val="0"/>
        <w:rPr>
          <w:i/>
          <w:sz w:val="22"/>
          <w:szCs w:val="22"/>
          <w:lang w:val="lt-LT"/>
        </w:rPr>
      </w:pPr>
      <w:r w:rsidRPr="00BA0735">
        <w:rPr>
          <w:i/>
          <w:sz w:val="22"/>
          <w:szCs w:val="22"/>
          <w:lang w:val="lt-LT"/>
        </w:rPr>
        <w:t>Laktozė</w:t>
      </w:r>
    </w:p>
    <w:p w:rsidR="00E93252" w:rsidRPr="00BA0735" w:rsidRDefault="00E93252" w:rsidP="00E93252">
      <w:pPr>
        <w:widowControl w:val="0"/>
        <w:rPr>
          <w:sz w:val="22"/>
          <w:szCs w:val="22"/>
          <w:lang w:val="lt-LT"/>
        </w:rPr>
      </w:pPr>
      <w:r w:rsidRPr="00BA0735">
        <w:rPr>
          <w:sz w:val="22"/>
          <w:szCs w:val="22"/>
          <w:lang w:val="lt-LT"/>
        </w:rPr>
        <w:t xml:space="preserve">Prenewel 2 mg/0,625 mg tabletėse yra laktozės monohidrato. Šio vaistinio preparato negalima vartoti pacientams, kuriems nustatytas retas paveldimas sutrikimas –galaktozės netoleravimas, </w:t>
      </w:r>
      <w:r w:rsidRPr="00BA0735">
        <w:rPr>
          <w:rFonts w:eastAsia="Calibri"/>
          <w:sz w:val="22"/>
          <w:szCs w:val="22"/>
          <w:lang w:val="lt-LT"/>
        </w:rPr>
        <w:t>visiškas</w:t>
      </w:r>
      <w:r w:rsidRPr="00BA0735">
        <w:rPr>
          <w:sz w:val="22"/>
          <w:szCs w:val="22"/>
          <w:lang w:val="lt-LT"/>
        </w:rPr>
        <w:t xml:space="preserve"> laktazės stygius arba gliukozės ir galaktozės malabsorbcija.</w:t>
      </w:r>
    </w:p>
    <w:p w:rsidR="00E93252" w:rsidRPr="00BA0735" w:rsidRDefault="00E93252" w:rsidP="00E93252">
      <w:pPr>
        <w:widowControl w:val="0"/>
        <w:rPr>
          <w:rFonts w:eastAsia="Calibri"/>
          <w:sz w:val="22"/>
          <w:szCs w:val="22"/>
          <w:lang w:val="lt-LT"/>
        </w:rPr>
      </w:pPr>
    </w:p>
    <w:p w:rsidR="00E93252" w:rsidRPr="00BA0735" w:rsidRDefault="00E93252" w:rsidP="00E93252">
      <w:pPr>
        <w:widowControl w:val="0"/>
        <w:rPr>
          <w:rFonts w:eastAsia="Calibri"/>
          <w:i/>
          <w:sz w:val="22"/>
          <w:szCs w:val="22"/>
          <w:lang w:val="lt-LT"/>
        </w:rPr>
      </w:pPr>
      <w:r w:rsidRPr="00BA0735">
        <w:rPr>
          <w:rFonts w:eastAsia="Calibri"/>
          <w:i/>
          <w:sz w:val="22"/>
          <w:szCs w:val="22"/>
          <w:lang w:val="lt-LT"/>
        </w:rPr>
        <w:t>Natris</w:t>
      </w:r>
    </w:p>
    <w:p w:rsidR="00E93252" w:rsidRPr="00BA0735" w:rsidRDefault="00E93252" w:rsidP="00E93252">
      <w:pPr>
        <w:widowControl w:val="0"/>
        <w:tabs>
          <w:tab w:val="left" w:pos="567"/>
        </w:tabs>
        <w:rPr>
          <w:sz w:val="22"/>
          <w:szCs w:val="22"/>
          <w:lang w:val="lt-LT"/>
        </w:rPr>
      </w:pPr>
      <w:r w:rsidRPr="00BA0735">
        <w:rPr>
          <w:sz w:val="22"/>
          <w:szCs w:val="22"/>
          <w:lang w:val="lt-LT"/>
        </w:rPr>
        <w:t>Šio vaistinio preparato tabletėje yra mažiau kaip 1 mmol (23 mg) natrio, t,y. jis beveik neturi reikšmės.</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u w:val="single"/>
          <w:lang w:val="lt-LT"/>
        </w:rPr>
      </w:pPr>
      <w:r w:rsidRPr="00BA0735">
        <w:rPr>
          <w:i/>
          <w:sz w:val="22"/>
          <w:szCs w:val="22"/>
          <w:u w:val="single"/>
          <w:lang w:val="lt-LT"/>
        </w:rPr>
        <w:t>Su perindopriliu siejamos atsargumo priemonės</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Kosulys</w:t>
      </w:r>
    </w:p>
    <w:p w:rsidR="00E93252" w:rsidRPr="00BA0735" w:rsidRDefault="00E93252" w:rsidP="00E93252">
      <w:pPr>
        <w:widowControl w:val="0"/>
        <w:rPr>
          <w:sz w:val="22"/>
          <w:szCs w:val="22"/>
          <w:lang w:val="lt-LT"/>
        </w:rPr>
      </w:pPr>
      <w:r w:rsidRPr="00BA0735">
        <w:rPr>
          <w:sz w:val="22"/>
          <w:szCs w:val="22"/>
          <w:lang w:val="lt-LT"/>
        </w:rPr>
        <w:t>Gauta duomenų apie angiotenziną konvertuojančio fermento inhibitorių vartojantiems ligoniams pasireiškiantį sausą kosulį. Jis būna nuolatinis ir nutraukus minėtų preparatų vartojimą išnyksta. Reikia turėti omenyje, kad tokio simptomo priežastis gali būti jatrogeninė. Jei manoma, kad gydymas angiotenziną konvertuojančio fermento inhibitoriumi reikalingas, reikia apsvarstyti preparato vartojimo tęsimą.</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Vaikų populiacija</w:t>
      </w:r>
    </w:p>
    <w:p w:rsidR="00E93252" w:rsidRPr="00BA0735" w:rsidRDefault="00E93252" w:rsidP="00E93252">
      <w:pPr>
        <w:widowControl w:val="0"/>
        <w:rPr>
          <w:sz w:val="22"/>
          <w:szCs w:val="22"/>
          <w:lang w:val="lt-LT"/>
        </w:rPr>
      </w:pPr>
      <w:r w:rsidRPr="00BA0735">
        <w:rPr>
          <w:sz w:val="22"/>
          <w:szCs w:val="22"/>
          <w:lang w:val="lt-LT"/>
        </w:rPr>
        <w:t>Vaikų ir paauglių gydymo perindopriliu (vien juo ar kartu su kitais preparatais) veiksmingumas ir toleravimas nenustatytas.</w:t>
      </w:r>
    </w:p>
    <w:p w:rsidR="00E93252" w:rsidRPr="00BA0735" w:rsidRDefault="00E93252" w:rsidP="00E93252">
      <w:pPr>
        <w:widowControl w:val="0"/>
        <w:rPr>
          <w:color w:val="000000"/>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Arterinės hipotenzijos ir (arba) inkstų nepakankamumo rizika (jei yra širdies nepakankamumas, skysčių ir elektrolitų trūkumas ir kt.)</w:t>
      </w:r>
    </w:p>
    <w:p w:rsidR="00E93252" w:rsidRPr="00BA0735" w:rsidRDefault="00E93252" w:rsidP="00E93252">
      <w:pPr>
        <w:widowControl w:val="0"/>
        <w:rPr>
          <w:sz w:val="22"/>
          <w:szCs w:val="22"/>
          <w:lang w:val="lt-LT"/>
        </w:rPr>
      </w:pPr>
      <w:r w:rsidRPr="00BA0735">
        <w:rPr>
          <w:sz w:val="22"/>
          <w:szCs w:val="22"/>
          <w:lang w:val="lt-LT"/>
        </w:rPr>
        <w:lastRenderedPageBreak/>
        <w:t>Pacientams, kurių pradinis kraujospūdis mažas, kuriems yra inkstų arterijos stenozė, stazinis širdies nepakankamumas arba kepenų cirozė su edema ir ascitu, labai padidėja renino, angiotenzino ir aldosterono sistemos aktyvumas, ypač jei organizme labai trūksta vandens ir (arba) elektrolitų (pvz., dėl druskos kiekio maiste ribojimo ar ilgalaikio gydymo diuretikais).</w:t>
      </w:r>
    </w:p>
    <w:p w:rsidR="00E93252" w:rsidRPr="00BA0735" w:rsidRDefault="00E93252" w:rsidP="00E93252">
      <w:pPr>
        <w:widowControl w:val="0"/>
        <w:rPr>
          <w:sz w:val="22"/>
          <w:szCs w:val="22"/>
          <w:lang w:val="lt-LT"/>
        </w:rPr>
      </w:pPr>
      <w:r w:rsidRPr="00BA0735">
        <w:rPr>
          <w:sz w:val="22"/>
          <w:szCs w:val="22"/>
          <w:lang w:val="lt-LT"/>
        </w:rPr>
        <w:t xml:space="preserve">Tokiems ligoniams angiotenziną konvertuojančio fermento inhibitoriai, slopindami minėtą sistemą (ypač po pirmos dozės išgėrimo bei per pirmas dvi gydymo savaites), gali staiga sumažinti kraujo spaudimą ir (arba) padidinti kreatinino koncentraciją serume bei sukelti inkstų funkcinį nepakankamumą. Jis gali atsirasti staiga (toks sutrikimas nedažnas) arba vėliau. </w:t>
      </w:r>
      <w:r w:rsidRPr="00BA0735">
        <w:rPr>
          <w:color w:val="000000"/>
          <w:sz w:val="22"/>
          <w:szCs w:val="22"/>
          <w:lang w:val="lt-LT"/>
        </w:rPr>
        <w:t>Tokius ligonius reikia pradėti gydyti mažesne doze ir ją didinti palaipsniui.</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Dvigubas renino, angiotenzino ir aldosterono sistemos (RAAS) nuslopinimas</w:t>
      </w:r>
    </w:p>
    <w:p w:rsidR="00E93252" w:rsidRPr="00BA0735" w:rsidRDefault="00E93252" w:rsidP="00E93252">
      <w:pPr>
        <w:widowControl w:val="0"/>
        <w:rPr>
          <w:sz w:val="22"/>
          <w:szCs w:val="22"/>
          <w:lang w:val="lt-LT"/>
        </w:rPr>
      </w:pPr>
      <w:r w:rsidRPr="00BA0735">
        <w:rPr>
          <w:sz w:val="22"/>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sidR="00691D21">
        <w:rPr>
          <w:sz w:val="22"/>
          <w:szCs w:val="22"/>
          <w:lang w:val="lt-LT"/>
        </w:rPr>
        <w:t> </w:t>
      </w:r>
      <w:r w:rsidRPr="00BA0735">
        <w:rPr>
          <w:sz w:val="22"/>
          <w:szCs w:val="22"/>
          <w:lang w:val="lt-LT"/>
        </w:rPr>
        <w:t>skyrius).</w:t>
      </w:r>
    </w:p>
    <w:p w:rsidR="00E93252" w:rsidRPr="00BA0735" w:rsidRDefault="00E93252" w:rsidP="00E93252">
      <w:pPr>
        <w:widowControl w:val="0"/>
        <w:rPr>
          <w:sz w:val="22"/>
          <w:szCs w:val="22"/>
          <w:lang w:val="lt-LT"/>
        </w:rPr>
      </w:pPr>
      <w:r w:rsidRPr="00BA0735">
        <w:rPr>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rsidR="00E93252" w:rsidRPr="00BA0735" w:rsidRDefault="00E93252" w:rsidP="00E93252">
      <w:pPr>
        <w:widowControl w:val="0"/>
        <w:rPr>
          <w:sz w:val="22"/>
          <w:szCs w:val="22"/>
          <w:lang w:val="lt-LT"/>
        </w:rPr>
      </w:pPr>
      <w:r w:rsidRPr="00BA0735">
        <w:rPr>
          <w:sz w:val="22"/>
          <w:szCs w:val="22"/>
          <w:lang w:val="lt-LT"/>
        </w:rPr>
        <w:t>Pacientams, sergantiems diabetine nefropatija, negalima kartu vartoti AKF inhibitorių ir angiotenzino II receptorių blokatorių.</w:t>
      </w:r>
    </w:p>
    <w:p w:rsidR="00E93252" w:rsidRPr="00BA0735" w:rsidRDefault="00E93252" w:rsidP="00E93252">
      <w:pPr>
        <w:widowControl w:val="0"/>
        <w:rPr>
          <w:color w:val="000000"/>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Senyvi pacientai</w:t>
      </w:r>
    </w:p>
    <w:p w:rsidR="00E93252" w:rsidRPr="00BA0735" w:rsidRDefault="00E93252" w:rsidP="00E93252">
      <w:pPr>
        <w:widowControl w:val="0"/>
        <w:rPr>
          <w:sz w:val="22"/>
          <w:szCs w:val="22"/>
          <w:lang w:val="lt-LT"/>
        </w:rPr>
      </w:pPr>
      <w:r w:rsidRPr="00BA0735">
        <w:rPr>
          <w:sz w:val="22"/>
          <w:szCs w:val="22"/>
          <w:lang w:val="lt-LT"/>
        </w:rPr>
        <w:t>Prieš gydymą būtina ištirti senyvų žmonių inkstų funkciją ir nustatyti kalio koncentraciją. Kad neatsirastų staigios hipotenzijos, pradinę dozę reikia laipsniškai koreguoti atsižvelgiant į kraujospūdžio reakciją, ypač jei ligonio organizme trūksta vandens ir elektrolitų.</w:t>
      </w:r>
    </w:p>
    <w:p w:rsidR="00E93252" w:rsidRPr="00BA0735" w:rsidRDefault="00E93252" w:rsidP="00E93252">
      <w:pPr>
        <w:widowControl w:val="0"/>
        <w:rPr>
          <w:sz w:val="22"/>
          <w:szCs w:val="22"/>
          <w:lang w:val="lt-LT"/>
        </w:rPr>
      </w:pPr>
    </w:p>
    <w:p w:rsidR="00E93252" w:rsidRPr="00BA0735" w:rsidRDefault="00705456" w:rsidP="00E93252">
      <w:pPr>
        <w:widowControl w:val="0"/>
        <w:rPr>
          <w:i/>
          <w:sz w:val="22"/>
          <w:szCs w:val="22"/>
          <w:lang w:val="lt-LT"/>
        </w:rPr>
      </w:pPr>
      <w:r>
        <w:rPr>
          <w:i/>
          <w:sz w:val="22"/>
          <w:szCs w:val="22"/>
          <w:lang w:val="lt-LT"/>
        </w:rPr>
        <w:t>At</w:t>
      </w:r>
      <w:r w:rsidR="00E93252" w:rsidRPr="00BA0735">
        <w:rPr>
          <w:i/>
          <w:sz w:val="22"/>
          <w:szCs w:val="22"/>
          <w:lang w:val="lt-LT"/>
        </w:rPr>
        <w:t>eroskleroz</w:t>
      </w:r>
      <w:r>
        <w:rPr>
          <w:i/>
          <w:sz w:val="22"/>
          <w:szCs w:val="22"/>
          <w:lang w:val="lt-LT"/>
        </w:rPr>
        <w:t>ė</w:t>
      </w:r>
    </w:p>
    <w:p w:rsidR="00E93252" w:rsidRPr="00BA0735" w:rsidRDefault="00E93252" w:rsidP="00E93252">
      <w:pPr>
        <w:widowControl w:val="0"/>
        <w:rPr>
          <w:sz w:val="22"/>
          <w:szCs w:val="22"/>
          <w:lang w:val="lt-LT"/>
        </w:rPr>
      </w:pPr>
      <w:r w:rsidRPr="00BA0735">
        <w:rPr>
          <w:sz w:val="22"/>
          <w:szCs w:val="22"/>
          <w:lang w:val="lt-LT"/>
        </w:rPr>
        <w:t>Hipotenzija gali pasireikšti visiems pacientams, tačiau ypač atsargiai būtina gydyti išemine širdies liga arba galvos smegenų kraujotakos nepakankamumu sergančius ligonius. Jiems pradinė dozė turi būti kiek įmanoma mažesnė.</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Renovaskulinė hipertenzija</w:t>
      </w:r>
    </w:p>
    <w:p w:rsidR="00E93252" w:rsidRPr="00BA0735" w:rsidRDefault="00E93252" w:rsidP="00E93252">
      <w:pPr>
        <w:widowControl w:val="0"/>
        <w:rPr>
          <w:sz w:val="22"/>
          <w:szCs w:val="22"/>
          <w:lang w:val="lt-LT"/>
        </w:rPr>
      </w:pPr>
      <w:r w:rsidRPr="00BA0735">
        <w:rPr>
          <w:sz w:val="22"/>
          <w:szCs w:val="22"/>
          <w:lang w:val="lt-LT"/>
        </w:rPr>
        <w:t>Renovaskulinę hipertenziją reikia gydyti revaskulizacija. Vis dėlto pacientams, kurie laukia koreguojamosios operacijos arba kuriems jos atlikti neįmanoma, AKF inhibitoriai gali būti naudingi. Jei yra arba įtariama, kad yra inksto arterijos stenozė, ligonį būtina pradėti gydyti ligoninėje, skirti mažą dozę bei dažnai tirti inkstų funkciją ir nustatinėti kalio koncentraciją kraujyje. Kai kuriems tokiems ligoniams gali pasireikšti funkcinis inkstų nepakankamumas, kuris paprastai būna laikinas (vaistinio preparato vartojimą nutraukus, jis paprastai praeina).</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Širdies nepakankamumas, sunkus širdies nepakankamumas</w:t>
      </w:r>
    </w:p>
    <w:p w:rsidR="00E93252" w:rsidRPr="00BA0735" w:rsidRDefault="00E93252" w:rsidP="00E93252">
      <w:pPr>
        <w:widowControl w:val="0"/>
        <w:rPr>
          <w:sz w:val="22"/>
          <w:szCs w:val="22"/>
          <w:lang w:val="lt-LT"/>
        </w:rPr>
      </w:pPr>
      <w:r w:rsidRPr="00BA0735">
        <w:rPr>
          <w:sz w:val="22"/>
          <w:szCs w:val="22"/>
          <w:lang w:val="lt-LT"/>
        </w:rPr>
        <w:t>Ligonius, kurie serga sunkiu širdies nepakankamumu (IV funkcinės klasės), gydyti būtina pradėti atidžiai stebint medikui, pradinė dozė turi būti sumažinta. Jei ligonis serga hipertenzija ir jo vainikinė kraujotaka yra nepakankama (yra išeminė širdies liga), jam gydymo beta adrenoreceptorių blokatoriais nutraukti nereikia: prie AKF inhibitorių reikia pridėti beta adrenoreceptorių blokatorius.</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Cukriniu diabetu sergantys pacientai</w:t>
      </w:r>
    </w:p>
    <w:p w:rsidR="00E93252" w:rsidRPr="00BA0735" w:rsidRDefault="00E93252" w:rsidP="00E93252">
      <w:pPr>
        <w:widowControl w:val="0"/>
        <w:rPr>
          <w:sz w:val="22"/>
          <w:szCs w:val="22"/>
          <w:lang w:val="lt-LT"/>
        </w:rPr>
      </w:pPr>
      <w:r w:rsidRPr="00BA0735">
        <w:rPr>
          <w:sz w:val="22"/>
          <w:szCs w:val="22"/>
          <w:lang w:val="lt-LT"/>
        </w:rPr>
        <w:t>Pacientams, sergantiems nuo insulino priklausomu cukriniu diabetu (spontaniškai didėjančiu kalio kiekiu),</w:t>
      </w:r>
      <w:r w:rsidR="00705456">
        <w:rPr>
          <w:sz w:val="22"/>
          <w:szCs w:val="22"/>
          <w:lang w:val="lt-LT"/>
        </w:rPr>
        <w:t xml:space="preserve"> </w:t>
      </w:r>
      <w:r w:rsidR="00705456" w:rsidRPr="00705456">
        <w:rPr>
          <w:sz w:val="22"/>
          <w:szCs w:val="22"/>
          <w:lang w:val="lt-LT"/>
        </w:rPr>
        <w:t xml:space="preserve">gydymas </w:t>
      </w:r>
      <w:r w:rsidR="00705456">
        <w:rPr>
          <w:sz w:val="22"/>
          <w:szCs w:val="22"/>
          <w:lang w:val="lt-LT"/>
        </w:rPr>
        <w:t xml:space="preserve">Prenewel </w:t>
      </w:r>
      <w:r w:rsidR="00705456" w:rsidRPr="00705456">
        <w:rPr>
          <w:sz w:val="22"/>
          <w:szCs w:val="22"/>
          <w:lang w:val="lt-LT"/>
        </w:rPr>
        <w:t>8</w:t>
      </w:r>
      <w:r w:rsidR="00B31A3A">
        <w:rPr>
          <w:sz w:val="22"/>
          <w:szCs w:val="22"/>
          <w:lang w:val="lt-LT"/>
        </w:rPr>
        <w:t> </w:t>
      </w:r>
      <w:r w:rsidR="00705456" w:rsidRPr="00705456">
        <w:rPr>
          <w:sz w:val="22"/>
          <w:szCs w:val="22"/>
          <w:lang w:val="lt-LT"/>
        </w:rPr>
        <w:t>mg/2,5</w:t>
      </w:r>
      <w:r w:rsidR="00B31A3A">
        <w:rPr>
          <w:sz w:val="22"/>
          <w:szCs w:val="22"/>
          <w:lang w:val="lt-LT"/>
        </w:rPr>
        <w:t> </w:t>
      </w:r>
      <w:r w:rsidR="00705456" w:rsidRPr="00705456">
        <w:rPr>
          <w:sz w:val="22"/>
          <w:szCs w:val="22"/>
          <w:lang w:val="lt-LT"/>
        </w:rPr>
        <w:t>mg tabletėmis netinka, nes</w:t>
      </w:r>
      <w:r w:rsidRPr="00BA0735">
        <w:rPr>
          <w:sz w:val="22"/>
          <w:szCs w:val="22"/>
          <w:lang w:val="lt-LT"/>
        </w:rPr>
        <w:t xml:space="preserve"> gydymą reikia pradėti prižiūrint gydytojui, sumažinus pradinę dozę.</w:t>
      </w:r>
    </w:p>
    <w:p w:rsidR="00E93252" w:rsidRPr="00BA0735" w:rsidRDefault="00E93252" w:rsidP="00E93252">
      <w:pPr>
        <w:widowControl w:val="0"/>
        <w:rPr>
          <w:sz w:val="22"/>
          <w:szCs w:val="22"/>
          <w:lang w:val="lt-LT"/>
        </w:rPr>
      </w:pPr>
      <w:r w:rsidRPr="00BA0735">
        <w:rPr>
          <w:sz w:val="22"/>
          <w:szCs w:val="22"/>
          <w:lang w:val="lt-LT"/>
        </w:rPr>
        <w:t>Cukriniu diabetu sergantiems pacientams, gydytiems geriamaisiais vaistiniais preparatais nuo diabeto arba insulinu, reikia dažnai tirti gliukozės koncentraciją kraujyje, ypač pirmaisiais gydymo AKF inhibitoriais mėnesiais</w:t>
      </w:r>
      <w:r w:rsidR="00B33ECC">
        <w:rPr>
          <w:sz w:val="22"/>
          <w:szCs w:val="22"/>
          <w:lang w:val="lt-LT"/>
        </w:rPr>
        <w:t xml:space="preserve"> (žr. 4.5</w:t>
      </w:r>
      <w:r w:rsidR="00B31A3A">
        <w:rPr>
          <w:sz w:val="22"/>
          <w:szCs w:val="22"/>
          <w:lang w:val="lt-LT"/>
        </w:rPr>
        <w:t> </w:t>
      </w:r>
      <w:r w:rsidR="00B33ECC">
        <w:rPr>
          <w:sz w:val="22"/>
          <w:szCs w:val="22"/>
          <w:lang w:val="lt-LT"/>
        </w:rPr>
        <w:t xml:space="preserve"> skyrių</w:t>
      </w:r>
      <w:r w:rsidR="00B33ECC" w:rsidRPr="00B33ECC">
        <w:rPr>
          <w:sz w:val="22"/>
          <w:szCs w:val="22"/>
          <w:lang w:val="lt-LT"/>
        </w:rPr>
        <w:t>)</w:t>
      </w:r>
      <w:r w:rsidRPr="00BA0735">
        <w:rPr>
          <w:sz w:val="22"/>
          <w:szCs w:val="22"/>
          <w:lang w:val="lt-LT"/>
        </w:rPr>
        <w:t>.</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Rasiniai skirtumai</w:t>
      </w:r>
    </w:p>
    <w:p w:rsidR="00E93252" w:rsidRPr="00BA0735" w:rsidRDefault="00E93252" w:rsidP="00E93252">
      <w:pPr>
        <w:widowControl w:val="0"/>
        <w:tabs>
          <w:tab w:val="left" w:pos="567"/>
        </w:tabs>
        <w:rPr>
          <w:sz w:val="22"/>
          <w:szCs w:val="22"/>
          <w:lang w:val="lt-LT"/>
        </w:rPr>
      </w:pPr>
      <w:r w:rsidRPr="00BA0735">
        <w:rPr>
          <w:sz w:val="22"/>
          <w:szCs w:val="22"/>
          <w:lang w:val="lt-LT"/>
        </w:rPr>
        <w:t xml:space="preserve">Perindoprilis, kaip ir kitokie angiotenziną konvertuojančio fermento inhibitoriai, juodaodžių kraujospūdį mažina silpniau negu nejuodaodžių galbūt todėl, kad hipertenzija sergančių juodaodžių </w:t>
      </w:r>
      <w:r w:rsidRPr="00BA0735">
        <w:rPr>
          <w:sz w:val="22"/>
          <w:szCs w:val="22"/>
          <w:lang w:val="lt-LT"/>
        </w:rPr>
        <w:lastRenderedPageBreak/>
        <w:t>kraujyje renino kiekis dažnai būna mažas.</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Operacija/anestezija</w:t>
      </w:r>
    </w:p>
    <w:p w:rsidR="00E93252" w:rsidRPr="00BA0735" w:rsidRDefault="00E93252" w:rsidP="00E93252">
      <w:pPr>
        <w:widowControl w:val="0"/>
        <w:rPr>
          <w:sz w:val="22"/>
          <w:szCs w:val="22"/>
          <w:lang w:val="lt-LT"/>
        </w:rPr>
      </w:pPr>
      <w:r w:rsidRPr="00BA0735">
        <w:rPr>
          <w:sz w:val="22"/>
          <w:szCs w:val="22"/>
          <w:lang w:val="lt-LT"/>
        </w:rPr>
        <w:t>Anestezijos metu angiotenziną konvertuojančio fermento inhibitorių vartojantiems pacientams gali pasireikšti hipotenzija, ypač tuo atveju, jeigu anestezija sukeliama preparatu, kuris mažina kraujospūdį.</w:t>
      </w:r>
    </w:p>
    <w:p w:rsidR="00E93252" w:rsidRPr="00BA0735" w:rsidRDefault="00E93252" w:rsidP="00E93252">
      <w:pPr>
        <w:widowControl w:val="0"/>
        <w:rPr>
          <w:sz w:val="22"/>
          <w:szCs w:val="22"/>
          <w:lang w:val="lt-LT"/>
        </w:rPr>
      </w:pPr>
      <w:r w:rsidRPr="00BA0735">
        <w:rPr>
          <w:sz w:val="22"/>
          <w:szCs w:val="22"/>
          <w:lang w:val="lt-LT"/>
        </w:rPr>
        <w:t>Dėl to, jeigu įmanoma, ilgai veikiančių angiotenziną konvertuojančio fermento inhibitorių, pvz., perindoprilio, vartojimą reikia nutraukti iki operacijos likus vienai parai.</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Aortos arba mitralinio vožtuvo stenozė, hipertrofinė kardiomiopatija</w:t>
      </w:r>
    </w:p>
    <w:p w:rsidR="00E93252" w:rsidRPr="00BA0735" w:rsidRDefault="00E93252" w:rsidP="00E93252">
      <w:pPr>
        <w:widowControl w:val="0"/>
        <w:tabs>
          <w:tab w:val="left" w:pos="567"/>
        </w:tabs>
        <w:rPr>
          <w:sz w:val="22"/>
          <w:szCs w:val="22"/>
          <w:lang w:val="lt-LT"/>
        </w:rPr>
      </w:pPr>
      <w:r w:rsidRPr="00BA0735">
        <w:rPr>
          <w:sz w:val="22"/>
          <w:szCs w:val="22"/>
          <w:lang w:val="lt-LT"/>
        </w:rPr>
        <w:t>Jeigu yra kraujo tekėjimo iš kairiojo širdies skilvelio obstrukcija, AKF inhibitoriais reikia gydyti atsargiai.</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Kepenų funkcijos nepakankamumas</w:t>
      </w:r>
    </w:p>
    <w:p w:rsidR="00E93252" w:rsidRPr="00BA0735" w:rsidRDefault="00E93252" w:rsidP="00E93252">
      <w:pPr>
        <w:widowControl w:val="0"/>
        <w:tabs>
          <w:tab w:val="left" w:pos="567"/>
        </w:tabs>
        <w:rPr>
          <w:sz w:val="22"/>
          <w:szCs w:val="22"/>
          <w:lang w:val="lt-LT"/>
        </w:rPr>
      </w:pPr>
      <w:r w:rsidRPr="00BA0735">
        <w:rPr>
          <w:sz w:val="22"/>
          <w:szCs w:val="22"/>
          <w:lang w:val="lt-LT"/>
        </w:rPr>
        <w:t>AKF inhibitorių vartojimas siejamas su retai pasireiškiančiu sindromu, prasidedančiu cholestazine gelta ir progresuojančiu į žaibinę kepenų nekrozę (kartais net mirtiną). Šio sindromo atsiradimo mechanizmas nežinomas. Jeigu gydant AKF inhibitoriais atsiranda gelta arba gerokai padaugėja kepenų fermentų, preparato vartojimą reikia nutraukti ir pacientą tinkamai ištirti (žr. 4.8</w:t>
      </w:r>
      <w:r w:rsidR="00691D21">
        <w:rPr>
          <w:sz w:val="22"/>
          <w:szCs w:val="22"/>
          <w:lang w:val="lt-LT"/>
        </w:rPr>
        <w:t> </w:t>
      </w:r>
      <w:r w:rsidRPr="00BA0735">
        <w:rPr>
          <w:sz w:val="22"/>
          <w:szCs w:val="22"/>
          <w:lang w:val="lt-LT"/>
        </w:rPr>
        <w:t>skyrių).</w:t>
      </w:r>
    </w:p>
    <w:p w:rsidR="00E93252" w:rsidRPr="00BA0735" w:rsidRDefault="00E93252" w:rsidP="00E93252">
      <w:pPr>
        <w:widowControl w:val="0"/>
        <w:tabs>
          <w:tab w:val="left" w:pos="567"/>
        </w:tabs>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Hiperkalemija</w:t>
      </w:r>
    </w:p>
    <w:p w:rsidR="00E93252" w:rsidRPr="00BA0735" w:rsidRDefault="00E93252" w:rsidP="00E93252">
      <w:pPr>
        <w:widowControl w:val="0"/>
        <w:tabs>
          <w:tab w:val="left" w:pos="567"/>
        </w:tabs>
        <w:rPr>
          <w:sz w:val="22"/>
          <w:szCs w:val="22"/>
          <w:lang w:val="lt-LT"/>
        </w:rPr>
      </w:pPr>
      <w:r w:rsidRPr="00BA0735">
        <w:rPr>
          <w:sz w:val="22"/>
          <w:szCs w:val="22"/>
          <w:lang w:val="lt-LT"/>
        </w:rPr>
        <w:t>AKF inhibitoriai gali sukelti hiperkalemiją, nes jie slopina aldosterono išsiskyrimą. Įprastai pacientams, kurių inkstų funkcija nesutrikusi, šis poveikis nėra reikšmingas. Hiperkalemijos atsiradimo rizikos veiksniai yra inkstų nepakankamumas, inkstų funkcijos pablogėjimas, amžius (&gt; 70 metų), cukrinis diabetas, gretutiniai reiškiniai, ypač dehidracija, ūminė širdies veiklos dekompensacija, metabolinė acidozė ir kartu vartojami kalį organizme sulaikantys diuretikai (pvz.: spironolaktonas, eplerenonas, triamterenas, amiloridas), kalio papildai arba druskų pakaitalai, kurių sudėtyje yra kalio, arba kiti vaistiniai preparatai, susiję su kalio koncentracijos padidėjimu serume (pvz., heparinas,</w:t>
      </w:r>
      <w:r w:rsidRPr="00BA0735">
        <w:rPr>
          <w:rFonts w:eastAsia="Calibri"/>
          <w:sz w:val="22"/>
          <w:szCs w:val="22"/>
          <w:lang w:val="lt-LT"/>
        </w:rPr>
        <w:t xml:space="preserve"> trimetoprimas ar kotrimoksazolas, taip pat žinomas kaip trimetoprimas/sulfametoksazolas)</w:t>
      </w:r>
      <w:r w:rsidRPr="00BA0735">
        <w:rPr>
          <w:sz w:val="22"/>
          <w:szCs w:val="22"/>
          <w:lang w:val="lt-LT"/>
        </w:rPr>
        <w:t xml:space="preserve"> ir ypač aldosterono antagonistai ar angiotenzino receptorių blokatoriai, acetilsalicilo rūgštis ≥</w:t>
      </w:r>
      <w:r w:rsidR="00691D21">
        <w:rPr>
          <w:sz w:val="22"/>
          <w:szCs w:val="22"/>
          <w:lang w:val="lt-LT"/>
        </w:rPr>
        <w:t> </w:t>
      </w:r>
      <w:r w:rsidRPr="00BA0735">
        <w:rPr>
          <w:sz w:val="22"/>
          <w:szCs w:val="22"/>
          <w:lang w:val="lt-LT"/>
        </w:rPr>
        <w:t>3 g per parą, COX-2 inhibitoriai ir neselektyvūs NVNU, imunosupresantai, tokie kaip ciklosporinas arba takrolimuzas. Kalio papildų, kalį organizme sulaikančių diuretikų arba druskų pakaitalų, kurių sudėtyje yra kalio, vartojimas gali sukelti reikšmingą kalio koncentracijos serume padidėjimą, ypač pacientams, kurių inkstų funkcija yra sutrikusi. Dėl hiperkalemijos gali pasireikšti sunkios, kartais mirtinos aritmijos. AKF inhibitorių vartojantiems pacientams kalį organizme sulaikančių diuretikų ir angiotenzino receptorių blokatorių bei anksčiau minėtų vaistinių preparatų reikia skirti atsargiai bei reikia stebėti kalio koncentraciją kraujo serume bei inkstų funkciją</w:t>
      </w:r>
      <w:r w:rsidRPr="00BA0735">
        <w:rPr>
          <w:rFonts w:eastAsia="Calibri"/>
          <w:sz w:val="22"/>
          <w:szCs w:val="22"/>
          <w:lang w:val="lt-LT"/>
        </w:rPr>
        <w:t xml:space="preserve"> </w:t>
      </w:r>
      <w:r w:rsidRPr="00BA0735">
        <w:rPr>
          <w:sz w:val="22"/>
          <w:szCs w:val="22"/>
          <w:lang w:val="lt-LT"/>
        </w:rPr>
        <w:t>(žr. 4.5</w:t>
      </w:r>
      <w:r w:rsidR="00691D21">
        <w:rPr>
          <w:sz w:val="22"/>
          <w:szCs w:val="22"/>
          <w:lang w:val="lt-LT"/>
        </w:rPr>
        <w:t> </w:t>
      </w:r>
      <w:r w:rsidRPr="00BA0735">
        <w:rPr>
          <w:sz w:val="22"/>
          <w:szCs w:val="22"/>
          <w:lang w:val="lt-LT"/>
        </w:rPr>
        <w:t>skyrių).</w:t>
      </w:r>
    </w:p>
    <w:p w:rsidR="00E93252" w:rsidRPr="00BA0735" w:rsidRDefault="00E93252" w:rsidP="00E93252">
      <w:pPr>
        <w:widowControl w:val="0"/>
        <w:tabs>
          <w:tab w:val="left" w:pos="567"/>
        </w:tabs>
        <w:rPr>
          <w:sz w:val="22"/>
          <w:szCs w:val="22"/>
          <w:u w:val="single"/>
          <w:lang w:val="lt-LT"/>
        </w:rPr>
      </w:pPr>
    </w:p>
    <w:p w:rsidR="00E93252" w:rsidRPr="00BA0735" w:rsidRDefault="00E93252" w:rsidP="00E93252">
      <w:pPr>
        <w:widowControl w:val="0"/>
        <w:rPr>
          <w:i/>
          <w:sz w:val="22"/>
          <w:szCs w:val="22"/>
          <w:u w:val="single"/>
          <w:lang w:val="lt-LT"/>
        </w:rPr>
      </w:pPr>
      <w:r w:rsidRPr="00BA0735">
        <w:rPr>
          <w:i/>
          <w:sz w:val="22"/>
          <w:szCs w:val="22"/>
          <w:u w:val="single"/>
          <w:lang w:val="lt-LT"/>
        </w:rPr>
        <w:t>Su indapamidu siejamos atsargumo priemonės</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Vandens ir elektrolitų pusiausvyra</w:t>
      </w:r>
    </w:p>
    <w:p w:rsidR="00E93252" w:rsidRPr="00BA0735" w:rsidRDefault="00E93252" w:rsidP="00E93252">
      <w:pPr>
        <w:widowControl w:val="0"/>
        <w:rPr>
          <w:sz w:val="22"/>
          <w:szCs w:val="22"/>
          <w:lang w:val="lt-LT"/>
        </w:rPr>
      </w:pPr>
    </w:p>
    <w:p w:rsidR="00E93252" w:rsidRPr="00526D52" w:rsidRDefault="00E93252" w:rsidP="00E93252">
      <w:pPr>
        <w:widowControl w:val="0"/>
        <w:rPr>
          <w:sz w:val="22"/>
          <w:szCs w:val="22"/>
          <w:u w:val="single"/>
          <w:lang w:val="lt-LT"/>
        </w:rPr>
      </w:pPr>
      <w:r w:rsidRPr="00526D52">
        <w:rPr>
          <w:sz w:val="22"/>
          <w:szCs w:val="22"/>
          <w:u w:val="single"/>
          <w:lang w:val="lt-LT"/>
        </w:rPr>
        <w:t>Natrio koncentracija</w:t>
      </w:r>
    </w:p>
    <w:p w:rsidR="00E93252" w:rsidRPr="00BA0735" w:rsidRDefault="00E93252" w:rsidP="00E93252">
      <w:pPr>
        <w:widowControl w:val="0"/>
        <w:rPr>
          <w:sz w:val="22"/>
          <w:szCs w:val="22"/>
          <w:lang w:val="lt-LT"/>
        </w:rPr>
      </w:pPr>
      <w:r w:rsidRPr="00BA0735">
        <w:rPr>
          <w:sz w:val="22"/>
          <w:szCs w:val="22"/>
          <w:lang w:val="lt-LT"/>
        </w:rPr>
        <w:t>Tai būtina tirti prieš gydymą bei reguliariai jo metu. Visi diuretikai gali sumažinti natrio koncentraciją serume, tokio poveikio pasekmės gali būti sunkios. Iš pradžių simptomų gali ir nebūti, todėl ypač svarbu reguliariai tirti natrio koncentraciją. Senyviems bei ciroze sergantiems pacientams tyrimą būtina kartoti dažniau (žr. 4.8 bei 4.9</w:t>
      </w:r>
      <w:r w:rsidR="00691D21">
        <w:rPr>
          <w:sz w:val="22"/>
          <w:szCs w:val="22"/>
          <w:lang w:val="lt-LT"/>
        </w:rPr>
        <w:t> </w:t>
      </w:r>
      <w:r w:rsidRPr="00BA0735">
        <w:rPr>
          <w:sz w:val="22"/>
          <w:szCs w:val="22"/>
          <w:lang w:val="lt-LT"/>
        </w:rPr>
        <w:t>skyrius).</w:t>
      </w:r>
    </w:p>
    <w:p w:rsidR="00E93252" w:rsidRPr="00BA0735" w:rsidRDefault="00E93252" w:rsidP="00E93252">
      <w:pPr>
        <w:widowControl w:val="0"/>
        <w:rPr>
          <w:sz w:val="22"/>
          <w:szCs w:val="22"/>
          <w:lang w:val="lt-LT"/>
        </w:rPr>
      </w:pPr>
      <w:r w:rsidRPr="00BA0735">
        <w:rPr>
          <w:sz w:val="22"/>
          <w:szCs w:val="22"/>
          <w:lang w:val="lt-LT"/>
        </w:rPr>
        <w:t>Hiponatremija su hipovolemija gali sukelti dehidrataciją ir ortostatinę hipotenziją. Kartu prarandant chlorido jonus gali atsirasti antrinė kompensacinė metabolinė alkalozė: šio poveikio dažnis ir laipsnis yra nedideli.</w:t>
      </w:r>
    </w:p>
    <w:p w:rsidR="00E93252" w:rsidRPr="00BA0735" w:rsidRDefault="00E93252" w:rsidP="00E93252">
      <w:pPr>
        <w:widowControl w:val="0"/>
        <w:rPr>
          <w:sz w:val="22"/>
          <w:szCs w:val="22"/>
          <w:lang w:val="lt-LT"/>
        </w:rPr>
      </w:pPr>
    </w:p>
    <w:p w:rsidR="00E93252" w:rsidRPr="00526D52" w:rsidRDefault="00E93252" w:rsidP="00E93252">
      <w:pPr>
        <w:widowControl w:val="0"/>
        <w:rPr>
          <w:sz w:val="22"/>
          <w:szCs w:val="22"/>
          <w:u w:val="single"/>
          <w:lang w:val="lt-LT"/>
        </w:rPr>
      </w:pPr>
      <w:r w:rsidRPr="00526D52">
        <w:rPr>
          <w:sz w:val="22"/>
          <w:szCs w:val="22"/>
          <w:u w:val="single"/>
          <w:lang w:val="lt-LT"/>
        </w:rPr>
        <w:t>Kalio koncentracija</w:t>
      </w:r>
    </w:p>
    <w:p w:rsidR="00E93252" w:rsidRPr="00BA0735" w:rsidRDefault="00E93252" w:rsidP="00E93252">
      <w:pPr>
        <w:widowControl w:val="0"/>
        <w:rPr>
          <w:sz w:val="22"/>
          <w:szCs w:val="22"/>
          <w:lang w:val="lt-LT"/>
        </w:rPr>
      </w:pPr>
      <w:r w:rsidRPr="00BA0735">
        <w:rPr>
          <w:sz w:val="22"/>
          <w:szCs w:val="22"/>
          <w:lang w:val="lt-LT"/>
        </w:rPr>
        <w:t xml:space="preserve">Svarbiausia rizika, susijusi su tiazidų ir į juos panašių diuretikų vartojimu, yra kalio kiekio organizme mažėjimas, sukeliantis hipokalemiją. </w:t>
      </w:r>
      <w:r w:rsidR="0057227F" w:rsidRPr="0057227F">
        <w:rPr>
          <w:sz w:val="22"/>
          <w:szCs w:val="22"/>
          <w:lang w:val="lt-LT"/>
        </w:rPr>
        <w:t xml:space="preserve">Hipokalemija gali sukelti raumenų sutrikimus. </w:t>
      </w:r>
      <w:r w:rsidR="0057227F">
        <w:rPr>
          <w:sz w:val="22"/>
          <w:szCs w:val="22"/>
          <w:lang w:val="lt-LT"/>
        </w:rPr>
        <w:t xml:space="preserve">Gauta </w:t>
      </w:r>
      <w:r w:rsidR="0057227F" w:rsidRPr="0057227F">
        <w:rPr>
          <w:sz w:val="22"/>
          <w:szCs w:val="22"/>
          <w:lang w:val="lt-LT"/>
        </w:rPr>
        <w:t>praneš</w:t>
      </w:r>
      <w:r w:rsidR="0057227F">
        <w:rPr>
          <w:sz w:val="22"/>
          <w:szCs w:val="22"/>
          <w:lang w:val="lt-LT"/>
        </w:rPr>
        <w:t>imų</w:t>
      </w:r>
      <w:r w:rsidR="0057227F" w:rsidRPr="0057227F">
        <w:rPr>
          <w:sz w:val="22"/>
          <w:szCs w:val="22"/>
          <w:lang w:val="lt-LT"/>
        </w:rPr>
        <w:t xml:space="preserve"> apie rabdomiolizės atvejus, daugiaus</w:t>
      </w:r>
      <w:r w:rsidR="0057227F">
        <w:rPr>
          <w:sz w:val="22"/>
          <w:szCs w:val="22"/>
          <w:lang w:val="lt-LT"/>
        </w:rPr>
        <w:t>ia sunkios hipokalemijos atveju</w:t>
      </w:r>
      <w:r w:rsidR="0057227F" w:rsidRPr="0057227F">
        <w:rPr>
          <w:sz w:val="22"/>
          <w:szCs w:val="22"/>
          <w:lang w:val="lt-LT"/>
        </w:rPr>
        <w:t>.</w:t>
      </w:r>
      <w:r w:rsidR="0057227F">
        <w:rPr>
          <w:sz w:val="22"/>
          <w:szCs w:val="22"/>
          <w:lang w:val="lt-LT"/>
        </w:rPr>
        <w:t xml:space="preserve"> </w:t>
      </w:r>
      <w:r w:rsidRPr="00BA0735">
        <w:rPr>
          <w:sz w:val="22"/>
          <w:szCs w:val="22"/>
          <w:lang w:val="lt-LT"/>
        </w:rPr>
        <w:t>Nuo jos (kalio koncentracija &lt;</w:t>
      </w:r>
      <w:r w:rsidR="00691D21">
        <w:rPr>
          <w:sz w:val="22"/>
          <w:szCs w:val="22"/>
          <w:lang w:val="lt-LT"/>
        </w:rPr>
        <w:t> </w:t>
      </w:r>
      <w:r w:rsidRPr="00BA0735">
        <w:rPr>
          <w:sz w:val="22"/>
          <w:szCs w:val="22"/>
          <w:lang w:val="lt-LT"/>
        </w:rPr>
        <w:t xml:space="preserve">3,4 mmol/l) būtina saugoti didelės rizikos grupių ligonius </w:t>
      </w:r>
      <w:r w:rsidRPr="00BA0735">
        <w:rPr>
          <w:color w:val="000000"/>
          <w:sz w:val="22"/>
          <w:szCs w:val="22"/>
          <w:lang w:val="lt-LT"/>
        </w:rPr>
        <w:t xml:space="preserve">(nepaisant to, ar jie vartoja vieno, ar kelių </w:t>
      </w:r>
      <w:r w:rsidRPr="00BA0735">
        <w:rPr>
          <w:color w:val="000000"/>
          <w:sz w:val="22"/>
          <w:szCs w:val="22"/>
          <w:lang w:val="lt-LT"/>
        </w:rPr>
        <w:lastRenderedPageBreak/>
        <w:t>preparatų)</w:t>
      </w:r>
      <w:r w:rsidRPr="00BA0735">
        <w:rPr>
          <w:sz w:val="22"/>
          <w:szCs w:val="22"/>
          <w:lang w:val="lt-LT"/>
        </w:rPr>
        <w:t>: senyvus ir (arba) prastai besimaitinančius žmones, pacientus, sergančius kepenų ciroze su edema ir ascitu, vainikinės kraujotakos sutrikimu ar širdies nepakankamumu.</w:t>
      </w:r>
    </w:p>
    <w:p w:rsidR="00E93252" w:rsidRPr="00BA0735" w:rsidRDefault="00E93252" w:rsidP="00E93252">
      <w:pPr>
        <w:widowControl w:val="0"/>
        <w:rPr>
          <w:sz w:val="22"/>
          <w:szCs w:val="22"/>
          <w:lang w:val="lt-LT"/>
        </w:rPr>
      </w:pPr>
      <w:r w:rsidRPr="00BA0735">
        <w:rPr>
          <w:sz w:val="22"/>
          <w:szCs w:val="22"/>
          <w:lang w:val="lt-LT"/>
        </w:rPr>
        <w:t>Tokiems pacientams hipokalemija stiprina toksinį širdį veikiančių glikozidų poveikį bei didina širdies ritmo sutrikimo riziką.</w:t>
      </w:r>
    </w:p>
    <w:p w:rsidR="00E93252" w:rsidRPr="00BA0735" w:rsidRDefault="00E93252" w:rsidP="00E93252">
      <w:pPr>
        <w:widowControl w:val="0"/>
        <w:rPr>
          <w:sz w:val="22"/>
          <w:szCs w:val="22"/>
          <w:lang w:val="lt-LT"/>
        </w:rPr>
      </w:pPr>
    </w:p>
    <w:p w:rsidR="00E93252" w:rsidRPr="00526D52" w:rsidRDefault="00E93252" w:rsidP="00E93252">
      <w:pPr>
        <w:widowControl w:val="0"/>
        <w:rPr>
          <w:sz w:val="22"/>
          <w:szCs w:val="22"/>
          <w:u w:val="single"/>
          <w:lang w:val="lt-LT"/>
        </w:rPr>
      </w:pPr>
      <w:r w:rsidRPr="00526D52">
        <w:rPr>
          <w:sz w:val="22"/>
          <w:szCs w:val="22"/>
          <w:u w:val="single"/>
          <w:lang w:val="lt-LT"/>
        </w:rPr>
        <w:t>QT intervalo pailgėjimas</w:t>
      </w:r>
    </w:p>
    <w:p w:rsidR="00E93252" w:rsidRPr="00BA0735" w:rsidRDefault="00E93252" w:rsidP="00E93252">
      <w:pPr>
        <w:widowControl w:val="0"/>
        <w:rPr>
          <w:sz w:val="22"/>
          <w:szCs w:val="22"/>
          <w:lang w:val="lt-LT"/>
        </w:rPr>
      </w:pPr>
      <w:r w:rsidRPr="00BA0735">
        <w:rPr>
          <w:sz w:val="22"/>
          <w:szCs w:val="22"/>
          <w:lang w:val="lt-LT"/>
        </w:rPr>
        <w:t xml:space="preserve">Ligoniai, kurių QT intervalas pailgėjęs (nepriklausomai nuo to, ar tai įgimtas, ar jatrogeninis sutrikimas), irgi priklauso rizikos grupei. Hipokalemija bei bradikardija yra sunkios mirtį sukelti galinčios aritmijos, ypač </w:t>
      </w:r>
      <w:r w:rsidRPr="00BA0735">
        <w:rPr>
          <w:i/>
          <w:sz w:val="22"/>
          <w:szCs w:val="22"/>
          <w:lang w:val="lt-LT"/>
        </w:rPr>
        <w:t>torsades de pointes</w:t>
      </w:r>
      <w:r w:rsidRPr="00BA0735">
        <w:rPr>
          <w:sz w:val="22"/>
          <w:szCs w:val="22"/>
          <w:lang w:val="lt-LT"/>
        </w:rPr>
        <w:t xml:space="preserve"> aritmijos, atsiradimą skatinantys veiksniai.</w:t>
      </w:r>
    </w:p>
    <w:p w:rsidR="0057227F" w:rsidRPr="00631180" w:rsidRDefault="00E93252" w:rsidP="0057227F">
      <w:pPr>
        <w:widowControl w:val="0"/>
        <w:rPr>
          <w:sz w:val="22"/>
          <w:szCs w:val="22"/>
          <w:lang w:val="lt-LT"/>
        </w:rPr>
      </w:pPr>
      <w:r w:rsidRPr="00BA0735">
        <w:rPr>
          <w:sz w:val="22"/>
          <w:szCs w:val="22"/>
          <w:lang w:val="lt-LT"/>
        </w:rPr>
        <w:t>Visais atvejais reikia dažniau matuoti kalio koncentraciją plazmoje. Pirmąjį tyrimą būtina atlikti pirmą gydymo savaitę. Diagnozavus hipokalemiją, ją būtina koreguoti.</w:t>
      </w:r>
      <w:r w:rsidR="0057227F">
        <w:rPr>
          <w:sz w:val="22"/>
          <w:szCs w:val="22"/>
          <w:lang w:val="lt-LT"/>
        </w:rPr>
        <w:t xml:space="preserve"> </w:t>
      </w:r>
      <w:r w:rsidR="0057227F" w:rsidRPr="00631180">
        <w:rPr>
          <w:sz w:val="22"/>
          <w:szCs w:val="22"/>
          <w:lang w:val="lt-LT"/>
        </w:rPr>
        <w:t>Hipokalemija, išmatuota kartu su maža magnio koncentracija serume, gali būti atspari gydymui, nebent magnio koncentracija serume yra koreguota.</w:t>
      </w:r>
    </w:p>
    <w:p w:rsidR="0057227F" w:rsidRPr="00631180" w:rsidRDefault="0057227F" w:rsidP="0057227F">
      <w:pPr>
        <w:widowControl w:val="0"/>
        <w:rPr>
          <w:sz w:val="22"/>
          <w:szCs w:val="22"/>
          <w:lang w:val="lt-LT"/>
        </w:rPr>
      </w:pPr>
    </w:p>
    <w:p w:rsidR="0057227F" w:rsidRPr="00631180" w:rsidRDefault="0057227F" w:rsidP="0057227F">
      <w:pPr>
        <w:widowControl w:val="0"/>
        <w:rPr>
          <w:sz w:val="22"/>
          <w:szCs w:val="22"/>
          <w:u w:val="single"/>
          <w:lang w:val="lt-LT"/>
        </w:rPr>
      </w:pPr>
      <w:r w:rsidRPr="00631180">
        <w:rPr>
          <w:sz w:val="22"/>
          <w:szCs w:val="22"/>
          <w:u w:val="single"/>
          <w:lang w:val="lt-LT"/>
        </w:rPr>
        <w:t>Magnio koncentracija plazmoje</w:t>
      </w:r>
    </w:p>
    <w:p w:rsidR="00E93252" w:rsidRPr="00BA0735" w:rsidRDefault="0057227F" w:rsidP="0057227F">
      <w:pPr>
        <w:widowControl w:val="0"/>
        <w:rPr>
          <w:sz w:val="22"/>
          <w:szCs w:val="22"/>
          <w:lang w:val="lt-LT"/>
        </w:rPr>
      </w:pPr>
      <w:r w:rsidRPr="00631180">
        <w:rPr>
          <w:sz w:val="22"/>
          <w:szCs w:val="22"/>
          <w:lang w:val="lt-LT"/>
        </w:rPr>
        <w:t>Įrodyta, kad tiazidiniai ir panašiai kaip jie veikiantys diuretikai, įskaitant indapamidą, didina</w:t>
      </w:r>
      <w:r w:rsidR="00631180" w:rsidRPr="00631180">
        <w:rPr>
          <w:sz w:val="22"/>
          <w:szCs w:val="22"/>
          <w:lang w:val="lt-LT"/>
        </w:rPr>
        <w:t xml:space="preserve"> </w:t>
      </w:r>
      <w:r w:rsidRPr="00631180">
        <w:rPr>
          <w:sz w:val="22"/>
          <w:szCs w:val="22"/>
          <w:lang w:val="lt-LT"/>
        </w:rPr>
        <w:t>magnio šalinimą su šlapimu, todėl gali sukelti hipomagnezemiją (žr. 4.5 ir 4.8</w:t>
      </w:r>
      <w:r w:rsidR="00691D21">
        <w:rPr>
          <w:sz w:val="22"/>
          <w:szCs w:val="22"/>
          <w:lang w:val="lt-LT"/>
        </w:rPr>
        <w:t> </w:t>
      </w:r>
      <w:r w:rsidRPr="00631180">
        <w:rPr>
          <w:sz w:val="22"/>
          <w:szCs w:val="22"/>
          <w:lang w:val="lt-LT"/>
        </w:rPr>
        <w:t>skyrius).</w:t>
      </w:r>
    </w:p>
    <w:p w:rsidR="00E93252" w:rsidRPr="00BA0735" w:rsidRDefault="00E93252" w:rsidP="00E93252">
      <w:pPr>
        <w:widowControl w:val="0"/>
        <w:rPr>
          <w:sz w:val="22"/>
          <w:szCs w:val="22"/>
          <w:lang w:val="lt-LT"/>
        </w:rPr>
      </w:pPr>
    </w:p>
    <w:p w:rsidR="00E93252" w:rsidRPr="00526D52" w:rsidRDefault="00E93252" w:rsidP="00E93252">
      <w:pPr>
        <w:widowControl w:val="0"/>
        <w:rPr>
          <w:sz w:val="22"/>
          <w:szCs w:val="22"/>
          <w:u w:val="single"/>
          <w:lang w:val="lt-LT"/>
        </w:rPr>
      </w:pPr>
      <w:r w:rsidRPr="00526D52">
        <w:rPr>
          <w:sz w:val="22"/>
          <w:szCs w:val="22"/>
          <w:u w:val="single"/>
          <w:lang w:val="lt-LT"/>
        </w:rPr>
        <w:t>Kalcio koncentracija</w:t>
      </w:r>
    </w:p>
    <w:p w:rsidR="00E93252" w:rsidRPr="00BA0735" w:rsidRDefault="00E93252" w:rsidP="00E93252">
      <w:pPr>
        <w:widowControl w:val="0"/>
        <w:rPr>
          <w:sz w:val="22"/>
          <w:szCs w:val="22"/>
          <w:lang w:val="lt-LT"/>
        </w:rPr>
      </w:pPr>
      <w:r w:rsidRPr="00BA0735">
        <w:rPr>
          <w:sz w:val="22"/>
          <w:szCs w:val="22"/>
          <w:lang w:val="lt-LT"/>
        </w:rPr>
        <w:t>Tiazidiniai ir į juos panašūs diuretikai gali mažinti kalcio išsiskyrimą su šlapimu ir laikinai šiek tiek padidinti kalcio koncentraciją plazmoje. Jeigu ji padidėja labai, tai gali būti nediagnozuotos hiperparatirozės požymis. Tokiu atveju prieš prieskydinių liaukų funkcijos tyrimą indapamido vartojimą reikia nutraukti.</w:t>
      </w:r>
    </w:p>
    <w:p w:rsidR="00E93252" w:rsidRPr="00BA0735" w:rsidRDefault="00E93252" w:rsidP="00E93252">
      <w:pPr>
        <w:widowControl w:val="0"/>
        <w:rPr>
          <w:sz w:val="22"/>
          <w:szCs w:val="22"/>
          <w:lang w:val="lt-LT"/>
        </w:rPr>
      </w:pPr>
    </w:p>
    <w:p w:rsidR="00E93252" w:rsidRPr="00526D52" w:rsidRDefault="00E93252" w:rsidP="00E93252">
      <w:pPr>
        <w:widowControl w:val="0"/>
        <w:rPr>
          <w:sz w:val="22"/>
          <w:szCs w:val="22"/>
          <w:u w:val="single"/>
          <w:lang w:val="lt-LT"/>
        </w:rPr>
      </w:pPr>
      <w:r w:rsidRPr="00526D52">
        <w:rPr>
          <w:sz w:val="22"/>
          <w:szCs w:val="22"/>
          <w:u w:val="single"/>
          <w:lang w:val="lt-LT"/>
        </w:rPr>
        <w:t>Gliukozės koncentracija kraujyje:</w:t>
      </w:r>
    </w:p>
    <w:p w:rsidR="00E93252" w:rsidRPr="00BA0735" w:rsidRDefault="00E93252" w:rsidP="00E93252">
      <w:pPr>
        <w:widowControl w:val="0"/>
        <w:rPr>
          <w:sz w:val="22"/>
          <w:szCs w:val="22"/>
          <w:lang w:val="lt-LT"/>
        </w:rPr>
      </w:pPr>
      <w:r w:rsidRPr="00BA0735">
        <w:rPr>
          <w:sz w:val="22"/>
          <w:szCs w:val="22"/>
          <w:lang w:val="lt-LT"/>
        </w:rPr>
        <w:t>Būtina stebėti cukriniu diabetu sergančių pacientų gliukozės koncentraciją kraujyje, ypač jei kalio koncentracija kraujyje yra maža.</w:t>
      </w:r>
    </w:p>
    <w:p w:rsidR="00E93252" w:rsidRPr="00BA0735" w:rsidRDefault="00E93252" w:rsidP="00E93252">
      <w:pPr>
        <w:widowControl w:val="0"/>
        <w:rPr>
          <w:sz w:val="22"/>
          <w:szCs w:val="22"/>
          <w:lang w:val="lt-LT"/>
        </w:rPr>
      </w:pPr>
    </w:p>
    <w:p w:rsidR="00E93252" w:rsidRPr="00526D52" w:rsidRDefault="00E93252" w:rsidP="00E93252">
      <w:pPr>
        <w:widowControl w:val="0"/>
        <w:rPr>
          <w:sz w:val="22"/>
          <w:szCs w:val="22"/>
          <w:u w:val="single"/>
          <w:lang w:val="lt-LT"/>
        </w:rPr>
      </w:pPr>
      <w:r w:rsidRPr="00526D52">
        <w:rPr>
          <w:sz w:val="22"/>
          <w:szCs w:val="22"/>
          <w:u w:val="single"/>
          <w:lang w:val="lt-LT"/>
        </w:rPr>
        <w:t>Šlapimo rūgštis</w:t>
      </w:r>
    </w:p>
    <w:p w:rsidR="00E93252" w:rsidRPr="00BA0735" w:rsidRDefault="00E93252" w:rsidP="00E93252">
      <w:pPr>
        <w:widowControl w:val="0"/>
        <w:rPr>
          <w:sz w:val="22"/>
          <w:szCs w:val="22"/>
          <w:lang w:val="lt-LT"/>
        </w:rPr>
      </w:pPr>
      <w:r w:rsidRPr="00BA0735">
        <w:rPr>
          <w:sz w:val="22"/>
          <w:szCs w:val="22"/>
          <w:lang w:val="lt-LT"/>
        </w:rPr>
        <w:t>Polinkis į podagros priepuolius gali padidėti jeigu yra hiperurikemija.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i/>
          <w:sz w:val="22"/>
          <w:szCs w:val="22"/>
          <w:lang w:val="lt-LT"/>
        </w:rPr>
        <w:t>Inkstų funkcija bei diuretikai</w:t>
      </w:r>
    </w:p>
    <w:p w:rsidR="00E93252" w:rsidRPr="00BA0735" w:rsidRDefault="00E93252" w:rsidP="00E93252">
      <w:pPr>
        <w:widowControl w:val="0"/>
        <w:rPr>
          <w:sz w:val="22"/>
          <w:szCs w:val="22"/>
          <w:lang w:val="lt-LT"/>
        </w:rPr>
      </w:pPr>
      <w:r w:rsidRPr="00BA0735">
        <w:rPr>
          <w:sz w:val="22"/>
          <w:szCs w:val="22"/>
          <w:lang w:val="lt-LT"/>
        </w:rPr>
        <w:t>Visavertis tiazidinių ir į juos panašių diuretikų poveikis pasireiškia tik tada, jeigu inkstų funkcija yra normali arba tik šiek tiek sutrikusi (kreatinino koncentracija suaugusių žmonių plazmoje mažesnė kaip maždaug 25 mg/l, t. y. &lt;220 mikromolių/l).</w:t>
      </w:r>
    </w:p>
    <w:p w:rsidR="00E93252" w:rsidRPr="00BA0735" w:rsidRDefault="00E93252" w:rsidP="00E93252">
      <w:pPr>
        <w:widowControl w:val="0"/>
        <w:rPr>
          <w:sz w:val="22"/>
          <w:szCs w:val="22"/>
          <w:lang w:val="lt-LT"/>
        </w:rPr>
      </w:pPr>
      <w:r w:rsidRPr="00BA0735">
        <w:rPr>
          <w:sz w:val="22"/>
          <w:szCs w:val="22"/>
          <w:lang w:val="lt-LT"/>
        </w:rPr>
        <w:t xml:space="preserve">Senyviems žmonėms kreatinino koncentraciją plazmoje būtina perskaičiuoti atsižvelgiant į amžių, kūno svorį ir lytį. Naudojama </w:t>
      </w:r>
      <w:r w:rsidRPr="00BA0735">
        <w:rPr>
          <w:i/>
          <w:sz w:val="22"/>
          <w:szCs w:val="22"/>
          <w:lang w:val="lt-LT"/>
        </w:rPr>
        <w:t>Cockroft</w:t>
      </w:r>
      <w:r w:rsidRPr="00BA0735">
        <w:rPr>
          <w:sz w:val="22"/>
          <w:szCs w:val="22"/>
          <w:lang w:val="lt-LT"/>
        </w:rPr>
        <w:t xml:space="preserve"> formulė:</w:t>
      </w:r>
    </w:p>
    <w:p w:rsidR="00E93252" w:rsidRPr="00BA0735" w:rsidRDefault="00E93252" w:rsidP="00E93252">
      <w:pPr>
        <w:widowControl w:val="0"/>
        <w:rPr>
          <w:sz w:val="22"/>
          <w:szCs w:val="22"/>
          <w:lang w:val="lt-LT"/>
        </w:rPr>
      </w:pPr>
      <w:r w:rsidRPr="00BA0735">
        <w:rPr>
          <w:sz w:val="22"/>
          <w:szCs w:val="22"/>
          <w:lang w:val="lt-LT"/>
        </w:rPr>
        <w:t>Cl</w:t>
      </w:r>
      <w:r w:rsidRPr="00BA0735">
        <w:rPr>
          <w:sz w:val="22"/>
          <w:szCs w:val="22"/>
          <w:vertAlign w:val="subscript"/>
          <w:lang w:val="lt-LT"/>
        </w:rPr>
        <w:t>cr</w:t>
      </w:r>
      <w:r w:rsidRPr="00BA0735">
        <w:rPr>
          <w:sz w:val="22"/>
          <w:szCs w:val="22"/>
          <w:lang w:val="lt-LT"/>
        </w:rPr>
        <w:t xml:space="preserve"> = (140 − amžius) x kūno svoris /0,814 x kreatinino koncentracija plazmoje</w:t>
      </w:r>
    </w:p>
    <w:p w:rsidR="00E93252" w:rsidRPr="00BA0735" w:rsidRDefault="00E93252" w:rsidP="00E93252">
      <w:pPr>
        <w:widowControl w:val="0"/>
        <w:rPr>
          <w:sz w:val="22"/>
          <w:szCs w:val="22"/>
          <w:lang w:val="lt-LT"/>
        </w:rPr>
      </w:pPr>
      <w:r w:rsidRPr="00BA0735">
        <w:rPr>
          <w:sz w:val="22"/>
          <w:szCs w:val="22"/>
          <w:lang w:val="lt-LT"/>
        </w:rPr>
        <w:t>kur</w:t>
      </w:r>
      <w:r w:rsidRPr="00BA0735">
        <w:rPr>
          <w:sz w:val="22"/>
          <w:szCs w:val="22"/>
          <w:lang w:val="lt-LT" w:eastAsia="en-US"/>
        </w:rPr>
        <w:t>:</w:t>
      </w:r>
      <w:r w:rsidRPr="00BA0735" w:rsidDel="00C42AA8">
        <w:rPr>
          <w:sz w:val="22"/>
          <w:szCs w:val="22"/>
          <w:lang w:val="lt-LT" w:eastAsia="en-US"/>
        </w:rPr>
        <w:t xml:space="preserve"> </w:t>
      </w:r>
      <w:r w:rsidRPr="00BA0735">
        <w:rPr>
          <w:sz w:val="22"/>
          <w:szCs w:val="22"/>
          <w:lang w:val="lt-LT" w:eastAsia="en-US"/>
        </w:rPr>
        <w:tab/>
      </w:r>
      <w:r w:rsidRPr="00BA0735">
        <w:rPr>
          <w:sz w:val="22"/>
          <w:szCs w:val="22"/>
          <w:lang w:val="lt-LT"/>
        </w:rPr>
        <w:t xml:space="preserve"> amžius metais,</w:t>
      </w:r>
    </w:p>
    <w:p w:rsidR="00E93252" w:rsidRPr="00BA0735" w:rsidRDefault="00E93252" w:rsidP="00E93252">
      <w:pPr>
        <w:widowControl w:val="0"/>
        <w:ind w:firstLine="720"/>
        <w:rPr>
          <w:sz w:val="22"/>
          <w:szCs w:val="22"/>
          <w:lang w:val="lt-LT"/>
        </w:rPr>
      </w:pPr>
      <w:r w:rsidRPr="00BA0735">
        <w:rPr>
          <w:sz w:val="22"/>
          <w:szCs w:val="22"/>
          <w:lang w:val="lt-LT"/>
        </w:rPr>
        <w:t>kūno svoris kg,</w:t>
      </w:r>
    </w:p>
    <w:p w:rsidR="00E93252" w:rsidRPr="00BA0735" w:rsidRDefault="00E93252" w:rsidP="00E93252">
      <w:pPr>
        <w:widowControl w:val="0"/>
        <w:ind w:firstLine="720"/>
        <w:rPr>
          <w:sz w:val="22"/>
          <w:szCs w:val="22"/>
          <w:lang w:val="lt-LT"/>
        </w:rPr>
      </w:pPr>
      <w:r w:rsidRPr="00BA0735">
        <w:rPr>
          <w:sz w:val="22"/>
          <w:szCs w:val="22"/>
          <w:lang w:val="lt-LT"/>
        </w:rPr>
        <w:t>kreatinino koncentracija plazmoje mikromoliais/l).</w:t>
      </w:r>
    </w:p>
    <w:p w:rsidR="00E93252" w:rsidRPr="00BA0735" w:rsidRDefault="00E93252" w:rsidP="00E93252">
      <w:pPr>
        <w:widowControl w:val="0"/>
        <w:ind w:firstLine="72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Ši formulė tinka senyviems vyrams, moterims ją galima pritaikyti gautą rezultatą padauginus iš 0,85.</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Gydymo pradžioje diuretikų sukelta hipovolemija, atsirandanti dėl padidėjusio natrio ir vandens netekimo, sumažina glomerulų filtraciją. Dėl to padidėja šlapalo bei kreatinino koncentracija kraujyje. Jeigu inkstų funkcija normali, toks laikinas funkcinis inkstų nepakankamumas nepageidaujamų pasekmių nesukelia, tačiau jei inkstų nepakankamumas jau buvo, jis gali pasunkėti.</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Sportininkai</w:t>
      </w:r>
    </w:p>
    <w:p w:rsidR="00E93252" w:rsidRPr="00BA0735" w:rsidRDefault="00E93252" w:rsidP="00E93252">
      <w:pPr>
        <w:widowControl w:val="0"/>
        <w:rPr>
          <w:sz w:val="22"/>
          <w:szCs w:val="22"/>
          <w:lang w:val="lt-LT"/>
        </w:rPr>
      </w:pPr>
      <w:r w:rsidRPr="00BA0735">
        <w:rPr>
          <w:sz w:val="22"/>
          <w:szCs w:val="22"/>
          <w:lang w:val="lt-LT"/>
        </w:rPr>
        <w:t>Sportininkams reikia atkreipti dėmesį, kad šiame produkte esanti veiklioji medžiaga gali lemti teigiamą dopingo testo rezultatą.</w:t>
      </w:r>
    </w:p>
    <w:p w:rsidR="00E93252" w:rsidRPr="00BA0735" w:rsidRDefault="00E93252" w:rsidP="00E93252">
      <w:pPr>
        <w:widowControl w:val="0"/>
        <w:rPr>
          <w:sz w:val="22"/>
          <w:szCs w:val="22"/>
          <w:lang w:val="lt-LT"/>
        </w:rPr>
      </w:pPr>
    </w:p>
    <w:p w:rsidR="00E93252" w:rsidRPr="00BA0735" w:rsidRDefault="00E93252" w:rsidP="00E93252">
      <w:pPr>
        <w:widowControl w:val="0"/>
        <w:spacing w:line="259" w:lineRule="auto"/>
        <w:rPr>
          <w:rFonts w:eastAsia="Calibri"/>
          <w:sz w:val="22"/>
          <w:szCs w:val="22"/>
          <w:lang w:val="lt-LT" w:eastAsia="en-US"/>
        </w:rPr>
      </w:pPr>
      <w:r w:rsidRPr="00BA0735">
        <w:rPr>
          <w:rFonts w:eastAsia="Calibri"/>
          <w:i/>
          <w:sz w:val="22"/>
          <w:szCs w:val="22"/>
          <w:lang w:val="lt-LT" w:eastAsia="en-US"/>
        </w:rPr>
        <w:t>Skysčio susikaupimas tarp akies gyslainės ir skleros, ūminė miopija ir antrinė uždaro kampo glaukoma</w:t>
      </w:r>
    </w:p>
    <w:p w:rsidR="00E93252" w:rsidRPr="00BA0735" w:rsidRDefault="00E93252" w:rsidP="00E93252">
      <w:pPr>
        <w:tabs>
          <w:tab w:val="left" w:pos="0"/>
          <w:tab w:val="left" w:pos="284"/>
          <w:tab w:val="left" w:pos="709"/>
        </w:tabs>
        <w:spacing w:line="259" w:lineRule="auto"/>
        <w:rPr>
          <w:rFonts w:eastAsia="Calibri"/>
          <w:sz w:val="22"/>
          <w:szCs w:val="22"/>
          <w:lang w:val="lt-LT" w:eastAsia="en-US"/>
        </w:rPr>
      </w:pPr>
      <w:r w:rsidRPr="00BA0735">
        <w:rPr>
          <w:rFonts w:eastAsia="Calibri"/>
          <w:sz w:val="22"/>
          <w:szCs w:val="22"/>
          <w:lang w:val="lt-LT" w:eastAsia="en-US"/>
        </w:rPr>
        <w:lastRenderedPageBreak/>
        <w:t xml:space="preserve">Sulfonamidai arba sulfonamidų dariniai gali sukelti idosinkrazinę reakciją, dėl kurios pasireiškia </w:t>
      </w:r>
      <w:r w:rsidRPr="00BA0735">
        <w:rPr>
          <w:lang w:val="lt-LT"/>
        </w:rPr>
        <w:t xml:space="preserve">skysčio susikaupimas tarp akies gyslainės ir </w:t>
      </w:r>
      <w:r w:rsidRPr="00BA0735">
        <w:rPr>
          <w:sz w:val="22"/>
          <w:szCs w:val="22"/>
          <w:lang w:val="lt-LT"/>
        </w:rPr>
        <w:t xml:space="preserve">skleros su regėjimo lauko defektu, </w:t>
      </w:r>
      <w:r w:rsidRPr="00BA0735">
        <w:rPr>
          <w:rFonts w:eastAsia="Calibri"/>
          <w:sz w:val="22"/>
          <w:szCs w:val="22"/>
          <w:lang w:val="lt-LT" w:eastAsia="en-US"/>
        </w:rPr>
        <w:t xml:space="preserve">praeinanti miopija ir ūminė uždaro kampo glaukoma. </w:t>
      </w:r>
      <w:r w:rsidRPr="00BA0735">
        <w:rPr>
          <w:sz w:val="22"/>
          <w:szCs w:val="22"/>
          <w:lang w:val="lt-LT"/>
        </w:rPr>
        <w:t xml:space="preserve">Jos simptomai buvo staiga sumažėjęs regos aštrumas ar akies skausmas, kurie paprastai atsirasdavo po kelių valandų ar savaičių nuo vaisto vartojimo pradžios. </w:t>
      </w:r>
      <w:r w:rsidRPr="00BA0735">
        <w:rPr>
          <w:rFonts w:eastAsia="Calibri"/>
          <w:sz w:val="22"/>
          <w:szCs w:val="22"/>
          <w:lang w:val="lt-LT" w:eastAsia="en-US"/>
        </w:rPr>
        <w:t>Negydant ūminės uždaro kampo glaukomos,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25" w:name="_Toc129243106"/>
      <w:bookmarkStart w:id="26" w:name="_Toc129243231"/>
      <w:r w:rsidRPr="00BA0735">
        <w:rPr>
          <w:b/>
          <w:kern w:val="28"/>
          <w:sz w:val="22"/>
          <w:szCs w:val="22"/>
          <w:lang w:val="lt-LT"/>
        </w:rPr>
        <w:t>4.5</w:t>
      </w:r>
      <w:r w:rsidRPr="00BA0735">
        <w:rPr>
          <w:b/>
          <w:kern w:val="28"/>
          <w:sz w:val="22"/>
          <w:szCs w:val="22"/>
          <w:lang w:val="lt-LT"/>
        </w:rPr>
        <w:tab/>
        <w:t>Sąveika su kitais vaistiniais preparatais ir kitokia sąveika</w:t>
      </w:r>
      <w:bookmarkEnd w:id="25"/>
      <w:bookmarkEnd w:id="26"/>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Susijusi su perindopriliu bei indapamidu</w:t>
      </w:r>
    </w:p>
    <w:p w:rsidR="00E93252" w:rsidRPr="00BA0735" w:rsidRDefault="00E93252" w:rsidP="00E93252">
      <w:pPr>
        <w:widowControl w:val="0"/>
        <w:rPr>
          <w:b/>
          <w:i/>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Vaistiniai preparatai, kurių kartu vartoti nerekomenduojama</w:t>
      </w:r>
    </w:p>
    <w:p w:rsidR="00E93252" w:rsidRPr="00BA0735" w:rsidRDefault="00E93252" w:rsidP="00E93252">
      <w:pPr>
        <w:widowControl w:val="0"/>
        <w:rPr>
          <w:i/>
          <w:sz w:val="22"/>
          <w:szCs w:val="22"/>
          <w:u w:val="single"/>
          <w:lang w:val="lt-LT"/>
        </w:rPr>
      </w:pPr>
    </w:p>
    <w:p w:rsidR="00E93252" w:rsidRPr="00BA0735" w:rsidRDefault="00E93252" w:rsidP="00E93252">
      <w:pPr>
        <w:widowControl w:val="0"/>
        <w:rPr>
          <w:i/>
          <w:sz w:val="22"/>
          <w:szCs w:val="22"/>
          <w:lang w:val="lt-LT"/>
        </w:rPr>
      </w:pPr>
      <w:r w:rsidRPr="00BA0735">
        <w:rPr>
          <w:i/>
          <w:sz w:val="22"/>
          <w:szCs w:val="22"/>
          <w:lang w:val="lt-LT"/>
        </w:rPr>
        <w:t>Ličio preparatai</w:t>
      </w:r>
    </w:p>
    <w:p w:rsidR="00E93252" w:rsidRPr="00BA0735" w:rsidRDefault="00E93252" w:rsidP="00E93252">
      <w:pPr>
        <w:widowControl w:val="0"/>
        <w:rPr>
          <w:sz w:val="22"/>
          <w:szCs w:val="22"/>
          <w:lang w:val="lt-LT"/>
        </w:rPr>
      </w:pPr>
      <w:r w:rsidRPr="00BA0735">
        <w:rPr>
          <w:sz w:val="22"/>
          <w:szCs w:val="22"/>
          <w:lang w:val="lt-LT"/>
        </w:rPr>
        <w:t>Kartu su AKF inhibitoriais vartojant ličio, kai kuriems pacientams laikinai padidėdavo ličio koncentracija serume ir sustiprėdavo toksinis poveikis. Perindoprilio vartoti kartu su indapamidu ir ličio preparatais nerekomenduojama, tačiau jei gydymas kartu būtinas, reikia atidžiai sekti pastarojo preparato koncentraciją kraujo serume (žr. 4.4</w:t>
      </w:r>
      <w:r w:rsidR="00691D21">
        <w:rPr>
          <w:sz w:val="22"/>
          <w:szCs w:val="22"/>
          <w:lang w:val="lt-LT"/>
        </w:rPr>
        <w:t> </w:t>
      </w:r>
      <w:r w:rsidRPr="00BA0735">
        <w:rPr>
          <w:sz w:val="22"/>
          <w:szCs w:val="22"/>
          <w:lang w:val="lt-LT"/>
        </w:rPr>
        <w:t>skyrių).</w:t>
      </w:r>
    </w:p>
    <w:p w:rsidR="00E93252" w:rsidRPr="00BA0735" w:rsidRDefault="00E93252" w:rsidP="00E93252">
      <w:pPr>
        <w:widowControl w:val="0"/>
        <w:rPr>
          <w:sz w:val="22"/>
          <w:szCs w:val="22"/>
          <w:lang w:val="lt-LT"/>
        </w:rPr>
      </w:pPr>
    </w:p>
    <w:p w:rsidR="00E93252" w:rsidRPr="00526D52" w:rsidRDefault="00E93252" w:rsidP="00E93252">
      <w:pPr>
        <w:widowControl w:val="0"/>
        <w:rPr>
          <w:i/>
          <w:sz w:val="22"/>
          <w:szCs w:val="22"/>
          <w:lang w:val="lt-LT"/>
        </w:rPr>
      </w:pPr>
      <w:bookmarkStart w:id="27" w:name="OLE_LINK1"/>
      <w:bookmarkStart w:id="28" w:name="OLE_LINK2"/>
      <w:r w:rsidRPr="00526D52">
        <w:rPr>
          <w:i/>
          <w:sz w:val="22"/>
          <w:szCs w:val="22"/>
          <w:lang w:val="lt-LT"/>
        </w:rPr>
        <w:t>Vaistiniai preparatai, kurių vartojant kartu būtinas specialus atsargumas</w:t>
      </w:r>
    </w:p>
    <w:bookmarkEnd w:id="27"/>
    <w:bookmarkEnd w:id="28"/>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Baklofenas</w:t>
      </w:r>
    </w:p>
    <w:p w:rsidR="00E93252" w:rsidRPr="00BA0735" w:rsidRDefault="00E93252" w:rsidP="00E93252">
      <w:pPr>
        <w:widowControl w:val="0"/>
        <w:rPr>
          <w:sz w:val="22"/>
          <w:szCs w:val="22"/>
          <w:lang w:val="lt-LT"/>
        </w:rPr>
      </w:pPr>
      <w:r w:rsidRPr="00BA0735">
        <w:rPr>
          <w:sz w:val="22"/>
          <w:szCs w:val="22"/>
          <w:lang w:val="lt-LT"/>
        </w:rPr>
        <w:t xml:space="preserve">Antihipertenzinio poveikio </w:t>
      </w:r>
      <w:r w:rsidR="00CA257B">
        <w:rPr>
          <w:sz w:val="22"/>
          <w:szCs w:val="22"/>
          <w:lang w:val="lt-LT"/>
        </w:rPr>
        <w:t>padidėjimas</w:t>
      </w:r>
      <w:r w:rsidRPr="00BA0735">
        <w:rPr>
          <w:sz w:val="22"/>
          <w:szCs w:val="22"/>
          <w:lang w:val="lt-LT"/>
        </w:rPr>
        <w:t>. Būtina sekti kraujospūdį ir, jei reikia, koreguoti antihipertenzinio preparato dozę.</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u w:val="single"/>
          <w:lang w:val="lt-LT"/>
        </w:rPr>
      </w:pPr>
      <w:r w:rsidRPr="00BA0735">
        <w:rPr>
          <w:i/>
          <w:sz w:val="22"/>
          <w:szCs w:val="22"/>
          <w:lang w:val="lt-LT"/>
        </w:rPr>
        <w:t xml:space="preserve">Nesteroidiniai vaistai nuo uždegimo (įskaitant </w:t>
      </w:r>
      <w:r w:rsidR="00CA257B">
        <w:rPr>
          <w:i/>
          <w:sz w:val="22"/>
          <w:szCs w:val="22"/>
          <w:lang w:val="lt-LT"/>
        </w:rPr>
        <w:t>≥</w:t>
      </w:r>
      <w:r w:rsidR="00691D21">
        <w:rPr>
          <w:sz w:val="22"/>
          <w:szCs w:val="22"/>
          <w:lang w:val="lt-LT"/>
        </w:rPr>
        <w:t> </w:t>
      </w:r>
      <w:r w:rsidR="00CA257B">
        <w:rPr>
          <w:i/>
          <w:sz w:val="22"/>
          <w:szCs w:val="22"/>
          <w:lang w:val="lt-LT"/>
        </w:rPr>
        <w:t>3</w:t>
      </w:r>
      <w:r w:rsidR="00691D21">
        <w:rPr>
          <w:sz w:val="22"/>
          <w:szCs w:val="22"/>
          <w:lang w:val="lt-LT"/>
        </w:rPr>
        <w:t> </w:t>
      </w:r>
      <w:r w:rsidR="00CA257B">
        <w:rPr>
          <w:i/>
          <w:sz w:val="22"/>
          <w:szCs w:val="22"/>
          <w:lang w:val="lt-LT"/>
        </w:rPr>
        <w:t>g/</w:t>
      </w:r>
      <w:r w:rsidR="00C02FB4">
        <w:rPr>
          <w:i/>
          <w:sz w:val="22"/>
          <w:szCs w:val="22"/>
          <w:lang w:val="lt-LT"/>
        </w:rPr>
        <w:t xml:space="preserve">per </w:t>
      </w:r>
      <w:r w:rsidR="00CA257B">
        <w:rPr>
          <w:i/>
          <w:sz w:val="22"/>
          <w:szCs w:val="22"/>
          <w:lang w:val="lt-LT"/>
        </w:rPr>
        <w:t>parą</w:t>
      </w:r>
      <w:r w:rsidRPr="00BA0735">
        <w:rPr>
          <w:i/>
          <w:sz w:val="22"/>
          <w:szCs w:val="22"/>
          <w:lang w:val="lt-LT"/>
        </w:rPr>
        <w:t xml:space="preserve"> acetilsalicilo rūgšties dozes). </w:t>
      </w:r>
      <w:r w:rsidRPr="00BA0735">
        <w:rPr>
          <w:sz w:val="22"/>
          <w:szCs w:val="22"/>
          <w:lang w:val="lt-LT"/>
        </w:rPr>
        <w:t>Kartu su AKF inhibitoriais vartojami nesteroidiniai vaistai nuo uždegimo (t. y. uždegimą slopinančios acetilsalicilo rūgšties dozės, COX-2 inhibitoriai ir neselektyvaus poveikio NVNU) gali mažinti antihipertenzinį poveikį. Jei tuo pat metu vartojama AKF inhibitorių ir NVNU, gali didėti inkstų funkcijos blogėjimo (įskaitant ūminio inkstų funkcijos nepakankamumo atsiradimą) rizika ir didėti kalio koncentracija serume, ypač jei ligonio inkstų funkcija jau yra sutrikusi. Minėtų vaistų kartu būtina vartoti atsargiai, ypač jei pacientas senyvas. Ligonio organizme skysčio kiekis turi būti pakankamas, be to, kombinuoto gydymo pradžioje ir reguliariai jo metu būtina tirti inkstų funkciją.</w:t>
      </w:r>
    </w:p>
    <w:p w:rsidR="00E93252" w:rsidRPr="00BA0735" w:rsidRDefault="00E93252" w:rsidP="00E93252">
      <w:pPr>
        <w:widowControl w:val="0"/>
        <w:rPr>
          <w:i/>
          <w:sz w:val="22"/>
          <w:szCs w:val="22"/>
          <w:u w:val="single"/>
          <w:lang w:val="lt-LT"/>
        </w:rPr>
      </w:pPr>
    </w:p>
    <w:p w:rsidR="00E93252" w:rsidRPr="00526D52" w:rsidRDefault="00E93252" w:rsidP="00E93252">
      <w:pPr>
        <w:widowControl w:val="0"/>
        <w:rPr>
          <w:i/>
          <w:sz w:val="22"/>
          <w:szCs w:val="22"/>
          <w:lang w:val="lt-LT"/>
        </w:rPr>
      </w:pPr>
      <w:r w:rsidRPr="00526D52">
        <w:rPr>
          <w:i/>
          <w:sz w:val="22"/>
          <w:szCs w:val="22"/>
          <w:lang w:val="lt-LT"/>
        </w:rPr>
        <w:t>Vaistiniai preparatai, kurių vartojant kartu reikalingos kai kurios atsargumo priemonės</w:t>
      </w:r>
    </w:p>
    <w:p w:rsidR="00E93252" w:rsidRPr="00BA0735" w:rsidRDefault="00E93252" w:rsidP="00E93252">
      <w:pPr>
        <w:widowControl w:val="0"/>
        <w:rPr>
          <w:i/>
          <w:sz w:val="22"/>
          <w:szCs w:val="22"/>
          <w:lang w:val="lt-LT"/>
        </w:rPr>
      </w:pPr>
    </w:p>
    <w:p w:rsidR="00E93252" w:rsidRPr="00BA0735" w:rsidRDefault="00E93252" w:rsidP="00E93252">
      <w:pPr>
        <w:widowControl w:val="0"/>
        <w:autoSpaceDE w:val="0"/>
        <w:autoSpaceDN w:val="0"/>
        <w:rPr>
          <w:sz w:val="22"/>
          <w:szCs w:val="22"/>
          <w:lang w:val="lt-LT"/>
        </w:rPr>
      </w:pPr>
      <w:r w:rsidRPr="00BA0735">
        <w:rPr>
          <w:i/>
          <w:sz w:val="22"/>
          <w:szCs w:val="22"/>
          <w:lang w:val="lt-LT"/>
        </w:rPr>
        <w:t>Imipramino tipo (tricikliai) antidepresantai, neuroleptikai</w:t>
      </w:r>
      <w:r w:rsidRPr="00BA0735">
        <w:rPr>
          <w:sz w:val="22"/>
          <w:szCs w:val="22"/>
          <w:lang w:val="lt-LT"/>
        </w:rPr>
        <w:t>: Stiprėja antihipertenzinis poveikis, didėja ortostatinės hipotenzijos rizika (poveikis adityvus).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Susijusi su perindopriliu</w:t>
      </w:r>
    </w:p>
    <w:p w:rsidR="00E93252" w:rsidRPr="00BA0735" w:rsidRDefault="00E93252" w:rsidP="00E93252">
      <w:pPr>
        <w:widowControl w:val="0"/>
        <w:rPr>
          <w:sz w:val="22"/>
          <w:szCs w:val="22"/>
          <w:u w:val="single"/>
          <w:lang w:val="lt-LT"/>
        </w:rPr>
      </w:pPr>
    </w:p>
    <w:p w:rsidR="00E93252" w:rsidRPr="00BA0735" w:rsidRDefault="00E93252" w:rsidP="00E93252">
      <w:pPr>
        <w:widowControl w:val="0"/>
        <w:tabs>
          <w:tab w:val="left" w:pos="567"/>
        </w:tabs>
        <w:rPr>
          <w:sz w:val="22"/>
          <w:szCs w:val="22"/>
          <w:lang w:val="lt-LT"/>
        </w:rPr>
      </w:pPr>
      <w:r w:rsidRPr="00BA0735">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w:t>
      </w:r>
      <w:r w:rsidR="00691D21">
        <w:rPr>
          <w:sz w:val="22"/>
          <w:szCs w:val="22"/>
          <w:lang w:val="lt-LT"/>
        </w:rPr>
        <w:t> </w:t>
      </w:r>
      <w:r w:rsidRPr="00BA0735">
        <w:rPr>
          <w:sz w:val="22"/>
          <w:szCs w:val="22"/>
          <w:lang w:val="lt-LT"/>
        </w:rPr>
        <w:t>skyrius).</w:t>
      </w:r>
    </w:p>
    <w:p w:rsidR="00E93252" w:rsidRPr="00BA0735" w:rsidRDefault="00E93252" w:rsidP="00E93252">
      <w:pPr>
        <w:widowControl w:val="0"/>
        <w:tabs>
          <w:tab w:val="left" w:pos="567"/>
        </w:tabs>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Vaistai, sukeliantys hiperkalemiją</w:t>
      </w:r>
    </w:p>
    <w:p w:rsidR="00E93252" w:rsidRPr="00BA0735" w:rsidRDefault="00E93252" w:rsidP="00E93252">
      <w:pPr>
        <w:widowControl w:val="0"/>
        <w:rPr>
          <w:sz w:val="22"/>
          <w:szCs w:val="22"/>
          <w:lang w:val="lt-LT"/>
        </w:rPr>
      </w:pPr>
      <w:r w:rsidRPr="00BA0735">
        <w:rPr>
          <w:sz w:val="22"/>
          <w:szCs w:val="22"/>
          <w:lang w:val="lt-LT"/>
        </w:rPr>
        <w:t>Kai kurie arba kai kurių terapinių grupių vaistiniai preparatai gali didinti hiperkalemijos atsiradimo riziką: aliskirenas, kalio druskos, kalį organizme sulaikantys diuretikai, AKF inhibitoriai, angiotenzino II receptorių blokatoriai, NVNU, heparino preparatai, imunosupresantai (pvz., ciklosporinas ar takrolimuzas), trimetoprimas. Kartu vartojami šie vaistiniai preparatai didina hiperkalemijos riziką.</w:t>
      </w:r>
    </w:p>
    <w:p w:rsidR="00E93252" w:rsidRPr="00BA0735" w:rsidRDefault="00E93252" w:rsidP="00E93252">
      <w:pPr>
        <w:widowControl w:val="0"/>
        <w:rPr>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lastRenderedPageBreak/>
        <w:t>Vaistiniai preparatai, kurių kartu vartoti draudžiama</w:t>
      </w:r>
      <w:r w:rsidR="00BA1660">
        <w:rPr>
          <w:i/>
          <w:sz w:val="22"/>
          <w:szCs w:val="22"/>
          <w:lang w:val="lt-LT"/>
        </w:rPr>
        <w:t xml:space="preserve"> </w:t>
      </w:r>
      <w:r w:rsidR="00BA1660" w:rsidRPr="00BA1660">
        <w:rPr>
          <w:bCs/>
          <w:i/>
          <w:iCs/>
          <w:sz w:val="22"/>
          <w:szCs w:val="22"/>
          <w:lang w:val="lt-LT"/>
        </w:rPr>
        <w:t>(žr. 4.</w:t>
      </w:r>
      <w:r w:rsidR="00BA1660">
        <w:rPr>
          <w:bCs/>
          <w:i/>
          <w:iCs/>
          <w:sz w:val="22"/>
          <w:szCs w:val="22"/>
          <w:lang w:val="lt-LT"/>
        </w:rPr>
        <w:t>3</w:t>
      </w:r>
      <w:r w:rsidR="00BA1660" w:rsidRPr="00BA1660">
        <w:rPr>
          <w:bCs/>
          <w:i/>
          <w:iCs/>
          <w:sz w:val="22"/>
          <w:szCs w:val="22"/>
          <w:lang w:val="lt-LT"/>
        </w:rPr>
        <w:t> skyrių)</w:t>
      </w:r>
    </w:p>
    <w:p w:rsidR="00E93252" w:rsidRPr="00BA0735" w:rsidRDefault="00E93252" w:rsidP="00E93252">
      <w:pPr>
        <w:widowControl w:val="0"/>
        <w:rPr>
          <w:i/>
          <w:sz w:val="22"/>
          <w:szCs w:val="22"/>
          <w:u w:val="single"/>
          <w:lang w:val="lt-LT"/>
        </w:rPr>
      </w:pPr>
    </w:p>
    <w:p w:rsidR="00E93252" w:rsidRPr="00BA0735" w:rsidRDefault="00E93252" w:rsidP="00526D52">
      <w:pPr>
        <w:pStyle w:val="Sraopastraipa"/>
        <w:numPr>
          <w:ilvl w:val="0"/>
          <w:numId w:val="44"/>
        </w:numPr>
        <w:spacing w:line="240" w:lineRule="auto"/>
        <w:ind w:left="567" w:hanging="567"/>
        <w:rPr>
          <w:rFonts w:ascii="Times New Roman" w:hAnsi="Times New Roman"/>
        </w:rPr>
      </w:pPr>
      <w:r w:rsidRPr="00BA0735">
        <w:rPr>
          <w:rFonts w:ascii="Times New Roman" w:hAnsi="Times New Roman"/>
          <w:i/>
        </w:rPr>
        <w:t>Aliskirenas</w:t>
      </w:r>
      <w:r w:rsidRPr="00BA0735">
        <w:rPr>
          <w:rFonts w:ascii="Times New Roman" w:hAnsi="Times New Roman"/>
        </w:rPr>
        <w:t>: Cukriniu diabetu sergantiems pacientams arba pacientams, kurių inkstų funkcija yra sutrikusi, padidėja hiperkalemijos, inkstų funkcijos pablogėjimo ir kardiovaskulinio sergamumo bei mirtingumo rizika.</w:t>
      </w:r>
    </w:p>
    <w:p w:rsidR="00E93252" w:rsidRPr="00BA0735" w:rsidRDefault="00E93252" w:rsidP="00526D52">
      <w:pPr>
        <w:pStyle w:val="Sraopastraipa"/>
        <w:numPr>
          <w:ilvl w:val="0"/>
          <w:numId w:val="44"/>
        </w:numPr>
        <w:spacing w:after="0" w:line="240" w:lineRule="auto"/>
        <w:ind w:left="567" w:hanging="567"/>
        <w:rPr>
          <w:rFonts w:ascii="Times New Roman" w:hAnsi="Times New Roman"/>
          <w:snapToGrid w:val="0"/>
        </w:rPr>
      </w:pPr>
      <w:bookmarkStart w:id="29" w:name="_Hlk505796627"/>
      <w:r w:rsidRPr="00BA0735">
        <w:rPr>
          <w:rFonts w:ascii="Times New Roman" w:hAnsi="Times New Roman"/>
          <w:i/>
        </w:rPr>
        <w:t>Ekstrakorporinis gydymas</w:t>
      </w:r>
      <w:bookmarkEnd w:id="29"/>
      <w:r w:rsidRPr="00BA0735">
        <w:rPr>
          <w:rFonts w:ascii="Times New Roman" w:hAnsi="Times New Roman"/>
          <w:i/>
        </w:rPr>
        <w:t>:</w:t>
      </w:r>
      <w:r w:rsidRPr="00BA0735">
        <w:rPr>
          <w:rFonts w:ascii="Times New Roman" w:hAnsi="Times New Roman"/>
        </w:rPr>
        <w:t xml:space="preserve"> </w:t>
      </w:r>
      <w:r w:rsidRPr="00BA0735">
        <w:rPr>
          <w:rFonts w:ascii="Times New Roman" w:hAnsi="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w:t>
      </w:r>
      <w:r w:rsidR="00691D21">
        <w:t> </w:t>
      </w:r>
      <w:r w:rsidRPr="00BA0735">
        <w:rPr>
          <w:rFonts w:ascii="Times New Roman" w:hAnsi="Times New Roman"/>
          <w:snapToGrid w:val="0"/>
        </w:rPr>
        <w:t>skyrių). Jeigu reikia tokio gydymo, reikia apgalvotai naudoti kitokio tipo dializės membraną arba skirti kitos grupės antihipertenzinį vaistinį preparatą.</w:t>
      </w:r>
    </w:p>
    <w:p w:rsidR="00E93252" w:rsidRPr="00BA0735" w:rsidRDefault="00E93252" w:rsidP="00526D52">
      <w:pPr>
        <w:pStyle w:val="Sraopastraipa"/>
        <w:widowControl w:val="0"/>
        <w:numPr>
          <w:ilvl w:val="0"/>
          <w:numId w:val="44"/>
        </w:numPr>
        <w:tabs>
          <w:tab w:val="left" w:pos="567"/>
        </w:tabs>
        <w:spacing w:after="0" w:line="240" w:lineRule="auto"/>
        <w:ind w:left="567" w:hanging="567"/>
        <w:rPr>
          <w:rFonts w:ascii="Times New Roman" w:hAnsi="Times New Roman"/>
        </w:rPr>
      </w:pPr>
      <w:r w:rsidRPr="00526D52">
        <w:rPr>
          <w:rFonts w:ascii="Times New Roman" w:hAnsi="Times New Roman"/>
          <w:i/>
        </w:rPr>
        <w:t>Sakubrilas/valsartanas</w:t>
      </w:r>
      <w:r w:rsidRPr="00BA0735">
        <w:rPr>
          <w:rFonts w:ascii="Times New Roman" w:hAnsi="Times New Roman"/>
          <w:i/>
        </w:rPr>
        <w:t xml:space="preserve">: </w:t>
      </w:r>
      <w:r w:rsidRPr="00526D52">
        <w:rPr>
          <w:rFonts w:ascii="Times New Roman" w:hAnsi="Times New Roman"/>
        </w:rPr>
        <w:t>Dėl padidėjusios angioneurozinės edemos rizikos AKF inhibitorių draudžiama skirti kartu su sakubitrilo ir valsartano deriniu (žr. 4.3 ir 4.5</w:t>
      </w:r>
      <w:r w:rsidR="00691D21">
        <w:t> </w:t>
      </w:r>
      <w:r w:rsidRPr="00526D52">
        <w:rPr>
          <w:rFonts w:ascii="Times New Roman" w:hAnsi="Times New Roman"/>
        </w:rPr>
        <w:t>skyrius).</w:t>
      </w:r>
    </w:p>
    <w:p w:rsidR="00E93252" w:rsidRPr="00BA0735" w:rsidRDefault="00E93252" w:rsidP="00E93252">
      <w:pPr>
        <w:widowControl w:val="0"/>
        <w:tabs>
          <w:tab w:val="left" w:pos="567"/>
        </w:tabs>
        <w:rPr>
          <w:rFonts w:eastAsia="Calibri"/>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Vaistiniai preparatai, kurių kartu vartoti nerekomenduojama</w:t>
      </w:r>
    </w:p>
    <w:p w:rsidR="00E93252" w:rsidRPr="00BA0735" w:rsidRDefault="00E93252" w:rsidP="00E93252">
      <w:pPr>
        <w:spacing w:line="259" w:lineRule="auto"/>
        <w:rPr>
          <w:rFonts w:eastAsia="Calibri"/>
          <w:bCs/>
          <w:i/>
          <w:iCs/>
          <w:sz w:val="22"/>
          <w:szCs w:val="22"/>
          <w:lang w:val="lt-LT" w:eastAsia="en-US"/>
        </w:rPr>
      </w:pPr>
    </w:p>
    <w:p w:rsidR="00E93252" w:rsidRPr="00BA0735" w:rsidRDefault="00E93252" w:rsidP="00E93252">
      <w:pPr>
        <w:spacing w:line="259" w:lineRule="auto"/>
        <w:rPr>
          <w:rFonts w:eastAsia="Calibri"/>
          <w:bCs/>
          <w:iCs/>
          <w:sz w:val="22"/>
          <w:szCs w:val="22"/>
          <w:lang w:val="lt-LT" w:eastAsia="en-US"/>
        </w:rPr>
      </w:pPr>
      <w:r w:rsidRPr="00BA0735">
        <w:rPr>
          <w:rFonts w:eastAsia="Calibri"/>
          <w:bCs/>
          <w:i/>
          <w:iCs/>
          <w:sz w:val="22"/>
          <w:szCs w:val="22"/>
          <w:lang w:val="lt-LT" w:eastAsia="en-US"/>
        </w:rPr>
        <w:t>Aliskirenas:</w:t>
      </w:r>
      <w:r w:rsidRPr="00BA0735">
        <w:rPr>
          <w:rFonts w:eastAsia="Calibri"/>
          <w:bCs/>
          <w:iCs/>
          <w:sz w:val="22"/>
          <w:szCs w:val="22"/>
          <w:lang w:val="lt-LT" w:eastAsia="en-US"/>
        </w:rPr>
        <w:t xml:space="preserve"> </w:t>
      </w:r>
      <w:r w:rsidRPr="00BA0735">
        <w:rPr>
          <w:rFonts w:eastAsia="Calibri"/>
          <w:sz w:val="22"/>
          <w:szCs w:val="22"/>
          <w:lang w:val="lt-LT" w:eastAsia="en-US"/>
        </w:rPr>
        <w:t>Hiperkalemijos, inkstų funkcijos pablogėjimo ir kardiovaskulinio sergamumo bei mirtingumo rizika</w:t>
      </w:r>
      <w:r w:rsidRPr="00BA0735">
        <w:rPr>
          <w:rFonts w:eastAsia="Calibri"/>
          <w:bCs/>
          <w:iCs/>
          <w:sz w:val="22"/>
          <w:szCs w:val="22"/>
          <w:lang w:val="lt-LT" w:eastAsia="en-US"/>
        </w:rPr>
        <w:t xml:space="preserve"> gali padidėti ir kitiems pacientams, ne tik tiems, kurie serga cukriniu diabetu arba kuriems yra inkstų funkcijos sutrikimas (žr. 4.4 skyrių).</w:t>
      </w:r>
    </w:p>
    <w:p w:rsidR="00E93252" w:rsidRPr="00BA0735" w:rsidRDefault="00E93252" w:rsidP="00E93252">
      <w:pPr>
        <w:spacing w:line="259" w:lineRule="auto"/>
        <w:rPr>
          <w:rFonts w:eastAsia="Calibri"/>
          <w:bCs/>
          <w:iCs/>
          <w:sz w:val="22"/>
          <w:szCs w:val="22"/>
          <w:lang w:val="lt-LT" w:eastAsia="en-US"/>
        </w:rPr>
      </w:pPr>
    </w:p>
    <w:p w:rsidR="00E93252" w:rsidRPr="00BA0735" w:rsidRDefault="00E93252" w:rsidP="00E93252">
      <w:pPr>
        <w:spacing w:line="259" w:lineRule="auto"/>
        <w:rPr>
          <w:rFonts w:eastAsia="Calibri"/>
          <w:bCs/>
          <w:iCs/>
          <w:sz w:val="22"/>
          <w:szCs w:val="22"/>
          <w:lang w:val="lt-LT" w:eastAsia="en-US"/>
        </w:rPr>
      </w:pPr>
      <w:r w:rsidRPr="00BA0735">
        <w:rPr>
          <w:rFonts w:eastAsia="Calibri"/>
          <w:bCs/>
          <w:i/>
          <w:iCs/>
          <w:sz w:val="22"/>
          <w:szCs w:val="22"/>
          <w:lang w:val="lt-LT" w:eastAsia="en-US"/>
        </w:rPr>
        <w:t>Vartojimas kartu su AKF inhibitoriumi ir angiotenzino receptorių blokatoriumi</w:t>
      </w:r>
      <w:r w:rsidRPr="00BA0735">
        <w:rPr>
          <w:rFonts w:eastAsia="Calibri"/>
          <w:bCs/>
          <w:iCs/>
          <w:sz w:val="22"/>
          <w:szCs w:val="22"/>
          <w:lang w:val="lt-LT" w:eastAsia="en-US"/>
        </w:rPr>
        <w:t>: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ir kraujospūdį (žr. 4.4 skyrių).</w:t>
      </w:r>
    </w:p>
    <w:p w:rsidR="00E93252" w:rsidRPr="00BA0735" w:rsidRDefault="00E93252" w:rsidP="00E93252">
      <w:pPr>
        <w:spacing w:line="259" w:lineRule="auto"/>
        <w:rPr>
          <w:rFonts w:eastAsia="Calibri"/>
          <w:bCs/>
          <w:i/>
          <w:iCs/>
          <w:sz w:val="22"/>
          <w:szCs w:val="22"/>
          <w:lang w:val="lt-LT" w:eastAsia="en-US"/>
        </w:rPr>
      </w:pPr>
    </w:p>
    <w:p w:rsidR="00E93252" w:rsidRPr="00BA0735" w:rsidRDefault="00E93252" w:rsidP="00E93252">
      <w:pPr>
        <w:spacing w:line="259" w:lineRule="auto"/>
        <w:rPr>
          <w:rFonts w:eastAsia="Calibri"/>
          <w:bCs/>
          <w:iCs/>
          <w:sz w:val="22"/>
          <w:szCs w:val="22"/>
          <w:lang w:val="lt-LT" w:eastAsia="en-US"/>
        </w:rPr>
      </w:pPr>
      <w:r w:rsidRPr="00BA0735">
        <w:rPr>
          <w:rFonts w:eastAsia="Calibri"/>
          <w:bCs/>
          <w:i/>
          <w:iCs/>
          <w:sz w:val="22"/>
          <w:szCs w:val="22"/>
          <w:lang w:val="lt-LT" w:eastAsia="en-US"/>
        </w:rPr>
        <w:t>Estramustinas:</w:t>
      </w:r>
      <w:r w:rsidRPr="00BA0735">
        <w:rPr>
          <w:rFonts w:eastAsia="Calibri"/>
          <w:bCs/>
          <w:iCs/>
          <w:sz w:val="22"/>
          <w:szCs w:val="22"/>
          <w:lang w:val="lt-LT" w:eastAsia="en-US"/>
        </w:rPr>
        <w:t xml:space="preserve"> Nepageidaujamo poveikio, pavyzdžiui, angioneurozinės edemos (angioedemos) padidėjimo rizika.</w:t>
      </w:r>
    </w:p>
    <w:p w:rsidR="00E93252" w:rsidRPr="00BA0735" w:rsidRDefault="00E93252" w:rsidP="00E93252">
      <w:pPr>
        <w:widowControl w:val="0"/>
        <w:rPr>
          <w:i/>
          <w:sz w:val="22"/>
          <w:szCs w:val="22"/>
          <w:u w:val="single"/>
          <w:lang w:val="lt-LT"/>
        </w:rPr>
      </w:pPr>
    </w:p>
    <w:p w:rsidR="00E93252" w:rsidRPr="00BA0735" w:rsidRDefault="00E93252" w:rsidP="00E93252">
      <w:pPr>
        <w:widowControl w:val="0"/>
        <w:rPr>
          <w:sz w:val="22"/>
          <w:szCs w:val="22"/>
          <w:lang w:val="lt-LT"/>
        </w:rPr>
      </w:pPr>
      <w:r w:rsidRPr="00BA0735">
        <w:rPr>
          <w:i/>
          <w:sz w:val="22"/>
          <w:szCs w:val="22"/>
          <w:lang w:val="lt-LT"/>
        </w:rPr>
        <w:t xml:space="preserve">Kalį organizme sulaikantys diuretikai (spironolaktonas, triamterenas, vartojami vieni arba vaistinių preparatų deriniuose), </w:t>
      </w:r>
      <w:r w:rsidRPr="00BA0735">
        <w:rPr>
          <w:rFonts w:eastAsia="Calibri"/>
          <w:i/>
          <w:sz w:val="22"/>
          <w:szCs w:val="22"/>
          <w:lang w:val="lt-LT"/>
        </w:rPr>
        <w:t>kalio papildai arba kalio turintys</w:t>
      </w:r>
      <w:r w:rsidRPr="00BA0735">
        <w:rPr>
          <w:i/>
          <w:sz w:val="22"/>
          <w:szCs w:val="22"/>
          <w:lang w:val="lt-LT"/>
        </w:rPr>
        <w:t xml:space="preserve"> druskos</w:t>
      </w:r>
      <w:r w:rsidRPr="00BA0735">
        <w:rPr>
          <w:rFonts w:eastAsia="Calibri"/>
          <w:i/>
          <w:sz w:val="22"/>
          <w:szCs w:val="22"/>
          <w:lang w:val="lt-LT"/>
        </w:rPr>
        <w:t xml:space="preserve"> pakaitalai:</w:t>
      </w:r>
      <w:r w:rsidRPr="00BA0735">
        <w:rPr>
          <w:rFonts w:eastAsia="Calibri"/>
          <w:sz w:val="22"/>
          <w:szCs w:val="22"/>
          <w:lang w:val="lt-LT" w:eastAsia="en-US"/>
        </w:rPr>
        <w:t xml:space="preserve"> AKF inhibitoriai sumažina diuretikų sukeltą kalio išskyrimą.</w:t>
      </w:r>
      <w:r w:rsidRPr="00BA0735">
        <w:rPr>
          <w:rFonts w:eastAsia="Calibri"/>
          <w:sz w:val="22"/>
          <w:szCs w:val="22"/>
          <w:lang w:val="lt-LT"/>
        </w:rPr>
        <w:t xml:space="preserve"> Nors įprastai kalio koncentracija serume išlieka normos ribose, kai kuriems perindopriliu gydytiems pacientams gali pasireikšti hiperkalemija.</w:t>
      </w:r>
      <w:r w:rsidRPr="00BA0735">
        <w:rPr>
          <w:sz w:val="22"/>
          <w:szCs w:val="22"/>
          <w:lang w:val="lt-LT"/>
        </w:rPr>
        <w:t xml:space="preserve"> Kalį organizme sulaikantys diuretikai (pvz., spironolaktonas, triamterenas, amiloridas), kalio papildai bei druskos pakaitalai, kuriuose yra kalio, gali labai padidinti kalio koncentraciją serume (dėl to ligonis gali net mirti). Perindoprilį kartu su kitais kalio kiekį kraujo serume didinančiais vaistiniais preparatais, pvz., trimetoprimu ir kotrimoksazolu (trimetoprimo ir sulfametoksazolo deriniu) skirti reikia atsargiai, kadangi yra žinoma, kad trimetoprimas veikia kaip kalį organizme sulaikantis diuretikas, toks kaip amiloridas. Dėl to perindoprilio skirti kartu su anksčiau minėtais vaistiniais preparatais nerekomenduojama. Jei perindoprilio reikia vartoti kartu su minėtais preparatais dėl dokumentuotos hipokalemijos, tai reikia daryti atsargiai ir dažnai matuoti kalio koncentraciją serume bei daryti EKG.</w:t>
      </w:r>
      <w:r w:rsidR="00BA1660" w:rsidRPr="00BA1660">
        <w:t xml:space="preserve"> </w:t>
      </w:r>
      <w:r w:rsidR="00BA1660" w:rsidRPr="00BA1660">
        <w:rPr>
          <w:sz w:val="22"/>
          <w:szCs w:val="22"/>
          <w:lang w:val="lt-LT"/>
        </w:rPr>
        <w:t xml:space="preserve">Apie spironolaktono vartojimą </w:t>
      </w:r>
      <w:r w:rsidR="00BA1660">
        <w:rPr>
          <w:sz w:val="22"/>
          <w:szCs w:val="22"/>
          <w:lang w:val="lt-LT"/>
        </w:rPr>
        <w:t>esant</w:t>
      </w:r>
      <w:r w:rsidR="00BA1660" w:rsidRPr="00BA1660">
        <w:rPr>
          <w:sz w:val="22"/>
          <w:szCs w:val="22"/>
          <w:lang w:val="lt-LT"/>
        </w:rPr>
        <w:t xml:space="preserve"> širdies nepakankamumu</w:t>
      </w:r>
      <w:r w:rsidR="00BA1660">
        <w:rPr>
          <w:sz w:val="22"/>
          <w:szCs w:val="22"/>
          <w:lang w:val="lt-LT"/>
        </w:rPr>
        <w:t>i žiūrėti skyrių „</w:t>
      </w:r>
      <w:r w:rsidR="00BA1660" w:rsidRPr="00BA1660">
        <w:rPr>
          <w:sz w:val="22"/>
          <w:szCs w:val="22"/>
          <w:lang w:val="lt-LT"/>
        </w:rPr>
        <w:t>Vaistiniai preparatai, kurių vartoja</w:t>
      </w:r>
      <w:r w:rsidR="00BA1660">
        <w:rPr>
          <w:sz w:val="22"/>
          <w:szCs w:val="22"/>
          <w:lang w:val="lt-LT"/>
        </w:rPr>
        <w:t xml:space="preserve">nt kartu </w:t>
      </w:r>
      <w:r w:rsidR="00C02FB4">
        <w:rPr>
          <w:sz w:val="22"/>
          <w:szCs w:val="22"/>
          <w:lang w:val="lt-LT"/>
        </w:rPr>
        <w:t>būtinas atsargumas</w:t>
      </w:r>
      <w:r w:rsidR="00BA1660">
        <w:rPr>
          <w:sz w:val="22"/>
          <w:szCs w:val="22"/>
          <w:lang w:val="lt-LT"/>
        </w:rPr>
        <w:t>“</w:t>
      </w:r>
      <w:r w:rsidR="00BA1660" w:rsidRPr="00BA1660">
        <w:rPr>
          <w:sz w:val="22"/>
          <w:szCs w:val="22"/>
          <w:lang w:val="lt-LT"/>
        </w:rPr>
        <w:t>.</w:t>
      </w:r>
    </w:p>
    <w:p w:rsidR="00E93252" w:rsidRPr="00BA0735" w:rsidRDefault="00E93252" w:rsidP="00E93252">
      <w:pPr>
        <w:widowControl w:val="0"/>
        <w:ind w:left="567" w:hanging="567"/>
        <w:rPr>
          <w:sz w:val="22"/>
          <w:szCs w:val="22"/>
          <w:lang w:val="lt-LT"/>
        </w:rPr>
      </w:pPr>
    </w:p>
    <w:p w:rsidR="00E93252" w:rsidRPr="00BA0735" w:rsidRDefault="00E93252" w:rsidP="00E93252">
      <w:pPr>
        <w:widowControl w:val="0"/>
        <w:rPr>
          <w:sz w:val="22"/>
          <w:szCs w:val="22"/>
          <w:lang w:val="lt-LT"/>
        </w:rPr>
      </w:pPr>
      <w:r w:rsidRPr="00BA0735">
        <w:rPr>
          <w:i/>
          <w:sz w:val="22"/>
          <w:szCs w:val="22"/>
          <w:lang w:val="lt-LT"/>
        </w:rPr>
        <w:t>Kotrimoksazolas, (trimetoprimas/sulfametoksazolas):</w:t>
      </w:r>
      <w:r w:rsidRPr="00BA0735">
        <w:rPr>
          <w:sz w:val="22"/>
          <w:szCs w:val="22"/>
          <w:lang w:val="lt-LT"/>
        </w:rPr>
        <w:t xml:space="preserve"> Pacientams, kartu vartojantiems kotrimoksazolą (trimetroprimą/sulfametoksazolą), gali padidėti hiperkalemijos rizika (žr. 4.4</w:t>
      </w:r>
      <w:r w:rsidR="00691D21">
        <w:rPr>
          <w:sz w:val="22"/>
          <w:szCs w:val="22"/>
          <w:lang w:val="lt-LT"/>
        </w:rPr>
        <w:t> </w:t>
      </w:r>
      <w:r w:rsidRPr="00BA0735">
        <w:rPr>
          <w:sz w:val="22"/>
          <w:szCs w:val="22"/>
          <w:lang w:val="lt-LT"/>
        </w:rPr>
        <w:t>skyrių).</w:t>
      </w:r>
    </w:p>
    <w:p w:rsidR="00E93252" w:rsidRPr="00BA0735" w:rsidRDefault="00E93252" w:rsidP="00E93252">
      <w:pPr>
        <w:widowControl w:val="0"/>
        <w:rPr>
          <w:i/>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Vaistiniai preparatai, kurių vartojant kartu būtinas specialus atsargumas</w:t>
      </w:r>
    </w:p>
    <w:p w:rsidR="00E93252" w:rsidRPr="00BA0735" w:rsidRDefault="00E93252" w:rsidP="00E93252">
      <w:pPr>
        <w:widowControl w:val="0"/>
        <w:rPr>
          <w:i/>
          <w:sz w:val="22"/>
          <w:szCs w:val="22"/>
          <w:u w:val="single"/>
          <w:lang w:val="lt-LT"/>
        </w:rPr>
      </w:pPr>
    </w:p>
    <w:p w:rsidR="00E93252" w:rsidRPr="00BA0735" w:rsidRDefault="00E93252" w:rsidP="00E93252">
      <w:pPr>
        <w:widowControl w:val="0"/>
        <w:autoSpaceDE w:val="0"/>
        <w:autoSpaceDN w:val="0"/>
        <w:rPr>
          <w:sz w:val="22"/>
          <w:szCs w:val="22"/>
          <w:lang w:val="lt-LT"/>
        </w:rPr>
      </w:pPr>
      <w:r w:rsidRPr="00BA0735">
        <w:rPr>
          <w:i/>
          <w:sz w:val="22"/>
          <w:szCs w:val="22"/>
          <w:lang w:val="lt-LT"/>
        </w:rPr>
        <w:t xml:space="preserve">Preparatai nuo cukrinio diabeto (insulinas, </w:t>
      </w:r>
      <w:r w:rsidR="00BA1660">
        <w:rPr>
          <w:i/>
          <w:sz w:val="22"/>
          <w:szCs w:val="22"/>
          <w:lang w:val="lt-LT"/>
        </w:rPr>
        <w:t xml:space="preserve">per burną vartojami </w:t>
      </w:r>
      <w:r w:rsidRPr="00BA0735">
        <w:rPr>
          <w:i/>
          <w:sz w:val="22"/>
          <w:szCs w:val="22"/>
          <w:lang w:val="lt-LT"/>
        </w:rPr>
        <w:t xml:space="preserve">gliukozės koncentraciją kraujyje mažinantys </w:t>
      </w:r>
      <w:r w:rsidR="00BA1660">
        <w:rPr>
          <w:i/>
          <w:sz w:val="22"/>
          <w:szCs w:val="22"/>
          <w:lang w:val="lt-LT"/>
        </w:rPr>
        <w:t>preparatai</w:t>
      </w:r>
      <w:r w:rsidRPr="00BA0735">
        <w:rPr>
          <w:i/>
          <w:sz w:val="22"/>
          <w:szCs w:val="22"/>
          <w:lang w:val="lt-LT"/>
        </w:rPr>
        <w:t>):</w:t>
      </w:r>
      <w:r w:rsidRPr="00BA0735">
        <w:rPr>
          <w:rFonts w:eastAsia="Calibri"/>
          <w:sz w:val="22"/>
          <w:szCs w:val="22"/>
          <w:lang w:val="lt-LT" w:eastAsia="en-US"/>
        </w:rPr>
        <w:t xml:space="preserve"> Epidemiologiniai tyrimai rodo, kad AKF inhibitorių ir vaistinių preparatų </w:t>
      </w:r>
      <w:r w:rsidRPr="00BA0735">
        <w:rPr>
          <w:rFonts w:eastAsia="Calibri"/>
          <w:sz w:val="22"/>
          <w:szCs w:val="22"/>
          <w:lang w:val="lt-LT" w:eastAsia="en-US"/>
        </w:rPr>
        <w:lastRenderedPageBreak/>
        <w:t>diabetui gydyti (insulino preparatų, geriamųjų gliukozės koncentracijas mažinančių preparatų) vartojimas kartu gali sustiprinti gliukozės koncentracijas mažinantį veikimą ir kelti hipoglikemijos atsiradimo riziką. Pastebėta, kad toks reiškinys yra labiau tikėtinas per pirmąsias kombinuotojo gydymo savaites ir pacientams, kuriems pasireiškia inkstų funkcijos sutrikimas.</w:t>
      </w:r>
    </w:p>
    <w:p w:rsidR="00E93252" w:rsidRPr="00BA0735" w:rsidRDefault="00E93252" w:rsidP="00E93252">
      <w:pPr>
        <w:autoSpaceDE w:val="0"/>
        <w:autoSpaceDN w:val="0"/>
        <w:adjustRightInd w:val="0"/>
        <w:spacing w:line="259" w:lineRule="auto"/>
        <w:rPr>
          <w:rFonts w:eastAsia="SimSun"/>
          <w:color w:val="000000"/>
          <w:sz w:val="22"/>
          <w:szCs w:val="22"/>
          <w:lang w:val="lt-LT" w:eastAsia="zh-CN"/>
        </w:rPr>
      </w:pPr>
    </w:p>
    <w:p w:rsidR="00E93252" w:rsidRPr="00BA0735" w:rsidRDefault="00E93252" w:rsidP="00E93252">
      <w:pPr>
        <w:autoSpaceDE w:val="0"/>
        <w:autoSpaceDN w:val="0"/>
        <w:adjustRightInd w:val="0"/>
        <w:spacing w:line="259" w:lineRule="auto"/>
        <w:rPr>
          <w:rFonts w:eastAsia="SimSun"/>
          <w:color w:val="000000"/>
          <w:sz w:val="22"/>
          <w:szCs w:val="22"/>
          <w:lang w:val="lt-LT" w:eastAsia="zh-CN"/>
        </w:rPr>
      </w:pPr>
      <w:r w:rsidRPr="00BA0735">
        <w:rPr>
          <w:rFonts w:eastAsia="SimSun"/>
          <w:i/>
          <w:color w:val="000000"/>
          <w:sz w:val="22"/>
          <w:szCs w:val="22"/>
          <w:lang w:val="lt-LT" w:eastAsia="zh-CN"/>
        </w:rPr>
        <w:t>Kalio organizme nesulaikantys diuretikai</w:t>
      </w:r>
      <w:r w:rsidRPr="00BA0735">
        <w:rPr>
          <w:rFonts w:eastAsia="SimSun"/>
          <w:color w:val="000000"/>
          <w:sz w:val="22"/>
          <w:szCs w:val="22"/>
          <w:lang w:val="lt-LT" w:eastAsia="zh-CN"/>
        </w:rPr>
        <w:t>.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palaipsniui didinamomis perindoprilio dozėmis.</w:t>
      </w:r>
    </w:p>
    <w:p w:rsidR="00E93252" w:rsidRPr="00BA0735" w:rsidRDefault="00E93252" w:rsidP="00E93252">
      <w:pPr>
        <w:spacing w:line="259" w:lineRule="auto"/>
        <w:rPr>
          <w:rFonts w:eastAsia="Calibri"/>
          <w:sz w:val="22"/>
          <w:szCs w:val="22"/>
          <w:lang w:val="lt-LT" w:eastAsia="en-US"/>
        </w:rPr>
      </w:pPr>
      <w:r w:rsidRPr="00BA0735">
        <w:rPr>
          <w:rFonts w:eastAsia="Calibri"/>
          <w:i/>
          <w:sz w:val="22"/>
          <w:szCs w:val="22"/>
          <w:lang w:val="lt-LT" w:eastAsia="en-US"/>
        </w:rPr>
        <w:t>Arterinės hipertenzijos atveju</w:t>
      </w:r>
      <w:r w:rsidRPr="00BA0735">
        <w:rPr>
          <w:rFonts w:eastAsia="Calibri"/>
          <w:sz w:val="22"/>
          <w:szCs w:val="22"/>
          <w:lang w:val="lt-LT" w:eastAsia="en-US"/>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rsidR="00E93252" w:rsidRPr="00BA0735" w:rsidRDefault="00E93252" w:rsidP="00E93252">
      <w:pPr>
        <w:autoSpaceDE w:val="0"/>
        <w:autoSpaceDN w:val="0"/>
        <w:adjustRightInd w:val="0"/>
        <w:rPr>
          <w:rFonts w:eastAsia="SimSun"/>
          <w:color w:val="000000"/>
          <w:sz w:val="22"/>
          <w:szCs w:val="22"/>
          <w:lang w:val="lt-LT" w:eastAsia="zh-CN"/>
        </w:rPr>
      </w:pPr>
      <w:r w:rsidRPr="00BA0735">
        <w:rPr>
          <w:rFonts w:eastAsia="SimSun"/>
          <w:i/>
          <w:color w:val="000000"/>
          <w:sz w:val="22"/>
          <w:szCs w:val="22"/>
          <w:lang w:val="lt-LT" w:eastAsia="zh-CN"/>
        </w:rPr>
        <w:t>Diuretikais gydant stazinį širdies nepakankamumą</w:t>
      </w:r>
      <w:r w:rsidRPr="00BA0735">
        <w:rPr>
          <w:rFonts w:eastAsia="SimSun"/>
          <w:color w:val="000000"/>
          <w:sz w:val="22"/>
          <w:szCs w:val="22"/>
          <w:lang w:val="lt-LT" w:eastAsia="zh-CN"/>
        </w:rPr>
        <w:t>, iš pradžių reikia vartoti labai mažą AKF inhibitoriaus dozę, galbūt po to, kai sumažinama susijusio kalio organizme nesulaikančio diuretiko dozė.</w:t>
      </w:r>
    </w:p>
    <w:p w:rsidR="00E93252" w:rsidRPr="00BA0735" w:rsidRDefault="00E93252" w:rsidP="00E93252">
      <w:pPr>
        <w:spacing w:line="259" w:lineRule="auto"/>
        <w:rPr>
          <w:rFonts w:eastAsia="Calibri"/>
          <w:sz w:val="22"/>
          <w:szCs w:val="22"/>
          <w:lang w:val="lt-LT" w:eastAsia="en-US"/>
        </w:rPr>
      </w:pPr>
      <w:r w:rsidRPr="00BA0735">
        <w:rPr>
          <w:rFonts w:eastAsia="Calibri"/>
          <w:sz w:val="22"/>
          <w:szCs w:val="22"/>
          <w:lang w:val="lt-LT" w:eastAsia="en-US"/>
        </w:rPr>
        <w:t>Visais atvejais pirmosiomis keliomis gydymo AKF inhibitoriumi savaitėmis reikia stebėti inkstų funkciją (kreatinino koncentracijas).</w:t>
      </w:r>
    </w:p>
    <w:p w:rsidR="00E93252" w:rsidRPr="00BA0735" w:rsidRDefault="00E93252" w:rsidP="00E93252">
      <w:pPr>
        <w:spacing w:line="259" w:lineRule="auto"/>
        <w:rPr>
          <w:rFonts w:eastAsia="Calibri"/>
          <w:sz w:val="22"/>
          <w:szCs w:val="22"/>
          <w:lang w:val="lt-LT" w:eastAsia="en-US"/>
        </w:rPr>
      </w:pPr>
    </w:p>
    <w:p w:rsidR="00E93252" w:rsidRPr="00BA0735" w:rsidRDefault="00E93252" w:rsidP="00E93252">
      <w:pPr>
        <w:autoSpaceDE w:val="0"/>
        <w:autoSpaceDN w:val="0"/>
        <w:adjustRightInd w:val="0"/>
        <w:spacing w:line="259" w:lineRule="auto"/>
        <w:rPr>
          <w:rFonts w:eastAsia="SimSun"/>
          <w:color w:val="000000"/>
          <w:sz w:val="22"/>
          <w:szCs w:val="22"/>
          <w:lang w:val="lt-LT" w:eastAsia="zh-CN"/>
        </w:rPr>
      </w:pPr>
      <w:r w:rsidRPr="00BA0735">
        <w:rPr>
          <w:rFonts w:eastAsia="SimSun"/>
          <w:i/>
          <w:color w:val="000000"/>
          <w:sz w:val="22"/>
          <w:szCs w:val="22"/>
          <w:lang w:val="lt-LT" w:eastAsia="zh-CN"/>
        </w:rPr>
        <w:t>Kalį organizme sulaikantys diuretikai (eplerenonas, spironolaktonas)</w:t>
      </w:r>
      <w:r w:rsidRPr="00BA0735">
        <w:rPr>
          <w:rFonts w:eastAsia="SimSun"/>
          <w:color w:val="000000"/>
          <w:sz w:val="22"/>
          <w:szCs w:val="22"/>
          <w:lang w:val="lt-LT" w:eastAsia="zh-CN"/>
        </w:rPr>
        <w:t xml:space="preserve">. Vartojant nuo 12,5 mg iki 50 mg eplerenono ar spironolaktono paros dozes kartu su mažomis AKF inhibitorių dozėmis: </w:t>
      </w:r>
      <w:r w:rsidRPr="00BA0735">
        <w:rPr>
          <w:rFonts w:eastAsia="Calibri"/>
          <w:sz w:val="22"/>
          <w:szCs w:val="22"/>
          <w:lang w:val="lt-LT" w:eastAsia="en-US"/>
        </w:rPr>
        <w:t>gydant II</w:t>
      </w:r>
      <w:r w:rsidRPr="00BA0735">
        <w:rPr>
          <w:rFonts w:eastAsia="Calibri"/>
          <w:sz w:val="22"/>
          <w:szCs w:val="22"/>
          <w:lang w:val="lt-LT" w:eastAsia="en-US"/>
        </w:rPr>
        <w:noBreakHyphen/>
        <w:t>IV klasės (pagal</w:t>
      </w:r>
      <w:r w:rsidRPr="00BA0735">
        <w:rPr>
          <w:rFonts w:eastAsia="Calibri"/>
          <w:i/>
          <w:sz w:val="22"/>
          <w:szCs w:val="22"/>
          <w:lang w:val="lt-LT" w:eastAsia="en-US"/>
        </w:rPr>
        <w:t xml:space="preserve"> NYHA</w:t>
      </w:r>
      <w:r w:rsidRPr="00BA0735">
        <w:rPr>
          <w:rFonts w:eastAsia="Calibri"/>
          <w:sz w:val="22"/>
          <w:szCs w:val="22"/>
          <w:lang w:val="lt-LT" w:eastAsia="en-US"/>
        </w:rPr>
        <w:t>) širdies nepakankamumą, kai išstūmimo frakcija yra mažesnė nei 40 %, pirmiau gydytą AKF inhibitoriais ir kilpiniais diuretikais, kyla hiperkalemijos rizika (gali būti mirtina), ypač tuo atveju, kai nesilaikoma tokio derinio skyrimo rekomendacijų.</w:t>
      </w:r>
    </w:p>
    <w:p w:rsidR="00E93252" w:rsidRPr="00BA0735" w:rsidRDefault="00E93252" w:rsidP="00E93252">
      <w:pPr>
        <w:spacing w:line="259" w:lineRule="auto"/>
        <w:rPr>
          <w:rFonts w:eastAsia="Calibri"/>
          <w:sz w:val="22"/>
          <w:szCs w:val="22"/>
          <w:lang w:val="lt-LT" w:eastAsia="en-US"/>
        </w:rPr>
      </w:pPr>
      <w:r w:rsidRPr="00BA0735">
        <w:rPr>
          <w:rFonts w:eastAsia="Calibri"/>
          <w:sz w:val="22"/>
          <w:szCs w:val="22"/>
          <w:lang w:val="lt-LT" w:eastAsia="en-US"/>
        </w:rPr>
        <w:t>Prieš pradedant vartoti kartu, reikia įsitikinti, ar nėra hiperkalemijos ir inkstų funkcijos sutrikimo.</w:t>
      </w:r>
    </w:p>
    <w:p w:rsidR="00E93252" w:rsidRPr="00BA0735" w:rsidRDefault="00E93252" w:rsidP="00E93252">
      <w:pPr>
        <w:widowControl w:val="0"/>
        <w:autoSpaceDE w:val="0"/>
        <w:autoSpaceDN w:val="0"/>
        <w:rPr>
          <w:sz w:val="22"/>
          <w:szCs w:val="22"/>
          <w:lang w:val="lt-LT"/>
        </w:rPr>
      </w:pPr>
      <w:r w:rsidRPr="00BA0735">
        <w:rPr>
          <w:rFonts w:eastAsia="Calibri"/>
          <w:sz w:val="22"/>
          <w:szCs w:val="22"/>
          <w:lang w:val="lt-LT" w:eastAsia="en-US"/>
        </w:rPr>
        <w:t>Pirmaisiais gydymo mėnesiais rekomenduojama atidžiai matuoti kalio ir kreatinino koncentracijas kraujyje: iš pradžių vieną kartą per savaitę, vėliau – vieną kartą per mėnesį.</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 xml:space="preserve">Racekadotrilis: </w:t>
      </w:r>
      <w:r w:rsidRPr="00BA0735">
        <w:rPr>
          <w:sz w:val="22"/>
          <w:szCs w:val="22"/>
          <w:lang w:val="lt-LT"/>
        </w:rPr>
        <w:t>Yra žinoma, kad AKF inhibitoriai (pvz., perindoprilis) sukelia angioedema. Ši rizika gali būti padidėjusi, kai kartu naudojama su racekadotrilis (vaistas nuo ūmaus viduriavimo).</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i/>
          <w:sz w:val="22"/>
          <w:szCs w:val="22"/>
          <w:lang w:val="lt-LT"/>
        </w:rPr>
        <w:t>mTOR inhibitoriai (pvz., sirolimuzas, everolimuzo temsirolimuzas):</w:t>
      </w:r>
      <w:r w:rsidRPr="00BA0735">
        <w:rPr>
          <w:sz w:val="22"/>
          <w:szCs w:val="22"/>
          <w:lang w:val="lt-LT"/>
        </w:rPr>
        <w:t xml:space="preserve"> Pacientams, kartu vartojantiems mTOR inhibitorius, gali būti padidėjusi angioedemos rizika (žr. 4.4</w:t>
      </w:r>
      <w:r w:rsidR="00691D21">
        <w:rPr>
          <w:sz w:val="22"/>
          <w:szCs w:val="22"/>
          <w:lang w:val="lt-LT"/>
        </w:rPr>
        <w:t> </w:t>
      </w:r>
      <w:r w:rsidRPr="00BA0735">
        <w:rPr>
          <w:sz w:val="22"/>
          <w:szCs w:val="22"/>
          <w:lang w:val="lt-LT"/>
        </w:rPr>
        <w:t>skyrių).</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526D52">
        <w:rPr>
          <w:i/>
          <w:sz w:val="22"/>
          <w:szCs w:val="22"/>
          <w:lang w:val="lt-LT"/>
        </w:rPr>
        <w:t>Vaistiniai preparatai, kurių vartojant kartu būtinos kai kurios atsargumo priemonės</w:t>
      </w:r>
    </w:p>
    <w:p w:rsidR="00E93252" w:rsidRPr="00526D52" w:rsidRDefault="00E93252" w:rsidP="00E93252">
      <w:pPr>
        <w:widowControl w:val="0"/>
        <w:rPr>
          <w:i/>
          <w:sz w:val="22"/>
          <w:szCs w:val="22"/>
          <w:lang w:val="lt-LT"/>
        </w:rPr>
      </w:pPr>
    </w:p>
    <w:p w:rsidR="00E93252" w:rsidRPr="00BA0735" w:rsidRDefault="00E93252" w:rsidP="00E93252">
      <w:pPr>
        <w:autoSpaceDE w:val="0"/>
        <w:autoSpaceDN w:val="0"/>
        <w:adjustRightInd w:val="0"/>
        <w:spacing w:line="259" w:lineRule="auto"/>
        <w:rPr>
          <w:rFonts w:eastAsia="SimSun"/>
          <w:color w:val="000000"/>
          <w:sz w:val="22"/>
          <w:szCs w:val="22"/>
          <w:lang w:val="lt-LT" w:eastAsia="zh-CN"/>
        </w:rPr>
      </w:pPr>
      <w:r w:rsidRPr="00BA0735">
        <w:rPr>
          <w:rFonts w:eastAsia="SimSun"/>
          <w:i/>
          <w:color w:val="000000"/>
          <w:sz w:val="22"/>
          <w:szCs w:val="22"/>
          <w:lang w:val="lt-LT" w:eastAsia="zh-CN"/>
        </w:rPr>
        <w:t>Antihipertenziniai vaistiniai preparatai ir vazodilatatoriai</w:t>
      </w:r>
      <w:r w:rsidRPr="00BA0735">
        <w:rPr>
          <w:rFonts w:eastAsia="SimSun"/>
          <w:color w:val="000000"/>
          <w:sz w:val="22"/>
          <w:szCs w:val="22"/>
          <w:lang w:val="lt-LT" w:eastAsia="zh-CN"/>
        </w:rPr>
        <w:t>. Šių vaistinių preparatų vartojimas kartu gali padidinti perindoprilio kraujospūdį mažinantį veikimą. Vartojant kartu su nitroglicerinu ir kitokiais nitratais ar kitokiais vazodilatatoriais, kraujospūdis gali dar labiau sumažėti.</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Alopurinolis, citostatikai, imunosupresantai, sisteminio poveikio kortikosteroidai, prokainamidas</w:t>
      </w:r>
    </w:p>
    <w:p w:rsidR="00E93252" w:rsidRPr="00BA0735" w:rsidRDefault="00E93252" w:rsidP="00E93252">
      <w:pPr>
        <w:widowControl w:val="0"/>
        <w:rPr>
          <w:sz w:val="22"/>
          <w:szCs w:val="22"/>
          <w:lang w:val="lt-LT"/>
        </w:rPr>
      </w:pPr>
      <w:r w:rsidRPr="00BA0735">
        <w:rPr>
          <w:sz w:val="22"/>
          <w:szCs w:val="22"/>
          <w:lang w:val="lt-LT"/>
        </w:rPr>
        <w:t>Šių vaistinių preparatų vartojant kartu su AKF inhibitoriais, gali lemti didesnę leukopenijos riziką</w:t>
      </w:r>
      <w:r w:rsidR="003D7146">
        <w:rPr>
          <w:sz w:val="22"/>
          <w:szCs w:val="22"/>
          <w:lang w:val="lt-LT"/>
        </w:rPr>
        <w:t xml:space="preserve"> </w:t>
      </w:r>
      <w:r w:rsidR="003D7146" w:rsidRPr="003D7146">
        <w:rPr>
          <w:sz w:val="22"/>
          <w:szCs w:val="22"/>
          <w:lang w:val="lt-LT"/>
        </w:rPr>
        <w:t>(žr. 4.4</w:t>
      </w:r>
      <w:r w:rsidR="00691D21">
        <w:rPr>
          <w:sz w:val="22"/>
          <w:szCs w:val="22"/>
          <w:lang w:val="lt-LT"/>
        </w:rPr>
        <w:t> </w:t>
      </w:r>
      <w:r w:rsidR="003D7146" w:rsidRPr="003D7146">
        <w:rPr>
          <w:sz w:val="22"/>
          <w:szCs w:val="22"/>
          <w:lang w:val="lt-LT"/>
        </w:rPr>
        <w:t>skyrių)</w:t>
      </w:r>
      <w:r w:rsidRPr="00BA0735">
        <w:rPr>
          <w:sz w:val="22"/>
          <w:szCs w:val="22"/>
          <w:lang w:val="lt-LT"/>
        </w:rPr>
        <w:t>.</w:t>
      </w:r>
    </w:p>
    <w:p w:rsidR="00E93252" w:rsidRPr="00BA0735" w:rsidRDefault="00E93252" w:rsidP="00E93252">
      <w:pPr>
        <w:widowControl w:val="0"/>
        <w:autoSpaceDE w:val="0"/>
        <w:autoSpaceDN w:val="0"/>
        <w:rPr>
          <w:sz w:val="22"/>
          <w:szCs w:val="22"/>
          <w:lang w:val="lt-LT"/>
        </w:rPr>
      </w:pPr>
    </w:p>
    <w:p w:rsidR="00E93252" w:rsidRPr="00BA0735" w:rsidRDefault="00E93252" w:rsidP="00E93252">
      <w:pPr>
        <w:widowControl w:val="0"/>
        <w:autoSpaceDE w:val="0"/>
        <w:autoSpaceDN w:val="0"/>
        <w:rPr>
          <w:sz w:val="22"/>
          <w:szCs w:val="22"/>
          <w:lang w:val="lt-LT"/>
        </w:rPr>
      </w:pPr>
      <w:r w:rsidRPr="00BA0735">
        <w:rPr>
          <w:i/>
          <w:sz w:val="22"/>
          <w:szCs w:val="22"/>
          <w:lang w:val="lt-LT"/>
        </w:rPr>
        <w:t>Anestetikai</w:t>
      </w:r>
      <w:r w:rsidRPr="00BA0735">
        <w:rPr>
          <w:sz w:val="22"/>
          <w:szCs w:val="22"/>
          <w:lang w:val="lt-LT"/>
        </w:rPr>
        <w:t>: AKF inhibitoriai gali stiprinti kraujospūdį mažinantį kai kurių anestetikų poveikį</w:t>
      </w:r>
      <w:r w:rsidR="003D7146">
        <w:rPr>
          <w:sz w:val="22"/>
          <w:szCs w:val="22"/>
          <w:lang w:val="lt-LT"/>
        </w:rPr>
        <w:t xml:space="preserve"> </w:t>
      </w:r>
      <w:r w:rsidR="003D7146" w:rsidRPr="003D7146">
        <w:rPr>
          <w:sz w:val="22"/>
          <w:szCs w:val="22"/>
          <w:lang w:val="lt-LT"/>
        </w:rPr>
        <w:t>(žr. 4.4</w:t>
      </w:r>
      <w:r w:rsidR="00691D21">
        <w:rPr>
          <w:sz w:val="22"/>
          <w:szCs w:val="22"/>
          <w:lang w:val="lt-LT"/>
        </w:rPr>
        <w:t> </w:t>
      </w:r>
      <w:r w:rsidR="003D7146" w:rsidRPr="003D7146">
        <w:rPr>
          <w:sz w:val="22"/>
          <w:szCs w:val="22"/>
          <w:lang w:val="lt-LT"/>
        </w:rPr>
        <w:t>skyrių)</w:t>
      </w:r>
      <w:r w:rsidRPr="00BA0735">
        <w:rPr>
          <w:sz w:val="22"/>
          <w:szCs w:val="22"/>
          <w:lang w:val="lt-LT"/>
        </w:rPr>
        <w:t>.</w:t>
      </w:r>
    </w:p>
    <w:p w:rsidR="00E93252" w:rsidRPr="00BA0735" w:rsidRDefault="00E93252" w:rsidP="00E93252">
      <w:pPr>
        <w:widowControl w:val="0"/>
        <w:autoSpaceDE w:val="0"/>
        <w:autoSpaceDN w:val="0"/>
        <w:rPr>
          <w:sz w:val="22"/>
          <w:szCs w:val="22"/>
          <w:lang w:val="lt-LT"/>
        </w:rPr>
      </w:pPr>
    </w:p>
    <w:p w:rsidR="00E93252" w:rsidRPr="00BA0735" w:rsidRDefault="00E93252" w:rsidP="00E93252">
      <w:pPr>
        <w:widowControl w:val="0"/>
        <w:autoSpaceDE w:val="0"/>
        <w:autoSpaceDN w:val="0"/>
        <w:rPr>
          <w:sz w:val="22"/>
          <w:szCs w:val="22"/>
          <w:lang w:val="lt-LT"/>
        </w:rPr>
      </w:pPr>
      <w:r w:rsidRPr="00BA0735">
        <w:rPr>
          <w:i/>
          <w:sz w:val="22"/>
          <w:szCs w:val="22"/>
          <w:lang w:val="lt-LT"/>
        </w:rPr>
        <w:t>Aukso preparatai:</w:t>
      </w:r>
      <w:r w:rsidRPr="00BA0735">
        <w:rPr>
          <w:sz w:val="22"/>
          <w:szCs w:val="22"/>
          <w:lang w:val="lt-LT"/>
        </w:rPr>
        <w:t xml:space="preserve"> Retais atvejais pacientams, tuo pat metu gydomiems injekciniu aukso preparatu (natrio aurotiomalatu) ir AKF inhibitoriumi, įskaitant perindoprilį, atsirado vazomotorinių reakcijų (galimi simptomai yra veido paraudimas, pykinimas, vėmimas ir hipotenzija).</w:t>
      </w:r>
    </w:p>
    <w:p w:rsidR="00E93252" w:rsidRPr="00BA0735" w:rsidRDefault="00E93252" w:rsidP="00E93252">
      <w:pPr>
        <w:widowControl w:val="0"/>
        <w:autoSpaceDE w:val="0"/>
        <w:autoSpaceDN w:val="0"/>
        <w:rPr>
          <w:sz w:val="22"/>
          <w:szCs w:val="22"/>
          <w:lang w:val="lt-LT"/>
        </w:rPr>
      </w:pPr>
    </w:p>
    <w:p w:rsidR="00E93252" w:rsidRPr="00BA0735" w:rsidRDefault="00E93252" w:rsidP="00E93252">
      <w:pPr>
        <w:widowControl w:val="0"/>
        <w:rPr>
          <w:sz w:val="22"/>
          <w:szCs w:val="22"/>
          <w:u w:val="single"/>
          <w:lang w:val="lt-LT"/>
        </w:rPr>
      </w:pPr>
      <w:r w:rsidRPr="00BA0735">
        <w:rPr>
          <w:i/>
          <w:sz w:val="22"/>
          <w:szCs w:val="22"/>
          <w:lang w:val="lt-LT"/>
        </w:rPr>
        <w:t>Gliptinai</w:t>
      </w:r>
      <w:r w:rsidRPr="00BA0735">
        <w:rPr>
          <w:sz w:val="22"/>
          <w:szCs w:val="22"/>
          <w:lang w:val="lt-LT"/>
        </w:rPr>
        <w:t xml:space="preserve"> (linagliptinas, saksagliptinas, sitagliptinas, vildagliptinas). Pacientams, tuo pat metu gydomiems gliptinais ir AKF inhibitoriais, kyla didesnė angioneurozinės edemos rizika dėl gliptinų sukeliamo dipeptidilpeptidazės IV (DPP-IV) aktyvumo sumažėjimo.</w:t>
      </w:r>
    </w:p>
    <w:p w:rsidR="00E93252" w:rsidRPr="00BA0735" w:rsidRDefault="00E93252" w:rsidP="00E93252">
      <w:pPr>
        <w:widowControl w:val="0"/>
        <w:autoSpaceDE w:val="0"/>
        <w:autoSpaceDN w:val="0"/>
        <w:adjustRightInd w:val="0"/>
        <w:rPr>
          <w:bCs/>
          <w:sz w:val="22"/>
          <w:szCs w:val="22"/>
          <w:lang w:val="lt-LT"/>
        </w:rPr>
      </w:pPr>
    </w:p>
    <w:p w:rsidR="00E93252" w:rsidRPr="00BA0735" w:rsidRDefault="00E93252" w:rsidP="00E93252">
      <w:pPr>
        <w:widowControl w:val="0"/>
        <w:autoSpaceDE w:val="0"/>
        <w:autoSpaceDN w:val="0"/>
        <w:adjustRightInd w:val="0"/>
        <w:rPr>
          <w:sz w:val="22"/>
          <w:szCs w:val="22"/>
          <w:lang w:val="lt-LT"/>
        </w:rPr>
      </w:pPr>
      <w:r w:rsidRPr="00BA0735">
        <w:rPr>
          <w:bCs/>
          <w:i/>
          <w:sz w:val="22"/>
          <w:szCs w:val="22"/>
          <w:lang w:val="lt-LT"/>
        </w:rPr>
        <w:t>Simpatomimetikai</w:t>
      </w:r>
      <w:r w:rsidRPr="00BA0735">
        <w:rPr>
          <w:i/>
          <w:sz w:val="22"/>
          <w:szCs w:val="22"/>
          <w:lang w:val="lt-LT"/>
        </w:rPr>
        <w:t>:</w:t>
      </w:r>
      <w:r w:rsidRPr="00BA0735">
        <w:rPr>
          <w:sz w:val="22"/>
          <w:szCs w:val="22"/>
          <w:lang w:val="lt-LT"/>
        </w:rPr>
        <w:t xml:space="preserve"> Simpatomimetikai gali mažinti AKF inhibitorių antihipertenzinį poveikį.</w:t>
      </w:r>
    </w:p>
    <w:p w:rsidR="00E93252" w:rsidRPr="00BA0735" w:rsidRDefault="00E93252" w:rsidP="00E93252">
      <w:pPr>
        <w:widowControl w:val="0"/>
        <w:autoSpaceDE w:val="0"/>
        <w:autoSpaceDN w:val="0"/>
        <w:adjustRightInd w:val="0"/>
        <w:rPr>
          <w:i/>
          <w:sz w:val="22"/>
          <w:szCs w:val="22"/>
          <w:lang w:val="lt-LT"/>
        </w:rPr>
      </w:pPr>
    </w:p>
    <w:p w:rsidR="00E93252" w:rsidRPr="00BA0735" w:rsidRDefault="00E93252" w:rsidP="00E93252">
      <w:pPr>
        <w:widowControl w:val="0"/>
        <w:autoSpaceDE w:val="0"/>
        <w:autoSpaceDN w:val="0"/>
        <w:adjustRightInd w:val="0"/>
        <w:rPr>
          <w:i/>
          <w:sz w:val="22"/>
          <w:szCs w:val="22"/>
          <w:u w:val="single"/>
          <w:lang w:val="lt-LT"/>
        </w:rPr>
      </w:pPr>
      <w:r w:rsidRPr="00BA0735">
        <w:rPr>
          <w:i/>
          <w:sz w:val="22"/>
          <w:szCs w:val="22"/>
          <w:lang w:val="lt-LT"/>
        </w:rPr>
        <w:t>Ciklosporinas:</w:t>
      </w:r>
      <w:r w:rsidRPr="00BA0735">
        <w:rPr>
          <w:i/>
          <w:sz w:val="22"/>
          <w:szCs w:val="22"/>
          <w:u w:val="single"/>
          <w:lang w:val="lt-LT"/>
        </w:rPr>
        <w:t xml:space="preserve"> </w:t>
      </w:r>
      <w:r w:rsidRPr="00BA0735">
        <w:rPr>
          <w:sz w:val="22"/>
          <w:szCs w:val="22"/>
          <w:lang w:val="lt-LT"/>
        </w:rPr>
        <w:t>AKF inhibitorių vartojant kartu su ciklosporinu gali pasireikšti hiperkalemija. Rekomenduojama stebėti kalio koncentraciją kraujo serume.</w:t>
      </w:r>
    </w:p>
    <w:p w:rsidR="00E93252" w:rsidRPr="00BA0735" w:rsidRDefault="00E93252" w:rsidP="00E93252">
      <w:pPr>
        <w:widowControl w:val="0"/>
        <w:autoSpaceDE w:val="0"/>
        <w:autoSpaceDN w:val="0"/>
        <w:adjustRightInd w:val="0"/>
        <w:rPr>
          <w:i/>
          <w:sz w:val="22"/>
          <w:szCs w:val="22"/>
          <w:lang w:val="lt-LT"/>
        </w:rPr>
      </w:pPr>
    </w:p>
    <w:p w:rsidR="00E93252" w:rsidRPr="00BA0735" w:rsidRDefault="00E93252" w:rsidP="00E93252">
      <w:pPr>
        <w:widowControl w:val="0"/>
        <w:autoSpaceDE w:val="0"/>
        <w:autoSpaceDN w:val="0"/>
        <w:adjustRightInd w:val="0"/>
        <w:rPr>
          <w:i/>
          <w:sz w:val="22"/>
          <w:szCs w:val="22"/>
          <w:u w:val="single"/>
          <w:lang w:val="lt-LT"/>
        </w:rPr>
      </w:pPr>
      <w:r w:rsidRPr="00BA0735">
        <w:rPr>
          <w:i/>
          <w:sz w:val="22"/>
          <w:szCs w:val="22"/>
          <w:lang w:val="lt-LT"/>
        </w:rPr>
        <w:t xml:space="preserve">Heparinas: </w:t>
      </w:r>
      <w:r w:rsidRPr="00BA0735">
        <w:rPr>
          <w:sz w:val="22"/>
          <w:szCs w:val="22"/>
          <w:lang w:val="lt-LT"/>
        </w:rPr>
        <w:t>AKF inhibitorių vartojant kartu su heparinu gali pasireikšti hiperkalemija. Rekomenduojama stebėti kalio koncentraciją kraujo serume.</w:t>
      </w:r>
    </w:p>
    <w:p w:rsidR="00E93252" w:rsidRPr="00BA0735" w:rsidRDefault="00E93252" w:rsidP="00E93252">
      <w:pPr>
        <w:widowControl w:val="0"/>
        <w:autoSpaceDE w:val="0"/>
        <w:autoSpaceDN w:val="0"/>
        <w:rPr>
          <w:sz w:val="22"/>
          <w:szCs w:val="22"/>
          <w:lang w:val="lt-LT"/>
        </w:rPr>
      </w:pPr>
    </w:p>
    <w:p w:rsidR="00E93252" w:rsidRPr="00526D52" w:rsidRDefault="00E93252" w:rsidP="00E93252">
      <w:pPr>
        <w:widowControl w:val="0"/>
        <w:rPr>
          <w:i/>
          <w:sz w:val="22"/>
          <w:szCs w:val="22"/>
          <w:lang w:val="lt-LT"/>
        </w:rPr>
      </w:pPr>
      <w:r w:rsidRPr="00526D52">
        <w:rPr>
          <w:sz w:val="22"/>
          <w:szCs w:val="22"/>
          <w:lang w:val="lt-LT"/>
        </w:rPr>
        <w:t>Susijusi su indapamidu</w:t>
      </w:r>
    </w:p>
    <w:p w:rsidR="00E93252" w:rsidRPr="00BA0735" w:rsidRDefault="00E93252" w:rsidP="00E93252">
      <w:pPr>
        <w:widowControl w:val="0"/>
        <w:rPr>
          <w:i/>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Vaistiniai preparatai, kurių vartojant kartu būtinas specialus atsargumas</w:t>
      </w:r>
    </w:p>
    <w:p w:rsidR="00E93252" w:rsidRPr="00BA0735" w:rsidRDefault="00E93252" w:rsidP="00E93252">
      <w:pPr>
        <w:widowControl w:val="0"/>
        <w:rPr>
          <w:i/>
          <w:sz w:val="22"/>
          <w:szCs w:val="22"/>
          <w:u w:val="single"/>
          <w:lang w:val="lt-LT"/>
        </w:rPr>
      </w:pPr>
    </w:p>
    <w:p w:rsidR="00E93252" w:rsidRPr="00BA0735" w:rsidRDefault="00E93252" w:rsidP="00E93252">
      <w:pPr>
        <w:widowControl w:val="0"/>
        <w:rPr>
          <w:i/>
          <w:sz w:val="22"/>
          <w:szCs w:val="22"/>
          <w:lang w:val="lt-LT"/>
        </w:rPr>
      </w:pPr>
      <w:r w:rsidRPr="00BA0735">
        <w:rPr>
          <w:i/>
          <w:sz w:val="22"/>
          <w:szCs w:val="22"/>
          <w:lang w:val="lt-LT"/>
        </w:rPr>
        <w:t>Torsades de pointes tachikardiją sukeliantys preparatai:</w:t>
      </w:r>
    </w:p>
    <w:p w:rsidR="00E93252" w:rsidRPr="00BA0735" w:rsidRDefault="00E93252" w:rsidP="00526D52">
      <w:pPr>
        <w:widowControl w:val="0"/>
        <w:rPr>
          <w:rFonts w:eastAsia="Calibri"/>
          <w:sz w:val="22"/>
          <w:szCs w:val="22"/>
          <w:lang w:val="lt-LT"/>
        </w:rPr>
      </w:pPr>
      <w:r w:rsidRPr="00BA0735">
        <w:rPr>
          <w:sz w:val="22"/>
          <w:szCs w:val="22"/>
          <w:lang w:val="lt-LT"/>
        </w:rPr>
        <w:t xml:space="preserve">Kadangi kyla hipokalemijos rizika, indapamido būtina atsargiai vartoti su </w:t>
      </w:r>
      <w:r w:rsidRPr="00BA0735">
        <w:rPr>
          <w:i/>
          <w:sz w:val="22"/>
          <w:szCs w:val="22"/>
          <w:lang w:val="lt-LT"/>
        </w:rPr>
        <w:t>torsades de pointes</w:t>
      </w:r>
      <w:r w:rsidRPr="00BA0735">
        <w:rPr>
          <w:sz w:val="22"/>
          <w:szCs w:val="22"/>
          <w:lang w:val="lt-LT"/>
        </w:rPr>
        <w:t xml:space="preserve"> tachikardiją sukeliančiais preparatais</w:t>
      </w:r>
      <w:r w:rsidR="00001FFE">
        <w:rPr>
          <w:sz w:val="22"/>
          <w:szCs w:val="22"/>
          <w:lang w:val="lt-LT"/>
        </w:rPr>
        <w:t xml:space="preserve"> bet neapsiribojant vien</w:t>
      </w:r>
      <w:r w:rsidRPr="00BA0735">
        <w:rPr>
          <w:sz w:val="22"/>
          <w:szCs w:val="22"/>
          <w:lang w:val="lt-LT"/>
        </w:rPr>
        <w:t>: IA klasės antiaritminiais preparatais (</w:t>
      </w:r>
      <w:r w:rsidR="00001FFE">
        <w:rPr>
          <w:sz w:val="22"/>
          <w:szCs w:val="22"/>
          <w:lang w:val="lt-LT"/>
        </w:rPr>
        <w:t xml:space="preserve">pvz., </w:t>
      </w:r>
      <w:r w:rsidRPr="00BA0735">
        <w:rPr>
          <w:sz w:val="22"/>
          <w:szCs w:val="22"/>
          <w:lang w:val="lt-LT"/>
        </w:rPr>
        <w:t>chinidinu, hidrochinidinu, dizopiramidu), III klasės antiaritminiais preparatais (</w:t>
      </w:r>
      <w:r w:rsidR="00001FFE">
        <w:rPr>
          <w:sz w:val="22"/>
          <w:szCs w:val="22"/>
          <w:lang w:val="lt-LT"/>
        </w:rPr>
        <w:t xml:space="preserve">pvz., </w:t>
      </w:r>
      <w:r w:rsidRPr="00BA0735">
        <w:rPr>
          <w:sz w:val="22"/>
          <w:szCs w:val="22"/>
          <w:lang w:val="lt-LT"/>
        </w:rPr>
        <w:t xml:space="preserve">amjodaronu, dofetilidu, ibutilidu, bretiliu, sotaloliu), kai kuriais </w:t>
      </w:r>
      <w:r w:rsidR="00001FFE" w:rsidRPr="00001FFE">
        <w:rPr>
          <w:sz w:val="22"/>
          <w:szCs w:val="22"/>
          <w:lang w:val="lt-LT"/>
        </w:rPr>
        <w:t>antipsicho</w:t>
      </w:r>
      <w:r w:rsidR="00001FFE">
        <w:rPr>
          <w:sz w:val="22"/>
          <w:szCs w:val="22"/>
          <w:lang w:val="lt-LT"/>
        </w:rPr>
        <w:t>t</w:t>
      </w:r>
      <w:r w:rsidR="00001FFE" w:rsidRPr="00001FFE">
        <w:rPr>
          <w:sz w:val="22"/>
          <w:szCs w:val="22"/>
          <w:lang w:val="lt-LT"/>
        </w:rPr>
        <w:t>iniai</w:t>
      </w:r>
      <w:r w:rsidR="00001FFE">
        <w:rPr>
          <w:sz w:val="22"/>
          <w:szCs w:val="22"/>
          <w:lang w:val="lt-LT"/>
        </w:rPr>
        <w:t>s</w:t>
      </w:r>
      <w:r w:rsidR="00001FFE" w:rsidRPr="00001FFE">
        <w:rPr>
          <w:sz w:val="22"/>
          <w:szCs w:val="22"/>
          <w:lang w:val="lt-LT"/>
        </w:rPr>
        <w:t xml:space="preserve"> fenotiazinai</w:t>
      </w:r>
      <w:r w:rsidR="00001FFE">
        <w:rPr>
          <w:sz w:val="22"/>
          <w:szCs w:val="22"/>
          <w:lang w:val="lt-LT"/>
        </w:rPr>
        <w:t>s</w:t>
      </w:r>
      <w:r w:rsidRPr="00BA0735">
        <w:rPr>
          <w:sz w:val="22"/>
          <w:szCs w:val="22"/>
          <w:lang w:val="lt-LT"/>
        </w:rPr>
        <w:t xml:space="preserve"> (</w:t>
      </w:r>
      <w:r w:rsidR="00001FFE">
        <w:rPr>
          <w:sz w:val="22"/>
          <w:szCs w:val="22"/>
          <w:lang w:val="lt-LT"/>
        </w:rPr>
        <w:t xml:space="preserve">pvz., </w:t>
      </w:r>
      <w:r w:rsidRPr="00BA0735">
        <w:rPr>
          <w:sz w:val="22"/>
          <w:szCs w:val="22"/>
          <w:lang w:val="lt-LT"/>
        </w:rPr>
        <w:t>chlorpromazinu, ciamemazinu, levomepromazinu, tioridazinu, trifluoperazinu); benzamidais (</w:t>
      </w:r>
      <w:r w:rsidR="00621BDE">
        <w:rPr>
          <w:sz w:val="22"/>
          <w:szCs w:val="22"/>
          <w:lang w:val="lt-LT"/>
        </w:rPr>
        <w:t xml:space="preserve">pvz., </w:t>
      </w:r>
      <w:r w:rsidRPr="00BA0735">
        <w:rPr>
          <w:sz w:val="22"/>
          <w:szCs w:val="22"/>
          <w:lang w:val="lt-LT"/>
        </w:rPr>
        <w:t>amisulpridu, sulpiridu, sultopridu, tiapridu), butirofenonais (</w:t>
      </w:r>
      <w:r w:rsidR="00621BDE">
        <w:rPr>
          <w:sz w:val="22"/>
          <w:szCs w:val="22"/>
          <w:lang w:val="lt-LT"/>
        </w:rPr>
        <w:t xml:space="preserve">pvz., </w:t>
      </w:r>
      <w:r w:rsidRPr="00BA0735">
        <w:rPr>
          <w:sz w:val="22"/>
          <w:szCs w:val="22"/>
          <w:lang w:val="lt-LT"/>
        </w:rPr>
        <w:t>droperidoliu, haloperidoliu); kitais neuroleptikais (pimozidu), kitais preparatais, pvz., bepridiliu, cisapridu, difemaniliu, į veną leidžiamu eritromicinu, halofantrinu, mizolastinu, moksifloksacinu, pentamidinu, sparfloksacinu, į veną leidžiamu vinkaminu, metadonu, astemizolu, terfenadinu.</w:t>
      </w:r>
    </w:p>
    <w:p w:rsidR="00E93252" w:rsidRPr="00BA0735" w:rsidRDefault="00E93252" w:rsidP="00E93252">
      <w:pPr>
        <w:widowControl w:val="0"/>
        <w:rPr>
          <w:sz w:val="22"/>
          <w:szCs w:val="22"/>
          <w:lang w:val="lt-LT"/>
        </w:rPr>
      </w:pPr>
      <w:r w:rsidRPr="00BA0735">
        <w:rPr>
          <w:sz w:val="22"/>
          <w:szCs w:val="22"/>
          <w:lang w:val="lt-LT"/>
        </w:rPr>
        <w:t>Rekomenduojama neleisti sumažėti kalio koncentracijai serume, koreguoti pasireiškusią hipokalemiją ir, jei reikia, matuoti QT intervalą.</w:t>
      </w:r>
    </w:p>
    <w:p w:rsidR="00E93252" w:rsidRPr="00BA0735" w:rsidRDefault="00E93252" w:rsidP="00E93252">
      <w:pPr>
        <w:widowControl w:val="0"/>
        <w:rPr>
          <w:sz w:val="22"/>
          <w:szCs w:val="22"/>
          <w:lang w:val="lt-LT"/>
        </w:rPr>
      </w:pPr>
    </w:p>
    <w:p w:rsidR="00E93252" w:rsidRPr="00BA0735" w:rsidRDefault="00E93252" w:rsidP="00E93252">
      <w:pPr>
        <w:widowControl w:val="0"/>
        <w:autoSpaceDE w:val="0"/>
        <w:autoSpaceDN w:val="0"/>
        <w:adjustRightInd w:val="0"/>
        <w:rPr>
          <w:i/>
          <w:color w:val="000000"/>
          <w:sz w:val="22"/>
          <w:szCs w:val="22"/>
          <w:lang w:val="lt-LT"/>
        </w:rPr>
      </w:pPr>
      <w:r w:rsidRPr="00BA0735">
        <w:rPr>
          <w:i/>
          <w:color w:val="000000"/>
          <w:sz w:val="22"/>
          <w:szCs w:val="22"/>
          <w:lang w:val="lt-LT"/>
        </w:rPr>
        <w:t>Kalio kiekį organizme mažinantys preparatai (amfotericinas B (IV kartos), sisteminiai gliukokortikoidai ir mineralokortikoidai (sisteminio poveikio), tetrakozaktidas, dirginančio poveikio vidurių laisvinamieji preparatai)</w:t>
      </w:r>
    </w:p>
    <w:p w:rsidR="00E93252" w:rsidRPr="00BA0735" w:rsidRDefault="00E93252" w:rsidP="00E93252">
      <w:pPr>
        <w:widowControl w:val="0"/>
        <w:rPr>
          <w:sz w:val="22"/>
          <w:szCs w:val="22"/>
          <w:lang w:val="lt-LT"/>
        </w:rPr>
      </w:pPr>
      <w:r w:rsidRPr="00BA0735">
        <w:rPr>
          <w:color w:val="000000"/>
          <w:sz w:val="22"/>
          <w:szCs w:val="22"/>
          <w:lang w:val="lt-LT"/>
        </w:rPr>
        <w:t xml:space="preserve">Didėja mažo kalio kiekio rizika (poveikis būna adityvus). </w:t>
      </w:r>
      <w:r w:rsidRPr="00BA0735">
        <w:rPr>
          <w:sz w:val="22"/>
          <w:szCs w:val="22"/>
          <w:lang w:val="lt-LT"/>
        </w:rPr>
        <w:t xml:space="preserve">Būtina matuoti ir, jei reikia, koreguoti kalio koncentraciją plazmoje. Ypač atsargiai būtina gydyti širdį veikiančių glikozidų vartojančius pacientus. Turėtų būti vartojami </w:t>
      </w:r>
      <w:r w:rsidRPr="00BA0735">
        <w:rPr>
          <w:color w:val="000000"/>
          <w:sz w:val="22"/>
          <w:szCs w:val="22"/>
          <w:lang w:val="lt-LT"/>
        </w:rPr>
        <w:t>dirginančio poveikio vidurių laisvinamieji preparatai.</w:t>
      </w:r>
    </w:p>
    <w:p w:rsidR="00E93252" w:rsidRPr="00BA0735" w:rsidRDefault="00E93252" w:rsidP="00E93252">
      <w:pPr>
        <w:widowControl w:val="0"/>
        <w:rPr>
          <w:sz w:val="22"/>
          <w:szCs w:val="22"/>
          <w:lang w:val="lt-LT"/>
        </w:rPr>
      </w:pPr>
    </w:p>
    <w:p w:rsidR="00C72B2D" w:rsidRPr="002B45FE" w:rsidRDefault="00E93252" w:rsidP="00C72B2D">
      <w:pPr>
        <w:widowControl w:val="0"/>
        <w:tabs>
          <w:tab w:val="left" w:pos="1296"/>
        </w:tabs>
        <w:autoSpaceDE w:val="0"/>
        <w:autoSpaceDN w:val="0"/>
        <w:snapToGrid w:val="0"/>
        <w:rPr>
          <w:sz w:val="22"/>
          <w:szCs w:val="22"/>
          <w:lang w:val="lt-LT"/>
        </w:rPr>
      </w:pPr>
      <w:r w:rsidRPr="00BA0735">
        <w:rPr>
          <w:i/>
          <w:sz w:val="22"/>
          <w:szCs w:val="22"/>
          <w:lang w:val="lt-LT"/>
        </w:rPr>
        <w:t>Širdį veikiantys glikozidai</w:t>
      </w:r>
      <w:r w:rsidRPr="00631180">
        <w:rPr>
          <w:sz w:val="22"/>
          <w:szCs w:val="22"/>
          <w:lang w:val="lt-LT"/>
        </w:rPr>
        <w:t xml:space="preserve">: </w:t>
      </w:r>
      <w:r w:rsidR="00C72B2D" w:rsidRPr="00631180">
        <w:rPr>
          <w:sz w:val="22"/>
          <w:szCs w:val="22"/>
          <w:lang w:val="lt-LT"/>
        </w:rPr>
        <w:t>Hipokalemija ir (arba) hipomagnezemija didina toksinio rusmenės preparatų poveikio tikimybę. Reikia matuoti kalio ir magnio koncentracijas plazmoje, registruoti EKG ir, jei reikia, keisti gydymą.</w:t>
      </w:r>
    </w:p>
    <w:p w:rsidR="00E93252" w:rsidRPr="00BA0735" w:rsidRDefault="00E93252" w:rsidP="00E93252">
      <w:pPr>
        <w:widowControl w:val="0"/>
        <w:rPr>
          <w:sz w:val="22"/>
          <w:szCs w:val="22"/>
          <w:lang w:val="lt-LT"/>
        </w:rPr>
      </w:pPr>
    </w:p>
    <w:p w:rsidR="00C01C47" w:rsidRPr="008B3A7C" w:rsidRDefault="00C01C47" w:rsidP="00E93252">
      <w:pPr>
        <w:widowControl w:val="0"/>
        <w:rPr>
          <w:sz w:val="22"/>
          <w:szCs w:val="22"/>
          <w:lang w:val="lt-LT"/>
        </w:rPr>
      </w:pPr>
      <w:r w:rsidRPr="008B3A7C">
        <w:rPr>
          <w:sz w:val="22"/>
          <w:szCs w:val="22"/>
          <w:lang w:val="lt-LT"/>
        </w:rPr>
        <w:t>Allopurinolis: kartu vartojant indapamidą, gali pad</w:t>
      </w:r>
      <w:r w:rsidR="00F5533D">
        <w:rPr>
          <w:sz w:val="22"/>
          <w:szCs w:val="22"/>
          <w:lang w:val="lt-LT"/>
        </w:rPr>
        <w:t>ažnėti</w:t>
      </w:r>
      <w:r w:rsidRPr="00C01C47">
        <w:rPr>
          <w:sz w:val="22"/>
          <w:szCs w:val="22"/>
          <w:lang w:val="lt-LT"/>
        </w:rPr>
        <w:t xml:space="preserve"> </w:t>
      </w:r>
      <w:r w:rsidRPr="008B3A7C">
        <w:rPr>
          <w:sz w:val="22"/>
          <w:szCs w:val="22"/>
          <w:lang w:val="lt-LT"/>
        </w:rPr>
        <w:t>padidėjusio jautrumo reakcijų į alopurinolį.</w:t>
      </w:r>
    </w:p>
    <w:p w:rsidR="00C01C47" w:rsidRDefault="00C01C47" w:rsidP="00E93252">
      <w:pPr>
        <w:widowControl w:val="0"/>
        <w:rPr>
          <w:i/>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Vaistiniai preparatai, kurių vartojant kartu būtinos kai kurios atsargumo priemonės</w:t>
      </w:r>
    </w:p>
    <w:p w:rsidR="00E93252" w:rsidRDefault="00E93252" w:rsidP="00E93252">
      <w:pPr>
        <w:widowControl w:val="0"/>
        <w:rPr>
          <w:sz w:val="22"/>
          <w:szCs w:val="22"/>
          <w:lang w:val="lt-LT"/>
        </w:rPr>
      </w:pPr>
    </w:p>
    <w:p w:rsidR="00C01C47" w:rsidRDefault="00C01C47" w:rsidP="00E93252">
      <w:pPr>
        <w:widowControl w:val="0"/>
        <w:rPr>
          <w:sz w:val="22"/>
          <w:szCs w:val="22"/>
          <w:lang w:val="lt-LT"/>
        </w:rPr>
      </w:pPr>
      <w:r w:rsidRPr="00C01C47">
        <w:rPr>
          <w:sz w:val="22"/>
          <w:szCs w:val="22"/>
          <w:lang w:val="lt-LT"/>
        </w:rPr>
        <w:t>Kalį organizme sulaikantys diuretikai (amiloridas, spiro</w:t>
      </w:r>
      <w:r>
        <w:rPr>
          <w:sz w:val="22"/>
          <w:szCs w:val="22"/>
          <w:lang w:val="lt-LT"/>
        </w:rPr>
        <w:t xml:space="preserve">nolaktonas, triamterenas): </w:t>
      </w:r>
      <w:r w:rsidRPr="00C01C47">
        <w:rPr>
          <w:sz w:val="22"/>
          <w:szCs w:val="22"/>
          <w:lang w:val="lt-LT"/>
        </w:rPr>
        <w:t xml:space="preserve">kai kuriems pacientams racionalūs deriniai yra naudingi, </w:t>
      </w:r>
      <w:r>
        <w:rPr>
          <w:sz w:val="22"/>
          <w:szCs w:val="22"/>
          <w:lang w:val="lt-LT"/>
        </w:rPr>
        <w:t xml:space="preserve">tačiau </w:t>
      </w:r>
      <w:r w:rsidRPr="00C01C47">
        <w:rPr>
          <w:sz w:val="22"/>
          <w:szCs w:val="22"/>
          <w:lang w:val="lt-LT"/>
        </w:rPr>
        <w:t>vis tiek gali pasireikšti hipokalemija ar hiperkalemija (ypač pacientams, sergantiems inkstų nepakankamumu ar diabetu). Reikia stebėti kalio koncentraciją plazmoje ir EKG, o prireikus - peržiūrėti gydymą.</w:t>
      </w:r>
    </w:p>
    <w:p w:rsidR="00C01C47" w:rsidRPr="00BA0735" w:rsidRDefault="00C01C47"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Metforminas</w:t>
      </w:r>
    </w:p>
    <w:p w:rsidR="00E93252" w:rsidRPr="00BA0735" w:rsidRDefault="00E93252" w:rsidP="00E93252">
      <w:pPr>
        <w:widowControl w:val="0"/>
        <w:rPr>
          <w:sz w:val="22"/>
          <w:szCs w:val="22"/>
          <w:lang w:val="lt-LT"/>
        </w:rPr>
      </w:pPr>
      <w:r w:rsidRPr="00BA0735">
        <w:rPr>
          <w:sz w:val="22"/>
          <w:szCs w:val="22"/>
          <w:lang w:val="lt-LT"/>
        </w:rPr>
        <w:t>Metformino sukeliama laktatų acidozė siejama su diuretikų, ypač kilpinių, sukeliamu funkciniu inkstų nepakankamumu. Jeigu vyrų kraujo plazmoje kreatinino koncentracija yra didesnė negu 15 mg/l (135</w:t>
      </w:r>
      <w:r w:rsidR="00B31A3A">
        <w:rPr>
          <w:sz w:val="22"/>
          <w:szCs w:val="22"/>
          <w:lang w:val="lt-LT"/>
        </w:rPr>
        <w:t> </w:t>
      </w:r>
      <w:r w:rsidRPr="00BA0735">
        <w:rPr>
          <w:sz w:val="22"/>
          <w:szCs w:val="22"/>
          <w:lang w:val="lt-LT"/>
        </w:rPr>
        <w:t>mikromoliai/l), moterų − 12 mg/l (110</w:t>
      </w:r>
      <w:r w:rsidR="00B31A3A">
        <w:rPr>
          <w:sz w:val="22"/>
          <w:szCs w:val="22"/>
          <w:lang w:val="lt-LT"/>
        </w:rPr>
        <w:t> </w:t>
      </w:r>
      <w:r w:rsidRPr="00BA0735">
        <w:rPr>
          <w:sz w:val="22"/>
          <w:szCs w:val="22"/>
          <w:lang w:val="lt-LT"/>
        </w:rPr>
        <w:t>mikromolių/l), metformino vartoti negalima.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i/>
          <w:sz w:val="22"/>
          <w:szCs w:val="22"/>
          <w:lang w:val="lt-LT"/>
        </w:rPr>
        <w:t>Kontrastą sukeliantys preparatai, kuriuose yra jodo</w:t>
      </w:r>
      <w:r w:rsidRPr="00BA0735">
        <w:rPr>
          <w:sz w:val="22"/>
          <w:szCs w:val="22"/>
          <w:lang w:val="lt-LT"/>
        </w:rPr>
        <w:t>: Jeigu yra diuretikų sukelta dehidracija, didėja ūminio inkstų nepakankamumo rizika, ypač jei kartu vartojamos didelės kontrastą sukeliančių preparatų, kuriuose yra jodo, dozės. Prieš preparatų, kuriuose yra jodo, vartojimą būtina rehidracija</w:t>
      </w:r>
    </w:p>
    <w:p w:rsidR="00E93252" w:rsidRPr="00BA0735" w:rsidRDefault="00E93252" w:rsidP="00E93252">
      <w:pPr>
        <w:widowControl w:val="0"/>
        <w:rPr>
          <w:sz w:val="22"/>
          <w:szCs w:val="22"/>
          <w:lang w:val="lt-LT"/>
        </w:rPr>
      </w:pPr>
    </w:p>
    <w:p w:rsidR="00E93252" w:rsidRPr="00BA0735" w:rsidRDefault="00E93252" w:rsidP="00E93252">
      <w:pPr>
        <w:widowControl w:val="0"/>
        <w:autoSpaceDE w:val="0"/>
        <w:autoSpaceDN w:val="0"/>
        <w:rPr>
          <w:sz w:val="22"/>
          <w:szCs w:val="22"/>
          <w:lang w:val="lt-LT"/>
        </w:rPr>
      </w:pPr>
      <w:r w:rsidRPr="00BA0735">
        <w:rPr>
          <w:i/>
          <w:sz w:val="22"/>
          <w:szCs w:val="22"/>
          <w:lang w:val="lt-LT"/>
        </w:rPr>
        <w:t>Kalcis (jo druskos)</w:t>
      </w:r>
      <w:r w:rsidRPr="00BA0735">
        <w:rPr>
          <w:sz w:val="22"/>
          <w:szCs w:val="22"/>
          <w:lang w:val="lt-LT"/>
        </w:rPr>
        <w:t xml:space="preserve">: Kadangi mažėja kalcio išsiskyrimas su šlapimu, didėja hiperkalcemijos atsiradimo </w:t>
      </w:r>
      <w:r w:rsidRPr="00BA0735">
        <w:rPr>
          <w:sz w:val="22"/>
          <w:szCs w:val="22"/>
          <w:lang w:val="lt-LT"/>
        </w:rPr>
        <w:lastRenderedPageBreak/>
        <w:t>rizika.</w:t>
      </w:r>
    </w:p>
    <w:p w:rsidR="00E93252" w:rsidRPr="00BA0735" w:rsidRDefault="00E93252" w:rsidP="00E93252">
      <w:pPr>
        <w:widowControl w:val="0"/>
        <w:rPr>
          <w:i/>
          <w:sz w:val="22"/>
          <w:szCs w:val="22"/>
          <w:lang w:val="lt-LT"/>
        </w:rPr>
      </w:pPr>
    </w:p>
    <w:p w:rsidR="00E93252" w:rsidRPr="00BA0735" w:rsidRDefault="00E93252" w:rsidP="00E93252">
      <w:pPr>
        <w:widowControl w:val="0"/>
        <w:autoSpaceDE w:val="0"/>
        <w:autoSpaceDN w:val="0"/>
        <w:rPr>
          <w:sz w:val="22"/>
          <w:szCs w:val="22"/>
          <w:lang w:val="lt-LT"/>
        </w:rPr>
      </w:pPr>
      <w:r w:rsidRPr="00BA0735">
        <w:rPr>
          <w:i/>
          <w:sz w:val="22"/>
          <w:szCs w:val="22"/>
          <w:lang w:val="lt-LT"/>
        </w:rPr>
        <w:t>Ciklosporinas, takrolimuzas</w:t>
      </w:r>
      <w:r w:rsidRPr="00BA0735">
        <w:rPr>
          <w:sz w:val="22"/>
          <w:szCs w:val="22"/>
          <w:lang w:val="lt-LT"/>
        </w:rPr>
        <w:t>: Kreatinino koncentracija serume gali padidėti, ciklosporino koncentracijai nekintant, net tuo atveju, jei druskų ir vandens organizme netrūksta.</w:t>
      </w:r>
    </w:p>
    <w:p w:rsidR="00E93252" w:rsidRPr="00BA0735" w:rsidRDefault="00E93252" w:rsidP="00E93252">
      <w:pPr>
        <w:widowControl w:val="0"/>
        <w:autoSpaceDE w:val="0"/>
        <w:autoSpaceDN w:val="0"/>
        <w:rPr>
          <w:sz w:val="22"/>
          <w:szCs w:val="22"/>
          <w:lang w:val="lt-LT"/>
        </w:rPr>
      </w:pPr>
    </w:p>
    <w:p w:rsidR="00E93252" w:rsidRPr="00BA0735" w:rsidRDefault="00E93252" w:rsidP="00E93252">
      <w:pPr>
        <w:widowControl w:val="0"/>
        <w:autoSpaceDE w:val="0"/>
        <w:autoSpaceDN w:val="0"/>
        <w:rPr>
          <w:sz w:val="22"/>
          <w:szCs w:val="22"/>
          <w:lang w:val="lt-LT"/>
        </w:rPr>
      </w:pPr>
      <w:r w:rsidRPr="00BA0735">
        <w:rPr>
          <w:rFonts w:eastAsia="Calibri"/>
          <w:i/>
          <w:sz w:val="22"/>
          <w:szCs w:val="22"/>
          <w:lang w:val="lt-LT" w:eastAsia="en-US"/>
        </w:rPr>
        <w:t>Kortikosteroidai, tetrakozaktidas (vartojant sisteminiškai):</w:t>
      </w:r>
      <w:r w:rsidRPr="00BA0735">
        <w:rPr>
          <w:rFonts w:eastAsia="Calibri"/>
          <w:sz w:val="22"/>
          <w:szCs w:val="22"/>
          <w:lang w:val="lt-LT" w:eastAsia="en-US"/>
        </w:rPr>
        <w:t xml:space="preserve"> Antihipertenzinio poveikio susilpnėjimas (kortikosteroidų sukeltas elektrolitų ir skysčių susilaikymas).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30" w:name="_Toc129243107"/>
      <w:bookmarkStart w:id="31" w:name="_Toc129243232"/>
      <w:r w:rsidRPr="00BA0735">
        <w:rPr>
          <w:b/>
          <w:kern w:val="28"/>
          <w:sz w:val="22"/>
          <w:szCs w:val="22"/>
          <w:lang w:val="lt-LT"/>
        </w:rPr>
        <w:t>4.6</w:t>
      </w:r>
      <w:r w:rsidRPr="00BA0735">
        <w:rPr>
          <w:b/>
          <w:kern w:val="28"/>
          <w:sz w:val="22"/>
          <w:szCs w:val="22"/>
          <w:lang w:val="lt-LT"/>
        </w:rPr>
        <w:tab/>
        <w:t>Vaisingumas, nėštumo ir žindymo laikotarpis</w:t>
      </w:r>
      <w:bookmarkEnd w:id="30"/>
      <w:bookmarkEnd w:id="31"/>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Atsižvelgiant į šiame kombinuotame preparate esančių veikliųjų medžiagų poveikį nėštumui ir žindymui, Prenewel pirmąjį nėštumo trimestrą vartoti nerekomenduojama, o antrąjį ir trečiąjį nėštumo trimestrą draudžiama.</w:t>
      </w:r>
    </w:p>
    <w:p w:rsidR="00E93252" w:rsidRPr="00BA0735" w:rsidRDefault="00E93252" w:rsidP="00E93252">
      <w:pPr>
        <w:widowControl w:val="0"/>
        <w:rPr>
          <w:sz w:val="22"/>
          <w:szCs w:val="22"/>
          <w:lang w:val="lt-LT"/>
        </w:rPr>
      </w:pPr>
      <w:r w:rsidRPr="00BA0735">
        <w:rPr>
          <w:sz w:val="22"/>
          <w:szCs w:val="22"/>
          <w:lang w:val="lt-LT"/>
        </w:rPr>
        <w:t xml:space="preserve">Žindymo laikotarpiu Prenewel vartoti </w:t>
      </w:r>
      <w:r w:rsidR="006607F7" w:rsidRPr="006607F7">
        <w:rPr>
          <w:sz w:val="22"/>
          <w:szCs w:val="22"/>
          <w:lang w:val="lt-LT"/>
        </w:rPr>
        <w:t>nerekomenduojama</w:t>
      </w:r>
      <w:r w:rsidRPr="00BA0735">
        <w:rPr>
          <w:sz w:val="22"/>
          <w:szCs w:val="22"/>
          <w:lang w:val="lt-LT"/>
        </w:rPr>
        <w:t>. Atsižvelgiant į gydymo svarbą motinai, būtina nuspręsti, ar nutraukti žindymą, ar Prenewel vartojimą.</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bookmarkStart w:id="32" w:name="OLE_LINK17"/>
      <w:bookmarkStart w:id="33" w:name="OLE_LINK18"/>
      <w:r w:rsidRPr="00BA0735">
        <w:rPr>
          <w:i/>
          <w:sz w:val="22"/>
          <w:szCs w:val="22"/>
          <w:lang w:val="lt-LT"/>
        </w:rPr>
        <w:t>Nėštumo laikotarpis</w:t>
      </w:r>
    </w:p>
    <w:p w:rsidR="00E93252" w:rsidRPr="00BA0735" w:rsidRDefault="00E93252" w:rsidP="00E93252">
      <w:pPr>
        <w:widowControl w:val="0"/>
        <w:rPr>
          <w:i/>
          <w:sz w:val="22"/>
          <w:szCs w:val="22"/>
          <w:lang w:val="lt-LT"/>
        </w:rPr>
      </w:pPr>
    </w:p>
    <w:p w:rsidR="00E93252" w:rsidRPr="00BA0735" w:rsidRDefault="00E93252" w:rsidP="00E93252">
      <w:pPr>
        <w:widowControl w:val="0"/>
        <w:autoSpaceDE w:val="0"/>
        <w:autoSpaceDN w:val="0"/>
        <w:adjustRightInd w:val="0"/>
        <w:rPr>
          <w:b/>
          <w:iCs/>
          <w:sz w:val="22"/>
          <w:szCs w:val="22"/>
          <w:lang w:val="lt-LT"/>
        </w:rPr>
      </w:pPr>
      <w:r w:rsidRPr="00BA0735">
        <w:rPr>
          <w:b/>
          <w:sz w:val="22"/>
          <w:szCs w:val="22"/>
          <w:lang w:val="lt-LT"/>
        </w:rPr>
        <w:t>Susiję su perindopriliu</w:t>
      </w: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BA0735">
        <w:rPr>
          <w:sz w:val="22"/>
          <w:szCs w:val="22"/>
          <w:lang w:val="lt-LT"/>
        </w:rPr>
        <w:t>Pirmuoju nėštumo trimestru AKF inhibitorių vartoti nerekomenduojama (žr. 4.4</w:t>
      </w:r>
      <w:r w:rsidR="00691D21">
        <w:rPr>
          <w:sz w:val="22"/>
          <w:szCs w:val="22"/>
          <w:lang w:val="lt-LT"/>
        </w:rPr>
        <w:t> </w:t>
      </w:r>
      <w:r w:rsidRPr="00BA0735">
        <w:rPr>
          <w:sz w:val="22"/>
          <w:szCs w:val="22"/>
          <w:lang w:val="lt-LT"/>
        </w:rPr>
        <w:t>skyrių). Antruoju ir trečiuoju nėštumo trimestrais jų vartoti draudžiama (žr. 4.3 ir 4.4</w:t>
      </w:r>
      <w:r w:rsidR="00691D21">
        <w:rPr>
          <w:sz w:val="22"/>
          <w:szCs w:val="22"/>
          <w:lang w:val="lt-LT"/>
        </w:rPr>
        <w:t> </w:t>
      </w:r>
      <w:r w:rsidRPr="00BA0735">
        <w:rPr>
          <w:sz w:val="22"/>
          <w:szCs w:val="22"/>
          <w:lang w:val="lt-LT"/>
        </w:rPr>
        <w:t>skyrius).</w:t>
      </w:r>
    </w:p>
    <w:p w:rsidR="00E93252" w:rsidRPr="00BA0735" w:rsidRDefault="00E93252" w:rsidP="00E93252">
      <w:pPr>
        <w:widowControl w:val="0"/>
        <w:tabs>
          <w:tab w:val="left" w:pos="567"/>
        </w:tabs>
        <w:rPr>
          <w:sz w:val="22"/>
          <w:szCs w:val="22"/>
          <w:lang w:val="lt-LT"/>
        </w:rPr>
      </w:pPr>
    </w:p>
    <w:p w:rsidR="00E93252" w:rsidRPr="00BA0735" w:rsidRDefault="00E93252" w:rsidP="00E93252">
      <w:pPr>
        <w:widowControl w:val="0"/>
        <w:tabs>
          <w:tab w:val="left" w:pos="567"/>
        </w:tabs>
        <w:rPr>
          <w:sz w:val="22"/>
          <w:szCs w:val="22"/>
          <w:lang w:val="lt-LT"/>
        </w:rPr>
      </w:pPr>
      <w:r w:rsidRPr="00BA0735">
        <w:rPr>
          <w:sz w:val="22"/>
          <w:szCs w:val="22"/>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E93252" w:rsidRPr="00BA0735" w:rsidRDefault="00E93252" w:rsidP="00E93252">
      <w:pPr>
        <w:widowControl w:val="0"/>
        <w:tabs>
          <w:tab w:val="left" w:pos="567"/>
        </w:tabs>
        <w:rPr>
          <w:sz w:val="22"/>
          <w:szCs w:val="22"/>
          <w:lang w:val="lt-LT"/>
        </w:rPr>
      </w:pPr>
      <w:r w:rsidRPr="00BA0735">
        <w:rPr>
          <w:sz w:val="22"/>
          <w:szCs w:val="22"/>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w:t>
      </w:r>
      <w:r w:rsidR="00691D21">
        <w:rPr>
          <w:sz w:val="22"/>
          <w:szCs w:val="22"/>
          <w:lang w:val="lt-LT"/>
        </w:rPr>
        <w:t> </w:t>
      </w:r>
      <w:r w:rsidRPr="00BA0735">
        <w:rPr>
          <w:sz w:val="22"/>
          <w:szCs w:val="22"/>
          <w:lang w:val="lt-LT"/>
        </w:rPr>
        <w:t>skyrių).</w:t>
      </w:r>
    </w:p>
    <w:p w:rsidR="00E93252" w:rsidRPr="00BA0735" w:rsidRDefault="00E93252" w:rsidP="00E93252">
      <w:pPr>
        <w:widowControl w:val="0"/>
        <w:tabs>
          <w:tab w:val="left" w:pos="567"/>
        </w:tabs>
        <w:rPr>
          <w:sz w:val="22"/>
          <w:szCs w:val="22"/>
          <w:lang w:val="lt-LT"/>
        </w:rPr>
      </w:pPr>
      <w:r w:rsidRPr="00BA0735">
        <w:rPr>
          <w:sz w:val="22"/>
          <w:szCs w:val="22"/>
          <w:lang w:val="lt-LT"/>
        </w:rPr>
        <w:t>Jeigu moteris antruoju arba trečiuoju nėštumo trimestru vartojo AKF inhibitorių, reikia ultragarsu sekti vaisiaus inkstų funkciją ir kaukolę.</w:t>
      </w:r>
    </w:p>
    <w:p w:rsidR="00E93252" w:rsidRPr="00BA0735" w:rsidRDefault="00E93252" w:rsidP="00E93252">
      <w:pPr>
        <w:widowControl w:val="0"/>
        <w:rPr>
          <w:sz w:val="22"/>
          <w:szCs w:val="22"/>
          <w:lang w:val="lt-LT"/>
        </w:rPr>
      </w:pPr>
      <w:r w:rsidRPr="00BA0735">
        <w:rPr>
          <w:sz w:val="22"/>
          <w:szCs w:val="22"/>
          <w:lang w:val="lt-LT"/>
        </w:rPr>
        <w:t>Reikia atidžiai sekti, ar naujagimiams, kurių motinos nėštumo metu vartojo AKF inhibitorių, nepasireiškia hipotenzija (žr. 4.3 ir 4.4</w:t>
      </w:r>
      <w:r w:rsidR="00691D21">
        <w:rPr>
          <w:sz w:val="22"/>
          <w:szCs w:val="22"/>
          <w:lang w:val="lt-LT"/>
        </w:rPr>
        <w:t> </w:t>
      </w:r>
      <w:r w:rsidRPr="00BA0735">
        <w:rPr>
          <w:sz w:val="22"/>
          <w:szCs w:val="22"/>
          <w:lang w:val="lt-LT"/>
        </w:rPr>
        <w:t>skyrius).</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Susiję su indapamidu</w:t>
      </w:r>
    </w:p>
    <w:p w:rsidR="00E93252" w:rsidRPr="00BA0735" w:rsidRDefault="00E93252" w:rsidP="00E93252">
      <w:pPr>
        <w:widowControl w:val="0"/>
        <w:rPr>
          <w:sz w:val="22"/>
          <w:szCs w:val="22"/>
          <w:lang w:val="lt-LT"/>
        </w:rPr>
      </w:pPr>
      <w:r w:rsidRPr="00BA0735">
        <w:rPr>
          <w:rFonts w:eastAsia="Calibri"/>
          <w:bCs/>
          <w:iCs/>
          <w:sz w:val="22"/>
          <w:szCs w:val="22"/>
          <w:lang w:val="lt-LT" w:eastAsia="en-US"/>
        </w:rPr>
        <w:t xml:space="preserve">Duomenų apie indapamido vartojimą moterims nėštumo metu nėra arba jų yra nedaug (duomenų yra mažiau kaip apie 300 nėštumų baigčių). </w:t>
      </w:r>
      <w:r w:rsidRPr="00BA0735">
        <w:rPr>
          <w:sz w:val="22"/>
          <w:szCs w:val="22"/>
          <w:lang w:val="lt-LT"/>
        </w:rPr>
        <w:t>Ilgalaikė tiazidų ekspozicija paskutinio nėštumo trimestro laikotarpiu gali sumažinti moters plazmos tūrį bei susilpninti gimdos ir placentos kraujotaką, todėl gali pasireikšti vaisiaus placentos išemija ir sulėtėti jo augimas.</w:t>
      </w:r>
    </w:p>
    <w:p w:rsidR="00E93252" w:rsidRPr="00BA0735" w:rsidRDefault="00E93252" w:rsidP="00E93252">
      <w:pPr>
        <w:autoSpaceDE w:val="0"/>
        <w:autoSpaceDN w:val="0"/>
        <w:adjustRightInd w:val="0"/>
        <w:rPr>
          <w:rFonts w:eastAsia="SimSun"/>
          <w:color w:val="000000"/>
          <w:sz w:val="22"/>
          <w:szCs w:val="22"/>
          <w:lang w:val="lt-LT" w:eastAsia="zh-CN"/>
        </w:rPr>
      </w:pPr>
      <w:r w:rsidRPr="00BA0735">
        <w:rPr>
          <w:sz w:val="22"/>
          <w:szCs w:val="22"/>
          <w:lang w:val="lt-LT"/>
        </w:rPr>
        <w:t>Tyrimai</w:t>
      </w:r>
      <w:r w:rsidRPr="00BA0735">
        <w:rPr>
          <w:rFonts w:eastAsia="SimSun"/>
          <w:color w:val="000000"/>
          <w:sz w:val="22"/>
          <w:szCs w:val="22"/>
          <w:lang w:val="lt-LT" w:eastAsia="zh-CN"/>
        </w:rPr>
        <w:t xml:space="preserve"> su gyvūnais tiesioginio ar netiesioginio kenksmingo toksinio poveikio reprodukcijai neparodė (žr. 5.3</w:t>
      </w:r>
      <w:r w:rsidR="00691D21">
        <w:rPr>
          <w:sz w:val="22"/>
          <w:szCs w:val="22"/>
          <w:lang w:val="lt-LT"/>
        </w:rPr>
        <w:t> </w:t>
      </w:r>
      <w:r w:rsidRPr="00BA0735">
        <w:rPr>
          <w:rFonts w:eastAsia="SimSun"/>
          <w:color w:val="000000"/>
          <w:sz w:val="22"/>
          <w:szCs w:val="22"/>
          <w:lang w:val="lt-LT" w:eastAsia="zh-CN"/>
        </w:rPr>
        <w:t>skyrių).</w:t>
      </w:r>
    </w:p>
    <w:p w:rsidR="00E93252" w:rsidRPr="00BA0735" w:rsidRDefault="00E93252" w:rsidP="00E93252">
      <w:pPr>
        <w:tabs>
          <w:tab w:val="left" w:pos="284"/>
          <w:tab w:val="left" w:pos="567"/>
          <w:tab w:val="left" w:pos="709"/>
        </w:tabs>
        <w:rPr>
          <w:rFonts w:eastAsia="SimSun"/>
          <w:bCs/>
          <w:sz w:val="22"/>
          <w:szCs w:val="22"/>
          <w:lang w:val="lt-LT" w:eastAsia="zh-CN"/>
        </w:rPr>
      </w:pPr>
      <w:r w:rsidRPr="00BA0735">
        <w:rPr>
          <w:rFonts w:eastAsia="SimSun"/>
          <w:bCs/>
          <w:sz w:val="22"/>
          <w:szCs w:val="22"/>
          <w:lang w:val="lt-LT" w:eastAsia="zh-CN"/>
        </w:rPr>
        <w:t>Dėl atsargumo geriau nevartoti indapamido nėštumo metu.</w:t>
      </w:r>
    </w:p>
    <w:p w:rsidR="00E93252" w:rsidRPr="00BA0735" w:rsidRDefault="00E93252" w:rsidP="00E93252">
      <w:pPr>
        <w:widowControl w:val="0"/>
        <w:rPr>
          <w:sz w:val="22"/>
          <w:szCs w:val="22"/>
          <w:lang w:val="lt-LT"/>
        </w:rPr>
      </w:pPr>
    </w:p>
    <w:p w:rsidR="00E93252" w:rsidRPr="00BA0735" w:rsidRDefault="00E93252" w:rsidP="00E93252">
      <w:pPr>
        <w:widowControl w:val="0"/>
        <w:rPr>
          <w:b/>
          <w:i/>
          <w:sz w:val="22"/>
          <w:szCs w:val="22"/>
          <w:lang w:val="lt-LT"/>
        </w:rPr>
      </w:pPr>
      <w:r w:rsidRPr="00BA0735">
        <w:rPr>
          <w:b/>
          <w:i/>
          <w:sz w:val="22"/>
          <w:szCs w:val="22"/>
          <w:lang w:val="lt-LT"/>
        </w:rPr>
        <w:t>Žindymo laikotarpis</w:t>
      </w:r>
    </w:p>
    <w:p w:rsidR="00E93252" w:rsidRPr="00BA0735" w:rsidRDefault="00E93252" w:rsidP="00E93252">
      <w:pPr>
        <w:widowControl w:val="0"/>
        <w:rPr>
          <w:bCs/>
          <w:sz w:val="22"/>
          <w:szCs w:val="22"/>
          <w:lang w:val="lt-LT"/>
        </w:rPr>
      </w:pPr>
      <w:r w:rsidRPr="00BA0735">
        <w:rPr>
          <w:sz w:val="22"/>
          <w:szCs w:val="22"/>
          <w:lang w:val="lt-LT"/>
        </w:rPr>
        <w:t>Žindymo metu Prenewel tablečių</w:t>
      </w:r>
      <w:r w:rsidRPr="00BA0735">
        <w:rPr>
          <w:i/>
          <w:sz w:val="22"/>
          <w:szCs w:val="22"/>
          <w:lang w:val="lt-LT"/>
        </w:rPr>
        <w:t xml:space="preserve"> </w:t>
      </w:r>
      <w:r w:rsidRPr="00BA0735">
        <w:rPr>
          <w:sz w:val="22"/>
          <w:szCs w:val="22"/>
          <w:lang w:val="lt-LT"/>
        </w:rPr>
        <w:t>vartoti</w:t>
      </w:r>
      <w:r w:rsidRPr="00BA0735">
        <w:rPr>
          <w:i/>
          <w:sz w:val="22"/>
          <w:szCs w:val="22"/>
          <w:lang w:val="lt-LT"/>
        </w:rPr>
        <w:t xml:space="preserve"> </w:t>
      </w:r>
      <w:r w:rsidRPr="00BA0735">
        <w:rPr>
          <w:sz w:val="22"/>
          <w:szCs w:val="22"/>
          <w:lang w:val="lt-LT"/>
        </w:rPr>
        <w:t>nerekomenduojama</w:t>
      </w:r>
      <w:r w:rsidRPr="00BA0735">
        <w:rPr>
          <w:bCs/>
          <w:sz w:val="22"/>
          <w:szCs w:val="22"/>
          <w:lang w:val="lt-LT"/>
        </w:rPr>
        <w:t>.</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Susiję su perindopriliu</w:t>
      </w:r>
    </w:p>
    <w:p w:rsidR="00E93252" w:rsidRPr="00BA0735" w:rsidRDefault="00E93252" w:rsidP="00E93252">
      <w:pPr>
        <w:widowControl w:val="0"/>
        <w:rPr>
          <w:sz w:val="22"/>
          <w:szCs w:val="22"/>
          <w:lang w:val="lt-LT"/>
        </w:rPr>
      </w:pPr>
      <w:r w:rsidRPr="00BA0735">
        <w:rPr>
          <w:sz w:val="22"/>
          <w:szCs w:val="22"/>
          <w:lang w:val="lt-LT"/>
        </w:rPr>
        <w:t>Kadangi nėra informacijos apie perindoprilio vartojimą žindymo metu, perindoprilis</w:t>
      </w:r>
      <w:r w:rsidRPr="00BA0735">
        <w:rPr>
          <w:i/>
          <w:sz w:val="22"/>
          <w:szCs w:val="22"/>
          <w:lang w:val="lt-LT"/>
        </w:rPr>
        <w:t xml:space="preserve"> </w:t>
      </w:r>
      <w:r w:rsidRPr="00BA0735">
        <w:rPr>
          <w:sz w:val="22"/>
          <w:szCs w:val="22"/>
          <w:lang w:val="lt-LT"/>
        </w:rPr>
        <w:t>yra nerekomenduojamos, ir alternatyvus gydymas vaistiniu preparatu, geriau ištirtu dėl saugumo žindymo metu, yra tinkamesnis, ypač žindant naujagimius bei prieš laiką gimusius kūdikius.</w:t>
      </w:r>
    </w:p>
    <w:p w:rsidR="00E93252" w:rsidRPr="00BA0735" w:rsidRDefault="00E93252" w:rsidP="00E93252">
      <w:pPr>
        <w:widowControl w:val="0"/>
        <w:rPr>
          <w:bCs/>
          <w:sz w:val="22"/>
          <w:szCs w:val="22"/>
          <w:lang w:val="lt-LT"/>
        </w:rPr>
      </w:pPr>
    </w:p>
    <w:p w:rsidR="00E93252" w:rsidRPr="00BA0735" w:rsidRDefault="00E93252" w:rsidP="00E93252">
      <w:pPr>
        <w:widowControl w:val="0"/>
        <w:rPr>
          <w:b/>
          <w:bCs/>
          <w:sz w:val="22"/>
          <w:szCs w:val="22"/>
          <w:lang w:val="lt-LT"/>
        </w:rPr>
      </w:pPr>
      <w:r w:rsidRPr="00BA0735">
        <w:rPr>
          <w:b/>
          <w:bCs/>
          <w:sz w:val="22"/>
          <w:szCs w:val="22"/>
          <w:lang w:val="lt-LT"/>
        </w:rPr>
        <w:t>Susiję su indapamidu</w:t>
      </w:r>
    </w:p>
    <w:p w:rsidR="00E93252" w:rsidRPr="00BA0735" w:rsidRDefault="00E93252" w:rsidP="00E93252">
      <w:pPr>
        <w:spacing w:line="259" w:lineRule="auto"/>
        <w:rPr>
          <w:rFonts w:eastAsia="Calibri"/>
          <w:sz w:val="22"/>
          <w:szCs w:val="22"/>
          <w:lang w:val="lt-LT" w:eastAsia="en-US"/>
        </w:rPr>
      </w:pPr>
      <w:r w:rsidRPr="00BA0735">
        <w:rPr>
          <w:rFonts w:eastAsia="SimSun"/>
          <w:color w:val="000000"/>
          <w:sz w:val="22"/>
          <w:szCs w:val="22"/>
          <w:lang w:val="lt-LT" w:eastAsia="zh-CN"/>
        </w:rPr>
        <w:lastRenderedPageBreak/>
        <w:t>Nėra pakankamai informacijos apie tai, ar indapamidas arba jo metabolitai</w:t>
      </w:r>
      <w:r w:rsidRPr="00BA0735">
        <w:rPr>
          <w:rFonts w:eastAsia="SimSun"/>
          <w:color w:val="000000"/>
          <w:sz w:val="22"/>
          <w:szCs w:val="22"/>
          <w:lang w:val="lt-LT" w:eastAsia="en-US"/>
        </w:rPr>
        <w:t xml:space="preserve"> išsiskiria į motinos pieną. </w:t>
      </w:r>
      <w:r w:rsidRPr="00BA0735">
        <w:rPr>
          <w:rFonts w:eastAsia="Calibri"/>
          <w:sz w:val="22"/>
          <w:szCs w:val="22"/>
          <w:lang w:val="lt-LT" w:eastAsia="en-US"/>
        </w:rPr>
        <w:t>Gali pasireikšti padidėjusio jautrumo reakcijos sulfonamidiniams vaistiniams preparatams ir hipokalemija.</w:t>
      </w:r>
    </w:p>
    <w:p w:rsidR="00E93252" w:rsidRPr="00BA0735" w:rsidRDefault="00E93252" w:rsidP="00E93252">
      <w:pPr>
        <w:widowControl w:val="0"/>
        <w:rPr>
          <w:rFonts w:eastAsia="SimSun"/>
          <w:color w:val="000000"/>
          <w:sz w:val="22"/>
          <w:szCs w:val="22"/>
          <w:lang w:val="lt-LT" w:eastAsia="zh-CN"/>
        </w:rPr>
      </w:pPr>
      <w:r w:rsidRPr="00BA0735">
        <w:rPr>
          <w:rFonts w:eastAsia="SimSun"/>
          <w:color w:val="000000"/>
          <w:sz w:val="22"/>
          <w:szCs w:val="22"/>
          <w:lang w:val="lt-LT" w:eastAsia="zh-CN"/>
        </w:rPr>
        <w:t xml:space="preserve">Pavojaus žindomiems naujagimiams </w:t>
      </w:r>
      <w:r w:rsidRPr="00BA0735">
        <w:rPr>
          <w:rFonts w:eastAsia="SimSun"/>
          <w:sz w:val="22"/>
          <w:szCs w:val="22"/>
          <w:lang w:val="lt-LT" w:eastAsia="zh-CN"/>
        </w:rPr>
        <w:t>ar</w:t>
      </w:r>
      <w:r w:rsidRPr="00BA0735">
        <w:rPr>
          <w:rFonts w:eastAsia="SimSun"/>
          <w:i/>
          <w:iCs/>
          <w:color w:val="000000"/>
          <w:sz w:val="22"/>
          <w:szCs w:val="22"/>
          <w:lang w:val="lt-LT" w:eastAsia="zh-CN"/>
        </w:rPr>
        <w:t xml:space="preserve"> </w:t>
      </w:r>
      <w:r w:rsidRPr="00BA0735">
        <w:rPr>
          <w:rFonts w:eastAsia="SimSun"/>
          <w:color w:val="000000"/>
          <w:sz w:val="22"/>
          <w:szCs w:val="22"/>
          <w:lang w:val="lt-LT" w:eastAsia="zh-CN"/>
        </w:rPr>
        <w:t>kūdikiams negalima atmesti.</w:t>
      </w:r>
    </w:p>
    <w:p w:rsidR="00E93252" w:rsidRPr="00BA0735" w:rsidRDefault="00E93252" w:rsidP="00E93252">
      <w:pPr>
        <w:widowControl w:val="0"/>
        <w:rPr>
          <w:sz w:val="22"/>
          <w:szCs w:val="22"/>
          <w:lang w:val="lt-LT"/>
        </w:rPr>
      </w:pPr>
      <w:r w:rsidRPr="00BA0735">
        <w:rPr>
          <w:sz w:val="22"/>
          <w:szCs w:val="22"/>
          <w:lang w:val="lt-LT"/>
        </w:rPr>
        <w:t>Indapamidas labai panašus į tiazidinius diuretikus, kurių vartojimas žindymo laikotarpiu yra susijęs su pieno išsiskyrimo sumažėjimu ar net išnykimu.</w:t>
      </w:r>
    </w:p>
    <w:p w:rsidR="00E93252" w:rsidRPr="00BA0735" w:rsidRDefault="00E93252" w:rsidP="00E93252">
      <w:pPr>
        <w:widowControl w:val="0"/>
        <w:rPr>
          <w:rFonts w:eastAsia="SimSun"/>
          <w:color w:val="000000"/>
          <w:sz w:val="22"/>
          <w:szCs w:val="22"/>
          <w:lang w:val="lt-LT" w:eastAsia="zh-CN"/>
        </w:rPr>
      </w:pPr>
      <w:r w:rsidRPr="00BA0735">
        <w:rPr>
          <w:rFonts w:eastAsia="SimSun"/>
          <w:color w:val="000000"/>
          <w:sz w:val="22"/>
          <w:szCs w:val="22"/>
          <w:lang w:val="lt-LT" w:eastAsia="zh-CN"/>
        </w:rPr>
        <w:t xml:space="preserve">Indapamido </w:t>
      </w:r>
      <w:r w:rsidR="006E5336" w:rsidRPr="006E5336">
        <w:rPr>
          <w:rFonts w:eastAsia="SimSun"/>
          <w:color w:val="000000"/>
          <w:sz w:val="22"/>
          <w:szCs w:val="22"/>
          <w:lang w:val="lt-LT" w:eastAsia="zh-CN"/>
        </w:rPr>
        <w:t>nerekomenduojama</w:t>
      </w:r>
      <w:r w:rsidRPr="00BA0735">
        <w:rPr>
          <w:rFonts w:eastAsia="SimSun"/>
          <w:color w:val="000000"/>
          <w:sz w:val="22"/>
          <w:szCs w:val="22"/>
          <w:lang w:val="lt-LT" w:eastAsia="zh-CN"/>
        </w:rPr>
        <w:t xml:space="preserve"> vartoti žindymo metu.</w:t>
      </w:r>
    </w:p>
    <w:p w:rsidR="00E93252" w:rsidRPr="00BA0735" w:rsidRDefault="00E93252" w:rsidP="00E93252">
      <w:pPr>
        <w:widowControl w:val="0"/>
        <w:rPr>
          <w:sz w:val="22"/>
          <w:szCs w:val="22"/>
          <w:lang w:val="lt-LT"/>
        </w:rPr>
      </w:pPr>
    </w:p>
    <w:p w:rsidR="00E93252" w:rsidRPr="00BA0735" w:rsidRDefault="00E93252" w:rsidP="00E93252">
      <w:pPr>
        <w:widowControl w:val="0"/>
        <w:spacing w:line="259" w:lineRule="auto"/>
        <w:rPr>
          <w:rFonts w:eastAsia="SimSun"/>
          <w:b/>
          <w:i/>
          <w:color w:val="000000"/>
          <w:sz w:val="22"/>
          <w:szCs w:val="22"/>
          <w:lang w:val="lt-LT" w:eastAsia="zh-CN"/>
        </w:rPr>
      </w:pPr>
      <w:r w:rsidRPr="00BA0735">
        <w:rPr>
          <w:rFonts w:eastAsia="SimSun"/>
          <w:b/>
          <w:i/>
          <w:color w:val="000000"/>
          <w:sz w:val="22"/>
          <w:szCs w:val="22"/>
          <w:lang w:val="lt-LT" w:eastAsia="zh-CN"/>
        </w:rPr>
        <w:t>Vaisingumas</w:t>
      </w:r>
    </w:p>
    <w:p w:rsidR="00E93252" w:rsidRPr="00BA0735" w:rsidRDefault="00E93252" w:rsidP="00E93252">
      <w:pPr>
        <w:widowControl w:val="0"/>
        <w:spacing w:line="259" w:lineRule="auto"/>
        <w:rPr>
          <w:rFonts w:eastAsia="Calibri"/>
          <w:bCs/>
          <w:i/>
          <w:sz w:val="22"/>
          <w:szCs w:val="22"/>
          <w:lang w:val="lt-LT" w:eastAsia="en-US"/>
        </w:rPr>
      </w:pPr>
    </w:p>
    <w:p w:rsidR="00E93252" w:rsidRPr="00BA0735" w:rsidRDefault="00E93252" w:rsidP="00E93252">
      <w:pPr>
        <w:widowControl w:val="0"/>
        <w:spacing w:line="259" w:lineRule="auto"/>
        <w:rPr>
          <w:rFonts w:eastAsia="Calibri"/>
          <w:b/>
          <w:bCs/>
          <w:i/>
          <w:sz w:val="22"/>
          <w:szCs w:val="22"/>
          <w:lang w:val="lt-LT" w:eastAsia="en-US"/>
        </w:rPr>
      </w:pPr>
      <w:r w:rsidRPr="00BA0735">
        <w:rPr>
          <w:rFonts w:eastAsia="Calibri"/>
          <w:b/>
          <w:bCs/>
          <w:i/>
          <w:sz w:val="22"/>
          <w:szCs w:val="22"/>
          <w:lang w:val="lt-LT" w:eastAsia="en-US"/>
        </w:rPr>
        <w:t>Perindoprilis ir indapamidas</w:t>
      </w:r>
    </w:p>
    <w:p w:rsidR="00E93252" w:rsidRPr="00BA0735" w:rsidRDefault="00E93252" w:rsidP="00E93252">
      <w:pPr>
        <w:widowControl w:val="0"/>
        <w:rPr>
          <w:rFonts w:eastAsia="Calibri"/>
          <w:bCs/>
          <w:sz w:val="22"/>
          <w:szCs w:val="22"/>
          <w:lang w:val="lt-LT" w:eastAsia="en-US"/>
        </w:rPr>
      </w:pPr>
      <w:r w:rsidRPr="00BA0735">
        <w:rPr>
          <w:rFonts w:eastAsia="Calibri"/>
          <w:bCs/>
          <w:sz w:val="22"/>
          <w:szCs w:val="22"/>
          <w:lang w:val="lt-LT" w:eastAsia="en-US"/>
        </w:rPr>
        <w:t>Toksinio poveikio reprodukcijai tyrimai poveikio žiurkių patelių ar patinų vislumui neparodė (žr. 5.3 skyrių). Poveikio žmogaus vaisingumui nesitikima.</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34" w:name="_Toc129243108"/>
      <w:bookmarkStart w:id="35" w:name="_Toc129243233"/>
      <w:bookmarkEnd w:id="32"/>
      <w:bookmarkEnd w:id="33"/>
      <w:r w:rsidRPr="00BA0735">
        <w:rPr>
          <w:b/>
          <w:kern w:val="28"/>
          <w:sz w:val="22"/>
          <w:szCs w:val="22"/>
          <w:lang w:val="lt-LT"/>
        </w:rPr>
        <w:t>4.7</w:t>
      </w:r>
      <w:r w:rsidRPr="00BA0735">
        <w:rPr>
          <w:b/>
          <w:kern w:val="28"/>
          <w:sz w:val="22"/>
          <w:szCs w:val="22"/>
          <w:lang w:val="lt-LT"/>
        </w:rPr>
        <w:tab/>
        <w:t>Poveikis gebėjimui vairuoti ir valdyti mechanizmus</w:t>
      </w:r>
      <w:bookmarkEnd w:id="34"/>
      <w:bookmarkEnd w:id="35"/>
    </w:p>
    <w:p w:rsidR="00E93252" w:rsidRPr="00BA0735" w:rsidRDefault="00E93252" w:rsidP="00E93252">
      <w:pPr>
        <w:widowControl w:val="0"/>
        <w:rPr>
          <w:sz w:val="22"/>
          <w:szCs w:val="22"/>
          <w:lang w:val="lt-LT"/>
        </w:rPr>
      </w:pPr>
    </w:p>
    <w:p w:rsidR="00E93252" w:rsidRPr="00526D52" w:rsidRDefault="00E93252" w:rsidP="00E93252">
      <w:pPr>
        <w:widowControl w:val="0"/>
        <w:rPr>
          <w:sz w:val="22"/>
          <w:szCs w:val="22"/>
          <w:lang w:val="lt-LT"/>
        </w:rPr>
      </w:pPr>
      <w:r w:rsidRPr="00526D52">
        <w:rPr>
          <w:sz w:val="22"/>
          <w:szCs w:val="22"/>
          <w:lang w:val="lt-LT"/>
        </w:rPr>
        <w:t>Perindoprilio, indapamido bei jų derinio poveikis</w:t>
      </w:r>
    </w:p>
    <w:p w:rsidR="00E93252" w:rsidRPr="00BA0735" w:rsidRDefault="00E93252" w:rsidP="00E93252">
      <w:pPr>
        <w:widowControl w:val="0"/>
        <w:rPr>
          <w:sz w:val="22"/>
          <w:szCs w:val="22"/>
          <w:lang w:val="lt-LT"/>
        </w:rPr>
      </w:pPr>
      <w:r w:rsidRPr="00BA0735">
        <w:rPr>
          <w:sz w:val="22"/>
          <w:szCs w:val="22"/>
          <w:lang w:val="lt-LT"/>
        </w:rPr>
        <w:t>Ir kartu, ir atskirai vartojamos veikliosios medžiagos budrumo netrikdo, tačiau kai kuriems pacientams, ypač gydymo pradžioje arba kartu vartojantiems kitokių antihipertenzinių preparatų, gali atsirasti su kraujospūdžio sumažėjimu susijusių reakcijų. Dėl minėto poveikio gebėjimas vairuoti arba valdyti mechanizmus gali sutrikti.</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36" w:name="_Toc129243109"/>
      <w:bookmarkStart w:id="37" w:name="_Toc129243234"/>
      <w:r w:rsidRPr="00BA0735">
        <w:rPr>
          <w:b/>
          <w:kern w:val="28"/>
          <w:sz w:val="22"/>
          <w:szCs w:val="22"/>
          <w:lang w:val="lt-LT"/>
        </w:rPr>
        <w:t>4.8</w:t>
      </w:r>
      <w:r w:rsidRPr="00BA0735">
        <w:rPr>
          <w:b/>
          <w:kern w:val="28"/>
          <w:sz w:val="22"/>
          <w:szCs w:val="22"/>
          <w:lang w:val="lt-LT"/>
        </w:rPr>
        <w:tab/>
        <w:t>Nepageidaujamas poveikis</w:t>
      </w:r>
      <w:bookmarkEnd w:id="36"/>
      <w:bookmarkEnd w:id="37"/>
    </w:p>
    <w:p w:rsidR="00E93252" w:rsidRPr="00BA0735" w:rsidRDefault="00E93252" w:rsidP="00E93252">
      <w:pPr>
        <w:widowControl w:val="0"/>
        <w:rPr>
          <w:sz w:val="22"/>
          <w:szCs w:val="22"/>
          <w:lang w:val="lt-LT"/>
        </w:rPr>
      </w:pPr>
    </w:p>
    <w:p w:rsidR="00E93252" w:rsidRPr="00BA0735" w:rsidRDefault="00E93252" w:rsidP="00E93252">
      <w:pPr>
        <w:widowControl w:val="0"/>
        <w:spacing w:line="259" w:lineRule="auto"/>
        <w:ind w:left="567" w:hanging="567"/>
        <w:rPr>
          <w:rFonts w:eastAsia="Calibri"/>
          <w:sz w:val="22"/>
          <w:szCs w:val="22"/>
          <w:lang w:val="lt-LT" w:eastAsia="en-US"/>
        </w:rPr>
      </w:pPr>
      <w:r w:rsidRPr="00BA0735">
        <w:rPr>
          <w:rFonts w:eastAsia="Calibri"/>
          <w:iCs/>
          <w:sz w:val="22"/>
          <w:szCs w:val="22"/>
          <w:lang w:val="lt-LT" w:eastAsia="lt-LT"/>
        </w:rPr>
        <w:t>a.</w:t>
      </w:r>
      <w:r w:rsidRPr="00BA0735">
        <w:rPr>
          <w:rFonts w:eastAsia="Calibri"/>
          <w:iCs/>
          <w:sz w:val="22"/>
          <w:szCs w:val="22"/>
          <w:lang w:val="lt-LT" w:eastAsia="lt-LT"/>
        </w:rPr>
        <w:tab/>
        <w:t>Saugumo duomenų santrauka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Perindoprilis slopina renino, angiotenzino ir aldosterono sistemą bei mažina indapamido sukeliamą kalio netekimą. Klinikinių tyrimų metu hipokalemija (kalio koncentracija serume &lt; 3,4 mmol/l) atsirado 2</w:t>
      </w:r>
      <w:r w:rsidR="00C06DBA">
        <w:rPr>
          <w:sz w:val="22"/>
          <w:szCs w:val="22"/>
          <w:lang w:val="lt-LT"/>
        </w:rPr>
        <w:t> </w:t>
      </w:r>
      <w:r w:rsidRPr="00BA0735">
        <w:rPr>
          <w:sz w:val="22"/>
          <w:szCs w:val="22"/>
          <w:lang w:val="lt-LT"/>
        </w:rPr>
        <w:t>% pacientų, vartojusių preparato, kuriame buvo 2 mg perindoprilio bei 0,625 mg indapamido, ir 4</w:t>
      </w:r>
      <w:r w:rsidR="00C06DBA">
        <w:rPr>
          <w:sz w:val="22"/>
          <w:szCs w:val="22"/>
          <w:lang w:val="lt-LT"/>
        </w:rPr>
        <w:t> </w:t>
      </w:r>
      <w:r w:rsidRPr="00BA0735">
        <w:rPr>
          <w:sz w:val="22"/>
          <w:szCs w:val="22"/>
          <w:lang w:val="lt-LT"/>
        </w:rPr>
        <w:t>% ligonių, vartojusių preparato, kuriame buvo 4 mg perindoprilio bei 1,25 mg indapamido.</w:t>
      </w:r>
    </w:p>
    <w:p w:rsidR="00E93252" w:rsidRPr="00BA0735" w:rsidRDefault="00E93252" w:rsidP="00E93252">
      <w:pPr>
        <w:widowControl w:val="0"/>
        <w:rPr>
          <w:sz w:val="22"/>
          <w:szCs w:val="22"/>
          <w:lang w:val="lt-LT"/>
        </w:rPr>
      </w:pPr>
    </w:p>
    <w:p w:rsidR="00E93252" w:rsidRPr="00BA0735" w:rsidRDefault="00E93252" w:rsidP="00E93252">
      <w:pPr>
        <w:tabs>
          <w:tab w:val="left" w:pos="0"/>
          <w:tab w:val="left" w:pos="284"/>
        </w:tabs>
        <w:spacing w:line="259" w:lineRule="auto"/>
        <w:rPr>
          <w:rFonts w:eastAsia="Calibri"/>
          <w:sz w:val="22"/>
          <w:szCs w:val="22"/>
          <w:lang w:val="lt-LT" w:eastAsia="en-US"/>
        </w:rPr>
      </w:pPr>
      <w:r w:rsidRPr="00BA0735">
        <w:rPr>
          <w:rFonts w:eastAsia="Calibri"/>
          <w:sz w:val="22"/>
          <w:szCs w:val="22"/>
          <w:lang w:val="lt-LT" w:eastAsia="en-US"/>
        </w:rPr>
        <w:t>Dažniausiai pasireiškusios nepageidaujamos reakcijos yra</w:t>
      </w:r>
    </w:p>
    <w:p w:rsidR="00E93252" w:rsidRPr="00BA0735" w:rsidRDefault="00E93252" w:rsidP="00E93252">
      <w:pPr>
        <w:numPr>
          <w:ilvl w:val="0"/>
          <w:numId w:val="30"/>
        </w:numPr>
        <w:tabs>
          <w:tab w:val="clear" w:pos="1353"/>
        </w:tabs>
        <w:spacing w:line="259" w:lineRule="auto"/>
        <w:ind w:left="567" w:hanging="567"/>
        <w:rPr>
          <w:rFonts w:eastAsia="Calibri"/>
          <w:sz w:val="22"/>
          <w:szCs w:val="22"/>
          <w:lang w:val="lt-LT" w:eastAsia="en-US"/>
        </w:rPr>
      </w:pPr>
      <w:r w:rsidRPr="00BA0735">
        <w:rPr>
          <w:rFonts w:eastAsia="Calibri"/>
          <w:sz w:val="22"/>
          <w:szCs w:val="22"/>
          <w:lang w:val="lt-LT" w:eastAsia="en-US"/>
        </w:rPr>
        <w:t>Į perindoprilį: svaigulys, galvos skausmas, parestezija, skonio pojūčio sutrikimas, regėjimo sutrikimas, svaigimas (</w:t>
      </w:r>
      <w:r w:rsidRPr="00BA0735">
        <w:rPr>
          <w:rFonts w:eastAsia="Calibri"/>
          <w:i/>
          <w:sz w:val="22"/>
          <w:szCs w:val="22"/>
          <w:lang w:val="lt-LT" w:eastAsia="en-US"/>
        </w:rPr>
        <w:t>vertigo</w:t>
      </w:r>
      <w:r w:rsidRPr="00BA0735">
        <w:rPr>
          <w:rFonts w:eastAsia="Calibri"/>
          <w:sz w:val="22"/>
          <w:szCs w:val="22"/>
          <w:lang w:val="lt-LT" w:eastAsia="en-US"/>
        </w:rPr>
        <w:t>), ūžesys (</w:t>
      </w:r>
      <w:r w:rsidRPr="00BA0735">
        <w:rPr>
          <w:i/>
          <w:sz w:val="22"/>
          <w:szCs w:val="22"/>
          <w:lang w:val="lt-LT"/>
        </w:rPr>
        <w:t>tinnitus</w:t>
      </w:r>
      <w:r w:rsidRPr="00BA0735">
        <w:rPr>
          <w:sz w:val="22"/>
          <w:szCs w:val="22"/>
          <w:lang w:val="lt-LT"/>
        </w:rPr>
        <w:t>)</w:t>
      </w:r>
      <w:r w:rsidRPr="00BA0735">
        <w:rPr>
          <w:rFonts w:eastAsia="Calibri"/>
          <w:sz w:val="22"/>
          <w:szCs w:val="22"/>
          <w:lang w:val="lt-LT" w:eastAsia="en-US"/>
        </w:rPr>
        <w:t>, hipotenzija, kosulys, dusulys, pilvo skausmas, vidurių užkietėjimas, dispepsija, viduriavimas, pykinimas, vėmimas, niežėjimas, bėrimas, raumenų mėšlungis, astenija.</w:t>
      </w:r>
    </w:p>
    <w:p w:rsidR="00E93252" w:rsidRPr="00BA0735" w:rsidRDefault="00E93252" w:rsidP="00E93252">
      <w:pPr>
        <w:numPr>
          <w:ilvl w:val="0"/>
          <w:numId w:val="30"/>
        </w:numPr>
        <w:tabs>
          <w:tab w:val="clear" w:pos="1353"/>
        </w:tabs>
        <w:spacing w:line="259" w:lineRule="auto"/>
        <w:ind w:left="567" w:hanging="567"/>
        <w:rPr>
          <w:rFonts w:eastAsia="Calibri"/>
          <w:sz w:val="22"/>
          <w:szCs w:val="22"/>
          <w:lang w:val="lt-LT" w:eastAsia="en-US"/>
        </w:rPr>
      </w:pPr>
      <w:r w:rsidRPr="00BA0735">
        <w:rPr>
          <w:rFonts w:eastAsia="Calibri"/>
          <w:sz w:val="22"/>
          <w:szCs w:val="22"/>
          <w:lang w:val="lt-LT" w:eastAsia="en-US"/>
        </w:rPr>
        <w:t xml:space="preserve">Į indapamidą: </w:t>
      </w:r>
      <w:r w:rsidR="006E5336" w:rsidRPr="00631180">
        <w:rPr>
          <w:rFonts w:eastAsia="Calibri"/>
          <w:sz w:val="22"/>
          <w:szCs w:val="22"/>
          <w:lang w:val="lt-LT" w:eastAsia="en-US"/>
        </w:rPr>
        <w:t>hipokalemija,</w:t>
      </w:r>
      <w:r w:rsidR="006E5336">
        <w:rPr>
          <w:rFonts w:eastAsia="Calibri"/>
          <w:sz w:val="22"/>
          <w:szCs w:val="22"/>
          <w:lang w:val="lt-LT" w:eastAsia="en-US"/>
        </w:rPr>
        <w:t xml:space="preserve"> </w:t>
      </w:r>
      <w:r w:rsidRPr="00BA0735">
        <w:rPr>
          <w:rFonts w:eastAsia="Calibri"/>
          <w:sz w:val="22"/>
          <w:szCs w:val="22"/>
          <w:lang w:val="lt-LT" w:eastAsia="en-US"/>
        </w:rPr>
        <w:t>padidėjęs jautrumas (daugiausiai odos reakcijos) asmenims, kurie turi polinkį į alergines arba astmines reakcijas, ir makulopapulinis bėrimas.</w:t>
      </w:r>
    </w:p>
    <w:p w:rsidR="00E93252" w:rsidRPr="00BA0735" w:rsidRDefault="00E93252" w:rsidP="00E93252">
      <w:pPr>
        <w:spacing w:line="259" w:lineRule="auto"/>
        <w:rPr>
          <w:rFonts w:eastAsia="Calibri"/>
          <w:sz w:val="22"/>
          <w:szCs w:val="22"/>
          <w:lang w:val="lt-LT" w:eastAsia="en-US"/>
        </w:rPr>
      </w:pPr>
    </w:p>
    <w:p w:rsidR="00E93252" w:rsidRPr="00BA0735" w:rsidRDefault="00E93252" w:rsidP="00E93252">
      <w:pPr>
        <w:widowControl w:val="0"/>
        <w:ind w:left="567" w:hanging="567"/>
        <w:rPr>
          <w:sz w:val="22"/>
          <w:szCs w:val="22"/>
          <w:lang w:val="lt-LT"/>
        </w:rPr>
      </w:pPr>
      <w:r w:rsidRPr="00BA0735">
        <w:rPr>
          <w:iCs/>
          <w:sz w:val="22"/>
          <w:szCs w:val="22"/>
          <w:lang w:val="lt-LT" w:eastAsia="lt-LT"/>
        </w:rPr>
        <w:t>b.</w:t>
      </w:r>
      <w:r w:rsidRPr="00BA0735">
        <w:rPr>
          <w:iCs/>
          <w:sz w:val="22"/>
          <w:szCs w:val="22"/>
          <w:lang w:val="lt-LT" w:eastAsia="lt-LT"/>
        </w:rPr>
        <w:tab/>
        <w:t>Nepageidaujamų reakcijų santrauka lentelėje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Vartojant perindoprilio ir indapamido derinio pastebėto nepageidaujamo poveikio dažnis apibūdinamas taip:</w:t>
      </w:r>
    </w:p>
    <w:p w:rsidR="00E93252" w:rsidRPr="00BA0735" w:rsidRDefault="00E93252" w:rsidP="00E93252">
      <w:pPr>
        <w:widowControl w:val="0"/>
        <w:numPr>
          <w:ilvl w:val="0"/>
          <w:numId w:val="14"/>
        </w:numPr>
        <w:ind w:left="567" w:hanging="567"/>
        <w:contextualSpacing/>
        <w:rPr>
          <w:sz w:val="22"/>
          <w:szCs w:val="22"/>
          <w:lang w:val="lt-LT"/>
        </w:rPr>
      </w:pPr>
      <w:r w:rsidRPr="00BA0735">
        <w:rPr>
          <w:sz w:val="22"/>
          <w:szCs w:val="22"/>
          <w:lang w:val="lt-LT"/>
        </w:rPr>
        <w:t>labai dažnas (≥ 1/10);</w:t>
      </w:r>
    </w:p>
    <w:p w:rsidR="00E93252" w:rsidRPr="00BA0735" w:rsidRDefault="00E93252" w:rsidP="00E93252">
      <w:pPr>
        <w:widowControl w:val="0"/>
        <w:numPr>
          <w:ilvl w:val="0"/>
          <w:numId w:val="14"/>
        </w:numPr>
        <w:ind w:left="567" w:hanging="567"/>
        <w:contextualSpacing/>
        <w:rPr>
          <w:sz w:val="22"/>
          <w:szCs w:val="22"/>
          <w:lang w:val="lt-LT"/>
        </w:rPr>
      </w:pPr>
      <w:r w:rsidRPr="00BA0735">
        <w:rPr>
          <w:sz w:val="22"/>
          <w:szCs w:val="22"/>
          <w:lang w:val="lt-LT"/>
        </w:rPr>
        <w:t>dažnas (nuo ≥ 1/100 iki &lt; 1/10);</w:t>
      </w:r>
    </w:p>
    <w:p w:rsidR="00E93252" w:rsidRPr="00BA0735" w:rsidRDefault="00E93252" w:rsidP="00E93252">
      <w:pPr>
        <w:widowControl w:val="0"/>
        <w:numPr>
          <w:ilvl w:val="0"/>
          <w:numId w:val="14"/>
        </w:numPr>
        <w:ind w:left="567" w:hanging="567"/>
        <w:contextualSpacing/>
        <w:rPr>
          <w:sz w:val="22"/>
          <w:szCs w:val="22"/>
          <w:lang w:val="lt-LT"/>
        </w:rPr>
      </w:pPr>
      <w:r w:rsidRPr="00BA0735">
        <w:rPr>
          <w:sz w:val="22"/>
          <w:szCs w:val="22"/>
          <w:lang w:val="lt-LT"/>
        </w:rPr>
        <w:t>nedažnas (nuo ≥ 1/1 000 iki &lt; 1/100);</w:t>
      </w:r>
    </w:p>
    <w:p w:rsidR="00E93252" w:rsidRPr="00BA0735" w:rsidRDefault="00E93252" w:rsidP="00E93252">
      <w:pPr>
        <w:widowControl w:val="0"/>
        <w:numPr>
          <w:ilvl w:val="0"/>
          <w:numId w:val="14"/>
        </w:numPr>
        <w:ind w:left="567" w:hanging="567"/>
        <w:contextualSpacing/>
        <w:rPr>
          <w:sz w:val="22"/>
          <w:szCs w:val="22"/>
          <w:lang w:val="lt-LT"/>
        </w:rPr>
      </w:pPr>
      <w:r w:rsidRPr="00BA0735">
        <w:rPr>
          <w:sz w:val="22"/>
          <w:szCs w:val="22"/>
          <w:lang w:val="lt-LT"/>
        </w:rPr>
        <w:t>retas (nuo ≥ 1/10000 iki &lt; 1/1000);</w:t>
      </w:r>
    </w:p>
    <w:p w:rsidR="00E93252" w:rsidRPr="00BA0735" w:rsidRDefault="00E93252" w:rsidP="00E93252">
      <w:pPr>
        <w:widowControl w:val="0"/>
        <w:numPr>
          <w:ilvl w:val="0"/>
          <w:numId w:val="14"/>
        </w:numPr>
        <w:ind w:left="567" w:hanging="567"/>
        <w:contextualSpacing/>
        <w:rPr>
          <w:sz w:val="22"/>
          <w:szCs w:val="22"/>
          <w:lang w:val="lt-LT"/>
        </w:rPr>
      </w:pPr>
      <w:r w:rsidRPr="00BA0735">
        <w:rPr>
          <w:sz w:val="22"/>
          <w:szCs w:val="22"/>
          <w:lang w:val="lt-LT"/>
        </w:rPr>
        <w:t>labai retas (&lt; 1/10000);</w:t>
      </w:r>
    </w:p>
    <w:p w:rsidR="00E93252" w:rsidRPr="00BA0735" w:rsidRDefault="00E93252" w:rsidP="00E93252">
      <w:pPr>
        <w:widowControl w:val="0"/>
        <w:numPr>
          <w:ilvl w:val="0"/>
          <w:numId w:val="14"/>
        </w:numPr>
        <w:tabs>
          <w:tab w:val="left" w:pos="0"/>
        </w:tabs>
        <w:ind w:left="567" w:hanging="567"/>
        <w:contextualSpacing/>
        <w:rPr>
          <w:sz w:val="22"/>
          <w:szCs w:val="22"/>
          <w:lang w:val="lt-LT"/>
        </w:rPr>
      </w:pPr>
      <w:r w:rsidRPr="00BA0735">
        <w:rPr>
          <w:sz w:val="22"/>
          <w:szCs w:val="22"/>
          <w:lang w:val="lt-LT"/>
        </w:rPr>
        <w:t>nežinomas (negali būti apskaičiuotas pagal turimus duomenis).</w:t>
      </w:r>
    </w:p>
    <w:p w:rsidR="00E93252" w:rsidRPr="00BA0735" w:rsidRDefault="00E93252" w:rsidP="00E93252">
      <w:pPr>
        <w:widowControl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3601"/>
        <w:gridCol w:w="1633"/>
        <w:gridCol w:w="1965"/>
      </w:tblGrid>
      <w:tr w:rsidR="00E93252" w:rsidRPr="00BA0735" w:rsidTr="00902A53">
        <w:tc>
          <w:tcPr>
            <w:tcW w:w="1884" w:type="dxa"/>
            <w:vMerge w:val="restart"/>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
                <w:iCs/>
                <w:sz w:val="22"/>
                <w:szCs w:val="22"/>
                <w:lang w:val="lt-LT" w:eastAsia="en-US"/>
              </w:rPr>
              <w:t>MedDRA</w:t>
            </w:r>
            <w:r w:rsidRPr="00BA0735">
              <w:rPr>
                <w:rFonts w:eastAsia="Calibri"/>
                <w:b/>
                <w:bCs/>
                <w:iCs/>
                <w:sz w:val="22"/>
                <w:szCs w:val="22"/>
                <w:lang w:val="lt-LT" w:eastAsia="en-US"/>
              </w:rPr>
              <w:t xml:space="preserve"> organų sistemų klasės</w:t>
            </w:r>
          </w:p>
        </w:tc>
        <w:tc>
          <w:tcPr>
            <w:tcW w:w="3741" w:type="dxa"/>
            <w:vMerge w:val="restart"/>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Cs/>
                <w:sz w:val="22"/>
                <w:szCs w:val="22"/>
                <w:lang w:val="lt-LT" w:eastAsia="en-US"/>
              </w:rPr>
              <w:t>Nepageidaujamas poveikis</w:t>
            </w:r>
          </w:p>
        </w:tc>
        <w:tc>
          <w:tcPr>
            <w:tcW w:w="3662" w:type="dxa"/>
            <w:gridSpan w:val="2"/>
          </w:tcPr>
          <w:p w:rsidR="00E93252" w:rsidRPr="00BA0735" w:rsidRDefault="00E93252" w:rsidP="00D1362A">
            <w:pPr>
              <w:spacing w:line="259" w:lineRule="auto"/>
              <w:jc w:val="center"/>
              <w:rPr>
                <w:rFonts w:eastAsia="Calibri"/>
                <w:b/>
                <w:bCs/>
                <w:iCs/>
                <w:sz w:val="22"/>
                <w:szCs w:val="22"/>
                <w:lang w:val="lt-LT" w:eastAsia="en-US"/>
              </w:rPr>
            </w:pPr>
            <w:r w:rsidRPr="00BA0735">
              <w:rPr>
                <w:rFonts w:eastAsia="Calibri"/>
                <w:b/>
                <w:bCs/>
                <w:iCs/>
                <w:sz w:val="22"/>
                <w:szCs w:val="22"/>
                <w:lang w:val="lt-LT" w:eastAsia="en-US"/>
              </w:rPr>
              <w:t>Dažnis</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vMerge/>
          </w:tcPr>
          <w:p w:rsidR="00E93252" w:rsidRPr="00BA0735" w:rsidRDefault="00E93252" w:rsidP="00D1362A">
            <w:pPr>
              <w:spacing w:line="259" w:lineRule="auto"/>
              <w:rPr>
                <w:rFonts w:eastAsia="Calibri"/>
                <w:b/>
                <w:bCs/>
                <w:iCs/>
                <w:sz w:val="22"/>
                <w:szCs w:val="22"/>
                <w:lang w:val="lt-LT" w:eastAsia="en-US"/>
              </w:rPr>
            </w:pPr>
          </w:p>
        </w:tc>
        <w:tc>
          <w:tcPr>
            <w:tcW w:w="1650" w:type="dxa"/>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Cs/>
                <w:sz w:val="22"/>
                <w:szCs w:val="22"/>
                <w:lang w:val="lt-LT" w:eastAsia="en-US"/>
              </w:rPr>
              <w:t>Perindoprilis</w:t>
            </w:r>
          </w:p>
        </w:tc>
        <w:tc>
          <w:tcPr>
            <w:tcW w:w="2012" w:type="dxa"/>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Cs/>
                <w:sz w:val="22"/>
                <w:szCs w:val="22"/>
                <w:lang w:val="lt-LT" w:eastAsia="en-US"/>
              </w:rPr>
              <w:t>Indapamidas</w:t>
            </w:r>
          </w:p>
        </w:tc>
      </w:tr>
      <w:tr w:rsidR="00E93252" w:rsidRPr="00BA0735" w:rsidTr="00902A53">
        <w:tc>
          <w:tcPr>
            <w:tcW w:w="1884" w:type="dxa"/>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Cs/>
                <w:sz w:val="22"/>
                <w:szCs w:val="22"/>
                <w:lang w:val="lt-LT" w:eastAsia="en-US"/>
              </w:rPr>
              <w:t>Infekcijos ir infestacijos</w:t>
            </w: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 xml:space="preserve">Rinitas </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E93252" w:rsidRPr="00BA0735" w:rsidTr="00902A53">
        <w:tc>
          <w:tcPr>
            <w:tcW w:w="1884" w:type="dxa"/>
            <w:vMerge w:val="restart"/>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Cs/>
                <w:sz w:val="22"/>
                <w:szCs w:val="22"/>
                <w:lang w:val="lt-LT" w:eastAsia="en-US"/>
              </w:rPr>
              <w:lastRenderedPageBreak/>
              <w:t>Kraujo ir limfinės sistemos sutrikimai</w:t>
            </w: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Eozinofilija</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Agranulocitozė (žr. 4.4 skyrių)</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Aplazinė anemija</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Pancitopenija</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Leukopenija</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Neutropenija (žr. 4.4 skyrių)</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Hemolizinė anemija</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E93252" w:rsidRPr="00BA0735" w:rsidTr="00902A53">
        <w:tc>
          <w:tcPr>
            <w:tcW w:w="1884" w:type="dxa"/>
            <w:vMerge/>
          </w:tcPr>
          <w:p w:rsidR="00E93252" w:rsidRPr="00BA0735" w:rsidRDefault="00E93252" w:rsidP="00D1362A">
            <w:pPr>
              <w:spacing w:line="259" w:lineRule="auto"/>
              <w:rPr>
                <w:rFonts w:eastAsia="Calibri"/>
                <w:b/>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Trombocitopenija (žr. 4.4 skyrių)</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E93252" w:rsidRPr="00BA0735" w:rsidTr="00902A53">
        <w:tc>
          <w:tcPr>
            <w:tcW w:w="1884" w:type="dxa"/>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Cs/>
                <w:sz w:val="22"/>
                <w:szCs w:val="22"/>
                <w:lang w:val="lt-LT" w:eastAsia="en-US"/>
              </w:rPr>
              <w:t>Imuninės sistemos sutrikimai</w:t>
            </w: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Padidėjęs jautrumas (reakcijos, daugiausiai odos, asmenims, kurie turi polinkį į alergines ir astmines reakcijas)</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r>
      <w:tr w:rsidR="00ED0431" w:rsidRPr="00BA0735" w:rsidTr="00902A53">
        <w:tc>
          <w:tcPr>
            <w:tcW w:w="1884" w:type="dxa"/>
          </w:tcPr>
          <w:p w:rsidR="00ED0431" w:rsidRPr="00BA0735" w:rsidRDefault="00ED0431" w:rsidP="00D1362A">
            <w:pPr>
              <w:spacing w:line="259" w:lineRule="auto"/>
              <w:rPr>
                <w:rFonts w:eastAsia="Calibri"/>
                <w:b/>
                <w:bCs/>
                <w:iCs/>
                <w:sz w:val="22"/>
                <w:szCs w:val="22"/>
                <w:lang w:val="lt-LT" w:eastAsia="en-US"/>
              </w:rPr>
            </w:pPr>
            <w:r w:rsidRPr="00ED0431">
              <w:rPr>
                <w:rFonts w:eastAsia="Calibri"/>
                <w:b/>
                <w:bCs/>
                <w:iCs/>
                <w:sz w:val="22"/>
                <w:szCs w:val="22"/>
                <w:lang w:val="lt-LT" w:eastAsia="en-US"/>
              </w:rPr>
              <w:t>Endokrininės sistemos sutrikimai</w:t>
            </w:r>
          </w:p>
        </w:tc>
        <w:tc>
          <w:tcPr>
            <w:tcW w:w="3741" w:type="dxa"/>
          </w:tcPr>
          <w:p w:rsidR="00ED0431" w:rsidRPr="00BA0735" w:rsidRDefault="00ED0431" w:rsidP="00D1362A">
            <w:pPr>
              <w:spacing w:line="259" w:lineRule="auto"/>
              <w:rPr>
                <w:rFonts w:eastAsia="Calibri"/>
                <w:bCs/>
                <w:iCs/>
                <w:sz w:val="22"/>
                <w:szCs w:val="22"/>
                <w:lang w:val="lt-LT" w:eastAsia="en-US"/>
              </w:rPr>
            </w:pPr>
            <w:r w:rsidRPr="00ED0431">
              <w:rPr>
                <w:rFonts w:eastAsia="Calibri"/>
                <w:bCs/>
                <w:iCs/>
                <w:sz w:val="22"/>
                <w:szCs w:val="22"/>
                <w:lang w:eastAsia="en-US"/>
              </w:rPr>
              <w:t>Sutrikusios antidiurezinio hormono sekrecijos sindromas (SAHSS)</w:t>
            </w:r>
          </w:p>
        </w:tc>
        <w:tc>
          <w:tcPr>
            <w:tcW w:w="1650" w:type="dxa"/>
          </w:tcPr>
          <w:p w:rsidR="00ED0431" w:rsidRPr="00BA0735" w:rsidRDefault="00ED0431" w:rsidP="00D1362A">
            <w:pPr>
              <w:spacing w:line="259" w:lineRule="auto"/>
              <w:rPr>
                <w:rFonts w:eastAsia="Calibri"/>
                <w:bCs/>
                <w:iCs/>
                <w:sz w:val="22"/>
                <w:szCs w:val="22"/>
                <w:lang w:val="lt-LT" w:eastAsia="en-US"/>
              </w:rPr>
            </w:pPr>
            <w:r>
              <w:rPr>
                <w:rFonts w:eastAsia="Calibri"/>
                <w:bCs/>
                <w:iCs/>
                <w:sz w:val="22"/>
                <w:szCs w:val="22"/>
                <w:lang w:val="lt-LT" w:eastAsia="en-US"/>
              </w:rPr>
              <w:t>Retas</w:t>
            </w:r>
          </w:p>
        </w:tc>
        <w:tc>
          <w:tcPr>
            <w:tcW w:w="2012" w:type="dxa"/>
          </w:tcPr>
          <w:p w:rsidR="00ED0431" w:rsidRPr="00BA0735" w:rsidRDefault="00ED0431" w:rsidP="00D1362A">
            <w:pPr>
              <w:spacing w:line="259" w:lineRule="auto"/>
              <w:rPr>
                <w:rFonts w:eastAsia="Calibri"/>
                <w:bCs/>
                <w:iCs/>
                <w:sz w:val="22"/>
                <w:szCs w:val="22"/>
                <w:lang w:val="lt-LT" w:eastAsia="en-US"/>
              </w:rPr>
            </w:pPr>
            <w:r>
              <w:rPr>
                <w:rFonts w:eastAsia="Calibri"/>
                <w:bCs/>
                <w:iCs/>
                <w:sz w:val="22"/>
                <w:szCs w:val="22"/>
                <w:lang w:val="lt-LT" w:eastAsia="en-US"/>
              </w:rPr>
              <w:t>-</w:t>
            </w:r>
          </w:p>
        </w:tc>
      </w:tr>
      <w:tr w:rsidR="00E93252" w:rsidRPr="00BA0735" w:rsidTr="00902A53">
        <w:tc>
          <w:tcPr>
            <w:tcW w:w="1884" w:type="dxa"/>
            <w:vMerge w:val="restart"/>
          </w:tcPr>
          <w:p w:rsidR="00E93252" w:rsidRPr="00BA0735" w:rsidRDefault="00E93252" w:rsidP="00D1362A">
            <w:pPr>
              <w:spacing w:line="259" w:lineRule="auto"/>
              <w:rPr>
                <w:rFonts w:eastAsia="Calibri"/>
                <w:b/>
                <w:bCs/>
                <w:iCs/>
                <w:sz w:val="22"/>
                <w:szCs w:val="22"/>
                <w:lang w:val="lt-LT" w:eastAsia="en-US"/>
              </w:rPr>
            </w:pPr>
            <w:r w:rsidRPr="00BA0735">
              <w:rPr>
                <w:rFonts w:eastAsia="Calibri"/>
                <w:b/>
                <w:bCs/>
                <w:iCs/>
                <w:sz w:val="22"/>
                <w:szCs w:val="22"/>
                <w:lang w:val="lt-LT" w:eastAsia="en-US"/>
              </w:rPr>
              <w:t>Metabolizmo ir mitybos sutrikimai</w:t>
            </w: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 xml:space="preserve">Hipoglikemija (žr. 4.4 ir 4.5 skyrius) </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E93252" w:rsidRPr="00BA0735" w:rsidTr="00902A53">
        <w:tc>
          <w:tcPr>
            <w:tcW w:w="1884" w:type="dxa"/>
            <w:vMerge/>
          </w:tcPr>
          <w:p w:rsidR="00E93252" w:rsidRPr="00BA0735" w:rsidRDefault="00E93252" w:rsidP="00D1362A">
            <w:pPr>
              <w:spacing w:line="259" w:lineRule="auto"/>
              <w:rPr>
                <w:rFonts w:eastAsia="Calibri"/>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Hiperkalemija, kuri normalizuojasi nutraukus gydymą (žr. 4.4 skyrių)</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E93252" w:rsidRPr="00BA0735" w:rsidTr="00902A53">
        <w:tc>
          <w:tcPr>
            <w:tcW w:w="1884" w:type="dxa"/>
            <w:vMerge/>
          </w:tcPr>
          <w:p w:rsidR="00E93252" w:rsidRPr="00BA0735" w:rsidRDefault="00E93252" w:rsidP="00D1362A">
            <w:pPr>
              <w:spacing w:line="259" w:lineRule="auto"/>
              <w:rPr>
                <w:rFonts w:eastAsia="Calibri"/>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Hiponatremija (žr. 4.4 skyrių)</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E93252" w:rsidRPr="00BA0735" w:rsidRDefault="00363033" w:rsidP="00D1362A">
            <w:pPr>
              <w:spacing w:line="259" w:lineRule="auto"/>
              <w:rPr>
                <w:rFonts w:eastAsia="Calibri"/>
                <w:bCs/>
                <w:iCs/>
                <w:sz w:val="22"/>
                <w:szCs w:val="22"/>
                <w:lang w:val="lt-LT" w:eastAsia="en-US"/>
              </w:rPr>
            </w:pPr>
            <w:r>
              <w:rPr>
                <w:rFonts w:eastAsia="Calibri"/>
                <w:bCs/>
                <w:iCs/>
                <w:sz w:val="22"/>
                <w:szCs w:val="22"/>
                <w:lang w:val="lt-LT" w:eastAsia="en-US"/>
              </w:rPr>
              <w:t xml:space="preserve">Nedažnas </w:t>
            </w:r>
          </w:p>
        </w:tc>
      </w:tr>
      <w:tr w:rsidR="00E93252" w:rsidRPr="00BA0735" w:rsidTr="008B3A7C">
        <w:trPr>
          <w:trHeight w:val="432"/>
        </w:trPr>
        <w:tc>
          <w:tcPr>
            <w:tcW w:w="1884" w:type="dxa"/>
            <w:vMerge/>
          </w:tcPr>
          <w:p w:rsidR="00E93252" w:rsidRPr="00BA0735" w:rsidRDefault="00E93252" w:rsidP="00D1362A">
            <w:pPr>
              <w:spacing w:line="259" w:lineRule="auto"/>
              <w:rPr>
                <w:rFonts w:eastAsia="Calibri"/>
                <w:bCs/>
                <w:iCs/>
                <w:sz w:val="22"/>
                <w:szCs w:val="22"/>
                <w:lang w:val="lt-LT" w:eastAsia="en-US"/>
              </w:rPr>
            </w:pPr>
          </w:p>
        </w:tc>
        <w:tc>
          <w:tcPr>
            <w:tcW w:w="3741"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 xml:space="preserve">Hiperkalcemija </w:t>
            </w:r>
          </w:p>
        </w:tc>
        <w:tc>
          <w:tcPr>
            <w:tcW w:w="1650"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E93252" w:rsidRPr="00BA0735" w:rsidRDefault="00E93252" w:rsidP="00D1362A">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tcPr>
          <w:p w:rsidR="00902A53" w:rsidRPr="00BA0735" w:rsidRDefault="00902A53" w:rsidP="00902A53">
            <w:pPr>
              <w:spacing w:line="259" w:lineRule="auto"/>
              <w:rPr>
                <w:rFonts w:eastAsia="Calibri"/>
                <w:bCs/>
                <w:iCs/>
                <w:sz w:val="22"/>
                <w:szCs w:val="22"/>
                <w:lang w:val="lt-LT" w:eastAsia="en-US"/>
              </w:rPr>
            </w:pPr>
          </w:p>
        </w:tc>
        <w:tc>
          <w:tcPr>
            <w:tcW w:w="3741"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Hipokalemija (žr. 4.4 skyrių)</w:t>
            </w:r>
          </w:p>
        </w:tc>
        <w:tc>
          <w:tcPr>
            <w:tcW w:w="1650"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w:t>
            </w:r>
          </w:p>
        </w:tc>
        <w:tc>
          <w:tcPr>
            <w:tcW w:w="2012"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Dažnas</w:t>
            </w:r>
          </w:p>
        </w:tc>
      </w:tr>
      <w:tr w:rsidR="00902A53" w:rsidRPr="00BA0735" w:rsidTr="00902A53">
        <w:tc>
          <w:tcPr>
            <w:tcW w:w="1884" w:type="dxa"/>
            <w:vMerge/>
          </w:tcPr>
          <w:p w:rsidR="00902A53" w:rsidRPr="00BA0735" w:rsidRDefault="00902A53" w:rsidP="00902A53">
            <w:pPr>
              <w:spacing w:line="259" w:lineRule="auto"/>
              <w:rPr>
                <w:rFonts w:eastAsia="Calibri"/>
                <w:bCs/>
                <w:iCs/>
                <w:sz w:val="22"/>
                <w:szCs w:val="22"/>
                <w:lang w:val="lt-LT" w:eastAsia="en-US"/>
              </w:rPr>
            </w:pPr>
          </w:p>
        </w:tc>
        <w:tc>
          <w:tcPr>
            <w:tcW w:w="3741"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Hipochloremija</w:t>
            </w:r>
          </w:p>
        </w:tc>
        <w:tc>
          <w:tcPr>
            <w:tcW w:w="1650"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 xml:space="preserve"> -</w:t>
            </w:r>
          </w:p>
        </w:tc>
        <w:tc>
          <w:tcPr>
            <w:tcW w:w="2012"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Retas</w:t>
            </w:r>
          </w:p>
        </w:tc>
      </w:tr>
      <w:tr w:rsidR="00902A53" w:rsidRPr="00BA0735" w:rsidTr="00902A53">
        <w:tc>
          <w:tcPr>
            <w:tcW w:w="1884" w:type="dxa"/>
            <w:vMerge/>
          </w:tcPr>
          <w:p w:rsidR="00902A53" w:rsidRPr="00BA0735" w:rsidRDefault="00902A53" w:rsidP="00902A53">
            <w:pPr>
              <w:spacing w:line="259" w:lineRule="auto"/>
              <w:rPr>
                <w:rFonts w:eastAsia="Calibri"/>
                <w:bCs/>
                <w:iCs/>
                <w:sz w:val="22"/>
                <w:szCs w:val="22"/>
                <w:lang w:val="lt-LT" w:eastAsia="en-US"/>
              </w:rPr>
            </w:pPr>
          </w:p>
        </w:tc>
        <w:tc>
          <w:tcPr>
            <w:tcW w:w="3741"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 xml:space="preserve">Hipomagnezemija </w:t>
            </w:r>
          </w:p>
        </w:tc>
        <w:tc>
          <w:tcPr>
            <w:tcW w:w="1650"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w:t>
            </w:r>
          </w:p>
        </w:tc>
        <w:tc>
          <w:tcPr>
            <w:tcW w:w="2012" w:type="dxa"/>
          </w:tcPr>
          <w:p w:rsidR="00902A53" w:rsidRPr="00631180" w:rsidRDefault="00902A53" w:rsidP="00902A53">
            <w:pPr>
              <w:spacing w:line="259" w:lineRule="auto"/>
              <w:rPr>
                <w:rFonts w:eastAsia="Calibri"/>
                <w:bCs/>
                <w:iCs/>
                <w:sz w:val="22"/>
                <w:szCs w:val="22"/>
                <w:lang w:val="lt-LT" w:eastAsia="en-US"/>
              </w:rPr>
            </w:pPr>
            <w:r w:rsidRPr="00631180">
              <w:rPr>
                <w:rFonts w:eastAsia="Calibri"/>
                <w:bCs/>
                <w:iCs/>
                <w:sz w:val="22"/>
                <w:szCs w:val="22"/>
                <w:lang w:val="lt-LT" w:eastAsia="en-US"/>
              </w:rPr>
              <w:t>Retas</w:t>
            </w:r>
          </w:p>
        </w:tc>
      </w:tr>
      <w:tr w:rsidR="00902A53" w:rsidRPr="00BA0735" w:rsidTr="00902A53">
        <w:tc>
          <w:tcPr>
            <w:tcW w:w="1884" w:type="dxa"/>
            <w:vMerge w:val="restart"/>
          </w:tcPr>
          <w:p w:rsidR="00424A32" w:rsidRDefault="00424A32" w:rsidP="00902A53">
            <w:pPr>
              <w:spacing w:line="259" w:lineRule="auto"/>
              <w:rPr>
                <w:rFonts w:eastAsia="Calibri"/>
                <w:b/>
                <w:bCs/>
                <w:iCs/>
                <w:sz w:val="22"/>
                <w:szCs w:val="22"/>
                <w:lang w:val="lt-LT" w:eastAsia="en-US"/>
              </w:rPr>
            </w:pPr>
          </w:p>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Psichikos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Nuotaikos pokytis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Miego sutrikimas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424A32" w:rsidRPr="00BA0735" w:rsidTr="00902A53">
        <w:tc>
          <w:tcPr>
            <w:tcW w:w="1884" w:type="dxa"/>
            <w:vMerge/>
          </w:tcPr>
          <w:p w:rsidR="00424A32" w:rsidRPr="00BA0735" w:rsidRDefault="00424A32" w:rsidP="00902A53">
            <w:pPr>
              <w:spacing w:line="259" w:lineRule="auto"/>
              <w:rPr>
                <w:rFonts w:eastAsia="Calibri"/>
                <w:b/>
                <w:bCs/>
                <w:iCs/>
                <w:sz w:val="22"/>
                <w:szCs w:val="22"/>
                <w:lang w:val="lt-LT" w:eastAsia="en-US"/>
              </w:rPr>
            </w:pPr>
          </w:p>
        </w:tc>
        <w:tc>
          <w:tcPr>
            <w:tcW w:w="3741" w:type="dxa"/>
          </w:tcPr>
          <w:p w:rsidR="00424A32" w:rsidRPr="00BA0735" w:rsidRDefault="00424A32" w:rsidP="00902A53">
            <w:pPr>
              <w:spacing w:line="259" w:lineRule="auto"/>
              <w:rPr>
                <w:rFonts w:eastAsia="Calibri"/>
                <w:bCs/>
                <w:iCs/>
                <w:sz w:val="22"/>
                <w:szCs w:val="22"/>
                <w:lang w:val="lt-LT" w:eastAsia="en-US"/>
              </w:rPr>
            </w:pPr>
            <w:r>
              <w:rPr>
                <w:rFonts w:eastAsia="Calibri"/>
                <w:bCs/>
                <w:iCs/>
                <w:sz w:val="22"/>
                <w:szCs w:val="22"/>
                <w:lang w:val="lt-LT" w:eastAsia="en-US"/>
              </w:rPr>
              <w:t>Depresija</w:t>
            </w:r>
          </w:p>
        </w:tc>
        <w:tc>
          <w:tcPr>
            <w:tcW w:w="1650" w:type="dxa"/>
          </w:tcPr>
          <w:p w:rsidR="00424A32" w:rsidRPr="00BA0735" w:rsidRDefault="00424A32" w:rsidP="00902A53">
            <w:pPr>
              <w:spacing w:line="259" w:lineRule="auto"/>
              <w:rPr>
                <w:rFonts w:eastAsia="Calibri"/>
                <w:bCs/>
                <w:iCs/>
                <w:sz w:val="22"/>
                <w:szCs w:val="22"/>
                <w:lang w:val="lt-LT" w:eastAsia="en-US"/>
              </w:rPr>
            </w:pPr>
            <w:r w:rsidRPr="00424A32">
              <w:rPr>
                <w:rFonts w:eastAsia="Calibri"/>
                <w:bCs/>
                <w:iCs/>
                <w:sz w:val="22"/>
                <w:szCs w:val="22"/>
                <w:lang w:val="lt-LT" w:eastAsia="en-US"/>
              </w:rPr>
              <w:t>Nedažnas</w:t>
            </w:r>
          </w:p>
        </w:tc>
        <w:tc>
          <w:tcPr>
            <w:tcW w:w="2012" w:type="dxa"/>
          </w:tcPr>
          <w:p w:rsidR="00424A32" w:rsidRPr="00BA0735" w:rsidRDefault="00424A32" w:rsidP="00902A53">
            <w:pPr>
              <w:spacing w:line="259" w:lineRule="auto"/>
              <w:rPr>
                <w:rFonts w:eastAsia="Calibri"/>
                <w:bCs/>
                <w:iCs/>
                <w:sz w:val="22"/>
                <w:szCs w:val="22"/>
                <w:lang w:val="lt-LT" w:eastAsia="en-US"/>
              </w:rPr>
            </w:pPr>
            <w:r>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Sumišimas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val="restart"/>
          </w:tcPr>
          <w:p w:rsidR="00902A53" w:rsidRPr="00BA0735" w:rsidRDefault="00902A53" w:rsidP="00902A53">
            <w:pPr>
              <w:widowControl w:val="0"/>
              <w:spacing w:line="259" w:lineRule="auto"/>
              <w:rPr>
                <w:rFonts w:eastAsia="Calibri"/>
                <w:b/>
                <w:bCs/>
                <w:iCs/>
                <w:sz w:val="22"/>
                <w:szCs w:val="22"/>
                <w:lang w:val="lt-LT" w:eastAsia="en-US"/>
              </w:rPr>
            </w:pPr>
            <w:r w:rsidRPr="00BA0735">
              <w:rPr>
                <w:rFonts w:eastAsia="Calibri"/>
                <w:b/>
                <w:bCs/>
                <w:iCs/>
                <w:sz w:val="22"/>
                <w:szCs w:val="22"/>
                <w:lang w:val="lt-LT" w:eastAsia="en-US"/>
              </w:rPr>
              <w:t>Nervų sistemos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Svaigulys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Galvos skausmas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Parestezija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Skonio pojūčio sutrikimas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Somnolencija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Apalpimas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Insultas, kuris gali būti antrinis ir pasireikšti dėl didelės hipotenzijos didelės rizikos grupės pacientams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highlight w:val="green"/>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Gali pasireikšti hepatinė encefalopatija kepenų nepakankamumu sergantiems pacientams (žr. 4.3 ir 4.4 skyrius)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Akių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Regėjimo sutrikimas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Miopija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Neryškus matymas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Pr>
                <w:rFonts w:eastAsia="Calibri"/>
                <w:bCs/>
                <w:iCs/>
                <w:sz w:val="22"/>
                <w:szCs w:val="22"/>
                <w:lang w:val="lt-LT"/>
              </w:rPr>
              <w:t>Ūmi uždaro kampo glaukoma</w:t>
            </w:r>
          </w:p>
        </w:tc>
        <w:tc>
          <w:tcPr>
            <w:tcW w:w="1650" w:type="dxa"/>
          </w:tcPr>
          <w:p w:rsidR="00902A53" w:rsidRPr="00BA0735" w:rsidRDefault="00902A53" w:rsidP="00902A53">
            <w:pPr>
              <w:spacing w:line="259" w:lineRule="auto"/>
              <w:rPr>
                <w:rFonts w:eastAsia="Calibri"/>
                <w:bCs/>
                <w:iCs/>
                <w:sz w:val="22"/>
                <w:szCs w:val="22"/>
                <w:lang w:val="lt-LT" w:eastAsia="en-US"/>
              </w:rPr>
            </w:pPr>
            <w:r>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Pr>
                <w:rFonts w:eastAsia="Calibri"/>
                <w:bCs/>
                <w:iCs/>
                <w:sz w:val="22"/>
                <w:szCs w:val="22"/>
                <w:lang w:val="lt-LT"/>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sz w:val="22"/>
                <w:szCs w:val="22"/>
                <w:shd w:val="clear" w:color="auto" w:fill="FFFFFF"/>
                <w:lang w:val="lt-LT"/>
              </w:rPr>
              <w:t>Skysčio susikaupimas tarp akies gyslainės ir skleros</w:t>
            </w:r>
          </w:p>
        </w:tc>
        <w:tc>
          <w:tcPr>
            <w:tcW w:w="1650" w:type="dxa"/>
          </w:tcPr>
          <w:p w:rsidR="00902A53" w:rsidRPr="00BA0735" w:rsidRDefault="00902A53" w:rsidP="00902A53">
            <w:pPr>
              <w:spacing w:line="259" w:lineRule="auto"/>
              <w:rPr>
                <w:rFonts w:eastAsia="Calibri"/>
                <w:bCs/>
                <w:iCs/>
                <w:sz w:val="22"/>
                <w:szCs w:val="22"/>
                <w:lang w:val="lt-LT" w:eastAsia="en-US"/>
              </w:rPr>
            </w:pPr>
            <w:r>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Ausų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Svaigimas (</w:t>
            </w:r>
            <w:r w:rsidRPr="00BA0735">
              <w:rPr>
                <w:rFonts w:eastAsia="Calibri"/>
                <w:bCs/>
                <w:i/>
                <w:iCs/>
                <w:sz w:val="22"/>
                <w:szCs w:val="22"/>
                <w:lang w:val="lt-LT" w:eastAsia="en-US"/>
              </w:rPr>
              <w:t>vertigo</w:t>
            </w:r>
            <w:r w:rsidRPr="00BA0735">
              <w:rPr>
                <w:rFonts w:eastAsia="Calibri"/>
                <w:bCs/>
                <w:iCs/>
                <w:sz w:val="22"/>
                <w:szCs w:val="22"/>
                <w:lang w:val="lt-LT" w:eastAsia="en-US"/>
              </w:rPr>
              <w:t>)</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sz w:val="22"/>
                <w:szCs w:val="22"/>
                <w:lang w:val="lt-LT" w:eastAsia="en-US"/>
              </w:rPr>
              <w:t>Ūžesys (</w:t>
            </w:r>
            <w:r w:rsidRPr="00BA0735">
              <w:rPr>
                <w:i/>
                <w:sz w:val="22"/>
                <w:szCs w:val="22"/>
                <w:lang w:val="lt-LT"/>
              </w:rPr>
              <w:t>tinnitus</w:t>
            </w:r>
            <w:r w:rsidRPr="00BA0735">
              <w:rPr>
                <w:sz w:val="22"/>
                <w:szCs w:val="22"/>
                <w:lang w:val="lt-LT"/>
              </w:rPr>
              <w:t>)</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Širdies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Palpitacijos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Tachikardija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Krūtinės angina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Aritmija (įskaitant bradikardiją, skilvelinę tachikardiją, prieširdžių virpėjimą)</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Miokardo infarktas, kuris gali būti antrinis ir pasireikšti dėl didelės hipotenzijos didelės rizikos grupės pacientams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
                <w:iCs/>
                <w:sz w:val="22"/>
                <w:szCs w:val="22"/>
                <w:lang w:val="lt-LT" w:eastAsia="en-US"/>
              </w:rPr>
              <w:t>Torsade de pontes</w:t>
            </w:r>
            <w:r w:rsidRPr="00BA0735">
              <w:rPr>
                <w:rFonts w:eastAsia="Calibri"/>
                <w:bCs/>
                <w:iCs/>
                <w:sz w:val="22"/>
                <w:szCs w:val="22"/>
                <w:lang w:val="lt-LT" w:eastAsia="en-US"/>
              </w:rPr>
              <w:t xml:space="preserve"> (gali būti mirtina) (žr. 4.4 ir 4.5 skyrius)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Kraujagyslių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Hipotenzija (ir su hipotenzija susiję reiškiniai)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Vaskulitas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424A32" w:rsidRPr="00BA0735" w:rsidTr="00902A53">
        <w:tc>
          <w:tcPr>
            <w:tcW w:w="1884" w:type="dxa"/>
            <w:vMerge/>
          </w:tcPr>
          <w:p w:rsidR="00424A32" w:rsidRPr="00BA0735" w:rsidRDefault="00424A32" w:rsidP="00424A32">
            <w:pPr>
              <w:spacing w:line="259" w:lineRule="auto"/>
              <w:rPr>
                <w:rFonts w:eastAsia="Calibri"/>
                <w:b/>
                <w:bCs/>
                <w:iCs/>
                <w:sz w:val="22"/>
                <w:szCs w:val="22"/>
                <w:lang w:val="lt-LT" w:eastAsia="en-US"/>
              </w:rPr>
            </w:pPr>
          </w:p>
        </w:tc>
        <w:tc>
          <w:tcPr>
            <w:tcW w:w="3741" w:type="dxa"/>
          </w:tcPr>
          <w:p w:rsidR="00424A32" w:rsidRPr="00631180" w:rsidRDefault="00424A32" w:rsidP="00424A32">
            <w:pPr>
              <w:spacing w:line="259" w:lineRule="auto"/>
              <w:rPr>
                <w:rFonts w:eastAsia="Calibri"/>
                <w:bCs/>
                <w:iCs/>
                <w:sz w:val="22"/>
                <w:szCs w:val="22"/>
                <w:lang w:val="lt-LT" w:eastAsia="en-US"/>
              </w:rPr>
            </w:pPr>
            <w:r w:rsidRPr="00631180">
              <w:rPr>
                <w:rFonts w:eastAsia="Calibri"/>
                <w:bCs/>
                <w:iCs/>
                <w:sz w:val="22"/>
                <w:szCs w:val="22"/>
                <w:lang w:val="lt-LT"/>
              </w:rPr>
              <w:t>Staigus paraudimas</w:t>
            </w:r>
          </w:p>
        </w:tc>
        <w:tc>
          <w:tcPr>
            <w:tcW w:w="1650" w:type="dxa"/>
          </w:tcPr>
          <w:p w:rsidR="00424A32" w:rsidRPr="00631180" w:rsidRDefault="00424A32" w:rsidP="00424A32">
            <w:pPr>
              <w:spacing w:line="259" w:lineRule="auto"/>
              <w:rPr>
                <w:rFonts w:eastAsia="Calibri"/>
                <w:bCs/>
                <w:iCs/>
                <w:sz w:val="22"/>
                <w:szCs w:val="22"/>
                <w:lang w:val="lt-LT" w:eastAsia="en-US"/>
              </w:rPr>
            </w:pPr>
            <w:r w:rsidRPr="00631180">
              <w:rPr>
                <w:rFonts w:eastAsia="Calibri"/>
                <w:bCs/>
                <w:iCs/>
                <w:sz w:val="22"/>
                <w:szCs w:val="22"/>
                <w:lang w:val="lt-LT"/>
              </w:rPr>
              <w:t>Retas</w:t>
            </w:r>
          </w:p>
        </w:tc>
        <w:tc>
          <w:tcPr>
            <w:tcW w:w="2012" w:type="dxa"/>
          </w:tcPr>
          <w:p w:rsidR="00424A32" w:rsidRPr="00631180" w:rsidRDefault="00424A32" w:rsidP="00424A32">
            <w:pPr>
              <w:spacing w:line="259" w:lineRule="auto"/>
              <w:rPr>
                <w:rFonts w:eastAsia="Calibri"/>
                <w:bCs/>
                <w:iCs/>
                <w:sz w:val="22"/>
                <w:szCs w:val="22"/>
                <w:lang w:val="lt-LT" w:eastAsia="en-US"/>
              </w:rPr>
            </w:pPr>
            <w:r w:rsidRPr="00631180">
              <w:rPr>
                <w:rFonts w:eastAsia="Calibri"/>
                <w:bCs/>
                <w:iCs/>
                <w:sz w:val="22"/>
                <w:szCs w:val="22"/>
                <w:lang w:val="lt-LT"/>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sz w:val="22"/>
                <w:szCs w:val="22"/>
                <w:lang w:val="lt-LT" w:eastAsia="en-US"/>
              </w:rPr>
              <w:t>Reino</w:t>
            </w:r>
            <w:r w:rsidRPr="00BA0735">
              <w:rPr>
                <w:rFonts w:eastAsia="Calibri"/>
                <w:i/>
                <w:sz w:val="22"/>
                <w:szCs w:val="22"/>
                <w:lang w:val="lt-LT" w:eastAsia="en-US"/>
              </w:rPr>
              <w:t xml:space="preserve"> (Raynaud)</w:t>
            </w:r>
            <w:r w:rsidRPr="00BA0735">
              <w:rPr>
                <w:rFonts w:eastAsia="Calibri"/>
                <w:sz w:val="22"/>
                <w:szCs w:val="22"/>
                <w:lang w:val="lt-LT" w:eastAsia="en-US"/>
              </w:rPr>
              <w:t xml:space="preserve"> fenomenas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c>
          <w:tcPr>
            <w:tcW w:w="2012" w:type="dxa"/>
          </w:tcPr>
          <w:p w:rsidR="00902A53" w:rsidRPr="00BA0735" w:rsidRDefault="00902A53" w:rsidP="00902A53">
            <w:pPr>
              <w:spacing w:line="259" w:lineRule="auto"/>
              <w:rPr>
                <w:rFonts w:eastAsia="Calibri"/>
                <w:bCs/>
                <w:iCs/>
                <w:sz w:val="22"/>
                <w:szCs w:val="22"/>
                <w:lang w:val="lt-LT" w:eastAsia="en-US"/>
              </w:rPr>
            </w:pP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Kvėpavimo sistemos, krūtinės ląstos ir tarpuplaučio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Kosulys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Dusulys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Bronchų spazmas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Eozinofilinė pneumonija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Virškinimo trakto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Pilvo skausmas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Vidurių užkietėjimas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Viduriavimas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Dispepsija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Pykinimas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Vėmimas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Burnos džiūvimas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Pankreatitas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Kepenų, tulžies pūslės ir latakų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Hepatitas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Nenormali kepenų funkcija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val="restart"/>
          </w:tcPr>
          <w:p w:rsidR="00902A53" w:rsidRPr="00BA0735" w:rsidRDefault="00902A53" w:rsidP="00902A53">
            <w:pPr>
              <w:widowControl w:val="0"/>
              <w:spacing w:line="259" w:lineRule="auto"/>
              <w:rPr>
                <w:rFonts w:eastAsia="Calibri"/>
                <w:b/>
                <w:bCs/>
                <w:iCs/>
                <w:sz w:val="22"/>
                <w:szCs w:val="22"/>
                <w:lang w:val="lt-LT" w:eastAsia="en-US"/>
              </w:rPr>
            </w:pPr>
            <w:r w:rsidRPr="00BA0735">
              <w:rPr>
                <w:rFonts w:eastAsia="Calibri"/>
                <w:b/>
                <w:bCs/>
                <w:iCs/>
                <w:sz w:val="22"/>
                <w:szCs w:val="22"/>
                <w:lang w:val="lt-LT" w:eastAsia="en-US"/>
              </w:rPr>
              <w:t>Odos ir poodinio audinio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Niežėjimas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Bėrimas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Makulopapulinis bėrimas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Dilgėlinė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Angioneurozinė edema (žr. 4.4 skyrių)</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Purpura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Pernelyg stiprus prakaitavimas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Padidėjusio jautrumo šviesai reakcija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Pemfigoidas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Žvynelinės paūmėjimas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c>
          <w:tcPr>
            <w:tcW w:w="2012" w:type="dxa"/>
          </w:tcPr>
          <w:p w:rsidR="00902A53" w:rsidRPr="00BA0735" w:rsidRDefault="00902A53" w:rsidP="00902A53">
            <w:pPr>
              <w:spacing w:line="259" w:lineRule="auto"/>
              <w:rPr>
                <w:rFonts w:eastAsia="Calibri"/>
                <w:bCs/>
                <w:iCs/>
                <w:sz w:val="22"/>
                <w:szCs w:val="22"/>
                <w:lang w:val="lt-LT" w:eastAsia="en-US"/>
              </w:rPr>
            </w:pP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Daugiaformė eritema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Toksinė epidermio nekrolizė</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
                <w:iCs/>
                <w:sz w:val="22"/>
                <w:szCs w:val="22"/>
                <w:lang w:val="lt-LT" w:eastAsia="en-US"/>
              </w:rPr>
              <w:t>Stevens Johnson</w:t>
            </w:r>
            <w:r w:rsidRPr="00BA0735">
              <w:rPr>
                <w:rFonts w:eastAsia="Calibri"/>
                <w:bCs/>
                <w:iCs/>
                <w:sz w:val="22"/>
                <w:szCs w:val="22"/>
                <w:lang w:val="lt-LT" w:eastAsia="en-US"/>
              </w:rPr>
              <w:t xml:space="preserve"> sindromas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902A53" w:rsidRPr="00BA0735" w:rsidTr="00902A53">
        <w:tc>
          <w:tcPr>
            <w:tcW w:w="1884" w:type="dxa"/>
            <w:vMerge w:val="restart"/>
          </w:tcPr>
          <w:p w:rsidR="00902A53" w:rsidRPr="00BA0735" w:rsidRDefault="00902A53" w:rsidP="00902A53">
            <w:pPr>
              <w:spacing w:line="259" w:lineRule="auto"/>
              <w:rPr>
                <w:rFonts w:eastAsia="Calibri"/>
                <w:b/>
                <w:bCs/>
                <w:iCs/>
                <w:sz w:val="22"/>
                <w:szCs w:val="22"/>
                <w:lang w:val="lt-LT" w:eastAsia="en-US"/>
              </w:rPr>
            </w:pPr>
            <w:r w:rsidRPr="00BA0735">
              <w:rPr>
                <w:rFonts w:eastAsia="Calibri"/>
                <w:b/>
                <w:bCs/>
                <w:iCs/>
                <w:sz w:val="22"/>
                <w:szCs w:val="22"/>
                <w:lang w:val="lt-LT" w:eastAsia="en-US"/>
              </w:rPr>
              <w:t xml:space="preserve">Skeleto, raumenų ir jungiamojo </w:t>
            </w:r>
            <w:r w:rsidRPr="00BA0735">
              <w:rPr>
                <w:rFonts w:eastAsia="Calibri"/>
                <w:b/>
                <w:bCs/>
                <w:iCs/>
                <w:sz w:val="22"/>
                <w:szCs w:val="22"/>
                <w:lang w:val="lt-LT" w:eastAsia="en-US"/>
              </w:rPr>
              <w:lastRenderedPageBreak/>
              <w:t>audinio sutrikimai</w:t>
            </w: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lastRenderedPageBreak/>
              <w:t>Raumenų</w:t>
            </w:r>
            <w:r w:rsidR="000B0E91">
              <w:rPr>
                <w:rFonts w:eastAsia="Calibri"/>
                <w:bCs/>
                <w:iCs/>
                <w:sz w:val="22"/>
                <w:szCs w:val="22"/>
                <w:lang w:val="lt-LT" w:eastAsia="en-US"/>
              </w:rPr>
              <w:t xml:space="preserve"> </w:t>
            </w:r>
            <w:r w:rsidR="00F5533D">
              <w:rPr>
                <w:rFonts w:eastAsia="Calibri"/>
                <w:bCs/>
                <w:iCs/>
                <w:sz w:val="22"/>
                <w:szCs w:val="22"/>
                <w:lang w:val="lt-LT" w:eastAsia="en-US"/>
              </w:rPr>
              <w:t>spazmai</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902A53" w:rsidRPr="00BA0735" w:rsidRDefault="000B0E91" w:rsidP="00902A53">
            <w:pPr>
              <w:spacing w:line="259" w:lineRule="auto"/>
              <w:rPr>
                <w:rFonts w:eastAsia="Calibri"/>
                <w:bCs/>
                <w:iCs/>
                <w:sz w:val="22"/>
                <w:szCs w:val="22"/>
                <w:lang w:val="lt-LT" w:eastAsia="en-US"/>
              </w:rPr>
            </w:pPr>
            <w:r>
              <w:rPr>
                <w:rFonts w:eastAsia="Calibri"/>
                <w:bCs/>
                <w:iCs/>
                <w:sz w:val="22"/>
                <w:szCs w:val="22"/>
                <w:lang w:val="lt-LT" w:eastAsia="en-US"/>
              </w:rPr>
              <w:t>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Galimas buvusios ūminės sisteminės raudonosios vilkligės paūmėjimas</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902A53" w:rsidRPr="00BA0735" w:rsidTr="00902A53">
        <w:tc>
          <w:tcPr>
            <w:tcW w:w="1884" w:type="dxa"/>
            <w:vMerge/>
          </w:tcPr>
          <w:p w:rsidR="00902A53" w:rsidRPr="00BA0735" w:rsidRDefault="00902A53" w:rsidP="00902A53">
            <w:pPr>
              <w:spacing w:line="259" w:lineRule="auto"/>
              <w:rPr>
                <w:rFonts w:eastAsia="Calibri"/>
                <w:b/>
                <w:bCs/>
                <w:iCs/>
                <w:sz w:val="22"/>
                <w:szCs w:val="22"/>
                <w:lang w:val="lt-LT" w:eastAsia="en-US"/>
              </w:rPr>
            </w:pPr>
          </w:p>
        </w:tc>
        <w:tc>
          <w:tcPr>
            <w:tcW w:w="3741"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Artralgija</w:t>
            </w:r>
          </w:p>
        </w:tc>
        <w:tc>
          <w:tcPr>
            <w:tcW w:w="1650"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902A53" w:rsidRPr="00BA0735" w:rsidRDefault="00902A53" w:rsidP="00902A53">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Mialgija</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0B0E91">
              <w:rPr>
                <w:rFonts w:eastAsia="Calibri"/>
                <w:bCs/>
                <w:iCs/>
                <w:sz w:val="22"/>
                <w:szCs w:val="22"/>
                <w:lang w:val="lt-LT" w:eastAsia="en-US"/>
              </w:rPr>
              <w:t>Raumenų silpnumas</w:t>
            </w:r>
          </w:p>
        </w:tc>
        <w:tc>
          <w:tcPr>
            <w:tcW w:w="1650" w:type="dxa"/>
          </w:tcPr>
          <w:p w:rsidR="000B0E91" w:rsidRPr="00BA0735" w:rsidRDefault="000B0E91" w:rsidP="000B0E91">
            <w:pPr>
              <w:spacing w:line="259" w:lineRule="auto"/>
              <w:rPr>
                <w:rFonts w:eastAsia="Calibri"/>
                <w:bCs/>
                <w:iCs/>
                <w:sz w:val="22"/>
                <w:szCs w:val="22"/>
                <w:lang w:val="lt-LT" w:eastAsia="en-US"/>
              </w:rPr>
            </w:pPr>
            <w:r>
              <w:rPr>
                <w:rFonts w:eastAsia="Calibri"/>
                <w:bCs/>
                <w:iCs/>
                <w:sz w:val="22"/>
                <w:szCs w:val="22"/>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Pr>
                <w:rFonts w:eastAsia="Calibri"/>
                <w:bCs/>
                <w:iCs/>
                <w:sz w:val="22"/>
                <w:szCs w:val="22"/>
                <w:lang w:val="lt-LT" w:eastAsia="en-US"/>
              </w:rPr>
              <w:t>Nežinomas</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Pr>
                <w:rFonts w:eastAsia="Calibri"/>
                <w:bCs/>
                <w:iCs/>
                <w:sz w:val="22"/>
                <w:szCs w:val="22"/>
                <w:lang w:val="lt-LT" w:eastAsia="en-US"/>
              </w:rPr>
              <w:t>Rabdomiolozė</w:t>
            </w:r>
          </w:p>
        </w:tc>
        <w:tc>
          <w:tcPr>
            <w:tcW w:w="1650" w:type="dxa"/>
          </w:tcPr>
          <w:p w:rsidR="000B0E91" w:rsidRPr="00BA0735" w:rsidRDefault="000B0E91" w:rsidP="000B0E91">
            <w:pPr>
              <w:spacing w:line="259" w:lineRule="auto"/>
              <w:rPr>
                <w:rFonts w:eastAsia="Calibri"/>
                <w:bCs/>
                <w:iCs/>
                <w:sz w:val="22"/>
                <w:szCs w:val="22"/>
                <w:lang w:val="lt-LT" w:eastAsia="en-US"/>
              </w:rPr>
            </w:pPr>
            <w:r>
              <w:rPr>
                <w:rFonts w:eastAsia="Calibri"/>
                <w:bCs/>
                <w:iCs/>
                <w:sz w:val="22"/>
                <w:szCs w:val="22"/>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Pr>
                <w:rFonts w:eastAsia="Calibri"/>
                <w:bCs/>
                <w:iCs/>
                <w:sz w:val="22"/>
                <w:szCs w:val="22"/>
                <w:lang w:val="lt-LT" w:eastAsia="en-US"/>
              </w:rPr>
              <w:t>Nežinomas</w:t>
            </w:r>
          </w:p>
        </w:tc>
      </w:tr>
      <w:tr w:rsidR="000B0E91" w:rsidRPr="00BA0735" w:rsidTr="00902A53">
        <w:tc>
          <w:tcPr>
            <w:tcW w:w="1884" w:type="dxa"/>
            <w:vMerge w:val="restart"/>
          </w:tcPr>
          <w:p w:rsidR="000B0E91" w:rsidRPr="00BA0735" w:rsidRDefault="000B0E91" w:rsidP="000B0E91">
            <w:pPr>
              <w:spacing w:line="259" w:lineRule="auto"/>
              <w:rPr>
                <w:rFonts w:eastAsia="Calibri"/>
                <w:b/>
                <w:bCs/>
                <w:iCs/>
                <w:sz w:val="22"/>
                <w:szCs w:val="22"/>
                <w:lang w:val="lt-LT" w:eastAsia="en-US"/>
              </w:rPr>
            </w:pPr>
            <w:r w:rsidRPr="00BA0735">
              <w:rPr>
                <w:rFonts w:eastAsia="Calibri"/>
                <w:b/>
                <w:bCs/>
                <w:iCs/>
                <w:sz w:val="22"/>
                <w:szCs w:val="22"/>
                <w:lang w:val="lt-LT" w:eastAsia="en-US"/>
              </w:rPr>
              <w:t>Inkstų ir šlapimo takų sutrikimai</w:t>
            </w: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Inkstų nepakankamumas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Ūminis inkstų nepakankamumas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r>
      <w:tr w:rsidR="000B0E91" w:rsidRPr="00BA0735" w:rsidTr="00902A53">
        <w:tc>
          <w:tcPr>
            <w:tcW w:w="1884" w:type="dxa"/>
          </w:tcPr>
          <w:p w:rsidR="000B0E91" w:rsidRPr="00BA0735" w:rsidRDefault="000B0E91" w:rsidP="000B0E91">
            <w:pPr>
              <w:spacing w:line="259" w:lineRule="auto"/>
              <w:rPr>
                <w:rFonts w:eastAsia="Calibri"/>
                <w:b/>
                <w:bCs/>
                <w:iCs/>
                <w:sz w:val="22"/>
                <w:szCs w:val="22"/>
                <w:lang w:val="lt-LT" w:eastAsia="en-US"/>
              </w:rPr>
            </w:pPr>
            <w:r w:rsidRPr="00BA0735">
              <w:rPr>
                <w:rFonts w:eastAsia="Calibri"/>
                <w:b/>
                <w:bCs/>
                <w:iCs/>
                <w:sz w:val="22"/>
                <w:szCs w:val="22"/>
                <w:lang w:val="lt-LT" w:eastAsia="en-US"/>
              </w:rPr>
              <w:t>Lytinės sistemos ir krūties sutrikimai</w:t>
            </w: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Erekcijos funkcijos sutrikimas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Nedažnas</w:t>
            </w:r>
          </w:p>
        </w:tc>
        <w:tc>
          <w:tcPr>
            <w:tcW w:w="2012" w:type="dxa"/>
          </w:tcPr>
          <w:p w:rsidR="000B0E91" w:rsidRPr="00631180" w:rsidRDefault="009208D9" w:rsidP="000B0E91">
            <w:pPr>
              <w:spacing w:line="259" w:lineRule="auto"/>
              <w:rPr>
                <w:rFonts w:eastAsia="Calibri"/>
                <w:bCs/>
                <w:iCs/>
                <w:sz w:val="22"/>
                <w:szCs w:val="22"/>
                <w:lang w:val="lt-LT" w:eastAsia="en-US"/>
              </w:rPr>
            </w:pPr>
            <w:r w:rsidRPr="00631180">
              <w:rPr>
                <w:rFonts w:eastAsia="Calibri"/>
                <w:bCs/>
                <w:iCs/>
                <w:sz w:val="22"/>
                <w:szCs w:val="22"/>
                <w:lang w:val="lt-LT" w:eastAsia="en-US"/>
              </w:rPr>
              <w:t>Nedažnas</w:t>
            </w:r>
          </w:p>
        </w:tc>
      </w:tr>
      <w:tr w:rsidR="000B0E91" w:rsidRPr="00BA0735" w:rsidTr="00902A53">
        <w:tc>
          <w:tcPr>
            <w:tcW w:w="1884" w:type="dxa"/>
            <w:vMerge w:val="restart"/>
          </w:tcPr>
          <w:p w:rsidR="000B0E91" w:rsidRPr="00BA0735" w:rsidRDefault="000B0E91" w:rsidP="000B0E91">
            <w:pPr>
              <w:spacing w:line="259" w:lineRule="auto"/>
              <w:rPr>
                <w:rFonts w:eastAsia="Calibri"/>
                <w:b/>
                <w:bCs/>
                <w:iCs/>
                <w:sz w:val="22"/>
                <w:szCs w:val="22"/>
                <w:lang w:val="lt-LT" w:eastAsia="en-US"/>
              </w:rPr>
            </w:pPr>
            <w:r w:rsidRPr="00BA0735">
              <w:rPr>
                <w:rFonts w:eastAsia="Calibri"/>
                <w:b/>
                <w:bCs/>
                <w:iCs/>
                <w:sz w:val="22"/>
                <w:szCs w:val="22"/>
                <w:lang w:val="lt-LT" w:eastAsia="en-US"/>
              </w:rPr>
              <w:t>Bendrieji sutrikimai ir vartojimo vietos pažeidimai</w:t>
            </w: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Astenija</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Dažnas</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Krūtinės skausmas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Bendrasis negalavimas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Periferinė edema</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Karščiavimas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Nuovargis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r>
      <w:tr w:rsidR="000B0E91" w:rsidRPr="00BA0735" w:rsidTr="00902A53">
        <w:tc>
          <w:tcPr>
            <w:tcW w:w="1884" w:type="dxa"/>
            <w:vMerge w:val="restart"/>
          </w:tcPr>
          <w:p w:rsidR="000B0E91" w:rsidRPr="00BA0735" w:rsidRDefault="000B0E91" w:rsidP="000B0E91">
            <w:pPr>
              <w:spacing w:line="259" w:lineRule="auto"/>
              <w:rPr>
                <w:rFonts w:eastAsia="Calibri"/>
                <w:b/>
                <w:bCs/>
                <w:iCs/>
                <w:sz w:val="22"/>
                <w:szCs w:val="22"/>
                <w:lang w:val="lt-LT" w:eastAsia="en-US"/>
              </w:rPr>
            </w:pPr>
            <w:r w:rsidRPr="00BA0735">
              <w:rPr>
                <w:rFonts w:eastAsia="Calibri"/>
                <w:b/>
                <w:bCs/>
                <w:iCs/>
                <w:sz w:val="22"/>
                <w:szCs w:val="22"/>
                <w:lang w:val="lt-LT" w:eastAsia="en-US"/>
              </w:rPr>
              <w:t>Tyrimai</w:t>
            </w:r>
          </w:p>
          <w:p w:rsidR="000B0E91" w:rsidRPr="00BA0735" w:rsidRDefault="000B0E91" w:rsidP="000B0E91">
            <w:pPr>
              <w:spacing w:line="259" w:lineRule="auto"/>
              <w:rPr>
                <w:rFonts w:eastAsia="Calibri"/>
                <w:b/>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Šlapalo koncentracijos kraujyje padidėjimas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Kreatinino koncentracijos kraujyje padidėjimas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Bilirubino koncentracijos kraujyje padidėjimas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Kepenų fermentų suaktyvėjimas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Retas</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0B0E91" w:rsidRPr="00BA0735" w:rsidTr="00902A53">
        <w:tc>
          <w:tcPr>
            <w:tcW w:w="1884" w:type="dxa"/>
            <w:vMerge/>
          </w:tcPr>
          <w:p w:rsidR="000B0E91" w:rsidRPr="00BA0735" w:rsidRDefault="000B0E91" w:rsidP="000B0E91">
            <w:pPr>
              <w:spacing w:line="259" w:lineRule="auto"/>
              <w:rPr>
                <w:rFonts w:eastAsia="Calibri"/>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Hemoglobino koncentracijos kraujyje ir hematokrito sumažėjimas (žr. 4.4 skyrių)</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Labai retas</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r w:rsidR="000B0E91" w:rsidRPr="00BA0735" w:rsidTr="00902A53">
        <w:tc>
          <w:tcPr>
            <w:tcW w:w="1884" w:type="dxa"/>
            <w:vMerge/>
          </w:tcPr>
          <w:p w:rsidR="000B0E91" w:rsidRPr="00BA0735" w:rsidRDefault="000B0E91" w:rsidP="000B0E91">
            <w:pPr>
              <w:spacing w:line="259" w:lineRule="auto"/>
              <w:rPr>
                <w:rFonts w:eastAsia="Calibri"/>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Gliukozės koncentracijos kraujyje padidėjimas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0B0E91" w:rsidRPr="00BA0735" w:rsidTr="00902A53">
        <w:tc>
          <w:tcPr>
            <w:tcW w:w="1884" w:type="dxa"/>
            <w:vMerge/>
          </w:tcPr>
          <w:p w:rsidR="000B0E91" w:rsidRPr="00BA0735" w:rsidRDefault="000B0E91" w:rsidP="000B0E91">
            <w:pPr>
              <w:spacing w:line="259" w:lineRule="auto"/>
              <w:rPr>
                <w:rFonts w:eastAsia="Calibri"/>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Šlapimo rūgšties koncentracijos kraujyje padidėjimas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0B0E91" w:rsidRPr="00BA0735" w:rsidTr="00902A53">
        <w:tc>
          <w:tcPr>
            <w:tcW w:w="1884" w:type="dxa"/>
            <w:vMerge/>
          </w:tcPr>
          <w:p w:rsidR="000B0E91" w:rsidRPr="00BA0735" w:rsidRDefault="000B0E91" w:rsidP="000B0E91">
            <w:pPr>
              <w:spacing w:line="259" w:lineRule="auto"/>
              <w:rPr>
                <w:rFonts w:eastAsia="Calibri"/>
                <w:bCs/>
                <w:iCs/>
                <w:sz w:val="22"/>
                <w:szCs w:val="22"/>
                <w:lang w:val="lt-LT" w:eastAsia="en-US"/>
              </w:rPr>
            </w:pP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Elektrokardiogramos QT intervalo pailgėjimas (žr. 4.4 ir 4.5 skyrius)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Dažnis nežinomas</w:t>
            </w:r>
          </w:p>
        </w:tc>
      </w:tr>
      <w:tr w:rsidR="000B0E91" w:rsidRPr="00BA0735" w:rsidTr="00902A53">
        <w:tc>
          <w:tcPr>
            <w:tcW w:w="1884" w:type="dxa"/>
          </w:tcPr>
          <w:p w:rsidR="000B0E91" w:rsidRPr="00BA0735" w:rsidRDefault="000B0E91" w:rsidP="000B0E91">
            <w:pPr>
              <w:spacing w:line="259" w:lineRule="auto"/>
              <w:rPr>
                <w:rFonts w:eastAsia="Calibri"/>
                <w:b/>
                <w:bCs/>
                <w:iCs/>
                <w:sz w:val="22"/>
                <w:szCs w:val="22"/>
                <w:lang w:val="lt-LT" w:eastAsia="en-US"/>
              </w:rPr>
            </w:pPr>
            <w:r w:rsidRPr="00BA0735">
              <w:rPr>
                <w:rFonts w:eastAsia="Calibri"/>
                <w:b/>
                <w:bCs/>
                <w:iCs/>
                <w:sz w:val="22"/>
                <w:szCs w:val="22"/>
                <w:lang w:val="lt-LT" w:eastAsia="en-US"/>
              </w:rPr>
              <w:t>Sužalojimai, apsinuodijimai ir procedūrų komplikacijos</w:t>
            </w:r>
          </w:p>
        </w:tc>
        <w:tc>
          <w:tcPr>
            <w:tcW w:w="3741"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Pargriuvimas</w:t>
            </w:r>
          </w:p>
        </w:tc>
        <w:tc>
          <w:tcPr>
            <w:tcW w:w="1650"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 xml:space="preserve">Nedažnas </w:t>
            </w:r>
            <w:r w:rsidRPr="00BA0735">
              <w:rPr>
                <w:rFonts w:eastAsia="Calibri"/>
                <w:bCs/>
                <w:iCs/>
                <w:sz w:val="22"/>
                <w:szCs w:val="22"/>
                <w:vertAlign w:val="superscript"/>
                <w:lang w:val="lt-LT" w:eastAsia="en-US"/>
              </w:rPr>
              <w:t>*</w:t>
            </w:r>
          </w:p>
        </w:tc>
        <w:tc>
          <w:tcPr>
            <w:tcW w:w="2012" w:type="dxa"/>
          </w:tcPr>
          <w:p w:rsidR="000B0E91" w:rsidRPr="00BA0735" w:rsidRDefault="000B0E91" w:rsidP="000B0E91">
            <w:pPr>
              <w:spacing w:line="259" w:lineRule="auto"/>
              <w:rPr>
                <w:rFonts w:eastAsia="Calibri"/>
                <w:bCs/>
                <w:iCs/>
                <w:sz w:val="22"/>
                <w:szCs w:val="22"/>
                <w:lang w:val="lt-LT" w:eastAsia="en-US"/>
              </w:rPr>
            </w:pPr>
            <w:r w:rsidRPr="00BA0735">
              <w:rPr>
                <w:rFonts w:eastAsia="Calibri"/>
                <w:bCs/>
                <w:iCs/>
                <w:sz w:val="22"/>
                <w:szCs w:val="22"/>
                <w:lang w:val="lt-LT" w:eastAsia="en-US"/>
              </w:rPr>
              <w:t>-</w:t>
            </w:r>
          </w:p>
        </w:tc>
      </w:tr>
    </w:tbl>
    <w:p w:rsidR="00E93252" w:rsidRPr="00BA0735" w:rsidRDefault="00E93252" w:rsidP="00E93252">
      <w:pPr>
        <w:widowControl w:val="0"/>
        <w:rPr>
          <w:sz w:val="22"/>
          <w:szCs w:val="22"/>
          <w:lang w:val="lt-LT"/>
        </w:rPr>
      </w:pPr>
      <w:r w:rsidRPr="00BA0735">
        <w:rPr>
          <w:rFonts w:eastAsia="Calibri"/>
          <w:bCs/>
          <w:iCs/>
          <w:sz w:val="22"/>
          <w:szCs w:val="22"/>
          <w:vertAlign w:val="superscript"/>
          <w:lang w:val="lt-LT" w:eastAsia="en-US"/>
        </w:rPr>
        <w:t>*</w:t>
      </w:r>
      <w:r w:rsidRPr="00BA0735">
        <w:rPr>
          <w:rFonts w:eastAsia="Calibri"/>
          <w:sz w:val="22"/>
          <w:szCs w:val="22"/>
          <w:lang w:val="lt-LT" w:eastAsia="en-US"/>
        </w:rPr>
        <w:t xml:space="preserve"> </w:t>
      </w:r>
      <w:r w:rsidRPr="00BA0735">
        <w:rPr>
          <w:rFonts w:eastAsia="Calibri"/>
          <w:i/>
          <w:sz w:val="22"/>
          <w:szCs w:val="22"/>
          <w:lang w:val="lt-LT" w:eastAsia="en-US"/>
        </w:rPr>
        <w:t>Nepageidaujamų reiškinių, išsiaiškintų pagal savanoriškus pranešimus, dažnis apskaičiuotas, remiantis klinikinių tyrimų duomenimis</w:t>
      </w:r>
      <w:r w:rsidRPr="00BA0735">
        <w:rPr>
          <w:rFonts w:eastAsia="Calibri"/>
          <w:sz w:val="22"/>
          <w:szCs w:val="22"/>
          <w:lang w:val="lt-LT" w:eastAsia="en-US"/>
        </w:rPr>
        <w:t>.</w:t>
      </w:r>
    </w:p>
    <w:p w:rsidR="009208D9" w:rsidRDefault="009208D9" w:rsidP="009208D9">
      <w:pPr>
        <w:widowControl w:val="0"/>
        <w:tabs>
          <w:tab w:val="left" w:pos="567"/>
        </w:tabs>
        <w:snapToGrid w:val="0"/>
        <w:rPr>
          <w:b/>
          <w:sz w:val="22"/>
          <w:szCs w:val="22"/>
          <w:highlight w:val="cyan"/>
          <w:lang w:val="lt-LT"/>
        </w:rPr>
      </w:pPr>
    </w:p>
    <w:p w:rsidR="009208D9" w:rsidRPr="00631180" w:rsidRDefault="009208D9" w:rsidP="009208D9">
      <w:pPr>
        <w:widowControl w:val="0"/>
        <w:tabs>
          <w:tab w:val="left" w:pos="567"/>
        </w:tabs>
        <w:snapToGrid w:val="0"/>
        <w:rPr>
          <w:sz w:val="22"/>
          <w:szCs w:val="22"/>
          <w:lang w:val="lt-LT"/>
        </w:rPr>
      </w:pPr>
      <w:r w:rsidRPr="00631180">
        <w:rPr>
          <w:b/>
          <w:sz w:val="22"/>
          <w:szCs w:val="22"/>
          <w:lang w:val="lt-LT"/>
        </w:rPr>
        <w:t>Papildoma informacija, susijusi su indapamidu</w:t>
      </w:r>
    </w:p>
    <w:p w:rsidR="009208D9" w:rsidRPr="00631180" w:rsidRDefault="009208D9" w:rsidP="009208D9">
      <w:pPr>
        <w:widowControl w:val="0"/>
        <w:tabs>
          <w:tab w:val="left" w:pos="567"/>
        </w:tabs>
        <w:snapToGrid w:val="0"/>
        <w:rPr>
          <w:i/>
          <w:sz w:val="22"/>
          <w:szCs w:val="22"/>
          <w:lang w:val="lt-LT"/>
        </w:rPr>
      </w:pPr>
      <w:r w:rsidRPr="00631180">
        <w:rPr>
          <w:i/>
          <w:sz w:val="22"/>
          <w:szCs w:val="22"/>
          <w:lang w:val="lt-LT"/>
        </w:rPr>
        <w:t>Atrinktų nepageidaujamų reakcijų aprašymas</w:t>
      </w:r>
    </w:p>
    <w:p w:rsidR="009208D9" w:rsidRPr="00631180" w:rsidRDefault="009208D9" w:rsidP="009208D9">
      <w:pPr>
        <w:widowControl w:val="0"/>
        <w:tabs>
          <w:tab w:val="left" w:pos="567"/>
        </w:tabs>
        <w:snapToGrid w:val="0"/>
        <w:rPr>
          <w:sz w:val="22"/>
          <w:szCs w:val="22"/>
          <w:lang w:val="lt-LT"/>
        </w:rPr>
      </w:pPr>
      <w:r w:rsidRPr="00631180">
        <w:rPr>
          <w:sz w:val="22"/>
          <w:szCs w:val="22"/>
          <w:lang w:val="lt-LT"/>
        </w:rPr>
        <w:t>II ir III fazės tyrimų, kurių metu buvo palygintos 1,5</w:t>
      </w:r>
      <w:r w:rsidR="00E908DC" w:rsidRPr="00631180">
        <w:rPr>
          <w:sz w:val="22"/>
          <w:szCs w:val="22"/>
          <w:lang w:val="lt-LT"/>
        </w:rPr>
        <w:t> </w:t>
      </w:r>
      <w:r w:rsidRPr="00631180">
        <w:rPr>
          <w:sz w:val="22"/>
          <w:szCs w:val="22"/>
          <w:lang w:val="lt-LT"/>
        </w:rPr>
        <w:t>mg ir 2,5</w:t>
      </w:r>
      <w:r w:rsidR="00E908DC" w:rsidRPr="00631180">
        <w:rPr>
          <w:sz w:val="22"/>
          <w:szCs w:val="22"/>
          <w:lang w:val="lt-LT"/>
        </w:rPr>
        <w:t> </w:t>
      </w:r>
      <w:r w:rsidRPr="00631180">
        <w:rPr>
          <w:sz w:val="22"/>
          <w:szCs w:val="22"/>
          <w:lang w:val="lt-LT"/>
        </w:rPr>
        <w:t>mg indapamido dozės,</w:t>
      </w:r>
      <w:r w:rsidR="00E908DC" w:rsidRPr="00631180">
        <w:rPr>
          <w:sz w:val="22"/>
          <w:szCs w:val="22"/>
          <w:lang w:val="lt-LT"/>
        </w:rPr>
        <w:t xml:space="preserve"> </w:t>
      </w:r>
      <w:r w:rsidRPr="00631180">
        <w:rPr>
          <w:sz w:val="22"/>
          <w:szCs w:val="22"/>
          <w:lang w:val="lt-LT"/>
        </w:rPr>
        <w:t>duomenimis, kalio koncentracijų plazmoje analizė parodė nuo dozės priklausomą indapamido</w:t>
      </w:r>
      <w:r w:rsidR="00E908DC" w:rsidRPr="00631180">
        <w:rPr>
          <w:sz w:val="22"/>
          <w:szCs w:val="22"/>
          <w:lang w:val="lt-LT"/>
        </w:rPr>
        <w:t xml:space="preserve"> </w:t>
      </w:r>
      <w:r w:rsidRPr="00631180">
        <w:rPr>
          <w:sz w:val="22"/>
          <w:szCs w:val="22"/>
          <w:lang w:val="lt-LT"/>
        </w:rPr>
        <w:t>poveikį.</w:t>
      </w:r>
    </w:p>
    <w:p w:rsidR="009208D9" w:rsidRPr="00631180" w:rsidRDefault="009208D9" w:rsidP="009208D9">
      <w:pPr>
        <w:widowControl w:val="0"/>
        <w:tabs>
          <w:tab w:val="left" w:pos="567"/>
        </w:tabs>
        <w:snapToGrid w:val="0"/>
        <w:rPr>
          <w:sz w:val="22"/>
          <w:szCs w:val="22"/>
          <w:lang w:val="lt-LT"/>
        </w:rPr>
      </w:pPr>
      <w:r w:rsidRPr="00631180">
        <w:rPr>
          <w:sz w:val="22"/>
          <w:szCs w:val="22"/>
          <w:lang w:val="lt-LT"/>
        </w:rPr>
        <w:t>- 1,5</w:t>
      </w:r>
      <w:r w:rsidR="00E908DC" w:rsidRPr="00631180">
        <w:rPr>
          <w:sz w:val="22"/>
          <w:szCs w:val="22"/>
          <w:lang w:val="lt-LT"/>
        </w:rPr>
        <w:t> </w:t>
      </w:r>
      <w:r w:rsidRPr="00631180">
        <w:rPr>
          <w:sz w:val="22"/>
          <w:szCs w:val="22"/>
          <w:lang w:val="lt-LT"/>
        </w:rPr>
        <w:t>mg indapamido. Po 4–6 savaičių gydymo mažesnės kaip 3,4</w:t>
      </w:r>
      <w:r w:rsidR="00E908DC" w:rsidRPr="00631180">
        <w:rPr>
          <w:sz w:val="22"/>
          <w:szCs w:val="22"/>
          <w:lang w:val="lt-LT"/>
        </w:rPr>
        <w:t> </w:t>
      </w:r>
      <w:r w:rsidRPr="00631180">
        <w:rPr>
          <w:sz w:val="22"/>
          <w:szCs w:val="22"/>
          <w:lang w:val="lt-LT"/>
        </w:rPr>
        <w:t>mmol/l kalio koncentracijos</w:t>
      </w:r>
      <w:r w:rsidR="00E908DC" w:rsidRPr="00631180">
        <w:rPr>
          <w:sz w:val="22"/>
          <w:szCs w:val="22"/>
          <w:lang w:val="lt-LT"/>
        </w:rPr>
        <w:t xml:space="preserve"> </w:t>
      </w:r>
      <w:r w:rsidRPr="00631180">
        <w:rPr>
          <w:sz w:val="22"/>
          <w:szCs w:val="22"/>
          <w:lang w:val="lt-LT"/>
        </w:rPr>
        <w:t>plazmoje buvo išmatuotos 10</w:t>
      </w:r>
      <w:r w:rsidR="00E908DC" w:rsidRPr="00631180">
        <w:rPr>
          <w:sz w:val="22"/>
          <w:szCs w:val="22"/>
          <w:lang w:val="lt-LT"/>
        </w:rPr>
        <w:t> </w:t>
      </w:r>
      <w:r w:rsidRPr="00631180">
        <w:rPr>
          <w:sz w:val="22"/>
          <w:szCs w:val="22"/>
          <w:lang w:val="lt-LT"/>
        </w:rPr>
        <w:t>% pacientų, o mažesnės kaip 3,2</w:t>
      </w:r>
      <w:r w:rsidR="00E908DC" w:rsidRPr="00631180">
        <w:rPr>
          <w:sz w:val="22"/>
          <w:szCs w:val="22"/>
          <w:lang w:val="lt-LT"/>
        </w:rPr>
        <w:t> </w:t>
      </w:r>
      <w:r w:rsidRPr="00631180">
        <w:rPr>
          <w:sz w:val="22"/>
          <w:szCs w:val="22"/>
          <w:lang w:val="lt-LT"/>
        </w:rPr>
        <w:t>mmol/l – 4</w:t>
      </w:r>
      <w:r w:rsidR="00E908DC" w:rsidRPr="00631180">
        <w:rPr>
          <w:sz w:val="22"/>
          <w:szCs w:val="22"/>
          <w:lang w:val="lt-LT"/>
        </w:rPr>
        <w:t> </w:t>
      </w:r>
      <w:r w:rsidRPr="00631180">
        <w:rPr>
          <w:sz w:val="22"/>
          <w:szCs w:val="22"/>
          <w:lang w:val="lt-LT"/>
        </w:rPr>
        <w:t>% pacientų. Po</w:t>
      </w:r>
      <w:r w:rsidR="00E908DC" w:rsidRPr="00631180">
        <w:rPr>
          <w:sz w:val="22"/>
          <w:szCs w:val="22"/>
          <w:lang w:val="lt-LT"/>
        </w:rPr>
        <w:t xml:space="preserve"> </w:t>
      </w:r>
      <w:r w:rsidRPr="00631180">
        <w:rPr>
          <w:sz w:val="22"/>
          <w:szCs w:val="22"/>
          <w:lang w:val="lt-LT"/>
        </w:rPr>
        <w:t>12 savaičių gydymo kalio koncentracijų plazmoje sumažėjo vidutiniškai 0,23</w:t>
      </w:r>
      <w:r w:rsidR="00E908DC" w:rsidRPr="00631180">
        <w:rPr>
          <w:sz w:val="22"/>
          <w:szCs w:val="22"/>
          <w:lang w:val="lt-LT"/>
        </w:rPr>
        <w:t> </w:t>
      </w:r>
      <w:r w:rsidRPr="00631180">
        <w:rPr>
          <w:sz w:val="22"/>
          <w:szCs w:val="22"/>
          <w:lang w:val="lt-LT"/>
        </w:rPr>
        <w:t>mmol/l.</w:t>
      </w:r>
    </w:p>
    <w:p w:rsidR="009208D9" w:rsidRPr="002B45FE" w:rsidRDefault="009208D9" w:rsidP="009208D9">
      <w:pPr>
        <w:widowControl w:val="0"/>
        <w:tabs>
          <w:tab w:val="left" w:pos="567"/>
        </w:tabs>
        <w:snapToGrid w:val="0"/>
        <w:rPr>
          <w:sz w:val="22"/>
          <w:szCs w:val="22"/>
          <w:lang w:val="lt-LT"/>
        </w:rPr>
      </w:pPr>
      <w:r w:rsidRPr="00631180">
        <w:rPr>
          <w:sz w:val="22"/>
          <w:szCs w:val="22"/>
          <w:lang w:val="lt-LT"/>
        </w:rPr>
        <w:t>- 2,5</w:t>
      </w:r>
      <w:r w:rsidR="00E908DC" w:rsidRPr="00631180">
        <w:rPr>
          <w:sz w:val="22"/>
          <w:szCs w:val="22"/>
          <w:lang w:val="lt-LT"/>
        </w:rPr>
        <w:t> </w:t>
      </w:r>
      <w:r w:rsidRPr="00631180">
        <w:rPr>
          <w:sz w:val="22"/>
          <w:szCs w:val="22"/>
          <w:lang w:val="lt-LT"/>
        </w:rPr>
        <w:t>mg indapamido. Po 4–6 savaičių gydymo mažesnės kaip 3,4</w:t>
      </w:r>
      <w:r w:rsidR="00E908DC" w:rsidRPr="00631180">
        <w:rPr>
          <w:sz w:val="22"/>
          <w:szCs w:val="22"/>
          <w:lang w:val="lt-LT"/>
        </w:rPr>
        <w:t> </w:t>
      </w:r>
      <w:r w:rsidRPr="00631180">
        <w:rPr>
          <w:sz w:val="22"/>
          <w:szCs w:val="22"/>
          <w:lang w:val="lt-LT"/>
        </w:rPr>
        <w:t>mmol/l kalio koncentracijos</w:t>
      </w:r>
      <w:r w:rsidR="00E908DC" w:rsidRPr="00631180">
        <w:rPr>
          <w:sz w:val="22"/>
          <w:szCs w:val="22"/>
          <w:lang w:val="lt-LT"/>
        </w:rPr>
        <w:t xml:space="preserve"> </w:t>
      </w:r>
      <w:r w:rsidRPr="00631180">
        <w:rPr>
          <w:sz w:val="22"/>
          <w:szCs w:val="22"/>
          <w:lang w:val="lt-LT"/>
        </w:rPr>
        <w:t>plazmoje buvo išmatuotos 25</w:t>
      </w:r>
      <w:r w:rsidR="00E908DC" w:rsidRPr="00631180">
        <w:rPr>
          <w:sz w:val="22"/>
          <w:szCs w:val="22"/>
          <w:lang w:val="lt-LT"/>
        </w:rPr>
        <w:t> </w:t>
      </w:r>
      <w:r w:rsidRPr="00631180">
        <w:rPr>
          <w:sz w:val="22"/>
          <w:szCs w:val="22"/>
          <w:lang w:val="lt-LT"/>
        </w:rPr>
        <w:t>% pacientų, o mažesnės kaip 3,2</w:t>
      </w:r>
      <w:r w:rsidR="00E908DC" w:rsidRPr="00631180">
        <w:rPr>
          <w:sz w:val="22"/>
          <w:szCs w:val="22"/>
          <w:lang w:val="lt-LT"/>
        </w:rPr>
        <w:t> </w:t>
      </w:r>
      <w:r w:rsidRPr="00631180">
        <w:rPr>
          <w:sz w:val="22"/>
          <w:szCs w:val="22"/>
          <w:lang w:val="lt-LT"/>
        </w:rPr>
        <w:t>mmol/l – 10 %</w:t>
      </w:r>
      <w:r w:rsidR="00E908DC" w:rsidRPr="00631180">
        <w:rPr>
          <w:sz w:val="22"/>
          <w:szCs w:val="22"/>
          <w:lang w:val="lt-LT"/>
        </w:rPr>
        <w:t> </w:t>
      </w:r>
      <w:r w:rsidRPr="00631180">
        <w:rPr>
          <w:sz w:val="22"/>
          <w:szCs w:val="22"/>
          <w:lang w:val="lt-LT"/>
        </w:rPr>
        <w:t>pacientų. Po</w:t>
      </w:r>
      <w:r w:rsidR="00E908DC" w:rsidRPr="00631180">
        <w:rPr>
          <w:sz w:val="22"/>
          <w:szCs w:val="22"/>
          <w:lang w:val="lt-LT"/>
        </w:rPr>
        <w:t xml:space="preserve"> </w:t>
      </w:r>
      <w:r w:rsidRPr="00631180">
        <w:rPr>
          <w:sz w:val="22"/>
          <w:szCs w:val="22"/>
          <w:lang w:val="lt-LT"/>
        </w:rPr>
        <w:t>12 savaičių gydymo kalio koncentracijų plazmoje sumažėjo vidutiniškai 0,41</w:t>
      </w:r>
      <w:r w:rsidR="00E908DC" w:rsidRPr="00631180">
        <w:rPr>
          <w:sz w:val="22"/>
          <w:szCs w:val="22"/>
          <w:lang w:val="lt-LT"/>
        </w:rPr>
        <w:t> </w:t>
      </w:r>
      <w:r w:rsidRPr="00631180">
        <w:rPr>
          <w:sz w:val="22"/>
          <w:szCs w:val="22"/>
          <w:lang w:val="lt-LT"/>
        </w:rPr>
        <w:t>mmol/l.</w:t>
      </w:r>
    </w:p>
    <w:p w:rsidR="00E93252" w:rsidRPr="00BA0735" w:rsidRDefault="00E93252" w:rsidP="008B3A7C">
      <w:pPr>
        <w:tabs>
          <w:tab w:val="left" w:pos="567"/>
        </w:tabs>
        <w:rPr>
          <w:sz w:val="22"/>
          <w:szCs w:val="22"/>
          <w:lang w:val="lt-LT"/>
        </w:rPr>
      </w:pPr>
    </w:p>
    <w:p w:rsidR="00E93252" w:rsidRPr="00BA0735" w:rsidRDefault="00E93252" w:rsidP="00E93252">
      <w:pPr>
        <w:widowControl w:val="0"/>
        <w:tabs>
          <w:tab w:val="left" w:pos="567"/>
        </w:tabs>
        <w:autoSpaceDE w:val="0"/>
        <w:autoSpaceDN w:val="0"/>
        <w:adjustRightInd w:val="0"/>
        <w:jc w:val="both"/>
        <w:rPr>
          <w:snapToGrid w:val="0"/>
          <w:sz w:val="22"/>
          <w:szCs w:val="22"/>
          <w:u w:val="single"/>
          <w:lang w:val="lt-LT"/>
        </w:rPr>
      </w:pPr>
      <w:r w:rsidRPr="00BA0735">
        <w:rPr>
          <w:noProof/>
          <w:snapToGrid w:val="0"/>
          <w:sz w:val="22"/>
          <w:szCs w:val="22"/>
          <w:u w:val="single"/>
          <w:lang w:val="lt-LT"/>
        </w:rPr>
        <w:t>Pranešimas apie įtariamas nepageidaujamas reakcijas</w:t>
      </w:r>
    </w:p>
    <w:p w:rsidR="00E93252" w:rsidRPr="00BA0735" w:rsidRDefault="00E908DC" w:rsidP="00E93252">
      <w:pPr>
        <w:widowControl w:val="0"/>
        <w:rPr>
          <w:sz w:val="22"/>
          <w:szCs w:val="22"/>
          <w:lang w:val="lt-LT"/>
        </w:rPr>
      </w:pPr>
      <w:r w:rsidRPr="00E908DC">
        <w:rPr>
          <w:noProof/>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E908DC">
        <w:rPr>
          <w:noProof/>
          <w:snapToGrid w:val="0"/>
          <w:sz w:val="22"/>
          <w:szCs w:val="22"/>
          <w:lang w:val="lt-LT"/>
        </w:rPr>
        <w:lastRenderedPageBreak/>
        <w:t>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rsidR="00E93252" w:rsidRPr="00BA0735" w:rsidRDefault="00E93252" w:rsidP="00E93252">
      <w:pPr>
        <w:widowControl w:val="0"/>
        <w:tabs>
          <w:tab w:val="left" w:pos="567"/>
        </w:tabs>
        <w:ind w:left="567" w:hanging="567"/>
        <w:outlineLvl w:val="2"/>
        <w:rPr>
          <w:b/>
          <w:kern w:val="28"/>
          <w:sz w:val="22"/>
          <w:szCs w:val="22"/>
          <w:lang w:val="lt-LT"/>
        </w:rPr>
      </w:pPr>
      <w:bookmarkStart w:id="38" w:name="_Toc129243110"/>
      <w:bookmarkStart w:id="39" w:name="_Toc129243235"/>
      <w:r w:rsidRPr="00BA0735">
        <w:rPr>
          <w:b/>
          <w:kern w:val="28"/>
          <w:sz w:val="22"/>
          <w:szCs w:val="22"/>
          <w:lang w:val="lt-LT"/>
        </w:rPr>
        <w:t>4.9</w:t>
      </w:r>
      <w:r w:rsidRPr="00BA0735">
        <w:rPr>
          <w:b/>
          <w:kern w:val="28"/>
          <w:sz w:val="22"/>
          <w:szCs w:val="22"/>
          <w:lang w:val="lt-LT"/>
        </w:rPr>
        <w:tab/>
        <w:t>Perdozavimas</w:t>
      </w:r>
      <w:bookmarkEnd w:id="38"/>
      <w:bookmarkEnd w:id="39"/>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Simptomai</w:t>
      </w:r>
    </w:p>
    <w:p w:rsidR="00E93252" w:rsidRPr="00BA0735" w:rsidRDefault="00E93252" w:rsidP="00E93252">
      <w:pPr>
        <w:widowControl w:val="0"/>
        <w:rPr>
          <w:sz w:val="22"/>
          <w:szCs w:val="22"/>
          <w:lang w:val="lt-LT"/>
        </w:rPr>
      </w:pPr>
      <w:r w:rsidRPr="00BA0735">
        <w:rPr>
          <w:sz w:val="22"/>
          <w:szCs w:val="22"/>
          <w:lang w:val="lt-LT"/>
        </w:rPr>
        <w:t>Perdozavus labiausiai tikėtinas poveikis yra hipotenzija, kartu gali atsirasti pykinimas, vėmimas, mėšlungis, galvos svaigimas, apsnūdimas, konfūzija, oligurija, galinti dėl hipovolemijos pereiti į anuriją. Gali sutrikti elektrolitų ir skysčio pusiausvyra (pasireikšti hiponatremija ir hipokalemija).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Gydymas</w:t>
      </w:r>
    </w:p>
    <w:p w:rsidR="00E93252" w:rsidRPr="00BA0735" w:rsidRDefault="00E93252" w:rsidP="00E93252">
      <w:pPr>
        <w:widowControl w:val="0"/>
        <w:rPr>
          <w:sz w:val="22"/>
          <w:szCs w:val="22"/>
          <w:lang w:val="lt-LT"/>
        </w:rPr>
      </w:pPr>
      <w:r w:rsidRPr="00BA0735">
        <w:rPr>
          <w:sz w:val="22"/>
          <w:szCs w:val="22"/>
          <w:lang w:val="lt-LT"/>
        </w:rPr>
        <w:t>Reikia išplauti skrandį ir (arba) duoti gerti aktyvintosios anglies, sunormalinti skysčių ir elektrolitų kiekį. Jeigu labai sumažėja kraujospūdis, pacientą būtina guldyti ant nugaros, galvą nuleisti žemiau. Į veną reikia infuzuoti izotoninio natrio chlorido tirpalo arba kitaip didinti kraujo tūrį. Perindoprilatą iš organizmo galima pašalinti dialize (žr. 5.2</w:t>
      </w:r>
      <w:r w:rsidR="00691D21">
        <w:rPr>
          <w:sz w:val="22"/>
          <w:szCs w:val="22"/>
          <w:lang w:val="lt-LT"/>
        </w:rPr>
        <w:t> </w:t>
      </w:r>
      <w:r w:rsidRPr="00BA0735">
        <w:rPr>
          <w:sz w:val="22"/>
          <w:szCs w:val="22"/>
          <w:lang w:val="lt-LT"/>
        </w:rPr>
        <w:t>skyrių).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40" w:name="_Toc129243111"/>
      <w:bookmarkStart w:id="41" w:name="_Toc129243236"/>
      <w:r w:rsidRPr="00BA0735">
        <w:rPr>
          <w:b/>
          <w:sz w:val="22"/>
          <w:szCs w:val="22"/>
          <w:lang w:val="lt-LT"/>
        </w:rPr>
        <w:t>5.</w:t>
      </w:r>
      <w:r w:rsidRPr="00BA0735">
        <w:rPr>
          <w:b/>
          <w:sz w:val="22"/>
          <w:szCs w:val="22"/>
          <w:lang w:val="lt-LT"/>
        </w:rPr>
        <w:tab/>
        <w:t>FARMAKOLOGINĖS SAVYBĖS</w:t>
      </w:r>
      <w:bookmarkEnd w:id="40"/>
      <w:bookmarkEnd w:id="41"/>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42" w:name="_Toc129243112"/>
      <w:bookmarkStart w:id="43" w:name="_Toc129243237"/>
      <w:r w:rsidRPr="00BA0735">
        <w:rPr>
          <w:b/>
          <w:kern w:val="28"/>
          <w:sz w:val="22"/>
          <w:szCs w:val="22"/>
          <w:lang w:val="lt-LT"/>
        </w:rPr>
        <w:t>5.1</w:t>
      </w:r>
      <w:r w:rsidRPr="00BA0735">
        <w:rPr>
          <w:b/>
          <w:kern w:val="28"/>
          <w:sz w:val="22"/>
          <w:szCs w:val="22"/>
          <w:lang w:val="lt-LT"/>
        </w:rPr>
        <w:tab/>
        <w:t>Farmakodinaminės savybės</w:t>
      </w:r>
      <w:bookmarkEnd w:id="42"/>
      <w:bookmarkEnd w:id="43"/>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526D52">
        <w:rPr>
          <w:sz w:val="22"/>
          <w:szCs w:val="22"/>
          <w:u w:val="single"/>
          <w:lang w:val="lt-LT"/>
        </w:rPr>
        <w:t>Farmakoterapinė grupė</w:t>
      </w:r>
      <w:r w:rsidRPr="00BA0735">
        <w:rPr>
          <w:sz w:val="22"/>
          <w:szCs w:val="22"/>
          <w:lang w:val="lt-LT"/>
        </w:rPr>
        <w:t xml:space="preserve"> – perindoprilis ir diuretikai.</w:t>
      </w:r>
    </w:p>
    <w:p w:rsidR="00E93252" w:rsidRPr="00BA0735" w:rsidRDefault="00E93252" w:rsidP="00E93252">
      <w:pPr>
        <w:widowControl w:val="0"/>
        <w:rPr>
          <w:sz w:val="22"/>
          <w:szCs w:val="22"/>
          <w:lang w:val="lt-LT"/>
        </w:rPr>
      </w:pPr>
      <w:r w:rsidRPr="00526D52">
        <w:rPr>
          <w:sz w:val="22"/>
          <w:szCs w:val="22"/>
          <w:u w:val="single"/>
          <w:lang w:val="lt-LT"/>
        </w:rPr>
        <w:t>ATC kodas</w:t>
      </w:r>
      <w:r w:rsidRPr="00BA0735">
        <w:rPr>
          <w:sz w:val="22"/>
          <w:szCs w:val="22"/>
          <w:lang w:val="lt-LT"/>
        </w:rPr>
        <w:t xml:space="preserve"> – C09BA04.</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Prenewel yra kompleksinis vaistinis preparatas, kuriame yra angiotenziną konvertuojančio fermento inhibitoriaus tert-butilamino perindoprilio ir diuretiko chlorosulfamoilo darinio indapamido. Farmakologinį jo poveikį lemia kiekviena veiklioji medžiaga bei jų derinio sukeliamas sinergetinis poveikis.</w:t>
      </w:r>
    </w:p>
    <w:p w:rsidR="00E93252" w:rsidRPr="00BA0735" w:rsidRDefault="00E93252" w:rsidP="00E93252">
      <w:pPr>
        <w:widowControl w:val="0"/>
        <w:rPr>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 xml:space="preserve">Farmakologinis veikimo </w:t>
      </w:r>
      <w:r w:rsidRPr="00526D52">
        <w:rPr>
          <w:bCs/>
          <w:i/>
          <w:sz w:val="22"/>
          <w:szCs w:val="22"/>
          <w:lang w:val="lt-LT"/>
        </w:rPr>
        <w:t>mechanizmas</w:t>
      </w:r>
    </w:p>
    <w:p w:rsidR="00E93252" w:rsidRPr="00BA0735" w:rsidRDefault="00E93252" w:rsidP="00E93252">
      <w:pPr>
        <w:widowControl w:val="0"/>
        <w:rPr>
          <w:i/>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Būdingas Prenewel</w:t>
      </w:r>
    </w:p>
    <w:p w:rsidR="00E93252" w:rsidRPr="00BA0735" w:rsidRDefault="00E93252" w:rsidP="00E93252">
      <w:pPr>
        <w:widowControl w:val="0"/>
        <w:rPr>
          <w:sz w:val="22"/>
          <w:szCs w:val="22"/>
          <w:lang w:val="lt-LT"/>
        </w:rPr>
      </w:pPr>
      <w:r w:rsidRPr="00BA0735">
        <w:rPr>
          <w:sz w:val="22"/>
          <w:szCs w:val="22"/>
          <w:lang w:val="lt-LT"/>
        </w:rPr>
        <w:t>Vartojant Prenewel, abiejų veikliųjų medžiagų antihipertenzinis poveikis būna sinergetinis.</w:t>
      </w:r>
    </w:p>
    <w:p w:rsidR="00E93252" w:rsidRPr="00BA0735" w:rsidRDefault="00E93252" w:rsidP="00E93252">
      <w:pPr>
        <w:widowControl w:val="0"/>
        <w:rPr>
          <w:b/>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Būdingas perindopriliui</w:t>
      </w:r>
    </w:p>
    <w:p w:rsidR="00E93252" w:rsidRPr="00BA0735" w:rsidRDefault="00E93252" w:rsidP="00E93252">
      <w:pPr>
        <w:widowControl w:val="0"/>
        <w:rPr>
          <w:i/>
          <w:sz w:val="22"/>
          <w:szCs w:val="22"/>
          <w:lang w:val="lt-LT"/>
        </w:rPr>
      </w:pPr>
    </w:p>
    <w:p w:rsidR="00E93252" w:rsidRPr="00BA0735" w:rsidRDefault="00E93252" w:rsidP="00E93252">
      <w:pPr>
        <w:widowControl w:val="0"/>
        <w:rPr>
          <w:bCs/>
          <w:sz w:val="22"/>
          <w:szCs w:val="22"/>
          <w:u w:val="single"/>
          <w:lang w:val="lt-LT"/>
        </w:rPr>
      </w:pPr>
      <w:r w:rsidRPr="00BA0735">
        <w:rPr>
          <w:bCs/>
          <w:sz w:val="22"/>
          <w:szCs w:val="22"/>
          <w:u w:val="single"/>
          <w:lang w:val="lt-LT"/>
        </w:rPr>
        <w:t>Veikimo mechanizmas</w:t>
      </w:r>
    </w:p>
    <w:p w:rsidR="00E93252" w:rsidRPr="00BA0735" w:rsidRDefault="00E93252" w:rsidP="00E93252">
      <w:pPr>
        <w:widowControl w:val="0"/>
        <w:rPr>
          <w:sz w:val="22"/>
          <w:szCs w:val="22"/>
          <w:lang w:val="lt-LT"/>
        </w:rPr>
      </w:pPr>
      <w:r w:rsidRPr="00BA0735">
        <w:rPr>
          <w:sz w:val="22"/>
          <w:szCs w:val="22"/>
          <w:lang w:val="lt-LT"/>
        </w:rPr>
        <w:t>Perindoprilis yra angiotenziną konvertuojančio fermento (AKF), kuris angiotenziną I paverčia kraujagysles sutraukiančia medžiaga angiotenzinu II, inhibitorius.</w:t>
      </w:r>
    </w:p>
    <w:p w:rsidR="00E93252" w:rsidRPr="00BA0735" w:rsidRDefault="00E93252" w:rsidP="00E93252">
      <w:pPr>
        <w:widowControl w:val="0"/>
        <w:rPr>
          <w:sz w:val="22"/>
          <w:szCs w:val="22"/>
          <w:lang w:val="lt-LT"/>
        </w:rPr>
      </w:pPr>
      <w:r w:rsidRPr="00BA0735">
        <w:rPr>
          <w:sz w:val="22"/>
          <w:szCs w:val="22"/>
          <w:lang w:val="lt-LT"/>
        </w:rPr>
        <w:t>AKF užslopinus, kraujo plazmoje sumažėja angiotenzino II kiekis ir dėl to padidėja renino aktyvumas (dėl neigiamojo grįžtamojo ryšio slopinimo) bei sumažėja aldosterono sekrecija. Dėl minėto poveikio, preparatu gydant ilgai mažėja bendras periferinis pasipriešinimas (stipriausias poveikis būna raumenų ir inkstų kraujagyslėms), o druskų ir vandens kaupimosi bei refleksinės tachikardijos nepasireiškia.</w:t>
      </w:r>
    </w:p>
    <w:p w:rsidR="00E93252" w:rsidRPr="00BA0735" w:rsidRDefault="00E93252" w:rsidP="00E93252">
      <w:pPr>
        <w:widowControl w:val="0"/>
        <w:rPr>
          <w:sz w:val="22"/>
          <w:szCs w:val="22"/>
          <w:lang w:val="lt-LT"/>
        </w:rPr>
      </w:pPr>
      <w:r w:rsidRPr="00BA0735">
        <w:rPr>
          <w:sz w:val="22"/>
          <w:szCs w:val="22"/>
          <w:lang w:val="lt-LT"/>
        </w:rPr>
        <w:t>Kadangi AKF ardo bradikininą, šį fermentą užslopinus, padidėja lokalios ir kraujotakos kalikreino ir kininų sistemos aktyvumas (dėl to aktyvinama prostaglandinų sistema). Įmanoma, jog šiuo veikimo būdu sukeliamas poveikis gali prisidėti prie AKF inhibitorių sukeliamo kraujospūdžio mažėjimo ir būti svarbūs tam tikro nepageidaujamo poveikio (pvz., kosulio) pasireiškimui.</w:t>
      </w:r>
    </w:p>
    <w:p w:rsidR="00E93252" w:rsidRPr="00BA0735" w:rsidRDefault="00E93252" w:rsidP="00E93252">
      <w:pPr>
        <w:widowControl w:val="0"/>
        <w:rPr>
          <w:bCs/>
          <w:sz w:val="22"/>
          <w:szCs w:val="22"/>
          <w:u w:val="single"/>
          <w:lang w:val="lt-LT"/>
        </w:rPr>
      </w:pPr>
    </w:p>
    <w:p w:rsidR="00E93252" w:rsidRPr="00BA0735" w:rsidRDefault="00E93252" w:rsidP="00E93252">
      <w:pPr>
        <w:widowControl w:val="0"/>
        <w:rPr>
          <w:bCs/>
          <w:sz w:val="22"/>
          <w:szCs w:val="22"/>
          <w:u w:val="single"/>
          <w:lang w:val="lt-LT"/>
        </w:rPr>
      </w:pPr>
      <w:r w:rsidRPr="00BA0735">
        <w:rPr>
          <w:bCs/>
          <w:sz w:val="22"/>
          <w:szCs w:val="22"/>
          <w:u w:val="single"/>
          <w:lang w:val="lt-LT"/>
        </w:rPr>
        <w:t>Farmakodinaminis poveikis</w:t>
      </w:r>
    </w:p>
    <w:p w:rsidR="00E93252" w:rsidRPr="00BA0735" w:rsidRDefault="00E93252" w:rsidP="00E93252">
      <w:pPr>
        <w:widowControl w:val="0"/>
        <w:rPr>
          <w:sz w:val="22"/>
          <w:szCs w:val="22"/>
          <w:lang w:val="lt-LT"/>
        </w:rPr>
      </w:pPr>
      <w:r w:rsidRPr="00BA0735">
        <w:rPr>
          <w:sz w:val="22"/>
          <w:szCs w:val="22"/>
          <w:lang w:val="lt-LT"/>
        </w:rPr>
        <w:t>Antihipertenzinis perindoprilio poveikis atsiranda ir pacientams, kurių organizme renino koncentracija maža ar normali.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Perindoprilis veikia per veiklų metabolitą perindoprilatą. Kiti metabolitai yra neaktyvūs.</w:t>
      </w:r>
    </w:p>
    <w:p w:rsidR="00E93252" w:rsidRPr="00BA0735" w:rsidRDefault="00E93252" w:rsidP="00E93252">
      <w:pPr>
        <w:widowControl w:val="0"/>
        <w:rPr>
          <w:sz w:val="22"/>
          <w:szCs w:val="22"/>
          <w:lang w:val="lt-LT"/>
        </w:rPr>
      </w:pPr>
      <w:r w:rsidRPr="00BA0735">
        <w:rPr>
          <w:sz w:val="22"/>
          <w:szCs w:val="22"/>
          <w:lang w:val="lt-LT"/>
        </w:rPr>
        <w:t>Perindoprilis lengvina širdies darbą, nes:</w:t>
      </w:r>
    </w:p>
    <w:p w:rsidR="00E93252" w:rsidRPr="00BA0735" w:rsidRDefault="00E93252" w:rsidP="00E93252">
      <w:pPr>
        <w:widowControl w:val="0"/>
        <w:numPr>
          <w:ilvl w:val="0"/>
          <w:numId w:val="13"/>
        </w:numPr>
        <w:rPr>
          <w:sz w:val="22"/>
          <w:szCs w:val="22"/>
          <w:lang w:val="lt-LT"/>
        </w:rPr>
      </w:pPr>
      <w:r w:rsidRPr="00BA0735">
        <w:rPr>
          <w:sz w:val="22"/>
          <w:szCs w:val="22"/>
          <w:lang w:val="lt-LT"/>
        </w:rPr>
        <w:t>išplėsdamas venas (galbūt dėl prostaglandinų metabolizmo pokyčio), mažina širdies prieškrūvį;</w:t>
      </w:r>
    </w:p>
    <w:p w:rsidR="00E93252" w:rsidRPr="00BA0735" w:rsidRDefault="00E93252" w:rsidP="00E93252">
      <w:pPr>
        <w:widowControl w:val="0"/>
        <w:numPr>
          <w:ilvl w:val="0"/>
          <w:numId w:val="13"/>
        </w:numPr>
        <w:rPr>
          <w:sz w:val="22"/>
          <w:szCs w:val="22"/>
          <w:lang w:val="lt-LT"/>
        </w:rPr>
      </w:pPr>
      <w:r w:rsidRPr="00BA0735">
        <w:rPr>
          <w:sz w:val="22"/>
          <w:szCs w:val="22"/>
          <w:lang w:val="lt-LT"/>
        </w:rPr>
        <w:lastRenderedPageBreak/>
        <w:t>silpnindamas bendrą periferinį pasipriešinimą, mažina širdies pokrūvį.</w:t>
      </w:r>
    </w:p>
    <w:p w:rsidR="00E93252" w:rsidRPr="00BA0735" w:rsidRDefault="00E93252" w:rsidP="00E93252">
      <w:pPr>
        <w:widowControl w:val="0"/>
        <w:rPr>
          <w:sz w:val="22"/>
          <w:szCs w:val="22"/>
          <w:lang w:val="lt-LT"/>
        </w:rPr>
      </w:pPr>
    </w:p>
    <w:p w:rsidR="00E93252" w:rsidRPr="00BA0735" w:rsidRDefault="00E93252" w:rsidP="00E93252">
      <w:pPr>
        <w:widowControl w:val="0"/>
        <w:rPr>
          <w:bCs/>
          <w:sz w:val="22"/>
          <w:szCs w:val="22"/>
          <w:u w:val="single"/>
          <w:lang w:val="lt-LT"/>
        </w:rPr>
      </w:pPr>
      <w:r w:rsidRPr="00BA0735">
        <w:rPr>
          <w:bCs/>
          <w:sz w:val="22"/>
          <w:szCs w:val="22"/>
          <w:u w:val="single"/>
          <w:lang w:val="lt-LT"/>
        </w:rPr>
        <w:t>Klinikinis veiksmingumas ir saugumas</w:t>
      </w:r>
    </w:p>
    <w:p w:rsidR="00E93252" w:rsidRPr="00BA0735" w:rsidRDefault="00E93252" w:rsidP="00E93252">
      <w:pPr>
        <w:widowControl w:val="0"/>
        <w:rPr>
          <w:sz w:val="22"/>
          <w:szCs w:val="22"/>
          <w:lang w:val="lt-LT"/>
        </w:rPr>
      </w:pPr>
      <w:r w:rsidRPr="00BA0735">
        <w:rPr>
          <w:sz w:val="22"/>
          <w:szCs w:val="22"/>
          <w:lang w:val="lt-LT"/>
        </w:rPr>
        <w:t>Toliau išvardytas tyrimų su širdies nepakankamumu sergančiais ligoniais metu nustatytas poveikis.</w:t>
      </w:r>
    </w:p>
    <w:p w:rsidR="00E93252" w:rsidRPr="00BA0735" w:rsidRDefault="00E93252" w:rsidP="00E93252">
      <w:pPr>
        <w:widowControl w:val="0"/>
        <w:numPr>
          <w:ilvl w:val="0"/>
          <w:numId w:val="13"/>
        </w:numPr>
        <w:rPr>
          <w:sz w:val="22"/>
          <w:szCs w:val="22"/>
          <w:lang w:val="lt-LT"/>
        </w:rPr>
      </w:pPr>
      <w:r w:rsidRPr="00BA0735">
        <w:rPr>
          <w:sz w:val="22"/>
          <w:szCs w:val="22"/>
          <w:lang w:val="lt-LT"/>
        </w:rPr>
        <w:t>Mažėja kairiojo bei dešiniojo skilvelio prisipildymo tūris.</w:t>
      </w:r>
    </w:p>
    <w:p w:rsidR="00E93252" w:rsidRPr="00BA0735" w:rsidRDefault="00E93252" w:rsidP="00E93252">
      <w:pPr>
        <w:widowControl w:val="0"/>
        <w:numPr>
          <w:ilvl w:val="0"/>
          <w:numId w:val="13"/>
        </w:numPr>
        <w:rPr>
          <w:sz w:val="22"/>
          <w:szCs w:val="22"/>
          <w:lang w:val="lt-LT"/>
        </w:rPr>
      </w:pPr>
      <w:r w:rsidRPr="00BA0735">
        <w:rPr>
          <w:sz w:val="22"/>
          <w:szCs w:val="22"/>
          <w:lang w:val="lt-LT"/>
        </w:rPr>
        <w:t>Mažėja bendras periferinių kraujagyslių pasipriešinimas.</w:t>
      </w:r>
    </w:p>
    <w:p w:rsidR="00E93252" w:rsidRPr="00BA0735" w:rsidRDefault="00E93252" w:rsidP="00E93252">
      <w:pPr>
        <w:widowControl w:val="0"/>
        <w:numPr>
          <w:ilvl w:val="0"/>
          <w:numId w:val="13"/>
        </w:numPr>
        <w:rPr>
          <w:sz w:val="22"/>
          <w:szCs w:val="22"/>
          <w:lang w:val="lt-LT"/>
        </w:rPr>
      </w:pPr>
      <w:r w:rsidRPr="00BA0735">
        <w:rPr>
          <w:sz w:val="22"/>
          <w:szCs w:val="22"/>
          <w:lang w:val="lt-LT"/>
        </w:rPr>
        <w:t>Didėja minutinis širdies tūris bei gerėja širdies indeksas.</w:t>
      </w:r>
    </w:p>
    <w:p w:rsidR="00E93252" w:rsidRPr="00BA0735" w:rsidRDefault="00E93252" w:rsidP="00E93252">
      <w:pPr>
        <w:widowControl w:val="0"/>
        <w:numPr>
          <w:ilvl w:val="0"/>
          <w:numId w:val="13"/>
        </w:numPr>
        <w:rPr>
          <w:sz w:val="22"/>
          <w:szCs w:val="22"/>
          <w:lang w:val="lt-LT"/>
        </w:rPr>
      </w:pPr>
      <w:r w:rsidRPr="00BA0735">
        <w:rPr>
          <w:sz w:val="22"/>
          <w:szCs w:val="22"/>
          <w:lang w:val="lt-LT"/>
        </w:rPr>
        <w:t>Gerėja sritinė raumenų kraujotaka.</w:t>
      </w:r>
    </w:p>
    <w:p w:rsidR="00E93252" w:rsidRPr="00BA0735" w:rsidRDefault="00E93252" w:rsidP="00E93252">
      <w:pPr>
        <w:widowControl w:val="0"/>
        <w:rPr>
          <w:sz w:val="22"/>
          <w:szCs w:val="22"/>
          <w:lang w:val="lt-LT"/>
        </w:rPr>
      </w:pPr>
      <w:r w:rsidRPr="00BA0735">
        <w:rPr>
          <w:sz w:val="22"/>
          <w:szCs w:val="22"/>
          <w:lang w:val="lt-LT"/>
        </w:rPr>
        <w:t>Be to, pagerėja ir fizinio krūvio testo rezultatai.</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Būdingas indapamidui</w:t>
      </w:r>
    </w:p>
    <w:p w:rsidR="00E93252" w:rsidRPr="00BA0735" w:rsidRDefault="00E93252" w:rsidP="00E93252">
      <w:pPr>
        <w:widowControl w:val="0"/>
        <w:rPr>
          <w:sz w:val="22"/>
          <w:szCs w:val="22"/>
          <w:lang w:val="lt-LT"/>
        </w:rPr>
      </w:pPr>
      <w:r w:rsidRPr="00BA0735">
        <w:rPr>
          <w:sz w:val="22"/>
          <w:szCs w:val="22"/>
          <w:lang w:val="lt-LT"/>
        </w:rPr>
        <w:t>Indapamidas yra sulfonamidų darinys, kuriame yra indolo žiedas. Farmakologinis jo poveikis panašus į tiazidinių diuretikų. Indapamidas slopina natrio reabsorbciją žieviniame inkstų sluoksnyje, kuriame vyksta praskiedimas. Jis didina natrio ir chlorido išskyrimą su šlapimu (kiek mažiau - kalio bei magnio), todėl išsiskiria daugiau šlapimo ir pasireiškia antihipertenzinis poveikis.</w:t>
      </w:r>
    </w:p>
    <w:p w:rsidR="00E93252" w:rsidRPr="00BA0735" w:rsidRDefault="00E93252" w:rsidP="00E93252">
      <w:pPr>
        <w:widowControl w:val="0"/>
        <w:rPr>
          <w:sz w:val="22"/>
          <w:szCs w:val="22"/>
          <w:lang w:val="lt-LT"/>
        </w:rPr>
      </w:pPr>
    </w:p>
    <w:p w:rsidR="00E93252" w:rsidRPr="00526D52" w:rsidRDefault="00E93252" w:rsidP="00E93252">
      <w:pPr>
        <w:widowControl w:val="0"/>
        <w:rPr>
          <w:i/>
          <w:sz w:val="22"/>
          <w:szCs w:val="22"/>
          <w:lang w:val="lt-LT"/>
        </w:rPr>
      </w:pPr>
      <w:r w:rsidRPr="00526D52">
        <w:rPr>
          <w:i/>
          <w:sz w:val="22"/>
          <w:szCs w:val="22"/>
          <w:lang w:val="lt-LT"/>
        </w:rPr>
        <w:t>Antihipertenzinis poveikis</w:t>
      </w:r>
    </w:p>
    <w:p w:rsidR="00E93252" w:rsidRPr="00BA0735" w:rsidRDefault="00E93252" w:rsidP="00E93252">
      <w:pPr>
        <w:widowControl w:val="0"/>
        <w:rPr>
          <w:i/>
          <w:sz w:val="22"/>
          <w:szCs w:val="22"/>
          <w:u w:val="single"/>
          <w:lang w:val="lt-LT"/>
        </w:rPr>
      </w:pPr>
    </w:p>
    <w:p w:rsidR="00E93252" w:rsidRPr="00BA0735" w:rsidRDefault="00E93252" w:rsidP="00E93252">
      <w:pPr>
        <w:widowControl w:val="0"/>
        <w:rPr>
          <w:i/>
          <w:sz w:val="22"/>
          <w:szCs w:val="22"/>
          <w:lang w:val="lt-LT"/>
        </w:rPr>
      </w:pPr>
      <w:r w:rsidRPr="00BA0735">
        <w:rPr>
          <w:i/>
          <w:sz w:val="22"/>
          <w:szCs w:val="22"/>
          <w:lang w:val="lt-LT"/>
        </w:rPr>
        <w:t>Būdingas Prenewel</w:t>
      </w:r>
    </w:p>
    <w:p w:rsidR="00E93252" w:rsidRPr="00BA0735" w:rsidRDefault="00E93252" w:rsidP="00E93252">
      <w:pPr>
        <w:widowControl w:val="0"/>
        <w:rPr>
          <w:sz w:val="22"/>
          <w:szCs w:val="22"/>
          <w:lang w:val="lt-LT"/>
        </w:rPr>
      </w:pPr>
      <w:r w:rsidRPr="00BA0735">
        <w:rPr>
          <w:sz w:val="22"/>
          <w:szCs w:val="22"/>
          <w:lang w:val="lt-LT"/>
        </w:rPr>
        <w:t>Šis vaistinis preparatas hipertenzija sergantiems ligoniams mažina ir sistolinį, ir diastolinį kraujospūdį. Poveikis nepriklauso nuo amžiaus, bet priklauso nuo dozės dydžio ir pasireiškia tiek gulint, tiek stovint. Vienkartinės dozės antihipertenzinis poveikis trunka 24 valandas. Kraujospūdžio kontrolė pasireiškia greičiau nei per mėnesį, tachifilaksijos nebūna. Vartojimą nutraukus, atoveiksmio hipertenzijos nebūna. Klinikinių tyrimų metu nustatyta, kad kartu vartojant perindoprilio ir indapamido, poveikis būna sinergetinis, palyginti su atskirai vartojamų veikliųjų medžiagų poveikiu.</w:t>
      </w:r>
    </w:p>
    <w:p w:rsidR="00E93252" w:rsidRPr="00BA0735" w:rsidRDefault="00E93252" w:rsidP="00E93252">
      <w:pPr>
        <w:widowControl w:val="0"/>
        <w:rPr>
          <w:bCs/>
          <w:sz w:val="22"/>
          <w:szCs w:val="22"/>
          <w:u w:val="single"/>
          <w:lang w:val="lt-LT"/>
        </w:rPr>
      </w:pPr>
      <w:r w:rsidRPr="00BA0735">
        <w:rPr>
          <w:sz w:val="22"/>
          <w:szCs w:val="22"/>
          <w:lang w:val="lt-LT"/>
        </w:rPr>
        <w:t>Mažų perindoprilio ir indapamido dozių poveikis kardiovaskuliniam ligotumui ir mirštamumui netirtas.</w:t>
      </w:r>
    </w:p>
    <w:p w:rsidR="00E93252" w:rsidRPr="00BA0735" w:rsidRDefault="00E93252" w:rsidP="00E93252">
      <w:pPr>
        <w:widowControl w:val="0"/>
        <w:rPr>
          <w:sz w:val="22"/>
          <w:szCs w:val="22"/>
          <w:lang w:val="lt-LT"/>
        </w:rPr>
      </w:pPr>
    </w:p>
    <w:p w:rsidR="00E93252" w:rsidRPr="00BA0735" w:rsidRDefault="00E93252" w:rsidP="00E93252">
      <w:pPr>
        <w:widowControl w:val="0"/>
        <w:rPr>
          <w:bCs/>
          <w:sz w:val="22"/>
          <w:szCs w:val="22"/>
          <w:u w:val="single"/>
          <w:lang w:val="lt-LT"/>
        </w:rPr>
      </w:pPr>
      <w:r w:rsidRPr="00BA0735">
        <w:rPr>
          <w:bCs/>
          <w:sz w:val="22"/>
          <w:szCs w:val="22"/>
          <w:u w:val="single"/>
          <w:lang w:val="lt-LT"/>
        </w:rPr>
        <w:t>Klinikinis veiksmingumas ir saugumas</w:t>
      </w:r>
    </w:p>
    <w:p w:rsidR="00E93252" w:rsidRPr="00BA0735" w:rsidRDefault="00E93252" w:rsidP="00E93252">
      <w:pPr>
        <w:widowControl w:val="0"/>
        <w:tabs>
          <w:tab w:val="left" w:pos="-142"/>
          <w:tab w:val="left" w:pos="284"/>
          <w:tab w:val="left" w:pos="709"/>
        </w:tabs>
        <w:rPr>
          <w:bCs/>
          <w:sz w:val="22"/>
          <w:szCs w:val="22"/>
          <w:u w:val="single"/>
          <w:lang w:val="lt-LT"/>
        </w:rPr>
      </w:pPr>
      <w:r w:rsidRPr="00BA0735">
        <w:rPr>
          <w:sz w:val="22"/>
          <w:szCs w:val="22"/>
          <w:lang w:val="lt-LT"/>
        </w:rPr>
        <w:t>Daugiacentrio atsitiktinių imčių tyrimo, atlikto dvigubai aklu būdu aktyvioje kontrolėje (PICXEL), metu lygintas perindoprilio ir indapamido derinio bei vien enalaprilio poveikis echokardiografiniams kairiojo širdies skilvelio hipertrofijos (KSH) rodmenims.</w:t>
      </w:r>
    </w:p>
    <w:p w:rsidR="00E93252" w:rsidRPr="00BA0735" w:rsidRDefault="00E93252" w:rsidP="00E93252">
      <w:pPr>
        <w:widowControl w:val="0"/>
        <w:rPr>
          <w:sz w:val="22"/>
          <w:szCs w:val="22"/>
          <w:lang w:val="lt-LT"/>
        </w:rPr>
      </w:pPr>
      <w:r w:rsidRPr="00BA0735">
        <w:rPr>
          <w:sz w:val="22"/>
          <w:szCs w:val="22"/>
          <w:lang w:val="lt-LT"/>
        </w:rPr>
        <w:t>PICXEL tyrimo metu hipertenzija sirgę pacientai, kuriems buvo KSH (kairiojo skilvelio masės indeksas (KSMI) didesnis kaip 120 g/m</w:t>
      </w:r>
      <w:r w:rsidRPr="00BA0735">
        <w:rPr>
          <w:sz w:val="22"/>
          <w:szCs w:val="22"/>
          <w:vertAlign w:val="superscript"/>
          <w:lang w:val="lt-LT"/>
        </w:rPr>
        <w:t>2</w:t>
      </w:r>
      <w:r w:rsidRPr="00BA0735">
        <w:rPr>
          <w:sz w:val="22"/>
          <w:szCs w:val="22"/>
          <w:lang w:val="lt-LT"/>
        </w:rPr>
        <w:t xml:space="preserve"> vyrams ir didesnis nei 100 g/m</w:t>
      </w:r>
      <w:r w:rsidRPr="00BA0735">
        <w:rPr>
          <w:sz w:val="22"/>
          <w:szCs w:val="22"/>
          <w:vertAlign w:val="superscript"/>
          <w:lang w:val="lt-LT"/>
        </w:rPr>
        <w:t>2</w:t>
      </w:r>
      <w:r w:rsidRPr="00BA0735">
        <w:rPr>
          <w:sz w:val="22"/>
          <w:szCs w:val="22"/>
          <w:lang w:val="lt-LT"/>
        </w:rPr>
        <w:t xml:space="preserve"> moterims), atsitiktinai parinkus vienerius metus kartą per parą vartojo 2 mg perindoprilio ir 0,625 mg indapamido arba 10 mg enalaprilio. Dozė buvo koreguojama atsižvelgiant į kraujospūdžio kontrolę (didžiausia kartą per parą vartojamo perindoprilio dozė buvo 8 mg, indapamido - 2,5 mg, enalaprilio – 40 mg). Tik 34</w:t>
      </w:r>
      <w:r w:rsidR="00C06DBA">
        <w:rPr>
          <w:sz w:val="22"/>
          <w:szCs w:val="22"/>
          <w:lang w:val="lt-LT"/>
        </w:rPr>
        <w:t> </w:t>
      </w:r>
      <w:r w:rsidRPr="00BA0735">
        <w:rPr>
          <w:sz w:val="22"/>
          <w:szCs w:val="22"/>
          <w:lang w:val="lt-LT"/>
        </w:rPr>
        <w:t>% ligonių tyrimo pabaigoje vis dar vartojo 2 mg perindoprilio ir 0,625 mg indapamido (10 mg enalaprilio dozę vartojo 20</w:t>
      </w:r>
      <w:r w:rsidR="00C06DBA">
        <w:rPr>
          <w:sz w:val="22"/>
          <w:szCs w:val="22"/>
          <w:lang w:val="lt-LT"/>
        </w:rPr>
        <w:t> </w:t>
      </w:r>
      <w:r w:rsidRPr="00BA0735">
        <w:rPr>
          <w:sz w:val="22"/>
          <w:szCs w:val="22"/>
          <w:lang w:val="lt-LT"/>
        </w:rPr>
        <w:t>% pacientų).</w:t>
      </w:r>
    </w:p>
    <w:p w:rsidR="00E93252" w:rsidRPr="00BA0735" w:rsidRDefault="00E93252" w:rsidP="00E93252">
      <w:pPr>
        <w:widowControl w:val="0"/>
        <w:rPr>
          <w:sz w:val="22"/>
          <w:szCs w:val="22"/>
          <w:lang w:val="lt-LT"/>
        </w:rPr>
      </w:pPr>
      <w:r w:rsidRPr="00BA0735">
        <w:rPr>
          <w:sz w:val="22"/>
          <w:szCs w:val="22"/>
          <w:lang w:val="lt-LT"/>
        </w:rPr>
        <w:t>Gydymo pabaigoje KSMI reikšmingai labiau sumažėjo perindoprilio ir indapamido vartojusiems ligoniams (-10,1 g/m²) nei enalaprilio vartojusiems pacientams (-1,1 g/m²) visoje į atsitiktines grupes suskirstytų žmonių populiacijoje. KSMI skirtumas tarp grupių buvo -8,3 (95</w:t>
      </w:r>
      <w:r w:rsidR="00C06DBA">
        <w:rPr>
          <w:sz w:val="22"/>
          <w:szCs w:val="22"/>
          <w:lang w:val="lt-LT"/>
        </w:rPr>
        <w:t> </w:t>
      </w:r>
      <w:r w:rsidRPr="00BA0735">
        <w:rPr>
          <w:sz w:val="22"/>
          <w:szCs w:val="22"/>
          <w:lang w:val="lt-LT"/>
        </w:rPr>
        <w:t>% PI (-11,5;-5.0), p &lt; 0,0001).</w:t>
      </w:r>
    </w:p>
    <w:p w:rsidR="00E93252" w:rsidRPr="00BA0735" w:rsidRDefault="00E93252" w:rsidP="00E93252">
      <w:pPr>
        <w:widowControl w:val="0"/>
        <w:rPr>
          <w:sz w:val="22"/>
          <w:szCs w:val="22"/>
          <w:lang w:val="lt-LT"/>
        </w:rPr>
      </w:pPr>
      <w:r w:rsidRPr="00BA0735">
        <w:rPr>
          <w:sz w:val="22"/>
          <w:szCs w:val="22"/>
          <w:lang w:val="lt-LT"/>
        </w:rPr>
        <w:t>Geresnis poveikis KSMI pasireiškė vartojant didesnę perindoprilio ir indapamido dozę, nei Prelectal ir BiPrelectal.</w:t>
      </w:r>
    </w:p>
    <w:p w:rsidR="00E93252" w:rsidRPr="00BA0735" w:rsidRDefault="00E93252" w:rsidP="00E93252">
      <w:pPr>
        <w:widowControl w:val="0"/>
        <w:rPr>
          <w:sz w:val="22"/>
          <w:szCs w:val="22"/>
          <w:lang w:val="lt-LT"/>
        </w:rPr>
      </w:pPr>
      <w:r w:rsidRPr="00BA0735">
        <w:rPr>
          <w:sz w:val="22"/>
          <w:szCs w:val="22"/>
          <w:lang w:val="lt-LT"/>
        </w:rPr>
        <w:t>Poveikis kraujospūdžiui buvo stipresnis perindoprilio ir indapamido vartojusių pacientų grupėje. Sistolinio kraujospūdžio skirtumo vidurkis (vertinant visą į atsitiktinai į grupes suskirstytų žmonių populiaciją) buvo -5,8 mmHg (95</w:t>
      </w:r>
      <w:r w:rsidR="00C06DBA">
        <w:rPr>
          <w:sz w:val="22"/>
          <w:szCs w:val="22"/>
          <w:lang w:val="lt-LT"/>
        </w:rPr>
        <w:t> </w:t>
      </w:r>
      <w:r w:rsidRPr="00BA0735">
        <w:rPr>
          <w:sz w:val="22"/>
          <w:szCs w:val="22"/>
          <w:lang w:val="lt-LT"/>
        </w:rPr>
        <w:t>% PI (-7,9; -3,7), p &lt; 0,0001), diastolinio kraujospūdžio skirtumo vidurkis buvo -2,3 mmHg (95</w:t>
      </w:r>
      <w:r w:rsidR="00C06DBA">
        <w:rPr>
          <w:sz w:val="22"/>
          <w:szCs w:val="22"/>
          <w:lang w:val="lt-LT"/>
        </w:rPr>
        <w:t> </w:t>
      </w:r>
      <w:r w:rsidRPr="00BA0735">
        <w:rPr>
          <w:sz w:val="22"/>
          <w:szCs w:val="22"/>
          <w:lang w:val="lt-LT"/>
        </w:rPr>
        <w:t>% PI (-3,6,-0,9), p=0,0004).</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Būdingas perindopriliui</w:t>
      </w:r>
    </w:p>
    <w:p w:rsidR="00E93252" w:rsidRPr="00BA0735" w:rsidRDefault="00E93252" w:rsidP="00E93252">
      <w:pPr>
        <w:widowControl w:val="0"/>
        <w:rPr>
          <w:i/>
          <w:sz w:val="22"/>
          <w:szCs w:val="22"/>
          <w:lang w:val="lt-LT"/>
        </w:rPr>
      </w:pPr>
    </w:p>
    <w:p w:rsidR="00E93252" w:rsidRPr="00BA0735" w:rsidRDefault="00E93252" w:rsidP="00E93252">
      <w:pPr>
        <w:widowControl w:val="0"/>
        <w:rPr>
          <w:bCs/>
          <w:sz w:val="22"/>
          <w:szCs w:val="22"/>
          <w:u w:val="single"/>
          <w:lang w:val="lt-LT"/>
        </w:rPr>
      </w:pPr>
      <w:r w:rsidRPr="00BA0735">
        <w:rPr>
          <w:bCs/>
          <w:sz w:val="22"/>
          <w:szCs w:val="22"/>
          <w:u w:val="single"/>
          <w:lang w:val="lt-LT"/>
        </w:rPr>
        <w:t>Farmakodinaminis poveikis</w:t>
      </w:r>
    </w:p>
    <w:p w:rsidR="00E93252" w:rsidRPr="00BA0735" w:rsidRDefault="00E93252" w:rsidP="00E93252">
      <w:pPr>
        <w:widowControl w:val="0"/>
        <w:rPr>
          <w:sz w:val="22"/>
          <w:szCs w:val="22"/>
          <w:lang w:val="lt-LT"/>
        </w:rPr>
      </w:pPr>
      <w:r w:rsidRPr="00BA0735">
        <w:rPr>
          <w:sz w:val="22"/>
          <w:szCs w:val="22"/>
          <w:lang w:val="lt-LT"/>
        </w:rPr>
        <w:t xml:space="preserve">Perindoprilis yra veiksmingas gydant įvairaus sunkumo (lengvą, vidutinio sunkumo bei sunkią) hipertenziją. Sistolinis ir diastolinis kraujospūdis mažėja ir stovint, ir gulint. Stipriausias antihipertenzinis vienkartinės dozės poveikis būna po preparato pavartojimo praėjus 4–6 valandoms, </w:t>
      </w:r>
      <w:r w:rsidRPr="00BA0735">
        <w:rPr>
          <w:sz w:val="22"/>
          <w:szCs w:val="22"/>
          <w:lang w:val="lt-LT"/>
        </w:rPr>
        <w:lastRenderedPageBreak/>
        <w:t>poveikis trunka 24 valandas. Net po 24 valandų AKF slopinimas būna 80</w:t>
      </w:r>
      <w:r w:rsidR="00C06DBA">
        <w:rPr>
          <w:sz w:val="22"/>
          <w:szCs w:val="22"/>
          <w:lang w:val="lt-LT"/>
        </w:rPr>
        <w:t> </w:t>
      </w:r>
      <w:r w:rsidRPr="00BA0735">
        <w:rPr>
          <w:sz w:val="22"/>
          <w:szCs w:val="22"/>
          <w:lang w:val="lt-LT"/>
        </w:rPr>
        <w:t>% maksimalaus poveikio. Tiems ligoniams, kurie į gydymą reaguoja, kraujospūdžio kontrolė pasireiškia po mėnesio ir išlieka neatsirandant tachifilaksijai.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Nutraukus perindoprilio vartojimą, atoveiksmio hipertenzijos nebūna.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Perindoprilis plečia kraujagysles, atkuria pagrindinių arterijų elastingumą, koreguoja histologinius ir morfologinius pasipriešinimo kraujagyslių pokyčius bei mažina kairiojo skilvelio hipertrofiją. Jei reikia, papildomą sinergetinį poveikį galima sukelti vartojant tiazidinio diuretiko.</w:t>
      </w:r>
    </w:p>
    <w:p w:rsidR="00E93252" w:rsidRPr="00BA0735" w:rsidRDefault="00E93252" w:rsidP="00E93252">
      <w:pPr>
        <w:widowControl w:val="0"/>
        <w:rPr>
          <w:sz w:val="22"/>
          <w:szCs w:val="22"/>
          <w:lang w:val="lt-LT"/>
        </w:rPr>
      </w:pPr>
      <w:r w:rsidRPr="00BA0735">
        <w:rPr>
          <w:sz w:val="22"/>
          <w:szCs w:val="22"/>
          <w:lang w:val="lt-LT"/>
        </w:rPr>
        <w:t>Jeigu angiotenziną konvertuojančio fermento inhibitoriaus vartojama kartu su tiazidiniu diuretiku, hipokalemijos pavojus būna mažesnis, nei vartojant vien diuretiko.</w:t>
      </w:r>
    </w:p>
    <w:p w:rsidR="00E93252" w:rsidRPr="00BA0735" w:rsidRDefault="00E93252" w:rsidP="00E93252">
      <w:pPr>
        <w:widowControl w:val="0"/>
        <w:rPr>
          <w:sz w:val="22"/>
          <w:szCs w:val="22"/>
          <w:u w:val="single"/>
          <w:lang w:val="lt-LT"/>
        </w:rPr>
      </w:pPr>
    </w:p>
    <w:p w:rsidR="00E93252" w:rsidRPr="00BA0735" w:rsidRDefault="00E93252" w:rsidP="00E93252">
      <w:pPr>
        <w:widowControl w:val="0"/>
        <w:rPr>
          <w:bCs/>
          <w:sz w:val="22"/>
          <w:szCs w:val="22"/>
          <w:u w:val="single"/>
          <w:lang w:val="lt-LT"/>
        </w:rPr>
      </w:pPr>
      <w:r w:rsidRPr="00BA0735">
        <w:rPr>
          <w:bCs/>
          <w:sz w:val="22"/>
          <w:szCs w:val="22"/>
          <w:u w:val="single"/>
          <w:lang w:val="lt-LT"/>
        </w:rPr>
        <w:t>Klinikinis veiksmingumas ir saugumas</w:t>
      </w:r>
    </w:p>
    <w:p w:rsidR="00E93252" w:rsidRPr="00BA0735" w:rsidRDefault="00E93252" w:rsidP="00E93252">
      <w:pPr>
        <w:widowControl w:val="0"/>
        <w:rPr>
          <w:i/>
          <w:sz w:val="22"/>
          <w:szCs w:val="22"/>
          <w:lang w:val="lt-LT"/>
        </w:rPr>
      </w:pPr>
      <w:r w:rsidRPr="00BA0735">
        <w:rPr>
          <w:i/>
          <w:sz w:val="22"/>
          <w:szCs w:val="22"/>
          <w:lang w:val="lt-LT"/>
        </w:rPr>
        <w:t>Dvigubos renino, angiotenzino, aldosterono sistemos (RAAS) blokados klinikinių tyrimų duomenys</w:t>
      </w:r>
    </w:p>
    <w:p w:rsidR="00E93252" w:rsidRPr="00BA0735" w:rsidRDefault="00E93252" w:rsidP="00E93252">
      <w:pPr>
        <w:widowControl w:val="0"/>
        <w:rPr>
          <w:sz w:val="22"/>
          <w:szCs w:val="22"/>
          <w:lang w:val="lt-LT"/>
        </w:rPr>
      </w:pPr>
      <w:r w:rsidRPr="00BA0735">
        <w:rPr>
          <w:sz w:val="22"/>
          <w:szCs w:val="22"/>
          <w:lang w:val="lt-LT"/>
        </w:rPr>
        <w:t>Dviem dideliais atsitiktinės atrankos, kontroliuojamais tyrimais (ONTARGET (angl. „</w:t>
      </w:r>
      <w:r w:rsidRPr="00BA0735">
        <w:rPr>
          <w:i/>
          <w:sz w:val="22"/>
          <w:szCs w:val="22"/>
          <w:lang w:val="lt-LT"/>
        </w:rPr>
        <w:t>ONgoing Telmisartan Alone and in combination with Ramipril Global Endpoint Trial</w:t>
      </w:r>
      <w:r w:rsidRPr="00BA0735">
        <w:rPr>
          <w:sz w:val="22"/>
          <w:szCs w:val="22"/>
          <w:lang w:val="lt-LT"/>
        </w:rPr>
        <w:t>“) ir VA NEPHRON-D (angl. „</w:t>
      </w:r>
      <w:r w:rsidRPr="00BA0735">
        <w:rPr>
          <w:i/>
          <w:sz w:val="22"/>
          <w:szCs w:val="22"/>
          <w:lang w:val="lt-LT"/>
        </w:rPr>
        <w:t>The Veterans Affairs Nephropathy in Diabetes</w:t>
      </w:r>
      <w:r w:rsidRPr="00BA0735">
        <w:rPr>
          <w:sz w:val="22"/>
          <w:szCs w:val="22"/>
          <w:lang w:val="lt-LT"/>
        </w:rPr>
        <w:t>“)) buvo ištirtas AKF inhibitoriaus ir angiotenzino II receptorių blokatoriaus derinio vartojimas.</w:t>
      </w:r>
    </w:p>
    <w:p w:rsidR="00E93252" w:rsidRPr="00BA0735" w:rsidRDefault="00E93252" w:rsidP="00E93252">
      <w:pPr>
        <w:widowControl w:val="0"/>
        <w:rPr>
          <w:sz w:val="22"/>
          <w:szCs w:val="22"/>
          <w:lang w:val="lt-LT"/>
        </w:rPr>
      </w:pPr>
      <w:r w:rsidRPr="00BA0735">
        <w:rPr>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E93252" w:rsidRPr="00BA0735" w:rsidRDefault="00E93252" w:rsidP="00E93252">
      <w:pPr>
        <w:widowControl w:val="0"/>
        <w:rPr>
          <w:sz w:val="22"/>
          <w:szCs w:val="22"/>
          <w:lang w:val="lt-LT"/>
        </w:rPr>
      </w:pPr>
      <w:r w:rsidRPr="00BA0735">
        <w:rPr>
          <w:sz w:val="22"/>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E93252" w:rsidRPr="00BA0735" w:rsidRDefault="00E93252" w:rsidP="00E93252">
      <w:pPr>
        <w:widowControl w:val="0"/>
        <w:rPr>
          <w:sz w:val="22"/>
          <w:szCs w:val="22"/>
          <w:lang w:val="lt-LT"/>
        </w:rPr>
      </w:pPr>
      <w:r w:rsidRPr="00BA0735">
        <w:rPr>
          <w:sz w:val="22"/>
          <w:szCs w:val="22"/>
          <w:lang w:val="lt-LT"/>
        </w:rPr>
        <w:t>Todėl pacientams, sergantiems diabetine nefropatija, negalima kartu vartoti AKF inhibitorių ir angiotenzino II receptorių blokatorių.</w:t>
      </w:r>
    </w:p>
    <w:p w:rsidR="00E93252" w:rsidRPr="00BA0735" w:rsidRDefault="00E93252" w:rsidP="00E93252">
      <w:pPr>
        <w:widowControl w:val="0"/>
        <w:rPr>
          <w:sz w:val="22"/>
          <w:szCs w:val="22"/>
          <w:lang w:val="lt-LT"/>
        </w:rPr>
      </w:pPr>
      <w:r w:rsidRPr="00BA0735">
        <w:rPr>
          <w:sz w:val="22"/>
          <w:szCs w:val="22"/>
          <w:lang w:val="lt-LT"/>
        </w:rPr>
        <w:t>ALTITUDE (angl. „</w:t>
      </w:r>
      <w:r w:rsidRPr="00BA0735">
        <w:rPr>
          <w:i/>
          <w:sz w:val="22"/>
          <w:szCs w:val="22"/>
          <w:lang w:val="lt-LT"/>
        </w:rPr>
        <w:t>Aliskiren Trial in Type 2 Diabetes Using Cardiovascular and Renal Disease Endpoints</w:t>
      </w:r>
      <w:r w:rsidRPr="00BA0735">
        <w:rPr>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Būdingas indapamidui</w:t>
      </w:r>
    </w:p>
    <w:p w:rsidR="00E93252" w:rsidRPr="00BA0735" w:rsidRDefault="00E93252" w:rsidP="00E93252">
      <w:pPr>
        <w:widowControl w:val="0"/>
        <w:rPr>
          <w:i/>
          <w:sz w:val="22"/>
          <w:szCs w:val="22"/>
          <w:lang w:val="lt-LT"/>
        </w:rPr>
      </w:pPr>
    </w:p>
    <w:p w:rsidR="00E93252" w:rsidRPr="00BA0735" w:rsidRDefault="00E93252" w:rsidP="00E93252">
      <w:pPr>
        <w:widowControl w:val="0"/>
        <w:rPr>
          <w:bCs/>
          <w:sz w:val="22"/>
          <w:szCs w:val="22"/>
          <w:u w:val="single"/>
          <w:lang w:val="lt-LT"/>
        </w:rPr>
      </w:pPr>
      <w:r w:rsidRPr="00BA0735">
        <w:rPr>
          <w:bCs/>
          <w:sz w:val="22"/>
          <w:szCs w:val="22"/>
          <w:u w:val="single"/>
          <w:lang w:val="lt-LT"/>
        </w:rPr>
        <w:t>Farmakodinaminis poveikis</w:t>
      </w:r>
    </w:p>
    <w:p w:rsidR="00E93252" w:rsidRPr="00BA0735" w:rsidRDefault="00E93252" w:rsidP="00E93252">
      <w:pPr>
        <w:widowControl w:val="0"/>
        <w:rPr>
          <w:sz w:val="22"/>
          <w:szCs w:val="22"/>
          <w:lang w:val="lt-LT"/>
        </w:rPr>
      </w:pPr>
      <w:r w:rsidRPr="00BA0735">
        <w:rPr>
          <w:sz w:val="22"/>
          <w:szCs w:val="22"/>
          <w:lang w:val="lt-LT"/>
        </w:rPr>
        <w:t>Jei vartojama tik indapamido, antihipertenzinis poveikis trunka 24 valandas. Toks poveikis pasireiškia net vartojant dozes, sukeliančias minimalų diurezinį poveikį.</w:t>
      </w:r>
    </w:p>
    <w:p w:rsidR="00E93252" w:rsidRPr="00BA0735" w:rsidRDefault="00E93252" w:rsidP="00E93252">
      <w:pPr>
        <w:widowControl w:val="0"/>
        <w:rPr>
          <w:sz w:val="22"/>
          <w:szCs w:val="22"/>
          <w:lang w:val="lt-LT"/>
        </w:rPr>
      </w:pPr>
      <w:r w:rsidRPr="00BA0735">
        <w:rPr>
          <w:sz w:val="22"/>
          <w:szCs w:val="22"/>
          <w:lang w:val="lt-LT"/>
        </w:rPr>
        <w:t>Antihipertenzinis indapamido poveikis yra proporcingas arterijų sienelių elastingumo pagerėjimui bei bendro ir periferinio arteriolių pasipriešinimo sumažėjimui. Indapamidas mažina kairiojo širdies skilvelio hipertrofiją.</w:t>
      </w:r>
    </w:p>
    <w:p w:rsidR="009208D9" w:rsidRDefault="00E93252" w:rsidP="00E93252">
      <w:pPr>
        <w:widowControl w:val="0"/>
        <w:rPr>
          <w:sz w:val="22"/>
          <w:szCs w:val="22"/>
          <w:lang w:val="lt-LT"/>
        </w:rPr>
      </w:pPr>
      <w:r w:rsidRPr="00BA0735">
        <w:rPr>
          <w:sz w:val="22"/>
          <w:szCs w:val="22"/>
          <w:lang w:val="lt-LT"/>
        </w:rPr>
        <w:t xml:space="preserve">Didinant </w:t>
      </w:r>
      <w:r w:rsidR="009208D9">
        <w:rPr>
          <w:sz w:val="22"/>
          <w:szCs w:val="22"/>
          <w:lang w:val="lt-LT"/>
        </w:rPr>
        <w:t>tai</w:t>
      </w:r>
    </w:p>
    <w:p w:rsidR="00E93252" w:rsidRPr="00BA0735" w:rsidRDefault="00E93252" w:rsidP="00E93252">
      <w:pPr>
        <w:widowControl w:val="0"/>
        <w:rPr>
          <w:sz w:val="22"/>
          <w:szCs w:val="22"/>
          <w:lang w:val="lt-LT"/>
        </w:rPr>
      </w:pPr>
      <w:r w:rsidRPr="00BA0735">
        <w:rPr>
          <w:sz w:val="22"/>
          <w:szCs w:val="22"/>
          <w:lang w:val="lt-LT"/>
        </w:rPr>
        <w:t>zidinių arba į juos panašių diuretikų dozę daugiau, nei rekomenduojama, antihipertenzinio poveikio stiprumas nekinta, o nepageidaujamas poveikis toliau stiprėja, todėl, jeigu gydymas neveiksmingas, šių preparatų dozę didinti draudžiama.</w:t>
      </w:r>
    </w:p>
    <w:p w:rsidR="00E93252" w:rsidRPr="00BA0735" w:rsidRDefault="00E93252" w:rsidP="00E93252">
      <w:pPr>
        <w:widowControl w:val="0"/>
        <w:rPr>
          <w:sz w:val="22"/>
          <w:szCs w:val="22"/>
          <w:lang w:val="lt-LT"/>
        </w:rPr>
      </w:pPr>
      <w:r w:rsidRPr="00BA0735">
        <w:rPr>
          <w:sz w:val="22"/>
          <w:szCs w:val="22"/>
          <w:lang w:val="lt-LT"/>
        </w:rPr>
        <w:t>Be to, vertinant trumpalaikį, vidutinės trukmės arba ilgalaikį indapamido poveikį hipertenzija sergantiems pacientams, nustatyta, kad:</w:t>
      </w:r>
    </w:p>
    <w:p w:rsidR="00E93252" w:rsidRPr="00BA0735" w:rsidRDefault="00E93252" w:rsidP="00E93252">
      <w:pPr>
        <w:widowControl w:val="0"/>
        <w:numPr>
          <w:ilvl w:val="0"/>
          <w:numId w:val="13"/>
        </w:numPr>
        <w:rPr>
          <w:sz w:val="22"/>
          <w:szCs w:val="22"/>
          <w:lang w:val="lt-LT"/>
        </w:rPr>
      </w:pPr>
      <w:r w:rsidRPr="00BA0735">
        <w:rPr>
          <w:sz w:val="22"/>
          <w:szCs w:val="22"/>
          <w:lang w:val="lt-LT"/>
        </w:rPr>
        <w:t>nebūna poveikio lipidų (trigliceridų, MTL bei DTL cholesterolio) metabolizmui;</w:t>
      </w:r>
    </w:p>
    <w:p w:rsidR="00E93252" w:rsidRPr="00BA0735" w:rsidRDefault="00E93252" w:rsidP="00E93252">
      <w:pPr>
        <w:widowControl w:val="0"/>
        <w:numPr>
          <w:ilvl w:val="0"/>
          <w:numId w:val="13"/>
        </w:numPr>
        <w:rPr>
          <w:sz w:val="22"/>
          <w:szCs w:val="22"/>
          <w:lang w:val="lt-LT"/>
        </w:rPr>
      </w:pPr>
      <w:r w:rsidRPr="00BA0735">
        <w:rPr>
          <w:sz w:val="22"/>
          <w:szCs w:val="22"/>
          <w:lang w:val="lt-LT"/>
        </w:rPr>
        <w:t>nebūna poveikio angliavandenių metabolizmui (net cukriniu diabetu sergantiems hipertonikams).</w:t>
      </w:r>
    </w:p>
    <w:p w:rsidR="00E93252" w:rsidRPr="00BA0735" w:rsidRDefault="00E93252" w:rsidP="00E93252">
      <w:pPr>
        <w:widowControl w:val="0"/>
        <w:rPr>
          <w:sz w:val="22"/>
          <w:szCs w:val="22"/>
          <w:lang w:val="lt-LT"/>
        </w:rPr>
      </w:pPr>
    </w:p>
    <w:p w:rsidR="009208D9" w:rsidRDefault="009208D9" w:rsidP="00E93252">
      <w:pPr>
        <w:widowControl w:val="0"/>
        <w:rPr>
          <w:i/>
          <w:sz w:val="22"/>
          <w:szCs w:val="22"/>
          <w:lang w:val="lt-LT"/>
        </w:rPr>
      </w:pPr>
      <w:r w:rsidRPr="009208D9">
        <w:rPr>
          <w:i/>
          <w:sz w:val="22"/>
          <w:szCs w:val="22"/>
          <w:lang w:val="lt-LT"/>
        </w:rPr>
        <w:t>Vaikų populiacija</w:t>
      </w:r>
    </w:p>
    <w:p w:rsidR="00E93252" w:rsidRPr="00BA0735" w:rsidRDefault="00E93252" w:rsidP="00E93252">
      <w:pPr>
        <w:widowControl w:val="0"/>
        <w:rPr>
          <w:sz w:val="22"/>
          <w:szCs w:val="22"/>
          <w:lang w:val="lt-LT"/>
        </w:rPr>
      </w:pPr>
      <w:r w:rsidRPr="00BA0735">
        <w:rPr>
          <w:sz w:val="22"/>
          <w:szCs w:val="22"/>
          <w:lang w:val="lt-LT"/>
        </w:rPr>
        <w:lastRenderedPageBreak/>
        <w:t>Duomenų apie Prenewel vartojimą vaikams nėra.</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44" w:name="_Toc129243113"/>
      <w:bookmarkStart w:id="45" w:name="_Toc129243238"/>
      <w:r w:rsidRPr="00BA0735">
        <w:rPr>
          <w:b/>
          <w:kern w:val="28"/>
          <w:sz w:val="22"/>
          <w:szCs w:val="22"/>
          <w:lang w:val="lt-LT"/>
        </w:rPr>
        <w:t>5.2</w:t>
      </w:r>
      <w:r w:rsidRPr="00BA0735">
        <w:rPr>
          <w:b/>
          <w:kern w:val="28"/>
          <w:sz w:val="22"/>
          <w:szCs w:val="22"/>
          <w:lang w:val="lt-LT"/>
        </w:rPr>
        <w:tab/>
        <w:t>Farmakokinetinės savybės</w:t>
      </w:r>
      <w:bookmarkEnd w:id="44"/>
      <w:bookmarkEnd w:id="45"/>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Farmakokinetinės Prenewel savybės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Kartu vartojant perindoprilio ir indapamido, jų farmakokinetika nekinta, palyginti su atskirai vartojamų veikliųjų medžiagų poveikiu.</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Farmakokinetinės perindoprilio savybės</w:t>
      </w:r>
    </w:p>
    <w:p w:rsidR="00E93252" w:rsidRPr="00BA0735" w:rsidRDefault="00E93252" w:rsidP="00E93252">
      <w:pPr>
        <w:widowControl w:val="0"/>
        <w:rPr>
          <w:i/>
          <w:sz w:val="22"/>
          <w:szCs w:val="22"/>
          <w:lang w:val="lt-LT"/>
        </w:rPr>
      </w:pPr>
    </w:p>
    <w:p w:rsidR="00E93252" w:rsidRPr="00BA0735" w:rsidRDefault="00E93252" w:rsidP="00E93252">
      <w:pPr>
        <w:widowControl w:val="0"/>
        <w:tabs>
          <w:tab w:val="left" w:pos="567"/>
        </w:tabs>
        <w:ind w:right="-142"/>
        <w:rPr>
          <w:snapToGrid w:val="0"/>
          <w:sz w:val="22"/>
          <w:szCs w:val="22"/>
          <w:u w:val="single"/>
          <w:lang w:val="lt-LT"/>
        </w:rPr>
      </w:pPr>
      <w:r w:rsidRPr="00BA0735">
        <w:rPr>
          <w:noProof/>
          <w:snapToGrid w:val="0"/>
          <w:sz w:val="22"/>
          <w:szCs w:val="22"/>
          <w:u w:val="single"/>
          <w:lang w:val="lt-LT"/>
        </w:rPr>
        <w:t>Absorbcija ir bio</w:t>
      </w:r>
      <w:r w:rsidR="00F5533D">
        <w:rPr>
          <w:noProof/>
          <w:snapToGrid w:val="0"/>
          <w:sz w:val="22"/>
          <w:szCs w:val="22"/>
          <w:u w:val="single"/>
          <w:lang w:val="lt-LT"/>
        </w:rPr>
        <w:t>įsisavinamumas</w:t>
      </w:r>
    </w:p>
    <w:p w:rsidR="00E93252" w:rsidRPr="00BA0735" w:rsidRDefault="00E93252" w:rsidP="00E93252">
      <w:pPr>
        <w:widowControl w:val="0"/>
        <w:rPr>
          <w:sz w:val="22"/>
          <w:szCs w:val="22"/>
          <w:lang w:val="lt-LT"/>
        </w:rPr>
      </w:pPr>
      <w:r w:rsidRPr="00BA0735">
        <w:rPr>
          <w:sz w:val="22"/>
          <w:szCs w:val="22"/>
          <w:lang w:val="lt-LT"/>
        </w:rPr>
        <w:t>Išgertas perindoprilis absorbuojamas greitai. Didžiausia koncentracija plazmoje atsiranda per vieną valandą. Pusinės eliminacijos laikas yra 1 valanda.</w:t>
      </w:r>
    </w:p>
    <w:p w:rsidR="00E93252" w:rsidRPr="00BA0735" w:rsidRDefault="000777E0" w:rsidP="00E93252">
      <w:pPr>
        <w:widowControl w:val="0"/>
        <w:rPr>
          <w:sz w:val="22"/>
          <w:szCs w:val="22"/>
          <w:lang w:val="lt-LT"/>
        </w:rPr>
      </w:pPr>
      <w:r w:rsidRPr="00BA0735">
        <w:rPr>
          <w:sz w:val="22"/>
          <w:szCs w:val="22"/>
          <w:lang w:val="lt-LT"/>
        </w:rPr>
        <w:t xml:space="preserve">Maistas slopina perindoprilio virtimą perindoprilatu, taigi ir perindoprilio </w:t>
      </w:r>
      <w:r w:rsidR="00F5533D">
        <w:rPr>
          <w:sz w:val="22"/>
          <w:szCs w:val="22"/>
          <w:lang w:val="lt-LT"/>
        </w:rPr>
        <w:t>bioįsisavinamumą</w:t>
      </w:r>
      <w:r w:rsidRPr="00BA0735">
        <w:rPr>
          <w:sz w:val="22"/>
          <w:szCs w:val="22"/>
          <w:lang w:val="lt-LT"/>
        </w:rPr>
        <w:t>, todėl tert-butilamino perindoprilio reikia gerti kartą per parą ryte prieš valgį.</w:t>
      </w:r>
    </w:p>
    <w:p w:rsidR="000777E0" w:rsidRDefault="000777E0" w:rsidP="00E93252">
      <w:pPr>
        <w:widowControl w:val="0"/>
        <w:rPr>
          <w:noProof/>
          <w:snapToGrid w:val="0"/>
          <w:sz w:val="22"/>
          <w:szCs w:val="22"/>
          <w:u w:val="single"/>
          <w:lang w:val="lt-LT"/>
        </w:rPr>
      </w:pPr>
    </w:p>
    <w:p w:rsidR="000777E0" w:rsidRPr="00F5533D" w:rsidRDefault="000777E0" w:rsidP="000777E0">
      <w:pPr>
        <w:widowControl w:val="0"/>
        <w:tabs>
          <w:tab w:val="left" w:pos="567"/>
        </w:tabs>
        <w:rPr>
          <w:snapToGrid w:val="0"/>
          <w:sz w:val="22"/>
          <w:szCs w:val="22"/>
          <w:u w:val="single"/>
          <w:lang w:val="lt-LT"/>
        </w:rPr>
      </w:pPr>
      <w:r w:rsidRPr="00F5533D">
        <w:rPr>
          <w:noProof/>
          <w:snapToGrid w:val="0"/>
          <w:sz w:val="22"/>
          <w:szCs w:val="22"/>
          <w:u w:val="single"/>
          <w:lang w:val="lt-LT"/>
        </w:rPr>
        <w:t>Pasiskirstymas</w:t>
      </w:r>
    </w:p>
    <w:p w:rsidR="000777E0" w:rsidRPr="00BA0735" w:rsidRDefault="000777E0" w:rsidP="000777E0">
      <w:pPr>
        <w:widowControl w:val="0"/>
        <w:rPr>
          <w:sz w:val="22"/>
          <w:szCs w:val="22"/>
          <w:lang w:val="lt-LT"/>
        </w:rPr>
      </w:pPr>
      <w:r w:rsidRPr="00BA0735">
        <w:rPr>
          <w:sz w:val="22"/>
          <w:szCs w:val="22"/>
          <w:lang w:val="lt-LT"/>
        </w:rPr>
        <w:t>Laisvo perindoprilato pasiskirstymo tūris yra maždaug 0,2 l/kg kūno svorio. Prie plazmos baltymų (daugiausia prie angiotenziną konvertuojančio fermento) jungiasi maždaug 20</w:t>
      </w:r>
      <w:r w:rsidR="00C06DBA">
        <w:rPr>
          <w:sz w:val="22"/>
          <w:szCs w:val="22"/>
          <w:lang w:val="lt-LT"/>
        </w:rPr>
        <w:t> </w:t>
      </w:r>
      <w:r w:rsidRPr="00BA0735">
        <w:rPr>
          <w:sz w:val="22"/>
          <w:szCs w:val="22"/>
          <w:lang w:val="lt-LT"/>
        </w:rPr>
        <w:t>% perindoprilato, tačiau tai priklauso nuo koncentracijos.</w:t>
      </w:r>
    </w:p>
    <w:p w:rsidR="000777E0" w:rsidRDefault="000777E0" w:rsidP="00E93252">
      <w:pPr>
        <w:widowControl w:val="0"/>
        <w:rPr>
          <w:noProof/>
          <w:snapToGrid w:val="0"/>
          <w:sz w:val="22"/>
          <w:szCs w:val="22"/>
          <w:u w:val="single"/>
          <w:lang w:val="lt-LT"/>
        </w:rPr>
      </w:pPr>
    </w:p>
    <w:p w:rsidR="000777E0" w:rsidRPr="008B3A7C" w:rsidRDefault="000777E0" w:rsidP="00E93252">
      <w:pPr>
        <w:widowControl w:val="0"/>
        <w:rPr>
          <w:sz w:val="22"/>
          <w:szCs w:val="22"/>
          <w:u w:val="single"/>
          <w:lang w:val="lt-LT"/>
        </w:rPr>
      </w:pPr>
      <w:r w:rsidRPr="008B3A7C">
        <w:rPr>
          <w:sz w:val="22"/>
          <w:szCs w:val="22"/>
          <w:u w:val="single"/>
          <w:lang w:val="lt-LT"/>
        </w:rPr>
        <w:t>Biotransformacija</w:t>
      </w:r>
    </w:p>
    <w:p w:rsidR="00E93252" w:rsidRPr="00BA0735" w:rsidRDefault="00E93252" w:rsidP="00E93252">
      <w:pPr>
        <w:widowControl w:val="0"/>
        <w:rPr>
          <w:sz w:val="22"/>
          <w:szCs w:val="22"/>
          <w:lang w:val="lt-LT"/>
        </w:rPr>
      </w:pPr>
      <w:r w:rsidRPr="00BA0735">
        <w:rPr>
          <w:sz w:val="22"/>
          <w:szCs w:val="22"/>
          <w:lang w:val="lt-LT"/>
        </w:rPr>
        <w:t>Perindoprilis yra provaistas. 27</w:t>
      </w:r>
      <w:r w:rsidR="00C06DBA">
        <w:rPr>
          <w:sz w:val="22"/>
          <w:szCs w:val="22"/>
          <w:lang w:val="lt-LT"/>
        </w:rPr>
        <w:t> </w:t>
      </w:r>
      <w:r w:rsidRPr="00BA0735">
        <w:rPr>
          <w:sz w:val="22"/>
          <w:szCs w:val="22"/>
          <w:lang w:val="lt-LT"/>
        </w:rPr>
        <w:t>% išgertos perindoprilio dozės patenka į kraujotaką veikliojo metabolito perindoprilato pavidalu. Be perindoprilato, susidaro dar 5 neaktyvūs metabolitai. Didžiausia perindoprilato koncentracija plazmoje atsiranda per 3–4 valandas.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snapToGrid w:val="0"/>
          <w:sz w:val="22"/>
          <w:szCs w:val="22"/>
          <w:u w:val="single"/>
          <w:lang w:val="lt-LT"/>
        </w:rPr>
      </w:pPr>
      <w:r w:rsidRPr="00BA0735">
        <w:rPr>
          <w:noProof/>
          <w:snapToGrid w:val="0"/>
          <w:sz w:val="22"/>
          <w:szCs w:val="22"/>
          <w:u w:val="single"/>
          <w:lang w:val="lt-LT"/>
        </w:rPr>
        <w:t>Tiesinis/netiesinis pobūdis</w:t>
      </w:r>
    </w:p>
    <w:p w:rsidR="00E93252" w:rsidRPr="00BA0735" w:rsidRDefault="00E93252" w:rsidP="00E93252">
      <w:pPr>
        <w:widowControl w:val="0"/>
        <w:rPr>
          <w:sz w:val="22"/>
          <w:szCs w:val="22"/>
          <w:lang w:val="lt-LT"/>
        </w:rPr>
      </w:pPr>
      <w:r w:rsidRPr="00BA0735">
        <w:rPr>
          <w:sz w:val="22"/>
          <w:szCs w:val="22"/>
          <w:lang w:val="lt-LT"/>
        </w:rPr>
        <w:t>Nustatyta tiesinė priklausomybė tarp perindoprilio dozės bei ekspozicijos plazmoje.</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snapToGrid w:val="0"/>
          <w:sz w:val="22"/>
          <w:szCs w:val="22"/>
          <w:u w:val="single"/>
          <w:lang w:val="lt-LT"/>
        </w:rPr>
      </w:pPr>
      <w:r w:rsidRPr="00BA0735">
        <w:rPr>
          <w:noProof/>
          <w:snapToGrid w:val="0"/>
          <w:sz w:val="22"/>
          <w:szCs w:val="22"/>
          <w:u w:val="single"/>
          <w:lang w:val="lt-LT"/>
        </w:rPr>
        <w:t>Eliminacija</w:t>
      </w:r>
    </w:p>
    <w:p w:rsidR="00E93252" w:rsidRPr="00BA0735" w:rsidRDefault="00E93252" w:rsidP="00E93252">
      <w:pPr>
        <w:widowControl w:val="0"/>
        <w:tabs>
          <w:tab w:val="left" w:pos="567"/>
        </w:tabs>
        <w:rPr>
          <w:sz w:val="22"/>
          <w:szCs w:val="22"/>
          <w:lang w:val="lt-LT"/>
        </w:rPr>
      </w:pPr>
      <w:r w:rsidRPr="00BA0735">
        <w:rPr>
          <w:sz w:val="22"/>
          <w:szCs w:val="22"/>
          <w:lang w:val="lt-LT"/>
        </w:rPr>
        <w:t>Perindoprilatas išskiriamas su šlapimu, galutinis laisvosios frakcijos pusinės eliminacijos laikas yra maždaug 17 valandų, o pusiausvyrinė apykaita nusistovi per 4 dienas.</w:t>
      </w:r>
    </w:p>
    <w:p w:rsidR="00E93252" w:rsidRPr="00BA0735" w:rsidRDefault="00E93252" w:rsidP="00E93252">
      <w:pPr>
        <w:widowControl w:val="0"/>
        <w:rPr>
          <w:sz w:val="22"/>
          <w:szCs w:val="22"/>
          <w:lang w:val="lt-LT"/>
        </w:rPr>
      </w:pPr>
    </w:p>
    <w:p w:rsidR="00E93252" w:rsidRPr="00BA0735" w:rsidRDefault="00E93252" w:rsidP="00E93252">
      <w:pPr>
        <w:spacing w:line="259" w:lineRule="auto"/>
        <w:rPr>
          <w:rFonts w:eastAsia="Calibri"/>
          <w:sz w:val="22"/>
          <w:szCs w:val="22"/>
          <w:u w:val="single"/>
          <w:lang w:val="lt-LT" w:eastAsia="en-US"/>
        </w:rPr>
      </w:pPr>
      <w:r w:rsidRPr="00BA0735">
        <w:rPr>
          <w:rFonts w:eastAsia="Calibri"/>
          <w:sz w:val="22"/>
          <w:szCs w:val="22"/>
          <w:u w:val="single"/>
          <w:lang w:val="lt-LT" w:eastAsia="en-US"/>
        </w:rPr>
        <w:t>Ypatingos populiacijos</w:t>
      </w:r>
    </w:p>
    <w:p w:rsidR="00E93252" w:rsidRPr="00BA0735" w:rsidRDefault="00E93252" w:rsidP="00E93252">
      <w:pPr>
        <w:spacing w:line="259" w:lineRule="auto"/>
        <w:rPr>
          <w:rFonts w:eastAsia="Calibri"/>
          <w:sz w:val="22"/>
          <w:szCs w:val="22"/>
          <w:u w:val="single"/>
          <w:lang w:val="lt-LT" w:eastAsia="en-US"/>
        </w:rPr>
      </w:pPr>
    </w:p>
    <w:p w:rsidR="00E93252" w:rsidRPr="00BA0735" w:rsidRDefault="00E93252" w:rsidP="00E93252">
      <w:pPr>
        <w:widowControl w:val="0"/>
        <w:rPr>
          <w:sz w:val="22"/>
          <w:szCs w:val="22"/>
          <w:u w:val="single"/>
          <w:lang w:val="lt-LT"/>
        </w:rPr>
      </w:pPr>
      <w:r w:rsidRPr="00BA0735">
        <w:rPr>
          <w:sz w:val="22"/>
          <w:szCs w:val="22"/>
          <w:u w:val="single"/>
          <w:lang w:val="lt-LT"/>
        </w:rPr>
        <w:t>Senyvi pacientai</w:t>
      </w:r>
    </w:p>
    <w:p w:rsidR="00E93252" w:rsidRPr="00BA0735" w:rsidRDefault="00E93252" w:rsidP="00E93252">
      <w:pPr>
        <w:widowControl w:val="0"/>
        <w:rPr>
          <w:sz w:val="22"/>
          <w:szCs w:val="22"/>
          <w:lang w:val="lt-LT"/>
        </w:rPr>
      </w:pPr>
      <w:r w:rsidRPr="00BA0735">
        <w:rPr>
          <w:sz w:val="22"/>
          <w:szCs w:val="22"/>
          <w:lang w:val="lt-LT"/>
        </w:rPr>
        <w:t>Perindoprilato eliminacija iš senyvų bei širdies ar inkstų funkcijos nepakankamumu sergančių pacientų organizmo būna lėtesnė.</w:t>
      </w:r>
    </w:p>
    <w:p w:rsidR="00E93252" w:rsidRPr="00BA0735" w:rsidRDefault="00E93252" w:rsidP="00E93252">
      <w:pPr>
        <w:widowControl w:val="0"/>
        <w:tabs>
          <w:tab w:val="left" w:pos="567"/>
        </w:tabs>
        <w:contextualSpacing/>
        <w:outlineLvl w:val="0"/>
        <w:rPr>
          <w:iCs/>
          <w:snapToGrid w:val="0"/>
          <w:color w:val="000000"/>
          <w:sz w:val="22"/>
          <w:szCs w:val="22"/>
          <w:u w:val="single"/>
          <w:lang w:val="lt-LT"/>
        </w:rPr>
      </w:pPr>
    </w:p>
    <w:p w:rsidR="00E93252" w:rsidRPr="00BA0735" w:rsidRDefault="00E93252" w:rsidP="00E93252">
      <w:pPr>
        <w:widowControl w:val="0"/>
        <w:tabs>
          <w:tab w:val="left" w:pos="567"/>
        </w:tabs>
        <w:contextualSpacing/>
        <w:outlineLvl w:val="0"/>
        <w:rPr>
          <w:iCs/>
          <w:snapToGrid w:val="0"/>
          <w:color w:val="000000"/>
          <w:sz w:val="22"/>
          <w:szCs w:val="22"/>
          <w:u w:val="single"/>
          <w:lang w:val="lt-LT"/>
        </w:rPr>
      </w:pPr>
      <w:r w:rsidRPr="00BA0735">
        <w:rPr>
          <w:iCs/>
          <w:snapToGrid w:val="0"/>
          <w:color w:val="000000"/>
          <w:sz w:val="22"/>
          <w:szCs w:val="22"/>
          <w:u w:val="single"/>
          <w:lang w:val="lt-LT"/>
        </w:rPr>
        <w:t>Sutrikusi inkstų funkcija</w:t>
      </w:r>
    </w:p>
    <w:p w:rsidR="00E93252" w:rsidRPr="00BA0735" w:rsidRDefault="00E93252" w:rsidP="00E93252">
      <w:pPr>
        <w:widowControl w:val="0"/>
        <w:rPr>
          <w:sz w:val="22"/>
          <w:szCs w:val="22"/>
          <w:lang w:val="lt-LT"/>
        </w:rPr>
      </w:pPr>
      <w:r w:rsidRPr="00BA0735">
        <w:rPr>
          <w:sz w:val="22"/>
          <w:szCs w:val="22"/>
          <w:lang w:val="lt-LT"/>
        </w:rPr>
        <w:t>Jei yra inkstų funkcijos sutrikimas, dozę rekomenduojama koreguoti atsižvelgiant į sutrikimo sunkumą (kreatinino klirensą).</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Dializės atveju</w:t>
      </w:r>
    </w:p>
    <w:p w:rsidR="00E93252" w:rsidRPr="00BA0735" w:rsidRDefault="00E93252" w:rsidP="00E93252">
      <w:pPr>
        <w:widowControl w:val="0"/>
        <w:rPr>
          <w:sz w:val="22"/>
          <w:szCs w:val="22"/>
          <w:lang w:val="lt-LT"/>
        </w:rPr>
      </w:pPr>
      <w:r w:rsidRPr="00BA0735">
        <w:rPr>
          <w:sz w:val="22"/>
          <w:szCs w:val="22"/>
          <w:lang w:val="lt-LT"/>
        </w:rPr>
        <w:t>Perindoprilato dializės klirensas yra 70 ml/min.</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contextualSpacing/>
        <w:outlineLvl w:val="0"/>
        <w:rPr>
          <w:iCs/>
          <w:snapToGrid w:val="0"/>
          <w:color w:val="000000"/>
          <w:sz w:val="22"/>
          <w:szCs w:val="22"/>
          <w:u w:val="single"/>
          <w:lang w:val="lt-LT"/>
        </w:rPr>
      </w:pPr>
      <w:r w:rsidRPr="00BA0735">
        <w:rPr>
          <w:iCs/>
          <w:snapToGrid w:val="0"/>
          <w:color w:val="000000"/>
          <w:sz w:val="22"/>
          <w:szCs w:val="22"/>
          <w:u w:val="single"/>
          <w:lang w:val="lt-LT"/>
        </w:rPr>
        <w:t>Kepenų cirozė</w:t>
      </w:r>
    </w:p>
    <w:p w:rsidR="00E93252" w:rsidRPr="00BA0735" w:rsidRDefault="00E93252" w:rsidP="00E93252">
      <w:pPr>
        <w:widowControl w:val="0"/>
        <w:rPr>
          <w:sz w:val="22"/>
          <w:szCs w:val="22"/>
          <w:lang w:val="lt-LT"/>
        </w:rPr>
      </w:pPr>
      <w:r w:rsidRPr="00BA0735">
        <w:rPr>
          <w:sz w:val="22"/>
          <w:szCs w:val="22"/>
          <w:lang w:val="lt-LT"/>
        </w:rPr>
        <w:t>Pacientų, sergančių kepenų ciroze, organizme perindoprilio kinetika pakinta: pradinės medžiagos kepenų klirensas sumažėja perpus. Nepaisant to, susidarančio perindoprilato kiekis nekinta, todėl dozės koreguoti nereikia (žr. 4.2 ir 4.4</w:t>
      </w:r>
      <w:r w:rsidR="00691D21">
        <w:rPr>
          <w:sz w:val="22"/>
          <w:szCs w:val="22"/>
          <w:lang w:val="lt-LT"/>
        </w:rPr>
        <w:t> </w:t>
      </w:r>
      <w:r w:rsidRPr="00BA0735">
        <w:rPr>
          <w:sz w:val="22"/>
          <w:szCs w:val="22"/>
          <w:lang w:val="lt-LT"/>
        </w:rPr>
        <w:t>skyrius).</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Farmakokinetinės indapamido savybės</w:t>
      </w:r>
    </w:p>
    <w:p w:rsidR="00E93252" w:rsidRPr="00BA0735" w:rsidRDefault="00E93252" w:rsidP="00E93252">
      <w:pPr>
        <w:widowControl w:val="0"/>
        <w:rPr>
          <w:i/>
          <w:sz w:val="22"/>
          <w:szCs w:val="22"/>
          <w:lang w:val="lt-LT"/>
        </w:rPr>
      </w:pPr>
    </w:p>
    <w:p w:rsidR="00E93252" w:rsidRPr="00BA0735" w:rsidRDefault="00E93252" w:rsidP="00E93252">
      <w:pPr>
        <w:widowControl w:val="0"/>
        <w:tabs>
          <w:tab w:val="left" w:pos="567"/>
        </w:tabs>
        <w:ind w:right="-142"/>
        <w:rPr>
          <w:snapToGrid w:val="0"/>
          <w:sz w:val="22"/>
          <w:szCs w:val="22"/>
          <w:u w:val="single"/>
          <w:lang w:val="lt-LT"/>
        </w:rPr>
      </w:pPr>
      <w:r w:rsidRPr="00BA0735">
        <w:rPr>
          <w:noProof/>
          <w:snapToGrid w:val="0"/>
          <w:sz w:val="22"/>
          <w:szCs w:val="22"/>
          <w:u w:val="single"/>
          <w:lang w:val="lt-LT"/>
        </w:rPr>
        <w:t>Absorbcija</w:t>
      </w:r>
    </w:p>
    <w:p w:rsidR="00E93252" w:rsidRPr="00BA0735" w:rsidRDefault="00E93252" w:rsidP="00E93252">
      <w:pPr>
        <w:widowControl w:val="0"/>
        <w:rPr>
          <w:sz w:val="22"/>
          <w:szCs w:val="22"/>
          <w:lang w:val="lt-LT"/>
        </w:rPr>
      </w:pPr>
      <w:r w:rsidRPr="00BA0735">
        <w:rPr>
          <w:sz w:val="22"/>
          <w:szCs w:val="22"/>
          <w:lang w:val="lt-LT"/>
        </w:rPr>
        <w:t>Indapamidas greitai ir visiškai absorbuojamas iš virškinimo trakto.</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Didžiausia koncentracija plazmoje atsiranda praėjus maždaug valandai po vaistinio preparato išgėrimo.</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snapToGrid w:val="0"/>
          <w:sz w:val="22"/>
          <w:szCs w:val="22"/>
          <w:u w:val="single"/>
          <w:lang w:val="lt-LT"/>
        </w:rPr>
      </w:pPr>
      <w:r w:rsidRPr="00BA0735">
        <w:rPr>
          <w:noProof/>
          <w:snapToGrid w:val="0"/>
          <w:sz w:val="22"/>
          <w:szCs w:val="22"/>
          <w:u w:val="single"/>
          <w:lang w:val="lt-LT"/>
        </w:rPr>
        <w:t>Pasiskirstymas</w:t>
      </w:r>
    </w:p>
    <w:p w:rsidR="00E93252" w:rsidRPr="00BA0735" w:rsidRDefault="00E93252" w:rsidP="00E93252">
      <w:pPr>
        <w:widowControl w:val="0"/>
        <w:rPr>
          <w:sz w:val="22"/>
          <w:szCs w:val="22"/>
          <w:lang w:val="lt-LT"/>
        </w:rPr>
      </w:pPr>
      <w:r w:rsidRPr="00BA0735">
        <w:rPr>
          <w:sz w:val="22"/>
          <w:szCs w:val="22"/>
          <w:lang w:val="lt-LT"/>
        </w:rPr>
        <w:t>Prie plazmos baltymų jungiasi 79</w:t>
      </w:r>
      <w:r w:rsidR="00C06DBA">
        <w:rPr>
          <w:sz w:val="22"/>
          <w:szCs w:val="22"/>
          <w:lang w:val="lt-LT"/>
        </w:rPr>
        <w:t> </w:t>
      </w:r>
      <w:r w:rsidRPr="00BA0735">
        <w:rPr>
          <w:sz w:val="22"/>
          <w:szCs w:val="22"/>
          <w:lang w:val="lt-LT"/>
        </w:rPr>
        <w:t>% preparato.</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snapToGrid w:val="0"/>
          <w:sz w:val="22"/>
          <w:szCs w:val="22"/>
          <w:u w:val="single"/>
          <w:lang w:val="lt-LT"/>
        </w:rPr>
      </w:pPr>
      <w:r w:rsidRPr="00BA0735">
        <w:rPr>
          <w:noProof/>
          <w:snapToGrid w:val="0"/>
          <w:sz w:val="22"/>
          <w:szCs w:val="22"/>
          <w:u w:val="single"/>
          <w:lang w:val="lt-LT"/>
        </w:rPr>
        <w:t>Biotransformacija ir eliminacija</w:t>
      </w:r>
    </w:p>
    <w:p w:rsidR="00E93252" w:rsidRPr="00BA0735" w:rsidRDefault="00E93252" w:rsidP="00E93252">
      <w:pPr>
        <w:widowControl w:val="0"/>
        <w:rPr>
          <w:sz w:val="22"/>
          <w:szCs w:val="22"/>
          <w:lang w:val="lt-LT"/>
        </w:rPr>
      </w:pPr>
      <w:r w:rsidRPr="00BA0735">
        <w:rPr>
          <w:sz w:val="22"/>
          <w:szCs w:val="22"/>
          <w:lang w:val="lt-LT"/>
        </w:rPr>
        <w:t>Pusinės eliminacijos laikas yra 14–24 valandos (vidutiniškai 18 valandų). Vartojant kartotines dozes, preparato nesikaupia. Iš organizmo indapamidas daugiausia išskiriamas su šlapimu (70</w:t>
      </w:r>
      <w:r w:rsidR="00C06DBA">
        <w:rPr>
          <w:sz w:val="22"/>
          <w:szCs w:val="22"/>
          <w:lang w:val="lt-LT"/>
        </w:rPr>
        <w:t> </w:t>
      </w:r>
      <w:r w:rsidRPr="00BA0735">
        <w:rPr>
          <w:sz w:val="22"/>
          <w:szCs w:val="22"/>
          <w:lang w:val="lt-LT"/>
        </w:rPr>
        <w:t>% dozės) bei išmatomis (22</w:t>
      </w:r>
      <w:r w:rsidR="00C06DBA">
        <w:rPr>
          <w:sz w:val="22"/>
          <w:szCs w:val="22"/>
          <w:lang w:val="lt-LT"/>
        </w:rPr>
        <w:t> </w:t>
      </w:r>
      <w:r w:rsidRPr="00BA0735">
        <w:rPr>
          <w:sz w:val="22"/>
          <w:szCs w:val="22"/>
          <w:lang w:val="lt-LT"/>
        </w:rPr>
        <w:t>% dozės) neveiklių metabolitų pavidalu.</w:t>
      </w:r>
    </w:p>
    <w:p w:rsidR="00E93252" w:rsidRPr="00BA0735" w:rsidRDefault="00E93252" w:rsidP="00E93252">
      <w:pPr>
        <w:widowControl w:val="0"/>
        <w:rPr>
          <w:sz w:val="22"/>
          <w:szCs w:val="22"/>
          <w:u w:val="single"/>
          <w:lang w:val="lt-LT"/>
        </w:rPr>
      </w:pPr>
    </w:p>
    <w:p w:rsidR="00E93252" w:rsidRPr="00BA0735" w:rsidRDefault="00E93252" w:rsidP="00E93252">
      <w:pPr>
        <w:widowControl w:val="0"/>
        <w:rPr>
          <w:sz w:val="22"/>
          <w:szCs w:val="22"/>
          <w:u w:val="single"/>
          <w:lang w:val="lt-LT"/>
        </w:rPr>
      </w:pPr>
      <w:r w:rsidRPr="00BA0735">
        <w:rPr>
          <w:sz w:val="22"/>
          <w:szCs w:val="22"/>
          <w:u w:val="single"/>
          <w:lang w:val="lt-LT"/>
        </w:rPr>
        <w:t>Ypatingos populiacijos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contextualSpacing/>
        <w:outlineLvl w:val="0"/>
        <w:rPr>
          <w:iCs/>
          <w:snapToGrid w:val="0"/>
          <w:color w:val="000000"/>
          <w:sz w:val="22"/>
          <w:szCs w:val="22"/>
          <w:u w:val="single"/>
          <w:lang w:val="lt-LT"/>
        </w:rPr>
      </w:pPr>
      <w:r w:rsidRPr="00BA0735">
        <w:rPr>
          <w:iCs/>
          <w:snapToGrid w:val="0"/>
          <w:color w:val="000000"/>
          <w:sz w:val="22"/>
          <w:szCs w:val="22"/>
          <w:u w:val="single"/>
          <w:lang w:val="lt-LT"/>
        </w:rPr>
        <w:t>Sutrikusi inkstų funkcija</w:t>
      </w:r>
    </w:p>
    <w:p w:rsidR="00E93252" w:rsidRPr="00BA0735" w:rsidRDefault="00E93252" w:rsidP="00E93252">
      <w:pPr>
        <w:widowControl w:val="0"/>
        <w:rPr>
          <w:sz w:val="22"/>
          <w:szCs w:val="22"/>
          <w:lang w:val="lt-LT"/>
        </w:rPr>
      </w:pPr>
      <w:r w:rsidRPr="00BA0735">
        <w:rPr>
          <w:sz w:val="22"/>
          <w:szCs w:val="22"/>
          <w:lang w:val="lt-LT"/>
        </w:rPr>
        <w:t>Jei yra inkstų funkcijos sutrikimas, indapamido farmakokinetika nekinta.</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46" w:name="_Toc129243114"/>
      <w:bookmarkStart w:id="47" w:name="_Toc129243239"/>
      <w:r w:rsidRPr="00BA0735">
        <w:rPr>
          <w:b/>
          <w:kern w:val="28"/>
          <w:sz w:val="22"/>
          <w:szCs w:val="22"/>
          <w:lang w:val="lt-LT"/>
        </w:rPr>
        <w:t>5.3</w:t>
      </w:r>
      <w:r w:rsidRPr="00BA0735">
        <w:rPr>
          <w:b/>
          <w:kern w:val="28"/>
          <w:sz w:val="22"/>
          <w:szCs w:val="22"/>
          <w:lang w:val="lt-LT"/>
        </w:rPr>
        <w:tab/>
        <w:t>Ikiklinikinių saugumo tyrimų duomenys</w:t>
      </w:r>
      <w:bookmarkEnd w:id="46"/>
      <w:bookmarkEnd w:id="47"/>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Perindoprilio ir indapamido derinio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patelėms buvo stipresnis nei sukeliamas vien perindoprilio.</w:t>
      </w:r>
    </w:p>
    <w:p w:rsidR="00E93252" w:rsidRPr="00BA0735" w:rsidRDefault="00E93252" w:rsidP="00E93252">
      <w:pPr>
        <w:widowControl w:val="0"/>
        <w:rPr>
          <w:sz w:val="22"/>
          <w:szCs w:val="22"/>
          <w:lang w:val="lt-LT"/>
        </w:rPr>
      </w:pPr>
      <w:r w:rsidRPr="00BA0735">
        <w:rPr>
          <w:sz w:val="22"/>
          <w:szCs w:val="22"/>
          <w:lang w:val="lt-LT"/>
        </w:rPr>
        <w:t>Vis dėlto nepageidaujamą poveikį sukėlė tokios dozės, kurios labai viršijo žmonėms skiriamą gydomąją dozę.</w:t>
      </w:r>
    </w:p>
    <w:p w:rsidR="00E93252" w:rsidRPr="00BA0735" w:rsidRDefault="00E93252" w:rsidP="00E93252">
      <w:pPr>
        <w:widowControl w:val="0"/>
        <w:rPr>
          <w:sz w:val="22"/>
          <w:szCs w:val="22"/>
          <w:lang w:val="lt-LT"/>
        </w:rPr>
      </w:pPr>
      <w:r w:rsidRPr="00BA0735">
        <w:rPr>
          <w:sz w:val="22"/>
          <w:szCs w:val="22"/>
          <w:lang w:val="lt-LT"/>
        </w:rPr>
        <w:t>Atskirai atliktų ikiklinikinių perindoprilio ir indapamido tyrimų metu duomenų apie genotoksinį, kancerogeninį ir teratogeninį poveikį negauta.</w:t>
      </w:r>
      <w:r w:rsidR="00B54102">
        <w:rPr>
          <w:sz w:val="22"/>
          <w:szCs w:val="22"/>
          <w:lang w:val="lt-LT"/>
        </w:rPr>
        <w:t xml:space="preserve"> </w:t>
      </w:r>
      <w:r w:rsidR="00B54102" w:rsidRPr="00B54102">
        <w:rPr>
          <w:sz w:val="22"/>
          <w:szCs w:val="22"/>
          <w:lang w:val="lt-LT"/>
        </w:rPr>
        <w:t xml:space="preserve">Reprodukcijos toksikologiniai tyrimai neparodė </w:t>
      </w:r>
      <w:r w:rsidR="006604AF">
        <w:rPr>
          <w:sz w:val="22"/>
          <w:szCs w:val="22"/>
          <w:lang w:val="lt-LT"/>
        </w:rPr>
        <w:t>embriotoksinio</w:t>
      </w:r>
      <w:r w:rsidR="00B54102" w:rsidRPr="00B54102">
        <w:rPr>
          <w:sz w:val="22"/>
          <w:szCs w:val="22"/>
          <w:lang w:val="lt-LT"/>
        </w:rPr>
        <w:t xml:space="preserve"> ar teratogeni</w:t>
      </w:r>
      <w:r w:rsidR="006604AF">
        <w:rPr>
          <w:sz w:val="22"/>
          <w:szCs w:val="22"/>
          <w:lang w:val="lt-LT"/>
        </w:rPr>
        <w:t xml:space="preserve">nio poveikio, neįtakojo </w:t>
      </w:r>
      <w:r w:rsidR="00B54102" w:rsidRPr="00B54102">
        <w:rPr>
          <w:sz w:val="22"/>
          <w:szCs w:val="22"/>
          <w:lang w:val="lt-LT"/>
        </w:rPr>
        <w:t>vaisingum</w:t>
      </w:r>
      <w:r w:rsidR="006604AF">
        <w:rPr>
          <w:sz w:val="22"/>
          <w:szCs w:val="22"/>
          <w:lang w:val="lt-LT"/>
        </w:rPr>
        <w:t>o</w:t>
      </w:r>
      <w:r w:rsidR="00B54102" w:rsidRPr="00B54102">
        <w:rPr>
          <w:sz w:val="22"/>
          <w:szCs w:val="22"/>
          <w:lang w:val="lt-LT"/>
        </w:rPr>
        <w:t>.</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48" w:name="_Toc129243115"/>
      <w:bookmarkStart w:id="49" w:name="_Toc129243240"/>
      <w:r w:rsidRPr="00BA0735">
        <w:rPr>
          <w:b/>
          <w:sz w:val="22"/>
          <w:szCs w:val="22"/>
          <w:lang w:val="lt-LT"/>
        </w:rPr>
        <w:t>6.</w:t>
      </w:r>
      <w:r w:rsidRPr="00BA0735">
        <w:rPr>
          <w:b/>
          <w:sz w:val="22"/>
          <w:szCs w:val="22"/>
          <w:lang w:val="lt-LT"/>
        </w:rPr>
        <w:tab/>
        <w:t>FARMACINĖ INFORMACIJA</w:t>
      </w:r>
      <w:bookmarkEnd w:id="48"/>
      <w:bookmarkEnd w:id="49"/>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50" w:name="_Toc129243116"/>
      <w:bookmarkStart w:id="51" w:name="_Toc129243241"/>
      <w:r w:rsidRPr="00BA0735">
        <w:rPr>
          <w:b/>
          <w:kern w:val="28"/>
          <w:sz w:val="22"/>
          <w:szCs w:val="22"/>
          <w:lang w:val="lt-LT"/>
        </w:rPr>
        <w:t>6.1</w:t>
      </w:r>
      <w:r w:rsidRPr="00BA0735">
        <w:rPr>
          <w:b/>
          <w:kern w:val="28"/>
          <w:sz w:val="22"/>
          <w:szCs w:val="22"/>
          <w:lang w:val="lt-LT"/>
        </w:rPr>
        <w:tab/>
        <w:t>Pagalbinių medžiagų sąrašas</w:t>
      </w:r>
      <w:bookmarkEnd w:id="50"/>
      <w:bookmarkEnd w:id="51"/>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Mikrokristalinė celiuliozė</w:t>
      </w:r>
    </w:p>
    <w:p w:rsidR="00E93252" w:rsidRPr="00BA0735" w:rsidRDefault="00E93252" w:rsidP="00E93252">
      <w:pPr>
        <w:widowControl w:val="0"/>
        <w:rPr>
          <w:sz w:val="22"/>
          <w:szCs w:val="22"/>
          <w:lang w:val="lt-LT"/>
        </w:rPr>
      </w:pPr>
      <w:r w:rsidRPr="00BA0735">
        <w:rPr>
          <w:sz w:val="22"/>
          <w:szCs w:val="22"/>
          <w:lang w:val="lt-LT"/>
        </w:rPr>
        <w:t>Laktozė monohidratas</w:t>
      </w:r>
    </w:p>
    <w:p w:rsidR="00E93252" w:rsidRPr="00BA0735" w:rsidRDefault="00E93252" w:rsidP="00E93252">
      <w:pPr>
        <w:widowControl w:val="0"/>
        <w:rPr>
          <w:sz w:val="22"/>
          <w:szCs w:val="22"/>
          <w:lang w:val="lt-LT"/>
        </w:rPr>
      </w:pPr>
      <w:r w:rsidRPr="00BA0735">
        <w:rPr>
          <w:sz w:val="22"/>
          <w:szCs w:val="22"/>
          <w:lang w:val="lt-LT"/>
        </w:rPr>
        <w:t>Natrio-vandenilio karbonatas</w:t>
      </w:r>
    </w:p>
    <w:p w:rsidR="00E93252" w:rsidRPr="00BA0735" w:rsidRDefault="00E93252" w:rsidP="00E93252">
      <w:pPr>
        <w:widowControl w:val="0"/>
        <w:rPr>
          <w:sz w:val="22"/>
          <w:szCs w:val="22"/>
          <w:lang w:val="lt-LT"/>
        </w:rPr>
      </w:pPr>
      <w:r w:rsidRPr="00BA0735">
        <w:rPr>
          <w:sz w:val="22"/>
          <w:szCs w:val="22"/>
          <w:lang w:val="lt-LT"/>
        </w:rPr>
        <w:t>Koloidinis bevandenis silicio dioksidas</w:t>
      </w:r>
    </w:p>
    <w:p w:rsidR="00E93252" w:rsidRPr="00BA0735" w:rsidRDefault="00E93252" w:rsidP="00E93252">
      <w:pPr>
        <w:widowControl w:val="0"/>
        <w:rPr>
          <w:sz w:val="22"/>
          <w:szCs w:val="22"/>
          <w:lang w:val="lt-LT"/>
        </w:rPr>
      </w:pPr>
      <w:r w:rsidRPr="00BA0735">
        <w:rPr>
          <w:sz w:val="22"/>
          <w:szCs w:val="22"/>
          <w:lang w:val="lt-LT"/>
        </w:rPr>
        <w:t>Magnio stearatas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52" w:name="_Toc129243117"/>
      <w:bookmarkStart w:id="53" w:name="_Toc129243242"/>
      <w:r w:rsidRPr="00BA0735">
        <w:rPr>
          <w:b/>
          <w:kern w:val="28"/>
          <w:sz w:val="22"/>
          <w:szCs w:val="22"/>
          <w:lang w:val="lt-LT"/>
        </w:rPr>
        <w:t>6.2</w:t>
      </w:r>
      <w:r w:rsidRPr="00BA0735">
        <w:rPr>
          <w:b/>
          <w:kern w:val="28"/>
          <w:sz w:val="22"/>
          <w:szCs w:val="22"/>
          <w:lang w:val="lt-LT"/>
        </w:rPr>
        <w:tab/>
        <w:t>Nesuderinamumas</w:t>
      </w:r>
      <w:bookmarkEnd w:id="52"/>
      <w:bookmarkEnd w:id="53"/>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Duomenys nebūtini.</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54" w:name="_Toc129243118"/>
      <w:bookmarkStart w:id="55" w:name="_Toc129243243"/>
      <w:r w:rsidRPr="00BA0735">
        <w:rPr>
          <w:b/>
          <w:kern w:val="28"/>
          <w:sz w:val="22"/>
          <w:szCs w:val="22"/>
          <w:lang w:val="lt-LT"/>
        </w:rPr>
        <w:t>6.3</w:t>
      </w:r>
      <w:r w:rsidRPr="00BA0735">
        <w:rPr>
          <w:b/>
          <w:kern w:val="28"/>
          <w:sz w:val="22"/>
          <w:szCs w:val="22"/>
          <w:lang w:val="lt-LT"/>
        </w:rPr>
        <w:tab/>
        <w:t>Tinkamumo laikas</w:t>
      </w:r>
      <w:bookmarkEnd w:id="54"/>
      <w:bookmarkEnd w:id="55"/>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3 metai</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56" w:name="_Toc129243119"/>
      <w:bookmarkStart w:id="57" w:name="_Toc129243244"/>
      <w:r w:rsidRPr="00BA0735">
        <w:rPr>
          <w:b/>
          <w:kern w:val="28"/>
          <w:sz w:val="22"/>
          <w:szCs w:val="22"/>
          <w:lang w:val="lt-LT"/>
        </w:rPr>
        <w:t>6.4</w:t>
      </w:r>
      <w:r w:rsidRPr="00BA0735">
        <w:rPr>
          <w:b/>
          <w:kern w:val="28"/>
          <w:sz w:val="22"/>
          <w:szCs w:val="22"/>
          <w:lang w:val="lt-LT"/>
        </w:rPr>
        <w:tab/>
        <w:t>Specialios laikymo sąlygos</w:t>
      </w:r>
      <w:bookmarkEnd w:id="56"/>
      <w:bookmarkEnd w:id="57"/>
    </w:p>
    <w:p w:rsidR="00E93252" w:rsidRPr="00BA0735" w:rsidRDefault="00E93252" w:rsidP="00E93252">
      <w:pPr>
        <w:widowControl w:val="0"/>
        <w:rPr>
          <w:sz w:val="22"/>
          <w:szCs w:val="22"/>
          <w:lang w:val="lt-LT"/>
        </w:rPr>
      </w:pPr>
    </w:p>
    <w:p w:rsidR="00E93252" w:rsidRPr="00BA0735" w:rsidRDefault="00E93252" w:rsidP="00E93252">
      <w:pPr>
        <w:widowControl w:val="0"/>
        <w:outlineLvl w:val="0"/>
        <w:rPr>
          <w:sz w:val="22"/>
          <w:szCs w:val="22"/>
          <w:lang w:val="lt-LT"/>
        </w:rPr>
      </w:pPr>
      <w:r w:rsidRPr="00BA0735">
        <w:rPr>
          <w:sz w:val="22"/>
          <w:szCs w:val="22"/>
          <w:lang w:val="lt-LT"/>
        </w:rPr>
        <w:t>Laikyti gamintojo pakuotėje, kad preparatas būtų apsaugotas nuo drėgmės. Laikyti žemesnėje kaip 30 </w:t>
      </w:r>
      <w:r w:rsidRPr="00BA0735">
        <w:rPr>
          <w:sz w:val="22"/>
          <w:szCs w:val="22"/>
          <w:lang w:val="lt-LT"/>
        </w:rPr>
        <w:sym w:font="Symbol" w:char="F0B0"/>
      </w:r>
      <w:r w:rsidRPr="00BA0735">
        <w:rPr>
          <w:sz w:val="22"/>
          <w:szCs w:val="22"/>
          <w:lang w:val="lt-LT"/>
        </w:rPr>
        <w:t>C temperatūroje.</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58" w:name="_Toc129243120"/>
      <w:bookmarkStart w:id="59" w:name="_Toc129243245"/>
      <w:r w:rsidRPr="00BA0735">
        <w:rPr>
          <w:b/>
          <w:kern w:val="28"/>
          <w:sz w:val="22"/>
          <w:szCs w:val="22"/>
          <w:lang w:val="lt-LT"/>
        </w:rPr>
        <w:t>6.5</w:t>
      </w:r>
      <w:r w:rsidRPr="00BA0735">
        <w:rPr>
          <w:b/>
          <w:kern w:val="28"/>
          <w:sz w:val="22"/>
          <w:szCs w:val="22"/>
          <w:lang w:val="lt-LT"/>
        </w:rPr>
        <w:tab/>
      </w:r>
      <w:r w:rsidRPr="00BA0735">
        <w:rPr>
          <w:b/>
          <w:iCs/>
          <w:kern w:val="28"/>
          <w:sz w:val="22"/>
          <w:szCs w:val="22"/>
          <w:lang w:val="lt-LT"/>
        </w:rPr>
        <w:t>Talpyklės pobūdis</w:t>
      </w:r>
      <w:r w:rsidRPr="00BA0735">
        <w:rPr>
          <w:b/>
          <w:kern w:val="28"/>
          <w:sz w:val="22"/>
          <w:szCs w:val="22"/>
          <w:lang w:val="lt-LT"/>
        </w:rPr>
        <w:t xml:space="preserve"> ir jos turinys</w:t>
      </w:r>
      <w:bookmarkEnd w:id="58"/>
      <w:bookmarkEnd w:id="59"/>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PVC/PE/PVDC/Al lizdinės plokštelės.</w:t>
      </w:r>
    </w:p>
    <w:p w:rsidR="00E93252" w:rsidRPr="00BA0735" w:rsidRDefault="00E93252" w:rsidP="00E93252">
      <w:pPr>
        <w:widowControl w:val="0"/>
        <w:rPr>
          <w:sz w:val="22"/>
          <w:szCs w:val="22"/>
          <w:lang w:val="lt-LT"/>
        </w:rPr>
      </w:pPr>
      <w:r w:rsidRPr="00BA0735">
        <w:rPr>
          <w:sz w:val="22"/>
          <w:szCs w:val="22"/>
          <w:lang w:val="lt-LT"/>
        </w:rPr>
        <w:lastRenderedPageBreak/>
        <w:t>Kartono dėžutėje yra 14, 20, 28, 30, 50, 56, 60, 90 arba 100 tablečių.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OPA/Al/PVC/Al lizdinės plokštelės.</w:t>
      </w:r>
    </w:p>
    <w:p w:rsidR="00E93252" w:rsidRPr="00BA0735" w:rsidRDefault="00E93252" w:rsidP="00E93252">
      <w:pPr>
        <w:widowControl w:val="0"/>
        <w:rPr>
          <w:sz w:val="22"/>
          <w:szCs w:val="22"/>
          <w:lang w:val="lt-LT"/>
        </w:rPr>
      </w:pPr>
      <w:r w:rsidRPr="00BA0735">
        <w:rPr>
          <w:sz w:val="22"/>
          <w:szCs w:val="22"/>
          <w:lang w:val="lt-LT"/>
        </w:rPr>
        <w:t>Kartono dėžutėje yra 14, 20, 28, 30, 50, 56, 60, 90 arba 100 tablečių.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Gali būti tiekiamos ne visų dydžių pakuotės.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2"/>
        <w:rPr>
          <w:b/>
          <w:kern w:val="28"/>
          <w:sz w:val="22"/>
          <w:szCs w:val="22"/>
          <w:lang w:val="lt-LT"/>
        </w:rPr>
      </w:pPr>
      <w:bookmarkStart w:id="60" w:name="_Toc129243121"/>
      <w:bookmarkStart w:id="61" w:name="_Toc129243246"/>
      <w:r w:rsidRPr="00BA0735">
        <w:rPr>
          <w:b/>
          <w:kern w:val="28"/>
          <w:sz w:val="22"/>
          <w:szCs w:val="22"/>
          <w:lang w:val="lt-LT"/>
        </w:rPr>
        <w:t>6.6</w:t>
      </w:r>
      <w:r w:rsidRPr="00BA0735">
        <w:rPr>
          <w:b/>
          <w:kern w:val="28"/>
          <w:sz w:val="22"/>
          <w:szCs w:val="22"/>
          <w:lang w:val="lt-LT"/>
        </w:rPr>
        <w:tab/>
        <w:t>Specialūs reikalavimai atliekoms tvarkyti ir vaistiniam preparatui ruošti</w:t>
      </w:r>
      <w:bookmarkEnd w:id="60"/>
      <w:bookmarkEnd w:id="61"/>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Specialių reikalavimų nėra.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62" w:name="_Toc129243122"/>
      <w:bookmarkStart w:id="63" w:name="_Toc129243247"/>
      <w:r w:rsidRPr="00BA0735">
        <w:rPr>
          <w:b/>
          <w:sz w:val="22"/>
          <w:szCs w:val="22"/>
          <w:lang w:val="lt-LT"/>
        </w:rPr>
        <w:t>7.</w:t>
      </w:r>
      <w:r w:rsidRPr="00BA0735">
        <w:rPr>
          <w:b/>
          <w:sz w:val="22"/>
          <w:szCs w:val="22"/>
          <w:lang w:val="lt-LT"/>
        </w:rPr>
        <w:tab/>
        <w:t>REGISTRUOTOJAS</w:t>
      </w:r>
    </w:p>
    <w:bookmarkEnd w:id="62"/>
    <w:bookmarkEnd w:id="63"/>
    <w:p w:rsidR="00E93252" w:rsidRPr="00BA0735" w:rsidRDefault="00E93252" w:rsidP="00E93252">
      <w:pPr>
        <w:widowControl w:val="0"/>
        <w:rPr>
          <w:sz w:val="22"/>
          <w:szCs w:val="22"/>
          <w:lang w:val="lt-LT"/>
        </w:rPr>
      </w:pPr>
    </w:p>
    <w:p w:rsidR="00E93252" w:rsidRPr="00BA0735" w:rsidRDefault="00E93252" w:rsidP="00E93252">
      <w:pPr>
        <w:widowControl w:val="0"/>
        <w:jc w:val="both"/>
        <w:rPr>
          <w:sz w:val="22"/>
          <w:szCs w:val="22"/>
          <w:lang w:val="lt-LT"/>
        </w:rPr>
      </w:pPr>
      <w:r w:rsidRPr="00BA0735">
        <w:rPr>
          <w:sz w:val="22"/>
          <w:szCs w:val="22"/>
          <w:lang w:val="lt-LT"/>
        </w:rPr>
        <w:t>KRKA, d.d., Novo mesto,</w:t>
      </w:r>
    </w:p>
    <w:p w:rsidR="00E93252" w:rsidRPr="00BA0735" w:rsidRDefault="00E93252" w:rsidP="00E93252">
      <w:pPr>
        <w:widowControl w:val="0"/>
        <w:numPr>
          <w:ilvl w:val="12"/>
          <w:numId w:val="0"/>
        </w:numPr>
        <w:tabs>
          <w:tab w:val="left" w:pos="567"/>
        </w:tabs>
        <w:ind w:right="-2"/>
        <w:rPr>
          <w:sz w:val="22"/>
          <w:szCs w:val="22"/>
          <w:lang w:val="lt-LT"/>
        </w:rPr>
      </w:pPr>
      <w:r w:rsidRPr="00BA0735">
        <w:rPr>
          <w:sz w:val="22"/>
          <w:szCs w:val="22"/>
          <w:lang w:val="lt-LT"/>
        </w:rPr>
        <w:t>Šmarješka cesta 6, Novo mesto,</w:t>
      </w:r>
    </w:p>
    <w:p w:rsidR="00E93252" w:rsidRPr="00BA0735" w:rsidRDefault="00E93252" w:rsidP="00E93252">
      <w:pPr>
        <w:widowControl w:val="0"/>
        <w:numPr>
          <w:ilvl w:val="12"/>
          <w:numId w:val="0"/>
        </w:numPr>
        <w:tabs>
          <w:tab w:val="left" w:pos="567"/>
        </w:tabs>
        <w:ind w:right="-2"/>
        <w:rPr>
          <w:sz w:val="22"/>
          <w:szCs w:val="22"/>
          <w:lang w:val="lt-LT"/>
        </w:rPr>
      </w:pPr>
      <w:r w:rsidRPr="00BA0735">
        <w:rPr>
          <w:sz w:val="22"/>
          <w:szCs w:val="22"/>
          <w:lang w:val="lt-LT"/>
        </w:rPr>
        <w:t>Slovėnija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64" w:name="_Toc129243123"/>
      <w:bookmarkStart w:id="65" w:name="_Toc129243248"/>
      <w:r w:rsidRPr="00BA0735">
        <w:rPr>
          <w:b/>
          <w:sz w:val="22"/>
          <w:szCs w:val="22"/>
          <w:lang w:val="lt-LT"/>
        </w:rPr>
        <w:t>8.</w:t>
      </w:r>
      <w:r w:rsidRPr="00BA0735">
        <w:rPr>
          <w:b/>
          <w:sz w:val="22"/>
          <w:szCs w:val="22"/>
          <w:lang w:val="lt-LT"/>
        </w:rPr>
        <w:tab/>
        <w:t>REGISTRACIJOS PAŽYMĖJIMO NUMERIS</w:t>
      </w:r>
      <w:bookmarkEnd w:id="64"/>
      <w:bookmarkEnd w:id="65"/>
      <w:r w:rsidRPr="00BA0735">
        <w:rPr>
          <w:b/>
          <w:sz w:val="22"/>
          <w:szCs w:val="22"/>
          <w:lang w:val="lt-LT"/>
        </w:rPr>
        <w:t xml:space="preserve"> (-IAI)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N14 - LT/1/07/0922/001</w:t>
      </w:r>
    </w:p>
    <w:p w:rsidR="00E93252" w:rsidRPr="00BA0735" w:rsidRDefault="00E93252" w:rsidP="00E93252">
      <w:pPr>
        <w:widowControl w:val="0"/>
        <w:rPr>
          <w:sz w:val="22"/>
          <w:szCs w:val="22"/>
          <w:lang w:val="lt-LT"/>
        </w:rPr>
      </w:pPr>
      <w:r w:rsidRPr="00BA0735">
        <w:rPr>
          <w:sz w:val="22"/>
          <w:szCs w:val="22"/>
          <w:lang w:val="lt-LT"/>
        </w:rPr>
        <w:t>N20 - LT/1/07/0922/002</w:t>
      </w:r>
    </w:p>
    <w:p w:rsidR="00E93252" w:rsidRPr="00BA0735" w:rsidRDefault="00E93252" w:rsidP="00E93252">
      <w:pPr>
        <w:widowControl w:val="0"/>
        <w:rPr>
          <w:sz w:val="22"/>
          <w:szCs w:val="22"/>
          <w:lang w:val="lt-LT"/>
        </w:rPr>
      </w:pPr>
      <w:r w:rsidRPr="00BA0735">
        <w:rPr>
          <w:sz w:val="22"/>
          <w:szCs w:val="22"/>
          <w:lang w:val="lt-LT"/>
        </w:rPr>
        <w:t>N28 - LT/1/07/0922/003</w:t>
      </w:r>
    </w:p>
    <w:p w:rsidR="00E93252" w:rsidRPr="00BA0735" w:rsidRDefault="00E93252" w:rsidP="00E93252">
      <w:pPr>
        <w:widowControl w:val="0"/>
        <w:rPr>
          <w:sz w:val="22"/>
          <w:szCs w:val="22"/>
          <w:lang w:val="lt-LT"/>
        </w:rPr>
      </w:pPr>
      <w:r w:rsidRPr="00BA0735">
        <w:rPr>
          <w:sz w:val="22"/>
          <w:szCs w:val="22"/>
          <w:lang w:val="lt-LT"/>
        </w:rPr>
        <w:t>N30 - LT/1/07/0922/004</w:t>
      </w:r>
    </w:p>
    <w:p w:rsidR="00E93252" w:rsidRPr="00BA0735" w:rsidRDefault="00E93252" w:rsidP="00E93252">
      <w:pPr>
        <w:widowControl w:val="0"/>
        <w:rPr>
          <w:sz w:val="22"/>
          <w:szCs w:val="22"/>
          <w:lang w:val="lt-LT"/>
        </w:rPr>
      </w:pPr>
      <w:r w:rsidRPr="00BA0735">
        <w:rPr>
          <w:sz w:val="22"/>
          <w:szCs w:val="22"/>
          <w:lang w:val="lt-LT"/>
        </w:rPr>
        <w:t>N50 - LT/1/07/0922/005</w:t>
      </w:r>
    </w:p>
    <w:p w:rsidR="00E93252" w:rsidRPr="00BA0735" w:rsidRDefault="00E93252" w:rsidP="00E93252">
      <w:pPr>
        <w:widowControl w:val="0"/>
        <w:rPr>
          <w:sz w:val="22"/>
          <w:szCs w:val="22"/>
          <w:lang w:val="lt-LT"/>
        </w:rPr>
      </w:pPr>
      <w:r w:rsidRPr="00BA0735">
        <w:rPr>
          <w:sz w:val="22"/>
          <w:szCs w:val="22"/>
          <w:lang w:val="lt-LT"/>
        </w:rPr>
        <w:t>N56 - LT/1/07/0922/006</w:t>
      </w:r>
    </w:p>
    <w:p w:rsidR="00E93252" w:rsidRPr="00BA0735" w:rsidRDefault="00E93252" w:rsidP="00E93252">
      <w:pPr>
        <w:widowControl w:val="0"/>
        <w:rPr>
          <w:sz w:val="22"/>
          <w:szCs w:val="22"/>
          <w:lang w:val="lt-LT"/>
        </w:rPr>
      </w:pPr>
      <w:r w:rsidRPr="00BA0735">
        <w:rPr>
          <w:sz w:val="22"/>
          <w:szCs w:val="22"/>
          <w:lang w:val="lt-LT"/>
        </w:rPr>
        <w:t>N60 - LT/1/07/0922/007</w:t>
      </w:r>
    </w:p>
    <w:p w:rsidR="00E93252" w:rsidRPr="00BA0735" w:rsidRDefault="00E93252" w:rsidP="00E93252">
      <w:pPr>
        <w:widowControl w:val="0"/>
        <w:rPr>
          <w:sz w:val="22"/>
          <w:szCs w:val="22"/>
          <w:lang w:val="lt-LT"/>
        </w:rPr>
      </w:pPr>
      <w:r w:rsidRPr="00BA0735">
        <w:rPr>
          <w:sz w:val="22"/>
          <w:szCs w:val="22"/>
          <w:lang w:val="lt-LT"/>
        </w:rPr>
        <w:t>N90 - LT/1/07/0922/008</w:t>
      </w:r>
    </w:p>
    <w:p w:rsidR="00E93252" w:rsidRPr="00BA0735" w:rsidRDefault="00E93252" w:rsidP="00E93252">
      <w:pPr>
        <w:widowControl w:val="0"/>
        <w:rPr>
          <w:sz w:val="22"/>
          <w:szCs w:val="22"/>
          <w:lang w:val="lt-LT"/>
        </w:rPr>
      </w:pPr>
      <w:r w:rsidRPr="00BA0735">
        <w:rPr>
          <w:sz w:val="22"/>
          <w:szCs w:val="22"/>
          <w:lang w:val="lt-LT"/>
        </w:rPr>
        <w:t>N100 - LT/1/07/0922/009</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66" w:name="_Toc129243124"/>
      <w:bookmarkStart w:id="67" w:name="_Toc129243249"/>
      <w:r w:rsidRPr="00BA0735">
        <w:rPr>
          <w:b/>
          <w:sz w:val="22"/>
          <w:szCs w:val="22"/>
          <w:lang w:val="lt-LT"/>
        </w:rPr>
        <w:t>9.</w:t>
      </w:r>
      <w:r w:rsidRPr="00BA0735">
        <w:rPr>
          <w:b/>
          <w:sz w:val="22"/>
          <w:szCs w:val="22"/>
          <w:lang w:val="lt-LT"/>
        </w:rPr>
        <w:tab/>
        <w:t>REGISTRAVIMO / PERREGISTRAVIMO DATA</w:t>
      </w:r>
      <w:bookmarkEnd w:id="66"/>
      <w:bookmarkEnd w:id="67"/>
    </w:p>
    <w:p w:rsidR="00E93252" w:rsidRPr="00BA0735" w:rsidRDefault="00E93252" w:rsidP="00E93252">
      <w:pPr>
        <w:widowControl w:val="0"/>
        <w:rPr>
          <w:sz w:val="22"/>
          <w:szCs w:val="22"/>
          <w:lang w:val="lt-LT"/>
        </w:rPr>
      </w:pPr>
    </w:p>
    <w:p w:rsidR="00E93252" w:rsidRPr="00BA0735" w:rsidRDefault="00E93252" w:rsidP="00E93252">
      <w:pPr>
        <w:widowControl w:val="0"/>
        <w:rPr>
          <w:snapToGrid w:val="0"/>
          <w:sz w:val="22"/>
          <w:szCs w:val="22"/>
          <w:lang w:val="lt-LT"/>
        </w:rPr>
      </w:pPr>
      <w:r w:rsidRPr="00BA0735">
        <w:rPr>
          <w:snapToGrid w:val="0"/>
          <w:sz w:val="22"/>
          <w:szCs w:val="22"/>
          <w:lang w:val="lt-LT"/>
        </w:rPr>
        <w:t>Registravimo data</w:t>
      </w:r>
      <w:r w:rsidRPr="00BA0735">
        <w:rPr>
          <w:noProof/>
          <w:snapToGrid w:val="0"/>
          <w:sz w:val="22"/>
          <w:szCs w:val="22"/>
          <w:lang w:val="lt-LT"/>
        </w:rPr>
        <w:t xml:space="preserve"> 2007 m. lapkričio 30 d.</w:t>
      </w:r>
    </w:p>
    <w:p w:rsidR="00E93252" w:rsidRPr="00BA0735" w:rsidRDefault="00E93252" w:rsidP="00E93252">
      <w:pPr>
        <w:widowControl w:val="0"/>
        <w:rPr>
          <w:snapToGrid w:val="0"/>
          <w:sz w:val="22"/>
          <w:szCs w:val="22"/>
          <w:lang w:val="lt-LT"/>
        </w:rPr>
      </w:pPr>
      <w:r w:rsidRPr="00BA0735">
        <w:rPr>
          <w:snapToGrid w:val="0"/>
          <w:sz w:val="22"/>
          <w:szCs w:val="22"/>
          <w:lang w:val="lt-LT"/>
        </w:rPr>
        <w:t>Paskutinio perregistravimo data</w:t>
      </w:r>
      <w:r w:rsidRPr="00BA0735">
        <w:rPr>
          <w:noProof/>
          <w:snapToGrid w:val="0"/>
          <w:sz w:val="22"/>
          <w:szCs w:val="22"/>
          <w:lang w:val="lt-LT"/>
        </w:rPr>
        <w:t xml:space="preserve"> 2012 m. vasario </w:t>
      </w:r>
      <w:r w:rsidRPr="00BA0735">
        <w:rPr>
          <w:sz w:val="22"/>
          <w:szCs w:val="22"/>
          <w:lang w:val="lt-LT"/>
        </w:rPr>
        <w:t>14</w:t>
      </w:r>
      <w:r w:rsidRPr="00BA0735">
        <w:rPr>
          <w:noProof/>
          <w:snapToGrid w:val="0"/>
          <w:sz w:val="22"/>
          <w:szCs w:val="22"/>
          <w:lang w:val="lt-LT"/>
        </w:rPr>
        <w:t> d.</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68" w:name="_Toc129243125"/>
      <w:bookmarkStart w:id="69" w:name="_Toc129243250"/>
      <w:r w:rsidRPr="00BA0735">
        <w:rPr>
          <w:b/>
          <w:sz w:val="22"/>
          <w:szCs w:val="22"/>
          <w:lang w:val="lt-LT"/>
        </w:rPr>
        <w:t>10.</w:t>
      </w:r>
      <w:r w:rsidRPr="00BA0735">
        <w:rPr>
          <w:b/>
          <w:sz w:val="22"/>
          <w:szCs w:val="22"/>
          <w:lang w:val="lt-LT"/>
        </w:rPr>
        <w:tab/>
        <w:t>TEKSTO PERŽIŪROS DATA</w:t>
      </w:r>
      <w:bookmarkEnd w:id="68"/>
      <w:bookmarkEnd w:id="69"/>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20</w:t>
      </w:r>
      <w:r w:rsidR="00526D52">
        <w:rPr>
          <w:sz w:val="22"/>
          <w:szCs w:val="22"/>
          <w:lang w:val="lt-LT"/>
        </w:rPr>
        <w:t>2</w:t>
      </w:r>
      <w:r w:rsidR="00FE088C">
        <w:rPr>
          <w:sz w:val="22"/>
          <w:szCs w:val="22"/>
          <w:lang w:val="lt-LT"/>
        </w:rPr>
        <w:t>2</w:t>
      </w:r>
      <w:r w:rsidRPr="00BA0735">
        <w:rPr>
          <w:sz w:val="22"/>
          <w:szCs w:val="22"/>
          <w:lang w:val="lt-LT"/>
        </w:rPr>
        <w:t xml:space="preserve"> m. </w:t>
      </w:r>
      <w:r w:rsidR="00FE088C">
        <w:rPr>
          <w:sz w:val="22"/>
          <w:szCs w:val="22"/>
          <w:lang w:val="lt-LT"/>
        </w:rPr>
        <w:t>sausio 13</w:t>
      </w:r>
      <w:r w:rsidRPr="00BA0735">
        <w:rPr>
          <w:sz w:val="22"/>
          <w:szCs w:val="22"/>
          <w:lang w:val="lt-LT"/>
        </w:rPr>
        <w:t xml:space="preserve"> d.</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Išsami informacija apie šį vaistinį preparatą pateikiama Valstybinės vaistų kontrolės tarnybos prie Lietuvos Respublikos sveikatos apsaugos ministerijos tinklalapyje</w:t>
      </w:r>
      <w:r w:rsidRPr="00BA0735">
        <w:rPr>
          <w:i/>
          <w:sz w:val="22"/>
          <w:szCs w:val="22"/>
          <w:lang w:val="lt-LT"/>
        </w:rPr>
        <w:t xml:space="preserve"> </w:t>
      </w:r>
      <w:hyperlink r:id="rId7" w:history="1">
        <w:r w:rsidRPr="00BA0735">
          <w:rPr>
            <w:color w:val="0000FF"/>
            <w:sz w:val="22"/>
            <w:szCs w:val="22"/>
            <w:u w:val="single"/>
            <w:lang w:val="lt-LT"/>
          </w:rPr>
          <w:t>http://www.vvkt.lt/</w:t>
        </w:r>
      </w:hyperlink>
    </w:p>
    <w:p w:rsidR="00E93252" w:rsidRPr="00BA0735" w:rsidRDefault="00E93252" w:rsidP="00E93252">
      <w:pPr>
        <w:widowControl w:val="0"/>
        <w:rPr>
          <w:sz w:val="22"/>
          <w:szCs w:val="22"/>
          <w:lang w:val="lt-LT"/>
        </w:rPr>
      </w:pPr>
      <w:r w:rsidRPr="00BA0735">
        <w:rPr>
          <w:sz w:val="22"/>
          <w:szCs w:val="22"/>
          <w:lang w:val="lt-LT"/>
        </w:rPr>
        <w:br w:type="page"/>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bookmarkStart w:id="70" w:name="_Toc129243128"/>
      <w:bookmarkStart w:id="71" w:name="_Toc129243253"/>
      <w:r w:rsidRPr="00BA0735">
        <w:rPr>
          <w:b/>
          <w:caps/>
          <w:sz w:val="22"/>
          <w:szCs w:val="22"/>
          <w:lang w:val="lt-LT"/>
        </w:rPr>
        <w:t>II PRIEDAS</w:t>
      </w:r>
      <w:bookmarkEnd w:id="70"/>
      <w:bookmarkEnd w:id="71"/>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r w:rsidRPr="00BA0735">
        <w:rPr>
          <w:b/>
          <w:caps/>
          <w:sz w:val="22"/>
          <w:szCs w:val="22"/>
          <w:lang w:val="lt-LT"/>
        </w:rPr>
        <w:t>REGISTRACIJOS SĄLYGOS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1701"/>
        </w:tabs>
        <w:ind w:left="1701" w:right="567" w:hanging="567"/>
        <w:rPr>
          <w:b/>
          <w:sz w:val="22"/>
          <w:szCs w:val="22"/>
          <w:lang w:val="lt-LT"/>
        </w:rPr>
      </w:pPr>
      <w:r w:rsidRPr="00BA0735">
        <w:rPr>
          <w:b/>
          <w:sz w:val="22"/>
          <w:szCs w:val="22"/>
          <w:lang w:val="lt-LT"/>
        </w:rPr>
        <w:t>A.</w:t>
      </w:r>
      <w:r w:rsidRPr="00BA0735">
        <w:rPr>
          <w:b/>
          <w:sz w:val="22"/>
          <w:szCs w:val="22"/>
          <w:lang w:val="lt-LT"/>
        </w:rPr>
        <w:tab/>
      </w:r>
      <w:r w:rsidRPr="00BA0735">
        <w:rPr>
          <w:b/>
          <w:noProof/>
          <w:snapToGrid w:val="0"/>
          <w:sz w:val="22"/>
          <w:szCs w:val="22"/>
          <w:lang w:val="lt-LT"/>
        </w:rPr>
        <w:t>GAMINTOJAS</w:t>
      </w:r>
      <w:r w:rsidRPr="00BA0735">
        <w:rPr>
          <w:b/>
          <w:sz w:val="22"/>
          <w:szCs w:val="22"/>
          <w:lang w:val="lt-LT"/>
        </w:rPr>
        <w:t xml:space="preserve"> (-AI), ATSAKINGAS (-I) UŽ SERIJŲ IŠLEIDIMĄ</w:t>
      </w:r>
    </w:p>
    <w:p w:rsidR="00E93252" w:rsidRPr="00BA0735" w:rsidRDefault="00E93252" w:rsidP="00E93252">
      <w:pPr>
        <w:widowControl w:val="0"/>
        <w:tabs>
          <w:tab w:val="left" w:pos="1701"/>
        </w:tabs>
        <w:ind w:left="567" w:right="567" w:hanging="567"/>
        <w:rPr>
          <w:sz w:val="22"/>
          <w:szCs w:val="22"/>
          <w:lang w:val="lt-LT"/>
        </w:rPr>
      </w:pPr>
    </w:p>
    <w:p w:rsidR="00E93252" w:rsidRPr="00BA0735" w:rsidRDefault="00E93252" w:rsidP="00E93252">
      <w:pPr>
        <w:widowControl w:val="0"/>
        <w:tabs>
          <w:tab w:val="left" w:pos="1701"/>
        </w:tabs>
        <w:ind w:left="1701" w:right="567" w:hanging="567"/>
        <w:rPr>
          <w:b/>
          <w:sz w:val="22"/>
          <w:szCs w:val="22"/>
          <w:lang w:val="lt-LT"/>
        </w:rPr>
      </w:pPr>
      <w:r w:rsidRPr="00BA0735">
        <w:rPr>
          <w:b/>
          <w:sz w:val="22"/>
          <w:szCs w:val="22"/>
          <w:lang w:val="lt-LT"/>
        </w:rPr>
        <w:t>B.</w:t>
      </w:r>
      <w:r w:rsidRPr="00BA0735">
        <w:rPr>
          <w:b/>
          <w:sz w:val="22"/>
          <w:szCs w:val="22"/>
          <w:lang w:val="lt-LT"/>
        </w:rPr>
        <w:tab/>
      </w:r>
      <w:r w:rsidRPr="00BA0735">
        <w:rPr>
          <w:b/>
          <w:snapToGrid w:val="0"/>
          <w:sz w:val="22"/>
          <w:szCs w:val="22"/>
          <w:lang w:val="lt-LT"/>
        </w:rPr>
        <w:t>TIEKIMO IR VARTOJIMO</w:t>
      </w:r>
      <w:r w:rsidRPr="00BA0735">
        <w:rPr>
          <w:b/>
          <w:sz w:val="22"/>
          <w:szCs w:val="22"/>
          <w:lang w:val="lt-LT"/>
        </w:rPr>
        <w:t xml:space="preserve"> SĄLYGOS</w:t>
      </w:r>
      <w:r w:rsidRPr="00BA0735">
        <w:rPr>
          <w:b/>
          <w:snapToGrid w:val="0"/>
          <w:sz w:val="22"/>
          <w:szCs w:val="22"/>
          <w:lang w:val="lt-LT"/>
        </w:rPr>
        <w:t xml:space="preserve"> AR APRIBOJIMAI</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r w:rsidRPr="00BA0735">
        <w:rPr>
          <w:b/>
          <w:sz w:val="22"/>
          <w:szCs w:val="22"/>
          <w:lang w:val="lt-LT"/>
        </w:rPr>
        <w:br w:type="page"/>
      </w:r>
      <w:r w:rsidRPr="00BA0735">
        <w:rPr>
          <w:b/>
          <w:sz w:val="22"/>
          <w:szCs w:val="22"/>
          <w:lang w:val="lt-LT"/>
        </w:rPr>
        <w:lastRenderedPageBreak/>
        <w:t>A.</w:t>
      </w:r>
      <w:r w:rsidRPr="00BA0735">
        <w:rPr>
          <w:b/>
          <w:sz w:val="22"/>
          <w:szCs w:val="22"/>
          <w:lang w:val="lt-LT"/>
        </w:rPr>
        <w:tab/>
        <w:t>GAMINTOJAS</w:t>
      </w:r>
      <w:r w:rsidRPr="00BA0735" w:rsidDel="00E344E9">
        <w:rPr>
          <w:b/>
          <w:sz w:val="22"/>
          <w:szCs w:val="22"/>
          <w:lang w:val="lt-LT"/>
        </w:rPr>
        <w:t xml:space="preserve"> </w:t>
      </w:r>
      <w:r w:rsidRPr="00BA0735">
        <w:rPr>
          <w:b/>
          <w:sz w:val="22"/>
          <w:szCs w:val="22"/>
          <w:lang w:val="lt-LT"/>
        </w:rPr>
        <w:t>(-AI), ATSAKINGAS (-I) UŽ SERIJŲ IŠLEIDIMĄ</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u w:val="single"/>
          <w:lang w:val="lt-LT"/>
        </w:rPr>
      </w:pPr>
      <w:r w:rsidRPr="00BA0735">
        <w:rPr>
          <w:sz w:val="22"/>
          <w:szCs w:val="22"/>
          <w:u w:val="single"/>
          <w:lang w:val="lt-LT"/>
        </w:rPr>
        <w:t>Gamintojo (-ų), atsakingo (-ų) už serijų išleidimą, pavadinimas (-ai) ir adresas (-ai)</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sz w:val="22"/>
          <w:szCs w:val="22"/>
          <w:lang w:val="lt-LT"/>
        </w:rPr>
      </w:pPr>
      <w:r w:rsidRPr="00BA0735">
        <w:rPr>
          <w:sz w:val="22"/>
          <w:szCs w:val="22"/>
          <w:lang w:val="lt-LT"/>
        </w:rPr>
        <w:t>KRKA Polska Sp. z o.o.,</w:t>
      </w:r>
    </w:p>
    <w:p w:rsidR="00E93252" w:rsidRPr="00BA0735" w:rsidRDefault="00E93252" w:rsidP="00E93252">
      <w:pPr>
        <w:widowControl w:val="0"/>
        <w:tabs>
          <w:tab w:val="left" w:pos="567"/>
        </w:tabs>
        <w:rPr>
          <w:sz w:val="22"/>
          <w:szCs w:val="22"/>
          <w:lang w:val="lt-LT"/>
        </w:rPr>
      </w:pPr>
      <w:r w:rsidRPr="00BA0735">
        <w:rPr>
          <w:sz w:val="22"/>
          <w:szCs w:val="22"/>
          <w:lang w:val="lt-LT"/>
        </w:rPr>
        <w:t>ul. Równoległa 5, 02-235 Warszava,</w:t>
      </w:r>
    </w:p>
    <w:p w:rsidR="00E93252" w:rsidRPr="00BA0735" w:rsidRDefault="00E93252" w:rsidP="00E93252">
      <w:pPr>
        <w:widowControl w:val="0"/>
        <w:tabs>
          <w:tab w:val="left" w:pos="567"/>
        </w:tabs>
        <w:rPr>
          <w:b/>
          <w:sz w:val="22"/>
          <w:szCs w:val="22"/>
          <w:lang w:val="lt-LT"/>
        </w:rPr>
      </w:pPr>
      <w:r w:rsidRPr="00BA0735">
        <w:rPr>
          <w:sz w:val="22"/>
          <w:szCs w:val="22"/>
          <w:lang w:val="lt-LT"/>
        </w:rPr>
        <w:t>Lenkija</w:t>
      </w:r>
    </w:p>
    <w:p w:rsidR="00E93252" w:rsidRPr="00BA0735" w:rsidRDefault="00E93252" w:rsidP="00E93252">
      <w:pPr>
        <w:widowControl w:val="0"/>
        <w:numPr>
          <w:ilvl w:val="12"/>
          <w:numId w:val="0"/>
        </w:numPr>
        <w:tabs>
          <w:tab w:val="left" w:pos="567"/>
        </w:tabs>
        <w:ind w:right="-2"/>
        <w:rPr>
          <w:i/>
          <w:sz w:val="22"/>
          <w:szCs w:val="22"/>
          <w:lang w:val="lt-LT"/>
        </w:rPr>
      </w:pPr>
    </w:p>
    <w:p w:rsidR="00E93252" w:rsidRPr="00BA0735" w:rsidRDefault="00E93252" w:rsidP="00E93252">
      <w:pPr>
        <w:widowControl w:val="0"/>
        <w:numPr>
          <w:ilvl w:val="12"/>
          <w:numId w:val="0"/>
        </w:numPr>
        <w:tabs>
          <w:tab w:val="left" w:pos="567"/>
        </w:tabs>
        <w:ind w:right="-2"/>
        <w:rPr>
          <w:sz w:val="22"/>
          <w:szCs w:val="22"/>
          <w:lang w:val="lt-LT"/>
        </w:rPr>
      </w:pPr>
      <w:r w:rsidRPr="00BA0735">
        <w:rPr>
          <w:sz w:val="22"/>
          <w:szCs w:val="22"/>
          <w:lang w:val="lt-LT"/>
        </w:rPr>
        <w:t>arba</w:t>
      </w:r>
    </w:p>
    <w:p w:rsidR="00E93252" w:rsidRPr="00BA0735" w:rsidRDefault="00E93252" w:rsidP="00E93252">
      <w:pPr>
        <w:widowControl w:val="0"/>
        <w:numPr>
          <w:ilvl w:val="12"/>
          <w:numId w:val="0"/>
        </w:numPr>
        <w:tabs>
          <w:tab w:val="left" w:pos="567"/>
        </w:tabs>
        <w:ind w:right="-2"/>
        <w:rPr>
          <w:sz w:val="22"/>
          <w:szCs w:val="22"/>
          <w:lang w:val="lt-LT"/>
        </w:rPr>
      </w:pPr>
    </w:p>
    <w:p w:rsidR="00E93252" w:rsidRPr="00BA0735" w:rsidRDefault="00E93252" w:rsidP="00BA0735">
      <w:pPr>
        <w:widowControl w:val="0"/>
        <w:numPr>
          <w:ilvl w:val="12"/>
          <w:numId w:val="0"/>
        </w:numPr>
        <w:tabs>
          <w:tab w:val="left" w:pos="567"/>
          <w:tab w:val="left" w:pos="3960"/>
        </w:tabs>
        <w:ind w:right="-2"/>
        <w:rPr>
          <w:sz w:val="22"/>
          <w:szCs w:val="22"/>
          <w:lang w:val="lt-LT"/>
        </w:rPr>
      </w:pPr>
      <w:r w:rsidRPr="00BA0735">
        <w:rPr>
          <w:sz w:val="22"/>
          <w:szCs w:val="22"/>
          <w:lang w:val="lt-LT"/>
        </w:rPr>
        <w:t>KRKA, d.d., Novo mesto,</w:t>
      </w:r>
      <w:r w:rsidR="00BA0735">
        <w:rPr>
          <w:sz w:val="22"/>
          <w:szCs w:val="22"/>
          <w:lang w:val="lt-LT"/>
        </w:rPr>
        <w:tab/>
      </w:r>
    </w:p>
    <w:p w:rsidR="00E93252" w:rsidRPr="00BA0735" w:rsidRDefault="00E93252" w:rsidP="00E93252">
      <w:pPr>
        <w:widowControl w:val="0"/>
        <w:numPr>
          <w:ilvl w:val="12"/>
          <w:numId w:val="0"/>
        </w:numPr>
        <w:tabs>
          <w:tab w:val="left" w:pos="567"/>
        </w:tabs>
        <w:ind w:right="-2"/>
        <w:rPr>
          <w:sz w:val="22"/>
          <w:szCs w:val="22"/>
          <w:lang w:val="lt-LT"/>
        </w:rPr>
      </w:pPr>
      <w:r w:rsidRPr="00BA0735">
        <w:rPr>
          <w:sz w:val="22"/>
          <w:szCs w:val="22"/>
          <w:lang w:val="lt-LT"/>
        </w:rPr>
        <w:t>Šmarješka cesta 6, Novo mesto,</w:t>
      </w:r>
    </w:p>
    <w:p w:rsidR="00E93252" w:rsidRPr="00BA0735" w:rsidRDefault="00E93252" w:rsidP="00E93252">
      <w:pPr>
        <w:widowControl w:val="0"/>
        <w:numPr>
          <w:ilvl w:val="12"/>
          <w:numId w:val="0"/>
        </w:numPr>
        <w:tabs>
          <w:tab w:val="left" w:pos="567"/>
        </w:tabs>
        <w:ind w:right="-2"/>
        <w:rPr>
          <w:sz w:val="22"/>
          <w:szCs w:val="22"/>
          <w:lang w:val="lt-LT"/>
        </w:rPr>
      </w:pPr>
      <w:r w:rsidRPr="00BA0735">
        <w:rPr>
          <w:sz w:val="22"/>
          <w:szCs w:val="22"/>
          <w:lang w:val="lt-LT"/>
        </w:rPr>
        <w:t>Slovėnija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Su pakuote pateikiamame lapelyje nurodomas gamintojo, atsakingo už konkrečios serijos išleidimą, pavadinimas ir adresas.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kern w:val="28"/>
          <w:sz w:val="22"/>
          <w:szCs w:val="22"/>
          <w:lang w:val="lt-LT"/>
        </w:rPr>
      </w:pPr>
      <w:bookmarkStart w:id="72" w:name="_Toc129243129"/>
      <w:bookmarkStart w:id="73" w:name="_Toc129243254"/>
      <w:bookmarkStart w:id="74" w:name="_Toc129243130"/>
      <w:bookmarkStart w:id="75" w:name="_Toc129243255"/>
      <w:r w:rsidRPr="00BA0735">
        <w:rPr>
          <w:b/>
          <w:sz w:val="22"/>
          <w:szCs w:val="22"/>
          <w:lang w:val="lt-LT"/>
        </w:rPr>
        <w:t>B.</w:t>
      </w:r>
      <w:r w:rsidRPr="00BA0735">
        <w:rPr>
          <w:b/>
          <w:sz w:val="22"/>
          <w:szCs w:val="22"/>
          <w:lang w:val="lt-LT"/>
        </w:rPr>
        <w:tab/>
        <w:t>TIEKIMO IR VARTOJIMO SĄLYGOS AR APRIBOJIMAI</w:t>
      </w:r>
      <w:bookmarkEnd w:id="72"/>
      <w:bookmarkEnd w:id="73"/>
      <w:bookmarkEnd w:id="74"/>
      <w:bookmarkEnd w:id="75"/>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Receptinis vaistinis preparatas</w:t>
      </w:r>
    </w:p>
    <w:p w:rsidR="00E93252" w:rsidRPr="00BA0735" w:rsidRDefault="00E93252" w:rsidP="00E93252">
      <w:pPr>
        <w:widowControl w:val="0"/>
        <w:rPr>
          <w:sz w:val="22"/>
          <w:szCs w:val="22"/>
          <w:lang w:val="lt-LT"/>
        </w:rPr>
      </w:pPr>
      <w:r w:rsidRPr="00BA0735">
        <w:rPr>
          <w:sz w:val="22"/>
          <w:szCs w:val="22"/>
          <w:lang w:val="lt-LT"/>
        </w:rPr>
        <w:br w:type="page"/>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bookmarkStart w:id="76" w:name="_Toc129243134"/>
      <w:bookmarkStart w:id="77" w:name="_Toc129243259"/>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r w:rsidRPr="00BA0735">
        <w:rPr>
          <w:b/>
          <w:caps/>
          <w:sz w:val="22"/>
          <w:szCs w:val="22"/>
          <w:lang w:val="lt-LT"/>
        </w:rPr>
        <w:t>III PRIEDAS</w:t>
      </w:r>
      <w:bookmarkEnd w:id="76"/>
      <w:bookmarkEnd w:id="77"/>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bookmarkStart w:id="78" w:name="_Toc129243135"/>
      <w:bookmarkStart w:id="79" w:name="_Toc129243260"/>
      <w:r w:rsidRPr="00BA0735">
        <w:rPr>
          <w:b/>
          <w:caps/>
          <w:sz w:val="22"/>
          <w:szCs w:val="22"/>
          <w:lang w:val="lt-LT"/>
        </w:rPr>
        <w:t>ŽENKLINIMAS IR PAKUOTĖS LAPELIS</w:t>
      </w:r>
      <w:bookmarkEnd w:id="78"/>
      <w:bookmarkEnd w:id="79"/>
    </w:p>
    <w:p w:rsidR="00E93252" w:rsidRPr="00BA0735" w:rsidRDefault="00E93252" w:rsidP="00E93252">
      <w:pPr>
        <w:widowControl w:val="0"/>
        <w:rPr>
          <w:sz w:val="22"/>
          <w:szCs w:val="22"/>
          <w:lang w:val="lt-LT"/>
        </w:rPr>
      </w:pPr>
      <w:r w:rsidRPr="00BA0735">
        <w:rPr>
          <w:sz w:val="22"/>
          <w:szCs w:val="22"/>
          <w:lang w:val="lt-LT"/>
        </w:rPr>
        <w:br w:type="page"/>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bookmarkStart w:id="80" w:name="_Toc129243136"/>
      <w:bookmarkStart w:id="81" w:name="_Toc129243261"/>
      <w:r w:rsidRPr="00BA0735">
        <w:rPr>
          <w:b/>
          <w:caps/>
          <w:sz w:val="22"/>
          <w:szCs w:val="22"/>
          <w:lang w:val="lt-LT"/>
        </w:rPr>
        <w:t>A. ŽENKLINIMAS</w:t>
      </w:r>
      <w:bookmarkEnd w:id="80"/>
      <w:bookmarkEnd w:id="81"/>
    </w:p>
    <w:p w:rsidR="00E93252" w:rsidRPr="00BA0735" w:rsidRDefault="00E93252" w:rsidP="00E93252">
      <w:pPr>
        <w:widowControl w:val="0"/>
        <w:rPr>
          <w:sz w:val="22"/>
          <w:szCs w:val="22"/>
          <w:lang w:val="lt-LT"/>
        </w:rPr>
      </w:pPr>
      <w:r w:rsidRPr="00BA0735">
        <w:rPr>
          <w:sz w:val="22"/>
          <w:szCs w:val="22"/>
          <w:lang w:val="lt-LT"/>
        </w:rPr>
        <w:br w:type="page"/>
      </w: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lastRenderedPageBreak/>
        <w:t>INFORMACIJA ANT IŠORINĖS PAKUOTĖS</w:t>
      </w: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KARTONO DĖŽUTĖ</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w:t>
      </w:r>
      <w:r w:rsidRPr="00BA0735">
        <w:rPr>
          <w:b/>
          <w:sz w:val="22"/>
          <w:szCs w:val="22"/>
          <w:lang w:val="lt-LT"/>
        </w:rPr>
        <w:tab/>
        <w:t>VAISTINIO PREPARATO PAVADINIMAS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Prenewel 2 mg/0,625 mg tabletės</w:t>
      </w:r>
    </w:p>
    <w:p w:rsidR="00E93252" w:rsidRPr="00BA0735" w:rsidRDefault="00E93252" w:rsidP="00E93252">
      <w:pPr>
        <w:widowControl w:val="0"/>
        <w:rPr>
          <w:sz w:val="22"/>
          <w:szCs w:val="22"/>
          <w:lang w:val="lt-LT"/>
        </w:rPr>
      </w:pPr>
      <w:r w:rsidRPr="00BA0735">
        <w:rPr>
          <w:sz w:val="22"/>
          <w:szCs w:val="22"/>
          <w:lang w:val="lt-LT"/>
        </w:rPr>
        <w:t>tert-butylamini</w:t>
      </w:r>
      <w:r w:rsidRPr="00BA0735">
        <w:rPr>
          <w:i/>
          <w:sz w:val="22"/>
          <w:szCs w:val="22"/>
          <w:lang w:val="lt-LT"/>
        </w:rPr>
        <w:t xml:space="preserve"> </w:t>
      </w:r>
      <w:r w:rsidRPr="00BA0735">
        <w:rPr>
          <w:sz w:val="22"/>
          <w:szCs w:val="22"/>
          <w:lang w:val="lt-LT"/>
        </w:rPr>
        <w:t>perindoprilum/indapamidum</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2.</w:t>
      </w:r>
      <w:r w:rsidRPr="00BA0735">
        <w:rPr>
          <w:b/>
          <w:sz w:val="22"/>
          <w:szCs w:val="22"/>
          <w:lang w:val="lt-LT"/>
        </w:rPr>
        <w:tab/>
        <w:t>VEIKLIOJI (-IOS) MEDŽIAGA (-OS) IR JOS (-Ų) KIEKIS (-IAI)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Vienoje tabletėje yra 2 mg tert-butilamino perindoprilio (atitinka 1,67 mg perindoprilio) ir 0,625 mg indapamido.</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sidRPr="00BA0735">
        <w:rPr>
          <w:b/>
          <w:sz w:val="22"/>
          <w:szCs w:val="22"/>
          <w:lang w:val="lt-LT"/>
        </w:rPr>
        <w:t>3.</w:t>
      </w:r>
      <w:r w:rsidRPr="00BA0735">
        <w:rPr>
          <w:b/>
          <w:sz w:val="22"/>
          <w:szCs w:val="22"/>
          <w:lang w:val="lt-LT"/>
        </w:rPr>
        <w:tab/>
        <w:t>PAGALBINIŲ MEDŽIAGŲ SĄRAŠAS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Sudėtyje yra laktozės. Daugiau informacijos pateikta pakuotės lapelyje.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4.</w:t>
      </w:r>
      <w:r w:rsidRPr="00BA0735">
        <w:rPr>
          <w:b/>
          <w:sz w:val="22"/>
          <w:szCs w:val="22"/>
          <w:lang w:val="lt-LT"/>
        </w:rPr>
        <w:tab/>
        <w:t>FARMACINĖ FORMA IR KIEKIS PAKUOTĖJE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highlight w:val="lightGray"/>
          <w:lang w:val="lt-LT"/>
        </w:rPr>
        <w:t>Tabletė</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14 tablečių</w:t>
      </w:r>
    </w:p>
    <w:p w:rsidR="00E93252" w:rsidRPr="00BA0735" w:rsidRDefault="00E93252" w:rsidP="00E93252">
      <w:pPr>
        <w:widowControl w:val="0"/>
        <w:rPr>
          <w:sz w:val="22"/>
          <w:szCs w:val="22"/>
          <w:highlight w:val="lightGray"/>
          <w:lang w:val="lt-LT"/>
        </w:rPr>
      </w:pPr>
      <w:r w:rsidRPr="00BA0735">
        <w:rPr>
          <w:sz w:val="22"/>
          <w:szCs w:val="22"/>
          <w:highlight w:val="lightGray"/>
          <w:lang w:val="lt-LT"/>
        </w:rPr>
        <w:t>20 tablečių</w:t>
      </w:r>
    </w:p>
    <w:p w:rsidR="00E93252" w:rsidRPr="00BA0735" w:rsidRDefault="00E93252" w:rsidP="00E93252">
      <w:pPr>
        <w:widowControl w:val="0"/>
        <w:rPr>
          <w:sz w:val="22"/>
          <w:szCs w:val="22"/>
          <w:highlight w:val="lightGray"/>
          <w:lang w:val="lt-LT"/>
        </w:rPr>
      </w:pPr>
      <w:r w:rsidRPr="00BA0735">
        <w:rPr>
          <w:sz w:val="22"/>
          <w:szCs w:val="22"/>
          <w:highlight w:val="lightGray"/>
          <w:lang w:val="lt-LT"/>
        </w:rPr>
        <w:t>28 tabletės</w:t>
      </w:r>
    </w:p>
    <w:p w:rsidR="00E93252" w:rsidRPr="00BA0735" w:rsidRDefault="00E93252" w:rsidP="00E93252">
      <w:pPr>
        <w:widowControl w:val="0"/>
        <w:rPr>
          <w:sz w:val="22"/>
          <w:szCs w:val="22"/>
          <w:highlight w:val="lightGray"/>
          <w:lang w:val="lt-LT"/>
        </w:rPr>
      </w:pPr>
      <w:r w:rsidRPr="00BA0735">
        <w:rPr>
          <w:sz w:val="22"/>
          <w:szCs w:val="22"/>
          <w:highlight w:val="lightGray"/>
          <w:lang w:val="lt-LT"/>
        </w:rPr>
        <w:t>30 tablečių</w:t>
      </w:r>
    </w:p>
    <w:p w:rsidR="00E93252" w:rsidRPr="00BA0735" w:rsidRDefault="00E93252" w:rsidP="00E93252">
      <w:pPr>
        <w:widowControl w:val="0"/>
        <w:rPr>
          <w:sz w:val="22"/>
          <w:szCs w:val="22"/>
          <w:highlight w:val="lightGray"/>
          <w:lang w:val="lt-LT"/>
        </w:rPr>
      </w:pPr>
      <w:r w:rsidRPr="00BA0735">
        <w:rPr>
          <w:sz w:val="22"/>
          <w:szCs w:val="22"/>
          <w:highlight w:val="lightGray"/>
          <w:lang w:val="lt-LT"/>
        </w:rPr>
        <w:t>50 tablečių</w:t>
      </w:r>
    </w:p>
    <w:p w:rsidR="00E93252" w:rsidRPr="00BA0735" w:rsidRDefault="00E93252" w:rsidP="00E93252">
      <w:pPr>
        <w:widowControl w:val="0"/>
        <w:rPr>
          <w:sz w:val="22"/>
          <w:szCs w:val="22"/>
          <w:highlight w:val="lightGray"/>
          <w:lang w:val="lt-LT"/>
        </w:rPr>
      </w:pPr>
      <w:r w:rsidRPr="00BA0735">
        <w:rPr>
          <w:sz w:val="22"/>
          <w:szCs w:val="22"/>
          <w:highlight w:val="lightGray"/>
          <w:lang w:val="lt-LT"/>
        </w:rPr>
        <w:t>56 tabletės</w:t>
      </w:r>
    </w:p>
    <w:p w:rsidR="00E93252" w:rsidRPr="00BA0735" w:rsidRDefault="00E93252" w:rsidP="00E93252">
      <w:pPr>
        <w:widowControl w:val="0"/>
        <w:rPr>
          <w:sz w:val="22"/>
          <w:szCs w:val="22"/>
          <w:highlight w:val="lightGray"/>
          <w:lang w:val="lt-LT"/>
        </w:rPr>
      </w:pPr>
      <w:r w:rsidRPr="00BA0735">
        <w:rPr>
          <w:sz w:val="22"/>
          <w:szCs w:val="22"/>
          <w:highlight w:val="lightGray"/>
          <w:lang w:val="lt-LT"/>
        </w:rPr>
        <w:t>60 tablečių</w:t>
      </w:r>
    </w:p>
    <w:p w:rsidR="00E93252" w:rsidRPr="00BA0735" w:rsidRDefault="00E93252" w:rsidP="00E93252">
      <w:pPr>
        <w:widowControl w:val="0"/>
        <w:rPr>
          <w:sz w:val="22"/>
          <w:szCs w:val="22"/>
          <w:highlight w:val="lightGray"/>
          <w:lang w:val="lt-LT"/>
        </w:rPr>
      </w:pPr>
      <w:r w:rsidRPr="00BA0735">
        <w:rPr>
          <w:sz w:val="22"/>
          <w:szCs w:val="22"/>
          <w:highlight w:val="lightGray"/>
          <w:lang w:val="lt-LT"/>
        </w:rPr>
        <w:t>90 tablečių</w:t>
      </w:r>
    </w:p>
    <w:p w:rsidR="00E93252" w:rsidRPr="00BA0735" w:rsidRDefault="00E93252" w:rsidP="00E93252">
      <w:pPr>
        <w:widowControl w:val="0"/>
        <w:rPr>
          <w:sz w:val="22"/>
          <w:szCs w:val="22"/>
          <w:lang w:val="lt-LT"/>
        </w:rPr>
      </w:pPr>
      <w:r w:rsidRPr="00BA0735">
        <w:rPr>
          <w:sz w:val="22"/>
          <w:szCs w:val="22"/>
          <w:highlight w:val="lightGray"/>
          <w:lang w:val="lt-LT"/>
        </w:rPr>
        <w:t>100 tablečių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sidRPr="00BA0735">
        <w:rPr>
          <w:b/>
          <w:sz w:val="22"/>
          <w:szCs w:val="22"/>
          <w:lang w:val="lt-LT"/>
        </w:rPr>
        <w:t>5.</w:t>
      </w:r>
      <w:r w:rsidRPr="00BA0735">
        <w:rPr>
          <w:b/>
          <w:sz w:val="22"/>
          <w:szCs w:val="22"/>
          <w:lang w:val="lt-LT"/>
        </w:rPr>
        <w:tab/>
        <w:t>VARTOJIMO METODAS IR BŪDAS (-AI)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Vartoti per burną.</w:t>
      </w:r>
    </w:p>
    <w:p w:rsidR="00E93252" w:rsidRPr="00BA0735" w:rsidRDefault="00E93252" w:rsidP="00E93252">
      <w:pPr>
        <w:widowControl w:val="0"/>
        <w:rPr>
          <w:sz w:val="22"/>
          <w:szCs w:val="22"/>
          <w:lang w:val="lt-LT"/>
        </w:rPr>
      </w:pPr>
      <w:r w:rsidRPr="00BA0735">
        <w:rPr>
          <w:sz w:val="22"/>
          <w:szCs w:val="22"/>
          <w:lang w:val="lt-LT"/>
        </w:rPr>
        <w:t>Prieš vartojimą perskaitykite pakuotės lapelį.</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6.</w:t>
      </w:r>
      <w:r w:rsidRPr="00BA0735">
        <w:rPr>
          <w:b/>
          <w:sz w:val="22"/>
          <w:szCs w:val="22"/>
          <w:lang w:val="lt-LT"/>
        </w:rPr>
        <w:tab/>
        <w:t xml:space="preserve">SPECIALUS ĮSPĖJIMAS, KAD VAISTINĮ PREPARATĄ BŪTINA LAIKYTI VAIKAMS </w:t>
      </w:r>
      <w:r w:rsidRPr="00BA0735">
        <w:rPr>
          <w:b/>
          <w:bCs/>
          <w:sz w:val="22"/>
          <w:szCs w:val="22"/>
          <w:lang w:val="lt-LT"/>
        </w:rPr>
        <w:t xml:space="preserve">NEPASTEBIMOJE IR </w:t>
      </w:r>
      <w:r w:rsidRPr="00BA0735">
        <w:rPr>
          <w:b/>
          <w:sz w:val="22"/>
          <w:szCs w:val="22"/>
          <w:lang w:val="lt-LT"/>
        </w:rPr>
        <w:t>NEPASIEKIAMOJE VIETOJE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 xml:space="preserve">Laikyti vaikams </w:t>
      </w:r>
      <w:r w:rsidRPr="00BA0735">
        <w:rPr>
          <w:iCs/>
          <w:sz w:val="22"/>
          <w:szCs w:val="22"/>
          <w:lang w:val="lt-LT"/>
        </w:rPr>
        <w:t xml:space="preserve">nepastebimoje ir </w:t>
      </w:r>
      <w:r w:rsidRPr="00BA0735">
        <w:rPr>
          <w:sz w:val="22"/>
          <w:szCs w:val="22"/>
          <w:lang w:val="lt-LT"/>
        </w:rPr>
        <w:t>nepasiekiamoje vietoje.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sidRPr="00BA0735">
        <w:rPr>
          <w:b/>
          <w:sz w:val="22"/>
          <w:szCs w:val="22"/>
          <w:lang w:val="lt-LT"/>
        </w:rPr>
        <w:t>7.</w:t>
      </w:r>
      <w:r w:rsidRPr="00BA0735">
        <w:rPr>
          <w:b/>
          <w:sz w:val="22"/>
          <w:szCs w:val="22"/>
          <w:lang w:val="lt-LT"/>
        </w:rPr>
        <w:tab/>
        <w:t>KITAS (-I) SPECIALUS (-ŪS) ĮSPĖJIMAS (-AI) (JEI REIKIA)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sidRPr="00BA0735">
        <w:rPr>
          <w:b/>
          <w:sz w:val="22"/>
          <w:szCs w:val="22"/>
          <w:lang w:val="lt-LT"/>
        </w:rPr>
        <w:t>8.</w:t>
      </w:r>
      <w:r w:rsidRPr="00BA0735">
        <w:rPr>
          <w:b/>
          <w:sz w:val="22"/>
          <w:szCs w:val="22"/>
          <w:lang w:val="lt-LT"/>
        </w:rPr>
        <w:tab/>
        <w:t>TINKAMUMO LAIKAS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lastRenderedPageBreak/>
        <w:t>EXP (mm/MMMM)</w:t>
      </w:r>
    </w:p>
    <w:p w:rsidR="00E93252" w:rsidRPr="00BA0735" w:rsidRDefault="00E93252" w:rsidP="00E93252">
      <w:pPr>
        <w:widowControl w:val="0"/>
        <w:rPr>
          <w:sz w:val="22"/>
          <w:szCs w:val="22"/>
          <w:lang w:val="lt-LT"/>
        </w:rPr>
      </w:pPr>
      <w:r w:rsidRPr="00BA0735">
        <w:rPr>
          <w:sz w:val="22"/>
          <w:szCs w:val="22"/>
          <w:highlight w:val="lightGray"/>
          <w:lang w:val="lt-LT"/>
        </w:rPr>
        <w:t>Tinka iki (mm/MMMM)</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9.</w:t>
      </w:r>
      <w:r w:rsidRPr="00BA0735">
        <w:rPr>
          <w:b/>
          <w:sz w:val="22"/>
          <w:szCs w:val="22"/>
          <w:lang w:val="lt-LT"/>
        </w:rPr>
        <w:tab/>
        <w:t>SPECIALIOS LAIKYMO SĄLYGOS</w:t>
      </w:r>
    </w:p>
    <w:p w:rsidR="00E93252" w:rsidRPr="00BA0735" w:rsidRDefault="00E93252" w:rsidP="00E93252">
      <w:pPr>
        <w:widowControl w:val="0"/>
        <w:rPr>
          <w:sz w:val="22"/>
          <w:szCs w:val="22"/>
          <w:lang w:val="lt-LT"/>
        </w:rPr>
      </w:pPr>
    </w:p>
    <w:p w:rsidR="00E93252" w:rsidRPr="00BA0735" w:rsidRDefault="00E93252" w:rsidP="00E93252">
      <w:pPr>
        <w:widowControl w:val="0"/>
        <w:outlineLvl w:val="0"/>
        <w:rPr>
          <w:sz w:val="22"/>
          <w:szCs w:val="22"/>
          <w:lang w:val="lt-LT"/>
        </w:rPr>
      </w:pPr>
      <w:r w:rsidRPr="00BA0735">
        <w:rPr>
          <w:sz w:val="22"/>
          <w:szCs w:val="22"/>
          <w:lang w:val="lt-LT"/>
        </w:rPr>
        <w:t>Laikyti gamintojo pakuotėje, kad vaistas būtų apsaugotas nuo drėgmės. Laikyti žemesnėje kaip 30 </w:t>
      </w:r>
      <w:r w:rsidRPr="00BA0735">
        <w:rPr>
          <w:sz w:val="22"/>
          <w:szCs w:val="22"/>
          <w:lang w:val="lt-LT"/>
        </w:rPr>
        <w:sym w:font="Symbol" w:char="F0B0"/>
      </w:r>
      <w:r w:rsidRPr="00BA0735">
        <w:rPr>
          <w:sz w:val="22"/>
          <w:szCs w:val="22"/>
          <w:lang w:val="lt-LT"/>
        </w:rPr>
        <w:t>C temperatūroje.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10.</w:t>
      </w:r>
      <w:r w:rsidRPr="00BA0735">
        <w:rPr>
          <w:b/>
          <w:sz w:val="22"/>
          <w:szCs w:val="22"/>
          <w:lang w:val="lt-LT"/>
        </w:rPr>
        <w:tab/>
        <w:t>SPECIALIOS ATSARGUMO PRIEMONĖS DĖL NESUVARTOTO VAISTINIO PREPARATO AR JO ATLIEKŲ TVARKYMO (JEI REIKIA)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11.</w:t>
      </w:r>
      <w:r w:rsidRPr="00BA0735">
        <w:rPr>
          <w:b/>
          <w:sz w:val="22"/>
          <w:szCs w:val="22"/>
          <w:lang w:val="lt-LT"/>
        </w:rPr>
        <w:tab/>
        <w:t>REGISTRUOTOJO PAVADINIMAS IR ADRESAS</w:t>
      </w:r>
    </w:p>
    <w:p w:rsidR="00E93252" w:rsidRPr="00BA0735" w:rsidRDefault="00E93252" w:rsidP="00E93252">
      <w:pPr>
        <w:widowControl w:val="0"/>
        <w:rPr>
          <w:sz w:val="22"/>
          <w:szCs w:val="22"/>
          <w:lang w:val="lt-LT"/>
        </w:rPr>
      </w:pPr>
    </w:p>
    <w:p w:rsidR="00E93252" w:rsidRPr="00BA0735" w:rsidRDefault="00E93252" w:rsidP="00E93252">
      <w:pPr>
        <w:widowControl w:val="0"/>
        <w:numPr>
          <w:ilvl w:val="12"/>
          <w:numId w:val="0"/>
        </w:numPr>
        <w:tabs>
          <w:tab w:val="left" w:pos="567"/>
        </w:tabs>
        <w:ind w:right="-2"/>
        <w:rPr>
          <w:sz w:val="22"/>
          <w:szCs w:val="22"/>
          <w:lang w:val="lt-LT"/>
        </w:rPr>
      </w:pPr>
      <w:r w:rsidRPr="00BA0735">
        <w:rPr>
          <w:sz w:val="22"/>
          <w:szCs w:val="22"/>
          <w:lang w:val="lt-LT"/>
        </w:rPr>
        <w:t>KRKA, d.d., Novo mesto, Šmarješka cesta 6, 8501 Novo mesto, Slovėnija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12.</w:t>
      </w:r>
      <w:r w:rsidRPr="00BA0735">
        <w:rPr>
          <w:b/>
          <w:sz w:val="22"/>
          <w:szCs w:val="22"/>
          <w:lang w:val="lt-LT"/>
        </w:rPr>
        <w:tab/>
        <w:t>REGISTRACIJOS PAŽYMĖJIMO NUMERIS (-IAI)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8B3A7C">
        <w:rPr>
          <w:sz w:val="22"/>
          <w:szCs w:val="22"/>
          <w:highlight w:val="lightGray"/>
          <w:lang w:val="lt-LT"/>
        </w:rPr>
        <w:t xml:space="preserve">N14 </w:t>
      </w:r>
      <w:r w:rsidRPr="00FE088C">
        <w:rPr>
          <w:sz w:val="22"/>
          <w:szCs w:val="22"/>
          <w:highlight w:val="lightGray"/>
          <w:lang w:val="lt-LT"/>
        </w:rPr>
        <w:t xml:space="preserve">- </w:t>
      </w:r>
      <w:r w:rsidRPr="008B3A7C">
        <w:rPr>
          <w:sz w:val="22"/>
          <w:szCs w:val="22"/>
          <w:lang w:val="lt-LT"/>
        </w:rPr>
        <w:t>LT/1/07/0922/001</w:t>
      </w:r>
    </w:p>
    <w:p w:rsidR="00E93252" w:rsidRPr="00526D52" w:rsidRDefault="00E93252" w:rsidP="00E93252">
      <w:pPr>
        <w:widowControl w:val="0"/>
        <w:rPr>
          <w:sz w:val="22"/>
          <w:szCs w:val="22"/>
          <w:highlight w:val="lightGray"/>
          <w:lang w:val="lt-LT"/>
        </w:rPr>
      </w:pPr>
      <w:r w:rsidRPr="00526D52">
        <w:rPr>
          <w:sz w:val="22"/>
          <w:szCs w:val="22"/>
          <w:highlight w:val="lightGray"/>
          <w:lang w:val="lt-LT"/>
        </w:rPr>
        <w:t>N20 - LT/1/07/0922/002</w:t>
      </w:r>
    </w:p>
    <w:p w:rsidR="00E93252" w:rsidRPr="00526D52" w:rsidRDefault="00E93252" w:rsidP="00E93252">
      <w:pPr>
        <w:widowControl w:val="0"/>
        <w:rPr>
          <w:sz w:val="22"/>
          <w:szCs w:val="22"/>
          <w:highlight w:val="lightGray"/>
          <w:lang w:val="lt-LT"/>
        </w:rPr>
      </w:pPr>
      <w:r w:rsidRPr="00526D52">
        <w:rPr>
          <w:sz w:val="22"/>
          <w:szCs w:val="22"/>
          <w:highlight w:val="lightGray"/>
          <w:lang w:val="lt-LT"/>
        </w:rPr>
        <w:t>N28 - LT/1/07/0922/003</w:t>
      </w:r>
    </w:p>
    <w:p w:rsidR="00E93252" w:rsidRPr="00526D52" w:rsidRDefault="00E93252" w:rsidP="00E93252">
      <w:pPr>
        <w:widowControl w:val="0"/>
        <w:rPr>
          <w:sz w:val="22"/>
          <w:szCs w:val="22"/>
          <w:highlight w:val="lightGray"/>
          <w:lang w:val="lt-LT"/>
        </w:rPr>
      </w:pPr>
      <w:r w:rsidRPr="00526D52">
        <w:rPr>
          <w:sz w:val="22"/>
          <w:szCs w:val="22"/>
          <w:highlight w:val="lightGray"/>
          <w:lang w:val="lt-LT"/>
        </w:rPr>
        <w:t>N30 - LT/1/07/0922/004</w:t>
      </w:r>
    </w:p>
    <w:p w:rsidR="00E93252" w:rsidRPr="00526D52" w:rsidRDefault="00E93252" w:rsidP="00E93252">
      <w:pPr>
        <w:widowControl w:val="0"/>
        <w:rPr>
          <w:sz w:val="22"/>
          <w:szCs w:val="22"/>
          <w:highlight w:val="lightGray"/>
          <w:lang w:val="lt-LT"/>
        </w:rPr>
      </w:pPr>
      <w:r w:rsidRPr="00526D52">
        <w:rPr>
          <w:sz w:val="22"/>
          <w:szCs w:val="22"/>
          <w:highlight w:val="lightGray"/>
          <w:lang w:val="lt-LT"/>
        </w:rPr>
        <w:t>N50 - LT/1/07/0922/005</w:t>
      </w:r>
    </w:p>
    <w:p w:rsidR="00E93252" w:rsidRPr="00526D52" w:rsidRDefault="00E93252" w:rsidP="00E93252">
      <w:pPr>
        <w:widowControl w:val="0"/>
        <w:rPr>
          <w:sz w:val="22"/>
          <w:szCs w:val="22"/>
          <w:highlight w:val="lightGray"/>
          <w:lang w:val="lt-LT"/>
        </w:rPr>
      </w:pPr>
      <w:r w:rsidRPr="00526D52">
        <w:rPr>
          <w:sz w:val="22"/>
          <w:szCs w:val="22"/>
          <w:highlight w:val="lightGray"/>
          <w:lang w:val="lt-LT"/>
        </w:rPr>
        <w:t>N56 - LT/1/07/0922/006</w:t>
      </w:r>
    </w:p>
    <w:p w:rsidR="00E93252" w:rsidRPr="00526D52" w:rsidRDefault="00E93252" w:rsidP="00E93252">
      <w:pPr>
        <w:widowControl w:val="0"/>
        <w:rPr>
          <w:sz w:val="22"/>
          <w:szCs w:val="22"/>
          <w:highlight w:val="lightGray"/>
          <w:lang w:val="lt-LT"/>
        </w:rPr>
      </w:pPr>
      <w:r w:rsidRPr="00526D52">
        <w:rPr>
          <w:sz w:val="22"/>
          <w:szCs w:val="22"/>
          <w:highlight w:val="lightGray"/>
          <w:lang w:val="lt-LT"/>
        </w:rPr>
        <w:t>N60 - LT/1/07/0922/007</w:t>
      </w:r>
    </w:p>
    <w:p w:rsidR="00E93252" w:rsidRPr="00526D52" w:rsidRDefault="00E93252" w:rsidP="00E93252">
      <w:pPr>
        <w:widowControl w:val="0"/>
        <w:rPr>
          <w:sz w:val="22"/>
          <w:szCs w:val="22"/>
          <w:highlight w:val="lightGray"/>
          <w:lang w:val="lt-LT"/>
        </w:rPr>
      </w:pPr>
      <w:r w:rsidRPr="00526D52">
        <w:rPr>
          <w:sz w:val="22"/>
          <w:szCs w:val="22"/>
          <w:highlight w:val="lightGray"/>
          <w:lang w:val="lt-LT"/>
        </w:rPr>
        <w:t>N90 - LT/1/07/0922/008</w:t>
      </w:r>
    </w:p>
    <w:p w:rsidR="00E93252" w:rsidRPr="00BA0735" w:rsidRDefault="00E93252" w:rsidP="00E93252">
      <w:pPr>
        <w:widowControl w:val="0"/>
        <w:rPr>
          <w:sz w:val="22"/>
          <w:szCs w:val="22"/>
          <w:lang w:val="lt-LT"/>
        </w:rPr>
      </w:pPr>
      <w:r w:rsidRPr="00526D52">
        <w:rPr>
          <w:sz w:val="22"/>
          <w:szCs w:val="22"/>
          <w:highlight w:val="lightGray"/>
          <w:lang w:val="lt-LT"/>
        </w:rPr>
        <w:t>N100 - LT/1/07/0922/009</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13.</w:t>
      </w:r>
      <w:r w:rsidRPr="00BA0735">
        <w:rPr>
          <w:b/>
          <w:sz w:val="22"/>
          <w:szCs w:val="22"/>
          <w:lang w:val="lt-LT"/>
        </w:rPr>
        <w:tab/>
        <w:t>SERIJOS NUMERIS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Lot</w:t>
      </w:r>
    </w:p>
    <w:p w:rsidR="00E93252" w:rsidRPr="00BA0735" w:rsidRDefault="00E93252" w:rsidP="00E93252">
      <w:pPr>
        <w:widowControl w:val="0"/>
        <w:rPr>
          <w:sz w:val="22"/>
          <w:szCs w:val="22"/>
          <w:lang w:val="lt-LT"/>
        </w:rPr>
      </w:pPr>
      <w:r w:rsidRPr="00BA0735">
        <w:rPr>
          <w:sz w:val="22"/>
          <w:szCs w:val="22"/>
          <w:highlight w:val="lightGray"/>
          <w:lang w:val="lt-LT"/>
        </w:rPr>
        <w:t>Serija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14.</w:t>
      </w:r>
      <w:r w:rsidRPr="00BA0735">
        <w:rPr>
          <w:b/>
          <w:sz w:val="22"/>
          <w:szCs w:val="22"/>
          <w:lang w:val="lt-LT"/>
        </w:rPr>
        <w:tab/>
        <w:t>PARDAVIMO (IŠDAVIMO) TVARKA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Receptinis vaistas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15.</w:t>
      </w:r>
      <w:r w:rsidRPr="00BA0735">
        <w:rPr>
          <w:b/>
          <w:sz w:val="22"/>
          <w:szCs w:val="22"/>
          <w:lang w:val="lt-LT"/>
        </w:rPr>
        <w:tab/>
        <w:t>VARTOJIMO INSTRUKCIJA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16.</w:t>
      </w:r>
      <w:r w:rsidRPr="00BA0735">
        <w:rPr>
          <w:b/>
          <w:sz w:val="22"/>
          <w:szCs w:val="22"/>
          <w:lang w:val="lt-LT"/>
        </w:rPr>
        <w:tab/>
        <w:t>INFORMACIJA BRAILIO RAŠTU</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Prenewel 2 mg/0,625 mg</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BA0735">
        <w:rPr>
          <w:b/>
          <w:sz w:val="22"/>
          <w:szCs w:val="22"/>
          <w:lang w:val="lt-LT" w:eastAsia="lt-LT" w:bidi="lt-LT"/>
        </w:rPr>
        <w:t>17.</w:t>
      </w:r>
      <w:r w:rsidRPr="00BA0735">
        <w:rPr>
          <w:b/>
          <w:sz w:val="22"/>
          <w:szCs w:val="22"/>
          <w:lang w:val="lt-LT" w:eastAsia="lt-LT" w:bidi="lt-LT"/>
        </w:rPr>
        <w:tab/>
        <w:t>UNIKALUS IDENTIFIKATORIUS – 2D BRŪKŠNINIS KODAS</w:t>
      </w:r>
    </w:p>
    <w:p w:rsidR="00E93252" w:rsidRPr="00BA0735" w:rsidRDefault="00E93252" w:rsidP="00E93252">
      <w:pPr>
        <w:widowControl w:val="0"/>
        <w:ind w:right="-1"/>
        <w:rPr>
          <w:sz w:val="22"/>
          <w:szCs w:val="22"/>
          <w:lang w:val="lt-LT" w:eastAsia="lt-LT" w:bidi="lt-LT"/>
        </w:rPr>
      </w:pPr>
    </w:p>
    <w:p w:rsidR="00E93252" w:rsidRPr="00BA0735" w:rsidRDefault="00E93252" w:rsidP="00E93252">
      <w:pPr>
        <w:widowControl w:val="0"/>
        <w:tabs>
          <w:tab w:val="left" w:pos="567"/>
        </w:tabs>
        <w:ind w:right="-1"/>
        <w:rPr>
          <w:sz w:val="22"/>
          <w:szCs w:val="22"/>
          <w:highlight w:val="lightGray"/>
          <w:lang w:val="lt-LT" w:eastAsia="lt-LT" w:bidi="lt-LT"/>
        </w:rPr>
      </w:pPr>
      <w:r w:rsidRPr="00BA0735">
        <w:rPr>
          <w:sz w:val="22"/>
          <w:szCs w:val="22"/>
          <w:highlight w:val="lightGray"/>
          <w:lang w:val="lt-LT" w:eastAsia="lt-LT" w:bidi="lt-LT"/>
        </w:rPr>
        <w:t>2D brūkšninis kodas su nurodytu unikaliu identifikatoriumi</w:t>
      </w:r>
      <w:r w:rsidRPr="00BA0735">
        <w:rPr>
          <w:sz w:val="22"/>
          <w:szCs w:val="22"/>
          <w:highlight w:val="lightGray"/>
          <w:lang w:val="lt-LT"/>
        </w:rPr>
        <w:t>.</w:t>
      </w:r>
    </w:p>
    <w:p w:rsidR="00E93252" w:rsidRPr="00BA0735" w:rsidRDefault="00E93252" w:rsidP="00E93252">
      <w:pPr>
        <w:widowControl w:val="0"/>
        <w:tabs>
          <w:tab w:val="left" w:pos="567"/>
        </w:tabs>
        <w:ind w:right="-1"/>
        <w:rPr>
          <w:sz w:val="22"/>
          <w:szCs w:val="22"/>
          <w:highlight w:val="lightGray"/>
          <w:lang w:val="lt-LT" w:eastAsia="lt-LT" w:bidi="lt-LT"/>
        </w:rPr>
      </w:pPr>
    </w:p>
    <w:p w:rsidR="00E93252" w:rsidRPr="00BA0735" w:rsidRDefault="00E93252" w:rsidP="00E93252">
      <w:pPr>
        <w:widowControl w:val="0"/>
        <w:ind w:right="-1"/>
        <w:rPr>
          <w:sz w:val="22"/>
          <w:szCs w:val="22"/>
          <w:lang w:val="lt-LT" w:eastAsia="lt-LT" w:bidi="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BA0735">
        <w:rPr>
          <w:b/>
          <w:sz w:val="22"/>
          <w:szCs w:val="22"/>
          <w:lang w:val="lt-LT" w:eastAsia="lt-LT" w:bidi="lt-LT"/>
        </w:rPr>
        <w:t>18.</w:t>
      </w:r>
      <w:r w:rsidRPr="00BA0735">
        <w:rPr>
          <w:b/>
          <w:sz w:val="22"/>
          <w:szCs w:val="22"/>
          <w:lang w:val="lt-LT" w:eastAsia="lt-LT" w:bidi="lt-LT"/>
        </w:rPr>
        <w:tab/>
        <w:t>UNIKALUS IDENTIFIKATORIUS – ŽMONĖMS SUPRANTAMI DUOMENYS</w:t>
      </w:r>
    </w:p>
    <w:p w:rsidR="00E93252" w:rsidRPr="00BA0735" w:rsidRDefault="00E93252" w:rsidP="00E93252">
      <w:pPr>
        <w:widowControl w:val="0"/>
        <w:ind w:right="-1"/>
        <w:rPr>
          <w:sz w:val="22"/>
          <w:szCs w:val="22"/>
          <w:lang w:val="lt-LT" w:eastAsia="lt-LT" w:bidi="lt-LT"/>
        </w:rPr>
      </w:pPr>
    </w:p>
    <w:p w:rsidR="00E93252" w:rsidRPr="00BA0735" w:rsidRDefault="00E93252" w:rsidP="00E93252">
      <w:pPr>
        <w:widowControl w:val="0"/>
        <w:tabs>
          <w:tab w:val="left" w:pos="567"/>
        </w:tabs>
        <w:ind w:right="-1"/>
        <w:rPr>
          <w:sz w:val="22"/>
          <w:szCs w:val="22"/>
          <w:highlight w:val="lightGray"/>
          <w:lang w:val="lt-LT" w:eastAsia="lt-LT" w:bidi="lt-LT"/>
        </w:rPr>
      </w:pPr>
      <w:r w:rsidRPr="00BA0735">
        <w:rPr>
          <w:sz w:val="22"/>
          <w:szCs w:val="22"/>
          <w:highlight w:val="lightGray"/>
          <w:lang w:val="lt-LT" w:eastAsia="lt-LT" w:bidi="lt-LT"/>
        </w:rPr>
        <w:t>PC</w:t>
      </w:r>
    </w:p>
    <w:p w:rsidR="00E93252" w:rsidRPr="00BA0735" w:rsidRDefault="00E93252" w:rsidP="00E93252">
      <w:pPr>
        <w:widowControl w:val="0"/>
        <w:tabs>
          <w:tab w:val="left" w:pos="567"/>
        </w:tabs>
        <w:ind w:right="-1"/>
        <w:rPr>
          <w:sz w:val="22"/>
          <w:szCs w:val="22"/>
          <w:highlight w:val="lightGray"/>
          <w:lang w:val="lt-LT" w:eastAsia="lt-LT" w:bidi="lt-LT"/>
        </w:rPr>
      </w:pPr>
      <w:r w:rsidRPr="00BA0735">
        <w:rPr>
          <w:sz w:val="22"/>
          <w:szCs w:val="22"/>
          <w:highlight w:val="lightGray"/>
          <w:lang w:val="lt-LT" w:eastAsia="lt-LT" w:bidi="lt-LT"/>
        </w:rPr>
        <w:t>SN</w:t>
      </w:r>
    </w:p>
    <w:p w:rsidR="00E93252" w:rsidRPr="00BA0735" w:rsidRDefault="00E93252" w:rsidP="00E93252">
      <w:pPr>
        <w:widowControl w:val="0"/>
        <w:tabs>
          <w:tab w:val="left" w:pos="567"/>
        </w:tabs>
        <w:ind w:right="-1"/>
        <w:rPr>
          <w:sz w:val="22"/>
          <w:szCs w:val="22"/>
          <w:highlight w:val="lightGray"/>
          <w:lang w:val="lt-LT" w:eastAsia="lt-LT" w:bidi="lt-LT"/>
        </w:rPr>
      </w:pPr>
      <w:r w:rsidRPr="00BA0735">
        <w:rPr>
          <w:sz w:val="22"/>
          <w:szCs w:val="22"/>
          <w:highlight w:val="lightGray"/>
          <w:lang w:val="lt-LT" w:eastAsia="lt-LT" w:bidi="lt-LT"/>
        </w:rPr>
        <w:t>NN</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br w:type="page"/>
      </w: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lastRenderedPageBreak/>
        <w:t xml:space="preserve">MINIMALI </w:t>
      </w:r>
      <w:r w:rsidRPr="00BA0735">
        <w:rPr>
          <w:b/>
          <w:caps/>
          <w:sz w:val="22"/>
          <w:szCs w:val="22"/>
          <w:lang w:val="lt-LT"/>
        </w:rPr>
        <w:t xml:space="preserve">informacija ant </w:t>
      </w:r>
      <w:r w:rsidRPr="00BA0735">
        <w:rPr>
          <w:b/>
          <w:sz w:val="22"/>
          <w:szCs w:val="22"/>
          <w:lang w:val="lt-LT"/>
        </w:rPr>
        <w:t>LIZDINIŲ PLOKŠTELIŲ ARBA DVISLUOKSNIŲ JUOSTELIŲ</w:t>
      </w: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LIZDINĖ PLOKŠTELĖ (PVC/PE/PVDC/Al ir OPA/Al/PVC/Al)</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1.</w:t>
      </w:r>
      <w:r w:rsidRPr="00BA0735">
        <w:rPr>
          <w:b/>
          <w:sz w:val="22"/>
          <w:szCs w:val="22"/>
          <w:lang w:val="lt-LT"/>
        </w:rPr>
        <w:tab/>
        <w:t>VAISTINIO PREPARATO PAVADINIMAS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Prenewel 2 mg/0,625 mg tabletės</w:t>
      </w:r>
    </w:p>
    <w:p w:rsidR="00E93252" w:rsidRPr="00BA0735" w:rsidRDefault="00E93252" w:rsidP="00E93252">
      <w:pPr>
        <w:widowControl w:val="0"/>
        <w:rPr>
          <w:sz w:val="22"/>
          <w:szCs w:val="22"/>
          <w:lang w:val="lt-LT"/>
        </w:rPr>
      </w:pPr>
      <w:r w:rsidRPr="00BA0735">
        <w:rPr>
          <w:sz w:val="22"/>
          <w:szCs w:val="22"/>
          <w:lang w:val="lt-LT"/>
        </w:rPr>
        <w:t>tert-butylamini</w:t>
      </w:r>
      <w:r w:rsidRPr="00BA0735">
        <w:rPr>
          <w:i/>
          <w:sz w:val="22"/>
          <w:szCs w:val="22"/>
          <w:lang w:val="lt-LT"/>
        </w:rPr>
        <w:t xml:space="preserve"> </w:t>
      </w:r>
      <w:r w:rsidRPr="00BA0735">
        <w:rPr>
          <w:sz w:val="22"/>
          <w:szCs w:val="22"/>
          <w:lang w:val="lt-LT"/>
        </w:rPr>
        <w:t>perindoprilum/indapamidum</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2.</w:t>
      </w:r>
      <w:r w:rsidRPr="00BA0735">
        <w:rPr>
          <w:b/>
          <w:sz w:val="22"/>
          <w:szCs w:val="22"/>
          <w:lang w:val="lt-LT"/>
        </w:rPr>
        <w:tab/>
        <w:t>REGISTRUOTOJO PAVADINIMAS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KRKA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3.</w:t>
      </w:r>
      <w:r w:rsidRPr="00BA0735">
        <w:rPr>
          <w:b/>
          <w:sz w:val="22"/>
          <w:szCs w:val="22"/>
          <w:lang w:val="lt-LT"/>
        </w:rPr>
        <w:tab/>
        <w:t>TINKAMUMO LAIKAS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EXP (mm.MMMM)</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4.</w:t>
      </w:r>
      <w:r w:rsidRPr="00BA0735">
        <w:rPr>
          <w:b/>
          <w:sz w:val="22"/>
          <w:szCs w:val="22"/>
          <w:lang w:val="lt-LT"/>
        </w:rPr>
        <w:tab/>
        <w:t>SERIJOS NUMERIS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Lot</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BA0735">
        <w:rPr>
          <w:b/>
          <w:sz w:val="22"/>
          <w:szCs w:val="22"/>
          <w:lang w:val="lt-LT"/>
        </w:rPr>
        <w:t>5.</w:t>
      </w:r>
      <w:r w:rsidRPr="00BA0735">
        <w:rPr>
          <w:b/>
          <w:sz w:val="22"/>
          <w:szCs w:val="22"/>
          <w:lang w:val="lt-LT"/>
        </w:rPr>
        <w:tab/>
        <w:t>KITA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br w:type="page"/>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jc w:val="center"/>
        <w:outlineLvl w:val="0"/>
        <w:rPr>
          <w:b/>
          <w:caps/>
          <w:sz w:val="22"/>
          <w:szCs w:val="22"/>
          <w:lang w:val="lt-LT"/>
        </w:rPr>
      </w:pPr>
      <w:bookmarkStart w:id="82" w:name="_Toc129243137"/>
      <w:bookmarkStart w:id="83" w:name="_Toc129243262"/>
      <w:r w:rsidRPr="00BA0735">
        <w:rPr>
          <w:b/>
          <w:caps/>
          <w:sz w:val="22"/>
          <w:szCs w:val="22"/>
          <w:lang w:val="lt-LT"/>
        </w:rPr>
        <w:t>B. PAKUOTĖS LAPELIS</w:t>
      </w:r>
      <w:bookmarkEnd w:id="82"/>
      <w:bookmarkEnd w:id="83"/>
    </w:p>
    <w:p w:rsidR="00E93252" w:rsidRPr="00BA0735" w:rsidRDefault="00E93252" w:rsidP="00E93252">
      <w:pPr>
        <w:widowControl w:val="0"/>
        <w:tabs>
          <w:tab w:val="left" w:pos="567"/>
        </w:tabs>
        <w:ind w:left="567" w:hanging="567"/>
        <w:jc w:val="center"/>
        <w:outlineLvl w:val="0"/>
        <w:rPr>
          <w:b/>
          <w:sz w:val="22"/>
          <w:szCs w:val="22"/>
          <w:lang w:val="lt-LT"/>
        </w:rPr>
      </w:pPr>
      <w:r w:rsidRPr="00BA0735">
        <w:rPr>
          <w:b/>
          <w:caps/>
          <w:sz w:val="22"/>
          <w:szCs w:val="22"/>
          <w:lang w:val="lt-LT"/>
        </w:rPr>
        <w:br w:type="page"/>
      </w:r>
      <w:bookmarkStart w:id="84" w:name="_Toc129243138"/>
      <w:bookmarkStart w:id="85" w:name="_Toc129243263"/>
      <w:r w:rsidRPr="00BA0735">
        <w:rPr>
          <w:b/>
          <w:bCs/>
          <w:iCs/>
          <w:sz w:val="22"/>
          <w:szCs w:val="22"/>
          <w:lang w:val="lt-LT"/>
        </w:rPr>
        <w:lastRenderedPageBreak/>
        <w:t>Pakuotės lapelis:</w:t>
      </w:r>
      <w:r w:rsidRPr="00BA0735">
        <w:rPr>
          <w:b/>
          <w:sz w:val="22"/>
          <w:szCs w:val="22"/>
          <w:lang w:val="lt-LT"/>
        </w:rPr>
        <w:t xml:space="preserve"> </w:t>
      </w:r>
      <w:r w:rsidRPr="00BA0735">
        <w:rPr>
          <w:b/>
          <w:bCs/>
          <w:iCs/>
          <w:sz w:val="22"/>
          <w:szCs w:val="22"/>
          <w:lang w:val="lt-LT"/>
        </w:rPr>
        <w:t>informacija vartotojui</w:t>
      </w:r>
      <w:bookmarkEnd w:id="84"/>
      <w:bookmarkEnd w:id="85"/>
    </w:p>
    <w:p w:rsidR="00E93252" w:rsidRPr="00BA0735" w:rsidRDefault="00E93252" w:rsidP="00E93252">
      <w:pPr>
        <w:widowControl w:val="0"/>
        <w:tabs>
          <w:tab w:val="left" w:pos="567"/>
        </w:tabs>
        <w:jc w:val="center"/>
        <w:rPr>
          <w:b/>
          <w:sz w:val="22"/>
          <w:szCs w:val="22"/>
          <w:lang w:val="lt-LT"/>
        </w:rPr>
      </w:pPr>
    </w:p>
    <w:p w:rsidR="00E93252" w:rsidRPr="00BA0735" w:rsidRDefault="00E93252" w:rsidP="00E93252">
      <w:pPr>
        <w:widowControl w:val="0"/>
        <w:tabs>
          <w:tab w:val="left" w:pos="567"/>
        </w:tabs>
        <w:jc w:val="center"/>
        <w:rPr>
          <w:b/>
          <w:sz w:val="22"/>
          <w:szCs w:val="22"/>
          <w:lang w:val="lt-LT"/>
        </w:rPr>
      </w:pPr>
      <w:r w:rsidRPr="00BA0735">
        <w:rPr>
          <w:b/>
          <w:sz w:val="22"/>
          <w:szCs w:val="22"/>
          <w:lang w:val="lt-LT"/>
        </w:rPr>
        <w:t>Prenewel 2 mg/0,625 mg tabletės</w:t>
      </w:r>
    </w:p>
    <w:p w:rsidR="00E93252" w:rsidRPr="00BA0735" w:rsidRDefault="00E93252" w:rsidP="00E93252">
      <w:pPr>
        <w:widowControl w:val="0"/>
        <w:jc w:val="center"/>
        <w:rPr>
          <w:sz w:val="22"/>
          <w:szCs w:val="22"/>
          <w:lang w:val="lt-LT"/>
        </w:rPr>
      </w:pPr>
      <w:r w:rsidRPr="00BA0735">
        <w:rPr>
          <w:sz w:val="22"/>
          <w:szCs w:val="22"/>
          <w:lang w:val="lt-LT"/>
        </w:rPr>
        <w:t>tert-butilamino perindoprilis ir indapamidas</w:t>
      </w:r>
    </w:p>
    <w:p w:rsidR="00E93252" w:rsidRPr="00BA0735" w:rsidRDefault="00E93252" w:rsidP="00E93252">
      <w:pPr>
        <w:widowControl w:val="0"/>
        <w:jc w:val="center"/>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Atidžiai perskaitykite visą šį lapelį, prieš pradėdami vartoti vaistą, nes jame pateikiama Jums svarbi informacija.</w:t>
      </w:r>
    </w:p>
    <w:p w:rsidR="00E93252" w:rsidRPr="00BA0735" w:rsidRDefault="00E93252" w:rsidP="00E93252">
      <w:pPr>
        <w:widowControl w:val="0"/>
        <w:numPr>
          <w:ilvl w:val="0"/>
          <w:numId w:val="26"/>
        </w:numPr>
        <w:ind w:left="567" w:hanging="567"/>
        <w:rPr>
          <w:sz w:val="22"/>
          <w:szCs w:val="22"/>
          <w:lang w:val="lt-LT"/>
        </w:rPr>
      </w:pPr>
      <w:r w:rsidRPr="00BA0735">
        <w:rPr>
          <w:sz w:val="22"/>
          <w:szCs w:val="22"/>
          <w:lang w:val="lt-LT"/>
        </w:rPr>
        <w:t>Neišmeskite šio lapelio, nes vėl gali prireikti jį perskaityti.</w:t>
      </w:r>
    </w:p>
    <w:p w:rsidR="00E93252" w:rsidRPr="00BA0735" w:rsidRDefault="00E93252" w:rsidP="00E93252">
      <w:pPr>
        <w:widowControl w:val="0"/>
        <w:numPr>
          <w:ilvl w:val="0"/>
          <w:numId w:val="26"/>
        </w:numPr>
        <w:ind w:left="567" w:hanging="567"/>
        <w:rPr>
          <w:sz w:val="22"/>
          <w:szCs w:val="22"/>
          <w:lang w:val="lt-LT"/>
        </w:rPr>
      </w:pPr>
      <w:r w:rsidRPr="00BA0735">
        <w:rPr>
          <w:sz w:val="22"/>
          <w:szCs w:val="22"/>
          <w:lang w:val="lt-LT"/>
        </w:rPr>
        <w:t>Jeigu kiltų daugiau klausimų, kreipkitės į gydytoją arba vaistininką.</w:t>
      </w:r>
    </w:p>
    <w:p w:rsidR="00E93252" w:rsidRPr="00BA0735" w:rsidRDefault="00E93252" w:rsidP="00E93252">
      <w:pPr>
        <w:widowControl w:val="0"/>
        <w:numPr>
          <w:ilvl w:val="0"/>
          <w:numId w:val="26"/>
        </w:numPr>
        <w:ind w:left="567" w:hanging="567"/>
        <w:rPr>
          <w:sz w:val="22"/>
          <w:szCs w:val="22"/>
          <w:lang w:val="lt-LT"/>
        </w:rPr>
      </w:pPr>
      <w:r w:rsidRPr="00BA0735">
        <w:rPr>
          <w:sz w:val="22"/>
          <w:szCs w:val="22"/>
          <w:lang w:val="lt-LT"/>
        </w:rPr>
        <w:t>Šis vaistas skirtas tik Jums, todėl kitiems žmonėms jo duoti negalima. Vaistas gali jiems pakenkti (net tiems, kurių ligos požymiai yra tokie patys kaip Jūsų).</w:t>
      </w:r>
    </w:p>
    <w:p w:rsidR="00E93252" w:rsidRPr="00BA0735" w:rsidRDefault="00E93252" w:rsidP="00E93252">
      <w:pPr>
        <w:widowControl w:val="0"/>
        <w:numPr>
          <w:ilvl w:val="0"/>
          <w:numId w:val="26"/>
        </w:numPr>
        <w:ind w:left="567" w:hanging="567"/>
        <w:rPr>
          <w:sz w:val="22"/>
          <w:szCs w:val="22"/>
          <w:lang w:val="lt-LT"/>
        </w:rPr>
      </w:pPr>
      <w:r w:rsidRPr="00BA0735">
        <w:rPr>
          <w:sz w:val="22"/>
          <w:szCs w:val="22"/>
          <w:lang w:val="lt-LT"/>
        </w:rPr>
        <w:t>Jeigu pasireiškė šalutinis poveikis (net jeigu jis šiame lapelyje nenurodytas), kreipkitės į gydytoją arba vaistininką. Žr. 4</w:t>
      </w:r>
      <w:r w:rsidR="00691D21">
        <w:rPr>
          <w:sz w:val="22"/>
          <w:szCs w:val="22"/>
          <w:lang w:val="lt-LT"/>
        </w:rPr>
        <w:t> </w:t>
      </w:r>
      <w:r w:rsidRPr="00BA0735">
        <w:rPr>
          <w:sz w:val="22"/>
          <w:szCs w:val="22"/>
          <w:lang w:val="lt-LT"/>
        </w:rPr>
        <w:t>skyrių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rPr>
          <w:b/>
          <w:bCs/>
          <w:sz w:val="22"/>
          <w:szCs w:val="22"/>
          <w:lang w:val="lt-LT"/>
        </w:rPr>
      </w:pPr>
      <w:r w:rsidRPr="00BA0735">
        <w:rPr>
          <w:b/>
          <w:bCs/>
          <w:sz w:val="22"/>
          <w:szCs w:val="22"/>
          <w:lang w:val="lt-LT"/>
        </w:rPr>
        <w:t>Apie ką rašoma šiame lapelyje?</w:t>
      </w:r>
    </w:p>
    <w:p w:rsidR="00E93252" w:rsidRPr="00BA0735" w:rsidRDefault="00E93252" w:rsidP="00E93252">
      <w:pPr>
        <w:widowControl w:val="0"/>
        <w:rPr>
          <w:b/>
          <w:sz w:val="22"/>
          <w:szCs w:val="22"/>
          <w:lang w:val="lt-LT"/>
        </w:rPr>
      </w:pPr>
    </w:p>
    <w:p w:rsidR="00E93252" w:rsidRPr="00BA0735" w:rsidRDefault="00E93252" w:rsidP="00E93252">
      <w:pPr>
        <w:widowControl w:val="0"/>
        <w:ind w:left="567" w:hanging="567"/>
        <w:rPr>
          <w:sz w:val="22"/>
          <w:szCs w:val="22"/>
          <w:lang w:val="lt-LT"/>
        </w:rPr>
      </w:pPr>
      <w:r w:rsidRPr="00BA0735">
        <w:rPr>
          <w:sz w:val="22"/>
          <w:szCs w:val="22"/>
          <w:lang w:val="lt-LT"/>
        </w:rPr>
        <w:t>1.</w:t>
      </w:r>
      <w:r w:rsidRPr="00BA0735">
        <w:rPr>
          <w:sz w:val="22"/>
          <w:szCs w:val="22"/>
          <w:lang w:val="lt-LT"/>
        </w:rPr>
        <w:tab/>
        <w:t>Kas yra Prenewel 2 mg/0,625 mg tabletės ir kam jos vartojamas</w:t>
      </w:r>
    </w:p>
    <w:p w:rsidR="00E93252" w:rsidRPr="00BA0735" w:rsidRDefault="00E93252" w:rsidP="00E93252">
      <w:pPr>
        <w:widowControl w:val="0"/>
        <w:ind w:left="567" w:hanging="567"/>
        <w:rPr>
          <w:sz w:val="22"/>
          <w:szCs w:val="22"/>
          <w:lang w:val="lt-LT"/>
        </w:rPr>
      </w:pPr>
      <w:r w:rsidRPr="00BA0735">
        <w:rPr>
          <w:sz w:val="22"/>
          <w:szCs w:val="22"/>
          <w:lang w:val="lt-LT"/>
        </w:rPr>
        <w:t>2.</w:t>
      </w:r>
      <w:r w:rsidRPr="00BA0735">
        <w:rPr>
          <w:sz w:val="22"/>
          <w:szCs w:val="22"/>
          <w:lang w:val="lt-LT"/>
        </w:rPr>
        <w:tab/>
        <w:t>Kas žinotina prieš vartojant Prenewel 2 mg/0,625 mg tabletes</w:t>
      </w:r>
    </w:p>
    <w:p w:rsidR="00E93252" w:rsidRPr="00BA0735" w:rsidRDefault="00E93252" w:rsidP="00E93252">
      <w:pPr>
        <w:widowControl w:val="0"/>
        <w:ind w:left="567" w:hanging="567"/>
        <w:rPr>
          <w:sz w:val="22"/>
          <w:szCs w:val="22"/>
          <w:lang w:val="lt-LT"/>
        </w:rPr>
      </w:pPr>
      <w:r w:rsidRPr="00BA0735">
        <w:rPr>
          <w:sz w:val="22"/>
          <w:szCs w:val="22"/>
          <w:lang w:val="lt-LT"/>
        </w:rPr>
        <w:t>3.</w:t>
      </w:r>
      <w:r w:rsidRPr="00BA0735">
        <w:rPr>
          <w:sz w:val="22"/>
          <w:szCs w:val="22"/>
          <w:lang w:val="lt-LT"/>
        </w:rPr>
        <w:tab/>
        <w:t>Kaip vartoti Prenewel 2 mg/0,625 mg tabletes</w:t>
      </w:r>
    </w:p>
    <w:p w:rsidR="00E93252" w:rsidRPr="00BA0735" w:rsidRDefault="00E93252" w:rsidP="00E93252">
      <w:pPr>
        <w:widowControl w:val="0"/>
        <w:ind w:left="567" w:hanging="567"/>
        <w:rPr>
          <w:sz w:val="22"/>
          <w:szCs w:val="22"/>
          <w:lang w:val="lt-LT"/>
        </w:rPr>
      </w:pPr>
      <w:r w:rsidRPr="00BA0735">
        <w:rPr>
          <w:sz w:val="22"/>
          <w:szCs w:val="22"/>
          <w:lang w:val="lt-LT"/>
        </w:rPr>
        <w:t>4.</w:t>
      </w:r>
      <w:r w:rsidRPr="00BA0735">
        <w:rPr>
          <w:sz w:val="22"/>
          <w:szCs w:val="22"/>
          <w:lang w:val="lt-LT"/>
        </w:rPr>
        <w:tab/>
        <w:t>Galimas šalutinis poveikis</w:t>
      </w:r>
    </w:p>
    <w:p w:rsidR="00E93252" w:rsidRPr="00BA0735" w:rsidRDefault="00E93252" w:rsidP="00E93252">
      <w:pPr>
        <w:widowControl w:val="0"/>
        <w:ind w:left="567" w:hanging="567"/>
        <w:rPr>
          <w:sz w:val="22"/>
          <w:szCs w:val="22"/>
          <w:lang w:val="lt-LT"/>
        </w:rPr>
      </w:pPr>
      <w:r w:rsidRPr="00BA0735">
        <w:rPr>
          <w:sz w:val="22"/>
          <w:szCs w:val="22"/>
          <w:lang w:val="lt-LT"/>
        </w:rPr>
        <w:t>5.</w:t>
      </w:r>
      <w:r w:rsidRPr="00BA0735">
        <w:rPr>
          <w:sz w:val="22"/>
          <w:szCs w:val="22"/>
          <w:lang w:val="lt-LT"/>
        </w:rPr>
        <w:tab/>
        <w:t>Kaip laikyti Prenewel 2 mg/0,625 mg tabletes</w:t>
      </w:r>
    </w:p>
    <w:p w:rsidR="00E93252" w:rsidRPr="00BA0735" w:rsidRDefault="00E93252" w:rsidP="00E93252">
      <w:pPr>
        <w:widowControl w:val="0"/>
        <w:ind w:left="567" w:hanging="567"/>
        <w:rPr>
          <w:sz w:val="22"/>
          <w:szCs w:val="22"/>
          <w:lang w:val="lt-LT"/>
        </w:rPr>
      </w:pPr>
      <w:r w:rsidRPr="00BA0735">
        <w:rPr>
          <w:sz w:val="22"/>
          <w:szCs w:val="22"/>
          <w:lang w:val="lt-LT"/>
        </w:rPr>
        <w:t>6.</w:t>
      </w:r>
      <w:r w:rsidRPr="00BA0735">
        <w:rPr>
          <w:sz w:val="22"/>
          <w:szCs w:val="22"/>
          <w:lang w:val="lt-LT"/>
        </w:rPr>
        <w:tab/>
        <w:t>Pakuotės turinys ir kita informacija</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ind w:left="567" w:hanging="567"/>
        <w:outlineLvl w:val="1"/>
        <w:rPr>
          <w:b/>
          <w:sz w:val="22"/>
          <w:szCs w:val="22"/>
          <w:lang w:val="lt-LT"/>
        </w:rPr>
      </w:pPr>
      <w:bookmarkStart w:id="86" w:name="_Toc129243139"/>
      <w:bookmarkStart w:id="87" w:name="_Toc129243264"/>
      <w:r w:rsidRPr="00BA0735">
        <w:rPr>
          <w:b/>
          <w:sz w:val="22"/>
          <w:szCs w:val="22"/>
          <w:lang w:val="lt-LT"/>
        </w:rPr>
        <w:t>1.</w:t>
      </w:r>
      <w:r w:rsidRPr="00BA0735">
        <w:rPr>
          <w:b/>
          <w:sz w:val="22"/>
          <w:szCs w:val="22"/>
          <w:lang w:val="lt-LT"/>
        </w:rPr>
        <w:tab/>
        <w:t>Kas yra Prenewel 2 mg/0,625 mg tabletės ir kam jos vartojamas</w:t>
      </w:r>
      <w:bookmarkEnd w:id="86"/>
      <w:bookmarkEnd w:id="87"/>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rPr>
          <w:sz w:val="22"/>
          <w:szCs w:val="22"/>
          <w:lang w:val="lt-LT"/>
        </w:rPr>
      </w:pPr>
      <w:r w:rsidRPr="00BA0735">
        <w:rPr>
          <w:sz w:val="22"/>
          <w:szCs w:val="22"/>
          <w:lang w:val="lt-LT"/>
        </w:rPr>
        <w:t>Šis vaistas skirtas didelio kraujospūdžio ligai gydyti, jei gydymas vien perindopriliu yra neveiksmingas.</w:t>
      </w:r>
    </w:p>
    <w:p w:rsidR="00E93252" w:rsidRPr="00BA0735" w:rsidRDefault="00E93252" w:rsidP="00E93252">
      <w:pPr>
        <w:widowControl w:val="0"/>
        <w:tabs>
          <w:tab w:val="left" w:pos="567"/>
        </w:tabs>
        <w:rPr>
          <w:sz w:val="22"/>
          <w:szCs w:val="22"/>
          <w:lang w:val="lt-LT"/>
        </w:rPr>
      </w:pPr>
      <w:r w:rsidRPr="00BA0735">
        <w:rPr>
          <w:sz w:val="22"/>
          <w:szCs w:val="22"/>
          <w:lang w:val="lt-LT"/>
        </w:rPr>
        <w:t>Prenewel 2 mg/0.625 mg tabletėje yra dvi veikliosios medžiagos: perindoprilis ir indapamidas.</w:t>
      </w:r>
    </w:p>
    <w:p w:rsidR="00E93252" w:rsidRPr="00BA0735" w:rsidRDefault="00E93252" w:rsidP="00E93252">
      <w:pPr>
        <w:widowControl w:val="0"/>
        <w:tabs>
          <w:tab w:val="left" w:pos="567"/>
        </w:tabs>
        <w:rPr>
          <w:sz w:val="22"/>
          <w:szCs w:val="22"/>
          <w:lang w:val="lt-LT"/>
        </w:rPr>
      </w:pPr>
      <w:r w:rsidRPr="00BA0735">
        <w:rPr>
          <w:sz w:val="22"/>
          <w:szCs w:val="22"/>
          <w:lang w:val="lt-LT"/>
        </w:rPr>
        <w:t>Perindoprilis priklauso angiotenziną konvertuojančio fermento (AKF) inhibitorių grupei.</w:t>
      </w:r>
    </w:p>
    <w:p w:rsidR="00E93252" w:rsidRPr="00BA0735" w:rsidRDefault="00E93252" w:rsidP="00E93252">
      <w:pPr>
        <w:widowControl w:val="0"/>
        <w:tabs>
          <w:tab w:val="left" w:pos="567"/>
        </w:tabs>
        <w:rPr>
          <w:sz w:val="22"/>
          <w:szCs w:val="22"/>
          <w:lang w:val="lt-LT"/>
        </w:rPr>
      </w:pPr>
      <w:r w:rsidRPr="00BA0735">
        <w:rPr>
          <w:sz w:val="22"/>
          <w:szCs w:val="22"/>
          <w:lang w:val="lt-LT"/>
        </w:rPr>
        <w:t>Indapamidas yra diuretikas, t. y. vaistas, didinantis šlapimo išsiskyrimą pro inkstus.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ind w:left="567" w:hanging="567"/>
        <w:outlineLvl w:val="1"/>
        <w:rPr>
          <w:b/>
          <w:sz w:val="22"/>
          <w:szCs w:val="22"/>
          <w:lang w:val="lt-LT"/>
        </w:rPr>
      </w:pPr>
      <w:bookmarkStart w:id="88" w:name="_Toc129243140"/>
      <w:bookmarkStart w:id="89" w:name="_Toc129243265"/>
      <w:r w:rsidRPr="00BA0735">
        <w:rPr>
          <w:b/>
          <w:sz w:val="22"/>
          <w:szCs w:val="22"/>
          <w:lang w:val="lt-LT"/>
        </w:rPr>
        <w:t>2.</w:t>
      </w:r>
      <w:r w:rsidRPr="00BA0735">
        <w:rPr>
          <w:b/>
          <w:sz w:val="22"/>
          <w:szCs w:val="22"/>
          <w:lang w:val="lt-LT"/>
        </w:rPr>
        <w:tab/>
        <w:t>Kas žinotina prieš vartojant Prenewel 2 mg/0,625 mg tabletes</w:t>
      </w:r>
      <w:bookmarkEnd w:id="88"/>
      <w:bookmarkEnd w:id="89"/>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 xml:space="preserve">Prenewel 2 mg/0,625 mg tablečių vartoti </w:t>
      </w:r>
      <w:r w:rsidR="00FE088C">
        <w:rPr>
          <w:b/>
          <w:sz w:val="22"/>
          <w:szCs w:val="22"/>
          <w:lang w:val="lt-LT"/>
        </w:rPr>
        <w:t>draudžiama</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jeigu yra alergija (padidėjęs jautrumas) perindopriliui, bet kokiam AKF inhibitoriui;</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jeigu yra alergija indapamidui ar bet kokiems kitiems sulfonamidams;</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 yra alergija bet kuriai kitai pagalbinei šio vaisto medžiagai (jos išvardytos 6</w:t>
      </w:r>
      <w:r w:rsidR="00691D21">
        <w:rPr>
          <w:sz w:val="22"/>
          <w:szCs w:val="22"/>
          <w:lang w:val="lt-LT"/>
        </w:rPr>
        <w:t> </w:t>
      </w:r>
      <w:r w:rsidRPr="00BA0735">
        <w:rPr>
          <w:sz w:val="22"/>
          <w:szCs w:val="22"/>
          <w:lang w:val="lt-LT"/>
        </w:rPr>
        <w:t>skyriuje);</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jeigu pavartojus AKF inhibitorių buvo pasireiškę tokie simptomai kaip švokštimas veido ar liežuvio patinimas, stiprus niežulys arba sunkus odos išbėrimas (būklė, vadinama angioneurozine edema) arba jei Jums ar Jūsų giminaičiams tokių simptomų buvo atsiradę bet kokiomis aplinkybėmis;</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 sergate sunkia kepenų liga arba yra sutrikimas, vadinamas hepatine encefalopatija (degeneracinė galvos smegenų liga);</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 sergate sunkia inkstų liga arba esate gydomas dializėmis;</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 yra sumažėjęs arba padidėjęs kalio kiekis kraujyje);</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 įtariama, kad segate negydytu dekompensuotu širdies nepakankamumu (simptomais gali būti didelis</w:t>
      </w:r>
      <w:r w:rsidRPr="00BA0735" w:rsidDel="000546E6">
        <w:rPr>
          <w:sz w:val="22"/>
          <w:szCs w:val="22"/>
          <w:lang w:val="lt-LT"/>
        </w:rPr>
        <w:t xml:space="preserve"> </w:t>
      </w:r>
      <w:r w:rsidRPr="00BA0735">
        <w:rPr>
          <w:sz w:val="22"/>
          <w:szCs w:val="22"/>
          <w:lang w:val="lt-LT"/>
        </w:rPr>
        <w:t>skysčių kaupimasis organizme ir pasunkėjęs kvėpavimas);</w:t>
      </w:r>
    </w:p>
    <w:p w:rsidR="00E93252" w:rsidRPr="00BA0735" w:rsidRDefault="00E93252" w:rsidP="00E93252">
      <w:pPr>
        <w:widowControl w:val="0"/>
        <w:numPr>
          <w:ilvl w:val="0"/>
          <w:numId w:val="37"/>
        </w:numPr>
        <w:ind w:left="567" w:hanging="567"/>
        <w:rPr>
          <w:sz w:val="22"/>
          <w:szCs w:val="22"/>
          <w:lang w:val="lt-LT"/>
        </w:rPr>
      </w:pPr>
      <w:r w:rsidRPr="00BA0735">
        <w:rPr>
          <w:sz w:val="22"/>
          <w:szCs w:val="22"/>
          <w:lang w:val="lt-LT"/>
        </w:rPr>
        <w:t>jei esate daugiau nei 3 mėnesius nėščia. (Taip pat yra geriau vengti Prenewel vartoti ankstyvojo nėštumo metu - žr. skyrių „Nėštumas“);</w:t>
      </w:r>
    </w:p>
    <w:p w:rsidR="00E93252" w:rsidRPr="009A7EAD" w:rsidRDefault="00E93252" w:rsidP="00FE088C">
      <w:pPr>
        <w:widowControl w:val="0"/>
        <w:numPr>
          <w:ilvl w:val="0"/>
          <w:numId w:val="37"/>
        </w:numPr>
        <w:ind w:left="567" w:hanging="567"/>
        <w:rPr>
          <w:sz w:val="22"/>
          <w:szCs w:val="22"/>
          <w:lang w:val="lt-LT"/>
        </w:rPr>
      </w:pPr>
      <w:r w:rsidRPr="00977389">
        <w:rPr>
          <w:sz w:val="22"/>
          <w:szCs w:val="22"/>
          <w:lang w:val="lt-LT"/>
        </w:rPr>
        <w:t>jeigu Jūs sergate cukriniu diabetu arba Jūsų inkstų veikla sutrikusi ir Jums skirtas kraujospūdį mažinantis vaistas, kurio sudėtyje yra aliskireno</w:t>
      </w:r>
      <w:r w:rsidRPr="00FE515E">
        <w:rPr>
          <w:rFonts w:eastAsia="Calibri"/>
          <w:sz w:val="22"/>
          <w:szCs w:val="22"/>
          <w:lang w:val="lt-LT"/>
        </w:rPr>
        <w:t>;</w:t>
      </w:r>
    </w:p>
    <w:p w:rsidR="00E93252" w:rsidRPr="00BA0735" w:rsidRDefault="00E93252" w:rsidP="00E93252">
      <w:pPr>
        <w:widowControl w:val="0"/>
        <w:numPr>
          <w:ilvl w:val="0"/>
          <w:numId w:val="37"/>
        </w:numPr>
        <w:ind w:left="567" w:hanging="567"/>
        <w:rPr>
          <w:rFonts w:eastAsia="Calibri"/>
          <w:sz w:val="22"/>
          <w:szCs w:val="22"/>
          <w:lang w:val="lt-LT"/>
        </w:rPr>
      </w:pPr>
      <w:r w:rsidRPr="00BA0735">
        <w:rPr>
          <w:iCs/>
          <w:sz w:val="22"/>
          <w:szCs w:val="22"/>
          <w:lang w:val="lt-LT" w:eastAsia="lt-LT"/>
        </w:rPr>
        <w:t xml:space="preserve">jeigu vartojote arba šiuo metu vartojate sakubitrilo ir valsartano derinį, suaugusiųjų ilgalaikio (lėtinio) širdies nepakankamumo gydymui, nes yra padidėjęs angioneurozinės edemos (staigaus </w:t>
      </w:r>
      <w:r w:rsidRPr="00BA0735">
        <w:rPr>
          <w:iCs/>
          <w:sz w:val="22"/>
          <w:szCs w:val="22"/>
          <w:lang w:val="lt-LT" w:eastAsia="lt-LT"/>
        </w:rPr>
        <w:lastRenderedPageBreak/>
        <w:t>patinimo po oda tokiose vietose kaip ryklė) pavojus.</w:t>
      </w: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jc w:val="both"/>
        <w:outlineLvl w:val="3"/>
        <w:rPr>
          <w:b/>
          <w:sz w:val="22"/>
          <w:szCs w:val="22"/>
          <w:lang w:val="lt-LT"/>
        </w:rPr>
      </w:pPr>
      <w:r w:rsidRPr="00BA0735">
        <w:rPr>
          <w:b/>
          <w:bCs/>
          <w:snapToGrid w:val="0"/>
          <w:sz w:val="22"/>
          <w:szCs w:val="22"/>
          <w:lang w:val="lt-LT" w:eastAsia="x-none"/>
        </w:rPr>
        <w:t>Įspėjimai ir</w:t>
      </w:r>
      <w:r w:rsidRPr="00BA0735">
        <w:rPr>
          <w:b/>
          <w:sz w:val="22"/>
          <w:szCs w:val="22"/>
          <w:lang w:val="lt-LT"/>
        </w:rPr>
        <w:t xml:space="preserve"> atsargumo </w:t>
      </w:r>
      <w:r w:rsidRPr="00BA0735">
        <w:rPr>
          <w:b/>
          <w:bCs/>
          <w:snapToGrid w:val="0"/>
          <w:sz w:val="22"/>
          <w:szCs w:val="22"/>
          <w:lang w:val="lt-LT" w:eastAsia="x-none"/>
        </w:rPr>
        <w:t>priemonės</w:t>
      </w:r>
    </w:p>
    <w:p w:rsidR="00E93252" w:rsidRPr="00BA0735" w:rsidRDefault="00E93252" w:rsidP="00E93252">
      <w:pPr>
        <w:widowControl w:val="0"/>
        <w:rPr>
          <w:b/>
          <w:bCs/>
          <w:sz w:val="22"/>
          <w:szCs w:val="22"/>
          <w:lang w:val="lt-LT"/>
        </w:rPr>
      </w:pPr>
      <w:r w:rsidRPr="00BA0735">
        <w:rPr>
          <w:noProof/>
          <w:snapToGrid w:val="0"/>
          <w:sz w:val="22"/>
          <w:szCs w:val="22"/>
          <w:lang w:val="lt-LT"/>
        </w:rPr>
        <w:t>Pasitarkite su gydytoju arba vaistininku, prieš pradėdami vartoti Prenewel 2 mg/0,625 mg tabletes</w:t>
      </w:r>
      <w:r w:rsidRPr="00BA0735">
        <w:rPr>
          <w:b/>
          <w:bCs/>
          <w:noProof/>
          <w:snapToGrid w:val="0"/>
          <w:sz w:val="22"/>
          <w:szCs w:val="22"/>
          <w:lang w:val="lt-LT"/>
        </w:rPr>
        <w:t>:</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 yra aortos stenozė (pagrindinės iš širdies išeinančios kraujagyslės susiaurėjimas), hipertrofinė kardiomiopatija (širdies raumens liga) arba inksto arterijos stenozė (arterijos, tiekiančios kraują inkstui, susiaurėjimas);</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yra širdies nepakankamumas arba bet koks širdies sutrikimas;</w:t>
      </w:r>
    </w:p>
    <w:p w:rsidR="00E93252" w:rsidRPr="00BA0735" w:rsidRDefault="00E93252" w:rsidP="00E93252">
      <w:pPr>
        <w:widowControl w:val="0"/>
        <w:numPr>
          <w:ilvl w:val="0"/>
          <w:numId w:val="38"/>
        </w:numPr>
        <w:ind w:left="567" w:hanging="567"/>
        <w:rPr>
          <w:sz w:val="22"/>
          <w:szCs w:val="22"/>
          <w:lang w:val="lt-LT"/>
        </w:rPr>
      </w:pPr>
      <w:r w:rsidRPr="00BA0735">
        <w:rPr>
          <w:rFonts w:eastAsia="Calibri"/>
          <w:sz w:val="22"/>
          <w:szCs w:val="22"/>
          <w:lang w:val="lt-LT" w:eastAsia="en-US"/>
        </w:rPr>
        <w:t>jei sergate inkstų ligomis arba Jums atliekamos dializės;</w:t>
      </w:r>
    </w:p>
    <w:p w:rsidR="00E93252" w:rsidRPr="00BA0735" w:rsidRDefault="00E93252" w:rsidP="00E93252">
      <w:pPr>
        <w:widowControl w:val="0"/>
        <w:numPr>
          <w:ilvl w:val="0"/>
          <w:numId w:val="38"/>
        </w:numPr>
        <w:ind w:left="567" w:hanging="567"/>
        <w:rPr>
          <w:sz w:val="22"/>
          <w:szCs w:val="22"/>
          <w:lang w:val="lt-LT"/>
        </w:rPr>
      </w:pPr>
      <w:r w:rsidRPr="00BA0735">
        <w:rPr>
          <w:rFonts w:eastAsia="Calibri"/>
          <w:sz w:val="22"/>
          <w:szCs w:val="22"/>
          <w:lang w:val="lt-LT" w:eastAsia="en-US"/>
        </w:rPr>
        <w:t>jei yra nenormaliai padidėjusi hormono, vadinamo aldosteronu, koncentracija Jūsų kraujyje (pirminis aldosteronizmas);</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yra kepenų sutrikimas;</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sergate kolagenoze (odos liga), pvz., sistemine raudonąja vilklige arba sklerodermija;</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sergate ateroskleroze (yra arterijų sukietėjimas);</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sergate hiperparatiroidizmu (per stipri prieskydinių liaukų veikla);</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sergate podagra;</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sergate cukriniu diabetu;</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ribojate druskos kiekį maiste arba vartojate druskų pakaitalų, kuriuose yra kalio;</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vartojate ličio preparatų;</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vartojate kalį organizme sulaikančių diuretikų (spironolaktoną, triamtereną), kadangi jų vartoti kartu su Prenewel nerekomenduojama (žr. poskyrį „Kiti vaistai ir Prenewel“);</w:t>
      </w:r>
    </w:p>
    <w:p w:rsidR="00E93252" w:rsidRPr="00BA0735" w:rsidRDefault="00E93252" w:rsidP="00E93252">
      <w:pPr>
        <w:numPr>
          <w:ilvl w:val="0"/>
          <w:numId w:val="38"/>
        </w:numPr>
        <w:ind w:left="567" w:hanging="567"/>
        <w:rPr>
          <w:sz w:val="22"/>
          <w:szCs w:val="22"/>
          <w:lang w:val="lt-LT"/>
        </w:rPr>
      </w:pPr>
      <w:r w:rsidRPr="00BA0735">
        <w:rPr>
          <w:sz w:val="22"/>
          <w:szCs w:val="22"/>
          <w:lang w:val="lt-LT"/>
        </w:rPr>
        <w:t>jeigu esate senyvas žmogus;</w:t>
      </w:r>
    </w:p>
    <w:p w:rsidR="00E93252" w:rsidRPr="00BA0735" w:rsidRDefault="00E93252" w:rsidP="00E93252">
      <w:pPr>
        <w:numPr>
          <w:ilvl w:val="0"/>
          <w:numId w:val="38"/>
        </w:numPr>
        <w:ind w:left="567" w:hanging="567"/>
        <w:rPr>
          <w:sz w:val="22"/>
          <w:szCs w:val="22"/>
          <w:lang w:val="lt-LT"/>
        </w:rPr>
      </w:pPr>
      <w:r w:rsidRPr="00BA0735">
        <w:rPr>
          <w:sz w:val="22"/>
          <w:szCs w:val="22"/>
          <w:lang w:val="lt-LT"/>
        </w:rPr>
        <w:t>jeigu Jums buvo pasireiškusios padidėjusio jautrumo šviesai reakcijos;</w:t>
      </w:r>
    </w:p>
    <w:p w:rsidR="00E93252" w:rsidRPr="00BA0735" w:rsidRDefault="00E93252" w:rsidP="00E93252">
      <w:pPr>
        <w:widowControl w:val="0"/>
        <w:numPr>
          <w:ilvl w:val="0"/>
          <w:numId w:val="38"/>
        </w:numPr>
        <w:ind w:left="567" w:hanging="567"/>
        <w:rPr>
          <w:sz w:val="22"/>
          <w:szCs w:val="22"/>
          <w:lang w:val="lt-LT"/>
        </w:rPr>
      </w:pPr>
      <w:r w:rsidRPr="00BA0735">
        <w:rPr>
          <w:sz w:val="22"/>
          <w:szCs w:val="22"/>
          <w:lang w:val="lt-LT"/>
        </w:rPr>
        <w:t>jeigu vartojate kurį nors iš šių vaistų padidėjusiam kraujospūdžiui gydyti:</w:t>
      </w:r>
    </w:p>
    <w:p w:rsidR="00E93252" w:rsidRPr="00BA0735" w:rsidRDefault="00E93252" w:rsidP="00E93252">
      <w:pPr>
        <w:widowControl w:val="0"/>
        <w:numPr>
          <w:ilvl w:val="0"/>
          <w:numId w:val="19"/>
        </w:numPr>
        <w:ind w:left="1276" w:hanging="567"/>
        <w:rPr>
          <w:rFonts w:eastAsia="Batang"/>
          <w:sz w:val="22"/>
          <w:szCs w:val="22"/>
          <w:lang w:val="lt-LT"/>
        </w:rPr>
      </w:pPr>
      <w:r w:rsidRPr="00BA0735">
        <w:rPr>
          <w:rFonts w:eastAsia="Batang"/>
          <w:sz w:val="22"/>
          <w:szCs w:val="22"/>
          <w:lang w:val="lt-LT"/>
        </w:rPr>
        <w:t>angiotenzino II receptorių blokatorių (ARB) (vadinamąjį sartaną, pavyzdžiui, valsartaną, telmisartaną, irbesartaną), ypač jei turite su diabetu susijusių inkstų sutrikimų.</w:t>
      </w:r>
    </w:p>
    <w:p w:rsidR="00E93252" w:rsidRPr="00BA0735" w:rsidRDefault="00E93252" w:rsidP="00E93252">
      <w:pPr>
        <w:widowControl w:val="0"/>
        <w:numPr>
          <w:ilvl w:val="0"/>
          <w:numId w:val="19"/>
        </w:numPr>
        <w:ind w:left="1276" w:hanging="567"/>
        <w:rPr>
          <w:rFonts w:eastAsia="Batang"/>
          <w:sz w:val="22"/>
          <w:szCs w:val="22"/>
          <w:lang w:val="lt-LT"/>
        </w:rPr>
      </w:pPr>
      <w:r w:rsidRPr="00BA0735">
        <w:rPr>
          <w:rFonts w:eastAsia="Batang"/>
          <w:sz w:val="22"/>
          <w:szCs w:val="22"/>
          <w:lang w:val="lt-LT"/>
        </w:rPr>
        <w:t>aliskireną.</w:t>
      </w:r>
    </w:p>
    <w:p w:rsidR="00E93252" w:rsidRPr="00BA0735" w:rsidRDefault="00E93252" w:rsidP="00E93252">
      <w:pPr>
        <w:widowControl w:val="0"/>
        <w:ind w:left="567"/>
        <w:rPr>
          <w:rFonts w:eastAsia="Batang"/>
          <w:sz w:val="22"/>
          <w:szCs w:val="22"/>
          <w:lang w:val="lt-LT"/>
        </w:rPr>
      </w:pPr>
      <w:r w:rsidRPr="00BA0735">
        <w:rPr>
          <w:rFonts w:eastAsia="Batang"/>
          <w:sz w:val="22"/>
          <w:szCs w:val="22"/>
          <w:lang w:val="lt-LT"/>
        </w:rPr>
        <w:t>Jūsų gydytojas gali reguliariai ištirti Jūsų inkstų funkciją, kraujospūdį ir elektrolitų kiekį (pvz., kalio) kraujyje.</w:t>
      </w:r>
    </w:p>
    <w:p w:rsidR="00E93252" w:rsidRPr="00BA0735" w:rsidRDefault="00E93252" w:rsidP="00E93252">
      <w:pPr>
        <w:widowControl w:val="0"/>
        <w:ind w:left="567"/>
        <w:rPr>
          <w:rFonts w:eastAsia="Batang"/>
          <w:sz w:val="22"/>
          <w:szCs w:val="22"/>
          <w:lang w:val="lt-LT"/>
        </w:rPr>
      </w:pPr>
      <w:r w:rsidRPr="00BA0735">
        <w:rPr>
          <w:rFonts w:eastAsia="Batang"/>
          <w:sz w:val="22"/>
          <w:szCs w:val="22"/>
          <w:lang w:val="lt-LT"/>
        </w:rPr>
        <w:t>Taip pat žiūrėkite informaciją, pateiktą poskyryje „</w:t>
      </w:r>
      <w:r w:rsidRPr="00BA0735">
        <w:rPr>
          <w:noProof/>
          <w:snapToGrid w:val="0"/>
          <w:sz w:val="22"/>
          <w:szCs w:val="22"/>
          <w:lang w:val="lt-LT"/>
        </w:rPr>
        <w:t>Prenewal</w:t>
      </w:r>
      <w:r w:rsidRPr="00BA0735">
        <w:rPr>
          <w:rFonts w:eastAsia="Batang"/>
          <w:sz w:val="22"/>
          <w:szCs w:val="22"/>
          <w:lang w:val="lt-LT"/>
        </w:rPr>
        <w:t xml:space="preserve"> vartoti </w:t>
      </w:r>
      <w:r w:rsidR="00FE088C">
        <w:rPr>
          <w:rFonts w:eastAsia="Batang"/>
          <w:sz w:val="22"/>
          <w:szCs w:val="22"/>
          <w:lang w:val="lt-LT"/>
        </w:rPr>
        <w:t>draudžiama</w:t>
      </w:r>
      <w:r w:rsidRPr="00BA0735">
        <w:rPr>
          <w:rFonts w:eastAsia="Batang"/>
          <w:sz w:val="22"/>
          <w:szCs w:val="22"/>
          <w:lang w:val="lt-LT"/>
        </w:rPr>
        <w:t>“.</w:t>
      </w:r>
    </w:p>
    <w:p w:rsidR="00E93252" w:rsidRPr="00BA0735" w:rsidRDefault="00E93252" w:rsidP="00E93252">
      <w:pPr>
        <w:numPr>
          <w:ilvl w:val="0"/>
          <w:numId w:val="39"/>
        </w:numPr>
        <w:spacing w:line="259" w:lineRule="auto"/>
        <w:ind w:left="567" w:hanging="567"/>
        <w:rPr>
          <w:rFonts w:eastAsia="Calibri"/>
          <w:sz w:val="22"/>
          <w:szCs w:val="22"/>
          <w:lang w:val="lt-LT" w:eastAsia="en-US"/>
        </w:rPr>
      </w:pPr>
      <w:r w:rsidRPr="00BA0735">
        <w:rPr>
          <w:rFonts w:eastAsia="Calibri"/>
          <w:sz w:val="22"/>
          <w:szCs w:val="22"/>
          <w:lang w:val="lt-LT" w:eastAsia="en-US"/>
        </w:rPr>
        <w:t>jeigu esate juodaodis, nes gali būti didesnė angioneurozinės edemos atsiradimo rizika, o kraujospūdį mažinti šis vaistas gali ne taip veiksmingai, kaip nejuodaodžiams žmonėms;</w:t>
      </w:r>
    </w:p>
    <w:p w:rsidR="00E93252" w:rsidRPr="00BA0735" w:rsidRDefault="00E93252" w:rsidP="00E93252">
      <w:pPr>
        <w:numPr>
          <w:ilvl w:val="0"/>
          <w:numId w:val="39"/>
        </w:numPr>
        <w:spacing w:line="259" w:lineRule="auto"/>
        <w:ind w:left="567" w:hanging="567"/>
        <w:rPr>
          <w:rFonts w:eastAsia="Calibri"/>
          <w:sz w:val="22"/>
          <w:szCs w:val="22"/>
          <w:lang w:val="lt-LT" w:eastAsia="en-US"/>
        </w:rPr>
      </w:pPr>
      <w:r w:rsidRPr="00BA0735">
        <w:rPr>
          <w:rFonts w:eastAsia="Calibri"/>
          <w:sz w:val="22"/>
          <w:szCs w:val="22"/>
          <w:lang w:val="lt-LT" w:eastAsia="en-US"/>
        </w:rPr>
        <w:t>jeigu Jums atliekamos hemodializės, naudojant didelio pralaidumo membranas;</w:t>
      </w:r>
    </w:p>
    <w:p w:rsidR="00E93252" w:rsidRPr="00BA0735" w:rsidRDefault="00E93252" w:rsidP="00E93252">
      <w:pPr>
        <w:widowControl w:val="0"/>
        <w:numPr>
          <w:ilvl w:val="0"/>
          <w:numId w:val="39"/>
        </w:numPr>
        <w:tabs>
          <w:tab w:val="left" w:pos="567"/>
        </w:tabs>
        <w:ind w:left="567" w:hanging="567"/>
        <w:rPr>
          <w:sz w:val="22"/>
          <w:szCs w:val="22"/>
          <w:lang w:val="lt-LT"/>
        </w:rPr>
      </w:pPr>
      <w:r w:rsidRPr="00BA0735">
        <w:rPr>
          <w:sz w:val="22"/>
          <w:szCs w:val="22"/>
          <w:lang w:val="lt-LT"/>
        </w:rPr>
        <w:t>jeigu vartojate kurį nors iš šių vaistų, gali padidėti angioneurozinės edemos (greitas patinimas po oda tokioje vietoje kaip gerklė) rizika:</w:t>
      </w:r>
    </w:p>
    <w:p w:rsidR="00E93252" w:rsidRPr="00BA0735" w:rsidRDefault="00E93252" w:rsidP="00E93252">
      <w:pPr>
        <w:widowControl w:val="0"/>
        <w:numPr>
          <w:ilvl w:val="0"/>
          <w:numId w:val="21"/>
        </w:numPr>
        <w:ind w:left="1276" w:hanging="567"/>
        <w:rPr>
          <w:rFonts w:eastAsia="Batang"/>
          <w:sz w:val="22"/>
          <w:szCs w:val="22"/>
          <w:lang w:val="lt-LT"/>
        </w:rPr>
      </w:pPr>
      <w:r w:rsidRPr="00BA0735">
        <w:rPr>
          <w:rFonts w:eastAsia="Batang"/>
          <w:sz w:val="22"/>
          <w:szCs w:val="22"/>
          <w:lang w:val="lt-LT"/>
        </w:rPr>
        <w:t>racekadotrilis (vartojamas gydyti viduriavimą)</w:t>
      </w:r>
    </w:p>
    <w:p w:rsidR="00977389" w:rsidRDefault="00E93252" w:rsidP="008B3A7C">
      <w:pPr>
        <w:widowControl w:val="0"/>
        <w:numPr>
          <w:ilvl w:val="0"/>
          <w:numId w:val="21"/>
        </w:numPr>
        <w:ind w:left="1276" w:hanging="567"/>
        <w:rPr>
          <w:rFonts w:eastAsia="Batang"/>
          <w:sz w:val="22"/>
          <w:szCs w:val="22"/>
          <w:lang w:val="lt-LT"/>
        </w:rPr>
      </w:pPr>
      <w:r w:rsidRPr="00BA0735">
        <w:rPr>
          <w:rFonts w:eastAsia="Batang"/>
          <w:sz w:val="22"/>
          <w:szCs w:val="22"/>
          <w:lang w:val="lt-LT"/>
        </w:rPr>
        <w:t>sirolimuzas, everolimuzo temsirolimuzas ir kiti vaistai, priklausantys vadinamųjų mTOR inhibitorių klasei (naudojami siekiant išvengti persodintų organų atmetimo</w:t>
      </w:r>
      <w:r w:rsidRPr="00BA0735">
        <w:rPr>
          <w:rFonts w:eastAsia="Calibri"/>
          <w:sz w:val="22"/>
          <w:szCs w:val="22"/>
          <w:lang w:val="lt-LT"/>
        </w:rPr>
        <w:t xml:space="preserve"> ir vėžiui gydyti)</w:t>
      </w:r>
    </w:p>
    <w:p w:rsidR="00E93252" w:rsidRPr="008B3A7C" w:rsidRDefault="00977389" w:rsidP="008B3A7C">
      <w:pPr>
        <w:widowControl w:val="0"/>
        <w:numPr>
          <w:ilvl w:val="0"/>
          <w:numId w:val="21"/>
        </w:numPr>
        <w:ind w:left="1276" w:hanging="567"/>
        <w:rPr>
          <w:rFonts w:eastAsia="Batang"/>
          <w:sz w:val="22"/>
          <w:szCs w:val="22"/>
          <w:lang w:val="lt-LT"/>
        </w:rPr>
      </w:pPr>
      <w:r w:rsidRPr="00977389">
        <w:rPr>
          <w:sz w:val="22"/>
          <w:szCs w:val="22"/>
          <w:lang w:val="lt-LT"/>
        </w:rPr>
        <w:t>linagliptinas, saks</w:t>
      </w:r>
      <w:r w:rsidRPr="00FE515E">
        <w:rPr>
          <w:sz w:val="22"/>
          <w:szCs w:val="22"/>
          <w:lang w:val="lt-LT"/>
        </w:rPr>
        <w:t>agliptin</w:t>
      </w:r>
      <w:r w:rsidRPr="009A7EAD">
        <w:rPr>
          <w:sz w:val="22"/>
          <w:szCs w:val="22"/>
          <w:lang w:val="lt-LT"/>
        </w:rPr>
        <w:t>as, sitagliptinas, vildagliptin</w:t>
      </w:r>
      <w:r w:rsidRPr="00FE088C">
        <w:rPr>
          <w:sz w:val="22"/>
          <w:szCs w:val="22"/>
          <w:lang w:val="lt-LT"/>
        </w:rPr>
        <w:t>as ir kiti vaistai, taip pat vadinami gliptinais</w:t>
      </w:r>
      <w:r w:rsidR="00E93252" w:rsidRPr="00FE088C">
        <w:rPr>
          <w:sz w:val="22"/>
          <w:szCs w:val="22"/>
          <w:lang w:val="lt-LT"/>
        </w:rPr>
        <w:t xml:space="preserve"> (cukriniam diabetui gydyti vartojamas vaistas).</w:t>
      </w:r>
    </w:p>
    <w:p w:rsidR="00E93252" w:rsidRPr="00BA0735" w:rsidRDefault="00E93252" w:rsidP="00E93252">
      <w:pPr>
        <w:widowControl w:val="0"/>
        <w:rPr>
          <w:sz w:val="22"/>
          <w:szCs w:val="22"/>
          <w:lang w:val="lt-LT"/>
        </w:rPr>
      </w:pPr>
    </w:p>
    <w:p w:rsidR="00E93252" w:rsidRPr="00BA0735" w:rsidRDefault="00E93252" w:rsidP="00E93252">
      <w:pPr>
        <w:spacing w:line="259" w:lineRule="auto"/>
        <w:rPr>
          <w:rFonts w:eastAsia="Calibri"/>
          <w:sz w:val="22"/>
          <w:szCs w:val="22"/>
          <w:u w:val="single"/>
          <w:lang w:val="lt-LT" w:eastAsia="en-US"/>
        </w:rPr>
      </w:pPr>
      <w:r w:rsidRPr="00BA0735">
        <w:rPr>
          <w:rFonts w:eastAsia="Calibri"/>
          <w:sz w:val="22"/>
          <w:szCs w:val="22"/>
          <w:u w:val="single"/>
          <w:lang w:val="lt-LT" w:eastAsia="en-US"/>
        </w:rPr>
        <w:t>Angioneurozinė edema</w:t>
      </w:r>
    </w:p>
    <w:p w:rsidR="00E93252" w:rsidRPr="00BA0735" w:rsidRDefault="00E93252" w:rsidP="00E93252">
      <w:pPr>
        <w:spacing w:line="259" w:lineRule="auto"/>
        <w:rPr>
          <w:rFonts w:eastAsia="Calibri"/>
          <w:sz w:val="22"/>
          <w:szCs w:val="22"/>
          <w:lang w:val="lt-LT" w:eastAsia="en-US"/>
        </w:rPr>
      </w:pPr>
      <w:r w:rsidRPr="00BA0735">
        <w:rPr>
          <w:rFonts w:eastAsia="Calibri"/>
          <w:sz w:val="22"/>
          <w:szCs w:val="22"/>
          <w:lang w:val="lt-LT" w:eastAsia="en-US"/>
        </w:rPr>
        <w:t>Buvo pranešta, kad AKF inhibitoriais, įskaitant Prenewel, gydytiems pacientams pasireiškė angioneurozinė edema (sunki alerginė reakcija su veido, lūpų, burnos, liežuvio ar ryklės patinimu, dėl kurios sunku ryti ar kvėpuoti). Tokia reakcija gali pasireikšti bet kuriuo gydymo laikotarpiu. Jeigu atsiranda tokių simptomų, turite nutraukti gydymą Prenewel ir nedelsdami kreiptis į gydytoją. Taip pat žr. 4 skyrių.</w:t>
      </w:r>
    </w:p>
    <w:p w:rsidR="00E93252" w:rsidRPr="00BA0735" w:rsidRDefault="00E93252" w:rsidP="00E93252">
      <w:pPr>
        <w:widowControl w:val="0"/>
        <w:tabs>
          <w:tab w:val="left" w:pos="567"/>
        </w:tabs>
        <w:ind w:right="-1"/>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Jeigu manote, kad esate (arba galite tapti) nėščia, turite apie tai pasakyti savo gydytojui. Ankstyvuoju nėštumo laikotarpiu Prenewel vartoti nerekomenduojama. Vartojamas po trečio nėštumo mėnesio šis vaistas gali padaryti didžiulės žalos Jūsų kūdikiui, žr. skyrių "Nėštumas".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Jei vartojate Prenewel tablečių, informuokite gydytoją arba kitą sveikatos priežiūros specialistą:</w:t>
      </w:r>
    </w:p>
    <w:p w:rsidR="00E93252" w:rsidRPr="00BA0735" w:rsidRDefault="00E93252" w:rsidP="00E93252">
      <w:pPr>
        <w:widowControl w:val="0"/>
        <w:numPr>
          <w:ilvl w:val="0"/>
          <w:numId w:val="23"/>
        </w:numPr>
        <w:ind w:left="567" w:hanging="567"/>
        <w:rPr>
          <w:rFonts w:eastAsia="Batang"/>
          <w:sz w:val="22"/>
          <w:szCs w:val="22"/>
          <w:lang w:val="lt-LT"/>
        </w:rPr>
      </w:pPr>
      <w:r w:rsidRPr="00BA0735">
        <w:rPr>
          <w:rFonts w:eastAsia="Batang"/>
          <w:sz w:val="22"/>
          <w:szCs w:val="22"/>
          <w:lang w:val="lt-LT"/>
        </w:rPr>
        <w:t>prieš anesteziją ir (arba) operaciją;</w:t>
      </w:r>
    </w:p>
    <w:p w:rsidR="00E93252" w:rsidRPr="00BA0735" w:rsidRDefault="00E93252" w:rsidP="00E93252">
      <w:pPr>
        <w:widowControl w:val="0"/>
        <w:numPr>
          <w:ilvl w:val="0"/>
          <w:numId w:val="23"/>
        </w:numPr>
        <w:ind w:left="567" w:hanging="567"/>
        <w:rPr>
          <w:rFonts w:eastAsia="Batang"/>
          <w:sz w:val="22"/>
          <w:szCs w:val="22"/>
          <w:lang w:val="lt-LT"/>
        </w:rPr>
      </w:pPr>
      <w:r w:rsidRPr="00BA0735">
        <w:rPr>
          <w:rFonts w:eastAsia="Batang"/>
          <w:sz w:val="22"/>
          <w:szCs w:val="22"/>
          <w:lang w:val="lt-LT"/>
        </w:rPr>
        <w:lastRenderedPageBreak/>
        <w:t>jei neseniai viduriavote, vėmėte arba netekote daug skysčių;</w:t>
      </w:r>
    </w:p>
    <w:p w:rsidR="00E93252" w:rsidRPr="00BA0735" w:rsidRDefault="00E93252" w:rsidP="00E93252">
      <w:pPr>
        <w:widowControl w:val="0"/>
        <w:numPr>
          <w:ilvl w:val="0"/>
          <w:numId w:val="23"/>
        </w:numPr>
        <w:ind w:left="567" w:hanging="567"/>
        <w:rPr>
          <w:rFonts w:eastAsia="Batang"/>
          <w:sz w:val="22"/>
          <w:szCs w:val="22"/>
          <w:lang w:val="lt-LT"/>
        </w:rPr>
      </w:pPr>
      <w:r w:rsidRPr="00BA0735">
        <w:rPr>
          <w:rFonts w:eastAsia="Batang"/>
          <w:sz w:val="22"/>
          <w:szCs w:val="22"/>
          <w:lang w:val="lt-LT"/>
        </w:rPr>
        <w:t>prieš dializę ar mažo tankio lipoproteinų aferezę (cholesterolio pašalinimą iš kraujo specialiu aparatu);</w:t>
      </w:r>
    </w:p>
    <w:p w:rsidR="00E93252" w:rsidRPr="00BA0735" w:rsidRDefault="00E93252" w:rsidP="00E93252">
      <w:pPr>
        <w:widowControl w:val="0"/>
        <w:numPr>
          <w:ilvl w:val="0"/>
          <w:numId w:val="23"/>
        </w:numPr>
        <w:ind w:left="567" w:hanging="567"/>
        <w:rPr>
          <w:rFonts w:eastAsia="Batang"/>
          <w:sz w:val="22"/>
          <w:szCs w:val="22"/>
          <w:lang w:val="lt-LT"/>
        </w:rPr>
      </w:pPr>
      <w:r w:rsidRPr="00BA0735">
        <w:rPr>
          <w:rFonts w:eastAsia="Batang"/>
          <w:sz w:val="22"/>
          <w:szCs w:val="22"/>
          <w:lang w:val="lt-LT"/>
        </w:rPr>
        <w:t>prieš desensibilizuojamąjį gydymą, mažinantį alergijos bičių ar vapsvų nuodams sukeliamą poveikį;</w:t>
      </w:r>
    </w:p>
    <w:p w:rsidR="00E93252" w:rsidRPr="00BA0735" w:rsidRDefault="00E93252" w:rsidP="00E93252">
      <w:pPr>
        <w:widowControl w:val="0"/>
        <w:numPr>
          <w:ilvl w:val="0"/>
          <w:numId w:val="23"/>
        </w:numPr>
        <w:ind w:left="567" w:hanging="567"/>
        <w:rPr>
          <w:rFonts w:eastAsia="Batang"/>
          <w:sz w:val="22"/>
          <w:szCs w:val="22"/>
          <w:lang w:val="lt-LT"/>
        </w:rPr>
      </w:pPr>
      <w:r w:rsidRPr="00BA0735">
        <w:rPr>
          <w:rFonts w:eastAsia="Batang"/>
          <w:sz w:val="22"/>
          <w:szCs w:val="22"/>
          <w:lang w:val="lt-LT"/>
        </w:rPr>
        <w:t>jei bus atliekamas tyrimas, kurio metu injekuojamas kontrastą sukuriantis preparatas, kuriame yra jodo (medžiagos, leidžiančios pamatyti organus, pvz., inkstus arba skrandį, rentgenologinio tyrimo metu);</w:t>
      </w:r>
    </w:p>
    <w:p w:rsidR="00E93252" w:rsidRPr="004B21C0" w:rsidRDefault="00E93252" w:rsidP="00E93252">
      <w:pPr>
        <w:numPr>
          <w:ilvl w:val="0"/>
          <w:numId w:val="23"/>
        </w:numPr>
        <w:ind w:left="567" w:hanging="567"/>
        <w:rPr>
          <w:rFonts w:eastAsia="Batang"/>
          <w:sz w:val="22"/>
          <w:szCs w:val="22"/>
          <w:lang w:val="lt-LT"/>
        </w:rPr>
      </w:pPr>
      <w:r w:rsidRPr="00BA0735">
        <w:rPr>
          <w:rFonts w:eastAsia="Calibri"/>
          <w:sz w:val="22"/>
          <w:szCs w:val="22"/>
          <w:lang w:val="lt-LT"/>
        </w:rPr>
        <w:t xml:space="preserve">jeigu susilpnėja regėjimas arba atsiranda akių skausmas. Šie simptomai gali būti skysčio susikaupimo akies kraujagysliniame dangale (tarp gyslainės ir skleros) arba besivystančios glaukomos (padidėjusio akispūdžio) požymiais ir gali </w:t>
      </w:r>
      <w:r w:rsidRPr="004B21C0">
        <w:rPr>
          <w:rFonts w:eastAsia="Calibri"/>
          <w:sz w:val="22"/>
          <w:szCs w:val="22"/>
          <w:lang w:val="lt-LT"/>
        </w:rPr>
        <w:t xml:space="preserve">įvykti per kelias valandas ar </w:t>
      </w:r>
      <w:r w:rsidR="00BC0336" w:rsidRPr="004B21C0">
        <w:rPr>
          <w:rFonts w:eastAsia="Calibri"/>
          <w:sz w:val="22"/>
          <w:szCs w:val="22"/>
          <w:lang w:val="lt-LT"/>
        </w:rPr>
        <w:t xml:space="preserve">savaites </w:t>
      </w:r>
      <w:r w:rsidRPr="004B21C0">
        <w:rPr>
          <w:rFonts w:eastAsia="Calibri"/>
          <w:sz w:val="22"/>
          <w:szCs w:val="22"/>
          <w:lang w:val="lt-LT"/>
        </w:rPr>
        <w:t>po Prenewel vartojimo. Tai gali lemti regėjimo sutrikimą visam laikui, jeigu negydoma. Jei Jums anksčiau buvo alergija penicilinui ar sulfonamidui, Jums gali būti didesnė rizika, kad tai išsivystys</w:t>
      </w:r>
      <w:r w:rsidRPr="004B21C0">
        <w:rPr>
          <w:rFonts w:eastAsia="Batang"/>
          <w:sz w:val="22"/>
          <w:szCs w:val="22"/>
          <w:lang w:val="lt-LT"/>
        </w:rPr>
        <w:t>.</w:t>
      </w:r>
      <w:r w:rsidR="00BC0336" w:rsidRPr="004B21C0">
        <w:rPr>
          <w:rFonts w:eastAsia="Batang"/>
          <w:sz w:val="22"/>
          <w:szCs w:val="22"/>
          <w:lang w:val="lt-LT"/>
        </w:rPr>
        <w:t xml:space="preserve"> Turite nutraukti gydymą Prenewel ir kreiptis į gydytoją.</w:t>
      </w:r>
    </w:p>
    <w:p w:rsidR="00E93252" w:rsidRPr="004B21C0" w:rsidRDefault="00E93252" w:rsidP="00E93252">
      <w:pPr>
        <w:widowControl w:val="0"/>
        <w:tabs>
          <w:tab w:val="left" w:pos="567"/>
        </w:tabs>
        <w:ind w:right="-1"/>
        <w:rPr>
          <w:sz w:val="22"/>
          <w:szCs w:val="22"/>
          <w:lang w:val="lt-LT"/>
        </w:rPr>
      </w:pPr>
    </w:p>
    <w:p w:rsidR="00E93252" w:rsidRPr="004B21C0" w:rsidRDefault="00E93252" w:rsidP="00E93252">
      <w:pPr>
        <w:widowControl w:val="0"/>
        <w:tabs>
          <w:tab w:val="left" w:pos="567"/>
        </w:tabs>
        <w:ind w:right="-1"/>
        <w:rPr>
          <w:sz w:val="22"/>
          <w:szCs w:val="22"/>
          <w:lang w:val="lt-LT"/>
        </w:rPr>
      </w:pPr>
      <w:r w:rsidRPr="004B21C0">
        <w:rPr>
          <w:sz w:val="22"/>
          <w:szCs w:val="22"/>
          <w:lang w:val="lt-LT"/>
        </w:rPr>
        <w:t>Sportininkams reikia žinoti, kad Prenewel tablečių sudėtyje esanti veiklioji medžiaga indapamidas, gali lemti teigiamą reakciją vaistinių medžiagų testo metu.</w:t>
      </w:r>
    </w:p>
    <w:p w:rsidR="00E93252" w:rsidRPr="004B21C0" w:rsidRDefault="00E93252" w:rsidP="00E93252">
      <w:pPr>
        <w:widowControl w:val="0"/>
        <w:tabs>
          <w:tab w:val="left" w:pos="567"/>
        </w:tabs>
        <w:jc w:val="both"/>
        <w:outlineLvl w:val="3"/>
        <w:rPr>
          <w:b/>
          <w:sz w:val="22"/>
          <w:szCs w:val="22"/>
          <w:lang w:val="lt-LT"/>
        </w:rPr>
      </w:pPr>
    </w:p>
    <w:p w:rsidR="00E93252" w:rsidRPr="004B21C0" w:rsidRDefault="00E93252" w:rsidP="00E93252">
      <w:pPr>
        <w:widowControl w:val="0"/>
        <w:tabs>
          <w:tab w:val="left" w:pos="567"/>
        </w:tabs>
        <w:jc w:val="both"/>
        <w:outlineLvl w:val="3"/>
        <w:rPr>
          <w:b/>
          <w:sz w:val="22"/>
          <w:szCs w:val="22"/>
          <w:lang w:val="lt-LT"/>
        </w:rPr>
      </w:pPr>
      <w:r w:rsidRPr="004B21C0">
        <w:rPr>
          <w:b/>
          <w:sz w:val="22"/>
          <w:szCs w:val="22"/>
          <w:lang w:val="lt-LT"/>
        </w:rPr>
        <w:t>Vaikams</w:t>
      </w:r>
    </w:p>
    <w:p w:rsidR="00E93252" w:rsidRPr="00BA0735" w:rsidRDefault="00E93252" w:rsidP="00E93252">
      <w:pPr>
        <w:widowControl w:val="0"/>
        <w:rPr>
          <w:sz w:val="22"/>
          <w:szCs w:val="22"/>
          <w:lang w:val="lt-LT"/>
        </w:rPr>
      </w:pPr>
      <w:r w:rsidRPr="00BA0735">
        <w:rPr>
          <w:sz w:val="22"/>
          <w:szCs w:val="22"/>
          <w:lang w:val="lt-LT"/>
        </w:rPr>
        <w:t>Vaikams Prenewel vartoti negalima.</w:t>
      </w:r>
    </w:p>
    <w:p w:rsidR="00E93252" w:rsidRPr="00BA0735" w:rsidRDefault="00E93252" w:rsidP="00E93252">
      <w:pPr>
        <w:widowControl w:val="0"/>
        <w:rPr>
          <w:sz w:val="22"/>
          <w:szCs w:val="22"/>
          <w:lang w:val="lt-LT"/>
        </w:rPr>
      </w:pPr>
    </w:p>
    <w:p w:rsidR="00E93252" w:rsidRPr="00BA0735" w:rsidRDefault="00E93252" w:rsidP="00E93252">
      <w:pPr>
        <w:widowControl w:val="0"/>
        <w:rPr>
          <w:b/>
          <w:bCs/>
          <w:sz w:val="22"/>
          <w:szCs w:val="22"/>
          <w:lang w:val="lt-LT"/>
        </w:rPr>
      </w:pPr>
      <w:r w:rsidRPr="00BA0735">
        <w:rPr>
          <w:b/>
          <w:bCs/>
          <w:sz w:val="22"/>
          <w:szCs w:val="22"/>
          <w:lang w:val="lt-LT"/>
        </w:rPr>
        <w:t>Kiti vaistai ir Prenewel 2 mg/0,625 mg tabletės</w:t>
      </w:r>
    </w:p>
    <w:p w:rsidR="00E93252" w:rsidRPr="00BA0735" w:rsidRDefault="00E93252" w:rsidP="00E93252">
      <w:pPr>
        <w:widowControl w:val="0"/>
        <w:rPr>
          <w:sz w:val="22"/>
          <w:szCs w:val="22"/>
          <w:lang w:val="lt-LT"/>
        </w:rPr>
      </w:pPr>
      <w:r w:rsidRPr="00BA0735">
        <w:rPr>
          <w:sz w:val="22"/>
          <w:szCs w:val="22"/>
          <w:lang w:val="lt-LT"/>
        </w:rPr>
        <w:t>Jeigu vartojate arba neseniai vartojote kitų vaistų arba dėl to nesate tikri, apie tai,pasakykite gydytojui arba vaistininkui.</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Prenewel tablečių nerekomenduojama vartoti su:</w:t>
      </w:r>
    </w:p>
    <w:p w:rsidR="00E93252" w:rsidRPr="00BA0735" w:rsidRDefault="00E93252" w:rsidP="00E93252">
      <w:pPr>
        <w:widowControl w:val="0"/>
        <w:numPr>
          <w:ilvl w:val="0"/>
          <w:numId w:val="40"/>
        </w:numPr>
        <w:ind w:left="567" w:hanging="567"/>
        <w:rPr>
          <w:rFonts w:eastAsia="Batang"/>
          <w:sz w:val="22"/>
          <w:szCs w:val="22"/>
          <w:lang w:val="lt-LT"/>
        </w:rPr>
      </w:pPr>
      <w:r w:rsidRPr="00BA0735">
        <w:rPr>
          <w:rFonts w:eastAsia="Batang"/>
          <w:sz w:val="22"/>
          <w:szCs w:val="22"/>
          <w:lang w:val="lt-LT"/>
        </w:rPr>
        <w:t>ličio preparatais (vaistais depresijai gydyti);</w:t>
      </w:r>
    </w:p>
    <w:p w:rsidR="00E93252" w:rsidRPr="00BA0735" w:rsidRDefault="00E93252" w:rsidP="00E93252">
      <w:pPr>
        <w:numPr>
          <w:ilvl w:val="0"/>
          <w:numId w:val="40"/>
        </w:numPr>
        <w:ind w:left="567" w:hanging="567"/>
        <w:rPr>
          <w:sz w:val="22"/>
          <w:szCs w:val="22"/>
          <w:lang w:val="lt-LT"/>
        </w:rPr>
      </w:pPr>
      <w:r w:rsidRPr="00BA0735">
        <w:rPr>
          <w:sz w:val="22"/>
          <w:szCs w:val="22"/>
          <w:lang w:val="lt-LT"/>
        </w:rPr>
        <w:t>aliskirenu (vaistas, kuris vartojamas hipertenzijai gydyti), jeigu nesergate cukriniu diabetu arba inkstų liga;</w:t>
      </w:r>
    </w:p>
    <w:p w:rsidR="00E93252" w:rsidRPr="00BA0735" w:rsidRDefault="00E93252" w:rsidP="00E93252">
      <w:pPr>
        <w:widowControl w:val="0"/>
        <w:numPr>
          <w:ilvl w:val="0"/>
          <w:numId w:val="40"/>
        </w:numPr>
        <w:ind w:left="567" w:hanging="567"/>
        <w:rPr>
          <w:rFonts w:eastAsia="Batang"/>
          <w:sz w:val="22"/>
          <w:szCs w:val="22"/>
          <w:lang w:val="lt-LT"/>
        </w:rPr>
      </w:pPr>
      <w:r w:rsidRPr="00BA0735">
        <w:rPr>
          <w:rFonts w:eastAsia="Batang"/>
          <w:sz w:val="22"/>
          <w:szCs w:val="22"/>
          <w:lang w:val="lt-LT"/>
        </w:rPr>
        <w:t>kalį organizme sulaikančiais diuretikais (</w:t>
      </w:r>
      <w:r w:rsidRPr="00BA0735">
        <w:rPr>
          <w:sz w:val="22"/>
          <w:szCs w:val="22"/>
          <w:lang w:val="lt-LT"/>
        </w:rPr>
        <w:t>pvz.:</w:t>
      </w:r>
      <w:r w:rsidRPr="00BA0735">
        <w:rPr>
          <w:rFonts w:eastAsia="Batang"/>
          <w:sz w:val="22"/>
          <w:szCs w:val="22"/>
          <w:lang w:val="lt-LT"/>
        </w:rPr>
        <w:t xml:space="preserve"> triamterenu</w:t>
      </w:r>
      <w:r w:rsidRPr="00BA0735">
        <w:rPr>
          <w:sz w:val="22"/>
          <w:szCs w:val="22"/>
          <w:lang w:val="lt-LT"/>
        </w:rPr>
        <w:t>, amiloridu</w:t>
      </w:r>
      <w:r w:rsidRPr="00BA0735">
        <w:rPr>
          <w:rFonts w:eastAsia="Batang"/>
          <w:sz w:val="22"/>
          <w:szCs w:val="22"/>
          <w:lang w:val="lt-LT"/>
        </w:rPr>
        <w:t>), kalio druskomis,</w:t>
      </w:r>
      <w:r w:rsidRPr="00BA0735">
        <w:rPr>
          <w:sz w:val="22"/>
          <w:szCs w:val="22"/>
          <w:lang w:val="lt-LT"/>
        </w:rPr>
        <w:t xml:space="preserve"> kitais vaistais, kurie didina kalio koncentracijas organizme (pvz., heparinu ir kotrimoksazolu, kuris dar vadinamas trimetoprimu / sulfametoksazolu);</w:t>
      </w:r>
    </w:p>
    <w:p w:rsidR="00E93252" w:rsidRPr="00BA0735" w:rsidRDefault="00E93252" w:rsidP="00E93252">
      <w:pPr>
        <w:numPr>
          <w:ilvl w:val="0"/>
          <w:numId w:val="40"/>
        </w:numPr>
        <w:ind w:left="567" w:hanging="567"/>
        <w:rPr>
          <w:sz w:val="22"/>
          <w:szCs w:val="22"/>
          <w:lang w:val="lt-LT"/>
        </w:rPr>
      </w:pPr>
      <w:r w:rsidRPr="00BA0735">
        <w:rPr>
          <w:sz w:val="22"/>
          <w:szCs w:val="22"/>
          <w:lang w:val="lt-LT"/>
        </w:rPr>
        <w:t>estramustinu (vartojamas vėžiui gydyti);</w:t>
      </w:r>
    </w:p>
    <w:p w:rsidR="00E93252" w:rsidRPr="00BA0735" w:rsidRDefault="00E93252" w:rsidP="00E93252">
      <w:pPr>
        <w:numPr>
          <w:ilvl w:val="0"/>
          <w:numId w:val="40"/>
        </w:numPr>
        <w:ind w:left="567" w:hanging="567"/>
        <w:rPr>
          <w:sz w:val="22"/>
          <w:szCs w:val="22"/>
          <w:lang w:val="lt-LT"/>
        </w:rPr>
      </w:pPr>
      <w:r w:rsidRPr="00BA0735">
        <w:rPr>
          <w:sz w:val="22"/>
          <w:szCs w:val="22"/>
          <w:lang w:val="lt-LT"/>
        </w:rPr>
        <w:t>kitais vaistais, kuriais gydomas padidėjęs kraujospūdis: angiotenziną konvertuojančio fermento inhibitoriais ir angiotenzino receptorių blokatoriais.</w:t>
      </w:r>
    </w:p>
    <w:p w:rsidR="00E93252" w:rsidRPr="00BA0735" w:rsidRDefault="00E93252" w:rsidP="00E93252">
      <w:pPr>
        <w:widowControl w:val="0"/>
        <w:ind w:left="567"/>
        <w:rPr>
          <w:rFonts w:eastAsia="Batang"/>
          <w:sz w:val="22"/>
          <w:szCs w:val="22"/>
          <w:lang w:val="lt-LT"/>
        </w:rPr>
      </w:pPr>
    </w:p>
    <w:p w:rsidR="00E93252" w:rsidRPr="00BA0735" w:rsidRDefault="00E93252" w:rsidP="00E93252">
      <w:pPr>
        <w:widowControl w:val="0"/>
        <w:rPr>
          <w:sz w:val="22"/>
          <w:szCs w:val="22"/>
          <w:lang w:val="lt-LT"/>
        </w:rPr>
      </w:pPr>
      <w:r w:rsidRPr="00BA0735">
        <w:rPr>
          <w:sz w:val="22"/>
          <w:szCs w:val="22"/>
          <w:lang w:val="lt-LT"/>
        </w:rPr>
        <w:t>Kitų vaistų vartojimas gali keisti gydymo Prenewel tablečių poveikį, todėl gydytoją būtina informuoti, jei vartojate bet kurį iš toliau išvardytų vaistų:</w:t>
      </w:r>
    </w:p>
    <w:p w:rsidR="00E93252" w:rsidRPr="00BA0735" w:rsidRDefault="00E93252" w:rsidP="00E93252">
      <w:pPr>
        <w:widowControl w:val="0"/>
        <w:numPr>
          <w:ilvl w:val="0"/>
          <w:numId w:val="41"/>
        </w:numPr>
        <w:ind w:left="567" w:hanging="567"/>
        <w:rPr>
          <w:sz w:val="22"/>
          <w:szCs w:val="22"/>
          <w:lang w:val="lt-LT"/>
        </w:rPr>
      </w:pPr>
      <w:r w:rsidRPr="00BA0735">
        <w:rPr>
          <w:sz w:val="22"/>
          <w:szCs w:val="22"/>
          <w:lang w:val="lt-LT"/>
        </w:rPr>
        <w:t xml:space="preserve">kitokių vaistų nuo padidėjusio kraujospūdžio, įskaitant angiotenzino II receptorių blokatorius (ARB) arba aliskireną (taip pat žr. informaciją, pateiktą skyreliuose „Prenewel vartoti </w:t>
      </w:r>
      <w:r w:rsidR="00FE088C">
        <w:rPr>
          <w:rFonts w:eastAsia="Batang"/>
          <w:sz w:val="22"/>
          <w:szCs w:val="22"/>
          <w:lang w:val="lt-LT"/>
        </w:rPr>
        <w:t>draudžiama</w:t>
      </w:r>
      <w:r w:rsidRPr="00BA0735">
        <w:rPr>
          <w:sz w:val="22"/>
          <w:szCs w:val="22"/>
          <w:lang w:val="lt-LT"/>
        </w:rPr>
        <w:t>“ ir „Įspėjimai ir atsargumo priemonės“), arba diuretikus (per inkstus išskiriamo šlapimo kiekį padidinantys vaistai).</w:t>
      </w:r>
    </w:p>
    <w:p w:rsidR="00E93252" w:rsidRPr="00BA0735" w:rsidRDefault="00E93252" w:rsidP="00E93252">
      <w:pPr>
        <w:widowControl w:val="0"/>
        <w:numPr>
          <w:ilvl w:val="0"/>
          <w:numId w:val="41"/>
        </w:numPr>
        <w:ind w:left="567" w:hanging="567"/>
        <w:rPr>
          <w:sz w:val="22"/>
          <w:szCs w:val="22"/>
          <w:lang w:val="lt-LT"/>
        </w:rPr>
      </w:pPr>
      <w:r w:rsidRPr="00BA0735">
        <w:rPr>
          <w:sz w:val="22"/>
          <w:szCs w:val="22"/>
          <w:lang w:val="lt-LT"/>
        </w:rPr>
        <w:t>kalį organizme sulaikantys diuretikai širdies nepakankamumui gydyti: nuo 12,5 mg iki 50 mg eplerenono ar spironolaktono dozės per parą.</w:t>
      </w:r>
    </w:p>
    <w:p w:rsidR="00E93252" w:rsidRPr="00BA0735" w:rsidRDefault="00E93252" w:rsidP="00E93252">
      <w:pPr>
        <w:widowControl w:val="0"/>
        <w:numPr>
          <w:ilvl w:val="0"/>
          <w:numId w:val="41"/>
        </w:numPr>
        <w:ind w:left="567" w:hanging="567"/>
        <w:rPr>
          <w:sz w:val="22"/>
          <w:szCs w:val="22"/>
          <w:lang w:val="lt-LT"/>
        </w:rPr>
      </w:pPr>
      <w:r w:rsidRPr="00BA0735">
        <w:rPr>
          <w:sz w:val="22"/>
          <w:szCs w:val="22"/>
          <w:lang w:val="lt-LT"/>
        </w:rPr>
        <w:t xml:space="preserve">sakubitrilą / valsartaną (derinys vartojamas širdies nepakankamumo ilgalaikiam gydymui). Žr. skyrius „Prenewel vartoti </w:t>
      </w:r>
      <w:r w:rsidR="00FE088C">
        <w:rPr>
          <w:rFonts w:eastAsia="Batang"/>
          <w:sz w:val="22"/>
          <w:szCs w:val="22"/>
          <w:lang w:val="lt-LT"/>
        </w:rPr>
        <w:t>draudžiama</w:t>
      </w:r>
      <w:r w:rsidRPr="00BA0735">
        <w:rPr>
          <w:sz w:val="22"/>
          <w:szCs w:val="22"/>
          <w:lang w:val="lt-LT"/>
        </w:rPr>
        <w:t>“ ir „Įspėjimai ir atsargumo priemonės“;</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prokainamido (vaistas nuo nereguliaraus širdies plakimo),</w:t>
      </w:r>
    </w:p>
    <w:p w:rsidR="00E93252" w:rsidRPr="00BA0735" w:rsidRDefault="00E93252" w:rsidP="00E93252">
      <w:pPr>
        <w:widowControl w:val="0"/>
        <w:numPr>
          <w:ilvl w:val="0"/>
          <w:numId w:val="41"/>
        </w:numPr>
        <w:ind w:left="567" w:hanging="567"/>
        <w:rPr>
          <w:sz w:val="22"/>
          <w:szCs w:val="22"/>
          <w:lang w:val="lt-LT"/>
        </w:rPr>
      </w:pPr>
      <w:r w:rsidRPr="00BA0735">
        <w:rPr>
          <w:sz w:val="22"/>
          <w:szCs w:val="22"/>
          <w:lang w:val="lt-LT"/>
        </w:rPr>
        <w:t>alopurinolio (juo gydoma podagra),</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terfenadino ar astemizolo</w:t>
      </w:r>
      <w:r w:rsidRPr="00BA0735">
        <w:rPr>
          <w:sz w:val="22"/>
          <w:szCs w:val="22"/>
          <w:lang w:val="lt-LT"/>
        </w:rPr>
        <w:t>, mizolastino</w:t>
      </w:r>
      <w:r w:rsidRPr="00BA0735">
        <w:rPr>
          <w:rFonts w:eastAsia="Batang"/>
          <w:sz w:val="22"/>
          <w:szCs w:val="22"/>
          <w:lang w:val="lt-LT"/>
        </w:rPr>
        <w:t xml:space="preserve"> (antihistamininiai preparatai nuo šienligės ir alergijos),</w:t>
      </w:r>
    </w:p>
    <w:p w:rsidR="00E93252" w:rsidRPr="00BA0735" w:rsidRDefault="00E93252" w:rsidP="00E93252">
      <w:pPr>
        <w:widowControl w:val="0"/>
        <w:numPr>
          <w:ilvl w:val="0"/>
          <w:numId w:val="41"/>
        </w:numPr>
        <w:ind w:left="567" w:hanging="567"/>
        <w:rPr>
          <w:sz w:val="22"/>
          <w:szCs w:val="22"/>
          <w:lang w:val="lt-LT"/>
        </w:rPr>
      </w:pPr>
      <w:r w:rsidRPr="00BA0735">
        <w:rPr>
          <w:sz w:val="22"/>
          <w:szCs w:val="22"/>
          <w:lang w:val="lt-LT"/>
        </w:rPr>
        <w:t>kortikosteroidų, kuriais gydomi įvairūs sutrikimai, įskaitant sunkią astmą ir reumatoidinį artritą,</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imunosupresantų (vaistai, vartojami autoimuninėms ligoms gydyti ir organų atmetimo profilaktikai po organų persodinimo), pvz., ciklosporinas,</w:t>
      </w:r>
      <w:r w:rsidR="009C430A">
        <w:rPr>
          <w:rFonts w:eastAsia="Batang"/>
          <w:sz w:val="22"/>
          <w:szCs w:val="22"/>
          <w:lang w:val="lt-LT"/>
        </w:rPr>
        <w:t xml:space="preserve"> takrolimuzas,</w:t>
      </w:r>
    </w:p>
    <w:p w:rsidR="00E93252" w:rsidRPr="00BA0735" w:rsidRDefault="00E93252" w:rsidP="00E93252">
      <w:pPr>
        <w:widowControl w:val="0"/>
        <w:numPr>
          <w:ilvl w:val="0"/>
          <w:numId w:val="41"/>
        </w:numPr>
        <w:autoSpaceDE w:val="0"/>
        <w:autoSpaceDN w:val="0"/>
        <w:adjustRightInd w:val="0"/>
        <w:ind w:left="567" w:hanging="567"/>
        <w:rPr>
          <w:sz w:val="22"/>
          <w:szCs w:val="22"/>
          <w:lang w:val="lt-LT"/>
        </w:rPr>
      </w:pPr>
      <w:r w:rsidRPr="00BA0735">
        <w:rPr>
          <w:sz w:val="22"/>
          <w:szCs w:val="22"/>
          <w:lang w:val="lt-LT"/>
        </w:rPr>
        <w:t>vaistų nuo vėžio,</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injekcinio eritromicino (antibiotiko)</w:t>
      </w:r>
      <w:r w:rsidRPr="00BA0735">
        <w:rPr>
          <w:sz w:val="22"/>
          <w:szCs w:val="22"/>
          <w:lang w:val="lt-LT"/>
        </w:rPr>
        <w:t>,</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halofantrino (preparatas nuo kai kurių maliarijos rūšių),</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cisaprido arba difemanilo (skrandžio ir žarnyno sutrikimų gydymui),</w:t>
      </w:r>
    </w:p>
    <w:p w:rsidR="00E93252" w:rsidRPr="00BA0735" w:rsidRDefault="00E93252" w:rsidP="00E93252">
      <w:pPr>
        <w:widowControl w:val="0"/>
        <w:numPr>
          <w:ilvl w:val="0"/>
          <w:numId w:val="41"/>
        </w:numPr>
        <w:ind w:left="567" w:hanging="567"/>
        <w:rPr>
          <w:rFonts w:eastAsia="Batang"/>
          <w:sz w:val="22"/>
          <w:szCs w:val="22"/>
          <w:lang w:val="lt-LT"/>
        </w:rPr>
      </w:pPr>
      <w:r w:rsidRPr="00BA0735">
        <w:rPr>
          <w:sz w:val="22"/>
          <w:szCs w:val="22"/>
          <w:lang w:val="lt-LT"/>
        </w:rPr>
        <w:lastRenderedPageBreak/>
        <w:t>moksifloksacino, sparfloksacino</w:t>
      </w:r>
      <w:r w:rsidRPr="00BA0735">
        <w:rPr>
          <w:rFonts w:eastAsia="Batang"/>
          <w:sz w:val="22"/>
          <w:szCs w:val="22"/>
          <w:lang w:val="lt-LT"/>
        </w:rPr>
        <w:t xml:space="preserve"> preparatų (antibiotikai infekcijų gydymui),</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metadono,</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pentamidino (vaistas nuo plaučių uždegimo),</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vinkamino (vaistas senyvų pacientų atminties praradimo gydymui),</w:t>
      </w:r>
    </w:p>
    <w:p w:rsidR="009C430A" w:rsidRDefault="00E93252" w:rsidP="008B3A7C">
      <w:pPr>
        <w:widowControl w:val="0"/>
        <w:numPr>
          <w:ilvl w:val="0"/>
          <w:numId w:val="41"/>
        </w:numPr>
        <w:ind w:left="567" w:hanging="567"/>
        <w:rPr>
          <w:rFonts w:eastAsia="Batang"/>
          <w:sz w:val="22"/>
          <w:szCs w:val="22"/>
          <w:lang w:val="lt-LT"/>
        </w:rPr>
      </w:pPr>
      <w:r w:rsidRPr="00BA0735">
        <w:rPr>
          <w:rFonts w:eastAsia="Batang"/>
          <w:sz w:val="22"/>
          <w:szCs w:val="22"/>
          <w:lang w:val="lt-LT"/>
        </w:rPr>
        <w:t>bepridilio (juo gydoma krūtinės angina),</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vaistų nuo širdies ritmo sutrikimo (pvz., chinidinas, hidrochinidinas, dizopiramidas, amjodaronas, sotalolis,</w:t>
      </w:r>
      <w:r w:rsidRPr="00BA0735">
        <w:rPr>
          <w:sz w:val="22"/>
          <w:szCs w:val="22"/>
          <w:lang w:val="lt-LT"/>
        </w:rPr>
        <w:t xml:space="preserve"> </w:t>
      </w:r>
      <w:r w:rsidRPr="00BA0735">
        <w:rPr>
          <w:rFonts w:eastAsia="Batang"/>
          <w:sz w:val="22"/>
          <w:szCs w:val="22"/>
          <w:lang w:val="lt-LT"/>
        </w:rPr>
        <w:t>dofetilidas, ibutilidas</w:t>
      </w:r>
      <w:r w:rsidR="00D813FD">
        <w:rPr>
          <w:rFonts w:eastAsia="Batang"/>
          <w:sz w:val="22"/>
          <w:szCs w:val="22"/>
          <w:lang w:val="lt-LT"/>
        </w:rPr>
        <w:t>, bretilis</w:t>
      </w:r>
      <w:r w:rsidRPr="00BA0735">
        <w:rPr>
          <w:rFonts w:eastAsia="Batang"/>
          <w:sz w:val="22"/>
          <w:szCs w:val="22"/>
          <w:lang w:val="lt-LT"/>
        </w:rPr>
        <w:t>),</w:t>
      </w:r>
    </w:p>
    <w:p w:rsidR="009C430A" w:rsidRPr="009C430A" w:rsidRDefault="009C430A" w:rsidP="009C430A">
      <w:pPr>
        <w:widowControl w:val="0"/>
        <w:numPr>
          <w:ilvl w:val="0"/>
          <w:numId w:val="41"/>
        </w:numPr>
        <w:ind w:left="567" w:hanging="567"/>
        <w:rPr>
          <w:rFonts w:eastAsia="Batang"/>
          <w:sz w:val="22"/>
          <w:szCs w:val="22"/>
          <w:lang w:val="lt-LT"/>
        </w:rPr>
      </w:pPr>
      <w:r w:rsidRPr="009C430A">
        <w:rPr>
          <w:rFonts w:eastAsia="Batang"/>
          <w:sz w:val="22"/>
          <w:szCs w:val="22"/>
          <w:lang w:val="lt-LT"/>
        </w:rPr>
        <w:t>cisaprido, difemanil</w:t>
      </w:r>
      <w:r w:rsidR="001B572E">
        <w:rPr>
          <w:rFonts w:eastAsia="Batang"/>
          <w:sz w:val="22"/>
          <w:szCs w:val="22"/>
          <w:lang w:val="lt-LT"/>
        </w:rPr>
        <w:t>i</w:t>
      </w:r>
      <w:r w:rsidRPr="009C430A">
        <w:rPr>
          <w:rFonts w:eastAsia="Batang"/>
          <w:sz w:val="22"/>
          <w:szCs w:val="22"/>
          <w:lang w:val="lt-LT"/>
        </w:rPr>
        <w:t>o (vartojamų skrandžio ir virškinimo sutrikimams gydyti)</w:t>
      </w:r>
      <w:r>
        <w:rPr>
          <w:rFonts w:eastAsia="Batang"/>
          <w:sz w:val="22"/>
          <w:szCs w:val="22"/>
          <w:lang w:val="lt-LT"/>
        </w:rPr>
        <w:t>,</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digoksino ir kitokių širdį veikiančių glikozidų (jais gydomos širdies ligos),</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baklofenas (preparatas, mažinantis raumenų sustingimą, atsirandantį sergant kai kuriomis ligomis, pvz., išsėtine skleroze),</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preparatų nuo cukrinio diabeto, pvz., insulinas, metforminas</w:t>
      </w:r>
      <w:r w:rsidRPr="00BA0735">
        <w:rPr>
          <w:sz w:val="22"/>
          <w:szCs w:val="22"/>
          <w:lang w:val="lt-LT"/>
        </w:rPr>
        <w:t xml:space="preserve"> arba </w:t>
      </w:r>
      <w:r w:rsidR="00D813FD">
        <w:rPr>
          <w:sz w:val="22"/>
          <w:szCs w:val="22"/>
          <w:lang w:val="lt-LT"/>
        </w:rPr>
        <w:t>gliptinai</w:t>
      </w:r>
      <w:r w:rsidRPr="00BA0735">
        <w:rPr>
          <w:rFonts w:eastAsia="Batang"/>
          <w:sz w:val="22"/>
          <w:szCs w:val="22"/>
          <w:lang w:val="lt-LT"/>
        </w:rPr>
        <w:t>,</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kalcio preparatų, įskaitant kalcio papildus,</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stimuliuojamojo poveikio vidurių laisvinamųjų preparatų, pvz., senos preparatai,</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nesteroidinių vaistų nuo uždegimo (pvz., ibuprofenas), didelę salicilatų (pvz., aspirino) dozę,</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injekcinių amfotericino B preparatų (jais gydomos sunkios grybelių sukeltos ligos),</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vaistų psichikos sutrikimams, pvz., depresijai, nerimui, šizofrenijai, gydyti, pvz., tricikliai antidepresantai, neuroleptikai (tokie kaip amisulpridas, sulpiridas, sultopridas, tiapridas, haloperidolis, droperidolis).</w:t>
      </w:r>
    </w:p>
    <w:p w:rsidR="00D813FD" w:rsidRDefault="00E93252" w:rsidP="008B3A7C">
      <w:pPr>
        <w:widowControl w:val="0"/>
        <w:numPr>
          <w:ilvl w:val="0"/>
          <w:numId w:val="41"/>
        </w:numPr>
        <w:ind w:left="567" w:hanging="567"/>
        <w:rPr>
          <w:rFonts w:eastAsia="Batang"/>
          <w:sz w:val="22"/>
          <w:szCs w:val="22"/>
          <w:lang w:val="lt-LT"/>
        </w:rPr>
      </w:pPr>
      <w:r w:rsidRPr="00BA0735">
        <w:rPr>
          <w:rFonts w:eastAsia="Batang"/>
          <w:sz w:val="22"/>
          <w:szCs w:val="22"/>
          <w:lang w:val="lt-LT"/>
        </w:rPr>
        <w:t>tetrakozaktido (vaistas nuo Krono ligos).</w:t>
      </w:r>
    </w:p>
    <w:p w:rsidR="00D813FD" w:rsidRPr="00D813FD" w:rsidRDefault="00D813FD" w:rsidP="008B3A7C">
      <w:pPr>
        <w:widowControl w:val="0"/>
        <w:numPr>
          <w:ilvl w:val="0"/>
          <w:numId w:val="41"/>
        </w:numPr>
        <w:ind w:left="567" w:hanging="567"/>
        <w:rPr>
          <w:rFonts w:eastAsia="Batang"/>
          <w:sz w:val="22"/>
          <w:szCs w:val="22"/>
          <w:lang w:val="lt-LT"/>
        </w:rPr>
      </w:pPr>
      <w:r w:rsidRPr="00D813FD">
        <w:rPr>
          <w:rFonts w:eastAsia="Batang"/>
          <w:sz w:val="22"/>
          <w:szCs w:val="22"/>
          <w:lang w:val="lt-LT"/>
        </w:rPr>
        <w:t>kraujagysles plečianči</w:t>
      </w:r>
      <w:r w:rsidR="001B572E">
        <w:rPr>
          <w:rFonts w:eastAsia="Batang"/>
          <w:sz w:val="22"/>
          <w:szCs w:val="22"/>
          <w:lang w:val="lt-LT"/>
        </w:rPr>
        <w:t>ų</w:t>
      </w:r>
      <w:r w:rsidRPr="00D813FD">
        <w:rPr>
          <w:rFonts w:eastAsia="Batang"/>
          <w:sz w:val="22"/>
          <w:szCs w:val="22"/>
          <w:lang w:val="lt-LT"/>
        </w:rPr>
        <w:t xml:space="preserve"> vaist</w:t>
      </w:r>
      <w:r w:rsidR="001B572E">
        <w:rPr>
          <w:rFonts w:eastAsia="Batang"/>
          <w:sz w:val="22"/>
          <w:szCs w:val="22"/>
          <w:lang w:val="lt-LT"/>
        </w:rPr>
        <w:t>ų</w:t>
      </w:r>
      <w:r w:rsidRPr="00D813FD">
        <w:rPr>
          <w:rFonts w:eastAsia="Batang"/>
          <w:sz w:val="22"/>
          <w:szCs w:val="22"/>
          <w:lang w:val="lt-LT"/>
        </w:rPr>
        <w:t>, įskaitant nitratus (produktai, kurie plečia kraujagysles)</w:t>
      </w:r>
      <w:r>
        <w:rPr>
          <w:rFonts w:eastAsia="Batang"/>
          <w:sz w:val="22"/>
          <w:szCs w:val="22"/>
          <w:lang w:val="lt-LT"/>
        </w:rPr>
        <w:t>.</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injekcinių aukso preparatų (jais gydomas reumatoidinis poliartritas).</w:t>
      </w:r>
    </w:p>
    <w:p w:rsidR="00E93252" w:rsidRPr="00BA0735" w:rsidRDefault="00E93252" w:rsidP="00E93252">
      <w:pPr>
        <w:widowControl w:val="0"/>
        <w:numPr>
          <w:ilvl w:val="0"/>
          <w:numId w:val="41"/>
        </w:numPr>
        <w:ind w:left="567" w:hanging="567"/>
        <w:rPr>
          <w:rFonts w:eastAsia="Batang"/>
          <w:sz w:val="22"/>
          <w:szCs w:val="22"/>
          <w:lang w:val="lt-LT"/>
        </w:rPr>
      </w:pPr>
      <w:r w:rsidRPr="00BA0735">
        <w:rPr>
          <w:rFonts w:eastAsia="Batang"/>
          <w:sz w:val="22"/>
          <w:szCs w:val="22"/>
          <w:lang w:val="lt-LT"/>
        </w:rPr>
        <w:t>anestetikų prieš operacija ar operacijos metu,</w:t>
      </w:r>
    </w:p>
    <w:p w:rsidR="00E93252" w:rsidRPr="00BA0735" w:rsidRDefault="00E93252" w:rsidP="00E93252">
      <w:pPr>
        <w:widowControl w:val="0"/>
        <w:numPr>
          <w:ilvl w:val="0"/>
          <w:numId w:val="41"/>
        </w:numPr>
        <w:autoSpaceDE w:val="0"/>
        <w:autoSpaceDN w:val="0"/>
        <w:adjustRightInd w:val="0"/>
        <w:ind w:left="567" w:hanging="567"/>
        <w:rPr>
          <w:sz w:val="22"/>
          <w:szCs w:val="22"/>
          <w:lang w:val="lt-LT"/>
        </w:rPr>
      </w:pPr>
      <w:r w:rsidRPr="00BA0735">
        <w:rPr>
          <w:sz w:val="22"/>
          <w:szCs w:val="22"/>
          <w:lang w:val="lt-LT"/>
        </w:rPr>
        <w:t>kontrastą sukeliančių medžiagų, kurių vartojama į veną prieš specialius rentgenologinius tyrimus,</w:t>
      </w:r>
    </w:p>
    <w:p w:rsidR="00E93252" w:rsidRPr="00BA0735" w:rsidRDefault="00E93252" w:rsidP="00E93252">
      <w:pPr>
        <w:pStyle w:val="Sraopastraipa"/>
        <w:widowControl w:val="0"/>
        <w:numPr>
          <w:ilvl w:val="0"/>
          <w:numId w:val="41"/>
        </w:numPr>
        <w:spacing w:after="0" w:line="240" w:lineRule="auto"/>
        <w:ind w:left="567" w:hanging="567"/>
        <w:rPr>
          <w:rFonts w:ascii="Times New Roman" w:eastAsia="Times New Roman" w:hAnsi="Times New Roman"/>
          <w:lang w:eastAsia="sl-SI"/>
        </w:rPr>
      </w:pPr>
      <w:r w:rsidRPr="00BA0735">
        <w:rPr>
          <w:rFonts w:ascii="Times New Roman" w:hAnsi="Times New Roman"/>
        </w:rPr>
        <w:t>v</w:t>
      </w:r>
      <w:r w:rsidRPr="00BA0735">
        <w:rPr>
          <w:rFonts w:ascii="Times New Roman" w:eastAsia="Times New Roman" w:hAnsi="Times New Roman"/>
          <w:lang w:eastAsia="sl-SI"/>
        </w:rPr>
        <w:t>aistų, kurie dažniausiai naudojami gydyti viduriavimą (racekadotrilis) arba išvengti persodintų organų atmetimo (sirolimuzas, everolimas, temsirolimuzas ir kiti vaistai, priklausantys vadinamųjų mTOR inhibitorių klasei). Žr. skyrių „Įspėjimai ir atsargumo priemonės“;</w:t>
      </w:r>
    </w:p>
    <w:p w:rsidR="00E93252" w:rsidRPr="00BA0735" w:rsidRDefault="00E93252" w:rsidP="00E93252">
      <w:pPr>
        <w:numPr>
          <w:ilvl w:val="0"/>
          <w:numId w:val="41"/>
        </w:numPr>
        <w:ind w:left="567" w:hanging="567"/>
        <w:rPr>
          <w:sz w:val="22"/>
          <w:szCs w:val="22"/>
          <w:lang w:val="lt-LT"/>
        </w:rPr>
      </w:pPr>
      <w:r w:rsidRPr="00BA0735">
        <w:rPr>
          <w:sz w:val="22"/>
          <w:szCs w:val="22"/>
          <w:lang w:val="lt-LT"/>
        </w:rPr>
        <w:t>vaistai sumažėjusiam kraujospūdžiui, šokui ar astmai gydyti (pvz.: efedrinas, noradrenalinas, adrenalinas).</w:t>
      </w:r>
    </w:p>
    <w:p w:rsidR="00E93252" w:rsidRPr="00BA0735" w:rsidRDefault="00E93252" w:rsidP="00E93252">
      <w:pPr>
        <w:widowControl w:val="0"/>
        <w:autoSpaceDE w:val="0"/>
        <w:autoSpaceDN w:val="0"/>
        <w:adjustRightInd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Jūsų gydytojui gali tekti pakeisti vaisto dozę ir (arba) imtis kitų atsargumo priemonių:</w:t>
      </w:r>
    </w:p>
    <w:p w:rsidR="00E93252" w:rsidRPr="00BA0735" w:rsidRDefault="00E93252" w:rsidP="00E93252">
      <w:pPr>
        <w:widowControl w:val="0"/>
        <w:numPr>
          <w:ilvl w:val="0"/>
          <w:numId w:val="16"/>
        </w:numPr>
        <w:rPr>
          <w:sz w:val="22"/>
          <w:szCs w:val="22"/>
          <w:lang w:val="lt-LT"/>
        </w:rPr>
      </w:pPr>
      <w:r w:rsidRPr="00BA0735">
        <w:rPr>
          <w:sz w:val="22"/>
          <w:szCs w:val="22"/>
          <w:lang w:val="lt-LT"/>
        </w:rPr>
        <w:t xml:space="preserve">jeigu vartojate angiotenzino II receptorių blokatorių (ARB) arba aliskireną (taip pat žiūrėkite informaciją, pateiktą poskyriuose „Prenewel vartoti </w:t>
      </w:r>
      <w:r w:rsidR="00FE088C">
        <w:rPr>
          <w:rFonts w:eastAsia="Batang"/>
          <w:sz w:val="22"/>
          <w:szCs w:val="22"/>
          <w:lang w:val="lt-LT"/>
        </w:rPr>
        <w:t>draudžiama</w:t>
      </w:r>
      <w:r w:rsidRPr="00BA0735">
        <w:rPr>
          <w:sz w:val="22"/>
          <w:szCs w:val="22"/>
          <w:lang w:val="lt-LT"/>
        </w:rPr>
        <w:t>“ ir „Įspėjimai ir atsargumo priemonės“)</w:t>
      </w:r>
    </w:p>
    <w:p w:rsidR="00E93252" w:rsidRPr="00BA0735" w:rsidRDefault="00E93252" w:rsidP="00E93252">
      <w:pPr>
        <w:widowControl w:val="0"/>
        <w:rPr>
          <w:b/>
          <w:sz w:val="22"/>
          <w:szCs w:val="22"/>
          <w:lang w:val="lt-LT"/>
        </w:rPr>
      </w:pPr>
    </w:p>
    <w:p w:rsidR="00E93252" w:rsidRPr="00BA0735" w:rsidRDefault="00E93252" w:rsidP="00E93252">
      <w:pPr>
        <w:widowControl w:val="0"/>
        <w:autoSpaceDE w:val="0"/>
        <w:autoSpaceDN w:val="0"/>
        <w:adjustRightInd w:val="0"/>
        <w:rPr>
          <w:sz w:val="22"/>
          <w:szCs w:val="22"/>
          <w:lang w:val="lt-LT"/>
        </w:rPr>
      </w:pPr>
      <w:r w:rsidRPr="00BA0735">
        <w:rPr>
          <w:sz w:val="22"/>
          <w:szCs w:val="22"/>
          <w:lang w:val="lt-LT"/>
        </w:rPr>
        <w:t>Jei abejojate, kurie vaistai priklauso išvardytiems, klauskite gydytojo.</w:t>
      </w:r>
    </w:p>
    <w:p w:rsidR="00E93252" w:rsidRPr="00BA0735" w:rsidRDefault="00E93252" w:rsidP="00E93252">
      <w:pPr>
        <w:widowControl w:val="0"/>
        <w:rPr>
          <w:sz w:val="22"/>
          <w:szCs w:val="22"/>
          <w:lang w:val="lt-LT"/>
        </w:rPr>
      </w:pPr>
    </w:p>
    <w:p w:rsidR="00E93252" w:rsidRPr="00BA0735" w:rsidRDefault="00E93252" w:rsidP="00E93252">
      <w:pPr>
        <w:widowControl w:val="0"/>
        <w:rPr>
          <w:b/>
          <w:bCs/>
          <w:sz w:val="22"/>
          <w:szCs w:val="22"/>
          <w:lang w:val="lt-LT"/>
        </w:rPr>
      </w:pPr>
      <w:r w:rsidRPr="00BA0735">
        <w:rPr>
          <w:b/>
          <w:bCs/>
          <w:sz w:val="22"/>
          <w:szCs w:val="22"/>
          <w:lang w:val="lt-LT"/>
        </w:rPr>
        <w:t>Prenewel 2 mg/0,625 mg tablečių vartojimas su maistu ir gėrimais</w:t>
      </w:r>
    </w:p>
    <w:p w:rsidR="00E93252" w:rsidRPr="00BA0735" w:rsidRDefault="00E93252" w:rsidP="00E93252">
      <w:pPr>
        <w:widowControl w:val="0"/>
        <w:rPr>
          <w:sz w:val="22"/>
          <w:szCs w:val="22"/>
          <w:lang w:val="lt-LT"/>
        </w:rPr>
      </w:pPr>
      <w:r w:rsidRPr="00BA0735">
        <w:rPr>
          <w:sz w:val="22"/>
          <w:szCs w:val="22"/>
          <w:lang w:val="lt-LT"/>
        </w:rPr>
        <w:t>Prenewel 2 mg/0,625 mg</w:t>
      </w:r>
      <w:r w:rsidRPr="00BA0735">
        <w:rPr>
          <w:b/>
          <w:sz w:val="22"/>
          <w:szCs w:val="22"/>
          <w:lang w:val="lt-LT"/>
        </w:rPr>
        <w:t xml:space="preserve"> </w:t>
      </w:r>
      <w:r w:rsidRPr="00BA0735">
        <w:rPr>
          <w:sz w:val="22"/>
          <w:szCs w:val="22"/>
          <w:lang w:val="lt-LT"/>
        </w:rPr>
        <w:t>tabletes geriausia vartoti prieš valgį.</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Nėštumas ir žindymo laikotarpis</w:t>
      </w:r>
    </w:p>
    <w:p w:rsidR="00E93252" w:rsidRPr="00BA0735" w:rsidRDefault="00E93252" w:rsidP="00E93252">
      <w:pPr>
        <w:widowControl w:val="0"/>
        <w:rPr>
          <w:sz w:val="22"/>
          <w:szCs w:val="22"/>
          <w:lang w:val="lt-LT"/>
        </w:rPr>
      </w:pPr>
      <w:r w:rsidRPr="00BA0735">
        <w:rPr>
          <w:sz w:val="22"/>
          <w:szCs w:val="22"/>
          <w:lang w:val="lt-LT"/>
        </w:rPr>
        <w:t>Jeigu esate nėščia, žindote kūdikį, manote, kad galbūt esate nėščia, arba planuojate pastoti, tai prieš vartodama šį vaistą, pasitarkite su gydytoju arba vaistininku.</w:t>
      </w:r>
    </w:p>
    <w:p w:rsidR="00E93252" w:rsidRPr="00BA0735" w:rsidRDefault="00E93252" w:rsidP="00E93252">
      <w:pPr>
        <w:widowControl w:val="0"/>
        <w:outlineLvl w:val="0"/>
        <w:rPr>
          <w:i/>
          <w:sz w:val="22"/>
          <w:szCs w:val="22"/>
          <w:lang w:val="lt-LT"/>
        </w:rPr>
      </w:pPr>
    </w:p>
    <w:p w:rsidR="00E93252" w:rsidRPr="00BA0735" w:rsidRDefault="00E93252" w:rsidP="00E93252">
      <w:pPr>
        <w:widowControl w:val="0"/>
        <w:outlineLvl w:val="0"/>
        <w:rPr>
          <w:i/>
          <w:sz w:val="22"/>
          <w:szCs w:val="22"/>
          <w:lang w:val="lt-LT"/>
        </w:rPr>
      </w:pPr>
      <w:r w:rsidRPr="00BA0735">
        <w:rPr>
          <w:i/>
          <w:sz w:val="22"/>
          <w:szCs w:val="22"/>
          <w:lang w:val="lt-LT"/>
        </w:rPr>
        <w:t>Nėštumas</w:t>
      </w:r>
    </w:p>
    <w:p w:rsidR="00E93252" w:rsidRPr="00BA0735" w:rsidRDefault="00E93252" w:rsidP="00E93252">
      <w:pPr>
        <w:widowControl w:val="0"/>
        <w:outlineLvl w:val="0"/>
        <w:rPr>
          <w:sz w:val="22"/>
          <w:szCs w:val="22"/>
          <w:lang w:val="lt-LT"/>
        </w:rPr>
      </w:pPr>
      <w:r w:rsidRPr="00BA0735">
        <w:rPr>
          <w:sz w:val="22"/>
          <w:szCs w:val="22"/>
          <w:lang w:val="lt-LT"/>
        </w:rPr>
        <w:t>Jeigu esate nėščia (</w:t>
      </w:r>
      <w:r w:rsidRPr="00526D52">
        <w:rPr>
          <w:sz w:val="22"/>
          <w:szCs w:val="22"/>
          <w:lang w:val="lt-LT"/>
        </w:rPr>
        <w:t>manote, kad galite būti pastojusi</w:t>
      </w:r>
      <w:r w:rsidRPr="00BA0735">
        <w:rPr>
          <w:sz w:val="22"/>
          <w:szCs w:val="22"/>
          <w:lang w:val="lt-LT"/>
        </w:rPr>
        <w:t>), pasakykite apie tai gydytojui. Jūsų gydytojas lieps Jums nebevartoti vaisto prieš planuojant pastojimą arba iš karto sužinojus apie nėštumą ir paskirs kitą vaistinį preparatą vietoje Prenewel. Prenewel yra nerekomenduojamos ankstyvojo nėštumo laikotarpiu ir negali būti vartojamas, jei esate daugiau kaip tris mėnesius nėščia, nes tuomet jis gali labai pakenkti jūsų kūdikiui.</w:t>
      </w:r>
    </w:p>
    <w:p w:rsidR="00E93252" w:rsidRPr="00BA0735" w:rsidRDefault="00E93252" w:rsidP="00E93252">
      <w:pPr>
        <w:widowControl w:val="0"/>
        <w:outlineLvl w:val="0"/>
        <w:rPr>
          <w:sz w:val="22"/>
          <w:szCs w:val="22"/>
          <w:lang w:val="lt-LT"/>
        </w:rPr>
      </w:pPr>
    </w:p>
    <w:p w:rsidR="00E93252" w:rsidRPr="00BA0735" w:rsidRDefault="00E93252" w:rsidP="00E93252">
      <w:pPr>
        <w:widowControl w:val="0"/>
        <w:outlineLvl w:val="0"/>
        <w:rPr>
          <w:i/>
          <w:sz w:val="22"/>
          <w:szCs w:val="22"/>
          <w:lang w:val="lt-LT"/>
        </w:rPr>
      </w:pPr>
      <w:r w:rsidRPr="00BA0735">
        <w:rPr>
          <w:i/>
          <w:sz w:val="22"/>
          <w:szCs w:val="22"/>
          <w:lang w:val="lt-LT"/>
        </w:rPr>
        <w:t>Žindymo laikotarpis</w:t>
      </w:r>
    </w:p>
    <w:p w:rsidR="00E93252" w:rsidRPr="00BA0735" w:rsidRDefault="00E93252" w:rsidP="00E93252">
      <w:pPr>
        <w:widowControl w:val="0"/>
        <w:jc w:val="both"/>
        <w:rPr>
          <w:sz w:val="22"/>
          <w:szCs w:val="22"/>
          <w:lang w:val="lt-LT"/>
        </w:rPr>
      </w:pPr>
      <w:r w:rsidRPr="00BA0735">
        <w:rPr>
          <w:sz w:val="22"/>
          <w:szCs w:val="22"/>
          <w:lang w:val="lt-LT"/>
        </w:rPr>
        <w:t>Pasakykite savo gydytojui, jei maitinate krūtimi ar ruošiatės pradėti tai daryti. Prenewel tablečių krūtimi maitinančioms motinoms vartoti negalima. Jei motina nori maitinti krūtimi, gydytojas gali paskirti kitą vaistą, ypač jei norima žindyti naujagimį.</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Vairavimas ir mechanizmų valdymas</w:t>
      </w:r>
    </w:p>
    <w:p w:rsidR="00E93252" w:rsidRPr="00BA0735" w:rsidRDefault="00E93252" w:rsidP="00E93252">
      <w:pPr>
        <w:widowControl w:val="0"/>
        <w:rPr>
          <w:sz w:val="22"/>
          <w:szCs w:val="22"/>
          <w:lang w:val="lt-LT"/>
        </w:rPr>
      </w:pPr>
      <w:r w:rsidRPr="00BA0735">
        <w:rPr>
          <w:sz w:val="22"/>
          <w:szCs w:val="22"/>
          <w:lang w:val="lt-LT"/>
        </w:rPr>
        <w:t xml:space="preserve">Prenewel tabletės budrumo paprastai neveikia, tačiau kai kuriems žmonėms gali pasireikšti įvairių </w:t>
      </w:r>
      <w:r w:rsidRPr="00526D52">
        <w:rPr>
          <w:sz w:val="22"/>
          <w:szCs w:val="22"/>
          <w:u w:val="single"/>
          <w:lang w:val="lt-LT"/>
        </w:rPr>
        <w:t>su kraujospūdžio sumažėjimu susijusių reakcijų</w:t>
      </w:r>
      <w:r w:rsidRPr="00BA0735">
        <w:rPr>
          <w:sz w:val="22"/>
          <w:szCs w:val="22"/>
          <w:lang w:val="lt-LT"/>
        </w:rPr>
        <w:t>, pvz., svaigulys ar silpnumas. Tokiu atveju gebėjimas vairuoti ir valdyti mechanizmus gali pablogėti.</w:t>
      </w:r>
    </w:p>
    <w:p w:rsidR="00E93252" w:rsidRPr="00BA0735" w:rsidRDefault="00E93252" w:rsidP="00E93252">
      <w:pPr>
        <w:widowControl w:val="0"/>
        <w:rPr>
          <w:sz w:val="22"/>
          <w:szCs w:val="22"/>
          <w:lang w:val="lt-LT"/>
        </w:rPr>
      </w:pPr>
    </w:p>
    <w:p w:rsidR="00E93252" w:rsidRPr="00BA0735" w:rsidRDefault="00E93252" w:rsidP="00E93252">
      <w:pPr>
        <w:widowControl w:val="0"/>
        <w:rPr>
          <w:b/>
          <w:bCs/>
          <w:sz w:val="22"/>
          <w:szCs w:val="22"/>
          <w:lang w:val="lt-LT"/>
        </w:rPr>
      </w:pPr>
      <w:r w:rsidRPr="00BA0735">
        <w:rPr>
          <w:b/>
          <w:sz w:val="22"/>
          <w:szCs w:val="22"/>
          <w:lang w:val="lt-LT"/>
        </w:rPr>
        <w:t xml:space="preserve">Prenewel 2 mg/0,625 mg </w:t>
      </w:r>
      <w:r w:rsidRPr="00BA0735">
        <w:rPr>
          <w:b/>
          <w:bCs/>
          <w:sz w:val="22"/>
          <w:szCs w:val="22"/>
          <w:lang w:val="lt-LT"/>
        </w:rPr>
        <w:t>tablečių</w:t>
      </w:r>
      <w:r w:rsidRPr="00BA0735">
        <w:rPr>
          <w:b/>
          <w:sz w:val="22"/>
          <w:szCs w:val="22"/>
          <w:lang w:val="lt-LT"/>
        </w:rPr>
        <w:t xml:space="preserve"> sudėtyje yra laktozės monohidrato</w:t>
      </w:r>
      <w:r w:rsidRPr="00BA0735">
        <w:rPr>
          <w:rFonts w:eastAsia="Calibri"/>
          <w:b/>
          <w:sz w:val="22"/>
          <w:szCs w:val="22"/>
          <w:lang w:val="lt-LT"/>
        </w:rPr>
        <w:t xml:space="preserve"> ir natrio</w:t>
      </w:r>
    </w:p>
    <w:p w:rsidR="00E93252" w:rsidRPr="00BA0735" w:rsidRDefault="00E93252" w:rsidP="00E93252">
      <w:pPr>
        <w:widowControl w:val="0"/>
        <w:rPr>
          <w:b/>
          <w:bCs/>
          <w:sz w:val="22"/>
          <w:szCs w:val="22"/>
          <w:lang w:val="lt-LT"/>
        </w:rPr>
      </w:pPr>
    </w:p>
    <w:p w:rsidR="00E93252" w:rsidRPr="00BA0735" w:rsidRDefault="00E93252" w:rsidP="00E93252">
      <w:pPr>
        <w:widowControl w:val="0"/>
        <w:rPr>
          <w:sz w:val="22"/>
          <w:szCs w:val="22"/>
          <w:lang w:val="lt-LT"/>
        </w:rPr>
      </w:pPr>
      <w:r w:rsidRPr="00BA0735">
        <w:rPr>
          <w:sz w:val="22"/>
          <w:szCs w:val="22"/>
          <w:lang w:val="lt-LT"/>
        </w:rPr>
        <w:t>Jeigu gydytojas Jums yra sakęs, kad netoleruojate kokių nors angliavandenių, kreipkitės į jį prieš pradėdami vartoti šį vaistą.</w:t>
      </w:r>
    </w:p>
    <w:p w:rsidR="00E93252" w:rsidRPr="00BA0735" w:rsidRDefault="00E93252" w:rsidP="00E93252">
      <w:pPr>
        <w:widowControl w:val="0"/>
        <w:numPr>
          <w:ilvl w:val="12"/>
          <w:numId w:val="0"/>
        </w:numPr>
        <w:rPr>
          <w:sz w:val="22"/>
          <w:szCs w:val="22"/>
          <w:lang w:val="lt-LT"/>
        </w:rPr>
      </w:pPr>
      <w:r w:rsidRPr="00BA0735">
        <w:rPr>
          <w:sz w:val="22"/>
          <w:szCs w:val="22"/>
          <w:lang w:val="lt-LT"/>
        </w:rPr>
        <w:t>Šio vaisto tabletėje yra mažiau kaip 1 mmol (23 mg) natrio, t.y. jis beveik neturi reikšmės.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ind w:left="567" w:hanging="567"/>
        <w:outlineLvl w:val="1"/>
        <w:rPr>
          <w:b/>
          <w:sz w:val="22"/>
          <w:szCs w:val="22"/>
          <w:lang w:val="lt-LT"/>
        </w:rPr>
      </w:pPr>
      <w:bookmarkStart w:id="90" w:name="_Toc129243141"/>
      <w:bookmarkStart w:id="91" w:name="_Toc129243266"/>
      <w:r w:rsidRPr="00BA0735">
        <w:rPr>
          <w:b/>
          <w:sz w:val="22"/>
          <w:szCs w:val="22"/>
          <w:lang w:val="lt-LT"/>
        </w:rPr>
        <w:t>3.</w:t>
      </w:r>
      <w:r w:rsidRPr="00BA0735">
        <w:rPr>
          <w:b/>
          <w:sz w:val="22"/>
          <w:szCs w:val="22"/>
          <w:lang w:val="lt-LT"/>
        </w:rPr>
        <w:tab/>
        <w:t>Kaip vartoti Prenewel 2 mg/0,625 mg tabletes</w:t>
      </w:r>
      <w:bookmarkEnd w:id="90"/>
      <w:bookmarkEnd w:id="91"/>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Visada vartokite šį vaistą tiksliai kaip nurodė gydytojas arba vaistininkas. Jeigu abejojate, kreipkitės į gydytoją arba vaistininką.</w:t>
      </w:r>
    </w:p>
    <w:p w:rsidR="00E93252" w:rsidRPr="00BA0735" w:rsidRDefault="00E93252" w:rsidP="00E93252">
      <w:pPr>
        <w:widowControl w:val="0"/>
        <w:rPr>
          <w:sz w:val="22"/>
          <w:szCs w:val="22"/>
          <w:lang w:val="lt-LT"/>
        </w:rPr>
      </w:pPr>
    </w:p>
    <w:p w:rsidR="00E93252" w:rsidRPr="00BA0735" w:rsidRDefault="002A73A7" w:rsidP="00E93252">
      <w:pPr>
        <w:widowControl w:val="0"/>
        <w:rPr>
          <w:sz w:val="22"/>
          <w:szCs w:val="22"/>
          <w:lang w:val="lt-LT"/>
        </w:rPr>
      </w:pPr>
      <w:r>
        <w:rPr>
          <w:sz w:val="22"/>
          <w:szCs w:val="22"/>
          <w:lang w:val="lt-LT"/>
        </w:rPr>
        <w:t>Rekomenduojama</w:t>
      </w:r>
      <w:r w:rsidR="00E93252" w:rsidRPr="00BA0735">
        <w:rPr>
          <w:sz w:val="22"/>
          <w:szCs w:val="22"/>
          <w:lang w:val="lt-LT"/>
        </w:rPr>
        <w:t xml:space="preserve"> paros dozė yra viena tabletė, vartojama vieną kartą per parą.</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Jei Jūsų inkstų funkcija sutrikusi, gydytojas gali nuspręsti keisti dozę.</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Tabletę geriausia gerti ryte, prieš valgį.</w:t>
      </w:r>
    </w:p>
    <w:p w:rsidR="00E93252" w:rsidRPr="00BA0735" w:rsidRDefault="00E93252" w:rsidP="00E93252">
      <w:pPr>
        <w:widowControl w:val="0"/>
        <w:tabs>
          <w:tab w:val="left" w:pos="567"/>
        </w:tabs>
        <w:rPr>
          <w:sz w:val="22"/>
          <w:szCs w:val="22"/>
          <w:lang w:val="lt-LT"/>
        </w:rPr>
      </w:pPr>
    </w:p>
    <w:p w:rsidR="00E93252" w:rsidRPr="00BA0735" w:rsidRDefault="00E93252" w:rsidP="00E93252">
      <w:pPr>
        <w:widowControl w:val="0"/>
        <w:tabs>
          <w:tab w:val="left" w:pos="567"/>
        </w:tabs>
        <w:rPr>
          <w:sz w:val="22"/>
          <w:szCs w:val="22"/>
          <w:lang w:val="lt-LT"/>
        </w:rPr>
      </w:pPr>
      <w:r w:rsidRPr="00BA0735">
        <w:rPr>
          <w:sz w:val="22"/>
          <w:szCs w:val="22"/>
          <w:lang w:val="lt-LT"/>
        </w:rPr>
        <w:t>Tabletę nurykite užgerdami stikline vandens.</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bCs/>
          <w:sz w:val="22"/>
          <w:szCs w:val="22"/>
          <w:lang w:val="lt-LT"/>
        </w:rPr>
        <w:t>Ką daryti pavartojus</w:t>
      </w:r>
      <w:r w:rsidRPr="00BA0735">
        <w:rPr>
          <w:b/>
          <w:sz w:val="22"/>
          <w:szCs w:val="22"/>
          <w:lang w:val="lt-LT"/>
        </w:rPr>
        <w:t xml:space="preserve"> per didelę Prenewel 2 mg/0,625 mg tablečių dozę</w:t>
      </w:r>
    </w:p>
    <w:p w:rsidR="00E93252" w:rsidRPr="00BA0735" w:rsidRDefault="00E93252" w:rsidP="00E93252">
      <w:pPr>
        <w:widowControl w:val="0"/>
        <w:rPr>
          <w:sz w:val="22"/>
          <w:szCs w:val="22"/>
          <w:lang w:val="lt-LT"/>
        </w:rPr>
      </w:pPr>
      <w:r w:rsidRPr="00BA0735">
        <w:rPr>
          <w:sz w:val="22"/>
          <w:szCs w:val="22"/>
          <w:lang w:val="lt-LT"/>
        </w:rPr>
        <w:t>Jei išgėrėte daugiau tablečių negu reikia, būtina nedelsiant kreiptis į gydytoją arba artimiausios ligoninės skubios pagalbos skyrių.</w:t>
      </w:r>
    </w:p>
    <w:p w:rsidR="00E93252" w:rsidRPr="00BA0735" w:rsidRDefault="00E93252" w:rsidP="00E93252">
      <w:pPr>
        <w:widowControl w:val="0"/>
        <w:tabs>
          <w:tab w:val="left" w:pos="567"/>
        </w:tabs>
        <w:rPr>
          <w:sz w:val="22"/>
          <w:szCs w:val="22"/>
          <w:lang w:val="lt-LT"/>
        </w:rPr>
      </w:pPr>
      <w:r w:rsidRPr="00BA0735">
        <w:rPr>
          <w:sz w:val="22"/>
          <w:szCs w:val="22"/>
          <w:lang w:val="lt-LT"/>
        </w:rPr>
        <w:t>Dažniausias pasitaikantis perdozavimo požymis yra kraujospūdžio sumažėjimas.</w:t>
      </w:r>
    </w:p>
    <w:p w:rsidR="00E93252" w:rsidRPr="00BA0735" w:rsidRDefault="00E93252" w:rsidP="00E93252">
      <w:pPr>
        <w:widowControl w:val="0"/>
        <w:rPr>
          <w:sz w:val="22"/>
          <w:szCs w:val="22"/>
          <w:lang w:val="lt-LT"/>
        </w:rPr>
      </w:pPr>
      <w:r w:rsidRPr="00BA0735">
        <w:rPr>
          <w:sz w:val="22"/>
          <w:szCs w:val="22"/>
          <w:lang w:val="lt-LT"/>
        </w:rPr>
        <w:t xml:space="preserve">Jei kraujospūdis tampa labai mažas (galimi jo simptomai yra </w:t>
      </w:r>
      <w:r w:rsidR="002A73A7">
        <w:rPr>
          <w:sz w:val="22"/>
          <w:szCs w:val="22"/>
          <w:lang w:val="lt-LT"/>
        </w:rPr>
        <w:t>pykinimas, vėmimas</w:t>
      </w:r>
      <w:r w:rsidR="002A73A7" w:rsidRPr="002A73A7">
        <w:rPr>
          <w:sz w:val="22"/>
          <w:szCs w:val="22"/>
          <w:lang w:val="lt-LT"/>
        </w:rPr>
        <w:t>, mėšlungi</w:t>
      </w:r>
      <w:r w:rsidR="002A73A7">
        <w:rPr>
          <w:sz w:val="22"/>
          <w:szCs w:val="22"/>
          <w:lang w:val="lt-LT"/>
        </w:rPr>
        <w:t>s</w:t>
      </w:r>
      <w:r w:rsidR="002A73A7" w:rsidRPr="002A73A7">
        <w:rPr>
          <w:sz w:val="22"/>
          <w:szCs w:val="22"/>
          <w:lang w:val="lt-LT"/>
        </w:rPr>
        <w:t>, galvos svaigim</w:t>
      </w:r>
      <w:r w:rsidR="002A73A7">
        <w:rPr>
          <w:sz w:val="22"/>
          <w:szCs w:val="22"/>
          <w:lang w:val="lt-LT"/>
        </w:rPr>
        <w:t>as</w:t>
      </w:r>
      <w:r w:rsidR="002A73A7" w:rsidRPr="002A73A7">
        <w:rPr>
          <w:sz w:val="22"/>
          <w:szCs w:val="22"/>
          <w:lang w:val="lt-LT"/>
        </w:rPr>
        <w:t>, mieguistum</w:t>
      </w:r>
      <w:r w:rsidR="002A73A7">
        <w:rPr>
          <w:sz w:val="22"/>
          <w:szCs w:val="22"/>
          <w:lang w:val="lt-LT"/>
        </w:rPr>
        <w:t xml:space="preserve">as, </w:t>
      </w:r>
      <w:r w:rsidR="002A73A7" w:rsidRPr="002A73A7">
        <w:rPr>
          <w:sz w:val="22"/>
          <w:szCs w:val="22"/>
          <w:lang w:val="lt-LT"/>
        </w:rPr>
        <w:t>sumišim</w:t>
      </w:r>
      <w:r w:rsidR="002A73A7">
        <w:rPr>
          <w:sz w:val="22"/>
          <w:szCs w:val="22"/>
          <w:lang w:val="lt-LT"/>
        </w:rPr>
        <w:t>as</w:t>
      </w:r>
      <w:r w:rsidR="002A73A7" w:rsidRPr="002A73A7">
        <w:rPr>
          <w:sz w:val="22"/>
          <w:szCs w:val="22"/>
          <w:lang w:val="lt-LT"/>
        </w:rPr>
        <w:t>, inkstų išskiriamo šlapimo kiekio pokyčiai</w:t>
      </w:r>
      <w:r w:rsidR="002A73A7">
        <w:rPr>
          <w:sz w:val="22"/>
          <w:szCs w:val="22"/>
          <w:lang w:val="lt-LT"/>
        </w:rPr>
        <w:t>)</w:t>
      </w:r>
      <w:r w:rsidRPr="00BA0735">
        <w:rPr>
          <w:sz w:val="22"/>
          <w:szCs w:val="22"/>
          <w:lang w:val="lt-LT"/>
        </w:rPr>
        <w:t>, gali būti naudinga atsigulti ir pakelti aukščiau kojas.</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Pamiršus pavartoti Prenewel 2 mg/0,625 mg</w:t>
      </w:r>
    </w:p>
    <w:p w:rsidR="00E93252" w:rsidRPr="00BA0735" w:rsidRDefault="00E93252" w:rsidP="00E93252">
      <w:pPr>
        <w:widowControl w:val="0"/>
        <w:rPr>
          <w:b/>
          <w:sz w:val="22"/>
          <w:szCs w:val="22"/>
          <w:lang w:val="lt-LT"/>
        </w:rPr>
      </w:pPr>
      <w:r w:rsidRPr="00BA0735">
        <w:rPr>
          <w:sz w:val="22"/>
          <w:szCs w:val="22"/>
          <w:lang w:val="lt-LT"/>
        </w:rPr>
        <w:t>Prenewel svarbu gerti kasdien, kadangi reguliarus gydymas yra veiksmingesnis.</w:t>
      </w:r>
    </w:p>
    <w:p w:rsidR="00E93252" w:rsidRPr="00BA0735" w:rsidRDefault="00E93252" w:rsidP="00E93252">
      <w:pPr>
        <w:widowControl w:val="0"/>
        <w:rPr>
          <w:sz w:val="22"/>
          <w:szCs w:val="22"/>
          <w:lang w:val="lt-LT"/>
        </w:rPr>
      </w:pPr>
      <w:r w:rsidRPr="00BA0735">
        <w:rPr>
          <w:sz w:val="22"/>
          <w:szCs w:val="22"/>
          <w:lang w:val="lt-LT"/>
        </w:rPr>
        <w:t>Vis dėlto, jei pamiršote išgerti Prenewel tabletę, kitą dozę gerkite įprastu metu. Negalima vartoti dvigubos dozės norint kompensuoti praleistą dozę.</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Nustojus vartoti Prenewel 2 mg/0,625 mg</w:t>
      </w:r>
    </w:p>
    <w:p w:rsidR="00E93252" w:rsidRPr="00BA0735" w:rsidRDefault="00E93252" w:rsidP="00E93252">
      <w:pPr>
        <w:widowControl w:val="0"/>
        <w:numPr>
          <w:ilvl w:val="12"/>
          <w:numId w:val="0"/>
        </w:numPr>
        <w:ind w:right="-2"/>
        <w:rPr>
          <w:noProof/>
          <w:sz w:val="22"/>
          <w:szCs w:val="22"/>
          <w:lang w:val="lt-LT"/>
        </w:rPr>
      </w:pPr>
      <w:r w:rsidRPr="00BA0735">
        <w:rPr>
          <w:noProof/>
          <w:sz w:val="22"/>
          <w:szCs w:val="22"/>
          <w:lang w:val="lt-LT"/>
        </w:rPr>
        <w:t xml:space="preserve">Didelio kraujospūdžio liga </w:t>
      </w:r>
      <w:r w:rsidRPr="00BA0735">
        <w:rPr>
          <w:sz w:val="22"/>
          <w:szCs w:val="22"/>
          <w:lang w:val="lt-LT"/>
        </w:rPr>
        <w:t xml:space="preserve">įprastai </w:t>
      </w:r>
      <w:r w:rsidRPr="00BA0735">
        <w:rPr>
          <w:noProof/>
          <w:sz w:val="22"/>
          <w:szCs w:val="22"/>
          <w:lang w:val="lt-LT"/>
        </w:rPr>
        <w:t>gydoma visą gyvenimą, todėl prieš nutraukdamas šio vaisto vartojimą, pasitarkite su gydytoju.</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Jeigu kiltų daugiau klausimų dėl šio vaisto vartojimo, kreipkitės į gydytoją arba vaistininką.</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92" w:name="_Toc129243142"/>
      <w:bookmarkStart w:id="93" w:name="_Toc129243267"/>
      <w:r w:rsidRPr="00BA0735">
        <w:rPr>
          <w:b/>
          <w:sz w:val="22"/>
          <w:szCs w:val="22"/>
          <w:lang w:val="lt-LT"/>
        </w:rPr>
        <w:t>4.</w:t>
      </w:r>
      <w:r w:rsidRPr="00BA0735">
        <w:rPr>
          <w:b/>
          <w:sz w:val="22"/>
          <w:szCs w:val="22"/>
          <w:lang w:val="lt-LT"/>
        </w:rPr>
        <w:tab/>
        <w:t>Galimas šalutinis poveikis</w:t>
      </w:r>
      <w:bookmarkEnd w:id="92"/>
      <w:bookmarkEnd w:id="93"/>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Šis vaistas, kaip ir visi kiti, gali sukelti šalutinį poveikį, nors jis pasireiškia ne visiems žmonėms.</w:t>
      </w:r>
    </w:p>
    <w:p w:rsidR="00E93252" w:rsidRPr="00BA0735" w:rsidRDefault="00E93252" w:rsidP="00E93252">
      <w:pPr>
        <w:widowControl w:val="0"/>
        <w:rPr>
          <w:b/>
          <w:sz w:val="22"/>
          <w:szCs w:val="22"/>
          <w:lang w:val="lt-LT"/>
        </w:rPr>
      </w:pPr>
    </w:p>
    <w:p w:rsidR="00E93252" w:rsidRPr="00BA0735" w:rsidRDefault="00E93252" w:rsidP="00E93252">
      <w:pPr>
        <w:widowControl w:val="0"/>
        <w:rPr>
          <w:sz w:val="22"/>
          <w:szCs w:val="22"/>
          <w:lang w:val="lt-LT"/>
        </w:rPr>
      </w:pPr>
      <w:r w:rsidRPr="00BA0735">
        <w:rPr>
          <w:rFonts w:eastAsia="Calibri"/>
          <w:b/>
          <w:sz w:val="22"/>
          <w:szCs w:val="22"/>
          <w:lang w:val="lt-LT" w:eastAsia="en-US"/>
        </w:rPr>
        <w:t>Nutraukite</w:t>
      </w:r>
      <w:r w:rsidRPr="00BA0735">
        <w:rPr>
          <w:b/>
          <w:sz w:val="22"/>
          <w:szCs w:val="22"/>
          <w:lang w:val="lt-LT"/>
        </w:rPr>
        <w:t xml:space="preserve"> vaisto vartojimą ir </w:t>
      </w:r>
      <w:r w:rsidRPr="00BA0735">
        <w:rPr>
          <w:rFonts w:eastAsia="Calibri"/>
          <w:b/>
          <w:sz w:val="22"/>
          <w:szCs w:val="22"/>
          <w:lang w:val="lt-LT" w:eastAsia="en-US"/>
        </w:rPr>
        <w:t xml:space="preserve">nedelsdami </w:t>
      </w:r>
      <w:r w:rsidRPr="00BA0735">
        <w:rPr>
          <w:b/>
          <w:sz w:val="22"/>
          <w:szCs w:val="22"/>
          <w:lang w:val="lt-LT"/>
        </w:rPr>
        <w:t>kreipkitės į gydytoją</w:t>
      </w:r>
      <w:r w:rsidRPr="00BA0735">
        <w:rPr>
          <w:rFonts w:eastAsia="Calibri"/>
          <w:b/>
          <w:sz w:val="22"/>
          <w:szCs w:val="22"/>
          <w:lang w:val="lt-LT" w:eastAsia="en-US"/>
        </w:rPr>
        <w:t>, jeigu pasireiškia bet kuris toliau išvardytas šalutinis poveikis, kuris</w:t>
      </w:r>
      <w:r w:rsidRPr="00BA0735">
        <w:rPr>
          <w:b/>
          <w:sz w:val="22"/>
          <w:szCs w:val="22"/>
          <w:lang w:val="lt-LT"/>
        </w:rPr>
        <w:t xml:space="preserve"> gali </w:t>
      </w:r>
      <w:r w:rsidRPr="00BA0735">
        <w:rPr>
          <w:rFonts w:eastAsia="Calibri"/>
          <w:b/>
          <w:sz w:val="22"/>
          <w:szCs w:val="22"/>
          <w:lang w:val="lt-LT" w:eastAsia="en-US"/>
        </w:rPr>
        <w:t>būti</w:t>
      </w:r>
      <w:r w:rsidRPr="00BA0735">
        <w:rPr>
          <w:b/>
          <w:sz w:val="22"/>
          <w:szCs w:val="22"/>
          <w:lang w:val="lt-LT"/>
        </w:rPr>
        <w:t xml:space="preserve"> sunkus.</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Sunkus svaigulys arba alpimas dėl mažo kraujospūdžio (dažnas: gali pasireikšti rečiau kaip 1 iš 10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Bronchų spazmas (spaudimas krūtinėje, švokštimas arba dusulys (nedažnas: gali pasireikšti rečiau kaip 1 iš 100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lastRenderedPageBreak/>
        <w:t xml:space="preserve">Veido, lūpų, burnos, liežuvio ar ryklės patinimas, kvėpavimo pasunkėjimas (angioneurozinė edema) (žr. 2 skyriuje „Įspėjimai ir atsargumo priemonės) (nedažnas: gali pasireikšti rečiau kaip 1 iš 100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w:t>
      </w:r>
      <w:r w:rsidRPr="00BA0735">
        <w:rPr>
          <w:rFonts w:eastAsia="Calibri"/>
          <w:i/>
          <w:sz w:val="22"/>
          <w:szCs w:val="22"/>
          <w:lang w:val="lt-LT" w:eastAsia="en-US"/>
        </w:rPr>
        <w:t>Stevens Johnson</w:t>
      </w:r>
      <w:r w:rsidRPr="00BA0735">
        <w:rPr>
          <w:rFonts w:eastAsia="Calibri"/>
          <w:sz w:val="22"/>
          <w:szCs w:val="22"/>
          <w:lang w:val="lt-LT" w:eastAsia="en-US"/>
        </w:rPr>
        <w:t xml:space="preserve"> sindromas) arba kitos alerginės reakcijos (labai retai: gali pasireikšti rečiau kaip 1 iš 10 000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Rankų ar kojų silpnumas, kalbos sutrikimas, kurie gali rodyti galimą insultą (labai retai: gali pasireikšti rečiau kaip 1 iš 10 000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Kasos uždegimas, kuris gali sukelti sunkų pilvo ir nugaros skausmą, susijusį su labai bloga savijauta (labai retai: gali pasireikšti rečiau kaip 1 iš 10 000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Odos ar akių pageltimas (gelta), kuris gali būti hepatito požymis (labai retai: gali pasireikšti rečiau kaip 1 iš 10 000 </w:t>
      </w:r>
      <w:r w:rsidR="00FE088C" w:rsidRPr="00FE088C">
        <w:rPr>
          <w:sz w:val="22"/>
          <w:szCs w:val="22"/>
          <w:lang w:val="lt-LT"/>
        </w:rPr>
        <w:t>asmenų</w:t>
      </w:r>
      <w:r w:rsidRPr="00BA0735">
        <w:rPr>
          <w:rFonts w:eastAsia="Calibri"/>
          <w:sz w:val="22"/>
          <w:szCs w:val="22"/>
          <w:lang w:val="lt-LT" w:eastAsia="en-US"/>
        </w:rPr>
        <w:t>).</w:t>
      </w:r>
    </w:p>
    <w:p w:rsidR="00E93252" w:rsidRPr="00BA0735" w:rsidRDefault="00E93252" w:rsidP="00526D52">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Gyvybei pavojingas neritmiškas širdies plakimas (dažnis nežinomas).</w:t>
      </w:r>
    </w:p>
    <w:p w:rsidR="00F20737" w:rsidRDefault="00E93252" w:rsidP="008B3A7C">
      <w:pPr>
        <w:numPr>
          <w:ilvl w:val="0"/>
          <w:numId w:val="32"/>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Galvos smegenų liga, kuri pasireiškia dėl kepenų ligos (hepatinė encefalopatija) (dažnis nežinomas).</w:t>
      </w:r>
    </w:p>
    <w:p w:rsidR="00F20737" w:rsidRPr="00F20737" w:rsidRDefault="00F20737" w:rsidP="008B3A7C">
      <w:pPr>
        <w:numPr>
          <w:ilvl w:val="0"/>
          <w:numId w:val="32"/>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 xml:space="preserve">Raumenų silpnumas, </w:t>
      </w:r>
      <w:r w:rsidR="001B572E">
        <w:rPr>
          <w:rFonts w:eastAsia="Calibri"/>
          <w:sz w:val="22"/>
          <w:szCs w:val="22"/>
          <w:lang w:val="lt-LT" w:eastAsia="en-US"/>
        </w:rPr>
        <w:t>raumenų spazmai</w:t>
      </w:r>
      <w:r w:rsidRPr="00F20737">
        <w:rPr>
          <w:rFonts w:eastAsia="Calibri"/>
          <w:sz w:val="22"/>
          <w:szCs w:val="22"/>
          <w:lang w:val="lt-LT" w:eastAsia="en-US"/>
        </w:rPr>
        <w:t>,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E93252" w:rsidRPr="00BA0735" w:rsidRDefault="00E93252" w:rsidP="00E93252">
      <w:pPr>
        <w:widowControl w:val="0"/>
        <w:tabs>
          <w:tab w:val="left" w:pos="567"/>
        </w:tabs>
        <w:autoSpaceDE w:val="0"/>
        <w:autoSpaceDN w:val="0"/>
        <w:adjustRightInd w:val="0"/>
        <w:rPr>
          <w:sz w:val="22"/>
          <w:szCs w:val="22"/>
          <w:lang w:val="lt-LT"/>
        </w:rPr>
      </w:pPr>
    </w:p>
    <w:p w:rsidR="00E93252" w:rsidRPr="00BA0735" w:rsidRDefault="00E93252" w:rsidP="00E93252">
      <w:pPr>
        <w:widowControl w:val="0"/>
        <w:tabs>
          <w:tab w:val="left" w:pos="567"/>
        </w:tabs>
        <w:autoSpaceDE w:val="0"/>
        <w:autoSpaceDN w:val="0"/>
        <w:adjustRightInd w:val="0"/>
        <w:rPr>
          <w:sz w:val="22"/>
          <w:szCs w:val="22"/>
          <w:lang w:val="lt-LT"/>
        </w:rPr>
      </w:pPr>
      <w:r w:rsidRPr="00BA0735">
        <w:rPr>
          <w:sz w:val="22"/>
          <w:szCs w:val="22"/>
          <w:lang w:val="lt-LT"/>
        </w:rPr>
        <w:t>Toliau išvardytas galimas šalutinis poveikis.</w:t>
      </w:r>
    </w:p>
    <w:p w:rsidR="00E93252" w:rsidRPr="00BA0735" w:rsidRDefault="00E93252" w:rsidP="00E93252">
      <w:pPr>
        <w:widowControl w:val="0"/>
        <w:tabs>
          <w:tab w:val="left" w:pos="567"/>
        </w:tabs>
        <w:autoSpaceDE w:val="0"/>
        <w:autoSpaceDN w:val="0"/>
        <w:adjustRightInd w:val="0"/>
        <w:rPr>
          <w:sz w:val="22"/>
          <w:szCs w:val="22"/>
          <w:lang w:val="lt-LT"/>
        </w:rPr>
      </w:pPr>
    </w:p>
    <w:p w:rsidR="00E93252" w:rsidRPr="00BA0735" w:rsidRDefault="00E93252" w:rsidP="00E93252">
      <w:pPr>
        <w:widowControl w:val="0"/>
        <w:tabs>
          <w:tab w:val="left" w:pos="567"/>
        </w:tabs>
        <w:autoSpaceDE w:val="0"/>
        <w:autoSpaceDN w:val="0"/>
        <w:adjustRightInd w:val="0"/>
        <w:rPr>
          <w:sz w:val="22"/>
          <w:szCs w:val="22"/>
          <w:lang w:val="lt-LT"/>
        </w:rPr>
      </w:pPr>
      <w:r w:rsidRPr="00BA0735">
        <w:rPr>
          <w:i/>
          <w:sz w:val="22"/>
          <w:szCs w:val="22"/>
          <w:lang w:val="lt-LT"/>
        </w:rPr>
        <w:t>Dažn</w:t>
      </w:r>
      <w:r w:rsidR="00FE088C">
        <w:rPr>
          <w:i/>
          <w:sz w:val="22"/>
          <w:szCs w:val="22"/>
          <w:lang w:val="lt-LT"/>
        </w:rPr>
        <w:t xml:space="preserve">i </w:t>
      </w:r>
      <w:r w:rsidR="00FE088C" w:rsidRPr="00FE088C">
        <w:rPr>
          <w:i/>
          <w:sz w:val="22"/>
          <w:szCs w:val="22"/>
          <w:lang w:val="lt-LT"/>
        </w:rPr>
        <w:t>šalutinio poveikio reiškiniai</w:t>
      </w:r>
      <w:r w:rsidRPr="00BA0735">
        <w:rPr>
          <w:i/>
          <w:sz w:val="22"/>
          <w:szCs w:val="22"/>
          <w:lang w:val="lt-LT"/>
        </w:rPr>
        <w:t xml:space="preserve"> (gali atsirasti </w:t>
      </w:r>
      <w:r w:rsidR="00FE088C" w:rsidRPr="00FE088C">
        <w:rPr>
          <w:i/>
          <w:sz w:val="22"/>
          <w:szCs w:val="22"/>
          <w:lang w:val="lt-LT"/>
        </w:rPr>
        <w:t>rečiau</w:t>
      </w:r>
      <w:r w:rsidR="00FE088C" w:rsidRPr="00FE088C" w:rsidDel="00FE088C">
        <w:rPr>
          <w:i/>
          <w:sz w:val="22"/>
          <w:szCs w:val="22"/>
          <w:lang w:val="lt-LT"/>
        </w:rPr>
        <w:t xml:space="preserve"> </w:t>
      </w:r>
      <w:r w:rsidRPr="00BA0735">
        <w:rPr>
          <w:i/>
          <w:sz w:val="22"/>
          <w:szCs w:val="22"/>
          <w:lang w:val="lt-LT"/>
        </w:rPr>
        <w:t>kaip 1 iš 10</w:t>
      </w:r>
      <w:r w:rsidR="00FE088C">
        <w:rPr>
          <w:i/>
          <w:sz w:val="22"/>
          <w:szCs w:val="22"/>
          <w:lang w:val="lt-LT"/>
        </w:rPr>
        <w:t> asmenų</w:t>
      </w:r>
      <w:r w:rsidRPr="00BA0735">
        <w:rPr>
          <w:i/>
          <w:sz w:val="22"/>
          <w:szCs w:val="22"/>
          <w:lang w:val="lt-LT"/>
        </w:rPr>
        <w:t>)</w:t>
      </w:r>
      <w:r w:rsidR="00FE088C">
        <w:rPr>
          <w:i/>
          <w:sz w:val="22"/>
          <w:szCs w:val="22"/>
          <w:lang w:val="lt-LT"/>
        </w:rPr>
        <w:t>:</w:t>
      </w:r>
    </w:p>
    <w:p w:rsidR="00E93252" w:rsidRPr="00BA0735" w:rsidRDefault="00E93252" w:rsidP="00E93252">
      <w:pPr>
        <w:widowControl w:val="0"/>
        <w:numPr>
          <w:ilvl w:val="0"/>
          <w:numId w:val="16"/>
        </w:numPr>
        <w:rPr>
          <w:sz w:val="22"/>
          <w:szCs w:val="22"/>
          <w:u w:val="single"/>
          <w:lang w:val="lt-LT"/>
        </w:rPr>
      </w:pPr>
      <w:r w:rsidRPr="00BA0735">
        <w:rPr>
          <w:sz w:val="22"/>
          <w:szCs w:val="22"/>
          <w:lang w:val="lt-LT"/>
        </w:rPr>
        <w:t>Odos reakcijos asmenims, kuriems pasireiškia alerginės ir astmos reakcijos,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Galvos skausmas,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Regėjimo sutrikimas,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Galvos svaigimas,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Silpnumas (astenija),</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Tinitas (spengimas ausyse),</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Galvos sukimasis,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Badymo ir tirpimo pojūtis kūne,</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Dusulys,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Kosulys,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Pykinimas ir vėmimas,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Pilvo skausmas,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Skonio sutrikimai,</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Nevirškinimas, viduriavimas, vidurių užkietėjimas,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 xml:space="preserve">Raumenų </w:t>
      </w:r>
      <w:r w:rsidR="00F20737">
        <w:rPr>
          <w:sz w:val="22"/>
          <w:szCs w:val="22"/>
          <w:lang w:val="lt-LT"/>
        </w:rPr>
        <w:t>spazmai</w:t>
      </w:r>
      <w:r w:rsidRPr="00BA0735">
        <w:rPr>
          <w:sz w:val="22"/>
          <w:szCs w:val="22"/>
          <w:lang w:val="lt-LT"/>
        </w:rPr>
        <w:t>,</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Alerginės reakcijos (pvz., odos išbėrimas, niežulys),</w:t>
      </w:r>
    </w:p>
    <w:p w:rsidR="00F20737"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Nuovargis</w:t>
      </w:r>
      <w:r w:rsidR="00F20737">
        <w:rPr>
          <w:sz w:val="22"/>
          <w:szCs w:val="22"/>
          <w:lang w:val="lt-LT"/>
        </w:rPr>
        <w:t>,</w:t>
      </w:r>
    </w:p>
    <w:p w:rsidR="00E93252" w:rsidRPr="00BA0735" w:rsidRDefault="00F20737" w:rsidP="00E93252">
      <w:pPr>
        <w:widowControl w:val="0"/>
        <w:numPr>
          <w:ilvl w:val="0"/>
          <w:numId w:val="16"/>
        </w:numPr>
        <w:autoSpaceDE w:val="0"/>
        <w:autoSpaceDN w:val="0"/>
        <w:adjustRightInd w:val="0"/>
        <w:rPr>
          <w:sz w:val="22"/>
          <w:szCs w:val="22"/>
          <w:lang w:val="lt-LT"/>
        </w:rPr>
      </w:pPr>
      <w:r w:rsidRPr="00FE088C">
        <w:rPr>
          <w:sz w:val="22"/>
          <w:szCs w:val="22"/>
        </w:rPr>
        <w:t>Maža kalio koncentracija kraujyje</w:t>
      </w:r>
      <w:r w:rsidRPr="00F20737">
        <w:rPr>
          <w:sz w:val="22"/>
          <w:szCs w:val="22"/>
        </w:rPr>
        <w:t>.</w:t>
      </w:r>
    </w:p>
    <w:p w:rsidR="00E93252" w:rsidRPr="00BA0735" w:rsidRDefault="00E93252" w:rsidP="00E93252">
      <w:pPr>
        <w:widowControl w:val="0"/>
        <w:tabs>
          <w:tab w:val="left" w:pos="567"/>
        </w:tabs>
        <w:autoSpaceDE w:val="0"/>
        <w:autoSpaceDN w:val="0"/>
        <w:adjustRightInd w:val="0"/>
        <w:rPr>
          <w:sz w:val="22"/>
          <w:szCs w:val="22"/>
          <w:lang w:val="lt-LT"/>
        </w:rPr>
      </w:pPr>
    </w:p>
    <w:p w:rsidR="00E93252" w:rsidRPr="00BA0735" w:rsidRDefault="00E93252" w:rsidP="00E93252">
      <w:pPr>
        <w:widowControl w:val="0"/>
        <w:tabs>
          <w:tab w:val="left" w:pos="567"/>
        </w:tabs>
        <w:autoSpaceDE w:val="0"/>
        <w:autoSpaceDN w:val="0"/>
        <w:adjustRightInd w:val="0"/>
        <w:rPr>
          <w:sz w:val="22"/>
          <w:szCs w:val="22"/>
          <w:lang w:val="lt-LT"/>
        </w:rPr>
      </w:pPr>
      <w:r w:rsidRPr="00BA0735">
        <w:rPr>
          <w:i/>
          <w:sz w:val="22"/>
          <w:szCs w:val="22"/>
          <w:lang w:val="lt-LT"/>
        </w:rPr>
        <w:t>Nedažn</w:t>
      </w:r>
      <w:r w:rsidR="00FE088C">
        <w:rPr>
          <w:i/>
          <w:sz w:val="22"/>
          <w:szCs w:val="22"/>
          <w:lang w:val="lt-LT"/>
        </w:rPr>
        <w:t xml:space="preserve">i </w:t>
      </w:r>
      <w:r w:rsidR="00FE088C" w:rsidRPr="00FE088C">
        <w:rPr>
          <w:i/>
          <w:sz w:val="22"/>
          <w:szCs w:val="22"/>
          <w:lang w:val="lt-LT"/>
        </w:rPr>
        <w:t>šalutinio poveikio reiškiniai</w:t>
      </w:r>
      <w:r w:rsidRPr="00BA0735">
        <w:rPr>
          <w:i/>
          <w:sz w:val="22"/>
          <w:szCs w:val="22"/>
          <w:lang w:val="lt-LT"/>
        </w:rPr>
        <w:t xml:space="preserve"> (gali atsirasti </w:t>
      </w:r>
      <w:r w:rsidR="00FE088C" w:rsidRPr="00FE088C">
        <w:rPr>
          <w:i/>
          <w:sz w:val="22"/>
          <w:szCs w:val="22"/>
          <w:lang w:val="lt-LT"/>
        </w:rPr>
        <w:t>rečiau</w:t>
      </w:r>
      <w:r w:rsidR="00FE088C" w:rsidRPr="00FE088C" w:rsidDel="00FE088C">
        <w:rPr>
          <w:i/>
          <w:sz w:val="22"/>
          <w:szCs w:val="22"/>
          <w:lang w:val="lt-LT"/>
        </w:rPr>
        <w:t xml:space="preserve"> </w:t>
      </w:r>
      <w:r w:rsidRPr="00BA0735">
        <w:rPr>
          <w:i/>
          <w:sz w:val="22"/>
          <w:szCs w:val="22"/>
          <w:lang w:val="lt-LT"/>
        </w:rPr>
        <w:t>kaip 1 iš 100</w:t>
      </w:r>
      <w:r w:rsidR="00FE088C">
        <w:rPr>
          <w:i/>
          <w:sz w:val="22"/>
          <w:szCs w:val="22"/>
          <w:lang w:val="lt-LT"/>
        </w:rPr>
        <w:t> asmenų</w:t>
      </w:r>
      <w:r w:rsidRPr="00BA0735">
        <w:rPr>
          <w:i/>
          <w:sz w:val="22"/>
          <w:szCs w:val="22"/>
          <w:lang w:val="lt-LT"/>
        </w:rPr>
        <w:t>)</w:t>
      </w:r>
      <w:r w:rsidR="00FE088C">
        <w:rPr>
          <w:i/>
          <w:sz w:val="22"/>
          <w:szCs w:val="22"/>
          <w:lang w:val="lt-LT"/>
        </w:rPr>
        <w:t>:</w:t>
      </w:r>
    </w:p>
    <w:p w:rsidR="00E93252" w:rsidRPr="00BA0735" w:rsidRDefault="00E93252" w:rsidP="00E93252">
      <w:pPr>
        <w:widowControl w:val="0"/>
        <w:numPr>
          <w:ilvl w:val="0"/>
          <w:numId w:val="42"/>
        </w:numPr>
        <w:autoSpaceDE w:val="0"/>
        <w:autoSpaceDN w:val="0"/>
        <w:adjustRightInd w:val="0"/>
        <w:ind w:left="567" w:hanging="567"/>
        <w:rPr>
          <w:sz w:val="22"/>
          <w:szCs w:val="22"/>
          <w:lang w:val="lt-LT"/>
        </w:rPr>
      </w:pPr>
      <w:r w:rsidRPr="00BA0735">
        <w:rPr>
          <w:sz w:val="22"/>
          <w:szCs w:val="22"/>
          <w:lang w:val="lt-LT"/>
        </w:rPr>
        <w:t>Nuotaikų kaita,</w:t>
      </w:r>
    </w:p>
    <w:p w:rsidR="00E93252" w:rsidRDefault="00E93252" w:rsidP="00E93252">
      <w:pPr>
        <w:widowControl w:val="0"/>
        <w:numPr>
          <w:ilvl w:val="0"/>
          <w:numId w:val="42"/>
        </w:numPr>
        <w:autoSpaceDE w:val="0"/>
        <w:autoSpaceDN w:val="0"/>
        <w:adjustRightInd w:val="0"/>
        <w:ind w:left="567" w:hanging="567"/>
        <w:rPr>
          <w:sz w:val="22"/>
          <w:szCs w:val="22"/>
          <w:lang w:val="lt-LT"/>
        </w:rPr>
      </w:pPr>
      <w:r w:rsidRPr="00BA0735">
        <w:rPr>
          <w:sz w:val="22"/>
          <w:szCs w:val="22"/>
          <w:lang w:val="lt-LT"/>
        </w:rPr>
        <w:t>Miego sutrikimas,</w:t>
      </w:r>
    </w:p>
    <w:p w:rsidR="00450280" w:rsidRPr="00BA0735" w:rsidRDefault="00450280" w:rsidP="00E93252">
      <w:pPr>
        <w:widowControl w:val="0"/>
        <w:numPr>
          <w:ilvl w:val="0"/>
          <w:numId w:val="42"/>
        </w:numPr>
        <w:autoSpaceDE w:val="0"/>
        <w:autoSpaceDN w:val="0"/>
        <w:adjustRightInd w:val="0"/>
        <w:ind w:left="567" w:hanging="567"/>
        <w:rPr>
          <w:sz w:val="22"/>
          <w:szCs w:val="22"/>
          <w:lang w:val="lt-LT"/>
        </w:rPr>
      </w:pPr>
      <w:r>
        <w:rPr>
          <w:sz w:val="22"/>
          <w:szCs w:val="22"/>
          <w:lang w:val="lt-LT"/>
        </w:rPr>
        <w:t>Depresija,</w:t>
      </w:r>
    </w:p>
    <w:p w:rsidR="00E93252" w:rsidRPr="00BA0735" w:rsidRDefault="00E93252" w:rsidP="00E93252">
      <w:pPr>
        <w:widowControl w:val="0"/>
        <w:numPr>
          <w:ilvl w:val="0"/>
          <w:numId w:val="42"/>
        </w:numPr>
        <w:autoSpaceDE w:val="0"/>
        <w:autoSpaceDN w:val="0"/>
        <w:adjustRightInd w:val="0"/>
        <w:ind w:left="567" w:hanging="567"/>
        <w:rPr>
          <w:sz w:val="22"/>
          <w:szCs w:val="22"/>
          <w:lang w:val="lt-LT"/>
        </w:rPr>
      </w:pPr>
      <w:r w:rsidRPr="00BA0735">
        <w:rPr>
          <w:sz w:val="22"/>
          <w:szCs w:val="22"/>
          <w:lang w:val="lt-LT"/>
        </w:rPr>
        <w:t>Dilgėlinė, raudonos dėmės ant odos (purpura), pūslių grupės,</w:t>
      </w:r>
    </w:p>
    <w:p w:rsidR="00E93252" w:rsidRPr="00BA0735" w:rsidRDefault="00E93252" w:rsidP="00E93252">
      <w:pPr>
        <w:widowControl w:val="0"/>
        <w:numPr>
          <w:ilvl w:val="0"/>
          <w:numId w:val="42"/>
        </w:numPr>
        <w:autoSpaceDE w:val="0"/>
        <w:autoSpaceDN w:val="0"/>
        <w:adjustRightInd w:val="0"/>
        <w:ind w:left="567" w:hanging="567"/>
        <w:rPr>
          <w:sz w:val="22"/>
          <w:szCs w:val="22"/>
          <w:lang w:val="lt-LT"/>
        </w:rPr>
      </w:pPr>
      <w:r w:rsidRPr="00BA0735">
        <w:rPr>
          <w:sz w:val="22"/>
          <w:szCs w:val="22"/>
          <w:lang w:val="lt-LT"/>
        </w:rPr>
        <w:t>Inkstų sutrikimai,</w:t>
      </w:r>
    </w:p>
    <w:p w:rsidR="00E93252" w:rsidRPr="00BA0735" w:rsidRDefault="00E93252" w:rsidP="00E93252">
      <w:pPr>
        <w:widowControl w:val="0"/>
        <w:numPr>
          <w:ilvl w:val="0"/>
          <w:numId w:val="42"/>
        </w:numPr>
        <w:autoSpaceDE w:val="0"/>
        <w:autoSpaceDN w:val="0"/>
        <w:adjustRightInd w:val="0"/>
        <w:ind w:left="567" w:hanging="567"/>
        <w:rPr>
          <w:sz w:val="22"/>
          <w:szCs w:val="22"/>
          <w:lang w:val="lt-LT"/>
        </w:rPr>
      </w:pPr>
      <w:r w:rsidRPr="00BA0735">
        <w:rPr>
          <w:sz w:val="22"/>
          <w:szCs w:val="22"/>
          <w:lang w:val="lt-LT"/>
        </w:rPr>
        <w:t>Prakaitavimas,</w:t>
      </w:r>
    </w:p>
    <w:p w:rsidR="00E93252" w:rsidRPr="00FE088C" w:rsidRDefault="00E93252" w:rsidP="00E93252">
      <w:pPr>
        <w:widowControl w:val="0"/>
        <w:numPr>
          <w:ilvl w:val="0"/>
          <w:numId w:val="42"/>
        </w:numPr>
        <w:autoSpaceDE w:val="0"/>
        <w:autoSpaceDN w:val="0"/>
        <w:adjustRightInd w:val="0"/>
        <w:ind w:left="567" w:hanging="567"/>
        <w:rPr>
          <w:sz w:val="22"/>
          <w:szCs w:val="22"/>
          <w:lang w:val="lt-LT"/>
        </w:rPr>
      </w:pPr>
      <w:r w:rsidRPr="00FE088C">
        <w:rPr>
          <w:sz w:val="22"/>
          <w:szCs w:val="22"/>
          <w:lang w:val="lt-LT"/>
        </w:rPr>
        <w:t>Impotencija</w:t>
      </w:r>
      <w:r w:rsidR="009A7EAD" w:rsidRPr="00FE088C">
        <w:rPr>
          <w:rFonts w:eastAsia="Calibri"/>
          <w:sz w:val="22"/>
          <w:szCs w:val="22"/>
          <w:lang w:eastAsia="en-US"/>
        </w:rPr>
        <w:t xml:space="preserve"> (nesugebėjimas pasiekti ar išlaikyti erekciją</w:t>
      </w:r>
      <w:r w:rsidR="001B572E">
        <w:rPr>
          <w:rFonts w:eastAsia="Calibri"/>
          <w:sz w:val="22"/>
          <w:szCs w:val="22"/>
          <w:lang w:eastAsia="en-US"/>
        </w:rPr>
        <w:t>)</w:t>
      </w:r>
      <w:r w:rsidRPr="00FE088C">
        <w:rPr>
          <w:sz w:val="22"/>
          <w:szCs w:val="22"/>
          <w:lang w:val="lt-LT"/>
        </w:rPr>
        <w:t>,</w:t>
      </w:r>
    </w:p>
    <w:p w:rsidR="00E93252" w:rsidRPr="00FE088C" w:rsidRDefault="00E93252" w:rsidP="00E93252">
      <w:pPr>
        <w:widowControl w:val="0"/>
        <w:numPr>
          <w:ilvl w:val="0"/>
          <w:numId w:val="42"/>
        </w:numPr>
        <w:ind w:left="567" w:hanging="567"/>
        <w:rPr>
          <w:sz w:val="22"/>
          <w:szCs w:val="22"/>
          <w:lang w:val="lt-LT"/>
        </w:rPr>
      </w:pPr>
      <w:r w:rsidRPr="00FE088C">
        <w:rPr>
          <w:rFonts w:eastAsia="Calibri"/>
          <w:sz w:val="22"/>
          <w:szCs w:val="22"/>
          <w:lang w:val="lt-LT" w:eastAsia="en-US"/>
        </w:rPr>
        <w:t>Eozinofilų (baltųjų kraujo ląstelių tipas) perteklius,</w:t>
      </w:r>
    </w:p>
    <w:p w:rsidR="00E93252" w:rsidRPr="00FE088C" w:rsidRDefault="00E93252" w:rsidP="008B3A7C">
      <w:pPr>
        <w:widowControl w:val="0"/>
        <w:numPr>
          <w:ilvl w:val="0"/>
          <w:numId w:val="42"/>
        </w:numPr>
        <w:autoSpaceDE w:val="0"/>
        <w:autoSpaceDN w:val="0"/>
        <w:adjustRightInd w:val="0"/>
        <w:ind w:left="567" w:hanging="567"/>
        <w:rPr>
          <w:sz w:val="22"/>
          <w:szCs w:val="22"/>
          <w:lang w:val="lt-LT"/>
        </w:rPr>
      </w:pPr>
      <w:r w:rsidRPr="00FE088C">
        <w:rPr>
          <w:rFonts w:eastAsia="Calibri"/>
          <w:sz w:val="22"/>
          <w:szCs w:val="22"/>
          <w:lang w:val="lt-LT" w:eastAsia="en-US"/>
        </w:rPr>
        <w:t xml:space="preserve">Laboratorinių tyrimų rodmenų pokyčiai: didelė kalio koncentracija kraujyje, kuri normalizuojasi </w:t>
      </w:r>
      <w:r w:rsidRPr="00FE088C">
        <w:rPr>
          <w:rFonts w:eastAsia="Calibri"/>
          <w:sz w:val="22"/>
          <w:szCs w:val="22"/>
          <w:lang w:val="lt-LT" w:eastAsia="en-US"/>
        </w:rPr>
        <w:lastRenderedPageBreak/>
        <w:t>nutraukus gydymą, maža natrio koncentracija kraujyje,</w:t>
      </w:r>
      <w:r w:rsidR="009A7EAD" w:rsidRPr="00FE088C">
        <w:rPr>
          <w:rFonts w:eastAsia="Calibri"/>
          <w:sz w:val="22"/>
          <w:szCs w:val="22"/>
          <w:lang w:eastAsia="en-US"/>
        </w:rPr>
        <w:t xml:space="preserve"> dėl kurios gali pasireikšti skysčių trūkumas (dehidratacija) ir kraujospūdžio sumažėjimas,</w:t>
      </w:r>
    </w:p>
    <w:p w:rsidR="00E93252" w:rsidRPr="00FE088C" w:rsidRDefault="00E93252" w:rsidP="00E93252">
      <w:pPr>
        <w:widowControl w:val="0"/>
        <w:numPr>
          <w:ilvl w:val="0"/>
          <w:numId w:val="42"/>
        </w:numPr>
        <w:ind w:left="567" w:hanging="567"/>
        <w:rPr>
          <w:sz w:val="22"/>
          <w:szCs w:val="22"/>
          <w:lang w:val="lt-LT"/>
        </w:rPr>
      </w:pPr>
      <w:r w:rsidRPr="00FE088C">
        <w:rPr>
          <w:rFonts w:eastAsia="Calibri"/>
          <w:sz w:val="22"/>
          <w:szCs w:val="22"/>
          <w:lang w:val="lt-LT" w:eastAsia="en-US"/>
        </w:rPr>
        <w:t>Labai didelis mieguistumas, alpimas,</w:t>
      </w:r>
    </w:p>
    <w:p w:rsidR="00E93252" w:rsidRPr="00FE088C" w:rsidRDefault="00E93252" w:rsidP="00E93252">
      <w:pPr>
        <w:widowControl w:val="0"/>
        <w:numPr>
          <w:ilvl w:val="0"/>
          <w:numId w:val="42"/>
        </w:numPr>
        <w:ind w:left="567" w:hanging="567"/>
        <w:rPr>
          <w:sz w:val="22"/>
          <w:szCs w:val="22"/>
          <w:lang w:val="lt-LT"/>
        </w:rPr>
      </w:pPr>
      <w:r w:rsidRPr="00FE088C">
        <w:rPr>
          <w:rFonts w:eastAsia="Calibri"/>
          <w:sz w:val="22"/>
          <w:szCs w:val="22"/>
          <w:lang w:val="lt-LT" w:eastAsia="en-US"/>
        </w:rPr>
        <w:t>Dažno širdies plakimo jutimas (palpitacijos), tachikardija (dažnas širdies plakimas),</w:t>
      </w:r>
    </w:p>
    <w:p w:rsidR="00E93252" w:rsidRPr="00FE088C" w:rsidRDefault="00E93252" w:rsidP="00E93252">
      <w:pPr>
        <w:widowControl w:val="0"/>
        <w:numPr>
          <w:ilvl w:val="0"/>
          <w:numId w:val="42"/>
        </w:numPr>
        <w:ind w:left="567" w:hanging="567"/>
        <w:rPr>
          <w:sz w:val="22"/>
          <w:szCs w:val="22"/>
          <w:lang w:val="lt-LT"/>
        </w:rPr>
      </w:pPr>
      <w:r w:rsidRPr="00FE088C">
        <w:rPr>
          <w:rFonts w:eastAsia="Calibri"/>
          <w:sz w:val="22"/>
          <w:szCs w:val="22"/>
          <w:lang w:val="lt-LT" w:eastAsia="en-US"/>
        </w:rPr>
        <w:t>Labai maža gliukozės koncentracija (hipoglikemija) diabetu sergančių pacientų kraujyje,</w:t>
      </w:r>
    </w:p>
    <w:p w:rsidR="00E93252" w:rsidRPr="00FE088C" w:rsidRDefault="00E93252" w:rsidP="00E93252">
      <w:pPr>
        <w:widowControl w:val="0"/>
        <w:numPr>
          <w:ilvl w:val="0"/>
          <w:numId w:val="42"/>
        </w:numPr>
        <w:ind w:left="567" w:hanging="567"/>
        <w:rPr>
          <w:sz w:val="22"/>
          <w:szCs w:val="22"/>
          <w:lang w:val="lt-LT"/>
        </w:rPr>
      </w:pPr>
      <w:r w:rsidRPr="00FE088C">
        <w:rPr>
          <w:rFonts w:eastAsia="Calibri"/>
          <w:sz w:val="22"/>
          <w:szCs w:val="22"/>
          <w:lang w:val="lt-LT" w:eastAsia="en-US"/>
        </w:rPr>
        <w:t>Kraujagyslių uždegimas (vaskulitas),</w:t>
      </w:r>
    </w:p>
    <w:p w:rsidR="00E93252" w:rsidRPr="00C06DBA" w:rsidRDefault="00E93252" w:rsidP="00E93252">
      <w:pPr>
        <w:widowControl w:val="0"/>
        <w:numPr>
          <w:ilvl w:val="0"/>
          <w:numId w:val="42"/>
        </w:numPr>
        <w:ind w:left="567" w:hanging="567"/>
        <w:rPr>
          <w:sz w:val="22"/>
          <w:szCs w:val="22"/>
          <w:lang w:val="lt-LT"/>
        </w:rPr>
      </w:pPr>
      <w:r w:rsidRPr="00E908DC">
        <w:rPr>
          <w:rFonts w:eastAsia="Calibri"/>
          <w:sz w:val="22"/>
          <w:szCs w:val="22"/>
          <w:lang w:val="lt-LT" w:eastAsia="en-US"/>
        </w:rPr>
        <w:t>Burnos džiūvimas,</w:t>
      </w:r>
    </w:p>
    <w:p w:rsidR="00E93252" w:rsidRPr="00B31A3A" w:rsidRDefault="00E93252" w:rsidP="00E93252">
      <w:pPr>
        <w:widowControl w:val="0"/>
        <w:numPr>
          <w:ilvl w:val="0"/>
          <w:numId w:val="42"/>
        </w:numPr>
        <w:ind w:left="567" w:hanging="567"/>
        <w:rPr>
          <w:sz w:val="22"/>
          <w:szCs w:val="22"/>
          <w:lang w:val="lt-LT"/>
        </w:rPr>
      </w:pPr>
      <w:r w:rsidRPr="00B31A3A">
        <w:rPr>
          <w:rFonts w:eastAsia="Calibri"/>
          <w:sz w:val="22"/>
          <w:szCs w:val="22"/>
          <w:lang w:val="lt-LT" w:eastAsia="en-US"/>
        </w:rPr>
        <w:t>Padidėjusio jautrumo saulės šviesai reakcijos (fotosensibilizacija),</w:t>
      </w:r>
    </w:p>
    <w:p w:rsidR="00E93252" w:rsidRPr="00691D21" w:rsidRDefault="00E93252" w:rsidP="00E93252">
      <w:pPr>
        <w:widowControl w:val="0"/>
        <w:numPr>
          <w:ilvl w:val="0"/>
          <w:numId w:val="42"/>
        </w:numPr>
        <w:ind w:left="567" w:hanging="567"/>
        <w:rPr>
          <w:sz w:val="22"/>
          <w:szCs w:val="22"/>
          <w:lang w:val="lt-LT"/>
        </w:rPr>
      </w:pPr>
      <w:r w:rsidRPr="00691D21">
        <w:rPr>
          <w:rFonts w:eastAsia="Calibri"/>
          <w:sz w:val="22"/>
          <w:szCs w:val="22"/>
          <w:lang w:val="lt-LT" w:eastAsia="en-US"/>
        </w:rPr>
        <w:t>Sąnarių skausmas (artralgija), raumenų skausmas (mialgija), krūtinės skausmas, bendrasis negalavimas, periferinė edema, karščiavimas,</w:t>
      </w:r>
    </w:p>
    <w:p w:rsidR="00E93252" w:rsidRPr="00C02FB4" w:rsidRDefault="00E93252" w:rsidP="00E93252">
      <w:pPr>
        <w:widowControl w:val="0"/>
        <w:numPr>
          <w:ilvl w:val="0"/>
          <w:numId w:val="42"/>
        </w:numPr>
        <w:ind w:left="567" w:hanging="567"/>
        <w:rPr>
          <w:sz w:val="22"/>
          <w:szCs w:val="22"/>
          <w:lang w:val="lt-LT"/>
        </w:rPr>
      </w:pPr>
      <w:r w:rsidRPr="00C02FB4">
        <w:rPr>
          <w:rFonts w:eastAsia="Calibri"/>
          <w:sz w:val="22"/>
          <w:szCs w:val="22"/>
          <w:lang w:val="lt-LT" w:eastAsia="en-US"/>
        </w:rPr>
        <w:t>Šlapalo koncentracijos kraujyje padidėjimas, kreatinino koncentracijos kraujyje padidėjimas,</w:t>
      </w:r>
    </w:p>
    <w:p w:rsidR="00E93252" w:rsidRPr="009A7EAD" w:rsidRDefault="00E93252" w:rsidP="008B3A7C">
      <w:pPr>
        <w:widowControl w:val="0"/>
        <w:numPr>
          <w:ilvl w:val="0"/>
          <w:numId w:val="42"/>
        </w:numPr>
        <w:tabs>
          <w:tab w:val="left" w:pos="567"/>
        </w:tabs>
        <w:autoSpaceDE w:val="0"/>
        <w:autoSpaceDN w:val="0"/>
        <w:adjustRightInd w:val="0"/>
        <w:ind w:left="567" w:hanging="567"/>
        <w:rPr>
          <w:sz w:val="22"/>
          <w:szCs w:val="22"/>
          <w:lang w:val="lt-LT"/>
        </w:rPr>
      </w:pPr>
      <w:r w:rsidRPr="00C02FB4">
        <w:rPr>
          <w:rFonts w:eastAsia="Calibri"/>
          <w:sz w:val="22"/>
          <w:szCs w:val="22"/>
          <w:lang w:val="lt-LT" w:eastAsia="en-US"/>
        </w:rPr>
        <w:t>Pargriuvimas</w:t>
      </w:r>
      <w:r w:rsidR="00450280" w:rsidRPr="00C02FB4">
        <w:rPr>
          <w:rFonts w:eastAsia="Calibri"/>
          <w:sz w:val="22"/>
          <w:szCs w:val="22"/>
          <w:lang w:val="lt-LT" w:eastAsia="en-US"/>
        </w:rPr>
        <w:t>,</w:t>
      </w:r>
    </w:p>
    <w:p w:rsidR="009A7EAD" w:rsidRDefault="009A7EAD" w:rsidP="00E93252">
      <w:pPr>
        <w:widowControl w:val="0"/>
        <w:tabs>
          <w:tab w:val="left" w:pos="567"/>
        </w:tabs>
        <w:autoSpaceDE w:val="0"/>
        <w:autoSpaceDN w:val="0"/>
        <w:adjustRightInd w:val="0"/>
        <w:rPr>
          <w:i/>
          <w:sz w:val="22"/>
          <w:szCs w:val="22"/>
          <w:lang w:val="lt-LT"/>
        </w:rPr>
      </w:pPr>
    </w:p>
    <w:p w:rsidR="00E93252" w:rsidRPr="00BA0735" w:rsidRDefault="00E93252" w:rsidP="00E93252">
      <w:pPr>
        <w:widowControl w:val="0"/>
        <w:tabs>
          <w:tab w:val="left" w:pos="567"/>
        </w:tabs>
        <w:autoSpaceDE w:val="0"/>
        <w:autoSpaceDN w:val="0"/>
        <w:adjustRightInd w:val="0"/>
        <w:rPr>
          <w:i/>
          <w:sz w:val="22"/>
          <w:szCs w:val="22"/>
          <w:lang w:val="lt-LT"/>
        </w:rPr>
      </w:pPr>
      <w:r w:rsidRPr="00BA0735">
        <w:rPr>
          <w:i/>
          <w:sz w:val="22"/>
          <w:szCs w:val="22"/>
          <w:lang w:val="lt-LT"/>
        </w:rPr>
        <w:t>Ret</w:t>
      </w:r>
      <w:r w:rsidR="00FE088C">
        <w:rPr>
          <w:i/>
          <w:sz w:val="22"/>
          <w:szCs w:val="22"/>
          <w:lang w:val="lt-LT"/>
        </w:rPr>
        <w:t xml:space="preserve">i </w:t>
      </w:r>
      <w:r w:rsidR="00FE088C" w:rsidRPr="00FE088C">
        <w:rPr>
          <w:i/>
          <w:sz w:val="22"/>
          <w:szCs w:val="22"/>
          <w:lang w:val="lt-LT"/>
        </w:rPr>
        <w:t>šalutinio poveikio reiškiniai</w:t>
      </w:r>
      <w:r w:rsidRPr="00BA0735">
        <w:rPr>
          <w:i/>
          <w:sz w:val="22"/>
          <w:szCs w:val="22"/>
          <w:lang w:val="lt-LT"/>
        </w:rPr>
        <w:t xml:space="preserve"> (gali atsirasti </w:t>
      </w:r>
      <w:r w:rsidR="00FE088C" w:rsidRPr="00FE088C">
        <w:rPr>
          <w:i/>
          <w:sz w:val="22"/>
          <w:szCs w:val="22"/>
          <w:lang w:val="lt-LT"/>
        </w:rPr>
        <w:t>rečiau</w:t>
      </w:r>
      <w:r w:rsidR="00FE088C" w:rsidRPr="00FE088C" w:rsidDel="00FE088C">
        <w:rPr>
          <w:i/>
          <w:sz w:val="22"/>
          <w:szCs w:val="22"/>
          <w:lang w:val="lt-LT"/>
        </w:rPr>
        <w:t xml:space="preserve"> </w:t>
      </w:r>
      <w:r w:rsidRPr="00BA0735">
        <w:rPr>
          <w:i/>
          <w:sz w:val="22"/>
          <w:szCs w:val="22"/>
          <w:lang w:val="lt-LT"/>
        </w:rPr>
        <w:t>kaip 1  iš 1</w:t>
      </w:r>
      <w:r w:rsidR="00FE088C">
        <w:rPr>
          <w:i/>
          <w:sz w:val="22"/>
          <w:szCs w:val="22"/>
          <w:lang w:val="lt-LT"/>
        </w:rPr>
        <w:t> </w:t>
      </w:r>
      <w:r w:rsidRPr="00BA0735">
        <w:rPr>
          <w:i/>
          <w:sz w:val="22"/>
          <w:szCs w:val="22"/>
          <w:lang w:val="lt-LT"/>
        </w:rPr>
        <w:t>000</w:t>
      </w:r>
      <w:r w:rsidR="00FE088C">
        <w:rPr>
          <w:i/>
          <w:sz w:val="22"/>
          <w:szCs w:val="22"/>
          <w:lang w:val="lt-LT"/>
        </w:rPr>
        <w:t> asmenų</w:t>
      </w:r>
      <w:r w:rsidRPr="00BA0735">
        <w:rPr>
          <w:i/>
          <w:sz w:val="22"/>
          <w:szCs w:val="22"/>
          <w:lang w:val="lt-LT"/>
        </w:rPr>
        <w:t>)</w:t>
      </w:r>
      <w:r w:rsidR="00FE088C">
        <w:rPr>
          <w:i/>
          <w:sz w:val="22"/>
          <w:szCs w:val="22"/>
          <w:lang w:val="lt-LT"/>
        </w:rPr>
        <w:t>:</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psoriazės paūmėjimas,</w:t>
      </w:r>
    </w:p>
    <w:p w:rsidR="00E93252" w:rsidRPr="00BA0735" w:rsidRDefault="00E93252" w:rsidP="00E93252">
      <w:pPr>
        <w:numPr>
          <w:ilvl w:val="0"/>
          <w:numId w:val="16"/>
        </w:numPr>
        <w:spacing w:line="259" w:lineRule="auto"/>
        <w:rPr>
          <w:rFonts w:eastAsia="Calibri"/>
          <w:sz w:val="22"/>
          <w:szCs w:val="22"/>
          <w:lang w:val="lt-LT" w:eastAsia="en-US"/>
        </w:rPr>
      </w:pPr>
      <w:r w:rsidRPr="00BA0735">
        <w:rPr>
          <w:rFonts w:eastAsia="Calibri"/>
          <w:sz w:val="22"/>
          <w:szCs w:val="22"/>
          <w:lang w:val="lt-LT" w:eastAsia="en-US"/>
        </w:rPr>
        <w:t>laboratorinių tyrimų rodmenų pokyčiai: kepenų fermentų suaktyvėjimas, didelė bilirubino koncentracija kraujyje,</w:t>
      </w:r>
    </w:p>
    <w:p w:rsidR="00450280" w:rsidRPr="008B3A7C" w:rsidRDefault="00E93252" w:rsidP="00E93252">
      <w:pPr>
        <w:widowControl w:val="0"/>
        <w:numPr>
          <w:ilvl w:val="0"/>
          <w:numId w:val="16"/>
        </w:numPr>
        <w:autoSpaceDE w:val="0"/>
        <w:autoSpaceDN w:val="0"/>
        <w:adjustRightInd w:val="0"/>
        <w:rPr>
          <w:sz w:val="22"/>
          <w:szCs w:val="22"/>
          <w:lang w:val="lt-LT"/>
        </w:rPr>
      </w:pPr>
      <w:r w:rsidRPr="00BA0735">
        <w:rPr>
          <w:rFonts w:eastAsia="Calibri"/>
          <w:sz w:val="22"/>
          <w:szCs w:val="22"/>
          <w:lang w:val="lt-LT" w:eastAsia="en-US"/>
        </w:rPr>
        <w:t>nuovargis</w:t>
      </w:r>
      <w:r w:rsidR="00450280">
        <w:rPr>
          <w:rFonts w:eastAsia="Calibri"/>
          <w:sz w:val="22"/>
          <w:szCs w:val="22"/>
          <w:lang w:val="lt-LT" w:eastAsia="en-US"/>
        </w:rPr>
        <w:t>,</w:t>
      </w:r>
    </w:p>
    <w:p w:rsidR="00450280" w:rsidRDefault="001B572E" w:rsidP="00450280">
      <w:pPr>
        <w:widowControl w:val="0"/>
        <w:numPr>
          <w:ilvl w:val="0"/>
          <w:numId w:val="16"/>
        </w:numPr>
        <w:autoSpaceDE w:val="0"/>
        <w:autoSpaceDN w:val="0"/>
        <w:adjustRightInd w:val="0"/>
        <w:rPr>
          <w:sz w:val="22"/>
          <w:szCs w:val="22"/>
          <w:lang w:val="lt-LT"/>
        </w:rPr>
      </w:pPr>
      <w:r>
        <w:rPr>
          <w:sz w:val="22"/>
          <w:szCs w:val="22"/>
          <w:lang w:val="lt-LT"/>
        </w:rPr>
        <w:t>tamsios spalvos</w:t>
      </w:r>
      <w:r w:rsidR="00450280">
        <w:rPr>
          <w:sz w:val="22"/>
          <w:szCs w:val="22"/>
          <w:lang w:val="lt-LT"/>
        </w:rPr>
        <w:t xml:space="preserve"> </w:t>
      </w:r>
      <w:r w:rsidR="00450280" w:rsidRPr="00450280">
        <w:rPr>
          <w:sz w:val="22"/>
          <w:szCs w:val="22"/>
          <w:lang w:val="lt-LT"/>
        </w:rPr>
        <w:t xml:space="preserve">šlapimas, pykinimas ar vėmimas, raumenų </w:t>
      </w:r>
      <w:r>
        <w:rPr>
          <w:sz w:val="22"/>
          <w:szCs w:val="22"/>
          <w:lang w:val="lt-LT"/>
        </w:rPr>
        <w:t>spazmai</w:t>
      </w:r>
      <w:r w:rsidR="00450280" w:rsidRPr="00450280">
        <w:rPr>
          <w:sz w:val="22"/>
          <w:szCs w:val="22"/>
          <w:lang w:val="lt-LT"/>
        </w:rPr>
        <w:t xml:space="preserve">, sumišimas ir </w:t>
      </w:r>
      <w:r>
        <w:rPr>
          <w:sz w:val="22"/>
          <w:szCs w:val="22"/>
          <w:lang w:val="lt-LT"/>
        </w:rPr>
        <w:t>priepuoliai</w:t>
      </w:r>
      <w:r w:rsidR="00450280" w:rsidRPr="00450280">
        <w:rPr>
          <w:sz w:val="22"/>
          <w:szCs w:val="22"/>
          <w:lang w:val="lt-LT"/>
        </w:rPr>
        <w:t xml:space="preserve">. Tai gali būti būklės, vadinamos </w:t>
      </w:r>
      <w:r w:rsidR="00450280">
        <w:rPr>
          <w:sz w:val="22"/>
          <w:szCs w:val="22"/>
          <w:lang w:val="lt-LT"/>
        </w:rPr>
        <w:t>sutrikusi</w:t>
      </w:r>
      <w:r>
        <w:rPr>
          <w:sz w:val="22"/>
          <w:szCs w:val="22"/>
          <w:lang w:val="lt-LT"/>
        </w:rPr>
        <w:t>ios</w:t>
      </w:r>
      <w:r w:rsidR="00450280" w:rsidRPr="00450280">
        <w:rPr>
          <w:sz w:val="22"/>
          <w:szCs w:val="22"/>
          <w:lang w:val="lt-LT"/>
        </w:rPr>
        <w:t xml:space="preserve"> antidiure</w:t>
      </w:r>
      <w:r>
        <w:rPr>
          <w:sz w:val="22"/>
          <w:szCs w:val="22"/>
          <w:lang w:val="lt-LT"/>
        </w:rPr>
        <w:t>zinio</w:t>
      </w:r>
      <w:r w:rsidR="00450280" w:rsidRPr="00450280">
        <w:rPr>
          <w:sz w:val="22"/>
          <w:szCs w:val="22"/>
          <w:lang w:val="lt-LT"/>
        </w:rPr>
        <w:t xml:space="preserve"> hormono sekrecij</w:t>
      </w:r>
      <w:r>
        <w:rPr>
          <w:sz w:val="22"/>
          <w:szCs w:val="22"/>
          <w:lang w:val="lt-LT"/>
        </w:rPr>
        <w:t>os sindromu (SAHSS</w:t>
      </w:r>
      <w:r w:rsidR="00450280" w:rsidRPr="00450280">
        <w:rPr>
          <w:sz w:val="22"/>
          <w:szCs w:val="22"/>
          <w:lang w:val="lt-LT"/>
        </w:rPr>
        <w:t>),</w:t>
      </w:r>
      <w:r>
        <w:rPr>
          <w:sz w:val="22"/>
          <w:szCs w:val="22"/>
          <w:lang w:val="lt-LT"/>
        </w:rPr>
        <w:t xml:space="preserve"> simptomai,</w:t>
      </w:r>
      <w:r w:rsidR="00450280" w:rsidRPr="00450280">
        <w:rPr>
          <w:sz w:val="22"/>
          <w:szCs w:val="22"/>
          <w:lang w:val="lt-LT"/>
        </w:rPr>
        <w:t xml:space="preserve"> </w:t>
      </w:r>
    </w:p>
    <w:p w:rsidR="00450280" w:rsidRDefault="00450280" w:rsidP="00450280">
      <w:pPr>
        <w:widowControl w:val="0"/>
        <w:numPr>
          <w:ilvl w:val="0"/>
          <w:numId w:val="16"/>
        </w:numPr>
        <w:autoSpaceDE w:val="0"/>
        <w:autoSpaceDN w:val="0"/>
        <w:adjustRightInd w:val="0"/>
        <w:rPr>
          <w:sz w:val="22"/>
          <w:szCs w:val="22"/>
          <w:lang w:val="lt-LT"/>
        </w:rPr>
      </w:pPr>
      <w:r w:rsidRPr="00450280">
        <w:rPr>
          <w:sz w:val="22"/>
          <w:szCs w:val="22"/>
          <w:lang w:val="lt-LT"/>
        </w:rPr>
        <w:t>šlapimo</w:t>
      </w:r>
      <w:r w:rsidR="001B572E">
        <w:rPr>
          <w:sz w:val="22"/>
          <w:szCs w:val="22"/>
          <w:lang w:val="lt-LT"/>
        </w:rPr>
        <w:t xml:space="preserve"> kiekio sumažėjimas</w:t>
      </w:r>
      <w:r w:rsidR="004B0531">
        <w:rPr>
          <w:sz w:val="22"/>
          <w:szCs w:val="22"/>
          <w:lang w:val="lt-LT"/>
        </w:rPr>
        <w:t xml:space="preserve"> arba šlapimo ne</w:t>
      </w:r>
      <w:r w:rsidRPr="00450280">
        <w:rPr>
          <w:sz w:val="22"/>
          <w:szCs w:val="22"/>
          <w:lang w:val="lt-LT"/>
        </w:rPr>
        <w:t>išsiskyrimas,</w:t>
      </w:r>
    </w:p>
    <w:p w:rsidR="004F3A7B" w:rsidRDefault="00450280" w:rsidP="004F3A7B">
      <w:pPr>
        <w:widowControl w:val="0"/>
        <w:numPr>
          <w:ilvl w:val="0"/>
          <w:numId w:val="16"/>
        </w:numPr>
        <w:autoSpaceDE w:val="0"/>
        <w:autoSpaceDN w:val="0"/>
        <w:adjustRightInd w:val="0"/>
        <w:rPr>
          <w:sz w:val="22"/>
          <w:szCs w:val="22"/>
          <w:lang w:val="lt-LT"/>
        </w:rPr>
      </w:pPr>
      <w:r w:rsidRPr="004F3A7B">
        <w:rPr>
          <w:sz w:val="22"/>
          <w:szCs w:val="22"/>
          <w:lang w:val="lt-LT"/>
        </w:rPr>
        <w:t>paraudimas,</w:t>
      </w:r>
    </w:p>
    <w:p w:rsidR="004F3A7B" w:rsidRPr="00FE088C" w:rsidRDefault="00450280" w:rsidP="004F3A7B">
      <w:pPr>
        <w:widowControl w:val="0"/>
        <w:numPr>
          <w:ilvl w:val="0"/>
          <w:numId w:val="16"/>
        </w:numPr>
        <w:autoSpaceDE w:val="0"/>
        <w:autoSpaceDN w:val="0"/>
        <w:adjustRightInd w:val="0"/>
        <w:rPr>
          <w:sz w:val="22"/>
          <w:szCs w:val="22"/>
          <w:lang w:val="lt-LT"/>
        </w:rPr>
      </w:pPr>
      <w:r w:rsidRPr="00FE088C">
        <w:rPr>
          <w:sz w:val="22"/>
          <w:szCs w:val="22"/>
          <w:lang w:val="lt-LT"/>
        </w:rPr>
        <w:t>ūm</w:t>
      </w:r>
      <w:r w:rsidR="004B0531">
        <w:rPr>
          <w:sz w:val="22"/>
          <w:szCs w:val="22"/>
          <w:lang w:val="lt-LT"/>
        </w:rPr>
        <w:t>us</w:t>
      </w:r>
      <w:r w:rsidRPr="00FE088C">
        <w:rPr>
          <w:sz w:val="22"/>
          <w:szCs w:val="22"/>
          <w:lang w:val="lt-LT"/>
        </w:rPr>
        <w:t xml:space="preserve"> inkstų nepakankamumas</w:t>
      </w:r>
      <w:r w:rsidR="004F3A7B" w:rsidRPr="00FE088C">
        <w:rPr>
          <w:sz w:val="22"/>
          <w:szCs w:val="22"/>
          <w:lang w:val="lt-LT"/>
        </w:rPr>
        <w:t>,</w:t>
      </w:r>
    </w:p>
    <w:p w:rsidR="004F3A7B" w:rsidRPr="00FE088C" w:rsidRDefault="004F3A7B" w:rsidP="004F3A7B">
      <w:pPr>
        <w:widowControl w:val="0"/>
        <w:numPr>
          <w:ilvl w:val="0"/>
          <w:numId w:val="16"/>
        </w:numPr>
        <w:autoSpaceDE w:val="0"/>
        <w:autoSpaceDN w:val="0"/>
        <w:adjustRightInd w:val="0"/>
        <w:rPr>
          <w:sz w:val="22"/>
          <w:szCs w:val="22"/>
          <w:lang w:val="lt-LT"/>
        </w:rPr>
      </w:pPr>
      <w:r w:rsidRPr="00FE088C">
        <w:rPr>
          <w:sz w:val="22"/>
          <w:szCs w:val="22"/>
        </w:rPr>
        <w:t>maža chloridų koncentracija kraujyje,</w:t>
      </w:r>
    </w:p>
    <w:p w:rsidR="00E93252" w:rsidRPr="00FE088C" w:rsidRDefault="004F3A7B" w:rsidP="004F3A7B">
      <w:pPr>
        <w:widowControl w:val="0"/>
        <w:numPr>
          <w:ilvl w:val="0"/>
          <w:numId w:val="16"/>
        </w:numPr>
        <w:autoSpaceDE w:val="0"/>
        <w:autoSpaceDN w:val="0"/>
        <w:adjustRightInd w:val="0"/>
        <w:rPr>
          <w:sz w:val="22"/>
          <w:szCs w:val="22"/>
          <w:lang w:val="lt-LT"/>
        </w:rPr>
      </w:pPr>
      <w:r w:rsidRPr="00FE088C">
        <w:rPr>
          <w:sz w:val="22"/>
          <w:szCs w:val="22"/>
        </w:rPr>
        <w:t>maža magnio koncentracija kraujyje.</w:t>
      </w:r>
    </w:p>
    <w:p w:rsidR="00E93252" w:rsidRPr="00BA0735" w:rsidRDefault="00E93252" w:rsidP="00E93252">
      <w:pPr>
        <w:widowControl w:val="0"/>
        <w:tabs>
          <w:tab w:val="left" w:pos="567"/>
        </w:tabs>
        <w:autoSpaceDE w:val="0"/>
        <w:autoSpaceDN w:val="0"/>
        <w:adjustRightInd w:val="0"/>
        <w:rPr>
          <w:sz w:val="22"/>
          <w:szCs w:val="22"/>
          <w:lang w:val="lt-LT"/>
        </w:rPr>
      </w:pPr>
    </w:p>
    <w:p w:rsidR="00E93252" w:rsidRPr="00BA0735" w:rsidRDefault="00E93252" w:rsidP="00E93252">
      <w:pPr>
        <w:widowControl w:val="0"/>
        <w:tabs>
          <w:tab w:val="left" w:pos="567"/>
        </w:tabs>
        <w:autoSpaceDE w:val="0"/>
        <w:autoSpaceDN w:val="0"/>
        <w:adjustRightInd w:val="0"/>
        <w:rPr>
          <w:sz w:val="22"/>
          <w:szCs w:val="22"/>
          <w:lang w:val="lt-LT"/>
        </w:rPr>
      </w:pPr>
      <w:r w:rsidRPr="00BA0735">
        <w:rPr>
          <w:i/>
          <w:sz w:val="22"/>
          <w:szCs w:val="22"/>
          <w:lang w:val="lt-LT"/>
        </w:rPr>
        <w:t>Labai ret</w:t>
      </w:r>
      <w:r w:rsidR="00FE088C">
        <w:rPr>
          <w:i/>
          <w:sz w:val="22"/>
          <w:szCs w:val="22"/>
          <w:lang w:val="lt-LT"/>
        </w:rPr>
        <w:t xml:space="preserve">i </w:t>
      </w:r>
      <w:r w:rsidR="00FE088C" w:rsidRPr="00FE088C">
        <w:rPr>
          <w:i/>
          <w:sz w:val="22"/>
          <w:szCs w:val="22"/>
          <w:lang w:val="lt-LT"/>
        </w:rPr>
        <w:t>šalutinio poveikio reiškiniai</w:t>
      </w:r>
      <w:r w:rsidRPr="00BA0735">
        <w:rPr>
          <w:i/>
          <w:sz w:val="22"/>
          <w:szCs w:val="22"/>
          <w:lang w:val="lt-LT"/>
        </w:rPr>
        <w:t xml:space="preserve"> (gali atsirasti </w:t>
      </w:r>
      <w:r w:rsidR="00FE088C" w:rsidRPr="00FE088C">
        <w:rPr>
          <w:i/>
          <w:sz w:val="22"/>
          <w:szCs w:val="22"/>
          <w:lang w:val="lt-LT"/>
        </w:rPr>
        <w:t>rečiau</w:t>
      </w:r>
      <w:r w:rsidR="00FE088C" w:rsidRPr="00FE088C" w:rsidDel="00FE088C">
        <w:rPr>
          <w:i/>
          <w:sz w:val="22"/>
          <w:szCs w:val="22"/>
          <w:lang w:val="lt-LT"/>
        </w:rPr>
        <w:t xml:space="preserve"> </w:t>
      </w:r>
      <w:r w:rsidRPr="00BA0735">
        <w:rPr>
          <w:i/>
          <w:sz w:val="22"/>
          <w:szCs w:val="22"/>
          <w:lang w:val="lt-LT"/>
        </w:rPr>
        <w:t>kaip 1 iš 10</w:t>
      </w:r>
      <w:r w:rsidR="00FE088C">
        <w:rPr>
          <w:i/>
          <w:sz w:val="22"/>
          <w:szCs w:val="22"/>
          <w:lang w:val="lt-LT"/>
        </w:rPr>
        <w:t> </w:t>
      </w:r>
      <w:r w:rsidRPr="00BA0735">
        <w:rPr>
          <w:i/>
          <w:sz w:val="22"/>
          <w:szCs w:val="22"/>
          <w:lang w:val="lt-LT"/>
        </w:rPr>
        <w:t>000</w:t>
      </w:r>
      <w:r w:rsidR="00FE088C">
        <w:rPr>
          <w:i/>
          <w:sz w:val="22"/>
          <w:szCs w:val="22"/>
          <w:lang w:val="lt-LT"/>
        </w:rPr>
        <w:t> asmenų</w:t>
      </w:r>
      <w:r w:rsidRPr="00BA0735">
        <w:rPr>
          <w:i/>
          <w:sz w:val="22"/>
          <w:szCs w:val="22"/>
          <w:lang w:val="lt-LT"/>
        </w:rPr>
        <w:t>)</w:t>
      </w:r>
      <w:r w:rsidR="00FE088C">
        <w:rPr>
          <w:i/>
          <w:sz w:val="22"/>
          <w:szCs w:val="22"/>
          <w:lang w:val="lt-LT"/>
        </w:rPr>
        <w:t>:</w:t>
      </w:r>
    </w:p>
    <w:p w:rsidR="00E93252" w:rsidRPr="00BA0735" w:rsidRDefault="00E93252" w:rsidP="00E93252">
      <w:pPr>
        <w:widowControl w:val="0"/>
        <w:numPr>
          <w:ilvl w:val="0"/>
          <w:numId w:val="43"/>
        </w:numPr>
        <w:autoSpaceDE w:val="0"/>
        <w:autoSpaceDN w:val="0"/>
        <w:adjustRightInd w:val="0"/>
        <w:ind w:left="567" w:hanging="567"/>
        <w:rPr>
          <w:sz w:val="22"/>
          <w:szCs w:val="22"/>
          <w:lang w:val="lt-LT"/>
        </w:rPr>
      </w:pPr>
      <w:r w:rsidRPr="00BA0735">
        <w:rPr>
          <w:sz w:val="22"/>
          <w:szCs w:val="22"/>
          <w:lang w:val="lt-LT"/>
        </w:rPr>
        <w:t>sumišimas,</w:t>
      </w:r>
    </w:p>
    <w:p w:rsidR="00E93252" w:rsidRPr="00BA0735" w:rsidRDefault="00E93252" w:rsidP="00E93252">
      <w:pPr>
        <w:widowControl w:val="0"/>
        <w:numPr>
          <w:ilvl w:val="0"/>
          <w:numId w:val="43"/>
        </w:numPr>
        <w:autoSpaceDE w:val="0"/>
        <w:autoSpaceDN w:val="0"/>
        <w:adjustRightInd w:val="0"/>
        <w:ind w:left="567" w:hanging="567"/>
        <w:rPr>
          <w:sz w:val="22"/>
          <w:szCs w:val="22"/>
          <w:lang w:val="lt-LT"/>
        </w:rPr>
      </w:pPr>
      <w:r w:rsidRPr="00BA0735">
        <w:rPr>
          <w:sz w:val="22"/>
          <w:szCs w:val="22"/>
          <w:lang w:val="lt-LT"/>
        </w:rPr>
        <w:t>užgulusi arba varvanti nosis (rinitas),</w:t>
      </w:r>
    </w:p>
    <w:p w:rsidR="00E93252" w:rsidRPr="00BA0735" w:rsidRDefault="00E93252" w:rsidP="00E93252">
      <w:pPr>
        <w:widowControl w:val="0"/>
        <w:numPr>
          <w:ilvl w:val="0"/>
          <w:numId w:val="43"/>
        </w:numPr>
        <w:autoSpaceDE w:val="0"/>
        <w:autoSpaceDN w:val="0"/>
        <w:adjustRightInd w:val="0"/>
        <w:ind w:left="567" w:hanging="567"/>
        <w:rPr>
          <w:sz w:val="22"/>
          <w:szCs w:val="22"/>
          <w:lang w:val="lt-LT"/>
        </w:rPr>
      </w:pPr>
      <w:r w:rsidRPr="00BA0735">
        <w:rPr>
          <w:sz w:val="22"/>
          <w:szCs w:val="22"/>
          <w:lang w:val="lt-LT"/>
        </w:rPr>
        <w:t>eozinofilinė pneumonija (reta pneumonijos rūšis),</w:t>
      </w:r>
    </w:p>
    <w:p w:rsidR="00E93252" w:rsidRPr="00BA0735" w:rsidRDefault="00E93252" w:rsidP="00E93252">
      <w:pPr>
        <w:widowControl w:val="0"/>
        <w:numPr>
          <w:ilvl w:val="0"/>
          <w:numId w:val="43"/>
        </w:numPr>
        <w:autoSpaceDE w:val="0"/>
        <w:autoSpaceDN w:val="0"/>
        <w:adjustRightInd w:val="0"/>
        <w:ind w:left="567" w:hanging="567"/>
        <w:rPr>
          <w:sz w:val="22"/>
          <w:szCs w:val="22"/>
          <w:lang w:val="lt-LT"/>
        </w:rPr>
      </w:pPr>
      <w:r w:rsidRPr="00BA0735">
        <w:rPr>
          <w:sz w:val="22"/>
          <w:szCs w:val="22"/>
          <w:lang w:val="lt-LT"/>
        </w:rPr>
        <w:t xml:space="preserve">kraujo </w:t>
      </w:r>
      <w:r w:rsidRPr="00BA0735">
        <w:rPr>
          <w:rFonts w:eastAsia="Calibri"/>
          <w:sz w:val="22"/>
          <w:szCs w:val="22"/>
          <w:lang w:val="lt-LT" w:eastAsia="en-US"/>
        </w:rPr>
        <w:t>ląstelių kiekio pokyčiai (pvz.: maži baltųjų ir raudonųjų kraujo ląstelių kiekiai),</w:t>
      </w:r>
    </w:p>
    <w:p w:rsidR="00E93252" w:rsidRPr="00BA0735" w:rsidRDefault="00E93252" w:rsidP="00E93252">
      <w:pPr>
        <w:widowControl w:val="0"/>
        <w:numPr>
          <w:ilvl w:val="0"/>
          <w:numId w:val="43"/>
        </w:numPr>
        <w:ind w:left="567" w:hanging="567"/>
        <w:rPr>
          <w:sz w:val="22"/>
          <w:szCs w:val="22"/>
          <w:lang w:val="lt-LT"/>
        </w:rPr>
      </w:pPr>
      <w:r w:rsidRPr="00BA0735">
        <w:rPr>
          <w:rFonts w:eastAsia="Calibri"/>
          <w:sz w:val="22"/>
          <w:szCs w:val="22"/>
          <w:lang w:val="lt-LT" w:eastAsia="en-US"/>
        </w:rPr>
        <w:t>hemoglobino koncentracijos kraujyje sumažėjimas, kraujo plokštelių kiekio sumažėjimas,</w:t>
      </w:r>
    </w:p>
    <w:p w:rsidR="00E93252" w:rsidRPr="00BA0735" w:rsidRDefault="00E93252" w:rsidP="00E93252">
      <w:pPr>
        <w:widowControl w:val="0"/>
        <w:numPr>
          <w:ilvl w:val="0"/>
          <w:numId w:val="43"/>
        </w:numPr>
        <w:ind w:left="567" w:hanging="567"/>
        <w:rPr>
          <w:sz w:val="22"/>
          <w:szCs w:val="22"/>
          <w:lang w:val="lt-LT"/>
        </w:rPr>
      </w:pPr>
      <w:r w:rsidRPr="00BA0735">
        <w:rPr>
          <w:rFonts w:eastAsia="Calibri"/>
          <w:sz w:val="22"/>
          <w:szCs w:val="22"/>
          <w:lang w:val="lt-LT" w:eastAsia="en-US"/>
        </w:rPr>
        <w:t>didelės kalcio koncentracijos kraujyje,</w:t>
      </w:r>
    </w:p>
    <w:p w:rsidR="00E93252" w:rsidRPr="00BA0735" w:rsidRDefault="00E93252" w:rsidP="00E93252">
      <w:pPr>
        <w:widowControl w:val="0"/>
        <w:numPr>
          <w:ilvl w:val="0"/>
          <w:numId w:val="43"/>
        </w:numPr>
        <w:tabs>
          <w:tab w:val="left" w:pos="567"/>
        </w:tabs>
        <w:autoSpaceDE w:val="0"/>
        <w:autoSpaceDN w:val="0"/>
        <w:adjustRightInd w:val="0"/>
        <w:ind w:left="567" w:hanging="567"/>
        <w:rPr>
          <w:sz w:val="22"/>
          <w:szCs w:val="22"/>
          <w:lang w:val="lt-LT"/>
        </w:rPr>
      </w:pPr>
      <w:r w:rsidRPr="00BA0735">
        <w:rPr>
          <w:rFonts w:eastAsia="Calibri"/>
          <w:sz w:val="22"/>
          <w:szCs w:val="22"/>
          <w:lang w:val="lt-LT" w:eastAsia="en-US"/>
        </w:rPr>
        <w:t>nenormali kepenų funkcija</w:t>
      </w:r>
      <w:r w:rsidRPr="00BA0735">
        <w:rPr>
          <w:sz w:val="22"/>
          <w:szCs w:val="22"/>
          <w:lang w:val="lt-LT"/>
        </w:rPr>
        <w:t>.</w:t>
      </w:r>
    </w:p>
    <w:p w:rsidR="00E93252" w:rsidRPr="00BA0735" w:rsidRDefault="00E93252" w:rsidP="00E93252">
      <w:pPr>
        <w:widowControl w:val="0"/>
        <w:tabs>
          <w:tab w:val="left" w:pos="567"/>
        </w:tabs>
        <w:autoSpaceDE w:val="0"/>
        <w:autoSpaceDN w:val="0"/>
        <w:adjustRightInd w:val="0"/>
        <w:rPr>
          <w:sz w:val="22"/>
          <w:szCs w:val="22"/>
          <w:lang w:val="lt-LT"/>
        </w:rPr>
      </w:pPr>
    </w:p>
    <w:p w:rsidR="00E93252" w:rsidRPr="00BA0735" w:rsidRDefault="00FE088C" w:rsidP="00E93252">
      <w:pPr>
        <w:widowControl w:val="0"/>
        <w:autoSpaceDE w:val="0"/>
        <w:autoSpaceDN w:val="0"/>
        <w:adjustRightInd w:val="0"/>
        <w:rPr>
          <w:i/>
          <w:sz w:val="22"/>
          <w:szCs w:val="22"/>
          <w:lang w:val="lt-LT"/>
        </w:rPr>
      </w:pPr>
      <w:r w:rsidRPr="00FE088C">
        <w:rPr>
          <w:i/>
          <w:sz w:val="22"/>
          <w:szCs w:val="22"/>
          <w:lang w:val="lt-LT"/>
        </w:rPr>
        <w:t xml:space="preserve">Šalutinio poveikio reiškiniai, kurių </w:t>
      </w:r>
      <w:r>
        <w:rPr>
          <w:i/>
          <w:sz w:val="22"/>
          <w:szCs w:val="22"/>
          <w:lang w:val="lt-LT"/>
        </w:rPr>
        <w:t>d</w:t>
      </w:r>
      <w:r w:rsidR="00E93252" w:rsidRPr="00BA0735">
        <w:rPr>
          <w:i/>
          <w:sz w:val="22"/>
          <w:szCs w:val="22"/>
          <w:lang w:val="lt-LT"/>
        </w:rPr>
        <w:t>ažnis nežinomas (dažnis negali būti apskaičiuotas pagal turimus duomenis):</w:t>
      </w:r>
    </w:p>
    <w:p w:rsidR="00E93252" w:rsidRPr="00BA0735" w:rsidRDefault="00E93252" w:rsidP="00E93252">
      <w:pPr>
        <w:widowControl w:val="0"/>
        <w:numPr>
          <w:ilvl w:val="0"/>
          <w:numId w:val="16"/>
        </w:numPr>
        <w:autoSpaceDE w:val="0"/>
        <w:autoSpaceDN w:val="0"/>
        <w:adjustRightInd w:val="0"/>
        <w:rPr>
          <w:sz w:val="22"/>
          <w:szCs w:val="22"/>
          <w:lang w:val="lt-LT"/>
        </w:rPr>
      </w:pPr>
      <w:r w:rsidRPr="00BA0735">
        <w:rPr>
          <w:sz w:val="22"/>
          <w:szCs w:val="22"/>
          <w:lang w:val="lt-LT"/>
        </w:rPr>
        <w:t>nenormalios elektrokardiogramos vertės,</w:t>
      </w:r>
    </w:p>
    <w:p w:rsidR="00E93252" w:rsidRPr="00BA0735" w:rsidRDefault="00E93252" w:rsidP="00E93252">
      <w:pPr>
        <w:widowControl w:val="0"/>
        <w:autoSpaceDE w:val="0"/>
        <w:autoSpaceDN w:val="0"/>
        <w:adjustRightInd w:val="0"/>
        <w:ind w:left="567"/>
        <w:rPr>
          <w:sz w:val="22"/>
          <w:szCs w:val="22"/>
          <w:lang w:val="lt-LT"/>
        </w:rPr>
      </w:pPr>
      <w:r w:rsidRPr="00BA0735">
        <w:rPr>
          <w:sz w:val="22"/>
          <w:szCs w:val="22"/>
          <w:lang w:val="lt-LT"/>
        </w:rPr>
        <w:t xml:space="preserve">laboratorinių </w:t>
      </w:r>
      <w:r w:rsidRPr="00BA0735">
        <w:rPr>
          <w:rFonts w:eastAsia="Calibri"/>
          <w:sz w:val="22"/>
          <w:szCs w:val="22"/>
          <w:lang w:val="lt-LT" w:eastAsia="en-US"/>
        </w:rPr>
        <w:t>tyrimų rodmenų pokyčiai: didelės šlapimo rūgšties koncentracijos ir didelės gliukozės koncentracijos kraujyje, trumparegystė (miopija), neryškus matymas, regėjimo sutrikimas,</w:t>
      </w:r>
      <w:r w:rsidRPr="00BA0735">
        <w:rPr>
          <w:rFonts w:eastAsia="Calibri"/>
          <w:bCs/>
          <w:sz w:val="22"/>
          <w:szCs w:val="22"/>
          <w:lang w:val="lt-LT" w:eastAsia="en-US"/>
        </w:rPr>
        <w:t xml:space="preserve"> regos susilpnėjimas ir akių skausmas dėl padidėjusio spaudimo (galimi skysčio susikaupimo akies kraujagysliniame dangale (tarp gyslainės ir skleros) arba ūminės trumparegystės ar uždaro kampo glaukomos požymiai),</w:t>
      </w:r>
    </w:p>
    <w:p w:rsidR="00E93252" w:rsidRPr="00BA0735" w:rsidRDefault="00E93252" w:rsidP="00E93252">
      <w:pPr>
        <w:widowControl w:val="0"/>
        <w:numPr>
          <w:ilvl w:val="0"/>
          <w:numId w:val="33"/>
        </w:numPr>
        <w:tabs>
          <w:tab w:val="left" w:pos="540"/>
        </w:tabs>
        <w:contextualSpacing/>
        <w:rPr>
          <w:sz w:val="22"/>
          <w:szCs w:val="22"/>
          <w:lang w:val="lt-LT" w:eastAsia="en-US"/>
        </w:rPr>
      </w:pPr>
      <w:r w:rsidRPr="00BA0735">
        <w:rPr>
          <w:sz w:val="22"/>
          <w:szCs w:val="22"/>
          <w:lang w:val="lt-LT"/>
        </w:rPr>
        <w:t>jeigu sergate sistemine raudonąja vilklige (</w:t>
      </w:r>
      <w:r w:rsidRPr="00BA0735">
        <w:rPr>
          <w:rFonts w:eastAsia="Calibri"/>
          <w:sz w:val="22"/>
          <w:szCs w:val="22"/>
          <w:lang w:val="lt-LT" w:eastAsia="en-US"/>
        </w:rPr>
        <w:t>kolagenozės tipas), ši liga</w:t>
      </w:r>
      <w:r w:rsidRPr="00BA0735">
        <w:rPr>
          <w:sz w:val="22"/>
          <w:szCs w:val="22"/>
          <w:lang w:val="lt-LT"/>
        </w:rPr>
        <w:t xml:space="preserve"> gali </w:t>
      </w:r>
      <w:r w:rsidRPr="00BA0735">
        <w:rPr>
          <w:rFonts w:eastAsia="Calibri"/>
          <w:sz w:val="22"/>
          <w:szCs w:val="22"/>
          <w:lang w:val="lt-LT" w:eastAsia="en-US"/>
        </w:rPr>
        <w:t>pasunkėti,</w:t>
      </w:r>
    </w:p>
    <w:p w:rsidR="00E93252" w:rsidRPr="00BA0735" w:rsidRDefault="00E93252" w:rsidP="00E93252">
      <w:pPr>
        <w:widowControl w:val="0"/>
        <w:numPr>
          <w:ilvl w:val="0"/>
          <w:numId w:val="34"/>
        </w:numPr>
        <w:ind w:left="567" w:right="-29" w:hanging="567"/>
        <w:rPr>
          <w:sz w:val="22"/>
          <w:szCs w:val="22"/>
          <w:lang w:val="lt-LT"/>
        </w:rPr>
      </w:pPr>
      <w:r w:rsidRPr="00BA0735">
        <w:rPr>
          <w:sz w:val="22"/>
          <w:szCs w:val="22"/>
          <w:lang w:val="lt-LT"/>
        </w:rPr>
        <w:t>rankų arba kojų pirštų spalvos pakitimas, tirpulys ir skausmas (Reino fenomenas)</w:t>
      </w:r>
      <w:r w:rsidRPr="00BA0735">
        <w:rPr>
          <w:sz w:val="22"/>
          <w:szCs w:val="22"/>
          <w:lang w:val="lt-LT" w:eastAsia="lt-LT"/>
        </w:rPr>
        <w:t>.</w:t>
      </w:r>
    </w:p>
    <w:p w:rsidR="00E93252" w:rsidRPr="00BA0735" w:rsidRDefault="00E93252" w:rsidP="00E93252">
      <w:pPr>
        <w:widowControl w:val="0"/>
        <w:tabs>
          <w:tab w:val="left" w:pos="567"/>
        </w:tabs>
        <w:autoSpaceDE w:val="0"/>
        <w:autoSpaceDN w:val="0"/>
        <w:adjustRightInd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Gali atsirasti kraujo, inkstų, kepenų arba kasos sutrikimų ir pakisti laboratorinių (kraujo) tyrimų rodmenys. Gydytojas gali nurodyti atlikti kraujo tyrimus Jūsų būklei stebėti.</w:t>
      </w:r>
    </w:p>
    <w:p w:rsidR="00E93252" w:rsidRPr="00BA0735" w:rsidRDefault="00E93252" w:rsidP="00E93252">
      <w:pPr>
        <w:widowControl w:val="0"/>
        <w:tabs>
          <w:tab w:val="left" w:pos="567"/>
        </w:tabs>
        <w:rPr>
          <w:rFonts w:eastAsia="Calibri"/>
          <w:sz w:val="22"/>
          <w:szCs w:val="22"/>
          <w:lang w:val="lt-LT" w:eastAsia="en-US"/>
        </w:rPr>
      </w:pPr>
    </w:p>
    <w:p w:rsidR="00E93252" w:rsidRPr="00BA0735" w:rsidRDefault="00E93252" w:rsidP="00E93252">
      <w:pPr>
        <w:widowControl w:val="0"/>
        <w:tabs>
          <w:tab w:val="left" w:pos="567"/>
        </w:tabs>
        <w:rPr>
          <w:b/>
          <w:snapToGrid w:val="0"/>
          <w:sz w:val="22"/>
          <w:szCs w:val="22"/>
          <w:lang w:val="lt-LT"/>
        </w:rPr>
      </w:pPr>
      <w:r w:rsidRPr="00BA0735">
        <w:rPr>
          <w:b/>
          <w:noProof/>
          <w:snapToGrid w:val="0"/>
          <w:sz w:val="22"/>
          <w:szCs w:val="22"/>
          <w:lang w:val="lt-LT"/>
        </w:rPr>
        <w:t>Pranešimas apie šalutinį poveikį</w:t>
      </w:r>
    </w:p>
    <w:p w:rsidR="00E93252" w:rsidRPr="00BA0735" w:rsidRDefault="00E93252" w:rsidP="00E93252">
      <w:pPr>
        <w:widowControl w:val="0"/>
        <w:rPr>
          <w:sz w:val="22"/>
          <w:szCs w:val="22"/>
          <w:lang w:val="lt-LT"/>
        </w:rPr>
      </w:pPr>
      <w:r w:rsidRPr="00BA0735">
        <w:rPr>
          <w:sz w:val="22"/>
          <w:szCs w:val="22"/>
          <w:lang w:val="lt-LT"/>
        </w:rPr>
        <w:t>Jeigu pasireiškė šalutinis poveikis</w:t>
      </w:r>
      <w:r w:rsidRPr="00BA0735">
        <w:rPr>
          <w:noProof/>
          <w:snapToGrid w:val="0"/>
          <w:sz w:val="22"/>
          <w:szCs w:val="22"/>
          <w:lang w:val="lt-LT"/>
        </w:rPr>
        <w:t>, įskaitant</w:t>
      </w:r>
      <w:r w:rsidRPr="00BA0735">
        <w:rPr>
          <w:sz w:val="22"/>
          <w:szCs w:val="22"/>
          <w:lang w:val="lt-LT"/>
        </w:rPr>
        <w:t xml:space="preserve"> šiame lapelyje nenurodytą, pasakykite gydytojui arba vaistininkui.</w:t>
      </w:r>
      <w:r w:rsidRPr="00BA0735">
        <w:rPr>
          <w:noProof/>
          <w:snapToGrid w:val="0"/>
          <w:sz w:val="22"/>
          <w:szCs w:val="22"/>
          <w:lang w:val="lt-LT"/>
        </w:rPr>
        <w:t xml:space="preserve"> </w:t>
      </w:r>
      <w:r w:rsidR="00FE088C" w:rsidRPr="00FE088C">
        <w:rPr>
          <w:noProof/>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w:t>
      </w:r>
      <w:r w:rsidR="00FE088C" w:rsidRPr="00FE088C">
        <w:rPr>
          <w:noProof/>
          <w:snapToGrid w:val="0"/>
          <w:sz w:val="22"/>
          <w:szCs w:val="22"/>
          <w:lang w:val="lt-LT"/>
        </w:rPr>
        <w:lastRenderedPageBreak/>
        <w:t>https://www.vvkt.lt/index.php?4004286486, ir atsiunčiant elektroniniu paštu (adresu NepageidaujamaR@vvkt.lt) arba nemokamu telefonu 8 800 73 568. Pranešdami apie šalutinį poveikį galite mums padėti gauti daugiau informacijos apie šio vaisto saugumą.</w:t>
      </w:r>
    </w:p>
    <w:p w:rsidR="00E93252" w:rsidRPr="00BA0735" w:rsidRDefault="00E93252" w:rsidP="00E93252">
      <w:pPr>
        <w:widowControl w:val="0"/>
        <w:rPr>
          <w:sz w:val="22"/>
          <w:szCs w:val="22"/>
          <w:lang w:val="lt-LT"/>
        </w:rPr>
      </w:pPr>
    </w:p>
    <w:p w:rsidR="00E93252" w:rsidRPr="00BA0735" w:rsidRDefault="00E93252" w:rsidP="00E93252">
      <w:pPr>
        <w:widowControl w:val="0"/>
        <w:ind w:left="567" w:hanging="567"/>
        <w:outlineLvl w:val="1"/>
        <w:rPr>
          <w:b/>
          <w:sz w:val="22"/>
          <w:szCs w:val="22"/>
          <w:lang w:val="lt-LT"/>
        </w:rPr>
      </w:pPr>
      <w:bookmarkStart w:id="94" w:name="_Toc129243143"/>
      <w:bookmarkStart w:id="95" w:name="_Toc129243268"/>
      <w:r w:rsidRPr="00BA0735">
        <w:rPr>
          <w:b/>
          <w:sz w:val="22"/>
          <w:szCs w:val="22"/>
          <w:lang w:val="lt-LT"/>
        </w:rPr>
        <w:t>5.</w:t>
      </w:r>
      <w:r w:rsidRPr="00BA0735">
        <w:rPr>
          <w:b/>
          <w:sz w:val="22"/>
          <w:szCs w:val="22"/>
          <w:lang w:val="lt-LT"/>
        </w:rPr>
        <w:tab/>
        <w:t xml:space="preserve">Kaip laikyti Prenewel </w:t>
      </w:r>
      <w:bookmarkStart w:id="96" w:name="OLE_LINK21"/>
      <w:r w:rsidRPr="00BA0735">
        <w:rPr>
          <w:b/>
          <w:sz w:val="22"/>
          <w:szCs w:val="22"/>
          <w:lang w:val="lt-LT"/>
        </w:rPr>
        <w:t>2 mg/0,625 mg</w:t>
      </w:r>
      <w:bookmarkEnd w:id="96"/>
      <w:r w:rsidRPr="00BA0735">
        <w:rPr>
          <w:b/>
          <w:sz w:val="22"/>
          <w:szCs w:val="22"/>
          <w:lang w:val="lt-LT"/>
        </w:rPr>
        <w:t xml:space="preserve"> tabletes</w:t>
      </w:r>
      <w:bookmarkEnd w:id="94"/>
      <w:bookmarkEnd w:id="95"/>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Šį vaistą laikykite vaikams nepastebimoje ir nepasiekiamoje vietoje.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 xml:space="preserve">Ant pakuotės po </w:t>
      </w:r>
      <w:r w:rsidRPr="00BA0735">
        <w:rPr>
          <w:sz w:val="22"/>
          <w:szCs w:val="22"/>
          <w:highlight w:val="lightGray"/>
          <w:lang w:val="lt-LT"/>
        </w:rPr>
        <w:t>„Tinka iki</w:t>
      </w:r>
      <w:r w:rsidRPr="00BA0735">
        <w:rPr>
          <w:sz w:val="22"/>
          <w:szCs w:val="22"/>
          <w:lang w:val="lt-LT"/>
        </w:rPr>
        <w:t>/EXP“ nurodytam tinkamumo laikui pasibaigus, šio vaisto vartoti negalima. Vaistas tinkamas vartoti iki paskutinės nurodyto mėnesio dienos.</w:t>
      </w:r>
    </w:p>
    <w:p w:rsidR="00E93252" w:rsidRPr="00BA0735" w:rsidRDefault="00E93252" w:rsidP="00E93252">
      <w:pPr>
        <w:widowControl w:val="0"/>
        <w:rPr>
          <w:sz w:val="22"/>
          <w:szCs w:val="22"/>
          <w:lang w:val="lt-LT"/>
        </w:rPr>
      </w:pPr>
    </w:p>
    <w:p w:rsidR="00E93252" w:rsidRPr="00BA0735" w:rsidRDefault="00E93252" w:rsidP="00E93252">
      <w:pPr>
        <w:widowControl w:val="0"/>
        <w:outlineLvl w:val="0"/>
        <w:rPr>
          <w:sz w:val="22"/>
          <w:szCs w:val="22"/>
          <w:lang w:val="lt-LT"/>
        </w:rPr>
      </w:pPr>
      <w:r w:rsidRPr="00BA0735">
        <w:rPr>
          <w:sz w:val="22"/>
          <w:szCs w:val="22"/>
          <w:lang w:val="lt-LT"/>
        </w:rPr>
        <w:t>Laikyti gamintojo pakuotėje, kad vaistas būtų apsaugotas nuo drėgmės. Laikyti žemesnėje kaip 30 </w:t>
      </w:r>
      <w:r w:rsidRPr="00BA0735">
        <w:rPr>
          <w:sz w:val="22"/>
          <w:szCs w:val="22"/>
          <w:lang w:val="lt-LT"/>
        </w:rPr>
        <w:sym w:font="Symbol" w:char="F0B0"/>
      </w:r>
      <w:r w:rsidRPr="00BA0735">
        <w:rPr>
          <w:sz w:val="22"/>
          <w:szCs w:val="22"/>
          <w:lang w:val="lt-LT"/>
        </w:rPr>
        <w:t>C temperatūroje.</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Vaistų negalima išmesti į kanalizaciją arba su buitinėmis atliekomis. Kaip išmesti nereikalingus vaistus, klauskite vaistininko. Šios priemonės padės apsaugoti aplinką.</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tabs>
          <w:tab w:val="left" w:pos="567"/>
        </w:tabs>
        <w:ind w:left="567" w:hanging="567"/>
        <w:outlineLvl w:val="1"/>
        <w:rPr>
          <w:b/>
          <w:sz w:val="22"/>
          <w:szCs w:val="22"/>
          <w:lang w:val="lt-LT"/>
        </w:rPr>
      </w:pPr>
      <w:bookmarkStart w:id="97" w:name="_Toc129243144"/>
      <w:bookmarkStart w:id="98" w:name="_Toc129243269"/>
      <w:r w:rsidRPr="00BA0735">
        <w:rPr>
          <w:b/>
          <w:sz w:val="22"/>
          <w:szCs w:val="22"/>
          <w:lang w:val="lt-LT"/>
        </w:rPr>
        <w:t>6.</w:t>
      </w:r>
      <w:r w:rsidRPr="00BA0735">
        <w:rPr>
          <w:b/>
          <w:sz w:val="22"/>
          <w:szCs w:val="22"/>
          <w:lang w:val="lt-LT"/>
        </w:rPr>
        <w:tab/>
        <w:t>Pakuotės turinys ir kita informacija</w:t>
      </w:r>
      <w:bookmarkEnd w:id="97"/>
      <w:bookmarkEnd w:id="98"/>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Prenewel 2 mg/0,625 mg tablečių sudėtis</w:t>
      </w:r>
    </w:p>
    <w:p w:rsidR="00E93252" w:rsidRPr="00BA0735" w:rsidRDefault="00E93252" w:rsidP="00E93252">
      <w:pPr>
        <w:widowControl w:val="0"/>
        <w:numPr>
          <w:ilvl w:val="0"/>
          <w:numId w:val="13"/>
        </w:numPr>
        <w:autoSpaceDE w:val="0"/>
        <w:autoSpaceDN w:val="0"/>
        <w:adjustRightInd w:val="0"/>
        <w:rPr>
          <w:sz w:val="22"/>
          <w:szCs w:val="22"/>
          <w:lang w:val="lt-LT"/>
        </w:rPr>
      </w:pPr>
      <w:r w:rsidRPr="00BA0735">
        <w:rPr>
          <w:sz w:val="22"/>
          <w:szCs w:val="22"/>
          <w:lang w:val="lt-LT"/>
        </w:rPr>
        <w:t>Veiklioji medžiaga yra tert-butilamino perindoprilis bei indapamidas. Vienoje tabletėje yra 2 mg tert-butilamino perindoprilio (atitinka 1,67 mg perindoprilio) ir 0,625 mg indapamido.</w:t>
      </w:r>
    </w:p>
    <w:p w:rsidR="00E93252" w:rsidRPr="00BA0735" w:rsidRDefault="00E93252" w:rsidP="00E93252">
      <w:pPr>
        <w:widowControl w:val="0"/>
        <w:numPr>
          <w:ilvl w:val="0"/>
          <w:numId w:val="13"/>
        </w:numPr>
        <w:autoSpaceDE w:val="0"/>
        <w:autoSpaceDN w:val="0"/>
        <w:adjustRightInd w:val="0"/>
        <w:rPr>
          <w:sz w:val="22"/>
          <w:szCs w:val="22"/>
          <w:lang w:val="lt-LT"/>
        </w:rPr>
      </w:pPr>
      <w:r w:rsidRPr="00BA0735">
        <w:rPr>
          <w:sz w:val="22"/>
          <w:szCs w:val="22"/>
          <w:lang w:val="lt-LT"/>
        </w:rPr>
        <w:t>Pagalbinės medžiagos yra mikrokristalinė celiuliozė, laktozė monohidratas, natrio-vandenilio karbonatas, koloidinis bevandenis silicio dioksidas, magnio stearatas.</w:t>
      </w:r>
      <w:r w:rsidRPr="00BA0735">
        <w:rPr>
          <w:rFonts w:eastAsia="Calibri"/>
          <w:sz w:val="22"/>
          <w:szCs w:val="22"/>
          <w:lang w:val="lt-LT"/>
        </w:rPr>
        <w:t xml:space="preserve"> Žr. 2</w:t>
      </w:r>
      <w:r w:rsidR="00B71B26">
        <w:rPr>
          <w:sz w:val="22"/>
          <w:szCs w:val="22"/>
          <w:lang w:val="lt-LT"/>
        </w:rPr>
        <w:t> </w:t>
      </w:r>
      <w:r w:rsidRPr="00BA0735">
        <w:rPr>
          <w:rFonts w:eastAsia="Calibri"/>
          <w:sz w:val="22"/>
          <w:szCs w:val="22"/>
          <w:lang w:val="lt-LT"/>
        </w:rPr>
        <w:t>skyrių „Prenewel 2</w:t>
      </w:r>
      <w:r w:rsidR="00B31A3A">
        <w:rPr>
          <w:sz w:val="22"/>
          <w:szCs w:val="22"/>
          <w:lang w:val="lt-LT"/>
        </w:rPr>
        <w:t> </w:t>
      </w:r>
      <w:r w:rsidRPr="00BA0735">
        <w:rPr>
          <w:rFonts w:eastAsia="Calibri"/>
          <w:sz w:val="22"/>
          <w:szCs w:val="22"/>
          <w:lang w:val="lt-LT"/>
        </w:rPr>
        <w:t>mg/0,625</w:t>
      </w:r>
      <w:r w:rsidR="00B31A3A">
        <w:rPr>
          <w:sz w:val="22"/>
          <w:szCs w:val="22"/>
          <w:lang w:val="lt-LT"/>
        </w:rPr>
        <w:t> </w:t>
      </w:r>
      <w:r w:rsidRPr="00BA0735">
        <w:rPr>
          <w:rFonts w:eastAsia="Calibri"/>
          <w:sz w:val="22"/>
          <w:szCs w:val="22"/>
          <w:lang w:val="lt-LT"/>
        </w:rPr>
        <w:t>mg tablečių sudėtyje yra laktozės monohidrato ir natrio“.</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Prenewel 2 mg/0,625 mg išvaizda ir kiekis pakuotėje</w:t>
      </w:r>
    </w:p>
    <w:p w:rsidR="00E93252" w:rsidRPr="00BA0735" w:rsidRDefault="00E93252" w:rsidP="00E93252">
      <w:pPr>
        <w:widowControl w:val="0"/>
        <w:tabs>
          <w:tab w:val="left" w:pos="567"/>
        </w:tabs>
        <w:rPr>
          <w:sz w:val="22"/>
          <w:szCs w:val="22"/>
          <w:lang w:val="lt-LT"/>
        </w:rPr>
      </w:pPr>
      <w:r w:rsidRPr="00BA0735">
        <w:rPr>
          <w:sz w:val="22"/>
          <w:szCs w:val="22"/>
          <w:lang w:val="lt-LT"/>
        </w:rPr>
        <w:t>Tabletės yra pailgos, baltos, šiek tiek abipus išgaubtos, nuožulniais kraštais.</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PVC/PE/PVDC/Al lizdinės plokštelės.</w:t>
      </w:r>
    </w:p>
    <w:p w:rsidR="00E93252" w:rsidRPr="00BA0735" w:rsidRDefault="00E93252" w:rsidP="00E93252">
      <w:pPr>
        <w:widowControl w:val="0"/>
        <w:rPr>
          <w:sz w:val="22"/>
          <w:szCs w:val="22"/>
          <w:lang w:val="lt-LT"/>
        </w:rPr>
      </w:pPr>
      <w:r w:rsidRPr="00BA0735">
        <w:rPr>
          <w:sz w:val="22"/>
          <w:szCs w:val="22"/>
          <w:lang w:val="lt-LT"/>
        </w:rPr>
        <w:t>Kartono dėžutėje yra 14, 20, 28, 30, 50, 56, 60, 90 arba 100 tablečių.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OPA/Al/PVC/Al lizdinės plokštelės.</w:t>
      </w:r>
    </w:p>
    <w:p w:rsidR="00E93252" w:rsidRPr="00BA0735" w:rsidRDefault="00E93252" w:rsidP="00E93252">
      <w:pPr>
        <w:widowControl w:val="0"/>
        <w:rPr>
          <w:sz w:val="22"/>
          <w:szCs w:val="22"/>
          <w:lang w:val="lt-LT"/>
        </w:rPr>
      </w:pPr>
      <w:r w:rsidRPr="00BA0735">
        <w:rPr>
          <w:sz w:val="22"/>
          <w:szCs w:val="22"/>
          <w:lang w:val="lt-LT"/>
        </w:rPr>
        <w:t>Kartono dėžutėje yra 14, 20, 28, 30, 50, 56, 60, 90 arba 100 tablečių.</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Gali būti tiekiamos ne visų dydžių pakuotės</w:t>
      </w:r>
    </w:p>
    <w:p w:rsidR="00E93252" w:rsidRPr="00BA0735" w:rsidRDefault="00E93252" w:rsidP="00E93252">
      <w:pPr>
        <w:widowControl w:val="0"/>
        <w:rPr>
          <w:sz w:val="22"/>
          <w:szCs w:val="22"/>
          <w:lang w:val="lt-LT"/>
        </w:rPr>
      </w:pPr>
    </w:p>
    <w:p w:rsidR="00E93252" w:rsidRPr="00BA0735" w:rsidRDefault="00E93252" w:rsidP="00E93252">
      <w:pPr>
        <w:widowControl w:val="0"/>
        <w:rPr>
          <w:b/>
          <w:sz w:val="22"/>
          <w:szCs w:val="22"/>
          <w:lang w:val="lt-LT"/>
        </w:rPr>
      </w:pPr>
      <w:r w:rsidRPr="00BA0735">
        <w:rPr>
          <w:b/>
          <w:sz w:val="22"/>
          <w:szCs w:val="22"/>
          <w:lang w:val="lt-LT"/>
        </w:rPr>
        <w:t>Registruotojas ir gamintojas</w:t>
      </w:r>
    </w:p>
    <w:p w:rsidR="00E93252" w:rsidRPr="00BA0735" w:rsidRDefault="00E93252" w:rsidP="00E93252">
      <w:pPr>
        <w:widowControl w:val="0"/>
        <w:rPr>
          <w:b/>
          <w:sz w:val="22"/>
          <w:szCs w:val="22"/>
          <w:lang w:val="lt-LT"/>
        </w:rPr>
      </w:pPr>
    </w:p>
    <w:p w:rsidR="00E93252" w:rsidRPr="00BA0735" w:rsidRDefault="00E93252" w:rsidP="00E93252">
      <w:pPr>
        <w:widowControl w:val="0"/>
        <w:numPr>
          <w:ilvl w:val="12"/>
          <w:numId w:val="0"/>
        </w:numPr>
        <w:tabs>
          <w:tab w:val="left" w:pos="567"/>
        </w:tabs>
        <w:ind w:right="-2"/>
        <w:rPr>
          <w:i/>
          <w:sz w:val="22"/>
          <w:szCs w:val="22"/>
          <w:lang w:val="lt-LT"/>
        </w:rPr>
      </w:pPr>
      <w:r w:rsidRPr="00BA0735">
        <w:rPr>
          <w:i/>
          <w:sz w:val="22"/>
          <w:szCs w:val="22"/>
          <w:lang w:val="lt-LT"/>
        </w:rPr>
        <w:t>Registruotojas</w:t>
      </w:r>
    </w:p>
    <w:p w:rsidR="00E93252" w:rsidRPr="00BA0735" w:rsidRDefault="00E93252" w:rsidP="00E93252">
      <w:pPr>
        <w:widowControl w:val="0"/>
        <w:numPr>
          <w:ilvl w:val="12"/>
          <w:numId w:val="0"/>
        </w:numPr>
        <w:tabs>
          <w:tab w:val="left" w:pos="567"/>
        </w:tabs>
        <w:ind w:right="-2"/>
        <w:rPr>
          <w:sz w:val="22"/>
          <w:szCs w:val="22"/>
          <w:lang w:val="lt-LT"/>
        </w:rPr>
      </w:pPr>
      <w:r w:rsidRPr="00BA0735">
        <w:rPr>
          <w:sz w:val="22"/>
          <w:szCs w:val="22"/>
          <w:lang w:val="lt-LT"/>
        </w:rPr>
        <w:t>KRKA, d.d., Novo mesto, Šmarješka cesta 6, 8501 Novo mesto, Slovėnija</w:t>
      </w:r>
    </w:p>
    <w:p w:rsidR="00E93252" w:rsidRPr="00BA0735" w:rsidRDefault="00E93252" w:rsidP="00E93252">
      <w:pPr>
        <w:widowControl w:val="0"/>
        <w:rPr>
          <w:sz w:val="22"/>
          <w:szCs w:val="22"/>
          <w:lang w:val="lt-LT"/>
        </w:rPr>
      </w:pPr>
    </w:p>
    <w:p w:rsidR="00E93252" w:rsidRPr="00BA0735" w:rsidRDefault="00E93252" w:rsidP="00E93252">
      <w:pPr>
        <w:widowControl w:val="0"/>
        <w:rPr>
          <w:i/>
          <w:sz w:val="22"/>
          <w:szCs w:val="22"/>
          <w:lang w:val="lt-LT"/>
        </w:rPr>
      </w:pPr>
      <w:r w:rsidRPr="00BA0735">
        <w:rPr>
          <w:i/>
          <w:sz w:val="22"/>
          <w:szCs w:val="22"/>
          <w:lang w:val="lt-LT"/>
        </w:rPr>
        <w:t>Gamintojas</w:t>
      </w:r>
    </w:p>
    <w:p w:rsidR="00E93252" w:rsidRPr="00BA0735" w:rsidRDefault="00E93252" w:rsidP="00E93252">
      <w:pPr>
        <w:widowControl w:val="0"/>
        <w:numPr>
          <w:ilvl w:val="12"/>
          <w:numId w:val="0"/>
        </w:numPr>
        <w:tabs>
          <w:tab w:val="left" w:pos="567"/>
        </w:tabs>
        <w:ind w:right="-2"/>
        <w:rPr>
          <w:i/>
          <w:sz w:val="22"/>
          <w:szCs w:val="22"/>
          <w:lang w:val="lt-LT"/>
        </w:rPr>
      </w:pPr>
      <w:bookmarkStart w:id="99" w:name="OLE_LINK16"/>
      <w:r w:rsidRPr="00BA0735">
        <w:rPr>
          <w:sz w:val="22"/>
          <w:szCs w:val="22"/>
          <w:lang w:val="lt-LT"/>
        </w:rPr>
        <w:t>KRKA Polska Sp. z o.o., ul. Równoległa 5, 02-235 Warszava, Lenkija</w:t>
      </w:r>
    </w:p>
    <w:p w:rsidR="00E93252" w:rsidRPr="00BA0735" w:rsidRDefault="00E93252" w:rsidP="00E93252">
      <w:pPr>
        <w:widowControl w:val="0"/>
        <w:numPr>
          <w:ilvl w:val="12"/>
          <w:numId w:val="0"/>
        </w:numPr>
        <w:tabs>
          <w:tab w:val="left" w:pos="567"/>
        </w:tabs>
        <w:ind w:right="-2"/>
        <w:rPr>
          <w:sz w:val="22"/>
          <w:szCs w:val="22"/>
          <w:lang w:val="lt-LT"/>
        </w:rPr>
      </w:pPr>
    </w:p>
    <w:p w:rsidR="00E93252" w:rsidRPr="00526D52" w:rsidRDefault="00E93252" w:rsidP="00E93252">
      <w:pPr>
        <w:widowControl w:val="0"/>
        <w:numPr>
          <w:ilvl w:val="12"/>
          <w:numId w:val="0"/>
        </w:numPr>
        <w:tabs>
          <w:tab w:val="left" w:pos="567"/>
        </w:tabs>
        <w:ind w:right="-2"/>
        <w:rPr>
          <w:sz w:val="22"/>
          <w:szCs w:val="22"/>
          <w:highlight w:val="lightGray"/>
          <w:lang w:val="lt-LT"/>
        </w:rPr>
      </w:pPr>
      <w:r w:rsidRPr="00526D52">
        <w:rPr>
          <w:sz w:val="22"/>
          <w:szCs w:val="22"/>
          <w:highlight w:val="lightGray"/>
          <w:lang w:val="lt-LT"/>
        </w:rPr>
        <w:t>arba</w:t>
      </w:r>
    </w:p>
    <w:p w:rsidR="00E93252" w:rsidRPr="00526D52" w:rsidRDefault="00E93252" w:rsidP="00E93252">
      <w:pPr>
        <w:widowControl w:val="0"/>
        <w:numPr>
          <w:ilvl w:val="12"/>
          <w:numId w:val="0"/>
        </w:numPr>
        <w:tabs>
          <w:tab w:val="left" w:pos="567"/>
        </w:tabs>
        <w:ind w:right="-2"/>
        <w:rPr>
          <w:sz w:val="22"/>
          <w:szCs w:val="22"/>
          <w:highlight w:val="lightGray"/>
          <w:lang w:val="lt-LT"/>
        </w:rPr>
      </w:pPr>
    </w:p>
    <w:p w:rsidR="00E93252" w:rsidRPr="00BA0735" w:rsidRDefault="00E93252" w:rsidP="00E93252">
      <w:pPr>
        <w:widowControl w:val="0"/>
        <w:numPr>
          <w:ilvl w:val="12"/>
          <w:numId w:val="0"/>
        </w:numPr>
        <w:tabs>
          <w:tab w:val="left" w:pos="567"/>
        </w:tabs>
        <w:ind w:right="-2"/>
        <w:rPr>
          <w:sz w:val="22"/>
          <w:szCs w:val="22"/>
          <w:lang w:val="lt-LT"/>
        </w:rPr>
      </w:pPr>
      <w:r w:rsidRPr="00526D52">
        <w:rPr>
          <w:sz w:val="22"/>
          <w:szCs w:val="22"/>
          <w:highlight w:val="lightGray"/>
          <w:lang w:val="lt-LT"/>
        </w:rPr>
        <w:t>KRKA, d.d., Novo mesto, Šmarješka cesta 6, 8501 Novo mesto, Slovėnija</w:t>
      </w:r>
    </w:p>
    <w:bookmarkEnd w:id="99"/>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Jeigu apie šį vaistą norite sužinoti daugiau, kreipkitės į vietinį registruotojo atstovą.</w:t>
      </w:r>
    </w:p>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r w:rsidRPr="00BA0735">
        <w:rPr>
          <w:sz w:val="22"/>
          <w:szCs w:val="22"/>
          <w:lang w:val="lt-LT"/>
        </w:rPr>
        <w:t>UAB KRKA Lietuva</w:t>
      </w:r>
    </w:p>
    <w:p w:rsidR="00E93252" w:rsidRPr="00BA0735" w:rsidRDefault="00E93252" w:rsidP="00E93252">
      <w:pPr>
        <w:widowControl w:val="0"/>
        <w:rPr>
          <w:sz w:val="22"/>
          <w:szCs w:val="22"/>
          <w:lang w:val="lt-LT"/>
        </w:rPr>
      </w:pPr>
      <w:r w:rsidRPr="00BA0735">
        <w:rPr>
          <w:sz w:val="22"/>
          <w:szCs w:val="22"/>
          <w:lang w:val="lt-LT"/>
        </w:rPr>
        <w:t>Senasis Ukmergės kelias 4,</w:t>
      </w:r>
    </w:p>
    <w:p w:rsidR="00E93252" w:rsidRPr="00BA0735" w:rsidRDefault="00E93252" w:rsidP="00E93252">
      <w:pPr>
        <w:widowControl w:val="0"/>
        <w:rPr>
          <w:sz w:val="22"/>
          <w:szCs w:val="22"/>
          <w:lang w:val="lt-LT"/>
        </w:rPr>
      </w:pPr>
      <w:r w:rsidRPr="00BA0735">
        <w:rPr>
          <w:sz w:val="22"/>
          <w:szCs w:val="22"/>
          <w:lang w:val="lt-LT"/>
        </w:rPr>
        <w:t>Užubalių km.,Vilniaus r.</w:t>
      </w:r>
    </w:p>
    <w:p w:rsidR="00E93252" w:rsidRPr="00BA0735" w:rsidRDefault="00E93252" w:rsidP="00E93252">
      <w:pPr>
        <w:widowControl w:val="0"/>
        <w:rPr>
          <w:sz w:val="22"/>
          <w:szCs w:val="22"/>
          <w:lang w:val="lt-LT"/>
        </w:rPr>
      </w:pPr>
      <w:r w:rsidRPr="00BA0735">
        <w:rPr>
          <w:sz w:val="22"/>
          <w:szCs w:val="22"/>
          <w:lang w:val="lt-LT"/>
        </w:rPr>
        <w:t>LT - 14013</w:t>
      </w:r>
    </w:p>
    <w:p w:rsidR="00E93252" w:rsidRPr="00BA0735" w:rsidRDefault="00E93252" w:rsidP="00E93252">
      <w:pPr>
        <w:widowControl w:val="0"/>
        <w:rPr>
          <w:sz w:val="22"/>
          <w:szCs w:val="22"/>
          <w:lang w:val="lt-LT"/>
        </w:rPr>
      </w:pPr>
      <w:r w:rsidRPr="00BA0735">
        <w:rPr>
          <w:sz w:val="22"/>
          <w:szCs w:val="22"/>
          <w:lang w:val="lt-LT"/>
        </w:rPr>
        <w:lastRenderedPageBreak/>
        <w:t>Tel. + 370 5 236 27 40</w:t>
      </w:r>
    </w:p>
    <w:p w:rsidR="00E93252" w:rsidRPr="00BA0735" w:rsidRDefault="00E93252" w:rsidP="00E93252">
      <w:pPr>
        <w:widowControl w:val="0"/>
        <w:rPr>
          <w:sz w:val="22"/>
          <w:szCs w:val="22"/>
          <w:lang w:val="lt-LT"/>
        </w:rPr>
      </w:pPr>
    </w:p>
    <w:p w:rsidR="00E93252" w:rsidRPr="00BA0735" w:rsidRDefault="00E93252" w:rsidP="00E93252">
      <w:pPr>
        <w:widowControl w:val="0"/>
        <w:numPr>
          <w:ilvl w:val="12"/>
          <w:numId w:val="0"/>
        </w:numPr>
        <w:ind w:right="-2"/>
        <w:rPr>
          <w:sz w:val="22"/>
          <w:szCs w:val="22"/>
          <w:lang w:val="lt-LT"/>
        </w:rPr>
      </w:pPr>
      <w:r w:rsidRPr="00BA0735">
        <w:rPr>
          <w:b/>
          <w:sz w:val="22"/>
          <w:szCs w:val="22"/>
          <w:lang w:val="lt-LT"/>
        </w:rPr>
        <w:t xml:space="preserve">Šis vaistas </w:t>
      </w:r>
      <w:r w:rsidR="00FE088C" w:rsidRPr="00FE088C">
        <w:rPr>
          <w:b/>
          <w:sz w:val="22"/>
          <w:szCs w:val="22"/>
          <w:lang w:val="lt-LT"/>
        </w:rPr>
        <w:t>Europos ekonominės erdvės</w:t>
      </w:r>
      <w:r w:rsidRPr="00BA0735">
        <w:rPr>
          <w:b/>
          <w:sz w:val="22"/>
          <w:szCs w:val="22"/>
          <w:lang w:val="lt-LT"/>
        </w:rPr>
        <w:t xml:space="preserve">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770"/>
      </w:tblGrid>
      <w:tr w:rsidR="00E93252" w:rsidRPr="00BA0735" w:rsidTr="00D1362A">
        <w:tc>
          <w:tcPr>
            <w:tcW w:w="3870" w:type="dxa"/>
          </w:tcPr>
          <w:p w:rsidR="00E93252" w:rsidRPr="00BA0735" w:rsidRDefault="00FE088C" w:rsidP="00D1362A">
            <w:pPr>
              <w:widowControl w:val="0"/>
              <w:numPr>
                <w:ilvl w:val="12"/>
                <w:numId w:val="0"/>
              </w:numPr>
              <w:tabs>
                <w:tab w:val="left" w:pos="708"/>
              </w:tabs>
              <w:ind w:right="-2"/>
              <w:rPr>
                <w:sz w:val="22"/>
                <w:szCs w:val="22"/>
                <w:lang w:val="lt-LT"/>
              </w:rPr>
            </w:pPr>
            <w:r w:rsidRPr="00FE088C">
              <w:rPr>
                <w:sz w:val="22"/>
                <w:szCs w:val="22"/>
                <w:lang w:val="lt-LT"/>
              </w:rPr>
              <w:t>Valstybės narės</w:t>
            </w:r>
            <w:r w:rsidR="00E93252" w:rsidRPr="00BA0735">
              <w:rPr>
                <w:sz w:val="22"/>
                <w:szCs w:val="22"/>
                <w:lang w:val="lt-LT"/>
              </w:rPr>
              <w:t xml:space="preserve"> pavadinimas</w:t>
            </w:r>
          </w:p>
        </w:tc>
        <w:tc>
          <w:tcPr>
            <w:tcW w:w="4770" w:type="dxa"/>
          </w:tcPr>
          <w:p w:rsidR="00E93252" w:rsidRPr="00BA0735" w:rsidRDefault="00E93252" w:rsidP="00FE088C">
            <w:pPr>
              <w:widowControl w:val="0"/>
              <w:numPr>
                <w:ilvl w:val="12"/>
                <w:numId w:val="0"/>
              </w:numPr>
              <w:tabs>
                <w:tab w:val="left" w:pos="708"/>
              </w:tabs>
              <w:ind w:right="-2"/>
              <w:rPr>
                <w:sz w:val="22"/>
                <w:szCs w:val="22"/>
                <w:lang w:val="lt-LT"/>
              </w:rPr>
            </w:pPr>
            <w:r w:rsidRPr="00BA0735">
              <w:rPr>
                <w:sz w:val="22"/>
                <w:szCs w:val="22"/>
                <w:lang w:val="lt-LT"/>
              </w:rPr>
              <w:t>Vaist</w:t>
            </w:r>
            <w:r w:rsidR="00FE088C">
              <w:rPr>
                <w:sz w:val="22"/>
                <w:szCs w:val="22"/>
                <w:lang w:val="lt-LT"/>
              </w:rPr>
              <w:t>o</w:t>
            </w:r>
            <w:r w:rsidRPr="00BA0735">
              <w:rPr>
                <w:sz w:val="22"/>
                <w:szCs w:val="22"/>
                <w:lang w:val="lt-LT"/>
              </w:rPr>
              <w:t xml:space="preserve"> pavadinimas</w:t>
            </w:r>
          </w:p>
        </w:tc>
      </w:tr>
      <w:tr w:rsidR="00E93252" w:rsidRPr="00BA0735" w:rsidTr="00D1362A">
        <w:tc>
          <w:tcPr>
            <w:tcW w:w="3870" w:type="dxa"/>
          </w:tcPr>
          <w:p w:rsidR="00E93252" w:rsidRPr="00BA0735" w:rsidRDefault="00E93252" w:rsidP="00D1362A">
            <w:pPr>
              <w:widowControl w:val="0"/>
              <w:numPr>
                <w:ilvl w:val="12"/>
                <w:numId w:val="0"/>
              </w:numPr>
              <w:tabs>
                <w:tab w:val="left" w:pos="708"/>
              </w:tabs>
              <w:ind w:right="-2"/>
              <w:rPr>
                <w:sz w:val="22"/>
                <w:szCs w:val="22"/>
                <w:lang w:val="lt-LT"/>
              </w:rPr>
            </w:pPr>
            <w:r w:rsidRPr="00BA0735">
              <w:rPr>
                <w:sz w:val="22"/>
                <w:szCs w:val="22"/>
                <w:lang w:val="lt-LT"/>
              </w:rPr>
              <w:t>Čekija, Lietuva, Latvija, Estija</w:t>
            </w:r>
          </w:p>
        </w:tc>
        <w:tc>
          <w:tcPr>
            <w:tcW w:w="4770" w:type="dxa"/>
          </w:tcPr>
          <w:p w:rsidR="00E93252" w:rsidRPr="00BA0735" w:rsidRDefault="00E93252" w:rsidP="00D1362A">
            <w:pPr>
              <w:widowControl w:val="0"/>
              <w:numPr>
                <w:ilvl w:val="12"/>
                <w:numId w:val="0"/>
              </w:numPr>
              <w:tabs>
                <w:tab w:val="left" w:pos="708"/>
              </w:tabs>
              <w:ind w:right="-2"/>
              <w:rPr>
                <w:sz w:val="22"/>
                <w:szCs w:val="22"/>
                <w:lang w:val="lt-LT"/>
              </w:rPr>
            </w:pPr>
            <w:r w:rsidRPr="00BA0735">
              <w:rPr>
                <w:sz w:val="22"/>
                <w:szCs w:val="22"/>
                <w:lang w:val="lt-LT"/>
              </w:rPr>
              <w:t>Prenewel</w:t>
            </w:r>
          </w:p>
        </w:tc>
      </w:tr>
      <w:tr w:rsidR="00E93252" w:rsidRPr="00BA0735" w:rsidTr="00D1362A">
        <w:tc>
          <w:tcPr>
            <w:tcW w:w="3870" w:type="dxa"/>
          </w:tcPr>
          <w:p w:rsidR="00E93252" w:rsidRPr="00BA0735" w:rsidRDefault="00E93252" w:rsidP="00D1362A">
            <w:pPr>
              <w:widowControl w:val="0"/>
              <w:numPr>
                <w:ilvl w:val="12"/>
                <w:numId w:val="0"/>
              </w:numPr>
              <w:tabs>
                <w:tab w:val="left" w:pos="708"/>
              </w:tabs>
              <w:ind w:right="-2"/>
              <w:rPr>
                <w:sz w:val="22"/>
                <w:szCs w:val="22"/>
                <w:lang w:val="lt-LT"/>
              </w:rPr>
            </w:pPr>
            <w:r w:rsidRPr="00BA0735">
              <w:rPr>
                <w:sz w:val="22"/>
                <w:szCs w:val="22"/>
                <w:lang w:val="lt-LT"/>
              </w:rPr>
              <w:t>Lenkija, Rumunija, Slovakija, Vengrija</w:t>
            </w:r>
          </w:p>
        </w:tc>
        <w:tc>
          <w:tcPr>
            <w:tcW w:w="4770" w:type="dxa"/>
          </w:tcPr>
          <w:p w:rsidR="00E93252" w:rsidRPr="00BA0735" w:rsidRDefault="00E93252" w:rsidP="00D1362A">
            <w:pPr>
              <w:widowControl w:val="0"/>
              <w:numPr>
                <w:ilvl w:val="12"/>
                <w:numId w:val="0"/>
              </w:numPr>
              <w:tabs>
                <w:tab w:val="left" w:pos="708"/>
              </w:tabs>
              <w:ind w:right="-2"/>
              <w:rPr>
                <w:sz w:val="22"/>
                <w:szCs w:val="22"/>
                <w:lang w:val="lt-LT"/>
              </w:rPr>
            </w:pPr>
            <w:r w:rsidRPr="00BA0735">
              <w:rPr>
                <w:sz w:val="22"/>
                <w:szCs w:val="22"/>
                <w:lang w:val="lt-LT"/>
              </w:rPr>
              <w:t xml:space="preserve">Co-Prenessa </w:t>
            </w:r>
          </w:p>
        </w:tc>
      </w:tr>
    </w:tbl>
    <w:p w:rsidR="00E93252" w:rsidRPr="00BA0735" w:rsidRDefault="00E93252" w:rsidP="00E93252">
      <w:pPr>
        <w:widowControl w:val="0"/>
        <w:rPr>
          <w:sz w:val="22"/>
          <w:szCs w:val="22"/>
          <w:lang w:val="lt-LT"/>
        </w:rPr>
      </w:pPr>
    </w:p>
    <w:p w:rsidR="00E93252" w:rsidRPr="00BA0735" w:rsidRDefault="00E93252" w:rsidP="00E93252">
      <w:pPr>
        <w:widowControl w:val="0"/>
        <w:rPr>
          <w:sz w:val="22"/>
          <w:szCs w:val="22"/>
          <w:lang w:val="lt-LT"/>
        </w:rPr>
      </w:pPr>
    </w:p>
    <w:p w:rsidR="00E93252" w:rsidRPr="00BA0735" w:rsidRDefault="00E93252" w:rsidP="00E93252">
      <w:pPr>
        <w:widowControl w:val="0"/>
        <w:numPr>
          <w:ilvl w:val="12"/>
          <w:numId w:val="0"/>
        </w:numPr>
        <w:ind w:right="-2"/>
        <w:rPr>
          <w:b/>
          <w:sz w:val="22"/>
          <w:szCs w:val="22"/>
          <w:lang w:val="lt-LT"/>
        </w:rPr>
      </w:pPr>
      <w:r w:rsidRPr="00BA0735">
        <w:rPr>
          <w:b/>
          <w:sz w:val="22"/>
          <w:szCs w:val="22"/>
          <w:lang w:val="lt-LT"/>
        </w:rPr>
        <w:t xml:space="preserve">Šis pakuotės lapelis paskutinį kartą patvirtintas </w:t>
      </w:r>
      <w:r w:rsidRPr="00BA0735">
        <w:rPr>
          <w:b/>
          <w:snapToGrid w:val="0"/>
          <w:sz w:val="22"/>
          <w:szCs w:val="22"/>
          <w:lang w:val="lt-LT"/>
        </w:rPr>
        <w:t>peržiūrėtas 20</w:t>
      </w:r>
      <w:r w:rsidR="00526D52">
        <w:rPr>
          <w:b/>
          <w:snapToGrid w:val="0"/>
          <w:sz w:val="22"/>
          <w:szCs w:val="22"/>
          <w:lang w:val="lt-LT"/>
        </w:rPr>
        <w:t>2</w:t>
      </w:r>
      <w:r w:rsidR="00FE088C">
        <w:rPr>
          <w:b/>
          <w:snapToGrid w:val="0"/>
          <w:sz w:val="22"/>
          <w:szCs w:val="22"/>
          <w:lang w:val="lt-LT"/>
        </w:rPr>
        <w:t>2-01-13</w:t>
      </w:r>
      <w:r w:rsidRPr="00BA0735">
        <w:rPr>
          <w:b/>
          <w:snapToGrid w:val="0"/>
          <w:sz w:val="22"/>
          <w:szCs w:val="22"/>
          <w:lang w:val="lt-LT"/>
        </w:rPr>
        <w:t>.</w:t>
      </w:r>
    </w:p>
    <w:p w:rsidR="00E93252" w:rsidRPr="00BA0735" w:rsidRDefault="00E93252" w:rsidP="00E93252">
      <w:pPr>
        <w:widowControl w:val="0"/>
        <w:numPr>
          <w:ilvl w:val="12"/>
          <w:numId w:val="0"/>
        </w:numPr>
        <w:tabs>
          <w:tab w:val="left" w:pos="567"/>
        </w:tabs>
        <w:ind w:right="-2"/>
        <w:rPr>
          <w:i/>
          <w:sz w:val="22"/>
          <w:szCs w:val="22"/>
          <w:lang w:val="lt-LT"/>
        </w:rPr>
      </w:pPr>
    </w:p>
    <w:p w:rsidR="00CF089C" w:rsidRDefault="00E93252" w:rsidP="00E93252">
      <w:pPr>
        <w:widowControl w:val="0"/>
        <w:rPr>
          <w:color w:val="0000FF"/>
          <w:sz w:val="22"/>
          <w:szCs w:val="22"/>
          <w:u w:val="single"/>
          <w:lang w:val="lt-LT"/>
        </w:rPr>
      </w:pPr>
      <w:r w:rsidRPr="00BA0735">
        <w:rPr>
          <w:snapToGrid w:val="0"/>
          <w:sz w:val="22"/>
          <w:szCs w:val="22"/>
          <w:lang w:val="lt-LT"/>
        </w:rPr>
        <w:t>Išsami informacija apie šį vaistą</w:t>
      </w:r>
      <w:r w:rsidRPr="00BA0735">
        <w:rPr>
          <w:sz w:val="22"/>
          <w:szCs w:val="22"/>
          <w:lang w:val="lt-LT"/>
        </w:rPr>
        <w:t xml:space="preserve"> pateikiama Valstybinės vaistų kontrolės tarnybos prie Lietuvos Respublikos sveikatos apsaugos ministerijos </w:t>
      </w:r>
      <w:r w:rsidRPr="00BA0735">
        <w:rPr>
          <w:snapToGrid w:val="0"/>
          <w:sz w:val="22"/>
          <w:szCs w:val="22"/>
          <w:lang w:val="lt-LT"/>
        </w:rPr>
        <w:t>tinklalapyje</w:t>
      </w:r>
      <w:r w:rsidRPr="00BA0735">
        <w:rPr>
          <w:i/>
          <w:snapToGrid w:val="0"/>
          <w:sz w:val="22"/>
          <w:szCs w:val="22"/>
          <w:lang w:val="lt-LT"/>
        </w:rPr>
        <w:t xml:space="preserve"> </w:t>
      </w:r>
      <w:hyperlink r:id="rId8" w:history="1">
        <w:r w:rsidRPr="00BA0735">
          <w:rPr>
            <w:color w:val="0000FF"/>
            <w:sz w:val="22"/>
            <w:szCs w:val="22"/>
            <w:u w:val="single"/>
            <w:lang w:val="lt-LT"/>
          </w:rPr>
          <w:t>http://www.vvkt.lt/</w:t>
        </w:r>
      </w:hyperlink>
    </w:p>
    <w:p w:rsidR="00BC0F94" w:rsidRDefault="00BC0F94" w:rsidP="00E93252">
      <w:pPr>
        <w:widowControl w:val="0"/>
        <w:rPr>
          <w:color w:val="0000FF"/>
          <w:sz w:val="22"/>
          <w:szCs w:val="22"/>
          <w:u w:val="single"/>
          <w:lang w:val="lt-LT"/>
        </w:rPr>
      </w:pPr>
    </w:p>
    <w:p w:rsidR="00BC0F94" w:rsidRPr="00BA0735" w:rsidRDefault="00BC0F94" w:rsidP="00E93252">
      <w:pPr>
        <w:widowControl w:val="0"/>
        <w:rPr>
          <w:color w:val="0000FF"/>
          <w:sz w:val="22"/>
          <w:szCs w:val="22"/>
          <w:u w:val="single"/>
          <w:lang w:val="lt-LT"/>
        </w:rPr>
      </w:pPr>
      <w:bookmarkStart w:id="100" w:name="_GoBack"/>
      <w:bookmarkEnd w:id="100"/>
    </w:p>
    <w:sectPr w:rsidR="00BC0F94" w:rsidRPr="00BA0735" w:rsidSect="00431E79">
      <w:headerReference w:type="default" r:id="rId9"/>
      <w:footerReference w:type="even" r:id="rId10"/>
      <w:footerReference w:type="default" r:id="rId11"/>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FB" w:rsidRDefault="00421BFB">
      <w:r>
        <w:separator/>
      </w:r>
    </w:p>
  </w:endnote>
  <w:endnote w:type="continuationSeparator" w:id="0">
    <w:p w:rsidR="00421BFB" w:rsidRDefault="0042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FB" w:rsidRDefault="00421BFB">
      <w:r>
        <w:separator/>
      </w:r>
    </w:p>
  </w:footnote>
  <w:footnote w:type="continuationSeparator" w:id="0">
    <w:p w:rsidR="00421BFB" w:rsidRDefault="0042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C05838">
    <w:pPr>
      <w:spacing w:line="20" w:lineRule="exact"/>
    </w:pPr>
  </w:p>
  <w:p w:rsidR="00413C23" w:rsidRDefault="00413C23">
    <w:pPr>
      <w:pStyle w:val="Antrats"/>
    </w:pPr>
    <w:bookmarkStart w:id="101" w:name="TableTag1"/>
    <w:bookmarkEnd w:id="10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91A1B"/>
    <w:multiLevelType w:val="hybridMultilevel"/>
    <w:tmpl w:val="52CA6FAE"/>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941C1A"/>
    <w:multiLevelType w:val="hybridMultilevel"/>
    <w:tmpl w:val="7E7A82B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4"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0401B9A"/>
    <w:multiLevelType w:val="hybridMultilevel"/>
    <w:tmpl w:val="384AD3C2"/>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E520F0"/>
    <w:multiLevelType w:val="hybridMultilevel"/>
    <w:tmpl w:val="8FAC46D6"/>
    <w:lvl w:ilvl="0" w:tplc="110E895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D0E15"/>
    <w:multiLevelType w:val="hybridMultilevel"/>
    <w:tmpl w:val="6598D852"/>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B5431"/>
    <w:multiLevelType w:val="hybridMultilevel"/>
    <w:tmpl w:val="25F80556"/>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B80E7B"/>
    <w:multiLevelType w:val="hybridMultilevel"/>
    <w:tmpl w:val="868AFA0C"/>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1C6B3B"/>
    <w:multiLevelType w:val="hybridMultilevel"/>
    <w:tmpl w:val="E38E4476"/>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EE0CFD"/>
    <w:multiLevelType w:val="hybridMultilevel"/>
    <w:tmpl w:val="E31EAA9E"/>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626752"/>
    <w:multiLevelType w:val="multilevel"/>
    <w:tmpl w:val="121C020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848DB"/>
    <w:multiLevelType w:val="hybridMultilevel"/>
    <w:tmpl w:val="8940D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AA2B3E"/>
    <w:multiLevelType w:val="hybridMultilevel"/>
    <w:tmpl w:val="403CAAA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9D783C"/>
    <w:multiLevelType w:val="multilevel"/>
    <w:tmpl w:val="AA6C824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3C422D"/>
    <w:multiLevelType w:val="hybridMultilevel"/>
    <w:tmpl w:val="D2D866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716E70"/>
    <w:multiLevelType w:val="hybridMultilevel"/>
    <w:tmpl w:val="3482D8F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C6A29FF"/>
    <w:multiLevelType w:val="hybridMultilevel"/>
    <w:tmpl w:val="CBA629AA"/>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8361F9C"/>
    <w:multiLevelType w:val="hybridMultilevel"/>
    <w:tmpl w:val="D6AAB074"/>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ED0B15"/>
    <w:multiLevelType w:val="hybridMultilevel"/>
    <w:tmpl w:val="ACA0057E"/>
    <w:lvl w:ilvl="0" w:tplc="A50E79C0">
      <w:start w:val="2"/>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C705EF"/>
    <w:multiLevelType w:val="hybridMultilevel"/>
    <w:tmpl w:val="BB5ADAD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F66D28"/>
    <w:multiLevelType w:val="hybridMultilevel"/>
    <w:tmpl w:val="D48EE386"/>
    <w:lvl w:ilvl="0" w:tplc="D32A715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8728C"/>
    <w:multiLevelType w:val="hybridMultilevel"/>
    <w:tmpl w:val="450AF9EA"/>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B329A5"/>
    <w:multiLevelType w:val="hybridMultilevel"/>
    <w:tmpl w:val="A2F289D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33"/>
  </w:num>
  <w:num w:numId="6">
    <w:abstractNumId w:val="36"/>
  </w:num>
  <w:num w:numId="7">
    <w:abstractNumId w:val="18"/>
  </w:num>
  <w:num w:numId="8">
    <w:abstractNumId w:val="31"/>
  </w:num>
  <w:num w:numId="9">
    <w:abstractNumId w:val="17"/>
  </w:num>
  <w:num w:numId="10">
    <w:abstractNumId w:val="19"/>
  </w:num>
  <w:num w:numId="11">
    <w:abstractNumId w:val="16"/>
  </w:num>
  <w:num w:numId="12">
    <w:abstractNumId w:val="38"/>
  </w:num>
  <w:num w:numId="13">
    <w:abstractNumId w:val="43"/>
  </w:num>
  <w:num w:numId="14">
    <w:abstractNumId w:val="11"/>
  </w:num>
  <w:num w:numId="15">
    <w:abstractNumId w:val="9"/>
  </w:num>
  <w:num w:numId="16">
    <w:abstractNumId w:val="40"/>
  </w:num>
  <w:num w:numId="17">
    <w:abstractNumId w:val="42"/>
  </w:num>
  <w:num w:numId="18">
    <w:abstractNumId w:val="29"/>
  </w:num>
  <w:num w:numId="19">
    <w:abstractNumId w:val="20"/>
  </w:num>
  <w:num w:numId="20">
    <w:abstractNumId w:val="35"/>
  </w:num>
  <w:num w:numId="21">
    <w:abstractNumId w:val="30"/>
  </w:num>
  <w:num w:numId="22">
    <w:abstractNumId w:val="27"/>
  </w:num>
  <w:num w:numId="23">
    <w:abstractNumId w:val="23"/>
  </w:num>
  <w:num w:numId="24">
    <w:abstractNumId w:val="22"/>
  </w:num>
  <w:num w:numId="25">
    <w:abstractNumId w:val="26"/>
  </w:num>
  <w:num w:numId="26">
    <w:abstractNumId w:val="2"/>
  </w:num>
  <w:num w:numId="27">
    <w:abstractNumId w:val="6"/>
  </w:num>
  <w:num w:numId="28">
    <w:abstractNumId w:val="28"/>
  </w:num>
  <w:num w:numId="29">
    <w:abstractNumId w:val="39"/>
  </w:num>
  <w:num w:numId="30">
    <w:abstractNumId w:val="3"/>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2"/>
  </w:num>
  <w:num w:numId="34">
    <w:abstractNumId w:val="15"/>
  </w:num>
  <w:num w:numId="35">
    <w:abstractNumId w:val="37"/>
  </w:num>
  <w:num w:numId="36">
    <w:abstractNumId w:val="5"/>
  </w:num>
  <w:num w:numId="37">
    <w:abstractNumId w:val="34"/>
  </w:num>
  <w:num w:numId="38">
    <w:abstractNumId w:val="32"/>
  </w:num>
  <w:num w:numId="39">
    <w:abstractNumId w:val="21"/>
  </w:num>
  <w:num w:numId="40">
    <w:abstractNumId w:val="14"/>
  </w:num>
  <w:num w:numId="41">
    <w:abstractNumId w:val="25"/>
  </w:num>
  <w:num w:numId="42">
    <w:abstractNumId w:val="41"/>
  </w:num>
  <w:num w:numId="43">
    <w:abstractNumId w:val="1"/>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FFE"/>
    <w:rsid w:val="00003050"/>
    <w:rsid w:val="000065B2"/>
    <w:rsid w:val="000433F2"/>
    <w:rsid w:val="000509FF"/>
    <w:rsid w:val="00064D45"/>
    <w:rsid w:val="00073CBA"/>
    <w:rsid w:val="000777E0"/>
    <w:rsid w:val="00082F94"/>
    <w:rsid w:val="000B09CA"/>
    <w:rsid w:val="000B0E91"/>
    <w:rsid w:val="000B3484"/>
    <w:rsid w:val="001003D9"/>
    <w:rsid w:val="00105480"/>
    <w:rsid w:val="00123891"/>
    <w:rsid w:val="001575C1"/>
    <w:rsid w:val="00173E2B"/>
    <w:rsid w:val="001840B2"/>
    <w:rsid w:val="001A7A83"/>
    <w:rsid w:val="001B38B4"/>
    <w:rsid w:val="001B5073"/>
    <w:rsid w:val="001B572E"/>
    <w:rsid w:val="001C7614"/>
    <w:rsid w:val="001C79DF"/>
    <w:rsid w:val="001D7818"/>
    <w:rsid w:val="001F2D60"/>
    <w:rsid w:val="002031D1"/>
    <w:rsid w:val="00211E4A"/>
    <w:rsid w:val="0023394F"/>
    <w:rsid w:val="00240FE0"/>
    <w:rsid w:val="002503B8"/>
    <w:rsid w:val="002504A7"/>
    <w:rsid w:val="00257ABE"/>
    <w:rsid w:val="0026149B"/>
    <w:rsid w:val="00272057"/>
    <w:rsid w:val="00273E33"/>
    <w:rsid w:val="002830B7"/>
    <w:rsid w:val="00291EF3"/>
    <w:rsid w:val="002943DD"/>
    <w:rsid w:val="002A73A7"/>
    <w:rsid w:val="002C1127"/>
    <w:rsid w:val="002C2548"/>
    <w:rsid w:val="002C51B3"/>
    <w:rsid w:val="002E402E"/>
    <w:rsid w:val="002E6597"/>
    <w:rsid w:val="002F60DC"/>
    <w:rsid w:val="00304273"/>
    <w:rsid w:val="00325207"/>
    <w:rsid w:val="00330D36"/>
    <w:rsid w:val="00363033"/>
    <w:rsid w:val="00365FAE"/>
    <w:rsid w:val="003753C3"/>
    <w:rsid w:val="003940DB"/>
    <w:rsid w:val="0039442A"/>
    <w:rsid w:val="003A4A45"/>
    <w:rsid w:val="003B6E1C"/>
    <w:rsid w:val="003D0748"/>
    <w:rsid w:val="003D3DDA"/>
    <w:rsid w:val="003D7146"/>
    <w:rsid w:val="003E1BD2"/>
    <w:rsid w:val="003E3DCF"/>
    <w:rsid w:val="003F3AEC"/>
    <w:rsid w:val="00407000"/>
    <w:rsid w:val="0040746D"/>
    <w:rsid w:val="0041262D"/>
    <w:rsid w:val="00413C23"/>
    <w:rsid w:val="0041487B"/>
    <w:rsid w:val="00416F48"/>
    <w:rsid w:val="004204ED"/>
    <w:rsid w:val="00421BFB"/>
    <w:rsid w:val="00424A32"/>
    <w:rsid w:val="00431E79"/>
    <w:rsid w:val="004346C3"/>
    <w:rsid w:val="00435513"/>
    <w:rsid w:val="004479A6"/>
    <w:rsid w:val="00450280"/>
    <w:rsid w:val="004837CC"/>
    <w:rsid w:val="00493236"/>
    <w:rsid w:val="004B0531"/>
    <w:rsid w:val="004B21C0"/>
    <w:rsid w:val="004B5407"/>
    <w:rsid w:val="004D2479"/>
    <w:rsid w:val="004D2FF4"/>
    <w:rsid w:val="004E2538"/>
    <w:rsid w:val="004E5B9C"/>
    <w:rsid w:val="004F3A7B"/>
    <w:rsid w:val="00505E1F"/>
    <w:rsid w:val="00520307"/>
    <w:rsid w:val="00526D52"/>
    <w:rsid w:val="00526D57"/>
    <w:rsid w:val="00530F31"/>
    <w:rsid w:val="00547C4E"/>
    <w:rsid w:val="005562DE"/>
    <w:rsid w:val="00570F8E"/>
    <w:rsid w:val="0057227F"/>
    <w:rsid w:val="00576EC6"/>
    <w:rsid w:val="00580C69"/>
    <w:rsid w:val="005A53E3"/>
    <w:rsid w:val="005B609D"/>
    <w:rsid w:val="005F2656"/>
    <w:rsid w:val="00607523"/>
    <w:rsid w:val="00621BDE"/>
    <w:rsid w:val="00631180"/>
    <w:rsid w:val="00643730"/>
    <w:rsid w:val="006604AF"/>
    <w:rsid w:val="006607F7"/>
    <w:rsid w:val="00660B27"/>
    <w:rsid w:val="00670A0E"/>
    <w:rsid w:val="006775E1"/>
    <w:rsid w:val="00691D21"/>
    <w:rsid w:val="006B5CA9"/>
    <w:rsid w:val="006D1BCB"/>
    <w:rsid w:val="006E5336"/>
    <w:rsid w:val="006E7784"/>
    <w:rsid w:val="006F0B35"/>
    <w:rsid w:val="00700CE3"/>
    <w:rsid w:val="00703760"/>
    <w:rsid w:val="00705456"/>
    <w:rsid w:val="00771E64"/>
    <w:rsid w:val="00774447"/>
    <w:rsid w:val="007A5809"/>
    <w:rsid w:val="007A75FE"/>
    <w:rsid w:val="007D57EF"/>
    <w:rsid w:val="007D6FC4"/>
    <w:rsid w:val="007E1FF6"/>
    <w:rsid w:val="0081093E"/>
    <w:rsid w:val="0081705B"/>
    <w:rsid w:val="008321E6"/>
    <w:rsid w:val="0084123A"/>
    <w:rsid w:val="008505C3"/>
    <w:rsid w:val="00850FAE"/>
    <w:rsid w:val="008534D4"/>
    <w:rsid w:val="00854A6F"/>
    <w:rsid w:val="00861D75"/>
    <w:rsid w:val="00866D2B"/>
    <w:rsid w:val="00873C86"/>
    <w:rsid w:val="008B35C2"/>
    <w:rsid w:val="008B3A7C"/>
    <w:rsid w:val="008D13A4"/>
    <w:rsid w:val="008D6435"/>
    <w:rsid w:val="00902A53"/>
    <w:rsid w:val="009208D9"/>
    <w:rsid w:val="00932A58"/>
    <w:rsid w:val="0093776A"/>
    <w:rsid w:val="00943815"/>
    <w:rsid w:val="009456FF"/>
    <w:rsid w:val="009462B4"/>
    <w:rsid w:val="00953BFC"/>
    <w:rsid w:val="009561F6"/>
    <w:rsid w:val="00960280"/>
    <w:rsid w:val="009732AC"/>
    <w:rsid w:val="0097582E"/>
    <w:rsid w:val="009767A1"/>
    <w:rsid w:val="00977389"/>
    <w:rsid w:val="009905A1"/>
    <w:rsid w:val="009A5259"/>
    <w:rsid w:val="009A6823"/>
    <w:rsid w:val="009A7EAD"/>
    <w:rsid w:val="009C430A"/>
    <w:rsid w:val="009D2377"/>
    <w:rsid w:val="009E4D57"/>
    <w:rsid w:val="009F2E45"/>
    <w:rsid w:val="009F692D"/>
    <w:rsid w:val="00A2172F"/>
    <w:rsid w:val="00A5221C"/>
    <w:rsid w:val="00A63901"/>
    <w:rsid w:val="00A941B0"/>
    <w:rsid w:val="00AA1538"/>
    <w:rsid w:val="00AA333F"/>
    <w:rsid w:val="00AA592A"/>
    <w:rsid w:val="00AA7407"/>
    <w:rsid w:val="00AA76BD"/>
    <w:rsid w:val="00AB6AB8"/>
    <w:rsid w:val="00AC0C1D"/>
    <w:rsid w:val="00AD4CFC"/>
    <w:rsid w:val="00AD5EFC"/>
    <w:rsid w:val="00AE0E4F"/>
    <w:rsid w:val="00AE4202"/>
    <w:rsid w:val="00B058C9"/>
    <w:rsid w:val="00B12064"/>
    <w:rsid w:val="00B1269B"/>
    <w:rsid w:val="00B20C7E"/>
    <w:rsid w:val="00B243EC"/>
    <w:rsid w:val="00B31A3A"/>
    <w:rsid w:val="00B33ECC"/>
    <w:rsid w:val="00B3767F"/>
    <w:rsid w:val="00B54102"/>
    <w:rsid w:val="00B57DDB"/>
    <w:rsid w:val="00B64AA7"/>
    <w:rsid w:val="00B71B26"/>
    <w:rsid w:val="00B964A6"/>
    <w:rsid w:val="00BA0735"/>
    <w:rsid w:val="00BA1660"/>
    <w:rsid w:val="00BB7B3A"/>
    <w:rsid w:val="00BC0336"/>
    <w:rsid w:val="00BC0DE1"/>
    <w:rsid w:val="00BC0F94"/>
    <w:rsid w:val="00BC744B"/>
    <w:rsid w:val="00BD7E85"/>
    <w:rsid w:val="00BF6C2F"/>
    <w:rsid w:val="00C01C47"/>
    <w:rsid w:val="00C02FB4"/>
    <w:rsid w:val="00C05838"/>
    <w:rsid w:val="00C06DBA"/>
    <w:rsid w:val="00C108B8"/>
    <w:rsid w:val="00C23634"/>
    <w:rsid w:val="00C47DAF"/>
    <w:rsid w:val="00C72B2D"/>
    <w:rsid w:val="00C745BF"/>
    <w:rsid w:val="00C7794F"/>
    <w:rsid w:val="00C81C87"/>
    <w:rsid w:val="00CA1874"/>
    <w:rsid w:val="00CA257B"/>
    <w:rsid w:val="00CB580B"/>
    <w:rsid w:val="00CC6D90"/>
    <w:rsid w:val="00CC6EEF"/>
    <w:rsid w:val="00CE7393"/>
    <w:rsid w:val="00CF089C"/>
    <w:rsid w:val="00CF4099"/>
    <w:rsid w:val="00CF57AD"/>
    <w:rsid w:val="00CF71C6"/>
    <w:rsid w:val="00D1362A"/>
    <w:rsid w:val="00D31162"/>
    <w:rsid w:val="00D6540B"/>
    <w:rsid w:val="00D76B47"/>
    <w:rsid w:val="00D813FD"/>
    <w:rsid w:val="00DA56EB"/>
    <w:rsid w:val="00DD4807"/>
    <w:rsid w:val="00DE1ABA"/>
    <w:rsid w:val="00DE3280"/>
    <w:rsid w:val="00DE4A33"/>
    <w:rsid w:val="00DF6C44"/>
    <w:rsid w:val="00E0414A"/>
    <w:rsid w:val="00E13A32"/>
    <w:rsid w:val="00E32A86"/>
    <w:rsid w:val="00E73DCA"/>
    <w:rsid w:val="00E74267"/>
    <w:rsid w:val="00E76214"/>
    <w:rsid w:val="00E908DC"/>
    <w:rsid w:val="00E93252"/>
    <w:rsid w:val="00EB0C7B"/>
    <w:rsid w:val="00EC5FAE"/>
    <w:rsid w:val="00ED0431"/>
    <w:rsid w:val="00EF7B76"/>
    <w:rsid w:val="00F20737"/>
    <w:rsid w:val="00F238C4"/>
    <w:rsid w:val="00F37FC4"/>
    <w:rsid w:val="00F5533D"/>
    <w:rsid w:val="00F82F64"/>
    <w:rsid w:val="00F83C4B"/>
    <w:rsid w:val="00F914B8"/>
    <w:rsid w:val="00FD5777"/>
    <w:rsid w:val="00FE088C"/>
    <w:rsid w:val="00FE5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50"/>
    <o:shapelayout v:ext="edit">
      <o:idmap v:ext="edit" data="1"/>
    </o:shapelayout>
  </w:shapeDefaults>
  <w:decimalSymbol w:val=","/>
  <w:listSeparator w:val=";"/>
  <w14:docId w14:val="062BD883"/>
  <w15:chartTrackingRefBased/>
  <w15:docId w15:val="{7FEEB916-6CE8-41E9-85FB-E8DDD68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uiPriority w:val="99"/>
    <w:rsid w:val="00E93252"/>
    <w:rPr>
      <w:rFonts w:ascii="Arial" w:hAnsi="Arial" w:cs="Arial"/>
      <w:b/>
      <w:bCs/>
      <w:kern w:val="32"/>
      <w:sz w:val="32"/>
      <w:szCs w:val="32"/>
    </w:rPr>
  </w:style>
  <w:style w:type="character" w:customStyle="1" w:styleId="Antrat2Diagrama">
    <w:name w:val="Antraštė 2 Diagrama"/>
    <w:link w:val="Antrat2"/>
    <w:uiPriority w:val="99"/>
    <w:rsid w:val="00E93252"/>
    <w:rPr>
      <w:b/>
      <w:sz w:val="24"/>
      <w:u w:val="single"/>
      <w:lang w:val="en-US"/>
    </w:rPr>
  </w:style>
  <w:style w:type="character" w:customStyle="1" w:styleId="Antrat3Diagrama">
    <w:name w:val="Antraštė 3 Diagrama"/>
    <w:link w:val="Antrat3"/>
    <w:uiPriority w:val="99"/>
    <w:rsid w:val="00E93252"/>
    <w:rPr>
      <w:b/>
      <w:sz w:val="24"/>
      <w:lang w:val="en-US"/>
    </w:rPr>
  </w:style>
  <w:style w:type="numbering" w:customStyle="1" w:styleId="Sraonra1">
    <w:name w:val="Sąrašo nėra1"/>
    <w:next w:val="Sraonra"/>
    <w:uiPriority w:val="99"/>
    <w:semiHidden/>
    <w:unhideWhenUsed/>
    <w:rsid w:val="00E93252"/>
  </w:style>
  <w:style w:type="character" w:customStyle="1" w:styleId="PoratDiagrama">
    <w:name w:val="Poraštė Diagrama"/>
    <w:link w:val="Porat"/>
    <w:uiPriority w:val="99"/>
    <w:rsid w:val="00E93252"/>
    <w:rPr>
      <w:sz w:val="24"/>
    </w:rPr>
  </w:style>
  <w:style w:type="character" w:customStyle="1" w:styleId="AntratsDiagrama">
    <w:name w:val="Antraštės Diagrama"/>
    <w:link w:val="Antrats"/>
    <w:uiPriority w:val="99"/>
    <w:rsid w:val="00E93252"/>
    <w:rPr>
      <w:sz w:val="24"/>
    </w:rPr>
  </w:style>
  <w:style w:type="character" w:customStyle="1" w:styleId="Pagrindinistekstas2Diagrama">
    <w:name w:val="Pagrindinis tekstas 2 Diagrama"/>
    <w:link w:val="Pagrindinistekstas2"/>
    <w:uiPriority w:val="99"/>
    <w:rsid w:val="00E93252"/>
    <w:rPr>
      <w:sz w:val="24"/>
    </w:rPr>
  </w:style>
  <w:style w:type="character" w:customStyle="1" w:styleId="PagrindinistekstasDiagrama">
    <w:name w:val="Pagrindinis tekstas Diagrama"/>
    <w:link w:val="Pagrindinistekstas"/>
    <w:uiPriority w:val="99"/>
    <w:rsid w:val="00E93252"/>
    <w:rPr>
      <w:sz w:val="22"/>
    </w:rPr>
  </w:style>
  <w:style w:type="paragraph" w:customStyle="1" w:styleId="PI-1EMEASMCA">
    <w:name w:val="PI-1 EMEA_SMCA"/>
    <w:basedOn w:val="Antrat2"/>
    <w:autoRedefine/>
    <w:uiPriority w:val="99"/>
    <w:rsid w:val="00E93252"/>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E93252"/>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uiPriority w:val="99"/>
    <w:locked/>
    <w:rsid w:val="00E93252"/>
    <w:rPr>
      <w:b/>
      <w:noProof/>
      <w:sz w:val="22"/>
      <w:szCs w:val="22"/>
      <w:lang w:val="lt-LT" w:eastAsia="en-US"/>
    </w:rPr>
  </w:style>
  <w:style w:type="paragraph" w:customStyle="1" w:styleId="PI-2EMEASMCA">
    <w:name w:val="PI-2 EMEA_SMCA"/>
    <w:basedOn w:val="Antrat3"/>
    <w:autoRedefine/>
    <w:uiPriority w:val="99"/>
    <w:rsid w:val="00E93252"/>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E93252"/>
    <w:rPr>
      <w:sz w:val="22"/>
      <w:szCs w:val="22"/>
      <w:lang w:val="lt-LT" w:eastAsia="en-US"/>
    </w:rPr>
  </w:style>
  <w:style w:type="character" w:customStyle="1" w:styleId="BTEMEASMCAChar">
    <w:name w:val="BT EMEA_SMCA Char"/>
    <w:link w:val="BTEMEASMCA"/>
    <w:uiPriority w:val="99"/>
    <w:locked/>
    <w:rsid w:val="00E93252"/>
    <w:rPr>
      <w:sz w:val="22"/>
      <w:szCs w:val="22"/>
      <w:lang w:val="lt-LT" w:eastAsia="en-US"/>
    </w:rPr>
  </w:style>
  <w:style w:type="paragraph" w:customStyle="1" w:styleId="TTEMEASMCA">
    <w:name w:val="TT EMEA_SMCA"/>
    <w:basedOn w:val="Antrat1"/>
    <w:link w:val="TTEMEASMCAChar"/>
    <w:autoRedefine/>
    <w:uiPriority w:val="99"/>
    <w:rsid w:val="00E93252"/>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E93252"/>
    <w:rPr>
      <w:b/>
      <w:caps/>
      <w:sz w:val="22"/>
      <w:szCs w:val="22"/>
      <w:lang w:val="en-US" w:eastAsia="en-US"/>
    </w:rPr>
  </w:style>
  <w:style w:type="paragraph" w:customStyle="1" w:styleId="BTAnIIEMEASMCA">
    <w:name w:val="BT(AnII) EMEA_SMCA"/>
    <w:basedOn w:val="Debesliotekstas"/>
    <w:autoRedefine/>
    <w:uiPriority w:val="99"/>
    <w:rsid w:val="00E93252"/>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E93252"/>
    <w:pPr>
      <w:spacing w:line="220" w:lineRule="exact"/>
    </w:pPr>
    <w:rPr>
      <w:b/>
      <w:bCs/>
      <w:sz w:val="22"/>
      <w:szCs w:val="22"/>
      <w:lang w:val="lt-LT" w:eastAsia="en-US"/>
    </w:rPr>
  </w:style>
  <w:style w:type="paragraph" w:customStyle="1" w:styleId="BTbEMEASMCA">
    <w:name w:val="BT(b) EMEA_SMCA"/>
    <w:basedOn w:val="BTEMEASMCA"/>
    <w:autoRedefine/>
    <w:uiPriority w:val="99"/>
    <w:rsid w:val="00E93252"/>
    <w:rPr>
      <w:b/>
    </w:rPr>
  </w:style>
  <w:style w:type="paragraph" w:customStyle="1" w:styleId="BTeEMEASMCA">
    <w:name w:val="BT(e) EMEA_SMCA"/>
    <w:basedOn w:val="BTEMEASMCA"/>
    <w:autoRedefine/>
    <w:uiPriority w:val="99"/>
    <w:rsid w:val="00E93252"/>
    <w:pPr>
      <w:jc w:val="center"/>
    </w:pPr>
  </w:style>
  <w:style w:type="paragraph" w:customStyle="1" w:styleId="BTuEMEASMCA">
    <w:name w:val="BT(u) EMEA_SMCA"/>
    <w:basedOn w:val="BTEMEASMCA"/>
    <w:autoRedefine/>
    <w:uiPriority w:val="99"/>
    <w:rsid w:val="00E93252"/>
    <w:rPr>
      <w:u w:val="single"/>
    </w:rPr>
  </w:style>
  <w:style w:type="paragraph" w:styleId="Pavadinimas">
    <w:name w:val="Title"/>
    <w:basedOn w:val="prastasis"/>
    <w:link w:val="PavadinimasDiagrama"/>
    <w:uiPriority w:val="99"/>
    <w:qFormat/>
    <w:rsid w:val="00E93252"/>
    <w:pPr>
      <w:jc w:val="center"/>
    </w:pPr>
    <w:rPr>
      <w:b/>
      <w:sz w:val="22"/>
    </w:rPr>
  </w:style>
  <w:style w:type="character" w:customStyle="1" w:styleId="PavadinimasDiagrama">
    <w:name w:val="Pavadinimas Diagrama"/>
    <w:link w:val="Pavadinimas"/>
    <w:uiPriority w:val="99"/>
    <w:rsid w:val="00E93252"/>
    <w:rPr>
      <w:b/>
      <w:sz w:val="22"/>
    </w:rPr>
  </w:style>
  <w:style w:type="character" w:customStyle="1" w:styleId="SlogLeee">
    <w:name w:val="Slog Ležeče"/>
    <w:uiPriority w:val="99"/>
    <w:rsid w:val="00E93252"/>
    <w:rPr>
      <w:rFonts w:cs="Times New Roman"/>
      <w:iCs/>
    </w:rPr>
  </w:style>
  <w:style w:type="paragraph" w:customStyle="1" w:styleId="SlogObojestranskoPo0pt">
    <w:name w:val="Slog Obojestransko Po:  0 pt"/>
    <w:basedOn w:val="prastasis"/>
    <w:uiPriority w:val="99"/>
    <w:rsid w:val="00E93252"/>
    <w:pPr>
      <w:jc w:val="both"/>
    </w:pPr>
    <w:rPr>
      <w:sz w:val="22"/>
      <w:lang w:val="en-US" w:eastAsia="en-US"/>
    </w:rPr>
  </w:style>
  <w:style w:type="paragraph" w:customStyle="1" w:styleId="EMEABodyText">
    <w:name w:val="EMEA Body Text"/>
    <w:basedOn w:val="prastasis"/>
    <w:link w:val="EMEABodyTextChar"/>
    <w:uiPriority w:val="99"/>
    <w:rsid w:val="00E93252"/>
    <w:rPr>
      <w:sz w:val="22"/>
      <w:lang w:val="en-GB" w:eastAsia="en-US"/>
    </w:rPr>
  </w:style>
  <w:style w:type="character" w:customStyle="1" w:styleId="EMEABodyTextChar">
    <w:name w:val="EMEA Body Text Char"/>
    <w:link w:val="EMEABodyText"/>
    <w:uiPriority w:val="99"/>
    <w:locked/>
    <w:rsid w:val="00E93252"/>
    <w:rPr>
      <w:sz w:val="22"/>
      <w:lang w:val="en-GB" w:eastAsia="en-US"/>
    </w:rPr>
  </w:style>
  <w:style w:type="paragraph" w:styleId="Debesliotekstas">
    <w:name w:val="Balloon Text"/>
    <w:basedOn w:val="prastasis"/>
    <w:link w:val="DebesliotekstasDiagrama"/>
    <w:uiPriority w:val="99"/>
    <w:rsid w:val="00E93252"/>
    <w:rPr>
      <w:rFonts w:ascii="Tahoma" w:hAnsi="Tahoma" w:cs="Tahoma"/>
      <w:sz w:val="16"/>
      <w:szCs w:val="16"/>
      <w:lang w:val="en-GB" w:eastAsia="en-US"/>
    </w:rPr>
  </w:style>
  <w:style w:type="character" w:customStyle="1" w:styleId="DebesliotekstasDiagrama">
    <w:name w:val="Debesėlio tekstas Diagrama"/>
    <w:link w:val="Debesliotekstas"/>
    <w:uiPriority w:val="99"/>
    <w:rsid w:val="00E93252"/>
    <w:rPr>
      <w:rFonts w:ascii="Tahoma" w:hAnsi="Tahoma" w:cs="Tahoma"/>
      <w:sz w:val="16"/>
      <w:szCs w:val="16"/>
      <w:lang w:val="en-GB" w:eastAsia="en-US"/>
    </w:rPr>
  </w:style>
  <w:style w:type="paragraph" w:customStyle="1" w:styleId="BTgEMEASMCA">
    <w:name w:val="BT(g) EMEA_SMCA"/>
    <w:basedOn w:val="BTEMEASMCA"/>
    <w:link w:val="BTgEMEASMCAChar"/>
    <w:autoRedefine/>
    <w:uiPriority w:val="99"/>
    <w:rsid w:val="00E93252"/>
    <w:rPr>
      <w:i/>
      <w:noProof/>
      <w:color w:val="008000"/>
    </w:rPr>
  </w:style>
  <w:style w:type="character" w:customStyle="1" w:styleId="BTgEMEASMCAChar">
    <w:name w:val="BT(g) EMEA_SMCA Char"/>
    <w:link w:val="BTgEMEASMCA"/>
    <w:uiPriority w:val="99"/>
    <w:locked/>
    <w:rsid w:val="00E93252"/>
    <w:rPr>
      <w:i/>
      <w:noProof/>
      <w:color w:val="008000"/>
      <w:sz w:val="22"/>
      <w:szCs w:val="22"/>
      <w:lang w:val="lt-LT" w:eastAsia="en-US"/>
    </w:rPr>
  </w:style>
  <w:style w:type="character" w:styleId="Komentaronuoroda">
    <w:name w:val="annotation reference"/>
    <w:uiPriority w:val="99"/>
    <w:rsid w:val="00E93252"/>
    <w:rPr>
      <w:rFonts w:cs="Times New Roman"/>
      <w:sz w:val="16"/>
      <w:szCs w:val="16"/>
    </w:rPr>
  </w:style>
  <w:style w:type="paragraph" w:styleId="Komentarotekstas">
    <w:name w:val="annotation text"/>
    <w:basedOn w:val="prastasis"/>
    <w:link w:val="KomentarotekstasDiagrama"/>
    <w:uiPriority w:val="99"/>
    <w:rsid w:val="00E93252"/>
    <w:rPr>
      <w:sz w:val="20"/>
      <w:lang w:val="en-GB" w:eastAsia="en-US"/>
    </w:rPr>
  </w:style>
  <w:style w:type="character" w:customStyle="1" w:styleId="KomentarotekstasDiagrama">
    <w:name w:val="Komentaro tekstas Diagrama"/>
    <w:link w:val="Komentarotekstas"/>
    <w:uiPriority w:val="99"/>
    <w:rsid w:val="00E93252"/>
    <w:rPr>
      <w:lang w:val="en-GB" w:eastAsia="en-US"/>
    </w:rPr>
  </w:style>
  <w:style w:type="paragraph" w:styleId="Komentarotema">
    <w:name w:val="annotation subject"/>
    <w:basedOn w:val="Komentarotekstas"/>
    <w:next w:val="Komentarotekstas"/>
    <w:link w:val="KomentarotemaDiagrama"/>
    <w:uiPriority w:val="99"/>
    <w:rsid w:val="00E93252"/>
    <w:rPr>
      <w:b/>
      <w:bCs/>
    </w:rPr>
  </w:style>
  <w:style w:type="character" w:customStyle="1" w:styleId="KomentarotemaDiagrama">
    <w:name w:val="Komentaro tema Diagrama"/>
    <w:link w:val="Komentarotema"/>
    <w:uiPriority w:val="99"/>
    <w:rsid w:val="00E93252"/>
    <w:rPr>
      <w:b/>
      <w:bCs/>
      <w:lang w:val="en-GB" w:eastAsia="en-US"/>
    </w:rPr>
  </w:style>
  <w:style w:type="character" w:customStyle="1" w:styleId="st">
    <w:name w:val="st"/>
    <w:uiPriority w:val="99"/>
    <w:rsid w:val="00E93252"/>
    <w:rPr>
      <w:rFonts w:cs="Times New Roman"/>
    </w:rPr>
  </w:style>
  <w:style w:type="paragraph" w:styleId="Sraopastraipa">
    <w:name w:val="List Paragraph"/>
    <w:basedOn w:val="prastasis"/>
    <w:uiPriority w:val="34"/>
    <w:qFormat/>
    <w:rsid w:val="00E93252"/>
    <w:pPr>
      <w:spacing w:after="200" w:line="276" w:lineRule="auto"/>
      <w:ind w:left="720"/>
      <w:contextualSpacing/>
    </w:pPr>
    <w:rPr>
      <w:rFonts w:ascii="Calibri" w:eastAsia="Calibri" w:hAnsi="Calibri"/>
      <w:sz w:val="22"/>
      <w:szCs w:val="22"/>
      <w:lang w:val="lt-LT" w:eastAsia="en-US"/>
    </w:rPr>
  </w:style>
  <w:style w:type="paragraph" w:styleId="Pataisymai">
    <w:name w:val="Revision"/>
    <w:hidden/>
    <w:uiPriority w:val="99"/>
    <w:semiHidden/>
    <w:rsid w:val="00E93252"/>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11775</Words>
  <Characters>84745</Characters>
  <Application>Microsoft Office Word</Application>
  <DocSecurity>0</DocSecurity>
  <Lines>706</Lines>
  <Paragraphs>192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96328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2022-02-03T13:08:00Z</dcterms:created>
  <dcterms:modified xsi:type="dcterms:W3CDTF">2022-02-03T13:10:00Z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Perindopril erbumine + Indapamide</vt:lpwstr>
  </property>
  <property fmtid="{D5CDD505-2E9C-101B-9397-08002B2CF9AE}" pid="4" name="ph_pharm_form">
    <vt:lpwstr>tablets</vt:lpwstr>
  </property>
  <property fmtid="{D5CDD505-2E9C-101B-9397-08002B2CF9AE}" pid="5" name="ph_unit_measure">
    <vt:lpwstr>mg + mg</vt:lpwstr>
  </property>
  <property fmtid="{D5CDD505-2E9C-101B-9397-08002B2CF9AE}" pid="6" name="mp_first_effective_date">
    <vt:lpwstr>18.05.2020</vt:lpwstr>
  </property>
  <property fmtid="{D5CDD505-2E9C-101B-9397-08002B2CF9AE}" pid="7" name="mp_updated_effective_date">
    <vt:lpwstr/>
  </property>
  <property fmtid="{D5CDD505-2E9C-101B-9397-08002B2CF9AE}" pid="8" name="object_name">
    <vt:lpwstr>SmPCPIL149809_3</vt:lpwstr>
  </property>
  <property fmtid="{D5CDD505-2E9C-101B-9397-08002B2CF9AE}" pid="9" name="ph_strength_custom">
    <vt:lpwstr>2 + 0.625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