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E419C" w14:textId="77777777" w:rsidR="00E3770F" w:rsidRPr="0059462A" w:rsidRDefault="00E3770F" w:rsidP="00E3770F">
      <w:pPr>
        <w:tabs>
          <w:tab w:val="clear" w:pos="567"/>
        </w:tabs>
        <w:spacing w:line="240" w:lineRule="auto"/>
        <w:jc w:val="center"/>
        <w:rPr>
          <w:lang w:val="lt-LT"/>
        </w:rPr>
      </w:pPr>
      <w:bookmarkStart w:id="0" w:name="_GoBack"/>
      <w:bookmarkEnd w:id="0"/>
    </w:p>
    <w:p w14:paraId="4E87CE72" w14:textId="77777777" w:rsidR="00E3770F" w:rsidRPr="0059462A" w:rsidRDefault="00E3770F" w:rsidP="00E3770F">
      <w:pPr>
        <w:tabs>
          <w:tab w:val="clear" w:pos="567"/>
        </w:tabs>
        <w:spacing w:line="240" w:lineRule="auto"/>
        <w:jc w:val="center"/>
        <w:rPr>
          <w:lang w:val="lt-LT"/>
        </w:rPr>
      </w:pPr>
    </w:p>
    <w:p w14:paraId="4B07BDE9" w14:textId="77777777" w:rsidR="00E3770F" w:rsidRPr="0059462A" w:rsidRDefault="00E3770F" w:rsidP="00E3770F">
      <w:pPr>
        <w:tabs>
          <w:tab w:val="clear" w:pos="567"/>
        </w:tabs>
        <w:spacing w:line="240" w:lineRule="auto"/>
        <w:jc w:val="center"/>
        <w:rPr>
          <w:lang w:val="lt-LT"/>
        </w:rPr>
      </w:pPr>
    </w:p>
    <w:p w14:paraId="030D6CF7" w14:textId="77777777" w:rsidR="00E3770F" w:rsidRPr="0059462A" w:rsidRDefault="00E3770F" w:rsidP="00E3770F">
      <w:pPr>
        <w:tabs>
          <w:tab w:val="clear" w:pos="567"/>
        </w:tabs>
        <w:spacing w:line="240" w:lineRule="auto"/>
        <w:jc w:val="center"/>
        <w:rPr>
          <w:lang w:val="lt-LT"/>
        </w:rPr>
      </w:pPr>
    </w:p>
    <w:p w14:paraId="3519E0A0" w14:textId="77777777" w:rsidR="00E3770F" w:rsidRPr="0059462A" w:rsidRDefault="00E3770F" w:rsidP="00E3770F">
      <w:pPr>
        <w:tabs>
          <w:tab w:val="clear" w:pos="567"/>
        </w:tabs>
        <w:spacing w:line="240" w:lineRule="auto"/>
        <w:jc w:val="center"/>
        <w:rPr>
          <w:lang w:val="lt-LT"/>
        </w:rPr>
      </w:pPr>
    </w:p>
    <w:p w14:paraId="3CCB2A00" w14:textId="77777777" w:rsidR="00E3770F" w:rsidRPr="0059462A" w:rsidRDefault="00E3770F" w:rsidP="00E3770F">
      <w:pPr>
        <w:tabs>
          <w:tab w:val="clear" w:pos="567"/>
        </w:tabs>
        <w:spacing w:line="240" w:lineRule="auto"/>
        <w:jc w:val="center"/>
        <w:rPr>
          <w:lang w:val="lt-LT"/>
        </w:rPr>
      </w:pPr>
    </w:p>
    <w:p w14:paraId="5917249B" w14:textId="77777777" w:rsidR="00E3770F" w:rsidRPr="0059462A" w:rsidRDefault="00E3770F" w:rsidP="00E3770F">
      <w:pPr>
        <w:tabs>
          <w:tab w:val="clear" w:pos="567"/>
        </w:tabs>
        <w:spacing w:line="240" w:lineRule="auto"/>
        <w:jc w:val="center"/>
        <w:rPr>
          <w:lang w:val="lt-LT"/>
        </w:rPr>
      </w:pPr>
    </w:p>
    <w:p w14:paraId="67E429A5" w14:textId="77777777" w:rsidR="00E3770F" w:rsidRPr="0059462A" w:rsidRDefault="00E3770F" w:rsidP="00E3770F">
      <w:pPr>
        <w:tabs>
          <w:tab w:val="clear" w:pos="567"/>
        </w:tabs>
        <w:spacing w:line="240" w:lineRule="auto"/>
        <w:jc w:val="center"/>
        <w:rPr>
          <w:lang w:val="lt-LT"/>
        </w:rPr>
      </w:pPr>
    </w:p>
    <w:p w14:paraId="371E88E4" w14:textId="77777777" w:rsidR="00E3770F" w:rsidRPr="0059462A" w:rsidRDefault="00E3770F" w:rsidP="00E3770F">
      <w:pPr>
        <w:tabs>
          <w:tab w:val="clear" w:pos="567"/>
        </w:tabs>
        <w:spacing w:line="240" w:lineRule="auto"/>
        <w:jc w:val="center"/>
        <w:rPr>
          <w:lang w:val="lt-LT"/>
        </w:rPr>
      </w:pPr>
    </w:p>
    <w:p w14:paraId="29766686" w14:textId="77777777" w:rsidR="00E3770F" w:rsidRPr="0059462A" w:rsidRDefault="00E3770F" w:rsidP="00E3770F">
      <w:pPr>
        <w:tabs>
          <w:tab w:val="clear" w:pos="567"/>
        </w:tabs>
        <w:spacing w:line="240" w:lineRule="auto"/>
        <w:jc w:val="center"/>
        <w:rPr>
          <w:lang w:val="lt-LT"/>
        </w:rPr>
      </w:pPr>
    </w:p>
    <w:p w14:paraId="3E47F866" w14:textId="77777777" w:rsidR="00E3770F" w:rsidRPr="0059462A" w:rsidRDefault="00E3770F" w:rsidP="00E3770F">
      <w:pPr>
        <w:tabs>
          <w:tab w:val="clear" w:pos="567"/>
        </w:tabs>
        <w:spacing w:line="240" w:lineRule="auto"/>
        <w:jc w:val="center"/>
        <w:rPr>
          <w:lang w:val="lt-LT"/>
        </w:rPr>
      </w:pPr>
    </w:p>
    <w:p w14:paraId="6A113319" w14:textId="77777777" w:rsidR="00E3770F" w:rsidRPr="0059462A" w:rsidRDefault="00E3770F" w:rsidP="00E3770F">
      <w:pPr>
        <w:tabs>
          <w:tab w:val="clear" w:pos="567"/>
        </w:tabs>
        <w:spacing w:line="240" w:lineRule="auto"/>
        <w:jc w:val="center"/>
        <w:rPr>
          <w:lang w:val="lt-LT"/>
        </w:rPr>
      </w:pPr>
    </w:p>
    <w:p w14:paraId="30E24250" w14:textId="77777777" w:rsidR="00E3770F" w:rsidRPr="0059462A" w:rsidRDefault="00E3770F" w:rsidP="00E3770F">
      <w:pPr>
        <w:tabs>
          <w:tab w:val="clear" w:pos="567"/>
        </w:tabs>
        <w:spacing w:line="240" w:lineRule="auto"/>
        <w:jc w:val="center"/>
        <w:rPr>
          <w:lang w:val="lt-LT"/>
        </w:rPr>
      </w:pPr>
    </w:p>
    <w:p w14:paraId="7316D70B" w14:textId="77777777" w:rsidR="00E3770F" w:rsidRPr="0059462A" w:rsidRDefault="00E3770F" w:rsidP="00E3770F">
      <w:pPr>
        <w:tabs>
          <w:tab w:val="clear" w:pos="567"/>
        </w:tabs>
        <w:spacing w:line="240" w:lineRule="auto"/>
        <w:jc w:val="center"/>
        <w:rPr>
          <w:lang w:val="lt-LT"/>
        </w:rPr>
      </w:pPr>
    </w:p>
    <w:p w14:paraId="4E44B4FC" w14:textId="77777777" w:rsidR="00E3770F" w:rsidRPr="0059462A" w:rsidRDefault="00E3770F" w:rsidP="00E3770F">
      <w:pPr>
        <w:tabs>
          <w:tab w:val="clear" w:pos="567"/>
        </w:tabs>
        <w:spacing w:line="240" w:lineRule="auto"/>
        <w:jc w:val="center"/>
        <w:rPr>
          <w:lang w:val="lt-LT"/>
        </w:rPr>
      </w:pPr>
    </w:p>
    <w:p w14:paraId="3CE00848" w14:textId="77777777" w:rsidR="00E3770F" w:rsidRPr="0059462A" w:rsidRDefault="00E3770F" w:rsidP="00E3770F">
      <w:pPr>
        <w:tabs>
          <w:tab w:val="clear" w:pos="567"/>
        </w:tabs>
        <w:spacing w:line="240" w:lineRule="auto"/>
        <w:jc w:val="center"/>
        <w:rPr>
          <w:lang w:val="lt-LT"/>
        </w:rPr>
      </w:pPr>
    </w:p>
    <w:p w14:paraId="79AA78BC" w14:textId="77777777" w:rsidR="00E3770F" w:rsidRPr="0059462A" w:rsidRDefault="00E3770F" w:rsidP="00E3770F">
      <w:pPr>
        <w:tabs>
          <w:tab w:val="clear" w:pos="567"/>
        </w:tabs>
        <w:spacing w:line="240" w:lineRule="auto"/>
        <w:jc w:val="center"/>
        <w:rPr>
          <w:lang w:val="lt-LT"/>
        </w:rPr>
      </w:pPr>
    </w:p>
    <w:p w14:paraId="1BE6C88C" w14:textId="77777777" w:rsidR="00E3770F" w:rsidRPr="0059462A" w:rsidRDefault="00E3770F" w:rsidP="00E3770F">
      <w:pPr>
        <w:tabs>
          <w:tab w:val="clear" w:pos="567"/>
        </w:tabs>
        <w:spacing w:line="240" w:lineRule="auto"/>
        <w:jc w:val="center"/>
        <w:rPr>
          <w:lang w:val="lt-LT"/>
        </w:rPr>
      </w:pPr>
    </w:p>
    <w:p w14:paraId="7FA86D42" w14:textId="77777777" w:rsidR="00E3770F" w:rsidRPr="0059462A" w:rsidRDefault="00E3770F" w:rsidP="00E3770F">
      <w:pPr>
        <w:tabs>
          <w:tab w:val="clear" w:pos="567"/>
        </w:tabs>
        <w:spacing w:line="240" w:lineRule="auto"/>
        <w:jc w:val="center"/>
        <w:rPr>
          <w:lang w:val="lt-LT"/>
        </w:rPr>
      </w:pPr>
    </w:p>
    <w:p w14:paraId="7B748B56" w14:textId="77777777" w:rsidR="00E3770F" w:rsidRPr="0059462A" w:rsidRDefault="00E3770F" w:rsidP="00E3770F">
      <w:pPr>
        <w:tabs>
          <w:tab w:val="clear" w:pos="567"/>
        </w:tabs>
        <w:spacing w:line="240" w:lineRule="auto"/>
        <w:jc w:val="center"/>
        <w:rPr>
          <w:lang w:val="lt-LT"/>
        </w:rPr>
      </w:pPr>
    </w:p>
    <w:p w14:paraId="411266F1" w14:textId="77777777" w:rsidR="00E3770F" w:rsidRPr="0059462A" w:rsidRDefault="00E3770F" w:rsidP="00E3770F">
      <w:pPr>
        <w:tabs>
          <w:tab w:val="clear" w:pos="567"/>
          <w:tab w:val="left" w:pos="-1440"/>
          <w:tab w:val="left" w:pos="-720"/>
        </w:tabs>
        <w:spacing w:line="240" w:lineRule="auto"/>
        <w:jc w:val="center"/>
        <w:rPr>
          <w:b/>
          <w:lang w:val="lt-LT"/>
        </w:rPr>
      </w:pPr>
    </w:p>
    <w:p w14:paraId="7A03F966" w14:textId="77777777" w:rsidR="00E3770F" w:rsidRPr="0059462A" w:rsidRDefault="00E3770F" w:rsidP="00E3770F">
      <w:pPr>
        <w:tabs>
          <w:tab w:val="clear" w:pos="567"/>
          <w:tab w:val="left" w:pos="-1440"/>
          <w:tab w:val="left" w:pos="-720"/>
        </w:tabs>
        <w:spacing w:line="240" w:lineRule="auto"/>
        <w:jc w:val="center"/>
        <w:rPr>
          <w:b/>
          <w:lang w:val="lt-LT"/>
        </w:rPr>
      </w:pPr>
    </w:p>
    <w:p w14:paraId="0583B3B2" w14:textId="77777777" w:rsidR="00E3770F" w:rsidRPr="0059462A" w:rsidRDefault="00E3770F" w:rsidP="00E3770F">
      <w:pPr>
        <w:ind w:left="567" w:hanging="567"/>
        <w:jc w:val="center"/>
        <w:rPr>
          <w:b/>
          <w:lang w:val="lt-LT"/>
        </w:rPr>
      </w:pPr>
    </w:p>
    <w:p w14:paraId="28916E09" w14:textId="77777777" w:rsidR="00E3770F" w:rsidRPr="0059462A" w:rsidRDefault="00E3770F" w:rsidP="00E3770F">
      <w:pPr>
        <w:ind w:left="567" w:hanging="567"/>
        <w:jc w:val="center"/>
        <w:rPr>
          <w:rFonts w:asciiTheme="minorHAnsi" w:eastAsiaTheme="minorHAnsi" w:hAnsiTheme="minorHAnsi" w:cstheme="minorBidi"/>
          <w:szCs w:val="22"/>
          <w:lang w:val="lt-LT"/>
        </w:rPr>
      </w:pPr>
      <w:r w:rsidRPr="0059462A">
        <w:rPr>
          <w:b/>
          <w:lang w:val="lt-LT"/>
        </w:rPr>
        <w:t>I PRIEDAS</w:t>
      </w:r>
    </w:p>
    <w:p w14:paraId="6E3715D9" w14:textId="77777777" w:rsidR="00E3770F" w:rsidRPr="0059462A" w:rsidRDefault="00E3770F" w:rsidP="00E3770F">
      <w:pPr>
        <w:ind w:left="567" w:hanging="567"/>
        <w:jc w:val="center"/>
        <w:rPr>
          <w:b/>
          <w:lang w:val="lt-LT"/>
        </w:rPr>
      </w:pPr>
    </w:p>
    <w:p w14:paraId="524E2A14" w14:textId="77777777" w:rsidR="00E3770F" w:rsidRPr="0059462A" w:rsidRDefault="00E3770F" w:rsidP="00E3770F">
      <w:pPr>
        <w:ind w:left="567" w:hanging="567"/>
        <w:jc w:val="center"/>
        <w:rPr>
          <w:rFonts w:asciiTheme="minorHAnsi" w:eastAsiaTheme="minorHAnsi" w:hAnsiTheme="minorHAnsi" w:cstheme="minorBidi"/>
          <w:b/>
          <w:szCs w:val="22"/>
          <w:lang w:val="lt-LT"/>
        </w:rPr>
      </w:pPr>
      <w:r w:rsidRPr="0059462A">
        <w:rPr>
          <w:b/>
          <w:lang w:val="lt-LT"/>
        </w:rPr>
        <w:t>PREPARATO CHARAKTERISTIKŲ SANTRAUKA</w:t>
      </w:r>
    </w:p>
    <w:p w14:paraId="1BB13209" w14:textId="77777777" w:rsidR="00E3770F" w:rsidRPr="0059462A" w:rsidRDefault="00E3770F" w:rsidP="00E3770F">
      <w:pPr>
        <w:tabs>
          <w:tab w:val="clear" w:pos="567"/>
          <w:tab w:val="left" w:pos="-1440"/>
          <w:tab w:val="left" w:pos="-720"/>
        </w:tabs>
        <w:spacing w:line="240" w:lineRule="auto"/>
        <w:jc w:val="center"/>
        <w:rPr>
          <w:lang w:val="lt-LT"/>
        </w:rPr>
      </w:pPr>
    </w:p>
    <w:p w14:paraId="77D944E7" w14:textId="77777777" w:rsidR="00E3770F" w:rsidRPr="0059462A" w:rsidRDefault="00E3770F" w:rsidP="00E3770F">
      <w:pPr>
        <w:tabs>
          <w:tab w:val="clear" w:pos="567"/>
        </w:tabs>
        <w:spacing w:line="240" w:lineRule="auto"/>
        <w:ind w:left="567" w:hanging="567"/>
        <w:rPr>
          <w:lang w:val="lt-LT"/>
        </w:rPr>
      </w:pPr>
      <w:r w:rsidRPr="0059462A">
        <w:rPr>
          <w:lang w:val="lt-LT"/>
        </w:rPr>
        <w:br w:type="page"/>
      </w:r>
      <w:r w:rsidRPr="0059462A">
        <w:rPr>
          <w:b/>
          <w:lang w:val="lt-LT"/>
        </w:rPr>
        <w:lastRenderedPageBreak/>
        <w:t>1.</w:t>
      </w:r>
      <w:r w:rsidRPr="00FB39A9">
        <w:rPr>
          <w:b/>
          <w:lang w:val="lt-LT"/>
        </w:rPr>
        <w:tab/>
      </w:r>
      <w:r w:rsidRPr="0059462A">
        <w:rPr>
          <w:b/>
          <w:caps/>
          <w:lang w:val="lt-LT"/>
        </w:rPr>
        <w:t>VAISTINIO</w:t>
      </w:r>
      <w:r w:rsidRPr="00FB39A9">
        <w:rPr>
          <w:b/>
          <w:lang w:val="lt-LT"/>
        </w:rPr>
        <w:t xml:space="preserve"> PREPARATO PAVADINIMAS</w:t>
      </w:r>
    </w:p>
    <w:p w14:paraId="6535569D" w14:textId="77777777" w:rsidR="00E3770F" w:rsidRPr="0059462A" w:rsidRDefault="00E3770F" w:rsidP="00E3770F">
      <w:pPr>
        <w:rPr>
          <w:lang w:val="lt-LT"/>
        </w:rPr>
      </w:pPr>
    </w:p>
    <w:p w14:paraId="4A48B940" w14:textId="77777777" w:rsidR="00E3770F" w:rsidRPr="0059462A" w:rsidRDefault="00E3770F" w:rsidP="00E3770F">
      <w:pPr>
        <w:pStyle w:val="Dokumentoinaostekstas"/>
        <w:tabs>
          <w:tab w:val="clear" w:pos="567"/>
        </w:tabs>
        <w:rPr>
          <w:lang w:val="lt-LT"/>
        </w:rPr>
      </w:pPr>
      <w:r w:rsidRPr="0059462A">
        <w:rPr>
          <w:lang w:val="lt-LT"/>
        </w:rPr>
        <w:t>Zemplar 1 mikrogramas minkštosios kapsulės</w:t>
      </w:r>
    </w:p>
    <w:p w14:paraId="62F79B86" w14:textId="77777777" w:rsidR="00E3770F" w:rsidRPr="0059462A" w:rsidRDefault="00E3770F" w:rsidP="00E3770F">
      <w:pPr>
        <w:rPr>
          <w:rFonts w:asciiTheme="minorHAnsi" w:eastAsiaTheme="minorHAnsi" w:hAnsiTheme="minorHAnsi" w:cstheme="minorBidi"/>
          <w:szCs w:val="22"/>
          <w:lang w:val="lt-LT"/>
        </w:rPr>
      </w:pPr>
      <w:r w:rsidRPr="0059462A">
        <w:rPr>
          <w:lang w:val="lt-LT"/>
        </w:rPr>
        <w:t>Zemplar 2 mikrogramai minkštosios kapsulės</w:t>
      </w:r>
    </w:p>
    <w:p w14:paraId="50164443" w14:textId="77777777" w:rsidR="00E3770F" w:rsidRPr="0059462A" w:rsidRDefault="00E3770F" w:rsidP="00E3770F">
      <w:pPr>
        <w:rPr>
          <w:lang w:val="lt-LT"/>
        </w:rPr>
      </w:pPr>
    </w:p>
    <w:p w14:paraId="01459D5A" w14:textId="77777777" w:rsidR="00E3770F" w:rsidRPr="0059462A" w:rsidRDefault="00E3770F" w:rsidP="00E3770F">
      <w:pPr>
        <w:rPr>
          <w:lang w:val="lt-LT"/>
        </w:rPr>
      </w:pPr>
    </w:p>
    <w:p w14:paraId="66B24575" w14:textId="77777777" w:rsidR="00E3770F" w:rsidRPr="0059462A" w:rsidRDefault="00E3770F" w:rsidP="00E3770F">
      <w:pPr>
        <w:widowControl w:val="0"/>
        <w:tabs>
          <w:tab w:val="clear" w:pos="567"/>
        </w:tabs>
        <w:spacing w:line="240" w:lineRule="auto"/>
        <w:ind w:left="567" w:hanging="567"/>
        <w:rPr>
          <w:rFonts w:asciiTheme="minorHAnsi" w:eastAsiaTheme="minorHAnsi" w:hAnsiTheme="minorHAnsi" w:cstheme="minorBidi"/>
          <w:szCs w:val="22"/>
          <w:lang w:val="lt-LT"/>
        </w:rPr>
      </w:pPr>
      <w:r w:rsidRPr="0059462A">
        <w:rPr>
          <w:b/>
          <w:lang w:val="lt-LT"/>
        </w:rPr>
        <w:t>2.</w:t>
      </w:r>
      <w:r w:rsidRPr="0059462A">
        <w:rPr>
          <w:b/>
          <w:lang w:val="lt-LT"/>
        </w:rPr>
        <w:tab/>
      </w:r>
      <w:r w:rsidRPr="0059462A">
        <w:rPr>
          <w:b/>
          <w:caps/>
          <w:lang w:val="lt-LT"/>
        </w:rPr>
        <w:t>kokybinė ir kiekybinė sudėtis</w:t>
      </w:r>
    </w:p>
    <w:p w14:paraId="601F8972" w14:textId="77777777" w:rsidR="00E3770F" w:rsidRPr="0059462A" w:rsidRDefault="00E3770F" w:rsidP="00E3770F">
      <w:pPr>
        <w:ind w:left="567" w:hanging="567"/>
        <w:rPr>
          <w:lang w:val="lt-LT"/>
        </w:rPr>
      </w:pPr>
    </w:p>
    <w:p w14:paraId="34E8CDF4" w14:textId="53FBF41E" w:rsidR="00E3770F" w:rsidRPr="0059462A" w:rsidRDefault="003F44B8" w:rsidP="00E3770F">
      <w:pPr>
        <w:pStyle w:val="Dokumentoinaostekstas"/>
        <w:tabs>
          <w:tab w:val="clear" w:pos="567"/>
        </w:tabs>
        <w:rPr>
          <w:lang w:val="lt-LT"/>
        </w:rPr>
      </w:pPr>
      <w:r>
        <w:rPr>
          <w:lang w:val="lt-LT"/>
        </w:rPr>
        <w:t>Kiekv</w:t>
      </w:r>
      <w:r w:rsidR="00E3770F" w:rsidRPr="0059462A">
        <w:rPr>
          <w:lang w:val="lt-LT"/>
        </w:rPr>
        <w:t>ienoje Zemplar 1 mikrogramo kapsulėje yra 1 mikrogramas parikalcitolio.</w:t>
      </w:r>
    </w:p>
    <w:p w14:paraId="6231E6ED" w14:textId="03D116F7" w:rsidR="00E3770F" w:rsidRPr="0059462A" w:rsidRDefault="003F44B8" w:rsidP="00E3770F">
      <w:pPr>
        <w:pStyle w:val="Dokumentoinaostekstas"/>
        <w:tabs>
          <w:tab w:val="clear" w:pos="567"/>
        </w:tabs>
        <w:rPr>
          <w:lang w:val="lt-LT"/>
        </w:rPr>
      </w:pPr>
      <w:r>
        <w:rPr>
          <w:lang w:val="lt-LT"/>
        </w:rPr>
        <w:t>Kiekv</w:t>
      </w:r>
      <w:r w:rsidR="00E3770F" w:rsidRPr="0059462A">
        <w:rPr>
          <w:lang w:val="lt-LT"/>
        </w:rPr>
        <w:t>ienoje Zemplar 2 mikrogramų kapsulėje yra 2 mikrogramai parikalcitolio</w:t>
      </w:r>
      <w:r w:rsidR="00E3770F" w:rsidRPr="0059462A">
        <w:rPr>
          <w:i/>
          <w:lang w:val="lt-LT"/>
        </w:rPr>
        <w:t>.</w:t>
      </w:r>
    </w:p>
    <w:p w14:paraId="2F74F168" w14:textId="77777777" w:rsidR="00E3770F" w:rsidRPr="0059462A" w:rsidRDefault="00E3770F" w:rsidP="00E3770F">
      <w:pPr>
        <w:pStyle w:val="Dokumentoinaostekstas"/>
        <w:tabs>
          <w:tab w:val="clear" w:pos="567"/>
        </w:tabs>
        <w:rPr>
          <w:lang w:val="lt-LT"/>
        </w:rPr>
      </w:pPr>
    </w:p>
    <w:p w14:paraId="345DFE6B" w14:textId="77777777" w:rsidR="00E3770F" w:rsidRPr="001F5E3D" w:rsidRDefault="00E3770F" w:rsidP="00E3770F">
      <w:pPr>
        <w:pStyle w:val="EMEAEnBodyText"/>
        <w:autoSpaceDE w:val="0"/>
        <w:autoSpaceDN w:val="0"/>
        <w:adjustRightInd w:val="0"/>
        <w:spacing w:before="0" w:after="0"/>
        <w:rPr>
          <w:u w:val="single"/>
          <w:lang w:val="lt-LT"/>
        </w:rPr>
      </w:pPr>
      <w:r w:rsidRPr="001F5E3D">
        <w:rPr>
          <w:u w:val="single"/>
          <w:lang w:val="lt-LT"/>
        </w:rPr>
        <w:t>Pagalbinės medžiagos, kurių poveikis žinomas:</w:t>
      </w:r>
    </w:p>
    <w:p w14:paraId="14F62E55" w14:textId="076AC312" w:rsidR="00E3770F" w:rsidRPr="0059462A" w:rsidRDefault="003F44B8" w:rsidP="00E3770F">
      <w:pPr>
        <w:pStyle w:val="EMEAEnBodyText"/>
        <w:autoSpaceDE w:val="0"/>
        <w:autoSpaceDN w:val="0"/>
        <w:adjustRightInd w:val="0"/>
        <w:spacing w:before="0" w:after="0"/>
        <w:rPr>
          <w:lang w:val="lt-LT"/>
        </w:rPr>
      </w:pPr>
      <w:r>
        <w:rPr>
          <w:lang w:val="lt-LT"/>
        </w:rPr>
        <w:t>Kiekv</w:t>
      </w:r>
      <w:r w:rsidR="00E3770F" w:rsidRPr="0059462A">
        <w:rPr>
          <w:lang w:val="lt-LT"/>
        </w:rPr>
        <w:t>ienoje Zemplar 1 mikrogramo kapsulėje yra 0,71 mg etanolio.</w:t>
      </w:r>
    </w:p>
    <w:p w14:paraId="435C3617" w14:textId="25CA4C01" w:rsidR="00E3770F" w:rsidRPr="0059462A" w:rsidRDefault="003F44B8" w:rsidP="00E3770F">
      <w:pPr>
        <w:pStyle w:val="EMEAEnBodyText"/>
        <w:autoSpaceDE w:val="0"/>
        <w:autoSpaceDN w:val="0"/>
        <w:adjustRightInd w:val="0"/>
        <w:spacing w:before="0" w:after="0"/>
        <w:rPr>
          <w:lang w:val="lt-LT"/>
        </w:rPr>
      </w:pPr>
      <w:r>
        <w:rPr>
          <w:lang w:val="lt-LT"/>
        </w:rPr>
        <w:t>Kiekv</w:t>
      </w:r>
      <w:r w:rsidR="00E3770F" w:rsidRPr="0059462A">
        <w:rPr>
          <w:lang w:val="lt-LT"/>
        </w:rPr>
        <w:t>ienoje Zemplar 2 mikrogramų kapsulėje yra 1,42 mg etanolio.</w:t>
      </w:r>
    </w:p>
    <w:p w14:paraId="4393E792" w14:textId="77777777" w:rsidR="00E3770F" w:rsidRPr="0059462A" w:rsidRDefault="00E3770F" w:rsidP="00E3770F">
      <w:pPr>
        <w:pStyle w:val="EMEAEnBodyText"/>
        <w:autoSpaceDE w:val="0"/>
        <w:autoSpaceDN w:val="0"/>
        <w:adjustRightInd w:val="0"/>
        <w:spacing w:before="0" w:after="0"/>
        <w:rPr>
          <w:lang w:val="lt-LT"/>
        </w:rPr>
      </w:pPr>
    </w:p>
    <w:p w14:paraId="1C27B65D" w14:textId="77777777" w:rsidR="00E3770F" w:rsidRPr="0059462A" w:rsidRDefault="00E3770F" w:rsidP="00E3770F">
      <w:pPr>
        <w:pStyle w:val="EMEAEnBodyText"/>
        <w:autoSpaceDE w:val="0"/>
        <w:autoSpaceDN w:val="0"/>
        <w:adjustRightInd w:val="0"/>
        <w:spacing w:before="0" w:after="0"/>
        <w:rPr>
          <w:lang w:val="lt-LT"/>
        </w:rPr>
      </w:pPr>
      <w:r w:rsidRPr="0059462A">
        <w:rPr>
          <w:lang w:val="lt-LT"/>
        </w:rPr>
        <w:t>Visos pagalbinės medžiagos išvardytos 6.1 skyriuje.</w:t>
      </w:r>
    </w:p>
    <w:p w14:paraId="3A8BDDF6" w14:textId="77777777" w:rsidR="00E3770F" w:rsidRPr="0059462A" w:rsidRDefault="00E3770F" w:rsidP="00E3770F">
      <w:pPr>
        <w:tabs>
          <w:tab w:val="clear" w:pos="567"/>
        </w:tabs>
        <w:spacing w:line="240" w:lineRule="auto"/>
        <w:rPr>
          <w:lang w:val="lt-LT"/>
        </w:rPr>
      </w:pPr>
    </w:p>
    <w:p w14:paraId="22CEE77B" w14:textId="77777777" w:rsidR="00E3770F" w:rsidRPr="0059462A" w:rsidRDefault="00E3770F" w:rsidP="00E3770F">
      <w:pPr>
        <w:tabs>
          <w:tab w:val="clear" w:pos="567"/>
        </w:tabs>
        <w:spacing w:line="240" w:lineRule="auto"/>
        <w:rPr>
          <w:lang w:val="lt-LT"/>
        </w:rPr>
      </w:pPr>
    </w:p>
    <w:p w14:paraId="76932D9A" w14:textId="77777777" w:rsidR="00E3770F" w:rsidRPr="0059462A" w:rsidRDefault="00E3770F" w:rsidP="00E3770F">
      <w:pPr>
        <w:tabs>
          <w:tab w:val="clear" w:pos="567"/>
        </w:tabs>
        <w:spacing w:line="240" w:lineRule="auto"/>
        <w:ind w:left="567" w:hanging="567"/>
        <w:rPr>
          <w:rFonts w:asciiTheme="minorHAnsi" w:eastAsiaTheme="minorHAnsi" w:hAnsiTheme="minorHAnsi" w:cstheme="minorBidi"/>
          <w:caps/>
          <w:szCs w:val="22"/>
          <w:lang w:val="lt-LT"/>
        </w:rPr>
      </w:pPr>
      <w:r w:rsidRPr="0059462A">
        <w:rPr>
          <w:b/>
          <w:lang w:val="lt-LT"/>
        </w:rPr>
        <w:t>3.</w:t>
      </w:r>
      <w:r w:rsidRPr="0059462A">
        <w:rPr>
          <w:b/>
          <w:lang w:val="lt-LT"/>
        </w:rPr>
        <w:tab/>
      </w:r>
      <w:r w:rsidRPr="0059462A">
        <w:rPr>
          <w:b/>
          <w:caps/>
          <w:lang w:val="lt-LT"/>
        </w:rPr>
        <w:t>FARMACINĖ forma</w:t>
      </w:r>
    </w:p>
    <w:p w14:paraId="07495792" w14:textId="77777777" w:rsidR="00E3770F" w:rsidRPr="0059462A" w:rsidRDefault="00E3770F" w:rsidP="00E3770F">
      <w:pPr>
        <w:rPr>
          <w:lang w:val="lt-LT"/>
        </w:rPr>
      </w:pPr>
    </w:p>
    <w:p w14:paraId="23B141CD" w14:textId="77777777" w:rsidR="00E3770F" w:rsidRPr="0059462A" w:rsidRDefault="00E3770F" w:rsidP="00E3770F">
      <w:pPr>
        <w:rPr>
          <w:rFonts w:asciiTheme="minorHAnsi" w:eastAsiaTheme="minorHAnsi" w:hAnsiTheme="minorHAnsi" w:cstheme="minorBidi"/>
          <w:szCs w:val="22"/>
          <w:lang w:val="lt-LT"/>
        </w:rPr>
      </w:pPr>
      <w:r w:rsidRPr="0059462A">
        <w:rPr>
          <w:lang w:val="lt-LT"/>
        </w:rPr>
        <w:t>Minkštoji kapsulė</w:t>
      </w:r>
    </w:p>
    <w:p w14:paraId="62360D11" w14:textId="77777777" w:rsidR="00E3770F" w:rsidRPr="0059462A" w:rsidRDefault="00E3770F" w:rsidP="00E3770F">
      <w:pPr>
        <w:rPr>
          <w:lang w:val="lt-LT"/>
        </w:rPr>
      </w:pPr>
    </w:p>
    <w:p w14:paraId="4EA03CD6" w14:textId="77777777" w:rsidR="00E3770F" w:rsidRPr="0059462A" w:rsidRDefault="00E3770F" w:rsidP="00E3770F">
      <w:pPr>
        <w:rPr>
          <w:rFonts w:asciiTheme="minorHAnsi" w:eastAsiaTheme="minorHAnsi" w:hAnsiTheme="minorHAnsi" w:cstheme="minorBidi"/>
          <w:szCs w:val="22"/>
          <w:lang w:val="lt-LT"/>
        </w:rPr>
      </w:pPr>
      <w:r w:rsidRPr="0059462A">
        <w:rPr>
          <w:lang w:val="lt-LT"/>
        </w:rPr>
        <w:t>1 mikrogramo kapsulė: ovali, pilka minkštoji kapsulė, su įspaudais ZA</w:t>
      </w:r>
    </w:p>
    <w:p w14:paraId="744ABAA7" w14:textId="77777777" w:rsidR="00E3770F" w:rsidRPr="0059462A" w:rsidRDefault="00E3770F" w:rsidP="00E3770F">
      <w:pPr>
        <w:rPr>
          <w:rFonts w:asciiTheme="minorHAnsi" w:eastAsiaTheme="minorHAnsi" w:hAnsiTheme="minorHAnsi" w:cstheme="minorBidi"/>
          <w:szCs w:val="22"/>
          <w:lang w:val="lt-LT"/>
        </w:rPr>
      </w:pPr>
      <w:r w:rsidRPr="0059462A">
        <w:rPr>
          <w:lang w:val="lt-LT"/>
        </w:rPr>
        <w:t>2 mikrogramų kapsulė: ovali, oranžinė-ruda minkštoji kapsulė, su įspaudais ZF</w:t>
      </w:r>
    </w:p>
    <w:p w14:paraId="71E77B7F" w14:textId="77777777" w:rsidR="00E3770F" w:rsidRPr="0059462A" w:rsidRDefault="00E3770F" w:rsidP="00E3770F">
      <w:pPr>
        <w:rPr>
          <w:lang w:val="lt-LT"/>
        </w:rPr>
      </w:pPr>
    </w:p>
    <w:p w14:paraId="5879A774" w14:textId="77777777" w:rsidR="00E3770F" w:rsidRPr="0059462A" w:rsidRDefault="00E3770F" w:rsidP="00E3770F">
      <w:pPr>
        <w:rPr>
          <w:lang w:val="lt-LT"/>
        </w:rPr>
      </w:pPr>
    </w:p>
    <w:p w14:paraId="4E19F1C5" w14:textId="77777777" w:rsidR="00E3770F" w:rsidRPr="0059462A" w:rsidRDefault="00E3770F" w:rsidP="00E3770F">
      <w:pPr>
        <w:tabs>
          <w:tab w:val="clear" w:pos="567"/>
        </w:tabs>
        <w:spacing w:line="240" w:lineRule="auto"/>
        <w:ind w:left="567" w:hanging="567"/>
        <w:rPr>
          <w:rFonts w:asciiTheme="minorHAnsi" w:eastAsiaTheme="minorHAnsi" w:hAnsiTheme="minorHAnsi" w:cstheme="minorBidi"/>
          <w:caps/>
          <w:szCs w:val="22"/>
          <w:lang w:val="lt-LT"/>
        </w:rPr>
      </w:pPr>
      <w:r w:rsidRPr="0059462A">
        <w:rPr>
          <w:b/>
          <w:caps/>
          <w:lang w:val="lt-LT"/>
        </w:rPr>
        <w:t>4.</w:t>
      </w:r>
      <w:r w:rsidRPr="0059462A">
        <w:rPr>
          <w:b/>
          <w:caps/>
          <w:lang w:val="lt-LT"/>
        </w:rPr>
        <w:tab/>
        <w:t>klinikinĖ informacija</w:t>
      </w:r>
    </w:p>
    <w:p w14:paraId="545CEA3B" w14:textId="77777777" w:rsidR="00E3770F" w:rsidRPr="0059462A" w:rsidRDefault="00E3770F" w:rsidP="00E3770F">
      <w:pPr>
        <w:tabs>
          <w:tab w:val="clear" w:pos="567"/>
        </w:tabs>
        <w:spacing w:line="240" w:lineRule="auto"/>
        <w:rPr>
          <w:lang w:val="lt-LT"/>
        </w:rPr>
      </w:pPr>
    </w:p>
    <w:p w14:paraId="0B92C735"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4.1</w:t>
      </w:r>
      <w:r w:rsidRPr="0059462A">
        <w:rPr>
          <w:b/>
          <w:lang w:val="lt-LT"/>
        </w:rPr>
        <w:tab/>
        <w:t>Terapinės indikacijos</w:t>
      </w:r>
    </w:p>
    <w:p w14:paraId="18F0F3B4" w14:textId="77777777" w:rsidR="00E3770F" w:rsidRPr="0059462A" w:rsidRDefault="00E3770F" w:rsidP="00E3770F">
      <w:pPr>
        <w:rPr>
          <w:lang w:val="lt-LT"/>
        </w:rPr>
      </w:pPr>
    </w:p>
    <w:p w14:paraId="6EC203C0" w14:textId="77777777" w:rsidR="00E3770F" w:rsidRDefault="00E3770F" w:rsidP="00E3770F">
      <w:pPr>
        <w:pStyle w:val="DefaultText"/>
        <w:overflowPunct/>
        <w:autoSpaceDE/>
        <w:autoSpaceDN/>
        <w:adjustRightInd/>
        <w:spacing w:after="0"/>
        <w:textAlignment w:val="auto"/>
        <w:rPr>
          <w:rFonts w:ascii="Times New Roman" w:hAnsi="Times New Roman"/>
          <w:lang w:val="lt-LT"/>
        </w:rPr>
      </w:pPr>
      <w:r w:rsidRPr="0059462A">
        <w:rPr>
          <w:rFonts w:ascii="Times New Roman" w:hAnsi="Times New Roman"/>
          <w:lang w:val="lt-LT"/>
        </w:rPr>
        <w:t xml:space="preserve">Zemplar skiriamas suaugusių pacientų bei </w:t>
      </w:r>
      <w:r>
        <w:rPr>
          <w:rFonts w:ascii="Times New Roman" w:hAnsi="Times New Roman"/>
          <w:lang w:val="lt-LT"/>
        </w:rPr>
        <w:t xml:space="preserve">vaikų nuo </w:t>
      </w:r>
      <w:r w:rsidRPr="0059462A">
        <w:rPr>
          <w:rFonts w:ascii="Times New Roman" w:hAnsi="Times New Roman"/>
          <w:lang w:val="lt-LT"/>
        </w:rPr>
        <w:t>10 </w:t>
      </w:r>
      <w:r>
        <w:rPr>
          <w:rFonts w:ascii="Times New Roman" w:hAnsi="Times New Roman"/>
          <w:lang w:val="lt-LT"/>
        </w:rPr>
        <w:t xml:space="preserve">metų iki 16 metų amžiaus </w:t>
      </w:r>
      <w:r w:rsidRPr="0059462A">
        <w:rPr>
          <w:rFonts w:ascii="Times New Roman" w:hAnsi="Times New Roman"/>
          <w:lang w:val="lt-LT"/>
        </w:rPr>
        <w:t>antrinio hiperparatiroidizmo profilaktikai ir gydymui, kai jis susijęs su 3-os ir 4-os stadijos lėtine inkstų liga</w:t>
      </w:r>
      <w:r>
        <w:rPr>
          <w:rFonts w:ascii="Times New Roman" w:hAnsi="Times New Roman"/>
          <w:lang w:val="lt-LT"/>
        </w:rPr>
        <w:t>.</w:t>
      </w:r>
    </w:p>
    <w:p w14:paraId="2416C1E8" w14:textId="77777777" w:rsidR="00E3770F" w:rsidRPr="0059462A" w:rsidRDefault="00E3770F" w:rsidP="00E3770F">
      <w:pPr>
        <w:pStyle w:val="DefaultText"/>
        <w:overflowPunct/>
        <w:autoSpaceDE/>
        <w:autoSpaceDN/>
        <w:adjustRightInd/>
        <w:spacing w:after="0"/>
        <w:textAlignment w:val="auto"/>
        <w:rPr>
          <w:rFonts w:ascii="Times New Roman" w:hAnsi="Times New Roman"/>
          <w:lang w:val="lt-LT"/>
        </w:rPr>
      </w:pPr>
    </w:p>
    <w:p w14:paraId="18199D27" w14:textId="77777777" w:rsidR="00E3770F" w:rsidRPr="0059462A" w:rsidRDefault="00E3770F" w:rsidP="00E3770F">
      <w:pPr>
        <w:pStyle w:val="DefaultText"/>
        <w:overflowPunct/>
        <w:autoSpaceDE/>
        <w:autoSpaceDN/>
        <w:adjustRightInd/>
        <w:spacing w:after="0"/>
        <w:textAlignment w:val="auto"/>
        <w:rPr>
          <w:lang w:val="lt-LT"/>
        </w:rPr>
      </w:pPr>
      <w:r>
        <w:rPr>
          <w:rFonts w:ascii="Times New Roman" w:hAnsi="Times New Roman"/>
          <w:lang w:val="lt-LT"/>
        </w:rPr>
        <w:t xml:space="preserve">Zemplar skiriamas suaugusių pacientų antrinio hiperparatiroidizmo susijusio su </w:t>
      </w:r>
      <w:r w:rsidRPr="0059462A">
        <w:rPr>
          <w:rFonts w:ascii="Times New Roman" w:hAnsi="Times New Roman"/>
          <w:lang w:val="lt-LT"/>
        </w:rPr>
        <w:t>5-os stadijos lėtine inkstų liga</w:t>
      </w:r>
      <w:r>
        <w:rPr>
          <w:rFonts w:ascii="Times New Roman" w:hAnsi="Times New Roman"/>
          <w:lang w:val="lt-LT"/>
        </w:rPr>
        <w:t xml:space="preserve">, profilaktikai ir gydymui, </w:t>
      </w:r>
      <w:r w:rsidRPr="0059462A">
        <w:rPr>
          <w:rFonts w:ascii="Times New Roman" w:hAnsi="Times New Roman"/>
          <w:lang w:val="lt-LT"/>
        </w:rPr>
        <w:t>kai pacientams atliekama hemodializė ar peritoninė dializė</w:t>
      </w:r>
      <w:r>
        <w:rPr>
          <w:rFonts w:ascii="Times New Roman" w:hAnsi="Times New Roman"/>
          <w:lang w:val="lt-LT"/>
        </w:rPr>
        <w:t>.</w:t>
      </w:r>
      <w:r w:rsidRPr="0059462A" w:rsidDel="009C7FB3">
        <w:rPr>
          <w:rFonts w:ascii="Times New Roman" w:hAnsi="Times New Roman"/>
          <w:lang w:val="lt-LT"/>
        </w:rPr>
        <w:t xml:space="preserve"> </w:t>
      </w:r>
    </w:p>
    <w:p w14:paraId="29AE99AA" w14:textId="77777777" w:rsidR="00E3770F" w:rsidRPr="0059462A" w:rsidRDefault="00E3770F" w:rsidP="00E3770F">
      <w:pPr>
        <w:tabs>
          <w:tab w:val="clear" w:pos="567"/>
        </w:tabs>
        <w:spacing w:line="240" w:lineRule="auto"/>
        <w:outlineLvl w:val="0"/>
        <w:rPr>
          <w:b/>
          <w:lang w:val="lt-LT"/>
        </w:rPr>
      </w:pPr>
    </w:p>
    <w:p w14:paraId="2A49E6F3" w14:textId="77777777" w:rsidR="00E3770F" w:rsidRPr="0059462A" w:rsidRDefault="00E3770F" w:rsidP="00E3770F">
      <w:pPr>
        <w:numPr>
          <w:ilvl w:val="1"/>
          <w:numId w:val="5"/>
        </w:numPr>
        <w:spacing w:line="240" w:lineRule="auto"/>
        <w:outlineLvl w:val="0"/>
        <w:rPr>
          <w:rFonts w:asciiTheme="minorHAnsi" w:eastAsiaTheme="minorHAnsi" w:hAnsiTheme="minorHAnsi" w:cstheme="minorBidi"/>
          <w:b/>
          <w:szCs w:val="22"/>
          <w:lang w:val="lt-LT"/>
        </w:rPr>
      </w:pPr>
      <w:r w:rsidRPr="0059462A">
        <w:rPr>
          <w:b/>
          <w:lang w:val="lt-LT"/>
        </w:rPr>
        <w:t>Dozavimas ir vartojimo metodas</w:t>
      </w:r>
    </w:p>
    <w:p w14:paraId="702DCA19" w14:textId="77777777" w:rsidR="00E3770F" w:rsidRPr="0059462A" w:rsidRDefault="00E3770F" w:rsidP="00E3770F">
      <w:pPr>
        <w:rPr>
          <w:b/>
          <w:lang w:val="lt-LT"/>
        </w:rPr>
      </w:pPr>
    </w:p>
    <w:p w14:paraId="27AF0869" w14:textId="77777777" w:rsidR="00E3770F" w:rsidRPr="0059462A" w:rsidRDefault="00E3770F" w:rsidP="00E3770F">
      <w:pPr>
        <w:pStyle w:val="DefaultText"/>
        <w:overflowPunct/>
        <w:autoSpaceDE/>
        <w:autoSpaceDN/>
        <w:adjustRightInd/>
        <w:spacing w:after="0"/>
        <w:textAlignment w:val="auto"/>
        <w:rPr>
          <w:lang w:val="lt-LT"/>
        </w:rPr>
      </w:pPr>
      <w:r w:rsidRPr="0059462A">
        <w:rPr>
          <w:rFonts w:ascii="Times New Roman" w:hAnsi="Times New Roman"/>
          <w:u w:val="single"/>
          <w:lang w:val="lt-LT"/>
        </w:rPr>
        <w:t>Dozavimas</w:t>
      </w:r>
    </w:p>
    <w:p w14:paraId="00E26A35" w14:textId="77777777" w:rsidR="00E3770F" w:rsidRPr="0059462A" w:rsidRDefault="00E3770F" w:rsidP="00E3770F">
      <w:pPr>
        <w:pStyle w:val="DefaultText"/>
        <w:overflowPunct/>
        <w:autoSpaceDE/>
        <w:autoSpaceDN/>
        <w:adjustRightInd/>
        <w:spacing w:after="0"/>
        <w:textAlignment w:val="auto"/>
        <w:rPr>
          <w:lang w:val="lt-LT"/>
        </w:rPr>
      </w:pPr>
    </w:p>
    <w:p w14:paraId="0911205D" w14:textId="77777777" w:rsidR="00E3770F" w:rsidRPr="00090260" w:rsidRDefault="00E3770F" w:rsidP="00E3770F">
      <w:pPr>
        <w:pStyle w:val="Antrat5"/>
        <w:rPr>
          <w:b w:val="0"/>
          <w:lang w:val="lt-LT"/>
        </w:rPr>
      </w:pPr>
      <w:r w:rsidRPr="001F5E3D">
        <w:rPr>
          <w:rFonts w:ascii="Times New Roman" w:hAnsi="Times New Roman"/>
          <w:b w:val="0"/>
          <w:lang w:val="lt-LT"/>
        </w:rPr>
        <w:t>Lėtinė inkstų liga (LIL), 3-a ir 4-a stadijos</w:t>
      </w:r>
    </w:p>
    <w:p w14:paraId="71135099" w14:textId="77777777" w:rsidR="00E3770F" w:rsidRPr="0059462A" w:rsidRDefault="00E3770F" w:rsidP="00E3770F">
      <w:pPr>
        <w:rPr>
          <w:lang w:val="lt-LT"/>
        </w:rPr>
      </w:pPr>
    </w:p>
    <w:p w14:paraId="0D07E77F" w14:textId="77777777" w:rsidR="00E3770F" w:rsidRPr="0059462A" w:rsidRDefault="00E3770F" w:rsidP="00E3770F">
      <w:pPr>
        <w:rPr>
          <w:rFonts w:asciiTheme="minorHAnsi" w:eastAsiaTheme="minorHAnsi" w:hAnsiTheme="minorHAnsi" w:cstheme="minorBidi"/>
          <w:szCs w:val="22"/>
          <w:lang w:val="lt-LT"/>
        </w:rPr>
      </w:pPr>
      <w:r w:rsidRPr="0059462A">
        <w:rPr>
          <w:lang w:val="lt-LT"/>
        </w:rPr>
        <w:t>Zemplar kapsules reikia gerti vieną kartą per parą kasdien ar tris kartus per savaitę, vartojant po vieną kapsulę kas antrą parą.</w:t>
      </w:r>
    </w:p>
    <w:p w14:paraId="0348B035" w14:textId="77777777" w:rsidR="00E3770F" w:rsidRPr="0059462A" w:rsidRDefault="00E3770F" w:rsidP="00E3770F">
      <w:pPr>
        <w:pStyle w:val="DefaultText"/>
        <w:overflowPunct/>
        <w:autoSpaceDE/>
        <w:autoSpaceDN/>
        <w:adjustRightInd/>
        <w:spacing w:after="0"/>
        <w:textAlignment w:val="auto"/>
        <w:rPr>
          <w:lang w:val="lt-LT"/>
        </w:rPr>
      </w:pPr>
    </w:p>
    <w:p w14:paraId="169C9628" w14:textId="77777777" w:rsidR="00E3770F" w:rsidRPr="001F5E3D" w:rsidRDefault="00E3770F" w:rsidP="00E3770F">
      <w:pPr>
        <w:pStyle w:val="DefaultText"/>
        <w:overflowPunct/>
        <w:autoSpaceDE/>
        <w:autoSpaceDN/>
        <w:adjustRightInd/>
        <w:spacing w:after="0"/>
        <w:textAlignment w:val="auto"/>
        <w:rPr>
          <w:i/>
          <w:lang w:val="lt-LT"/>
        </w:rPr>
      </w:pPr>
      <w:r w:rsidRPr="001F5E3D">
        <w:rPr>
          <w:rFonts w:ascii="Times New Roman" w:hAnsi="Times New Roman"/>
          <w:i/>
          <w:lang w:val="lt-LT"/>
        </w:rPr>
        <w:t>Pradinė dozė</w:t>
      </w:r>
    </w:p>
    <w:p w14:paraId="10393927" w14:textId="77777777" w:rsidR="00E3770F" w:rsidRPr="0059462A" w:rsidRDefault="00E3770F" w:rsidP="00E3770F">
      <w:pPr>
        <w:pStyle w:val="Pagrindinistekstas"/>
        <w:rPr>
          <w:i w:val="0"/>
          <w:color w:val="auto"/>
          <w:lang w:val="lt-LT"/>
        </w:rPr>
      </w:pPr>
    </w:p>
    <w:p w14:paraId="7E52559F" w14:textId="77777777" w:rsidR="00E3770F" w:rsidRPr="0059462A" w:rsidRDefault="00E3770F" w:rsidP="00E3770F">
      <w:pPr>
        <w:pStyle w:val="Pagrindinistekstas"/>
        <w:rPr>
          <w:lang w:val="lt-LT"/>
        </w:rPr>
      </w:pPr>
      <w:r w:rsidRPr="0059462A">
        <w:rPr>
          <w:i w:val="0"/>
          <w:color w:val="auto"/>
          <w:lang w:val="lt-LT"/>
        </w:rPr>
        <w:t>Pradinė Zemplar kapsulių dozė priklauso nuo pradinės intaktinio paratiroidinio hormono (iPTH) koncentracijos.</w:t>
      </w:r>
    </w:p>
    <w:p w14:paraId="37ABA767" w14:textId="77777777" w:rsidR="00E3770F" w:rsidRPr="0059462A" w:rsidRDefault="00E3770F" w:rsidP="00E3770F">
      <w:pPr>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2952"/>
        <w:gridCol w:w="2952"/>
      </w:tblGrid>
      <w:tr w:rsidR="00E3770F" w:rsidRPr="0059462A" w14:paraId="5515DB81" w14:textId="77777777" w:rsidTr="00090260">
        <w:trPr>
          <w:cantSplit/>
        </w:trPr>
        <w:tc>
          <w:tcPr>
            <w:tcW w:w="8748" w:type="dxa"/>
            <w:gridSpan w:val="3"/>
            <w:tcBorders>
              <w:top w:val="nil"/>
              <w:left w:val="nil"/>
              <w:right w:val="nil"/>
            </w:tcBorders>
            <w:tcMar>
              <w:left w:w="0" w:type="dxa"/>
              <w:right w:w="0" w:type="dxa"/>
            </w:tcMar>
          </w:tcPr>
          <w:p w14:paraId="4F41F0F6" w14:textId="77777777" w:rsidR="00E3770F" w:rsidRPr="0059462A" w:rsidRDefault="00E3770F" w:rsidP="00090260">
            <w:pPr>
              <w:pStyle w:val="Antrat4"/>
              <w:jc w:val="center"/>
              <w:rPr>
                <w:b w:val="0"/>
                <w:lang w:val="lt-LT"/>
              </w:rPr>
            </w:pPr>
            <w:r w:rsidRPr="0059462A">
              <w:rPr>
                <w:sz w:val="22"/>
                <w:lang w:val="lt-LT"/>
              </w:rPr>
              <w:t>1 lentelė. Pradinė dozė</w:t>
            </w:r>
          </w:p>
          <w:p w14:paraId="2FC5DF57" w14:textId="77777777" w:rsidR="00E3770F" w:rsidRPr="0059462A" w:rsidRDefault="00E3770F" w:rsidP="00090260">
            <w:pPr>
              <w:jc w:val="center"/>
              <w:rPr>
                <w:lang w:val="lt-LT"/>
              </w:rPr>
            </w:pPr>
          </w:p>
        </w:tc>
      </w:tr>
      <w:tr w:rsidR="00E3770F" w:rsidRPr="0059462A" w14:paraId="56727BE5" w14:textId="77777777" w:rsidTr="00090260">
        <w:tc>
          <w:tcPr>
            <w:tcW w:w="2844" w:type="dxa"/>
            <w:vAlign w:val="center"/>
          </w:tcPr>
          <w:p w14:paraId="4292C7F8" w14:textId="77777777" w:rsidR="00E3770F" w:rsidRPr="0059462A" w:rsidRDefault="00E3770F" w:rsidP="00090260">
            <w:pPr>
              <w:jc w:val="center"/>
              <w:rPr>
                <w:b/>
                <w:lang w:val="lt-LT"/>
              </w:rPr>
            </w:pPr>
            <w:r w:rsidRPr="0059462A">
              <w:rPr>
                <w:b/>
                <w:lang w:val="lt-LT"/>
              </w:rPr>
              <w:t>Pradinė iPTH koncentracija</w:t>
            </w:r>
          </w:p>
        </w:tc>
        <w:tc>
          <w:tcPr>
            <w:tcW w:w="2952" w:type="dxa"/>
            <w:vAlign w:val="center"/>
          </w:tcPr>
          <w:p w14:paraId="140E4259" w14:textId="77777777" w:rsidR="00E3770F" w:rsidRPr="0059462A" w:rsidRDefault="00E3770F" w:rsidP="00090260">
            <w:pPr>
              <w:jc w:val="center"/>
              <w:rPr>
                <w:rFonts w:asciiTheme="minorHAnsi" w:eastAsiaTheme="minorHAnsi" w:hAnsiTheme="minorHAnsi" w:cstheme="minorBidi"/>
                <w:b/>
                <w:szCs w:val="22"/>
                <w:lang w:val="lt-LT"/>
              </w:rPr>
            </w:pPr>
            <w:r w:rsidRPr="0059462A">
              <w:rPr>
                <w:b/>
                <w:lang w:val="lt-LT"/>
              </w:rPr>
              <w:t>Dozė, vartojant kasdien</w:t>
            </w:r>
          </w:p>
        </w:tc>
        <w:tc>
          <w:tcPr>
            <w:tcW w:w="2952" w:type="dxa"/>
            <w:vAlign w:val="center"/>
          </w:tcPr>
          <w:p w14:paraId="02140E3A" w14:textId="77777777" w:rsidR="00E3770F" w:rsidRPr="0059462A" w:rsidRDefault="00E3770F" w:rsidP="00090260">
            <w:pPr>
              <w:jc w:val="center"/>
              <w:rPr>
                <w:rFonts w:asciiTheme="minorHAnsi" w:eastAsiaTheme="minorHAnsi" w:hAnsiTheme="minorHAnsi" w:cstheme="minorBidi"/>
                <w:b/>
                <w:szCs w:val="22"/>
                <w:lang w:val="lt-LT"/>
              </w:rPr>
            </w:pPr>
            <w:r w:rsidRPr="0059462A">
              <w:rPr>
                <w:b/>
                <w:lang w:val="lt-LT"/>
              </w:rPr>
              <w:t>Dozė, vartojant tris kartus per savaitę</w:t>
            </w:r>
            <w:r w:rsidRPr="0059462A">
              <w:rPr>
                <w:b/>
                <w:vertAlign w:val="superscript"/>
                <w:lang w:val="lt-LT"/>
              </w:rPr>
              <w:t>*</w:t>
            </w:r>
          </w:p>
        </w:tc>
      </w:tr>
      <w:tr w:rsidR="00E3770F" w:rsidRPr="0059462A" w14:paraId="3058DB93" w14:textId="77777777" w:rsidTr="00090260">
        <w:trPr>
          <w:trHeight w:val="70"/>
        </w:trPr>
        <w:tc>
          <w:tcPr>
            <w:tcW w:w="2844" w:type="dxa"/>
          </w:tcPr>
          <w:p w14:paraId="0107DC36" w14:textId="77777777" w:rsidR="00E3770F" w:rsidRPr="0059462A" w:rsidRDefault="00E3770F" w:rsidP="00090260">
            <w:pPr>
              <w:jc w:val="center"/>
              <w:rPr>
                <w:lang w:val="lt-LT"/>
              </w:rPr>
            </w:pPr>
            <w:r w:rsidRPr="0059462A">
              <w:rPr>
                <w:lang w:val="lt-LT"/>
              </w:rPr>
              <w:t>≤ 500 pg/ml (56 pmol/l)</w:t>
            </w:r>
          </w:p>
        </w:tc>
        <w:tc>
          <w:tcPr>
            <w:tcW w:w="2952" w:type="dxa"/>
          </w:tcPr>
          <w:p w14:paraId="2597A9D5"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1 mikrogramas</w:t>
            </w:r>
          </w:p>
        </w:tc>
        <w:tc>
          <w:tcPr>
            <w:tcW w:w="2952" w:type="dxa"/>
          </w:tcPr>
          <w:p w14:paraId="465B1C48"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2 mikrogramai</w:t>
            </w:r>
          </w:p>
        </w:tc>
      </w:tr>
      <w:tr w:rsidR="00E3770F" w:rsidRPr="0059462A" w14:paraId="7A518949" w14:textId="77777777" w:rsidTr="00090260">
        <w:tc>
          <w:tcPr>
            <w:tcW w:w="2844" w:type="dxa"/>
          </w:tcPr>
          <w:p w14:paraId="5BEC574A" w14:textId="77777777" w:rsidR="00E3770F" w:rsidRPr="0059462A" w:rsidRDefault="00E3770F" w:rsidP="00090260">
            <w:pPr>
              <w:jc w:val="center"/>
              <w:rPr>
                <w:lang w:val="lt-LT"/>
              </w:rPr>
            </w:pPr>
            <w:r w:rsidRPr="0059462A">
              <w:rPr>
                <w:lang w:val="lt-LT"/>
              </w:rPr>
              <w:lastRenderedPageBreak/>
              <w:t>&gt; 500 pg/ml (56 pmol/l)</w:t>
            </w:r>
          </w:p>
        </w:tc>
        <w:tc>
          <w:tcPr>
            <w:tcW w:w="2952" w:type="dxa"/>
          </w:tcPr>
          <w:p w14:paraId="14DD9744"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2 mikrogramai</w:t>
            </w:r>
          </w:p>
        </w:tc>
        <w:tc>
          <w:tcPr>
            <w:tcW w:w="2952" w:type="dxa"/>
          </w:tcPr>
          <w:p w14:paraId="1400B5F7"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4 mikrogramai</w:t>
            </w:r>
          </w:p>
        </w:tc>
      </w:tr>
      <w:tr w:rsidR="00E3770F" w:rsidRPr="0059462A" w14:paraId="74CC5EB5" w14:textId="77777777" w:rsidTr="00090260">
        <w:trPr>
          <w:cantSplit/>
          <w:trHeight w:val="323"/>
        </w:trPr>
        <w:tc>
          <w:tcPr>
            <w:tcW w:w="8748" w:type="dxa"/>
            <w:gridSpan w:val="3"/>
            <w:tcBorders>
              <w:left w:val="nil"/>
              <w:bottom w:val="nil"/>
              <w:right w:val="nil"/>
            </w:tcBorders>
            <w:vAlign w:val="bottom"/>
          </w:tcPr>
          <w:p w14:paraId="250CBD71" w14:textId="77777777" w:rsidR="00E3770F" w:rsidRPr="0059462A" w:rsidRDefault="00E3770F" w:rsidP="00090260">
            <w:pPr>
              <w:pStyle w:val="Pagrindinistekstas"/>
              <w:rPr>
                <w:lang w:val="lt-LT"/>
              </w:rPr>
            </w:pPr>
            <w:r w:rsidRPr="0059462A">
              <w:rPr>
                <w:i w:val="0"/>
                <w:color w:val="auto"/>
                <w:vertAlign w:val="superscript"/>
                <w:lang w:val="lt-LT"/>
              </w:rPr>
              <w:t>*</w:t>
            </w:r>
            <w:r w:rsidRPr="0059462A">
              <w:rPr>
                <w:i w:val="0"/>
                <w:color w:val="auto"/>
                <w:lang w:val="lt-LT"/>
              </w:rPr>
              <w:t xml:space="preserve"> Vartoti ne dažniau kaip kas antrą parą </w:t>
            </w:r>
          </w:p>
        </w:tc>
      </w:tr>
    </w:tbl>
    <w:p w14:paraId="5F5A2A9B" w14:textId="77777777" w:rsidR="00E3770F" w:rsidRPr="0059462A" w:rsidRDefault="00E3770F" w:rsidP="00E3770F">
      <w:pPr>
        <w:rPr>
          <w:lang w:val="lt-LT"/>
        </w:rPr>
      </w:pPr>
    </w:p>
    <w:p w14:paraId="21216908" w14:textId="77777777" w:rsidR="00E3770F" w:rsidRPr="001F5E3D" w:rsidRDefault="00E3770F" w:rsidP="00E3770F">
      <w:pPr>
        <w:rPr>
          <w:rFonts w:asciiTheme="minorHAnsi" w:hAnsiTheme="minorHAnsi"/>
          <w:i/>
          <w:lang w:val="lt-LT"/>
        </w:rPr>
      </w:pPr>
      <w:r w:rsidRPr="001F5E3D">
        <w:rPr>
          <w:i/>
          <w:lang w:val="lt-LT"/>
        </w:rPr>
        <w:t>Dozės koregavimas</w:t>
      </w:r>
    </w:p>
    <w:p w14:paraId="19C720E4" w14:textId="77777777" w:rsidR="00E3770F" w:rsidRPr="0059462A" w:rsidRDefault="00E3770F" w:rsidP="00E3770F">
      <w:pPr>
        <w:rPr>
          <w:lang w:val="lt-LT"/>
        </w:rPr>
      </w:pPr>
    </w:p>
    <w:p w14:paraId="07457B29" w14:textId="77777777" w:rsidR="00E3770F" w:rsidRPr="0059462A" w:rsidRDefault="00E3770F" w:rsidP="00E3770F">
      <w:pPr>
        <w:rPr>
          <w:rFonts w:asciiTheme="minorHAnsi" w:eastAsiaTheme="minorHAnsi" w:hAnsiTheme="minorHAnsi" w:cstheme="minorBidi"/>
          <w:szCs w:val="22"/>
          <w:lang w:val="lt-LT"/>
        </w:rPr>
      </w:pPr>
      <w:r w:rsidRPr="0059462A">
        <w:rPr>
          <w:lang w:val="lt-LT"/>
        </w:rPr>
        <w:t>Dozė turi būti individualiai parenkama, atsižvelgiant į iPTH koncentraciją serume ar plazmoje, stebint kalcio ir fosforo koncentraciją serume. 2 lentelėje parodyta, kaip reikėtų koreguoti dozę.</w:t>
      </w:r>
    </w:p>
    <w:p w14:paraId="0F928D71" w14:textId="77777777" w:rsidR="00E3770F" w:rsidRPr="0059462A" w:rsidRDefault="00E3770F" w:rsidP="00E3770F">
      <w:pPr>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890"/>
        <w:gridCol w:w="2790"/>
      </w:tblGrid>
      <w:tr w:rsidR="00E3770F" w:rsidRPr="0059462A" w14:paraId="303E78E2" w14:textId="77777777" w:rsidTr="00090260">
        <w:trPr>
          <w:trHeight w:val="301"/>
        </w:trPr>
        <w:tc>
          <w:tcPr>
            <w:tcW w:w="7920" w:type="dxa"/>
            <w:gridSpan w:val="3"/>
            <w:tcBorders>
              <w:top w:val="nil"/>
              <w:left w:val="nil"/>
              <w:right w:val="nil"/>
            </w:tcBorders>
            <w:tcMar>
              <w:left w:w="0" w:type="dxa"/>
              <w:right w:w="0" w:type="dxa"/>
            </w:tcMar>
          </w:tcPr>
          <w:p w14:paraId="0448EEB6" w14:textId="5CD27A42" w:rsidR="00E3770F" w:rsidRPr="0059462A" w:rsidRDefault="00E3770F" w:rsidP="00090260">
            <w:pPr>
              <w:pStyle w:val="Antrat4"/>
              <w:rPr>
                <w:b w:val="0"/>
                <w:lang w:val="lt-LT"/>
              </w:rPr>
            </w:pPr>
            <w:r w:rsidRPr="0059462A">
              <w:rPr>
                <w:sz w:val="22"/>
                <w:lang w:val="lt-LT"/>
              </w:rPr>
              <w:t>2 lentelė. Dozės koregavimas</w:t>
            </w:r>
          </w:p>
          <w:p w14:paraId="7CFA7A9B" w14:textId="77777777" w:rsidR="00E3770F" w:rsidRPr="0059462A" w:rsidRDefault="00E3770F" w:rsidP="00090260">
            <w:pPr>
              <w:rPr>
                <w:lang w:val="lt-LT"/>
              </w:rPr>
            </w:pPr>
          </w:p>
        </w:tc>
      </w:tr>
      <w:tr w:rsidR="00E3770F" w:rsidRPr="0059462A" w14:paraId="2751A6ED" w14:textId="77777777" w:rsidTr="00090260">
        <w:trPr>
          <w:cantSplit/>
        </w:trPr>
        <w:tc>
          <w:tcPr>
            <w:tcW w:w="3240" w:type="dxa"/>
            <w:vMerge w:val="restart"/>
            <w:vAlign w:val="center"/>
          </w:tcPr>
          <w:p w14:paraId="67B03138" w14:textId="77777777" w:rsidR="00E3770F" w:rsidRPr="0059462A" w:rsidRDefault="00E3770F" w:rsidP="00090260">
            <w:pPr>
              <w:jc w:val="center"/>
              <w:rPr>
                <w:lang w:val="lt-LT"/>
              </w:rPr>
            </w:pPr>
            <w:bookmarkStart w:id="1" w:name="_Table_2._"/>
            <w:bookmarkEnd w:id="1"/>
            <w:r w:rsidRPr="0059462A">
              <w:rPr>
                <w:b/>
                <w:lang w:val="lt-LT"/>
              </w:rPr>
              <w:t>iPTH koncentracija, lyginant su pradine</w:t>
            </w:r>
          </w:p>
        </w:tc>
        <w:tc>
          <w:tcPr>
            <w:tcW w:w="4680" w:type="dxa"/>
            <w:gridSpan w:val="2"/>
            <w:vAlign w:val="bottom"/>
          </w:tcPr>
          <w:p w14:paraId="6D5D173E" w14:textId="77777777" w:rsidR="00E3770F" w:rsidRPr="0059462A" w:rsidRDefault="00E3770F" w:rsidP="00090260">
            <w:pPr>
              <w:pStyle w:val="LabelingTableText"/>
              <w:spacing w:before="0" w:after="0"/>
              <w:rPr>
                <w:b w:val="0"/>
                <w:lang w:val="lt-LT"/>
              </w:rPr>
            </w:pPr>
            <w:r w:rsidRPr="0059462A">
              <w:rPr>
                <w:rFonts w:ascii="Times New Roman" w:hAnsi="Times New Roman"/>
                <w:sz w:val="22"/>
                <w:lang w:val="lt-LT"/>
              </w:rPr>
              <w:t>Dozės koregavimas kas 2 - 4 savaites</w:t>
            </w:r>
          </w:p>
        </w:tc>
      </w:tr>
      <w:tr w:rsidR="00E3770F" w:rsidRPr="0059462A" w14:paraId="05444EAA" w14:textId="77777777" w:rsidTr="00090260">
        <w:trPr>
          <w:cantSplit/>
        </w:trPr>
        <w:tc>
          <w:tcPr>
            <w:tcW w:w="3240" w:type="dxa"/>
            <w:vMerge/>
          </w:tcPr>
          <w:p w14:paraId="027DA040" w14:textId="77777777" w:rsidR="00E3770F" w:rsidRPr="0059462A" w:rsidRDefault="00E3770F" w:rsidP="00090260">
            <w:pPr>
              <w:rPr>
                <w:b/>
                <w:lang w:val="lt-LT"/>
              </w:rPr>
            </w:pPr>
          </w:p>
        </w:tc>
        <w:tc>
          <w:tcPr>
            <w:tcW w:w="1890" w:type="dxa"/>
            <w:vAlign w:val="center"/>
          </w:tcPr>
          <w:p w14:paraId="28797C09" w14:textId="77777777" w:rsidR="00E3770F" w:rsidRPr="0059462A" w:rsidRDefault="00E3770F" w:rsidP="00090260">
            <w:pPr>
              <w:jc w:val="center"/>
              <w:rPr>
                <w:rFonts w:asciiTheme="minorHAnsi" w:eastAsiaTheme="minorHAnsi" w:hAnsiTheme="minorHAnsi" w:cstheme="minorBidi"/>
                <w:b/>
                <w:szCs w:val="22"/>
                <w:lang w:val="lt-LT"/>
              </w:rPr>
            </w:pPr>
            <w:r w:rsidRPr="0059462A">
              <w:rPr>
                <w:b/>
                <w:lang w:val="lt-LT"/>
              </w:rPr>
              <w:t>Dozė, vartojant kasdien</w:t>
            </w:r>
          </w:p>
        </w:tc>
        <w:tc>
          <w:tcPr>
            <w:tcW w:w="2790" w:type="dxa"/>
            <w:vAlign w:val="center"/>
          </w:tcPr>
          <w:p w14:paraId="5798355E" w14:textId="77777777" w:rsidR="00E3770F" w:rsidRPr="0059462A" w:rsidRDefault="00E3770F" w:rsidP="00090260">
            <w:pPr>
              <w:jc w:val="center"/>
              <w:rPr>
                <w:rFonts w:asciiTheme="minorHAnsi" w:eastAsiaTheme="minorHAnsi" w:hAnsiTheme="minorHAnsi" w:cstheme="minorBidi"/>
                <w:b/>
                <w:szCs w:val="22"/>
                <w:lang w:val="lt-LT"/>
              </w:rPr>
            </w:pPr>
            <w:r w:rsidRPr="0059462A">
              <w:rPr>
                <w:b/>
                <w:lang w:val="lt-LT"/>
              </w:rPr>
              <w:t>Dozė, vartojant tris kartus per savaitę</w:t>
            </w:r>
            <w:r w:rsidRPr="0059462A">
              <w:rPr>
                <w:b/>
                <w:vertAlign w:val="superscript"/>
                <w:lang w:val="lt-LT"/>
              </w:rPr>
              <w:t>1</w:t>
            </w:r>
          </w:p>
        </w:tc>
      </w:tr>
      <w:tr w:rsidR="00E3770F" w:rsidRPr="0059462A" w14:paraId="0AD39E45" w14:textId="77777777" w:rsidTr="00090260">
        <w:trPr>
          <w:cantSplit/>
          <w:trHeight w:val="345"/>
        </w:trPr>
        <w:tc>
          <w:tcPr>
            <w:tcW w:w="3240" w:type="dxa"/>
          </w:tcPr>
          <w:p w14:paraId="288A785F" w14:textId="77777777" w:rsidR="00E3770F" w:rsidRPr="0059462A" w:rsidRDefault="00E3770F" w:rsidP="00090260">
            <w:pPr>
              <w:pStyle w:val="Dokumentoinaostekstas"/>
              <w:tabs>
                <w:tab w:val="clear" w:pos="567"/>
                <w:tab w:val="left" w:pos="252"/>
              </w:tabs>
              <w:rPr>
                <w:lang w:val="lt-LT"/>
              </w:rPr>
            </w:pPr>
            <w:r w:rsidRPr="0059462A">
              <w:rPr>
                <w:lang w:val="lt-LT"/>
              </w:rPr>
              <w:tab/>
              <w:t>Ta pati ar padidėjusi</w:t>
            </w:r>
          </w:p>
        </w:tc>
        <w:tc>
          <w:tcPr>
            <w:tcW w:w="1890" w:type="dxa"/>
            <w:vMerge w:val="restart"/>
            <w:vAlign w:val="center"/>
          </w:tcPr>
          <w:p w14:paraId="63389938"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 xml:space="preserve">Didinti </w:t>
            </w:r>
          </w:p>
          <w:p w14:paraId="0D5AE8D7"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1 mikrogramu</w:t>
            </w:r>
          </w:p>
        </w:tc>
        <w:tc>
          <w:tcPr>
            <w:tcW w:w="2790" w:type="dxa"/>
            <w:vMerge w:val="restart"/>
            <w:vAlign w:val="center"/>
          </w:tcPr>
          <w:p w14:paraId="73A33E5E"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 xml:space="preserve">Didinti </w:t>
            </w:r>
          </w:p>
          <w:p w14:paraId="589C9A2D"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2 mikrogramais</w:t>
            </w:r>
          </w:p>
        </w:tc>
      </w:tr>
      <w:tr w:rsidR="00E3770F" w:rsidRPr="0059462A" w14:paraId="6205C6B8" w14:textId="77777777" w:rsidTr="00090260">
        <w:trPr>
          <w:cantSplit/>
          <w:trHeight w:val="345"/>
        </w:trPr>
        <w:tc>
          <w:tcPr>
            <w:tcW w:w="3240" w:type="dxa"/>
          </w:tcPr>
          <w:p w14:paraId="736B8272" w14:textId="77777777" w:rsidR="00E3770F" w:rsidRPr="0059462A" w:rsidRDefault="00E3770F" w:rsidP="00090260">
            <w:pPr>
              <w:tabs>
                <w:tab w:val="left" w:pos="252"/>
              </w:tabs>
              <w:rPr>
                <w:lang w:val="lt-LT"/>
              </w:rPr>
            </w:pPr>
            <w:r w:rsidRPr="0059462A">
              <w:rPr>
                <w:lang w:val="lt-LT"/>
              </w:rPr>
              <w:tab/>
              <w:t>Sumažėjusi &lt; 30 %</w:t>
            </w:r>
          </w:p>
        </w:tc>
        <w:tc>
          <w:tcPr>
            <w:tcW w:w="1890" w:type="dxa"/>
            <w:vMerge/>
            <w:vAlign w:val="center"/>
          </w:tcPr>
          <w:p w14:paraId="7E785741" w14:textId="77777777" w:rsidR="00E3770F" w:rsidRPr="0059462A" w:rsidRDefault="00E3770F" w:rsidP="00090260">
            <w:pPr>
              <w:pStyle w:val="LabelingTableText"/>
              <w:spacing w:before="0" w:after="0"/>
              <w:jc w:val="center"/>
              <w:rPr>
                <w:lang w:val="lt-LT"/>
              </w:rPr>
            </w:pPr>
          </w:p>
        </w:tc>
        <w:tc>
          <w:tcPr>
            <w:tcW w:w="2790" w:type="dxa"/>
            <w:vMerge/>
            <w:vAlign w:val="center"/>
          </w:tcPr>
          <w:p w14:paraId="69B864F4" w14:textId="77777777" w:rsidR="00E3770F" w:rsidRPr="0059462A" w:rsidRDefault="00E3770F" w:rsidP="00090260">
            <w:pPr>
              <w:pStyle w:val="LabelingTableText"/>
              <w:spacing w:before="0" w:after="0"/>
              <w:jc w:val="center"/>
              <w:rPr>
                <w:lang w:val="lt-LT"/>
              </w:rPr>
            </w:pPr>
          </w:p>
        </w:tc>
      </w:tr>
      <w:tr w:rsidR="00E3770F" w:rsidRPr="0059462A" w14:paraId="64A4D8DA" w14:textId="77777777" w:rsidTr="00090260">
        <w:trPr>
          <w:trHeight w:val="345"/>
        </w:trPr>
        <w:tc>
          <w:tcPr>
            <w:tcW w:w="3240" w:type="dxa"/>
          </w:tcPr>
          <w:p w14:paraId="12A57822" w14:textId="77777777" w:rsidR="00E3770F" w:rsidRPr="0059462A" w:rsidRDefault="00E3770F" w:rsidP="00090260">
            <w:pPr>
              <w:tabs>
                <w:tab w:val="left" w:pos="252"/>
              </w:tabs>
              <w:rPr>
                <w:lang w:val="lt-LT"/>
              </w:rPr>
            </w:pPr>
            <w:r w:rsidRPr="0059462A">
              <w:rPr>
                <w:lang w:val="lt-LT"/>
              </w:rPr>
              <w:tab/>
              <w:t xml:space="preserve">Sumažėjusi ≥30 %, </w:t>
            </w:r>
            <w:r w:rsidRPr="00FB39A9">
              <w:rPr>
                <w:rFonts w:hint="eastAsia"/>
                <w:lang w:val="lt-LT"/>
              </w:rPr>
              <w:t>≤</w:t>
            </w:r>
            <w:r w:rsidRPr="0059462A">
              <w:rPr>
                <w:lang w:val="lt-LT"/>
              </w:rPr>
              <w:t>60 %</w:t>
            </w:r>
          </w:p>
        </w:tc>
        <w:tc>
          <w:tcPr>
            <w:tcW w:w="1890" w:type="dxa"/>
            <w:shd w:val="clear" w:color="auto" w:fill="B3B3B3"/>
            <w:vAlign w:val="center"/>
          </w:tcPr>
          <w:p w14:paraId="70FE6A6B" w14:textId="77777777" w:rsidR="00E3770F" w:rsidRPr="0059462A" w:rsidRDefault="00E3770F" w:rsidP="00090260">
            <w:pPr>
              <w:pStyle w:val="LabelingTableText"/>
              <w:spacing w:before="0" w:after="0"/>
              <w:jc w:val="center"/>
              <w:rPr>
                <w:lang w:val="lt-LT"/>
              </w:rPr>
            </w:pPr>
            <w:r w:rsidRPr="0059462A">
              <w:rPr>
                <w:rFonts w:ascii="Times New Roman" w:hAnsi="Times New Roman"/>
                <w:b w:val="0"/>
                <w:sz w:val="22"/>
                <w:lang w:val="lt-LT"/>
              </w:rPr>
              <w:t>Nekeisti</w:t>
            </w:r>
          </w:p>
        </w:tc>
        <w:tc>
          <w:tcPr>
            <w:tcW w:w="2790" w:type="dxa"/>
            <w:shd w:val="clear" w:color="auto" w:fill="B3B3B3"/>
            <w:vAlign w:val="center"/>
          </w:tcPr>
          <w:p w14:paraId="6B45824E" w14:textId="77777777" w:rsidR="00E3770F" w:rsidRPr="0059462A" w:rsidRDefault="00E3770F" w:rsidP="00090260">
            <w:pPr>
              <w:pStyle w:val="LabelingTableText"/>
              <w:spacing w:before="0" w:after="0"/>
              <w:jc w:val="center"/>
              <w:rPr>
                <w:lang w:val="lt-LT"/>
              </w:rPr>
            </w:pPr>
            <w:r w:rsidRPr="0059462A">
              <w:rPr>
                <w:rFonts w:ascii="Times New Roman" w:hAnsi="Times New Roman"/>
                <w:b w:val="0"/>
                <w:sz w:val="22"/>
                <w:lang w:val="lt-LT"/>
              </w:rPr>
              <w:t>Nekeisti</w:t>
            </w:r>
          </w:p>
        </w:tc>
      </w:tr>
      <w:tr w:rsidR="00E3770F" w:rsidRPr="0059462A" w14:paraId="21752E2E" w14:textId="77777777" w:rsidTr="00090260">
        <w:trPr>
          <w:cantSplit/>
          <w:trHeight w:val="345"/>
        </w:trPr>
        <w:tc>
          <w:tcPr>
            <w:tcW w:w="3240" w:type="dxa"/>
          </w:tcPr>
          <w:p w14:paraId="23202067" w14:textId="77777777" w:rsidR="00E3770F" w:rsidRPr="0059462A" w:rsidRDefault="00E3770F" w:rsidP="00090260">
            <w:pPr>
              <w:tabs>
                <w:tab w:val="left" w:pos="252"/>
              </w:tabs>
              <w:rPr>
                <w:lang w:val="lt-LT"/>
              </w:rPr>
            </w:pPr>
            <w:r w:rsidRPr="0059462A">
              <w:rPr>
                <w:lang w:val="lt-LT"/>
              </w:rPr>
              <w:tab/>
              <w:t xml:space="preserve">Sumažėjusi &gt; 60 % </w:t>
            </w:r>
          </w:p>
        </w:tc>
        <w:tc>
          <w:tcPr>
            <w:tcW w:w="1890" w:type="dxa"/>
            <w:vMerge w:val="restart"/>
            <w:vAlign w:val="center"/>
          </w:tcPr>
          <w:p w14:paraId="2287D6E7" w14:textId="77777777" w:rsidR="00E3770F" w:rsidRPr="0059462A" w:rsidRDefault="00E3770F" w:rsidP="00090260">
            <w:pPr>
              <w:jc w:val="center"/>
              <w:rPr>
                <w:rFonts w:asciiTheme="minorHAnsi" w:eastAsiaTheme="minorHAnsi" w:hAnsiTheme="minorHAnsi" w:cstheme="minorBidi"/>
                <w:szCs w:val="22"/>
                <w:vertAlign w:val="superscript"/>
                <w:lang w:val="lt-LT"/>
              </w:rPr>
            </w:pPr>
            <w:r w:rsidRPr="0059462A">
              <w:rPr>
                <w:lang w:val="lt-LT"/>
              </w:rPr>
              <w:t>Mažinti</w:t>
            </w:r>
            <w:r w:rsidRPr="0059462A">
              <w:rPr>
                <w:vertAlign w:val="superscript"/>
                <w:lang w:val="lt-LT"/>
              </w:rPr>
              <w:t>2</w:t>
            </w:r>
          </w:p>
          <w:p w14:paraId="504C1A55"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1 mikrogramu</w:t>
            </w:r>
          </w:p>
        </w:tc>
        <w:tc>
          <w:tcPr>
            <w:tcW w:w="2790" w:type="dxa"/>
            <w:vMerge w:val="restart"/>
            <w:vAlign w:val="center"/>
          </w:tcPr>
          <w:p w14:paraId="129B147C" w14:textId="77777777" w:rsidR="00E3770F" w:rsidRPr="0059462A" w:rsidRDefault="00E3770F" w:rsidP="00090260">
            <w:pPr>
              <w:jc w:val="center"/>
              <w:rPr>
                <w:rFonts w:asciiTheme="minorHAnsi" w:eastAsiaTheme="minorHAnsi" w:hAnsiTheme="minorHAnsi" w:cstheme="minorBidi"/>
                <w:szCs w:val="22"/>
                <w:vertAlign w:val="superscript"/>
                <w:lang w:val="lt-LT"/>
              </w:rPr>
            </w:pPr>
            <w:r w:rsidRPr="0059462A">
              <w:rPr>
                <w:lang w:val="lt-LT"/>
              </w:rPr>
              <w:t>Mažinti</w:t>
            </w:r>
            <w:r w:rsidRPr="0059462A">
              <w:rPr>
                <w:vertAlign w:val="superscript"/>
                <w:lang w:val="lt-LT"/>
              </w:rPr>
              <w:t>2</w:t>
            </w:r>
          </w:p>
          <w:p w14:paraId="626D9836" w14:textId="77777777" w:rsidR="00E3770F" w:rsidRPr="0059462A" w:rsidRDefault="00E3770F" w:rsidP="00090260">
            <w:pPr>
              <w:jc w:val="center"/>
              <w:rPr>
                <w:rFonts w:asciiTheme="minorHAnsi" w:eastAsiaTheme="minorHAnsi" w:hAnsiTheme="minorHAnsi" w:cstheme="minorBidi"/>
                <w:szCs w:val="22"/>
                <w:lang w:val="lt-LT"/>
              </w:rPr>
            </w:pPr>
            <w:r w:rsidRPr="0059462A">
              <w:rPr>
                <w:lang w:val="lt-LT"/>
              </w:rPr>
              <w:t>2 mikrogramais</w:t>
            </w:r>
          </w:p>
        </w:tc>
      </w:tr>
      <w:tr w:rsidR="00E3770F" w:rsidRPr="0059462A" w14:paraId="175E3A8B" w14:textId="77777777" w:rsidTr="00090260">
        <w:trPr>
          <w:cantSplit/>
          <w:trHeight w:val="345"/>
        </w:trPr>
        <w:tc>
          <w:tcPr>
            <w:tcW w:w="3240" w:type="dxa"/>
            <w:tcBorders>
              <w:bottom w:val="single" w:sz="4" w:space="0" w:color="auto"/>
            </w:tcBorders>
          </w:tcPr>
          <w:p w14:paraId="27795708" w14:textId="77777777" w:rsidR="00E3770F" w:rsidRPr="0059462A" w:rsidRDefault="00E3770F" w:rsidP="00090260">
            <w:pPr>
              <w:pStyle w:val="Dokumentoinaostekstas"/>
              <w:tabs>
                <w:tab w:val="clear" w:pos="567"/>
                <w:tab w:val="left" w:pos="252"/>
                <w:tab w:val="left" w:pos="792"/>
                <w:tab w:val="left" w:pos="1152"/>
              </w:tabs>
              <w:rPr>
                <w:lang w:val="lt-LT"/>
              </w:rPr>
            </w:pPr>
            <w:r w:rsidRPr="0059462A">
              <w:rPr>
                <w:lang w:val="lt-LT"/>
              </w:rPr>
              <w:tab/>
              <w:t>iPTH &lt; 60 pg/ml (7 pmol/l)</w:t>
            </w:r>
          </w:p>
        </w:tc>
        <w:tc>
          <w:tcPr>
            <w:tcW w:w="1890" w:type="dxa"/>
            <w:vMerge/>
            <w:tcBorders>
              <w:bottom w:val="single" w:sz="4" w:space="0" w:color="auto"/>
            </w:tcBorders>
            <w:vAlign w:val="bottom"/>
          </w:tcPr>
          <w:p w14:paraId="750C89D9" w14:textId="77777777" w:rsidR="00E3770F" w:rsidRPr="0059462A" w:rsidRDefault="00E3770F" w:rsidP="00090260">
            <w:pPr>
              <w:pStyle w:val="LabelingTableText"/>
              <w:spacing w:before="0" w:after="0"/>
              <w:rPr>
                <w:b w:val="0"/>
                <w:lang w:val="lt-LT"/>
              </w:rPr>
            </w:pPr>
          </w:p>
        </w:tc>
        <w:tc>
          <w:tcPr>
            <w:tcW w:w="2790" w:type="dxa"/>
            <w:vMerge/>
            <w:tcBorders>
              <w:bottom w:val="single" w:sz="4" w:space="0" w:color="auto"/>
            </w:tcBorders>
            <w:vAlign w:val="bottom"/>
          </w:tcPr>
          <w:p w14:paraId="7D112FA8" w14:textId="77777777" w:rsidR="00E3770F" w:rsidRPr="0059462A" w:rsidRDefault="00E3770F" w:rsidP="00090260">
            <w:pPr>
              <w:pStyle w:val="LabelingTableText"/>
              <w:spacing w:before="0" w:after="0"/>
              <w:rPr>
                <w:b w:val="0"/>
                <w:lang w:val="lt-LT"/>
              </w:rPr>
            </w:pPr>
          </w:p>
        </w:tc>
      </w:tr>
      <w:tr w:rsidR="00E3770F" w:rsidRPr="00641255" w14:paraId="2245F741" w14:textId="77777777" w:rsidTr="00090260">
        <w:trPr>
          <w:cantSplit/>
          <w:trHeight w:val="345"/>
        </w:trPr>
        <w:tc>
          <w:tcPr>
            <w:tcW w:w="7920" w:type="dxa"/>
            <w:gridSpan w:val="3"/>
            <w:tcBorders>
              <w:left w:val="nil"/>
              <w:bottom w:val="nil"/>
              <w:right w:val="nil"/>
            </w:tcBorders>
          </w:tcPr>
          <w:p w14:paraId="14F89960" w14:textId="77777777" w:rsidR="00E3770F" w:rsidRPr="0059462A" w:rsidRDefault="00E3770F" w:rsidP="00090260">
            <w:pPr>
              <w:pStyle w:val="LabelingTableText"/>
              <w:tabs>
                <w:tab w:val="clear" w:pos="360"/>
                <w:tab w:val="left" w:pos="0"/>
                <w:tab w:val="left" w:pos="252"/>
              </w:tabs>
              <w:spacing w:before="0" w:after="0"/>
              <w:ind w:left="252" w:hanging="180"/>
              <w:rPr>
                <w:lang w:val="lt-LT"/>
              </w:rPr>
            </w:pPr>
            <w:r w:rsidRPr="0059462A">
              <w:rPr>
                <w:rFonts w:ascii="Times New Roman" w:hAnsi="Times New Roman"/>
                <w:b w:val="0"/>
                <w:sz w:val="22"/>
                <w:vertAlign w:val="superscript"/>
                <w:lang w:val="lt-LT"/>
              </w:rPr>
              <w:t>1</w:t>
            </w:r>
            <w:r w:rsidRPr="0059462A">
              <w:rPr>
                <w:rFonts w:ascii="Times New Roman" w:hAnsi="Times New Roman"/>
                <w:sz w:val="22"/>
                <w:lang w:val="lt-LT"/>
              </w:rPr>
              <w:tab/>
            </w:r>
            <w:r w:rsidRPr="0059462A">
              <w:rPr>
                <w:rFonts w:ascii="Times New Roman" w:hAnsi="Times New Roman"/>
                <w:b w:val="0"/>
                <w:sz w:val="22"/>
                <w:lang w:val="lt-LT"/>
              </w:rPr>
              <w:t>Skirti ne dažniau kaip kas antrą parą.</w:t>
            </w:r>
          </w:p>
          <w:p w14:paraId="2020B82A" w14:textId="77777777" w:rsidR="00E3770F" w:rsidRPr="0059462A" w:rsidRDefault="00E3770F" w:rsidP="00090260">
            <w:pPr>
              <w:pStyle w:val="LabelingTableText"/>
              <w:tabs>
                <w:tab w:val="clear" w:pos="360"/>
                <w:tab w:val="left" w:pos="0"/>
                <w:tab w:val="left" w:pos="252"/>
              </w:tabs>
              <w:spacing w:before="0" w:after="0"/>
              <w:ind w:left="252" w:hanging="180"/>
              <w:rPr>
                <w:lang w:val="lt-LT"/>
              </w:rPr>
            </w:pPr>
            <w:r w:rsidRPr="0059462A">
              <w:rPr>
                <w:rFonts w:ascii="Times New Roman" w:hAnsi="Times New Roman"/>
                <w:b w:val="0"/>
                <w:sz w:val="22"/>
                <w:vertAlign w:val="superscript"/>
                <w:lang w:val="lt-LT"/>
              </w:rPr>
              <w:t>2</w:t>
            </w:r>
            <w:r w:rsidRPr="0059462A">
              <w:rPr>
                <w:rFonts w:ascii="Times New Roman" w:hAnsi="Times New Roman"/>
                <w:sz w:val="22"/>
                <w:lang w:val="lt-LT"/>
              </w:rPr>
              <w:tab/>
            </w:r>
            <w:r w:rsidRPr="0059462A">
              <w:rPr>
                <w:rFonts w:ascii="Times New Roman" w:hAnsi="Times New Roman"/>
                <w:b w:val="0"/>
                <w:sz w:val="22"/>
                <w:lang w:val="lt-LT"/>
              </w:rPr>
              <w:t>Jei pacientas vartoja mažiausią dozę kasdien arba trijų kartų per savaitę režimu ir jam reikia sumažinti dozę, dozavimo dažnis gali būti sumažintas.</w:t>
            </w:r>
          </w:p>
        </w:tc>
      </w:tr>
    </w:tbl>
    <w:p w14:paraId="712B43D7" w14:textId="77777777" w:rsidR="00E3770F" w:rsidRPr="0059462A" w:rsidRDefault="00E3770F" w:rsidP="00E3770F">
      <w:pPr>
        <w:rPr>
          <w:lang w:val="lt-LT"/>
        </w:rPr>
      </w:pPr>
    </w:p>
    <w:p w14:paraId="23D67708" w14:textId="77777777" w:rsidR="00E3770F" w:rsidRPr="0059462A" w:rsidRDefault="00E3770F" w:rsidP="00E3770F">
      <w:pPr>
        <w:rPr>
          <w:rFonts w:asciiTheme="minorHAnsi" w:eastAsiaTheme="minorHAnsi" w:hAnsiTheme="minorHAnsi" w:cstheme="minorBidi"/>
          <w:szCs w:val="22"/>
          <w:lang w:val="lt-LT"/>
        </w:rPr>
      </w:pPr>
      <w:r w:rsidRPr="0059462A">
        <w:rPr>
          <w:lang w:val="lt-LT"/>
        </w:rPr>
        <w:t>Pradėjus vartoti Zemplar kapsules ir dozės koregavimo metu reikia atidžiai stebėti kalcio koncentraciją serume. Jeigu nustatoma hiperkalcemija ar nuolat padidėjusi kalcio fosfato junginių koncentracija virš 55 mg</w:t>
      </w:r>
      <w:r w:rsidRPr="0059462A">
        <w:rPr>
          <w:vertAlign w:val="superscript"/>
          <w:lang w:val="lt-LT"/>
        </w:rPr>
        <w:t>2</w:t>
      </w:r>
      <w:r w:rsidRPr="0059462A">
        <w:rPr>
          <w:lang w:val="lt-LT"/>
        </w:rPr>
        <w:t>/dl</w:t>
      </w:r>
      <w:r w:rsidRPr="0059462A">
        <w:rPr>
          <w:vertAlign w:val="superscript"/>
          <w:lang w:val="lt-LT"/>
        </w:rPr>
        <w:t xml:space="preserve">2 </w:t>
      </w:r>
      <w:r w:rsidRPr="0059462A">
        <w:rPr>
          <w:lang w:val="lt-LT"/>
        </w:rPr>
        <w:t>(4,4 mmol</w:t>
      </w:r>
      <w:r w:rsidRPr="0059462A">
        <w:rPr>
          <w:vertAlign w:val="superscript"/>
          <w:lang w:val="lt-LT"/>
        </w:rPr>
        <w:t>2</w:t>
      </w:r>
      <w:r w:rsidRPr="0059462A">
        <w:rPr>
          <w:lang w:val="lt-LT"/>
        </w:rPr>
        <w:t xml:space="preserve"> /l</w:t>
      </w:r>
      <w:r w:rsidRPr="0059462A">
        <w:rPr>
          <w:vertAlign w:val="superscript"/>
          <w:lang w:val="lt-LT"/>
        </w:rPr>
        <w:t>2</w:t>
      </w:r>
      <w:r w:rsidRPr="0059462A">
        <w:rPr>
          <w:lang w:val="lt-LT"/>
        </w:rPr>
        <w:t>), galima mažinti kalcio turinčių fosfatų surišėjų dozę arba visai nutraukti jų vartojimą. Kitu atveju galima mažinti Zemplar dozę ar laikinai nutraukti jo vartojimą. Nutraukus vaisto vartojimą, po to, kai kalcio ir kalcio fosfato produktų koncentracija pasidaro normali, gydymą vėl pradėti mažesne doze.</w:t>
      </w:r>
    </w:p>
    <w:p w14:paraId="75A14558" w14:textId="77777777" w:rsidR="00E3770F" w:rsidRPr="0059462A" w:rsidRDefault="00E3770F" w:rsidP="00E3770F">
      <w:pPr>
        <w:rPr>
          <w:lang w:val="lt-LT"/>
        </w:rPr>
      </w:pPr>
    </w:p>
    <w:p w14:paraId="46EE4032" w14:textId="77777777" w:rsidR="00E3770F" w:rsidRPr="00090260" w:rsidRDefault="00E3770F" w:rsidP="00E3770F">
      <w:pPr>
        <w:pStyle w:val="Antrat5"/>
        <w:tabs>
          <w:tab w:val="left" w:pos="567"/>
        </w:tabs>
        <w:spacing w:line="260" w:lineRule="exact"/>
        <w:rPr>
          <w:b w:val="0"/>
          <w:lang w:val="lt-LT"/>
        </w:rPr>
      </w:pPr>
      <w:r w:rsidRPr="001F5E3D">
        <w:rPr>
          <w:rFonts w:ascii="Times New Roman" w:hAnsi="Times New Roman"/>
          <w:b w:val="0"/>
          <w:lang w:val="lt-LT"/>
        </w:rPr>
        <w:t>Lėtinė inkstų liga (LIL), 5-a stadija</w:t>
      </w:r>
    </w:p>
    <w:p w14:paraId="3D21A87D" w14:textId="77777777" w:rsidR="00E3770F" w:rsidRPr="0059462A" w:rsidRDefault="00E3770F" w:rsidP="00E3770F">
      <w:pPr>
        <w:rPr>
          <w:lang w:val="lt-LT"/>
        </w:rPr>
      </w:pPr>
    </w:p>
    <w:p w14:paraId="4F499395"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Zemplar kapsules reikia vartoti tris kartus per savaitę, kas antrą parą. </w:t>
      </w:r>
    </w:p>
    <w:p w14:paraId="54AFA29B" w14:textId="77777777" w:rsidR="00E3770F" w:rsidRPr="0059462A" w:rsidRDefault="00E3770F" w:rsidP="00E3770F">
      <w:pPr>
        <w:rPr>
          <w:lang w:val="lt-LT"/>
        </w:rPr>
      </w:pPr>
    </w:p>
    <w:p w14:paraId="70FDE83A" w14:textId="77777777" w:rsidR="00E3770F" w:rsidRPr="001F5E3D" w:rsidRDefault="00E3770F" w:rsidP="00E3770F">
      <w:pPr>
        <w:pStyle w:val="EMEAHeading1"/>
        <w:suppressAutoHyphens w:val="0"/>
        <w:spacing w:beforeLines="0" w:afterLines="0" w:line="260" w:lineRule="exact"/>
        <w:rPr>
          <w:b w:val="0"/>
          <w:i/>
          <w:lang w:val="lt-LT"/>
        </w:rPr>
      </w:pPr>
      <w:r w:rsidRPr="001F5E3D">
        <w:rPr>
          <w:rFonts w:ascii="Times New Roman" w:hAnsi="Times New Roman"/>
          <w:b w:val="0"/>
          <w:i/>
          <w:caps w:val="0"/>
          <w:lang w:val="lt-LT"/>
        </w:rPr>
        <w:t>Pradinė dozė</w:t>
      </w:r>
    </w:p>
    <w:p w14:paraId="57C2E3B1" w14:textId="77777777" w:rsidR="00E3770F" w:rsidRPr="0059462A" w:rsidRDefault="00E3770F" w:rsidP="00E3770F">
      <w:pPr>
        <w:rPr>
          <w:lang w:val="lt-LT"/>
        </w:rPr>
      </w:pPr>
    </w:p>
    <w:p w14:paraId="6AA5E96C"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Pradinė Zemplar kapsulių dozė mikrogramais apskaičiuojama pradinę iPTH koncentraciją (pg/ml) padalinus iš 60 [(pmol/l) padalinus iš 7], didžiausia pradinė dozė gali būti 32 mikrogramai. </w:t>
      </w:r>
    </w:p>
    <w:p w14:paraId="79F8B231" w14:textId="77777777" w:rsidR="00E3770F" w:rsidRPr="0059462A" w:rsidRDefault="00E3770F" w:rsidP="00E3770F">
      <w:pPr>
        <w:rPr>
          <w:lang w:val="lt-LT"/>
        </w:rPr>
      </w:pPr>
    </w:p>
    <w:p w14:paraId="54D8F976" w14:textId="77777777" w:rsidR="00E3770F" w:rsidRPr="001F5E3D" w:rsidRDefault="00E3770F" w:rsidP="00E3770F">
      <w:pPr>
        <w:pStyle w:val="EMEAHeading1"/>
        <w:suppressAutoHyphens w:val="0"/>
        <w:spacing w:beforeLines="0" w:afterLines="0" w:line="260" w:lineRule="exact"/>
        <w:rPr>
          <w:b w:val="0"/>
          <w:i/>
          <w:lang w:val="lt-LT"/>
        </w:rPr>
      </w:pPr>
      <w:r w:rsidRPr="001F5E3D">
        <w:rPr>
          <w:rFonts w:ascii="Times New Roman" w:hAnsi="Times New Roman"/>
          <w:b w:val="0"/>
          <w:i/>
          <w:caps w:val="0"/>
          <w:lang w:val="lt-LT"/>
        </w:rPr>
        <w:t>Dozės koregavimas</w:t>
      </w:r>
    </w:p>
    <w:p w14:paraId="22E700DB" w14:textId="77777777" w:rsidR="00E3770F" w:rsidRPr="0059462A" w:rsidRDefault="00E3770F" w:rsidP="00E3770F">
      <w:pPr>
        <w:autoSpaceDE w:val="0"/>
        <w:autoSpaceDN w:val="0"/>
        <w:adjustRightInd w:val="0"/>
        <w:rPr>
          <w:color w:val="000000"/>
          <w:lang w:val="lt-LT"/>
        </w:rPr>
      </w:pPr>
    </w:p>
    <w:p w14:paraId="131894FF" w14:textId="77777777" w:rsidR="00E3770F" w:rsidRPr="0059462A" w:rsidRDefault="00E3770F" w:rsidP="00E3770F">
      <w:pPr>
        <w:autoSpaceDE w:val="0"/>
        <w:autoSpaceDN w:val="0"/>
        <w:adjustRightInd w:val="0"/>
        <w:rPr>
          <w:rFonts w:asciiTheme="minorHAnsi" w:eastAsiaTheme="minorHAnsi" w:hAnsiTheme="minorHAnsi" w:cstheme="minorBidi"/>
          <w:color w:val="000000"/>
          <w:szCs w:val="22"/>
          <w:lang w:val="lt-LT"/>
        </w:rPr>
      </w:pPr>
      <w:r w:rsidRPr="0059462A">
        <w:rPr>
          <w:color w:val="000000"/>
          <w:lang w:val="lt-LT"/>
        </w:rPr>
        <w:t>Vėliau dozę reikia koreguoti atsižvelgiant į iPTH, kalcio ir fosforo koncentraciją serume. Rekomenduojama parikalcitolio kapsulių dozę koreguoti pagal žemiau pateiktą formulę:</w:t>
      </w:r>
    </w:p>
    <w:p w14:paraId="3118C065" w14:textId="77777777" w:rsidR="00E3770F" w:rsidRPr="0059462A" w:rsidRDefault="00E3770F" w:rsidP="00E3770F">
      <w:pPr>
        <w:autoSpaceDE w:val="0"/>
        <w:autoSpaceDN w:val="0"/>
        <w:adjustRightInd w:val="0"/>
        <w:rPr>
          <w:color w:val="000000"/>
          <w:lang w:val="lt-LT"/>
        </w:rPr>
      </w:pPr>
    </w:p>
    <w:p w14:paraId="1D99C0A7" w14:textId="77777777" w:rsidR="00E3770F" w:rsidRPr="0059462A" w:rsidRDefault="00E3770F" w:rsidP="00E3770F">
      <w:pPr>
        <w:autoSpaceDE w:val="0"/>
        <w:autoSpaceDN w:val="0"/>
        <w:adjustRightInd w:val="0"/>
        <w:spacing w:line="240" w:lineRule="auto"/>
        <w:rPr>
          <w:rFonts w:asciiTheme="minorHAnsi" w:eastAsiaTheme="minorHAnsi" w:hAnsiTheme="minorHAnsi" w:cstheme="minorBidi"/>
          <w:color w:val="000000"/>
          <w:szCs w:val="22"/>
          <w:u w:val="single"/>
          <w:lang w:val="lt-LT"/>
        </w:rPr>
      </w:pPr>
      <w:r w:rsidRPr="0059462A">
        <w:rPr>
          <w:color w:val="000000"/>
          <w:lang w:val="lt-LT"/>
        </w:rPr>
        <w:t xml:space="preserve">Dozė (mikrogramais) = </w:t>
      </w:r>
      <w:r w:rsidRPr="0059462A">
        <w:rPr>
          <w:color w:val="000000"/>
          <w:u w:val="single"/>
          <w:lang w:val="lt-LT"/>
        </w:rPr>
        <w:t>paskutinė nustatyta iPTH koncentracija (pg/ml)</w:t>
      </w:r>
    </w:p>
    <w:p w14:paraId="2E8097F7" w14:textId="77777777" w:rsidR="00E3770F" w:rsidRPr="0059462A" w:rsidRDefault="00E3770F" w:rsidP="00E3770F">
      <w:pPr>
        <w:tabs>
          <w:tab w:val="clear" w:pos="567"/>
        </w:tabs>
        <w:autoSpaceDE w:val="0"/>
        <w:autoSpaceDN w:val="0"/>
        <w:adjustRightInd w:val="0"/>
        <w:spacing w:line="240" w:lineRule="auto"/>
        <w:ind w:firstLine="3828"/>
        <w:rPr>
          <w:rFonts w:asciiTheme="minorHAnsi" w:eastAsiaTheme="minorHAnsi" w:hAnsiTheme="minorHAnsi" w:cstheme="minorBidi"/>
          <w:color w:val="000000"/>
          <w:szCs w:val="22"/>
          <w:lang w:val="lt-LT"/>
        </w:rPr>
      </w:pPr>
      <w:r w:rsidRPr="0059462A">
        <w:rPr>
          <w:color w:val="000000"/>
          <w:lang w:val="lt-LT"/>
        </w:rPr>
        <w:t>60</w:t>
      </w:r>
    </w:p>
    <w:p w14:paraId="1652BBA5" w14:textId="77777777" w:rsidR="00E3770F" w:rsidRPr="0059462A" w:rsidRDefault="00E3770F" w:rsidP="00E3770F">
      <w:pPr>
        <w:pStyle w:val="Antrat8"/>
        <w:tabs>
          <w:tab w:val="clear" w:pos="567"/>
        </w:tabs>
        <w:spacing w:before="0" w:after="0" w:line="240" w:lineRule="auto"/>
        <w:ind w:firstLine="3686"/>
        <w:rPr>
          <w:lang w:val="lt-LT"/>
        </w:rPr>
      </w:pPr>
    </w:p>
    <w:p w14:paraId="7EF56568" w14:textId="77777777" w:rsidR="00E3770F" w:rsidRPr="0059462A" w:rsidRDefault="00E3770F" w:rsidP="00E3770F">
      <w:pPr>
        <w:pStyle w:val="Antrat8"/>
        <w:tabs>
          <w:tab w:val="clear" w:pos="567"/>
        </w:tabs>
        <w:spacing w:before="0" w:after="0" w:line="240" w:lineRule="auto"/>
        <w:ind w:firstLine="3686"/>
        <w:rPr>
          <w:lang w:val="lt-LT"/>
        </w:rPr>
      </w:pPr>
      <w:r w:rsidRPr="0059462A">
        <w:rPr>
          <w:i w:val="0"/>
          <w:sz w:val="22"/>
          <w:lang w:val="lt-LT"/>
        </w:rPr>
        <w:t>ARBA</w:t>
      </w:r>
    </w:p>
    <w:p w14:paraId="27403707" w14:textId="77777777" w:rsidR="00E3770F" w:rsidRPr="0059462A" w:rsidRDefault="00E3770F" w:rsidP="00E3770F">
      <w:pPr>
        <w:spacing w:line="240" w:lineRule="auto"/>
        <w:rPr>
          <w:lang w:val="lt-LT"/>
        </w:rPr>
      </w:pPr>
    </w:p>
    <w:p w14:paraId="658BBEEA" w14:textId="77777777" w:rsidR="00E3770F" w:rsidRPr="0059462A" w:rsidRDefault="00E3770F" w:rsidP="00E3770F">
      <w:pPr>
        <w:autoSpaceDE w:val="0"/>
        <w:autoSpaceDN w:val="0"/>
        <w:adjustRightInd w:val="0"/>
        <w:spacing w:line="240" w:lineRule="auto"/>
        <w:rPr>
          <w:rFonts w:asciiTheme="minorHAnsi" w:eastAsiaTheme="minorHAnsi" w:hAnsiTheme="minorHAnsi" w:cstheme="minorBidi"/>
          <w:color w:val="000000"/>
          <w:szCs w:val="22"/>
          <w:u w:val="single"/>
          <w:lang w:val="lt-LT"/>
        </w:rPr>
      </w:pPr>
      <w:r w:rsidRPr="0059462A">
        <w:rPr>
          <w:color w:val="000000"/>
          <w:lang w:val="lt-LT"/>
        </w:rPr>
        <w:t xml:space="preserve">Dozė (mikrogramais) = </w:t>
      </w:r>
      <w:r w:rsidRPr="0059462A">
        <w:rPr>
          <w:color w:val="000000"/>
          <w:u w:val="single"/>
          <w:lang w:val="lt-LT"/>
        </w:rPr>
        <w:t>paskutinė nustatyta iPTH</w:t>
      </w:r>
      <w:r w:rsidRPr="00FB39A9">
        <w:rPr>
          <w:color w:val="000000"/>
          <w:u w:val="single"/>
          <w:lang w:val="lt-LT"/>
        </w:rPr>
        <w:t xml:space="preserve"> koncentracija (pmol/l)</w:t>
      </w:r>
    </w:p>
    <w:p w14:paraId="3D27F9C4" w14:textId="77777777" w:rsidR="00E3770F" w:rsidRPr="0059462A" w:rsidRDefault="00E3770F" w:rsidP="00E3770F">
      <w:pPr>
        <w:tabs>
          <w:tab w:val="clear" w:pos="567"/>
        </w:tabs>
        <w:autoSpaceDE w:val="0"/>
        <w:autoSpaceDN w:val="0"/>
        <w:adjustRightInd w:val="0"/>
        <w:spacing w:line="240" w:lineRule="auto"/>
        <w:ind w:firstLine="3969"/>
        <w:rPr>
          <w:color w:val="000000"/>
          <w:lang w:val="lt-LT"/>
        </w:rPr>
      </w:pPr>
      <w:r w:rsidRPr="0059462A">
        <w:rPr>
          <w:color w:val="000000"/>
          <w:lang w:val="lt-LT"/>
        </w:rPr>
        <w:t>7</w:t>
      </w:r>
    </w:p>
    <w:p w14:paraId="41A5971D" w14:textId="77777777" w:rsidR="00E3770F" w:rsidRPr="0059462A" w:rsidRDefault="00E3770F" w:rsidP="00E3770F">
      <w:pPr>
        <w:rPr>
          <w:color w:val="000000"/>
          <w:lang w:val="lt-LT"/>
        </w:rPr>
      </w:pPr>
    </w:p>
    <w:p w14:paraId="08A3153F"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lastRenderedPageBreak/>
        <w:t xml:space="preserve">Pradėjus gydymą, koreguojant dozę ir kartu pradedant vartoti stiprių P450 3A inhibitorių, reikia atidžiai stebėti kalcio ir fosforo koncentraciją serume. Jei nustatoma padidėjusi kalcio ar Ca x P junginių koncentracija serume, ir pacientas vartoja fosfatų surišėjus, kurių sudėtyje yra kalcio, reikia mažinti pastarųjų dozę ar visai nutraukti jų vartojimą, arba pacientui pradėti skirti fosfatų surišėją, kurio sudėtyje nėra kalcio.  </w:t>
      </w:r>
    </w:p>
    <w:p w14:paraId="7372BFF7" w14:textId="77777777" w:rsidR="00E3770F" w:rsidRPr="0059462A" w:rsidRDefault="00E3770F" w:rsidP="00E3770F">
      <w:pPr>
        <w:rPr>
          <w:color w:val="000000"/>
          <w:lang w:val="lt-LT"/>
        </w:rPr>
      </w:pPr>
    </w:p>
    <w:p w14:paraId="143B5BC5" w14:textId="77777777" w:rsidR="00E3770F" w:rsidRPr="0059462A" w:rsidRDefault="00E3770F" w:rsidP="00E3770F">
      <w:pPr>
        <w:rPr>
          <w:rFonts w:asciiTheme="minorHAnsi" w:eastAsiaTheme="minorHAnsi" w:hAnsiTheme="minorHAnsi" w:cstheme="minorBidi"/>
          <w:szCs w:val="22"/>
          <w:lang w:val="lt-LT"/>
        </w:rPr>
      </w:pPr>
      <w:r w:rsidRPr="0059462A">
        <w:rPr>
          <w:lang w:val="lt-LT"/>
        </w:rPr>
        <w:t>Jei kalcio koncentracija serume &gt; 11,0 mg/dl (2,8 mmol/l) ar Ca x P &gt; 70 mg</w:t>
      </w:r>
      <w:r w:rsidRPr="0059462A">
        <w:rPr>
          <w:vertAlign w:val="superscript"/>
          <w:lang w:val="lt-LT"/>
        </w:rPr>
        <w:t>2</w:t>
      </w:r>
      <w:r w:rsidRPr="0059462A">
        <w:rPr>
          <w:lang w:val="lt-LT"/>
        </w:rPr>
        <w:t>/dl</w:t>
      </w:r>
      <w:r w:rsidRPr="0059462A">
        <w:rPr>
          <w:vertAlign w:val="superscript"/>
          <w:lang w:val="lt-LT"/>
        </w:rPr>
        <w:t>2</w:t>
      </w:r>
      <w:r w:rsidRPr="0059462A">
        <w:rPr>
          <w:lang w:val="lt-LT"/>
        </w:rPr>
        <w:t xml:space="preserve"> (5,6 mmol</w:t>
      </w:r>
      <w:r w:rsidRPr="0059462A">
        <w:rPr>
          <w:vertAlign w:val="superscript"/>
          <w:lang w:val="lt-LT"/>
        </w:rPr>
        <w:t>2</w:t>
      </w:r>
      <w:r w:rsidRPr="0059462A">
        <w:rPr>
          <w:lang w:val="lt-LT"/>
        </w:rPr>
        <w:t>/l</w:t>
      </w:r>
      <w:r w:rsidRPr="0059462A">
        <w:rPr>
          <w:vertAlign w:val="superscript"/>
          <w:lang w:val="lt-LT"/>
        </w:rPr>
        <w:t>2</w:t>
      </w:r>
      <w:r w:rsidRPr="0059462A">
        <w:rPr>
          <w:lang w:val="lt-LT"/>
        </w:rPr>
        <w:t>), ar iPTH </w:t>
      </w:r>
      <w:r w:rsidRPr="00FB39A9">
        <w:rPr>
          <w:lang w:val="lt-LT"/>
        </w:rPr>
        <w:sym w:font="Symbol" w:char="F0A3"/>
      </w:r>
      <w:r w:rsidRPr="0059462A">
        <w:rPr>
          <w:lang w:val="lt-LT"/>
        </w:rPr>
        <w:t> 150 pg/ml, dozę reikia sumažinti 2-4 mikrogramais, atsižvelgiant į tai, kokia dozė gauta paskutinę nustatytą iPTH koncentraciją padalinus iš 60 (pg/ml) [iPTH koncentraciją padalinus iš 7 (pmol/l)]. Jeigu reikia tolesnės korekcijos, parikalcitolio kapsulių dozę reikėtų sumažinti ar nutraukti jų vartojimą, kol minėti rodikliai pasidarys normalūs.</w:t>
      </w:r>
    </w:p>
    <w:p w14:paraId="443C63EA" w14:textId="77777777" w:rsidR="00E3770F" w:rsidRPr="0059462A" w:rsidRDefault="00E3770F" w:rsidP="00E3770F">
      <w:pPr>
        <w:rPr>
          <w:lang w:val="lt-LT"/>
        </w:rPr>
      </w:pPr>
    </w:p>
    <w:p w14:paraId="5BD1EF8F" w14:textId="77777777" w:rsidR="00E3770F" w:rsidRPr="0059462A" w:rsidRDefault="00E3770F" w:rsidP="00E3770F">
      <w:pPr>
        <w:autoSpaceDE w:val="0"/>
        <w:autoSpaceDN w:val="0"/>
        <w:adjustRightInd w:val="0"/>
        <w:rPr>
          <w:rFonts w:asciiTheme="minorHAnsi" w:eastAsiaTheme="minorHAnsi" w:hAnsiTheme="minorHAnsi" w:cstheme="minorBidi"/>
          <w:color w:val="000000"/>
          <w:szCs w:val="22"/>
          <w:lang w:val="lt-LT"/>
        </w:rPr>
      </w:pPr>
      <w:r w:rsidRPr="0059462A">
        <w:rPr>
          <w:color w:val="000000"/>
          <w:lang w:val="lt-LT"/>
        </w:rPr>
        <w:t>Kai iPTH koncentracija pasiekia tikslinę (150-300 pg/ml), tam, kad ji stabilizuotųsi, gali prireikti nedaug, atsižvelgiant į individualų poreikį, koreguoti dozę. Tais atvejais, kai iPTH, Ca ar P koncentracija nustatoma rečiau nei kartą per savaitę, reikia skirti mažesnę pradinę dozę ir lėčiau ją didinti.</w:t>
      </w:r>
    </w:p>
    <w:p w14:paraId="1FE01BD7" w14:textId="77777777" w:rsidR="00E3770F" w:rsidRPr="0059462A" w:rsidRDefault="00E3770F" w:rsidP="00E3770F">
      <w:pPr>
        <w:rPr>
          <w:lang w:val="lt-LT"/>
        </w:rPr>
      </w:pPr>
    </w:p>
    <w:p w14:paraId="7398C73E" w14:textId="77777777" w:rsidR="00E3770F" w:rsidRPr="001F5E3D" w:rsidRDefault="00E3770F" w:rsidP="00E3770F">
      <w:pPr>
        <w:pStyle w:val="DefaultText"/>
        <w:spacing w:after="0"/>
        <w:rPr>
          <w:u w:val="single"/>
          <w:lang w:val="lt-LT"/>
        </w:rPr>
      </w:pPr>
      <w:r w:rsidRPr="001F5E3D">
        <w:rPr>
          <w:rFonts w:ascii="Times New Roman" w:hAnsi="Times New Roman"/>
          <w:u w:val="single"/>
          <w:lang w:val="lt-LT"/>
        </w:rPr>
        <w:t>Ypatingos populiacijos</w:t>
      </w:r>
    </w:p>
    <w:p w14:paraId="472081F2" w14:textId="77777777" w:rsidR="00E3770F" w:rsidRPr="0059462A" w:rsidRDefault="00E3770F" w:rsidP="00E3770F">
      <w:pPr>
        <w:rPr>
          <w:lang w:val="lt-LT"/>
        </w:rPr>
      </w:pPr>
    </w:p>
    <w:p w14:paraId="4525F476" w14:textId="11A92326" w:rsidR="00E3770F" w:rsidRPr="001F5E3D" w:rsidRDefault="00E3770F" w:rsidP="00E3770F">
      <w:pPr>
        <w:rPr>
          <w:rFonts w:asciiTheme="minorHAnsi" w:hAnsiTheme="minorHAnsi"/>
          <w:i/>
          <w:lang w:val="lt-LT"/>
        </w:rPr>
      </w:pPr>
      <w:r w:rsidRPr="001F5E3D">
        <w:rPr>
          <w:i/>
          <w:lang w:val="lt-LT"/>
        </w:rPr>
        <w:t>Sutrikusi kepenų funkcija</w:t>
      </w:r>
    </w:p>
    <w:p w14:paraId="5C201AA6" w14:textId="77777777" w:rsidR="00E3770F" w:rsidRPr="0059462A" w:rsidRDefault="00E3770F" w:rsidP="00E3770F">
      <w:pPr>
        <w:rPr>
          <w:rFonts w:asciiTheme="minorHAnsi" w:eastAsiaTheme="minorHAnsi" w:hAnsiTheme="minorHAnsi" w:cstheme="minorBidi"/>
          <w:szCs w:val="22"/>
          <w:lang w:val="lt-LT"/>
        </w:rPr>
      </w:pPr>
      <w:r w:rsidRPr="0059462A">
        <w:rPr>
          <w:lang w:val="lt-LT"/>
        </w:rPr>
        <w:t>Pacientams, kuriems yra nesunkus ar vidutinio sunkumo kepenų pažeidimas, dozės koreguoti nereikia.</w:t>
      </w:r>
    </w:p>
    <w:p w14:paraId="56AB2C98" w14:textId="77777777" w:rsidR="00E3770F" w:rsidRPr="0059462A" w:rsidRDefault="00E3770F" w:rsidP="00E3770F">
      <w:pPr>
        <w:rPr>
          <w:rFonts w:asciiTheme="minorHAnsi" w:eastAsiaTheme="minorHAnsi" w:hAnsiTheme="minorHAnsi" w:cstheme="minorBidi"/>
          <w:szCs w:val="22"/>
          <w:lang w:val="lt-LT"/>
        </w:rPr>
      </w:pPr>
      <w:r w:rsidRPr="0059462A">
        <w:rPr>
          <w:lang w:val="lt-LT"/>
        </w:rPr>
        <w:t>Nėra vartojimo patirties pacientams, kuriems yra sunkus kepenų pažeidimas (žr. 5.2 skyrių).</w:t>
      </w:r>
    </w:p>
    <w:p w14:paraId="7FDA9855" w14:textId="77777777" w:rsidR="00E3770F" w:rsidRPr="0059462A" w:rsidRDefault="00E3770F" w:rsidP="00E3770F">
      <w:pPr>
        <w:rPr>
          <w:lang w:val="lt-LT"/>
        </w:rPr>
      </w:pPr>
    </w:p>
    <w:p w14:paraId="00130246" w14:textId="20B6353C" w:rsidR="00E3770F" w:rsidRPr="001F5E3D" w:rsidRDefault="00E3770F" w:rsidP="00E3770F">
      <w:pPr>
        <w:rPr>
          <w:rFonts w:asciiTheme="minorHAnsi" w:hAnsiTheme="minorHAnsi"/>
          <w:i/>
          <w:lang w:val="lt-LT"/>
        </w:rPr>
      </w:pPr>
      <w:r w:rsidRPr="001F5E3D">
        <w:rPr>
          <w:i/>
          <w:lang w:val="lt-LT"/>
        </w:rPr>
        <w:t xml:space="preserve">Inkstų transplantacija </w:t>
      </w:r>
    </w:p>
    <w:p w14:paraId="744AE19D" w14:textId="77777777" w:rsidR="00E3770F" w:rsidRPr="0059462A" w:rsidRDefault="00E3770F" w:rsidP="00E3770F">
      <w:pPr>
        <w:rPr>
          <w:rFonts w:asciiTheme="minorHAnsi" w:eastAsiaTheme="minorHAnsi" w:hAnsiTheme="minorHAnsi" w:cstheme="minorBidi"/>
          <w:szCs w:val="22"/>
          <w:lang w:val="lt-LT"/>
        </w:rPr>
      </w:pPr>
      <w:r w:rsidRPr="0059462A">
        <w:rPr>
          <w:lang w:val="lt-LT"/>
        </w:rPr>
        <w:t>Pacientai su 3 ir 4 stadijos LIL ir antrine hiperparatiroze, kuriems persodinti inkstai, III fazės klinikinių tyrimų metu tirti nebuvo. Remiantis paskelbta literatūra, pradinė dozė ir dozės titravimo algoritmas pacientams po transplantacijos, esant 3 ir 4 LIL stadijoms ir antrinei hiperparatirozei, yra tokie patys kaip ir pacientams, kurie turi įgimtą 3 ir 4 stadijos LIL ir antrinę hiperparatirozę. Reikia atidžiai stebėti kalcio kiekį serume ir fosforo koncentraciją pradėjus gydymą, dozės titravimo laikotarpiu ir kartu vartojant stiprių citochromo P450 3A inhibitorių.</w:t>
      </w:r>
    </w:p>
    <w:p w14:paraId="77BE27FD" w14:textId="77777777" w:rsidR="00E3770F" w:rsidRPr="0059462A" w:rsidRDefault="00E3770F" w:rsidP="00E3770F">
      <w:pPr>
        <w:rPr>
          <w:lang w:val="lt-LT"/>
        </w:rPr>
      </w:pPr>
    </w:p>
    <w:p w14:paraId="55110860" w14:textId="0924FCC4" w:rsidR="00E3770F" w:rsidRPr="001F5E3D" w:rsidRDefault="00E3770F" w:rsidP="00E3770F">
      <w:pPr>
        <w:rPr>
          <w:rFonts w:asciiTheme="minorHAnsi" w:hAnsiTheme="minorHAnsi"/>
          <w:i/>
          <w:lang w:val="lt-LT"/>
        </w:rPr>
      </w:pPr>
      <w:r w:rsidRPr="001F5E3D">
        <w:rPr>
          <w:i/>
          <w:lang w:val="lt-LT"/>
        </w:rPr>
        <w:t>Vaikų populiacija</w:t>
      </w:r>
    </w:p>
    <w:p w14:paraId="097B2145"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Zemplar kapsulių saugumas ir veiksmingumas vaikams iki 10 metų nenustatytas. </w:t>
      </w:r>
    </w:p>
    <w:p w14:paraId="53B8181A" w14:textId="77777777" w:rsidR="00E3770F" w:rsidRPr="0059462A" w:rsidRDefault="00E3770F" w:rsidP="00E3770F">
      <w:pPr>
        <w:rPr>
          <w:lang w:val="lt-LT"/>
        </w:rPr>
      </w:pPr>
    </w:p>
    <w:p w14:paraId="58817496" w14:textId="77777777" w:rsidR="00E3770F" w:rsidRPr="001F5E3D" w:rsidRDefault="00E3770F" w:rsidP="00E3770F">
      <w:pPr>
        <w:rPr>
          <w:u w:val="single"/>
          <w:lang w:val="lt-LT"/>
        </w:rPr>
      </w:pPr>
      <w:r w:rsidRPr="001F5E3D">
        <w:rPr>
          <w:u w:val="single"/>
          <w:lang w:val="lt-LT"/>
        </w:rPr>
        <w:t>3 ir 4 stadijos LIL (nuo 10 iki 16 metų amžiaus)</w:t>
      </w:r>
    </w:p>
    <w:p w14:paraId="796281D8" w14:textId="77777777" w:rsidR="00E3770F" w:rsidRPr="0059462A" w:rsidRDefault="00E3770F" w:rsidP="00E3770F">
      <w:pPr>
        <w:rPr>
          <w:lang w:val="lt-LT"/>
        </w:rPr>
      </w:pPr>
    </w:p>
    <w:p w14:paraId="531C3620" w14:textId="77777777" w:rsidR="00E3770F" w:rsidRPr="001F5E3D" w:rsidRDefault="00E3770F" w:rsidP="00E3770F">
      <w:pPr>
        <w:rPr>
          <w:i/>
          <w:lang w:val="lt-LT"/>
        </w:rPr>
      </w:pPr>
      <w:r w:rsidRPr="001F5E3D">
        <w:rPr>
          <w:i/>
          <w:lang w:val="lt-LT"/>
        </w:rPr>
        <w:t>Pradinė dozė</w:t>
      </w:r>
    </w:p>
    <w:p w14:paraId="7C5550CC" w14:textId="77777777" w:rsidR="00E3770F" w:rsidRPr="0059462A" w:rsidRDefault="00E3770F" w:rsidP="00E3770F">
      <w:pPr>
        <w:rPr>
          <w:lang w:val="lt-LT"/>
        </w:rPr>
      </w:pPr>
    </w:p>
    <w:p w14:paraId="7009A6E1" w14:textId="77777777" w:rsidR="00E3770F" w:rsidRPr="0059462A" w:rsidRDefault="00E3770F" w:rsidP="00E3770F">
      <w:pPr>
        <w:rPr>
          <w:lang w:val="lt-LT"/>
        </w:rPr>
      </w:pPr>
      <w:r w:rsidRPr="0059462A">
        <w:rPr>
          <w:lang w:val="lt-LT"/>
        </w:rPr>
        <w:t>Rekomenduojama pradinė parikalcitolio kapsulių dozė yra 1 mikrogramas, vartojama tris kartus per savaitę, bet ne dažniau kaip kas antrą parą.</w:t>
      </w:r>
    </w:p>
    <w:p w14:paraId="3D5400D9" w14:textId="77777777" w:rsidR="00E3770F" w:rsidRPr="0059462A" w:rsidRDefault="00E3770F" w:rsidP="00E3770F">
      <w:pPr>
        <w:rPr>
          <w:lang w:val="lt-LT"/>
        </w:rPr>
      </w:pPr>
    </w:p>
    <w:p w14:paraId="5AB14917" w14:textId="77777777" w:rsidR="00E3770F" w:rsidRPr="001F5E3D" w:rsidRDefault="00E3770F" w:rsidP="00E3770F">
      <w:pPr>
        <w:rPr>
          <w:i/>
          <w:lang w:val="lt-LT"/>
        </w:rPr>
      </w:pPr>
      <w:r w:rsidRPr="001F5E3D">
        <w:rPr>
          <w:i/>
          <w:lang w:val="lt-LT"/>
        </w:rPr>
        <w:t>Dozės koregavimas</w:t>
      </w:r>
    </w:p>
    <w:p w14:paraId="5E4DE367" w14:textId="77777777" w:rsidR="00E3770F" w:rsidRPr="0059462A" w:rsidRDefault="00E3770F" w:rsidP="00E3770F">
      <w:pPr>
        <w:rPr>
          <w:lang w:val="lt-LT"/>
        </w:rPr>
      </w:pPr>
    </w:p>
    <w:p w14:paraId="6D19BD68" w14:textId="77777777" w:rsidR="00E3770F" w:rsidRPr="0059462A" w:rsidRDefault="00E3770F" w:rsidP="00E3770F">
      <w:pPr>
        <w:rPr>
          <w:lang w:val="lt-LT"/>
        </w:rPr>
      </w:pPr>
      <w:r w:rsidRPr="0059462A">
        <w:rPr>
          <w:color w:val="000000"/>
          <w:lang w:val="lt-LT"/>
        </w:rPr>
        <w:t>Vėliau dozę reikia koreguoti atsižvelgiant į iPTH, kalcio ir fosforo koncentraciją serume, siekiant išlaikyti</w:t>
      </w:r>
      <w:r w:rsidRPr="0059462A">
        <w:rPr>
          <w:lang w:val="lt-LT"/>
        </w:rPr>
        <w:t xml:space="preserve"> iPTH koncentraciją tarp 35 ir </w:t>
      </w:r>
      <w:r>
        <w:rPr>
          <w:lang w:val="lt-LT"/>
        </w:rPr>
        <w:t>69</w:t>
      </w:r>
      <w:r w:rsidRPr="0059462A">
        <w:rPr>
          <w:lang w:val="lt-LT"/>
        </w:rPr>
        <w:t> pg/ml (3 stadija) arba 70 ir 110 pg/ml (4 stadija).</w:t>
      </w:r>
    </w:p>
    <w:p w14:paraId="0F843A91" w14:textId="77777777" w:rsidR="00E3770F" w:rsidRPr="0059462A" w:rsidRDefault="00E3770F" w:rsidP="00E3770F">
      <w:pPr>
        <w:rPr>
          <w:lang w:val="lt-LT"/>
        </w:rPr>
      </w:pPr>
    </w:p>
    <w:p w14:paraId="5EC782D9" w14:textId="77777777" w:rsidR="00E3770F" w:rsidRPr="0059462A" w:rsidRDefault="00E3770F" w:rsidP="00E3770F">
      <w:pPr>
        <w:rPr>
          <w:lang w:val="lt-LT"/>
        </w:rPr>
      </w:pPr>
      <w:r w:rsidRPr="0059462A">
        <w:rPr>
          <w:lang w:val="lt-LT"/>
        </w:rPr>
        <w:t>Parikalcitolio dozę galima didinti 1 μg kas 4 savaites</w:t>
      </w:r>
      <w:r>
        <w:rPr>
          <w:lang w:val="lt-LT"/>
        </w:rPr>
        <w:t>, palaikant trijų kartų per savaitę režimą</w:t>
      </w:r>
      <w:r w:rsidRPr="0059462A">
        <w:rPr>
          <w:lang w:val="lt-LT"/>
        </w:rPr>
        <w:t>. Bet kuriuo metu dozė gali būti sumažinta 1 mikrogramu arba vartojimas laikinai nutrauktas, jei pacientas vartoja 1 μg dozę.</w:t>
      </w:r>
      <w:r>
        <w:rPr>
          <w:lang w:val="lt-LT"/>
        </w:rPr>
        <w:t xml:space="preserve"> Pacientams vartojantiems 1 mikrogramo dozę 3 kartus per savaitę, kuriems reikia sumažinti dozę, parikalcitolio vartojimas gali būti sustabdytas ir atnaujintas, kada tinkama.</w:t>
      </w:r>
      <w:r w:rsidRPr="0059462A">
        <w:rPr>
          <w:lang w:val="lt-LT"/>
        </w:rPr>
        <w:t xml:space="preserve"> Didžiausia klinikinių tyrimų metu vartota dozė buvo 7 μg.</w:t>
      </w:r>
    </w:p>
    <w:p w14:paraId="26F3A530" w14:textId="77777777" w:rsidR="00E3770F" w:rsidRPr="0059462A" w:rsidRDefault="00E3770F" w:rsidP="00E3770F">
      <w:pPr>
        <w:rPr>
          <w:lang w:val="lt-LT"/>
        </w:rPr>
      </w:pPr>
    </w:p>
    <w:p w14:paraId="6C14DA8E" w14:textId="77777777" w:rsidR="00E3770F" w:rsidRPr="001F5E3D" w:rsidRDefault="00E3770F" w:rsidP="00E3770F">
      <w:pPr>
        <w:rPr>
          <w:i/>
          <w:lang w:val="lt-LT"/>
        </w:rPr>
      </w:pPr>
      <w:r w:rsidRPr="001F5E3D">
        <w:rPr>
          <w:i/>
          <w:lang w:val="lt-LT"/>
        </w:rPr>
        <w:t xml:space="preserve">5 stadijos LIL </w:t>
      </w:r>
    </w:p>
    <w:p w14:paraId="77117BA9" w14:textId="77777777" w:rsidR="00E3770F" w:rsidRDefault="00E3770F" w:rsidP="00E3770F">
      <w:pPr>
        <w:rPr>
          <w:lang w:val="lt-LT"/>
        </w:rPr>
      </w:pPr>
    </w:p>
    <w:p w14:paraId="74C1E8D2" w14:textId="77777777" w:rsidR="00E3770F" w:rsidRPr="0059462A" w:rsidRDefault="00E3770F" w:rsidP="00E3770F">
      <w:pPr>
        <w:rPr>
          <w:lang w:val="lt-LT"/>
        </w:rPr>
      </w:pPr>
      <w:r>
        <w:rPr>
          <w:lang w:val="lt-LT"/>
        </w:rPr>
        <w:t xml:space="preserve">Zemplar veiksmingumas vaikams, sergantiems 5 stadijos LIL nebuvo nustatytas. </w:t>
      </w:r>
    </w:p>
    <w:p w14:paraId="72A351A8" w14:textId="77777777" w:rsidR="00090260" w:rsidRDefault="00090260" w:rsidP="00E3770F">
      <w:pPr>
        <w:rPr>
          <w:lang w:val="lt-LT"/>
        </w:rPr>
      </w:pPr>
    </w:p>
    <w:p w14:paraId="4E0DA5D1" w14:textId="6B01A6FE" w:rsidR="00E3770F" w:rsidRDefault="00E3770F" w:rsidP="00E3770F">
      <w:pPr>
        <w:rPr>
          <w:lang w:val="lt-LT"/>
        </w:rPr>
      </w:pPr>
      <w:r w:rsidRPr="001F5E3D">
        <w:rPr>
          <w:i/>
          <w:lang w:val="lt-LT"/>
        </w:rPr>
        <w:lastRenderedPageBreak/>
        <w:t>Senyviems pacientams</w:t>
      </w:r>
    </w:p>
    <w:p w14:paraId="198FE440" w14:textId="77777777" w:rsidR="00BC6603" w:rsidRPr="0059462A" w:rsidRDefault="00BC6603" w:rsidP="00E3770F">
      <w:pPr>
        <w:rPr>
          <w:rFonts w:asciiTheme="minorHAnsi" w:eastAsiaTheme="minorHAnsi" w:hAnsiTheme="minorHAnsi" w:cstheme="minorBidi"/>
          <w:szCs w:val="22"/>
          <w:lang w:val="lt-LT"/>
        </w:rPr>
      </w:pPr>
    </w:p>
    <w:p w14:paraId="7C9F218F" w14:textId="77777777" w:rsidR="00E3770F" w:rsidRPr="0059462A" w:rsidRDefault="00E3770F" w:rsidP="00E3770F">
      <w:pPr>
        <w:rPr>
          <w:rFonts w:asciiTheme="minorHAnsi" w:eastAsiaTheme="minorHAnsi" w:hAnsiTheme="minorHAnsi" w:cstheme="minorBidi"/>
          <w:szCs w:val="22"/>
          <w:lang w:val="lt-LT"/>
        </w:rPr>
      </w:pPr>
      <w:r w:rsidRPr="0059462A">
        <w:rPr>
          <w:lang w:val="lt-LT"/>
        </w:rPr>
        <w:t>Nestebėta jokių saugumo ir veiksmingumo duomenų skirtumų tarp senyvų pacientų (65–75 metų amžiaus) ir jaunesnių pacientų, bet negalima atmesti galimybės, kad kai kurie senyvi asmenys bus jautresni vaistinio preparato poveikiui.</w:t>
      </w:r>
    </w:p>
    <w:p w14:paraId="7FD75498" w14:textId="77777777" w:rsidR="00E3770F" w:rsidRPr="0059462A" w:rsidRDefault="00E3770F" w:rsidP="00E3770F">
      <w:pPr>
        <w:tabs>
          <w:tab w:val="clear" w:pos="567"/>
        </w:tabs>
        <w:spacing w:line="240" w:lineRule="auto"/>
        <w:rPr>
          <w:b/>
          <w:lang w:val="lt-LT"/>
        </w:rPr>
      </w:pPr>
    </w:p>
    <w:p w14:paraId="02D54FEC" w14:textId="77777777" w:rsidR="00E3770F" w:rsidRPr="0059462A" w:rsidRDefault="00E3770F" w:rsidP="00E3770F">
      <w:pPr>
        <w:tabs>
          <w:tab w:val="clear" w:pos="567"/>
        </w:tabs>
        <w:spacing w:line="240" w:lineRule="auto"/>
        <w:rPr>
          <w:rFonts w:asciiTheme="minorHAnsi" w:eastAsiaTheme="minorHAnsi" w:hAnsiTheme="minorHAnsi" w:cstheme="minorBidi"/>
          <w:szCs w:val="22"/>
          <w:u w:val="single"/>
          <w:lang w:val="lt-LT"/>
        </w:rPr>
      </w:pPr>
      <w:r w:rsidRPr="0059462A">
        <w:rPr>
          <w:u w:val="single"/>
          <w:lang w:val="lt-LT"/>
        </w:rPr>
        <w:t>Vartojimo metodas</w:t>
      </w:r>
    </w:p>
    <w:p w14:paraId="4C67B839" w14:textId="77777777" w:rsidR="00E3770F" w:rsidRPr="0059462A" w:rsidRDefault="00E3770F" w:rsidP="00E3770F">
      <w:pPr>
        <w:tabs>
          <w:tab w:val="clear" w:pos="567"/>
        </w:tabs>
        <w:spacing w:line="240" w:lineRule="auto"/>
        <w:rPr>
          <w:lang w:val="lt-LT"/>
        </w:rPr>
      </w:pPr>
    </w:p>
    <w:p w14:paraId="421331FC" w14:textId="77777777" w:rsidR="00E3770F" w:rsidRPr="0059462A" w:rsidRDefault="00E3770F" w:rsidP="00E3770F">
      <w:pPr>
        <w:tabs>
          <w:tab w:val="clear" w:pos="567"/>
        </w:tabs>
        <w:spacing w:line="240" w:lineRule="auto"/>
        <w:rPr>
          <w:rFonts w:asciiTheme="minorHAnsi" w:eastAsiaTheme="minorHAnsi" w:hAnsiTheme="minorHAnsi" w:cstheme="minorBidi"/>
          <w:b/>
          <w:szCs w:val="22"/>
          <w:lang w:val="lt-LT"/>
        </w:rPr>
      </w:pPr>
      <w:r w:rsidRPr="0059462A">
        <w:rPr>
          <w:lang w:val="lt-LT"/>
        </w:rPr>
        <w:t>Zemplar galima vartoti valgant arba tarp valgių.</w:t>
      </w:r>
    </w:p>
    <w:p w14:paraId="757161C4" w14:textId="77777777" w:rsidR="00E3770F" w:rsidRPr="0059462A" w:rsidRDefault="00E3770F" w:rsidP="00E3770F">
      <w:pPr>
        <w:tabs>
          <w:tab w:val="clear" w:pos="567"/>
        </w:tabs>
        <w:spacing w:line="240" w:lineRule="auto"/>
        <w:rPr>
          <w:b/>
          <w:lang w:val="lt-LT"/>
        </w:rPr>
      </w:pPr>
    </w:p>
    <w:p w14:paraId="19C09883" w14:textId="77777777" w:rsidR="00E3770F" w:rsidRPr="0059462A" w:rsidRDefault="00E3770F" w:rsidP="00E3770F">
      <w:pPr>
        <w:tabs>
          <w:tab w:val="clear" w:pos="567"/>
        </w:tabs>
        <w:spacing w:line="240" w:lineRule="auto"/>
        <w:ind w:left="567" w:hanging="567"/>
        <w:rPr>
          <w:rFonts w:asciiTheme="minorHAnsi" w:eastAsiaTheme="minorHAnsi" w:hAnsiTheme="minorHAnsi" w:cstheme="minorBidi"/>
          <w:szCs w:val="22"/>
          <w:lang w:val="lt-LT"/>
        </w:rPr>
      </w:pPr>
      <w:r w:rsidRPr="0059462A">
        <w:rPr>
          <w:b/>
          <w:lang w:val="lt-LT"/>
        </w:rPr>
        <w:t>4.3</w:t>
      </w:r>
      <w:r w:rsidRPr="0059462A">
        <w:rPr>
          <w:b/>
          <w:lang w:val="lt-LT"/>
        </w:rPr>
        <w:tab/>
        <w:t>Kontraindikacijos</w:t>
      </w:r>
    </w:p>
    <w:p w14:paraId="0CA79A42" w14:textId="77777777" w:rsidR="00E3770F" w:rsidRPr="0059462A" w:rsidRDefault="00E3770F" w:rsidP="00E3770F">
      <w:pPr>
        <w:rPr>
          <w:lang w:val="lt-LT"/>
        </w:rPr>
      </w:pPr>
    </w:p>
    <w:p w14:paraId="14D58017" w14:textId="77777777" w:rsidR="00E3770F" w:rsidRPr="0059462A" w:rsidRDefault="00E3770F" w:rsidP="00E3770F">
      <w:pPr>
        <w:rPr>
          <w:rFonts w:asciiTheme="minorHAnsi" w:eastAsiaTheme="minorHAnsi" w:hAnsiTheme="minorHAnsi" w:cstheme="minorBidi"/>
          <w:szCs w:val="22"/>
          <w:lang w:val="lt-LT"/>
        </w:rPr>
      </w:pPr>
      <w:r w:rsidRPr="0059462A">
        <w:rPr>
          <w:lang w:val="lt-LT"/>
        </w:rPr>
        <w:t>Parikalcitolio negali vartoti pacientai, kuriems pasireiškė vitamino D toksiniai reiškiniai, hiperkalcemija ar yra padidėjęs jautrumas parikalcitoliui arba bet kuriai 6.1 skyriuje nurodytai pagalbinei medžiagai.</w:t>
      </w:r>
    </w:p>
    <w:p w14:paraId="5D9FA8FA" w14:textId="77777777" w:rsidR="00E3770F" w:rsidRPr="0059462A" w:rsidRDefault="00E3770F" w:rsidP="00E3770F">
      <w:pPr>
        <w:tabs>
          <w:tab w:val="clear" w:pos="567"/>
        </w:tabs>
        <w:spacing w:line="240" w:lineRule="auto"/>
        <w:rPr>
          <w:lang w:val="lt-LT"/>
        </w:rPr>
      </w:pPr>
    </w:p>
    <w:p w14:paraId="5122689E"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4.4</w:t>
      </w:r>
      <w:r w:rsidRPr="0059462A">
        <w:rPr>
          <w:b/>
          <w:lang w:val="lt-LT"/>
        </w:rPr>
        <w:tab/>
        <w:t>Specialūs įspėjimai ir atsargumo priemonės</w:t>
      </w:r>
    </w:p>
    <w:p w14:paraId="30146185" w14:textId="77777777" w:rsidR="00E3770F" w:rsidRPr="0059462A" w:rsidRDefault="00E3770F" w:rsidP="00E3770F">
      <w:pPr>
        <w:rPr>
          <w:lang w:val="lt-LT"/>
        </w:rPr>
      </w:pPr>
    </w:p>
    <w:p w14:paraId="18EE0947" w14:textId="77777777" w:rsidR="00E3770F" w:rsidRPr="0059462A" w:rsidRDefault="00E3770F" w:rsidP="00E3770F">
      <w:pPr>
        <w:rPr>
          <w:rFonts w:asciiTheme="minorHAnsi" w:eastAsiaTheme="minorHAnsi" w:hAnsiTheme="minorHAnsi" w:cstheme="minorBidi"/>
          <w:szCs w:val="22"/>
          <w:lang w:val="lt-LT"/>
        </w:rPr>
      </w:pPr>
      <w:r w:rsidRPr="0059462A">
        <w:rPr>
          <w:lang w:val="lt-LT"/>
        </w:rPr>
        <w:t>Per daug slopinant paratiroidinį hormoną gali padidėti kalcio koncentracija serume, kas gali sukelti lėtos kaulų apykaitos ligą. Norint atitinkamai pakeisti fiziologinius procesus būtina stebėti pacientą ir koreguoti dozę pagal individualų poreikį.</w:t>
      </w:r>
    </w:p>
    <w:p w14:paraId="7EE6BA16" w14:textId="77777777" w:rsidR="00E3770F" w:rsidRPr="00FB39A9" w:rsidRDefault="00E3770F" w:rsidP="00E3770F">
      <w:pPr>
        <w:pStyle w:val="Pagrindinistekstas"/>
        <w:rPr>
          <w:color w:val="auto"/>
          <w:lang w:val="lt-LT"/>
        </w:rPr>
      </w:pPr>
    </w:p>
    <w:p w14:paraId="747DE144" w14:textId="77777777" w:rsidR="00E3770F" w:rsidRPr="00FB39A9" w:rsidRDefault="00E3770F" w:rsidP="00E3770F">
      <w:pPr>
        <w:pStyle w:val="Pagrindinistekstas"/>
        <w:rPr>
          <w:color w:val="auto"/>
          <w:lang w:val="lt-LT"/>
        </w:rPr>
      </w:pPr>
      <w:r w:rsidRPr="0059462A">
        <w:rPr>
          <w:i w:val="0"/>
          <w:color w:val="auto"/>
          <w:lang w:val="lt-LT"/>
        </w:rPr>
        <w:t>Jei pasireiškia kliniškai reikšminga hiperkalcemija, o pacientui yra skiriama fosfatų surišėjų, kurių sudėtyje yra kalcio, reikia sumažinti pastarųjų preparatų dozę ar laikinai nutraukti jų vartojimą.</w:t>
      </w:r>
    </w:p>
    <w:p w14:paraId="1C37D089" w14:textId="77777777" w:rsidR="00E3770F" w:rsidRPr="00FB39A9" w:rsidRDefault="00E3770F" w:rsidP="00E3770F">
      <w:pPr>
        <w:pStyle w:val="Pagrindinistekstas"/>
        <w:rPr>
          <w:color w:val="auto"/>
          <w:lang w:val="lt-LT"/>
        </w:rPr>
      </w:pPr>
    </w:p>
    <w:p w14:paraId="2447E1BA" w14:textId="77777777" w:rsidR="00E3770F" w:rsidRPr="00FB39A9" w:rsidRDefault="00E3770F" w:rsidP="00E3770F">
      <w:pPr>
        <w:pStyle w:val="Pagrindinistekstas"/>
        <w:rPr>
          <w:color w:val="auto"/>
          <w:lang w:val="lt-LT"/>
        </w:rPr>
      </w:pPr>
      <w:r w:rsidRPr="0059462A">
        <w:rPr>
          <w:i w:val="0"/>
          <w:color w:val="auto"/>
          <w:lang w:val="lt-LT"/>
        </w:rPr>
        <w:t>Lėtinė hiperkalcemija gali būti susijusi su generalizuota kraujagyslių kalcifikacija ir kita minkštųjų audinių kalcifikacija.</w:t>
      </w:r>
    </w:p>
    <w:p w14:paraId="74AB5AC2" w14:textId="77777777" w:rsidR="00E3770F" w:rsidRPr="00FB39A9" w:rsidRDefault="00E3770F" w:rsidP="00E3770F">
      <w:pPr>
        <w:pStyle w:val="Pagrindinistekstas"/>
        <w:rPr>
          <w:color w:val="auto"/>
          <w:lang w:val="lt-LT"/>
        </w:rPr>
      </w:pPr>
    </w:p>
    <w:p w14:paraId="6CC5BB89" w14:textId="77777777" w:rsidR="00E3770F" w:rsidRPr="00FB39A9" w:rsidRDefault="00E3770F" w:rsidP="00E3770F">
      <w:pPr>
        <w:pStyle w:val="Pagrindinistekstas"/>
        <w:rPr>
          <w:color w:val="auto"/>
          <w:lang w:val="lt-LT"/>
        </w:rPr>
      </w:pPr>
      <w:r w:rsidRPr="0059462A">
        <w:rPr>
          <w:i w:val="0"/>
          <w:color w:val="auto"/>
          <w:lang w:val="lt-LT"/>
        </w:rPr>
        <w:t>Vaistinių preparatų, kurių sudėtyje yra fosfatų ar vitamino D, negalima vartoti kartu su parikalcitoliu, nes didėja hiperkalcemijos ir padidėjusios Ca x P junginių koncentracijos rizika (žr. 4.5 skyrių).</w:t>
      </w:r>
    </w:p>
    <w:p w14:paraId="78B868BB" w14:textId="77777777" w:rsidR="00E3770F" w:rsidRPr="00FB39A9" w:rsidRDefault="00E3770F" w:rsidP="00E3770F">
      <w:pPr>
        <w:pStyle w:val="Pagrindinistekstas"/>
        <w:rPr>
          <w:color w:val="auto"/>
          <w:lang w:val="lt-LT"/>
        </w:rPr>
      </w:pPr>
    </w:p>
    <w:p w14:paraId="5596D8C6" w14:textId="77777777" w:rsidR="00E3770F" w:rsidRPr="00FB39A9" w:rsidRDefault="00E3770F" w:rsidP="00E3770F">
      <w:pPr>
        <w:pStyle w:val="Pagrindinistekstas"/>
        <w:rPr>
          <w:color w:val="auto"/>
          <w:lang w:val="lt-LT"/>
        </w:rPr>
      </w:pPr>
      <w:r w:rsidRPr="0059462A">
        <w:rPr>
          <w:i w:val="0"/>
          <w:color w:val="auto"/>
          <w:lang w:val="lt-LT"/>
        </w:rPr>
        <w:t>Bet kokios kilmės hiperkalcemija sunkina rusmenės (</w:t>
      </w:r>
      <w:r w:rsidRPr="0059462A">
        <w:rPr>
          <w:color w:val="auto"/>
          <w:lang w:val="lt-LT"/>
        </w:rPr>
        <w:t>Digitalis</w:t>
      </w:r>
      <w:r w:rsidRPr="0059462A">
        <w:rPr>
          <w:i w:val="0"/>
          <w:color w:val="auto"/>
          <w:lang w:val="lt-LT"/>
        </w:rPr>
        <w:t>) preparatų sukeltus toksinius reiškinius, todėl rusmenės preparatų kartu su parikalcitoliu skirti atsargiai (žr. 4.5 skyrių).</w:t>
      </w:r>
    </w:p>
    <w:p w14:paraId="1707141A" w14:textId="77777777" w:rsidR="00E3770F" w:rsidRPr="00FB39A9" w:rsidRDefault="00E3770F" w:rsidP="00E3770F">
      <w:pPr>
        <w:pStyle w:val="Pagrindinistekstas"/>
        <w:rPr>
          <w:color w:val="auto"/>
          <w:lang w:val="lt-LT"/>
        </w:rPr>
      </w:pPr>
    </w:p>
    <w:p w14:paraId="059AD9B4" w14:textId="77777777" w:rsidR="00E3770F" w:rsidRPr="00FB39A9" w:rsidRDefault="00E3770F" w:rsidP="00E3770F">
      <w:pPr>
        <w:pStyle w:val="Pagrindinistekstas"/>
        <w:rPr>
          <w:color w:val="auto"/>
          <w:lang w:val="lt-LT"/>
        </w:rPr>
      </w:pPr>
      <w:r w:rsidRPr="0059462A">
        <w:rPr>
          <w:i w:val="0"/>
          <w:color w:val="auto"/>
          <w:lang w:val="lt-LT"/>
        </w:rPr>
        <w:t>Parikalcitolis, kaip ir kiti vitamino D receptorių aktyvatoriai, pacientams, kuriems dar nėra atliekama dializė, gali padidinti kreatinino koncentraciją serume (ir todėl sumažinti tikėtiną GFG [tGFG]), nekeičiant tikrojo glomerulų filtracijos greičio (GFG).</w:t>
      </w:r>
    </w:p>
    <w:p w14:paraId="209E80F8" w14:textId="77777777" w:rsidR="00E3770F" w:rsidRPr="00FB39A9" w:rsidRDefault="00E3770F" w:rsidP="00E3770F">
      <w:pPr>
        <w:pStyle w:val="Pagrindinistekstas"/>
        <w:rPr>
          <w:color w:val="auto"/>
          <w:lang w:val="lt-LT"/>
        </w:rPr>
      </w:pPr>
    </w:p>
    <w:p w14:paraId="7BC674DE" w14:textId="77777777" w:rsidR="00E3770F" w:rsidRPr="00FB39A9" w:rsidRDefault="00E3770F" w:rsidP="00E3770F">
      <w:pPr>
        <w:pStyle w:val="Pagrindinistekstas"/>
        <w:rPr>
          <w:color w:val="auto"/>
          <w:lang w:val="lt-LT"/>
        </w:rPr>
      </w:pPr>
      <w:r w:rsidRPr="0059462A">
        <w:rPr>
          <w:i w:val="0"/>
          <w:color w:val="auto"/>
          <w:lang w:val="lt-LT"/>
        </w:rPr>
        <w:t>Ketokonazolą kartu su parikalcitoliu skirti atsargiai (žr. 4.5 skyrių).</w:t>
      </w:r>
    </w:p>
    <w:p w14:paraId="077E737F" w14:textId="77777777" w:rsidR="00E3770F" w:rsidRPr="00FB39A9" w:rsidRDefault="00E3770F" w:rsidP="00E3770F">
      <w:pPr>
        <w:pStyle w:val="Pagrindinistekstas"/>
        <w:rPr>
          <w:color w:val="auto"/>
          <w:lang w:val="lt-LT"/>
        </w:rPr>
      </w:pPr>
    </w:p>
    <w:p w14:paraId="19217295" w14:textId="39705C87" w:rsidR="00E3770F" w:rsidRDefault="00E3770F" w:rsidP="00E3770F">
      <w:pPr>
        <w:keepNext/>
        <w:rPr>
          <w:u w:val="single"/>
          <w:lang w:val="lt-LT"/>
        </w:rPr>
      </w:pPr>
      <w:r w:rsidRPr="001F5E3D">
        <w:rPr>
          <w:u w:val="single"/>
          <w:lang w:val="lt-LT"/>
        </w:rPr>
        <w:t>Įspėjimas dėl pagalbinių medžiagų</w:t>
      </w:r>
    </w:p>
    <w:p w14:paraId="24E1EFCE" w14:textId="77777777" w:rsidR="00BC6603" w:rsidRPr="00BC6603" w:rsidRDefault="00BC6603" w:rsidP="00E3770F">
      <w:pPr>
        <w:keepNext/>
        <w:rPr>
          <w:rFonts w:asciiTheme="minorHAnsi" w:eastAsiaTheme="minorHAnsi" w:hAnsiTheme="minorHAnsi" w:cstheme="minorBidi"/>
          <w:szCs w:val="22"/>
          <w:u w:val="single"/>
          <w:lang w:val="lt-LT"/>
        </w:rPr>
      </w:pPr>
    </w:p>
    <w:p w14:paraId="33356E62" w14:textId="77777777" w:rsidR="00E3770F" w:rsidRPr="0059462A" w:rsidRDefault="00E3770F" w:rsidP="00E3770F">
      <w:pPr>
        <w:pStyle w:val="Pagrindinistekstas"/>
        <w:rPr>
          <w:i w:val="0"/>
          <w:lang w:val="lt-LT"/>
        </w:rPr>
      </w:pPr>
      <w:r w:rsidRPr="0059462A">
        <w:rPr>
          <w:i w:val="0"/>
          <w:color w:val="auto"/>
          <w:lang w:val="lt-LT"/>
        </w:rPr>
        <w:t>Šio vaistinio preparato sudėtyje yra nedidelis kiekis etanolio (alkoholio), t.y. mažiau nei 100 mg vienoje 1 mikrogramo, 2 mikrogramų kapsulėje, ir tai gali būti žalinga alkoholizmu sergantiems asmenims (žr. 2 ir 4.2 skyrius). Į tai reikia atkreipti dėmesį prieš vaisto skiriant nėščiosioms, žindyvėms, vaikams ir didelės rizikos grupei priklausantiems pacientams, pvz., sergantiems kepenų ligomis ar epilepsija.</w:t>
      </w:r>
    </w:p>
    <w:p w14:paraId="23D87E8B"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p>
    <w:p w14:paraId="437B6546"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4.5</w:t>
      </w:r>
      <w:r w:rsidRPr="0059462A">
        <w:rPr>
          <w:b/>
          <w:lang w:val="lt-LT"/>
        </w:rPr>
        <w:tab/>
        <w:t>Sąveika su kitais vaistiniais preparatais ir kitokia sąveika</w:t>
      </w:r>
    </w:p>
    <w:p w14:paraId="6FE912E8" w14:textId="77777777" w:rsidR="00E3770F" w:rsidRPr="0059462A" w:rsidRDefault="00E3770F" w:rsidP="00E3770F">
      <w:pPr>
        <w:pStyle w:val="Pagrindinistekstas"/>
        <w:rPr>
          <w:i w:val="0"/>
          <w:lang w:val="lt-LT"/>
        </w:rPr>
      </w:pPr>
    </w:p>
    <w:p w14:paraId="7FE86440" w14:textId="269A836E" w:rsidR="008626B9" w:rsidRDefault="00E3770F" w:rsidP="00E3770F">
      <w:pPr>
        <w:rPr>
          <w:color w:val="000000"/>
          <w:lang w:val="lt-LT"/>
        </w:rPr>
      </w:pPr>
      <w:r w:rsidRPr="001F5E3D">
        <w:rPr>
          <w:i/>
          <w:color w:val="000000"/>
          <w:lang w:val="lt-LT"/>
        </w:rPr>
        <w:t>Ketokonazolas</w:t>
      </w:r>
    </w:p>
    <w:p w14:paraId="5B873E5F" w14:textId="0FC945C9" w:rsidR="00E3770F" w:rsidRPr="0059462A" w:rsidRDefault="00E3770F" w:rsidP="00E3770F">
      <w:pPr>
        <w:rPr>
          <w:rFonts w:asciiTheme="minorHAnsi" w:eastAsiaTheme="minorHAnsi" w:hAnsiTheme="minorHAnsi" w:cstheme="minorBidi"/>
          <w:szCs w:val="22"/>
          <w:lang w:val="lt-LT"/>
        </w:rPr>
      </w:pPr>
      <w:r w:rsidRPr="0059462A">
        <w:rPr>
          <w:color w:val="000000"/>
          <w:lang w:val="lt-LT"/>
        </w:rPr>
        <w:t xml:space="preserve">Žinoma, kad ketokonazolas yra nespecifinis keleto citochromo P450 fermentų inhibitorius. Turimi </w:t>
      </w:r>
      <w:r w:rsidRPr="0059462A">
        <w:rPr>
          <w:i/>
          <w:color w:val="000000"/>
          <w:lang w:val="lt-LT"/>
        </w:rPr>
        <w:t>in vivo</w:t>
      </w:r>
      <w:r w:rsidRPr="00FB39A9">
        <w:rPr>
          <w:color w:val="000000"/>
          <w:lang w:val="lt-LT"/>
        </w:rPr>
        <w:t xml:space="preserve"> ir </w:t>
      </w:r>
      <w:r w:rsidRPr="00FB39A9">
        <w:rPr>
          <w:i/>
          <w:color w:val="000000"/>
          <w:lang w:val="lt-LT"/>
        </w:rPr>
        <w:t>in vitro</w:t>
      </w:r>
      <w:r w:rsidRPr="00FB39A9">
        <w:rPr>
          <w:color w:val="000000"/>
          <w:lang w:val="lt-LT"/>
        </w:rPr>
        <w:t xml:space="preserve"> duomenys rodo, kad ketokonazolas gali sąveikauti su parikalcitolį ir kitus vitamino D analogus metabolizuojančiais fermentais. Parikalcitolį kartu su ketokonazolu vartoti atsargiai. Kartotinių ketokonazolo dozių, jo vartojant po </w:t>
      </w:r>
      <w:r w:rsidRPr="00FB39A9">
        <w:rPr>
          <w:lang w:val="lt-LT"/>
        </w:rPr>
        <w:t xml:space="preserve">200 mg du kartus per parą 5 dienas, poveikis parikalcitolio kapsulių farmakokinetikai buvo tirtas dalyvaujant sveikiems savanoriams. Parikalcitolio </w:t>
      </w:r>
      <w:r w:rsidRPr="00FB39A9">
        <w:rPr>
          <w:lang w:val="lt-LT"/>
        </w:rPr>
        <w:lastRenderedPageBreak/>
        <w:t>C</w:t>
      </w:r>
      <w:r w:rsidRPr="00FB39A9">
        <w:rPr>
          <w:vertAlign w:val="subscript"/>
          <w:lang w:val="lt-LT"/>
        </w:rPr>
        <w:t>max</w:t>
      </w:r>
      <w:r w:rsidRPr="00FB39A9">
        <w:rPr>
          <w:lang w:val="lt-LT"/>
        </w:rPr>
        <w:t xml:space="preserve"> nedaug kito, bet AUC</w:t>
      </w:r>
      <w:r w:rsidRPr="00FB39A9">
        <w:rPr>
          <w:vertAlign w:val="subscript"/>
          <w:lang w:val="lt-LT"/>
        </w:rPr>
        <w:t>0-</w:t>
      </w:r>
      <w:r w:rsidRPr="00FB39A9">
        <w:rPr>
          <w:rFonts w:hint="eastAsia"/>
          <w:vertAlign w:val="subscript"/>
          <w:lang w:val="lt-LT"/>
        </w:rPr>
        <w:t>∞</w:t>
      </w:r>
      <w:r w:rsidRPr="0059462A">
        <w:rPr>
          <w:lang w:val="lt-LT"/>
        </w:rPr>
        <w:t xml:space="preserve"> padidėjo beveik dvigubai, kai kartu buvo vartojama ketokonazolo. Parikalcitolio vidutinis pusinės eliminacijos periodas, kartu vartojant ketokonazolo, buvo 17,0 val., lyginant su 9,8 val., kai vartota vien tik parikalcitolio (žr. ATSARGUMO PRIEMONĖS 4.4 skyriuje). Šio tyrimo rezultatai rodo, kad išgėrus ar į veną suleidus parikalcitolio, jo AUC</w:t>
      </w:r>
      <w:r w:rsidRPr="0059462A">
        <w:rPr>
          <w:vertAlign w:val="subscript"/>
          <w:lang w:val="lt-LT"/>
        </w:rPr>
        <w:t>INF</w:t>
      </w:r>
      <w:r w:rsidRPr="0059462A">
        <w:rPr>
          <w:lang w:val="lt-LT"/>
        </w:rPr>
        <w:t>, dėl sąveikos su ketokonazolu, daugiausiai gali padidėti ne daugiau kaip du kartus.</w:t>
      </w:r>
    </w:p>
    <w:p w14:paraId="6E70B885" w14:textId="77777777" w:rsidR="00E3770F" w:rsidRPr="0059462A" w:rsidRDefault="00E3770F" w:rsidP="00E3770F">
      <w:pPr>
        <w:rPr>
          <w:color w:val="000000"/>
          <w:lang w:val="lt-LT"/>
        </w:rPr>
      </w:pPr>
    </w:p>
    <w:p w14:paraId="7563C9BD"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Specifinių sąveikos tyrimų neatlikta. Bet kokios kilmės hiperkalcemija sunkina rusmenės </w:t>
      </w:r>
      <w:r w:rsidRPr="0059462A">
        <w:rPr>
          <w:i/>
          <w:lang w:val="lt-LT"/>
        </w:rPr>
        <w:t xml:space="preserve">(Digitalis) </w:t>
      </w:r>
      <w:r w:rsidRPr="0059462A">
        <w:rPr>
          <w:lang w:val="lt-LT"/>
        </w:rPr>
        <w:t>preparatų</w:t>
      </w:r>
      <w:r w:rsidRPr="0059462A">
        <w:rPr>
          <w:i/>
          <w:lang w:val="lt-LT"/>
        </w:rPr>
        <w:t xml:space="preserve"> </w:t>
      </w:r>
      <w:r w:rsidRPr="0059462A">
        <w:rPr>
          <w:lang w:val="lt-LT"/>
        </w:rPr>
        <w:t>sukeltus toksinius reiškinius, todėl rusmenės preparatų</w:t>
      </w:r>
      <w:r w:rsidRPr="0059462A">
        <w:rPr>
          <w:i/>
          <w:lang w:val="lt-LT"/>
        </w:rPr>
        <w:t xml:space="preserve"> </w:t>
      </w:r>
      <w:r w:rsidRPr="0059462A">
        <w:rPr>
          <w:lang w:val="lt-LT"/>
        </w:rPr>
        <w:t xml:space="preserve">kartu su parikalcitoliu skirti atsargiai. </w:t>
      </w:r>
    </w:p>
    <w:p w14:paraId="103F4895" w14:textId="77777777" w:rsidR="00E3770F" w:rsidRPr="0059462A" w:rsidRDefault="00E3770F" w:rsidP="00E3770F">
      <w:pPr>
        <w:rPr>
          <w:lang w:val="lt-LT"/>
        </w:rPr>
      </w:pPr>
    </w:p>
    <w:p w14:paraId="66D0256A" w14:textId="77777777" w:rsidR="00E3770F" w:rsidRPr="0059462A" w:rsidRDefault="00E3770F" w:rsidP="00E3770F">
      <w:pPr>
        <w:rPr>
          <w:rFonts w:asciiTheme="minorHAnsi" w:eastAsiaTheme="minorHAnsi" w:hAnsiTheme="minorHAnsi" w:cstheme="minorBidi"/>
          <w:szCs w:val="22"/>
          <w:lang w:val="lt-LT"/>
        </w:rPr>
      </w:pPr>
      <w:r w:rsidRPr="0059462A">
        <w:rPr>
          <w:lang w:val="lt-LT"/>
        </w:rPr>
        <w:t>Vaistinių preparatų, kurių sudėtyje yra fosfatų ar vitamino D, negalima vartoti kartu su parikalcitoliu, nes didėja hiperkalcemijos ir padidėjusios Ca x P junginių koncentracijos rizika (žr. 4.4 skyrių).</w:t>
      </w:r>
    </w:p>
    <w:p w14:paraId="5A383091" w14:textId="77777777" w:rsidR="00E3770F" w:rsidRPr="0059462A" w:rsidRDefault="00E3770F" w:rsidP="00E3770F">
      <w:pPr>
        <w:rPr>
          <w:lang w:val="lt-LT"/>
        </w:rPr>
      </w:pPr>
    </w:p>
    <w:p w14:paraId="38AC1B72" w14:textId="77777777" w:rsidR="00E3770F" w:rsidRPr="0059462A" w:rsidRDefault="00E3770F" w:rsidP="00E3770F">
      <w:pPr>
        <w:rPr>
          <w:rFonts w:asciiTheme="minorHAnsi" w:eastAsiaTheme="minorHAnsi" w:hAnsiTheme="minorHAnsi" w:cstheme="minorBidi"/>
          <w:szCs w:val="22"/>
          <w:lang w:val="lt-LT"/>
        </w:rPr>
      </w:pPr>
      <w:r w:rsidRPr="0059462A">
        <w:rPr>
          <w:lang w:val="lt-LT"/>
        </w:rPr>
        <w:t>Hiperkalcemijos riziką gali didinti didelės dozės preparatų, kurių sudėtyje yra kalcio, arba tiazidiniai diuretikai.</w:t>
      </w:r>
    </w:p>
    <w:p w14:paraId="3DA5A60D" w14:textId="77777777" w:rsidR="00E3770F" w:rsidRPr="0059462A" w:rsidRDefault="00E3770F" w:rsidP="00E3770F">
      <w:pPr>
        <w:rPr>
          <w:lang w:val="lt-LT"/>
        </w:rPr>
      </w:pPr>
    </w:p>
    <w:p w14:paraId="16E01F0F" w14:textId="77777777" w:rsidR="00E3770F" w:rsidRPr="0059462A" w:rsidRDefault="00E3770F" w:rsidP="00E3770F">
      <w:pPr>
        <w:rPr>
          <w:rFonts w:asciiTheme="minorHAnsi" w:eastAsiaTheme="minorHAnsi" w:hAnsiTheme="minorHAnsi" w:cstheme="minorBidi"/>
          <w:szCs w:val="22"/>
          <w:lang w:val="lt-LT"/>
        </w:rPr>
      </w:pPr>
      <w:r w:rsidRPr="0059462A">
        <w:rPr>
          <w:lang w:val="lt-LT"/>
        </w:rPr>
        <w:t>Kartu su vitamino D preparatais negalima vartoti preparatų, kurių sudėtyje yra magnio (pvz., antacidinių preparatų), nes gali pasireikšti hipermagnezemija.</w:t>
      </w:r>
    </w:p>
    <w:p w14:paraId="2F14503A" w14:textId="77777777" w:rsidR="00E3770F" w:rsidRPr="0059462A" w:rsidRDefault="00E3770F" w:rsidP="00E3770F">
      <w:pPr>
        <w:rPr>
          <w:lang w:val="lt-LT"/>
        </w:rPr>
      </w:pPr>
    </w:p>
    <w:p w14:paraId="39568960" w14:textId="77777777" w:rsidR="00E3770F" w:rsidRPr="0059462A" w:rsidRDefault="00E3770F" w:rsidP="00E3770F">
      <w:pPr>
        <w:rPr>
          <w:rFonts w:asciiTheme="minorHAnsi" w:eastAsiaTheme="minorHAnsi" w:hAnsiTheme="minorHAnsi" w:cstheme="minorBidi"/>
          <w:szCs w:val="22"/>
          <w:lang w:val="lt-LT"/>
        </w:rPr>
      </w:pPr>
      <w:r w:rsidRPr="0059462A">
        <w:rPr>
          <w:lang w:val="lt-LT"/>
        </w:rPr>
        <w:t>Kartu su vitamino D preparatais negalima ilgai vartoti preparatų, kurių sudėtyje yra aliuminio (pvz., antacidinių preparatų, fosfatų surišėjų), nes gali padidėti aliuminio koncentracija kraujyje ir pasireikšti aliuminio sąlygoti toksiniai reiškiniai kaulams.</w:t>
      </w:r>
    </w:p>
    <w:p w14:paraId="47E10C94" w14:textId="77777777" w:rsidR="00E3770F" w:rsidRPr="0059462A" w:rsidRDefault="00E3770F" w:rsidP="00E3770F">
      <w:pPr>
        <w:rPr>
          <w:lang w:val="lt-LT"/>
        </w:rPr>
      </w:pPr>
    </w:p>
    <w:p w14:paraId="1FAC6867" w14:textId="77777777" w:rsidR="00E3770F" w:rsidRPr="0059462A" w:rsidRDefault="00E3770F" w:rsidP="00E3770F">
      <w:pPr>
        <w:rPr>
          <w:rFonts w:asciiTheme="minorHAnsi" w:eastAsiaTheme="minorHAnsi" w:hAnsiTheme="minorHAnsi" w:cstheme="minorBidi"/>
          <w:color w:val="000000"/>
          <w:szCs w:val="22"/>
          <w:lang w:val="lt-LT"/>
        </w:rPr>
      </w:pPr>
      <w:r w:rsidRPr="0059462A">
        <w:rPr>
          <w:lang w:val="lt-LT"/>
        </w:rPr>
        <w:t>Vaistai, tokie kaip cholestiraminas, kurie sumažina riebaluose tirpių vitaminų absorbciją žarnyne, gali trukdyti Zemplar kapsulių absorbcijai.</w:t>
      </w:r>
    </w:p>
    <w:p w14:paraId="342DFAB4" w14:textId="77777777" w:rsidR="00E3770F" w:rsidRPr="0059462A" w:rsidRDefault="00E3770F" w:rsidP="00E3770F">
      <w:pPr>
        <w:rPr>
          <w:lang w:val="lt-LT"/>
        </w:rPr>
      </w:pPr>
    </w:p>
    <w:p w14:paraId="62F7A993" w14:textId="10B0EB61"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4.6</w:t>
      </w:r>
      <w:r w:rsidRPr="0059462A">
        <w:rPr>
          <w:b/>
          <w:lang w:val="lt-LT"/>
        </w:rPr>
        <w:tab/>
      </w:r>
      <w:r w:rsidR="003F44B8">
        <w:rPr>
          <w:b/>
          <w:lang w:val="lt-LT"/>
        </w:rPr>
        <w:t>Vaisingumas, n</w:t>
      </w:r>
      <w:r w:rsidRPr="0059462A">
        <w:rPr>
          <w:b/>
          <w:lang w:val="lt-LT"/>
        </w:rPr>
        <w:t>ėštumo ir žindymo laikotarpis</w:t>
      </w:r>
    </w:p>
    <w:p w14:paraId="5231529B" w14:textId="77777777" w:rsidR="00E3770F" w:rsidRPr="0059462A" w:rsidRDefault="00E3770F" w:rsidP="00E3770F">
      <w:pPr>
        <w:rPr>
          <w:b/>
          <w:lang w:val="lt-LT"/>
        </w:rPr>
      </w:pPr>
    </w:p>
    <w:p w14:paraId="493AD4DB" w14:textId="6FF4737A" w:rsidR="00E3770F" w:rsidRDefault="00E3770F" w:rsidP="00E3770F">
      <w:pPr>
        <w:rPr>
          <w:u w:val="single"/>
          <w:lang w:val="lt-LT"/>
        </w:rPr>
      </w:pPr>
      <w:r w:rsidRPr="001F5E3D">
        <w:rPr>
          <w:u w:val="single"/>
          <w:lang w:val="lt-LT"/>
        </w:rPr>
        <w:t>Nėštumas</w:t>
      </w:r>
    </w:p>
    <w:p w14:paraId="0FFEFD8B" w14:textId="77777777" w:rsidR="008626B9" w:rsidRPr="001F5E3D" w:rsidRDefault="008626B9" w:rsidP="00E3770F">
      <w:pPr>
        <w:rPr>
          <w:rFonts w:asciiTheme="minorHAnsi" w:hAnsiTheme="minorHAnsi"/>
          <w:u w:val="single"/>
          <w:lang w:val="lt-LT"/>
        </w:rPr>
      </w:pPr>
    </w:p>
    <w:p w14:paraId="7104B983" w14:textId="77777777" w:rsidR="00E3770F" w:rsidRPr="0059462A" w:rsidRDefault="00E3770F" w:rsidP="00E3770F">
      <w:pPr>
        <w:widowControl w:val="0"/>
        <w:rPr>
          <w:rFonts w:asciiTheme="minorHAnsi" w:eastAsiaTheme="minorHAnsi" w:hAnsiTheme="minorHAnsi" w:cstheme="minorBidi"/>
          <w:szCs w:val="22"/>
          <w:lang w:val="lt-LT"/>
        </w:rPr>
      </w:pPr>
      <w:r w:rsidRPr="0059462A">
        <w:rPr>
          <w:lang w:val="lt-LT"/>
        </w:rPr>
        <w:t xml:space="preserve">Reikiamų duomenų apie parikalcitolio vartojimą nėštumo metu nėra. Su gyvūnais atlikti tyrimai parodė toksinį poveikį reprodukcijai (žr. 5.3 skyrių). Galimas pavojus žmogui nežinomas, todėl parikalcitolio nėščiosioms vartoti negalima, išskyrus būtinus atvejus. </w:t>
      </w:r>
    </w:p>
    <w:p w14:paraId="5D4DBC44" w14:textId="77777777" w:rsidR="00E3770F" w:rsidRPr="0059462A" w:rsidRDefault="00E3770F" w:rsidP="00E3770F">
      <w:pPr>
        <w:pStyle w:val="Dokumentoinaostekstas"/>
        <w:tabs>
          <w:tab w:val="clear" w:pos="567"/>
        </w:tabs>
        <w:rPr>
          <w:lang w:val="lt-LT"/>
        </w:rPr>
      </w:pPr>
    </w:p>
    <w:p w14:paraId="0A3C6947" w14:textId="44517877" w:rsidR="00E3770F" w:rsidRPr="001F5E3D" w:rsidRDefault="00E3770F" w:rsidP="00E3770F">
      <w:pPr>
        <w:rPr>
          <w:u w:val="single"/>
          <w:lang w:val="lt-LT"/>
        </w:rPr>
      </w:pPr>
      <w:r w:rsidRPr="001F5E3D">
        <w:rPr>
          <w:u w:val="single"/>
          <w:lang w:val="lt-LT"/>
        </w:rPr>
        <w:t>Žindymas</w:t>
      </w:r>
    </w:p>
    <w:p w14:paraId="04874533" w14:textId="77777777" w:rsidR="008626B9" w:rsidRPr="005107CF" w:rsidRDefault="008626B9" w:rsidP="00E3770F">
      <w:pPr>
        <w:rPr>
          <w:rFonts w:asciiTheme="minorHAnsi" w:eastAsiaTheme="minorHAnsi" w:hAnsiTheme="minorHAnsi" w:cstheme="minorBidi"/>
          <w:szCs w:val="22"/>
          <w:u w:val="single"/>
          <w:lang w:val="lt-LT"/>
        </w:rPr>
      </w:pPr>
    </w:p>
    <w:p w14:paraId="4A9F83D6" w14:textId="77777777" w:rsidR="00E3770F" w:rsidRPr="0059462A" w:rsidRDefault="00E3770F" w:rsidP="00E3770F">
      <w:pPr>
        <w:rPr>
          <w:rFonts w:asciiTheme="minorHAnsi" w:eastAsiaTheme="minorHAnsi" w:hAnsiTheme="minorHAnsi" w:cstheme="minorBidi"/>
          <w:szCs w:val="22"/>
          <w:lang w:val="lt-LT"/>
        </w:rPr>
      </w:pPr>
      <w:r w:rsidRPr="0059462A">
        <w:rPr>
          <w:lang w:val="lt-LT"/>
        </w:rPr>
        <w:t>Nežinoma, ar parikalcitolis patenka į žmogaus pieną. Gyvūnų tyrimų metu nustatyta, kad nedidelis parikalcitolio ar jo metabolitų kiekis patenka į patelės pieną. Nuspręsti, ar toliau žindyti, ar nutraukti žindymą, arba, ar toliau vartoti Zemplar, ar nutraukti jo vartojimą, reikia atsižvelgiant į galimą žindymo naudą kūdikiui ir į galimą Zemplar naudą motinai.</w:t>
      </w:r>
    </w:p>
    <w:p w14:paraId="649187AD" w14:textId="77777777" w:rsidR="00E3770F" w:rsidRPr="0059462A" w:rsidRDefault="00E3770F" w:rsidP="00E3770F">
      <w:pPr>
        <w:rPr>
          <w:lang w:val="lt-LT"/>
        </w:rPr>
      </w:pPr>
    </w:p>
    <w:p w14:paraId="3E0ED702"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4.7</w:t>
      </w:r>
      <w:r w:rsidRPr="0059462A">
        <w:rPr>
          <w:b/>
          <w:lang w:val="lt-LT"/>
        </w:rPr>
        <w:tab/>
        <w:t>Poveikis gebėjimui vairuoti ir valdyti mechanizmus</w:t>
      </w:r>
    </w:p>
    <w:p w14:paraId="5A5B356D" w14:textId="77777777" w:rsidR="00E3770F" w:rsidRPr="0059462A" w:rsidRDefault="00E3770F" w:rsidP="00E3770F">
      <w:pPr>
        <w:rPr>
          <w:b/>
          <w:lang w:val="lt-LT"/>
        </w:rPr>
      </w:pPr>
    </w:p>
    <w:p w14:paraId="781D7E4C" w14:textId="77777777" w:rsidR="00E3770F" w:rsidRPr="00FB39A9" w:rsidRDefault="00E3770F" w:rsidP="00E3770F">
      <w:pPr>
        <w:autoSpaceDE w:val="0"/>
        <w:autoSpaceDN w:val="0"/>
        <w:adjustRightInd w:val="0"/>
        <w:rPr>
          <w:rFonts w:eastAsiaTheme="minorHAnsi"/>
          <w:szCs w:val="22"/>
          <w:lang w:val="lt-LT"/>
        </w:rPr>
      </w:pPr>
      <w:r w:rsidRPr="001C7550">
        <w:rPr>
          <w:lang w:val="lt-LT"/>
        </w:rPr>
        <w:t>Zemplar gebėjimo vairuoti ir valdyti mechanizmus neveikia arba veikia nereikšmingai.</w:t>
      </w:r>
    </w:p>
    <w:p w14:paraId="1E831270" w14:textId="77777777" w:rsidR="00E3770F" w:rsidRPr="001C7550" w:rsidRDefault="00E3770F" w:rsidP="00E3770F">
      <w:pPr>
        <w:tabs>
          <w:tab w:val="clear" w:pos="567"/>
        </w:tabs>
        <w:spacing w:line="240" w:lineRule="auto"/>
        <w:rPr>
          <w:lang w:val="lt-LT"/>
        </w:rPr>
      </w:pPr>
    </w:p>
    <w:p w14:paraId="25670AA9" w14:textId="77777777" w:rsidR="00E3770F" w:rsidRPr="0059462A" w:rsidRDefault="00E3770F" w:rsidP="00E3770F">
      <w:pPr>
        <w:numPr>
          <w:ilvl w:val="1"/>
          <w:numId w:val="3"/>
        </w:numPr>
        <w:spacing w:line="240" w:lineRule="auto"/>
        <w:outlineLvl w:val="0"/>
        <w:rPr>
          <w:rFonts w:asciiTheme="minorHAnsi" w:eastAsiaTheme="minorHAnsi" w:hAnsiTheme="minorHAnsi" w:cstheme="minorBidi"/>
          <w:b/>
          <w:szCs w:val="22"/>
          <w:lang w:val="lt-LT"/>
        </w:rPr>
      </w:pPr>
      <w:r w:rsidRPr="001C7550">
        <w:rPr>
          <w:b/>
          <w:lang w:val="lt-LT"/>
        </w:rPr>
        <w:t>Ne</w:t>
      </w:r>
      <w:r w:rsidRPr="0059462A">
        <w:rPr>
          <w:b/>
          <w:lang w:val="lt-LT"/>
        </w:rPr>
        <w:t>pageidaujamas poveikis</w:t>
      </w:r>
    </w:p>
    <w:p w14:paraId="7D10C32B" w14:textId="77777777" w:rsidR="00E3770F" w:rsidRPr="0059462A" w:rsidRDefault="00E3770F" w:rsidP="00E3770F">
      <w:pPr>
        <w:spacing w:line="240" w:lineRule="auto"/>
        <w:ind w:left="567" w:hanging="567"/>
        <w:rPr>
          <w:lang w:val="lt-LT"/>
        </w:rPr>
      </w:pPr>
    </w:p>
    <w:p w14:paraId="071C374B" w14:textId="77777777" w:rsidR="00E3770F" w:rsidRPr="001F5E3D" w:rsidRDefault="00E3770F" w:rsidP="00E3770F">
      <w:pPr>
        <w:pStyle w:val="Antrat5"/>
        <w:rPr>
          <w:lang w:val="lt-LT"/>
        </w:rPr>
      </w:pPr>
      <w:r w:rsidRPr="001F5E3D">
        <w:rPr>
          <w:rFonts w:ascii="Times New Roman" w:hAnsi="Times New Roman"/>
          <w:b w:val="0"/>
          <w:lang w:val="lt-LT"/>
        </w:rPr>
        <w:t>Saugumo duomenų santrauka</w:t>
      </w:r>
    </w:p>
    <w:p w14:paraId="6081F6A9" w14:textId="77777777" w:rsidR="00E3770F" w:rsidRPr="0059462A" w:rsidRDefault="00E3770F" w:rsidP="00E3770F">
      <w:pPr>
        <w:rPr>
          <w:lang w:val="lt-LT"/>
        </w:rPr>
      </w:pPr>
    </w:p>
    <w:p w14:paraId="74E096FF" w14:textId="77777777" w:rsidR="00E3770F" w:rsidRDefault="00E3770F" w:rsidP="00E3770F">
      <w:pPr>
        <w:pStyle w:val="DefaultText"/>
        <w:spacing w:after="0"/>
        <w:rPr>
          <w:rFonts w:ascii="Times New Roman" w:hAnsi="Times New Roman"/>
          <w:lang w:val="lt-LT"/>
        </w:rPr>
      </w:pPr>
      <w:r w:rsidRPr="0059462A">
        <w:rPr>
          <w:rFonts w:ascii="Times New Roman" w:hAnsi="Times New Roman"/>
          <w:lang w:val="lt-LT"/>
        </w:rPr>
        <w:t>Parikalcitolio kapsulių saugumas buvo vertintas trijuose 24 savaičių trukmės dvigubai koduotuose placebu kontroliuojamuose daugiacentriniuose klinikiniuose tyrimuose, kuriuose dalyvavo 220 3 ir 4 stadijos LIL sergančių suaugusių pacientų ir viename 12 savaičių trukmės dvigubai koduotame placebu kontroliuojamame daugiacentriniame klinikiniame tyrime, kuriame dalyvavo 88 5 stadijos LIL sergantys suaugę pacientai. Papildomai parikalcitolio kapsulės buvo vertintos trijuose papildomuose tyrimuose ir dviejuose tyrimuose su vaikais</w:t>
      </w:r>
      <w:r>
        <w:rPr>
          <w:rFonts w:ascii="Times New Roman" w:hAnsi="Times New Roman"/>
          <w:lang w:val="lt-LT"/>
        </w:rPr>
        <w:t>,</w:t>
      </w:r>
      <w:r w:rsidRPr="0059462A">
        <w:rPr>
          <w:rFonts w:ascii="Times New Roman" w:hAnsi="Times New Roman"/>
          <w:lang w:val="lt-LT"/>
        </w:rPr>
        <w:t xml:space="preserve"> vaistiniam preparatui patekus į rinką. Dažniausios parikalcitolį vartojusių pacientų grupėje registruotos nepageidaujamos reakcijos buvo hiperkalcemija ir kalcio fosfato kiekio padidėjimas. </w:t>
      </w:r>
    </w:p>
    <w:p w14:paraId="670D9A2A" w14:textId="77777777" w:rsidR="00E3770F" w:rsidRPr="0059462A" w:rsidRDefault="00E3770F" w:rsidP="00E3770F">
      <w:pPr>
        <w:pStyle w:val="DefaultText"/>
        <w:spacing w:after="0"/>
        <w:rPr>
          <w:rFonts w:ascii="Times New Roman" w:hAnsi="Times New Roman"/>
          <w:lang w:val="lt-LT"/>
        </w:rPr>
      </w:pPr>
    </w:p>
    <w:p w14:paraId="0FE01BE5" w14:textId="77777777" w:rsidR="00E3770F" w:rsidRPr="0059462A" w:rsidRDefault="00E3770F" w:rsidP="00E3770F">
      <w:pPr>
        <w:pStyle w:val="DefaultText"/>
        <w:spacing w:after="0"/>
        <w:rPr>
          <w:lang w:val="lt-LT"/>
        </w:rPr>
      </w:pPr>
      <w:r w:rsidRPr="0059462A">
        <w:rPr>
          <w:rFonts w:ascii="Times New Roman" w:hAnsi="Times New Roman"/>
          <w:lang w:val="lt-LT"/>
        </w:rPr>
        <w:t xml:space="preserve">Klinikinių tyrimų, atliktų su pacientais, kuriems yra 3 ir 4 bei 5 stadijos LIL, metu stebėtas hiperkalcemijos pasireiškimo dažnis vartojant Zemplar buvo (3/167, 2 %) lyginant su placebu (0/137, 0 %) ir kalcio fosfato kiekio padidėjimas vartojant Zemplar buvo (19/167, 11 %) lyginant su placebo (8/137, 6 %). </w:t>
      </w:r>
    </w:p>
    <w:p w14:paraId="239AE37B" w14:textId="77777777" w:rsidR="00E3770F" w:rsidRPr="0059462A" w:rsidRDefault="00E3770F" w:rsidP="00E3770F">
      <w:pPr>
        <w:pStyle w:val="DefaultText"/>
        <w:spacing w:after="0"/>
        <w:rPr>
          <w:lang w:val="lt-LT"/>
        </w:rPr>
      </w:pPr>
    </w:p>
    <w:p w14:paraId="08159D82" w14:textId="77777777" w:rsidR="00E3770F" w:rsidRPr="001F5E3D" w:rsidRDefault="00E3770F" w:rsidP="00E3770F">
      <w:pPr>
        <w:spacing w:line="240" w:lineRule="auto"/>
        <w:rPr>
          <w:rFonts w:asciiTheme="minorHAnsi" w:hAnsiTheme="minorHAnsi"/>
          <w:u w:val="single"/>
          <w:lang w:val="lt-LT"/>
        </w:rPr>
      </w:pPr>
      <w:r w:rsidRPr="001F5E3D">
        <w:rPr>
          <w:u w:val="single"/>
          <w:lang w:val="lt-LT"/>
        </w:rPr>
        <w:t>Nepageidaujamų reakcijų santrauka lentelėse</w:t>
      </w:r>
    </w:p>
    <w:p w14:paraId="40484411" w14:textId="77777777" w:rsidR="00E3770F" w:rsidRPr="0059462A" w:rsidRDefault="00E3770F" w:rsidP="00E3770F">
      <w:pPr>
        <w:spacing w:line="240" w:lineRule="auto"/>
        <w:rPr>
          <w:lang w:val="lt-LT"/>
        </w:rPr>
      </w:pPr>
    </w:p>
    <w:p w14:paraId="2F6810BA" w14:textId="6E42A899"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3 lentelėje pagal MedDRA duomenų bazės organų sistemų klases, rekomenduojamus terminus ir dažnio apibūdinimą išvardytos visos su Zemplar kapsulių vartojimu susijusios nepageidaujamos reakcijos. Dažnis apibūdintas taip: labai dažnas (</w:t>
      </w:r>
      <w:r w:rsidRPr="00FB39A9">
        <w:rPr>
          <w:lang w:val="lt-LT"/>
        </w:rPr>
        <w:sym w:font="Symbol" w:char="F0B3"/>
      </w:r>
      <w:r w:rsidRPr="0059462A">
        <w:rPr>
          <w:lang w:val="lt-LT"/>
        </w:rPr>
        <w:t xml:space="preserve">1/10); dažnas (nuo </w:t>
      </w:r>
      <w:r w:rsidRPr="00FB39A9">
        <w:rPr>
          <w:lang w:val="lt-LT"/>
        </w:rPr>
        <w:sym w:font="Symbol" w:char="F0B3"/>
      </w:r>
      <w:r w:rsidRPr="0059462A">
        <w:rPr>
          <w:lang w:val="lt-LT"/>
        </w:rPr>
        <w:t xml:space="preserve">1/100 iki &lt;1/10); nedažnas (nuo </w:t>
      </w:r>
      <w:r w:rsidRPr="00FB39A9">
        <w:rPr>
          <w:lang w:val="lt-LT"/>
        </w:rPr>
        <w:sym w:font="Symbol" w:char="F0B3"/>
      </w:r>
      <w:r w:rsidRPr="0059462A">
        <w:rPr>
          <w:lang w:val="lt-LT"/>
        </w:rPr>
        <w:t xml:space="preserve">1/1000 iki &lt;1/100); retas (nuo </w:t>
      </w:r>
      <w:r w:rsidRPr="00FB39A9">
        <w:rPr>
          <w:lang w:val="lt-LT"/>
        </w:rPr>
        <w:sym w:font="Symbol" w:char="F0B3"/>
      </w:r>
      <w:r w:rsidRPr="0059462A">
        <w:rPr>
          <w:lang w:val="lt-LT"/>
        </w:rPr>
        <w:t>1/10000 iki &lt;1/1000); labai retas (&lt;1/10000), nežinomas (negali būti apskaičiuotas pagal turimus duomenis).</w:t>
      </w:r>
    </w:p>
    <w:p w14:paraId="46566D29" w14:textId="77777777" w:rsidR="00E3770F" w:rsidRPr="0059462A" w:rsidRDefault="00E3770F" w:rsidP="00E3770F">
      <w:pPr>
        <w:spacing w:line="240" w:lineRule="auto"/>
        <w:rPr>
          <w:lang w:val="lt-LT"/>
        </w:rPr>
      </w:pPr>
    </w:p>
    <w:p w14:paraId="7CA6A392" w14:textId="77777777" w:rsidR="00E3770F" w:rsidRPr="000E61E6" w:rsidRDefault="00E3770F" w:rsidP="00E3770F">
      <w:pPr>
        <w:pStyle w:val="Antrat3"/>
        <w:spacing w:before="0" w:after="0" w:line="240" w:lineRule="auto"/>
        <w:rPr>
          <w:b w:val="0"/>
          <w:lang w:val="lt-LT"/>
        </w:rPr>
      </w:pPr>
      <w:r w:rsidRPr="001F5E3D">
        <w:rPr>
          <w:rFonts w:ascii="Times New Roman" w:hAnsi="Times New Roman"/>
          <w:b w:val="0"/>
          <w:sz w:val="22"/>
          <w:lang w:val="lt-LT"/>
        </w:rPr>
        <w:t>3 lentelė. Zemplar kapsulių klinikinių tyrimų metu ir poregistraciniu laikotarpiu registruotos nepageidaujamos reakcijos</w:t>
      </w:r>
    </w:p>
    <w:p w14:paraId="1FDE048A" w14:textId="77777777" w:rsidR="00E3770F" w:rsidRPr="0059462A" w:rsidRDefault="00E3770F" w:rsidP="00E3770F">
      <w:pPr>
        <w:pStyle w:val="DefaultText"/>
        <w:spacing w:after="0"/>
        <w:rPr>
          <w:color w:val="000000"/>
          <w:lang w:val="lt-LT"/>
        </w:rPr>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430"/>
        <w:gridCol w:w="3420"/>
      </w:tblGrid>
      <w:tr w:rsidR="00E3770F" w:rsidRPr="0059462A" w14:paraId="27E9C945" w14:textId="77777777" w:rsidTr="00090260">
        <w:trPr>
          <w:trHeight w:val="759"/>
        </w:trPr>
        <w:tc>
          <w:tcPr>
            <w:tcW w:w="3060" w:type="dxa"/>
            <w:shd w:val="clear" w:color="auto" w:fill="auto"/>
          </w:tcPr>
          <w:p w14:paraId="2360D636" w14:textId="77777777" w:rsidR="00E3770F" w:rsidRPr="0059462A" w:rsidRDefault="00E3770F" w:rsidP="00090260">
            <w:pPr>
              <w:jc w:val="center"/>
              <w:rPr>
                <w:b/>
                <w:lang w:val="lt-LT"/>
              </w:rPr>
            </w:pPr>
            <w:r w:rsidRPr="0059462A">
              <w:rPr>
                <w:b/>
                <w:lang w:val="lt-LT"/>
              </w:rPr>
              <w:t>Organų sistemos klasė</w:t>
            </w:r>
          </w:p>
        </w:tc>
        <w:tc>
          <w:tcPr>
            <w:tcW w:w="2430" w:type="dxa"/>
            <w:shd w:val="clear" w:color="auto" w:fill="auto"/>
          </w:tcPr>
          <w:p w14:paraId="5506924F" w14:textId="77777777" w:rsidR="00E3770F" w:rsidRPr="0059462A" w:rsidRDefault="00E3770F" w:rsidP="00090260">
            <w:pPr>
              <w:jc w:val="center"/>
              <w:rPr>
                <w:rFonts w:asciiTheme="minorHAnsi" w:eastAsiaTheme="minorHAnsi" w:hAnsiTheme="minorHAnsi" w:cstheme="minorBidi"/>
                <w:b/>
                <w:szCs w:val="22"/>
                <w:lang w:val="lt-LT"/>
              </w:rPr>
            </w:pPr>
            <w:r w:rsidRPr="0059462A">
              <w:rPr>
                <w:b/>
                <w:lang w:val="lt-LT"/>
              </w:rPr>
              <w:t>Dažnis</w:t>
            </w:r>
            <w:r w:rsidRPr="0059462A">
              <w:rPr>
                <w:vertAlign w:val="superscript"/>
                <w:lang w:val="lt-LT"/>
              </w:rPr>
              <w:t>*</w:t>
            </w:r>
          </w:p>
        </w:tc>
        <w:tc>
          <w:tcPr>
            <w:tcW w:w="3420" w:type="dxa"/>
            <w:shd w:val="clear" w:color="auto" w:fill="auto"/>
          </w:tcPr>
          <w:p w14:paraId="7827BF7B" w14:textId="77777777" w:rsidR="00E3770F" w:rsidRPr="0059462A" w:rsidRDefault="00E3770F" w:rsidP="00090260">
            <w:pPr>
              <w:jc w:val="center"/>
              <w:rPr>
                <w:rFonts w:asciiTheme="minorHAnsi" w:eastAsiaTheme="minorHAnsi" w:hAnsiTheme="minorHAnsi" w:cstheme="minorBidi"/>
                <w:b/>
                <w:szCs w:val="22"/>
                <w:lang w:val="lt-LT"/>
              </w:rPr>
            </w:pPr>
            <w:r w:rsidRPr="0059462A">
              <w:rPr>
                <w:b/>
                <w:lang w:val="lt-LT"/>
              </w:rPr>
              <w:t>Nepageidaujama reakcija</w:t>
            </w:r>
          </w:p>
        </w:tc>
      </w:tr>
      <w:tr w:rsidR="00E3770F" w:rsidRPr="0059462A" w14:paraId="454A3E96" w14:textId="77777777" w:rsidTr="00090260">
        <w:trPr>
          <w:trHeight w:val="518"/>
        </w:trPr>
        <w:tc>
          <w:tcPr>
            <w:tcW w:w="3060" w:type="dxa"/>
            <w:shd w:val="clear" w:color="auto" w:fill="auto"/>
          </w:tcPr>
          <w:p w14:paraId="4EDB3202" w14:textId="77777777" w:rsidR="00E3770F" w:rsidRPr="0059462A" w:rsidRDefault="00E3770F" w:rsidP="00090260">
            <w:pPr>
              <w:rPr>
                <w:lang w:val="lt-LT"/>
              </w:rPr>
            </w:pPr>
            <w:r w:rsidRPr="0059462A">
              <w:rPr>
                <w:lang w:val="lt-LT"/>
              </w:rPr>
              <w:t>Infekcijos ir infestacijos</w:t>
            </w:r>
          </w:p>
        </w:tc>
        <w:tc>
          <w:tcPr>
            <w:tcW w:w="2430" w:type="dxa"/>
            <w:shd w:val="clear" w:color="auto" w:fill="auto"/>
          </w:tcPr>
          <w:p w14:paraId="4A1A5DAE" w14:textId="77777777" w:rsidR="00E3770F" w:rsidRPr="0059462A" w:rsidRDefault="00E3770F" w:rsidP="00090260">
            <w:pPr>
              <w:rPr>
                <w:rFonts w:asciiTheme="minorHAnsi" w:eastAsiaTheme="minorHAnsi" w:hAnsiTheme="minorHAnsi" w:cstheme="minorBidi"/>
                <w:szCs w:val="22"/>
                <w:lang w:val="lt-LT"/>
              </w:rPr>
            </w:pPr>
            <w:r w:rsidRPr="0059462A">
              <w:rPr>
                <w:lang w:val="lt-LT"/>
              </w:rPr>
              <w:t xml:space="preserve">Nedažnas </w:t>
            </w:r>
          </w:p>
        </w:tc>
        <w:tc>
          <w:tcPr>
            <w:tcW w:w="3420" w:type="dxa"/>
            <w:shd w:val="clear" w:color="auto" w:fill="auto"/>
          </w:tcPr>
          <w:p w14:paraId="7088A5B7" w14:textId="77777777" w:rsidR="00E3770F" w:rsidRPr="0059462A" w:rsidRDefault="00E3770F" w:rsidP="00090260">
            <w:pPr>
              <w:rPr>
                <w:rFonts w:asciiTheme="minorHAnsi" w:eastAsiaTheme="minorHAnsi" w:hAnsiTheme="minorHAnsi" w:cstheme="minorBidi"/>
                <w:szCs w:val="22"/>
                <w:lang w:val="lt-LT"/>
              </w:rPr>
            </w:pPr>
            <w:r w:rsidRPr="0059462A">
              <w:rPr>
                <w:lang w:val="lt-LT"/>
              </w:rPr>
              <w:t>Pneumonija</w:t>
            </w:r>
          </w:p>
        </w:tc>
      </w:tr>
      <w:tr w:rsidR="00E3770F" w:rsidRPr="0059462A" w14:paraId="545F116F" w14:textId="77777777" w:rsidTr="00090260">
        <w:trPr>
          <w:trHeight w:val="518"/>
        </w:trPr>
        <w:tc>
          <w:tcPr>
            <w:tcW w:w="3060" w:type="dxa"/>
            <w:vMerge w:val="restart"/>
            <w:shd w:val="clear" w:color="auto" w:fill="auto"/>
          </w:tcPr>
          <w:p w14:paraId="4C4FE9EA" w14:textId="77777777" w:rsidR="00E3770F" w:rsidRPr="0059462A" w:rsidRDefault="00E3770F" w:rsidP="00090260">
            <w:pPr>
              <w:rPr>
                <w:lang w:val="lt-LT"/>
              </w:rPr>
            </w:pPr>
            <w:r w:rsidRPr="0059462A">
              <w:rPr>
                <w:lang w:val="lt-LT"/>
              </w:rPr>
              <w:t>Imuninės sistemos sutrikimai</w:t>
            </w:r>
          </w:p>
        </w:tc>
        <w:tc>
          <w:tcPr>
            <w:tcW w:w="2430" w:type="dxa"/>
            <w:shd w:val="clear" w:color="auto" w:fill="auto"/>
          </w:tcPr>
          <w:p w14:paraId="30CDA5A7"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5C58C3DE" w14:textId="77777777" w:rsidR="00E3770F" w:rsidRPr="0059462A" w:rsidRDefault="00E3770F" w:rsidP="00090260">
            <w:pPr>
              <w:rPr>
                <w:rFonts w:asciiTheme="minorHAnsi" w:eastAsiaTheme="minorHAnsi" w:hAnsiTheme="minorHAnsi" w:cstheme="minorBidi"/>
                <w:szCs w:val="22"/>
                <w:lang w:val="lt-LT"/>
              </w:rPr>
            </w:pPr>
            <w:r w:rsidRPr="0059462A">
              <w:rPr>
                <w:lang w:val="lt-LT"/>
              </w:rPr>
              <w:t>Padidėjęs jautrumas</w:t>
            </w:r>
          </w:p>
        </w:tc>
      </w:tr>
      <w:tr w:rsidR="00E3770F" w:rsidRPr="0059462A" w14:paraId="0519D176" w14:textId="77777777" w:rsidTr="00090260">
        <w:trPr>
          <w:trHeight w:val="485"/>
        </w:trPr>
        <w:tc>
          <w:tcPr>
            <w:tcW w:w="3060" w:type="dxa"/>
            <w:vMerge/>
            <w:shd w:val="clear" w:color="auto" w:fill="auto"/>
          </w:tcPr>
          <w:p w14:paraId="5E2CBDD8" w14:textId="77777777" w:rsidR="00E3770F" w:rsidRPr="0059462A" w:rsidRDefault="00E3770F" w:rsidP="00090260">
            <w:pPr>
              <w:rPr>
                <w:lang w:val="lt-LT"/>
              </w:rPr>
            </w:pPr>
          </w:p>
        </w:tc>
        <w:tc>
          <w:tcPr>
            <w:tcW w:w="2430" w:type="dxa"/>
            <w:shd w:val="clear" w:color="auto" w:fill="auto"/>
          </w:tcPr>
          <w:p w14:paraId="757BDE3C" w14:textId="0E4AF6E9" w:rsidR="00E3770F" w:rsidRPr="0059462A" w:rsidRDefault="000E61E6" w:rsidP="00090260">
            <w:pPr>
              <w:rPr>
                <w:rFonts w:asciiTheme="minorHAnsi" w:eastAsiaTheme="minorHAnsi" w:hAnsiTheme="minorHAnsi" w:cstheme="minorBidi"/>
                <w:szCs w:val="22"/>
                <w:lang w:val="lt-LT"/>
              </w:rPr>
            </w:pPr>
            <w:r>
              <w:rPr>
                <w:lang w:val="lt-LT"/>
              </w:rPr>
              <w:t>N</w:t>
            </w:r>
            <w:r w:rsidR="00E3770F" w:rsidRPr="0059462A">
              <w:rPr>
                <w:lang w:val="lt-LT"/>
              </w:rPr>
              <w:t>ežinomas</w:t>
            </w:r>
          </w:p>
        </w:tc>
        <w:tc>
          <w:tcPr>
            <w:tcW w:w="3420" w:type="dxa"/>
            <w:shd w:val="clear" w:color="auto" w:fill="auto"/>
          </w:tcPr>
          <w:p w14:paraId="2C098AAD" w14:textId="77777777" w:rsidR="00E3770F" w:rsidRPr="0059462A" w:rsidRDefault="00E3770F" w:rsidP="00090260">
            <w:pPr>
              <w:rPr>
                <w:rFonts w:asciiTheme="minorHAnsi" w:eastAsiaTheme="minorHAnsi" w:hAnsiTheme="minorHAnsi" w:cstheme="minorBidi"/>
                <w:szCs w:val="22"/>
                <w:lang w:val="lt-LT"/>
              </w:rPr>
            </w:pPr>
            <w:r w:rsidRPr="0059462A">
              <w:rPr>
                <w:lang w:val="lt-LT"/>
              </w:rPr>
              <w:t>Angioneurozinė edema, gerklų edema</w:t>
            </w:r>
          </w:p>
        </w:tc>
      </w:tr>
      <w:tr w:rsidR="00E3770F" w:rsidRPr="0059462A" w14:paraId="1E554A26" w14:textId="77777777" w:rsidTr="00090260">
        <w:trPr>
          <w:trHeight w:val="518"/>
        </w:trPr>
        <w:tc>
          <w:tcPr>
            <w:tcW w:w="3060" w:type="dxa"/>
            <w:shd w:val="clear" w:color="auto" w:fill="auto"/>
          </w:tcPr>
          <w:p w14:paraId="4A8561B3" w14:textId="77777777" w:rsidR="00E3770F" w:rsidRPr="0059462A" w:rsidRDefault="00E3770F" w:rsidP="00090260">
            <w:pPr>
              <w:rPr>
                <w:lang w:val="lt-LT"/>
              </w:rPr>
            </w:pPr>
            <w:r w:rsidRPr="0059462A">
              <w:rPr>
                <w:lang w:val="lt-LT"/>
              </w:rPr>
              <w:t>Endokrininės sistemos sutrikimai</w:t>
            </w:r>
          </w:p>
        </w:tc>
        <w:tc>
          <w:tcPr>
            <w:tcW w:w="2430" w:type="dxa"/>
            <w:shd w:val="clear" w:color="auto" w:fill="auto"/>
          </w:tcPr>
          <w:p w14:paraId="7A01F4F4"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381F282E" w14:textId="77777777" w:rsidR="00E3770F" w:rsidRPr="0059462A" w:rsidRDefault="00E3770F" w:rsidP="00090260">
            <w:pPr>
              <w:rPr>
                <w:rFonts w:asciiTheme="minorHAnsi" w:eastAsiaTheme="minorHAnsi" w:hAnsiTheme="minorHAnsi" w:cstheme="minorBidi"/>
                <w:szCs w:val="22"/>
                <w:lang w:val="lt-LT"/>
              </w:rPr>
            </w:pPr>
            <w:r w:rsidRPr="0059462A">
              <w:rPr>
                <w:lang w:val="lt-LT"/>
              </w:rPr>
              <w:t>Hipoparatiroidizmas</w:t>
            </w:r>
          </w:p>
        </w:tc>
      </w:tr>
      <w:tr w:rsidR="00E3770F" w:rsidRPr="0059462A" w14:paraId="419E0486" w14:textId="77777777" w:rsidTr="00090260">
        <w:trPr>
          <w:trHeight w:val="518"/>
        </w:trPr>
        <w:tc>
          <w:tcPr>
            <w:tcW w:w="3060" w:type="dxa"/>
            <w:vMerge w:val="restart"/>
            <w:shd w:val="clear" w:color="auto" w:fill="auto"/>
          </w:tcPr>
          <w:p w14:paraId="490A5AB0" w14:textId="77777777" w:rsidR="00E3770F" w:rsidRPr="0059462A" w:rsidRDefault="00E3770F" w:rsidP="00090260">
            <w:pPr>
              <w:rPr>
                <w:lang w:val="lt-LT"/>
              </w:rPr>
            </w:pPr>
            <w:r w:rsidRPr="0059462A">
              <w:rPr>
                <w:lang w:val="lt-LT"/>
              </w:rPr>
              <w:t>Metabolizmo ir mitybos sutrikimai</w:t>
            </w:r>
          </w:p>
        </w:tc>
        <w:tc>
          <w:tcPr>
            <w:tcW w:w="2430" w:type="dxa"/>
            <w:shd w:val="clear" w:color="auto" w:fill="auto"/>
          </w:tcPr>
          <w:p w14:paraId="2D45E556" w14:textId="77777777" w:rsidR="00E3770F" w:rsidRPr="0059462A" w:rsidRDefault="00E3770F" w:rsidP="00090260">
            <w:pPr>
              <w:rPr>
                <w:rFonts w:asciiTheme="minorHAnsi" w:eastAsiaTheme="minorHAnsi" w:hAnsiTheme="minorHAnsi" w:cstheme="minorBidi"/>
                <w:szCs w:val="22"/>
                <w:lang w:val="lt-LT"/>
              </w:rPr>
            </w:pPr>
            <w:r w:rsidRPr="0059462A">
              <w:rPr>
                <w:lang w:val="lt-LT"/>
              </w:rPr>
              <w:t>Dažnas</w:t>
            </w:r>
          </w:p>
        </w:tc>
        <w:tc>
          <w:tcPr>
            <w:tcW w:w="3420" w:type="dxa"/>
            <w:shd w:val="clear" w:color="auto" w:fill="auto"/>
          </w:tcPr>
          <w:p w14:paraId="6D7BCE16" w14:textId="77777777" w:rsidR="00E3770F" w:rsidRPr="0059462A" w:rsidRDefault="00E3770F" w:rsidP="00090260">
            <w:pPr>
              <w:rPr>
                <w:rFonts w:asciiTheme="minorHAnsi" w:eastAsiaTheme="minorHAnsi" w:hAnsiTheme="minorHAnsi" w:cstheme="minorBidi"/>
                <w:szCs w:val="22"/>
                <w:lang w:val="lt-LT"/>
              </w:rPr>
            </w:pPr>
            <w:r w:rsidRPr="0059462A">
              <w:rPr>
                <w:lang w:val="lt-LT"/>
              </w:rPr>
              <w:t>Hiperkalcemija, hiperfosfatemija</w:t>
            </w:r>
          </w:p>
        </w:tc>
      </w:tr>
      <w:tr w:rsidR="00E3770F" w:rsidRPr="0059462A" w14:paraId="23EF819A" w14:textId="77777777" w:rsidTr="00090260">
        <w:trPr>
          <w:trHeight w:val="485"/>
        </w:trPr>
        <w:tc>
          <w:tcPr>
            <w:tcW w:w="3060" w:type="dxa"/>
            <w:vMerge/>
            <w:shd w:val="clear" w:color="auto" w:fill="auto"/>
          </w:tcPr>
          <w:p w14:paraId="66205D1F" w14:textId="77777777" w:rsidR="00E3770F" w:rsidRPr="0059462A" w:rsidRDefault="00E3770F" w:rsidP="00090260">
            <w:pPr>
              <w:rPr>
                <w:lang w:val="lt-LT"/>
              </w:rPr>
            </w:pPr>
          </w:p>
        </w:tc>
        <w:tc>
          <w:tcPr>
            <w:tcW w:w="2430" w:type="dxa"/>
            <w:shd w:val="clear" w:color="auto" w:fill="auto"/>
          </w:tcPr>
          <w:p w14:paraId="02A1634E"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046B502D" w14:textId="77777777" w:rsidR="00E3770F" w:rsidRPr="0059462A" w:rsidRDefault="00E3770F" w:rsidP="00090260">
            <w:pPr>
              <w:rPr>
                <w:rFonts w:asciiTheme="minorHAnsi" w:eastAsiaTheme="minorHAnsi" w:hAnsiTheme="minorHAnsi" w:cstheme="minorBidi"/>
                <w:szCs w:val="22"/>
                <w:lang w:val="lt-LT"/>
              </w:rPr>
            </w:pPr>
            <w:r w:rsidRPr="0059462A">
              <w:rPr>
                <w:lang w:val="lt-LT"/>
              </w:rPr>
              <w:t>Sumažėjęs apetitas, hipokalcemija</w:t>
            </w:r>
          </w:p>
        </w:tc>
      </w:tr>
      <w:tr w:rsidR="00E3770F" w:rsidRPr="0059462A" w14:paraId="5DF8AC60" w14:textId="77777777" w:rsidTr="00090260">
        <w:trPr>
          <w:trHeight w:val="518"/>
        </w:trPr>
        <w:tc>
          <w:tcPr>
            <w:tcW w:w="3060" w:type="dxa"/>
            <w:shd w:val="clear" w:color="auto" w:fill="auto"/>
          </w:tcPr>
          <w:p w14:paraId="364BC4B5" w14:textId="77777777" w:rsidR="00E3770F" w:rsidRPr="0059462A" w:rsidRDefault="00E3770F" w:rsidP="00090260">
            <w:pPr>
              <w:rPr>
                <w:lang w:val="lt-LT"/>
              </w:rPr>
            </w:pPr>
            <w:r w:rsidRPr="0059462A">
              <w:rPr>
                <w:lang w:val="lt-LT"/>
              </w:rPr>
              <w:t>Nervų sistemos sutrikimai</w:t>
            </w:r>
          </w:p>
        </w:tc>
        <w:tc>
          <w:tcPr>
            <w:tcW w:w="2430" w:type="dxa"/>
            <w:shd w:val="clear" w:color="auto" w:fill="auto"/>
          </w:tcPr>
          <w:p w14:paraId="13C62132"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32F43742" w14:textId="77777777" w:rsidR="00E3770F" w:rsidRPr="0059462A" w:rsidRDefault="00E3770F" w:rsidP="00090260">
            <w:pPr>
              <w:rPr>
                <w:rFonts w:asciiTheme="minorHAnsi" w:eastAsiaTheme="minorHAnsi" w:hAnsiTheme="minorHAnsi" w:cstheme="minorBidi"/>
                <w:szCs w:val="22"/>
                <w:lang w:val="lt-LT"/>
              </w:rPr>
            </w:pPr>
            <w:r w:rsidRPr="0059462A">
              <w:rPr>
                <w:lang w:val="lt-LT"/>
              </w:rPr>
              <w:t>Galvos svaigimas, disgeuzija, galvos skausmas</w:t>
            </w:r>
          </w:p>
        </w:tc>
      </w:tr>
      <w:tr w:rsidR="00E3770F" w:rsidRPr="0059462A" w14:paraId="3913A113" w14:textId="77777777" w:rsidTr="00090260">
        <w:trPr>
          <w:trHeight w:val="518"/>
        </w:trPr>
        <w:tc>
          <w:tcPr>
            <w:tcW w:w="3060" w:type="dxa"/>
            <w:shd w:val="clear" w:color="auto" w:fill="auto"/>
          </w:tcPr>
          <w:p w14:paraId="27F9D111" w14:textId="77777777" w:rsidR="00E3770F" w:rsidRPr="0059462A" w:rsidRDefault="00E3770F" w:rsidP="00090260">
            <w:pPr>
              <w:rPr>
                <w:lang w:val="lt-LT"/>
              </w:rPr>
            </w:pPr>
            <w:r w:rsidRPr="0059462A">
              <w:rPr>
                <w:lang w:val="lt-LT"/>
              </w:rPr>
              <w:t>Širdies sutrikimai</w:t>
            </w:r>
          </w:p>
        </w:tc>
        <w:tc>
          <w:tcPr>
            <w:tcW w:w="2430" w:type="dxa"/>
            <w:shd w:val="clear" w:color="auto" w:fill="auto"/>
          </w:tcPr>
          <w:p w14:paraId="35D64C1F"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79331E05" w14:textId="77777777" w:rsidR="00E3770F" w:rsidRPr="0059462A" w:rsidRDefault="00E3770F" w:rsidP="00090260">
            <w:pPr>
              <w:rPr>
                <w:rFonts w:asciiTheme="minorHAnsi" w:eastAsiaTheme="minorHAnsi" w:hAnsiTheme="minorHAnsi" w:cstheme="minorBidi"/>
                <w:szCs w:val="22"/>
                <w:lang w:val="lt-LT"/>
              </w:rPr>
            </w:pPr>
            <w:r w:rsidRPr="0059462A">
              <w:rPr>
                <w:lang w:val="lt-LT"/>
              </w:rPr>
              <w:t>Palpitacijos</w:t>
            </w:r>
          </w:p>
        </w:tc>
      </w:tr>
      <w:tr w:rsidR="00E3770F" w:rsidRPr="00641255" w14:paraId="2A1FA5A1" w14:textId="77777777" w:rsidTr="00090260">
        <w:trPr>
          <w:trHeight w:val="1037"/>
        </w:trPr>
        <w:tc>
          <w:tcPr>
            <w:tcW w:w="3060" w:type="dxa"/>
            <w:shd w:val="clear" w:color="auto" w:fill="auto"/>
          </w:tcPr>
          <w:p w14:paraId="41172819" w14:textId="77777777" w:rsidR="00E3770F" w:rsidRPr="0059462A" w:rsidRDefault="00E3770F" w:rsidP="00090260">
            <w:pPr>
              <w:rPr>
                <w:lang w:val="lt-LT"/>
              </w:rPr>
            </w:pPr>
            <w:r w:rsidRPr="0059462A">
              <w:rPr>
                <w:lang w:val="lt-LT"/>
              </w:rPr>
              <w:t>Virškinimo trakto sutrikimai</w:t>
            </w:r>
          </w:p>
        </w:tc>
        <w:tc>
          <w:tcPr>
            <w:tcW w:w="2430" w:type="dxa"/>
            <w:shd w:val="clear" w:color="auto" w:fill="auto"/>
          </w:tcPr>
          <w:p w14:paraId="306A2AE3"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73FC1E34" w14:textId="77777777" w:rsidR="00E3770F" w:rsidRPr="0059462A" w:rsidRDefault="00E3770F" w:rsidP="00090260">
            <w:pPr>
              <w:rPr>
                <w:rFonts w:asciiTheme="minorHAnsi" w:eastAsiaTheme="minorHAnsi" w:hAnsiTheme="minorHAnsi" w:cstheme="minorBidi"/>
                <w:szCs w:val="22"/>
                <w:lang w:val="lt-LT"/>
              </w:rPr>
            </w:pPr>
            <w:r w:rsidRPr="0059462A">
              <w:rPr>
                <w:lang w:val="lt-LT"/>
              </w:rPr>
              <w:t>Diskomfortas pilve, skausmas pilvo viršutinėje dalyje, vidurių užkietėjimas, viduriavimas, burnos džiuvimas, gastroezofaginio refliukso liga, negerumas (pykinimas), vėmimas</w:t>
            </w:r>
          </w:p>
        </w:tc>
      </w:tr>
      <w:tr w:rsidR="00E3770F" w:rsidRPr="0059462A" w14:paraId="43EC7451" w14:textId="77777777" w:rsidTr="00090260">
        <w:trPr>
          <w:trHeight w:val="518"/>
        </w:trPr>
        <w:tc>
          <w:tcPr>
            <w:tcW w:w="3060" w:type="dxa"/>
            <w:shd w:val="clear" w:color="auto" w:fill="auto"/>
          </w:tcPr>
          <w:p w14:paraId="1B21EB54" w14:textId="77777777" w:rsidR="00E3770F" w:rsidRPr="0059462A" w:rsidRDefault="00E3770F" w:rsidP="00090260">
            <w:pPr>
              <w:rPr>
                <w:lang w:val="lt-LT"/>
              </w:rPr>
            </w:pPr>
            <w:r w:rsidRPr="0059462A">
              <w:rPr>
                <w:lang w:val="lt-LT"/>
              </w:rPr>
              <w:t>Odos ir poodinio audinio sutrikimai</w:t>
            </w:r>
          </w:p>
        </w:tc>
        <w:tc>
          <w:tcPr>
            <w:tcW w:w="2430" w:type="dxa"/>
            <w:shd w:val="clear" w:color="auto" w:fill="auto"/>
          </w:tcPr>
          <w:p w14:paraId="7F4DC72F"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65DF55D3" w14:textId="77777777" w:rsidR="00E3770F" w:rsidRPr="0059462A" w:rsidRDefault="00E3770F" w:rsidP="00090260">
            <w:pPr>
              <w:rPr>
                <w:rFonts w:asciiTheme="minorHAnsi" w:eastAsiaTheme="minorHAnsi" w:hAnsiTheme="minorHAnsi" w:cstheme="minorBidi"/>
                <w:szCs w:val="22"/>
                <w:lang w:val="lt-LT"/>
              </w:rPr>
            </w:pPr>
            <w:r w:rsidRPr="0059462A">
              <w:rPr>
                <w:lang w:val="lt-LT"/>
              </w:rPr>
              <w:t>Aknė, niežulys, išbėrimas, dilgėlinė</w:t>
            </w:r>
          </w:p>
        </w:tc>
      </w:tr>
      <w:tr w:rsidR="00E3770F" w:rsidRPr="0059462A" w14:paraId="2FF83EAB" w14:textId="77777777" w:rsidTr="00090260">
        <w:trPr>
          <w:trHeight w:val="518"/>
        </w:trPr>
        <w:tc>
          <w:tcPr>
            <w:tcW w:w="3060" w:type="dxa"/>
            <w:shd w:val="clear" w:color="auto" w:fill="auto"/>
          </w:tcPr>
          <w:p w14:paraId="61371A25" w14:textId="77777777" w:rsidR="00E3770F" w:rsidRPr="0059462A" w:rsidRDefault="00E3770F" w:rsidP="00090260">
            <w:pPr>
              <w:rPr>
                <w:lang w:val="lt-LT"/>
              </w:rPr>
            </w:pPr>
            <w:r w:rsidRPr="0059462A">
              <w:rPr>
                <w:lang w:val="lt-LT"/>
              </w:rPr>
              <w:t>Skeleto, raumenų ir jungiamojo audinio sutrikimai</w:t>
            </w:r>
          </w:p>
        </w:tc>
        <w:tc>
          <w:tcPr>
            <w:tcW w:w="2430" w:type="dxa"/>
            <w:shd w:val="clear" w:color="auto" w:fill="auto"/>
          </w:tcPr>
          <w:p w14:paraId="19F2EBAA"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174793A7" w14:textId="77777777" w:rsidR="00E3770F" w:rsidRPr="0059462A" w:rsidRDefault="00E3770F" w:rsidP="00090260">
            <w:pPr>
              <w:rPr>
                <w:rFonts w:asciiTheme="minorHAnsi" w:eastAsiaTheme="minorHAnsi" w:hAnsiTheme="minorHAnsi" w:cstheme="minorBidi"/>
                <w:szCs w:val="22"/>
                <w:lang w:val="lt-LT"/>
              </w:rPr>
            </w:pPr>
            <w:r w:rsidRPr="0059462A">
              <w:rPr>
                <w:lang w:val="lt-LT"/>
              </w:rPr>
              <w:t>Raumenų spazmai, raumenų skausmas</w:t>
            </w:r>
          </w:p>
        </w:tc>
      </w:tr>
      <w:tr w:rsidR="00E3770F" w:rsidRPr="0059462A" w14:paraId="01E8B84B" w14:textId="77777777" w:rsidTr="00090260">
        <w:trPr>
          <w:trHeight w:val="518"/>
        </w:trPr>
        <w:tc>
          <w:tcPr>
            <w:tcW w:w="3060" w:type="dxa"/>
            <w:shd w:val="clear" w:color="auto" w:fill="auto"/>
          </w:tcPr>
          <w:p w14:paraId="6188E728" w14:textId="77777777" w:rsidR="00E3770F" w:rsidRPr="0059462A" w:rsidRDefault="00E3770F" w:rsidP="00090260">
            <w:pPr>
              <w:rPr>
                <w:lang w:val="lt-LT"/>
              </w:rPr>
            </w:pPr>
            <w:r w:rsidRPr="0059462A">
              <w:rPr>
                <w:lang w:val="lt-LT"/>
              </w:rPr>
              <w:t>Lytinės sistemos ir krūties sutrikimai</w:t>
            </w:r>
          </w:p>
        </w:tc>
        <w:tc>
          <w:tcPr>
            <w:tcW w:w="2430" w:type="dxa"/>
            <w:shd w:val="clear" w:color="auto" w:fill="auto"/>
          </w:tcPr>
          <w:p w14:paraId="5C18DCD8"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40DD3937" w14:textId="77777777" w:rsidR="00E3770F" w:rsidRPr="0059462A" w:rsidRDefault="00E3770F" w:rsidP="00090260">
            <w:pPr>
              <w:rPr>
                <w:rFonts w:asciiTheme="minorHAnsi" w:eastAsiaTheme="minorHAnsi" w:hAnsiTheme="minorHAnsi" w:cstheme="minorBidi"/>
                <w:szCs w:val="22"/>
                <w:lang w:val="lt-LT"/>
              </w:rPr>
            </w:pPr>
            <w:r w:rsidRPr="0059462A">
              <w:rPr>
                <w:lang w:val="lt-LT"/>
              </w:rPr>
              <w:t>Krūtų jautrumas</w:t>
            </w:r>
          </w:p>
        </w:tc>
      </w:tr>
      <w:tr w:rsidR="00E3770F" w:rsidRPr="0059462A" w14:paraId="7857F955" w14:textId="77777777" w:rsidTr="00090260">
        <w:trPr>
          <w:trHeight w:val="518"/>
        </w:trPr>
        <w:tc>
          <w:tcPr>
            <w:tcW w:w="3060" w:type="dxa"/>
            <w:shd w:val="clear" w:color="auto" w:fill="auto"/>
          </w:tcPr>
          <w:p w14:paraId="57F2C965" w14:textId="77777777" w:rsidR="00E3770F" w:rsidRPr="0059462A" w:rsidRDefault="00E3770F" w:rsidP="00090260">
            <w:pPr>
              <w:rPr>
                <w:lang w:val="lt-LT"/>
              </w:rPr>
            </w:pPr>
            <w:r w:rsidRPr="0059462A">
              <w:rPr>
                <w:lang w:val="lt-LT"/>
              </w:rPr>
              <w:t>Bendrieji sutrikimai ir vartojimo vietos pažeidimai</w:t>
            </w:r>
          </w:p>
        </w:tc>
        <w:tc>
          <w:tcPr>
            <w:tcW w:w="2430" w:type="dxa"/>
            <w:shd w:val="clear" w:color="auto" w:fill="auto"/>
          </w:tcPr>
          <w:p w14:paraId="182511B8"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61258B25" w14:textId="77777777" w:rsidR="00E3770F" w:rsidRPr="0059462A" w:rsidRDefault="00E3770F" w:rsidP="00090260">
            <w:pPr>
              <w:rPr>
                <w:rFonts w:asciiTheme="minorHAnsi" w:eastAsiaTheme="minorHAnsi" w:hAnsiTheme="minorHAnsi" w:cstheme="minorBidi"/>
                <w:szCs w:val="22"/>
                <w:lang w:val="lt-LT"/>
              </w:rPr>
            </w:pPr>
            <w:r w:rsidRPr="0059462A">
              <w:rPr>
                <w:lang w:val="lt-LT"/>
              </w:rPr>
              <w:t>Astenija, bendras negalavimas, periferinė edema, skausmas</w:t>
            </w:r>
          </w:p>
        </w:tc>
      </w:tr>
      <w:tr w:rsidR="00E3770F" w:rsidRPr="0059462A" w14:paraId="5EC17635" w14:textId="77777777" w:rsidTr="00090260">
        <w:trPr>
          <w:trHeight w:val="518"/>
        </w:trPr>
        <w:tc>
          <w:tcPr>
            <w:tcW w:w="3060" w:type="dxa"/>
            <w:vMerge w:val="restart"/>
            <w:shd w:val="clear" w:color="auto" w:fill="auto"/>
          </w:tcPr>
          <w:p w14:paraId="62052B7C" w14:textId="77777777" w:rsidR="00E3770F" w:rsidRPr="0059462A" w:rsidRDefault="00E3770F" w:rsidP="00090260">
            <w:pPr>
              <w:rPr>
                <w:lang w:val="lt-LT"/>
              </w:rPr>
            </w:pPr>
            <w:r w:rsidRPr="0059462A">
              <w:rPr>
                <w:lang w:val="lt-LT"/>
              </w:rPr>
              <w:t>Tyrimai</w:t>
            </w:r>
          </w:p>
        </w:tc>
        <w:tc>
          <w:tcPr>
            <w:tcW w:w="2430" w:type="dxa"/>
            <w:shd w:val="clear" w:color="auto" w:fill="auto"/>
          </w:tcPr>
          <w:p w14:paraId="7B622CC1" w14:textId="77777777" w:rsidR="00E3770F" w:rsidRPr="0059462A" w:rsidRDefault="00E3770F" w:rsidP="00090260">
            <w:pPr>
              <w:rPr>
                <w:rFonts w:asciiTheme="minorHAnsi" w:eastAsiaTheme="minorHAnsi" w:hAnsiTheme="minorHAnsi" w:cstheme="minorBidi"/>
                <w:szCs w:val="22"/>
                <w:lang w:val="lt-LT"/>
              </w:rPr>
            </w:pPr>
            <w:r w:rsidRPr="0059462A">
              <w:rPr>
                <w:lang w:val="lt-LT"/>
              </w:rPr>
              <w:t>Dažnas</w:t>
            </w:r>
          </w:p>
        </w:tc>
        <w:tc>
          <w:tcPr>
            <w:tcW w:w="3420" w:type="dxa"/>
            <w:shd w:val="clear" w:color="auto" w:fill="auto"/>
          </w:tcPr>
          <w:p w14:paraId="005BD9DC" w14:textId="77777777" w:rsidR="00E3770F" w:rsidRPr="0059462A" w:rsidRDefault="00E3770F" w:rsidP="00090260">
            <w:pPr>
              <w:rPr>
                <w:rFonts w:asciiTheme="minorHAnsi" w:eastAsiaTheme="minorHAnsi" w:hAnsiTheme="minorHAnsi" w:cstheme="minorBidi"/>
                <w:szCs w:val="22"/>
                <w:lang w:val="lt-LT"/>
              </w:rPr>
            </w:pPr>
            <w:r w:rsidRPr="0059462A">
              <w:rPr>
                <w:lang w:val="lt-LT"/>
              </w:rPr>
              <w:t xml:space="preserve">Kalcio fosfatų kiekio padidėjimas </w:t>
            </w:r>
          </w:p>
        </w:tc>
      </w:tr>
      <w:tr w:rsidR="00E3770F" w:rsidRPr="00641255" w14:paraId="56142CCB" w14:textId="77777777" w:rsidTr="00090260">
        <w:trPr>
          <w:trHeight w:val="521"/>
        </w:trPr>
        <w:tc>
          <w:tcPr>
            <w:tcW w:w="3060" w:type="dxa"/>
            <w:vMerge/>
            <w:shd w:val="clear" w:color="auto" w:fill="auto"/>
          </w:tcPr>
          <w:p w14:paraId="3EE0AC51" w14:textId="77777777" w:rsidR="00E3770F" w:rsidRPr="0059462A" w:rsidRDefault="00E3770F" w:rsidP="00090260">
            <w:pPr>
              <w:rPr>
                <w:lang w:val="lt-LT"/>
              </w:rPr>
            </w:pPr>
          </w:p>
        </w:tc>
        <w:tc>
          <w:tcPr>
            <w:tcW w:w="2430" w:type="dxa"/>
            <w:shd w:val="clear" w:color="auto" w:fill="auto"/>
          </w:tcPr>
          <w:p w14:paraId="4C3F7837" w14:textId="77777777" w:rsidR="00E3770F" w:rsidRPr="0059462A" w:rsidRDefault="00E3770F" w:rsidP="00090260">
            <w:pPr>
              <w:rPr>
                <w:rFonts w:asciiTheme="minorHAnsi" w:eastAsiaTheme="minorHAnsi" w:hAnsiTheme="minorHAnsi" w:cstheme="minorBidi"/>
                <w:szCs w:val="22"/>
                <w:lang w:val="lt-LT"/>
              </w:rPr>
            </w:pPr>
            <w:r w:rsidRPr="0059462A">
              <w:rPr>
                <w:lang w:val="lt-LT"/>
              </w:rPr>
              <w:t>Nedažnas</w:t>
            </w:r>
          </w:p>
        </w:tc>
        <w:tc>
          <w:tcPr>
            <w:tcW w:w="3420" w:type="dxa"/>
            <w:shd w:val="clear" w:color="auto" w:fill="auto"/>
          </w:tcPr>
          <w:p w14:paraId="39F3B930" w14:textId="77777777" w:rsidR="00E3770F" w:rsidRPr="0059462A" w:rsidRDefault="00E3770F" w:rsidP="00090260">
            <w:pPr>
              <w:rPr>
                <w:rFonts w:asciiTheme="minorHAnsi" w:eastAsiaTheme="minorHAnsi" w:hAnsiTheme="minorHAnsi" w:cstheme="minorBidi"/>
                <w:szCs w:val="22"/>
                <w:lang w:val="lt-LT"/>
              </w:rPr>
            </w:pPr>
            <w:r w:rsidRPr="0059462A">
              <w:rPr>
                <w:lang w:val="lt-LT"/>
              </w:rPr>
              <w:t>Kreatinino kiekio padidėjimas kraujyje</w:t>
            </w:r>
            <w:r w:rsidRPr="0059462A">
              <w:rPr>
                <w:vertAlign w:val="superscript"/>
                <w:lang w:val="lt-LT"/>
              </w:rPr>
              <w:t>†</w:t>
            </w:r>
            <w:r w:rsidRPr="0059462A">
              <w:rPr>
                <w:lang w:val="lt-LT"/>
              </w:rPr>
              <w:t>, pakitęs kepenų fermentų aktyvumas</w:t>
            </w:r>
          </w:p>
        </w:tc>
      </w:tr>
    </w:tbl>
    <w:p w14:paraId="5F075717" w14:textId="77777777" w:rsidR="00E3770F" w:rsidRPr="0059462A" w:rsidRDefault="00E3770F" w:rsidP="00E3770F">
      <w:pPr>
        <w:pStyle w:val="DefaultText"/>
        <w:spacing w:after="0"/>
        <w:rPr>
          <w:color w:val="000000"/>
          <w:lang w:val="lt-LT"/>
        </w:rPr>
      </w:pPr>
      <w:r w:rsidRPr="0059462A">
        <w:rPr>
          <w:rFonts w:ascii="Times New Roman" w:hAnsi="Times New Roman"/>
          <w:color w:val="000000"/>
          <w:lang w:val="lt-LT"/>
        </w:rPr>
        <w:lastRenderedPageBreak/>
        <w:t>*Nepageidaujamų reakcijų, pasireiškusių poregistraciniu laikotarpiu, dažnis negali būti apskaičiuotas ir yra pateikiamas kaip nežinomas.</w:t>
      </w:r>
    </w:p>
    <w:p w14:paraId="37A4E40C" w14:textId="77777777" w:rsidR="00E3770F" w:rsidRPr="0059462A" w:rsidRDefault="00E3770F" w:rsidP="00E3770F">
      <w:pPr>
        <w:pStyle w:val="DefaultText"/>
        <w:spacing w:after="0"/>
        <w:rPr>
          <w:color w:val="000000"/>
          <w:lang w:val="lt-LT"/>
        </w:rPr>
      </w:pPr>
      <w:r w:rsidRPr="0059462A">
        <w:rPr>
          <w:rFonts w:ascii="Times New Roman" w:hAnsi="Times New Roman"/>
          <w:color w:val="000000"/>
          <w:vertAlign w:val="superscript"/>
          <w:lang w:val="lt-LT"/>
        </w:rPr>
        <w:t>†</w:t>
      </w:r>
      <w:r w:rsidRPr="0059462A">
        <w:rPr>
          <w:rFonts w:ascii="Times New Roman" w:hAnsi="Times New Roman"/>
          <w:color w:val="000000"/>
          <w:lang w:val="lt-LT"/>
        </w:rPr>
        <w:t>Ši nepageidaujama reakcija buvo pastebėta tyrimo su pacientais, kuriems dar nėra atliekama dializė, metu (taip pat žr. 4.4 skyrių).</w:t>
      </w:r>
    </w:p>
    <w:p w14:paraId="4BCD8044" w14:textId="77777777" w:rsidR="00E3770F" w:rsidRPr="0059462A" w:rsidRDefault="00E3770F" w:rsidP="00E3770F">
      <w:pPr>
        <w:pStyle w:val="DefaultText"/>
        <w:spacing w:after="0"/>
        <w:rPr>
          <w:color w:val="000000"/>
          <w:lang w:val="lt-LT"/>
        </w:rPr>
      </w:pPr>
    </w:p>
    <w:p w14:paraId="25BE9DBA" w14:textId="77777777" w:rsidR="00E3770F" w:rsidRPr="001F5E3D" w:rsidRDefault="00E3770F" w:rsidP="00E3770F">
      <w:pPr>
        <w:autoSpaceDE w:val="0"/>
        <w:autoSpaceDN w:val="0"/>
        <w:adjustRightInd w:val="0"/>
        <w:rPr>
          <w:color w:val="000000"/>
          <w:u w:val="single"/>
          <w:lang w:val="lt-LT"/>
        </w:rPr>
      </w:pPr>
      <w:r w:rsidRPr="001F5E3D">
        <w:rPr>
          <w:color w:val="000000"/>
          <w:u w:val="single"/>
          <w:lang w:val="lt-LT"/>
        </w:rPr>
        <w:t>Vaikų populiacija</w:t>
      </w:r>
    </w:p>
    <w:p w14:paraId="1CB5A710" w14:textId="77777777" w:rsidR="00E3770F" w:rsidRPr="0059462A" w:rsidRDefault="00E3770F" w:rsidP="00E3770F">
      <w:pPr>
        <w:autoSpaceDE w:val="0"/>
        <w:autoSpaceDN w:val="0"/>
        <w:adjustRightInd w:val="0"/>
        <w:rPr>
          <w:color w:val="000000"/>
          <w:lang w:val="lt-LT"/>
        </w:rPr>
      </w:pPr>
    </w:p>
    <w:p w14:paraId="7FD6D704" w14:textId="77777777" w:rsidR="00E3770F" w:rsidRPr="0059462A" w:rsidRDefault="00E3770F" w:rsidP="00E3770F">
      <w:pPr>
        <w:pStyle w:val="DefaultText"/>
        <w:spacing w:after="0"/>
        <w:rPr>
          <w:rFonts w:ascii="Times New Roman" w:hAnsi="Times New Roman" w:cs="Times New Roman"/>
          <w:color w:val="000000"/>
          <w:lang w:val="lt-LT"/>
        </w:rPr>
      </w:pPr>
      <w:r w:rsidRPr="0059462A">
        <w:rPr>
          <w:rFonts w:ascii="Times New Roman" w:hAnsi="Times New Roman" w:cs="Times New Roman"/>
          <w:color w:val="000000"/>
          <w:lang w:val="lt-LT"/>
        </w:rPr>
        <w:t>10 metų ir vyresnių vaikų saugumo profilis yra panašus, kaip ir suaugusių žmonių. Parikalcitoliu gydytiems pacientams pasireiškusios nepageidaujamos reakcijos buvo hiperkalcemija (4/47, 9 %), hiperfosfatemija (2/47, 4 %), galvos skausmas (1/47, 2 %) ir pykinimas (1/47, 2 %).</w:t>
      </w:r>
    </w:p>
    <w:p w14:paraId="7003BC38" w14:textId="77777777" w:rsidR="00E3770F" w:rsidRPr="0059462A" w:rsidRDefault="00E3770F" w:rsidP="00E3770F">
      <w:pPr>
        <w:pStyle w:val="DefaultText"/>
        <w:spacing w:after="0"/>
        <w:rPr>
          <w:color w:val="000000"/>
          <w:lang w:val="lt-LT"/>
        </w:rPr>
      </w:pPr>
    </w:p>
    <w:p w14:paraId="5A58B5A4" w14:textId="77777777" w:rsidR="00E3770F" w:rsidRPr="0059462A" w:rsidRDefault="00E3770F" w:rsidP="00E3770F">
      <w:pPr>
        <w:autoSpaceDE w:val="0"/>
        <w:autoSpaceDN w:val="0"/>
        <w:adjustRightInd w:val="0"/>
        <w:jc w:val="both"/>
        <w:rPr>
          <w:rFonts w:asciiTheme="minorHAnsi" w:eastAsiaTheme="minorHAnsi" w:hAnsiTheme="minorHAnsi" w:cstheme="minorBidi"/>
          <w:szCs w:val="22"/>
          <w:u w:val="single"/>
          <w:lang w:val="lt-LT"/>
        </w:rPr>
      </w:pPr>
      <w:r w:rsidRPr="0059462A">
        <w:rPr>
          <w:u w:val="single"/>
          <w:lang w:val="lt-LT"/>
        </w:rPr>
        <w:t>Pranešimas apie įtariamas nepageidaujamas reakcijas</w:t>
      </w:r>
    </w:p>
    <w:p w14:paraId="183D33D1" w14:textId="77777777" w:rsidR="00E3770F" w:rsidRPr="00FB39A9" w:rsidRDefault="00E3770F" w:rsidP="00E3770F">
      <w:pPr>
        <w:pStyle w:val="DefaultText"/>
        <w:spacing w:after="0"/>
        <w:rPr>
          <w:rFonts w:ascii="Times New Roman" w:hAnsi="Times New Roman"/>
          <w:lang w:val="lt-LT"/>
        </w:rPr>
      </w:pPr>
    </w:p>
    <w:p w14:paraId="7EF9873A" w14:textId="77777777" w:rsidR="00E3770F" w:rsidRPr="0059462A" w:rsidRDefault="00E3770F" w:rsidP="00E3770F">
      <w:pPr>
        <w:pStyle w:val="DefaultText"/>
        <w:spacing w:after="0"/>
        <w:rPr>
          <w:lang w:val="lt-LT"/>
        </w:rPr>
      </w:pPr>
      <w:r w:rsidRPr="0059462A">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5C5C603" w14:textId="77777777" w:rsidR="00E3770F" w:rsidRPr="0059462A" w:rsidRDefault="00E3770F" w:rsidP="00E3770F">
      <w:pPr>
        <w:pStyle w:val="DefaultText"/>
        <w:spacing w:after="0"/>
        <w:rPr>
          <w:color w:val="000000"/>
          <w:lang w:val="lt-LT"/>
        </w:rPr>
      </w:pPr>
    </w:p>
    <w:p w14:paraId="4F4A4A5D"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4.9</w:t>
      </w:r>
      <w:r w:rsidRPr="0059462A">
        <w:rPr>
          <w:b/>
          <w:lang w:val="lt-LT"/>
        </w:rPr>
        <w:tab/>
        <w:t>Perdozavimas</w:t>
      </w:r>
    </w:p>
    <w:p w14:paraId="7013B37D" w14:textId="77777777" w:rsidR="00E3770F" w:rsidRPr="0059462A" w:rsidRDefault="00E3770F" w:rsidP="00E3770F">
      <w:pPr>
        <w:rPr>
          <w:lang w:val="lt-LT"/>
        </w:rPr>
      </w:pPr>
    </w:p>
    <w:p w14:paraId="3ED9BD38" w14:textId="77777777" w:rsidR="00E3770F" w:rsidRPr="0059462A" w:rsidRDefault="00E3770F" w:rsidP="00E3770F">
      <w:pPr>
        <w:pStyle w:val="DefaultText"/>
        <w:overflowPunct/>
        <w:autoSpaceDE/>
        <w:autoSpaceDN/>
        <w:adjustRightInd/>
        <w:spacing w:after="0"/>
        <w:textAlignment w:val="auto"/>
        <w:rPr>
          <w:lang w:val="lt-LT"/>
        </w:rPr>
      </w:pPr>
      <w:r w:rsidRPr="0059462A">
        <w:rPr>
          <w:rFonts w:ascii="Times New Roman" w:hAnsi="Times New Roman"/>
          <w:lang w:val="lt-LT"/>
        </w:rPr>
        <w:t>Pavartojus per daug Zemplar kapsulių gali pasireikšti hiperkalcemija, hiperkalciurija, hiperfosfatemija ir per didelis paratiroidinio hormono slopinimas. Panašūs sutrikimai gali pasireikšti kartu su Zemplar kapsulėmis vartojant per daug kalcio ir fosfatų.</w:t>
      </w:r>
    </w:p>
    <w:p w14:paraId="423CDC18" w14:textId="77777777" w:rsidR="00E3770F" w:rsidRPr="0059462A" w:rsidRDefault="00E3770F" w:rsidP="00E3770F">
      <w:pPr>
        <w:rPr>
          <w:lang w:val="lt-LT"/>
        </w:rPr>
      </w:pPr>
      <w:r w:rsidRPr="0059462A">
        <w:rPr>
          <w:lang w:val="lt-LT"/>
        </w:rPr>
        <w:t xml:space="preserve"> </w:t>
      </w:r>
    </w:p>
    <w:p w14:paraId="33D45AE3" w14:textId="77777777" w:rsidR="00E3770F" w:rsidRPr="0059462A" w:rsidRDefault="00E3770F" w:rsidP="00E3770F">
      <w:pPr>
        <w:rPr>
          <w:rFonts w:asciiTheme="minorHAnsi" w:eastAsiaTheme="minorHAnsi" w:hAnsiTheme="minorHAnsi" w:cstheme="minorBidi"/>
          <w:szCs w:val="22"/>
          <w:lang w:val="lt-LT"/>
        </w:rPr>
      </w:pPr>
      <w:r w:rsidRPr="0059462A">
        <w:rPr>
          <w:lang w:val="lt-LT"/>
        </w:rPr>
        <w:t>Pacientų, kuriems pasireiškė kliniškai reikšminga hiperkalcemija, gydymas: reikia nedelsiant sumažinti parikalcitolio dozę arba laikinai nutraukti jo vartojimą bei skirti kalcio vartojimą ribojančią dietą, nutraukti kalcio papildų vartojimą, sudaryti sąlygas pacientui judėti, stebėti skysčių ir elektrolitų balansą, vertinti pakitimus elektrokardiogramoje (ypač svarbu rusmenės [</w:t>
      </w:r>
      <w:r w:rsidRPr="0059462A">
        <w:rPr>
          <w:i/>
          <w:lang w:val="lt-LT"/>
        </w:rPr>
        <w:t>Digitalis</w:t>
      </w:r>
      <w:r w:rsidRPr="0059462A">
        <w:rPr>
          <w:lang w:val="lt-LT"/>
        </w:rPr>
        <w:t>] preparatais</w:t>
      </w:r>
      <w:r w:rsidRPr="0059462A">
        <w:rPr>
          <w:i/>
          <w:lang w:val="lt-LT"/>
        </w:rPr>
        <w:t xml:space="preserve"> </w:t>
      </w:r>
      <w:r w:rsidRPr="0059462A">
        <w:rPr>
          <w:lang w:val="lt-LT"/>
        </w:rPr>
        <w:t>gydomiems pacientams) bei hemodializei ar peritoninei dializei naudojamą dializatą, ar jo sudėtyje nėra kalcio.</w:t>
      </w:r>
    </w:p>
    <w:p w14:paraId="74AF8BF5" w14:textId="77777777" w:rsidR="00E3770F" w:rsidRPr="0059462A" w:rsidRDefault="00E3770F" w:rsidP="00E3770F">
      <w:pPr>
        <w:rPr>
          <w:lang w:val="lt-LT"/>
        </w:rPr>
      </w:pPr>
    </w:p>
    <w:p w14:paraId="0D991983" w14:textId="77777777" w:rsidR="00E3770F" w:rsidRPr="0059462A" w:rsidRDefault="00E3770F" w:rsidP="00E3770F">
      <w:pPr>
        <w:rPr>
          <w:rFonts w:asciiTheme="minorHAnsi" w:eastAsiaTheme="minorHAnsi" w:hAnsiTheme="minorHAnsi" w:cstheme="minorBidi"/>
          <w:szCs w:val="22"/>
          <w:lang w:val="lt-LT"/>
        </w:rPr>
      </w:pPr>
      <w:r w:rsidRPr="0059462A">
        <w:rPr>
          <w:lang w:val="lt-LT"/>
        </w:rPr>
        <w:t>Vitamino D toksiniai reiškiniai ir simptomai, pasireiškę dėl hiperkalcemijos:</w:t>
      </w:r>
    </w:p>
    <w:p w14:paraId="45747275" w14:textId="77777777" w:rsidR="00E3770F" w:rsidRPr="0059462A" w:rsidRDefault="00E3770F" w:rsidP="00E3770F">
      <w:pPr>
        <w:rPr>
          <w:lang w:val="lt-LT"/>
        </w:rPr>
      </w:pPr>
    </w:p>
    <w:p w14:paraId="1F57D15E" w14:textId="77777777" w:rsidR="00E3770F" w:rsidRPr="0059462A" w:rsidRDefault="00E3770F" w:rsidP="00E3770F">
      <w:pPr>
        <w:pStyle w:val="LabelingTableText"/>
        <w:keepLines w:val="0"/>
        <w:tabs>
          <w:tab w:val="clear" w:pos="360"/>
        </w:tabs>
        <w:suppressAutoHyphens w:val="0"/>
        <w:spacing w:before="0" w:after="0"/>
        <w:rPr>
          <w:lang w:val="lt-LT"/>
        </w:rPr>
      </w:pPr>
      <w:r w:rsidRPr="001F5E3D">
        <w:rPr>
          <w:rFonts w:ascii="Times New Roman" w:hAnsi="Times New Roman"/>
          <w:b w:val="0"/>
          <w:i/>
          <w:sz w:val="22"/>
          <w:lang w:val="lt-LT"/>
        </w:rPr>
        <w:t>Ankstyvieji:</w:t>
      </w:r>
      <w:r w:rsidRPr="0059462A">
        <w:rPr>
          <w:rFonts w:ascii="Times New Roman" w:hAnsi="Times New Roman"/>
          <w:b w:val="0"/>
          <w:sz w:val="22"/>
          <w:lang w:val="lt-LT"/>
        </w:rPr>
        <w:t xml:space="preserve"> silpnumas, galvos skausmas, mieguistumas, pykinimas, vėmimas, burnos sausmė, vidurių užkietėjimas, raumenų skausmas, kaulų skausmas ir metalo skonis burnoje.</w:t>
      </w:r>
    </w:p>
    <w:p w14:paraId="0707B4FB" w14:textId="77777777" w:rsidR="00E3770F" w:rsidRPr="0059462A" w:rsidRDefault="00E3770F" w:rsidP="00E3770F">
      <w:pPr>
        <w:rPr>
          <w:lang w:val="lt-LT"/>
        </w:rPr>
      </w:pPr>
    </w:p>
    <w:p w14:paraId="4DB6ACA4" w14:textId="77777777" w:rsidR="00E3770F" w:rsidRPr="0059462A" w:rsidRDefault="00E3770F" w:rsidP="00E3770F">
      <w:pPr>
        <w:rPr>
          <w:rFonts w:asciiTheme="minorHAnsi" w:eastAsiaTheme="minorHAnsi" w:hAnsiTheme="minorHAnsi" w:cstheme="minorBidi"/>
          <w:szCs w:val="22"/>
          <w:lang w:val="lt-LT"/>
        </w:rPr>
      </w:pPr>
      <w:r w:rsidRPr="001F5E3D">
        <w:rPr>
          <w:i/>
          <w:lang w:val="lt-LT"/>
        </w:rPr>
        <w:t>Vėlyvieji:</w:t>
      </w:r>
      <w:r w:rsidRPr="0059462A">
        <w:rPr>
          <w:lang w:val="lt-LT"/>
        </w:rPr>
        <w:t xml:space="preserve"> anoreksija, sumažėjęs kūno svoris, konjunktyvitas (hiperkalcemijos sąlygotas), pankreatitas, fotofobija, rinorėja, niežulys, hipertermija, sumažėjęs libido, padidėjusi karbamido azoto koncentracija kraujyje, hipercholesterolemija, padidėjęs AST ir ALT aktyvumas, ektopinė kalcifikacija, hipertenzija, širdies aritmija, mieguistumas, mirtis ir, retai, aiški psichozė.</w:t>
      </w:r>
    </w:p>
    <w:p w14:paraId="7409F6E7" w14:textId="77777777" w:rsidR="00E3770F" w:rsidRPr="0059462A" w:rsidRDefault="00E3770F" w:rsidP="00E3770F">
      <w:pPr>
        <w:rPr>
          <w:lang w:val="lt-LT"/>
        </w:rPr>
      </w:pPr>
    </w:p>
    <w:p w14:paraId="3D51E844" w14:textId="77777777" w:rsidR="00E3770F" w:rsidRPr="0059462A" w:rsidRDefault="00E3770F" w:rsidP="00E3770F">
      <w:pPr>
        <w:rPr>
          <w:rFonts w:asciiTheme="minorHAnsi" w:eastAsiaTheme="minorHAnsi" w:hAnsiTheme="minorHAnsi" w:cstheme="minorBidi"/>
          <w:szCs w:val="22"/>
          <w:lang w:val="lt-LT"/>
        </w:rPr>
      </w:pPr>
      <w:r w:rsidRPr="0059462A">
        <w:rPr>
          <w:lang w:val="lt-LT"/>
        </w:rPr>
        <w:t>Reikia reguliariai tikrinti kalcio koncentraciją serume tol, kol ji pasidarys normali.</w:t>
      </w:r>
    </w:p>
    <w:p w14:paraId="0A48455C" w14:textId="77777777" w:rsidR="00E3770F" w:rsidRPr="0059462A" w:rsidRDefault="00E3770F" w:rsidP="00E3770F">
      <w:pPr>
        <w:rPr>
          <w:rFonts w:asciiTheme="minorHAnsi" w:eastAsiaTheme="minorHAnsi" w:hAnsiTheme="minorHAnsi" w:cstheme="minorBidi"/>
          <w:szCs w:val="22"/>
          <w:lang w:val="lt-LT"/>
        </w:rPr>
      </w:pPr>
      <w:r w:rsidRPr="0059462A">
        <w:rPr>
          <w:lang w:val="lt-LT"/>
        </w:rPr>
        <w:t>Nedaug parikalcitolio pašalinama dializės metu.</w:t>
      </w:r>
    </w:p>
    <w:p w14:paraId="119986EF" w14:textId="77777777" w:rsidR="00E3770F" w:rsidRPr="0059462A" w:rsidRDefault="00E3770F" w:rsidP="00E3770F">
      <w:pPr>
        <w:rPr>
          <w:lang w:val="lt-LT"/>
        </w:rPr>
      </w:pPr>
    </w:p>
    <w:p w14:paraId="49DA2E41" w14:textId="77777777" w:rsidR="00E3770F" w:rsidRPr="0059462A" w:rsidRDefault="00E3770F" w:rsidP="00E3770F">
      <w:pPr>
        <w:rPr>
          <w:lang w:val="lt-LT"/>
        </w:rPr>
      </w:pPr>
    </w:p>
    <w:p w14:paraId="522D4CA1" w14:textId="77777777" w:rsidR="00E3770F" w:rsidRPr="0059462A" w:rsidRDefault="00E3770F" w:rsidP="00E3770F">
      <w:pPr>
        <w:tabs>
          <w:tab w:val="clear" w:pos="567"/>
        </w:tabs>
        <w:spacing w:line="240" w:lineRule="auto"/>
        <w:ind w:left="567" w:hanging="567"/>
        <w:rPr>
          <w:rFonts w:asciiTheme="minorHAnsi" w:eastAsiaTheme="minorHAnsi" w:hAnsiTheme="minorHAnsi" w:cstheme="minorBidi"/>
          <w:szCs w:val="22"/>
          <w:lang w:val="lt-LT"/>
        </w:rPr>
      </w:pPr>
      <w:r w:rsidRPr="0059462A">
        <w:rPr>
          <w:b/>
          <w:lang w:val="lt-LT"/>
        </w:rPr>
        <w:t>5.</w:t>
      </w:r>
      <w:r w:rsidRPr="0059462A">
        <w:rPr>
          <w:b/>
          <w:lang w:val="lt-LT"/>
        </w:rPr>
        <w:tab/>
        <w:t xml:space="preserve">FARMAKOLOGINĖS </w:t>
      </w:r>
      <w:r w:rsidRPr="0059462A">
        <w:rPr>
          <w:b/>
          <w:caps/>
          <w:lang w:val="lt-LT"/>
        </w:rPr>
        <w:t>savybės</w:t>
      </w:r>
    </w:p>
    <w:p w14:paraId="2EE18E3D" w14:textId="77777777" w:rsidR="00E3770F" w:rsidRPr="0059462A" w:rsidRDefault="00E3770F" w:rsidP="00E3770F">
      <w:pPr>
        <w:tabs>
          <w:tab w:val="clear" w:pos="567"/>
        </w:tabs>
        <w:spacing w:line="240" w:lineRule="auto"/>
        <w:rPr>
          <w:lang w:val="lt-LT"/>
        </w:rPr>
      </w:pPr>
    </w:p>
    <w:p w14:paraId="1E1A7428"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 xml:space="preserve">5.1 </w:t>
      </w:r>
      <w:r w:rsidRPr="0059462A">
        <w:rPr>
          <w:b/>
          <w:lang w:val="lt-LT"/>
        </w:rPr>
        <w:tab/>
        <w:t>Farmakodinaminės savybės</w:t>
      </w:r>
    </w:p>
    <w:p w14:paraId="77E6ECA2" w14:textId="77777777" w:rsidR="00E3770F" w:rsidRPr="0059462A" w:rsidRDefault="00E3770F" w:rsidP="00E3770F">
      <w:pPr>
        <w:tabs>
          <w:tab w:val="clear" w:pos="567"/>
        </w:tabs>
        <w:spacing w:line="240" w:lineRule="auto"/>
        <w:rPr>
          <w:lang w:val="lt-LT"/>
        </w:rPr>
      </w:pPr>
    </w:p>
    <w:p w14:paraId="7110F557" w14:textId="77777777" w:rsidR="00E3770F" w:rsidRPr="0059462A" w:rsidRDefault="00E3770F" w:rsidP="00E3770F">
      <w:pPr>
        <w:tabs>
          <w:tab w:val="clear" w:pos="567"/>
        </w:tabs>
        <w:spacing w:line="240" w:lineRule="auto"/>
        <w:outlineLvl w:val="0"/>
        <w:rPr>
          <w:rFonts w:asciiTheme="minorHAnsi" w:eastAsiaTheme="minorHAnsi" w:hAnsiTheme="minorHAnsi" w:cstheme="minorBidi"/>
          <w:szCs w:val="22"/>
          <w:lang w:val="lt-LT"/>
        </w:rPr>
      </w:pPr>
      <w:r w:rsidRPr="0059462A">
        <w:rPr>
          <w:color w:val="000000"/>
          <w:lang w:val="lt-LT"/>
        </w:rPr>
        <w:t>Farmakoterapinė grupė – antiparatiroidiniai preparatai, ATC kodas – H05BX02.</w:t>
      </w:r>
    </w:p>
    <w:p w14:paraId="32A0F96D" w14:textId="77777777" w:rsidR="00E3770F" w:rsidRPr="0059462A" w:rsidRDefault="00E3770F" w:rsidP="00E3770F">
      <w:pPr>
        <w:spacing w:line="240" w:lineRule="auto"/>
        <w:rPr>
          <w:lang w:val="lt-LT"/>
        </w:rPr>
      </w:pPr>
    </w:p>
    <w:p w14:paraId="648D96F3" w14:textId="77777777" w:rsidR="00E3770F" w:rsidRPr="001F5E3D" w:rsidRDefault="00E3770F" w:rsidP="00E3770F">
      <w:pPr>
        <w:pStyle w:val="Antrat4"/>
        <w:spacing w:before="0" w:after="0" w:line="240" w:lineRule="auto"/>
        <w:rPr>
          <w:b w:val="0"/>
          <w:u w:val="single"/>
          <w:lang w:val="lt-LT"/>
        </w:rPr>
      </w:pPr>
      <w:r w:rsidRPr="001F5E3D">
        <w:rPr>
          <w:b w:val="0"/>
          <w:sz w:val="22"/>
          <w:u w:val="single"/>
          <w:lang w:val="lt-LT"/>
        </w:rPr>
        <w:t>Veikimo mechanizmas</w:t>
      </w:r>
    </w:p>
    <w:p w14:paraId="26E4C5A4" w14:textId="77777777" w:rsidR="00E3770F" w:rsidRPr="0059462A" w:rsidRDefault="00E3770F" w:rsidP="00E3770F">
      <w:pPr>
        <w:spacing w:line="240" w:lineRule="auto"/>
        <w:rPr>
          <w:lang w:val="lt-LT"/>
        </w:rPr>
      </w:pPr>
    </w:p>
    <w:p w14:paraId="317EE47E" w14:textId="77777777" w:rsidR="00E3770F" w:rsidRPr="0059462A" w:rsidRDefault="00E3770F" w:rsidP="00E3770F">
      <w:pPr>
        <w:pStyle w:val="Pagrindinistekstas"/>
        <w:rPr>
          <w:lang w:val="lt-LT"/>
        </w:rPr>
      </w:pPr>
      <w:r w:rsidRPr="0059462A">
        <w:rPr>
          <w:i w:val="0"/>
          <w:color w:val="auto"/>
          <w:lang w:val="lt-LT"/>
        </w:rPr>
        <w:lastRenderedPageBreak/>
        <w:t>Parikalcitolis yra sintetinis, biologiškai akyvus vitamino D kalcitriolio struktūros analogas, turintis modifikuotą šoninę grandinę (D</w:t>
      </w:r>
      <w:r w:rsidRPr="0059462A">
        <w:rPr>
          <w:i w:val="0"/>
          <w:color w:val="auto"/>
          <w:vertAlign w:val="subscript"/>
          <w:lang w:val="lt-LT"/>
        </w:rPr>
        <w:t>2</w:t>
      </w:r>
      <w:r w:rsidRPr="0059462A">
        <w:rPr>
          <w:i w:val="0"/>
          <w:color w:val="auto"/>
          <w:lang w:val="lt-LT"/>
        </w:rPr>
        <w:t>) ir A (19-nor) žiedą. Parikalcitolis, skirtingai negu kalcitriolis</w:t>
      </w:r>
      <w:r w:rsidRPr="0059462A">
        <w:rPr>
          <w:b/>
          <w:i w:val="0"/>
          <w:color w:val="auto"/>
          <w:lang w:val="lt-LT"/>
        </w:rPr>
        <w:t>,</w:t>
      </w:r>
      <w:r w:rsidRPr="0059462A">
        <w:rPr>
          <w:i w:val="0"/>
          <w:color w:val="auto"/>
          <w:lang w:val="lt-LT"/>
        </w:rPr>
        <w:t xml:space="preserve"> yra selektyvus vitamino D receptoriaus (VDR) aktyvatorius. Parikalcitolis selektyviai didina VDR aktyvumą prieskydinėse liaukose, bet nedidina žarnyne esančių VDR aktyvumo bei mažiau veikia kaulų rezorbciją. Parikalcitolis taip pat aktyvuoja kalciui jautrius receptorius prieskydinėse liaukose. Taigi, parikalcitolis mažina paratiroidinio hormono (PTH) koncentraciją, nes slopina prieskydinės liaukos proliferaciją ir mažina PTH sintezę ir sekreciją, o kalcio ir fosforo koncentraciją veikia minimaliai, be to, gali tiesiogiai veikti kaulų ląsteles ir išsaugoti kaulų tūrį bei pagerinti mineralizacijos paviršių. Koregavus pakitusią PTH koncentraciją ir atstačius kalcio ir fosforo homeostazę, galima išvengti lėtinės inkstų ligos sąlygotos metabolinės kaulų ligos ar ją gydyti. </w:t>
      </w:r>
    </w:p>
    <w:p w14:paraId="6C108D4A" w14:textId="77777777" w:rsidR="00E3770F" w:rsidRPr="0059462A" w:rsidRDefault="00E3770F" w:rsidP="00E3770F">
      <w:pPr>
        <w:spacing w:line="240" w:lineRule="auto"/>
        <w:rPr>
          <w:lang w:val="lt-LT"/>
        </w:rPr>
      </w:pPr>
    </w:p>
    <w:p w14:paraId="52092FB7" w14:textId="77777777" w:rsidR="00E3770F" w:rsidRPr="001F5E3D" w:rsidRDefault="00E3770F" w:rsidP="00E3770F">
      <w:pPr>
        <w:pStyle w:val="Antrat3"/>
        <w:spacing w:before="0" w:after="0" w:line="240" w:lineRule="auto"/>
        <w:rPr>
          <w:b w:val="0"/>
          <w:u w:val="single"/>
          <w:lang w:val="lt-LT"/>
        </w:rPr>
      </w:pPr>
      <w:r w:rsidRPr="001F5E3D">
        <w:rPr>
          <w:rFonts w:ascii="Times New Roman" w:hAnsi="Times New Roman"/>
          <w:b w:val="0"/>
          <w:sz w:val="22"/>
          <w:u w:val="single"/>
          <w:lang w:val="lt-LT"/>
        </w:rPr>
        <w:t>Klinikinis efektyvumas</w:t>
      </w:r>
    </w:p>
    <w:p w14:paraId="4578659C" w14:textId="77777777" w:rsidR="00E3770F" w:rsidRPr="0059462A" w:rsidRDefault="00E3770F" w:rsidP="00E3770F">
      <w:pPr>
        <w:spacing w:line="240" w:lineRule="auto"/>
        <w:rPr>
          <w:lang w:val="lt-LT"/>
        </w:rPr>
      </w:pPr>
    </w:p>
    <w:p w14:paraId="36DEDB41" w14:textId="77777777" w:rsidR="00E3770F" w:rsidRPr="001F5E3D" w:rsidRDefault="00E3770F" w:rsidP="00E3770F">
      <w:pPr>
        <w:pStyle w:val="Antrat5"/>
        <w:rPr>
          <w:rFonts w:ascii="Times New Roman" w:hAnsi="Times New Roman"/>
          <w:b w:val="0"/>
          <w:lang w:val="lt-LT"/>
        </w:rPr>
      </w:pPr>
      <w:r w:rsidRPr="001F5E3D">
        <w:rPr>
          <w:rFonts w:ascii="Times New Roman" w:hAnsi="Times New Roman"/>
          <w:b w:val="0"/>
          <w:lang w:val="lt-LT"/>
        </w:rPr>
        <w:t xml:space="preserve">3-4 stadijos lėtinė inkstų liga </w:t>
      </w:r>
    </w:p>
    <w:p w14:paraId="1E8E0E54" w14:textId="77777777" w:rsidR="00E3770F" w:rsidRPr="0059462A" w:rsidRDefault="00E3770F" w:rsidP="00E3770F">
      <w:pPr>
        <w:rPr>
          <w:lang w:val="lt-LT"/>
        </w:rPr>
      </w:pPr>
    </w:p>
    <w:p w14:paraId="4AC86B74" w14:textId="77777777" w:rsidR="00E3770F" w:rsidRPr="001F5E3D" w:rsidRDefault="00E3770F" w:rsidP="00E3770F">
      <w:pPr>
        <w:rPr>
          <w:i/>
          <w:lang w:val="lt-LT"/>
        </w:rPr>
      </w:pPr>
      <w:r w:rsidRPr="001F5E3D">
        <w:rPr>
          <w:i/>
          <w:lang w:val="lt-LT"/>
        </w:rPr>
        <w:t>Pagrindiniai tyrimai su suaugusiaisiais</w:t>
      </w:r>
    </w:p>
    <w:p w14:paraId="05CF312A" w14:textId="77777777" w:rsidR="00E3770F" w:rsidRPr="0059462A" w:rsidRDefault="00E3770F" w:rsidP="00E3770F">
      <w:pPr>
        <w:rPr>
          <w:lang w:val="lt-LT"/>
        </w:rPr>
      </w:pPr>
    </w:p>
    <w:p w14:paraId="789DBA92"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 xml:space="preserve">Pagrindinis veiksmingumo kriterijus, kai bent du kartus iš eilės buvo stebėtas </w:t>
      </w:r>
      <w:r w:rsidRPr="0059462A">
        <w:rPr>
          <w:lang w:val="lt-LT"/>
        </w:rPr>
        <w:sym w:font="Symbol" w:char="F0B3"/>
      </w:r>
      <w:r w:rsidRPr="0059462A">
        <w:rPr>
          <w:lang w:val="lt-LT"/>
        </w:rPr>
        <w:t> 30 % iPTH koncentracijos sumažėjimas, lyginant su pradine verte, buvo pasiektas 91 % parikalcitolio kapsules vartojusių pacientų ir 13 % placebo grupės pacientų (p&lt;0,001). Specifinės kaulų šarminės fosfatazės ir osteokalcino koncentracija serume reikšmingai sumažėjo (p&lt;0,001) parikalcitolio kapsules vartojusiems pacientams, lyginant su placebo grupe, o tai susiję su antrinio hiperparatiroidizmo sąlygoto greito kaulų metabolizmo koregavimu. Pagal apskaičiuotą glomerulų filtracijos greitį (taikant MDRD formulę) ir kreatinino koncentraciją serume, inkstų funkcijos pablogėjimo nebuvo stebėta parikalcitolio kapsules vartojusiems pacientams, lyginant su placebą gavusiais pacientais. Parikalcitolio kapsules vartojusiems pacientams reikšmingai dažniau stebėtas baltymo šlapime sumažėjimas, nustatytas diagnostine juostele, lyginant su placebą gavusiais pacientais.</w:t>
      </w:r>
    </w:p>
    <w:p w14:paraId="560B7A95" w14:textId="77777777" w:rsidR="00E3770F" w:rsidRPr="0059462A" w:rsidRDefault="00E3770F" w:rsidP="00E3770F">
      <w:pPr>
        <w:spacing w:line="240" w:lineRule="auto"/>
        <w:rPr>
          <w:lang w:val="lt-LT"/>
        </w:rPr>
      </w:pPr>
    </w:p>
    <w:p w14:paraId="116A9699" w14:textId="77777777" w:rsidR="00E3770F" w:rsidRPr="001F5E3D" w:rsidRDefault="00E3770F" w:rsidP="00E3770F">
      <w:pPr>
        <w:rPr>
          <w:i/>
          <w:lang w:val="lt-LT"/>
        </w:rPr>
      </w:pPr>
      <w:r w:rsidRPr="001F5E3D">
        <w:rPr>
          <w:i/>
          <w:lang w:val="lt-LT"/>
        </w:rPr>
        <w:t>Tyrimai su vaikais</w:t>
      </w:r>
    </w:p>
    <w:p w14:paraId="412037B6" w14:textId="77777777" w:rsidR="00E3770F" w:rsidRPr="0059462A" w:rsidRDefault="00E3770F" w:rsidP="00E3770F">
      <w:pPr>
        <w:rPr>
          <w:lang w:val="lt-LT"/>
        </w:rPr>
      </w:pPr>
    </w:p>
    <w:p w14:paraId="0C060994" w14:textId="77777777" w:rsidR="00E3770F" w:rsidRPr="0059462A" w:rsidRDefault="00E3770F" w:rsidP="00E3770F">
      <w:pPr>
        <w:rPr>
          <w:lang w:val="lt-LT"/>
        </w:rPr>
      </w:pPr>
      <w:r w:rsidRPr="0059462A">
        <w:rPr>
          <w:lang w:val="lt-LT"/>
        </w:rPr>
        <w:t>Parikalcitolio kapsulių saugumas ir veiksmingumas buvo vertintas 12 savaičių trukmės dvigubai koduotuose placebu kontroliuojamuose atsitiktinių imčių daugiacentriniuose tyrimuose su vaikais nuo 10 iki 16 metų amžiaus, sergančiais 3 ir 4 stadijos LIL. Koduotos tyrimo fazės metu iš viso 18 pacientų vartojo parikalcitolio kapsules ir 18 pacientų vartojo placebą. Vidutinis pacientų amžius buvo 13,6 metų, 69 % buvo vyriškos lyties, 86 % buvo europidai ir 8 % buvo azijiečiai. Septyniasdešimt du procentai (72 %) parikalcitoliu gydytų pacientų ir 89 % placeb</w:t>
      </w:r>
      <w:r>
        <w:rPr>
          <w:lang w:val="lt-LT"/>
        </w:rPr>
        <w:t>ą</w:t>
      </w:r>
      <w:r w:rsidRPr="0059462A">
        <w:rPr>
          <w:lang w:val="lt-LT"/>
        </w:rPr>
        <w:t xml:space="preserve"> vartojusių pacientų užbaigė 12 savaičių trukmės koduotą gydymo periodą.</w:t>
      </w:r>
    </w:p>
    <w:p w14:paraId="5EAA18AE" w14:textId="77777777" w:rsidR="00E3770F" w:rsidRPr="0059462A" w:rsidRDefault="00E3770F" w:rsidP="00E3770F">
      <w:pPr>
        <w:rPr>
          <w:lang w:val="lt-LT"/>
        </w:rPr>
      </w:pPr>
    </w:p>
    <w:p w14:paraId="3E81A19B" w14:textId="77777777" w:rsidR="00E3770F" w:rsidRPr="0059462A" w:rsidRDefault="00E3770F" w:rsidP="00E3770F">
      <w:pPr>
        <w:rPr>
          <w:lang w:val="lt-LT"/>
        </w:rPr>
      </w:pPr>
      <w:r w:rsidRPr="0059462A">
        <w:rPr>
          <w:lang w:val="lt-LT"/>
        </w:rPr>
        <w:t>Pradinė parikalcitolio kapsulių dozė buvo 1 μg tris kartus per savaitę. iPTH, kalcio ir fosforo koncentracijos buvo stebimos kas 2–4 savaites, siekiant jas išlaikyti tikslinėse 3 ir 4 stadijos LIL ribose. Pradedant 4 gydymo savaitę, dozes buvo galima didinti 1 μg kas 4 savaites, remiantis saugumo stebėjimu ir vertinant biocheminį kraujo tyrimą. Atitinkamai dozę bet kuriuo metu buvo galima sumažinti 1 μg arba gydymą sustabdyti, jeigu pacientas vartojo 1 μg dozę. Didžiausia leistina dozė tris kartus per savaitę buvo 3 μg.</w:t>
      </w:r>
    </w:p>
    <w:p w14:paraId="0E217B59" w14:textId="77777777" w:rsidR="00E3770F" w:rsidRPr="0059462A" w:rsidRDefault="00E3770F" w:rsidP="00E3770F">
      <w:pPr>
        <w:rPr>
          <w:lang w:val="lt-LT"/>
        </w:rPr>
      </w:pPr>
    </w:p>
    <w:p w14:paraId="3585B61C" w14:textId="6CEF0FE6" w:rsidR="00E3770F" w:rsidRPr="0059462A" w:rsidRDefault="00E3770F" w:rsidP="00E3770F">
      <w:pPr>
        <w:rPr>
          <w:lang w:val="lt-LT"/>
        </w:rPr>
      </w:pPr>
      <w:r w:rsidRPr="0059462A">
        <w:rPr>
          <w:lang w:val="lt-LT"/>
        </w:rPr>
        <w:t>Po 12 savaičių trukusios koduotos fazės, 13 parikalcitolio vartojusių pacientų ir 16 placebo vartojusių pacientų buvo atviru būdu gydyti parikalcitolio kapsulėmis. Nors didžiausia leistina dozė tris kartus per savaitę buvo</w:t>
      </w:r>
      <w:r w:rsidR="000E61E6">
        <w:rPr>
          <w:lang w:val="lt-LT"/>
        </w:rPr>
        <w:t xml:space="preserve"> 16</w:t>
      </w:r>
      <w:r w:rsidRPr="0059462A">
        <w:rPr>
          <w:lang w:val="lt-LT"/>
        </w:rPr>
        <w:t> μg, didžiausia tris kartus per savaitę vartota dozė buvo 7 μg.</w:t>
      </w:r>
    </w:p>
    <w:p w14:paraId="65A83386" w14:textId="77777777" w:rsidR="00E3770F" w:rsidRPr="0059462A" w:rsidRDefault="00E3770F" w:rsidP="00E3770F">
      <w:pPr>
        <w:rPr>
          <w:lang w:val="lt-LT"/>
        </w:rPr>
      </w:pPr>
    </w:p>
    <w:p w14:paraId="00CD9657" w14:textId="77777777" w:rsidR="00E3770F" w:rsidRPr="0059462A" w:rsidRDefault="00E3770F" w:rsidP="00E3770F">
      <w:pPr>
        <w:rPr>
          <w:lang w:val="lt-LT"/>
        </w:rPr>
      </w:pPr>
      <w:r w:rsidRPr="0059462A">
        <w:rPr>
          <w:lang w:val="lt-LT"/>
        </w:rPr>
        <w:t xml:space="preserve">Pagrindinis veiksmingumo kriterijus buvo 3 ir 4 stadija sergančių pacientų, du kartus iš eilės pasiekusių ≥ 30 % iPTH koncentracijos sumažėjimą, lyginant su pradine verte, proporcija. Taip pat buvo įvertinta galutinė iPTH koncentracija tikslinėse ribose. Rezultatai pateikti 4 lentelėje. </w:t>
      </w:r>
    </w:p>
    <w:p w14:paraId="6A0D4857" w14:textId="77777777" w:rsidR="00E3770F" w:rsidRPr="0059462A" w:rsidRDefault="00E3770F" w:rsidP="00E3770F">
      <w:pPr>
        <w:rPr>
          <w:lang w:val="lt-LT"/>
        </w:rPr>
      </w:pPr>
    </w:p>
    <w:p w14:paraId="1A9D2F6A" w14:textId="77777777" w:rsidR="00E3770F" w:rsidRPr="0059462A" w:rsidRDefault="00E3770F" w:rsidP="00E3770F">
      <w:pPr>
        <w:rPr>
          <w:rStyle w:val="gtcbold6"/>
          <w:rFonts w:eastAsia="Calibri"/>
          <w:szCs w:val="22"/>
          <w:lang w:val="lt-LT"/>
        </w:rPr>
      </w:pPr>
      <w:r w:rsidRPr="0059462A">
        <w:rPr>
          <w:rStyle w:val="gtcbold6"/>
          <w:rFonts w:eastAsia="Calibri"/>
          <w:szCs w:val="22"/>
          <w:lang w:val="lt-LT"/>
        </w:rPr>
        <w:t>4 lentelė. 3 ir 4 stadija LIL sergančių pacientų iPTH polyčiai, lyginant su pradine verte, tyrimų su vaikais metu</w:t>
      </w:r>
    </w:p>
    <w:p w14:paraId="1B30B37A" w14:textId="77777777" w:rsidR="00E3770F" w:rsidRPr="0059462A" w:rsidRDefault="00E3770F" w:rsidP="00E3770F">
      <w:pPr>
        <w:rPr>
          <w:rFonts w:eastAsia="Calibri"/>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3128"/>
        <w:gridCol w:w="2936"/>
      </w:tblGrid>
      <w:tr w:rsidR="00E3770F" w:rsidRPr="0059462A" w14:paraId="44817017" w14:textId="77777777" w:rsidTr="00090260">
        <w:tc>
          <w:tcPr>
            <w:tcW w:w="3192" w:type="dxa"/>
            <w:shd w:val="clear" w:color="auto" w:fill="auto"/>
            <w:vAlign w:val="center"/>
          </w:tcPr>
          <w:p w14:paraId="36620B1D" w14:textId="77777777" w:rsidR="00E3770F" w:rsidRPr="0059462A" w:rsidRDefault="00E3770F" w:rsidP="00090260">
            <w:pPr>
              <w:jc w:val="center"/>
              <w:rPr>
                <w:rFonts w:eastAsia="Calibri"/>
                <w:b/>
                <w:szCs w:val="22"/>
                <w:lang w:val="lt-LT"/>
              </w:rPr>
            </w:pPr>
            <w:r w:rsidRPr="0059462A">
              <w:rPr>
                <w:rFonts w:eastAsia="Calibri"/>
                <w:b/>
                <w:szCs w:val="22"/>
                <w:lang w:val="lt-LT"/>
              </w:rPr>
              <w:lastRenderedPageBreak/>
              <w:t>Fazė / gydymas</w:t>
            </w:r>
          </w:p>
        </w:tc>
        <w:tc>
          <w:tcPr>
            <w:tcW w:w="3306" w:type="dxa"/>
            <w:shd w:val="clear" w:color="auto" w:fill="auto"/>
            <w:vAlign w:val="center"/>
          </w:tcPr>
          <w:p w14:paraId="6A512F6C" w14:textId="77777777" w:rsidR="00E3770F" w:rsidRPr="0059462A" w:rsidRDefault="00E3770F" w:rsidP="00090260">
            <w:pPr>
              <w:jc w:val="center"/>
              <w:rPr>
                <w:rFonts w:eastAsia="Calibri"/>
                <w:b/>
                <w:szCs w:val="22"/>
                <w:lang w:val="lt-LT"/>
              </w:rPr>
            </w:pPr>
            <w:r w:rsidRPr="0059462A">
              <w:rPr>
                <w:rFonts w:eastAsia="Calibri"/>
                <w:b/>
                <w:szCs w:val="22"/>
                <w:lang w:val="lt-LT"/>
              </w:rPr>
              <w:t>Du kartus iš eilės ≥ 30 % iPTH koncentracijos sumažėjimas, lyginant su pradine verte</w:t>
            </w:r>
          </w:p>
        </w:tc>
        <w:tc>
          <w:tcPr>
            <w:tcW w:w="3078" w:type="dxa"/>
            <w:shd w:val="clear" w:color="auto" w:fill="auto"/>
            <w:vAlign w:val="center"/>
          </w:tcPr>
          <w:p w14:paraId="479544E9" w14:textId="77777777" w:rsidR="00E3770F" w:rsidRPr="0059462A" w:rsidRDefault="00E3770F" w:rsidP="00090260">
            <w:pPr>
              <w:jc w:val="center"/>
              <w:rPr>
                <w:rFonts w:eastAsia="Calibri"/>
                <w:b/>
                <w:szCs w:val="22"/>
                <w:lang w:val="lt-LT"/>
              </w:rPr>
            </w:pPr>
            <w:r w:rsidRPr="0059462A">
              <w:rPr>
                <w:rFonts w:eastAsia="Calibri"/>
                <w:b/>
                <w:szCs w:val="22"/>
                <w:lang w:val="lt-LT"/>
              </w:rPr>
              <w:t>Galutinė iPTH koncentracija tikslinėse ribose*</w:t>
            </w:r>
          </w:p>
        </w:tc>
      </w:tr>
      <w:tr w:rsidR="00E3770F" w:rsidRPr="0059462A" w14:paraId="2CA3569B" w14:textId="77777777" w:rsidTr="00090260">
        <w:tc>
          <w:tcPr>
            <w:tcW w:w="3192" w:type="dxa"/>
            <w:shd w:val="clear" w:color="auto" w:fill="auto"/>
          </w:tcPr>
          <w:p w14:paraId="34B60D34" w14:textId="77777777" w:rsidR="00E3770F" w:rsidRPr="0059462A" w:rsidRDefault="00E3770F" w:rsidP="00090260">
            <w:pPr>
              <w:rPr>
                <w:rFonts w:eastAsia="Calibri"/>
                <w:b/>
                <w:szCs w:val="22"/>
                <w:lang w:val="lt-LT"/>
              </w:rPr>
            </w:pPr>
            <w:r w:rsidRPr="0059462A">
              <w:rPr>
                <w:rFonts w:eastAsia="Calibri"/>
                <w:b/>
                <w:szCs w:val="22"/>
                <w:lang w:val="lt-LT"/>
              </w:rPr>
              <w:t>Koduota fazė</w:t>
            </w:r>
          </w:p>
        </w:tc>
        <w:tc>
          <w:tcPr>
            <w:tcW w:w="3306" w:type="dxa"/>
            <w:shd w:val="clear" w:color="auto" w:fill="auto"/>
          </w:tcPr>
          <w:p w14:paraId="47255E7B" w14:textId="77777777" w:rsidR="00E3770F" w:rsidRPr="0059462A" w:rsidRDefault="00E3770F" w:rsidP="00090260">
            <w:pPr>
              <w:jc w:val="center"/>
              <w:rPr>
                <w:rFonts w:eastAsia="Calibri"/>
                <w:b/>
                <w:szCs w:val="22"/>
                <w:lang w:val="lt-LT"/>
              </w:rPr>
            </w:pPr>
          </w:p>
        </w:tc>
        <w:tc>
          <w:tcPr>
            <w:tcW w:w="3078" w:type="dxa"/>
            <w:shd w:val="clear" w:color="auto" w:fill="auto"/>
          </w:tcPr>
          <w:p w14:paraId="7FA65F4F" w14:textId="77777777" w:rsidR="00E3770F" w:rsidRPr="0059462A" w:rsidRDefault="00E3770F" w:rsidP="00090260">
            <w:pPr>
              <w:jc w:val="center"/>
              <w:rPr>
                <w:rFonts w:eastAsia="Calibri"/>
                <w:b/>
                <w:szCs w:val="22"/>
                <w:lang w:val="lt-LT"/>
              </w:rPr>
            </w:pPr>
          </w:p>
        </w:tc>
      </w:tr>
      <w:tr w:rsidR="00E3770F" w:rsidRPr="0059462A" w14:paraId="02E3F142" w14:textId="77777777" w:rsidTr="00090260">
        <w:tc>
          <w:tcPr>
            <w:tcW w:w="3192" w:type="dxa"/>
            <w:shd w:val="clear" w:color="auto" w:fill="auto"/>
          </w:tcPr>
          <w:p w14:paraId="113E4A5C" w14:textId="77777777" w:rsidR="00E3770F" w:rsidRPr="0059462A" w:rsidRDefault="00E3770F" w:rsidP="00090260">
            <w:pPr>
              <w:rPr>
                <w:rFonts w:eastAsia="Calibri"/>
                <w:szCs w:val="22"/>
                <w:lang w:val="lt-LT"/>
              </w:rPr>
            </w:pPr>
            <w:r w:rsidRPr="0059462A">
              <w:rPr>
                <w:rFonts w:eastAsia="Calibri"/>
                <w:szCs w:val="22"/>
                <w:lang w:val="lt-LT"/>
              </w:rPr>
              <w:t xml:space="preserve">   Placebas</w:t>
            </w:r>
          </w:p>
        </w:tc>
        <w:tc>
          <w:tcPr>
            <w:tcW w:w="3306" w:type="dxa"/>
            <w:shd w:val="clear" w:color="auto" w:fill="auto"/>
          </w:tcPr>
          <w:p w14:paraId="1DB75AEE" w14:textId="77777777" w:rsidR="00E3770F" w:rsidRPr="0059462A" w:rsidRDefault="00E3770F" w:rsidP="00090260">
            <w:pPr>
              <w:jc w:val="center"/>
              <w:rPr>
                <w:rFonts w:eastAsia="Calibri"/>
                <w:szCs w:val="22"/>
                <w:lang w:val="lt-LT"/>
              </w:rPr>
            </w:pPr>
            <w:r w:rsidRPr="0059462A">
              <w:rPr>
                <w:rFonts w:eastAsia="Calibri"/>
                <w:szCs w:val="22"/>
                <w:lang w:val="lt-LT"/>
              </w:rPr>
              <w:t>0/18 (0 %)</w:t>
            </w:r>
          </w:p>
        </w:tc>
        <w:tc>
          <w:tcPr>
            <w:tcW w:w="3078" w:type="dxa"/>
            <w:shd w:val="clear" w:color="auto" w:fill="auto"/>
          </w:tcPr>
          <w:p w14:paraId="1E281615" w14:textId="77777777" w:rsidR="00E3770F" w:rsidRPr="0059462A" w:rsidRDefault="00E3770F" w:rsidP="00090260">
            <w:pPr>
              <w:jc w:val="center"/>
              <w:rPr>
                <w:rFonts w:eastAsia="Calibri"/>
                <w:szCs w:val="22"/>
                <w:lang w:val="lt-LT"/>
              </w:rPr>
            </w:pPr>
            <w:r w:rsidRPr="0059462A">
              <w:rPr>
                <w:rFonts w:eastAsia="Calibri"/>
                <w:szCs w:val="22"/>
                <w:lang w:val="lt-LT"/>
              </w:rPr>
              <w:t>2/18 (11,1 %)</w:t>
            </w:r>
          </w:p>
        </w:tc>
      </w:tr>
      <w:tr w:rsidR="00E3770F" w:rsidRPr="0059462A" w14:paraId="2D7DBCB0" w14:textId="77777777" w:rsidTr="00090260">
        <w:tc>
          <w:tcPr>
            <w:tcW w:w="3192" w:type="dxa"/>
            <w:shd w:val="clear" w:color="auto" w:fill="auto"/>
          </w:tcPr>
          <w:p w14:paraId="7DAB2B58" w14:textId="77777777" w:rsidR="00E3770F" w:rsidRPr="0059462A" w:rsidRDefault="00E3770F" w:rsidP="00090260">
            <w:pPr>
              <w:rPr>
                <w:rFonts w:eastAsia="Calibri"/>
                <w:szCs w:val="22"/>
                <w:lang w:val="lt-LT"/>
              </w:rPr>
            </w:pPr>
            <w:r w:rsidRPr="0059462A">
              <w:rPr>
                <w:rFonts w:eastAsia="Calibri"/>
                <w:szCs w:val="22"/>
                <w:lang w:val="lt-LT"/>
              </w:rPr>
              <w:t xml:space="preserve">   Parikalcitolis</w:t>
            </w:r>
          </w:p>
        </w:tc>
        <w:tc>
          <w:tcPr>
            <w:tcW w:w="3306" w:type="dxa"/>
            <w:shd w:val="clear" w:color="auto" w:fill="auto"/>
          </w:tcPr>
          <w:p w14:paraId="2AAABBEB" w14:textId="77777777" w:rsidR="00E3770F" w:rsidRPr="0059462A" w:rsidRDefault="00E3770F" w:rsidP="00090260">
            <w:pPr>
              <w:jc w:val="center"/>
              <w:rPr>
                <w:rFonts w:eastAsia="Calibri"/>
                <w:szCs w:val="22"/>
                <w:lang w:val="lt-LT"/>
              </w:rPr>
            </w:pPr>
            <w:r w:rsidRPr="0059462A">
              <w:rPr>
                <w:rFonts w:eastAsia="Calibri"/>
                <w:szCs w:val="22"/>
                <w:lang w:val="lt-LT"/>
              </w:rPr>
              <w:t>5/18 (27,8 %)**</w:t>
            </w:r>
          </w:p>
        </w:tc>
        <w:tc>
          <w:tcPr>
            <w:tcW w:w="3078" w:type="dxa"/>
            <w:shd w:val="clear" w:color="auto" w:fill="auto"/>
          </w:tcPr>
          <w:p w14:paraId="72F7F4F8" w14:textId="77777777" w:rsidR="00E3770F" w:rsidRPr="0059462A" w:rsidRDefault="00E3770F" w:rsidP="00090260">
            <w:pPr>
              <w:jc w:val="center"/>
              <w:rPr>
                <w:rFonts w:eastAsia="Calibri"/>
                <w:szCs w:val="22"/>
                <w:lang w:val="lt-LT"/>
              </w:rPr>
            </w:pPr>
            <w:r w:rsidRPr="0059462A">
              <w:rPr>
                <w:rFonts w:eastAsia="Calibri"/>
                <w:szCs w:val="22"/>
                <w:lang w:val="lt-LT"/>
              </w:rPr>
              <w:t>6/18 (33,3 %)***</w:t>
            </w:r>
          </w:p>
        </w:tc>
      </w:tr>
      <w:tr w:rsidR="00E3770F" w:rsidRPr="0059462A" w14:paraId="5BE49B08" w14:textId="77777777" w:rsidTr="00090260">
        <w:tc>
          <w:tcPr>
            <w:tcW w:w="3192" w:type="dxa"/>
            <w:shd w:val="clear" w:color="auto" w:fill="auto"/>
          </w:tcPr>
          <w:p w14:paraId="4BBC89AC" w14:textId="77777777" w:rsidR="00E3770F" w:rsidRPr="0059462A" w:rsidRDefault="00E3770F" w:rsidP="00090260">
            <w:pPr>
              <w:rPr>
                <w:rFonts w:eastAsia="Calibri"/>
                <w:b/>
                <w:szCs w:val="22"/>
                <w:lang w:val="lt-LT"/>
              </w:rPr>
            </w:pPr>
            <w:r w:rsidRPr="0059462A">
              <w:rPr>
                <w:rFonts w:eastAsia="Calibri"/>
                <w:b/>
                <w:szCs w:val="22"/>
                <w:lang w:val="lt-LT"/>
              </w:rPr>
              <w:t>Atviroji fazė</w:t>
            </w:r>
          </w:p>
        </w:tc>
        <w:tc>
          <w:tcPr>
            <w:tcW w:w="3306" w:type="dxa"/>
            <w:shd w:val="clear" w:color="auto" w:fill="auto"/>
          </w:tcPr>
          <w:p w14:paraId="1AFA6E3E" w14:textId="77777777" w:rsidR="00E3770F" w:rsidRPr="0059462A" w:rsidRDefault="00E3770F" w:rsidP="00090260">
            <w:pPr>
              <w:jc w:val="center"/>
              <w:rPr>
                <w:rFonts w:eastAsia="Calibri"/>
                <w:b/>
                <w:szCs w:val="22"/>
                <w:lang w:val="lt-LT"/>
              </w:rPr>
            </w:pPr>
          </w:p>
        </w:tc>
        <w:tc>
          <w:tcPr>
            <w:tcW w:w="3078" w:type="dxa"/>
            <w:shd w:val="clear" w:color="auto" w:fill="auto"/>
          </w:tcPr>
          <w:p w14:paraId="14640370" w14:textId="77777777" w:rsidR="00E3770F" w:rsidRPr="0059462A" w:rsidRDefault="00E3770F" w:rsidP="00090260">
            <w:pPr>
              <w:jc w:val="center"/>
              <w:rPr>
                <w:rFonts w:eastAsia="Calibri"/>
                <w:b/>
                <w:szCs w:val="22"/>
                <w:lang w:val="lt-LT"/>
              </w:rPr>
            </w:pPr>
          </w:p>
        </w:tc>
      </w:tr>
      <w:tr w:rsidR="00E3770F" w:rsidRPr="0059462A" w14:paraId="3F646F79" w14:textId="77777777" w:rsidTr="00090260">
        <w:tc>
          <w:tcPr>
            <w:tcW w:w="3192" w:type="dxa"/>
            <w:shd w:val="clear" w:color="auto" w:fill="auto"/>
          </w:tcPr>
          <w:p w14:paraId="6C1C5659" w14:textId="77777777" w:rsidR="00E3770F" w:rsidRPr="0059462A" w:rsidRDefault="00E3770F" w:rsidP="00090260">
            <w:pPr>
              <w:rPr>
                <w:rFonts w:eastAsia="Calibri"/>
                <w:szCs w:val="22"/>
                <w:lang w:val="lt-LT"/>
              </w:rPr>
            </w:pPr>
            <w:r w:rsidRPr="0059462A">
              <w:rPr>
                <w:rFonts w:eastAsia="Calibri"/>
                <w:szCs w:val="22"/>
                <w:lang w:val="lt-LT"/>
              </w:rPr>
              <w:t xml:space="preserve">   Placebas į parikalcitolį</w:t>
            </w:r>
          </w:p>
        </w:tc>
        <w:tc>
          <w:tcPr>
            <w:tcW w:w="3306" w:type="dxa"/>
            <w:shd w:val="clear" w:color="auto" w:fill="auto"/>
          </w:tcPr>
          <w:p w14:paraId="1629895F" w14:textId="77777777" w:rsidR="00E3770F" w:rsidRPr="0059462A" w:rsidRDefault="00E3770F" w:rsidP="00090260">
            <w:pPr>
              <w:jc w:val="center"/>
              <w:rPr>
                <w:rFonts w:eastAsia="Calibri"/>
                <w:szCs w:val="22"/>
                <w:lang w:val="lt-LT"/>
              </w:rPr>
            </w:pPr>
            <w:r w:rsidRPr="0059462A">
              <w:rPr>
                <w:rFonts w:eastAsia="Calibri"/>
                <w:szCs w:val="22"/>
                <w:lang w:val="lt-LT"/>
              </w:rPr>
              <w:t>7/16 (43,8 %)</w:t>
            </w:r>
          </w:p>
        </w:tc>
        <w:tc>
          <w:tcPr>
            <w:tcW w:w="3078" w:type="dxa"/>
            <w:shd w:val="clear" w:color="auto" w:fill="auto"/>
          </w:tcPr>
          <w:p w14:paraId="5287D0DC" w14:textId="77777777" w:rsidR="00E3770F" w:rsidRPr="0059462A" w:rsidRDefault="00E3770F" w:rsidP="00090260">
            <w:pPr>
              <w:jc w:val="center"/>
              <w:rPr>
                <w:rFonts w:eastAsia="Calibri"/>
                <w:szCs w:val="22"/>
                <w:lang w:val="lt-LT"/>
              </w:rPr>
            </w:pPr>
            <w:r w:rsidRPr="0059462A">
              <w:rPr>
                <w:rFonts w:eastAsia="Calibri"/>
                <w:szCs w:val="22"/>
                <w:lang w:val="lt-LT"/>
              </w:rPr>
              <w:t>6/16 (37,5 %)</w:t>
            </w:r>
          </w:p>
        </w:tc>
      </w:tr>
      <w:tr w:rsidR="00E3770F" w:rsidRPr="0059462A" w14:paraId="6377886C" w14:textId="77777777" w:rsidTr="00090260">
        <w:tc>
          <w:tcPr>
            <w:tcW w:w="3192" w:type="dxa"/>
            <w:shd w:val="clear" w:color="auto" w:fill="auto"/>
          </w:tcPr>
          <w:p w14:paraId="0B154FD9" w14:textId="77777777" w:rsidR="00E3770F" w:rsidRPr="0059462A" w:rsidRDefault="00E3770F" w:rsidP="00090260">
            <w:pPr>
              <w:rPr>
                <w:rFonts w:eastAsia="Calibri"/>
                <w:szCs w:val="22"/>
                <w:lang w:val="lt-LT"/>
              </w:rPr>
            </w:pPr>
            <w:r w:rsidRPr="0059462A">
              <w:rPr>
                <w:rFonts w:eastAsia="Calibri"/>
                <w:szCs w:val="22"/>
                <w:lang w:val="lt-LT"/>
              </w:rPr>
              <w:t xml:space="preserve">   Parikalcitolis į parikalcitolį</w:t>
            </w:r>
          </w:p>
        </w:tc>
        <w:tc>
          <w:tcPr>
            <w:tcW w:w="3306" w:type="dxa"/>
            <w:shd w:val="clear" w:color="auto" w:fill="auto"/>
          </w:tcPr>
          <w:p w14:paraId="4BA4F7F8" w14:textId="77777777" w:rsidR="00E3770F" w:rsidRPr="0059462A" w:rsidRDefault="00E3770F" w:rsidP="00090260">
            <w:pPr>
              <w:jc w:val="center"/>
              <w:rPr>
                <w:rFonts w:eastAsia="Calibri"/>
                <w:szCs w:val="22"/>
                <w:lang w:val="lt-LT"/>
              </w:rPr>
            </w:pPr>
            <w:r w:rsidRPr="0059462A">
              <w:rPr>
                <w:rFonts w:eastAsia="Calibri"/>
                <w:szCs w:val="22"/>
                <w:lang w:val="lt-LT"/>
              </w:rPr>
              <w:t>5/13 (38,5 %)</w:t>
            </w:r>
          </w:p>
        </w:tc>
        <w:tc>
          <w:tcPr>
            <w:tcW w:w="3078" w:type="dxa"/>
            <w:shd w:val="clear" w:color="auto" w:fill="auto"/>
          </w:tcPr>
          <w:p w14:paraId="12C9D185" w14:textId="77777777" w:rsidR="00E3770F" w:rsidRPr="0059462A" w:rsidRDefault="00E3770F" w:rsidP="00090260">
            <w:pPr>
              <w:jc w:val="center"/>
              <w:rPr>
                <w:rFonts w:eastAsia="Calibri"/>
                <w:szCs w:val="22"/>
                <w:lang w:val="lt-LT"/>
              </w:rPr>
            </w:pPr>
            <w:r w:rsidRPr="0059462A">
              <w:rPr>
                <w:rFonts w:eastAsia="Calibri"/>
                <w:szCs w:val="22"/>
                <w:lang w:val="lt-LT"/>
              </w:rPr>
              <w:t>2/13 (15 4 %)</w:t>
            </w:r>
          </w:p>
        </w:tc>
      </w:tr>
      <w:tr w:rsidR="00E3770F" w:rsidRPr="0059462A" w14:paraId="02DC0D11" w14:textId="77777777" w:rsidTr="00090260">
        <w:tc>
          <w:tcPr>
            <w:tcW w:w="9576" w:type="dxa"/>
            <w:gridSpan w:val="3"/>
            <w:shd w:val="clear" w:color="auto" w:fill="auto"/>
          </w:tcPr>
          <w:p w14:paraId="7BB97E68" w14:textId="77777777" w:rsidR="00E3770F" w:rsidRPr="0059462A" w:rsidRDefault="00E3770F" w:rsidP="00090260">
            <w:pPr>
              <w:pStyle w:val="Antrat1"/>
              <w:spacing w:before="0" w:after="0"/>
              <w:rPr>
                <w:rFonts w:ascii="Times New Roman" w:hAnsi="Times New Roman" w:cs="Times New Roman"/>
                <w:b w:val="0"/>
                <w:sz w:val="22"/>
                <w:szCs w:val="22"/>
                <w:lang w:val="lt-LT"/>
              </w:rPr>
            </w:pPr>
            <w:r w:rsidRPr="0059462A">
              <w:rPr>
                <w:rFonts w:ascii="Times New Roman" w:hAnsi="Times New Roman" w:cs="Times New Roman"/>
                <w:b w:val="0"/>
                <w:sz w:val="22"/>
                <w:szCs w:val="22"/>
                <w:lang w:val="lt-LT"/>
              </w:rPr>
              <w:t xml:space="preserve">* 3 stadijos LIL: nuo 35 iki </w:t>
            </w:r>
            <w:r>
              <w:rPr>
                <w:rFonts w:ascii="Times New Roman" w:hAnsi="Times New Roman" w:cs="Times New Roman"/>
                <w:b w:val="0"/>
                <w:sz w:val="22"/>
                <w:szCs w:val="22"/>
                <w:lang w:val="lt-LT"/>
              </w:rPr>
              <w:t>69</w:t>
            </w:r>
            <w:r w:rsidRPr="0059462A">
              <w:rPr>
                <w:rFonts w:ascii="Times New Roman" w:hAnsi="Times New Roman" w:cs="Times New Roman"/>
                <w:b w:val="0"/>
                <w:sz w:val="22"/>
                <w:szCs w:val="22"/>
                <w:lang w:val="lt-LT"/>
              </w:rPr>
              <w:t> pg/ml; 4 stadijos LIL: nuo 70 iki 1</w:t>
            </w:r>
            <w:r>
              <w:rPr>
                <w:rFonts w:ascii="Times New Roman" w:hAnsi="Times New Roman" w:cs="Times New Roman"/>
                <w:b w:val="0"/>
                <w:sz w:val="22"/>
                <w:szCs w:val="22"/>
                <w:lang w:val="lt-LT"/>
              </w:rPr>
              <w:t>1</w:t>
            </w:r>
            <w:r w:rsidRPr="0059462A">
              <w:rPr>
                <w:rFonts w:ascii="Times New Roman" w:hAnsi="Times New Roman" w:cs="Times New Roman"/>
                <w:b w:val="0"/>
                <w:sz w:val="22"/>
                <w:szCs w:val="22"/>
                <w:lang w:val="lt-LT"/>
              </w:rPr>
              <w:t>0 pg/ml.</w:t>
            </w:r>
          </w:p>
          <w:p w14:paraId="1633608F" w14:textId="77777777" w:rsidR="00E3770F" w:rsidRPr="0059462A" w:rsidRDefault="00E3770F" w:rsidP="00090260">
            <w:pPr>
              <w:pStyle w:val="Antrat1"/>
              <w:tabs>
                <w:tab w:val="left" w:pos="3002"/>
              </w:tabs>
              <w:spacing w:before="0" w:after="0"/>
              <w:rPr>
                <w:rFonts w:ascii="Times New Roman" w:hAnsi="Times New Roman" w:cs="Times New Roman"/>
                <w:b w:val="0"/>
                <w:sz w:val="22"/>
                <w:szCs w:val="22"/>
                <w:lang w:val="lt-LT"/>
              </w:rPr>
            </w:pPr>
            <w:r w:rsidRPr="0059462A">
              <w:rPr>
                <w:rFonts w:ascii="Times New Roman" w:hAnsi="Times New Roman" w:cs="Times New Roman"/>
                <w:b w:val="0"/>
                <w:sz w:val="22"/>
                <w:szCs w:val="22"/>
                <w:lang w:val="lt-LT"/>
              </w:rPr>
              <w:t>** p &lt; 0,05 lyginant su placebu</w:t>
            </w:r>
          </w:p>
          <w:p w14:paraId="4C0BFC54" w14:textId="77777777" w:rsidR="00E3770F" w:rsidRPr="0059462A" w:rsidRDefault="00E3770F" w:rsidP="00090260">
            <w:pPr>
              <w:rPr>
                <w:rFonts w:eastAsia="Calibri"/>
                <w:szCs w:val="22"/>
                <w:lang w:val="lt-LT"/>
              </w:rPr>
            </w:pPr>
            <w:r w:rsidRPr="0059462A">
              <w:rPr>
                <w:szCs w:val="22"/>
                <w:lang w:val="lt-LT"/>
              </w:rPr>
              <w:t>*** p = 0,128 lyginant su placebu</w:t>
            </w:r>
          </w:p>
        </w:tc>
      </w:tr>
    </w:tbl>
    <w:p w14:paraId="4EEE03E4" w14:textId="77777777" w:rsidR="00E3770F" w:rsidRPr="000D382F" w:rsidRDefault="00E3770F" w:rsidP="00E3770F">
      <w:pPr>
        <w:rPr>
          <w:lang w:val="lt-LT"/>
        </w:rPr>
      </w:pPr>
    </w:p>
    <w:p w14:paraId="1C181CF2" w14:textId="77777777" w:rsidR="00E3770F" w:rsidRPr="0059462A" w:rsidRDefault="00E3770F" w:rsidP="00E3770F">
      <w:pPr>
        <w:spacing w:line="240" w:lineRule="auto"/>
        <w:rPr>
          <w:lang w:val="lt-LT"/>
        </w:rPr>
      </w:pPr>
      <w:r w:rsidRPr="008B27BE">
        <w:rPr>
          <w:lang w:val="lt-LT"/>
        </w:rPr>
        <w:t xml:space="preserve">Koduotos </w:t>
      </w:r>
      <w:r>
        <w:rPr>
          <w:lang w:val="lt-LT"/>
        </w:rPr>
        <w:t xml:space="preserve">fazės metu skirtumo tarp iPTH, </w:t>
      </w:r>
      <w:r w:rsidRPr="008B27BE">
        <w:rPr>
          <w:lang w:val="lt-LT"/>
        </w:rPr>
        <w:t xml:space="preserve">vertinto pradinio </w:t>
      </w:r>
      <w:r>
        <w:rPr>
          <w:lang w:val="lt-LT"/>
        </w:rPr>
        <w:t>į</w:t>
      </w:r>
      <w:r w:rsidRPr="008B27BE">
        <w:rPr>
          <w:lang w:val="lt-LT"/>
        </w:rPr>
        <w:t xml:space="preserve">vertinimo metu, ir iPTH, įvertinto kiekvieno vėlesnio vizito metu, vidurkis buvo statistiškai reikšmingas (p &lt; 0,05), vertinant jį tarp tiriamųjų grupių. Panašiai statistiškai reikšmingas (p &lt; 0,05) buvo procentinio pokyčio nuo pradinio </w:t>
      </w:r>
      <w:r>
        <w:rPr>
          <w:lang w:val="lt-LT"/>
        </w:rPr>
        <w:t>į</w:t>
      </w:r>
      <w:r w:rsidRPr="008B27BE">
        <w:rPr>
          <w:lang w:val="lt-LT"/>
        </w:rPr>
        <w:t xml:space="preserve">vertinimo iki kiekvieno vėlesnio vizito vertinimo duomenų vidurkis, vertinant jį tarp tiriamųjų grupių. </w:t>
      </w:r>
      <w:r w:rsidRPr="0059462A">
        <w:rPr>
          <w:lang w:val="lt-LT"/>
        </w:rPr>
        <w:t>Nė vienoje iš antrinių veiksmingumo analizių statistiškai reikšmingo skirtumo tarp grupių nustatyta nebuvo.</w:t>
      </w:r>
    </w:p>
    <w:p w14:paraId="3A5E04C7" w14:textId="77777777" w:rsidR="000E61E6" w:rsidRDefault="000E61E6" w:rsidP="00E3770F">
      <w:pPr>
        <w:pStyle w:val="Antrat5"/>
        <w:rPr>
          <w:rFonts w:ascii="Times New Roman" w:hAnsi="Times New Roman"/>
          <w:lang w:val="lt-LT"/>
        </w:rPr>
      </w:pPr>
    </w:p>
    <w:p w14:paraId="641B3598" w14:textId="652793CD" w:rsidR="00E3770F" w:rsidRPr="000E61E6" w:rsidRDefault="00E3770F" w:rsidP="00E3770F">
      <w:pPr>
        <w:pStyle w:val="Antrat5"/>
        <w:rPr>
          <w:b w:val="0"/>
          <w:lang w:val="lt-LT"/>
        </w:rPr>
      </w:pPr>
      <w:r w:rsidRPr="001F5E3D">
        <w:rPr>
          <w:rFonts w:ascii="Times New Roman" w:hAnsi="Times New Roman"/>
          <w:b w:val="0"/>
          <w:lang w:val="lt-LT"/>
        </w:rPr>
        <w:t xml:space="preserve">5 stadijos lėtinė inkstų liga </w:t>
      </w:r>
    </w:p>
    <w:p w14:paraId="02E40594" w14:textId="77777777" w:rsidR="00E3770F" w:rsidRPr="0059462A" w:rsidRDefault="00E3770F" w:rsidP="00E3770F">
      <w:pPr>
        <w:spacing w:line="240" w:lineRule="auto"/>
        <w:rPr>
          <w:lang w:val="lt-LT"/>
        </w:rPr>
      </w:pPr>
    </w:p>
    <w:p w14:paraId="00B6ADD3" w14:textId="77777777" w:rsidR="00E3770F" w:rsidRPr="001F5E3D" w:rsidRDefault="00E3770F" w:rsidP="00E3770F">
      <w:pPr>
        <w:spacing w:line="240" w:lineRule="auto"/>
        <w:rPr>
          <w:i/>
          <w:lang w:val="lt-LT"/>
        </w:rPr>
      </w:pPr>
      <w:r w:rsidRPr="001F5E3D">
        <w:rPr>
          <w:i/>
          <w:lang w:val="lt-LT"/>
        </w:rPr>
        <w:t>Pagrindiniai tyrimai su suaugusiaisiais</w:t>
      </w:r>
    </w:p>
    <w:p w14:paraId="7B372DD3" w14:textId="77777777" w:rsidR="00E3770F" w:rsidRPr="0059462A" w:rsidRDefault="00E3770F" w:rsidP="00E3770F">
      <w:pPr>
        <w:spacing w:line="240" w:lineRule="auto"/>
        <w:rPr>
          <w:lang w:val="lt-LT"/>
        </w:rPr>
      </w:pPr>
    </w:p>
    <w:p w14:paraId="0EE5F501"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 xml:space="preserve">Pagrindinis veiksmingumo kriterijus, kai bent du kartus iš eilės buvo stebėtas </w:t>
      </w:r>
      <w:r w:rsidRPr="00FB39A9">
        <w:rPr>
          <w:lang w:val="lt-LT"/>
        </w:rPr>
        <w:sym w:font="Symbol" w:char="F0B3"/>
      </w:r>
      <w:r w:rsidRPr="0059462A">
        <w:rPr>
          <w:lang w:val="lt-LT"/>
        </w:rPr>
        <w:t xml:space="preserve"> 30 % iPTH koncentracijos sumažėjimas, lyginant su pradine verte, buvo pasiektas 88 % parikalcitolio kapsules vartojusių pacientų ir 13 % placebo grupės pacientų (p &lt; 0,001). </w:t>
      </w:r>
    </w:p>
    <w:p w14:paraId="26F4E9AD" w14:textId="77777777" w:rsidR="00E3770F" w:rsidRPr="0059462A" w:rsidRDefault="00E3770F" w:rsidP="00E3770F">
      <w:pPr>
        <w:rPr>
          <w:lang w:val="lt-LT"/>
        </w:rPr>
      </w:pPr>
    </w:p>
    <w:p w14:paraId="1CB5622C" w14:textId="77777777" w:rsidR="00E3770F" w:rsidRPr="0059462A" w:rsidRDefault="00E3770F" w:rsidP="00E3770F">
      <w:pPr>
        <w:rPr>
          <w:lang w:val="lt-LT"/>
        </w:rPr>
      </w:pPr>
    </w:p>
    <w:p w14:paraId="75840108" w14:textId="77777777" w:rsidR="00E3770F" w:rsidRPr="001F5E3D" w:rsidRDefault="00E3770F" w:rsidP="00E3770F">
      <w:pPr>
        <w:rPr>
          <w:rFonts w:asciiTheme="minorHAnsi" w:hAnsiTheme="minorHAnsi"/>
          <w:u w:val="single"/>
          <w:lang w:val="lt-LT"/>
        </w:rPr>
      </w:pPr>
      <w:r w:rsidRPr="001F5E3D">
        <w:rPr>
          <w:u w:val="single"/>
          <w:lang w:val="lt-LT"/>
        </w:rPr>
        <w:t>Zemplar injekcinio tirpalo (į veną) vaikams klinikinių tyrimų duomenys</w:t>
      </w:r>
    </w:p>
    <w:p w14:paraId="642881F2" w14:textId="77777777" w:rsidR="00E3770F" w:rsidRPr="0059462A" w:rsidRDefault="00E3770F" w:rsidP="00E3770F">
      <w:pPr>
        <w:rPr>
          <w:lang w:val="lt-LT"/>
        </w:rPr>
      </w:pPr>
    </w:p>
    <w:p w14:paraId="010E0C71" w14:textId="77777777" w:rsidR="00E3770F" w:rsidRPr="0059462A" w:rsidRDefault="00E3770F" w:rsidP="00E3770F">
      <w:pPr>
        <w:rPr>
          <w:rFonts w:asciiTheme="minorHAnsi" w:eastAsiaTheme="minorHAnsi" w:hAnsiTheme="minorHAnsi" w:cstheme="minorBidi"/>
          <w:szCs w:val="22"/>
          <w:lang w:val="lt-LT"/>
        </w:rPr>
      </w:pPr>
      <w:r w:rsidRPr="0059462A">
        <w:rPr>
          <w:lang w:val="lt-LT"/>
        </w:rPr>
        <w:t>Į veną leidžiamo Zemplar saugumas ir veiksmingumas buvo tirtas 12 savaičių atsitiktinių imčių dvigubai koduotame placebu kontroliuojamame tyrime, kuriame dalyvavo hemodializuojami galutiniu inkstų nepakankamumu sergantys 29 vaikai nuo 5 iki 19 metų amžiaus. Šeši jauniausi pacientai, kuriems skirtas gydymas Zemplar į veną, buvo 5-12 metų amžiaus. Pradinė Zemplar į veną leidžiama dozė buvo 0,04 μg</w:t>
      </w:r>
      <w:r w:rsidRPr="0059462A" w:rsidDel="00C514CF">
        <w:rPr>
          <w:lang w:val="lt-LT"/>
        </w:rPr>
        <w:t xml:space="preserve"> </w:t>
      </w:r>
      <w:r w:rsidRPr="0059462A">
        <w:rPr>
          <w:lang w:val="lt-LT"/>
        </w:rPr>
        <w:t>/kg 3 kartus per savaitę, jei pradinė iPTH koncentracija buvo mažesnė kaip 500 pg/ml, arba, atitinkamai, – 0,08 </w:t>
      </w:r>
      <w:r w:rsidRPr="00FB39A9">
        <w:rPr>
          <w:lang w:val="lt-LT"/>
        </w:rPr>
        <w:t>μ</w:t>
      </w:r>
      <w:r w:rsidRPr="0059462A">
        <w:rPr>
          <w:lang w:val="lt-LT"/>
        </w:rPr>
        <w:t>g</w:t>
      </w:r>
      <w:r w:rsidRPr="0059462A" w:rsidDel="00C514CF">
        <w:rPr>
          <w:lang w:val="lt-LT"/>
        </w:rPr>
        <w:t xml:space="preserve"> </w:t>
      </w:r>
      <w:r w:rsidRPr="0059462A">
        <w:rPr>
          <w:lang w:val="lt-LT"/>
        </w:rPr>
        <w:t xml:space="preserve">/kg 3 kartus per savaitę, jei pradinė iPTH koncentracija buvo ≥500 pg/ml. Į veną leidžiamo Zemplar dozė buvo koreguojama po 0,04 μg/kg, atsižvelgiant į iPTH, kalcio ir Ca x P koncentraciją serume. Tyrimą baigė 67 % pacientų, kuriems į veną buvo leista Zemplar, ir 14 % pacientų, kurie gavo placebą. 60 % asmenų, kuriems į veną buvo leidžiama Zemplar, registruoti 2 iš eilės iPTH koncentracijos sumažėjimai 30 %, lyginant su pradine verte, o placebo grupėje – 21 % pacientų. </w:t>
      </w:r>
      <w:r w:rsidRPr="00FB39A9">
        <w:rPr>
          <w:lang w:val="lt-LT"/>
        </w:rPr>
        <w:t xml:space="preserve">Iš tyrimo buvo pašalintas 71 % placebo grupės pacientų, kadangi jiems per daug padidėjo iPTH koncentracija. Nei vienam asmeniui į veną </w:t>
      </w:r>
      <w:r w:rsidRPr="0059462A">
        <w:rPr>
          <w:lang w:val="lt-LT"/>
        </w:rPr>
        <w:t>leidžiamo</w:t>
      </w:r>
      <w:r w:rsidRPr="00FB39A9">
        <w:rPr>
          <w:lang w:val="lt-LT"/>
        </w:rPr>
        <w:t xml:space="preserve"> Zemplar grupėje ar placebą gavusiųjų grupėje nepasireiškė hiperkalcemija. </w:t>
      </w:r>
      <w:r w:rsidRPr="0059462A">
        <w:rPr>
          <w:lang w:val="lt-LT"/>
        </w:rPr>
        <w:t>Duomenų apie jaunesnius</w:t>
      </w:r>
      <w:r w:rsidRPr="00FB39A9">
        <w:rPr>
          <w:lang w:val="lt-LT"/>
        </w:rPr>
        <w:t xml:space="preserve"> kaip 5 metų </w:t>
      </w:r>
      <w:r w:rsidRPr="0059462A">
        <w:rPr>
          <w:lang w:val="lt-LT"/>
        </w:rPr>
        <w:t>vaikus</w:t>
      </w:r>
      <w:r w:rsidRPr="00FB39A9">
        <w:rPr>
          <w:lang w:val="lt-LT"/>
        </w:rPr>
        <w:t xml:space="preserve"> nėra.</w:t>
      </w:r>
    </w:p>
    <w:p w14:paraId="12FFF144" w14:textId="77777777" w:rsidR="00E3770F" w:rsidRPr="0059462A" w:rsidRDefault="00E3770F" w:rsidP="00E3770F">
      <w:pPr>
        <w:spacing w:line="240" w:lineRule="auto"/>
        <w:rPr>
          <w:lang w:val="lt-LT"/>
        </w:rPr>
      </w:pPr>
    </w:p>
    <w:p w14:paraId="7FD7899A"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5.2</w:t>
      </w:r>
      <w:r w:rsidRPr="0059462A">
        <w:rPr>
          <w:b/>
          <w:lang w:val="lt-LT"/>
        </w:rPr>
        <w:tab/>
        <w:t>Farmakokinetinės savybės</w:t>
      </w:r>
    </w:p>
    <w:p w14:paraId="0AC6E4BA" w14:textId="77777777" w:rsidR="00E3770F" w:rsidRPr="0059462A" w:rsidRDefault="00E3770F" w:rsidP="00E3770F">
      <w:pPr>
        <w:spacing w:line="240" w:lineRule="auto"/>
        <w:rPr>
          <w:b/>
          <w:lang w:val="lt-LT"/>
        </w:rPr>
      </w:pPr>
    </w:p>
    <w:p w14:paraId="0B417489" w14:textId="77777777" w:rsidR="00E3770F" w:rsidRPr="001F5E3D" w:rsidRDefault="00E3770F" w:rsidP="00E3770F">
      <w:pPr>
        <w:pStyle w:val="Antrat4"/>
        <w:spacing w:before="0" w:after="0" w:line="240" w:lineRule="auto"/>
        <w:rPr>
          <w:b w:val="0"/>
          <w:u w:val="single"/>
          <w:lang w:val="lt-LT"/>
        </w:rPr>
      </w:pPr>
      <w:r w:rsidRPr="001F5E3D">
        <w:rPr>
          <w:b w:val="0"/>
          <w:sz w:val="22"/>
          <w:u w:val="single"/>
          <w:lang w:val="lt-LT"/>
        </w:rPr>
        <w:t>Absorbcija</w:t>
      </w:r>
    </w:p>
    <w:p w14:paraId="692071C0" w14:textId="77777777" w:rsidR="00E3770F" w:rsidRPr="000D382F" w:rsidRDefault="00E3770F" w:rsidP="00E3770F">
      <w:pPr>
        <w:autoSpaceDE w:val="0"/>
        <w:autoSpaceDN w:val="0"/>
        <w:adjustRightInd w:val="0"/>
        <w:spacing w:line="240" w:lineRule="auto"/>
        <w:rPr>
          <w:lang w:val="lt-LT"/>
        </w:rPr>
      </w:pPr>
    </w:p>
    <w:p w14:paraId="1CB8C59E" w14:textId="4438DCD7" w:rsidR="00E3770F" w:rsidRPr="0059462A" w:rsidRDefault="00E3770F" w:rsidP="00E3770F">
      <w:pPr>
        <w:autoSpaceDE w:val="0"/>
        <w:autoSpaceDN w:val="0"/>
        <w:adjustRightInd w:val="0"/>
        <w:spacing w:line="240" w:lineRule="auto"/>
        <w:rPr>
          <w:lang w:val="lt-LT"/>
        </w:rPr>
      </w:pPr>
      <w:r w:rsidRPr="0059462A">
        <w:rPr>
          <w:lang w:val="lt-LT"/>
        </w:rPr>
        <w:t xml:space="preserve">Parikalcitolis absorbuojamas gerai. </w:t>
      </w:r>
      <w:bookmarkStart w:id="2" w:name="OLE_LINK1"/>
      <w:r w:rsidRPr="0059462A">
        <w:rPr>
          <w:lang w:val="lt-LT"/>
        </w:rPr>
        <w:t xml:space="preserve">Po to, kai sveiki </w:t>
      </w:r>
      <w:r w:rsidR="000E61E6">
        <w:rPr>
          <w:lang w:val="lt-LT"/>
        </w:rPr>
        <w:t>suaug</w:t>
      </w:r>
      <w:r w:rsidR="000648E2">
        <w:rPr>
          <w:lang w:val="lt-LT"/>
        </w:rPr>
        <w:t>usieji</w:t>
      </w:r>
      <w:r w:rsidR="000E61E6">
        <w:rPr>
          <w:lang w:val="lt-LT"/>
        </w:rPr>
        <w:t xml:space="preserve"> </w:t>
      </w:r>
      <w:r w:rsidRPr="0059462A">
        <w:rPr>
          <w:lang w:val="lt-LT"/>
        </w:rPr>
        <w:t>savanoriai išgėrė po 0,24 μg</w:t>
      </w:r>
      <w:r w:rsidRPr="0059462A" w:rsidDel="0070432F">
        <w:rPr>
          <w:lang w:val="lt-LT"/>
        </w:rPr>
        <w:t xml:space="preserve"> </w:t>
      </w:r>
      <w:r w:rsidRPr="0059462A">
        <w:rPr>
          <w:lang w:val="lt-LT"/>
        </w:rPr>
        <w:t>/kg parikalcitolio, vidutinis absoliutus biologinis prieinamumas buvo maždaug 72 %; didžiausia koncentracija plazmoje (C</w:t>
      </w:r>
      <w:r w:rsidRPr="0059462A">
        <w:rPr>
          <w:vertAlign w:val="subscript"/>
          <w:lang w:val="lt-LT"/>
        </w:rPr>
        <w:t>max</w:t>
      </w:r>
      <w:r w:rsidRPr="0059462A">
        <w:rPr>
          <w:lang w:val="lt-LT"/>
        </w:rPr>
        <w:t>) po 3 valandų buvo 0,630 ng/ml (1,512 pmol/ml), o plotas po koncentracijos ir laiko kreive (AUC</w:t>
      </w:r>
      <w:r w:rsidRPr="0059462A">
        <w:rPr>
          <w:vertAlign w:val="subscript"/>
          <w:lang w:val="lt-LT"/>
        </w:rPr>
        <w:t>0-</w:t>
      </w:r>
      <w:r w:rsidRPr="00FB39A9">
        <w:rPr>
          <w:vertAlign w:val="subscript"/>
          <w:lang w:val="lt-LT"/>
        </w:rPr>
        <w:sym w:font="Symbol" w:char="F0A5"/>
      </w:r>
      <w:r w:rsidRPr="0059462A">
        <w:rPr>
          <w:lang w:val="lt-LT"/>
        </w:rPr>
        <w:t>) buvo 5,25 ng</w:t>
      </w:r>
      <w:r w:rsidRPr="00FB39A9">
        <w:rPr>
          <w:lang w:val="lt-LT"/>
        </w:rPr>
        <w:sym w:font="Symbol" w:char="F0B7"/>
      </w:r>
      <w:r w:rsidRPr="0059462A">
        <w:rPr>
          <w:lang w:val="lt-LT"/>
        </w:rPr>
        <w:t>h/ml (12,60 pmol</w:t>
      </w:r>
      <w:r w:rsidRPr="00FB39A9">
        <w:rPr>
          <w:lang w:val="lt-LT"/>
        </w:rPr>
        <w:sym w:font="Symbol" w:char="F0B7"/>
      </w:r>
      <w:r w:rsidRPr="0059462A">
        <w:rPr>
          <w:lang w:val="lt-LT"/>
        </w:rPr>
        <w:t xml:space="preserve">h/ml). </w:t>
      </w:r>
      <w:bookmarkEnd w:id="2"/>
      <w:r w:rsidRPr="0059462A">
        <w:rPr>
          <w:lang w:val="lt-LT"/>
        </w:rPr>
        <w:t xml:space="preserve">Vidutinis absoliutus parikalcitolio biologinis prieinamumas hemodializuojamiems pacientams (HD) ir pacientams, kuriems atliekama peritoninė dializė (PD), buvo, atitinkamai, 79 % ir 86 %, viršutinė 95 % patikimumo intervalo riba buvo, atitinkamai, 93 % ir 112 %. Sąveikos su maistu tyrimo, kuriame dalyvavo sveiki </w:t>
      </w:r>
      <w:r w:rsidRPr="0059462A">
        <w:rPr>
          <w:lang w:val="lt-LT"/>
        </w:rPr>
        <w:lastRenderedPageBreak/>
        <w:t>savanoriai, metu nustatyta, kad parikalcitolio C</w:t>
      </w:r>
      <w:r w:rsidRPr="0059462A">
        <w:rPr>
          <w:vertAlign w:val="subscript"/>
          <w:lang w:val="lt-LT"/>
        </w:rPr>
        <w:t>max</w:t>
      </w:r>
      <w:r w:rsidRPr="0059462A">
        <w:rPr>
          <w:lang w:val="lt-LT"/>
        </w:rPr>
        <w:t xml:space="preserve"> ir AUC</w:t>
      </w:r>
      <w:r w:rsidRPr="0059462A">
        <w:rPr>
          <w:vertAlign w:val="subscript"/>
          <w:lang w:val="lt-LT"/>
        </w:rPr>
        <w:t>0-∞</w:t>
      </w:r>
      <w:r w:rsidRPr="0059462A">
        <w:rPr>
          <w:lang w:val="lt-LT"/>
        </w:rPr>
        <w:t xml:space="preserve"> nesikeitė vaisto vartojant su riebiu maistu ar nevalgius. Todėl Zemplar kapsules galima vartoti neatsižvelgiant į valgymo laiką.</w:t>
      </w:r>
    </w:p>
    <w:p w14:paraId="77820354" w14:textId="77777777" w:rsidR="00E3770F" w:rsidRPr="0059462A" w:rsidRDefault="00E3770F" w:rsidP="00E3770F">
      <w:pPr>
        <w:pStyle w:val="Dokumentoinaostekstas"/>
        <w:tabs>
          <w:tab w:val="clear" w:pos="567"/>
        </w:tabs>
        <w:rPr>
          <w:lang w:val="lt-LT"/>
        </w:rPr>
      </w:pPr>
    </w:p>
    <w:p w14:paraId="51C6B1EA"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Sveikiems savanoriams parikalcitolio C</w:t>
      </w:r>
      <w:r w:rsidRPr="0059462A">
        <w:rPr>
          <w:vertAlign w:val="subscript"/>
          <w:lang w:val="lt-LT"/>
        </w:rPr>
        <w:t>max</w:t>
      </w:r>
      <w:r w:rsidRPr="0059462A">
        <w:rPr>
          <w:lang w:val="lt-LT"/>
        </w:rPr>
        <w:t xml:space="preserve"> ir AUC</w:t>
      </w:r>
      <w:r w:rsidRPr="0059462A">
        <w:rPr>
          <w:vertAlign w:val="subscript"/>
          <w:lang w:val="lt-LT"/>
        </w:rPr>
        <w:t>0-∞</w:t>
      </w:r>
      <w:r w:rsidRPr="0059462A">
        <w:rPr>
          <w:lang w:val="lt-LT"/>
        </w:rPr>
        <w:t xml:space="preserve"> didėjo proporcingai, kai dozė buvo nuo 0,06 iki 0,48 </w:t>
      </w:r>
      <w:r w:rsidRPr="00FB39A9">
        <w:rPr>
          <w:lang w:val="lt-LT"/>
        </w:rPr>
        <w:t>μ</w:t>
      </w:r>
      <w:r w:rsidRPr="0059462A">
        <w:rPr>
          <w:lang w:val="lt-LT"/>
        </w:rPr>
        <w:t>g/kg. Pusiausvyrinė koncentracija po kartotinių kas dieną ar tris kartus per savaitę vartojamų dozių sveikiems savanoriams susidarė per septynias paras.</w:t>
      </w:r>
    </w:p>
    <w:p w14:paraId="4EA43659" w14:textId="77777777" w:rsidR="00E3770F" w:rsidRPr="00FB39A9" w:rsidRDefault="00E3770F" w:rsidP="00E3770F">
      <w:pPr>
        <w:pStyle w:val="Antrat4"/>
        <w:spacing w:before="0" w:after="0" w:line="240" w:lineRule="auto"/>
        <w:rPr>
          <w:b w:val="0"/>
          <w:sz w:val="22"/>
          <w:lang w:val="lt-LT"/>
        </w:rPr>
      </w:pPr>
    </w:p>
    <w:p w14:paraId="0CC5D418" w14:textId="77777777" w:rsidR="00E3770F" w:rsidRPr="001F5E3D" w:rsidRDefault="00E3770F" w:rsidP="00E3770F">
      <w:pPr>
        <w:pStyle w:val="Antrat4"/>
        <w:spacing w:before="0" w:after="0" w:line="240" w:lineRule="auto"/>
        <w:rPr>
          <w:b w:val="0"/>
          <w:u w:val="single"/>
          <w:lang w:val="lt-LT"/>
        </w:rPr>
      </w:pPr>
      <w:r w:rsidRPr="001F5E3D">
        <w:rPr>
          <w:b w:val="0"/>
          <w:sz w:val="22"/>
          <w:u w:val="single"/>
          <w:lang w:val="lt-LT"/>
        </w:rPr>
        <w:t>Pasiskirstymas</w:t>
      </w:r>
    </w:p>
    <w:p w14:paraId="1C665571" w14:textId="77777777" w:rsidR="00E3770F" w:rsidRPr="0059462A" w:rsidRDefault="00E3770F" w:rsidP="00E3770F">
      <w:pPr>
        <w:pStyle w:val="DefaultText"/>
        <w:overflowPunct/>
        <w:autoSpaceDE/>
        <w:autoSpaceDN/>
        <w:adjustRightInd/>
        <w:spacing w:after="0"/>
        <w:textAlignment w:val="auto"/>
        <w:rPr>
          <w:rFonts w:ascii="Times New Roman" w:hAnsi="Times New Roman"/>
          <w:lang w:val="lt-LT"/>
        </w:rPr>
      </w:pPr>
    </w:p>
    <w:p w14:paraId="1CE896C9" w14:textId="0693B181" w:rsidR="00E3770F" w:rsidRPr="0059462A" w:rsidRDefault="00E3770F" w:rsidP="00E3770F">
      <w:pPr>
        <w:pStyle w:val="DefaultText"/>
        <w:overflowPunct/>
        <w:autoSpaceDE/>
        <w:autoSpaceDN/>
        <w:adjustRightInd/>
        <w:spacing w:after="0"/>
        <w:textAlignment w:val="auto"/>
        <w:rPr>
          <w:lang w:val="lt-LT"/>
        </w:rPr>
      </w:pPr>
      <w:r w:rsidRPr="0059462A">
        <w:rPr>
          <w:rFonts w:ascii="Times New Roman" w:hAnsi="Times New Roman"/>
          <w:lang w:val="lt-LT"/>
        </w:rPr>
        <w:t xml:space="preserve">Didžioji dalis parikalcitolio jungiasi su plazmos baltymais (&gt; 99 %). Parikalcitolio koncentracijos kraujyje ir parikalcitolio koncentracijos plazmoje santykis buvo vidutiniškai 0,54, kai koncentracija buvo nuo 0,01 iki 10 ng/ml (0,024 iki 24 pmol/ml), kas rodo, kad labai nedidelė dalis vaisto yra susijusi su kraujo ląstelėmis. Sveikiems </w:t>
      </w:r>
      <w:r w:rsidR="000E61E6">
        <w:rPr>
          <w:rFonts w:ascii="Times New Roman" w:hAnsi="Times New Roman"/>
          <w:lang w:val="lt-LT"/>
        </w:rPr>
        <w:t xml:space="preserve">suaugusiems </w:t>
      </w:r>
      <w:r w:rsidRPr="0059462A">
        <w:rPr>
          <w:rFonts w:ascii="Times New Roman" w:hAnsi="Times New Roman"/>
          <w:lang w:val="lt-LT"/>
        </w:rPr>
        <w:t>savanoriams vidutinis menamas pasiskirstymo tūris po 0,24 μg/kg parikalcitolio dozės buvo 34 litrai.</w:t>
      </w:r>
    </w:p>
    <w:p w14:paraId="21ED627B" w14:textId="77777777" w:rsidR="00E3770F" w:rsidRPr="0059462A" w:rsidRDefault="00E3770F" w:rsidP="00E3770F">
      <w:pPr>
        <w:spacing w:line="240" w:lineRule="auto"/>
        <w:rPr>
          <w:lang w:val="lt-LT"/>
        </w:rPr>
      </w:pPr>
    </w:p>
    <w:p w14:paraId="2AE7CAC6" w14:textId="77777777" w:rsidR="00E3770F" w:rsidRPr="001F5E3D" w:rsidRDefault="00E3770F" w:rsidP="00E3770F">
      <w:pPr>
        <w:pStyle w:val="Antrat4"/>
        <w:spacing w:before="0" w:after="0" w:line="240" w:lineRule="auto"/>
        <w:rPr>
          <w:b w:val="0"/>
          <w:u w:val="single"/>
          <w:lang w:val="lt-LT"/>
        </w:rPr>
      </w:pPr>
      <w:r w:rsidRPr="001F5E3D">
        <w:rPr>
          <w:b w:val="0"/>
          <w:sz w:val="22"/>
          <w:u w:val="single"/>
          <w:lang w:val="lt-LT"/>
        </w:rPr>
        <w:t>Biotransformacija</w:t>
      </w:r>
    </w:p>
    <w:p w14:paraId="195AC95A" w14:textId="77777777" w:rsidR="00E3770F" w:rsidRPr="0059462A" w:rsidRDefault="00E3770F" w:rsidP="00E3770F">
      <w:pPr>
        <w:spacing w:line="240" w:lineRule="auto"/>
        <w:rPr>
          <w:lang w:val="lt-LT"/>
        </w:rPr>
      </w:pPr>
    </w:p>
    <w:p w14:paraId="4AEB36BF"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 xml:space="preserve">Išgėrus 0,48 μg/kg </w:t>
      </w:r>
      <w:r w:rsidRPr="0059462A">
        <w:rPr>
          <w:vertAlign w:val="superscript"/>
          <w:lang w:val="lt-LT"/>
        </w:rPr>
        <w:t>3</w:t>
      </w:r>
      <w:r w:rsidRPr="0059462A">
        <w:rPr>
          <w:lang w:val="lt-LT"/>
        </w:rPr>
        <w:t xml:space="preserve">H-parikalcitolio dozę, didžioji dalis motininio junginio yra metabolizuojama, tik apie 2 % nepakitusio vaisto išsiskiria su išmatomis, o šlapime motininio junginio nenustatoma. Maždaug 70 % radioaktyvaus junginio išsiskyrė su išmatomis ir 18 % – su šlapimu. Didžiausią sisteminę koncentraciją sudaro motininis vaistas. Žmogaus plazmoje nustatyta nedidelė dviejų parikalcitolio metabolitų koncentracija. Vienas metabolitas yra 24(R)-hidroksiparikalcitolis, kito metabolito struktūra nenustatyta. 24(R)-hidroksiparikalcitolis </w:t>
      </w:r>
      <w:r w:rsidRPr="0059462A">
        <w:rPr>
          <w:i/>
          <w:lang w:val="lt-LT"/>
        </w:rPr>
        <w:t>in vivo</w:t>
      </w:r>
      <w:r w:rsidRPr="0059462A">
        <w:rPr>
          <w:lang w:val="lt-LT"/>
        </w:rPr>
        <w:t xml:space="preserve"> žiurkių PTH slopinimo modelio metu buvo mažiau aktyvus už parikalcitolį. </w:t>
      </w:r>
    </w:p>
    <w:p w14:paraId="3CA007F1" w14:textId="77777777" w:rsidR="00E3770F" w:rsidRPr="0059462A" w:rsidRDefault="00E3770F" w:rsidP="00E3770F">
      <w:pPr>
        <w:spacing w:line="240" w:lineRule="auto"/>
        <w:rPr>
          <w:lang w:val="lt-LT"/>
        </w:rPr>
      </w:pPr>
    </w:p>
    <w:p w14:paraId="625D781F"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 xml:space="preserve">Pagal </w:t>
      </w:r>
      <w:r w:rsidRPr="0059462A">
        <w:rPr>
          <w:i/>
          <w:lang w:val="lt-LT"/>
        </w:rPr>
        <w:t>in vitro</w:t>
      </w:r>
      <w:r w:rsidRPr="00FB39A9">
        <w:rPr>
          <w:lang w:val="lt-LT"/>
        </w:rPr>
        <w:t xml:space="preserve"> duomenis, parikalcitolio metabolizme dalyvauja daug kepenų ir ne kepenų fermentų, taip pat ir mitochondrijų CYP24, CYP3A4 ir UGT1A4. Nustatyti metabolitai, kurie susidaro 24(R)-hidroksilinimo, taip pat 24,26- ir 24,28-dihidroksilinimo bei tiesioginės </w:t>
      </w:r>
      <w:r w:rsidRPr="0059462A">
        <w:rPr>
          <w:lang w:val="lt-LT"/>
        </w:rPr>
        <w:t>gliukuronizacijos</w:t>
      </w:r>
      <w:r w:rsidRPr="00FB39A9">
        <w:rPr>
          <w:lang w:val="lt-LT"/>
        </w:rPr>
        <w:t xml:space="preserve"> metu.</w:t>
      </w:r>
    </w:p>
    <w:p w14:paraId="36D639B8" w14:textId="77777777" w:rsidR="00E3770F" w:rsidRPr="0059462A" w:rsidRDefault="00E3770F" w:rsidP="00E3770F">
      <w:pPr>
        <w:spacing w:line="240" w:lineRule="auto"/>
        <w:rPr>
          <w:lang w:val="lt-LT"/>
        </w:rPr>
      </w:pPr>
    </w:p>
    <w:p w14:paraId="5371165E" w14:textId="77777777" w:rsidR="00E3770F" w:rsidRPr="001F5E3D" w:rsidRDefault="00E3770F" w:rsidP="00E3770F">
      <w:pPr>
        <w:pStyle w:val="Antrat4"/>
        <w:spacing w:before="0" w:after="0" w:line="240" w:lineRule="auto"/>
        <w:rPr>
          <w:b w:val="0"/>
          <w:u w:val="single"/>
          <w:lang w:val="lt-LT"/>
        </w:rPr>
      </w:pPr>
      <w:r w:rsidRPr="001F5E3D">
        <w:rPr>
          <w:b w:val="0"/>
          <w:sz w:val="22"/>
          <w:u w:val="single"/>
          <w:lang w:val="lt-LT"/>
        </w:rPr>
        <w:t>Eliminacija</w:t>
      </w:r>
    </w:p>
    <w:p w14:paraId="3473FBC6" w14:textId="534FB8D2" w:rsidR="00E3770F" w:rsidRDefault="00E3770F" w:rsidP="00E3770F">
      <w:pPr>
        <w:spacing w:line="240" w:lineRule="auto"/>
        <w:rPr>
          <w:lang w:val="lt-LT"/>
        </w:rPr>
      </w:pPr>
    </w:p>
    <w:p w14:paraId="34722D0D" w14:textId="698A3871" w:rsidR="00BF4257" w:rsidRDefault="00BF4257" w:rsidP="00E3770F">
      <w:pPr>
        <w:spacing w:line="240" w:lineRule="auto"/>
        <w:rPr>
          <w:lang w:val="lt-LT"/>
        </w:rPr>
      </w:pPr>
      <w:r>
        <w:rPr>
          <w:lang w:val="lt-LT"/>
        </w:rPr>
        <w:t xml:space="preserve">Parikalcitolis </w:t>
      </w:r>
      <w:r w:rsidR="000920BF">
        <w:rPr>
          <w:lang w:val="lt-LT"/>
        </w:rPr>
        <w:t xml:space="preserve">daugiausia </w:t>
      </w:r>
      <w:r>
        <w:rPr>
          <w:lang w:val="lt-LT"/>
        </w:rPr>
        <w:t>eliminuojamas</w:t>
      </w:r>
      <w:r w:rsidR="000920BF">
        <w:rPr>
          <w:lang w:val="lt-LT"/>
        </w:rPr>
        <w:t xml:space="preserve"> per kepenis ir tulžį.</w:t>
      </w:r>
      <w:r>
        <w:rPr>
          <w:lang w:val="lt-LT"/>
        </w:rPr>
        <w:t xml:space="preserve"> </w:t>
      </w:r>
    </w:p>
    <w:p w14:paraId="1EF54604" w14:textId="77777777" w:rsidR="000920BF" w:rsidRPr="0059462A" w:rsidRDefault="000920BF" w:rsidP="00E3770F">
      <w:pPr>
        <w:spacing w:line="240" w:lineRule="auto"/>
        <w:rPr>
          <w:lang w:val="lt-LT"/>
        </w:rPr>
      </w:pPr>
    </w:p>
    <w:p w14:paraId="608EBCC9"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 xml:space="preserve">Sveikiems savanoriams parikalcitolio pusinės eliminacijos periodas yra nuo penkių iki septynių valandų, kai dozė yra nuo 0,06 iki 0,48 μg/kg. Kumuliacijos laipsnis yra proporcingas pusinės </w:t>
      </w:r>
      <w:r w:rsidRPr="00FB39A9">
        <w:rPr>
          <w:lang w:val="lt-LT"/>
        </w:rPr>
        <w:t>eliminacijos periodui ir dozavimo dažniui. Hemodializės procedūra iš esmės neturi poveikio parikalcitolio eliminacijai.</w:t>
      </w:r>
    </w:p>
    <w:p w14:paraId="5EED4D66" w14:textId="77777777" w:rsidR="00E3770F" w:rsidRPr="0059462A" w:rsidRDefault="00E3770F" w:rsidP="00E3770F">
      <w:pPr>
        <w:spacing w:line="240" w:lineRule="auto"/>
        <w:rPr>
          <w:lang w:val="lt-LT"/>
        </w:rPr>
      </w:pPr>
    </w:p>
    <w:p w14:paraId="50BF2EDA" w14:textId="77777777" w:rsidR="00E3770F" w:rsidRPr="001F5E3D" w:rsidRDefault="00E3770F" w:rsidP="00E3770F">
      <w:pPr>
        <w:pStyle w:val="Antrat4"/>
        <w:spacing w:before="0" w:after="0" w:line="240" w:lineRule="auto"/>
        <w:rPr>
          <w:b w:val="0"/>
          <w:u w:val="single"/>
          <w:lang w:val="lt-LT"/>
        </w:rPr>
      </w:pPr>
      <w:r w:rsidRPr="001F5E3D">
        <w:rPr>
          <w:b w:val="0"/>
          <w:sz w:val="22"/>
          <w:u w:val="single"/>
          <w:lang w:val="lt-LT"/>
        </w:rPr>
        <w:t>Ypatingos populiacijos</w:t>
      </w:r>
    </w:p>
    <w:p w14:paraId="51753125" w14:textId="77777777" w:rsidR="00E3770F" w:rsidRPr="0059462A" w:rsidRDefault="00E3770F" w:rsidP="00E3770F">
      <w:pPr>
        <w:pStyle w:val="Antrat9"/>
        <w:spacing w:before="0" w:after="0" w:line="240" w:lineRule="auto"/>
        <w:rPr>
          <w:rFonts w:ascii="Times New Roman" w:hAnsi="Times New Roman"/>
          <w:u w:val="single"/>
          <w:lang w:val="lt-LT"/>
        </w:rPr>
      </w:pPr>
    </w:p>
    <w:p w14:paraId="17EB2B04" w14:textId="77777777" w:rsidR="00E3770F" w:rsidRPr="001F5E3D" w:rsidRDefault="00E3770F" w:rsidP="00E3770F">
      <w:pPr>
        <w:pStyle w:val="Antrat9"/>
        <w:spacing w:before="0" w:after="0" w:line="240" w:lineRule="auto"/>
        <w:rPr>
          <w:i/>
          <w:u w:val="single"/>
          <w:lang w:val="lt-LT"/>
        </w:rPr>
      </w:pPr>
      <w:r w:rsidRPr="001F5E3D">
        <w:rPr>
          <w:rFonts w:ascii="Times New Roman" w:hAnsi="Times New Roman"/>
          <w:i/>
          <w:u w:val="single"/>
          <w:lang w:val="lt-LT"/>
        </w:rPr>
        <w:t>Senyvi pacientai</w:t>
      </w:r>
    </w:p>
    <w:p w14:paraId="33DDF260" w14:textId="77777777" w:rsidR="00E3770F" w:rsidRPr="0059462A" w:rsidRDefault="00E3770F" w:rsidP="00E3770F">
      <w:pPr>
        <w:spacing w:line="240" w:lineRule="auto"/>
        <w:rPr>
          <w:lang w:val="lt-LT"/>
        </w:rPr>
      </w:pPr>
    </w:p>
    <w:p w14:paraId="64A81002"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Parikalcitolio farmakokinetika netirta vyresniems kaip 65 metų pacientams.</w:t>
      </w:r>
    </w:p>
    <w:p w14:paraId="1E7B1357" w14:textId="77777777" w:rsidR="00E3770F" w:rsidRPr="0059462A" w:rsidRDefault="00E3770F" w:rsidP="00E3770F">
      <w:pPr>
        <w:spacing w:line="240" w:lineRule="auto"/>
        <w:rPr>
          <w:lang w:val="lt-LT"/>
        </w:rPr>
      </w:pPr>
    </w:p>
    <w:p w14:paraId="72A1B8AF" w14:textId="77777777" w:rsidR="00E3770F" w:rsidRPr="001F5E3D" w:rsidRDefault="00E3770F" w:rsidP="00E3770F">
      <w:pPr>
        <w:pStyle w:val="Antrat9"/>
        <w:spacing w:before="0" w:after="0" w:line="240" w:lineRule="auto"/>
        <w:rPr>
          <w:i/>
          <w:lang w:val="lt-LT"/>
        </w:rPr>
      </w:pPr>
      <w:r w:rsidRPr="001F5E3D">
        <w:rPr>
          <w:rFonts w:ascii="Times New Roman" w:hAnsi="Times New Roman"/>
          <w:i/>
          <w:lang w:val="lt-LT"/>
        </w:rPr>
        <w:t>Vaikų populiacija</w:t>
      </w:r>
    </w:p>
    <w:p w14:paraId="413707BD" w14:textId="77777777" w:rsidR="00E3770F" w:rsidRPr="0059462A" w:rsidRDefault="00E3770F" w:rsidP="00E3770F">
      <w:pPr>
        <w:spacing w:line="240" w:lineRule="auto"/>
        <w:rPr>
          <w:lang w:val="lt-LT"/>
        </w:rPr>
      </w:pPr>
    </w:p>
    <w:p w14:paraId="7730A25E" w14:textId="77777777" w:rsidR="00E3770F" w:rsidRPr="0059462A" w:rsidRDefault="00E3770F" w:rsidP="00E3770F">
      <w:pPr>
        <w:rPr>
          <w:rFonts w:eastAsia="MS Mincho"/>
          <w:szCs w:val="22"/>
          <w:lang w:val="lt-LT" w:eastAsia="ja-JP"/>
        </w:rPr>
      </w:pPr>
      <w:r w:rsidRPr="0059462A">
        <w:rPr>
          <w:szCs w:val="22"/>
          <w:lang w:val="lt-LT"/>
        </w:rPr>
        <w:t>Vienkartinės 3 </w:t>
      </w:r>
      <w:r w:rsidRPr="0059462A">
        <w:rPr>
          <w:lang w:val="lt-LT"/>
        </w:rPr>
        <w:t>μg parikalcitolio dozės farmakokinetika buvo</w:t>
      </w:r>
      <w:r w:rsidRPr="0059462A">
        <w:rPr>
          <w:szCs w:val="22"/>
          <w:lang w:val="lt-LT"/>
        </w:rPr>
        <w:t xml:space="preserve"> nustatyta 3 stadijos (n=6) ir 4 stadijos (n=6) LIL sergantiems 10 – 16 metų amžiaus vaikams. 3 stadijos LIL sergančių vaikų C</w:t>
      </w:r>
      <w:r w:rsidRPr="0059462A">
        <w:rPr>
          <w:szCs w:val="22"/>
          <w:vertAlign w:val="subscript"/>
          <w:lang w:val="lt-LT"/>
        </w:rPr>
        <w:t>max</w:t>
      </w:r>
      <w:r w:rsidRPr="0059462A">
        <w:rPr>
          <w:szCs w:val="22"/>
          <w:lang w:val="lt-LT"/>
        </w:rPr>
        <w:t xml:space="preserve"> buvo </w:t>
      </w:r>
      <w:r w:rsidRPr="0059462A">
        <w:rPr>
          <w:rFonts w:eastAsia="MS Mincho"/>
          <w:szCs w:val="22"/>
          <w:lang w:val="lt-LT" w:eastAsia="ja-JP"/>
        </w:rPr>
        <w:t>0,12 ± 0,06 ng/ml ir</w:t>
      </w:r>
      <w:r w:rsidRPr="0059462A">
        <w:rPr>
          <w:szCs w:val="22"/>
          <w:lang w:val="lt-LT"/>
        </w:rPr>
        <w:t xml:space="preserve"> AUC</w:t>
      </w:r>
      <w:r w:rsidRPr="0059462A">
        <w:rPr>
          <w:szCs w:val="22"/>
          <w:vertAlign w:val="subscript"/>
          <w:lang w:val="lt-LT"/>
        </w:rPr>
        <w:t>0-</w:t>
      </w:r>
      <w:r w:rsidRPr="0059462A">
        <w:rPr>
          <w:szCs w:val="22"/>
          <w:vertAlign w:val="subscript"/>
          <w:lang w:val="lt-LT"/>
        </w:rPr>
        <w:sym w:font="Symbol" w:char="F0A5"/>
      </w:r>
      <w:r w:rsidRPr="0059462A">
        <w:rPr>
          <w:szCs w:val="22"/>
          <w:lang w:val="lt-LT"/>
        </w:rPr>
        <w:t xml:space="preserve"> buvo </w:t>
      </w:r>
      <w:r w:rsidRPr="0059462A">
        <w:rPr>
          <w:rFonts w:eastAsia="MS Mincho"/>
          <w:szCs w:val="22"/>
          <w:lang w:val="lt-LT" w:eastAsia="ja-JP"/>
        </w:rPr>
        <w:t>2,63 ± 0,76</w:t>
      </w:r>
      <w:r w:rsidRPr="0059462A">
        <w:rPr>
          <w:szCs w:val="22"/>
          <w:lang w:val="lt-LT"/>
        </w:rPr>
        <w:t xml:space="preserve"> ng</w:t>
      </w:r>
      <w:r w:rsidRPr="0059462A">
        <w:rPr>
          <w:szCs w:val="22"/>
          <w:lang w:val="lt-LT"/>
        </w:rPr>
        <w:sym w:font="Symbol" w:char="00B7"/>
      </w:r>
      <w:r w:rsidRPr="0059462A">
        <w:rPr>
          <w:szCs w:val="22"/>
          <w:lang w:val="lt-LT"/>
        </w:rPr>
        <w:t>h/ml. 4 stadijos LIL sergančių vaikų C</w:t>
      </w:r>
      <w:r w:rsidRPr="0059462A">
        <w:rPr>
          <w:szCs w:val="22"/>
          <w:vertAlign w:val="subscript"/>
          <w:lang w:val="lt-LT"/>
        </w:rPr>
        <w:t>max</w:t>
      </w:r>
      <w:r w:rsidRPr="0059462A">
        <w:rPr>
          <w:szCs w:val="22"/>
          <w:lang w:val="lt-LT"/>
        </w:rPr>
        <w:t xml:space="preserve"> buvo </w:t>
      </w:r>
      <w:r w:rsidRPr="0059462A">
        <w:rPr>
          <w:rFonts w:eastAsia="MS Mincho"/>
          <w:szCs w:val="22"/>
          <w:lang w:val="lt-LT" w:eastAsia="ja-JP"/>
        </w:rPr>
        <w:t xml:space="preserve">0,14 ± 0,05 ng/ml ir </w:t>
      </w:r>
      <w:r w:rsidRPr="0059462A">
        <w:rPr>
          <w:szCs w:val="22"/>
          <w:lang w:val="lt-LT"/>
        </w:rPr>
        <w:t>AUC</w:t>
      </w:r>
      <w:r w:rsidRPr="0059462A">
        <w:rPr>
          <w:szCs w:val="22"/>
          <w:vertAlign w:val="subscript"/>
          <w:lang w:val="lt-LT"/>
        </w:rPr>
        <w:t>0-</w:t>
      </w:r>
      <w:r w:rsidRPr="0059462A">
        <w:rPr>
          <w:szCs w:val="22"/>
          <w:vertAlign w:val="subscript"/>
          <w:lang w:val="lt-LT"/>
        </w:rPr>
        <w:sym w:font="Symbol" w:char="F0A5"/>
      </w:r>
      <w:r w:rsidRPr="0059462A">
        <w:rPr>
          <w:szCs w:val="22"/>
          <w:lang w:val="lt-LT"/>
        </w:rPr>
        <w:t xml:space="preserve"> buvo </w:t>
      </w:r>
      <w:r w:rsidRPr="0059462A">
        <w:rPr>
          <w:rFonts w:eastAsia="MS Mincho"/>
          <w:szCs w:val="22"/>
          <w:lang w:val="lt-LT" w:eastAsia="ja-JP"/>
        </w:rPr>
        <w:t xml:space="preserve">3,12 ± 0,91 </w:t>
      </w:r>
      <w:r w:rsidRPr="0059462A">
        <w:rPr>
          <w:szCs w:val="22"/>
          <w:lang w:val="lt-LT"/>
        </w:rPr>
        <w:t>ng</w:t>
      </w:r>
      <w:r w:rsidRPr="0059462A">
        <w:rPr>
          <w:szCs w:val="22"/>
          <w:lang w:val="lt-LT"/>
        </w:rPr>
        <w:sym w:font="Symbol" w:char="00B7"/>
      </w:r>
      <w:r w:rsidRPr="0059462A">
        <w:rPr>
          <w:szCs w:val="22"/>
          <w:lang w:val="lt-LT"/>
        </w:rPr>
        <w:t xml:space="preserve">h/ml. Parikalcitolio t </w:t>
      </w:r>
      <w:r w:rsidRPr="0059462A">
        <w:rPr>
          <w:szCs w:val="22"/>
          <w:vertAlign w:val="subscript"/>
          <w:lang w:val="lt-LT"/>
        </w:rPr>
        <w:t>1/2</w:t>
      </w:r>
      <w:r w:rsidRPr="0059462A">
        <w:rPr>
          <w:szCs w:val="22"/>
          <w:lang w:val="lt-LT"/>
        </w:rPr>
        <w:t xml:space="preserve"> 3 ir 4 stadijos LIL sergančių vaikų buvo </w:t>
      </w:r>
      <w:r w:rsidRPr="0059462A">
        <w:rPr>
          <w:rFonts w:eastAsia="MS Mincho"/>
          <w:szCs w:val="22"/>
          <w:lang w:val="lt-LT" w:eastAsia="ja-JP"/>
        </w:rPr>
        <w:t>13,3 ± 4,3 valandos ir, atitinkamai, 15,2 ± 4,4 valandos.</w:t>
      </w:r>
    </w:p>
    <w:p w14:paraId="1FD1DFA5" w14:textId="77777777" w:rsidR="00E3770F" w:rsidRPr="0059462A" w:rsidRDefault="00E3770F" w:rsidP="00E3770F">
      <w:pPr>
        <w:rPr>
          <w:szCs w:val="22"/>
          <w:lang w:val="lt-LT"/>
        </w:rPr>
      </w:pPr>
    </w:p>
    <w:p w14:paraId="517D7B35" w14:textId="2A41E0CB" w:rsidR="00E3770F" w:rsidRPr="0059462A" w:rsidRDefault="00E3770F" w:rsidP="00E3770F">
      <w:pPr>
        <w:spacing w:line="240" w:lineRule="auto"/>
        <w:rPr>
          <w:szCs w:val="22"/>
          <w:lang w:val="lt-LT"/>
        </w:rPr>
      </w:pPr>
      <w:r w:rsidRPr="0059462A">
        <w:rPr>
          <w:szCs w:val="22"/>
          <w:lang w:val="lt-LT"/>
        </w:rPr>
        <w:t>Parikalcitolio C</w:t>
      </w:r>
      <w:r w:rsidRPr="0059462A">
        <w:rPr>
          <w:szCs w:val="22"/>
          <w:vertAlign w:val="subscript"/>
          <w:lang w:val="lt-LT"/>
        </w:rPr>
        <w:t>max</w:t>
      </w:r>
      <w:r w:rsidRPr="0059462A">
        <w:rPr>
          <w:szCs w:val="22"/>
          <w:lang w:val="lt-LT"/>
        </w:rPr>
        <w:t>, AUC ir t</w:t>
      </w:r>
      <w:r w:rsidRPr="0059462A">
        <w:rPr>
          <w:szCs w:val="22"/>
          <w:vertAlign w:val="subscript"/>
          <w:lang w:val="lt-LT"/>
        </w:rPr>
        <w:t>1/2</w:t>
      </w:r>
      <w:r w:rsidRPr="0059462A">
        <w:rPr>
          <w:szCs w:val="22"/>
          <w:lang w:val="lt-LT"/>
        </w:rPr>
        <w:t xml:space="preserve"> vertės buvo panašios tarp 3 ir 4 stadijos LIL </w:t>
      </w:r>
      <w:r w:rsidR="00BB2EB2">
        <w:rPr>
          <w:szCs w:val="22"/>
          <w:lang w:val="lt-LT"/>
        </w:rPr>
        <w:t>pacientų</w:t>
      </w:r>
      <w:r w:rsidR="00BB2EB2" w:rsidRPr="0059462A">
        <w:rPr>
          <w:szCs w:val="22"/>
          <w:lang w:val="lt-LT"/>
        </w:rPr>
        <w:t xml:space="preserve"> </w:t>
      </w:r>
      <w:r w:rsidRPr="0059462A">
        <w:rPr>
          <w:szCs w:val="22"/>
          <w:lang w:val="lt-LT"/>
        </w:rPr>
        <w:t>10</w:t>
      </w:r>
      <w:r>
        <w:rPr>
          <w:szCs w:val="22"/>
          <w:lang w:val="lt-LT"/>
        </w:rPr>
        <w:t xml:space="preserve"> </w:t>
      </w:r>
      <w:r w:rsidRPr="0059462A">
        <w:rPr>
          <w:szCs w:val="22"/>
          <w:lang w:val="lt-LT"/>
        </w:rPr>
        <w:t xml:space="preserve">–16 metų amžiaus vaikų. </w:t>
      </w:r>
    </w:p>
    <w:p w14:paraId="55EC77EB" w14:textId="77777777" w:rsidR="00E3770F" w:rsidRPr="0059462A" w:rsidRDefault="00E3770F" w:rsidP="00E3770F">
      <w:pPr>
        <w:spacing w:line="240" w:lineRule="auto"/>
        <w:rPr>
          <w:lang w:val="lt-LT"/>
        </w:rPr>
      </w:pPr>
    </w:p>
    <w:p w14:paraId="6BC16024" w14:textId="77777777" w:rsidR="00E3770F" w:rsidRPr="001F5E3D" w:rsidRDefault="00E3770F" w:rsidP="00E3770F">
      <w:pPr>
        <w:pStyle w:val="Antrat9"/>
        <w:spacing w:before="0" w:after="0" w:line="240" w:lineRule="auto"/>
        <w:rPr>
          <w:i/>
          <w:lang w:val="lt-LT"/>
        </w:rPr>
      </w:pPr>
      <w:r w:rsidRPr="001F5E3D">
        <w:rPr>
          <w:rFonts w:ascii="Times New Roman" w:hAnsi="Times New Roman"/>
          <w:i/>
          <w:lang w:val="lt-LT"/>
        </w:rPr>
        <w:t>Lytis</w:t>
      </w:r>
    </w:p>
    <w:p w14:paraId="749222E3" w14:textId="77777777" w:rsidR="00E3770F" w:rsidRPr="0059462A" w:rsidRDefault="00E3770F" w:rsidP="00E3770F">
      <w:pPr>
        <w:pStyle w:val="Pagrindinistekstas"/>
        <w:rPr>
          <w:i w:val="0"/>
          <w:color w:val="auto"/>
          <w:lang w:val="lt-LT"/>
        </w:rPr>
      </w:pPr>
    </w:p>
    <w:p w14:paraId="25514831" w14:textId="77777777" w:rsidR="00E3770F" w:rsidRPr="0059462A" w:rsidRDefault="00E3770F" w:rsidP="00E3770F">
      <w:pPr>
        <w:pStyle w:val="Pagrindinistekstas"/>
        <w:rPr>
          <w:lang w:val="lt-LT"/>
        </w:rPr>
      </w:pPr>
      <w:r w:rsidRPr="0059462A">
        <w:rPr>
          <w:i w:val="0"/>
          <w:color w:val="auto"/>
          <w:lang w:val="lt-LT"/>
        </w:rPr>
        <w:lastRenderedPageBreak/>
        <w:t>Parikalcitolio farmakokinetika po vienkartinės 0,06</w:t>
      </w:r>
      <w:r>
        <w:rPr>
          <w:i w:val="0"/>
          <w:color w:val="auto"/>
          <w:lang w:val="lt-LT"/>
        </w:rPr>
        <w:t xml:space="preserve"> </w:t>
      </w:r>
      <w:r w:rsidRPr="0059462A">
        <w:rPr>
          <w:i w:val="0"/>
          <w:color w:val="auto"/>
          <w:lang w:val="lt-LT"/>
        </w:rPr>
        <w:t>–</w:t>
      </w:r>
      <w:r>
        <w:rPr>
          <w:i w:val="0"/>
          <w:color w:val="auto"/>
          <w:lang w:val="lt-LT"/>
        </w:rPr>
        <w:t xml:space="preserve"> </w:t>
      </w:r>
      <w:r w:rsidRPr="0059462A">
        <w:rPr>
          <w:i w:val="0"/>
          <w:color w:val="auto"/>
          <w:lang w:val="lt-LT"/>
        </w:rPr>
        <w:t>0,48 μg/kg dozės, tarp lyčių nesiskyrė.</w:t>
      </w:r>
    </w:p>
    <w:p w14:paraId="3A4B3EAB" w14:textId="77777777" w:rsidR="00E3770F" w:rsidRPr="00FB39A9" w:rsidRDefault="00E3770F" w:rsidP="00E3770F">
      <w:pPr>
        <w:pStyle w:val="Pagrindinistekstas"/>
        <w:rPr>
          <w:color w:val="auto"/>
          <w:lang w:val="lt-LT"/>
        </w:rPr>
      </w:pPr>
    </w:p>
    <w:p w14:paraId="73AFE8CE" w14:textId="77777777" w:rsidR="00E3770F" w:rsidRPr="001F5E3D" w:rsidRDefault="00E3770F" w:rsidP="00E3770F">
      <w:pPr>
        <w:pStyle w:val="Pagrindinistekstas"/>
        <w:tabs>
          <w:tab w:val="left" w:pos="360"/>
        </w:tabs>
        <w:rPr>
          <w:color w:val="auto"/>
          <w:lang w:val="lt-LT"/>
        </w:rPr>
      </w:pPr>
      <w:r w:rsidRPr="001F5E3D">
        <w:rPr>
          <w:color w:val="auto"/>
          <w:lang w:val="lt-LT"/>
        </w:rPr>
        <w:t>Sutrikusi kepenų funkcija</w:t>
      </w:r>
    </w:p>
    <w:p w14:paraId="3E831A00" w14:textId="77777777" w:rsidR="00E3770F" w:rsidRPr="0059462A" w:rsidRDefault="00E3770F" w:rsidP="00E3770F">
      <w:pPr>
        <w:pStyle w:val="Pagrindinistekstas"/>
        <w:rPr>
          <w:i w:val="0"/>
          <w:color w:val="auto"/>
          <w:lang w:val="lt-LT"/>
        </w:rPr>
      </w:pPr>
    </w:p>
    <w:p w14:paraId="468952E2" w14:textId="77777777" w:rsidR="00E3770F" w:rsidRPr="0059462A" w:rsidRDefault="00E3770F" w:rsidP="00E3770F">
      <w:pPr>
        <w:pStyle w:val="Pagrindinistekstas"/>
        <w:rPr>
          <w:lang w:val="lt-LT"/>
        </w:rPr>
      </w:pPr>
      <w:r w:rsidRPr="0059462A">
        <w:rPr>
          <w:i w:val="0"/>
          <w:color w:val="auto"/>
          <w:lang w:val="lt-LT"/>
        </w:rPr>
        <w:t xml:space="preserve">Į veną leidžiamo Zemplar tyrimo metu buvo lyginta parikalcitolio (0,24 μg/kg) kinetika tarp pacientų, kuriems buvo nesunkus (n = 5) ir vidutinio sunkumo (n = 5) kepenų funkcijos sutrikimas (pagal </w:t>
      </w:r>
      <w:r w:rsidRPr="0059462A">
        <w:rPr>
          <w:color w:val="auto"/>
          <w:lang w:val="lt-LT"/>
        </w:rPr>
        <w:t>Child-Pugh</w:t>
      </w:r>
      <w:r w:rsidRPr="0059462A">
        <w:rPr>
          <w:i w:val="0"/>
          <w:color w:val="auto"/>
          <w:lang w:val="lt-LT"/>
        </w:rPr>
        <w:t xml:space="preserve"> klasifikaciją), ir pacientų, kurių kepenų funkcija buvo normali (n = 10). Nesujungto parikalcitolio farmakokinetika buvo panaši visose šio tyrimo grupėse, nepriklausomai nuo kepenų funkcijos. Pacientams, kuriems yra nesunkus ar vidutinio sunkumo kepenų funkcijos sutrikimas, dozės koreguoti nereikia. Sunkaus kepenų funkcijos sutrikimo įtaka parikalcitolio farmakokinetikai nebuvo tirta.</w:t>
      </w:r>
    </w:p>
    <w:p w14:paraId="1D3D7CA0" w14:textId="77777777" w:rsidR="00E3770F" w:rsidRPr="0059462A" w:rsidRDefault="00E3770F" w:rsidP="00E3770F">
      <w:pPr>
        <w:pStyle w:val="Pagrindinistekstas"/>
        <w:rPr>
          <w:lang w:val="lt-LT"/>
        </w:rPr>
      </w:pPr>
    </w:p>
    <w:p w14:paraId="5AE2B567" w14:textId="77777777" w:rsidR="00E3770F" w:rsidRPr="001F5E3D" w:rsidRDefault="00E3770F" w:rsidP="00E3770F">
      <w:pPr>
        <w:pStyle w:val="Antrat9"/>
        <w:spacing w:before="0" w:after="0" w:line="240" w:lineRule="auto"/>
        <w:rPr>
          <w:i/>
          <w:lang w:val="lt-LT"/>
        </w:rPr>
      </w:pPr>
      <w:r w:rsidRPr="001F5E3D">
        <w:rPr>
          <w:rFonts w:ascii="Times New Roman" w:hAnsi="Times New Roman"/>
          <w:i/>
          <w:lang w:val="lt-LT"/>
        </w:rPr>
        <w:t>Sutrikusi inkstų funkcija</w:t>
      </w:r>
    </w:p>
    <w:p w14:paraId="465621DC" w14:textId="77777777" w:rsidR="00E3770F" w:rsidRPr="0059462A" w:rsidRDefault="00E3770F" w:rsidP="00E3770F">
      <w:pPr>
        <w:pStyle w:val="Pagrindinistekstas"/>
        <w:rPr>
          <w:i w:val="0"/>
          <w:color w:val="auto"/>
          <w:lang w:val="lt-LT"/>
        </w:rPr>
      </w:pPr>
    </w:p>
    <w:p w14:paraId="715DCEE8" w14:textId="77777777" w:rsidR="00E3770F" w:rsidRPr="0059462A" w:rsidRDefault="00E3770F" w:rsidP="00E3770F">
      <w:pPr>
        <w:pStyle w:val="Pagrindinistekstas"/>
        <w:rPr>
          <w:lang w:val="lt-LT"/>
        </w:rPr>
      </w:pPr>
      <w:r w:rsidRPr="0059462A">
        <w:rPr>
          <w:i w:val="0"/>
          <w:color w:val="auto"/>
          <w:lang w:val="lt-LT"/>
        </w:rPr>
        <w:t>Parikalcitolio farmakokinetika po vienkartinės dozės buvo tirta pacientams, kurie sirgo 3 stadijos LIL, arba, kuriems buvo vidutinio sunkumo inkstų funkcijos sutrikimas (n = 15, GFG = 36,9-59,1 ml/min/1,73 m</w:t>
      </w:r>
      <w:r w:rsidRPr="0059462A">
        <w:rPr>
          <w:i w:val="0"/>
          <w:color w:val="auto"/>
          <w:vertAlign w:val="superscript"/>
          <w:lang w:val="lt-LT"/>
        </w:rPr>
        <w:t>2</w:t>
      </w:r>
      <w:r w:rsidRPr="0059462A">
        <w:rPr>
          <w:i w:val="0"/>
          <w:color w:val="auto"/>
          <w:lang w:val="lt-LT"/>
        </w:rPr>
        <w:t>), pacientams, kurie sirgo 4 stadijos LIL, arba, kuriems buvo sunkus inkstų funkcijos sutrikimas (n = 14, GFG = 13,1- 29,4 ml/min/1,73 m</w:t>
      </w:r>
      <w:r w:rsidRPr="0059462A">
        <w:rPr>
          <w:i w:val="0"/>
          <w:color w:val="auto"/>
          <w:vertAlign w:val="superscript"/>
          <w:lang w:val="lt-LT"/>
        </w:rPr>
        <w:t>2</w:t>
      </w:r>
      <w:r w:rsidRPr="0059462A">
        <w:rPr>
          <w:i w:val="0"/>
          <w:color w:val="auto"/>
          <w:lang w:val="lt-LT"/>
        </w:rPr>
        <w:t>), ir pacientams, kurie sirgo 5 stadijos LIL arba galutiniu inkstų nepakankamumu [n = 14, kuriems atliekama hemodializė (HD), ir n = 8, kuriems atliekama peritoninė dializė (PD)]. Panašiai, kaip ir endogenino 1,25(OH)</w:t>
      </w:r>
      <w:r w:rsidRPr="0059462A">
        <w:rPr>
          <w:i w:val="0"/>
          <w:color w:val="auto"/>
          <w:vertAlign w:val="subscript"/>
          <w:lang w:val="lt-LT"/>
        </w:rPr>
        <w:t>2</w:t>
      </w:r>
      <w:r w:rsidRPr="0059462A">
        <w:rPr>
          <w:i w:val="0"/>
          <w:color w:val="auto"/>
          <w:lang w:val="lt-LT"/>
        </w:rPr>
        <w:t xml:space="preserve"> D</w:t>
      </w:r>
      <w:r w:rsidRPr="0059462A">
        <w:rPr>
          <w:i w:val="0"/>
          <w:color w:val="auto"/>
          <w:vertAlign w:val="subscript"/>
          <w:lang w:val="lt-LT"/>
        </w:rPr>
        <w:t>3</w:t>
      </w:r>
      <w:r w:rsidRPr="0059462A">
        <w:rPr>
          <w:i w:val="0"/>
          <w:color w:val="auto"/>
          <w:lang w:val="lt-LT"/>
        </w:rPr>
        <w:t>, išgerto parikalcitolio farmakokinetiką reikšmingai veikė inkstų funkcijos sutrikimas, kaip parodyta 5 lentelėje. Lyginant su sveikais asmenimis, 3, 4, ir 5 stadijos LIL sergantiems pacientams buvo didesnis KL/F ir ilgesnis pusinės eliminacijos periodas.</w:t>
      </w:r>
    </w:p>
    <w:p w14:paraId="36D7A041" w14:textId="77777777" w:rsidR="00E3770F" w:rsidRPr="0059462A" w:rsidRDefault="00E3770F" w:rsidP="00E3770F">
      <w:pPr>
        <w:pStyle w:val="Pagrindinistekstas"/>
        <w:rPr>
          <w:lang w:val="lt-LT"/>
        </w:rPr>
      </w:pPr>
    </w:p>
    <w:p w14:paraId="092BAEC4" w14:textId="5415D57A" w:rsidR="00E3770F" w:rsidRPr="00BB2EB2" w:rsidRDefault="00E3770F" w:rsidP="001F5E3D">
      <w:pPr>
        <w:pStyle w:val="Antrat4"/>
        <w:spacing w:before="0" w:after="0" w:line="240" w:lineRule="auto"/>
        <w:rPr>
          <w:b w:val="0"/>
          <w:lang w:val="lt-LT"/>
        </w:rPr>
      </w:pPr>
      <w:bookmarkStart w:id="3" w:name="_Table_5._"/>
      <w:bookmarkEnd w:id="3"/>
      <w:r w:rsidRPr="001F5E3D">
        <w:rPr>
          <w:b w:val="0"/>
          <w:sz w:val="22"/>
          <w:lang w:val="lt-LT"/>
        </w:rPr>
        <w:t>5 lentelė. Pacientų, kuriems yra įvairaus sunkumo inkstų funkcijos sutrikimas, ir sveikų asmenų farmakokinetinių parametrų vidutinių verčių ± SN palyginimas</w:t>
      </w:r>
    </w:p>
    <w:p w14:paraId="6BDC3DD0" w14:textId="77777777" w:rsidR="00E3770F" w:rsidRPr="0059462A" w:rsidRDefault="00E3770F" w:rsidP="00E3770F">
      <w:pPr>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188"/>
        <w:gridCol w:w="1368"/>
        <w:gridCol w:w="1368"/>
        <w:gridCol w:w="1368"/>
        <w:gridCol w:w="1368"/>
      </w:tblGrid>
      <w:tr w:rsidR="00E3770F" w:rsidRPr="0059462A" w14:paraId="6CF5D269" w14:textId="77777777" w:rsidTr="00090260">
        <w:trPr>
          <w:cantSplit/>
          <w:trHeight w:val="293"/>
        </w:trPr>
        <w:tc>
          <w:tcPr>
            <w:tcW w:w="1980" w:type="dxa"/>
            <w:vMerge w:val="restart"/>
            <w:tcBorders>
              <w:top w:val="single" w:sz="4" w:space="0" w:color="auto"/>
              <w:bottom w:val="single" w:sz="4" w:space="0" w:color="auto"/>
              <w:right w:val="single" w:sz="4" w:space="0" w:color="auto"/>
            </w:tcBorders>
            <w:vAlign w:val="center"/>
          </w:tcPr>
          <w:p w14:paraId="7B3C3FA2" w14:textId="77777777" w:rsidR="00E3770F" w:rsidRPr="0059462A" w:rsidRDefault="00E3770F" w:rsidP="00090260">
            <w:pPr>
              <w:suppressAutoHyphens/>
              <w:spacing w:line="240" w:lineRule="auto"/>
              <w:jc w:val="center"/>
              <w:rPr>
                <w:b/>
                <w:lang w:val="lt-LT"/>
              </w:rPr>
            </w:pPr>
            <w:r w:rsidRPr="0059462A">
              <w:rPr>
                <w:b/>
                <w:lang w:val="lt-LT"/>
              </w:rPr>
              <w:t>Farmakokinetinis parametras</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14:paraId="5162196B" w14:textId="77777777" w:rsidR="00E3770F" w:rsidRPr="0059462A" w:rsidRDefault="00E3770F" w:rsidP="00090260">
            <w:pPr>
              <w:suppressAutoHyphens/>
              <w:spacing w:line="240" w:lineRule="auto"/>
              <w:jc w:val="center"/>
              <w:rPr>
                <w:rFonts w:asciiTheme="minorHAnsi" w:eastAsiaTheme="minorHAnsi" w:hAnsiTheme="minorHAnsi" w:cstheme="minorBidi"/>
                <w:b/>
                <w:szCs w:val="22"/>
                <w:lang w:val="lt-LT"/>
              </w:rPr>
            </w:pPr>
            <w:r w:rsidRPr="0059462A">
              <w:rPr>
                <w:b/>
                <w:lang w:val="lt-LT"/>
              </w:rPr>
              <w:t>Sveiki asmenys</w:t>
            </w:r>
          </w:p>
        </w:tc>
        <w:tc>
          <w:tcPr>
            <w:tcW w:w="1368" w:type="dxa"/>
            <w:vMerge w:val="restart"/>
            <w:tcBorders>
              <w:top w:val="single" w:sz="4" w:space="0" w:color="auto"/>
              <w:left w:val="single" w:sz="4" w:space="0" w:color="auto"/>
              <w:bottom w:val="single" w:sz="4" w:space="0" w:color="auto"/>
              <w:right w:val="single" w:sz="4" w:space="0" w:color="auto"/>
            </w:tcBorders>
            <w:vAlign w:val="center"/>
          </w:tcPr>
          <w:p w14:paraId="3B76098B" w14:textId="77777777" w:rsidR="00E3770F" w:rsidRPr="0059462A" w:rsidRDefault="00E3770F" w:rsidP="00090260">
            <w:pPr>
              <w:suppressAutoHyphens/>
              <w:spacing w:line="240" w:lineRule="auto"/>
              <w:jc w:val="center"/>
              <w:rPr>
                <w:rFonts w:asciiTheme="minorHAnsi" w:eastAsiaTheme="minorHAnsi" w:hAnsiTheme="minorHAnsi" w:cstheme="minorBidi"/>
                <w:b/>
                <w:szCs w:val="22"/>
                <w:lang w:val="lt-LT"/>
              </w:rPr>
            </w:pPr>
            <w:r w:rsidRPr="0059462A">
              <w:rPr>
                <w:b/>
                <w:lang w:val="lt-LT"/>
              </w:rPr>
              <w:t>3 stadijos LIL</w:t>
            </w:r>
          </w:p>
        </w:tc>
        <w:tc>
          <w:tcPr>
            <w:tcW w:w="1368" w:type="dxa"/>
            <w:vMerge w:val="restart"/>
            <w:tcBorders>
              <w:top w:val="single" w:sz="4" w:space="0" w:color="auto"/>
              <w:left w:val="single" w:sz="4" w:space="0" w:color="auto"/>
              <w:bottom w:val="single" w:sz="4" w:space="0" w:color="auto"/>
              <w:right w:val="single" w:sz="4" w:space="0" w:color="auto"/>
            </w:tcBorders>
            <w:vAlign w:val="center"/>
          </w:tcPr>
          <w:p w14:paraId="3A58F403" w14:textId="77777777" w:rsidR="00E3770F" w:rsidRPr="0059462A" w:rsidRDefault="00E3770F" w:rsidP="00090260">
            <w:pPr>
              <w:suppressAutoHyphens/>
              <w:spacing w:line="240" w:lineRule="auto"/>
              <w:jc w:val="center"/>
              <w:rPr>
                <w:rFonts w:asciiTheme="minorHAnsi" w:eastAsiaTheme="minorHAnsi" w:hAnsiTheme="minorHAnsi" w:cstheme="minorBidi"/>
                <w:b/>
                <w:szCs w:val="22"/>
                <w:lang w:val="lt-LT"/>
              </w:rPr>
            </w:pPr>
            <w:r w:rsidRPr="0059462A">
              <w:rPr>
                <w:b/>
                <w:lang w:val="lt-LT"/>
              </w:rPr>
              <w:t>4 stadijos LIL</w:t>
            </w:r>
          </w:p>
        </w:tc>
        <w:tc>
          <w:tcPr>
            <w:tcW w:w="2736" w:type="dxa"/>
            <w:gridSpan w:val="2"/>
            <w:tcBorders>
              <w:top w:val="single" w:sz="4" w:space="0" w:color="auto"/>
              <w:left w:val="single" w:sz="4" w:space="0" w:color="auto"/>
              <w:bottom w:val="single" w:sz="4" w:space="0" w:color="auto"/>
            </w:tcBorders>
            <w:vAlign w:val="center"/>
          </w:tcPr>
          <w:p w14:paraId="0195DAC1" w14:textId="77777777" w:rsidR="00E3770F" w:rsidRPr="0059462A" w:rsidRDefault="00E3770F" w:rsidP="00090260">
            <w:pPr>
              <w:suppressAutoHyphens/>
              <w:spacing w:line="240" w:lineRule="auto"/>
              <w:jc w:val="center"/>
              <w:rPr>
                <w:rFonts w:asciiTheme="minorHAnsi" w:eastAsiaTheme="minorHAnsi" w:hAnsiTheme="minorHAnsi" w:cstheme="minorBidi"/>
                <w:b/>
                <w:szCs w:val="22"/>
                <w:lang w:val="lt-LT"/>
              </w:rPr>
            </w:pPr>
            <w:r w:rsidRPr="0059462A">
              <w:rPr>
                <w:b/>
                <w:lang w:val="lt-LT"/>
              </w:rPr>
              <w:t>5 stadijos LIL</w:t>
            </w:r>
          </w:p>
        </w:tc>
      </w:tr>
      <w:tr w:rsidR="00E3770F" w:rsidRPr="0059462A" w14:paraId="24BDF2BE" w14:textId="77777777" w:rsidTr="00090260">
        <w:trPr>
          <w:cantSplit/>
          <w:trHeight w:val="292"/>
        </w:trPr>
        <w:tc>
          <w:tcPr>
            <w:tcW w:w="1980" w:type="dxa"/>
            <w:vMerge/>
            <w:tcBorders>
              <w:top w:val="single" w:sz="4" w:space="0" w:color="auto"/>
              <w:bottom w:val="single" w:sz="4" w:space="0" w:color="auto"/>
              <w:right w:val="single" w:sz="4" w:space="0" w:color="auto"/>
            </w:tcBorders>
            <w:vAlign w:val="center"/>
          </w:tcPr>
          <w:p w14:paraId="2D95FE1B" w14:textId="77777777" w:rsidR="00E3770F" w:rsidRPr="0059462A" w:rsidRDefault="00E3770F" w:rsidP="00090260">
            <w:pPr>
              <w:spacing w:line="240" w:lineRule="auto"/>
              <w:rPr>
                <w:b/>
                <w:lang w:val="lt-LT"/>
              </w:rPr>
            </w:pPr>
          </w:p>
        </w:tc>
        <w:tc>
          <w:tcPr>
            <w:tcW w:w="1188" w:type="dxa"/>
            <w:vMerge/>
            <w:tcBorders>
              <w:top w:val="single" w:sz="4" w:space="0" w:color="auto"/>
              <w:left w:val="single" w:sz="4" w:space="0" w:color="auto"/>
              <w:bottom w:val="single" w:sz="4" w:space="0" w:color="auto"/>
              <w:right w:val="single" w:sz="4" w:space="0" w:color="auto"/>
            </w:tcBorders>
            <w:vAlign w:val="center"/>
          </w:tcPr>
          <w:p w14:paraId="6E422FD7" w14:textId="77777777" w:rsidR="00E3770F" w:rsidRPr="0059462A" w:rsidRDefault="00E3770F" w:rsidP="00090260">
            <w:pPr>
              <w:spacing w:line="240" w:lineRule="auto"/>
              <w:rPr>
                <w:b/>
                <w:lang w:val="lt-LT"/>
              </w:rPr>
            </w:pPr>
          </w:p>
        </w:tc>
        <w:tc>
          <w:tcPr>
            <w:tcW w:w="1368" w:type="dxa"/>
            <w:vMerge/>
            <w:tcBorders>
              <w:top w:val="single" w:sz="4" w:space="0" w:color="auto"/>
              <w:left w:val="single" w:sz="4" w:space="0" w:color="auto"/>
              <w:bottom w:val="single" w:sz="4" w:space="0" w:color="auto"/>
              <w:right w:val="single" w:sz="4" w:space="0" w:color="auto"/>
            </w:tcBorders>
            <w:vAlign w:val="center"/>
          </w:tcPr>
          <w:p w14:paraId="7C3249BB" w14:textId="77777777" w:rsidR="00E3770F" w:rsidRPr="0059462A" w:rsidRDefault="00E3770F" w:rsidP="00090260">
            <w:pPr>
              <w:spacing w:line="240" w:lineRule="auto"/>
              <w:rPr>
                <w:b/>
                <w:lang w:val="lt-LT"/>
              </w:rPr>
            </w:pPr>
          </w:p>
        </w:tc>
        <w:tc>
          <w:tcPr>
            <w:tcW w:w="1368" w:type="dxa"/>
            <w:vMerge/>
            <w:tcBorders>
              <w:top w:val="single" w:sz="4" w:space="0" w:color="auto"/>
              <w:left w:val="single" w:sz="4" w:space="0" w:color="auto"/>
              <w:bottom w:val="single" w:sz="4" w:space="0" w:color="auto"/>
              <w:right w:val="single" w:sz="4" w:space="0" w:color="auto"/>
            </w:tcBorders>
            <w:vAlign w:val="center"/>
          </w:tcPr>
          <w:p w14:paraId="30438A3D" w14:textId="77777777" w:rsidR="00E3770F" w:rsidRPr="0059462A" w:rsidRDefault="00E3770F" w:rsidP="00090260">
            <w:pPr>
              <w:spacing w:line="240" w:lineRule="auto"/>
              <w:rPr>
                <w:b/>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2A1B1104" w14:textId="77777777" w:rsidR="00E3770F" w:rsidRPr="0059462A" w:rsidRDefault="00E3770F" w:rsidP="00090260">
            <w:pPr>
              <w:suppressAutoHyphens/>
              <w:spacing w:line="240" w:lineRule="auto"/>
              <w:jc w:val="center"/>
              <w:rPr>
                <w:rFonts w:asciiTheme="minorHAnsi" w:eastAsiaTheme="minorHAnsi" w:hAnsiTheme="minorHAnsi" w:cstheme="minorBidi"/>
                <w:b/>
                <w:szCs w:val="22"/>
                <w:lang w:val="lt-LT"/>
              </w:rPr>
            </w:pPr>
            <w:r w:rsidRPr="0059462A">
              <w:rPr>
                <w:b/>
                <w:lang w:val="lt-LT"/>
              </w:rPr>
              <w:t>HD</w:t>
            </w:r>
          </w:p>
        </w:tc>
        <w:tc>
          <w:tcPr>
            <w:tcW w:w="1368" w:type="dxa"/>
            <w:tcBorders>
              <w:top w:val="single" w:sz="4" w:space="0" w:color="auto"/>
              <w:left w:val="single" w:sz="4" w:space="0" w:color="auto"/>
              <w:bottom w:val="single" w:sz="4" w:space="0" w:color="auto"/>
            </w:tcBorders>
            <w:vAlign w:val="center"/>
          </w:tcPr>
          <w:p w14:paraId="6B688B89" w14:textId="77777777" w:rsidR="00E3770F" w:rsidRPr="0059462A" w:rsidRDefault="00E3770F" w:rsidP="00090260">
            <w:pPr>
              <w:suppressAutoHyphens/>
              <w:spacing w:line="240" w:lineRule="auto"/>
              <w:jc w:val="center"/>
              <w:rPr>
                <w:rFonts w:asciiTheme="minorHAnsi" w:eastAsiaTheme="minorHAnsi" w:hAnsiTheme="minorHAnsi" w:cstheme="minorBidi"/>
                <w:b/>
                <w:szCs w:val="22"/>
                <w:lang w:val="lt-LT"/>
              </w:rPr>
            </w:pPr>
            <w:r w:rsidRPr="0059462A">
              <w:rPr>
                <w:b/>
                <w:lang w:val="lt-LT"/>
              </w:rPr>
              <w:t>PD</w:t>
            </w:r>
          </w:p>
        </w:tc>
      </w:tr>
      <w:tr w:rsidR="00E3770F" w:rsidRPr="0059462A" w14:paraId="2FB9F5C0" w14:textId="77777777" w:rsidTr="00090260">
        <w:tc>
          <w:tcPr>
            <w:tcW w:w="1980" w:type="dxa"/>
            <w:tcBorders>
              <w:top w:val="single" w:sz="4" w:space="0" w:color="auto"/>
              <w:bottom w:val="single" w:sz="4" w:space="0" w:color="auto"/>
              <w:right w:val="single" w:sz="4" w:space="0" w:color="auto"/>
            </w:tcBorders>
          </w:tcPr>
          <w:p w14:paraId="26163320" w14:textId="77777777" w:rsidR="00E3770F" w:rsidRPr="0059462A" w:rsidRDefault="00E3770F" w:rsidP="00090260">
            <w:pPr>
              <w:suppressAutoHyphens/>
              <w:spacing w:line="240" w:lineRule="auto"/>
              <w:rPr>
                <w:lang w:val="lt-LT"/>
              </w:rPr>
            </w:pPr>
            <w:r w:rsidRPr="0059462A">
              <w:rPr>
                <w:lang w:val="lt-LT"/>
              </w:rPr>
              <w:t>n</w:t>
            </w:r>
          </w:p>
        </w:tc>
        <w:tc>
          <w:tcPr>
            <w:tcW w:w="1188" w:type="dxa"/>
            <w:tcBorders>
              <w:top w:val="single" w:sz="4" w:space="0" w:color="auto"/>
              <w:left w:val="single" w:sz="4" w:space="0" w:color="auto"/>
              <w:bottom w:val="single" w:sz="4" w:space="0" w:color="auto"/>
              <w:right w:val="single" w:sz="4" w:space="0" w:color="auto"/>
            </w:tcBorders>
          </w:tcPr>
          <w:p w14:paraId="3CB40CC5"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25</w:t>
            </w:r>
          </w:p>
        </w:tc>
        <w:tc>
          <w:tcPr>
            <w:tcW w:w="1368" w:type="dxa"/>
            <w:tcBorders>
              <w:top w:val="single" w:sz="4" w:space="0" w:color="auto"/>
              <w:left w:val="single" w:sz="4" w:space="0" w:color="auto"/>
              <w:bottom w:val="single" w:sz="4" w:space="0" w:color="auto"/>
              <w:right w:val="single" w:sz="4" w:space="0" w:color="auto"/>
            </w:tcBorders>
          </w:tcPr>
          <w:p w14:paraId="625AB99B"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15</w:t>
            </w:r>
          </w:p>
        </w:tc>
        <w:tc>
          <w:tcPr>
            <w:tcW w:w="1368" w:type="dxa"/>
            <w:tcBorders>
              <w:top w:val="single" w:sz="4" w:space="0" w:color="auto"/>
              <w:left w:val="single" w:sz="4" w:space="0" w:color="auto"/>
              <w:bottom w:val="single" w:sz="4" w:space="0" w:color="auto"/>
              <w:right w:val="single" w:sz="4" w:space="0" w:color="auto"/>
            </w:tcBorders>
          </w:tcPr>
          <w:p w14:paraId="4D8F598E"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14</w:t>
            </w:r>
          </w:p>
        </w:tc>
        <w:tc>
          <w:tcPr>
            <w:tcW w:w="1368" w:type="dxa"/>
            <w:tcBorders>
              <w:top w:val="single" w:sz="4" w:space="0" w:color="auto"/>
              <w:left w:val="single" w:sz="4" w:space="0" w:color="auto"/>
              <w:bottom w:val="single" w:sz="4" w:space="0" w:color="auto"/>
              <w:right w:val="single" w:sz="4" w:space="0" w:color="auto"/>
            </w:tcBorders>
          </w:tcPr>
          <w:p w14:paraId="0F6B8C28"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14</w:t>
            </w:r>
          </w:p>
        </w:tc>
        <w:tc>
          <w:tcPr>
            <w:tcW w:w="1368" w:type="dxa"/>
            <w:tcBorders>
              <w:top w:val="single" w:sz="4" w:space="0" w:color="auto"/>
              <w:left w:val="single" w:sz="4" w:space="0" w:color="auto"/>
              <w:bottom w:val="single" w:sz="4" w:space="0" w:color="auto"/>
            </w:tcBorders>
          </w:tcPr>
          <w:p w14:paraId="2BEC9FC4" w14:textId="77777777" w:rsidR="00E3770F" w:rsidRPr="0059462A" w:rsidRDefault="00E3770F" w:rsidP="00090260">
            <w:pPr>
              <w:suppressAutoHyphens/>
              <w:spacing w:line="240" w:lineRule="auto"/>
              <w:jc w:val="center"/>
              <w:rPr>
                <w:lang w:val="lt-LT"/>
              </w:rPr>
            </w:pPr>
            <w:r w:rsidRPr="0059462A">
              <w:rPr>
                <w:lang w:val="lt-LT"/>
              </w:rPr>
              <w:t>8</w:t>
            </w:r>
          </w:p>
        </w:tc>
      </w:tr>
      <w:tr w:rsidR="00E3770F" w:rsidRPr="0059462A" w14:paraId="505481D7" w14:textId="77777777" w:rsidTr="00090260">
        <w:tc>
          <w:tcPr>
            <w:tcW w:w="1980" w:type="dxa"/>
            <w:tcBorders>
              <w:top w:val="single" w:sz="4" w:space="0" w:color="auto"/>
              <w:bottom w:val="single" w:sz="4" w:space="0" w:color="auto"/>
              <w:right w:val="single" w:sz="4" w:space="0" w:color="auto"/>
            </w:tcBorders>
          </w:tcPr>
          <w:p w14:paraId="0C158E89" w14:textId="77777777" w:rsidR="00E3770F" w:rsidRPr="0059462A" w:rsidRDefault="00E3770F" w:rsidP="00090260">
            <w:pPr>
              <w:suppressAutoHyphens/>
              <w:spacing w:line="240" w:lineRule="auto"/>
              <w:rPr>
                <w:lang w:val="lt-LT"/>
              </w:rPr>
            </w:pPr>
            <w:r w:rsidRPr="0059462A">
              <w:rPr>
                <w:lang w:val="lt-LT"/>
              </w:rPr>
              <w:t>Dozė (μg/kg)</w:t>
            </w:r>
          </w:p>
        </w:tc>
        <w:tc>
          <w:tcPr>
            <w:tcW w:w="1188" w:type="dxa"/>
            <w:tcBorders>
              <w:top w:val="single" w:sz="4" w:space="0" w:color="auto"/>
              <w:left w:val="single" w:sz="4" w:space="0" w:color="auto"/>
              <w:bottom w:val="single" w:sz="4" w:space="0" w:color="auto"/>
              <w:right w:val="single" w:sz="4" w:space="0" w:color="auto"/>
            </w:tcBorders>
          </w:tcPr>
          <w:p w14:paraId="3209D1B2"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0,240</w:t>
            </w:r>
          </w:p>
        </w:tc>
        <w:tc>
          <w:tcPr>
            <w:tcW w:w="1368" w:type="dxa"/>
            <w:tcBorders>
              <w:top w:val="single" w:sz="4" w:space="0" w:color="auto"/>
              <w:left w:val="single" w:sz="4" w:space="0" w:color="auto"/>
              <w:bottom w:val="single" w:sz="4" w:space="0" w:color="auto"/>
              <w:right w:val="single" w:sz="4" w:space="0" w:color="auto"/>
            </w:tcBorders>
          </w:tcPr>
          <w:p w14:paraId="3DBE6EC8"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0,047</w:t>
            </w:r>
          </w:p>
        </w:tc>
        <w:tc>
          <w:tcPr>
            <w:tcW w:w="1368" w:type="dxa"/>
            <w:tcBorders>
              <w:top w:val="single" w:sz="4" w:space="0" w:color="auto"/>
              <w:left w:val="single" w:sz="4" w:space="0" w:color="auto"/>
              <w:bottom w:val="single" w:sz="4" w:space="0" w:color="auto"/>
              <w:right w:val="single" w:sz="4" w:space="0" w:color="auto"/>
            </w:tcBorders>
          </w:tcPr>
          <w:p w14:paraId="4DACD5AF"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0,036</w:t>
            </w:r>
          </w:p>
        </w:tc>
        <w:tc>
          <w:tcPr>
            <w:tcW w:w="1368" w:type="dxa"/>
            <w:tcBorders>
              <w:top w:val="single" w:sz="4" w:space="0" w:color="auto"/>
              <w:left w:val="single" w:sz="4" w:space="0" w:color="auto"/>
              <w:bottom w:val="single" w:sz="4" w:space="0" w:color="auto"/>
              <w:right w:val="single" w:sz="4" w:space="0" w:color="auto"/>
            </w:tcBorders>
          </w:tcPr>
          <w:p w14:paraId="7A8E6B0B"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0,240</w:t>
            </w:r>
          </w:p>
        </w:tc>
        <w:tc>
          <w:tcPr>
            <w:tcW w:w="1368" w:type="dxa"/>
            <w:tcBorders>
              <w:top w:val="single" w:sz="4" w:space="0" w:color="auto"/>
              <w:left w:val="single" w:sz="4" w:space="0" w:color="auto"/>
              <w:bottom w:val="single" w:sz="4" w:space="0" w:color="auto"/>
            </w:tcBorders>
          </w:tcPr>
          <w:p w14:paraId="44AD8858"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0,240</w:t>
            </w:r>
          </w:p>
        </w:tc>
      </w:tr>
      <w:tr w:rsidR="00E3770F" w:rsidRPr="0059462A" w14:paraId="4D96F1EE" w14:textId="77777777" w:rsidTr="00090260">
        <w:tc>
          <w:tcPr>
            <w:tcW w:w="1980" w:type="dxa"/>
            <w:tcBorders>
              <w:top w:val="single" w:sz="4" w:space="0" w:color="auto"/>
              <w:bottom w:val="single" w:sz="4" w:space="0" w:color="auto"/>
              <w:right w:val="single" w:sz="4" w:space="0" w:color="auto"/>
            </w:tcBorders>
          </w:tcPr>
          <w:p w14:paraId="55060832" w14:textId="77777777" w:rsidR="00E3770F" w:rsidRPr="0059462A" w:rsidRDefault="00E3770F" w:rsidP="00090260">
            <w:pPr>
              <w:suppressAutoHyphens/>
              <w:spacing w:line="240" w:lineRule="auto"/>
              <w:rPr>
                <w:lang w:val="lt-LT"/>
              </w:rPr>
            </w:pPr>
            <w:r w:rsidRPr="0059462A">
              <w:rPr>
                <w:lang w:val="lt-LT"/>
              </w:rPr>
              <w:t>KL/F (l/h)</w:t>
            </w:r>
          </w:p>
        </w:tc>
        <w:tc>
          <w:tcPr>
            <w:tcW w:w="1188" w:type="dxa"/>
            <w:tcBorders>
              <w:top w:val="single" w:sz="4" w:space="0" w:color="auto"/>
              <w:left w:val="single" w:sz="4" w:space="0" w:color="auto"/>
              <w:bottom w:val="single" w:sz="4" w:space="0" w:color="auto"/>
              <w:right w:val="single" w:sz="4" w:space="0" w:color="auto"/>
            </w:tcBorders>
          </w:tcPr>
          <w:p w14:paraId="63754000"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3,6 ± 1,0</w:t>
            </w:r>
          </w:p>
        </w:tc>
        <w:tc>
          <w:tcPr>
            <w:tcW w:w="1368" w:type="dxa"/>
            <w:tcBorders>
              <w:top w:val="single" w:sz="4" w:space="0" w:color="auto"/>
              <w:left w:val="single" w:sz="4" w:space="0" w:color="auto"/>
              <w:bottom w:val="single" w:sz="4" w:space="0" w:color="auto"/>
              <w:right w:val="single" w:sz="4" w:space="0" w:color="auto"/>
            </w:tcBorders>
          </w:tcPr>
          <w:p w14:paraId="2425380A"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1,8 ± 0,5</w:t>
            </w:r>
          </w:p>
        </w:tc>
        <w:tc>
          <w:tcPr>
            <w:tcW w:w="1368" w:type="dxa"/>
            <w:tcBorders>
              <w:top w:val="single" w:sz="4" w:space="0" w:color="auto"/>
              <w:left w:val="single" w:sz="4" w:space="0" w:color="auto"/>
              <w:bottom w:val="single" w:sz="4" w:space="0" w:color="auto"/>
              <w:right w:val="single" w:sz="4" w:space="0" w:color="auto"/>
            </w:tcBorders>
          </w:tcPr>
          <w:p w14:paraId="42E38AA9"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1,5 ± 0,4</w:t>
            </w:r>
          </w:p>
        </w:tc>
        <w:tc>
          <w:tcPr>
            <w:tcW w:w="1368" w:type="dxa"/>
            <w:tcBorders>
              <w:top w:val="single" w:sz="4" w:space="0" w:color="auto"/>
              <w:left w:val="single" w:sz="4" w:space="0" w:color="auto"/>
              <w:bottom w:val="single" w:sz="4" w:space="0" w:color="auto"/>
              <w:right w:val="single" w:sz="4" w:space="0" w:color="auto"/>
            </w:tcBorders>
          </w:tcPr>
          <w:p w14:paraId="2E4B439F"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1,8 ± 0,8</w:t>
            </w:r>
          </w:p>
        </w:tc>
        <w:tc>
          <w:tcPr>
            <w:tcW w:w="1368" w:type="dxa"/>
            <w:tcBorders>
              <w:top w:val="single" w:sz="4" w:space="0" w:color="auto"/>
              <w:left w:val="single" w:sz="4" w:space="0" w:color="auto"/>
              <w:bottom w:val="single" w:sz="4" w:space="0" w:color="auto"/>
            </w:tcBorders>
          </w:tcPr>
          <w:p w14:paraId="186DF684"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1,8 ± 0,8</w:t>
            </w:r>
          </w:p>
        </w:tc>
      </w:tr>
      <w:tr w:rsidR="00E3770F" w:rsidRPr="0059462A" w14:paraId="7A6ED748" w14:textId="77777777" w:rsidTr="00090260">
        <w:tc>
          <w:tcPr>
            <w:tcW w:w="1980" w:type="dxa"/>
            <w:tcBorders>
              <w:top w:val="single" w:sz="4" w:space="0" w:color="auto"/>
              <w:bottom w:val="single" w:sz="4" w:space="0" w:color="auto"/>
              <w:right w:val="single" w:sz="4" w:space="0" w:color="auto"/>
            </w:tcBorders>
          </w:tcPr>
          <w:p w14:paraId="32CC1858" w14:textId="77777777" w:rsidR="00E3770F" w:rsidRPr="0059462A" w:rsidRDefault="00E3770F" w:rsidP="00090260">
            <w:pPr>
              <w:suppressAutoHyphens/>
              <w:spacing w:line="240" w:lineRule="auto"/>
              <w:rPr>
                <w:lang w:val="lt-LT"/>
              </w:rPr>
            </w:pPr>
            <w:r w:rsidRPr="0059462A">
              <w:rPr>
                <w:lang w:val="lt-LT"/>
              </w:rPr>
              <w:t>t</w:t>
            </w:r>
            <w:r w:rsidRPr="0059462A">
              <w:rPr>
                <w:vertAlign w:val="subscript"/>
                <w:lang w:val="lt-LT"/>
              </w:rPr>
              <w:t>½</w:t>
            </w:r>
            <w:r w:rsidRPr="0059462A">
              <w:rPr>
                <w:lang w:val="lt-LT"/>
              </w:rPr>
              <w:t>(h)</w:t>
            </w:r>
          </w:p>
        </w:tc>
        <w:tc>
          <w:tcPr>
            <w:tcW w:w="1188" w:type="dxa"/>
            <w:tcBorders>
              <w:top w:val="single" w:sz="4" w:space="0" w:color="auto"/>
              <w:left w:val="single" w:sz="4" w:space="0" w:color="auto"/>
              <w:bottom w:val="single" w:sz="4" w:space="0" w:color="auto"/>
              <w:right w:val="single" w:sz="4" w:space="0" w:color="auto"/>
            </w:tcBorders>
          </w:tcPr>
          <w:p w14:paraId="5ACEBC7D"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5,9 ± 2,8</w:t>
            </w:r>
          </w:p>
        </w:tc>
        <w:tc>
          <w:tcPr>
            <w:tcW w:w="1368" w:type="dxa"/>
            <w:tcBorders>
              <w:top w:val="single" w:sz="4" w:space="0" w:color="auto"/>
              <w:left w:val="single" w:sz="4" w:space="0" w:color="auto"/>
              <w:bottom w:val="single" w:sz="4" w:space="0" w:color="auto"/>
              <w:right w:val="single" w:sz="4" w:space="0" w:color="auto"/>
            </w:tcBorders>
          </w:tcPr>
          <w:p w14:paraId="4821DD0E"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16,8 ± 2,6</w:t>
            </w:r>
          </w:p>
        </w:tc>
        <w:tc>
          <w:tcPr>
            <w:tcW w:w="1368" w:type="dxa"/>
            <w:tcBorders>
              <w:top w:val="single" w:sz="4" w:space="0" w:color="auto"/>
              <w:left w:val="single" w:sz="4" w:space="0" w:color="auto"/>
              <w:bottom w:val="single" w:sz="4" w:space="0" w:color="auto"/>
              <w:right w:val="single" w:sz="4" w:space="0" w:color="auto"/>
            </w:tcBorders>
          </w:tcPr>
          <w:p w14:paraId="562A2D2A"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19,7 ± 7,2</w:t>
            </w:r>
          </w:p>
        </w:tc>
        <w:tc>
          <w:tcPr>
            <w:tcW w:w="1368" w:type="dxa"/>
            <w:tcBorders>
              <w:top w:val="single" w:sz="4" w:space="0" w:color="auto"/>
              <w:left w:val="single" w:sz="4" w:space="0" w:color="auto"/>
              <w:bottom w:val="single" w:sz="4" w:space="0" w:color="auto"/>
              <w:right w:val="single" w:sz="4" w:space="0" w:color="auto"/>
            </w:tcBorders>
          </w:tcPr>
          <w:p w14:paraId="2B137E40"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13,9 ± 5,1</w:t>
            </w:r>
          </w:p>
        </w:tc>
        <w:tc>
          <w:tcPr>
            <w:tcW w:w="1368" w:type="dxa"/>
            <w:tcBorders>
              <w:top w:val="single" w:sz="4" w:space="0" w:color="auto"/>
              <w:left w:val="single" w:sz="4" w:space="0" w:color="auto"/>
              <w:bottom w:val="single" w:sz="4" w:space="0" w:color="auto"/>
            </w:tcBorders>
          </w:tcPr>
          <w:p w14:paraId="25DF167F"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17,7 ± 9,6</w:t>
            </w:r>
          </w:p>
        </w:tc>
      </w:tr>
      <w:tr w:rsidR="00E3770F" w:rsidRPr="0059462A" w14:paraId="30D8DDA6" w14:textId="77777777" w:rsidTr="00090260">
        <w:tc>
          <w:tcPr>
            <w:tcW w:w="1980" w:type="dxa"/>
            <w:tcBorders>
              <w:top w:val="single" w:sz="4" w:space="0" w:color="auto"/>
              <w:bottom w:val="single" w:sz="4" w:space="0" w:color="auto"/>
              <w:right w:val="single" w:sz="4" w:space="0" w:color="auto"/>
            </w:tcBorders>
          </w:tcPr>
          <w:p w14:paraId="0945DA7F" w14:textId="77777777" w:rsidR="00E3770F" w:rsidRPr="0059462A" w:rsidRDefault="00E3770F" w:rsidP="00090260">
            <w:pPr>
              <w:suppressAutoHyphens/>
              <w:spacing w:line="240" w:lineRule="auto"/>
              <w:rPr>
                <w:lang w:val="lt-LT"/>
              </w:rPr>
            </w:pPr>
            <w:r w:rsidRPr="0059462A">
              <w:rPr>
                <w:lang w:val="lt-LT"/>
              </w:rPr>
              <w:t>f</w:t>
            </w:r>
            <w:r w:rsidRPr="0059462A">
              <w:rPr>
                <w:vertAlign w:val="subscript"/>
                <w:lang w:val="lt-LT"/>
              </w:rPr>
              <w:t>u</w:t>
            </w:r>
            <w:r w:rsidRPr="0059462A">
              <w:rPr>
                <w:vertAlign w:val="superscript"/>
                <w:lang w:val="lt-LT"/>
              </w:rPr>
              <w:t>*</w:t>
            </w:r>
            <w:r w:rsidRPr="0059462A">
              <w:rPr>
                <w:lang w:val="lt-LT"/>
              </w:rPr>
              <w:t xml:space="preserve"> (%)</w:t>
            </w:r>
          </w:p>
        </w:tc>
        <w:tc>
          <w:tcPr>
            <w:tcW w:w="1188" w:type="dxa"/>
            <w:tcBorders>
              <w:top w:val="single" w:sz="4" w:space="0" w:color="auto"/>
              <w:left w:val="single" w:sz="4" w:space="0" w:color="auto"/>
              <w:bottom w:val="single" w:sz="4" w:space="0" w:color="auto"/>
              <w:right w:val="single" w:sz="4" w:space="0" w:color="auto"/>
            </w:tcBorders>
          </w:tcPr>
          <w:p w14:paraId="57DBFEFF"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0,06 ± 0,01</w:t>
            </w:r>
          </w:p>
        </w:tc>
        <w:tc>
          <w:tcPr>
            <w:tcW w:w="1368" w:type="dxa"/>
            <w:tcBorders>
              <w:top w:val="single" w:sz="4" w:space="0" w:color="auto"/>
              <w:left w:val="single" w:sz="4" w:space="0" w:color="auto"/>
              <w:bottom w:val="single" w:sz="4" w:space="0" w:color="auto"/>
              <w:right w:val="single" w:sz="4" w:space="0" w:color="auto"/>
            </w:tcBorders>
          </w:tcPr>
          <w:p w14:paraId="2DD253B4"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0,06 ± 0,01</w:t>
            </w:r>
          </w:p>
        </w:tc>
        <w:tc>
          <w:tcPr>
            <w:tcW w:w="1368" w:type="dxa"/>
            <w:tcBorders>
              <w:top w:val="single" w:sz="4" w:space="0" w:color="auto"/>
              <w:left w:val="single" w:sz="4" w:space="0" w:color="auto"/>
              <w:bottom w:val="single" w:sz="4" w:space="0" w:color="auto"/>
              <w:right w:val="single" w:sz="4" w:space="0" w:color="auto"/>
            </w:tcBorders>
          </w:tcPr>
          <w:p w14:paraId="78E1FCC6"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0,07 ± 0,02</w:t>
            </w:r>
          </w:p>
        </w:tc>
        <w:tc>
          <w:tcPr>
            <w:tcW w:w="1368" w:type="dxa"/>
            <w:tcBorders>
              <w:top w:val="single" w:sz="4" w:space="0" w:color="auto"/>
              <w:left w:val="single" w:sz="4" w:space="0" w:color="auto"/>
              <w:bottom w:val="single" w:sz="4" w:space="0" w:color="auto"/>
              <w:right w:val="single" w:sz="4" w:space="0" w:color="auto"/>
            </w:tcBorders>
          </w:tcPr>
          <w:p w14:paraId="10AB36B6"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0,09 ± 0,04</w:t>
            </w:r>
          </w:p>
        </w:tc>
        <w:tc>
          <w:tcPr>
            <w:tcW w:w="1368" w:type="dxa"/>
            <w:tcBorders>
              <w:top w:val="single" w:sz="4" w:space="0" w:color="auto"/>
              <w:left w:val="single" w:sz="4" w:space="0" w:color="auto"/>
              <w:bottom w:val="single" w:sz="4" w:space="0" w:color="auto"/>
            </w:tcBorders>
          </w:tcPr>
          <w:p w14:paraId="135EA47C" w14:textId="77777777" w:rsidR="00E3770F" w:rsidRPr="0059462A" w:rsidRDefault="00E3770F" w:rsidP="00090260">
            <w:pPr>
              <w:suppressAutoHyphens/>
              <w:spacing w:line="240" w:lineRule="auto"/>
              <w:jc w:val="center"/>
              <w:rPr>
                <w:rFonts w:asciiTheme="minorHAnsi" w:eastAsiaTheme="minorHAnsi" w:hAnsiTheme="minorHAnsi" w:cstheme="minorBidi"/>
                <w:szCs w:val="22"/>
                <w:lang w:val="lt-LT"/>
              </w:rPr>
            </w:pPr>
            <w:r w:rsidRPr="0059462A">
              <w:rPr>
                <w:lang w:val="lt-LT"/>
              </w:rPr>
              <w:t>0,13 ± 0,08</w:t>
            </w:r>
          </w:p>
        </w:tc>
      </w:tr>
      <w:tr w:rsidR="00E3770F" w:rsidRPr="0059462A" w14:paraId="6702D471" w14:textId="77777777" w:rsidTr="00090260">
        <w:trPr>
          <w:cantSplit/>
        </w:trPr>
        <w:tc>
          <w:tcPr>
            <w:tcW w:w="8640" w:type="dxa"/>
            <w:gridSpan w:val="6"/>
            <w:tcBorders>
              <w:top w:val="single" w:sz="4" w:space="0" w:color="auto"/>
              <w:left w:val="nil"/>
              <w:bottom w:val="nil"/>
              <w:right w:val="nil"/>
            </w:tcBorders>
          </w:tcPr>
          <w:p w14:paraId="0ABBF06A" w14:textId="77777777" w:rsidR="00E3770F" w:rsidRPr="0059462A" w:rsidRDefault="00E3770F" w:rsidP="00090260">
            <w:pPr>
              <w:pStyle w:val="Pagrindinistekstas"/>
              <w:rPr>
                <w:lang w:val="lt-LT"/>
              </w:rPr>
            </w:pPr>
            <w:r w:rsidRPr="0059462A">
              <w:rPr>
                <w:i w:val="0"/>
                <w:color w:val="auto"/>
                <w:lang w:val="lt-LT"/>
              </w:rPr>
              <w:t>* Nustatyta, kai parikalcitolio koncentracija buvo 15 nM.</w:t>
            </w:r>
          </w:p>
        </w:tc>
      </w:tr>
    </w:tbl>
    <w:p w14:paraId="729CED42" w14:textId="77777777" w:rsidR="00E3770F" w:rsidRPr="0059462A" w:rsidRDefault="00E3770F" w:rsidP="00E3770F">
      <w:pPr>
        <w:spacing w:line="240" w:lineRule="auto"/>
        <w:rPr>
          <w:lang w:val="lt-LT"/>
        </w:rPr>
      </w:pPr>
    </w:p>
    <w:p w14:paraId="0946E0A3"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Išgėrus parikalcitolio kapsulių, 3-5 stadijos LIL sergančių pacientų parikalcitolio farmakokinetika buvo panaši. Todėl daugiau, nei rekomenduojama, dozės koreguoti nereikia (žr. 4.2 skyrių).</w:t>
      </w:r>
    </w:p>
    <w:p w14:paraId="7F2470CD" w14:textId="77777777" w:rsidR="00E3770F" w:rsidRPr="0059462A" w:rsidRDefault="00E3770F" w:rsidP="00E3770F">
      <w:pPr>
        <w:spacing w:line="240" w:lineRule="auto"/>
        <w:rPr>
          <w:lang w:val="lt-LT"/>
        </w:rPr>
      </w:pPr>
    </w:p>
    <w:p w14:paraId="34087364"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5.3</w:t>
      </w:r>
      <w:r w:rsidRPr="0059462A">
        <w:rPr>
          <w:b/>
          <w:lang w:val="lt-LT"/>
        </w:rPr>
        <w:tab/>
        <w:t>Ikiklinikinių saugumo tyrimų duomenys</w:t>
      </w:r>
    </w:p>
    <w:p w14:paraId="433F942D" w14:textId="77777777" w:rsidR="00E3770F" w:rsidRPr="0059462A" w:rsidRDefault="00E3770F" w:rsidP="00E3770F">
      <w:pPr>
        <w:spacing w:line="240" w:lineRule="auto"/>
        <w:rPr>
          <w:lang w:val="lt-LT"/>
        </w:rPr>
      </w:pPr>
    </w:p>
    <w:p w14:paraId="79245BCF" w14:textId="77777777" w:rsidR="00E3770F" w:rsidRPr="0059462A" w:rsidRDefault="00E3770F" w:rsidP="00E3770F">
      <w:pPr>
        <w:pStyle w:val="Lvl1Text"/>
        <w:spacing w:before="0" w:after="0" w:line="240" w:lineRule="auto"/>
        <w:rPr>
          <w:lang w:val="lt-LT"/>
        </w:rPr>
      </w:pPr>
      <w:r w:rsidRPr="0059462A">
        <w:rPr>
          <w:sz w:val="22"/>
          <w:lang w:val="lt-LT"/>
        </w:rPr>
        <w:t>Pagrindinės reakcijos, stebėtos kartotinių dozių toksiškumo graužikams ir šunims tyrimuose, buvo tos, kurios pasireiškė dėl parikalcitolio kalcio koncentraciją didinančio poveikio. Reakcijos, kurios nebuvo aiškiai susijusios su hiperkalcemija, buvo sumažėjęs baltųjų kraujo ląstelių kiekis ir užkrūčio liaukos atrofija šunims bei pakitusios APTT vertės (padidėjusi šunims, sumažėjusi žiurkėms). Parikalcitolio klinikinių tyrimų metu baltųjų kraujo ląstelių pokyčių nebuvo stebėta.</w:t>
      </w:r>
    </w:p>
    <w:p w14:paraId="02E30FC3" w14:textId="77777777" w:rsidR="00E3770F" w:rsidRPr="0059462A" w:rsidRDefault="00E3770F" w:rsidP="00E3770F">
      <w:pPr>
        <w:pStyle w:val="Lvl1Text"/>
        <w:spacing w:before="0" w:after="0" w:line="240" w:lineRule="auto"/>
        <w:rPr>
          <w:lang w:val="lt-LT"/>
        </w:rPr>
      </w:pPr>
    </w:p>
    <w:p w14:paraId="5BE04D2E" w14:textId="77777777" w:rsidR="00E3770F" w:rsidRPr="0059462A" w:rsidRDefault="00E3770F" w:rsidP="00E3770F">
      <w:pPr>
        <w:pStyle w:val="Lvl1Text"/>
        <w:spacing w:before="0" w:after="0" w:line="240" w:lineRule="auto"/>
        <w:rPr>
          <w:lang w:val="lt-LT"/>
        </w:rPr>
      </w:pPr>
      <w:r w:rsidRPr="0059462A">
        <w:rPr>
          <w:sz w:val="22"/>
          <w:lang w:val="lt-LT"/>
        </w:rPr>
        <w:t>Parikalcitolis neveikė žiurkių vaisingumo ir nesukėlė teratogeninio poveikio žiurkėms ar triušiams. Didelės nėštumo metu skirtos kitų vitamino D preparatų dozės gyvūnams sukėlė teratogeninį poveikį. Patelėms toksinėmis dozėmis skirtas parikalcitolis veikė vaisiaus gyvybingumą, taip pat reikšmingai didino perinatalinio ir postnatalinio žiurkių jauniklių mirtingumo dažnį.</w:t>
      </w:r>
    </w:p>
    <w:p w14:paraId="46FDD766" w14:textId="77777777" w:rsidR="00E3770F" w:rsidRPr="0059462A" w:rsidRDefault="00E3770F" w:rsidP="00E3770F">
      <w:pPr>
        <w:pStyle w:val="DefaultText"/>
        <w:spacing w:after="0"/>
        <w:rPr>
          <w:lang w:val="lt-LT"/>
        </w:rPr>
      </w:pPr>
    </w:p>
    <w:p w14:paraId="133D2DF0" w14:textId="77777777" w:rsidR="00E3770F" w:rsidRPr="0059462A" w:rsidRDefault="00E3770F" w:rsidP="00E3770F">
      <w:pPr>
        <w:pStyle w:val="DefaultText"/>
        <w:spacing w:after="0"/>
        <w:rPr>
          <w:lang w:val="lt-LT"/>
        </w:rPr>
      </w:pPr>
      <w:r w:rsidRPr="0059462A">
        <w:rPr>
          <w:rFonts w:ascii="Times New Roman" w:hAnsi="Times New Roman"/>
          <w:i/>
          <w:lang w:val="lt-LT"/>
        </w:rPr>
        <w:t xml:space="preserve">In vitro </w:t>
      </w:r>
      <w:r w:rsidRPr="0059462A">
        <w:rPr>
          <w:rFonts w:ascii="Times New Roman" w:hAnsi="Times New Roman"/>
          <w:lang w:val="lt-LT"/>
        </w:rPr>
        <w:t xml:space="preserve">ir </w:t>
      </w:r>
      <w:r w:rsidRPr="0059462A">
        <w:rPr>
          <w:rFonts w:ascii="Times New Roman" w:hAnsi="Times New Roman"/>
          <w:i/>
          <w:lang w:val="lt-LT"/>
        </w:rPr>
        <w:t xml:space="preserve">in vivo </w:t>
      </w:r>
      <w:r w:rsidRPr="0059462A">
        <w:rPr>
          <w:rFonts w:ascii="Times New Roman" w:hAnsi="Times New Roman"/>
          <w:lang w:val="lt-LT"/>
        </w:rPr>
        <w:t>genotoksiškumo tyrimų duomenimis, parikalcitolis nesukėlė genotoksinio poveikio.</w:t>
      </w:r>
    </w:p>
    <w:p w14:paraId="2D180769" w14:textId="77777777" w:rsidR="00E3770F" w:rsidRPr="0059462A" w:rsidRDefault="00E3770F" w:rsidP="00E3770F">
      <w:pPr>
        <w:pStyle w:val="DefaultText"/>
        <w:spacing w:after="0"/>
        <w:rPr>
          <w:lang w:val="lt-LT"/>
        </w:rPr>
      </w:pPr>
    </w:p>
    <w:p w14:paraId="0DE11BF7" w14:textId="77777777" w:rsidR="00E3770F" w:rsidRPr="0059462A" w:rsidRDefault="00E3770F" w:rsidP="00E3770F">
      <w:pPr>
        <w:pStyle w:val="DefaultText"/>
        <w:spacing w:after="0"/>
        <w:rPr>
          <w:lang w:val="lt-LT"/>
        </w:rPr>
      </w:pPr>
      <w:r w:rsidRPr="0059462A">
        <w:rPr>
          <w:rFonts w:ascii="Times New Roman" w:hAnsi="Times New Roman"/>
          <w:lang w:val="lt-LT"/>
        </w:rPr>
        <w:t>Graužikų kancerogeniškumo tyrimų metu nenustatyta nieko, kas rodytų padidėjusią riziką žmonėms.</w:t>
      </w:r>
    </w:p>
    <w:p w14:paraId="0FFA9DE3" w14:textId="77777777" w:rsidR="00E3770F" w:rsidRPr="0059462A" w:rsidRDefault="00E3770F" w:rsidP="00E3770F">
      <w:pPr>
        <w:rPr>
          <w:lang w:val="lt-LT"/>
        </w:rPr>
      </w:pPr>
    </w:p>
    <w:p w14:paraId="1C87C810" w14:textId="77777777" w:rsidR="00E3770F" w:rsidRPr="0059462A" w:rsidRDefault="00E3770F" w:rsidP="00E3770F">
      <w:pPr>
        <w:rPr>
          <w:rFonts w:asciiTheme="minorHAnsi" w:eastAsiaTheme="minorHAnsi" w:hAnsiTheme="minorHAnsi" w:cstheme="minorBidi"/>
          <w:szCs w:val="22"/>
          <w:lang w:val="lt-LT"/>
        </w:rPr>
      </w:pPr>
      <w:r w:rsidRPr="0059462A">
        <w:rPr>
          <w:lang w:val="lt-LT"/>
        </w:rPr>
        <w:t>Skirtos parikalcitolio dozės ir (ar) sisteminė ekspozicija buvo šiek tiek didesnės už terapines dozes ir (ar) sisteminę ekspoziciją.</w:t>
      </w:r>
    </w:p>
    <w:p w14:paraId="2012C2F0" w14:textId="77777777" w:rsidR="00E3770F" w:rsidRPr="0059462A" w:rsidRDefault="00E3770F" w:rsidP="00E3770F">
      <w:pPr>
        <w:tabs>
          <w:tab w:val="clear" w:pos="567"/>
        </w:tabs>
        <w:spacing w:line="240" w:lineRule="auto"/>
        <w:rPr>
          <w:lang w:val="lt-LT"/>
        </w:rPr>
      </w:pPr>
    </w:p>
    <w:p w14:paraId="0ACD42B7" w14:textId="77777777" w:rsidR="00E3770F" w:rsidRPr="0059462A" w:rsidRDefault="00E3770F" w:rsidP="00E3770F">
      <w:pPr>
        <w:tabs>
          <w:tab w:val="clear" w:pos="567"/>
        </w:tabs>
        <w:rPr>
          <w:lang w:val="lt-LT"/>
        </w:rPr>
      </w:pPr>
    </w:p>
    <w:p w14:paraId="7F850B91" w14:textId="77777777" w:rsidR="00E3770F" w:rsidRPr="0059462A" w:rsidRDefault="00E3770F" w:rsidP="00E3770F">
      <w:pPr>
        <w:tabs>
          <w:tab w:val="clear" w:pos="567"/>
        </w:tabs>
        <w:spacing w:line="240" w:lineRule="auto"/>
        <w:ind w:left="567" w:hanging="567"/>
        <w:rPr>
          <w:rFonts w:asciiTheme="minorHAnsi" w:eastAsiaTheme="minorHAnsi" w:hAnsiTheme="minorHAnsi" w:cstheme="minorBidi"/>
          <w:b/>
          <w:szCs w:val="22"/>
          <w:lang w:val="lt-LT"/>
        </w:rPr>
      </w:pPr>
      <w:r w:rsidRPr="0059462A">
        <w:rPr>
          <w:b/>
          <w:lang w:val="lt-LT"/>
        </w:rPr>
        <w:t>6.</w:t>
      </w:r>
      <w:r w:rsidRPr="0059462A">
        <w:rPr>
          <w:b/>
          <w:lang w:val="lt-LT"/>
        </w:rPr>
        <w:tab/>
      </w:r>
      <w:r w:rsidRPr="0059462A">
        <w:rPr>
          <w:b/>
          <w:caps/>
          <w:lang w:val="lt-LT"/>
        </w:rPr>
        <w:t>farmacinė informacija</w:t>
      </w:r>
    </w:p>
    <w:p w14:paraId="2E19B682" w14:textId="77777777" w:rsidR="00E3770F" w:rsidRPr="0059462A" w:rsidRDefault="00E3770F" w:rsidP="00E3770F">
      <w:pPr>
        <w:tabs>
          <w:tab w:val="clear" w:pos="567"/>
        </w:tabs>
        <w:rPr>
          <w:lang w:val="lt-LT"/>
        </w:rPr>
      </w:pPr>
    </w:p>
    <w:p w14:paraId="2B7B6462"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6.1</w:t>
      </w:r>
      <w:r w:rsidRPr="0059462A">
        <w:rPr>
          <w:b/>
          <w:lang w:val="lt-LT"/>
        </w:rPr>
        <w:tab/>
        <w:t>Pagalbinių medžiagų sąrašas</w:t>
      </w:r>
    </w:p>
    <w:p w14:paraId="37C6BE32" w14:textId="77777777" w:rsidR="00E3770F" w:rsidRPr="0059462A" w:rsidRDefault="00E3770F" w:rsidP="00E3770F">
      <w:pPr>
        <w:tabs>
          <w:tab w:val="clear" w:pos="567"/>
        </w:tabs>
        <w:spacing w:line="240" w:lineRule="auto"/>
        <w:rPr>
          <w:lang w:val="lt-LT"/>
        </w:rPr>
      </w:pPr>
    </w:p>
    <w:p w14:paraId="5E7B5FA6" w14:textId="64AB8A33" w:rsidR="00E3770F" w:rsidRPr="00FB39A9" w:rsidRDefault="00E3770F" w:rsidP="00E3770F">
      <w:pPr>
        <w:pStyle w:val="Pagrindinistekstas"/>
        <w:rPr>
          <w:color w:val="auto"/>
          <w:u w:val="single"/>
          <w:lang w:val="lt-LT"/>
        </w:rPr>
      </w:pPr>
      <w:r w:rsidRPr="0059462A">
        <w:rPr>
          <w:i w:val="0"/>
          <w:color w:val="auto"/>
          <w:u w:val="single"/>
          <w:lang w:val="lt-LT"/>
        </w:rPr>
        <w:t>Kapsulės turinys</w:t>
      </w:r>
    </w:p>
    <w:p w14:paraId="3E115B31" w14:textId="77777777" w:rsidR="00E3770F" w:rsidRPr="00FB39A9" w:rsidRDefault="00E3770F" w:rsidP="00E3770F">
      <w:pPr>
        <w:pStyle w:val="Pagrindinistekstas"/>
        <w:rPr>
          <w:color w:val="auto"/>
          <w:lang w:val="lt-LT"/>
        </w:rPr>
      </w:pPr>
      <w:r w:rsidRPr="0059462A">
        <w:rPr>
          <w:i w:val="0"/>
          <w:color w:val="auto"/>
          <w:lang w:val="lt-LT"/>
        </w:rPr>
        <w:t>Vidutinės grandinės trigliceridai</w:t>
      </w:r>
    </w:p>
    <w:p w14:paraId="3AE43241" w14:textId="77777777" w:rsidR="00E3770F" w:rsidRPr="00FB39A9" w:rsidRDefault="00E3770F" w:rsidP="00E3770F">
      <w:pPr>
        <w:pStyle w:val="Pagrindinistekstas"/>
        <w:rPr>
          <w:color w:val="auto"/>
          <w:lang w:val="lt-LT"/>
        </w:rPr>
      </w:pPr>
      <w:r w:rsidRPr="0059462A">
        <w:rPr>
          <w:i w:val="0"/>
          <w:color w:val="auto"/>
          <w:lang w:val="lt-LT"/>
        </w:rPr>
        <w:t>Etanolis</w:t>
      </w:r>
    </w:p>
    <w:p w14:paraId="5F68BE14" w14:textId="77777777" w:rsidR="00E3770F" w:rsidRPr="00FB39A9" w:rsidRDefault="00E3770F" w:rsidP="00E3770F">
      <w:pPr>
        <w:pStyle w:val="Pagrindinistekstas"/>
        <w:rPr>
          <w:color w:val="auto"/>
          <w:lang w:val="lt-LT"/>
        </w:rPr>
      </w:pPr>
      <w:r w:rsidRPr="0059462A">
        <w:rPr>
          <w:i w:val="0"/>
          <w:color w:val="auto"/>
          <w:lang w:val="lt-LT"/>
        </w:rPr>
        <w:t xml:space="preserve">Butilhidroksitoluenas </w:t>
      </w:r>
    </w:p>
    <w:p w14:paraId="5050F6A2" w14:textId="77777777" w:rsidR="00E3770F" w:rsidRPr="0059462A" w:rsidRDefault="00E3770F" w:rsidP="00E3770F">
      <w:pPr>
        <w:pStyle w:val="Pagrindinistekstas"/>
        <w:rPr>
          <w:i w:val="0"/>
          <w:color w:val="auto"/>
          <w:u w:val="single"/>
          <w:lang w:val="lt-LT"/>
        </w:rPr>
      </w:pPr>
    </w:p>
    <w:p w14:paraId="4D1277DF" w14:textId="23E1C169" w:rsidR="00E3770F" w:rsidRPr="00FB39A9" w:rsidRDefault="00E3770F" w:rsidP="00E3770F">
      <w:pPr>
        <w:pStyle w:val="Pagrindinistekstas"/>
        <w:rPr>
          <w:color w:val="auto"/>
          <w:u w:val="single"/>
          <w:lang w:val="lt-LT"/>
        </w:rPr>
      </w:pPr>
      <w:r w:rsidRPr="0059462A">
        <w:rPr>
          <w:i w:val="0"/>
          <w:color w:val="auto"/>
          <w:u w:val="single"/>
          <w:lang w:val="lt-LT"/>
        </w:rPr>
        <w:t>Kapsulės apvalkalas</w:t>
      </w:r>
    </w:p>
    <w:p w14:paraId="588D89BD" w14:textId="77777777" w:rsidR="00E3770F" w:rsidRPr="00FB39A9" w:rsidRDefault="00E3770F" w:rsidP="00E3770F">
      <w:pPr>
        <w:pStyle w:val="Pagrindinistekstas"/>
        <w:rPr>
          <w:color w:val="auto"/>
          <w:lang w:val="lt-LT"/>
        </w:rPr>
      </w:pPr>
      <w:r w:rsidRPr="00FB39A9">
        <w:rPr>
          <w:i w:val="0"/>
          <w:color w:val="auto"/>
          <w:lang w:val="lt-LT"/>
        </w:rPr>
        <w:t>1 mikrogramo kapsulės</w:t>
      </w:r>
      <w:r w:rsidRPr="0059462A">
        <w:rPr>
          <w:i w:val="0"/>
          <w:color w:val="auto"/>
          <w:lang w:val="lt-LT"/>
        </w:rPr>
        <w:t>:</w:t>
      </w:r>
      <w:r w:rsidRPr="0059462A">
        <w:rPr>
          <w:i w:val="0"/>
          <w:color w:val="auto"/>
          <w:lang w:val="lt-LT"/>
        </w:rPr>
        <w:tab/>
      </w:r>
      <w:r w:rsidRPr="0059462A">
        <w:rPr>
          <w:i w:val="0"/>
          <w:color w:val="auto"/>
          <w:lang w:val="lt-LT"/>
        </w:rPr>
        <w:tab/>
      </w:r>
      <w:r w:rsidRPr="0059462A">
        <w:rPr>
          <w:i w:val="0"/>
          <w:color w:val="auto"/>
          <w:lang w:val="lt-LT"/>
        </w:rPr>
        <w:tab/>
      </w:r>
      <w:r w:rsidRPr="00FB39A9">
        <w:rPr>
          <w:i w:val="0"/>
          <w:color w:val="auto"/>
          <w:lang w:val="lt-LT"/>
        </w:rPr>
        <w:t>2 mikrogramų kapsulės</w:t>
      </w:r>
      <w:r w:rsidRPr="0059462A">
        <w:rPr>
          <w:i w:val="0"/>
          <w:color w:val="auto"/>
          <w:lang w:val="lt-LT"/>
        </w:rPr>
        <w:t>:</w:t>
      </w:r>
      <w:r w:rsidRPr="0059462A">
        <w:rPr>
          <w:i w:val="0"/>
          <w:color w:val="auto"/>
          <w:lang w:val="lt-LT"/>
        </w:rPr>
        <w:tab/>
      </w:r>
      <w:r w:rsidRPr="0059462A">
        <w:rPr>
          <w:i w:val="0"/>
          <w:color w:val="auto"/>
          <w:lang w:val="lt-LT"/>
        </w:rPr>
        <w:tab/>
      </w:r>
      <w:r w:rsidRPr="0059462A">
        <w:rPr>
          <w:i w:val="0"/>
          <w:color w:val="auto"/>
          <w:lang w:val="lt-LT"/>
        </w:rPr>
        <w:tab/>
      </w:r>
    </w:p>
    <w:p w14:paraId="48EA0ECC" w14:textId="77777777" w:rsidR="00E3770F" w:rsidRPr="00FB39A9" w:rsidRDefault="00E3770F" w:rsidP="00E3770F">
      <w:pPr>
        <w:pStyle w:val="Pagrindinistekstas"/>
        <w:rPr>
          <w:color w:val="auto"/>
          <w:lang w:val="lt-LT"/>
        </w:rPr>
      </w:pPr>
      <w:r w:rsidRPr="0059462A">
        <w:rPr>
          <w:i w:val="0"/>
          <w:color w:val="auto"/>
          <w:lang w:val="lt-LT"/>
        </w:rPr>
        <w:t>Želatina</w:t>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t>Želatina</w:t>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r>
    </w:p>
    <w:p w14:paraId="56467A9B" w14:textId="77777777" w:rsidR="00E3770F" w:rsidRPr="00FB39A9" w:rsidRDefault="00E3770F" w:rsidP="00E3770F">
      <w:pPr>
        <w:pStyle w:val="Pagrindinistekstas"/>
        <w:rPr>
          <w:color w:val="auto"/>
          <w:lang w:val="lt-LT"/>
        </w:rPr>
      </w:pPr>
      <w:r w:rsidRPr="0059462A">
        <w:rPr>
          <w:i w:val="0"/>
          <w:color w:val="auto"/>
          <w:lang w:val="lt-LT"/>
        </w:rPr>
        <w:t>Glicerolis</w:t>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t>Glicerolis</w:t>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r>
    </w:p>
    <w:p w14:paraId="68DA659F" w14:textId="77777777" w:rsidR="00E3770F" w:rsidRPr="00FB39A9" w:rsidRDefault="00E3770F" w:rsidP="00E3770F">
      <w:pPr>
        <w:pStyle w:val="Pagrindinistekstas"/>
        <w:rPr>
          <w:color w:val="auto"/>
          <w:lang w:val="lt-LT"/>
        </w:rPr>
      </w:pPr>
      <w:r w:rsidRPr="0059462A">
        <w:rPr>
          <w:i w:val="0"/>
          <w:color w:val="auto"/>
          <w:lang w:val="lt-LT"/>
        </w:rPr>
        <w:t>Vanduo</w:t>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t>Vanduo</w:t>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r>
    </w:p>
    <w:p w14:paraId="1D797262" w14:textId="77777777" w:rsidR="00E3770F" w:rsidRPr="00FB39A9" w:rsidRDefault="00E3770F" w:rsidP="00E3770F">
      <w:pPr>
        <w:pStyle w:val="Pagrindinistekstas"/>
        <w:rPr>
          <w:color w:val="auto"/>
          <w:lang w:val="lt-LT"/>
        </w:rPr>
      </w:pPr>
      <w:r w:rsidRPr="0059462A">
        <w:rPr>
          <w:i w:val="0"/>
          <w:color w:val="auto"/>
          <w:lang w:val="lt-LT"/>
        </w:rPr>
        <w:t xml:space="preserve">Titano dioksidas (E171) </w:t>
      </w:r>
      <w:r w:rsidRPr="0059462A">
        <w:rPr>
          <w:i w:val="0"/>
          <w:color w:val="auto"/>
          <w:lang w:val="lt-LT"/>
        </w:rPr>
        <w:tab/>
      </w:r>
      <w:r w:rsidRPr="0059462A">
        <w:rPr>
          <w:i w:val="0"/>
          <w:color w:val="auto"/>
          <w:lang w:val="lt-LT"/>
        </w:rPr>
        <w:tab/>
        <w:t>Titano dioksidas (E171)</w:t>
      </w:r>
      <w:r w:rsidRPr="0059462A">
        <w:rPr>
          <w:i w:val="0"/>
          <w:color w:val="auto"/>
          <w:lang w:val="lt-LT"/>
        </w:rPr>
        <w:tab/>
      </w:r>
      <w:r w:rsidRPr="0059462A">
        <w:rPr>
          <w:i w:val="0"/>
          <w:color w:val="auto"/>
          <w:lang w:val="lt-LT"/>
        </w:rPr>
        <w:tab/>
      </w:r>
      <w:r w:rsidRPr="0059462A">
        <w:rPr>
          <w:i w:val="0"/>
          <w:color w:val="auto"/>
          <w:lang w:val="lt-LT"/>
        </w:rPr>
        <w:tab/>
      </w:r>
    </w:p>
    <w:p w14:paraId="5725E979" w14:textId="77777777" w:rsidR="00E3770F" w:rsidRPr="00FB39A9" w:rsidRDefault="00E3770F" w:rsidP="00E3770F">
      <w:pPr>
        <w:pStyle w:val="Pagrindinistekstas"/>
        <w:rPr>
          <w:color w:val="auto"/>
          <w:lang w:val="lt-LT"/>
        </w:rPr>
      </w:pPr>
      <w:r w:rsidRPr="0059462A">
        <w:rPr>
          <w:i w:val="0"/>
          <w:color w:val="auto"/>
          <w:lang w:val="lt-LT"/>
        </w:rPr>
        <w:t xml:space="preserve">Juodasis geležies oksidas (E172) </w:t>
      </w:r>
      <w:r w:rsidRPr="0059462A">
        <w:rPr>
          <w:i w:val="0"/>
          <w:color w:val="auto"/>
          <w:lang w:val="lt-LT"/>
        </w:rPr>
        <w:tab/>
        <w:t xml:space="preserve">Raudonasis geležies oksidas (E172) </w:t>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r>
      <w:r w:rsidRPr="0059462A">
        <w:rPr>
          <w:i w:val="0"/>
          <w:color w:val="auto"/>
          <w:lang w:val="lt-LT"/>
        </w:rPr>
        <w:tab/>
        <w:t>Geltonasis geležies oksidas (E172)</w:t>
      </w:r>
    </w:p>
    <w:p w14:paraId="647AB8EC" w14:textId="77777777" w:rsidR="00E3770F" w:rsidRPr="00FB39A9" w:rsidRDefault="00E3770F" w:rsidP="00E3770F">
      <w:pPr>
        <w:pStyle w:val="Pagrindinistekstas"/>
        <w:rPr>
          <w:color w:val="auto"/>
          <w:lang w:val="lt-LT"/>
        </w:rPr>
      </w:pPr>
    </w:p>
    <w:p w14:paraId="53151A23" w14:textId="26C5AECA" w:rsidR="00E3770F" w:rsidRPr="00FB39A9" w:rsidRDefault="00E3770F" w:rsidP="00E3770F">
      <w:pPr>
        <w:pStyle w:val="Pagrindinistekstas"/>
        <w:rPr>
          <w:color w:val="auto"/>
          <w:u w:val="single"/>
          <w:lang w:val="lt-LT"/>
        </w:rPr>
      </w:pPr>
      <w:r w:rsidRPr="0059462A">
        <w:rPr>
          <w:i w:val="0"/>
          <w:color w:val="auto"/>
          <w:u w:val="single"/>
          <w:lang w:val="lt-LT"/>
        </w:rPr>
        <w:t>Juodasis rašalas</w:t>
      </w:r>
    </w:p>
    <w:p w14:paraId="6B9899D6" w14:textId="77777777" w:rsidR="00E3770F" w:rsidRPr="00FB39A9" w:rsidRDefault="00E3770F" w:rsidP="00E3770F">
      <w:pPr>
        <w:pStyle w:val="Pagrindinistekstas"/>
        <w:rPr>
          <w:color w:val="auto"/>
          <w:lang w:val="lt-LT"/>
        </w:rPr>
      </w:pPr>
      <w:r w:rsidRPr="0059462A">
        <w:rPr>
          <w:i w:val="0"/>
          <w:color w:val="auto"/>
          <w:lang w:val="lt-LT"/>
        </w:rPr>
        <w:t>Propilenglikolis</w:t>
      </w:r>
    </w:p>
    <w:p w14:paraId="5852A0E0" w14:textId="77777777" w:rsidR="00E3770F" w:rsidRPr="00FB39A9" w:rsidRDefault="00E3770F" w:rsidP="00E3770F">
      <w:pPr>
        <w:pStyle w:val="Pagrindinistekstas"/>
        <w:rPr>
          <w:color w:val="auto"/>
          <w:lang w:val="lt-LT"/>
        </w:rPr>
      </w:pPr>
      <w:r w:rsidRPr="0059462A">
        <w:rPr>
          <w:i w:val="0"/>
          <w:color w:val="auto"/>
          <w:lang w:val="lt-LT"/>
        </w:rPr>
        <w:t>Juodasis geležies oksidas (E172)</w:t>
      </w:r>
    </w:p>
    <w:p w14:paraId="74F28E35" w14:textId="77777777" w:rsidR="00E3770F" w:rsidRPr="00FB39A9" w:rsidRDefault="00E3770F" w:rsidP="00E3770F">
      <w:pPr>
        <w:pStyle w:val="Pagrindinistekstas"/>
        <w:rPr>
          <w:color w:val="auto"/>
          <w:lang w:val="lt-LT"/>
        </w:rPr>
      </w:pPr>
      <w:r w:rsidRPr="0059462A">
        <w:rPr>
          <w:i w:val="0"/>
          <w:color w:val="auto"/>
          <w:lang w:val="lt-LT"/>
        </w:rPr>
        <w:t>Polivinilacetato ftalatas</w:t>
      </w:r>
    </w:p>
    <w:p w14:paraId="1846897B" w14:textId="77777777" w:rsidR="00E3770F" w:rsidRPr="00FB39A9" w:rsidRDefault="00E3770F" w:rsidP="00E3770F">
      <w:pPr>
        <w:pStyle w:val="Pagrindinistekstas"/>
        <w:rPr>
          <w:color w:val="auto"/>
          <w:lang w:val="lt-LT"/>
        </w:rPr>
      </w:pPr>
      <w:r w:rsidRPr="0059462A">
        <w:rPr>
          <w:i w:val="0"/>
          <w:color w:val="auto"/>
          <w:lang w:val="lt-LT"/>
        </w:rPr>
        <w:t>Makrogolis 400</w:t>
      </w:r>
    </w:p>
    <w:p w14:paraId="651501D5" w14:textId="77777777" w:rsidR="00E3770F" w:rsidRPr="00FB39A9" w:rsidRDefault="00E3770F" w:rsidP="00E3770F">
      <w:pPr>
        <w:pStyle w:val="Pagrindinistekstas"/>
        <w:rPr>
          <w:color w:val="auto"/>
          <w:lang w:val="lt-LT"/>
        </w:rPr>
      </w:pPr>
      <w:r w:rsidRPr="0059462A">
        <w:rPr>
          <w:i w:val="0"/>
          <w:color w:val="auto"/>
          <w:lang w:val="lt-LT"/>
        </w:rPr>
        <w:t>Amonio hidroksidas</w:t>
      </w:r>
    </w:p>
    <w:p w14:paraId="71F43386" w14:textId="77777777" w:rsidR="00E3770F" w:rsidRPr="0059462A" w:rsidRDefault="00E3770F" w:rsidP="00E3770F">
      <w:pPr>
        <w:tabs>
          <w:tab w:val="clear" w:pos="567"/>
        </w:tabs>
        <w:spacing w:line="240" w:lineRule="auto"/>
        <w:rPr>
          <w:lang w:val="lt-LT"/>
        </w:rPr>
      </w:pPr>
    </w:p>
    <w:p w14:paraId="40699224"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6.2</w:t>
      </w:r>
      <w:r w:rsidRPr="0059462A">
        <w:rPr>
          <w:b/>
          <w:lang w:val="lt-LT"/>
        </w:rPr>
        <w:tab/>
        <w:t>Nesuderinamumas</w:t>
      </w:r>
    </w:p>
    <w:p w14:paraId="2D184FAA" w14:textId="77777777" w:rsidR="00E3770F" w:rsidRPr="0059462A" w:rsidRDefault="00E3770F" w:rsidP="00E3770F">
      <w:pPr>
        <w:tabs>
          <w:tab w:val="clear" w:pos="567"/>
        </w:tabs>
        <w:spacing w:line="240" w:lineRule="auto"/>
        <w:rPr>
          <w:lang w:val="lt-LT"/>
        </w:rPr>
      </w:pPr>
    </w:p>
    <w:p w14:paraId="18B4E568"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Duomenys nebūtini.</w:t>
      </w:r>
    </w:p>
    <w:p w14:paraId="6ED1868B" w14:textId="77777777" w:rsidR="00E3770F" w:rsidRPr="0059462A" w:rsidRDefault="00E3770F" w:rsidP="00E3770F">
      <w:pPr>
        <w:tabs>
          <w:tab w:val="clear" w:pos="567"/>
        </w:tabs>
        <w:spacing w:line="240" w:lineRule="auto"/>
        <w:rPr>
          <w:lang w:val="lt-LT"/>
        </w:rPr>
      </w:pPr>
    </w:p>
    <w:p w14:paraId="77237270"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6.3</w:t>
      </w:r>
      <w:r w:rsidRPr="0059462A">
        <w:rPr>
          <w:b/>
          <w:lang w:val="lt-LT"/>
        </w:rPr>
        <w:tab/>
        <w:t>Tinkamumo laikas</w:t>
      </w:r>
    </w:p>
    <w:p w14:paraId="25EA1AEA" w14:textId="77777777" w:rsidR="00E3770F" w:rsidRPr="0059462A" w:rsidRDefault="00E3770F" w:rsidP="00E3770F">
      <w:pPr>
        <w:tabs>
          <w:tab w:val="clear" w:pos="567"/>
        </w:tabs>
        <w:spacing w:line="240" w:lineRule="auto"/>
        <w:rPr>
          <w:lang w:val="lt-LT"/>
        </w:rPr>
      </w:pPr>
    </w:p>
    <w:p w14:paraId="21174FF6"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2 metai.</w:t>
      </w:r>
    </w:p>
    <w:p w14:paraId="166358C0" w14:textId="77777777" w:rsidR="00E3770F" w:rsidRPr="0059462A" w:rsidRDefault="00E3770F" w:rsidP="00E3770F">
      <w:pPr>
        <w:tabs>
          <w:tab w:val="clear" w:pos="567"/>
        </w:tabs>
        <w:spacing w:line="240" w:lineRule="auto"/>
        <w:rPr>
          <w:lang w:val="lt-LT"/>
        </w:rPr>
      </w:pPr>
    </w:p>
    <w:p w14:paraId="7C50830E"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6.4</w:t>
      </w:r>
      <w:r w:rsidRPr="0059462A">
        <w:rPr>
          <w:b/>
          <w:lang w:val="lt-LT"/>
        </w:rPr>
        <w:tab/>
        <w:t>Specialios laikymo sąlygos</w:t>
      </w:r>
    </w:p>
    <w:p w14:paraId="37C0B0F7" w14:textId="77777777" w:rsidR="00E3770F" w:rsidRPr="0059462A" w:rsidRDefault="00E3770F" w:rsidP="00E3770F">
      <w:pPr>
        <w:rPr>
          <w:lang w:val="lt-LT"/>
        </w:rPr>
      </w:pPr>
    </w:p>
    <w:p w14:paraId="7651B763" w14:textId="77777777" w:rsidR="00E3770F" w:rsidRPr="0059462A" w:rsidRDefault="00E3770F" w:rsidP="00E3770F">
      <w:pPr>
        <w:rPr>
          <w:rFonts w:asciiTheme="minorHAnsi" w:eastAsiaTheme="minorHAnsi" w:hAnsiTheme="minorHAnsi" w:cstheme="minorBidi"/>
          <w:szCs w:val="22"/>
          <w:lang w:val="lt-LT"/>
        </w:rPr>
      </w:pPr>
      <w:r w:rsidRPr="0059462A">
        <w:rPr>
          <w:lang w:val="lt-LT"/>
        </w:rPr>
        <w:t>Šiam vaistiniam preparatui specialių laikymo sąlygų nereikia.</w:t>
      </w:r>
    </w:p>
    <w:p w14:paraId="37F551FE" w14:textId="77777777" w:rsidR="00E3770F" w:rsidRPr="0059462A" w:rsidRDefault="00E3770F" w:rsidP="00E3770F">
      <w:pPr>
        <w:rPr>
          <w:lang w:val="lt-LT"/>
        </w:rPr>
      </w:pPr>
    </w:p>
    <w:p w14:paraId="59574F05" w14:textId="77777777" w:rsidR="00E3770F" w:rsidRPr="0059462A" w:rsidRDefault="00E3770F" w:rsidP="00E3770F">
      <w:pPr>
        <w:numPr>
          <w:ilvl w:val="1"/>
          <w:numId w:val="4"/>
        </w:numPr>
        <w:spacing w:line="240" w:lineRule="auto"/>
        <w:outlineLvl w:val="0"/>
        <w:rPr>
          <w:rFonts w:asciiTheme="minorHAnsi" w:eastAsiaTheme="minorHAnsi" w:hAnsiTheme="minorHAnsi" w:cstheme="minorBidi"/>
          <w:b/>
          <w:szCs w:val="22"/>
          <w:lang w:val="lt-LT"/>
        </w:rPr>
      </w:pPr>
      <w:r w:rsidRPr="0059462A">
        <w:rPr>
          <w:b/>
          <w:lang w:val="lt-LT"/>
        </w:rPr>
        <w:t>Talpyklės pobūdis ir jos</w:t>
      </w:r>
      <w:r w:rsidRPr="0059462A">
        <w:rPr>
          <w:lang w:val="lt-LT"/>
        </w:rPr>
        <w:t xml:space="preserve"> </w:t>
      </w:r>
      <w:r w:rsidRPr="0059462A">
        <w:rPr>
          <w:b/>
          <w:lang w:val="lt-LT"/>
        </w:rPr>
        <w:t>turinys</w:t>
      </w:r>
    </w:p>
    <w:p w14:paraId="057F532E" w14:textId="77777777" w:rsidR="00E3770F" w:rsidRPr="0059462A" w:rsidRDefault="00E3770F" w:rsidP="00E3770F">
      <w:pPr>
        <w:rPr>
          <w:lang w:val="lt-LT"/>
        </w:rPr>
      </w:pPr>
    </w:p>
    <w:p w14:paraId="00A6AF75"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Didelio tankio polietileno (DTPE) buteliukai uždaryti vaikų neatidaromais polipropileno dangteliais. Viename buteliuke yra 30 kapsulių. </w:t>
      </w:r>
    </w:p>
    <w:p w14:paraId="15A5C145" w14:textId="77777777" w:rsidR="00E3770F" w:rsidRPr="0059462A" w:rsidRDefault="00E3770F" w:rsidP="00E3770F">
      <w:pPr>
        <w:keepNext/>
        <w:rPr>
          <w:lang w:val="lt-LT"/>
        </w:rPr>
      </w:pPr>
    </w:p>
    <w:p w14:paraId="12F43C87" w14:textId="77777777" w:rsidR="00E3770F" w:rsidRPr="0059462A" w:rsidRDefault="00E3770F" w:rsidP="00E3770F">
      <w:pPr>
        <w:keepNext/>
        <w:rPr>
          <w:rFonts w:asciiTheme="minorHAnsi" w:eastAsiaTheme="minorHAnsi" w:hAnsiTheme="minorHAnsi" w:cstheme="minorBidi"/>
          <w:szCs w:val="22"/>
          <w:lang w:val="lt-LT"/>
        </w:rPr>
      </w:pPr>
      <w:r w:rsidRPr="0059462A">
        <w:rPr>
          <w:lang w:val="lt-LT"/>
        </w:rPr>
        <w:t>PVC/fluoropolimero/aliuminio lizdinės plokštelės, kuriose yra 7 </w:t>
      </w:r>
      <w:r w:rsidRPr="0059462A" w:rsidDel="00CB7AF7">
        <w:rPr>
          <w:lang w:val="lt-LT"/>
        </w:rPr>
        <w:t xml:space="preserve"> </w:t>
      </w:r>
      <w:r w:rsidRPr="0059462A">
        <w:rPr>
          <w:lang w:val="lt-LT"/>
        </w:rPr>
        <w:t>kapsulės. Vienoje dėžutėje yra 1 arba 4 lizdinės plokštelės. Supakuota kartoninėse dėžutėse, kuriose yra 7 arba 28 kapsulės.</w:t>
      </w:r>
    </w:p>
    <w:p w14:paraId="55FA3214" w14:textId="77777777" w:rsidR="00BB2EB2" w:rsidRDefault="00BB2EB2" w:rsidP="00E3770F">
      <w:pPr>
        <w:ind w:left="567" w:hanging="567"/>
        <w:rPr>
          <w:lang w:val="lt-LT"/>
        </w:rPr>
      </w:pPr>
    </w:p>
    <w:p w14:paraId="3EC2B875" w14:textId="396AEC5B"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Gali būti tiekiamos ne visų dydžių pakuotės.</w:t>
      </w:r>
    </w:p>
    <w:p w14:paraId="4F2B458B" w14:textId="77777777" w:rsidR="00E3770F" w:rsidRPr="0059462A" w:rsidRDefault="00E3770F" w:rsidP="00E3770F">
      <w:pPr>
        <w:tabs>
          <w:tab w:val="clear" w:pos="567"/>
        </w:tabs>
        <w:spacing w:line="240" w:lineRule="auto"/>
        <w:rPr>
          <w:lang w:val="lt-LT"/>
        </w:rPr>
      </w:pPr>
    </w:p>
    <w:p w14:paraId="4A17D058" w14:textId="77777777" w:rsidR="00E3770F" w:rsidRPr="0059462A" w:rsidRDefault="00E3770F" w:rsidP="00E3770F">
      <w:pP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6.6</w:t>
      </w:r>
      <w:r w:rsidRPr="0059462A">
        <w:rPr>
          <w:b/>
          <w:lang w:val="lt-LT"/>
        </w:rPr>
        <w:tab/>
      </w:r>
      <w:r w:rsidRPr="0059462A">
        <w:rPr>
          <w:rStyle w:val="Grietas"/>
          <w:lang w:val="lt-LT"/>
        </w:rPr>
        <w:t xml:space="preserve"> Specialūs reikalavimai atliekoms tvarkyti </w:t>
      </w:r>
    </w:p>
    <w:p w14:paraId="0EA09A8F" w14:textId="77777777" w:rsidR="00E3770F" w:rsidRPr="0059462A" w:rsidRDefault="00E3770F" w:rsidP="00E3770F">
      <w:pPr>
        <w:tabs>
          <w:tab w:val="clear" w:pos="567"/>
        </w:tabs>
        <w:spacing w:line="240" w:lineRule="auto"/>
        <w:rPr>
          <w:lang w:val="lt-LT"/>
        </w:rPr>
      </w:pPr>
    </w:p>
    <w:p w14:paraId="42562A94"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Specialių reikalavimų nėra.</w:t>
      </w:r>
    </w:p>
    <w:p w14:paraId="7EAC464E" w14:textId="77777777" w:rsidR="00E3770F" w:rsidRPr="0059462A" w:rsidRDefault="00E3770F" w:rsidP="00E3770F">
      <w:pPr>
        <w:tabs>
          <w:tab w:val="clear" w:pos="567"/>
        </w:tabs>
        <w:spacing w:line="240" w:lineRule="auto"/>
        <w:rPr>
          <w:lang w:val="lt-LT"/>
        </w:rPr>
      </w:pPr>
    </w:p>
    <w:p w14:paraId="321216AC" w14:textId="77777777" w:rsidR="00E3770F" w:rsidRPr="0059462A" w:rsidRDefault="00E3770F" w:rsidP="00E3770F">
      <w:pPr>
        <w:tabs>
          <w:tab w:val="clear" w:pos="567"/>
        </w:tabs>
        <w:spacing w:line="240" w:lineRule="auto"/>
        <w:rPr>
          <w:lang w:val="lt-LT"/>
        </w:rPr>
      </w:pPr>
    </w:p>
    <w:p w14:paraId="7AFC9388" w14:textId="77777777" w:rsidR="00E3770F" w:rsidRPr="0059462A" w:rsidRDefault="00E3770F" w:rsidP="00E3770F">
      <w:pPr>
        <w:tabs>
          <w:tab w:val="clear" w:pos="567"/>
        </w:tabs>
        <w:spacing w:line="240" w:lineRule="auto"/>
        <w:ind w:left="567" w:hanging="567"/>
        <w:rPr>
          <w:rFonts w:asciiTheme="minorHAnsi" w:eastAsiaTheme="minorHAnsi" w:hAnsiTheme="minorHAnsi" w:cstheme="minorBidi"/>
          <w:szCs w:val="22"/>
          <w:lang w:val="lt-LT"/>
        </w:rPr>
      </w:pPr>
      <w:r w:rsidRPr="0059462A">
        <w:rPr>
          <w:b/>
          <w:lang w:val="lt-LT"/>
        </w:rPr>
        <w:lastRenderedPageBreak/>
        <w:t>7.</w:t>
      </w:r>
      <w:r w:rsidRPr="0059462A">
        <w:rPr>
          <w:b/>
          <w:lang w:val="lt-LT"/>
        </w:rPr>
        <w:tab/>
      </w:r>
      <w:r w:rsidRPr="0059462A">
        <w:rPr>
          <w:b/>
          <w:caps/>
          <w:lang w:val="lt-LT"/>
        </w:rPr>
        <w:t>REGISTRUotojas</w:t>
      </w:r>
    </w:p>
    <w:p w14:paraId="46B4BA72" w14:textId="77777777" w:rsidR="00E3770F" w:rsidRPr="0059462A" w:rsidRDefault="00E3770F" w:rsidP="00E3770F">
      <w:pPr>
        <w:rPr>
          <w:lang w:val="lt-LT"/>
        </w:rPr>
      </w:pPr>
    </w:p>
    <w:p w14:paraId="1E6192F0" w14:textId="77777777" w:rsidR="00E3770F" w:rsidRPr="0059462A" w:rsidRDefault="00E3770F" w:rsidP="00E3770F">
      <w:pPr>
        <w:rPr>
          <w:rFonts w:asciiTheme="minorHAnsi" w:eastAsiaTheme="minorHAnsi" w:hAnsiTheme="minorHAnsi" w:cstheme="minorBidi"/>
          <w:szCs w:val="22"/>
          <w:lang w:val="lt-LT"/>
        </w:rPr>
      </w:pPr>
      <w:r w:rsidRPr="0059462A">
        <w:rPr>
          <w:lang w:val="lt-LT"/>
        </w:rPr>
        <w:t>AbbVie SIA</w:t>
      </w:r>
    </w:p>
    <w:p w14:paraId="204ECDC4"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 xml:space="preserve">Vaiņodes 1 </w:t>
      </w:r>
    </w:p>
    <w:p w14:paraId="0A38A41C"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 xml:space="preserve">Rīga LV 1004 </w:t>
      </w:r>
    </w:p>
    <w:p w14:paraId="39FC79B9"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Latvija</w:t>
      </w:r>
    </w:p>
    <w:p w14:paraId="25D686D9" w14:textId="77777777" w:rsidR="00E3770F" w:rsidRPr="0059462A" w:rsidRDefault="00E3770F" w:rsidP="00E3770F">
      <w:pPr>
        <w:rPr>
          <w:lang w:val="lt-LT"/>
        </w:rPr>
      </w:pPr>
    </w:p>
    <w:p w14:paraId="3200081A" w14:textId="77777777" w:rsidR="00E3770F" w:rsidRPr="0059462A" w:rsidRDefault="00E3770F" w:rsidP="00E3770F">
      <w:pPr>
        <w:rPr>
          <w:lang w:val="lt-LT"/>
        </w:rPr>
      </w:pPr>
    </w:p>
    <w:p w14:paraId="46439C0C" w14:textId="77777777" w:rsidR="00E3770F" w:rsidRPr="0059462A" w:rsidRDefault="00E3770F" w:rsidP="00E3770F">
      <w:pPr>
        <w:tabs>
          <w:tab w:val="clear" w:pos="567"/>
        </w:tabs>
        <w:spacing w:line="240" w:lineRule="auto"/>
        <w:ind w:left="567" w:hanging="567"/>
        <w:rPr>
          <w:rFonts w:asciiTheme="minorHAnsi" w:eastAsiaTheme="minorHAnsi" w:hAnsiTheme="minorHAnsi" w:cstheme="minorBidi"/>
          <w:b/>
          <w:szCs w:val="22"/>
          <w:lang w:val="lt-LT"/>
        </w:rPr>
      </w:pPr>
      <w:r w:rsidRPr="0059462A">
        <w:rPr>
          <w:b/>
          <w:lang w:val="lt-LT"/>
        </w:rPr>
        <w:t>8.</w:t>
      </w:r>
      <w:r w:rsidRPr="0059462A">
        <w:rPr>
          <w:b/>
          <w:lang w:val="lt-LT"/>
        </w:rPr>
        <w:tab/>
      </w:r>
      <w:r w:rsidRPr="0059462A">
        <w:rPr>
          <w:b/>
          <w:caps/>
          <w:lang w:val="lt-LT"/>
        </w:rPr>
        <w:t>Registracijos PAŽYMĖJIMO numeris</w:t>
      </w:r>
      <w:r w:rsidRPr="00FB39A9">
        <w:rPr>
          <w:b/>
          <w:lang w:val="lt-LT"/>
        </w:rPr>
        <w:t xml:space="preserve"> </w:t>
      </w:r>
      <w:r w:rsidRPr="0059462A">
        <w:rPr>
          <w:b/>
          <w:caps/>
          <w:lang w:val="lt-LT"/>
        </w:rPr>
        <w:t>(-IAI)</w:t>
      </w:r>
    </w:p>
    <w:p w14:paraId="2AC64098" w14:textId="77777777" w:rsidR="00E3770F" w:rsidRPr="0059462A" w:rsidRDefault="00E3770F" w:rsidP="00E3770F">
      <w:pPr>
        <w:rPr>
          <w:lang w:val="lt-LT"/>
        </w:rPr>
      </w:pPr>
    </w:p>
    <w:p w14:paraId="12A8BE98" w14:textId="77777777" w:rsidR="00E3770F" w:rsidRPr="0059462A" w:rsidRDefault="00E3770F" w:rsidP="00E3770F">
      <w:pPr>
        <w:tabs>
          <w:tab w:val="left" w:pos="90"/>
        </w:tabs>
        <w:rPr>
          <w:rFonts w:asciiTheme="minorHAnsi" w:eastAsiaTheme="minorHAnsi" w:hAnsiTheme="minorHAnsi" w:cstheme="minorBidi"/>
          <w:szCs w:val="22"/>
          <w:lang w:val="lt-LT"/>
        </w:rPr>
      </w:pPr>
      <w:r w:rsidRPr="0059462A">
        <w:rPr>
          <w:lang w:val="lt-LT"/>
        </w:rPr>
        <w:t xml:space="preserve">Zemplar 1 mikrogramas </w:t>
      </w:r>
    </w:p>
    <w:p w14:paraId="6EA4899C" w14:textId="77777777" w:rsidR="00E3770F" w:rsidRPr="0059462A" w:rsidRDefault="00E3770F" w:rsidP="00E3770F">
      <w:pPr>
        <w:rPr>
          <w:rFonts w:asciiTheme="minorHAnsi" w:eastAsiaTheme="minorHAnsi" w:hAnsiTheme="minorHAnsi" w:cstheme="minorBidi"/>
          <w:szCs w:val="22"/>
          <w:u w:val="single"/>
          <w:lang w:val="lt-LT"/>
        </w:rPr>
      </w:pPr>
      <w:r w:rsidRPr="0059462A">
        <w:rPr>
          <w:u w:val="single"/>
          <w:lang w:val="lt-LT"/>
        </w:rPr>
        <w:t>Lizdinė plokštelė:</w:t>
      </w:r>
    </w:p>
    <w:p w14:paraId="39400EF2" w14:textId="77777777" w:rsidR="00E3770F" w:rsidRPr="0059462A" w:rsidRDefault="00E3770F" w:rsidP="00E3770F">
      <w:pPr>
        <w:pStyle w:val="BTEMEASMCA"/>
      </w:pPr>
      <w:r w:rsidRPr="0059462A">
        <w:t>N7 – LT/1/08/1042/001</w:t>
      </w:r>
    </w:p>
    <w:p w14:paraId="698A3BB1" w14:textId="77777777" w:rsidR="00E3770F" w:rsidRPr="0059462A" w:rsidRDefault="00E3770F" w:rsidP="00E3770F">
      <w:pPr>
        <w:pStyle w:val="BTEMEASMCA"/>
      </w:pPr>
      <w:r w:rsidRPr="0059462A">
        <w:t>N28 – LT/1/08/1042/002</w:t>
      </w:r>
    </w:p>
    <w:p w14:paraId="7720F713" w14:textId="77777777" w:rsidR="00E3770F" w:rsidRPr="0059462A" w:rsidRDefault="00E3770F" w:rsidP="00E3770F">
      <w:pPr>
        <w:pStyle w:val="BTEMEASMCA"/>
        <w:rPr>
          <w:u w:val="single"/>
        </w:rPr>
      </w:pPr>
      <w:r w:rsidRPr="0059462A">
        <w:rPr>
          <w:u w:val="single"/>
        </w:rPr>
        <w:t>Buteliukas:</w:t>
      </w:r>
    </w:p>
    <w:p w14:paraId="46B384D2" w14:textId="77777777" w:rsidR="00E3770F" w:rsidRPr="0059462A" w:rsidRDefault="00E3770F" w:rsidP="00E3770F">
      <w:pPr>
        <w:pStyle w:val="BTEMEASMCA"/>
      </w:pPr>
      <w:r w:rsidRPr="0059462A">
        <w:t>N30 – LT/1/08/1042/003</w:t>
      </w:r>
    </w:p>
    <w:p w14:paraId="6FFB3BEF" w14:textId="77777777" w:rsidR="00E3770F" w:rsidRPr="0059462A" w:rsidRDefault="00E3770F" w:rsidP="00E3770F">
      <w:pPr>
        <w:tabs>
          <w:tab w:val="left" w:pos="90"/>
        </w:tabs>
        <w:rPr>
          <w:lang w:val="lt-LT"/>
        </w:rPr>
      </w:pPr>
    </w:p>
    <w:p w14:paraId="14374340" w14:textId="77777777" w:rsidR="00E3770F" w:rsidRPr="0059462A" w:rsidRDefault="00E3770F" w:rsidP="00E3770F">
      <w:pPr>
        <w:tabs>
          <w:tab w:val="left" w:pos="90"/>
        </w:tabs>
        <w:rPr>
          <w:rFonts w:asciiTheme="minorHAnsi" w:eastAsiaTheme="minorHAnsi" w:hAnsiTheme="minorHAnsi" w:cstheme="minorBidi"/>
          <w:szCs w:val="22"/>
          <w:lang w:val="lt-LT"/>
        </w:rPr>
      </w:pPr>
      <w:r w:rsidRPr="0059462A">
        <w:rPr>
          <w:lang w:val="lt-LT"/>
        </w:rPr>
        <w:t xml:space="preserve">Zemplar 2 mikrogramai </w:t>
      </w:r>
    </w:p>
    <w:p w14:paraId="271BB8CE" w14:textId="77777777" w:rsidR="00E3770F" w:rsidRPr="0059462A" w:rsidRDefault="00E3770F" w:rsidP="00E3770F">
      <w:pPr>
        <w:rPr>
          <w:rFonts w:asciiTheme="minorHAnsi" w:eastAsiaTheme="minorHAnsi" w:hAnsiTheme="minorHAnsi" w:cstheme="minorBidi"/>
          <w:szCs w:val="22"/>
          <w:u w:val="single"/>
          <w:lang w:val="lt-LT"/>
        </w:rPr>
      </w:pPr>
      <w:r w:rsidRPr="0059462A">
        <w:rPr>
          <w:u w:val="single"/>
          <w:lang w:val="lt-LT"/>
        </w:rPr>
        <w:t>Lizdinė plokštelė:</w:t>
      </w:r>
    </w:p>
    <w:p w14:paraId="6D8D8668" w14:textId="77777777" w:rsidR="00E3770F" w:rsidRPr="0059462A" w:rsidRDefault="00E3770F" w:rsidP="00E3770F">
      <w:pPr>
        <w:pStyle w:val="BTEMEASMCA"/>
      </w:pPr>
      <w:r w:rsidRPr="0059462A">
        <w:t>N7 – LT/1/08/1042/004</w:t>
      </w:r>
    </w:p>
    <w:p w14:paraId="696A403C" w14:textId="77777777" w:rsidR="00E3770F" w:rsidRPr="0059462A" w:rsidRDefault="00E3770F" w:rsidP="00E3770F">
      <w:pPr>
        <w:pStyle w:val="BTEMEASMCA"/>
      </w:pPr>
      <w:r w:rsidRPr="0059462A">
        <w:t>N28 – LT/1/08/1042/005</w:t>
      </w:r>
    </w:p>
    <w:p w14:paraId="2C2F32C3" w14:textId="77777777" w:rsidR="00E3770F" w:rsidRPr="0059462A" w:rsidRDefault="00E3770F" w:rsidP="00E3770F">
      <w:pPr>
        <w:pStyle w:val="BTEMEASMCA"/>
        <w:rPr>
          <w:u w:val="single"/>
        </w:rPr>
      </w:pPr>
      <w:r w:rsidRPr="0059462A">
        <w:rPr>
          <w:u w:val="single"/>
        </w:rPr>
        <w:t>Buteliukas:</w:t>
      </w:r>
    </w:p>
    <w:p w14:paraId="29BB2B13" w14:textId="77777777" w:rsidR="00E3770F" w:rsidRPr="0059462A" w:rsidRDefault="00E3770F" w:rsidP="00E3770F">
      <w:pPr>
        <w:pStyle w:val="BTEMEASMCA"/>
      </w:pPr>
      <w:r w:rsidRPr="0059462A">
        <w:t>N30 – LT/1/08/1042/006</w:t>
      </w:r>
    </w:p>
    <w:p w14:paraId="0C702F47" w14:textId="77777777" w:rsidR="00E3770F" w:rsidRPr="0059462A" w:rsidRDefault="00E3770F" w:rsidP="00E3770F">
      <w:pPr>
        <w:rPr>
          <w:lang w:val="lt-LT"/>
        </w:rPr>
      </w:pPr>
    </w:p>
    <w:p w14:paraId="46D2732F" w14:textId="77777777" w:rsidR="00E3770F" w:rsidRPr="0059462A" w:rsidRDefault="00E3770F" w:rsidP="00E3770F">
      <w:pPr>
        <w:rPr>
          <w:lang w:val="lt-LT"/>
        </w:rPr>
      </w:pPr>
    </w:p>
    <w:p w14:paraId="1299BB5A" w14:textId="77777777" w:rsidR="00E3770F" w:rsidRPr="0059462A" w:rsidRDefault="00E3770F" w:rsidP="00E3770F">
      <w:pPr>
        <w:tabs>
          <w:tab w:val="clear" w:pos="567"/>
        </w:tabs>
        <w:spacing w:line="240" w:lineRule="auto"/>
        <w:ind w:left="567" w:hanging="567"/>
        <w:rPr>
          <w:rFonts w:asciiTheme="minorHAnsi" w:eastAsiaTheme="minorHAnsi" w:hAnsiTheme="minorHAnsi" w:cstheme="minorBidi"/>
          <w:szCs w:val="22"/>
          <w:lang w:val="lt-LT"/>
        </w:rPr>
      </w:pPr>
      <w:r w:rsidRPr="0059462A">
        <w:rPr>
          <w:b/>
          <w:lang w:val="lt-LT"/>
        </w:rPr>
        <w:t>9.</w:t>
      </w:r>
      <w:r w:rsidRPr="0059462A">
        <w:rPr>
          <w:b/>
          <w:lang w:val="lt-LT"/>
        </w:rPr>
        <w:tab/>
      </w:r>
      <w:r w:rsidRPr="0059462A">
        <w:rPr>
          <w:b/>
          <w:caps/>
          <w:lang w:val="lt-LT"/>
        </w:rPr>
        <w:t>REGISTRAVIMO / PERREGISTRAVIMO data</w:t>
      </w:r>
    </w:p>
    <w:p w14:paraId="2EB5270A" w14:textId="77777777" w:rsidR="00E3770F" w:rsidRPr="0059462A" w:rsidRDefault="00E3770F" w:rsidP="00E3770F">
      <w:pPr>
        <w:rPr>
          <w:lang w:val="lt-LT"/>
        </w:rPr>
      </w:pPr>
    </w:p>
    <w:p w14:paraId="76A77F13" w14:textId="77777777" w:rsidR="00E3770F" w:rsidRPr="0059462A" w:rsidRDefault="00E3770F" w:rsidP="00E3770F">
      <w:pPr>
        <w:rPr>
          <w:rFonts w:asciiTheme="minorHAnsi" w:eastAsiaTheme="minorHAnsi" w:hAnsiTheme="minorHAnsi" w:cstheme="minorBidi"/>
          <w:szCs w:val="22"/>
          <w:lang w:val="lt-LT"/>
        </w:rPr>
      </w:pPr>
      <w:r w:rsidRPr="0059462A">
        <w:rPr>
          <w:lang w:val="lt-LT"/>
        </w:rPr>
        <w:t>Registravimo data 2008 m. kovo 6 d.</w:t>
      </w:r>
    </w:p>
    <w:p w14:paraId="12C2F0F2" w14:textId="77777777" w:rsidR="00E3770F" w:rsidRPr="0059462A" w:rsidRDefault="00E3770F" w:rsidP="00E3770F">
      <w:pPr>
        <w:rPr>
          <w:rFonts w:asciiTheme="minorHAnsi" w:eastAsiaTheme="minorHAnsi" w:hAnsiTheme="minorHAnsi" w:cstheme="minorBidi"/>
          <w:szCs w:val="22"/>
          <w:lang w:val="lt-LT"/>
        </w:rPr>
      </w:pPr>
      <w:r w:rsidRPr="0059462A">
        <w:rPr>
          <w:lang w:val="lt-LT"/>
        </w:rPr>
        <w:t>Paskutinio perregistravimo data 2012 m. gegužės 9 d.</w:t>
      </w:r>
    </w:p>
    <w:p w14:paraId="5BA21CE6" w14:textId="77777777" w:rsidR="00E3770F" w:rsidRPr="0059462A" w:rsidRDefault="00E3770F" w:rsidP="00E3770F">
      <w:pPr>
        <w:rPr>
          <w:lang w:val="lt-LT"/>
        </w:rPr>
      </w:pPr>
    </w:p>
    <w:p w14:paraId="753B8B1A" w14:textId="77777777" w:rsidR="00E3770F" w:rsidRPr="0059462A" w:rsidRDefault="00E3770F" w:rsidP="00E3770F">
      <w:pPr>
        <w:rPr>
          <w:lang w:val="lt-LT"/>
        </w:rPr>
      </w:pPr>
    </w:p>
    <w:p w14:paraId="085465B3" w14:textId="77777777" w:rsidR="00E3770F" w:rsidRPr="0059462A" w:rsidRDefault="00E3770F" w:rsidP="00E3770F">
      <w:pPr>
        <w:tabs>
          <w:tab w:val="clear" w:pos="567"/>
        </w:tabs>
        <w:spacing w:line="240" w:lineRule="auto"/>
        <w:ind w:left="567" w:hanging="567"/>
        <w:rPr>
          <w:rFonts w:asciiTheme="minorHAnsi" w:eastAsiaTheme="minorHAnsi" w:hAnsiTheme="minorHAnsi" w:cstheme="minorBidi"/>
          <w:b/>
          <w:szCs w:val="22"/>
          <w:lang w:val="lt-LT"/>
        </w:rPr>
      </w:pPr>
      <w:r w:rsidRPr="0059462A">
        <w:rPr>
          <w:b/>
          <w:lang w:val="lt-LT"/>
        </w:rPr>
        <w:t>10.</w:t>
      </w:r>
      <w:r w:rsidRPr="0059462A">
        <w:rPr>
          <w:b/>
          <w:lang w:val="lt-LT"/>
        </w:rPr>
        <w:tab/>
      </w:r>
      <w:r w:rsidRPr="0059462A">
        <w:rPr>
          <w:b/>
          <w:caps/>
          <w:lang w:val="lt-LT"/>
        </w:rPr>
        <w:t>teksto peržiūros data</w:t>
      </w:r>
    </w:p>
    <w:p w14:paraId="28CE443E" w14:textId="77777777" w:rsidR="00E3770F" w:rsidRPr="0059462A" w:rsidRDefault="00E3770F" w:rsidP="00E3770F">
      <w:pPr>
        <w:ind w:right="-449"/>
        <w:rPr>
          <w:lang w:val="lt-LT"/>
        </w:rPr>
      </w:pPr>
    </w:p>
    <w:p w14:paraId="47B9AF92" w14:textId="51A5DE71" w:rsidR="00E3770F" w:rsidRDefault="00AE5542" w:rsidP="00E3770F">
      <w:pPr>
        <w:tabs>
          <w:tab w:val="clear" w:pos="567"/>
        </w:tabs>
        <w:spacing w:line="240" w:lineRule="auto"/>
        <w:rPr>
          <w:lang w:val="lt-LT"/>
        </w:rPr>
      </w:pPr>
      <w:r>
        <w:rPr>
          <w:szCs w:val="22"/>
        </w:rPr>
        <w:t>2020 m. sausio 27 d.</w:t>
      </w:r>
    </w:p>
    <w:p w14:paraId="72BB03BE" w14:textId="77777777" w:rsidR="009D05F0" w:rsidRPr="0059462A" w:rsidRDefault="009D05F0" w:rsidP="00E3770F">
      <w:pPr>
        <w:tabs>
          <w:tab w:val="clear" w:pos="567"/>
        </w:tabs>
        <w:spacing w:line="240" w:lineRule="auto"/>
        <w:rPr>
          <w:lang w:val="lt-LT"/>
        </w:rPr>
      </w:pPr>
    </w:p>
    <w:p w14:paraId="39915B97" w14:textId="77777777" w:rsidR="00E3770F" w:rsidRPr="0059462A" w:rsidRDefault="00E3770F" w:rsidP="00E3770F">
      <w:pPr>
        <w:tabs>
          <w:tab w:val="clear" w:pos="567"/>
        </w:tabs>
        <w:spacing w:line="240" w:lineRule="auto"/>
        <w:rPr>
          <w:rFonts w:asciiTheme="minorHAnsi" w:eastAsiaTheme="minorHAnsi" w:hAnsiTheme="minorHAnsi" w:cstheme="minorBidi"/>
          <w:szCs w:val="22"/>
          <w:lang w:val="lt-LT"/>
        </w:rPr>
      </w:pPr>
      <w:r w:rsidRPr="0059462A">
        <w:rPr>
          <w:lang w:val="lt-LT"/>
        </w:rPr>
        <w:t xml:space="preserve">Išsami informacija apie šį vaistinį preparatą pateikiama Valstybinės vaistų kontrolės tarnybos prie Lietuvos Respublikos sveikatos apsaugos ministerijos tinklalapyje </w:t>
      </w:r>
      <w:hyperlink r:id="rId11" w:history="1">
        <w:r w:rsidRPr="0059462A">
          <w:rPr>
            <w:rStyle w:val="Hipersaitas"/>
            <w:lang w:val="lt-LT"/>
          </w:rPr>
          <w:t>http://www.vvkt.lt/</w:t>
        </w:r>
      </w:hyperlink>
    </w:p>
    <w:p w14:paraId="18738ABF" w14:textId="77777777" w:rsidR="00E3770F" w:rsidRPr="0059462A" w:rsidRDefault="00E3770F" w:rsidP="00E3770F">
      <w:pPr>
        <w:ind w:left="567" w:hanging="567"/>
        <w:jc w:val="center"/>
        <w:rPr>
          <w:b/>
          <w:lang w:val="lt-LT"/>
        </w:rPr>
      </w:pPr>
      <w:r w:rsidRPr="0059462A">
        <w:rPr>
          <w:b/>
          <w:lang w:val="lt-LT"/>
        </w:rPr>
        <w:br w:type="page"/>
      </w:r>
    </w:p>
    <w:p w14:paraId="239E8187" w14:textId="77777777" w:rsidR="00E3770F" w:rsidRPr="0059462A" w:rsidRDefault="00E3770F" w:rsidP="00E3770F">
      <w:pPr>
        <w:ind w:left="567" w:hanging="567"/>
        <w:jc w:val="center"/>
        <w:rPr>
          <w:b/>
          <w:lang w:val="lt-LT"/>
        </w:rPr>
      </w:pPr>
    </w:p>
    <w:p w14:paraId="12DBDE1B" w14:textId="77777777" w:rsidR="00E3770F" w:rsidRPr="0059462A" w:rsidRDefault="00E3770F" w:rsidP="00E3770F">
      <w:pPr>
        <w:ind w:left="567" w:hanging="567"/>
        <w:jc w:val="center"/>
        <w:rPr>
          <w:b/>
          <w:lang w:val="lt-LT"/>
        </w:rPr>
      </w:pPr>
    </w:p>
    <w:p w14:paraId="17E45EEB" w14:textId="77777777" w:rsidR="00E3770F" w:rsidRPr="0059462A" w:rsidRDefault="00E3770F" w:rsidP="00E3770F">
      <w:pPr>
        <w:ind w:left="567" w:hanging="567"/>
        <w:jc w:val="center"/>
        <w:rPr>
          <w:b/>
          <w:lang w:val="lt-LT"/>
        </w:rPr>
      </w:pPr>
    </w:p>
    <w:p w14:paraId="2F1A1E2F" w14:textId="77777777" w:rsidR="00E3770F" w:rsidRPr="0059462A" w:rsidRDefault="00E3770F" w:rsidP="00E3770F">
      <w:pPr>
        <w:ind w:left="567" w:hanging="567"/>
        <w:jc w:val="center"/>
        <w:rPr>
          <w:b/>
          <w:lang w:val="lt-LT"/>
        </w:rPr>
      </w:pPr>
    </w:p>
    <w:p w14:paraId="1804CF7D" w14:textId="77777777" w:rsidR="00E3770F" w:rsidRPr="0059462A" w:rsidRDefault="00E3770F" w:rsidP="00E3770F">
      <w:pPr>
        <w:ind w:left="567" w:hanging="567"/>
        <w:jc w:val="center"/>
        <w:rPr>
          <w:b/>
          <w:lang w:val="lt-LT"/>
        </w:rPr>
      </w:pPr>
    </w:p>
    <w:p w14:paraId="0B989CCB" w14:textId="77777777" w:rsidR="00E3770F" w:rsidRPr="0059462A" w:rsidRDefault="00E3770F" w:rsidP="00E3770F">
      <w:pPr>
        <w:ind w:left="567" w:hanging="567"/>
        <w:jc w:val="center"/>
        <w:rPr>
          <w:b/>
          <w:lang w:val="lt-LT"/>
        </w:rPr>
      </w:pPr>
    </w:p>
    <w:p w14:paraId="78C3DBED" w14:textId="77777777" w:rsidR="00E3770F" w:rsidRPr="0059462A" w:rsidRDefault="00E3770F" w:rsidP="00E3770F">
      <w:pPr>
        <w:ind w:left="567" w:hanging="567"/>
        <w:jc w:val="center"/>
        <w:rPr>
          <w:b/>
          <w:lang w:val="lt-LT"/>
        </w:rPr>
      </w:pPr>
    </w:p>
    <w:p w14:paraId="0CD91E8B" w14:textId="77777777" w:rsidR="00E3770F" w:rsidRPr="0059462A" w:rsidRDefault="00E3770F" w:rsidP="00E3770F">
      <w:pPr>
        <w:ind w:left="567" w:hanging="567"/>
        <w:jc w:val="center"/>
        <w:rPr>
          <w:b/>
          <w:lang w:val="lt-LT"/>
        </w:rPr>
      </w:pPr>
    </w:p>
    <w:p w14:paraId="00756F53" w14:textId="77777777" w:rsidR="00E3770F" w:rsidRPr="0059462A" w:rsidRDefault="00E3770F" w:rsidP="00E3770F">
      <w:pPr>
        <w:ind w:left="567" w:hanging="567"/>
        <w:jc w:val="center"/>
        <w:rPr>
          <w:b/>
          <w:lang w:val="lt-LT"/>
        </w:rPr>
      </w:pPr>
    </w:p>
    <w:p w14:paraId="343C78CD" w14:textId="77777777" w:rsidR="00E3770F" w:rsidRPr="0059462A" w:rsidRDefault="00E3770F" w:rsidP="00E3770F">
      <w:pPr>
        <w:ind w:left="567" w:hanging="567"/>
        <w:jc w:val="center"/>
        <w:rPr>
          <w:b/>
          <w:lang w:val="lt-LT"/>
        </w:rPr>
      </w:pPr>
    </w:p>
    <w:p w14:paraId="0EF32C6A" w14:textId="77777777" w:rsidR="00E3770F" w:rsidRPr="0059462A" w:rsidRDefault="00E3770F" w:rsidP="00E3770F">
      <w:pPr>
        <w:ind w:left="567" w:hanging="567"/>
        <w:jc w:val="center"/>
        <w:rPr>
          <w:b/>
          <w:lang w:val="lt-LT"/>
        </w:rPr>
      </w:pPr>
    </w:p>
    <w:p w14:paraId="21FB989E" w14:textId="77777777" w:rsidR="00E3770F" w:rsidRPr="0059462A" w:rsidRDefault="00E3770F" w:rsidP="00E3770F">
      <w:pPr>
        <w:ind w:left="567" w:hanging="567"/>
        <w:jc w:val="center"/>
        <w:rPr>
          <w:b/>
          <w:lang w:val="lt-LT"/>
        </w:rPr>
      </w:pPr>
    </w:p>
    <w:p w14:paraId="4C1AA6C6" w14:textId="77777777" w:rsidR="00E3770F" w:rsidRPr="0059462A" w:rsidRDefault="00E3770F" w:rsidP="00E3770F">
      <w:pPr>
        <w:ind w:left="567" w:hanging="567"/>
        <w:jc w:val="center"/>
        <w:rPr>
          <w:b/>
          <w:lang w:val="lt-LT"/>
        </w:rPr>
      </w:pPr>
    </w:p>
    <w:p w14:paraId="357CD30F" w14:textId="77777777" w:rsidR="00E3770F" w:rsidRPr="0059462A" w:rsidRDefault="00E3770F" w:rsidP="00E3770F">
      <w:pPr>
        <w:ind w:left="567" w:hanging="567"/>
        <w:jc w:val="center"/>
        <w:rPr>
          <w:b/>
          <w:lang w:val="lt-LT"/>
        </w:rPr>
      </w:pPr>
    </w:p>
    <w:p w14:paraId="10B9AF6F" w14:textId="77777777" w:rsidR="00E3770F" w:rsidRPr="0059462A" w:rsidRDefault="00E3770F" w:rsidP="00E3770F">
      <w:pPr>
        <w:ind w:left="567" w:hanging="567"/>
        <w:jc w:val="center"/>
        <w:rPr>
          <w:b/>
          <w:lang w:val="lt-LT"/>
        </w:rPr>
      </w:pPr>
    </w:p>
    <w:p w14:paraId="3E8BE5A7" w14:textId="77777777" w:rsidR="00E3770F" w:rsidRPr="0059462A" w:rsidRDefault="00E3770F" w:rsidP="00E3770F">
      <w:pPr>
        <w:ind w:left="567" w:hanging="567"/>
        <w:jc w:val="center"/>
        <w:rPr>
          <w:b/>
          <w:lang w:val="lt-LT"/>
        </w:rPr>
      </w:pPr>
    </w:p>
    <w:p w14:paraId="17F61794" w14:textId="77777777" w:rsidR="00E3770F" w:rsidRPr="0059462A" w:rsidRDefault="00E3770F" w:rsidP="00E3770F">
      <w:pPr>
        <w:ind w:left="567" w:hanging="567"/>
        <w:jc w:val="center"/>
        <w:rPr>
          <w:b/>
          <w:lang w:val="lt-LT"/>
        </w:rPr>
      </w:pPr>
    </w:p>
    <w:p w14:paraId="56F34F6C" w14:textId="77777777" w:rsidR="00E3770F" w:rsidRPr="0059462A" w:rsidRDefault="00E3770F" w:rsidP="00E3770F">
      <w:pPr>
        <w:ind w:left="567" w:hanging="567"/>
        <w:jc w:val="center"/>
        <w:rPr>
          <w:b/>
          <w:lang w:val="lt-LT"/>
        </w:rPr>
      </w:pPr>
    </w:p>
    <w:p w14:paraId="4F3AC716" w14:textId="77777777" w:rsidR="00E3770F" w:rsidRPr="0059462A" w:rsidRDefault="00E3770F" w:rsidP="00E3770F">
      <w:pPr>
        <w:ind w:left="567" w:hanging="567"/>
        <w:jc w:val="center"/>
        <w:rPr>
          <w:b/>
          <w:lang w:val="lt-LT"/>
        </w:rPr>
      </w:pPr>
    </w:p>
    <w:p w14:paraId="1CF48391" w14:textId="77777777" w:rsidR="00E3770F" w:rsidRPr="0059462A" w:rsidRDefault="00E3770F" w:rsidP="00E3770F">
      <w:pPr>
        <w:ind w:left="567" w:hanging="567"/>
        <w:jc w:val="center"/>
        <w:rPr>
          <w:b/>
          <w:lang w:val="lt-LT"/>
        </w:rPr>
      </w:pPr>
    </w:p>
    <w:p w14:paraId="6B680CB8" w14:textId="77777777" w:rsidR="00E3770F" w:rsidRPr="0059462A" w:rsidRDefault="00E3770F" w:rsidP="00E3770F">
      <w:pPr>
        <w:ind w:left="567" w:hanging="567"/>
        <w:jc w:val="center"/>
        <w:rPr>
          <w:b/>
          <w:lang w:val="lt-LT"/>
        </w:rPr>
      </w:pPr>
    </w:p>
    <w:p w14:paraId="11BCCDC8" w14:textId="77777777" w:rsidR="00E3770F" w:rsidRPr="0059462A" w:rsidRDefault="00E3770F" w:rsidP="00E3770F">
      <w:pPr>
        <w:ind w:left="567" w:hanging="567"/>
        <w:jc w:val="center"/>
        <w:rPr>
          <w:b/>
          <w:lang w:val="lt-LT"/>
        </w:rPr>
      </w:pPr>
    </w:p>
    <w:p w14:paraId="132F2A88" w14:textId="77777777" w:rsidR="00E3770F" w:rsidRPr="0059462A" w:rsidRDefault="00E3770F" w:rsidP="00E3770F">
      <w:pPr>
        <w:ind w:left="567" w:hanging="567"/>
        <w:jc w:val="center"/>
        <w:rPr>
          <w:b/>
          <w:lang w:val="lt-LT"/>
        </w:rPr>
      </w:pPr>
    </w:p>
    <w:p w14:paraId="137F51B7" w14:textId="77777777" w:rsidR="00E3770F" w:rsidRPr="0059462A" w:rsidRDefault="00E3770F" w:rsidP="00E3770F">
      <w:pPr>
        <w:ind w:left="567" w:hanging="567"/>
        <w:jc w:val="center"/>
        <w:rPr>
          <w:rFonts w:asciiTheme="minorHAnsi" w:eastAsiaTheme="minorHAnsi" w:hAnsiTheme="minorHAnsi" w:cstheme="minorBidi"/>
          <w:b/>
          <w:szCs w:val="22"/>
          <w:lang w:val="lt-LT"/>
        </w:rPr>
      </w:pPr>
      <w:r w:rsidRPr="0059462A">
        <w:rPr>
          <w:b/>
          <w:lang w:val="lt-LT"/>
        </w:rPr>
        <w:t>II PRIEDAS</w:t>
      </w:r>
    </w:p>
    <w:p w14:paraId="166E96B3" w14:textId="77777777" w:rsidR="00E3770F" w:rsidRPr="0059462A" w:rsidRDefault="00E3770F" w:rsidP="00E3770F">
      <w:pPr>
        <w:ind w:left="567" w:hanging="567"/>
        <w:jc w:val="center"/>
        <w:rPr>
          <w:b/>
          <w:lang w:val="lt-LT"/>
        </w:rPr>
      </w:pPr>
    </w:p>
    <w:p w14:paraId="2B9813DD" w14:textId="77777777" w:rsidR="00E3770F" w:rsidRPr="0059462A" w:rsidRDefault="00E3770F" w:rsidP="00E3770F">
      <w:pPr>
        <w:ind w:left="567" w:hanging="567"/>
        <w:jc w:val="center"/>
        <w:rPr>
          <w:rFonts w:asciiTheme="minorHAnsi" w:eastAsiaTheme="minorHAnsi" w:hAnsiTheme="minorHAnsi" w:cstheme="minorBidi"/>
          <w:b/>
          <w:szCs w:val="22"/>
          <w:lang w:val="lt-LT"/>
        </w:rPr>
      </w:pPr>
      <w:r w:rsidRPr="0059462A">
        <w:rPr>
          <w:b/>
          <w:lang w:val="lt-LT"/>
        </w:rPr>
        <w:t>REGISTRACIJOS SĄLYGOS</w:t>
      </w:r>
    </w:p>
    <w:p w14:paraId="043EE007" w14:textId="77777777" w:rsidR="00E3770F" w:rsidRPr="0059462A" w:rsidRDefault="00E3770F" w:rsidP="00E3770F">
      <w:pPr>
        <w:pStyle w:val="EMEAHeading1"/>
        <w:tabs>
          <w:tab w:val="clear" w:pos="562"/>
        </w:tabs>
        <w:suppressAutoHyphens w:val="0"/>
        <w:spacing w:beforeLines="0" w:afterLines="0"/>
        <w:outlineLvl w:val="9"/>
        <w:rPr>
          <w:b w:val="0"/>
          <w:lang w:val="lt-LT"/>
        </w:rPr>
      </w:pPr>
    </w:p>
    <w:p w14:paraId="7B251EBE" w14:textId="77777777" w:rsidR="00E3770F" w:rsidRPr="0059462A" w:rsidRDefault="00E3770F" w:rsidP="00E3770F">
      <w:pPr>
        <w:numPr>
          <w:ilvl w:val="0"/>
          <w:numId w:val="7"/>
        </w:numPr>
        <w:rPr>
          <w:rFonts w:asciiTheme="minorHAnsi" w:eastAsiaTheme="minorHAnsi" w:hAnsiTheme="minorHAnsi" w:cstheme="minorBidi"/>
          <w:b/>
          <w:szCs w:val="22"/>
          <w:lang w:val="lt-LT"/>
        </w:rPr>
      </w:pPr>
      <w:r w:rsidRPr="0059462A">
        <w:rPr>
          <w:b/>
          <w:lang w:val="lt-LT"/>
        </w:rPr>
        <w:t>GAMINTOJAS (-AI), ATSAKINGAS (I) UŽ SERIJŲ IŠLEIDIMĄ</w:t>
      </w:r>
    </w:p>
    <w:p w14:paraId="5A1953AF" w14:textId="77777777" w:rsidR="00E3770F" w:rsidRPr="0059462A" w:rsidRDefault="00E3770F" w:rsidP="00E3770F">
      <w:pPr>
        <w:ind w:left="360"/>
        <w:rPr>
          <w:b/>
          <w:lang w:val="lt-LT"/>
        </w:rPr>
      </w:pPr>
    </w:p>
    <w:p w14:paraId="18AC59BC" w14:textId="77777777" w:rsidR="00E3770F" w:rsidRPr="0059462A" w:rsidRDefault="00E3770F" w:rsidP="00E3770F">
      <w:pPr>
        <w:numPr>
          <w:ilvl w:val="0"/>
          <w:numId w:val="7"/>
        </w:numPr>
        <w:rPr>
          <w:rFonts w:asciiTheme="minorHAnsi" w:eastAsiaTheme="minorHAnsi" w:hAnsiTheme="minorHAnsi" w:cstheme="minorBidi"/>
          <w:b/>
          <w:szCs w:val="22"/>
          <w:lang w:val="lt-LT"/>
        </w:rPr>
      </w:pPr>
      <w:r w:rsidRPr="0059462A">
        <w:rPr>
          <w:b/>
          <w:lang w:val="lt-LT"/>
        </w:rPr>
        <w:t>TIEKIMO IR VARTOJIMO SĄLYGOS AR APRIBOJIMAI</w:t>
      </w:r>
    </w:p>
    <w:p w14:paraId="26FB5020" w14:textId="77777777" w:rsidR="00E3770F" w:rsidRPr="0059462A" w:rsidRDefault="00E3770F" w:rsidP="00E3770F">
      <w:pPr>
        <w:ind w:left="360"/>
        <w:rPr>
          <w:b/>
          <w:lang w:val="lt-LT"/>
        </w:rPr>
      </w:pPr>
    </w:p>
    <w:p w14:paraId="123D9267" w14:textId="77777777" w:rsidR="00E3770F" w:rsidRPr="0059462A" w:rsidRDefault="00E3770F" w:rsidP="00E3770F">
      <w:pPr>
        <w:ind w:left="540" w:hanging="540"/>
        <w:rPr>
          <w:b/>
          <w:lang w:val="lt-LT"/>
        </w:rPr>
      </w:pPr>
      <w:r w:rsidRPr="0059462A">
        <w:rPr>
          <w:b/>
          <w:lang w:val="lt-LT"/>
        </w:rPr>
        <w:br w:type="page"/>
      </w:r>
      <w:r w:rsidRPr="0059462A">
        <w:rPr>
          <w:b/>
          <w:lang w:val="lt-LT"/>
        </w:rPr>
        <w:lastRenderedPageBreak/>
        <w:t>A.</w:t>
      </w:r>
      <w:r w:rsidRPr="00FB39A9">
        <w:rPr>
          <w:b/>
          <w:lang w:val="lt-LT"/>
        </w:rPr>
        <w:tab/>
      </w:r>
      <w:r w:rsidRPr="0059462A">
        <w:rPr>
          <w:b/>
          <w:lang w:val="lt-LT"/>
        </w:rPr>
        <w:t>GAMINTOJAS (-AI), ATSAKINGAS (-I) UŽ SERIJŲ IŠLEIDIMĄ</w:t>
      </w:r>
    </w:p>
    <w:p w14:paraId="5F26246D" w14:textId="77777777" w:rsidR="00E3770F" w:rsidRPr="0059462A" w:rsidRDefault="00E3770F" w:rsidP="00E3770F">
      <w:pPr>
        <w:ind w:left="540"/>
        <w:rPr>
          <w:b/>
          <w:lang w:val="lt-LT"/>
        </w:rPr>
      </w:pPr>
    </w:p>
    <w:p w14:paraId="55504D7A" w14:textId="77777777" w:rsidR="00E3770F" w:rsidRPr="0059462A" w:rsidRDefault="00E3770F" w:rsidP="00E3770F">
      <w:pPr>
        <w:rPr>
          <w:rFonts w:asciiTheme="minorHAnsi" w:eastAsiaTheme="minorHAnsi" w:hAnsiTheme="minorHAnsi" w:cstheme="minorBidi"/>
          <w:szCs w:val="22"/>
          <w:u w:val="single"/>
          <w:lang w:val="lt-LT"/>
        </w:rPr>
      </w:pPr>
      <w:r w:rsidRPr="0059462A">
        <w:rPr>
          <w:u w:val="single"/>
          <w:lang w:val="lt-LT"/>
        </w:rPr>
        <w:t>Gamintojo, atsakingo už serijų išleidimą, pavadinimas ir adresas</w:t>
      </w:r>
    </w:p>
    <w:p w14:paraId="04B92009" w14:textId="77777777" w:rsidR="00E3770F" w:rsidRPr="0059462A" w:rsidRDefault="00E3770F" w:rsidP="00E3770F">
      <w:pPr>
        <w:ind w:left="360"/>
        <w:rPr>
          <w:b/>
          <w:lang w:val="lt-LT"/>
        </w:rPr>
      </w:pPr>
    </w:p>
    <w:p w14:paraId="4D0E9D29"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Aesica Queenborough </w:t>
      </w:r>
      <w:r w:rsidRPr="00FB39A9">
        <w:rPr>
          <w:lang w:val="lt-LT"/>
        </w:rPr>
        <w:t>L</w:t>
      </w:r>
      <w:r w:rsidRPr="0059462A">
        <w:rPr>
          <w:lang w:val="lt-LT"/>
        </w:rPr>
        <w:t>TD</w:t>
      </w:r>
    </w:p>
    <w:p w14:paraId="44B007F5" w14:textId="77777777" w:rsidR="00E3770F" w:rsidRPr="0059462A" w:rsidRDefault="00E3770F" w:rsidP="00E3770F">
      <w:pPr>
        <w:rPr>
          <w:rFonts w:asciiTheme="minorHAnsi" w:eastAsiaTheme="minorHAnsi" w:hAnsiTheme="minorHAnsi" w:cstheme="minorBidi"/>
          <w:szCs w:val="22"/>
          <w:lang w:val="lt-LT"/>
        </w:rPr>
      </w:pPr>
      <w:r w:rsidRPr="0059462A">
        <w:rPr>
          <w:lang w:val="lt-LT"/>
        </w:rPr>
        <w:t>Queenborough, Kent ME11 5EL,</w:t>
      </w:r>
    </w:p>
    <w:p w14:paraId="302E2895" w14:textId="77777777" w:rsidR="00E3770F" w:rsidRPr="0059462A" w:rsidRDefault="00E3770F" w:rsidP="00E3770F">
      <w:pPr>
        <w:rPr>
          <w:rFonts w:asciiTheme="minorHAnsi" w:eastAsiaTheme="minorHAnsi" w:hAnsiTheme="minorHAnsi" w:cstheme="minorBidi"/>
          <w:szCs w:val="22"/>
          <w:lang w:val="lt-LT"/>
        </w:rPr>
      </w:pPr>
      <w:r w:rsidRPr="0059462A">
        <w:rPr>
          <w:lang w:val="lt-LT"/>
        </w:rPr>
        <w:t>Jungtinė Karalystė</w:t>
      </w:r>
    </w:p>
    <w:p w14:paraId="75D7A927" w14:textId="77777777" w:rsidR="00E3770F" w:rsidRPr="0059462A" w:rsidRDefault="00E3770F" w:rsidP="00E3770F">
      <w:pPr>
        <w:rPr>
          <w:lang w:val="lt-LT"/>
        </w:rPr>
      </w:pPr>
    </w:p>
    <w:p w14:paraId="6D8132E1"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AbbVie Deutschland GmbH&amp;Co.KG </w:t>
      </w:r>
    </w:p>
    <w:p w14:paraId="1089C95E" w14:textId="77777777" w:rsidR="00E3770F" w:rsidRPr="0059462A" w:rsidRDefault="00E3770F" w:rsidP="00E3770F">
      <w:pPr>
        <w:rPr>
          <w:rFonts w:asciiTheme="minorHAnsi" w:eastAsiaTheme="minorHAnsi" w:hAnsiTheme="minorHAnsi" w:cstheme="minorBidi"/>
          <w:szCs w:val="22"/>
          <w:lang w:val="lt-LT"/>
        </w:rPr>
      </w:pPr>
      <w:r w:rsidRPr="0059462A">
        <w:rPr>
          <w:lang w:val="lt-LT"/>
        </w:rPr>
        <w:t>Knollstrasse</w:t>
      </w:r>
    </w:p>
    <w:p w14:paraId="10FED6B8"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67061 Ludwigshafen </w:t>
      </w:r>
    </w:p>
    <w:p w14:paraId="1B8013D5" w14:textId="77777777" w:rsidR="00E3770F" w:rsidRPr="0059462A" w:rsidRDefault="00E3770F" w:rsidP="00E3770F">
      <w:pPr>
        <w:rPr>
          <w:rFonts w:asciiTheme="minorHAnsi" w:eastAsiaTheme="minorHAnsi" w:hAnsiTheme="minorHAnsi" w:cstheme="minorBidi"/>
          <w:szCs w:val="22"/>
          <w:lang w:val="lt-LT"/>
        </w:rPr>
      </w:pPr>
      <w:r w:rsidRPr="0059462A">
        <w:rPr>
          <w:lang w:val="lt-LT"/>
        </w:rPr>
        <w:t>Vokietija</w:t>
      </w:r>
    </w:p>
    <w:p w14:paraId="1B8594B1" w14:textId="77777777" w:rsidR="00E3770F" w:rsidRPr="0059462A" w:rsidRDefault="00E3770F" w:rsidP="00E3770F">
      <w:pPr>
        <w:ind w:left="360"/>
        <w:rPr>
          <w:b/>
          <w:lang w:val="lt-LT"/>
        </w:rPr>
      </w:pPr>
    </w:p>
    <w:p w14:paraId="6EA61A9F" w14:textId="77777777" w:rsidR="00E3770F" w:rsidRPr="0059462A" w:rsidRDefault="00E3770F" w:rsidP="00E3770F">
      <w:pPr>
        <w:rPr>
          <w:rFonts w:asciiTheme="minorHAnsi" w:eastAsiaTheme="minorHAnsi" w:hAnsiTheme="minorHAnsi" w:cstheme="minorBidi"/>
          <w:b/>
          <w:szCs w:val="22"/>
          <w:lang w:val="lt-LT"/>
        </w:rPr>
      </w:pPr>
      <w:r w:rsidRPr="0059462A">
        <w:rPr>
          <w:b/>
          <w:lang w:val="lt-LT"/>
        </w:rPr>
        <w:t>B.</w:t>
      </w:r>
      <w:r w:rsidRPr="0059462A">
        <w:rPr>
          <w:b/>
          <w:lang w:val="lt-LT"/>
        </w:rPr>
        <w:tab/>
        <w:t>TIEKIMO IR VARTOJIMO SĄLYGOS AR APRIBOJIMAI</w:t>
      </w:r>
    </w:p>
    <w:p w14:paraId="75583B2C" w14:textId="77777777" w:rsidR="00E3770F" w:rsidRPr="0059462A" w:rsidRDefault="00E3770F" w:rsidP="00E3770F">
      <w:pPr>
        <w:ind w:left="360"/>
        <w:rPr>
          <w:b/>
          <w:lang w:val="lt-LT"/>
        </w:rPr>
      </w:pPr>
    </w:p>
    <w:p w14:paraId="54E2F919" w14:textId="77777777" w:rsidR="00E3770F" w:rsidRPr="0059462A" w:rsidRDefault="00E3770F" w:rsidP="00E3770F">
      <w:pPr>
        <w:autoSpaceDE w:val="0"/>
        <w:autoSpaceDN w:val="0"/>
        <w:adjustRightInd w:val="0"/>
        <w:spacing w:line="240" w:lineRule="atLeast"/>
        <w:rPr>
          <w:rFonts w:asciiTheme="minorHAnsi" w:eastAsiaTheme="minorHAnsi" w:hAnsiTheme="minorHAnsi" w:cstheme="minorBidi"/>
          <w:szCs w:val="22"/>
          <w:lang w:val="lt-LT"/>
        </w:rPr>
      </w:pPr>
      <w:r w:rsidRPr="0059462A">
        <w:rPr>
          <w:lang w:val="lt-LT"/>
        </w:rPr>
        <w:t>Receptinis vaistinis preparatas.</w:t>
      </w:r>
    </w:p>
    <w:p w14:paraId="227B2680" w14:textId="77777777" w:rsidR="00E3770F" w:rsidRPr="0059462A" w:rsidRDefault="00E3770F" w:rsidP="00E3770F">
      <w:pPr>
        <w:autoSpaceDE w:val="0"/>
        <w:autoSpaceDN w:val="0"/>
        <w:adjustRightInd w:val="0"/>
        <w:spacing w:line="240" w:lineRule="atLeast"/>
        <w:rPr>
          <w:lang w:val="lt-LT"/>
        </w:rPr>
      </w:pPr>
    </w:p>
    <w:p w14:paraId="6980BDFC" w14:textId="77777777" w:rsidR="00E3770F" w:rsidRPr="0059462A" w:rsidRDefault="00E3770F" w:rsidP="00E3770F">
      <w:pPr>
        <w:tabs>
          <w:tab w:val="clear" w:pos="567"/>
        </w:tabs>
        <w:spacing w:after="200" w:line="276" w:lineRule="auto"/>
        <w:rPr>
          <w:lang w:val="lt-LT"/>
        </w:rPr>
      </w:pPr>
      <w:r w:rsidRPr="0059462A">
        <w:rPr>
          <w:lang w:val="lt-LT"/>
        </w:rPr>
        <w:br w:type="page"/>
      </w:r>
    </w:p>
    <w:p w14:paraId="0B056350" w14:textId="77777777" w:rsidR="00E3770F" w:rsidRPr="0059462A" w:rsidRDefault="00E3770F" w:rsidP="00E3770F">
      <w:pPr>
        <w:tabs>
          <w:tab w:val="clear" w:pos="567"/>
        </w:tabs>
        <w:spacing w:line="240" w:lineRule="auto"/>
        <w:rPr>
          <w:lang w:val="lt-LT"/>
        </w:rPr>
      </w:pPr>
    </w:p>
    <w:p w14:paraId="68BFA3B7" w14:textId="77777777" w:rsidR="00E3770F" w:rsidRPr="0059462A" w:rsidRDefault="00E3770F" w:rsidP="00E3770F">
      <w:pPr>
        <w:tabs>
          <w:tab w:val="clear" w:pos="567"/>
        </w:tabs>
        <w:spacing w:line="240" w:lineRule="auto"/>
        <w:rPr>
          <w:lang w:val="lt-LT"/>
        </w:rPr>
      </w:pPr>
    </w:p>
    <w:p w14:paraId="1AF89167" w14:textId="77777777" w:rsidR="00E3770F" w:rsidRPr="0059462A" w:rsidRDefault="00E3770F" w:rsidP="00E3770F">
      <w:pPr>
        <w:tabs>
          <w:tab w:val="clear" w:pos="567"/>
        </w:tabs>
        <w:spacing w:line="240" w:lineRule="auto"/>
        <w:rPr>
          <w:lang w:val="lt-LT"/>
        </w:rPr>
      </w:pPr>
    </w:p>
    <w:p w14:paraId="4CEEE1CD" w14:textId="77777777" w:rsidR="00E3770F" w:rsidRPr="0059462A" w:rsidRDefault="00E3770F" w:rsidP="00E3770F">
      <w:pPr>
        <w:tabs>
          <w:tab w:val="clear" w:pos="567"/>
        </w:tabs>
        <w:spacing w:line="240" w:lineRule="auto"/>
        <w:rPr>
          <w:lang w:val="lt-LT"/>
        </w:rPr>
      </w:pPr>
    </w:p>
    <w:p w14:paraId="035956F5" w14:textId="77777777" w:rsidR="00E3770F" w:rsidRPr="0059462A" w:rsidRDefault="00E3770F" w:rsidP="00E3770F">
      <w:pPr>
        <w:tabs>
          <w:tab w:val="clear" w:pos="567"/>
        </w:tabs>
        <w:spacing w:line="240" w:lineRule="auto"/>
        <w:rPr>
          <w:lang w:val="lt-LT"/>
        </w:rPr>
      </w:pPr>
    </w:p>
    <w:p w14:paraId="1569B48C" w14:textId="77777777" w:rsidR="00E3770F" w:rsidRPr="0059462A" w:rsidRDefault="00E3770F" w:rsidP="00E3770F">
      <w:pPr>
        <w:tabs>
          <w:tab w:val="clear" w:pos="567"/>
        </w:tabs>
        <w:spacing w:line="240" w:lineRule="auto"/>
        <w:rPr>
          <w:lang w:val="lt-LT"/>
        </w:rPr>
      </w:pPr>
    </w:p>
    <w:p w14:paraId="13401389" w14:textId="77777777" w:rsidR="00E3770F" w:rsidRPr="0059462A" w:rsidRDefault="00E3770F" w:rsidP="00E3770F">
      <w:pPr>
        <w:tabs>
          <w:tab w:val="clear" w:pos="567"/>
        </w:tabs>
        <w:spacing w:line="240" w:lineRule="auto"/>
        <w:rPr>
          <w:lang w:val="lt-LT"/>
        </w:rPr>
      </w:pPr>
    </w:p>
    <w:p w14:paraId="1C3A3CD9" w14:textId="77777777" w:rsidR="00E3770F" w:rsidRPr="0059462A" w:rsidRDefault="00E3770F" w:rsidP="00E3770F">
      <w:pPr>
        <w:tabs>
          <w:tab w:val="clear" w:pos="567"/>
        </w:tabs>
        <w:spacing w:line="240" w:lineRule="auto"/>
        <w:rPr>
          <w:lang w:val="lt-LT"/>
        </w:rPr>
      </w:pPr>
    </w:p>
    <w:p w14:paraId="013D0EA7" w14:textId="77777777" w:rsidR="00E3770F" w:rsidRPr="0059462A" w:rsidRDefault="00E3770F" w:rsidP="00E3770F">
      <w:pPr>
        <w:tabs>
          <w:tab w:val="clear" w:pos="567"/>
        </w:tabs>
        <w:spacing w:line="240" w:lineRule="auto"/>
        <w:rPr>
          <w:lang w:val="lt-LT"/>
        </w:rPr>
      </w:pPr>
    </w:p>
    <w:p w14:paraId="1E67CA87" w14:textId="77777777" w:rsidR="00E3770F" w:rsidRPr="0059462A" w:rsidRDefault="00E3770F" w:rsidP="00E3770F">
      <w:pPr>
        <w:tabs>
          <w:tab w:val="clear" w:pos="567"/>
        </w:tabs>
        <w:spacing w:line="240" w:lineRule="auto"/>
        <w:rPr>
          <w:lang w:val="lt-LT"/>
        </w:rPr>
      </w:pPr>
    </w:p>
    <w:p w14:paraId="0ED156D1" w14:textId="77777777" w:rsidR="00E3770F" w:rsidRPr="0059462A" w:rsidRDefault="00E3770F" w:rsidP="00E3770F">
      <w:pPr>
        <w:tabs>
          <w:tab w:val="clear" w:pos="567"/>
        </w:tabs>
        <w:spacing w:line="240" w:lineRule="auto"/>
        <w:rPr>
          <w:lang w:val="lt-LT"/>
        </w:rPr>
      </w:pPr>
    </w:p>
    <w:p w14:paraId="0FFC50A1" w14:textId="77777777" w:rsidR="00E3770F" w:rsidRPr="0059462A" w:rsidRDefault="00E3770F" w:rsidP="00E3770F">
      <w:pPr>
        <w:tabs>
          <w:tab w:val="clear" w:pos="567"/>
        </w:tabs>
        <w:spacing w:line="240" w:lineRule="auto"/>
        <w:rPr>
          <w:lang w:val="lt-LT"/>
        </w:rPr>
      </w:pPr>
    </w:p>
    <w:p w14:paraId="5DADF143" w14:textId="77777777" w:rsidR="00E3770F" w:rsidRPr="0059462A" w:rsidRDefault="00E3770F" w:rsidP="00E3770F">
      <w:pPr>
        <w:tabs>
          <w:tab w:val="clear" w:pos="567"/>
        </w:tabs>
        <w:spacing w:line="240" w:lineRule="auto"/>
        <w:rPr>
          <w:lang w:val="lt-LT"/>
        </w:rPr>
      </w:pPr>
    </w:p>
    <w:p w14:paraId="750D8572" w14:textId="77777777" w:rsidR="00E3770F" w:rsidRPr="0059462A" w:rsidRDefault="00E3770F" w:rsidP="00E3770F">
      <w:pPr>
        <w:tabs>
          <w:tab w:val="clear" w:pos="567"/>
        </w:tabs>
        <w:spacing w:line="240" w:lineRule="auto"/>
        <w:rPr>
          <w:lang w:val="lt-LT"/>
        </w:rPr>
      </w:pPr>
    </w:p>
    <w:p w14:paraId="22C5505D" w14:textId="77777777" w:rsidR="00E3770F" w:rsidRPr="0059462A" w:rsidRDefault="00E3770F" w:rsidP="00E3770F">
      <w:pPr>
        <w:tabs>
          <w:tab w:val="clear" w:pos="567"/>
        </w:tabs>
        <w:spacing w:line="240" w:lineRule="auto"/>
        <w:rPr>
          <w:lang w:val="lt-LT"/>
        </w:rPr>
      </w:pPr>
    </w:p>
    <w:p w14:paraId="06A8D3A2" w14:textId="77777777" w:rsidR="00E3770F" w:rsidRPr="0059462A" w:rsidRDefault="00E3770F" w:rsidP="00E3770F">
      <w:pPr>
        <w:tabs>
          <w:tab w:val="clear" w:pos="567"/>
        </w:tabs>
        <w:spacing w:line="240" w:lineRule="auto"/>
        <w:rPr>
          <w:lang w:val="lt-LT"/>
        </w:rPr>
      </w:pPr>
    </w:p>
    <w:p w14:paraId="15CBAB25" w14:textId="77777777" w:rsidR="00E3770F" w:rsidRPr="0059462A" w:rsidRDefault="00E3770F" w:rsidP="00E3770F">
      <w:pPr>
        <w:tabs>
          <w:tab w:val="clear" w:pos="567"/>
        </w:tabs>
        <w:spacing w:line="240" w:lineRule="auto"/>
        <w:rPr>
          <w:lang w:val="lt-LT"/>
        </w:rPr>
      </w:pPr>
    </w:p>
    <w:p w14:paraId="4171743F" w14:textId="77777777" w:rsidR="00E3770F" w:rsidRPr="0059462A" w:rsidRDefault="00E3770F" w:rsidP="00E3770F">
      <w:pPr>
        <w:tabs>
          <w:tab w:val="clear" w:pos="567"/>
        </w:tabs>
        <w:spacing w:line="240" w:lineRule="auto"/>
        <w:rPr>
          <w:lang w:val="lt-LT"/>
        </w:rPr>
      </w:pPr>
    </w:p>
    <w:p w14:paraId="38856B81" w14:textId="77777777" w:rsidR="00E3770F" w:rsidRPr="0059462A" w:rsidRDefault="00E3770F" w:rsidP="00E3770F">
      <w:pPr>
        <w:tabs>
          <w:tab w:val="clear" w:pos="567"/>
        </w:tabs>
        <w:spacing w:line="240" w:lineRule="auto"/>
        <w:rPr>
          <w:lang w:val="lt-LT"/>
        </w:rPr>
      </w:pPr>
    </w:p>
    <w:p w14:paraId="717A0CCD" w14:textId="77777777" w:rsidR="00E3770F" w:rsidRPr="0059462A" w:rsidRDefault="00E3770F" w:rsidP="00E3770F">
      <w:pPr>
        <w:tabs>
          <w:tab w:val="clear" w:pos="567"/>
        </w:tabs>
        <w:spacing w:line="240" w:lineRule="auto"/>
        <w:rPr>
          <w:lang w:val="lt-LT"/>
        </w:rPr>
      </w:pPr>
    </w:p>
    <w:p w14:paraId="724A059D" w14:textId="77777777" w:rsidR="00E3770F" w:rsidRPr="0059462A" w:rsidRDefault="00E3770F" w:rsidP="00E3770F">
      <w:pPr>
        <w:tabs>
          <w:tab w:val="clear" w:pos="567"/>
        </w:tabs>
        <w:spacing w:line="240" w:lineRule="auto"/>
        <w:rPr>
          <w:lang w:val="lt-LT"/>
        </w:rPr>
      </w:pPr>
    </w:p>
    <w:p w14:paraId="1CC63CAB" w14:textId="77777777" w:rsidR="00E3770F" w:rsidRPr="0059462A" w:rsidRDefault="00E3770F" w:rsidP="00E3770F">
      <w:pPr>
        <w:tabs>
          <w:tab w:val="clear" w:pos="567"/>
        </w:tabs>
        <w:spacing w:line="240" w:lineRule="auto"/>
        <w:rPr>
          <w:lang w:val="lt-LT"/>
        </w:rPr>
      </w:pPr>
    </w:p>
    <w:p w14:paraId="7C121D7F" w14:textId="77777777" w:rsidR="00E3770F" w:rsidRPr="0059462A" w:rsidRDefault="00E3770F" w:rsidP="00E3770F">
      <w:pPr>
        <w:tabs>
          <w:tab w:val="clear" w:pos="567"/>
        </w:tabs>
        <w:spacing w:line="240" w:lineRule="auto"/>
        <w:jc w:val="center"/>
        <w:outlineLvl w:val="0"/>
        <w:rPr>
          <w:b/>
          <w:lang w:val="lt-LT"/>
        </w:rPr>
      </w:pPr>
    </w:p>
    <w:p w14:paraId="5E0285E0" w14:textId="77777777" w:rsidR="00E3770F" w:rsidRPr="0059462A" w:rsidRDefault="00E3770F" w:rsidP="00E3770F">
      <w:pPr>
        <w:tabs>
          <w:tab w:val="clear" w:pos="567"/>
        </w:tabs>
        <w:spacing w:line="240" w:lineRule="auto"/>
        <w:jc w:val="center"/>
        <w:outlineLvl w:val="0"/>
        <w:rPr>
          <w:rFonts w:asciiTheme="minorHAnsi" w:eastAsiaTheme="minorHAnsi" w:hAnsiTheme="minorHAnsi" w:cstheme="minorBidi"/>
          <w:b/>
          <w:szCs w:val="22"/>
          <w:lang w:val="lt-LT"/>
        </w:rPr>
      </w:pPr>
      <w:r w:rsidRPr="0059462A">
        <w:rPr>
          <w:b/>
          <w:lang w:val="lt-LT"/>
        </w:rPr>
        <w:t>III PRIEDAS</w:t>
      </w:r>
    </w:p>
    <w:p w14:paraId="21D6BC37" w14:textId="77777777" w:rsidR="00E3770F" w:rsidRPr="0059462A" w:rsidRDefault="00E3770F" w:rsidP="00E3770F">
      <w:pPr>
        <w:tabs>
          <w:tab w:val="clear" w:pos="567"/>
        </w:tabs>
        <w:spacing w:line="240" w:lineRule="auto"/>
        <w:jc w:val="center"/>
        <w:rPr>
          <w:b/>
          <w:lang w:val="lt-LT"/>
        </w:rPr>
      </w:pPr>
    </w:p>
    <w:p w14:paraId="45FF5BA7" w14:textId="77777777" w:rsidR="00E3770F" w:rsidRPr="0059462A" w:rsidRDefault="00E3770F" w:rsidP="00E3770F">
      <w:pPr>
        <w:tabs>
          <w:tab w:val="clear" w:pos="567"/>
        </w:tabs>
        <w:spacing w:line="240" w:lineRule="auto"/>
        <w:jc w:val="center"/>
        <w:outlineLvl w:val="0"/>
        <w:rPr>
          <w:rFonts w:asciiTheme="minorHAnsi" w:eastAsiaTheme="minorHAnsi" w:hAnsiTheme="minorHAnsi" w:cstheme="minorBidi"/>
          <w:b/>
          <w:szCs w:val="22"/>
          <w:lang w:val="lt-LT"/>
        </w:rPr>
      </w:pPr>
      <w:r w:rsidRPr="0059462A">
        <w:rPr>
          <w:b/>
          <w:lang w:val="lt-LT"/>
        </w:rPr>
        <w:t>ŽENKLINIMAS IR PAKUOTĖS LAPELIS</w:t>
      </w:r>
    </w:p>
    <w:p w14:paraId="706BEF0E" w14:textId="77777777" w:rsidR="00E3770F" w:rsidRPr="0059462A" w:rsidRDefault="00E3770F" w:rsidP="00E3770F">
      <w:pPr>
        <w:tabs>
          <w:tab w:val="clear" w:pos="567"/>
        </w:tabs>
        <w:spacing w:line="240" w:lineRule="auto"/>
        <w:rPr>
          <w:lang w:val="lt-LT"/>
        </w:rPr>
      </w:pPr>
      <w:r w:rsidRPr="0059462A">
        <w:rPr>
          <w:lang w:val="lt-LT"/>
        </w:rPr>
        <w:br w:type="page"/>
      </w:r>
    </w:p>
    <w:p w14:paraId="77BEE0AC" w14:textId="77777777" w:rsidR="00E3770F" w:rsidRPr="0059462A" w:rsidRDefault="00E3770F" w:rsidP="00E3770F">
      <w:pPr>
        <w:tabs>
          <w:tab w:val="clear" w:pos="567"/>
        </w:tabs>
        <w:spacing w:line="240" w:lineRule="auto"/>
        <w:rPr>
          <w:lang w:val="lt-LT"/>
        </w:rPr>
      </w:pPr>
    </w:p>
    <w:p w14:paraId="70BE1899" w14:textId="77777777" w:rsidR="00E3770F" w:rsidRPr="0059462A" w:rsidRDefault="00E3770F" w:rsidP="00E3770F">
      <w:pPr>
        <w:tabs>
          <w:tab w:val="clear" w:pos="567"/>
        </w:tabs>
        <w:spacing w:line="240" w:lineRule="auto"/>
        <w:rPr>
          <w:lang w:val="lt-LT"/>
        </w:rPr>
      </w:pPr>
    </w:p>
    <w:p w14:paraId="47C297FF" w14:textId="77777777" w:rsidR="00E3770F" w:rsidRPr="0059462A" w:rsidRDefault="00E3770F" w:rsidP="00E3770F">
      <w:pPr>
        <w:tabs>
          <w:tab w:val="clear" w:pos="567"/>
        </w:tabs>
        <w:spacing w:line="240" w:lineRule="auto"/>
        <w:rPr>
          <w:lang w:val="lt-LT"/>
        </w:rPr>
      </w:pPr>
    </w:p>
    <w:p w14:paraId="0F4DF991" w14:textId="77777777" w:rsidR="00E3770F" w:rsidRPr="0059462A" w:rsidRDefault="00E3770F" w:rsidP="00E3770F">
      <w:pPr>
        <w:tabs>
          <w:tab w:val="clear" w:pos="567"/>
        </w:tabs>
        <w:spacing w:line="240" w:lineRule="auto"/>
        <w:rPr>
          <w:lang w:val="lt-LT"/>
        </w:rPr>
      </w:pPr>
    </w:p>
    <w:p w14:paraId="3D6BE0AE" w14:textId="77777777" w:rsidR="00E3770F" w:rsidRPr="0059462A" w:rsidRDefault="00E3770F" w:rsidP="00E3770F">
      <w:pPr>
        <w:tabs>
          <w:tab w:val="clear" w:pos="567"/>
        </w:tabs>
        <w:spacing w:line="240" w:lineRule="auto"/>
        <w:rPr>
          <w:lang w:val="lt-LT"/>
        </w:rPr>
      </w:pPr>
    </w:p>
    <w:p w14:paraId="6E97451B" w14:textId="77777777" w:rsidR="00E3770F" w:rsidRPr="0059462A" w:rsidRDefault="00E3770F" w:rsidP="00E3770F">
      <w:pPr>
        <w:tabs>
          <w:tab w:val="clear" w:pos="567"/>
        </w:tabs>
        <w:spacing w:line="240" w:lineRule="auto"/>
        <w:rPr>
          <w:lang w:val="lt-LT"/>
        </w:rPr>
      </w:pPr>
    </w:p>
    <w:p w14:paraId="3C430B1B" w14:textId="77777777" w:rsidR="00E3770F" w:rsidRPr="0059462A" w:rsidRDefault="00E3770F" w:rsidP="00E3770F">
      <w:pPr>
        <w:tabs>
          <w:tab w:val="clear" w:pos="567"/>
        </w:tabs>
        <w:spacing w:line="240" w:lineRule="auto"/>
        <w:rPr>
          <w:lang w:val="lt-LT"/>
        </w:rPr>
      </w:pPr>
    </w:p>
    <w:p w14:paraId="730DCCAB" w14:textId="77777777" w:rsidR="00E3770F" w:rsidRPr="0059462A" w:rsidRDefault="00E3770F" w:rsidP="00E3770F">
      <w:pPr>
        <w:tabs>
          <w:tab w:val="clear" w:pos="567"/>
        </w:tabs>
        <w:spacing w:line="240" w:lineRule="auto"/>
        <w:rPr>
          <w:lang w:val="lt-LT"/>
        </w:rPr>
      </w:pPr>
    </w:p>
    <w:p w14:paraId="7371AF5C" w14:textId="77777777" w:rsidR="00E3770F" w:rsidRPr="0059462A" w:rsidRDefault="00E3770F" w:rsidP="00E3770F">
      <w:pPr>
        <w:tabs>
          <w:tab w:val="clear" w:pos="567"/>
        </w:tabs>
        <w:spacing w:line="240" w:lineRule="auto"/>
        <w:rPr>
          <w:lang w:val="lt-LT"/>
        </w:rPr>
      </w:pPr>
    </w:p>
    <w:p w14:paraId="6B614458" w14:textId="77777777" w:rsidR="00E3770F" w:rsidRPr="0059462A" w:rsidRDefault="00E3770F" w:rsidP="00E3770F">
      <w:pPr>
        <w:tabs>
          <w:tab w:val="clear" w:pos="567"/>
        </w:tabs>
        <w:spacing w:line="240" w:lineRule="auto"/>
        <w:rPr>
          <w:lang w:val="lt-LT"/>
        </w:rPr>
      </w:pPr>
    </w:p>
    <w:p w14:paraId="0D87E1C7" w14:textId="77777777" w:rsidR="00E3770F" w:rsidRPr="0059462A" w:rsidRDefault="00E3770F" w:rsidP="00E3770F">
      <w:pPr>
        <w:tabs>
          <w:tab w:val="clear" w:pos="567"/>
        </w:tabs>
        <w:spacing w:line="240" w:lineRule="auto"/>
        <w:rPr>
          <w:lang w:val="lt-LT"/>
        </w:rPr>
      </w:pPr>
    </w:p>
    <w:p w14:paraId="30ED41DF" w14:textId="77777777" w:rsidR="00E3770F" w:rsidRPr="0059462A" w:rsidRDefault="00E3770F" w:rsidP="00E3770F">
      <w:pPr>
        <w:tabs>
          <w:tab w:val="clear" w:pos="567"/>
        </w:tabs>
        <w:spacing w:line="240" w:lineRule="auto"/>
        <w:rPr>
          <w:lang w:val="lt-LT"/>
        </w:rPr>
      </w:pPr>
    </w:p>
    <w:p w14:paraId="1904D2CB" w14:textId="77777777" w:rsidR="00E3770F" w:rsidRPr="0059462A" w:rsidRDefault="00E3770F" w:rsidP="00E3770F">
      <w:pPr>
        <w:tabs>
          <w:tab w:val="clear" w:pos="567"/>
        </w:tabs>
        <w:spacing w:line="240" w:lineRule="auto"/>
        <w:rPr>
          <w:lang w:val="lt-LT"/>
        </w:rPr>
      </w:pPr>
    </w:p>
    <w:p w14:paraId="691773DC" w14:textId="77777777" w:rsidR="00E3770F" w:rsidRPr="0059462A" w:rsidRDefault="00E3770F" w:rsidP="00E3770F">
      <w:pPr>
        <w:tabs>
          <w:tab w:val="clear" w:pos="567"/>
        </w:tabs>
        <w:spacing w:line="240" w:lineRule="auto"/>
        <w:rPr>
          <w:lang w:val="lt-LT"/>
        </w:rPr>
      </w:pPr>
    </w:p>
    <w:p w14:paraId="43C4AF04" w14:textId="77777777" w:rsidR="00E3770F" w:rsidRPr="0059462A" w:rsidRDefault="00E3770F" w:rsidP="00E3770F">
      <w:pPr>
        <w:tabs>
          <w:tab w:val="clear" w:pos="567"/>
        </w:tabs>
        <w:spacing w:line="240" w:lineRule="auto"/>
        <w:rPr>
          <w:lang w:val="lt-LT"/>
        </w:rPr>
      </w:pPr>
    </w:p>
    <w:p w14:paraId="6B7AFC19" w14:textId="77777777" w:rsidR="00E3770F" w:rsidRPr="0059462A" w:rsidRDefault="00E3770F" w:rsidP="00E3770F">
      <w:pPr>
        <w:tabs>
          <w:tab w:val="clear" w:pos="567"/>
        </w:tabs>
        <w:spacing w:line="240" w:lineRule="auto"/>
        <w:rPr>
          <w:lang w:val="lt-LT"/>
        </w:rPr>
      </w:pPr>
    </w:p>
    <w:p w14:paraId="68264E81" w14:textId="77777777" w:rsidR="00E3770F" w:rsidRPr="0059462A" w:rsidRDefault="00E3770F" w:rsidP="00E3770F">
      <w:pPr>
        <w:tabs>
          <w:tab w:val="clear" w:pos="567"/>
        </w:tabs>
        <w:spacing w:line="240" w:lineRule="auto"/>
        <w:rPr>
          <w:lang w:val="lt-LT"/>
        </w:rPr>
      </w:pPr>
    </w:p>
    <w:p w14:paraId="209E9BC8" w14:textId="77777777" w:rsidR="00E3770F" w:rsidRPr="0059462A" w:rsidRDefault="00E3770F" w:rsidP="00E3770F">
      <w:pPr>
        <w:tabs>
          <w:tab w:val="clear" w:pos="567"/>
        </w:tabs>
        <w:spacing w:line="240" w:lineRule="auto"/>
        <w:rPr>
          <w:lang w:val="lt-LT"/>
        </w:rPr>
      </w:pPr>
    </w:p>
    <w:p w14:paraId="7FCB173A" w14:textId="77777777" w:rsidR="00E3770F" w:rsidRPr="0059462A" w:rsidRDefault="00E3770F" w:rsidP="00E3770F">
      <w:pPr>
        <w:tabs>
          <w:tab w:val="clear" w:pos="567"/>
        </w:tabs>
        <w:spacing w:line="240" w:lineRule="auto"/>
        <w:rPr>
          <w:lang w:val="lt-LT"/>
        </w:rPr>
      </w:pPr>
    </w:p>
    <w:p w14:paraId="2D470887" w14:textId="77777777" w:rsidR="00E3770F" w:rsidRPr="0059462A" w:rsidRDefault="00E3770F" w:rsidP="00E3770F">
      <w:pPr>
        <w:tabs>
          <w:tab w:val="clear" w:pos="567"/>
        </w:tabs>
        <w:spacing w:line="240" w:lineRule="auto"/>
        <w:rPr>
          <w:lang w:val="lt-LT"/>
        </w:rPr>
      </w:pPr>
    </w:p>
    <w:p w14:paraId="191EF1A5" w14:textId="77777777" w:rsidR="00E3770F" w:rsidRPr="0059462A" w:rsidRDefault="00E3770F" w:rsidP="00E3770F">
      <w:pPr>
        <w:tabs>
          <w:tab w:val="clear" w:pos="567"/>
        </w:tabs>
        <w:spacing w:line="240" w:lineRule="auto"/>
        <w:rPr>
          <w:lang w:val="lt-LT"/>
        </w:rPr>
      </w:pPr>
    </w:p>
    <w:p w14:paraId="53290F2C" w14:textId="77777777" w:rsidR="00E3770F" w:rsidRPr="0059462A" w:rsidRDefault="00E3770F" w:rsidP="00E3770F">
      <w:pPr>
        <w:tabs>
          <w:tab w:val="clear" w:pos="567"/>
        </w:tabs>
        <w:spacing w:line="240" w:lineRule="auto"/>
        <w:rPr>
          <w:lang w:val="lt-LT"/>
        </w:rPr>
      </w:pPr>
    </w:p>
    <w:p w14:paraId="6937E8B8" w14:textId="77777777" w:rsidR="00E3770F" w:rsidRPr="0059462A" w:rsidRDefault="00E3770F" w:rsidP="00E3770F">
      <w:pPr>
        <w:tabs>
          <w:tab w:val="clear" w:pos="567"/>
        </w:tabs>
        <w:spacing w:line="240" w:lineRule="auto"/>
        <w:jc w:val="center"/>
        <w:outlineLvl w:val="0"/>
        <w:rPr>
          <w:b/>
          <w:lang w:val="lt-LT"/>
        </w:rPr>
      </w:pPr>
    </w:p>
    <w:p w14:paraId="20E7BD9A" w14:textId="77777777" w:rsidR="00E3770F" w:rsidRPr="0059462A" w:rsidRDefault="00E3770F" w:rsidP="00E3770F">
      <w:pPr>
        <w:tabs>
          <w:tab w:val="clear" w:pos="567"/>
        </w:tabs>
        <w:spacing w:line="240" w:lineRule="auto"/>
        <w:jc w:val="center"/>
        <w:outlineLvl w:val="0"/>
        <w:rPr>
          <w:rFonts w:asciiTheme="minorHAnsi" w:eastAsiaTheme="minorHAnsi" w:hAnsiTheme="minorHAnsi" w:cstheme="minorBidi"/>
          <w:szCs w:val="22"/>
          <w:lang w:val="lt-LT"/>
        </w:rPr>
      </w:pPr>
      <w:r w:rsidRPr="0059462A">
        <w:rPr>
          <w:b/>
          <w:lang w:val="lt-LT"/>
        </w:rPr>
        <w:t>A. ŽENKLINIMAS</w:t>
      </w:r>
    </w:p>
    <w:p w14:paraId="75617FDA" w14:textId="77777777" w:rsidR="00E3770F" w:rsidRPr="0059462A" w:rsidRDefault="00E3770F" w:rsidP="00E3770F">
      <w:pPr>
        <w:shd w:val="clear" w:color="auto" w:fill="FFFFFF"/>
        <w:tabs>
          <w:tab w:val="clear" w:pos="567"/>
        </w:tabs>
        <w:spacing w:line="240" w:lineRule="auto"/>
        <w:rPr>
          <w:lang w:val="lt-LT"/>
        </w:rPr>
      </w:pPr>
      <w:r w:rsidRPr="0059462A">
        <w:rPr>
          <w:lang w:val="lt-LT"/>
        </w:rPr>
        <w:br w:type="page"/>
      </w:r>
    </w:p>
    <w:p w14:paraId="3872D644"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rFonts w:asciiTheme="minorHAnsi" w:eastAsiaTheme="minorHAnsi" w:hAnsiTheme="minorHAnsi" w:cstheme="minorBidi"/>
          <w:b/>
          <w:szCs w:val="22"/>
          <w:lang w:val="lt-LT"/>
        </w:rPr>
      </w:pPr>
      <w:r w:rsidRPr="0059462A">
        <w:rPr>
          <w:b/>
          <w:lang w:val="lt-LT"/>
        </w:rPr>
        <w:lastRenderedPageBreak/>
        <w:t xml:space="preserve">INFORMACIJA ANT IŠORINĖS </w:t>
      </w:r>
      <w:r w:rsidRPr="0059462A">
        <w:rPr>
          <w:b/>
          <w:noProof/>
          <w:szCs w:val="22"/>
          <w:lang w:val="lt-LT"/>
        </w:rPr>
        <w:t xml:space="preserve">IR VIDINĖS </w:t>
      </w:r>
      <w:r w:rsidRPr="0059462A">
        <w:rPr>
          <w:b/>
          <w:lang w:val="lt-LT"/>
        </w:rPr>
        <w:t>PAKUOTĖS</w:t>
      </w:r>
    </w:p>
    <w:p w14:paraId="2892C326"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2155577B"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t-LT"/>
        </w:rPr>
      </w:pPr>
      <w:r w:rsidRPr="0059462A">
        <w:rPr>
          <w:b/>
          <w:szCs w:val="22"/>
          <w:lang w:val="lt-LT"/>
        </w:rPr>
        <w:t>KARTONINĖ DĖŽUTĖ 1 LIZDINEI PLOKŠTELEI ARBA 4 LIZDINĖMS PLOKŠTELĖMS</w:t>
      </w:r>
    </w:p>
    <w:p w14:paraId="6209D8E2" w14:textId="77777777" w:rsidR="00E3770F" w:rsidRPr="0059462A" w:rsidRDefault="00E3770F" w:rsidP="00E3770F">
      <w:pPr>
        <w:tabs>
          <w:tab w:val="clear" w:pos="567"/>
        </w:tabs>
        <w:spacing w:line="240" w:lineRule="auto"/>
        <w:rPr>
          <w:lang w:val="lt-LT"/>
        </w:rPr>
      </w:pPr>
    </w:p>
    <w:p w14:paraId="2ED22FB8" w14:textId="77777777" w:rsidR="00E3770F" w:rsidRPr="0059462A" w:rsidRDefault="00E3770F" w:rsidP="00E3770F">
      <w:pPr>
        <w:tabs>
          <w:tab w:val="clear" w:pos="567"/>
        </w:tabs>
        <w:spacing w:line="240" w:lineRule="auto"/>
        <w:rPr>
          <w:lang w:val="lt-LT"/>
        </w:rPr>
      </w:pPr>
    </w:p>
    <w:p w14:paraId="507D629C"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1.</w:t>
      </w:r>
      <w:r w:rsidRPr="0059462A">
        <w:rPr>
          <w:b/>
          <w:lang w:val="lt-LT"/>
        </w:rPr>
        <w:tab/>
        <w:t>VAISTINIO PREPARATO PAVADINIMAS</w:t>
      </w:r>
    </w:p>
    <w:p w14:paraId="753CE06C" w14:textId="77777777" w:rsidR="00E3770F" w:rsidRPr="0059462A" w:rsidRDefault="00E3770F" w:rsidP="00E3770F">
      <w:pPr>
        <w:tabs>
          <w:tab w:val="clear" w:pos="567"/>
        </w:tabs>
        <w:spacing w:line="240" w:lineRule="auto"/>
        <w:rPr>
          <w:lang w:val="lt-LT"/>
        </w:rPr>
      </w:pPr>
    </w:p>
    <w:p w14:paraId="3B7A82B3" w14:textId="77777777" w:rsidR="00E3770F" w:rsidRPr="0059462A" w:rsidRDefault="00E3770F" w:rsidP="00E3770F">
      <w:pPr>
        <w:rPr>
          <w:rFonts w:asciiTheme="minorHAnsi" w:eastAsiaTheme="minorHAnsi" w:hAnsiTheme="minorHAnsi" w:cstheme="minorBidi"/>
          <w:szCs w:val="22"/>
          <w:lang w:val="lt-LT"/>
        </w:rPr>
      </w:pPr>
      <w:r w:rsidRPr="0059462A">
        <w:rPr>
          <w:lang w:val="lt-LT"/>
        </w:rPr>
        <w:t>Zemplar 1 mikrogramas minkštosios kapsulės</w:t>
      </w:r>
    </w:p>
    <w:p w14:paraId="65F4E36B" w14:textId="77777777" w:rsidR="00E3770F" w:rsidRPr="0059462A" w:rsidRDefault="00E3770F" w:rsidP="00E3770F">
      <w:pPr>
        <w:rPr>
          <w:rFonts w:asciiTheme="minorHAnsi" w:eastAsiaTheme="minorHAnsi" w:hAnsiTheme="minorHAnsi" w:cstheme="minorBidi"/>
          <w:szCs w:val="22"/>
          <w:lang w:val="lt-LT"/>
        </w:rPr>
      </w:pPr>
      <w:r>
        <w:rPr>
          <w:lang w:val="lt-LT"/>
        </w:rPr>
        <w:t>p</w:t>
      </w:r>
      <w:r w:rsidRPr="0059462A">
        <w:rPr>
          <w:lang w:val="lt-LT"/>
        </w:rPr>
        <w:t>aricalcitolum</w:t>
      </w:r>
    </w:p>
    <w:p w14:paraId="7EC56A44" w14:textId="77777777" w:rsidR="00E3770F" w:rsidRPr="0059462A" w:rsidRDefault="00E3770F" w:rsidP="00E3770F">
      <w:pPr>
        <w:tabs>
          <w:tab w:val="clear" w:pos="567"/>
        </w:tabs>
        <w:spacing w:line="240" w:lineRule="auto"/>
        <w:rPr>
          <w:lang w:val="lt-LT"/>
        </w:rPr>
      </w:pPr>
    </w:p>
    <w:p w14:paraId="768AB034" w14:textId="77777777" w:rsidR="00E3770F" w:rsidRPr="0059462A" w:rsidRDefault="00E3770F" w:rsidP="00E3770F">
      <w:pPr>
        <w:tabs>
          <w:tab w:val="clear" w:pos="567"/>
        </w:tabs>
        <w:rPr>
          <w:lang w:val="lt-LT"/>
        </w:rPr>
      </w:pPr>
    </w:p>
    <w:p w14:paraId="4196C4AF"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59462A">
        <w:rPr>
          <w:b/>
          <w:lang w:val="lt-LT"/>
        </w:rPr>
        <w:t>2.</w:t>
      </w:r>
      <w:r w:rsidRPr="0059462A">
        <w:rPr>
          <w:b/>
          <w:lang w:val="lt-LT"/>
        </w:rPr>
        <w:tab/>
        <w:t>VEIKLIOJI (-IOS) MEDŽIAGA (-OS) IR JOS (-Ų) KIEKIS (-IAI)</w:t>
      </w:r>
    </w:p>
    <w:p w14:paraId="500448E9" w14:textId="77777777" w:rsidR="00E3770F" w:rsidRPr="0059462A" w:rsidRDefault="00E3770F" w:rsidP="00E3770F">
      <w:pPr>
        <w:tabs>
          <w:tab w:val="clear" w:pos="567"/>
        </w:tabs>
        <w:spacing w:line="240" w:lineRule="auto"/>
        <w:rPr>
          <w:lang w:val="lt-LT"/>
        </w:rPr>
      </w:pPr>
    </w:p>
    <w:p w14:paraId="4F6DFC98"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Kiekvienoje </w:t>
      </w:r>
      <w:r w:rsidRPr="00FB39A9">
        <w:rPr>
          <w:lang w:val="lt-LT"/>
        </w:rPr>
        <w:t>minkštojoje kapsulėje yra 1 mikrogramas parikalcitolio.</w:t>
      </w:r>
    </w:p>
    <w:p w14:paraId="498026EA" w14:textId="77777777" w:rsidR="00E3770F" w:rsidRPr="0059462A" w:rsidRDefault="00E3770F" w:rsidP="00E3770F">
      <w:pPr>
        <w:tabs>
          <w:tab w:val="clear" w:pos="567"/>
        </w:tabs>
        <w:spacing w:line="240" w:lineRule="auto"/>
        <w:rPr>
          <w:lang w:val="lt-LT"/>
        </w:rPr>
      </w:pPr>
    </w:p>
    <w:p w14:paraId="5461B4BA" w14:textId="77777777" w:rsidR="00E3770F" w:rsidRPr="0059462A" w:rsidRDefault="00E3770F" w:rsidP="00E3770F">
      <w:pPr>
        <w:tabs>
          <w:tab w:val="clear" w:pos="567"/>
        </w:tabs>
        <w:spacing w:line="240" w:lineRule="auto"/>
        <w:rPr>
          <w:lang w:val="lt-LT"/>
        </w:rPr>
      </w:pPr>
    </w:p>
    <w:p w14:paraId="435F159E"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3.</w:t>
      </w:r>
      <w:r w:rsidRPr="0059462A">
        <w:rPr>
          <w:b/>
          <w:lang w:val="lt-LT"/>
        </w:rPr>
        <w:tab/>
        <w:t>PAGALBINIŲ MEDŽIAGŲ SĄRAŠAS</w:t>
      </w:r>
    </w:p>
    <w:p w14:paraId="31CD2444" w14:textId="77777777" w:rsidR="00E3770F" w:rsidRPr="00FB39A9" w:rsidRDefault="00E3770F" w:rsidP="00E3770F">
      <w:pPr>
        <w:pStyle w:val="Pagrindinistekstas"/>
        <w:rPr>
          <w:i w:val="0"/>
          <w:color w:val="auto"/>
          <w:lang w:val="lt-LT"/>
        </w:rPr>
      </w:pPr>
    </w:p>
    <w:p w14:paraId="25F524B0" w14:textId="77777777" w:rsidR="00E3770F" w:rsidRPr="00FB39A9" w:rsidRDefault="00E3770F" w:rsidP="00E3770F">
      <w:pPr>
        <w:pStyle w:val="Pagrindinistekstas"/>
        <w:rPr>
          <w:color w:val="auto"/>
          <w:lang w:val="lt-LT"/>
        </w:rPr>
      </w:pPr>
      <w:r w:rsidRPr="0059462A">
        <w:rPr>
          <w:i w:val="0"/>
          <w:color w:val="auto"/>
          <w:lang w:val="lt-LT"/>
        </w:rPr>
        <w:t>Šiame vaistiniame preparate yra nedidelis kiekis etanolio (alkoholio): mažiau nei 100 mg vienoje 1 mikrogramo kapsulėje.</w:t>
      </w:r>
    </w:p>
    <w:p w14:paraId="488D4190" w14:textId="77777777" w:rsidR="00E3770F" w:rsidRPr="00FB39A9" w:rsidRDefault="00E3770F" w:rsidP="00E3770F">
      <w:pPr>
        <w:pStyle w:val="Pagrindinistekstas"/>
        <w:rPr>
          <w:color w:val="auto"/>
          <w:lang w:val="lt-LT"/>
        </w:rPr>
      </w:pPr>
    </w:p>
    <w:p w14:paraId="6E19120B" w14:textId="77777777" w:rsidR="00E3770F" w:rsidRPr="00FB39A9" w:rsidRDefault="00E3770F" w:rsidP="00E3770F">
      <w:pPr>
        <w:pStyle w:val="Pagrindinistekstas"/>
        <w:rPr>
          <w:color w:val="auto"/>
          <w:lang w:val="lt-LT"/>
        </w:rPr>
      </w:pPr>
      <w:r w:rsidRPr="0059462A">
        <w:rPr>
          <w:i w:val="0"/>
          <w:color w:val="auto"/>
          <w:lang w:val="lt-LT"/>
        </w:rPr>
        <w:t>Daugiau informacijos pateikiama pakuotės lapelyje.</w:t>
      </w:r>
    </w:p>
    <w:p w14:paraId="52D61CF1" w14:textId="77777777" w:rsidR="00E3770F" w:rsidRPr="00FB39A9" w:rsidRDefault="00E3770F" w:rsidP="00E3770F">
      <w:pPr>
        <w:pStyle w:val="Pagrindinistekstas"/>
        <w:rPr>
          <w:color w:val="auto"/>
          <w:lang w:val="lt-LT"/>
        </w:rPr>
      </w:pPr>
    </w:p>
    <w:p w14:paraId="7B212795" w14:textId="77777777" w:rsidR="00E3770F" w:rsidRPr="0059462A" w:rsidRDefault="00E3770F" w:rsidP="00E3770F">
      <w:pPr>
        <w:rPr>
          <w:lang w:val="lt-LT"/>
        </w:rPr>
      </w:pPr>
    </w:p>
    <w:p w14:paraId="41F87DC2"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w:t>
      </w:r>
      <w:r w:rsidRPr="0059462A">
        <w:rPr>
          <w:b/>
          <w:lang w:val="lt-LT"/>
        </w:rPr>
        <w:tab/>
        <w:t>FARMACINĖ FORMA IR KIEKIS PAKUOTĖJE</w:t>
      </w:r>
    </w:p>
    <w:p w14:paraId="74FD546A"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p>
    <w:p w14:paraId="359C57A7"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r w:rsidRPr="0059462A">
        <w:rPr>
          <w:sz w:val="22"/>
          <w:lang w:val="lt-LT"/>
        </w:rPr>
        <w:t>7 minkštosios kapsulės</w:t>
      </w:r>
    </w:p>
    <w:p w14:paraId="49DB5FEF"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r w:rsidRPr="0059462A">
        <w:rPr>
          <w:sz w:val="22"/>
          <w:highlight w:val="lightGray"/>
          <w:lang w:val="lt-LT"/>
        </w:rPr>
        <w:t>28  minkštosios kapsulės</w:t>
      </w:r>
    </w:p>
    <w:p w14:paraId="7FFC2B7D" w14:textId="77777777" w:rsidR="00E3770F" w:rsidRPr="0059462A" w:rsidRDefault="00E3770F" w:rsidP="00E3770F">
      <w:pPr>
        <w:pStyle w:val="Dokumentoinaostekstas"/>
        <w:spacing w:line="260" w:lineRule="exact"/>
        <w:rPr>
          <w:lang w:val="lt-LT"/>
        </w:rPr>
      </w:pPr>
    </w:p>
    <w:p w14:paraId="081D482F" w14:textId="77777777" w:rsidR="00E3770F" w:rsidRPr="0059462A" w:rsidRDefault="00E3770F" w:rsidP="00E3770F">
      <w:pPr>
        <w:rPr>
          <w:lang w:val="lt-LT"/>
        </w:rPr>
      </w:pPr>
    </w:p>
    <w:p w14:paraId="6666EA98"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5.</w:t>
      </w:r>
      <w:r w:rsidRPr="0059462A">
        <w:rPr>
          <w:b/>
          <w:lang w:val="lt-LT"/>
        </w:rPr>
        <w:tab/>
        <w:t>VARTOJIMO METODAS IR BŪDAS (-AI)</w:t>
      </w:r>
    </w:p>
    <w:p w14:paraId="1542B9EA" w14:textId="77777777" w:rsidR="00E3770F" w:rsidRPr="0059462A" w:rsidRDefault="00E3770F" w:rsidP="00E3770F">
      <w:pPr>
        <w:tabs>
          <w:tab w:val="clear" w:pos="567"/>
        </w:tabs>
        <w:spacing w:line="240" w:lineRule="auto"/>
        <w:rPr>
          <w:i/>
          <w:lang w:val="lt-LT"/>
        </w:rPr>
      </w:pPr>
    </w:p>
    <w:p w14:paraId="3BE300AD" w14:textId="77777777" w:rsidR="00E3770F" w:rsidRPr="0059462A" w:rsidRDefault="00E3770F" w:rsidP="00E3770F">
      <w:pPr>
        <w:tabs>
          <w:tab w:val="clear" w:pos="567"/>
        </w:tabs>
        <w:spacing w:line="240" w:lineRule="auto"/>
        <w:rPr>
          <w:rFonts w:asciiTheme="minorHAnsi" w:eastAsiaTheme="minorHAnsi" w:hAnsiTheme="minorHAnsi" w:cstheme="minorBidi"/>
          <w:szCs w:val="22"/>
          <w:lang w:val="lt-LT"/>
        </w:rPr>
      </w:pPr>
      <w:r w:rsidRPr="0059462A">
        <w:rPr>
          <w:lang w:val="lt-LT"/>
        </w:rPr>
        <w:t>Vartoti per burną.</w:t>
      </w:r>
    </w:p>
    <w:p w14:paraId="0E9DCF4F" w14:textId="77777777" w:rsidR="00E3770F" w:rsidRPr="0059462A" w:rsidRDefault="00E3770F" w:rsidP="00E3770F">
      <w:pPr>
        <w:tabs>
          <w:tab w:val="clear" w:pos="567"/>
        </w:tabs>
        <w:spacing w:line="240" w:lineRule="auto"/>
        <w:rPr>
          <w:lang w:val="lt-LT"/>
        </w:rPr>
      </w:pPr>
    </w:p>
    <w:p w14:paraId="5726B0BC" w14:textId="77777777" w:rsidR="00E3770F" w:rsidRPr="0059462A" w:rsidRDefault="00E3770F" w:rsidP="00E3770F">
      <w:pPr>
        <w:tabs>
          <w:tab w:val="clear" w:pos="567"/>
        </w:tabs>
        <w:spacing w:line="240" w:lineRule="auto"/>
        <w:rPr>
          <w:rFonts w:asciiTheme="minorHAnsi" w:eastAsiaTheme="minorHAnsi" w:hAnsiTheme="minorHAnsi" w:cstheme="minorBidi"/>
          <w:szCs w:val="22"/>
          <w:lang w:val="lt-LT"/>
        </w:rPr>
      </w:pPr>
      <w:r w:rsidRPr="0059462A">
        <w:rPr>
          <w:lang w:val="lt-LT"/>
        </w:rPr>
        <w:t>Prieš vartojimą perskaitykite pakuotės lapelį.</w:t>
      </w:r>
    </w:p>
    <w:p w14:paraId="02570E7E" w14:textId="77777777" w:rsidR="00E3770F" w:rsidRPr="0059462A" w:rsidRDefault="00E3770F" w:rsidP="00E3770F">
      <w:pPr>
        <w:tabs>
          <w:tab w:val="clear" w:pos="567"/>
        </w:tabs>
        <w:spacing w:line="240" w:lineRule="auto"/>
        <w:rPr>
          <w:lang w:val="lt-LT"/>
        </w:rPr>
      </w:pPr>
    </w:p>
    <w:p w14:paraId="60D3A45B" w14:textId="77777777" w:rsidR="00E3770F" w:rsidRPr="0059462A" w:rsidRDefault="00E3770F" w:rsidP="00E3770F">
      <w:pPr>
        <w:tabs>
          <w:tab w:val="clear" w:pos="567"/>
        </w:tabs>
        <w:spacing w:line="240" w:lineRule="auto"/>
        <w:rPr>
          <w:lang w:val="lt-LT"/>
        </w:rPr>
      </w:pPr>
    </w:p>
    <w:p w14:paraId="325513D3" w14:textId="77777777" w:rsidR="00E3770F" w:rsidRPr="0059462A" w:rsidRDefault="00E3770F" w:rsidP="00E3770F">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6.</w:t>
      </w:r>
      <w:r w:rsidRPr="0059462A">
        <w:rPr>
          <w:b/>
          <w:lang w:val="lt-LT"/>
        </w:rPr>
        <w:tab/>
        <w:t>SPECIALUS ĮSPĖJIMAS, KAD VAISTINĮ PREPARATĄ BŪTINA LAIKYTI VAIKAMS NEPASTEBIMOJE IR NEPASIEKIAMOJE VIETOJE</w:t>
      </w:r>
    </w:p>
    <w:p w14:paraId="04E64B31" w14:textId="77777777" w:rsidR="00E3770F" w:rsidRPr="0059462A" w:rsidRDefault="00E3770F" w:rsidP="00E3770F">
      <w:pPr>
        <w:tabs>
          <w:tab w:val="clear" w:pos="567"/>
        </w:tabs>
        <w:spacing w:line="240" w:lineRule="auto"/>
        <w:rPr>
          <w:lang w:val="lt-LT"/>
        </w:rPr>
      </w:pPr>
    </w:p>
    <w:p w14:paraId="11DF397F" w14:textId="77777777" w:rsidR="00E3770F" w:rsidRPr="0059462A" w:rsidRDefault="00E3770F" w:rsidP="00E3770F">
      <w:pPr>
        <w:pStyle w:val="Pagrindinistekstas"/>
        <w:rPr>
          <w:lang w:val="lt-LT"/>
        </w:rPr>
      </w:pPr>
      <w:r w:rsidRPr="0059462A">
        <w:rPr>
          <w:i w:val="0"/>
          <w:color w:val="auto"/>
          <w:lang w:val="lt-LT"/>
        </w:rPr>
        <w:t>Laikyti vaikams nepastebimoje ir nepasiekiamoje vietoje.</w:t>
      </w:r>
    </w:p>
    <w:p w14:paraId="3BAD746F" w14:textId="77777777" w:rsidR="00E3770F" w:rsidRPr="0059462A" w:rsidRDefault="00E3770F" w:rsidP="00E3770F">
      <w:pPr>
        <w:tabs>
          <w:tab w:val="clear" w:pos="567"/>
        </w:tabs>
        <w:spacing w:line="240" w:lineRule="auto"/>
        <w:rPr>
          <w:lang w:val="lt-LT"/>
        </w:rPr>
      </w:pPr>
    </w:p>
    <w:p w14:paraId="0858A21D" w14:textId="77777777" w:rsidR="00E3770F" w:rsidRPr="0059462A" w:rsidRDefault="00E3770F" w:rsidP="00E3770F">
      <w:pPr>
        <w:tabs>
          <w:tab w:val="clear" w:pos="567"/>
        </w:tabs>
        <w:spacing w:line="240" w:lineRule="auto"/>
        <w:rPr>
          <w:lang w:val="lt-LT"/>
        </w:rPr>
      </w:pPr>
    </w:p>
    <w:p w14:paraId="4B4FF991"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7.</w:t>
      </w:r>
      <w:r w:rsidRPr="0059462A">
        <w:rPr>
          <w:b/>
          <w:lang w:val="lt-LT"/>
        </w:rPr>
        <w:tab/>
        <w:t xml:space="preserve">KITAS (-I) SPECIALUS (-ŪS) ĮSPĖJIMAS (-AI) (JEI </w:t>
      </w:r>
      <w:r w:rsidRPr="00FB39A9">
        <w:rPr>
          <w:b/>
          <w:lang w:val="lt-LT"/>
        </w:rPr>
        <w:t>REIKIA)</w:t>
      </w:r>
    </w:p>
    <w:p w14:paraId="56261102" w14:textId="77777777" w:rsidR="00E3770F" w:rsidRPr="0059462A" w:rsidRDefault="00E3770F" w:rsidP="00E3770F">
      <w:pPr>
        <w:tabs>
          <w:tab w:val="clear" w:pos="567"/>
        </w:tabs>
        <w:spacing w:line="240" w:lineRule="auto"/>
        <w:rPr>
          <w:lang w:val="lt-LT"/>
        </w:rPr>
      </w:pPr>
    </w:p>
    <w:p w14:paraId="0D6751B2" w14:textId="77777777" w:rsidR="00E3770F" w:rsidRPr="0059462A" w:rsidRDefault="00E3770F" w:rsidP="00E3770F">
      <w:pPr>
        <w:tabs>
          <w:tab w:val="clear" w:pos="567"/>
        </w:tabs>
        <w:spacing w:line="240" w:lineRule="auto"/>
        <w:rPr>
          <w:lang w:val="lt-LT"/>
        </w:rPr>
      </w:pPr>
    </w:p>
    <w:p w14:paraId="4FB5D695"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8.</w:t>
      </w:r>
      <w:r w:rsidRPr="0059462A">
        <w:rPr>
          <w:b/>
          <w:lang w:val="lt-LT"/>
        </w:rPr>
        <w:tab/>
        <w:t>TINKAMUMO LAIKAS</w:t>
      </w:r>
    </w:p>
    <w:p w14:paraId="0DF5DF75" w14:textId="77777777" w:rsidR="00E3770F" w:rsidRPr="0059462A" w:rsidRDefault="00E3770F" w:rsidP="00E3770F">
      <w:pPr>
        <w:tabs>
          <w:tab w:val="clear" w:pos="567"/>
        </w:tabs>
        <w:spacing w:line="240" w:lineRule="auto"/>
        <w:rPr>
          <w:lang w:val="lt-LT"/>
        </w:rPr>
      </w:pPr>
    </w:p>
    <w:p w14:paraId="2C8A505D" w14:textId="77777777" w:rsidR="00E3770F" w:rsidRPr="0059462A" w:rsidRDefault="00E3770F" w:rsidP="00E3770F">
      <w:pPr>
        <w:tabs>
          <w:tab w:val="clear" w:pos="567"/>
        </w:tabs>
        <w:spacing w:line="240" w:lineRule="auto"/>
        <w:rPr>
          <w:lang w:val="lt-LT"/>
        </w:rPr>
      </w:pPr>
      <w:r w:rsidRPr="00FB39A9">
        <w:rPr>
          <w:lang w:val="lt-LT"/>
        </w:rPr>
        <w:t xml:space="preserve">EXP </w:t>
      </w:r>
      <w:r w:rsidRPr="0059462A">
        <w:rPr>
          <w:lang w:val="lt-LT"/>
        </w:rPr>
        <w:t>(mm/MMMM)</w:t>
      </w:r>
    </w:p>
    <w:p w14:paraId="5139D6DA" w14:textId="77777777" w:rsidR="00E3770F" w:rsidRPr="0059462A" w:rsidRDefault="00E3770F" w:rsidP="00E3770F">
      <w:pPr>
        <w:tabs>
          <w:tab w:val="clear" w:pos="567"/>
        </w:tabs>
        <w:spacing w:line="240" w:lineRule="auto"/>
        <w:rPr>
          <w:lang w:val="lt-LT"/>
        </w:rPr>
      </w:pPr>
    </w:p>
    <w:p w14:paraId="32F44595" w14:textId="77777777" w:rsidR="00E3770F" w:rsidRPr="0059462A" w:rsidRDefault="00E3770F" w:rsidP="00E3770F">
      <w:pPr>
        <w:tabs>
          <w:tab w:val="clear" w:pos="567"/>
        </w:tabs>
        <w:spacing w:line="240" w:lineRule="auto"/>
        <w:rPr>
          <w:lang w:val="lt-LT"/>
        </w:rPr>
      </w:pPr>
    </w:p>
    <w:p w14:paraId="601E3D8B"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9.</w:t>
      </w:r>
      <w:r w:rsidRPr="0059462A">
        <w:rPr>
          <w:b/>
          <w:lang w:val="lt-LT"/>
        </w:rPr>
        <w:tab/>
      </w:r>
      <w:r w:rsidRPr="0059462A">
        <w:rPr>
          <w:b/>
          <w:caps/>
          <w:lang w:val="lt-LT"/>
        </w:rPr>
        <w:t>SPECIALIOS laikymo sąlygos</w:t>
      </w:r>
    </w:p>
    <w:p w14:paraId="032BE43A" w14:textId="77777777" w:rsidR="00E3770F" w:rsidRPr="0059462A" w:rsidRDefault="00E3770F" w:rsidP="00E3770F">
      <w:pPr>
        <w:tabs>
          <w:tab w:val="clear" w:pos="567"/>
        </w:tabs>
        <w:spacing w:line="240" w:lineRule="auto"/>
        <w:ind w:left="567" w:hanging="567"/>
        <w:rPr>
          <w:lang w:val="lt-LT"/>
        </w:rPr>
      </w:pPr>
    </w:p>
    <w:p w14:paraId="45DF39AC" w14:textId="77777777" w:rsidR="00E3770F" w:rsidRPr="0059462A" w:rsidRDefault="00E3770F" w:rsidP="00E3770F">
      <w:pPr>
        <w:tabs>
          <w:tab w:val="clear" w:pos="567"/>
        </w:tabs>
        <w:spacing w:line="240" w:lineRule="auto"/>
        <w:ind w:left="567" w:hanging="567"/>
        <w:rPr>
          <w:lang w:val="lt-LT"/>
        </w:rPr>
      </w:pPr>
    </w:p>
    <w:p w14:paraId="1FB44299"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59462A">
        <w:rPr>
          <w:b/>
          <w:lang w:val="lt-LT"/>
        </w:rPr>
        <w:lastRenderedPageBreak/>
        <w:t>10.</w:t>
      </w:r>
      <w:r w:rsidRPr="0059462A">
        <w:rPr>
          <w:b/>
          <w:lang w:val="lt-LT"/>
        </w:rPr>
        <w:tab/>
      </w:r>
      <w:r w:rsidRPr="0059462A">
        <w:rPr>
          <w:b/>
          <w:caps/>
          <w:lang w:val="lt-LT"/>
        </w:rPr>
        <w:t>specialios atsargumo priemonės DĖL NESUVARTOTO VAISTINIO PREPARATO AR JO ATLIEK</w:t>
      </w:r>
      <w:r w:rsidRPr="00FB39A9">
        <w:rPr>
          <w:b/>
          <w:lang w:val="lt-LT"/>
        </w:rPr>
        <w:t>Ų</w:t>
      </w:r>
      <w:r w:rsidRPr="0059462A">
        <w:rPr>
          <w:caps/>
          <w:lang w:val="lt-LT"/>
        </w:rPr>
        <w:t xml:space="preserve"> </w:t>
      </w:r>
      <w:r w:rsidRPr="0059462A">
        <w:rPr>
          <w:b/>
          <w:caps/>
          <w:lang w:val="lt-LT"/>
        </w:rPr>
        <w:t>TVARKYMO (jei reikia)</w:t>
      </w:r>
    </w:p>
    <w:p w14:paraId="616B9A28" w14:textId="77777777" w:rsidR="00E3770F" w:rsidRPr="0059462A" w:rsidRDefault="00E3770F" w:rsidP="00E3770F">
      <w:pPr>
        <w:tabs>
          <w:tab w:val="clear" w:pos="567"/>
        </w:tabs>
        <w:spacing w:line="240" w:lineRule="auto"/>
        <w:rPr>
          <w:lang w:val="lt-LT"/>
        </w:rPr>
      </w:pPr>
    </w:p>
    <w:p w14:paraId="7805E1AB" w14:textId="77777777" w:rsidR="00E3770F" w:rsidRPr="0059462A" w:rsidRDefault="00E3770F" w:rsidP="00E3770F">
      <w:pPr>
        <w:tabs>
          <w:tab w:val="clear" w:pos="567"/>
        </w:tabs>
        <w:spacing w:line="240" w:lineRule="auto"/>
        <w:rPr>
          <w:lang w:val="lt-LT"/>
        </w:rPr>
      </w:pPr>
    </w:p>
    <w:p w14:paraId="14AF67F7"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b/>
          <w:szCs w:val="22"/>
          <w:lang w:val="lt-LT"/>
        </w:rPr>
      </w:pPr>
      <w:r w:rsidRPr="0059462A">
        <w:rPr>
          <w:b/>
          <w:lang w:val="lt-LT"/>
        </w:rPr>
        <w:t>11.</w:t>
      </w:r>
      <w:r w:rsidRPr="0059462A">
        <w:rPr>
          <w:b/>
          <w:lang w:val="lt-LT"/>
        </w:rPr>
        <w:tab/>
      </w:r>
      <w:r w:rsidRPr="0059462A">
        <w:rPr>
          <w:b/>
          <w:caps/>
          <w:lang w:val="lt-LT"/>
        </w:rPr>
        <w:t>REGISTRUOTOJO pavadinimas ir adresas</w:t>
      </w:r>
    </w:p>
    <w:p w14:paraId="28343889"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shd w:val="clear" w:color="auto" w:fill="FFFFFF"/>
          <w:lang w:val="lt-LT"/>
        </w:rPr>
      </w:pPr>
    </w:p>
    <w:p w14:paraId="7669B662"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shd w:val="clear" w:color="auto" w:fill="FFFFFF"/>
          <w:lang w:val="lt-LT"/>
        </w:rPr>
      </w:pPr>
      <w:r w:rsidRPr="0059462A">
        <w:rPr>
          <w:sz w:val="22"/>
          <w:shd w:val="clear" w:color="auto" w:fill="FFFFFF"/>
          <w:lang w:val="lt-LT"/>
        </w:rPr>
        <w:t>Registruotojas:</w:t>
      </w:r>
    </w:p>
    <w:p w14:paraId="5086CCE7" w14:textId="77777777" w:rsidR="00E3770F" w:rsidRPr="0059462A" w:rsidRDefault="00E3770F" w:rsidP="00E3770F">
      <w:pPr>
        <w:rPr>
          <w:rFonts w:asciiTheme="minorHAnsi" w:eastAsiaTheme="minorHAnsi" w:hAnsiTheme="minorHAnsi" w:cstheme="minorBidi"/>
          <w:szCs w:val="22"/>
          <w:lang w:val="lt-LT"/>
        </w:rPr>
      </w:pPr>
      <w:r w:rsidRPr="0059462A">
        <w:rPr>
          <w:lang w:val="lt-LT"/>
        </w:rPr>
        <w:t>AbbVie SIA</w:t>
      </w:r>
    </w:p>
    <w:p w14:paraId="5E6FAB22"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 xml:space="preserve">Vaiņodes 1 </w:t>
      </w:r>
    </w:p>
    <w:p w14:paraId="7D0522CC"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 xml:space="preserve">Rīga LV 1004 </w:t>
      </w:r>
    </w:p>
    <w:p w14:paraId="4914D815"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Latvija</w:t>
      </w:r>
    </w:p>
    <w:p w14:paraId="3FB26DBA"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shd w:val="clear" w:color="auto" w:fill="FFFFFF"/>
          <w:lang w:val="lt-LT"/>
        </w:rPr>
      </w:pPr>
    </w:p>
    <w:p w14:paraId="3B285914" w14:textId="77777777" w:rsidR="00E3770F" w:rsidRPr="0059462A" w:rsidRDefault="00E3770F" w:rsidP="00E3770F">
      <w:pPr>
        <w:tabs>
          <w:tab w:val="clear" w:pos="567"/>
        </w:tabs>
        <w:spacing w:line="240" w:lineRule="auto"/>
        <w:rPr>
          <w:lang w:val="lt-LT"/>
        </w:rPr>
      </w:pPr>
    </w:p>
    <w:p w14:paraId="15EE2C4F"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12.</w:t>
      </w:r>
      <w:r w:rsidRPr="0059462A">
        <w:rPr>
          <w:b/>
          <w:lang w:val="lt-LT"/>
        </w:rPr>
        <w:tab/>
      </w:r>
      <w:r w:rsidRPr="0059462A">
        <w:rPr>
          <w:b/>
          <w:caps/>
          <w:lang w:val="lt-LT"/>
        </w:rPr>
        <w:t>REGISTRACIJOS PAŽYMĖJIMO numeris</w:t>
      </w:r>
      <w:r w:rsidRPr="00FB39A9">
        <w:rPr>
          <w:b/>
          <w:lang w:val="lt-LT"/>
        </w:rPr>
        <w:t xml:space="preserve"> </w:t>
      </w:r>
    </w:p>
    <w:p w14:paraId="6D269695" w14:textId="77777777" w:rsidR="00E3770F" w:rsidRPr="0059462A" w:rsidRDefault="00E3770F" w:rsidP="00E3770F">
      <w:pPr>
        <w:tabs>
          <w:tab w:val="clear" w:pos="567"/>
        </w:tabs>
        <w:spacing w:line="240" w:lineRule="auto"/>
        <w:rPr>
          <w:lang w:val="lt-LT"/>
        </w:rPr>
      </w:pPr>
    </w:p>
    <w:p w14:paraId="7C6BC1B2" w14:textId="77777777" w:rsidR="00E3770F" w:rsidRPr="0059462A" w:rsidRDefault="00E3770F" w:rsidP="00E3770F">
      <w:pPr>
        <w:pStyle w:val="BTEMEASMCA"/>
      </w:pPr>
      <w:r w:rsidRPr="0059462A">
        <w:t>N7 – LT/1/08/1042/001</w:t>
      </w:r>
    </w:p>
    <w:p w14:paraId="4CF2B556" w14:textId="77777777" w:rsidR="00E3770F" w:rsidRPr="0059462A" w:rsidRDefault="00E3770F" w:rsidP="00E3770F">
      <w:pPr>
        <w:pStyle w:val="BTEMEASMCA"/>
      </w:pPr>
      <w:r w:rsidRPr="0059462A">
        <w:t>N28 – LT/1/08/1042/002</w:t>
      </w:r>
    </w:p>
    <w:p w14:paraId="16237ED5" w14:textId="77777777" w:rsidR="00E3770F" w:rsidRPr="0059462A" w:rsidRDefault="00E3770F" w:rsidP="00E3770F">
      <w:pPr>
        <w:tabs>
          <w:tab w:val="clear" w:pos="567"/>
        </w:tabs>
        <w:spacing w:line="240" w:lineRule="auto"/>
        <w:rPr>
          <w:lang w:val="lt-LT"/>
        </w:rPr>
      </w:pPr>
    </w:p>
    <w:p w14:paraId="6AC57C01" w14:textId="77777777" w:rsidR="00E3770F" w:rsidRPr="0059462A" w:rsidRDefault="00E3770F" w:rsidP="00E3770F">
      <w:pPr>
        <w:tabs>
          <w:tab w:val="clear" w:pos="567"/>
        </w:tabs>
        <w:spacing w:line="240" w:lineRule="auto"/>
        <w:rPr>
          <w:lang w:val="lt-LT"/>
        </w:rPr>
      </w:pPr>
    </w:p>
    <w:p w14:paraId="35332F45"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13.</w:t>
      </w:r>
      <w:r w:rsidRPr="0059462A">
        <w:rPr>
          <w:b/>
          <w:lang w:val="lt-LT"/>
        </w:rPr>
        <w:tab/>
        <w:t>SERIJOS NUMERIS</w:t>
      </w:r>
    </w:p>
    <w:p w14:paraId="07A93C1E" w14:textId="77777777" w:rsidR="00E3770F" w:rsidRPr="0059462A" w:rsidRDefault="00E3770F" w:rsidP="00E3770F">
      <w:pPr>
        <w:tabs>
          <w:tab w:val="clear" w:pos="567"/>
        </w:tabs>
        <w:spacing w:line="240" w:lineRule="auto"/>
        <w:rPr>
          <w:lang w:val="lt-LT"/>
        </w:rPr>
      </w:pPr>
    </w:p>
    <w:p w14:paraId="0273FA68" w14:textId="77777777" w:rsidR="00E3770F" w:rsidRPr="00FB39A9" w:rsidRDefault="00E3770F" w:rsidP="00E3770F">
      <w:pPr>
        <w:spacing w:line="240" w:lineRule="auto"/>
        <w:rPr>
          <w:i/>
          <w:lang w:val="lt-LT"/>
        </w:rPr>
      </w:pPr>
      <w:r w:rsidRPr="00FB39A9">
        <w:rPr>
          <w:lang w:val="lt-LT"/>
        </w:rPr>
        <w:t>Lot</w:t>
      </w:r>
    </w:p>
    <w:p w14:paraId="365A2167" w14:textId="77777777" w:rsidR="00E3770F" w:rsidRPr="0059462A" w:rsidRDefault="00E3770F" w:rsidP="00E3770F">
      <w:pPr>
        <w:tabs>
          <w:tab w:val="clear" w:pos="567"/>
        </w:tabs>
        <w:spacing w:line="240" w:lineRule="auto"/>
        <w:rPr>
          <w:lang w:val="lt-LT"/>
        </w:rPr>
      </w:pPr>
    </w:p>
    <w:p w14:paraId="3AC03A0C" w14:textId="77777777" w:rsidR="00E3770F" w:rsidRPr="0059462A" w:rsidRDefault="00E3770F" w:rsidP="00E3770F">
      <w:pPr>
        <w:tabs>
          <w:tab w:val="clear" w:pos="567"/>
        </w:tabs>
        <w:spacing w:line="240" w:lineRule="auto"/>
        <w:rPr>
          <w:lang w:val="lt-LT"/>
        </w:rPr>
      </w:pPr>
    </w:p>
    <w:p w14:paraId="7B7FAFBA"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14.</w:t>
      </w:r>
      <w:r w:rsidRPr="0059462A">
        <w:rPr>
          <w:b/>
          <w:lang w:val="lt-LT"/>
        </w:rPr>
        <w:tab/>
        <w:t>PARDAVIMO (IŠDAVIMO)</w:t>
      </w:r>
      <w:r w:rsidRPr="00FB39A9">
        <w:rPr>
          <w:b/>
          <w:caps/>
          <w:lang w:val="lt-LT"/>
        </w:rPr>
        <w:t xml:space="preserve"> tvarka</w:t>
      </w:r>
    </w:p>
    <w:p w14:paraId="6C857CD0" w14:textId="77777777" w:rsidR="00E3770F" w:rsidRPr="0059462A" w:rsidRDefault="00E3770F" w:rsidP="00E3770F">
      <w:pPr>
        <w:tabs>
          <w:tab w:val="clear" w:pos="567"/>
        </w:tabs>
        <w:spacing w:line="240" w:lineRule="auto"/>
        <w:rPr>
          <w:lang w:val="lt-LT"/>
        </w:rPr>
      </w:pPr>
    </w:p>
    <w:p w14:paraId="58121658"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Receptinis vaist</w:t>
      </w:r>
      <w:r w:rsidRPr="00FB39A9">
        <w:rPr>
          <w:lang w:val="lt-LT"/>
        </w:rPr>
        <w:t>as.</w:t>
      </w:r>
    </w:p>
    <w:p w14:paraId="48F025A1" w14:textId="77777777" w:rsidR="00E3770F" w:rsidRPr="0059462A" w:rsidRDefault="00E3770F" w:rsidP="00E3770F">
      <w:pPr>
        <w:tabs>
          <w:tab w:val="clear" w:pos="567"/>
        </w:tabs>
        <w:spacing w:line="240" w:lineRule="auto"/>
        <w:rPr>
          <w:lang w:val="lt-LT"/>
        </w:rPr>
      </w:pPr>
    </w:p>
    <w:p w14:paraId="3FE06E66" w14:textId="77777777" w:rsidR="00E3770F" w:rsidRPr="0059462A" w:rsidRDefault="00E3770F" w:rsidP="00E3770F">
      <w:pPr>
        <w:tabs>
          <w:tab w:val="clear" w:pos="567"/>
        </w:tabs>
        <w:spacing w:line="240" w:lineRule="auto"/>
        <w:rPr>
          <w:lang w:val="lt-LT"/>
        </w:rPr>
      </w:pPr>
    </w:p>
    <w:p w14:paraId="1FF821E3"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15.</w:t>
      </w:r>
      <w:r w:rsidRPr="0059462A">
        <w:rPr>
          <w:b/>
          <w:lang w:val="lt-LT"/>
        </w:rPr>
        <w:tab/>
      </w:r>
      <w:r w:rsidRPr="0059462A">
        <w:rPr>
          <w:b/>
          <w:caps/>
          <w:lang w:val="lt-LT"/>
        </w:rPr>
        <w:t xml:space="preserve">vartojimo </w:t>
      </w:r>
      <w:r w:rsidRPr="00FB39A9">
        <w:rPr>
          <w:b/>
          <w:caps/>
          <w:lang w:val="lt-LT"/>
        </w:rPr>
        <w:t>instrukcijA</w:t>
      </w:r>
    </w:p>
    <w:p w14:paraId="0D38CB59" w14:textId="77777777" w:rsidR="00E3770F" w:rsidRPr="0059462A" w:rsidRDefault="00E3770F" w:rsidP="00E3770F">
      <w:pPr>
        <w:tabs>
          <w:tab w:val="clear" w:pos="567"/>
        </w:tabs>
        <w:spacing w:line="240" w:lineRule="auto"/>
        <w:rPr>
          <w:lang w:val="lt-LT"/>
        </w:rPr>
      </w:pPr>
    </w:p>
    <w:p w14:paraId="56DDCC8E" w14:textId="77777777" w:rsidR="00E3770F" w:rsidRPr="0059462A" w:rsidRDefault="00E3770F" w:rsidP="00E3770F">
      <w:pPr>
        <w:tabs>
          <w:tab w:val="clear" w:pos="567"/>
        </w:tabs>
        <w:spacing w:line="240" w:lineRule="auto"/>
        <w:rPr>
          <w:lang w:val="lt-LT"/>
        </w:rPr>
      </w:pPr>
    </w:p>
    <w:p w14:paraId="15FD3868"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16.</w:t>
      </w:r>
      <w:r w:rsidRPr="0059462A">
        <w:rPr>
          <w:b/>
          <w:lang w:val="lt-LT"/>
        </w:rPr>
        <w:tab/>
        <w:t>INFORMACIJA BRAILIO RAŠTU</w:t>
      </w:r>
    </w:p>
    <w:p w14:paraId="2E69B8F0" w14:textId="77777777" w:rsidR="00E3770F" w:rsidRPr="0059462A" w:rsidRDefault="00E3770F" w:rsidP="00E3770F">
      <w:pPr>
        <w:tabs>
          <w:tab w:val="clear" w:pos="567"/>
        </w:tabs>
        <w:spacing w:line="240" w:lineRule="auto"/>
        <w:rPr>
          <w:lang w:val="lt-LT"/>
        </w:rPr>
      </w:pPr>
    </w:p>
    <w:p w14:paraId="28E889C8"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Zemplar 1 mcg </w:t>
      </w:r>
    </w:p>
    <w:p w14:paraId="7BFA9924" w14:textId="77777777" w:rsidR="00E3770F" w:rsidRPr="0059462A" w:rsidRDefault="00E3770F" w:rsidP="00E3770F">
      <w:pPr>
        <w:tabs>
          <w:tab w:val="clear" w:pos="567"/>
        </w:tabs>
        <w:rPr>
          <w:szCs w:val="22"/>
          <w:lang w:val="lt-LT"/>
        </w:rPr>
      </w:pPr>
    </w:p>
    <w:p w14:paraId="57D1F1F6" w14:textId="77777777" w:rsidR="00E3770F" w:rsidRPr="0059462A" w:rsidRDefault="00E3770F" w:rsidP="00E3770F">
      <w:pPr>
        <w:tabs>
          <w:tab w:val="clear" w:pos="567"/>
        </w:tabs>
        <w:rPr>
          <w:szCs w:val="22"/>
          <w:lang w:val="lt-LT"/>
        </w:rPr>
      </w:pPr>
    </w:p>
    <w:p w14:paraId="2C3C5C2F" w14:textId="77777777" w:rsidR="00E3770F" w:rsidRPr="00FB39A9"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FB39A9">
        <w:rPr>
          <w:b/>
          <w:lang w:val="lt-LT"/>
        </w:rPr>
        <w:t>17.</w:t>
      </w:r>
      <w:r w:rsidRPr="00FB39A9">
        <w:rPr>
          <w:lang w:val="lt-LT"/>
        </w:rPr>
        <w:tab/>
      </w:r>
      <w:r w:rsidRPr="00FB39A9">
        <w:rPr>
          <w:b/>
          <w:lang w:val="lt-LT"/>
        </w:rPr>
        <w:t>UNIKALUS IDENTIFIKATORIUS – 2D BRŪKŠNINIS KODAS</w:t>
      </w:r>
    </w:p>
    <w:p w14:paraId="22A94D8B" w14:textId="77777777" w:rsidR="00E3770F" w:rsidRPr="00FB39A9" w:rsidRDefault="00E3770F" w:rsidP="00E3770F">
      <w:pPr>
        <w:spacing w:line="240" w:lineRule="auto"/>
        <w:rPr>
          <w:highlight w:val="lightGray"/>
          <w:lang w:val="lt-LT"/>
        </w:rPr>
      </w:pPr>
    </w:p>
    <w:p w14:paraId="54109880" w14:textId="77777777" w:rsidR="00E3770F" w:rsidRPr="00FB39A9" w:rsidRDefault="00E3770F" w:rsidP="00E3770F">
      <w:pPr>
        <w:spacing w:line="240" w:lineRule="auto"/>
        <w:rPr>
          <w:shd w:val="clear" w:color="auto" w:fill="CCCCCC"/>
          <w:lang w:val="lt-LT"/>
        </w:rPr>
      </w:pPr>
      <w:r w:rsidRPr="00FB39A9">
        <w:rPr>
          <w:highlight w:val="lightGray"/>
          <w:lang w:val="lt-LT"/>
        </w:rPr>
        <w:t>2D brūkšninis kodas su nurodytu unikaliu identifikatoriumi.</w:t>
      </w:r>
    </w:p>
    <w:p w14:paraId="1BB73986" w14:textId="77777777" w:rsidR="00E3770F" w:rsidRPr="00FB39A9" w:rsidRDefault="00E3770F" w:rsidP="00E3770F">
      <w:pPr>
        <w:tabs>
          <w:tab w:val="clear" w:pos="567"/>
        </w:tabs>
        <w:spacing w:line="240" w:lineRule="auto"/>
        <w:rPr>
          <w:lang w:val="lt-LT"/>
        </w:rPr>
      </w:pPr>
    </w:p>
    <w:p w14:paraId="5F26870B" w14:textId="77777777" w:rsidR="00E3770F" w:rsidRPr="00FB39A9" w:rsidRDefault="00E3770F" w:rsidP="00E3770F">
      <w:pPr>
        <w:tabs>
          <w:tab w:val="clear" w:pos="567"/>
        </w:tabs>
        <w:spacing w:line="240" w:lineRule="auto"/>
        <w:rPr>
          <w:lang w:val="lt-LT"/>
        </w:rPr>
      </w:pPr>
    </w:p>
    <w:p w14:paraId="6417A821" w14:textId="77777777" w:rsidR="00E3770F" w:rsidRPr="00FB39A9"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FB39A9">
        <w:rPr>
          <w:b/>
          <w:lang w:val="lt-LT"/>
        </w:rPr>
        <w:t>18.</w:t>
      </w:r>
      <w:r w:rsidRPr="00FB39A9">
        <w:rPr>
          <w:lang w:val="lt-LT"/>
        </w:rPr>
        <w:tab/>
      </w:r>
      <w:r w:rsidRPr="00FB39A9">
        <w:rPr>
          <w:b/>
          <w:lang w:val="lt-LT"/>
        </w:rPr>
        <w:t>UNIKALUS IDENTIFIKATORIUS – ŽMONĖMS SUPRANTAMI DUOMENYS</w:t>
      </w:r>
    </w:p>
    <w:p w14:paraId="7A99F2D8" w14:textId="77777777" w:rsidR="00E3770F" w:rsidRPr="00FB39A9" w:rsidRDefault="00E3770F" w:rsidP="00E3770F">
      <w:pPr>
        <w:tabs>
          <w:tab w:val="clear" w:pos="567"/>
        </w:tabs>
        <w:spacing w:line="240" w:lineRule="auto"/>
        <w:rPr>
          <w:lang w:val="lt-LT"/>
        </w:rPr>
      </w:pPr>
    </w:p>
    <w:p w14:paraId="7F064825" w14:textId="77777777" w:rsidR="00E3770F" w:rsidRPr="00FB39A9" w:rsidRDefault="00E3770F" w:rsidP="00E3770F">
      <w:pPr>
        <w:rPr>
          <w:color w:val="008000"/>
          <w:lang w:val="lt-LT"/>
        </w:rPr>
      </w:pPr>
      <w:r w:rsidRPr="00FB39A9">
        <w:rPr>
          <w:lang w:val="lt-LT"/>
        </w:rPr>
        <w:t>PC</w:t>
      </w:r>
    </w:p>
    <w:p w14:paraId="2F0AA110" w14:textId="77777777" w:rsidR="00E3770F" w:rsidRPr="00FB39A9" w:rsidRDefault="00E3770F" w:rsidP="00E3770F">
      <w:pPr>
        <w:rPr>
          <w:lang w:val="lt-LT"/>
        </w:rPr>
      </w:pPr>
      <w:r w:rsidRPr="00FB39A9">
        <w:rPr>
          <w:lang w:val="lt-LT"/>
        </w:rPr>
        <w:t>SN</w:t>
      </w:r>
    </w:p>
    <w:p w14:paraId="45D1B2C3" w14:textId="77777777" w:rsidR="00E3770F" w:rsidRPr="00FB39A9" w:rsidRDefault="00E3770F" w:rsidP="00E3770F">
      <w:pPr>
        <w:rPr>
          <w:lang w:val="lt-LT"/>
        </w:rPr>
      </w:pPr>
      <w:r w:rsidRPr="00FB39A9">
        <w:rPr>
          <w:highlight w:val="lightGray"/>
          <w:lang w:val="lt-LT"/>
        </w:rPr>
        <w:t>NN</w:t>
      </w:r>
    </w:p>
    <w:p w14:paraId="18C3B56A" w14:textId="77777777" w:rsidR="00E3770F" w:rsidRPr="0059462A" w:rsidRDefault="00E3770F" w:rsidP="00E3770F">
      <w:pPr>
        <w:rPr>
          <w:noProof/>
          <w:szCs w:val="22"/>
          <w:lang w:val="lt-LT"/>
        </w:rPr>
      </w:pPr>
    </w:p>
    <w:p w14:paraId="27135D6E" w14:textId="77777777" w:rsidR="00E3770F" w:rsidRPr="0059462A" w:rsidRDefault="00E3770F" w:rsidP="00E3770F">
      <w:pPr>
        <w:shd w:val="clear" w:color="auto" w:fill="FFFFFF"/>
        <w:tabs>
          <w:tab w:val="clear" w:pos="567"/>
        </w:tabs>
        <w:spacing w:line="240" w:lineRule="auto"/>
        <w:rPr>
          <w:lang w:val="lt-LT"/>
        </w:rPr>
      </w:pPr>
      <w:r w:rsidRPr="0059462A">
        <w:rPr>
          <w:b/>
          <w:lang w:val="lt-LT"/>
        </w:rPr>
        <w:br w:type="page"/>
      </w:r>
    </w:p>
    <w:p w14:paraId="2CF40819"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rFonts w:asciiTheme="minorHAnsi" w:eastAsiaTheme="minorHAnsi" w:hAnsiTheme="minorHAnsi" w:cstheme="minorBidi"/>
          <w:b/>
          <w:szCs w:val="22"/>
          <w:lang w:val="lt-LT"/>
        </w:rPr>
      </w:pPr>
      <w:r w:rsidRPr="0059462A">
        <w:rPr>
          <w:b/>
          <w:lang w:val="lt-LT"/>
        </w:rPr>
        <w:lastRenderedPageBreak/>
        <w:t>INFORMACIJA ANT IŠORINĖS IR VIDINĖS PAKUOTĖS</w:t>
      </w:r>
    </w:p>
    <w:p w14:paraId="28E77755"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52D9BFF6"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lt-LT"/>
        </w:rPr>
      </w:pPr>
      <w:r w:rsidRPr="0059462A">
        <w:rPr>
          <w:b/>
          <w:szCs w:val="22"/>
          <w:lang w:val="lt-LT"/>
        </w:rPr>
        <w:t>DTPE BUTELIUKO KARTONINĖ DĖŽUTĖ IR ETIKETĖ</w:t>
      </w:r>
    </w:p>
    <w:p w14:paraId="06A6102B" w14:textId="77777777" w:rsidR="00E3770F" w:rsidRPr="0059462A" w:rsidRDefault="00E3770F" w:rsidP="00E3770F">
      <w:pPr>
        <w:tabs>
          <w:tab w:val="clear" w:pos="567"/>
        </w:tabs>
        <w:spacing w:line="240" w:lineRule="auto"/>
        <w:rPr>
          <w:lang w:val="lt-LT"/>
        </w:rPr>
      </w:pPr>
    </w:p>
    <w:p w14:paraId="2BC70642" w14:textId="77777777" w:rsidR="00E3770F" w:rsidRPr="0059462A" w:rsidRDefault="00E3770F" w:rsidP="00E3770F">
      <w:pPr>
        <w:tabs>
          <w:tab w:val="clear" w:pos="567"/>
        </w:tabs>
        <w:spacing w:line="240" w:lineRule="auto"/>
        <w:rPr>
          <w:lang w:val="lt-LT"/>
        </w:rPr>
      </w:pPr>
    </w:p>
    <w:p w14:paraId="0D47D424"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1.</w:t>
      </w:r>
      <w:r w:rsidRPr="0059462A">
        <w:rPr>
          <w:b/>
          <w:lang w:val="lt-LT"/>
        </w:rPr>
        <w:tab/>
        <w:t>VAISTINIO PREPARATO PAVADINIMAS</w:t>
      </w:r>
    </w:p>
    <w:p w14:paraId="17A22B78" w14:textId="77777777" w:rsidR="00E3770F" w:rsidRPr="0059462A" w:rsidRDefault="00E3770F" w:rsidP="00E3770F">
      <w:pPr>
        <w:tabs>
          <w:tab w:val="clear" w:pos="567"/>
        </w:tabs>
        <w:spacing w:line="240" w:lineRule="auto"/>
        <w:rPr>
          <w:lang w:val="lt-LT"/>
        </w:rPr>
      </w:pPr>
    </w:p>
    <w:p w14:paraId="436A4B86" w14:textId="77777777" w:rsidR="00E3770F" w:rsidRPr="0059462A" w:rsidRDefault="00E3770F" w:rsidP="00E3770F">
      <w:pPr>
        <w:rPr>
          <w:rFonts w:asciiTheme="minorHAnsi" w:eastAsiaTheme="minorHAnsi" w:hAnsiTheme="minorHAnsi" w:cstheme="minorBidi"/>
          <w:szCs w:val="22"/>
          <w:lang w:val="lt-LT"/>
        </w:rPr>
      </w:pPr>
      <w:r w:rsidRPr="0059462A">
        <w:rPr>
          <w:lang w:val="lt-LT"/>
        </w:rPr>
        <w:t>Zemplar 1 mikrogramas minkštosios kapsulės</w:t>
      </w:r>
    </w:p>
    <w:p w14:paraId="5FE01E9B" w14:textId="77777777" w:rsidR="00E3770F" w:rsidRPr="0059462A" w:rsidRDefault="00E3770F" w:rsidP="00E3770F">
      <w:pPr>
        <w:rPr>
          <w:rFonts w:asciiTheme="minorHAnsi" w:eastAsiaTheme="minorHAnsi" w:hAnsiTheme="minorHAnsi" w:cstheme="minorBidi"/>
          <w:szCs w:val="22"/>
          <w:lang w:val="lt-LT"/>
        </w:rPr>
      </w:pPr>
      <w:r>
        <w:rPr>
          <w:lang w:val="lt-LT"/>
        </w:rPr>
        <w:t>p</w:t>
      </w:r>
      <w:r w:rsidRPr="0059462A">
        <w:rPr>
          <w:lang w:val="lt-LT"/>
        </w:rPr>
        <w:t>aricalcitolum</w:t>
      </w:r>
    </w:p>
    <w:p w14:paraId="340312BA" w14:textId="77777777" w:rsidR="00E3770F" w:rsidRPr="0059462A" w:rsidRDefault="00E3770F" w:rsidP="00E3770F">
      <w:pPr>
        <w:tabs>
          <w:tab w:val="clear" w:pos="567"/>
        </w:tabs>
        <w:spacing w:line="240" w:lineRule="auto"/>
        <w:rPr>
          <w:lang w:val="lt-LT"/>
        </w:rPr>
      </w:pPr>
    </w:p>
    <w:p w14:paraId="74F22B0E" w14:textId="77777777" w:rsidR="00E3770F" w:rsidRPr="0059462A" w:rsidRDefault="00E3770F" w:rsidP="00E3770F">
      <w:pPr>
        <w:tabs>
          <w:tab w:val="clear" w:pos="567"/>
        </w:tabs>
        <w:rPr>
          <w:lang w:val="lt-LT"/>
        </w:rPr>
      </w:pPr>
    </w:p>
    <w:p w14:paraId="096AAEDA"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59462A">
        <w:rPr>
          <w:b/>
          <w:lang w:val="lt-LT"/>
        </w:rPr>
        <w:t>2.</w:t>
      </w:r>
      <w:r w:rsidRPr="0059462A">
        <w:rPr>
          <w:b/>
          <w:lang w:val="lt-LT"/>
        </w:rPr>
        <w:tab/>
        <w:t>VEIKLIOJI (-IOS) MEDŽIAGA (-OS) IR JOS (-Ų) KIEKIS (-IAI)</w:t>
      </w:r>
    </w:p>
    <w:p w14:paraId="5CC290EC" w14:textId="77777777" w:rsidR="00E3770F" w:rsidRPr="0059462A" w:rsidRDefault="00E3770F" w:rsidP="00E3770F">
      <w:pPr>
        <w:tabs>
          <w:tab w:val="clear" w:pos="567"/>
        </w:tabs>
        <w:spacing w:line="240" w:lineRule="auto"/>
        <w:rPr>
          <w:lang w:val="lt-LT"/>
        </w:rPr>
      </w:pPr>
    </w:p>
    <w:p w14:paraId="2F3EA2A0" w14:textId="77777777" w:rsidR="00E3770F" w:rsidRPr="0059462A" w:rsidRDefault="00E3770F" w:rsidP="00E3770F">
      <w:pPr>
        <w:rPr>
          <w:lang w:val="lt-LT"/>
        </w:rPr>
      </w:pPr>
      <w:r w:rsidRPr="0059462A">
        <w:rPr>
          <w:lang w:val="lt-LT"/>
        </w:rPr>
        <w:t>Kiekvienoje minkštojoje kapsulėje yra 1 mikrogramas parikalcitolio.</w:t>
      </w:r>
    </w:p>
    <w:p w14:paraId="10F19564" w14:textId="77777777" w:rsidR="00E3770F" w:rsidRPr="0059462A" w:rsidRDefault="00E3770F" w:rsidP="00E3770F">
      <w:pPr>
        <w:tabs>
          <w:tab w:val="clear" w:pos="567"/>
        </w:tabs>
        <w:spacing w:line="240" w:lineRule="auto"/>
        <w:rPr>
          <w:lang w:val="lt-LT"/>
        </w:rPr>
      </w:pPr>
    </w:p>
    <w:p w14:paraId="1EFCD8D3" w14:textId="77777777" w:rsidR="00E3770F" w:rsidRPr="0059462A" w:rsidRDefault="00E3770F" w:rsidP="00E3770F">
      <w:pPr>
        <w:tabs>
          <w:tab w:val="clear" w:pos="567"/>
        </w:tabs>
        <w:spacing w:line="240" w:lineRule="auto"/>
        <w:rPr>
          <w:lang w:val="lt-LT"/>
        </w:rPr>
      </w:pPr>
    </w:p>
    <w:p w14:paraId="6516D2AB"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3.</w:t>
      </w:r>
      <w:r w:rsidRPr="0059462A">
        <w:rPr>
          <w:b/>
          <w:lang w:val="lt-LT"/>
        </w:rPr>
        <w:tab/>
        <w:t>PAGALBINIŲ MEDŽIAGŲ SĄRAŠAS</w:t>
      </w:r>
    </w:p>
    <w:p w14:paraId="379CD6EB" w14:textId="77777777" w:rsidR="00E3770F" w:rsidRPr="0059462A" w:rsidRDefault="00E3770F" w:rsidP="00E3770F">
      <w:pPr>
        <w:pStyle w:val="Pagrindinistekstas"/>
        <w:rPr>
          <w:lang w:val="lt-LT"/>
        </w:rPr>
      </w:pPr>
    </w:p>
    <w:p w14:paraId="16EDC553" w14:textId="77777777" w:rsidR="00E3770F" w:rsidRPr="0059462A" w:rsidRDefault="00E3770F" w:rsidP="00E3770F">
      <w:pPr>
        <w:pStyle w:val="Pagrindinistekstas"/>
        <w:rPr>
          <w:lang w:val="lt-LT"/>
        </w:rPr>
      </w:pPr>
      <w:r w:rsidRPr="0059462A">
        <w:rPr>
          <w:i w:val="0"/>
          <w:color w:val="auto"/>
          <w:lang w:val="lt-LT"/>
        </w:rPr>
        <w:t>Šiame vaistiniame preparate yra nedidelis kiekis etanolio (alkoholio): mažiau nei 100 mg vienoje 1 mikrogramo kapsulėje.</w:t>
      </w:r>
    </w:p>
    <w:p w14:paraId="3AB7AD5C" w14:textId="77777777" w:rsidR="00E3770F" w:rsidRPr="0059462A" w:rsidRDefault="00E3770F" w:rsidP="00E3770F">
      <w:pPr>
        <w:pStyle w:val="Pagrindinistekstas"/>
        <w:rPr>
          <w:lang w:val="lt-LT"/>
        </w:rPr>
      </w:pPr>
    </w:p>
    <w:p w14:paraId="338282B5" w14:textId="77777777" w:rsidR="00E3770F" w:rsidRPr="0059462A" w:rsidRDefault="00E3770F" w:rsidP="00E3770F">
      <w:pPr>
        <w:pStyle w:val="Pagrindinistekstas"/>
        <w:rPr>
          <w:lang w:val="lt-LT"/>
        </w:rPr>
      </w:pPr>
      <w:r w:rsidRPr="0059462A">
        <w:rPr>
          <w:i w:val="0"/>
          <w:color w:val="auto"/>
          <w:lang w:val="lt-LT"/>
        </w:rPr>
        <w:t>Daugiau informacijos pateikiama pakuotės lapelyje.</w:t>
      </w:r>
    </w:p>
    <w:p w14:paraId="30DD1CE4" w14:textId="77777777" w:rsidR="00E3770F" w:rsidRPr="0059462A" w:rsidRDefault="00E3770F" w:rsidP="00E3770F">
      <w:pPr>
        <w:pStyle w:val="Pagrindinistekstas"/>
        <w:rPr>
          <w:lang w:val="lt-LT"/>
        </w:rPr>
      </w:pPr>
    </w:p>
    <w:p w14:paraId="2DAA2714" w14:textId="77777777" w:rsidR="00E3770F" w:rsidRPr="0059462A" w:rsidRDefault="00E3770F" w:rsidP="00E3770F">
      <w:pPr>
        <w:rPr>
          <w:lang w:val="lt-LT"/>
        </w:rPr>
      </w:pPr>
    </w:p>
    <w:p w14:paraId="73A9F258"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w:t>
      </w:r>
      <w:r w:rsidRPr="0059462A">
        <w:rPr>
          <w:b/>
          <w:lang w:val="lt-LT"/>
        </w:rPr>
        <w:tab/>
        <w:t>FARMACINĖ FORMA IR KIEKIS PAKUOTĖJE</w:t>
      </w:r>
    </w:p>
    <w:p w14:paraId="59C31021"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p>
    <w:p w14:paraId="2B4EAD10"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r w:rsidRPr="0059462A">
        <w:rPr>
          <w:sz w:val="22"/>
          <w:lang w:val="lt-LT"/>
        </w:rPr>
        <w:t>30 minkštųjų kapsulių</w:t>
      </w:r>
    </w:p>
    <w:p w14:paraId="045207F2" w14:textId="77777777" w:rsidR="00E3770F" w:rsidRPr="0059462A" w:rsidRDefault="00E3770F" w:rsidP="00E3770F">
      <w:pPr>
        <w:rPr>
          <w:lang w:val="lt-LT"/>
        </w:rPr>
      </w:pPr>
    </w:p>
    <w:p w14:paraId="5A078D2E" w14:textId="77777777" w:rsidR="00E3770F" w:rsidRPr="0059462A" w:rsidRDefault="00E3770F" w:rsidP="00E3770F">
      <w:pPr>
        <w:rPr>
          <w:lang w:val="lt-LT"/>
        </w:rPr>
      </w:pPr>
    </w:p>
    <w:p w14:paraId="6EBFF560"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5.</w:t>
      </w:r>
      <w:r w:rsidRPr="0059462A">
        <w:rPr>
          <w:b/>
          <w:lang w:val="lt-LT"/>
        </w:rPr>
        <w:tab/>
        <w:t>VARTOJIMO METODAS IR BŪDAS (-AI)</w:t>
      </w:r>
    </w:p>
    <w:p w14:paraId="553551A5" w14:textId="77777777" w:rsidR="00E3770F" w:rsidRPr="0059462A" w:rsidRDefault="00E3770F" w:rsidP="00E3770F">
      <w:pPr>
        <w:tabs>
          <w:tab w:val="clear" w:pos="567"/>
        </w:tabs>
        <w:spacing w:line="240" w:lineRule="auto"/>
        <w:rPr>
          <w:i/>
          <w:lang w:val="lt-LT"/>
        </w:rPr>
      </w:pPr>
    </w:p>
    <w:p w14:paraId="798A04D3" w14:textId="77777777" w:rsidR="00E3770F" w:rsidRPr="0059462A" w:rsidRDefault="00E3770F" w:rsidP="00E3770F">
      <w:pPr>
        <w:tabs>
          <w:tab w:val="clear" w:pos="567"/>
        </w:tabs>
        <w:spacing w:line="240" w:lineRule="auto"/>
        <w:rPr>
          <w:rFonts w:asciiTheme="minorHAnsi" w:eastAsiaTheme="minorHAnsi" w:hAnsiTheme="minorHAnsi" w:cstheme="minorBidi"/>
          <w:szCs w:val="22"/>
          <w:lang w:val="lt-LT"/>
        </w:rPr>
      </w:pPr>
      <w:r w:rsidRPr="0059462A">
        <w:rPr>
          <w:lang w:val="lt-LT"/>
        </w:rPr>
        <w:t>Vartoti per burną.</w:t>
      </w:r>
    </w:p>
    <w:p w14:paraId="3EE80358" w14:textId="77777777" w:rsidR="00E3770F" w:rsidRPr="0059462A" w:rsidRDefault="00E3770F" w:rsidP="00E3770F">
      <w:pPr>
        <w:tabs>
          <w:tab w:val="clear" w:pos="567"/>
        </w:tabs>
        <w:spacing w:line="240" w:lineRule="auto"/>
        <w:rPr>
          <w:lang w:val="lt-LT"/>
        </w:rPr>
      </w:pPr>
    </w:p>
    <w:p w14:paraId="65D52800" w14:textId="77777777" w:rsidR="00E3770F" w:rsidRPr="0059462A" w:rsidRDefault="00E3770F" w:rsidP="00E3770F">
      <w:pPr>
        <w:tabs>
          <w:tab w:val="clear" w:pos="567"/>
        </w:tabs>
        <w:spacing w:line="240" w:lineRule="auto"/>
        <w:rPr>
          <w:rFonts w:asciiTheme="minorHAnsi" w:eastAsiaTheme="minorHAnsi" w:hAnsiTheme="minorHAnsi" w:cstheme="minorBidi"/>
          <w:szCs w:val="22"/>
          <w:lang w:val="lt-LT"/>
        </w:rPr>
      </w:pPr>
      <w:r w:rsidRPr="0059462A">
        <w:rPr>
          <w:lang w:val="lt-LT"/>
        </w:rPr>
        <w:t>Prieš vartojimą perskaitykite pakuotės lapelį.</w:t>
      </w:r>
    </w:p>
    <w:p w14:paraId="3D6C6A75" w14:textId="77777777" w:rsidR="00E3770F" w:rsidRPr="0059462A" w:rsidRDefault="00E3770F" w:rsidP="00E3770F">
      <w:pPr>
        <w:tabs>
          <w:tab w:val="clear" w:pos="567"/>
        </w:tabs>
        <w:spacing w:line="240" w:lineRule="auto"/>
        <w:rPr>
          <w:lang w:val="lt-LT"/>
        </w:rPr>
      </w:pPr>
    </w:p>
    <w:p w14:paraId="033CD7E9" w14:textId="77777777" w:rsidR="00E3770F" w:rsidRPr="0059462A" w:rsidRDefault="00E3770F" w:rsidP="00E3770F">
      <w:pPr>
        <w:tabs>
          <w:tab w:val="clear" w:pos="567"/>
        </w:tabs>
        <w:spacing w:line="240" w:lineRule="auto"/>
        <w:rPr>
          <w:lang w:val="lt-LT"/>
        </w:rPr>
      </w:pPr>
    </w:p>
    <w:p w14:paraId="5033AB1C" w14:textId="77777777" w:rsidR="00E3770F" w:rsidRPr="0059462A" w:rsidRDefault="00E3770F" w:rsidP="00E3770F">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6.</w:t>
      </w:r>
      <w:r w:rsidRPr="0059462A">
        <w:rPr>
          <w:b/>
          <w:lang w:val="lt-LT"/>
        </w:rPr>
        <w:tab/>
        <w:t>SPECIALUS ĮSPĖJIMAS, KAD VAISTINĮ PREPARATĄ BŪTINA LAIKYTI VAIKAMS NEPASTEBIMOJE IR NEPASIEKIAMOJE VIETOJE</w:t>
      </w:r>
    </w:p>
    <w:p w14:paraId="6938241E" w14:textId="77777777" w:rsidR="00E3770F" w:rsidRPr="0059462A" w:rsidRDefault="00E3770F" w:rsidP="00E3770F">
      <w:pPr>
        <w:tabs>
          <w:tab w:val="clear" w:pos="567"/>
        </w:tabs>
        <w:spacing w:line="240" w:lineRule="auto"/>
        <w:rPr>
          <w:lang w:val="lt-LT"/>
        </w:rPr>
      </w:pPr>
    </w:p>
    <w:p w14:paraId="29CE86AA" w14:textId="77777777" w:rsidR="00E3770F" w:rsidRPr="0059462A" w:rsidRDefault="00E3770F" w:rsidP="00E3770F">
      <w:pPr>
        <w:pStyle w:val="Pagrindinistekstas"/>
        <w:rPr>
          <w:lang w:val="lt-LT"/>
        </w:rPr>
      </w:pPr>
      <w:r w:rsidRPr="0059462A">
        <w:rPr>
          <w:i w:val="0"/>
          <w:color w:val="auto"/>
          <w:lang w:val="lt-LT"/>
        </w:rPr>
        <w:t>Laikyti vaikams nepastebimoje ir nepasiekiamoje vietoje.</w:t>
      </w:r>
    </w:p>
    <w:p w14:paraId="7310F395" w14:textId="77777777" w:rsidR="00E3770F" w:rsidRPr="0059462A" w:rsidRDefault="00E3770F" w:rsidP="00E3770F">
      <w:pPr>
        <w:tabs>
          <w:tab w:val="clear" w:pos="567"/>
        </w:tabs>
        <w:spacing w:line="240" w:lineRule="auto"/>
        <w:rPr>
          <w:lang w:val="lt-LT"/>
        </w:rPr>
      </w:pPr>
    </w:p>
    <w:p w14:paraId="6C5D946F" w14:textId="77777777" w:rsidR="00E3770F" w:rsidRPr="0059462A" w:rsidRDefault="00E3770F" w:rsidP="00E3770F">
      <w:pPr>
        <w:tabs>
          <w:tab w:val="clear" w:pos="567"/>
        </w:tabs>
        <w:spacing w:line="240" w:lineRule="auto"/>
        <w:rPr>
          <w:lang w:val="lt-LT"/>
        </w:rPr>
      </w:pPr>
    </w:p>
    <w:p w14:paraId="5D146986"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7.</w:t>
      </w:r>
      <w:r w:rsidRPr="0059462A">
        <w:rPr>
          <w:b/>
          <w:lang w:val="lt-LT"/>
        </w:rPr>
        <w:tab/>
        <w:t>KITAS (-I) SPECIALUS (-ŪS) ĮSPĖJIMAS (-A</w:t>
      </w:r>
      <w:r w:rsidRPr="00FB39A9">
        <w:rPr>
          <w:b/>
          <w:lang w:val="lt-LT"/>
        </w:rPr>
        <w:t>I) (JEI REIKIA)</w:t>
      </w:r>
    </w:p>
    <w:p w14:paraId="7321159D" w14:textId="77777777" w:rsidR="00E3770F" w:rsidRPr="0059462A" w:rsidRDefault="00E3770F" w:rsidP="00E3770F">
      <w:pPr>
        <w:tabs>
          <w:tab w:val="clear" w:pos="567"/>
        </w:tabs>
        <w:spacing w:line="240" w:lineRule="auto"/>
        <w:rPr>
          <w:lang w:val="lt-LT"/>
        </w:rPr>
      </w:pPr>
    </w:p>
    <w:p w14:paraId="5747235E" w14:textId="77777777" w:rsidR="00E3770F" w:rsidRPr="0059462A" w:rsidRDefault="00E3770F" w:rsidP="00E3770F">
      <w:pPr>
        <w:tabs>
          <w:tab w:val="clear" w:pos="567"/>
        </w:tabs>
        <w:spacing w:line="240" w:lineRule="auto"/>
        <w:rPr>
          <w:lang w:val="lt-LT"/>
        </w:rPr>
      </w:pPr>
    </w:p>
    <w:p w14:paraId="5F24A663"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8.</w:t>
      </w:r>
      <w:r w:rsidRPr="0059462A">
        <w:rPr>
          <w:b/>
          <w:lang w:val="lt-LT"/>
        </w:rPr>
        <w:tab/>
        <w:t>TINKAMUMO LAIKAS</w:t>
      </w:r>
    </w:p>
    <w:p w14:paraId="1C100A9E" w14:textId="77777777" w:rsidR="00E3770F" w:rsidRPr="0059462A" w:rsidRDefault="00E3770F" w:rsidP="00E3770F">
      <w:pPr>
        <w:tabs>
          <w:tab w:val="clear" w:pos="567"/>
        </w:tabs>
        <w:spacing w:line="240" w:lineRule="auto"/>
        <w:rPr>
          <w:lang w:val="lt-LT"/>
        </w:rPr>
      </w:pPr>
    </w:p>
    <w:p w14:paraId="2E742365" w14:textId="77777777" w:rsidR="00E3770F" w:rsidRPr="0059462A" w:rsidRDefault="00E3770F" w:rsidP="00E3770F">
      <w:pPr>
        <w:spacing w:line="240" w:lineRule="auto"/>
        <w:rPr>
          <w:lang w:val="lt-LT"/>
        </w:rPr>
      </w:pPr>
      <w:r w:rsidRPr="00FB39A9">
        <w:rPr>
          <w:lang w:val="lt-LT"/>
        </w:rPr>
        <w:t xml:space="preserve">EXP </w:t>
      </w:r>
      <w:r w:rsidRPr="0059462A">
        <w:rPr>
          <w:lang w:val="lt-LT"/>
        </w:rPr>
        <w:t>(mm/MMMM)</w:t>
      </w:r>
    </w:p>
    <w:p w14:paraId="387EA4EC" w14:textId="77777777" w:rsidR="00E3770F" w:rsidRPr="0059462A" w:rsidRDefault="00E3770F" w:rsidP="00E3770F">
      <w:pPr>
        <w:tabs>
          <w:tab w:val="clear" w:pos="567"/>
        </w:tabs>
        <w:spacing w:line="240" w:lineRule="auto"/>
        <w:rPr>
          <w:lang w:val="lt-LT"/>
        </w:rPr>
      </w:pPr>
    </w:p>
    <w:p w14:paraId="6D89B34B" w14:textId="77777777" w:rsidR="00E3770F" w:rsidRPr="0059462A" w:rsidRDefault="00E3770F" w:rsidP="00E3770F">
      <w:pPr>
        <w:tabs>
          <w:tab w:val="clear" w:pos="567"/>
        </w:tabs>
        <w:spacing w:line="240" w:lineRule="auto"/>
        <w:rPr>
          <w:lang w:val="lt-LT"/>
        </w:rPr>
      </w:pPr>
    </w:p>
    <w:p w14:paraId="56B041FA"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9.</w:t>
      </w:r>
      <w:r w:rsidRPr="0059462A">
        <w:rPr>
          <w:b/>
          <w:lang w:val="lt-LT"/>
        </w:rPr>
        <w:tab/>
      </w:r>
      <w:r w:rsidRPr="0059462A">
        <w:rPr>
          <w:b/>
          <w:caps/>
          <w:lang w:val="lt-LT"/>
        </w:rPr>
        <w:t>SPECIALIOS laikymo sąlygos</w:t>
      </w:r>
    </w:p>
    <w:p w14:paraId="42DFE5DE" w14:textId="77777777" w:rsidR="00E3770F" w:rsidRPr="0059462A" w:rsidRDefault="00E3770F" w:rsidP="00E3770F">
      <w:pPr>
        <w:tabs>
          <w:tab w:val="clear" w:pos="567"/>
        </w:tabs>
        <w:spacing w:line="240" w:lineRule="auto"/>
        <w:ind w:left="567" w:hanging="567"/>
        <w:rPr>
          <w:lang w:val="lt-LT"/>
        </w:rPr>
      </w:pPr>
    </w:p>
    <w:p w14:paraId="22824B85" w14:textId="77777777" w:rsidR="00E3770F" w:rsidRPr="0059462A" w:rsidRDefault="00E3770F" w:rsidP="00E3770F">
      <w:pPr>
        <w:tabs>
          <w:tab w:val="clear" w:pos="567"/>
        </w:tabs>
        <w:spacing w:line="240" w:lineRule="auto"/>
        <w:ind w:left="567" w:hanging="567"/>
        <w:rPr>
          <w:lang w:val="lt-LT"/>
        </w:rPr>
      </w:pPr>
    </w:p>
    <w:p w14:paraId="7B97E6EF"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59462A">
        <w:rPr>
          <w:b/>
          <w:lang w:val="lt-LT"/>
        </w:rPr>
        <w:lastRenderedPageBreak/>
        <w:t>10.</w:t>
      </w:r>
      <w:r w:rsidRPr="0059462A">
        <w:rPr>
          <w:b/>
          <w:lang w:val="lt-LT"/>
        </w:rPr>
        <w:tab/>
      </w:r>
      <w:r w:rsidRPr="0059462A">
        <w:rPr>
          <w:b/>
          <w:caps/>
          <w:lang w:val="lt-LT"/>
        </w:rPr>
        <w:t>specialios atsargumo priemonės DĖL NESUVARTOTO VAISTINIO PREPARATO AR JO ATLIEK</w:t>
      </w:r>
      <w:r w:rsidRPr="00FB39A9">
        <w:rPr>
          <w:b/>
          <w:lang w:val="lt-LT"/>
        </w:rPr>
        <w:t>Ų</w:t>
      </w:r>
      <w:r w:rsidRPr="0059462A">
        <w:rPr>
          <w:caps/>
          <w:lang w:val="lt-LT"/>
        </w:rPr>
        <w:t xml:space="preserve"> </w:t>
      </w:r>
      <w:r w:rsidRPr="0059462A">
        <w:rPr>
          <w:b/>
          <w:caps/>
          <w:lang w:val="lt-LT"/>
        </w:rPr>
        <w:t>TVARKYMO (jei reikia)</w:t>
      </w:r>
    </w:p>
    <w:p w14:paraId="0D8352D1" w14:textId="77777777" w:rsidR="00E3770F" w:rsidRPr="0059462A" w:rsidRDefault="00E3770F" w:rsidP="00E3770F">
      <w:pPr>
        <w:tabs>
          <w:tab w:val="clear" w:pos="567"/>
        </w:tabs>
        <w:spacing w:line="240" w:lineRule="auto"/>
        <w:rPr>
          <w:lang w:val="lt-LT"/>
        </w:rPr>
      </w:pPr>
    </w:p>
    <w:p w14:paraId="020CD64D" w14:textId="77777777" w:rsidR="00E3770F" w:rsidRPr="0059462A" w:rsidRDefault="00E3770F" w:rsidP="00E3770F">
      <w:pPr>
        <w:tabs>
          <w:tab w:val="clear" w:pos="567"/>
        </w:tabs>
        <w:spacing w:line="240" w:lineRule="auto"/>
        <w:rPr>
          <w:lang w:val="lt-LT"/>
        </w:rPr>
      </w:pPr>
    </w:p>
    <w:p w14:paraId="4185E831"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b/>
          <w:szCs w:val="22"/>
          <w:lang w:val="lt-LT"/>
        </w:rPr>
      </w:pPr>
      <w:r w:rsidRPr="0059462A">
        <w:rPr>
          <w:b/>
          <w:lang w:val="lt-LT"/>
        </w:rPr>
        <w:t>11.</w:t>
      </w:r>
      <w:r w:rsidRPr="0059462A">
        <w:rPr>
          <w:b/>
          <w:lang w:val="lt-LT"/>
        </w:rPr>
        <w:tab/>
      </w:r>
      <w:r w:rsidRPr="0059462A">
        <w:rPr>
          <w:b/>
          <w:caps/>
          <w:lang w:val="lt-LT"/>
        </w:rPr>
        <w:t>REGISTRUOTOJO pavadinimas ir adresas</w:t>
      </w:r>
    </w:p>
    <w:p w14:paraId="49297DB0"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shd w:val="clear" w:color="auto" w:fill="FFFFFF"/>
          <w:lang w:val="lt-LT"/>
        </w:rPr>
      </w:pPr>
    </w:p>
    <w:p w14:paraId="57C7AA45"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shd w:val="clear" w:color="auto" w:fill="FFFFFF"/>
          <w:lang w:val="lt-LT"/>
        </w:rPr>
      </w:pPr>
      <w:r w:rsidRPr="0059462A">
        <w:rPr>
          <w:sz w:val="22"/>
          <w:shd w:val="clear" w:color="auto" w:fill="FFFFFF"/>
          <w:lang w:val="lt-LT"/>
        </w:rPr>
        <w:t>Registruotojas:</w:t>
      </w:r>
    </w:p>
    <w:p w14:paraId="21DBF109" w14:textId="77777777" w:rsidR="00E3770F" w:rsidRPr="0059462A" w:rsidRDefault="00E3770F" w:rsidP="00E3770F">
      <w:pPr>
        <w:rPr>
          <w:rFonts w:asciiTheme="minorHAnsi" w:eastAsiaTheme="minorHAnsi" w:hAnsiTheme="minorHAnsi" w:cstheme="minorBidi"/>
          <w:szCs w:val="22"/>
          <w:lang w:val="lt-LT"/>
        </w:rPr>
      </w:pPr>
      <w:r w:rsidRPr="0059462A">
        <w:rPr>
          <w:lang w:val="lt-LT"/>
        </w:rPr>
        <w:t>AbbVie SIA</w:t>
      </w:r>
    </w:p>
    <w:p w14:paraId="0DBAA331"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 xml:space="preserve">Vaiņodes 1 </w:t>
      </w:r>
    </w:p>
    <w:p w14:paraId="4C1335C3"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 xml:space="preserve">Rīga LV 1004 </w:t>
      </w:r>
    </w:p>
    <w:p w14:paraId="18026511"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Latvija</w:t>
      </w:r>
    </w:p>
    <w:p w14:paraId="2EEBEDE1" w14:textId="77777777" w:rsidR="00E3770F" w:rsidRPr="0059462A" w:rsidRDefault="00E3770F" w:rsidP="00E3770F">
      <w:pPr>
        <w:tabs>
          <w:tab w:val="clear" w:pos="567"/>
        </w:tabs>
        <w:spacing w:line="240" w:lineRule="auto"/>
        <w:rPr>
          <w:lang w:val="lt-LT"/>
        </w:rPr>
      </w:pPr>
    </w:p>
    <w:p w14:paraId="2C11AD20" w14:textId="77777777" w:rsidR="00E3770F" w:rsidRPr="0059462A" w:rsidRDefault="00E3770F" w:rsidP="00E3770F">
      <w:pPr>
        <w:tabs>
          <w:tab w:val="clear" w:pos="567"/>
        </w:tabs>
        <w:spacing w:line="240" w:lineRule="auto"/>
        <w:rPr>
          <w:lang w:val="lt-LT"/>
        </w:rPr>
      </w:pPr>
    </w:p>
    <w:p w14:paraId="3D2B7D0A"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12.</w:t>
      </w:r>
      <w:r w:rsidRPr="0059462A">
        <w:rPr>
          <w:b/>
          <w:lang w:val="lt-LT"/>
        </w:rPr>
        <w:tab/>
      </w:r>
      <w:r w:rsidRPr="0059462A">
        <w:rPr>
          <w:b/>
          <w:caps/>
          <w:lang w:val="lt-LT"/>
        </w:rPr>
        <w:t>REGISTRACIJOS PAŽYMĖJIMO numeris</w:t>
      </w:r>
      <w:r w:rsidRPr="00FB39A9">
        <w:rPr>
          <w:b/>
          <w:lang w:val="lt-LT"/>
        </w:rPr>
        <w:t xml:space="preserve"> </w:t>
      </w:r>
    </w:p>
    <w:p w14:paraId="4868CF5C" w14:textId="77777777" w:rsidR="00E3770F" w:rsidRPr="0059462A" w:rsidRDefault="00E3770F" w:rsidP="00E3770F">
      <w:pPr>
        <w:tabs>
          <w:tab w:val="clear" w:pos="567"/>
        </w:tabs>
        <w:spacing w:line="240" w:lineRule="auto"/>
        <w:rPr>
          <w:lang w:val="lt-LT"/>
        </w:rPr>
      </w:pPr>
    </w:p>
    <w:p w14:paraId="77E7D762" w14:textId="77777777" w:rsidR="00E3770F" w:rsidRPr="0059462A" w:rsidRDefault="00E3770F" w:rsidP="00E3770F">
      <w:pPr>
        <w:pStyle w:val="BTEMEASMCA"/>
      </w:pPr>
      <w:r w:rsidRPr="0059462A">
        <w:t>LT/1/08/1042/003</w:t>
      </w:r>
    </w:p>
    <w:p w14:paraId="143EB813" w14:textId="77777777" w:rsidR="00E3770F" w:rsidRPr="0059462A" w:rsidRDefault="00E3770F" w:rsidP="00E3770F">
      <w:pPr>
        <w:tabs>
          <w:tab w:val="clear" w:pos="567"/>
        </w:tabs>
        <w:spacing w:line="240" w:lineRule="auto"/>
        <w:rPr>
          <w:lang w:val="lt-LT"/>
        </w:rPr>
      </w:pPr>
    </w:p>
    <w:p w14:paraId="452872EA" w14:textId="77777777" w:rsidR="00E3770F" w:rsidRPr="0059462A" w:rsidRDefault="00E3770F" w:rsidP="00E3770F">
      <w:pPr>
        <w:tabs>
          <w:tab w:val="clear" w:pos="567"/>
        </w:tabs>
        <w:spacing w:line="240" w:lineRule="auto"/>
        <w:rPr>
          <w:lang w:val="lt-LT"/>
        </w:rPr>
      </w:pPr>
    </w:p>
    <w:p w14:paraId="3BCD55D2"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13.</w:t>
      </w:r>
      <w:r w:rsidRPr="0059462A">
        <w:rPr>
          <w:b/>
          <w:lang w:val="lt-LT"/>
        </w:rPr>
        <w:tab/>
        <w:t>SERIJOS NUMERIS</w:t>
      </w:r>
    </w:p>
    <w:p w14:paraId="4F6238D2" w14:textId="77777777" w:rsidR="00E3770F" w:rsidRPr="0059462A" w:rsidRDefault="00E3770F" w:rsidP="00E3770F">
      <w:pPr>
        <w:tabs>
          <w:tab w:val="clear" w:pos="567"/>
        </w:tabs>
        <w:spacing w:line="240" w:lineRule="auto"/>
        <w:rPr>
          <w:lang w:val="lt-LT"/>
        </w:rPr>
      </w:pPr>
    </w:p>
    <w:p w14:paraId="062AC0D6" w14:textId="77777777" w:rsidR="00E3770F" w:rsidRPr="00FB39A9" w:rsidRDefault="00E3770F" w:rsidP="00E3770F">
      <w:pPr>
        <w:spacing w:line="240" w:lineRule="auto"/>
        <w:rPr>
          <w:i/>
          <w:lang w:val="lt-LT"/>
        </w:rPr>
      </w:pPr>
      <w:r w:rsidRPr="00FB39A9">
        <w:rPr>
          <w:lang w:val="lt-LT"/>
        </w:rPr>
        <w:t>Lot</w:t>
      </w:r>
    </w:p>
    <w:p w14:paraId="31347E7A" w14:textId="77777777" w:rsidR="00E3770F" w:rsidRPr="0059462A" w:rsidRDefault="00E3770F" w:rsidP="00E3770F">
      <w:pPr>
        <w:tabs>
          <w:tab w:val="clear" w:pos="567"/>
        </w:tabs>
        <w:spacing w:line="240" w:lineRule="auto"/>
        <w:rPr>
          <w:lang w:val="lt-LT"/>
        </w:rPr>
      </w:pPr>
    </w:p>
    <w:p w14:paraId="45E4D2A8" w14:textId="77777777" w:rsidR="00E3770F" w:rsidRPr="0059462A" w:rsidRDefault="00E3770F" w:rsidP="00E3770F">
      <w:pPr>
        <w:tabs>
          <w:tab w:val="clear" w:pos="567"/>
        </w:tabs>
        <w:spacing w:line="240" w:lineRule="auto"/>
        <w:rPr>
          <w:lang w:val="lt-LT"/>
        </w:rPr>
      </w:pPr>
    </w:p>
    <w:p w14:paraId="767243AE"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14.</w:t>
      </w:r>
      <w:r w:rsidRPr="0059462A">
        <w:rPr>
          <w:b/>
          <w:lang w:val="lt-LT"/>
        </w:rPr>
        <w:tab/>
        <w:t>PARDAVIMO (IŠDAVIMO)</w:t>
      </w:r>
      <w:r w:rsidRPr="00FB39A9">
        <w:rPr>
          <w:b/>
          <w:caps/>
          <w:lang w:val="lt-LT"/>
        </w:rPr>
        <w:t xml:space="preserve"> tvarka</w:t>
      </w:r>
    </w:p>
    <w:p w14:paraId="189B6373" w14:textId="77777777" w:rsidR="00E3770F" w:rsidRPr="0059462A" w:rsidRDefault="00E3770F" w:rsidP="00E3770F">
      <w:pPr>
        <w:tabs>
          <w:tab w:val="clear" w:pos="567"/>
        </w:tabs>
        <w:spacing w:line="240" w:lineRule="auto"/>
        <w:rPr>
          <w:lang w:val="lt-LT"/>
        </w:rPr>
      </w:pPr>
    </w:p>
    <w:p w14:paraId="1C42E25C"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Receptinis vaist</w:t>
      </w:r>
      <w:r w:rsidRPr="00FB39A9">
        <w:rPr>
          <w:lang w:val="lt-LT"/>
        </w:rPr>
        <w:t>as.</w:t>
      </w:r>
    </w:p>
    <w:p w14:paraId="4CF2A402" w14:textId="77777777" w:rsidR="00E3770F" w:rsidRPr="0059462A" w:rsidRDefault="00E3770F" w:rsidP="00E3770F">
      <w:pPr>
        <w:tabs>
          <w:tab w:val="clear" w:pos="567"/>
        </w:tabs>
        <w:spacing w:line="240" w:lineRule="auto"/>
        <w:rPr>
          <w:lang w:val="lt-LT"/>
        </w:rPr>
      </w:pPr>
    </w:p>
    <w:p w14:paraId="138AD099" w14:textId="77777777" w:rsidR="00E3770F" w:rsidRPr="0059462A" w:rsidRDefault="00E3770F" w:rsidP="00E3770F">
      <w:pPr>
        <w:tabs>
          <w:tab w:val="clear" w:pos="567"/>
        </w:tabs>
        <w:spacing w:line="240" w:lineRule="auto"/>
        <w:rPr>
          <w:lang w:val="lt-LT"/>
        </w:rPr>
      </w:pPr>
    </w:p>
    <w:p w14:paraId="4F713853"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15.</w:t>
      </w:r>
      <w:r w:rsidRPr="0059462A">
        <w:rPr>
          <w:b/>
          <w:lang w:val="lt-LT"/>
        </w:rPr>
        <w:tab/>
      </w:r>
      <w:r w:rsidRPr="0059462A">
        <w:rPr>
          <w:b/>
          <w:caps/>
          <w:lang w:val="lt-LT"/>
        </w:rPr>
        <w:t>vartojimo instrukcijA</w:t>
      </w:r>
    </w:p>
    <w:p w14:paraId="458AB194" w14:textId="77777777" w:rsidR="00E3770F" w:rsidRPr="0059462A" w:rsidRDefault="00E3770F" w:rsidP="00E3770F">
      <w:pPr>
        <w:tabs>
          <w:tab w:val="clear" w:pos="567"/>
        </w:tabs>
        <w:spacing w:line="240" w:lineRule="auto"/>
        <w:rPr>
          <w:lang w:val="lt-LT"/>
        </w:rPr>
      </w:pPr>
    </w:p>
    <w:p w14:paraId="74CB440B" w14:textId="77777777" w:rsidR="00E3770F" w:rsidRPr="0059462A" w:rsidRDefault="00E3770F" w:rsidP="00E3770F">
      <w:pPr>
        <w:tabs>
          <w:tab w:val="clear" w:pos="567"/>
        </w:tabs>
        <w:spacing w:line="240" w:lineRule="auto"/>
        <w:rPr>
          <w:lang w:val="lt-LT"/>
        </w:rPr>
      </w:pPr>
    </w:p>
    <w:p w14:paraId="34FE4C90"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16.</w:t>
      </w:r>
      <w:r w:rsidRPr="0059462A">
        <w:rPr>
          <w:b/>
          <w:lang w:val="lt-LT"/>
        </w:rPr>
        <w:tab/>
        <w:t>INFORMACIJA BRAILIO RAŠTU</w:t>
      </w:r>
    </w:p>
    <w:p w14:paraId="1ACBFFD0" w14:textId="77777777" w:rsidR="00E3770F" w:rsidRPr="0059462A" w:rsidRDefault="00E3770F" w:rsidP="00E3770F">
      <w:pPr>
        <w:tabs>
          <w:tab w:val="clear" w:pos="567"/>
        </w:tabs>
        <w:spacing w:line="240" w:lineRule="auto"/>
        <w:rPr>
          <w:lang w:val="lt-LT"/>
        </w:rPr>
      </w:pPr>
    </w:p>
    <w:p w14:paraId="1F219DB0" w14:textId="77777777" w:rsidR="00E3770F" w:rsidRPr="0059462A" w:rsidRDefault="00E3770F" w:rsidP="00E3770F">
      <w:pPr>
        <w:rPr>
          <w:rFonts w:asciiTheme="minorHAnsi" w:eastAsiaTheme="minorHAnsi" w:hAnsiTheme="minorHAnsi" w:cstheme="minorBidi"/>
          <w:b/>
          <w:szCs w:val="22"/>
          <w:u w:val="single"/>
          <w:lang w:val="lt-LT"/>
        </w:rPr>
      </w:pPr>
      <w:r w:rsidRPr="0059462A">
        <w:rPr>
          <w:lang w:val="lt-LT"/>
        </w:rPr>
        <w:t xml:space="preserve">Zemplar 1 mcg </w:t>
      </w:r>
    </w:p>
    <w:p w14:paraId="67AB3B95" w14:textId="77777777" w:rsidR="00E3770F" w:rsidRPr="0059462A" w:rsidRDefault="00E3770F" w:rsidP="00E3770F">
      <w:pPr>
        <w:tabs>
          <w:tab w:val="clear" w:pos="567"/>
        </w:tabs>
        <w:spacing w:line="240" w:lineRule="auto"/>
        <w:rPr>
          <w:lang w:val="lt-LT"/>
        </w:rPr>
      </w:pPr>
    </w:p>
    <w:p w14:paraId="2F19AA62" w14:textId="77777777" w:rsidR="00E3770F" w:rsidRPr="0059462A" w:rsidRDefault="00E3770F" w:rsidP="00E3770F">
      <w:pPr>
        <w:tabs>
          <w:tab w:val="clear" w:pos="567"/>
        </w:tabs>
        <w:spacing w:line="240" w:lineRule="auto"/>
        <w:rPr>
          <w:noProof/>
          <w:szCs w:val="22"/>
          <w:lang w:val="lt-LT"/>
        </w:rPr>
      </w:pPr>
    </w:p>
    <w:p w14:paraId="06AA309F" w14:textId="77777777" w:rsidR="00E3770F" w:rsidRPr="00FB39A9"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FB39A9">
        <w:rPr>
          <w:b/>
          <w:lang w:val="lt-LT"/>
        </w:rPr>
        <w:t>17.</w:t>
      </w:r>
      <w:r w:rsidRPr="00FB39A9">
        <w:rPr>
          <w:lang w:val="lt-LT"/>
        </w:rPr>
        <w:tab/>
      </w:r>
      <w:r w:rsidRPr="00FB39A9">
        <w:rPr>
          <w:b/>
          <w:lang w:val="lt-LT"/>
        </w:rPr>
        <w:t>UNIKALUS IDENTIFIKATORIUS – 2D BRŪKŠNINIS KODAS</w:t>
      </w:r>
    </w:p>
    <w:p w14:paraId="4A17EE05" w14:textId="77777777" w:rsidR="00E3770F" w:rsidRPr="00FB39A9" w:rsidRDefault="00E3770F" w:rsidP="00E3770F">
      <w:pPr>
        <w:spacing w:line="240" w:lineRule="auto"/>
        <w:rPr>
          <w:highlight w:val="lightGray"/>
          <w:lang w:val="lt-LT"/>
        </w:rPr>
      </w:pPr>
    </w:p>
    <w:p w14:paraId="131320BE" w14:textId="77777777" w:rsidR="00E3770F" w:rsidRPr="00FB39A9" w:rsidRDefault="00E3770F" w:rsidP="00E3770F">
      <w:pPr>
        <w:spacing w:line="240" w:lineRule="auto"/>
        <w:rPr>
          <w:shd w:val="clear" w:color="auto" w:fill="CCCCCC"/>
          <w:lang w:val="lt-LT"/>
        </w:rPr>
      </w:pPr>
      <w:r w:rsidRPr="00FB39A9">
        <w:rPr>
          <w:highlight w:val="lightGray"/>
          <w:lang w:val="lt-LT"/>
        </w:rPr>
        <w:t>2D brūkšninis kodas su nurodytu unikaliu identifikatoriumi.</w:t>
      </w:r>
    </w:p>
    <w:p w14:paraId="5FDBD437" w14:textId="77777777" w:rsidR="00E3770F" w:rsidRPr="00FB39A9" w:rsidRDefault="00E3770F" w:rsidP="00E3770F">
      <w:pPr>
        <w:tabs>
          <w:tab w:val="clear" w:pos="567"/>
        </w:tabs>
        <w:spacing w:line="240" w:lineRule="auto"/>
        <w:rPr>
          <w:lang w:val="lt-LT"/>
        </w:rPr>
      </w:pPr>
    </w:p>
    <w:p w14:paraId="0F692EDB" w14:textId="77777777" w:rsidR="00E3770F" w:rsidRPr="00FB39A9" w:rsidRDefault="00E3770F" w:rsidP="00E3770F">
      <w:pPr>
        <w:tabs>
          <w:tab w:val="clear" w:pos="567"/>
        </w:tabs>
        <w:spacing w:line="240" w:lineRule="auto"/>
        <w:rPr>
          <w:lang w:val="lt-LT"/>
        </w:rPr>
      </w:pPr>
    </w:p>
    <w:p w14:paraId="5137381D" w14:textId="77777777" w:rsidR="00E3770F" w:rsidRPr="00FB39A9"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FB39A9">
        <w:rPr>
          <w:b/>
          <w:lang w:val="lt-LT"/>
        </w:rPr>
        <w:t>18.</w:t>
      </w:r>
      <w:r w:rsidRPr="00FB39A9">
        <w:rPr>
          <w:lang w:val="lt-LT"/>
        </w:rPr>
        <w:tab/>
      </w:r>
      <w:r w:rsidRPr="00FB39A9">
        <w:rPr>
          <w:b/>
          <w:lang w:val="lt-LT"/>
        </w:rPr>
        <w:t>UNIKALUS IDENTIFIKATORIUS – ŽMONĖMS SUPRANTAMI DUOMENYS</w:t>
      </w:r>
    </w:p>
    <w:p w14:paraId="4E707EFC" w14:textId="77777777" w:rsidR="00E3770F" w:rsidRPr="00FB39A9" w:rsidRDefault="00E3770F" w:rsidP="00E3770F">
      <w:pPr>
        <w:tabs>
          <w:tab w:val="clear" w:pos="567"/>
        </w:tabs>
        <w:spacing w:line="240" w:lineRule="auto"/>
        <w:rPr>
          <w:lang w:val="lt-LT"/>
        </w:rPr>
      </w:pPr>
    </w:p>
    <w:p w14:paraId="4CC46A34" w14:textId="77777777" w:rsidR="00E3770F" w:rsidRPr="00FB39A9" w:rsidRDefault="00E3770F" w:rsidP="00E3770F">
      <w:pPr>
        <w:rPr>
          <w:color w:val="008000"/>
          <w:lang w:val="lt-LT"/>
        </w:rPr>
      </w:pPr>
      <w:r w:rsidRPr="00FB39A9">
        <w:rPr>
          <w:lang w:val="lt-LT"/>
        </w:rPr>
        <w:t>PC</w:t>
      </w:r>
    </w:p>
    <w:p w14:paraId="262B32DF" w14:textId="77777777" w:rsidR="00E3770F" w:rsidRPr="00FB39A9" w:rsidRDefault="00E3770F" w:rsidP="00E3770F">
      <w:pPr>
        <w:rPr>
          <w:lang w:val="lt-LT"/>
        </w:rPr>
      </w:pPr>
      <w:r w:rsidRPr="00FB39A9">
        <w:rPr>
          <w:lang w:val="lt-LT"/>
        </w:rPr>
        <w:t>SN</w:t>
      </w:r>
    </w:p>
    <w:p w14:paraId="624B50A7" w14:textId="77777777" w:rsidR="00E3770F" w:rsidRPr="00FB39A9" w:rsidRDefault="00E3770F" w:rsidP="00E3770F">
      <w:pPr>
        <w:rPr>
          <w:lang w:val="lt-LT"/>
        </w:rPr>
      </w:pPr>
      <w:r w:rsidRPr="00FB39A9">
        <w:rPr>
          <w:highlight w:val="lightGray"/>
          <w:lang w:val="lt-LT"/>
        </w:rPr>
        <w:t>NN</w:t>
      </w:r>
    </w:p>
    <w:p w14:paraId="7E6206FB" w14:textId="77777777" w:rsidR="00E3770F" w:rsidRPr="0059462A" w:rsidRDefault="00E3770F" w:rsidP="00E3770F">
      <w:pPr>
        <w:tabs>
          <w:tab w:val="clear" w:pos="567"/>
        </w:tabs>
        <w:spacing w:line="240" w:lineRule="auto"/>
        <w:rPr>
          <w:noProof/>
          <w:szCs w:val="22"/>
          <w:lang w:val="lt-LT"/>
        </w:rPr>
      </w:pPr>
    </w:p>
    <w:p w14:paraId="11B2D61B" w14:textId="77777777" w:rsidR="00E3770F" w:rsidRPr="0059462A" w:rsidRDefault="00E3770F" w:rsidP="00E3770F">
      <w:pPr>
        <w:rPr>
          <w:b/>
          <w:lang w:val="lt-LT"/>
        </w:rPr>
      </w:pPr>
      <w:r w:rsidRPr="0059462A">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23721DB3" w14:textId="77777777" w:rsidTr="00090260">
        <w:trPr>
          <w:trHeight w:val="785"/>
        </w:trPr>
        <w:tc>
          <w:tcPr>
            <w:tcW w:w="9287" w:type="dxa"/>
          </w:tcPr>
          <w:p w14:paraId="14CC744C" w14:textId="77777777" w:rsidR="00E3770F" w:rsidRPr="0059462A" w:rsidRDefault="00E3770F" w:rsidP="00090260">
            <w:pPr>
              <w:rPr>
                <w:b/>
                <w:lang w:val="lt-LT"/>
              </w:rPr>
            </w:pPr>
            <w:r w:rsidRPr="0059462A">
              <w:rPr>
                <w:b/>
                <w:lang w:val="lt-LT"/>
              </w:rPr>
              <w:lastRenderedPageBreak/>
              <w:t xml:space="preserve">MINIMALI </w:t>
            </w:r>
            <w:r w:rsidRPr="0059462A">
              <w:rPr>
                <w:b/>
                <w:caps/>
                <w:lang w:val="lt-LT"/>
              </w:rPr>
              <w:t xml:space="preserve">informacija ant </w:t>
            </w:r>
            <w:r w:rsidRPr="00FB39A9">
              <w:rPr>
                <w:b/>
                <w:lang w:val="lt-LT"/>
              </w:rPr>
              <w:t>LIZDINIŲ PLOKŠTELIŲ ARBA DVISLUOKSNIŲ JUOSTELIŲ</w:t>
            </w:r>
          </w:p>
          <w:p w14:paraId="02963AB7" w14:textId="77777777" w:rsidR="00E3770F" w:rsidRPr="0059462A" w:rsidRDefault="00E3770F" w:rsidP="00090260">
            <w:pPr>
              <w:rPr>
                <w:b/>
                <w:lang w:val="lt-LT"/>
              </w:rPr>
            </w:pPr>
          </w:p>
          <w:p w14:paraId="58572D4F" w14:textId="77777777" w:rsidR="00E3770F" w:rsidRPr="0059462A" w:rsidRDefault="00E3770F" w:rsidP="00090260">
            <w:pPr>
              <w:rPr>
                <w:rFonts w:asciiTheme="minorHAnsi" w:eastAsiaTheme="minorHAnsi" w:hAnsiTheme="minorHAnsi" w:cstheme="minorBidi"/>
                <w:b/>
                <w:szCs w:val="22"/>
                <w:lang w:val="lt-LT"/>
              </w:rPr>
            </w:pPr>
            <w:r w:rsidRPr="0059462A">
              <w:rPr>
                <w:b/>
                <w:lang w:val="lt-LT"/>
              </w:rPr>
              <w:t>LIZDINĖ PLOKŠTELĖ</w:t>
            </w:r>
          </w:p>
        </w:tc>
      </w:tr>
    </w:tbl>
    <w:p w14:paraId="6BEA1904" w14:textId="77777777" w:rsidR="00E3770F" w:rsidRPr="0059462A" w:rsidRDefault="00E3770F" w:rsidP="00E3770F">
      <w:pPr>
        <w:tabs>
          <w:tab w:val="clear" w:pos="567"/>
        </w:tabs>
        <w:spacing w:line="240" w:lineRule="auto"/>
        <w:rPr>
          <w:b/>
          <w:lang w:val="lt-LT"/>
        </w:rPr>
      </w:pPr>
    </w:p>
    <w:p w14:paraId="0ECEA91D" w14:textId="77777777" w:rsidR="00E3770F" w:rsidRPr="0059462A" w:rsidRDefault="00E3770F" w:rsidP="00E3770F">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440DFABE" w14:textId="77777777" w:rsidTr="00090260">
        <w:tc>
          <w:tcPr>
            <w:tcW w:w="9287" w:type="dxa"/>
          </w:tcPr>
          <w:p w14:paraId="293A7E5A" w14:textId="77777777" w:rsidR="00E3770F" w:rsidRPr="0059462A" w:rsidRDefault="00E3770F" w:rsidP="00090260">
            <w:pPr>
              <w:tabs>
                <w:tab w:val="clear" w:pos="567"/>
                <w:tab w:val="left" w:pos="142"/>
              </w:tabs>
              <w:spacing w:line="240" w:lineRule="auto"/>
              <w:ind w:left="567" w:hanging="567"/>
              <w:rPr>
                <w:b/>
                <w:lang w:val="lt-LT"/>
              </w:rPr>
            </w:pPr>
            <w:r w:rsidRPr="0059462A">
              <w:rPr>
                <w:b/>
                <w:lang w:val="lt-LT"/>
              </w:rPr>
              <w:t>1.</w:t>
            </w:r>
            <w:r w:rsidRPr="0059462A">
              <w:rPr>
                <w:b/>
                <w:lang w:val="lt-LT"/>
              </w:rPr>
              <w:tab/>
            </w:r>
            <w:r w:rsidRPr="0059462A">
              <w:rPr>
                <w:b/>
                <w:caps/>
                <w:lang w:val="lt-LT"/>
              </w:rPr>
              <w:t>Vaistinio preparato pavadinimas</w:t>
            </w:r>
          </w:p>
        </w:tc>
      </w:tr>
    </w:tbl>
    <w:p w14:paraId="67591FC4" w14:textId="77777777" w:rsidR="00E3770F" w:rsidRPr="0059462A" w:rsidRDefault="00E3770F" w:rsidP="00E3770F">
      <w:pPr>
        <w:ind w:left="567" w:hanging="567"/>
        <w:rPr>
          <w:lang w:val="lt-LT"/>
        </w:rPr>
      </w:pPr>
    </w:p>
    <w:p w14:paraId="61248CC0" w14:textId="77777777" w:rsidR="00E3770F" w:rsidRPr="0059462A" w:rsidRDefault="00E3770F" w:rsidP="00E3770F">
      <w:pPr>
        <w:rPr>
          <w:rFonts w:asciiTheme="minorHAnsi" w:eastAsiaTheme="minorHAnsi" w:hAnsiTheme="minorHAnsi" w:cstheme="minorBidi"/>
          <w:szCs w:val="22"/>
          <w:lang w:val="lt-LT"/>
        </w:rPr>
      </w:pPr>
      <w:r w:rsidRPr="0059462A">
        <w:rPr>
          <w:lang w:val="lt-LT"/>
        </w:rPr>
        <w:t>Zemplar 1 mikrogramas minkštosios kapsulės</w:t>
      </w:r>
    </w:p>
    <w:p w14:paraId="523886D4" w14:textId="77777777" w:rsidR="00E3770F" w:rsidRPr="0059462A" w:rsidRDefault="00E3770F" w:rsidP="00E3770F">
      <w:pPr>
        <w:rPr>
          <w:rFonts w:asciiTheme="minorHAnsi" w:eastAsiaTheme="minorHAnsi" w:hAnsiTheme="minorHAnsi" w:cstheme="minorBidi"/>
          <w:szCs w:val="22"/>
          <w:lang w:val="lt-LT"/>
        </w:rPr>
      </w:pPr>
      <w:r>
        <w:rPr>
          <w:lang w:val="lt-LT"/>
        </w:rPr>
        <w:t>p</w:t>
      </w:r>
      <w:r w:rsidRPr="0059462A">
        <w:rPr>
          <w:lang w:val="lt-LT"/>
        </w:rPr>
        <w:t>aricalcitolum</w:t>
      </w:r>
    </w:p>
    <w:p w14:paraId="5D994E20" w14:textId="77777777" w:rsidR="00E3770F" w:rsidRPr="0059462A" w:rsidRDefault="00E3770F" w:rsidP="00E3770F">
      <w:pPr>
        <w:rPr>
          <w:lang w:val="lt-LT"/>
        </w:rPr>
      </w:pPr>
    </w:p>
    <w:p w14:paraId="5D571D08" w14:textId="77777777" w:rsidR="00E3770F" w:rsidRPr="0059462A" w:rsidRDefault="00E3770F" w:rsidP="00E3770F">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42C92753" w14:textId="77777777" w:rsidTr="00090260">
        <w:tc>
          <w:tcPr>
            <w:tcW w:w="9287" w:type="dxa"/>
          </w:tcPr>
          <w:p w14:paraId="72019BF6" w14:textId="77777777" w:rsidR="00E3770F" w:rsidRPr="0059462A" w:rsidRDefault="00E3770F" w:rsidP="00090260">
            <w:pPr>
              <w:tabs>
                <w:tab w:val="clear" w:pos="567"/>
                <w:tab w:val="left" w:pos="142"/>
              </w:tabs>
              <w:spacing w:line="240" w:lineRule="auto"/>
              <w:ind w:left="567" w:hanging="567"/>
              <w:rPr>
                <w:b/>
                <w:lang w:val="lt-LT"/>
              </w:rPr>
            </w:pPr>
            <w:r w:rsidRPr="0059462A">
              <w:rPr>
                <w:b/>
                <w:lang w:val="lt-LT"/>
              </w:rPr>
              <w:t>2.</w:t>
            </w:r>
            <w:r w:rsidRPr="0059462A">
              <w:rPr>
                <w:b/>
                <w:lang w:val="lt-LT"/>
              </w:rPr>
              <w:tab/>
              <w:t>REGISTRUOTOJO</w:t>
            </w:r>
            <w:r w:rsidRPr="00FB39A9">
              <w:rPr>
                <w:b/>
                <w:caps/>
                <w:lang w:val="lt-LT"/>
              </w:rPr>
              <w:t xml:space="preserve"> pavadinimas</w:t>
            </w:r>
          </w:p>
        </w:tc>
      </w:tr>
    </w:tbl>
    <w:p w14:paraId="39F677D7" w14:textId="77777777" w:rsidR="00E3770F" w:rsidRPr="0059462A" w:rsidRDefault="00E3770F" w:rsidP="00E3770F">
      <w:pPr>
        <w:tabs>
          <w:tab w:val="clear" w:pos="567"/>
        </w:tabs>
        <w:spacing w:line="240" w:lineRule="auto"/>
        <w:rPr>
          <w:b/>
          <w:lang w:val="lt-LT"/>
        </w:rPr>
      </w:pPr>
    </w:p>
    <w:p w14:paraId="3F604108" w14:textId="77777777" w:rsidR="00E3770F" w:rsidRPr="0059462A" w:rsidRDefault="00E3770F" w:rsidP="00E3770F">
      <w:pPr>
        <w:rPr>
          <w:rFonts w:asciiTheme="minorHAnsi" w:eastAsiaTheme="minorHAnsi" w:hAnsiTheme="minorHAnsi" w:cstheme="minorBidi"/>
          <w:szCs w:val="22"/>
          <w:lang w:val="lt-LT"/>
        </w:rPr>
      </w:pPr>
      <w:r w:rsidRPr="0059462A">
        <w:rPr>
          <w:lang w:val="lt-LT"/>
        </w:rPr>
        <w:t>AbbVie SIA</w:t>
      </w:r>
    </w:p>
    <w:p w14:paraId="6AABA625" w14:textId="77777777" w:rsidR="00E3770F" w:rsidRPr="0059462A" w:rsidRDefault="00E3770F" w:rsidP="00E3770F">
      <w:pPr>
        <w:tabs>
          <w:tab w:val="clear" w:pos="567"/>
        </w:tabs>
        <w:spacing w:line="240" w:lineRule="auto"/>
        <w:rPr>
          <w:b/>
          <w:lang w:val="lt-LT"/>
        </w:rPr>
      </w:pPr>
    </w:p>
    <w:p w14:paraId="5611DC44" w14:textId="77777777" w:rsidR="00E3770F" w:rsidRPr="0059462A" w:rsidRDefault="00E3770F" w:rsidP="00E3770F">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4642BA99" w14:textId="77777777" w:rsidTr="00090260">
        <w:tc>
          <w:tcPr>
            <w:tcW w:w="9287" w:type="dxa"/>
          </w:tcPr>
          <w:p w14:paraId="063BFC17" w14:textId="77777777" w:rsidR="00E3770F" w:rsidRPr="0059462A" w:rsidRDefault="00E3770F" w:rsidP="00090260">
            <w:pPr>
              <w:tabs>
                <w:tab w:val="clear" w:pos="567"/>
                <w:tab w:val="left" w:pos="142"/>
              </w:tabs>
              <w:spacing w:line="240" w:lineRule="auto"/>
              <w:ind w:left="567" w:hanging="567"/>
              <w:rPr>
                <w:b/>
                <w:lang w:val="lt-LT"/>
              </w:rPr>
            </w:pPr>
            <w:r w:rsidRPr="0059462A">
              <w:rPr>
                <w:b/>
                <w:lang w:val="lt-LT"/>
              </w:rPr>
              <w:t>3.</w:t>
            </w:r>
            <w:r w:rsidRPr="0059462A">
              <w:rPr>
                <w:b/>
                <w:lang w:val="lt-LT"/>
              </w:rPr>
              <w:tab/>
            </w:r>
            <w:r w:rsidRPr="0059462A">
              <w:rPr>
                <w:b/>
                <w:caps/>
                <w:lang w:val="lt-LT"/>
              </w:rPr>
              <w:t>tinkamumo laikas</w:t>
            </w:r>
          </w:p>
        </w:tc>
      </w:tr>
    </w:tbl>
    <w:p w14:paraId="08FD5AEC" w14:textId="77777777" w:rsidR="00E3770F" w:rsidRPr="0059462A" w:rsidRDefault="00E3770F" w:rsidP="00E3770F">
      <w:pPr>
        <w:tabs>
          <w:tab w:val="clear" w:pos="567"/>
        </w:tabs>
        <w:spacing w:line="240" w:lineRule="auto"/>
        <w:rPr>
          <w:b/>
          <w:lang w:val="lt-LT"/>
        </w:rPr>
      </w:pPr>
    </w:p>
    <w:p w14:paraId="7A95D351" w14:textId="77777777" w:rsidR="00E3770F" w:rsidRPr="00FB39A9" w:rsidRDefault="00E3770F" w:rsidP="00E3770F">
      <w:pPr>
        <w:tabs>
          <w:tab w:val="clear" w:pos="567"/>
        </w:tabs>
        <w:spacing w:line="240" w:lineRule="auto"/>
        <w:rPr>
          <w:lang w:val="lt-LT"/>
        </w:rPr>
      </w:pPr>
      <w:r w:rsidRPr="00FB39A9">
        <w:rPr>
          <w:lang w:val="lt-LT"/>
        </w:rPr>
        <w:t>EXP (mm/MMMM)</w:t>
      </w:r>
    </w:p>
    <w:p w14:paraId="60D8C47B" w14:textId="77777777" w:rsidR="00E3770F" w:rsidRPr="00FB39A9" w:rsidRDefault="00E3770F" w:rsidP="00E3770F">
      <w:pPr>
        <w:tabs>
          <w:tab w:val="clear" w:pos="567"/>
        </w:tabs>
        <w:spacing w:line="240" w:lineRule="auto"/>
        <w:rPr>
          <w:lang w:val="lt-LT"/>
        </w:rPr>
      </w:pPr>
    </w:p>
    <w:p w14:paraId="76F69ED6" w14:textId="77777777" w:rsidR="00E3770F" w:rsidRPr="00FB39A9" w:rsidRDefault="00E3770F" w:rsidP="00E3770F">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073EB203" w14:textId="77777777" w:rsidTr="00090260">
        <w:tc>
          <w:tcPr>
            <w:tcW w:w="9287" w:type="dxa"/>
          </w:tcPr>
          <w:p w14:paraId="6E38771E" w14:textId="77777777" w:rsidR="00E3770F" w:rsidRPr="00FB39A9" w:rsidRDefault="00E3770F" w:rsidP="00090260">
            <w:pPr>
              <w:tabs>
                <w:tab w:val="clear" w:pos="567"/>
                <w:tab w:val="left" w:pos="142"/>
              </w:tabs>
              <w:spacing w:line="240" w:lineRule="auto"/>
              <w:ind w:left="567" w:hanging="567"/>
              <w:rPr>
                <w:b/>
                <w:lang w:val="lt-LT"/>
              </w:rPr>
            </w:pPr>
            <w:r w:rsidRPr="00FB39A9">
              <w:rPr>
                <w:b/>
                <w:lang w:val="lt-LT"/>
              </w:rPr>
              <w:t>4.</w:t>
            </w:r>
            <w:r w:rsidRPr="00FB39A9">
              <w:rPr>
                <w:b/>
                <w:lang w:val="lt-LT"/>
              </w:rPr>
              <w:tab/>
            </w:r>
            <w:r w:rsidRPr="00FB39A9">
              <w:rPr>
                <w:b/>
                <w:caps/>
                <w:lang w:val="lt-LT"/>
              </w:rPr>
              <w:t>serijos numeris</w:t>
            </w:r>
          </w:p>
        </w:tc>
      </w:tr>
    </w:tbl>
    <w:p w14:paraId="0B3FD72A" w14:textId="77777777" w:rsidR="00E3770F" w:rsidRPr="00FB39A9" w:rsidRDefault="00E3770F" w:rsidP="00E3770F">
      <w:pPr>
        <w:tabs>
          <w:tab w:val="clear" w:pos="567"/>
        </w:tabs>
        <w:spacing w:line="240" w:lineRule="auto"/>
        <w:ind w:right="113"/>
        <w:rPr>
          <w:lang w:val="lt-LT"/>
        </w:rPr>
      </w:pPr>
    </w:p>
    <w:p w14:paraId="2B2E10F8" w14:textId="77777777" w:rsidR="00E3770F" w:rsidRPr="00FB39A9" w:rsidRDefault="00E3770F" w:rsidP="00E3770F">
      <w:pPr>
        <w:spacing w:line="240" w:lineRule="auto"/>
        <w:ind w:right="113"/>
        <w:rPr>
          <w:lang w:val="lt-LT"/>
        </w:rPr>
      </w:pPr>
      <w:r w:rsidRPr="00FB39A9">
        <w:rPr>
          <w:lang w:val="lt-LT"/>
        </w:rPr>
        <w:t>Lot</w:t>
      </w:r>
    </w:p>
    <w:p w14:paraId="214DC21A" w14:textId="77777777" w:rsidR="00E3770F" w:rsidRPr="0059462A" w:rsidRDefault="00E3770F" w:rsidP="00E3770F">
      <w:pPr>
        <w:pStyle w:val="BTEMEASMCA"/>
      </w:pPr>
    </w:p>
    <w:p w14:paraId="3F1C2847" w14:textId="77777777" w:rsidR="00E3770F" w:rsidRPr="0059462A" w:rsidRDefault="00E3770F" w:rsidP="00E3770F">
      <w:pPr>
        <w:pStyle w:val="BTEMEASMCA"/>
      </w:pPr>
    </w:p>
    <w:p w14:paraId="3641F48D" w14:textId="77777777" w:rsidR="00E3770F" w:rsidRPr="0059462A" w:rsidRDefault="00E3770F" w:rsidP="00E3770F">
      <w:pPr>
        <w:pStyle w:val="PI-1labEMEASMCA"/>
      </w:pPr>
      <w:r w:rsidRPr="0059462A">
        <w:t>5.</w:t>
      </w:r>
      <w:r w:rsidRPr="0059462A">
        <w:tab/>
        <w:t>KITA</w:t>
      </w:r>
    </w:p>
    <w:p w14:paraId="1B4F8703" w14:textId="77777777" w:rsidR="00E3770F" w:rsidRPr="0059462A" w:rsidRDefault="00E3770F" w:rsidP="00E3770F">
      <w:pPr>
        <w:pStyle w:val="BTEMEASMCA"/>
      </w:pPr>
    </w:p>
    <w:p w14:paraId="54FB43FF" w14:textId="77777777" w:rsidR="00E3770F" w:rsidRPr="0059462A" w:rsidRDefault="00E3770F" w:rsidP="00E3770F">
      <w:pPr>
        <w:tabs>
          <w:tab w:val="clear" w:pos="567"/>
        </w:tabs>
        <w:spacing w:line="240" w:lineRule="auto"/>
        <w:ind w:right="113"/>
        <w:rPr>
          <w:lang w:val="lt-LT"/>
        </w:rPr>
      </w:pPr>
    </w:p>
    <w:p w14:paraId="466C7989" w14:textId="77777777" w:rsidR="00E3770F" w:rsidRPr="0059462A" w:rsidRDefault="00E3770F" w:rsidP="00E3770F">
      <w:pPr>
        <w:tabs>
          <w:tab w:val="clear" w:pos="567"/>
        </w:tabs>
        <w:spacing w:line="240" w:lineRule="auto"/>
        <w:ind w:right="113"/>
        <w:rPr>
          <w:lang w:val="lt-LT"/>
        </w:rPr>
      </w:pPr>
    </w:p>
    <w:p w14:paraId="4A7F45D3" w14:textId="77777777" w:rsidR="00E3770F" w:rsidRPr="0059462A" w:rsidRDefault="00E3770F" w:rsidP="00E3770F">
      <w:pPr>
        <w:tabs>
          <w:tab w:val="clear" w:pos="567"/>
        </w:tabs>
        <w:spacing w:line="240" w:lineRule="auto"/>
        <w:ind w:right="113"/>
        <w:rPr>
          <w:lang w:val="lt-LT"/>
        </w:rPr>
      </w:pPr>
    </w:p>
    <w:p w14:paraId="0FA68D51" w14:textId="77777777" w:rsidR="00E3770F" w:rsidRPr="0059462A" w:rsidRDefault="00E3770F" w:rsidP="00E3770F">
      <w:pPr>
        <w:tabs>
          <w:tab w:val="clear" w:pos="567"/>
        </w:tabs>
        <w:spacing w:line="240" w:lineRule="auto"/>
        <w:ind w:right="113"/>
        <w:rPr>
          <w:lang w:val="lt-LT"/>
        </w:rPr>
      </w:pPr>
    </w:p>
    <w:p w14:paraId="038811DB" w14:textId="77777777" w:rsidR="00E3770F" w:rsidRPr="0059462A" w:rsidRDefault="00E3770F" w:rsidP="00E3770F">
      <w:pPr>
        <w:tabs>
          <w:tab w:val="clear" w:pos="567"/>
        </w:tabs>
        <w:spacing w:line="240" w:lineRule="auto"/>
        <w:ind w:right="113"/>
        <w:rPr>
          <w:lang w:val="lt-LT"/>
        </w:rPr>
      </w:pPr>
    </w:p>
    <w:p w14:paraId="16219F3B" w14:textId="77777777" w:rsidR="00E3770F" w:rsidRPr="0059462A" w:rsidRDefault="00E3770F" w:rsidP="00E3770F">
      <w:pPr>
        <w:tabs>
          <w:tab w:val="clear" w:pos="567"/>
        </w:tabs>
        <w:spacing w:line="240" w:lineRule="auto"/>
        <w:ind w:right="113"/>
        <w:rPr>
          <w:lang w:val="lt-LT"/>
        </w:rPr>
      </w:pPr>
    </w:p>
    <w:p w14:paraId="22E65567" w14:textId="77777777" w:rsidR="00E3770F" w:rsidRPr="0059462A" w:rsidRDefault="00E3770F" w:rsidP="00E3770F">
      <w:pPr>
        <w:shd w:val="clear" w:color="auto" w:fill="FFFFFF"/>
        <w:tabs>
          <w:tab w:val="clear" w:pos="567"/>
        </w:tabs>
        <w:spacing w:line="240" w:lineRule="auto"/>
        <w:rPr>
          <w:lang w:val="lt-LT"/>
        </w:rPr>
      </w:pPr>
      <w:r w:rsidRPr="0059462A">
        <w:rPr>
          <w:lang w:val="lt-LT"/>
        </w:rPr>
        <w:br w:type="page"/>
      </w:r>
    </w:p>
    <w:p w14:paraId="79672861" w14:textId="12CEF6DC"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rFonts w:asciiTheme="minorHAnsi" w:eastAsiaTheme="minorHAnsi" w:hAnsiTheme="minorHAnsi" w:cstheme="minorBidi"/>
          <w:b/>
          <w:szCs w:val="22"/>
          <w:lang w:val="lt-LT"/>
        </w:rPr>
      </w:pPr>
      <w:r w:rsidRPr="0059462A">
        <w:rPr>
          <w:b/>
          <w:lang w:val="lt-LT"/>
        </w:rPr>
        <w:lastRenderedPageBreak/>
        <w:t>INFORMACIJA ANT IŠORINĖS PAKUOTĖS</w:t>
      </w:r>
    </w:p>
    <w:p w14:paraId="05851AE3"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5E651D80"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t-LT"/>
        </w:rPr>
      </w:pPr>
      <w:r w:rsidRPr="0059462A">
        <w:rPr>
          <w:b/>
          <w:szCs w:val="22"/>
          <w:lang w:val="lt-LT"/>
        </w:rPr>
        <w:t>KARTONINĖ DĖŽUTĖ 1 LIZDINEI PLOKŠTELEI ARBA 4 LIZDINĖMS PLOKŠTELĖMS</w:t>
      </w:r>
    </w:p>
    <w:p w14:paraId="6829A9B0" w14:textId="77777777" w:rsidR="00E3770F" w:rsidRPr="0059462A" w:rsidRDefault="00E3770F" w:rsidP="00E3770F">
      <w:pPr>
        <w:tabs>
          <w:tab w:val="clear" w:pos="567"/>
        </w:tabs>
        <w:spacing w:line="240" w:lineRule="auto"/>
        <w:rPr>
          <w:lang w:val="lt-LT"/>
        </w:rPr>
      </w:pPr>
    </w:p>
    <w:p w14:paraId="215FBE40" w14:textId="77777777" w:rsidR="00E3770F" w:rsidRPr="0059462A" w:rsidRDefault="00E3770F" w:rsidP="00E3770F">
      <w:pPr>
        <w:tabs>
          <w:tab w:val="clear" w:pos="567"/>
        </w:tabs>
        <w:spacing w:line="240" w:lineRule="auto"/>
        <w:rPr>
          <w:lang w:val="lt-LT"/>
        </w:rPr>
      </w:pPr>
    </w:p>
    <w:p w14:paraId="711253A5"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1.</w:t>
      </w:r>
      <w:r w:rsidRPr="0059462A">
        <w:rPr>
          <w:b/>
          <w:lang w:val="lt-LT"/>
        </w:rPr>
        <w:tab/>
        <w:t>VAISTINIO PREPARATO PAVADINIMAS</w:t>
      </w:r>
    </w:p>
    <w:p w14:paraId="671FDC32" w14:textId="77777777" w:rsidR="00E3770F" w:rsidRPr="0059462A" w:rsidRDefault="00E3770F" w:rsidP="00E3770F">
      <w:pPr>
        <w:tabs>
          <w:tab w:val="clear" w:pos="567"/>
        </w:tabs>
        <w:spacing w:line="240" w:lineRule="auto"/>
        <w:rPr>
          <w:lang w:val="lt-LT"/>
        </w:rPr>
      </w:pPr>
    </w:p>
    <w:p w14:paraId="4C4F62B9" w14:textId="77777777" w:rsidR="00E3770F" w:rsidRPr="0059462A" w:rsidRDefault="00E3770F" w:rsidP="00E3770F">
      <w:pPr>
        <w:rPr>
          <w:rFonts w:asciiTheme="minorHAnsi" w:eastAsiaTheme="minorHAnsi" w:hAnsiTheme="minorHAnsi" w:cstheme="minorBidi"/>
          <w:szCs w:val="22"/>
          <w:lang w:val="lt-LT"/>
        </w:rPr>
      </w:pPr>
      <w:r w:rsidRPr="0059462A">
        <w:rPr>
          <w:lang w:val="lt-LT"/>
        </w:rPr>
        <w:t>Zemplar 2 mikrogramai minkštosios kapsulės</w:t>
      </w:r>
    </w:p>
    <w:p w14:paraId="1C8B3704" w14:textId="77777777" w:rsidR="00E3770F" w:rsidRPr="0059462A" w:rsidRDefault="00E3770F" w:rsidP="00E3770F">
      <w:pPr>
        <w:rPr>
          <w:rFonts w:asciiTheme="minorHAnsi" w:eastAsiaTheme="minorHAnsi" w:hAnsiTheme="minorHAnsi" w:cstheme="minorBidi"/>
          <w:szCs w:val="22"/>
          <w:lang w:val="lt-LT"/>
        </w:rPr>
      </w:pPr>
      <w:r>
        <w:rPr>
          <w:lang w:val="lt-LT"/>
        </w:rPr>
        <w:t>p</w:t>
      </w:r>
      <w:r w:rsidRPr="0059462A">
        <w:rPr>
          <w:lang w:val="lt-LT"/>
        </w:rPr>
        <w:t>aricalcitolum</w:t>
      </w:r>
    </w:p>
    <w:p w14:paraId="23CA45D5" w14:textId="77777777" w:rsidR="00E3770F" w:rsidRPr="0059462A" w:rsidRDefault="00E3770F" w:rsidP="00E3770F">
      <w:pPr>
        <w:tabs>
          <w:tab w:val="clear" w:pos="567"/>
        </w:tabs>
        <w:spacing w:line="240" w:lineRule="auto"/>
        <w:rPr>
          <w:lang w:val="lt-LT"/>
        </w:rPr>
      </w:pPr>
    </w:p>
    <w:p w14:paraId="21E5CAC2" w14:textId="77777777" w:rsidR="00E3770F" w:rsidRPr="0059462A" w:rsidRDefault="00E3770F" w:rsidP="00E3770F">
      <w:pPr>
        <w:tabs>
          <w:tab w:val="clear" w:pos="567"/>
        </w:tabs>
        <w:rPr>
          <w:lang w:val="lt-LT"/>
        </w:rPr>
      </w:pPr>
    </w:p>
    <w:p w14:paraId="07A027CE"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59462A">
        <w:rPr>
          <w:b/>
          <w:lang w:val="lt-LT"/>
        </w:rPr>
        <w:t>2.</w:t>
      </w:r>
      <w:r w:rsidRPr="0059462A">
        <w:rPr>
          <w:b/>
          <w:lang w:val="lt-LT"/>
        </w:rPr>
        <w:tab/>
        <w:t>VEIKLIOJI (-IOS) MEDŽIAGA (-OS) IR JOS (-Ų) KIEKIS (-IAI)</w:t>
      </w:r>
    </w:p>
    <w:p w14:paraId="2623CD93" w14:textId="77777777" w:rsidR="00E3770F" w:rsidRPr="0059462A" w:rsidRDefault="00E3770F" w:rsidP="00E3770F">
      <w:pPr>
        <w:tabs>
          <w:tab w:val="clear" w:pos="567"/>
        </w:tabs>
        <w:spacing w:line="240" w:lineRule="auto"/>
        <w:rPr>
          <w:lang w:val="lt-LT"/>
        </w:rPr>
      </w:pPr>
    </w:p>
    <w:p w14:paraId="46923BAC" w14:textId="77777777" w:rsidR="00E3770F" w:rsidRPr="0059462A" w:rsidRDefault="00E3770F" w:rsidP="00E3770F">
      <w:pPr>
        <w:rPr>
          <w:lang w:val="lt-LT"/>
        </w:rPr>
      </w:pPr>
      <w:r w:rsidRPr="0059462A">
        <w:rPr>
          <w:lang w:val="lt-LT"/>
        </w:rPr>
        <w:t>Kiekvienoje minkštojoje kapsulėje yra 2 mikrogramai parikalcitolio.</w:t>
      </w:r>
    </w:p>
    <w:p w14:paraId="730802F5" w14:textId="77777777" w:rsidR="00E3770F" w:rsidRPr="0059462A" w:rsidRDefault="00E3770F" w:rsidP="00E3770F">
      <w:pPr>
        <w:tabs>
          <w:tab w:val="clear" w:pos="567"/>
        </w:tabs>
        <w:spacing w:line="240" w:lineRule="auto"/>
        <w:rPr>
          <w:lang w:val="lt-LT"/>
        </w:rPr>
      </w:pPr>
    </w:p>
    <w:p w14:paraId="15666A2A" w14:textId="77777777" w:rsidR="00E3770F" w:rsidRPr="0059462A" w:rsidRDefault="00E3770F" w:rsidP="00E3770F">
      <w:pPr>
        <w:tabs>
          <w:tab w:val="clear" w:pos="567"/>
        </w:tabs>
        <w:spacing w:line="240" w:lineRule="auto"/>
        <w:rPr>
          <w:lang w:val="lt-LT"/>
        </w:rPr>
      </w:pPr>
    </w:p>
    <w:p w14:paraId="15039C29"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3.</w:t>
      </w:r>
      <w:r w:rsidRPr="0059462A">
        <w:rPr>
          <w:b/>
          <w:lang w:val="lt-LT"/>
        </w:rPr>
        <w:tab/>
        <w:t>PAGALBINIŲ MEDŽIAGŲ SĄRAŠAS</w:t>
      </w:r>
    </w:p>
    <w:p w14:paraId="468A8EA3" w14:textId="77777777" w:rsidR="00E3770F" w:rsidRPr="0059462A" w:rsidRDefault="00E3770F" w:rsidP="00E3770F">
      <w:pPr>
        <w:pStyle w:val="Pagrindinistekstas"/>
        <w:rPr>
          <w:lang w:val="lt-LT"/>
        </w:rPr>
      </w:pPr>
    </w:p>
    <w:p w14:paraId="4C8ED077" w14:textId="77777777" w:rsidR="00E3770F" w:rsidRPr="0059462A" w:rsidRDefault="00E3770F" w:rsidP="00E3770F">
      <w:pPr>
        <w:pStyle w:val="Pagrindinistekstas"/>
        <w:rPr>
          <w:lang w:val="lt-LT"/>
        </w:rPr>
      </w:pPr>
      <w:r w:rsidRPr="0059462A">
        <w:rPr>
          <w:i w:val="0"/>
          <w:color w:val="auto"/>
          <w:lang w:val="lt-LT"/>
        </w:rPr>
        <w:t>Šiame vaistiniame preparate yra nedidelis kiekis etanolio (alkoholio): mažiau nei 100 mg vienoje 2 mikrogramų kapsulėje.</w:t>
      </w:r>
    </w:p>
    <w:p w14:paraId="1DE0497D" w14:textId="77777777" w:rsidR="00E3770F" w:rsidRPr="0059462A" w:rsidRDefault="00E3770F" w:rsidP="00E3770F">
      <w:pPr>
        <w:pStyle w:val="Pagrindinistekstas"/>
        <w:rPr>
          <w:lang w:val="lt-LT"/>
        </w:rPr>
      </w:pPr>
    </w:p>
    <w:p w14:paraId="406FF53C" w14:textId="77777777" w:rsidR="00E3770F" w:rsidRPr="0059462A" w:rsidRDefault="00E3770F" w:rsidP="00E3770F">
      <w:pPr>
        <w:pStyle w:val="Pagrindinistekstas"/>
        <w:rPr>
          <w:lang w:val="lt-LT"/>
        </w:rPr>
      </w:pPr>
      <w:r w:rsidRPr="0059462A">
        <w:rPr>
          <w:i w:val="0"/>
          <w:color w:val="auto"/>
          <w:lang w:val="lt-LT"/>
        </w:rPr>
        <w:t>Daugiau informacijos pateikiama pakuotės lapelyje.</w:t>
      </w:r>
    </w:p>
    <w:p w14:paraId="221FDAD0" w14:textId="77777777" w:rsidR="00E3770F" w:rsidRPr="0059462A" w:rsidRDefault="00E3770F" w:rsidP="00E3770F">
      <w:pPr>
        <w:pStyle w:val="Pagrindinistekstas"/>
        <w:rPr>
          <w:lang w:val="lt-LT"/>
        </w:rPr>
      </w:pPr>
    </w:p>
    <w:p w14:paraId="3B1A1323" w14:textId="77777777" w:rsidR="00E3770F" w:rsidRPr="0059462A" w:rsidRDefault="00E3770F" w:rsidP="00E3770F">
      <w:pPr>
        <w:rPr>
          <w:lang w:val="lt-LT"/>
        </w:rPr>
      </w:pPr>
    </w:p>
    <w:p w14:paraId="725CFAAE"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w:t>
      </w:r>
      <w:r w:rsidRPr="0059462A">
        <w:rPr>
          <w:b/>
          <w:lang w:val="lt-LT"/>
        </w:rPr>
        <w:tab/>
        <w:t>FARMACINĖ FORMA IR KIEKIS PAKUOTĖJE</w:t>
      </w:r>
    </w:p>
    <w:p w14:paraId="7409E4A9"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p>
    <w:p w14:paraId="3A96268C"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r w:rsidRPr="0059462A">
        <w:rPr>
          <w:sz w:val="22"/>
          <w:lang w:val="lt-LT"/>
        </w:rPr>
        <w:t>7 minkštosios kapsulės</w:t>
      </w:r>
    </w:p>
    <w:p w14:paraId="2D51AC24" w14:textId="77777777" w:rsidR="00E3770F" w:rsidRPr="0059462A" w:rsidRDefault="00E3770F" w:rsidP="00E3770F">
      <w:pPr>
        <w:rPr>
          <w:rFonts w:asciiTheme="minorHAnsi" w:eastAsiaTheme="minorHAnsi" w:hAnsiTheme="minorHAnsi" w:cstheme="minorBidi"/>
          <w:szCs w:val="22"/>
          <w:lang w:val="lt-LT"/>
        </w:rPr>
      </w:pPr>
      <w:r w:rsidRPr="0059462A">
        <w:rPr>
          <w:highlight w:val="lightGray"/>
          <w:lang w:val="lt-LT"/>
        </w:rPr>
        <w:t>28  minkštosios kapsulės</w:t>
      </w:r>
    </w:p>
    <w:p w14:paraId="3145AE68" w14:textId="77777777" w:rsidR="00E3770F" w:rsidRPr="0059462A" w:rsidRDefault="00E3770F" w:rsidP="00E3770F">
      <w:pPr>
        <w:rPr>
          <w:lang w:val="lt-LT"/>
        </w:rPr>
      </w:pPr>
    </w:p>
    <w:p w14:paraId="594090A4" w14:textId="77777777" w:rsidR="00E3770F" w:rsidRPr="0059462A" w:rsidRDefault="00E3770F" w:rsidP="00E3770F">
      <w:pPr>
        <w:rPr>
          <w:lang w:val="lt-LT"/>
        </w:rPr>
      </w:pPr>
    </w:p>
    <w:p w14:paraId="1CF9BAA6"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5.</w:t>
      </w:r>
      <w:r w:rsidRPr="0059462A">
        <w:rPr>
          <w:b/>
          <w:lang w:val="lt-LT"/>
        </w:rPr>
        <w:tab/>
        <w:t>VARTOJIMO METODAS IR BŪDAS (-AI)</w:t>
      </w:r>
    </w:p>
    <w:p w14:paraId="337A2854" w14:textId="77777777" w:rsidR="00E3770F" w:rsidRPr="0059462A" w:rsidRDefault="00E3770F" w:rsidP="00E3770F">
      <w:pPr>
        <w:tabs>
          <w:tab w:val="clear" w:pos="567"/>
        </w:tabs>
        <w:spacing w:line="240" w:lineRule="auto"/>
        <w:rPr>
          <w:i/>
          <w:lang w:val="lt-LT"/>
        </w:rPr>
      </w:pPr>
    </w:p>
    <w:p w14:paraId="7069F6EE" w14:textId="77777777" w:rsidR="00E3770F" w:rsidRPr="0059462A" w:rsidRDefault="00E3770F" w:rsidP="00E3770F">
      <w:pPr>
        <w:tabs>
          <w:tab w:val="clear" w:pos="567"/>
        </w:tabs>
        <w:spacing w:line="240" w:lineRule="auto"/>
        <w:rPr>
          <w:rFonts w:asciiTheme="minorHAnsi" w:eastAsiaTheme="minorHAnsi" w:hAnsiTheme="minorHAnsi" w:cstheme="minorBidi"/>
          <w:szCs w:val="22"/>
          <w:lang w:val="lt-LT"/>
        </w:rPr>
      </w:pPr>
      <w:r w:rsidRPr="0059462A">
        <w:rPr>
          <w:lang w:val="lt-LT"/>
        </w:rPr>
        <w:t>Vartoti per burną.</w:t>
      </w:r>
    </w:p>
    <w:p w14:paraId="2C32EF30" w14:textId="77777777" w:rsidR="00E3770F" w:rsidRPr="0059462A" w:rsidRDefault="00E3770F" w:rsidP="00E3770F">
      <w:pPr>
        <w:tabs>
          <w:tab w:val="clear" w:pos="567"/>
        </w:tabs>
        <w:spacing w:line="240" w:lineRule="auto"/>
        <w:rPr>
          <w:lang w:val="lt-LT"/>
        </w:rPr>
      </w:pPr>
    </w:p>
    <w:p w14:paraId="390EDF7A" w14:textId="77777777" w:rsidR="00E3770F" w:rsidRPr="0059462A" w:rsidRDefault="00E3770F" w:rsidP="00E3770F">
      <w:pPr>
        <w:tabs>
          <w:tab w:val="clear" w:pos="567"/>
        </w:tabs>
        <w:spacing w:line="240" w:lineRule="auto"/>
        <w:rPr>
          <w:rFonts w:asciiTheme="minorHAnsi" w:eastAsiaTheme="minorHAnsi" w:hAnsiTheme="minorHAnsi" w:cstheme="minorBidi"/>
          <w:szCs w:val="22"/>
          <w:lang w:val="lt-LT"/>
        </w:rPr>
      </w:pPr>
      <w:r w:rsidRPr="0059462A">
        <w:rPr>
          <w:lang w:val="lt-LT"/>
        </w:rPr>
        <w:t>Prieš vartojimą perskaitykite pakuotės lapelį.</w:t>
      </w:r>
    </w:p>
    <w:p w14:paraId="0AA01966" w14:textId="77777777" w:rsidR="00E3770F" w:rsidRPr="0059462A" w:rsidRDefault="00E3770F" w:rsidP="00E3770F">
      <w:pPr>
        <w:tabs>
          <w:tab w:val="clear" w:pos="567"/>
        </w:tabs>
        <w:spacing w:line="240" w:lineRule="auto"/>
        <w:rPr>
          <w:lang w:val="lt-LT"/>
        </w:rPr>
      </w:pPr>
    </w:p>
    <w:p w14:paraId="3AFB1BDF" w14:textId="77777777" w:rsidR="00E3770F" w:rsidRPr="0059462A" w:rsidRDefault="00E3770F" w:rsidP="00E3770F">
      <w:pPr>
        <w:tabs>
          <w:tab w:val="clear" w:pos="567"/>
        </w:tabs>
        <w:spacing w:line="240" w:lineRule="auto"/>
        <w:rPr>
          <w:lang w:val="lt-LT"/>
        </w:rPr>
      </w:pPr>
    </w:p>
    <w:p w14:paraId="4E690E3B" w14:textId="77777777" w:rsidR="00E3770F" w:rsidRPr="0059462A" w:rsidRDefault="00E3770F" w:rsidP="00E3770F">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6.</w:t>
      </w:r>
      <w:r w:rsidRPr="0059462A">
        <w:rPr>
          <w:b/>
          <w:lang w:val="lt-LT"/>
        </w:rPr>
        <w:tab/>
        <w:t>SPECIALUS ĮSPĖJIMAS, KAD VAISTINĮ PREPARATĄ BŪTINA LAIKYTI VAIKAMS NEPASTEBIMOJE IR NEPASIEKIAMOJE VIETOJE</w:t>
      </w:r>
    </w:p>
    <w:p w14:paraId="2F53CD91" w14:textId="77777777" w:rsidR="00E3770F" w:rsidRPr="0059462A" w:rsidRDefault="00E3770F" w:rsidP="00E3770F">
      <w:pPr>
        <w:tabs>
          <w:tab w:val="clear" w:pos="567"/>
        </w:tabs>
        <w:spacing w:line="240" w:lineRule="auto"/>
        <w:rPr>
          <w:lang w:val="lt-LT"/>
        </w:rPr>
      </w:pPr>
    </w:p>
    <w:p w14:paraId="3D020F3D" w14:textId="77777777" w:rsidR="00E3770F" w:rsidRPr="0059462A" w:rsidRDefault="00E3770F" w:rsidP="00E3770F">
      <w:pPr>
        <w:pStyle w:val="Pagrindinistekstas"/>
        <w:rPr>
          <w:lang w:val="lt-LT"/>
        </w:rPr>
      </w:pPr>
      <w:r w:rsidRPr="0059462A">
        <w:rPr>
          <w:i w:val="0"/>
          <w:color w:val="auto"/>
          <w:lang w:val="lt-LT"/>
        </w:rPr>
        <w:t>Laikyti vaikams nepastebimoje ir nepasiekiamoje vietoje.</w:t>
      </w:r>
    </w:p>
    <w:p w14:paraId="130F6FA7" w14:textId="77777777" w:rsidR="00E3770F" w:rsidRPr="0059462A" w:rsidRDefault="00E3770F" w:rsidP="00E3770F">
      <w:pPr>
        <w:tabs>
          <w:tab w:val="clear" w:pos="567"/>
        </w:tabs>
        <w:spacing w:line="240" w:lineRule="auto"/>
        <w:rPr>
          <w:lang w:val="lt-LT"/>
        </w:rPr>
      </w:pPr>
    </w:p>
    <w:p w14:paraId="523B2100" w14:textId="77777777" w:rsidR="00E3770F" w:rsidRPr="0059462A" w:rsidRDefault="00E3770F" w:rsidP="00E3770F">
      <w:pPr>
        <w:tabs>
          <w:tab w:val="clear" w:pos="567"/>
        </w:tabs>
        <w:spacing w:line="240" w:lineRule="auto"/>
        <w:rPr>
          <w:lang w:val="lt-LT"/>
        </w:rPr>
      </w:pPr>
    </w:p>
    <w:p w14:paraId="416DD3D8"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7.</w:t>
      </w:r>
      <w:r w:rsidRPr="0059462A">
        <w:rPr>
          <w:b/>
          <w:lang w:val="lt-LT"/>
        </w:rPr>
        <w:tab/>
        <w:t>KITAS (-I) SPECIALUS (-ŪS) ĮSPĖJIMAS (-AI) (JEI REIKIA)</w:t>
      </w:r>
    </w:p>
    <w:p w14:paraId="2D64CCF4" w14:textId="77777777" w:rsidR="00E3770F" w:rsidRPr="0059462A" w:rsidRDefault="00E3770F" w:rsidP="00E3770F">
      <w:pPr>
        <w:tabs>
          <w:tab w:val="clear" w:pos="567"/>
        </w:tabs>
        <w:spacing w:line="240" w:lineRule="auto"/>
        <w:rPr>
          <w:lang w:val="lt-LT"/>
        </w:rPr>
      </w:pPr>
    </w:p>
    <w:p w14:paraId="0F176B0F" w14:textId="77777777" w:rsidR="00E3770F" w:rsidRPr="0059462A" w:rsidRDefault="00E3770F" w:rsidP="00E3770F">
      <w:pPr>
        <w:tabs>
          <w:tab w:val="clear" w:pos="567"/>
        </w:tabs>
        <w:spacing w:line="240" w:lineRule="auto"/>
        <w:rPr>
          <w:lang w:val="lt-LT"/>
        </w:rPr>
      </w:pPr>
    </w:p>
    <w:p w14:paraId="1072DDB1"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8.</w:t>
      </w:r>
      <w:r w:rsidRPr="0059462A">
        <w:rPr>
          <w:b/>
          <w:lang w:val="lt-LT"/>
        </w:rPr>
        <w:tab/>
        <w:t>TINKAMUMO LAIKAS</w:t>
      </w:r>
    </w:p>
    <w:p w14:paraId="21AF8E78" w14:textId="77777777" w:rsidR="00E3770F" w:rsidRPr="0059462A" w:rsidRDefault="00E3770F" w:rsidP="00E3770F">
      <w:pPr>
        <w:tabs>
          <w:tab w:val="clear" w:pos="567"/>
        </w:tabs>
        <w:spacing w:line="240" w:lineRule="auto"/>
        <w:rPr>
          <w:lang w:val="lt-LT"/>
        </w:rPr>
      </w:pPr>
    </w:p>
    <w:p w14:paraId="66F949CA" w14:textId="77777777" w:rsidR="00E3770F" w:rsidRPr="0059462A" w:rsidRDefault="00E3770F" w:rsidP="00E3770F">
      <w:pPr>
        <w:tabs>
          <w:tab w:val="clear" w:pos="567"/>
        </w:tabs>
        <w:spacing w:line="240" w:lineRule="auto"/>
        <w:rPr>
          <w:lang w:val="lt-LT"/>
        </w:rPr>
      </w:pPr>
      <w:r w:rsidRPr="00FB39A9">
        <w:rPr>
          <w:lang w:val="lt-LT"/>
        </w:rPr>
        <w:t>EXP (</w:t>
      </w:r>
      <w:r w:rsidRPr="0059462A">
        <w:rPr>
          <w:lang w:val="lt-LT"/>
        </w:rPr>
        <w:t>mm/MMMM)</w:t>
      </w:r>
    </w:p>
    <w:p w14:paraId="0490AD11" w14:textId="77777777" w:rsidR="00E3770F" w:rsidRPr="0059462A" w:rsidRDefault="00E3770F" w:rsidP="00E3770F">
      <w:pPr>
        <w:tabs>
          <w:tab w:val="clear" w:pos="567"/>
        </w:tabs>
        <w:spacing w:line="240" w:lineRule="auto"/>
        <w:rPr>
          <w:lang w:val="lt-LT"/>
        </w:rPr>
      </w:pPr>
    </w:p>
    <w:p w14:paraId="3D4C211E" w14:textId="77777777" w:rsidR="00E3770F" w:rsidRPr="0059462A" w:rsidRDefault="00E3770F" w:rsidP="00E3770F">
      <w:pPr>
        <w:tabs>
          <w:tab w:val="clear" w:pos="567"/>
        </w:tabs>
        <w:spacing w:line="240" w:lineRule="auto"/>
        <w:rPr>
          <w:lang w:val="lt-LT"/>
        </w:rPr>
      </w:pPr>
    </w:p>
    <w:p w14:paraId="2C9F61BA"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9.</w:t>
      </w:r>
      <w:r w:rsidRPr="0059462A">
        <w:rPr>
          <w:b/>
          <w:lang w:val="lt-LT"/>
        </w:rPr>
        <w:tab/>
      </w:r>
      <w:r w:rsidRPr="0059462A">
        <w:rPr>
          <w:b/>
          <w:caps/>
          <w:lang w:val="lt-LT"/>
        </w:rPr>
        <w:t>SPECIALIOS laikymo sąlygos</w:t>
      </w:r>
    </w:p>
    <w:p w14:paraId="7974F0A3" w14:textId="77777777" w:rsidR="00E3770F" w:rsidRPr="0059462A" w:rsidRDefault="00E3770F" w:rsidP="00E3770F">
      <w:pPr>
        <w:tabs>
          <w:tab w:val="clear" w:pos="567"/>
        </w:tabs>
        <w:spacing w:line="240" w:lineRule="auto"/>
        <w:ind w:left="567" w:hanging="567"/>
        <w:rPr>
          <w:lang w:val="lt-LT"/>
        </w:rPr>
      </w:pPr>
    </w:p>
    <w:p w14:paraId="164095C7" w14:textId="77777777" w:rsidR="00E3770F" w:rsidRPr="0059462A" w:rsidRDefault="00E3770F" w:rsidP="00E3770F">
      <w:pPr>
        <w:tabs>
          <w:tab w:val="clear" w:pos="567"/>
        </w:tabs>
        <w:spacing w:line="240" w:lineRule="auto"/>
        <w:ind w:left="567" w:hanging="567"/>
        <w:rPr>
          <w:lang w:val="lt-LT"/>
        </w:rPr>
      </w:pPr>
    </w:p>
    <w:p w14:paraId="46BEB0CF"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59462A">
        <w:rPr>
          <w:b/>
          <w:lang w:val="lt-LT"/>
        </w:rPr>
        <w:lastRenderedPageBreak/>
        <w:t>10.</w:t>
      </w:r>
      <w:r w:rsidRPr="0059462A">
        <w:rPr>
          <w:b/>
          <w:lang w:val="lt-LT"/>
        </w:rPr>
        <w:tab/>
      </w:r>
      <w:r w:rsidRPr="0059462A">
        <w:rPr>
          <w:b/>
          <w:caps/>
          <w:lang w:val="lt-LT"/>
        </w:rPr>
        <w:t xml:space="preserve">specialios atsargumo priemonės DĖL NESUVARTOTO VAISTINIO PREPARATO AR </w:t>
      </w:r>
      <w:r w:rsidRPr="00FB39A9">
        <w:rPr>
          <w:b/>
          <w:caps/>
          <w:lang w:val="lt-LT"/>
        </w:rPr>
        <w:t>JO ATLIEK</w:t>
      </w:r>
      <w:r w:rsidRPr="00FB39A9">
        <w:rPr>
          <w:b/>
          <w:lang w:val="lt-LT"/>
        </w:rPr>
        <w:t>Ų</w:t>
      </w:r>
      <w:r w:rsidRPr="0059462A">
        <w:rPr>
          <w:caps/>
          <w:lang w:val="lt-LT"/>
        </w:rPr>
        <w:t xml:space="preserve"> </w:t>
      </w:r>
      <w:r w:rsidRPr="0059462A">
        <w:rPr>
          <w:b/>
          <w:caps/>
          <w:lang w:val="lt-LT"/>
        </w:rPr>
        <w:t>TVARKYMO (jei reikia)</w:t>
      </w:r>
    </w:p>
    <w:p w14:paraId="1C91D3E9" w14:textId="77777777" w:rsidR="00E3770F" w:rsidRPr="0059462A" w:rsidRDefault="00E3770F" w:rsidP="00E3770F">
      <w:pPr>
        <w:tabs>
          <w:tab w:val="clear" w:pos="567"/>
        </w:tabs>
        <w:spacing w:line="240" w:lineRule="auto"/>
        <w:rPr>
          <w:lang w:val="lt-LT"/>
        </w:rPr>
      </w:pPr>
    </w:p>
    <w:p w14:paraId="217B5BE7" w14:textId="77777777" w:rsidR="00E3770F" w:rsidRPr="0059462A" w:rsidRDefault="00E3770F" w:rsidP="00E3770F">
      <w:pPr>
        <w:tabs>
          <w:tab w:val="clear" w:pos="567"/>
        </w:tabs>
        <w:spacing w:line="240" w:lineRule="auto"/>
        <w:rPr>
          <w:lang w:val="lt-LT"/>
        </w:rPr>
      </w:pPr>
    </w:p>
    <w:p w14:paraId="1481609F"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b/>
          <w:szCs w:val="22"/>
          <w:lang w:val="lt-LT"/>
        </w:rPr>
      </w:pPr>
      <w:r w:rsidRPr="0059462A">
        <w:rPr>
          <w:b/>
          <w:lang w:val="lt-LT"/>
        </w:rPr>
        <w:t>11.</w:t>
      </w:r>
      <w:r w:rsidRPr="0059462A">
        <w:rPr>
          <w:b/>
          <w:lang w:val="lt-LT"/>
        </w:rPr>
        <w:tab/>
      </w:r>
      <w:r w:rsidRPr="0059462A">
        <w:rPr>
          <w:b/>
          <w:caps/>
          <w:lang w:val="lt-LT"/>
        </w:rPr>
        <w:t>REGISTRUOTOJO pavadinimas ir adresas</w:t>
      </w:r>
    </w:p>
    <w:p w14:paraId="426473FA"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shd w:val="clear" w:color="auto" w:fill="FFFFFF"/>
          <w:lang w:val="lt-LT"/>
        </w:rPr>
      </w:pPr>
    </w:p>
    <w:p w14:paraId="22C20AD9"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shd w:val="clear" w:color="auto" w:fill="FFFFFF"/>
          <w:lang w:val="lt-LT"/>
        </w:rPr>
      </w:pPr>
      <w:r w:rsidRPr="0059462A">
        <w:rPr>
          <w:sz w:val="22"/>
          <w:shd w:val="clear" w:color="auto" w:fill="FFFFFF"/>
          <w:lang w:val="lt-LT"/>
        </w:rPr>
        <w:t>Registruotojas:</w:t>
      </w:r>
    </w:p>
    <w:p w14:paraId="0926F62F" w14:textId="77777777" w:rsidR="00E3770F" w:rsidRPr="0059462A" w:rsidRDefault="00E3770F" w:rsidP="00E3770F">
      <w:pPr>
        <w:rPr>
          <w:rFonts w:asciiTheme="minorHAnsi" w:eastAsiaTheme="minorHAnsi" w:hAnsiTheme="minorHAnsi" w:cstheme="minorBidi"/>
          <w:szCs w:val="22"/>
          <w:lang w:val="lt-LT"/>
        </w:rPr>
      </w:pPr>
      <w:r w:rsidRPr="0059462A">
        <w:rPr>
          <w:lang w:val="lt-LT"/>
        </w:rPr>
        <w:t>AbbVie SIA</w:t>
      </w:r>
    </w:p>
    <w:p w14:paraId="36BF2A43" w14:textId="77777777" w:rsidR="00E3770F" w:rsidRPr="0059462A" w:rsidRDefault="00E3770F" w:rsidP="00E3770F">
      <w:pPr>
        <w:rPr>
          <w:color w:val="000000"/>
          <w:lang w:val="lt-LT"/>
        </w:rPr>
      </w:pPr>
      <w:r w:rsidRPr="00FB39A9">
        <w:rPr>
          <w:lang w:val="lt-LT"/>
        </w:rPr>
        <w:t>Vaiņodes 1</w:t>
      </w:r>
      <w:r w:rsidRPr="0059462A">
        <w:rPr>
          <w:color w:val="000000"/>
          <w:lang w:val="lt-LT"/>
        </w:rPr>
        <w:t xml:space="preserve"> </w:t>
      </w:r>
    </w:p>
    <w:p w14:paraId="5EC5273A"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 xml:space="preserve">Rīga LV 1004 </w:t>
      </w:r>
    </w:p>
    <w:p w14:paraId="4C7EC292"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Latvija</w:t>
      </w:r>
    </w:p>
    <w:p w14:paraId="35FB4776" w14:textId="77777777" w:rsidR="00E3770F" w:rsidRPr="0059462A" w:rsidRDefault="00E3770F" w:rsidP="00E3770F">
      <w:pPr>
        <w:tabs>
          <w:tab w:val="clear" w:pos="567"/>
        </w:tabs>
        <w:spacing w:line="240" w:lineRule="auto"/>
        <w:rPr>
          <w:lang w:val="lt-LT"/>
        </w:rPr>
      </w:pPr>
    </w:p>
    <w:p w14:paraId="03F14D57" w14:textId="77777777" w:rsidR="00E3770F" w:rsidRPr="0059462A" w:rsidRDefault="00E3770F" w:rsidP="00E3770F">
      <w:pPr>
        <w:tabs>
          <w:tab w:val="clear" w:pos="567"/>
        </w:tabs>
        <w:spacing w:line="240" w:lineRule="auto"/>
        <w:rPr>
          <w:lang w:val="lt-LT"/>
        </w:rPr>
      </w:pPr>
    </w:p>
    <w:p w14:paraId="5B30C36B"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12.</w:t>
      </w:r>
      <w:r w:rsidRPr="0059462A">
        <w:rPr>
          <w:b/>
          <w:lang w:val="lt-LT"/>
        </w:rPr>
        <w:tab/>
      </w:r>
      <w:r w:rsidRPr="0059462A">
        <w:rPr>
          <w:b/>
          <w:caps/>
          <w:lang w:val="lt-LT"/>
        </w:rPr>
        <w:t>REGISTRACIJOS PAŽYMĖJIMO numeris</w:t>
      </w:r>
      <w:r w:rsidRPr="00FB39A9">
        <w:rPr>
          <w:b/>
          <w:lang w:val="lt-LT"/>
        </w:rPr>
        <w:t xml:space="preserve"> </w:t>
      </w:r>
    </w:p>
    <w:p w14:paraId="78C5BE47" w14:textId="77777777" w:rsidR="00E3770F" w:rsidRPr="0059462A" w:rsidRDefault="00E3770F" w:rsidP="00E3770F">
      <w:pPr>
        <w:tabs>
          <w:tab w:val="clear" w:pos="567"/>
        </w:tabs>
        <w:spacing w:line="240" w:lineRule="auto"/>
        <w:rPr>
          <w:lang w:val="lt-LT"/>
        </w:rPr>
      </w:pPr>
    </w:p>
    <w:p w14:paraId="5521A4E6" w14:textId="77777777" w:rsidR="00E3770F" w:rsidRPr="0059462A" w:rsidRDefault="00E3770F" w:rsidP="00E3770F">
      <w:pPr>
        <w:pStyle w:val="BTEMEASMCA"/>
      </w:pPr>
      <w:r w:rsidRPr="0059462A">
        <w:t>N7 – LT/1/08/1042/004</w:t>
      </w:r>
    </w:p>
    <w:p w14:paraId="06BFF62E" w14:textId="77777777" w:rsidR="00E3770F" w:rsidRPr="0059462A" w:rsidRDefault="00E3770F" w:rsidP="00E3770F">
      <w:pPr>
        <w:pStyle w:val="BTEMEASMCA"/>
      </w:pPr>
      <w:r w:rsidRPr="0059462A">
        <w:t>N28 – LT/1/08/1042/005</w:t>
      </w:r>
    </w:p>
    <w:p w14:paraId="0D540866" w14:textId="77777777" w:rsidR="00E3770F" w:rsidRPr="0059462A" w:rsidRDefault="00E3770F" w:rsidP="00E3770F">
      <w:pPr>
        <w:tabs>
          <w:tab w:val="clear" w:pos="567"/>
        </w:tabs>
        <w:spacing w:line="240" w:lineRule="auto"/>
        <w:rPr>
          <w:lang w:val="lt-LT"/>
        </w:rPr>
      </w:pPr>
    </w:p>
    <w:p w14:paraId="6BD2E1AE" w14:textId="77777777" w:rsidR="00E3770F" w:rsidRPr="0059462A" w:rsidRDefault="00E3770F" w:rsidP="00E3770F">
      <w:pPr>
        <w:tabs>
          <w:tab w:val="clear" w:pos="567"/>
        </w:tabs>
        <w:spacing w:line="240" w:lineRule="auto"/>
        <w:rPr>
          <w:lang w:val="lt-LT"/>
        </w:rPr>
      </w:pPr>
    </w:p>
    <w:p w14:paraId="1428CBFF"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13.</w:t>
      </w:r>
      <w:r w:rsidRPr="0059462A">
        <w:rPr>
          <w:b/>
          <w:lang w:val="lt-LT"/>
        </w:rPr>
        <w:tab/>
        <w:t>SERIJOS NUMERIS</w:t>
      </w:r>
    </w:p>
    <w:p w14:paraId="7C26ABCE" w14:textId="77777777" w:rsidR="00E3770F" w:rsidRPr="0059462A" w:rsidRDefault="00E3770F" w:rsidP="00E3770F">
      <w:pPr>
        <w:tabs>
          <w:tab w:val="clear" w:pos="567"/>
        </w:tabs>
        <w:spacing w:line="240" w:lineRule="auto"/>
        <w:rPr>
          <w:lang w:val="lt-LT"/>
        </w:rPr>
      </w:pPr>
    </w:p>
    <w:p w14:paraId="729A0A8C" w14:textId="77777777" w:rsidR="00E3770F" w:rsidRPr="00FB39A9" w:rsidRDefault="00E3770F" w:rsidP="00E3770F">
      <w:pPr>
        <w:spacing w:line="240" w:lineRule="auto"/>
        <w:rPr>
          <w:i/>
          <w:lang w:val="lt-LT"/>
        </w:rPr>
      </w:pPr>
      <w:r w:rsidRPr="00FB39A9">
        <w:rPr>
          <w:lang w:val="lt-LT"/>
        </w:rPr>
        <w:t>Lot</w:t>
      </w:r>
    </w:p>
    <w:p w14:paraId="1A93A1DC" w14:textId="77777777" w:rsidR="00E3770F" w:rsidRPr="0059462A" w:rsidRDefault="00E3770F" w:rsidP="00E3770F">
      <w:pPr>
        <w:tabs>
          <w:tab w:val="clear" w:pos="567"/>
        </w:tabs>
        <w:spacing w:line="240" w:lineRule="auto"/>
        <w:rPr>
          <w:lang w:val="lt-LT"/>
        </w:rPr>
      </w:pPr>
    </w:p>
    <w:p w14:paraId="2CB53849" w14:textId="77777777" w:rsidR="00E3770F" w:rsidRPr="0059462A" w:rsidRDefault="00E3770F" w:rsidP="00E3770F">
      <w:pPr>
        <w:tabs>
          <w:tab w:val="clear" w:pos="567"/>
        </w:tabs>
        <w:spacing w:line="240" w:lineRule="auto"/>
        <w:rPr>
          <w:lang w:val="lt-LT"/>
        </w:rPr>
      </w:pPr>
    </w:p>
    <w:p w14:paraId="3F3D074F"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14.</w:t>
      </w:r>
      <w:r w:rsidRPr="0059462A">
        <w:rPr>
          <w:b/>
          <w:lang w:val="lt-LT"/>
        </w:rPr>
        <w:tab/>
        <w:t>PARDAVIMO (IŠDAVIMO)</w:t>
      </w:r>
      <w:r w:rsidRPr="00FB39A9">
        <w:rPr>
          <w:b/>
          <w:caps/>
          <w:lang w:val="lt-LT"/>
        </w:rPr>
        <w:t xml:space="preserve"> tvarka</w:t>
      </w:r>
    </w:p>
    <w:p w14:paraId="234E43C8" w14:textId="77777777" w:rsidR="00E3770F" w:rsidRPr="0059462A" w:rsidRDefault="00E3770F" w:rsidP="00E3770F">
      <w:pPr>
        <w:tabs>
          <w:tab w:val="clear" w:pos="567"/>
        </w:tabs>
        <w:spacing w:line="240" w:lineRule="auto"/>
        <w:rPr>
          <w:lang w:val="lt-LT"/>
        </w:rPr>
      </w:pPr>
    </w:p>
    <w:p w14:paraId="0C8B2095"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Receptinis vaist</w:t>
      </w:r>
      <w:r w:rsidRPr="00FB39A9">
        <w:rPr>
          <w:lang w:val="lt-LT"/>
        </w:rPr>
        <w:t>as.</w:t>
      </w:r>
    </w:p>
    <w:p w14:paraId="506DAE33" w14:textId="77777777" w:rsidR="00E3770F" w:rsidRPr="0059462A" w:rsidRDefault="00E3770F" w:rsidP="00E3770F">
      <w:pPr>
        <w:tabs>
          <w:tab w:val="clear" w:pos="567"/>
        </w:tabs>
        <w:spacing w:line="240" w:lineRule="auto"/>
        <w:rPr>
          <w:lang w:val="lt-LT"/>
        </w:rPr>
      </w:pPr>
    </w:p>
    <w:p w14:paraId="1AC0AB9A" w14:textId="77777777" w:rsidR="00E3770F" w:rsidRPr="0059462A" w:rsidRDefault="00E3770F" w:rsidP="00E3770F">
      <w:pPr>
        <w:tabs>
          <w:tab w:val="clear" w:pos="567"/>
        </w:tabs>
        <w:spacing w:line="240" w:lineRule="auto"/>
        <w:rPr>
          <w:lang w:val="lt-LT"/>
        </w:rPr>
      </w:pPr>
    </w:p>
    <w:p w14:paraId="6C83FAF3"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15.</w:t>
      </w:r>
      <w:r w:rsidRPr="0059462A">
        <w:rPr>
          <w:b/>
          <w:lang w:val="lt-LT"/>
        </w:rPr>
        <w:tab/>
      </w:r>
      <w:r w:rsidRPr="0059462A">
        <w:rPr>
          <w:b/>
          <w:caps/>
          <w:lang w:val="lt-LT"/>
        </w:rPr>
        <w:t>vartojimo instrukcijA</w:t>
      </w:r>
    </w:p>
    <w:p w14:paraId="1E3F2B79" w14:textId="77777777" w:rsidR="00E3770F" w:rsidRPr="0059462A" w:rsidRDefault="00E3770F" w:rsidP="00E3770F">
      <w:pPr>
        <w:tabs>
          <w:tab w:val="clear" w:pos="567"/>
        </w:tabs>
        <w:spacing w:line="240" w:lineRule="auto"/>
        <w:rPr>
          <w:lang w:val="lt-LT"/>
        </w:rPr>
      </w:pPr>
    </w:p>
    <w:p w14:paraId="787389B6" w14:textId="77777777" w:rsidR="00E3770F" w:rsidRPr="0059462A" w:rsidRDefault="00E3770F" w:rsidP="00E3770F">
      <w:pPr>
        <w:tabs>
          <w:tab w:val="clear" w:pos="567"/>
        </w:tabs>
        <w:spacing w:line="240" w:lineRule="auto"/>
        <w:rPr>
          <w:lang w:val="lt-LT"/>
        </w:rPr>
      </w:pPr>
    </w:p>
    <w:p w14:paraId="0376F346"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16.</w:t>
      </w:r>
      <w:r w:rsidRPr="0059462A">
        <w:rPr>
          <w:b/>
          <w:lang w:val="lt-LT"/>
        </w:rPr>
        <w:tab/>
        <w:t>INFORMACIJA BRAILIO RAŠTU</w:t>
      </w:r>
    </w:p>
    <w:p w14:paraId="055F6421" w14:textId="77777777" w:rsidR="00E3770F" w:rsidRPr="0059462A" w:rsidRDefault="00E3770F" w:rsidP="00E3770F">
      <w:pPr>
        <w:tabs>
          <w:tab w:val="clear" w:pos="567"/>
        </w:tabs>
        <w:spacing w:line="240" w:lineRule="auto"/>
        <w:rPr>
          <w:lang w:val="lt-LT"/>
        </w:rPr>
      </w:pPr>
    </w:p>
    <w:p w14:paraId="3790F319" w14:textId="77777777" w:rsidR="00E3770F" w:rsidRPr="0059462A" w:rsidRDefault="00E3770F" w:rsidP="00E3770F">
      <w:pPr>
        <w:pStyle w:val="Dokumentoinaostekstas"/>
        <w:spacing w:line="260" w:lineRule="exact"/>
        <w:rPr>
          <w:b/>
          <w:u w:val="single"/>
          <w:lang w:val="lt-LT"/>
        </w:rPr>
      </w:pPr>
      <w:r w:rsidRPr="0059462A">
        <w:rPr>
          <w:lang w:val="lt-LT"/>
        </w:rPr>
        <w:t xml:space="preserve">Zemplar 2 mcg </w:t>
      </w:r>
    </w:p>
    <w:p w14:paraId="4ECAC6E5" w14:textId="77777777" w:rsidR="00E3770F" w:rsidRPr="0059462A" w:rsidRDefault="00E3770F" w:rsidP="00E3770F">
      <w:pPr>
        <w:tabs>
          <w:tab w:val="clear" w:pos="567"/>
        </w:tabs>
        <w:spacing w:line="240" w:lineRule="auto"/>
        <w:rPr>
          <w:lang w:val="lt-LT"/>
        </w:rPr>
      </w:pPr>
    </w:p>
    <w:p w14:paraId="543D1D9A" w14:textId="77777777" w:rsidR="00E3770F" w:rsidRPr="0059462A" w:rsidRDefault="00E3770F" w:rsidP="00E3770F">
      <w:pPr>
        <w:tabs>
          <w:tab w:val="clear" w:pos="567"/>
        </w:tabs>
        <w:spacing w:line="240" w:lineRule="auto"/>
        <w:rPr>
          <w:noProof/>
          <w:szCs w:val="22"/>
          <w:lang w:val="lt-LT"/>
        </w:rPr>
      </w:pPr>
    </w:p>
    <w:p w14:paraId="47A571B0" w14:textId="77777777" w:rsidR="00E3770F" w:rsidRPr="00FB39A9"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FB39A9">
        <w:rPr>
          <w:b/>
          <w:lang w:val="lt-LT"/>
        </w:rPr>
        <w:t>17.</w:t>
      </w:r>
      <w:r w:rsidRPr="00FB39A9">
        <w:rPr>
          <w:lang w:val="lt-LT"/>
        </w:rPr>
        <w:tab/>
      </w:r>
      <w:r w:rsidRPr="00FB39A9">
        <w:rPr>
          <w:b/>
          <w:lang w:val="lt-LT"/>
        </w:rPr>
        <w:t>UNIKALUS IDENTIFIKATORIUS – 2D BRŪKŠNINIS KODAS</w:t>
      </w:r>
    </w:p>
    <w:p w14:paraId="3107577D" w14:textId="77777777" w:rsidR="00E3770F" w:rsidRPr="00FB39A9" w:rsidRDefault="00E3770F" w:rsidP="00E3770F">
      <w:pPr>
        <w:spacing w:line="240" w:lineRule="auto"/>
        <w:rPr>
          <w:highlight w:val="lightGray"/>
          <w:lang w:val="lt-LT"/>
        </w:rPr>
      </w:pPr>
    </w:p>
    <w:p w14:paraId="01B41521" w14:textId="77777777" w:rsidR="00E3770F" w:rsidRPr="00FB39A9" w:rsidRDefault="00E3770F" w:rsidP="00E3770F">
      <w:pPr>
        <w:spacing w:line="240" w:lineRule="auto"/>
        <w:rPr>
          <w:shd w:val="clear" w:color="auto" w:fill="CCCCCC"/>
          <w:lang w:val="lt-LT"/>
        </w:rPr>
      </w:pPr>
      <w:r w:rsidRPr="00FB39A9">
        <w:rPr>
          <w:highlight w:val="lightGray"/>
          <w:lang w:val="lt-LT"/>
        </w:rPr>
        <w:t>2D brūkšninis kodas su nurodytu unikaliu identifikatoriumi.</w:t>
      </w:r>
    </w:p>
    <w:p w14:paraId="749B47BC" w14:textId="77777777" w:rsidR="00E3770F" w:rsidRPr="00FB39A9" w:rsidRDefault="00E3770F" w:rsidP="00E3770F">
      <w:pPr>
        <w:tabs>
          <w:tab w:val="clear" w:pos="567"/>
        </w:tabs>
        <w:spacing w:line="240" w:lineRule="auto"/>
        <w:rPr>
          <w:lang w:val="lt-LT"/>
        </w:rPr>
      </w:pPr>
    </w:p>
    <w:p w14:paraId="041BF2B6" w14:textId="77777777" w:rsidR="00E3770F" w:rsidRPr="00FB39A9" w:rsidRDefault="00E3770F" w:rsidP="00E3770F">
      <w:pPr>
        <w:tabs>
          <w:tab w:val="clear" w:pos="567"/>
        </w:tabs>
        <w:spacing w:line="240" w:lineRule="auto"/>
        <w:rPr>
          <w:lang w:val="lt-LT"/>
        </w:rPr>
      </w:pPr>
    </w:p>
    <w:p w14:paraId="3F3ADA74" w14:textId="77777777" w:rsidR="00E3770F" w:rsidRPr="00FB39A9"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FB39A9">
        <w:rPr>
          <w:b/>
          <w:lang w:val="lt-LT"/>
        </w:rPr>
        <w:t>18.</w:t>
      </w:r>
      <w:r w:rsidRPr="00FB39A9">
        <w:rPr>
          <w:lang w:val="lt-LT"/>
        </w:rPr>
        <w:tab/>
      </w:r>
      <w:r w:rsidRPr="00FB39A9">
        <w:rPr>
          <w:b/>
          <w:lang w:val="lt-LT"/>
        </w:rPr>
        <w:t>UNIKALUS IDENTIFIKATORIUS – ŽMONĖMS SUPRANTAMI DUOMENYS</w:t>
      </w:r>
    </w:p>
    <w:p w14:paraId="4FDB5FAB" w14:textId="77777777" w:rsidR="00E3770F" w:rsidRPr="00FB39A9" w:rsidRDefault="00E3770F" w:rsidP="00E3770F">
      <w:pPr>
        <w:tabs>
          <w:tab w:val="clear" w:pos="567"/>
        </w:tabs>
        <w:spacing w:line="240" w:lineRule="auto"/>
        <w:rPr>
          <w:lang w:val="lt-LT"/>
        </w:rPr>
      </w:pPr>
    </w:p>
    <w:p w14:paraId="2DF2008F" w14:textId="77777777" w:rsidR="00E3770F" w:rsidRPr="00FB39A9" w:rsidRDefault="00E3770F" w:rsidP="00E3770F">
      <w:pPr>
        <w:rPr>
          <w:color w:val="008000"/>
          <w:lang w:val="lt-LT"/>
        </w:rPr>
      </w:pPr>
      <w:r w:rsidRPr="00FB39A9">
        <w:rPr>
          <w:lang w:val="lt-LT"/>
        </w:rPr>
        <w:t>PC</w:t>
      </w:r>
    </w:p>
    <w:p w14:paraId="380C34D5" w14:textId="77777777" w:rsidR="00E3770F" w:rsidRPr="00FB39A9" w:rsidRDefault="00E3770F" w:rsidP="00E3770F">
      <w:pPr>
        <w:rPr>
          <w:lang w:val="lt-LT"/>
        </w:rPr>
      </w:pPr>
      <w:r w:rsidRPr="00FB39A9">
        <w:rPr>
          <w:lang w:val="lt-LT"/>
        </w:rPr>
        <w:t>SN</w:t>
      </w:r>
    </w:p>
    <w:p w14:paraId="4753A2C6" w14:textId="77777777" w:rsidR="00E3770F" w:rsidRPr="00FB39A9" w:rsidRDefault="00E3770F" w:rsidP="00E3770F">
      <w:pPr>
        <w:rPr>
          <w:lang w:val="lt-LT"/>
        </w:rPr>
      </w:pPr>
      <w:r w:rsidRPr="00FB39A9">
        <w:rPr>
          <w:highlight w:val="lightGray"/>
          <w:lang w:val="lt-LT"/>
        </w:rPr>
        <w:t>NN</w:t>
      </w:r>
    </w:p>
    <w:p w14:paraId="6E986623" w14:textId="77777777" w:rsidR="00E3770F" w:rsidRPr="0059462A" w:rsidRDefault="00E3770F" w:rsidP="00E3770F">
      <w:pPr>
        <w:tabs>
          <w:tab w:val="clear" w:pos="567"/>
        </w:tabs>
        <w:spacing w:line="240" w:lineRule="auto"/>
        <w:rPr>
          <w:noProof/>
          <w:szCs w:val="22"/>
          <w:lang w:val="lt-LT"/>
        </w:rPr>
      </w:pPr>
    </w:p>
    <w:p w14:paraId="67932F3E" w14:textId="77777777" w:rsidR="00E3770F" w:rsidRPr="0059462A" w:rsidRDefault="00E3770F" w:rsidP="00E3770F">
      <w:pPr>
        <w:shd w:val="clear" w:color="auto" w:fill="FFFFFF"/>
        <w:tabs>
          <w:tab w:val="clear" w:pos="567"/>
        </w:tabs>
        <w:spacing w:line="240" w:lineRule="auto"/>
        <w:rPr>
          <w:lang w:val="lt-LT"/>
        </w:rPr>
      </w:pPr>
      <w:r w:rsidRPr="0059462A">
        <w:rPr>
          <w:b/>
          <w:lang w:val="lt-LT"/>
        </w:rPr>
        <w:br w:type="page"/>
      </w:r>
    </w:p>
    <w:p w14:paraId="14885855"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rFonts w:asciiTheme="minorHAnsi" w:eastAsiaTheme="minorHAnsi" w:hAnsiTheme="minorHAnsi" w:cstheme="minorBidi"/>
          <w:b/>
          <w:szCs w:val="22"/>
          <w:lang w:val="lt-LT"/>
        </w:rPr>
      </w:pPr>
      <w:r w:rsidRPr="0059462A">
        <w:rPr>
          <w:b/>
          <w:lang w:val="lt-LT"/>
        </w:rPr>
        <w:lastRenderedPageBreak/>
        <w:t>INFORMACIJA ANT IŠORINĖS IR VIDINĖS PAKUOTĖS</w:t>
      </w:r>
    </w:p>
    <w:p w14:paraId="4DB1838E"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2E10ADC9"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lt-LT"/>
        </w:rPr>
      </w:pPr>
      <w:r w:rsidRPr="0059462A">
        <w:rPr>
          <w:b/>
          <w:szCs w:val="22"/>
          <w:lang w:val="lt-LT"/>
        </w:rPr>
        <w:t>DTPE BUTELIUKO KARTONINĖ DĖŽUTĖ IR ETIKETĖ</w:t>
      </w:r>
    </w:p>
    <w:p w14:paraId="50E7D1A2" w14:textId="77777777" w:rsidR="00E3770F" w:rsidRPr="0059462A" w:rsidRDefault="00E3770F" w:rsidP="00E3770F">
      <w:pPr>
        <w:tabs>
          <w:tab w:val="clear" w:pos="567"/>
        </w:tabs>
        <w:spacing w:line="240" w:lineRule="auto"/>
        <w:rPr>
          <w:lang w:val="lt-LT"/>
        </w:rPr>
      </w:pPr>
    </w:p>
    <w:p w14:paraId="686216FB" w14:textId="77777777" w:rsidR="00E3770F" w:rsidRPr="0059462A" w:rsidRDefault="00E3770F" w:rsidP="00E3770F">
      <w:pPr>
        <w:tabs>
          <w:tab w:val="clear" w:pos="567"/>
        </w:tabs>
        <w:spacing w:line="240" w:lineRule="auto"/>
        <w:rPr>
          <w:lang w:val="lt-LT"/>
        </w:rPr>
      </w:pPr>
    </w:p>
    <w:p w14:paraId="161880F0"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1.</w:t>
      </w:r>
      <w:r w:rsidRPr="0059462A">
        <w:rPr>
          <w:b/>
          <w:lang w:val="lt-LT"/>
        </w:rPr>
        <w:tab/>
        <w:t>VAISTINIO PREPARATO PAVADINIMAS</w:t>
      </w:r>
    </w:p>
    <w:p w14:paraId="4517444A" w14:textId="77777777" w:rsidR="00E3770F" w:rsidRPr="0059462A" w:rsidRDefault="00E3770F" w:rsidP="00E3770F">
      <w:pPr>
        <w:tabs>
          <w:tab w:val="clear" w:pos="567"/>
        </w:tabs>
        <w:spacing w:line="240" w:lineRule="auto"/>
        <w:rPr>
          <w:lang w:val="lt-LT"/>
        </w:rPr>
      </w:pPr>
    </w:p>
    <w:p w14:paraId="28A3A134" w14:textId="77777777" w:rsidR="00E3770F" w:rsidRPr="0059462A" w:rsidRDefault="00E3770F" w:rsidP="00E3770F">
      <w:pPr>
        <w:rPr>
          <w:rFonts w:asciiTheme="minorHAnsi" w:eastAsiaTheme="minorHAnsi" w:hAnsiTheme="minorHAnsi" w:cstheme="minorBidi"/>
          <w:szCs w:val="22"/>
          <w:lang w:val="lt-LT"/>
        </w:rPr>
      </w:pPr>
      <w:r w:rsidRPr="0059462A">
        <w:rPr>
          <w:lang w:val="lt-LT"/>
        </w:rPr>
        <w:t>Zemplar 2 mikrogramai minkštosios kapsulės</w:t>
      </w:r>
    </w:p>
    <w:p w14:paraId="286C04F5" w14:textId="77777777" w:rsidR="00E3770F" w:rsidRPr="0059462A" w:rsidRDefault="00E3770F" w:rsidP="00E3770F">
      <w:pPr>
        <w:rPr>
          <w:rFonts w:asciiTheme="minorHAnsi" w:eastAsiaTheme="minorHAnsi" w:hAnsiTheme="minorHAnsi" w:cstheme="minorBidi"/>
          <w:szCs w:val="22"/>
          <w:lang w:val="lt-LT"/>
        </w:rPr>
      </w:pPr>
      <w:r>
        <w:rPr>
          <w:lang w:val="lt-LT"/>
        </w:rPr>
        <w:t>p</w:t>
      </w:r>
      <w:r w:rsidRPr="0059462A">
        <w:rPr>
          <w:lang w:val="lt-LT"/>
        </w:rPr>
        <w:t>aricalcitolum</w:t>
      </w:r>
    </w:p>
    <w:p w14:paraId="53070644" w14:textId="77777777" w:rsidR="00E3770F" w:rsidRPr="0059462A" w:rsidRDefault="00E3770F" w:rsidP="00E3770F">
      <w:pPr>
        <w:tabs>
          <w:tab w:val="clear" w:pos="567"/>
        </w:tabs>
        <w:spacing w:line="240" w:lineRule="auto"/>
        <w:rPr>
          <w:lang w:val="lt-LT"/>
        </w:rPr>
      </w:pPr>
    </w:p>
    <w:p w14:paraId="4F8841AF" w14:textId="77777777" w:rsidR="00E3770F" w:rsidRPr="0059462A" w:rsidRDefault="00E3770F" w:rsidP="00E3770F">
      <w:pPr>
        <w:tabs>
          <w:tab w:val="clear" w:pos="567"/>
        </w:tabs>
        <w:rPr>
          <w:lang w:val="lt-LT"/>
        </w:rPr>
      </w:pPr>
    </w:p>
    <w:p w14:paraId="394CAE64"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59462A">
        <w:rPr>
          <w:b/>
          <w:lang w:val="lt-LT"/>
        </w:rPr>
        <w:t>2.</w:t>
      </w:r>
      <w:r w:rsidRPr="0059462A">
        <w:rPr>
          <w:b/>
          <w:lang w:val="lt-LT"/>
        </w:rPr>
        <w:tab/>
        <w:t>VEIKLIOJI (-IOS) MEDŽIAGA (-OS) IR JOS (-Ų) KIEKIS (-IAI)</w:t>
      </w:r>
    </w:p>
    <w:p w14:paraId="4DCB07AC" w14:textId="77777777" w:rsidR="00E3770F" w:rsidRPr="0059462A" w:rsidRDefault="00E3770F" w:rsidP="00E3770F">
      <w:pPr>
        <w:tabs>
          <w:tab w:val="clear" w:pos="567"/>
        </w:tabs>
        <w:spacing w:line="240" w:lineRule="auto"/>
        <w:rPr>
          <w:lang w:val="lt-LT"/>
        </w:rPr>
      </w:pPr>
    </w:p>
    <w:p w14:paraId="00F2270F" w14:textId="77777777" w:rsidR="00E3770F" w:rsidRPr="0059462A" w:rsidRDefault="00E3770F" w:rsidP="00E3770F">
      <w:pPr>
        <w:rPr>
          <w:lang w:val="lt-LT"/>
        </w:rPr>
      </w:pPr>
      <w:r w:rsidRPr="0059462A">
        <w:rPr>
          <w:lang w:val="lt-LT"/>
        </w:rPr>
        <w:t>Kiekvienoje minkštojoje kapsulėje yra 2 mikrogramai parikalcitolio.</w:t>
      </w:r>
    </w:p>
    <w:p w14:paraId="64D10832" w14:textId="77777777" w:rsidR="00E3770F" w:rsidRPr="0059462A" w:rsidRDefault="00E3770F" w:rsidP="00E3770F">
      <w:pPr>
        <w:tabs>
          <w:tab w:val="clear" w:pos="567"/>
        </w:tabs>
        <w:spacing w:line="240" w:lineRule="auto"/>
        <w:rPr>
          <w:lang w:val="lt-LT"/>
        </w:rPr>
      </w:pPr>
    </w:p>
    <w:p w14:paraId="42344446" w14:textId="77777777" w:rsidR="00E3770F" w:rsidRPr="0059462A" w:rsidRDefault="00E3770F" w:rsidP="00E3770F">
      <w:pPr>
        <w:tabs>
          <w:tab w:val="clear" w:pos="567"/>
        </w:tabs>
        <w:spacing w:line="240" w:lineRule="auto"/>
        <w:rPr>
          <w:lang w:val="lt-LT"/>
        </w:rPr>
      </w:pPr>
    </w:p>
    <w:p w14:paraId="6A2C1C20"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3.</w:t>
      </w:r>
      <w:r w:rsidRPr="0059462A">
        <w:rPr>
          <w:b/>
          <w:lang w:val="lt-LT"/>
        </w:rPr>
        <w:tab/>
        <w:t>PAGALBINIŲ MEDŽIAGŲ SĄRAŠAS</w:t>
      </w:r>
    </w:p>
    <w:p w14:paraId="393FEAA4" w14:textId="77777777" w:rsidR="00E3770F" w:rsidRPr="0059462A" w:rsidRDefault="00E3770F" w:rsidP="00E3770F">
      <w:pPr>
        <w:pStyle w:val="Pagrindinistekstas"/>
        <w:rPr>
          <w:lang w:val="lt-LT"/>
        </w:rPr>
      </w:pPr>
    </w:p>
    <w:p w14:paraId="64196872" w14:textId="77777777" w:rsidR="00E3770F" w:rsidRPr="0059462A" w:rsidRDefault="00E3770F" w:rsidP="00E3770F">
      <w:pPr>
        <w:pStyle w:val="Pagrindinistekstas"/>
        <w:rPr>
          <w:lang w:val="lt-LT"/>
        </w:rPr>
      </w:pPr>
      <w:r w:rsidRPr="0059462A">
        <w:rPr>
          <w:i w:val="0"/>
          <w:color w:val="auto"/>
          <w:lang w:val="lt-LT"/>
        </w:rPr>
        <w:t>Šiame vaistiniame preparate yra nedidelis kiekis etanolio (alkoholio): mažiau nei 100 mg vienoje 2 mikrogramų kapsulėje.</w:t>
      </w:r>
    </w:p>
    <w:p w14:paraId="3DC8D992" w14:textId="77777777" w:rsidR="00E3770F" w:rsidRPr="0059462A" w:rsidRDefault="00E3770F" w:rsidP="00E3770F">
      <w:pPr>
        <w:pStyle w:val="Pagrindinistekstas"/>
        <w:rPr>
          <w:lang w:val="lt-LT"/>
        </w:rPr>
      </w:pPr>
    </w:p>
    <w:p w14:paraId="5D4F8F0D" w14:textId="77777777" w:rsidR="00E3770F" w:rsidRPr="0059462A" w:rsidRDefault="00E3770F" w:rsidP="00E3770F">
      <w:pPr>
        <w:pStyle w:val="Pagrindinistekstas"/>
        <w:rPr>
          <w:lang w:val="lt-LT"/>
        </w:rPr>
      </w:pPr>
      <w:r w:rsidRPr="0059462A">
        <w:rPr>
          <w:i w:val="0"/>
          <w:color w:val="auto"/>
          <w:lang w:val="lt-LT"/>
        </w:rPr>
        <w:t>Daugiau informacijos pateikiama pakuotės lapelyje.</w:t>
      </w:r>
    </w:p>
    <w:p w14:paraId="502FDDD5" w14:textId="77777777" w:rsidR="00E3770F" w:rsidRPr="0059462A" w:rsidRDefault="00E3770F" w:rsidP="00E3770F">
      <w:pPr>
        <w:pStyle w:val="Pagrindinistekstas"/>
        <w:rPr>
          <w:lang w:val="lt-LT"/>
        </w:rPr>
      </w:pPr>
    </w:p>
    <w:p w14:paraId="575E14BC" w14:textId="77777777" w:rsidR="00E3770F" w:rsidRPr="0059462A" w:rsidRDefault="00E3770F" w:rsidP="00E3770F">
      <w:pPr>
        <w:rPr>
          <w:lang w:val="lt-LT"/>
        </w:rPr>
      </w:pPr>
    </w:p>
    <w:p w14:paraId="4F4E60C3"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4.</w:t>
      </w:r>
      <w:r w:rsidRPr="0059462A">
        <w:rPr>
          <w:b/>
          <w:lang w:val="lt-LT"/>
        </w:rPr>
        <w:tab/>
        <w:t>FARMACINĖ FORMA IR KIEKIS PAKUOTĖJE</w:t>
      </w:r>
    </w:p>
    <w:p w14:paraId="0CE30B55"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p>
    <w:p w14:paraId="7D368455"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lang w:val="lt-LT"/>
        </w:rPr>
      </w:pPr>
      <w:r w:rsidRPr="0059462A">
        <w:rPr>
          <w:sz w:val="22"/>
          <w:lang w:val="lt-LT"/>
        </w:rPr>
        <w:t>30 minkštųjų kapsulių</w:t>
      </w:r>
    </w:p>
    <w:p w14:paraId="2F7FA385" w14:textId="77777777" w:rsidR="00E3770F" w:rsidRPr="0059462A" w:rsidRDefault="00E3770F" w:rsidP="00E3770F">
      <w:pPr>
        <w:rPr>
          <w:lang w:val="lt-LT"/>
        </w:rPr>
      </w:pPr>
    </w:p>
    <w:p w14:paraId="4EB0FBDC" w14:textId="77777777" w:rsidR="00E3770F" w:rsidRPr="0059462A" w:rsidRDefault="00E3770F" w:rsidP="00E3770F">
      <w:pPr>
        <w:rPr>
          <w:lang w:val="lt-LT"/>
        </w:rPr>
      </w:pPr>
    </w:p>
    <w:p w14:paraId="76BAF8E4"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5.</w:t>
      </w:r>
      <w:r w:rsidRPr="0059462A">
        <w:rPr>
          <w:b/>
          <w:lang w:val="lt-LT"/>
        </w:rPr>
        <w:tab/>
        <w:t>VARTOJIMO METODAS IR BŪDAS (-AI)</w:t>
      </w:r>
    </w:p>
    <w:p w14:paraId="7DEB3816" w14:textId="77777777" w:rsidR="00E3770F" w:rsidRPr="0059462A" w:rsidRDefault="00E3770F" w:rsidP="00E3770F">
      <w:pPr>
        <w:tabs>
          <w:tab w:val="clear" w:pos="567"/>
        </w:tabs>
        <w:spacing w:line="240" w:lineRule="auto"/>
        <w:rPr>
          <w:i/>
          <w:lang w:val="lt-LT"/>
        </w:rPr>
      </w:pPr>
    </w:p>
    <w:p w14:paraId="43D3AE89" w14:textId="77777777" w:rsidR="00E3770F" w:rsidRPr="0059462A" w:rsidRDefault="00E3770F" w:rsidP="00E3770F">
      <w:pPr>
        <w:tabs>
          <w:tab w:val="clear" w:pos="567"/>
        </w:tabs>
        <w:spacing w:line="240" w:lineRule="auto"/>
        <w:rPr>
          <w:rFonts w:asciiTheme="minorHAnsi" w:eastAsiaTheme="minorHAnsi" w:hAnsiTheme="minorHAnsi" w:cstheme="minorBidi"/>
          <w:szCs w:val="22"/>
          <w:lang w:val="lt-LT"/>
        </w:rPr>
      </w:pPr>
      <w:r w:rsidRPr="0059462A">
        <w:rPr>
          <w:lang w:val="lt-LT"/>
        </w:rPr>
        <w:t>Vartoti per burną.</w:t>
      </w:r>
    </w:p>
    <w:p w14:paraId="2ADB9211" w14:textId="77777777" w:rsidR="00E3770F" w:rsidRPr="0059462A" w:rsidRDefault="00E3770F" w:rsidP="00E3770F">
      <w:pPr>
        <w:tabs>
          <w:tab w:val="clear" w:pos="567"/>
        </w:tabs>
        <w:spacing w:line="240" w:lineRule="auto"/>
        <w:rPr>
          <w:lang w:val="lt-LT"/>
        </w:rPr>
      </w:pPr>
    </w:p>
    <w:p w14:paraId="447F56EA" w14:textId="77777777" w:rsidR="00E3770F" w:rsidRPr="0059462A" w:rsidRDefault="00E3770F" w:rsidP="00E3770F">
      <w:pPr>
        <w:tabs>
          <w:tab w:val="clear" w:pos="567"/>
        </w:tabs>
        <w:spacing w:line="240" w:lineRule="auto"/>
        <w:rPr>
          <w:rFonts w:asciiTheme="minorHAnsi" w:eastAsiaTheme="minorHAnsi" w:hAnsiTheme="minorHAnsi" w:cstheme="minorBidi"/>
          <w:szCs w:val="22"/>
          <w:lang w:val="lt-LT"/>
        </w:rPr>
      </w:pPr>
      <w:r w:rsidRPr="0059462A">
        <w:rPr>
          <w:lang w:val="lt-LT"/>
        </w:rPr>
        <w:t>Prieš vartojimą perskaitykite pakuotės lapelį.</w:t>
      </w:r>
    </w:p>
    <w:p w14:paraId="64362672" w14:textId="77777777" w:rsidR="00E3770F" w:rsidRPr="0059462A" w:rsidRDefault="00E3770F" w:rsidP="00E3770F">
      <w:pPr>
        <w:tabs>
          <w:tab w:val="clear" w:pos="567"/>
        </w:tabs>
        <w:spacing w:line="240" w:lineRule="auto"/>
        <w:rPr>
          <w:lang w:val="lt-LT"/>
        </w:rPr>
      </w:pPr>
    </w:p>
    <w:p w14:paraId="0C6DE2A5" w14:textId="77777777" w:rsidR="00E3770F" w:rsidRPr="0059462A" w:rsidRDefault="00E3770F" w:rsidP="00E3770F">
      <w:pPr>
        <w:tabs>
          <w:tab w:val="clear" w:pos="567"/>
        </w:tabs>
        <w:spacing w:line="240" w:lineRule="auto"/>
        <w:rPr>
          <w:lang w:val="lt-LT"/>
        </w:rPr>
      </w:pPr>
    </w:p>
    <w:p w14:paraId="6E9C97C0" w14:textId="77777777" w:rsidR="00E3770F" w:rsidRPr="0059462A" w:rsidRDefault="00E3770F" w:rsidP="00E3770F">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6.</w:t>
      </w:r>
      <w:r w:rsidRPr="0059462A">
        <w:rPr>
          <w:b/>
          <w:lang w:val="lt-LT"/>
        </w:rPr>
        <w:tab/>
        <w:t>SPECIALUS ĮSPĖJIMAS, KAD VAISTINĮ PREPARATĄ BŪTINA LAIKYTI VAIKAMS NEPASTEBIMOJE IR NEPASIEKIAMOJE VIETOJE</w:t>
      </w:r>
    </w:p>
    <w:p w14:paraId="0876895B" w14:textId="77777777" w:rsidR="00E3770F" w:rsidRPr="0059462A" w:rsidRDefault="00E3770F" w:rsidP="00E3770F">
      <w:pPr>
        <w:tabs>
          <w:tab w:val="clear" w:pos="567"/>
        </w:tabs>
        <w:spacing w:line="240" w:lineRule="auto"/>
        <w:rPr>
          <w:lang w:val="lt-LT"/>
        </w:rPr>
      </w:pPr>
    </w:p>
    <w:p w14:paraId="46800B0D" w14:textId="77777777" w:rsidR="00E3770F" w:rsidRPr="0059462A" w:rsidRDefault="00E3770F" w:rsidP="00E3770F">
      <w:pPr>
        <w:pStyle w:val="Pagrindinistekstas"/>
        <w:rPr>
          <w:lang w:val="lt-LT"/>
        </w:rPr>
      </w:pPr>
      <w:r w:rsidRPr="0059462A">
        <w:rPr>
          <w:i w:val="0"/>
          <w:color w:val="auto"/>
          <w:lang w:val="lt-LT"/>
        </w:rPr>
        <w:t>Laikyti vaikams nepastebimoje ir nepasiekiamoje vietoje.</w:t>
      </w:r>
    </w:p>
    <w:p w14:paraId="3934C4E5" w14:textId="77777777" w:rsidR="00E3770F" w:rsidRPr="0059462A" w:rsidRDefault="00E3770F" w:rsidP="00E3770F">
      <w:pPr>
        <w:tabs>
          <w:tab w:val="clear" w:pos="567"/>
        </w:tabs>
        <w:spacing w:line="240" w:lineRule="auto"/>
        <w:rPr>
          <w:lang w:val="lt-LT"/>
        </w:rPr>
      </w:pPr>
    </w:p>
    <w:p w14:paraId="3872507F" w14:textId="77777777" w:rsidR="00E3770F" w:rsidRPr="0059462A" w:rsidRDefault="00E3770F" w:rsidP="00E3770F">
      <w:pPr>
        <w:tabs>
          <w:tab w:val="clear" w:pos="567"/>
        </w:tabs>
        <w:spacing w:line="240" w:lineRule="auto"/>
        <w:rPr>
          <w:lang w:val="lt-LT"/>
        </w:rPr>
      </w:pPr>
    </w:p>
    <w:p w14:paraId="1486E0AC"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7.</w:t>
      </w:r>
      <w:r w:rsidRPr="0059462A">
        <w:rPr>
          <w:b/>
          <w:lang w:val="lt-LT"/>
        </w:rPr>
        <w:tab/>
        <w:t>KITAS (-I) SPECIALUS (-ŪS) ĮSPĖJIMAS (-AI) (JEI REIKIA)</w:t>
      </w:r>
    </w:p>
    <w:p w14:paraId="1565D35F" w14:textId="77777777" w:rsidR="00E3770F" w:rsidRPr="0059462A" w:rsidRDefault="00E3770F" w:rsidP="00E3770F">
      <w:pPr>
        <w:tabs>
          <w:tab w:val="clear" w:pos="567"/>
        </w:tabs>
        <w:spacing w:line="240" w:lineRule="auto"/>
        <w:rPr>
          <w:lang w:val="lt-LT"/>
        </w:rPr>
      </w:pPr>
    </w:p>
    <w:p w14:paraId="7E6A8F6B" w14:textId="77777777" w:rsidR="00E3770F" w:rsidRPr="0059462A" w:rsidRDefault="00E3770F" w:rsidP="00E3770F">
      <w:pPr>
        <w:tabs>
          <w:tab w:val="clear" w:pos="567"/>
        </w:tabs>
        <w:spacing w:line="240" w:lineRule="auto"/>
        <w:rPr>
          <w:lang w:val="lt-LT"/>
        </w:rPr>
      </w:pPr>
    </w:p>
    <w:p w14:paraId="590CE6A5"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8.</w:t>
      </w:r>
      <w:r w:rsidRPr="0059462A">
        <w:rPr>
          <w:b/>
          <w:lang w:val="lt-LT"/>
        </w:rPr>
        <w:tab/>
        <w:t>TINKAMUMO LAIKAS</w:t>
      </w:r>
    </w:p>
    <w:p w14:paraId="5EF91BA2" w14:textId="77777777" w:rsidR="00E3770F" w:rsidRPr="0059462A" w:rsidRDefault="00E3770F" w:rsidP="00E3770F">
      <w:pPr>
        <w:tabs>
          <w:tab w:val="clear" w:pos="567"/>
        </w:tabs>
        <w:spacing w:line="240" w:lineRule="auto"/>
        <w:rPr>
          <w:lang w:val="lt-LT"/>
        </w:rPr>
      </w:pPr>
    </w:p>
    <w:p w14:paraId="15A611F0" w14:textId="77777777" w:rsidR="00E3770F" w:rsidRPr="0059462A" w:rsidRDefault="00E3770F" w:rsidP="00E3770F">
      <w:pPr>
        <w:spacing w:line="240" w:lineRule="auto"/>
        <w:rPr>
          <w:lang w:val="lt-LT"/>
        </w:rPr>
      </w:pPr>
      <w:r w:rsidRPr="00FB39A9">
        <w:rPr>
          <w:lang w:val="lt-LT"/>
        </w:rPr>
        <w:t>EXP (</w:t>
      </w:r>
      <w:r w:rsidRPr="0059462A">
        <w:rPr>
          <w:lang w:val="lt-LT"/>
        </w:rPr>
        <w:t>mm/MMMM)</w:t>
      </w:r>
    </w:p>
    <w:p w14:paraId="1F0ACFDF" w14:textId="77777777" w:rsidR="00E3770F" w:rsidRPr="0059462A" w:rsidRDefault="00E3770F" w:rsidP="00E3770F">
      <w:pPr>
        <w:tabs>
          <w:tab w:val="clear" w:pos="567"/>
        </w:tabs>
        <w:spacing w:line="240" w:lineRule="auto"/>
        <w:rPr>
          <w:lang w:val="lt-LT"/>
        </w:rPr>
      </w:pPr>
    </w:p>
    <w:p w14:paraId="7CD573E0" w14:textId="77777777" w:rsidR="00E3770F" w:rsidRPr="0059462A" w:rsidRDefault="00E3770F" w:rsidP="00E3770F">
      <w:pPr>
        <w:tabs>
          <w:tab w:val="clear" w:pos="567"/>
        </w:tabs>
        <w:spacing w:line="240" w:lineRule="auto"/>
        <w:rPr>
          <w:lang w:val="lt-LT"/>
        </w:rPr>
      </w:pPr>
    </w:p>
    <w:p w14:paraId="23CB5EB9"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59462A">
        <w:rPr>
          <w:b/>
          <w:lang w:val="lt-LT"/>
        </w:rPr>
        <w:t>9.</w:t>
      </w:r>
      <w:r w:rsidRPr="0059462A">
        <w:rPr>
          <w:b/>
          <w:lang w:val="lt-LT"/>
        </w:rPr>
        <w:tab/>
      </w:r>
      <w:r w:rsidRPr="0059462A">
        <w:rPr>
          <w:b/>
          <w:caps/>
          <w:lang w:val="lt-LT"/>
        </w:rPr>
        <w:t>SPECIALIOS laikymo sąlygos</w:t>
      </w:r>
    </w:p>
    <w:p w14:paraId="4BFDACE8" w14:textId="77777777" w:rsidR="00E3770F" w:rsidRPr="0059462A" w:rsidRDefault="00E3770F" w:rsidP="00E3770F">
      <w:pPr>
        <w:tabs>
          <w:tab w:val="clear" w:pos="567"/>
        </w:tabs>
        <w:spacing w:line="240" w:lineRule="auto"/>
        <w:ind w:left="567" w:hanging="567"/>
        <w:rPr>
          <w:lang w:val="lt-LT"/>
        </w:rPr>
      </w:pPr>
    </w:p>
    <w:p w14:paraId="5DDF27FB" w14:textId="77777777" w:rsidR="00E3770F" w:rsidRPr="0059462A" w:rsidRDefault="00E3770F" w:rsidP="00E3770F">
      <w:pPr>
        <w:tabs>
          <w:tab w:val="clear" w:pos="567"/>
        </w:tabs>
        <w:spacing w:line="240" w:lineRule="auto"/>
        <w:ind w:left="567" w:hanging="567"/>
        <w:rPr>
          <w:lang w:val="lt-LT"/>
        </w:rPr>
      </w:pPr>
    </w:p>
    <w:p w14:paraId="550DB102"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59462A">
        <w:rPr>
          <w:b/>
          <w:lang w:val="lt-LT"/>
        </w:rPr>
        <w:lastRenderedPageBreak/>
        <w:t>10.</w:t>
      </w:r>
      <w:r w:rsidRPr="0059462A">
        <w:rPr>
          <w:b/>
          <w:lang w:val="lt-LT"/>
        </w:rPr>
        <w:tab/>
      </w:r>
      <w:r w:rsidRPr="0059462A">
        <w:rPr>
          <w:b/>
          <w:caps/>
          <w:lang w:val="lt-LT"/>
        </w:rPr>
        <w:t xml:space="preserve">specialios atsargumo priemonės DĖL NESUVARTOTO VAISTINIO PREPARATO AR </w:t>
      </w:r>
      <w:r w:rsidRPr="00FB39A9">
        <w:rPr>
          <w:b/>
          <w:caps/>
          <w:lang w:val="lt-LT"/>
        </w:rPr>
        <w:t>JO ATLIEK</w:t>
      </w:r>
      <w:r w:rsidRPr="00FB39A9">
        <w:rPr>
          <w:b/>
          <w:lang w:val="lt-LT"/>
        </w:rPr>
        <w:t>Ų</w:t>
      </w:r>
      <w:r w:rsidRPr="0059462A">
        <w:rPr>
          <w:caps/>
          <w:lang w:val="lt-LT"/>
        </w:rPr>
        <w:t xml:space="preserve"> </w:t>
      </w:r>
      <w:r w:rsidRPr="0059462A">
        <w:rPr>
          <w:b/>
          <w:caps/>
          <w:lang w:val="lt-LT"/>
        </w:rPr>
        <w:t>TVARKYMO (jei reikia)</w:t>
      </w:r>
    </w:p>
    <w:p w14:paraId="094C77FD" w14:textId="77777777" w:rsidR="00E3770F" w:rsidRPr="0059462A" w:rsidRDefault="00E3770F" w:rsidP="00E3770F">
      <w:pPr>
        <w:tabs>
          <w:tab w:val="clear" w:pos="567"/>
        </w:tabs>
        <w:spacing w:line="240" w:lineRule="auto"/>
        <w:rPr>
          <w:lang w:val="lt-LT"/>
        </w:rPr>
      </w:pPr>
    </w:p>
    <w:p w14:paraId="55A3EBB7" w14:textId="77777777" w:rsidR="00E3770F" w:rsidRPr="0059462A" w:rsidRDefault="00E3770F" w:rsidP="00E3770F">
      <w:pPr>
        <w:tabs>
          <w:tab w:val="clear" w:pos="567"/>
        </w:tabs>
        <w:spacing w:line="240" w:lineRule="auto"/>
        <w:rPr>
          <w:lang w:val="lt-LT"/>
        </w:rPr>
      </w:pPr>
    </w:p>
    <w:p w14:paraId="0C96BE46"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b/>
          <w:szCs w:val="22"/>
          <w:lang w:val="lt-LT"/>
        </w:rPr>
      </w:pPr>
      <w:r w:rsidRPr="0059462A">
        <w:rPr>
          <w:b/>
          <w:lang w:val="lt-LT"/>
        </w:rPr>
        <w:t>11.</w:t>
      </w:r>
      <w:r w:rsidRPr="0059462A">
        <w:rPr>
          <w:b/>
          <w:lang w:val="lt-LT"/>
        </w:rPr>
        <w:tab/>
      </w:r>
      <w:r w:rsidRPr="0059462A">
        <w:rPr>
          <w:b/>
          <w:caps/>
          <w:lang w:val="lt-LT"/>
        </w:rPr>
        <w:t>REGISTRUOTOJO pavadinimas ir adresas</w:t>
      </w:r>
    </w:p>
    <w:p w14:paraId="0E0E4166"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shd w:val="clear" w:color="auto" w:fill="FFFFFF"/>
          <w:lang w:val="lt-LT"/>
        </w:rPr>
      </w:pPr>
    </w:p>
    <w:p w14:paraId="53EFA1D9" w14:textId="77777777" w:rsidR="00E3770F" w:rsidRPr="0059462A" w:rsidRDefault="00E3770F" w:rsidP="00E3770F">
      <w:pPr>
        <w:pStyle w:val="Lvl1Text"/>
        <w:tabs>
          <w:tab w:val="clear" w:pos="0"/>
          <w:tab w:val="clear" w:pos="360"/>
        </w:tabs>
        <w:overflowPunct/>
        <w:autoSpaceDE/>
        <w:autoSpaceDN/>
        <w:adjustRightInd/>
        <w:spacing w:before="0" w:after="0" w:line="240" w:lineRule="auto"/>
        <w:textAlignment w:val="auto"/>
        <w:rPr>
          <w:shd w:val="clear" w:color="auto" w:fill="FFFFFF"/>
          <w:lang w:val="lt-LT"/>
        </w:rPr>
      </w:pPr>
      <w:r w:rsidRPr="0059462A">
        <w:rPr>
          <w:sz w:val="22"/>
          <w:shd w:val="clear" w:color="auto" w:fill="FFFFFF"/>
          <w:lang w:val="lt-LT"/>
        </w:rPr>
        <w:t>Registruotojas:</w:t>
      </w:r>
    </w:p>
    <w:p w14:paraId="2B20D9B9" w14:textId="77777777" w:rsidR="00E3770F" w:rsidRPr="0059462A" w:rsidRDefault="00E3770F" w:rsidP="00E3770F">
      <w:pPr>
        <w:rPr>
          <w:rFonts w:asciiTheme="minorHAnsi" w:eastAsiaTheme="minorHAnsi" w:hAnsiTheme="minorHAnsi" w:cstheme="minorBidi"/>
          <w:szCs w:val="22"/>
          <w:lang w:val="lt-LT"/>
        </w:rPr>
      </w:pPr>
      <w:r w:rsidRPr="0059462A">
        <w:rPr>
          <w:lang w:val="lt-LT"/>
        </w:rPr>
        <w:t>AbbVie SIA</w:t>
      </w:r>
    </w:p>
    <w:p w14:paraId="264D6A85" w14:textId="77777777" w:rsidR="00E3770F" w:rsidRPr="0059462A" w:rsidRDefault="00E3770F" w:rsidP="00E3770F">
      <w:pPr>
        <w:rPr>
          <w:color w:val="000000"/>
          <w:lang w:val="lt-LT"/>
        </w:rPr>
      </w:pPr>
      <w:r w:rsidRPr="00FB39A9">
        <w:rPr>
          <w:lang w:val="lt-LT"/>
        </w:rPr>
        <w:t>Vaiņodes 1</w:t>
      </w:r>
      <w:r w:rsidRPr="0059462A">
        <w:rPr>
          <w:color w:val="000000"/>
          <w:lang w:val="lt-LT"/>
        </w:rPr>
        <w:t xml:space="preserve"> </w:t>
      </w:r>
    </w:p>
    <w:p w14:paraId="02FC41C4"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 xml:space="preserve">Rīga LV 1004 </w:t>
      </w:r>
    </w:p>
    <w:p w14:paraId="2273C0B1"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Latvija</w:t>
      </w:r>
    </w:p>
    <w:p w14:paraId="4DB3FA87" w14:textId="77777777" w:rsidR="00E3770F" w:rsidRPr="0059462A" w:rsidRDefault="00E3770F" w:rsidP="00E3770F">
      <w:pPr>
        <w:tabs>
          <w:tab w:val="clear" w:pos="567"/>
        </w:tabs>
        <w:spacing w:line="240" w:lineRule="auto"/>
        <w:rPr>
          <w:lang w:val="lt-LT"/>
        </w:rPr>
      </w:pPr>
    </w:p>
    <w:p w14:paraId="0C9EEEAE" w14:textId="77777777" w:rsidR="00E3770F" w:rsidRPr="0059462A" w:rsidRDefault="00E3770F" w:rsidP="00E3770F">
      <w:pPr>
        <w:tabs>
          <w:tab w:val="clear" w:pos="567"/>
        </w:tabs>
        <w:spacing w:line="240" w:lineRule="auto"/>
        <w:rPr>
          <w:lang w:val="lt-LT"/>
        </w:rPr>
      </w:pPr>
    </w:p>
    <w:p w14:paraId="48373053"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12.</w:t>
      </w:r>
      <w:r w:rsidRPr="0059462A">
        <w:rPr>
          <w:b/>
          <w:lang w:val="lt-LT"/>
        </w:rPr>
        <w:tab/>
      </w:r>
      <w:r w:rsidRPr="0059462A">
        <w:rPr>
          <w:b/>
          <w:caps/>
          <w:lang w:val="lt-LT"/>
        </w:rPr>
        <w:t>Registracijos PAŽYMĖJIMO numeris</w:t>
      </w:r>
      <w:r w:rsidRPr="00FB39A9">
        <w:rPr>
          <w:b/>
          <w:lang w:val="lt-LT"/>
        </w:rPr>
        <w:t xml:space="preserve"> </w:t>
      </w:r>
    </w:p>
    <w:p w14:paraId="0845B2F4" w14:textId="77777777" w:rsidR="00E3770F" w:rsidRPr="0059462A" w:rsidRDefault="00E3770F" w:rsidP="00E3770F">
      <w:pPr>
        <w:tabs>
          <w:tab w:val="clear" w:pos="567"/>
        </w:tabs>
        <w:spacing w:line="240" w:lineRule="auto"/>
        <w:rPr>
          <w:lang w:val="lt-LT"/>
        </w:rPr>
      </w:pPr>
    </w:p>
    <w:p w14:paraId="74EEE319" w14:textId="77777777" w:rsidR="00E3770F" w:rsidRPr="0059462A" w:rsidRDefault="00E3770F" w:rsidP="00E3770F">
      <w:pPr>
        <w:pStyle w:val="BTEMEASMCA"/>
      </w:pPr>
      <w:r w:rsidRPr="0059462A">
        <w:t>LT/1/08/1042/006</w:t>
      </w:r>
    </w:p>
    <w:p w14:paraId="0B8B3996" w14:textId="77777777" w:rsidR="00E3770F" w:rsidRPr="0059462A" w:rsidRDefault="00E3770F" w:rsidP="00E3770F">
      <w:pPr>
        <w:tabs>
          <w:tab w:val="clear" w:pos="567"/>
        </w:tabs>
        <w:spacing w:line="240" w:lineRule="auto"/>
        <w:rPr>
          <w:lang w:val="lt-LT"/>
        </w:rPr>
      </w:pPr>
    </w:p>
    <w:p w14:paraId="772CDA93" w14:textId="77777777" w:rsidR="00E3770F" w:rsidRPr="0059462A" w:rsidRDefault="00E3770F" w:rsidP="00E3770F">
      <w:pPr>
        <w:tabs>
          <w:tab w:val="clear" w:pos="567"/>
        </w:tabs>
        <w:spacing w:line="240" w:lineRule="auto"/>
        <w:rPr>
          <w:lang w:val="lt-LT"/>
        </w:rPr>
      </w:pPr>
    </w:p>
    <w:p w14:paraId="0ECA2441"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13.</w:t>
      </w:r>
      <w:r w:rsidRPr="0059462A">
        <w:rPr>
          <w:b/>
          <w:lang w:val="lt-LT"/>
        </w:rPr>
        <w:tab/>
        <w:t>SERIJOS NUMERIS</w:t>
      </w:r>
    </w:p>
    <w:p w14:paraId="7BDD85FC" w14:textId="77777777" w:rsidR="00E3770F" w:rsidRPr="0059462A" w:rsidRDefault="00E3770F" w:rsidP="00E3770F">
      <w:pPr>
        <w:tabs>
          <w:tab w:val="clear" w:pos="567"/>
        </w:tabs>
        <w:spacing w:line="240" w:lineRule="auto"/>
        <w:rPr>
          <w:lang w:val="lt-LT"/>
        </w:rPr>
      </w:pPr>
    </w:p>
    <w:p w14:paraId="7C6A1379" w14:textId="77777777" w:rsidR="00E3770F" w:rsidRPr="00FB39A9" w:rsidRDefault="00E3770F" w:rsidP="00E3770F">
      <w:pPr>
        <w:spacing w:line="240" w:lineRule="auto"/>
        <w:rPr>
          <w:i/>
          <w:lang w:val="lt-LT"/>
        </w:rPr>
      </w:pPr>
      <w:r w:rsidRPr="00FB39A9">
        <w:rPr>
          <w:lang w:val="lt-LT"/>
        </w:rPr>
        <w:t>Lot</w:t>
      </w:r>
    </w:p>
    <w:p w14:paraId="0C79FDC6" w14:textId="77777777" w:rsidR="00E3770F" w:rsidRPr="0059462A" w:rsidRDefault="00E3770F" w:rsidP="00E3770F">
      <w:pPr>
        <w:tabs>
          <w:tab w:val="clear" w:pos="567"/>
        </w:tabs>
        <w:spacing w:line="240" w:lineRule="auto"/>
        <w:rPr>
          <w:lang w:val="lt-LT"/>
        </w:rPr>
      </w:pPr>
    </w:p>
    <w:p w14:paraId="3F094F4D" w14:textId="77777777" w:rsidR="00E3770F" w:rsidRPr="0059462A" w:rsidRDefault="00E3770F" w:rsidP="00E3770F">
      <w:pPr>
        <w:tabs>
          <w:tab w:val="clear" w:pos="567"/>
        </w:tabs>
        <w:spacing w:line="240" w:lineRule="auto"/>
        <w:rPr>
          <w:lang w:val="lt-LT"/>
        </w:rPr>
      </w:pPr>
    </w:p>
    <w:p w14:paraId="6334038E"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14.</w:t>
      </w:r>
      <w:r w:rsidRPr="0059462A">
        <w:rPr>
          <w:b/>
          <w:lang w:val="lt-LT"/>
        </w:rPr>
        <w:tab/>
        <w:t>PARDAVIMO (IŠDAVIMO)</w:t>
      </w:r>
      <w:r w:rsidRPr="00FB39A9">
        <w:rPr>
          <w:b/>
          <w:caps/>
          <w:lang w:val="lt-LT"/>
        </w:rPr>
        <w:t xml:space="preserve"> tvarka</w:t>
      </w:r>
    </w:p>
    <w:p w14:paraId="5D793C78" w14:textId="77777777" w:rsidR="00E3770F" w:rsidRPr="0059462A" w:rsidRDefault="00E3770F" w:rsidP="00E3770F">
      <w:pPr>
        <w:tabs>
          <w:tab w:val="clear" w:pos="567"/>
        </w:tabs>
        <w:spacing w:line="240" w:lineRule="auto"/>
        <w:rPr>
          <w:lang w:val="lt-LT"/>
        </w:rPr>
      </w:pPr>
    </w:p>
    <w:p w14:paraId="0F11B84A"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Receptinis vaist</w:t>
      </w:r>
      <w:r w:rsidRPr="00FB39A9">
        <w:rPr>
          <w:lang w:val="lt-LT"/>
        </w:rPr>
        <w:t>as.</w:t>
      </w:r>
    </w:p>
    <w:p w14:paraId="35D7A98D" w14:textId="77777777" w:rsidR="00E3770F" w:rsidRPr="0059462A" w:rsidRDefault="00E3770F" w:rsidP="00E3770F">
      <w:pPr>
        <w:tabs>
          <w:tab w:val="clear" w:pos="567"/>
        </w:tabs>
        <w:spacing w:line="240" w:lineRule="auto"/>
        <w:rPr>
          <w:lang w:val="lt-LT"/>
        </w:rPr>
      </w:pPr>
    </w:p>
    <w:p w14:paraId="2D9068AE" w14:textId="77777777" w:rsidR="00E3770F" w:rsidRPr="0059462A" w:rsidRDefault="00E3770F" w:rsidP="00E3770F">
      <w:pPr>
        <w:tabs>
          <w:tab w:val="clear" w:pos="567"/>
        </w:tabs>
        <w:spacing w:line="240" w:lineRule="auto"/>
        <w:rPr>
          <w:lang w:val="lt-LT"/>
        </w:rPr>
      </w:pPr>
    </w:p>
    <w:p w14:paraId="180CA89D"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15.</w:t>
      </w:r>
      <w:r w:rsidRPr="0059462A">
        <w:rPr>
          <w:b/>
          <w:lang w:val="lt-LT"/>
        </w:rPr>
        <w:tab/>
      </w:r>
      <w:r w:rsidRPr="0059462A">
        <w:rPr>
          <w:b/>
          <w:caps/>
          <w:lang w:val="lt-LT"/>
        </w:rPr>
        <w:t>vartojimo instrukcijA</w:t>
      </w:r>
    </w:p>
    <w:p w14:paraId="38AD5ADD" w14:textId="77777777" w:rsidR="00E3770F" w:rsidRPr="0059462A" w:rsidRDefault="00E3770F" w:rsidP="00E3770F">
      <w:pPr>
        <w:tabs>
          <w:tab w:val="clear" w:pos="567"/>
        </w:tabs>
        <w:spacing w:line="240" w:lineRule="auto"/>
        <w:rPr>
          <w:lang w:val="lt-LT"/>
        </w:rPr>
      </w:pPr>
    </w:p>
    <w:p w14:paraId="6D83A33A" w14:textId="77777777" w:rsidR="00E3770F" w:rsidRPr="0059462A" w:rsidRDefault="00E3770F" w:rsidP="00E3770F">
      <w:pPr>
        <w:tabs>
          <w:tab w:val="clear" w:pos="567"/>
        </w:tabs>
        <w:spacing w:line="240" w:lineRule="auto"/>
        <w:rPr>
          <w:lang w:val="lt-LT"/>
        </w:rPr>
      </w:pPr>
    </w:p>
    <w:p w14:paraId="6E19EB31" w14:textId="77777777" w:rsidR="00E3770F" w:rsidRPr="0059462A"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inorHAnsi" w:eastAsiaTheme="minorHAnsi" w:hAnsiTheme="minorHAnsi" w:cstheme="minorBidi"/>
          <w:szCs w:val="22"/>
          <w:lang w:val="lt-LT"/>
        </w:rPr>
      </w:pPr>
      <w:r w:rsidRPr="0059462A">
        <w:rPr>
          <w:b/>
          <w:lang w:val="lt-LT"/>
        </w:rPr>
        <w:t>16.</w:t>
      </w:r>
      <w:r w:rsidRPr="0059462A">
        <w:rPr>
          <w:b/>
          <w:lang w:val="lt-LT"/>
        </w:rPr>
        <w:tab/>
        <w:t>INFORMACIJA BRAILIO RAŠTU</w:t>
      </w:r>
    </w:p>
    <w:p w14:paraId="7360B234" w14:textId="77777777" w:rsidR="00E3770F" w:rsidRPr="0059462A" w:rsidRDefault="00E3770F" w:rsidP="00E3770F">
      <w:pPr>
        <w:tabs>
          <w:tab w:val="clear" w:pos="567"/>
        </w:tabs>
        <w:spacing w:line="240" w:lineRule="auto"/>
        <w:rPr>
          <w:lang w:val="lt-LT"/>
        </w:rPr>
      </w:pPr>
    </w:p>
    <w:p w14:paraId="5FA17B63" w14:textId="77777777" w:rsidR="00E3770F" w:rsidRPr="0059462A" w:rsidRDefault="00E3770F" w:rsidP="00E3770F">
      <w:pPr>
        <w:rPr>
          <w:rFonts w:asciiTheme="minorHAnsi" w:eastAsiaTheme="minorHAnsi" w:hAnsiTheme="minorHAnsi" w:cstheme="minorBidi"/>
          <w:b/>
          <w:szCs w:val="22"/>
          <w:u w:val="single"/>
          <w:lang w:val="lt-LT"/>
        </w:rPr>
      </w:pPr>
      <w:r w:rsidRPr="0059462A">
        <w:rPr>
          <w:lang w:val="lt-LT"/>
        </w:rPr>
        <w:t xml:space="preserve">Zemplar 2 mcg </w:t>
      </w:r>
    </w:p>
    <w:p w14:paraId="5107609A" w14:textId="77777777" w:rsidR="00E3770F" w:rsidRPr="0059462A" w:rsidRDefault="00E3770F" w:rsidP="00E3770F">
      <w:pPr>
        <w:tabs>
          <w:tab w:val="clear" w:pos="567"/>
        </w:tabs>
        <w:spacing w:line="240" w:lineRule="auto"/>
        <w:rPr>
          <w:lang w:val="lt-LT"/>
        </w:rPr>
      </w:pPr>
    </w:p>
    <w:p w14:paraId="2311D368" w14:textId="77777777" w:rsidR="00E3770F" w:rsidRPr="0059462A" w:rsidRDefault="00E3770F" w:rsidP="00E3770F">
      <w:pPr>
        <w:tabs>
          <w:tab w:val="clear" w:pos="567"/>
        </w:tabs>
        <w:spacing w:line="240" w:lineRule="auto"/>
        <w:rPr>
          <w:noProof/>
          <w:szCs w:val="22"/>
          <w:lang w:val="lt-LT"/>
        </w:rPr>
      </w:pPr>
    </w:p>
    <w:p w14:paraId="7DE7FFFD" w14:textId="77777777" w:rsidR="00E3770F" w:rsidRPr="00FB39A9"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FB39A9">
        <w:rPr>
          <w:b/>
          <w:lang w:val="lt-LT"/>
        </w:rPr>
        <w:t>17.</w:t>
      </w:r>
      <w:r w:rsidRPr="00FB39A9">
        <w:rPr>
          <w:lang w:val="lt-LT"/>
        </w:rPr>
        <w:tab/>
      </w:r>
      <w:r w:rsidRPr="00FB39A9">
        <w:rPr>
          <w:b/>
          <w:lang w:val="lt-LT"/>
        </w:rPr>
        <w:t>UNIKALUS IDENTIFIKATORIUS – 2D BRŪKŠNINIS KODAS</w:t>
      </w:r>
    </w:p>
    <w:p w14:paraId="48548A7D" w14:textId="77777777" w:rsidR="00E3770F" w:rsidRPr="00FB39A9" w:rsidRDefault="00E3770F" w:rsidP="00E3770F">
      <w:pPr>
        <w:spacing w:line="240" w:lineRule="auto"/>
        <w:rPr>
          <w:highlight w:val="lightGray"/>
          <w:lang w:val="lt-LT"/>
        </w:rPr>
      </w:pPr>
    </w:p>
    <w:p w14:paraId="6E51C7BB" w14:textId="77777777" w:rsidR="00E3770F" w:rsidRPr="00FB39A9" w:rsidRDefault="00E3770F" w:rsidP="00E3770F">
      <w:pPr>
        <w:spacing w:line="240" w:lineRule="auto"/>
        <w:rPr>
          <w:shd w:val="clear" w:color="auto" w:fill="CCCCCC"/>
          <w:lang w:val="lt-LT"/>
        </w:rPr>
      </w:pPr>
      <w:r w:rsidRPr="00FB39A9">
        <w:rPr>
          <w:highlight w:val="lightGray"/>
          <w:lang w:val="lt-LT"/>
        </w:rPr>
        <w:t>2D brūkšninis kodas su nurodytu unikaliu identifikatoriumi.</w:t>
      </w:r>
    </w:p>
    <w:p w14:paraId="52684778" w14:textId="77777777" w:rsidR="00E3770F" w:rsidRPr="00FB39A9" w:rsidRDefault="00E3770F" w:rsidP="00E3770F">
      <w:pPr>
        <w:tabs>
          <w:tab w:val="clear" w:pos="567"/>
        </w:tabs>
        <w:spacing w:line="240" w:lineRule="auto"/>
        <w:rPr>
          <w:lang w:val="lt-LT"/>
        </w:rPr>
      </w:pPr>
    </w:p>
    <w:p w14:paraId="058AAE39" w14:textId="77777777" w:rsidR="00E3770F" w:rsidRPr="00FB39A9" w:rsidRDefault="00E3770F" w:rsidP="00E3770F">
      <w:pPr>
        <w:tabs>
          <w:tab w:val="clear" w:pos="567"/>
        </w:tabs>
        <w:spacing w:line="240" w:lineRule="auto"/>
        <w:rPr>
          <w:lang w:val="lt-LT"/>
        </w:rPr>
      </w:pPr>
    </w:p>
    <w:p w14:paraId="344A7C33" w14:textId="77777777" w:rsidR="00E3770F" w:rsidRPr="00FB39A9" w:rsidRDefault="00E3770F" w:rsidP="00E3770F">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FB39A9">
        <w:rPr>
          <w:b/>
          <w:lang w:val="lt-LT"/>
        </w:rPr>
        <w:t>18.</w:t>
      </w:r>
      <w:r w:rsidRPr="00FB39A9">
        <w:rPr>
          <w:lang w:val="lt-LT"/>
        </w:rPr>
        <w:tab/>
      </w:r>
      <w:r w:rsidRPr="00FB39A9">
        <w:rPr>
          <w:b/>
          <w:lang w:val="lt-LT"/>
        </w:rPr>
        <w:t>UNIKALUS IDENTIFIKATORIUS – ŽMONĖMS SUPRANTAMI DUOMENYS</w:t>
      </w:r>
    </w:p>
    <w:p w14:paraId="288B92E9" w14:textId="77777777" w:rsidR="00E3770F" w:rsidRPr="00FB39A9" w:rsidRDefault="00E3770F" w:rsidP="00E3770F">
      <w:pPr>
        <w:tabs>
          <w:tab w:val="clear" w:pos="567"/>
        </w:tabs>
        <w:spacing w:line="240" w:lineRule="auto"/>
        <w:rPr>
          <w:lang w:val="lt-LT"/>
        </w:rPr>
      </w:pPr>
    </w:p>
    <w:p w14:paraId="0D8FBB15" w14:textId="77777777" w:rsidR="00E3770F" w:rsidRPr="00FB39A9" w:rsidRDefault="00E3770F" w:rsidP="00E3770F">
      <w:pPr>
        <w:rPr>
          <w:color w:val="008000"/>
          <w:lang w:val="lt-LT"/>
        </w:rPr>
      </w:pPr>
      <w:r w:rsidRPr="00FB39A9">
        <w:rPr>
          <w:lang w:val="lt-LT"/>
        </w:rPr>
        <w:t>PC</w:t>
      </w:r>
    </w:p>
    <w:p w14:paraId="5E08BE36" w14:textId="77777777" w:rsidR="00E3770F" w:rsidRPr="00FB39A9" w:rsidRDefault="00E3770F" w:rsidP="00E3770F">
      <w:pPr>
        <w:rPr>
          <w:lang w:val="lt-LT"/>
        </w:rPr>
      </w:pPr>
      <w:r w:rsidRPr="00FB39A9">
        <w:rPr>
          <w:lang w:val="lt-LT"/>
        </w:rPr>
        <w:t>SN</w:t>
      </w:r>
    </w:p>
    <w:p w14:paraId="1076168E" w14:textId="77777777" w:rsidR="00E3770F" w:rsidRPr="00FB39A9" w:rsidRDefault="00E3770F" w:rsidP="00E3770F">
      <w:pPr>
        <w:rPr>
          <w:lang w:val="lt-LT"/>
        </w:rPr>
      </w:pPr>
      <w:r w:rsidRPr="00FB39A9">
        <w:rPr>
          <w:highlight w:val="lightGray"/>
          <w:lang w:val="lt-LT"/>
        </w:rPr>
        <w:t>NN</w:t>
      </w:r>
    </w:p>
    <w:p w14:paraId="1D4BFF82" w14:textId="77777777" w:rsidR="00E3770F" w:rsidRPr="0059462A" w:rsidRDefault="00E3770F" w:rsidP="00E3770F">
      <w:pPr>
        <w:tabs>
          <w:tab w:val="clear" w:pos="567"/>
        </w:tabs>
        <w:spacing w:line="240" w:lineRule="auto"/>
        <w:rPr>
          <w:noProof/>
          <w:szCs w:val="22"/>
          <w:lang w:val="lt-LT"/>
        </w:rPr>
      </w:pPr>
    </w:p>
    <w:p w14:paraId="0795E15E" w14:textId="77777777" w:rsidR="00E3770F" w:rsidRPr="0059462A" w:rsidRDefault="00E3770F" w:rsidP="00E3770F">
      <w:pPr>
        <w:rPr>
          <w:b/>
          <w:lang w:val="lt-LT"/>
        </w:rPr>
      </w:pPr>
      <w:r w:rsidRPr="0059462A">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72D3C2C5" w14:textId="77777777" w:rsidTr="00090260">
        <w:trPr>
          <w:trHeight w:val="785"/>
        </w:trPr>
        <w:tc>
          <w:tcPr>
            <w:tcW w:w="9287" w:type="dxa"/>
          </w:tcPr>
          <w:p w14:paraId="1BF37D09" w14:textId="77777777" w:rsidR="00E3770F" w:rsidRPr="0059462A" w:rsidRDefault="00E3770F" w:rsidP="00090260">
            <w:pPr>
              <w:rPr>
                <w:b/>
                <w:lang w:val="lt-LT"/>
              </w:rPr>
            </w:pPr>
            <w:r w:rsidRPr="0059462A">
              <w:rPr>
                <w:b/>
                <w:lang w:val="lt-LT"/>
              </w:rPr>
              <w:lastRenderedPageBreak/>
              <w:t xml:space="preserve">MINIMALI </w:t>
            </w:r>
            <w:r w:rsidRPr="0059462A">
              <w:rPr>
                <w:b/>
                <w:caps/>
                <w:lang w:val="lt-LT"/>
              </w:rPr>
              <w:t xml:space="preserve">informacija ant </w:t>
            </w:r>
            <w:r w:rsidRPr="00FB39A9">
              <w:rPr>
                <w:b/>
                <w:lang w:val="lt-LT"/>
              </w:rPr>
              <w:t>LIZDINIŲ PLOKŠTELIŲ ARBA DVISLUOKSNIŲ JUOSTELIŲ</w:t>
            </w:r>
          </w:p>
          <w:p w14:paraId="67108A59" w14:textId="77777777" w:rsidR="00E3770F" w:rsidRPr="0059462A" w:rsidRDefault="00E3770F" w:rsidP="00090260">
            <w:pPr>
              <w:rPr>
                <w:b/>
                <w:lang w:val="lt-LT"/>
              </w:rPr>
            </w:pPr>
          </w:p>
          <w:p w14:paraId="00986E80" w14:textId="77777777" w:rsidR="00E3770F" w:rsidRPr="0059462A" w:rsidRDefault="00E3770F" w:rsidP="00090260">
            <w:pPr>
              <w:rPr>
                <w:rFonts w:asciiTheme="minorHAnsi" w:eastAsiaTheme="minorHAnsi" w:hAnsiTheme="minorHAnsi" w:cstheme="minorBidi"/>
                <w:b/>
                <w:szCs w:val="22"/>
                <w:lang w:val="lt-LT"/>
              </w:rPr>
            </w:pPr>
            <w:r w:rsidRPr="0059462A">
              <w:rPr>
                <w:b/>
                <w:lang w:val="lt-LT"/>
              </w:rPr>
              <w:t>LIZDINĖ PLOKŠTELĖ</w:t>
            </w:r>
          </w:p>
        </w:tc>
      </w:tr>
    </w:tbl>
    <w:p w14:paraId="40E3E818" w14:textId="77777777" w:rsidR="00E3770F" w:rsidRPr="0059462A" w:rsidRDefault="00E3770F" w:rsidP="00E3770F">
      <w:pPr>
        <w:tabs>
          <w:tab w:val="clear" w:pos="567"/>
        </w:tabs>
        <w:spacing w:line="240" w:lineRule="auto"/>
        <w:rPr>
          <w:b/>
          <w:lang w:val="lt-LT"/>
        </w:rPr>
      </w:pPr>
    </w:p>
    <w:p w14:paraId="024BAEB9" w14:textId="77777777" w:rsidR="00E3770F" w:rsidRPr="0059462A" w:rsidRDefault="00E3770F" w:rsidP="00E3770F">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78413F6D" w14:textId="77777777" w:rsidTr="00090260">
        <w:tc>
          <w:tcPr>
            <w:tcW w:w="9287" w:type="dxa"/>
          </w:tcPr>
          <w:p w14:paraId="2C7AA60E" w14:textId="77777777" w:rsidR="00E3770F" w:rsidRPr="0059462A" w:rsidRDefault="00E3770F" w:rsidP="00090260">
            <w:pPr>
              <w:tabs>
                <w:tab w:val="clear" w:pos="567"/>
                <w:tab w:val="left" w:pos="142"/>
              </w:tabs>
              <w:spacing w:line="240" w:lineRule="auto"/>
              <w:ind w:left="567" w:hanging="567"/>
              <w:rPr>
                <w:b/>
                <w:lang w:val="lt-LT"/>
              </w:rPr>
            </w:pPr>
            <w:r w:rsidRPr="0059462A">
              <w:rPr>
                <w:b/>
                <w:lang w:val="lt-LT"/>
              </w:rPr>
              <w:t>1.</w:t>
            </w:r>
            <w:r w:rsidRPr="0059462A">
              <w:rPr>
                <w:b/>
                <w:lang w:val="lt-LT"/>
              </w:rPr>
              <w:tab/>
            </w:r>
            <w:r w:rsidRPr="0059462A">
              <w:rPr>
                <w:b/>
                <w:caps/>
                <w:lang w:val="lt-LT"/>
              </w:rPr>
              <w:t>Vaistinio preparato pavadinimas</w:t>
            </w:r>
          </w:p>
        </w:tc>
      </w:tr>
    </w:tbl>
    <w:p w14:paraId="7A2B2F5B" w14:textId="77777777" w:rsidR="00E3770F" w:rsidRPr="0059462A" w:rsidRDefault="00E3770F" w:rsidP="00E3770F">
      <w:pPr>
        <w:ind w:left="567" w:hanging="567"/>
        <w:rPr>
          <w:lang w:val="lt-LT"/>
        </w:rPr>
      </w:pPr>
    </w:p>
    <w:p w14:paraId="65C4B283" w14:textId="77777777" w:rsidR="00E3770F" w:rsidRPr="0059462A" w:rsidRDefault="00E3770F" w:rsidP="00E3770F">
      <w:pPr>
        <w:rPr>
          <w:rFonts w:asciiTheme="minorHAnsi" w:eastAsiaTheme="minorHAnsi" w:hAnsiTheme="minorHAnsi" w:cstheme="minorBidi"/>
          <w:szCs w:val="22"/>
          <w:lang w:val="lt-LT"/>
        </w:rPr>
      </w:pPr>
      <w:r w:rsidRPr="0059462A">
        <w:rPr>
          <w:lang w:val="lt-LT"/>
        </w:rPr>
        <w:t>Zemplar 2 mikrogramai minkštosios kapsulės</w:t>
      </w:r>
    </w:p>
    <w:p w14:paraId="4601408E" w14:textId="77777777" w:rsidR="00E3770F" w:rsidRPr="0059462A" w:rsidRDefault="00E3770F" w:rsidP="00E3770F">
      <w:pPr>
        <w:rPr>
          <w:rFonts w:asciiTheme="minorHAnsi" w:eastAsiaTheme="minorHAnsi" w:hAnsiTheme="minorHAnsi" w:cstheme="minorBidi"/>
          <w:szCs w:val="22"/>
          <w:lang w:val="lt-LT"/>
        </w:rPr>
      </w:pPr>
      <w:r>
        <w:rPr>
          <w:lang w:val="lt-LT"/>
        </w:rPr>
        <w:t>p</w:t>
      </w:r>
      <w:r w:rsidRPr="0059462A">
        <w:rPr>
          <w:lang w:val="lt-LT"/>
        </w:rPr>
        <w:t>aricalcitolum</w:t>
      </w:r>
    </w:p>
    <w:p w14:paraId="39164FD1" w14:textId="77777777" w:rsidR="00E3770F" w:rsidRPr="0059462A" w:rsidRDefault="00E3770F" w:rsidP="00E3770F">
      <w:pPr>
        <w:rPr>
          <w:lang w:val="lt-LT"/>
        </w:rPr>
      </w:pPr>
    </w:p>
    <w:p w14:paraId="2800E2AA" w14:textId="77777777" w:rsidR="00E3770F" w:rsidRPr="0059462A" w:rsidRDefault="00E3770F" w:rsidP="00E3770F">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5183AB14" w14:textId="77777777" w:rsidTr="00090260">
        <w:tc>
          <w:tcPr>
            <w:tcW w:w="9287" w:type="dxa"/>
          </w:tcPr>
          <w:p w14:paraId="45045026" w14:textId="77777777" w:rsidR="00E3770F" w:rsidRPr="0059462A" w:rsidRDefault="00E3770F" w:rsidP="00090260">
            <w:pPr>
              <w:tabs>
                <w:tab w:val="clear" w:pos="567"/>
                <w:tab w:val="left" w:pos="142"/>
              </w:tabs>
              <w:spacing w:line="240" w:lineRule="auto"/>
              <w:ind w:left="567" w:hanging="567"/>
              <w:rPr>
                <w:b/>
                <w:lang w:val="lt-LT"/>
              </w:rPr>
            </w:pPr>
            <w:r w:rsidRPr="0059462A">
              <w:rPr>
                <w:b/>
                <w:lang w:val="lt-LT"/>
              </w:rPr>
              <w:t>2.</w:t>
            </w:r>
            <w:r w:rsidRPr="0059462A">
              <w:rPr>
                <w:b/>
                <w:lang w:val="lt-LT"/>
              </w:rPr>
              <w:tab/>
              <w:t>REGISTRUOTOJO</w:t>
            </w:r>
            <w:r w:rsidRPr="00FB39A9">
              <w:rPr>
                <w:b/>
                <w:caps/>
                <w:lang w:val="lt-LT"/>
              </w:rPr>
              <w:t xml:space="preserve"> pavadinimas</w:t>
            </w:r>
          </w:p>
        </w:tc>
      </w:tr>
    </w:tbl>
    <w:p w14:paraId="4346FFF9" w14:textId="77777777" w:rsidR="00E3770F" w:rsidRPr="0059462A" w:rsidRDefault="00E3770F" w:rsidP="00E3770F">
      <w:pPr>
        <w:tabs>
          <w:tab w:val="clear" w:pos="567"/>
        </w:tabs>
        <w:spacing w:line="240" w:lineRule="auto"/>
        <w:rPr>
          <w:b/>
          <w:lang w:val="lt-LT"/>
        </w:rPr>
      </w:pPr>
    </w:p>
    <w:p w14:paraId="15D6C7E7" w14:textId="77777777" w:rsidR="00E3770F" w:rsidRPr="0059462A" w:rsidRDefault="00E3770F" w:rsidP="00E3770F">
      <w:pPr>
        <w:rPr>
          <w:rFonts w:asciiTheme="minorHAnsi" w:eastAsiaTheme="minorHAnsi" w:hAnsiTheme="minorHAnsi" w:cstheme="minorBidi"/>
          <w:szCs w:val="22"/>
          <w:lang w:val="lt-LT"/>
        </w:rPr>
      </w:pPr>
      <w:r w:rsidRPr="0059462A">
        <w:rPr>
          <w:lang w:val="lt-LT"/>
        </w:rPr>
        <w:t>AbbVie SIA</w:t>
      </w:r>
    </w:p>
    <w:p w14:paraId="6BBFB797" w14:textId="77777777" w:rsidR="00E3770F" w:rsidRPr="0059462A" w:rsidRDefault="00E3770F" w:rsidP="00E3770F">
      <w:pPr>
        <w:tabs>
          <w:tab w:val="clear" w:pos="567"/>
        </w:tabs>
        <w:spacing w:line="240" w:lineRule="auto"/>
        <w:rPr>
          <w:b/>
          <w:lang w:val="lt-LT"/>
        </w:rPr>
      </w:pPr>
    </w:p>
    <w:p w14:paraId="34F3116B" w14:textId="77777777" w:rsidR="00E3770F" w:rsidRPr="0059462A" w:rsidRDefault="00E3770F" w:rsidP="00E3770F">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7391CB0B" w14:textId="77777777" w:rsidTr="00090260">
        <w:tc>
          <w:tcPr>
            <w:tcW w:w="9287" w:type="dxa"/>
          </w:tcPr>
          <w:p w14:paraId="6BF00F8F" w14:textId="77777777" w:rsidR="00E3770F" w:rsidRPr="0059462A" w:rsidRDefault="00E3770F" w:rsidP="00090260">
            <w:pPr>
              <w:tabs>
                <w:tab w:val="clear" w:pos="567"/>
                <w:tab w:val="left" w:pos="142"/>
              </w:tabs>
              <w:spacing w:line="240" w:lineRule="auto"/>
              <w:ind w:left="567" w:hanging="567"/>
              <w:rPr>
                <w:b/>
                <w:lang w:val="lt-LT"/>
              </w:rPr>
            </w:pPr>
            <w:r w:rsidRPr="0059462A">
              <w:rPr>
                <w:b/>
                <w:lang w:val="lt-LT"/>
              </w:rPr>
              <w:t>3.</w:t>
            </w:r>
            <w:r w:rsidRPr="0059462A">
              <w:rPr>
                <w:b/>
                <w:lang w:val="lt-LT"/>
              </w:rPr>
              <w:tab/>
            </w:r>
            <w:r w:rsidRPr="0059462A">
              <w:rPr>
                <w:b/>
                <w:caps/>
                <w:lang w:val="lt-LT"/>
              </w:rPr>
              <w:t>tinkamumo laikas</w:t>
            </w:r>
          </w:p>
        </w:tc>
      </w:tr>
    </w:tbl>
    <w:p w14:paraId="3B276CFE" w14:textId="77777777" w:rsidR="00E3770F" w:rsidRPr="0059462A" w:rsidRDefault="00E3770F" w:rsidP="00E3770F">
      <w:pPr>
        <w:tabs>
          <w:tab w:val="clear" w:pos="567"/>
        </w:tabs>
        <w:spacing w:line="240" w:lineRule="auto"/>
        <w:rPr>
          <w:b/>
          <w:lang w:val="lt-LT"/>
        </w:rPr>
      </w:pPr>
    </w:p>
    <w:p w14:paraId="728D19D2" w14:textId="77777777" w:rsidR="00E3770F" w:rsidRPr="00FB39A9" w:rsidRDefault="00E3770F" w:rsidP="00E3770F">
      <w:pPr>
        <w:tabs>
          <w:tab w:val="clear" w:pos="567"/>
        </w:tabs>
        <w:spacing w:line="240" w:lineRule="auto"/>
        <w:rPr>
          <w:lang w:val="lt-LT"/>
        </w:rPr>
      </w:pPr>
      <w:r w:rsidRPr="00FB39A9">
        <w:rPr>
          <w:lang w:val="lt-LT"/>
        </w:rPr>
        <w:t>EXP (mm/MMMM)</w:t>
      </w:r>
    </w:p>
    <w:p w14:paraId="2A248D6B" w14:textId="77777777" w:rsidR="00E3770F" w:rsidRPr="00FB39A9" w:rsidRDefault="00E3770F" w:rsidP="00E3770F">
      <w:pPr>
        <w:tabs>
          <w:tab w:val="clear" w:pos="567"/>
        </w:tabs>
        <w:spacing w:line="240" w:lineRule="auto"/>
        <w:rPr>
          <w:lang w:val="lt-LT"/>
        </w:rPr>
      </w:pPr>
    </w:p>
    <w:p w14:paraId="57520CB9" w14:textId="77777777" w:rsidR="00E3770F" w:rsidRPr="00FB39A9" w:rsidRDefault="00E3770F" w:rsidP="00E3770F">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3770F" w:rsidRPr="0059462A" w14:paraId="1788F2A4" w14:textId="77777777" w:rsidTr="00090260">
        <w:tc>
          <w:tcPr>
            <w:tcW w:w="9287" w:type="dxa"/>
          </w:tcPr>
          <w:p w14:paraId="01BF00A9" w14:textId="77777777" w:rsidR="00E3770F" w:rsidRPr="00FB39A9" w:rsidRDefault="00E3770F" w:rsidP="00090260">
            <w:pPr>
              <w:tabs>
                <w:tab w:val="clear" w:pos="567"/>
                <w:tab w:val="left" w:pos="142"/>
              </w:tabs>
              <w:spacing w:line="240" w:lineRule="auto"/>
              <w:ind w:left="567" w:hanging="567"/>
              <w:rPr>
                <w:b/>
                <w:lang w:val="lt-LT"/>
              </w:rPr>
            </w:pPr>
            <w:r w:rsidRPr="00FB39A9">
              <w:rPr>
                <w:b/>
                <w:lang w:val="lt-LT"/>
              </w:rPr>
              <w:t>4.</w:t>
            </w:r>
            <w:r w:rsidRPr="00FB39A9">
              <w:rPr>
                <w:b/>
                <w:lang w:val="lt-LT"/>
              </w:rPr>
              <w:tab/>
            </w:r>
            <w:r w:rsidRPr="00FB39A9">
              <w:rPr>
                <w:b/>
                <w:caps/>
                <w:lang w:val="lt-LT"/>
              </w:rPr>
              <w:t>serijos numeris</w:t>
            </w:r>
          </w:p>
        </w:tc>
      </w:tr>
    </w:tbl>
    <w:p w14:paraId="7BD14D9A" w14:textId="77777777" w:rsidR="00E3770F" w:rsidRPr="00FB39A9" w:rsidRDefault="00E3770F" w:rsidP="00E3770F">
      <w:pPr>
        <w:tabs>
          <w:tab w:val="clear" w:pos="567"/>
        </w:tabs>
        <w:spacing w:line="240" w:lineRule="auto"/>
        <w:ind w:right="113"/>
        <w:rPr>
          <w:lang w:val="lt-LT"/>
        </w:rPr>
      </w:pPr>
    </w:p>
    <w:p w14:paraId="279AFD7D" w14:textId="77777777" w:rsidR="00E3770F" w:rsidRPr="00FB39A9" w:rsidRDefault="00E3770F" w:rsidP="00E3770F">
      <w:pPr>
        <w:spacing w:line="240" w:lineRule="auto"/>
        <w:ind w:right="113"/>
        <w:rPr>
          <w:lang w:val="lt-LT"/>
        </w:rPr>
      </w:pPr>
      <w:r w:rsidRPr="00FB39A9">
        <w:rPr>
          <w:lang w:val="lt-LT"/>
        </w:rPr>
        <w:t>Lot</w:t>
      </w:r>
    </w:p>
    <w:p w14:paraId="7FFB77A7" w14:textId="77777777" w:rsidR="00E3770F" w:rsidRPr="0059462A" w:rsidRDefault="00E3770F" w:rsidP="00E3770F">
      <w:pPr>
        <w:pStyle w:val="BTEMEASMCA"/>
      </w:pPr>
    </w:p>
    <w:p w14:paraId="6D2A3A4D" w14:textId="77777777" w:rsidR="00E3770F" w:rsidRPr="0059462A" w:rsidRDefault="00E3770F" w:rsidP="00E3770F">
      <w:pPr>
        <w:pStyle w:val="BTEMEASMCA"/>
      </w:pPr>
    </w:p>
    <w:p w14:paraId="080B86E6" w14:textId="77777777" w:rsidR="00E3770F" w:rsidRPr="0059462A" w:rsidRDefault="00E3770F" w:rsidP="00E3770F">
      <w:pPr>
        <w:pStyle w:val="PI-1labEMEASMCA"/>
      </w:pPr>
      <w:r w:rsidRPr="0059462A">
        <w:t>5.</w:t>
      </w:r>
      <w:r w:rsidRPr="0059462A">
        <w:tab/>
        <w:t>KITA</w:t>
      </w:r>
    </w:p>
    <w:p w14:paraId="3D42E0D3" w14:textId="77777777" w:rsidR="00E3770F" w:rsidRPr="0059462A" w:rsidRDefault="00E3770F" w:rsidP="00E3770F">
      <w:pPr>
        <w:pStyle w:val="BTEMEASMCA"/>
      </w:pPr>
    </w:p>
    <w:p w14:paraId="49B7CC21" w14:textId="77777777" w:rsidR="00E3770F" w:rsidRPr="0059462A" w:rsidRDefault="00E3770F" w:rsidP="00E3770F">
      <w:pPr>
        <w:tabs>
          <w:tab w:val="clear" w:pos="567"/>
        </w:tabs>
        <w:spacing w:line="240" w:lineRule="auto"/>
        <w:ind w:right="113"/>
        <w:rPr>
          <w:lang w:val="lt-LT"/>
        </w:rPr>
      </w:pPr>
    </w:p>
    <w:p w14:paraId="2B1EE0C9" w14:textId="77777777" w:rsidR="00E3770F" w:rsidRPr="0059462A" w:rsidRDefault="00E3770F" w:rsidP="00E3770F">
      <w:pPr>
        <w:tabs>
          <w:tab w:val="clear" w:pos="567"/>
        </w:tabs>
        <w:spacing w:line="240" w:lineRule="auto"/>
        <w:ind w:right="113"/>
        <w:rPr>
          <w:lang w:val="lt-LT"/>
        </w:rPr>
      </w:pPr>
    </w:p>
    <w:p w14:paraId="5AA24DD8" w14:textId="77777777" w:rsidR="00E3770F" w:rsidRPr="0059462A" w:rsidRDefault="00E3770F" w:rsidP="00E3770F">
      <w:pPr>
        <w:tabs>
          <w:tab w:val="clear" w:pos="567"/>
        </w:tabs>
        <w:spacing w:line="240" w:lineRule="auto"/>
        <w:ind w:right="113"/>
        <w:rPr>
          <w:lang w:val="lt-LT"/>
        </w:rPr>
      </w:pPr>
    </w:p>
    <w:p w14:paraId="1F91349B" w14:textId="77777777" w:rsidR="00E3770F" w:rsidRPr="0059462A" w:rsidRDefault="00E3770F" w:rsidP="00E3770F">
      <w:pPr>
        <w:tabs>
          <w:tab w:val="clear" w:pos="567"/>
        </w:tabs>
        <w:spacing w:line="240" w:lineRule="auto"/>
        <w:ind w:right="113"/>
        <w:rPr>
          <w:lang w:val="lt-LT"/>
        </w:rPr>
      </w:pPr>
    </w:p>
    <w:p w14:paraId="209BEFAF" w14:textId="77777777" w:rsidR="00E3770F" w:rsidRPr="0059462A" w:rsidRDefault="00E3770F" w:rsidP="00E3770F">
      <w:pPr>
        <w:tabs>
          <w:tab w:val="clear" w:pos="567"/>
        </w:tabs>
        <w:spacing w:line="240" w:lineRule="auto"/>
        <w:ind w:right="113"/>
        <w:rPr>
          <w:lang w:val="lt-LT"/>
        </w:rPr>
      </w:pPr>
    </w:p>
    <w:p w14:paraId="1946CA18" w14:textId="77777777" w:rsidR="00E3770F" w:rsidRPr="0059462A" w:rsidRDefault="00E3770F" w:rsidP="00E3770F">
      <w:pPr>
        <w:tabs>
          <w:tab w:val="clear" w:pos="567"/>
        </w:tabs>
        <w:spacing w:line="240" w:lineRule="auto"/>
        <w:ind w:right="113"/>
        <w:rPr>
          <w:lang w:val="lt-LT"/>
        </w:rPr>
      </w:pPr>
    </w:p>
    <w:p w14:paraId="4BC3B310" w14:textId="77777777" w:rsidR="00E3770F" w:rsidRPr="0059462A" w:rsidRDefault="00E3770F" w:rsidP="00E3770F">
      <w:pPr>
        <w:tabs>
          <w:tab w:val="clear" w:pos="567"/>
        </w:tabs>
        <w:spacing w:line="240" w:lineRule="auto"/>
        <w:ind w:right="113"/>
        <w:rPr>
          <w:lang w:val="lt-LT"/>
        </w:rPr>
      </w:pPr>
    </w:p>
    <w:p w14:paraId="2DB95D6E" w14:textId="77777777" w:rsidR="00E3770F" w:rsidRPr="0059462A" w:rsidRDefault="00E3770F" w:rsidP="00E3770F">
      <w:pPr>
        <w:tabs>
          <w:tab w:val="clear" w:pos="567"/>
        </w:tabs>
        <w:spacing w:line="240" w:lineRule="auto"/>
        <w:ind w:right="113"/>
        <w:rPr>
          <w:lang w:val="lt-LT"/>
        </w:rPr>
      </w:pPr>
    </w:p>
    <w:p w14:paraId="3B421F06" w14:textId="77777777" w:rsidR="00E3770F" w:rsidRPr="0059462A" w:rsidRDefault="00E3770F" w:rsidP="00E3770F">
      <w:pPr>
        <w:tabs>
          <w:tab w:val="clear" w:pos="567"/>
        </w:tabs>
        <w:spacing w:line="240" w:lineRule="auto"/>
        <w:ind w:right="113"/>
        <w:rPr>
          <w:lang w:val="lt-LT"/>
        </w:rPr>
      </w:pPr>
    </w:p>
    <w:p w14:paraId="72AD0FC1" w14:textId="77777777" w:rsidR="00E3770F" w:rsidRPr="0059462A" w:rsidRDefault="00E3770F" w:rsidP="00E3770F">
      <w:pPr>
        <w:tabs>
          <w:tab w:val="clear" w:pos="567"/>
        </w:tabs>
        <w:spacing w:line="240" w:lineRule="auto"/>
        <w:rPr>
          <w:lang w:val="lt-LT"/>
        </w:rPr>
      </w:pPr>
      <w:r w:rsidRPr="0059462A">
        <w:rPr>
          <w:lang w:val="lt-LT"/>
        </w:rPr>
        <w:br w:type="page"/>
      </w:r>
    </w:p>
    <w:p w14:paraId="74425280" w14:textId="77777777" w:rsidR="00E3770F" w:rsidRPr="0059462A" w:rsidRDefault="00E3770F" w:rsidP="00E3770F">
      <w:pPr>
        <w:tabs>
          <w:tab w:val="clear" w:pos="567"/>
        </w:tabs>
        <w:spacing w:line="240" w:lineRule="auto"/>
        <w:rPr>
          <w:lang w:val="lt-LT"/>
        </w:rPr>
      </w:pPr>
    </w:p>
    <w:p w14:paraId="2F63EE37" w14:textId="77777777" w:rsidR="00E3770F" w:rsidRPr="0059462A" w:rsidRDefault="00E3770F" w:rsidP="00E3770F">
      <w:pPr>
        <w:tabs>
          <w:tab w:val="clear" w:pos="567"/>
        </w:tabs>
        <w:spacing w:line="240" w:lineRule="auto"/>
        <w:jc w:val="center"/>
        <w:rPr>
          <w:lang w:val="lt-LT"/>
        </w:rPr>
      </w:pPr>
    </w:p>
    <w:p w14:paraId="27B6753F" w14:textId="77777777" w:rsidR="00E3770F" w:rsidRPr="0059462A" w:rsidRDefault="00E3770F" w:rsidP="00E3770F">
      <w:pPr>
        <w:tabs>
          <w:tab w:val="clear" w:pos="567"/>
        </w:tabs>
        <w:spacing w:line="240" w:lineRule="auto"/>
        <w:jc w:val="center"/>
        <w:rPr>
          <w:lang w:val="lt-LT"/>
        </w:rPr>
      </w:pPr>
    </w:p>
    <w:p w14:paraId="1DBCAD62" w14:textId="77777777" w:rsidR="00E3770F" w:rsidRPr="0059462A" w:rsidRDefault="00E3770F" w:rsidP="00E3770F">
      <w:pPr>
        <w:tabs>
          <w:tab w:val="clear" w:pos="567"/>
        </w:tabs>
        <w:spacing w:line="240" w:lineRule="auto"/>
        <w:jc w:val="center"/>
        <w:rPr>
          <w:lang w:val="lt-LT"/>
        </w:rPr>
      </w:pPr>
    </w:p>
    <w:p w14:paraId="6A54449E" w14:textId="77777777" w:rsidR="00E3770F" w:rsidRPr="0059462A" w:rsidRDefault="00E3770F" w:rsidP="00E3770F">
      <w:pPr>
        <w:tabs>
          <w:tab w:val="clear" w:pos="567"/>
        </w:tabs>
        <w:spacing w:line="240" w:lineRule="auto"/>
        <w:jc w:val="center"/>
        <w:rPr>
          <w:lang w:val="lt-LT"/>
        </w:rPr>
      </w:pPr>
    </w:p>
    <w:p w14:paraId="3DD94E32" w14:textId="77777777" w:rsidR="00E3770F" w:rsidRPr="0059462A" w:rsidRDefault="00E3770F" w:rsidP="00E3770F">
      <w:pPr>
        <w:tabs>
          <w:tab w:val="clear" w:pos="567"/>
        </w:tabs>
        <w:spacing w:line="240" w:lineRule="auto"/>
        <w:jc w:val="center"/>
        <w:rPr>
          <w:lang w:val="lt-LT"/>
        </w:rPr>
      </w:pPr>
    </w:p>
    <w:p w14:paraId="5499A41D" w14:textId="77777777" w:rsidR="00E3770F" w:rsidRPr="0059462A" w:rsidRDefault="00E3770F" w:rsidP="00E3770F">
      <w:pPr>
        <w:tabs>
          <w:tab w:val="clear" w:pos="567"/>
        </w:tabs>
        <w:spacing w:line="240" w:lineRule="auto"/>
        <w:jc w:val="center"/>
        <w:rPr>
          <w:lang w:val="lt-LT"/>
        </w:rPr>
      </w:pPr>
    </w:p>
    <w:p w14:paraId="2539BF1C" w14:textId="77777777" w:rsidR="00E3770F" w:rsidRPr="0059462A" w:rsidRDefault="00E3770F" w:rsidP="00E3770F">
      <w:pPr>
        <w:tabs>
          <w:tab w:val="clear" w:pos="567"/>
        </w:tabs>
        <w:spacing w:line="240" w:lineRule="auto"/>
        <w:jc w:val="center"/>
        <w:rPr>
          <w:lang w:val="lt-LT"/>
        </w:rPr>
      </w:pPr>
    </w:p>
    <w:p w14:paraId="33654F18" w14:textId="77777777" w:rsidR="00E3770F" w:rsidRPr="0059462A" w:rsidRDefault="00E3770F" w:rsidP="00E3770F">
      <w:pPr>
        <w:tabs>
          <w:tab w:val="clear" w:pos="567"/>
        </w:tabs>
        <w:spacing w:line="240" w:lineRule="auto"/>
        <w:jc w:val="center"/>
        <w:rPr>
          <w:lang w:val="lt-LT"/>
        </w:rPr>
      </w:pPr>
    </w:p>
    <w:p w14:paraId="50980EDB" w14:textId="77777777" w:rsidR="00E3770F" w:rsidRPr="0059462A" w:rsidRDefault="00E3770F" w:rsidP="00E3770F">
      <w:pPr>
        <w:tabs>
          <w:tab w:val="clear" w:pos="567"/>
        </w:tabs>
        <w:spacing w:line="240" w:lineRule="auto"/>
        <w:jc w:val="center"/>
        <w:rPr>
          <w:lang w:val="lt-LT"/>
        </w:rPr>
      </w:pPr>
    </w:p>
    <w:p w14:paraId="747EB7CE" w14:textId="77777777" w:rsidR="00E3770F" w:rsidRPr="0059462A" w:rsidRDefault="00E3770F" w:rsidP="00E3770F">
      <w:pPr>
        <w:tabs>
          <w:tab w:val="clear" w:pos="567"/>
        </w:tabs>
        <w:spacing w:line="240" w:lineRule="auto"/>
        <w:jc w:val="center"/>
        <w:rPr>
          <w:lang w:val="lt-LT"/>
        </w:rPr>
      </w:pPr>
    </w:p>
    <w:p w14:paraId="3C5E4848" w14:textId="77777777" w:rsidR="00E3770F" w:rsidRPr="0059462A" w:rsidRDefault="00E3770F" w:rsidP="00E3770F">
      <w:pPr>
        <w:tabs>
          <w:tab w:val="clear" w:pos="567"/>
        </w:tabs>
        <w:spacing w:line="240" w:lineRule="auto"/>
        <w:jc w:val="center"/>
        <w:rPr>
          <w:lang w:val="lt-LT"/>
        </w:rPr>
      </w:pPr>
    </w:p>
    <w:p w14:paraId="0807C21C" w14:textId="77777777" w:rsidR="00E3770F" w:rsidRPr="0059462A" w:rsidRDefault="00E3770F" w:rsidP="00E3770F">
      <w:pPr>
        <w:tabs>
          <w:tab w:val="clear" w:pos="567"/>
        </w:tabs>
        <w:spacing w:line="240" w:lineRule="auto"/>
        <w:jc w:val="center"/>
        <w:rPr>
          <w:lang w:val="lt-LT"/>
        </w:rPr>
      </w:pPr>
    </w:p>
    <w:p w14:paraId="2CAE5862" w14:textId="77777777" w:rsidR="00E3770F" w:rsidRPr="0059462A" w:rsidRDefault="00E3770F" w:rsidP="00E3770F">
      <w:pPr>
        <w:tabs>
          <w:tab w:val="clear" w:pos="567"/>
        </w:tabs>
        <w:spacing w:line="240" w:lineRule="auto"/>
        <w:jc w:val="center"/>
        <w:rPr>
          <w:lang w:val="lt-LT"/>
        </w:rPr>
      </w:pPr>
    </w:p>
    <w:p w14:paraId="37816186" w14:textId="77777777" w:rsidR="00E3770F" w:rsidRPr="0059462A" w:rsidRDefault="00E3770F" w:rsidP="00E3770F">
      <w:pPr>
        <w:tabs>
          <w:tab w:val="clear" w:pos="567"/>
        </w:tabs>
        <w:spacing w:line="240" w:lineRule="auto"/>
        <w:jc w:val="center"/>
        <w:rPr>
          <w:lang w:val="lt-LT"/>
        </w:rPr>
      </w:pPr>
    </w:p>
    <w:p w14:paraId="798714D0" w14:textId="77777777" w:rsidR="00E3770F" w:rsidRPr="0059462A" w:rsidRDefault="00E3770F" w:rsidP="00E3770F">
      <w:pPr>
        <w:tabs>
          <w:tab w:val="clear" w:pos="567"/>
        </w:tabs>
        <w:spacing w:line="240" w:lineRule="auto"/>
        <w:jc w:val="center"/>
        <w:rPr>
          <w:lang w:val="lt-LT"/>
        </w:rPr>
      </w:pPr>
    </w:p>
    <w:p w14:paraId="4E36662C" w14:textId="77777777" w:rsidR="00E3770F" w:rsidRPr="0059462A" w:rsidRDefault="00E3770F" w:rsidP="00E3770F">
      <w:pPr>
        <w:tabs>
          <w:tab w:val="clear" w:pos="567"/>
        </w:tabs>
        <w:spacing w:line="240" w:lineRule="auto"/>
        <w:jc w:val="center"/>
        <w:rPr>
          <w:lang w:val="lt-LT"/>
        </w:rPr>
      </w:pPr>
    </w:p>
    <w:p w14:paraId="17FA9482" w14:textId="77777777" w:rsidR="00E3770F" w:rsidRPr="0059462A" w:rsidRDefault="00E3770F" w:rsidP="00E3770F">
      <w:pPr>
        <w:tabs>
          <w:tab w:val="clear" w:pos="567"/>
        </w:tabs>
        <w:spacing w:line="240" w:lineRule="auto"/>
        <w:jc w:val="center"/>
        <w:rPr>
          <w:lang w:val="lt-LT"/>
        </w:rPr>
      </w:pPr>
    </w:p>
    <w:p w14:paraId="031FEFA2" w14:textId="77777777" w:rsidR="00E3770F" w:rsidRPr="0059462A" w:rsidRDefault="00E3770F" w:rsidP="00E3770F">
      <w:pPr>
        <w:tabs>
          <w:tab w:val="clear" w:pos="567"/>
        </w:tabs>
        <w:spacing w:line="240" w:lineRule="auto"/>
        <w:jc w:val="center"/>
        <w:rPr>
          <w:lang w:val="lt-LT"/>
        </w:rPr>
      </w:pPr>
    </w:p>
    <w:p w14:paraId="7B38DA5D" w14:textId="77777777" w:rsidR="00E3770F" w:rsidRPr="0059462A" w:rsidRDefault="00E3770F" w:rsidP="00E3770F">
      <w:pPr>
        <w:tabs>
          <w:tab w:val="clear" w:pos="567"/>
        </w:tabs>
        <w:spacing w:line="240" w:lineRule="auto"/>
        <w:jc w:val="center"/>
        <w:rPr>
          <w:lang w:val="lt-LT"/>
        </w:rPr>
      </w:pPr>
    </w:p>
    <w:p w14:paraId="4F1E0AB0" w14:textId="77777777" w:rsidR="00E3770F" w:rsidRPr="0059462A" w:rsidRDefault="00E3770F" w:rsidP="00E3770F">
      <w:pPr>
        <w:tabs>
          <w:tab w:val="clear" w:pos="567"/>
        </w:tabs>
        <w:spacing w:line="240" w:lineRule="auto"/>
        <w:jc w:val="center"/>
        <w:rPr>
          <w:lang w:val="lt-LT"/>
        </w:rPr>
      </w:pPr>
    </w:p>
    <w:p w14:paraId="4E8CD7E1" w14:textId="77777777" w:rsidR="00E3770F" w:rsidRPr="0059462A" w:rsidRDefault="00E3770F" w:rsidP="00E3770F">
      <w:pPr>
        <w:tabs>
          <w:tab w:val="clear" w:pos="567"/>
        </w:tabs>
        <w:spacing w:line="240" w:lineRule="auto"/>
        <w:jc w:val="center"/>
        <w:rPr>
          <w:lang w:val="lt-LT"/>
        </w:rPr>
      </w:pPr>
    </w:p>
    <w:p w14:paraId="0C42B9B1" w14:textId="77777777" w:rsidR="00E3770F" w:rsidRPr="0059462A" w:rsidRDefault="00E3770F" w:rsidP="00E3770F">
      <w:pPr>
        <w:tabs>
          <w:tab w:val="clear" w:pos="567"/>
        </w:tabs>
        <w:spacing w:line="240" w:lineRule="auto"/>
        <w:jc w:val="center"/>
        <w:outlineLvl w:val="0"/>
        <w:rPr>
          <w:b/>
          <w:lang w:val="lt-LT"/>
        </w:rPr>
      </w:pPr>
    </w:p>
    <w:p w14:paraId="76DA84CD" w14:textId="77777777" w:rsidR="00E3770F" w:rsidRPr="0059462A" w:rsidRDefault="00E3770F" w:rsidP="00E3770F">
      <w:pPr>
        <w:tabs>
          <w:tab w:val="clear" w:pos="567"/>
        </w:tabs>
        <w:spacing w:line="240" w:lineRule="auto"/>
        <w:jc w:val="center"/>
        <w:outlineLvl w:val="0"/>
        <w:rPr>
          <w:rFonts w:asciiTheme="minorHAnsi" w:eastAsiaTheme="minorHAnsi" w:hAnsiTheme="minorHAnsi" w:cstheme="minorBidi"/>
          <w:szCs w:val="22"/>
          <w:lang w:val="lt-LT"/>
        </w:rPr>
      </w:pPr>
      <w:r w:rsidRPr="0059462A">
        <w:rPr>
          <w:b/>
          <w:lang w:val="lt-LT"/>
        </w:rPr>
        <w:t>B. PAKUOTĖS LAPELIS</w:t>
      </w:r>
    </w:p>
    <w:p w14:paraId="3825B3F2" w14:textId="77777777" w:rsidR="00E3770F" w:rsidRPr="0059462A" w:rsidRDefault="00E3770F" w:rsidP="00E3770F">
      <w:pPr>
        <w:tabs>
          <w:tab w:val="clear" w:pos="567"/>
        </w:tabs>
        <w:spacing w:line="240" w:lineRule="auto"/>
        <w:jc w:val="center"/>
        <w:rPr>
          <w:lang w:val="lt-LT"/>
        </w:rPr>
      </w:pPr>
    </w:p>
    <w:p w14:paraId="19750DFA" w14:textId="77777777" w:rsidR="00E3770F" w:rsidRPr="0059462A" w:rsidRDefault="00E3770F" w:rsidP="00E3770F">
      <w:pPr>
        <w:tabs>
          <w:tab w:val="clear" w:pos="567"/>
        </w:tabs>
        <w:spacing w:line="240" w:lineRule="auto"/>
        <w:jc w:val="center"/>
        <w:outlineLvl w:val="0"/>
        <w:rPr>
          <w:b/>
          <w:lang w:val="lt-LT"/>
        </w:rPr>
      </w:pPr>
      <w:r w:rsidRPr="0059462A">
        <w:rPr>
          <w:b/>
          <w:lang w:val="lt-LT"/>
        </w:rPr>
        <w:br w:type="page"/>
      </w:r>
      <w:r w:rsidRPr="0059462A">
        <w:rPr>
          <w:b/>
          <w:lang w:val="lt-LT"/>
        </w:rPr>
        <w:lastRenderedPageBreak/>
        <w:t xml:space="preserve">Pakuotės lapelis: informacija </w:t>
      </w:r>
      <w:r w:rsidRPr="00FB39A9">
        <w:rPr>
          <w:b/>
          <w:lang w:val="lt-LT"/>
        </w:rPr>
        <w:t>pacientui</w:t>
      </w:r>
    </w:p>
    <w:p w14:paraId="3AA5F91A" w14:textId="77777777" w:rsidR="00E3770F" w:rsidRPr="0059462A" w:rsidRDefault="00E3770F" w:rsidP="00E3770F">
      <w:pPr>
        <w:tabs>
          <w:tab w:val="clear" w:pos="567"/>
        </w:tabs>
        <w:spacing w:line="240" w:lineRule="auto"/>
        <w:jc w:val="center"/>
        <w:outlineLvl w:val="0"/>
        <w:rPr>
          <w:b/>
          <w:lang w:val="lt-LT"/>
        </w:rPr>
      </w:pPr>
    </w:p>
    <w:p w14:paraId="0C5226A7" w14:textId="77777777" w:rsidR="00E3770F" w:rsidRPr="0059462A" w:rsidRDefault="00E3770F" w:rsidP="00E3770F">
      <w:pPr>
        <w:numPr>
          <w:ilvl w:val="12"/>
          <w:numId w:val="0"/>
        </w:numPr>
        <w:jc w:val="center"/>
        <w:rPr>
          <w:rFonts w:asciiTheme="minorHAnsi" w:eastAsiaTheme="minorHAnsi" w:hAnsiTheme="minorHAnsi" w:cstheme="minorBidi"/>
          <w:b/>
          <w:szCs w:val="22"/>
          <w:lang w:val="lt-LT"/>
        </w:rPr>
      </w:pPr>
      <w:r w:rsidRPr="0059462A">
        <w:rPr>
          <w:b/>
          <w:lang w:val="lt-LT"/>
        </w:rPr>
        <w:t>Zemplar 1 mikrogramas minkštosios kapsulės</w:t>
      </w:r>
    </w:p>
    <w:p w14:paraId="46A17DBB" w14:textId="77777777" w:rsidR="00E3770F" w:rsidRPr="0059462A" w:rsidRDefault="00E3770F" w:rsidP="00E3770F">
      <w:pPr>
        <w:numPr>
          <w:ilvl w:val="12"/>
          <w:numId w:val="0"/>
        </w:numPr>
        <w:jc w:val="center"/>
        <w:rPr>
          <w:rFonts w:asciiTheme="minorHAnsi" w:eastAsiaTheme="minorHAnsi" w:hAnsiTheme="minorHAnsi" w:cstheme="minorBidi"/>
          <w:b/>
          <w:szCs w:val="22"/>
          <w:lang w:val="lt-LT"/>
        </w:rPr>
      </w:pPr>
      <w:r w:rsidRPr="0059462A">
        <w:rPr>
          <w:b/>
          <w:lang w:val="lt-LT"/>
        </w:rPr>
        <w:t>Zemplar 2 mikrogramai minkštosios kapsulės</w:t>
      </w:r>
    </w:p>
    <w:p w14:paraId="3C613717" w14:textId="35113047" w:rsidR="00E3770F" w:rsidRPr="001F5E3D" w:rsidRDefault="00E3770F" w:rsidP="00E3770F">
      <w:pPr>
        <w:pStyle w:val="Antrat6"/>
        <w:numPr>
          <w:ilvl w:val="0"/>
          <w:numId w:val="0"/>
        </w:numPr>
        <w:pBdr>
          <w:bottom w:val="none" w:sz="0" w:space="0" w:color="auto"/>
        </w:pBdr>
      </w:pPr>
      <w:r w:rsidRPr="0059462A">
        <w:rPr>
          <w:i w:val="0"/>
          <w:noProof w:val="0"/>
          <w:szCs w:val="22"/>
        </w:rPr>
        <w:t xml:space="preserve">Parikalcitolis </w:t>
      </w:r>
      <w:r w:rsidR="00DF254E" w:rsidRPr="005107CF">
        <w:rPr>
          <w:szCs w:val="22"/>
        </w:rPr>
        <w:t>(</w:t>
      </w:r>
      <w:r w:rsidR="00DF254E" w:rsidRPr="005107CF">
        <w:t>paricalcitolum)</w:t>
      </w:r>
    </w:p>
    <w:p w14:paraId="788B441F" w14:textId="77777777" w:rsidR="00E3770F" w:rsidRPr="0059462A" w:rsidRDefault="00E3770F" w:rsidP="00E3770F">
      <w:pPr>
        <w:jc w:val="center"/>
        <w:rPr>
          <w:b/>
          <w:lang w:val="lt-LT"/>
        </w:rPr>
      </w:pPr>
    </w:p>
    <w:p w14:paraId="11C14024" w14:textId="77777777" w:rsidR="00E3770F" w:rsidRPr="0059462A" w:rsidRDefault="00E3770F" w:rsidP="00E3770F">
      <w:pPr>
        <w:tabs>
          <w:tab w:val="clear" w:pos="567"/>
        </w:tabs>
        <w:rPr>
          <w:rFonts w:asciiTheme="minorHAnsi" w:eastAsiaTheme="minorHAnsi" w:hAnsiTheme="minorHAnsi" w:cstheme="minorBidi"/>
          <w:b/>
          <w:szCs w:val="22"/>
          <w:lang w:val="lt-LT"/>
        </w:rPr>
      </w:pPr>
      <w:r w:rsidRPr="0059462A">
        <w:rPr>
          <w:b/>
          <w:lang w:val="lt-LT"/>
        </w:rPr>
        <w:t>Atidžiai perskaitykite visą šį lapelį, prieš pradėdami vartoti vaistą, nes jame pateikiama Jums svarbi informacija.</w:t>
      </w:r>
    </w:p>
    <w:p w14:paraId="3DC667B1" w14:textId="77777777" w:rsidR="00E3770F" w:rsidRPr="0059462A" w:rsidRDefault="00E3770F" w:rsidP="00E3770F">
      <w:pPr>
        <w:ind w:left="567" w:hanging="567"/>
        <w:rPr>
          <w:lang w:val="lt-LT"/>
        </w:rPr>
      </w:pPr>
      <w:r w:rsidRPr="0059462A">
        <w:rPr>
          <w:lang w:val="lt-LT"/>
        </w:rPr>
        <w:t>-</w:t>
      </w:r>
      <w:r w:rsidRPr="0059462A">
        <w:rPr>
          <w:lang w:val="lt-LT"/>
        </w:rPr>
        <w:tab/>
        <w:t>Neišmeskite šio lapelio, nes vėl gali prireikti jį perskaityti.</w:t>
      </w:r>
    </w:p>
    <w:p w14:paraId="7F84B721" w14:textId="77777777" w:rsidR="00E3770F" w:rsidRPr="0059462A" w:rsidRDefault="00E3770F" w:rsidP="00E3770F">
      <w:pPr>
        <w:ind w:left="567" w:hanging="567"/>
        <w:rPr>
          <w:lang w:val="lt-LT"/>
        </w:rPr>
      </w:pPr>
      <w:r w:rsidRPr="0059462A">
        <w:rPr>
          <w:lang w:val="lt-LT"/>
        </w:rPr>
        <w:t>-</w:t>
      </w:r>
      <w:r w:rsidRPr="0059462A">
        <w:rPr>
          <w:lang w:val="lt-LT"/>
        </w:rPr>
        <w:tab/>
        <w:t>Jeigu kiltų daugiau klausimų, kreipkitės į gydytoją arba vaistininką.</w:t>
      </w:r>
    </w:p>
    <w:p w14:paraId="21727848" w14:textId="77777777" w:rsidR="00E3770F" w:rsidRPr="0059462A" w:rsidRDefault="00E3770F" w:rsidP="00E3770F">
      <w:pPr>
        <w:numPr>
          <w:ilvl w:val="0"/>
          <w:numId w:val="1"/>
        </w:numPr>
        <w:ind w:left="567" w:hanging="567"/>
        <w:rPr>
          <w:rFonts w:asciiTheme="minorHAnsi" w:eastAsiaTheme="minorHAnsi" w:hAnsiTheme="minorHAnsi" w:cstheme="minorBidi"/>
          <w:szCs w:val="22"/>
          <w:lang w:val="lt-LT"/>
        </w:rPr>
      </w:pPr>
      <w:r w:rsidRPr="0059462A">
        <w:rPr>
          <w:lang w:val="lt-LT"/>
        </w:rPr>
        <w:t>Šis vaistas skirtas tik Jums, todėl kitiems žmonėms jo duoti negalima. Vaistas gali jiems pakenkti (net tiems, kurių ligos požymiai yra tokie patys kaip Jūsų).</w:t>
      </w:r>
    </w:p>
    <w:p w14:paraId="3F7D2F68" w14:textId="77777777" w:rsidR="00E3770F" w:rsidRPr="0059462A" w:rsidRDefault="00E3770F" w:rsidP="00E3770F">
      <w:pPr>
        <w:numPr>
          <w:ilvl w:val="0"/>
          <w:numId w:val="1"/>
        </w:numPr>
        <w:ind w:left="567" w:hanging="567"/>
        <w:rPr>
          <w:rFonts w:asciiTheme="minorHAnsi" w:eastAsiaTheme="minorHAnsi" w:hAnsiTheme="minorHAnsi" w:cstheme="minorBidi"/>
          <w:szCs w:val="22"/>
          <w:lang w:val="lt-LT"/>
        </w:rPr>
      </w:pPr>
      <w:r w:rsidRPr="0059462A">
        <w:rPr>
          <w:lang w:val="lt-LT"/>
        </w:rPr>
        <w:t>Jeigu pasireiškė šalutinis poveikis (net jeigu jis šiame lapelyje nenurodytas), kreipkitės į gydytoją arba vaistininką. Žr. 4 skyrių.</w:t>
      </w:r>
    </w:p>
    <w:p w14:paraId="40908D09" w14:textId="77777777" w:rsidR="00E3770F" w:rsidRPr="0059462A" w:rsidRDefault="00E3770F" w:rsidP="00E3770F">
      <w:pPr>
        <w:ind w:left="567" w:hanging="567"/>
        <w:rPr>
          <w:lang w:val="lt-LT"/>
        </w:rPr>
      </w:pPr>
    </w:p>
    <w:p w14:paraId="047F6D76" w14:textId="77777777" w:rsidR="00E3770F" w:rsidRPr="0059462A" w:rsidRDefault="00E3770F" w:rsidP="00E3770F">
      <w:pPr>
        <w:numPr>
          <w:ilvl w:val="12"/>
          <w:numId w:val="0"/>
        </w:numPr>
        <w:tabs>
          <w:tab w:val="clear" w:pos="567"/>
        </w:tabs>
        <w:spacing w:line="240" w:lineRule="auto"/>
        <w:ind w:right="-2"/>
        <w:outlineLvl w:val="0"/>
        <w:rPr>
          <w:b/>
          <w:lang w:val="lt-LT"/>
        </w:rPr>
      </w:pPr>
    </w:p>
    <w:p w14:paraId="2796FD85" w14:textId="77777777" w:rsidR="00E3770F" w:rsidRPr="0059462A" w:rsidRDefault="00E3770F" w:rsidP="00E3770F">
      <w:pPr>
        <w:ind w:left="567" w:hanging="567"/>
        <w:rPr>
          <w:rFonts w:asciiTheme="minorHAnsi" w:eastAsiaTheme="minorHAnsi" w:hAnsiTheme="minorHAnsi" w:cstheme="minorBidi"/>
          <w:b/>
          <w:szCs w:val="22"/>
          <w:lang w:val="lt-LT"/>
        </w:rPr>
      </w:pPr>
      <w:r w:rsidRPr="0059462A">
        <w:rPr>
          <w:b/>
          <w:lang w:val="lt-LT"/>
        </w:rPr>
        <w:t>Apie ką rašoma šiame lapelyje?</w:t>
      </w:r>
    </w:p>
    <w:p w14:paraId="66888CE3"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1.</w:t>
      </w:r>
      <w:r w:rsidRPr="0059462A">
        <w:rPr>
          <w:lang w:val="lt-LT"/>
        </w:rPr>
        <w:tab/>
        <w:t>Kas yra Zemplar ir kam jis vartojamas</w:t>
      </w:r>
    </w:p>
    <w:p w14:paraId="1F91DBCD"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2.</w:t>
      </w:r>
      <w:r w:rsidRPr="0059462A">
        <w:rPr>
          <w:lang w:val="lt-LT"/>
        </w:rPr>
        <w:tab/>
        <w:t>Kas žinotina prieš vartojant Zemplar</w:t>
      </w:r>
    </w:p>
    <w:p w14:paraId="39A9FA33"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3.</w:t>
      </w:r>
      <w:r w:rsidRPr="0059462A">
        <w:rPr>
          <w:lang w:val="lt-LT"/>
        </w:rPr>
        <w:tab/>
        <w:t>Kaip vartoti Zemplar</w:t>
      </w:r>
    </w:p>
    <w:p w14:paraId="48F04F3E"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4.</w:t>
      </w:r>
      <w:r w:rsidRPr="0059462A">
        <w:rPr>
          <w:lang w:val="lt-LT"/>
        </w:rPr>
        <w:tab/>
        <w:t>Galimas šalutinis poveikis</w:t>
      </w:r>
    </w:p>
    <w:p w14:paraId="461CD9C3"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5.</w:t>
      </w:r>
      <w:r w:rsidRPr="0059462A">
        <w:rPr>
          <w:lang w:val="lt-LT"/>
        </w:rPr>
        <w:tab/>
        <w:t>Kaip laikyti Zemplar</w:t>
      </w:r>
    </w:p>
    <w:p w14:paraId="5BDAD851"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6.</w:t>
      </w:r>
      <w:r w:rsidRPr="0059462A">
        <w:rPr>
          <w:lang w:val="lt-LT"/>
        </w:rPr>
        <w:tab/>
        <w:t>Pakuotės turinys ir kita informacija</w:t>
      </w:r>
    </w:p>
    <w:p w14:paraId="75A98A64" w14:textId="77777777" w:rsidR="00E3770F" w:rsidRPr="0059462A" w:rsidRDefault="00E3770F" w:rsidP="00E3770F">
      <w:pPr>
        <w:numPr>
          <w:ilvl w:val="12"/>
          <w:numId w:val="0"/>
        </w:numPr>
        <w:tabs>
          <w:tab w:val="clear" w:pos="567"/>
        </w:tabs>
        <w:spacing w:line="240" w:lineRule="auto"/>
        <w:rPr>
          <w:lang w:val="lt-LT"/>
        </w:rPr>
      </w:pPr>
    </w:p>
    <w:p w14:paraId="042F1EE9" w14:textId="77777777" w:rsidR="00E3770F" w:rsidRPr="0059462A" w:rsidRDefault="00E3770F" w:rsidP="00E3770F">
      <w:pPr>
        <w:numPr>
          <w:ilvl w:val="12"/>
          <w:numId w:val="0"/>
        </w:numPr>
        <w:tabs>
          <w:tab w:val="clear" w:pos="567"/>
        </w:tabs>
        <w:spacing w:line="240" w:lineRule="auto"/>
        <w:rPr>
          <w:lang w:val="lt-LT"/>
        </w:rPr>
      </w:pPr>
    </w:p>
    <w:p w14:paraId="1EC1786F" w14:textId="77777777" w:rsidR="00E3770F" w:rsidRPr="0059462A" w:rsidRDefault="00E3770F" w:rsidP="00E3770F">
      <w:pPr>
        <w:numPr>
          <w:ilvl w:val="12"/>
          <w:numId w:val="0"/>
        </w:numPr>
        <w:ind w:left="567" w:hanging="567"/>
        <w:outlineLvl w:val="0"/>
        <w:rPr>
          <w:rFonts w:asciiTheme="minorHAnsi" w:eastAsiaTheme="minorHAnsi" w:hAnsiTheme="minorHAnsi" w:cstheme="minorBidi"/>
          <w:b/>
          <w:caps/>
          <w:szCs w:val="22"/>
          <w:lang w:val="lt-LT"/>
        </w:rPr>
      </w:pPr>
      <w:r w:rsidRPr="0059462A">
        <w:rPr>
          <w:b/>
          <w:lang w:val="lt-LT"/>
        </w:rPr>
        <w:t>1.</w:t>
      </w:r>
      <w:r w:rsidRPr="0059462A">
        <w:rPr>
          <w:b/>
          <w:lang w:val="lt-LT"/>
        </w:rPr>
        <w:tab/>
        <w:t>Kas yra Zemplar ir kam jis vartojamas</w:t>
      </w:r>
    </w:p>
    <w:p w14:paraId="7F35FF1B" w14:textId="77777777" w:rsidR="00E3770F" w:rsidRPr="0059462A" w:rsidRDefault="00E3770F" w:rsidP="00E3770F">
      <w:pPr>
        <w:numPr>
          <w:ilvl w:val="12"/>
          <w:numId w:val="0"/>
        </w:numPr>
        <w:rPr>
          <w:lang w:val="lt-LT"/>
        </w:rPr>
      </w:pPr>
    </w:p>
    <w:p w14:paraId="5588A545" w14:textId="77777777" w:rsidR="00E3770F" w:rsidRPr="0059462A" w:rsidRDefault="00E3770F" w:rsidP="00E3770F">
      <w:pPr>
        <w:numPr>
          <w:ilvl w:val="12"/>
          <w:numId w:val="0"/>
        </w:numPr>
        <w:ind w:right="-2"/>
        <w:rPr>
          <w:rFonts w:asciiTheme="minorHAnsi" w:eastAsiaTheme="minorHAnsi" w:hAnsiTheme="minorHAnsi" w:cstheme="minorBidi"/>
          <w:szCs w:val="22"/>
          <w:lang w:val="lt-LT"/>
        </w:rPr>
      </w:pPr>
      <w:r w:rsidRPr="0059462A">
        <w:rPr>
          <w:lang w:val="lt-LT"/>
        </w:rPr>
        <w:t xml:space="preserve">Zemplar </w:t>
      </w:r>
      <w:r w:rsidRPr="0059462A">
        <w:rPr>
          <w:szCs w:val="22"/>
          <w:lang w:val="lt-LT"/>
        </w:rPr>
        <w:t xml:space="preserve">sudėtyje yra veikliosios medžiagos parikalcitolio, kuris </w:t>
      </w:r>
      <w:r w:rsidRPr="0059462A">
        <w:rPr>
          <w:lang w:val="lt-LT"/>
        </w:rPr>
        <w:t>yra sintetinė aktyvaus vitamino D forma.</w:t>
      </w:r>
    </w:p>
    <w:p w14:paraId="763928A5" w14:textId="77777777" w:rsidR="00E3770F" w:rsidRPr="0059462A" w:rsidRDefault="00E3770F" w:rsidP="00E3770F">
      <w:pPr>
        <w:ind w:right="-2"/>
        <w:rPr>
          <w:b/>
          <w:lang w:val="lt-LT"/>
        </w:rPr>
      </w:pPr>
    </w:p>
    <w:p w14:paraId="09D94751" w14:textId="77777777" w:rsidR="00E3770F" w:rsidRPr="0059462A" w:rsidRDefault="00E3770F" w:rsidP="00E3770F">
      <w:pPr>
        <w:numPr>
          <w:ilvl w:val="12"/>
          <w:numId w:val="0"/>
        </w:numPr>
        <w:ind w:right="-2"/>
        <w:rPr>
          <w:rFonts w:asciiTheme="minorHAnsi" w:eastAsiaTheme="minorHAnsi" w:hAnsiTheme="minorHAnsi" w:cstheme="minorBidi"/>
          <w:szCs w:val="22"/>
          <w:lang w:val="lt-LT"/>
        </w:rPr>
      </w:pPr>
      <w:r w:rsidRPr="0059462A">
        <w:rPr>
          <w:lang w:val="lt-LT"/>
        </w:rPr>
        <w:t xml:space="preserve">Aktyvus vitaminas D reikalingas normaliai daugelio organizmo audinių funkcijai, taip pat ir prieskydinės liaukos bei kaulų. Žmonėms, kurių inkstų funkcija normali, ši aktyvi vitamino D forma yra natūraliai gaminama inkstuose, bet, kai yra inkstų nepakankamumas, aktyvaus vitamino D gamyba ryškiai sumažėja. Todėl Zemplar yra aktyvaus vitamino D šaltinis, kai organizmas negali jo pakankamai pasigaminti. </w:t>
      </w:r>
      <w:r>
        <w:rPr>
          <w:lang w:val="lt-LT"/>
        </w:rPr>
        <w:t>J</w:t>
      </w:r>
      <w:r w:rsidRPr="0059462A">
        <w:rPr>
          <w:lang w:val="lt-LT"/>
        </w:rPr>
        <w:t>is padeda išvengti mažos aktyvaus vitamino D koncentracijos sukeliamų komplikacijų, t.y. neleidžia per daug padidėti paratiroidinio hormono koncentracijai, dėl kurios gali kilti kaulų problemų.</w:t>
      </w:r>
      <w:r>
        <w:rPr>
          <w:lang w:val="lt-LT"/>
        </w:rPr>
        <w:t xml:space="preserve"> Zemplar skiriamas suaugusiems pacientams sergantiems 3, 4 ir 5 stadijos inkstų liga bei vaikams nuo 10 iki 16 metų amžiaus sergantiems 3 ir 4 stadijos inkstų liga.</w:t>
      </w:r>
    </w:p>
    <w:p w14:paraId="6F91AE30" w14:textId="77777777" w:rsidR="00E3770F" w:rsidRPr="0059462A" w:rsidRDefault="00E3770F" w:rsidP="00E3770F">
      <w:pPr>
        <w:numPr>
          <w:ilvl w:val="12"/>
          <w:numId w:val="0"/>
        </w:numPr>
        <w:ind w:right="-2"/>
        <w:rPr>
          <w:lang w:val="lt-LT"/>
        </w:rPr>
      </w:pPr>
    </w:p>
    <w:p w14:paraId="42D45761" w14:textId="77777777" w:rsidR="00E3770F" w:rsidRPr="0059462A" w:rsidRDefault="00E3770F" w:rsidP="00E3770F">
      <w:pPr>
        <w:rPr>
          <w:lang w:val="lt-LT"/>
        </w:rPr>
      </w:pPr>
    </w:p>
    <w:p w14:paraId="67290C76" w14:textId="77777777" w:rsidR="00E3770F" w:rsidRPr="0059462A" w:rsidRDefault="00E3770F" w:rsidP="00E3770F">
      <w:pPr>
        <w:numPr>
          <w:ilvl w:val="12"/>
          <w:numId w:val="0"/>
        </w:numPr>
        <w:ind w:left="567" w:hanging="567"/>
        <w:outlineLvl w:val="0"/>
        <w:rPr>
          <w:rFonts w:asciiTheme="minorHAnsi" w:eastAsiaTheme="minorHAnsi" w:hAnsiTheme="minorHAnsi" w:cstheme="minorBidi"/>
          <w:b/>
          <w:caps/>
          <w:szCs w:val="22"/>
          <w:lang w:val="lt-LT"/>
        </w:rPr>
      </w:pPr>
      <w:r w:rsidRPr="0059462A">
        <w:rPr>
          <w:b/>
          <w:lang w:val="lt-LT"/>
        </w:rPr>
        <w:t>2.</w:t>
      </w:r>
      <w:r w:rsidRPr="0059462A">
        <w:rPr>
          <w:b/>
          <w:lang w:val="lt-LT"/>
        </w:rPr>
        <w:tab/>
        <w:t xml:space="preserve">Kas žinotina prieš vartojant Zemplar </w:t>
      </w:r>
    </w:p>
    <w:p w14:paraId="2CCFFE1C" w14:textId="77777777" w:rsidR="00E3770F" w:rsidRPr="0059462A" w:rsidRDefault="00E3770F" w:rsidP="00E3770F">
      <w:pPr>
        <w:ind w:left="567" w:hanging="567"/>
        <w:rPr>
          <w:lang w:val="lt-LT"/>
        </w:rPr>
      </w:pPr>
    </w:p>
    <w:p w14:paraId="42543996" w14:textId="77777777" w:rsidR="00E3770F" w:rsidRPr="0059462A" w:rsidRDefault="00E3770F" w:rsidP="00E3770F">
      <w:pPr>
        <w:ind w:left="567" w:hanging="567"/>
        <w:rPr>
          <w:rFonts w:asciiTheme="minorHAnsi" w:eastAsiaTheme="minorHAnsi" w:hAnsiTheme="minorHAnsi" w:cstheme="minorBidi"/>
          <w:b/>
          <w:caps/>
          <w:szCs w:val="22"/>
          <w:lang w:val="lt-LT"/>
        </w:rPr>
      </w:pPr>
      <w:r w:rsidRPr="0059462A">
        <w:rPr>
          <w:b/>
          <w:lang w:val="lt-LT"/>
        </w:rPr>
        <w:t>Zemplar vartoti negalima</w:t>
      </w:r>
    </w:p>
    <w:p w14:paraId="3431F8EC" w14:textId="77777777" w:rsidR="00E3770F" w:rsidRPr="0059462A" w:rsidRDefault="00E3770F" w:rsidP="00E3770F">
      <w:pPr>
        <w:numPr>
          <w:ilvl w:val="12"/>
          <w:numId w:val="0"/>
        </w:numPr>
        <w:ind w:left="567" w:hanging="567"/>
        <w:rPr>
          <w:lang w:val="lt-LT"/>
        </w:rPr>
      </w:pPr>
      <w:r w:rsidRPr="0059462A">
        <w:rPr>
          <w:lang w:val="lt-LT"/>
        </w:rPr>
        <w:t>-</w:t>
      </w:r>
      <w:r w:rsidRPr="0059462A">
        <w:rPr>
          <w:lang w:val="lt-LT"/>
        </w:rPr>
        <w:tab/>
        <w:t xml:space="preserve">jeigu yra alergija parikalcitoliui arba bet kuriai pagalbinei </w:t>
      </w:r>
      <w:r w:rsidRPr="0059462A">
        <w:rPr>
          <w:noProof/>
          <w:szCs w:val="22"/>
          <w:lang w:val="lt-LT"/>
        </w:rPr>
        <w:t>šio vaisto</w:t>
      </w:r>
      <w:r w:rsidRPr="0059462A">
        <w:rPr>
          <w:lang w:val="lt-LT"/>
        </w:rPr>
        <w:t xml:space="preserve"> medžiagai (jos išvardytos 6 skyriuje);</w:t>
      </w:r>
    </w:p>
    <w:p w14:paraId="7C274FDF" w14:textId="77777777" w:rsidR="00E3770F" w:rsidRPr="0059462A" w:rsidRDefault="00E3770F" w:rsidP="00E3770F">
      <w:pPr>
        <w:numPr>
          <w:ilvl w:val="0"/>
          <w:numId w:val="1"/>
        </w:numPr>
        <w:tabs>
          <w:tab w:val="clear" w:pos="567"/>
        </w:tabs>
        <w:spacing w:line="240" w:lineRule="auto"/>
        <w:ind w:left="540" w:hanging="540"/>
        <w:rPr>
          <w:rFonts w:asciiTheme="minorHAnsi" w:eastAsiaTheme="minorHAnsi" w:hAnsiTheme="minorHAnsi" w:cstheme="minorBidi"/>
          <w:szCs w:val="22"/>
          <w:lang w:val="lt-LT"/>
        </w:rPr>
      </w:pPr>
      <w:r w:rsidRPr="0059462A">
        <w:rPr>
          <w:lang w:val="lt-LT"/>
        </w:rPr>
        <w:t>jeigu yra labai didelė kalcio ar vitamino D koncentracija kraujyje.</w:t>
      </w:r>
    </w:p>
    <w:p w14:paraId="0B300B8F" w14:textId="77777777" w:rsidR="00E3770F" w:rsidRPr="0059462A" w:rsidRDefault="00E3770F" w:rsidP="00E3770F">
      <w:pPr>
        <w:rPr>
          <w:lang w:val="lt-LT"/>
        </w:rPr>
      </w:pPr>
    </w:p>
    <w:p w14:paraId="4D383601" w14:textId="77777777" w:rsidR="00E3770F" w:rsidRPr="0059462A" w:rsidRDefault="00E3770F" w:rsidP="00E3770F">
      <w:pPr>
        <w:rPr>
          <w:rFonts w:asciiTheme="minorHAnsi" w:eastAsiaTheme="minorHAnsi" w:hAnsiTheme="minorHAnsi" w:cstheme="minorBidi"/>
          <w:szCs w:val="22"/>
          <w:lang w:val="lt-LT"/>
        </w:rPr>
      </w:pPr>
      <w:r w:rsidRPr="0059462A">
        <w:rPr>
          <w:lang w:val="lt-LT"/>
        </w:rPr>
        <w:t>Gydytojas galės pasakyti, ar Jums nėra šių būklių.</w:t>
      </w:r>
    </w:p>
    <w:p w14:paraId="007CA207" w14:textId="77777777" w:rsidR="00E3770F" w:rsidRPr="0059462A" w:rsidRDefault="00E3770F" w:rsidP="00E3770F">
      <w:pPr>
        <w:ind w:left="567" w:hanging="567"/>
        <w:rPr>
          <w:lang w:val="lt-LT"/>
        </w:rPr>
      </w:pPr>
    </w:p>
    <w:p w14:paraId="48609BF7" w14:textId="77777777" w:rsidR="00E3770F" w:rsidRPr="0059462A" w:rsidRDefault="00E3770F" w:rsidP="00E3770F">
      <w:pPr>
        <w:ind w:left="567" w:hanging="567"/>
        <w:rPr>
          <w:rFonts w:asciiTheme="minorHAnsi" w:eastAsiaTheme="minorHAnsi" w:hAnsiTheme="minorHAnsi" w:cstheme="minorBidi"/>
          <w:b/>
          <w:szCs w:val="22"/>
          <w:lang w:val="lt-LT"/>
        </w:rPr>
      </w:pPr>
      <w:r w:rsidRPr="0059462A">
        <w:rPr>
          <w:b/>
          <w:lang w:val="lt-LT"/>
        </w:rPr>
        <w:t>Įspėjimai ir atsargumo priemonės</w:t>
      </w:r>
    </w:p>
    <w:p w14:paraId="3D4C4021" w14:textId="77777777" w:rsidR="00E3770F" w:rsidRPr="0059462A" w:rsidRDefault="00E3770F" w:rsidP="00E3770F">
      <w:pPr>
        <w:ind w:left="567" w:hanging="567"/>
        <w:rPr>
          <w:b/>
          <w:noProof/>
          <w:szCs w:val="22"/>
          <w:lang w:val="lt-LT"/>
        </w:rPr>
      </w:pPr>
    </w:p>
    <w:p w14:paraId="3144F86C" w14:textId="77777777" w:rsidR="00E3770F" w:rsidRPr="0059462A" w:rsidRDefault="00E3770F" w:rsidP="00E3770F">
      <w:pPr>
        <w:ind w:left="567" w:hanging="567"/>
        <w:rPr>
          <w:noProof/>
          <w:szCs w:val="22"/>
          <w:lang w:val="lt-LT"/>
        </w:rPr>
      </w:pPr>
      <w:r w:rsidRPr="0059462A">
        <w:rPr>
          <w:noProof/>
          <w:szCs w:val="22"/>
          <w:lang w:val="lt-LT"/>
        </w:rPr>
        <w:t>Pasitarkite su gydytoju arba vaistininku, prieš pradėdami vartoti Zemplar.</w:t>
      </w:r>
    </w:p>
    <w:p w14:paraId="3DFB172F" w14:textId="77777777" w:rsidR="00E3770F" w:rsidRPr="0059462A" w:rsidRDefault="00E3770F" w:rsidP="00E3770F">
      <w:pPr>
        <w:ind w:left="567" w:hanging="567"/>
        <w:rPr>
          <w:b/>
          <w:noProof/>
          <w:szCs w:val="22"/>
          <w:lang w:val="lt-LT"/>
        </w:rPr>
      </w:pPr>
    </w:p>
    <w:p w14:paraId="64B538A5" w14:textId="77777777" w:rsidR="00E3770F" w:rsidRPr="0059462A" w:rsidRDefault="00E3770F" w:rsidP="00E3770F">
      <w:pPr>
        <w:numPr>
          <w:ilvl w:val="0"/>
          <w:numId w:val="1"/>
        </w:numPr>
        <w:tabs>
          <w:tab w:val="clear" w:pos="567"/>
        </w:tabs>
        <w:spacing w:line="240" w:lineRule="auto"/>
        <w:ind w:left="540" w:hanging="540"/>
        <w:rPr>
          <w:lang w:val="lt-LT"/>
        </w:rPr>
      </w:pPr>
      <w:r w:rsidRPr="0059462A">
        <w:rPr>
          <w:lang w:val="lt-LT"/>
        </w:rPr>
        <w:t>prieš pradedant gydymą, svarbu riboti fosforo kiekį maiste.</w:t>
      </w:r>
    </w:p>
    <w:p w14:paraId="174AF23A" w14:textId="77777777" w:rsidR="00E3770F" w:rsidRPr="0059462A" w:rsidRDefault="00E3770F" w:rsidP="00E3770F">
      <w:pPr>
        <w:numPr>
          <w:ilvl w:val="0"/>
          <w:numId w:val="1"/>
        </w:numPr>
        <w:tabs>
          <w:tab w:val="clear" w:pos="567"/>
        </w:tabs>
        <w:spacing w:line="240" w:lineRule="auto"/>
        <w:ind w:left="540" w:hanging="540"/>
        <w:rPr>
          <w:rFonts w:asciiTheme="minorHAnsi" w:eastAsiaTheme="minorHAnsi" w:hAnsiTheme="minorHAnsi" w:cstheme="minorBidi"/>
          <w:szCs w:val="22"/>
          <w:lang w:val="lt-LT"/>
        </w:rPr>
      </w:pPr>
      <w:r w:rsidRPr="0059462A">
        <w:rPr>
          <w:lang w:val="lt-LT"/>
        </w:rPr>
        <w:lastRenderedPageBreak/>
        <w:t xml:space="preserve">tam, kad būtų galima kontroliuoti fosforo koncentraciją, gali tekti vartoti fosfatus surišančius vaistus. Jeigu vartojate fosfatų surišėjus, kurių sudėtyje yra kalcio, gydytojui gali reikėti pakoreguoti šių preparatų dozę. </w:t>
      </w:r>
    </w:p>
    <w:p w14:paraId="313B5E35" w14:textId="77777777" w:rsidR="00E3770F" w:rsidRPr="0059462A" w:rsidRDefault="00E3770F" w:rsidP="00E3770F">
      <w:pPr>
        <w:numPr>
          <w:ilvl w:val="0"/>
          <w:numId w:val="1"/>
        </w:numPr>
        <w:tabs>
          <w:tab w:val="clear" w:pos="567"/>
        </w:tabs>
        <w:spacing w:line="240" w:lineRule="auto"/>
        <w:ind w:left="540" w:hanging="540"/>
        <w:rPr>
          <w:rFonts w:asciiTheme="minorHAnsi" w:eastAsiaTheme="minorHAnsi" w:hAnsiTheme="minorHAnsi" w:cstheme="minorBidi"/>
          <w:szCs w:val="22"/>
          <w:lang w:val="lt-LT"/>
        </w:rPr>
      </w:pPr>
      <w:r w:rsidRPr="0059462A">
        <w:rPr>
          <w:lang w:val="lt-LT"/>
        </w:rPr>
        <w:t>gydytojui reikės atlikti kraujo tyrimus, kad galėtų stebėti gydymą.</w:t>
      </w:r>
    </w:p>
    <w:p w14:paraId="4D99E780" w14:textId="77777777" w:rsidR="00E3770F" w:rsidRPr="0059462A" w:rsidRDefault="00E3770F" w:rsidP="00E3770F">
      <w:pPr>
        <w:numPr>
          <w:ilvl w:val="0"/>
          <w:numId w:val="1"/>
        </w:numPr>
        <w:tabs>
          <w:tab w:val="clear" w:pos="567"/>
        </w:tabs>
        <w:spacing w:line="240" w:lineRule="auto"/>
        <w:ind w:left="540" w:hanging="540"/>
        <w:rPr>
          <w:lang w:val="lt-LT"/>
        </w:rPr>
      </w:pPr>
      <w:r w:rsidRPr="0059462A">
        <w:rPr>
          <w:lang w:val="lt-LT"/>
        </w:rPr>
        <w:t>kai kuriems lėtine inkstų liga (3 ir 4 stadija) sergantiems pacientams buvo stebimas medžiagos, vadinamos kreatininu, kiekio padidėjimas kraujyje. Tačiau šis padidėjimas neatspindi inkstų funkcijos pablogėjimo.</w:t>
      </w:r>
    </w:p>
    <w:p w14:paraId="245307F2" w14:textId="77777777" w:rsidR="00E3770F" w:rsidRPr="0059462A" w:rsidRDefault="00E3770F" w:rsidP="00E3770F">
      <w:pPr>
        <w:numPr>
          <w:ilvl w:val="12"/>
          <w:numId w:val="0"/>
        </w:numPr>
        <w:ind w:right="-2"/>
        <w:rPr>
          <w:b/>
          <w:lang w:val="lt-LT"/>
        </w:rPr>
      </w:pPr>
    </w:p>
    <w:p w14:paraId="20649EB7" w14:textId="77777777" w:rsidR="00E3770F" w:rsidRPr="0059462A" w:rsidRDefault="00E3770F" w:rsidP="00E3770F">
      <w:pPr>
        <w:ind w:left="567" w:hanging="567"/>
        <w:rPr>
          <w:rFonts w:asciiTheme="minorHAnsi" w:eastAsiaTheme="minorHAnsi" w:hAnsiTheme="minorHAnsi" w:cstheme="minorBidi"/>
          <w:b/>
          <w:szCs w:val="22"/>
          <w:lang w:val="lt-LT"/>
        </w:rPr>
      </w:pPr>
      <w:r w:rsidRPr="0059462A">
        <w:rPr>
          <w:b/>
          <w:lang w:val="lt-LT"/>
        </w:rPr>
        <w:t>Kiti vaistai ir Zemplar</w:t>
      </w:r>
    </w:p>
    <w:p w14:paraId="4F29971D" w14:textId="77777777" w:rsidR="00E3770F" w:rsidRPr="0059462A" w:rsidRDefault="00E3770F" w:rsidP="00E3770F">
      <w:pPr>
        <w:rPr>
          <w:rFonts w:asciiTheme="minorHAnsi" w:eastAsiaTheme="minorHAnsi" w:hAnsiTheme="minorHAnsi" w:cstheme="minorBidi"/>
          <w:szCs w:val="22"/>
          <w:lang w:val="lt-LT"/>
        </w:rPr>
      </w:pPr>
      <w:r w:rsidRPr="0059462A">
        <w:rPr>
          <w:lang w:val="lt-LT"/>
        </w:rPr>
        <w:t>Jeigu vartojate arba neseniai vartojote kitų vaistų arba dėl to nesate tikri, apie tai pasakykite gydytojui arba vaistininkui.</w:t>
      </w:r>
    </w:p>
    <w:p w14:paraId="09971C10" w14:textId="77777777" w:rsidR="00E3770F" w:rsidRPr="0059462A" w:rsidRDefault="00E3770F" w:rsidP="00E3770F">
      <w:pPr>
        <w:numPr>
          <w:ilvl w:val="12"/>
          <w:numId w:val="0"/>
        </w:numPr>
        <w:ind w:right="-2"/>
        <w:rPr>
          <w:lang w:val="lt-LT"/>
        </w:rPr>
      </w:pPr>
    </w:p>
    <w:p w14:paraId="051C5434" w14:textId="77777777" w:rsidR="00E3770F" w:rsidRPr="0059462A" w:rsidRDefault="00E3770F" w:rsidP="00E3770F">
      <w:pPr>
        <w:numPr>
          <w:ilvl w:val="12"/>
          <w:numId w:val="0"/>
        </w:numPr>
        <w:ind w:right="-2"/>
        <w:rPr>
          <w:rFonts w:asciiTheme="minorHAnsi" w:eastAsiaTheme="minorHAnsi" w:hAnsiTheme="minorHAnsi" w:cstheme="minorBidi"/>
          <w:szCs w:val="22"/>
          <w:lang w:val="lt-LT"/>
        </w:rPr>
      </w:pPr>
      <w:r w:rsidRPr="0059462A">
        <w:rPr>
          <w:lang w:val="lt-LT"/>
        </w:rPr>
        <w:t xml:space="preserve">Kai kurie vaistai gali turėti įtakos šio vaisto poveikiui ar padidinti nepageidaujamų reakcijų pasireiškimo tikimybę. Ypač svarbu pasakyti gydytojui, jei vartojate kurį nors iš šių vaistų: </w:t>
      </w:r>
    </w:p>
    <w:p w14:paraId="2AD6FFD2" w14:textId="77777777" w:rsidR="00E3770F" w:rsidRPr="0059462A" w:rsidRDefault="00E3770F" w:rsidP="00E3770F">
      <w:pPr>
        <w:numPr>
          <w:ilvl w:val="12"/>
          <w:numId w:val="0"/>
        </w:numPr>
        <w:ind w:right="-2"/>
        <w:rPr>
          <w:szCs w:val="22"/>
          <w:lang w:val="lt-LT"/>
        </w:rPr>
      </w:pPr>
    </w:p>
    <w:p w14:paraId="1520E638" w14:textId="77777777" w:rsidR="00E3770F" w:rsidRPr="0059462A" w:rsidRDefault="00E3770F" w:rsidP="00E3770F">
      <w:pPr>
        <w:pStyle w:val="Sraopastraipa"/>
        <w:numPr>
          <w:ilvl w:val="0"/>
          <w:numId w:val="1"/>
        </w:numPr>
        <w:ind w:right="-2"/>
        <w:rPr>
          <w:szCs w:val="22"/>
          <w:lang w:val="lt-LT"/>
        </w:rPr>
      </w:pPr>
      <w:r w:rsidRPr="0059462A">
        <w:rPr>
          <w:szCs w:val="22"/>
          <w:lang w:val="lt-LT"/>
        </w:rPr>
        <w:t>vaistų</w:t>
      </w:r>
      <w:r w:rsidRPr="0059462A">
        <w:rPr>
          <w:lang w:val="lt-LT"/>
        </w:rPr>
        <w:t xml:space="preserve"> grybelinėms infekcijoms gydyti, pvz., </w:t>
      </w:r>
      <w:r w:rsidRPr="0059462A">
        <w:rPr>
          <w:i/>
          <w:lang w:val="lt-LT"/>
        </w:rPr>
        <w:t>candida</w:t>
      </w:r>
      <w:r w:rsidRPr="0059462A">
        <w:rPr>
          <w:lang w:val="lt-LT"/>
        </w:rPr>
        <w:t xml:space="preserve"> grybelio sukeltai infekcijai arba pienligei</w:t>
      </w:r>
      <w:r w:rsidRPr="0059462A">
        <w:rPr>
          <w:szCs w:val="22"/>
          <w:lang w:val="lt-LT"/>
        </w:rPr>
        <w:t xml:space="preserve"> (pvz., ketokonazolo);</w:t>
      </w:r>
    </w:p>
    <w:p w14:paraId="2A2CBE66" w14:textId="77777777" w:rsidR="00E3770F" w:rsidRPr="0059462A" w:rsidRDefault="00E3770F" w:rsidP="00E3770F">
      <w:pPr>
        <w:pStyle w:val="Sraopastraipa"/>
        <w:numPr>
          <w:ilvl w:val="0"/>
          <w:numId w:val="1"/>
        </w:numPr>
        <w:ind w:right="-2"/>
        <w:rPr>
          <w:szCs w:val="22"/>
          <w:lang w:val="lt-LT"/>
        </w:rPr>
      </w:pPr>
      <w:r w:rsidRPr="0059462A">
        <w:rPr>
          <w:lang w:val="lt-LT"/>
        </w:rPr>
        <w:t>vaistų širdies sutrikimams gydyti ar kraujospūdžiui mažinti (pvz., digoksino</w:t>
      </w:r>
      <w:r w:rsidRPr="0059462A">
        <w:rPr>
          <w:szCs w:val="22"/>
          <w:lang w:val="lt-LT"/>
        </w:rPr>
        <w:t>,</w:t>
      </w:r>
      <w:r w:rsidRPr="0059462A">
        <w:rPr>
          <w:lang w:val="lt-LT"/>
        </w:rPr>
        <w:t xml:space="preserve"> diuretikų arba šlapimą varančių</w:t>
      </w:r>
      <w:r w:rsidRPr="0059462A">
        <w:rPr>
          <w:szCs w:val="22"/>
          <w:lang w:val="lt-LT"/>
        </w:rPr>
        <w:t>);</w:t>
      </w:r>
    </w:p>
    <w:p w14:paraId="1191108C" w14:textId="77777777" w:rsidR="00E3770F" w:rsidRPr="0059462A" w:rsidRDefault="00E3770F" w:rsidP="00E3770F">
      <w:pPr>
        <w:pStyle w:val="Sraopastraipa"/>
        <w:numPr>
          <w:ilvl w:val="0"/>
          <w:numId w:val="1"/>
        </w:numPr>
        <w:ind w:right="-2"/>
        <w:rPr>
          <w:szCs w:val="22"/>
          <w:lang w:val="lt-LT"/>
        </w:rPr>
      </w:pPr>
      <w:r w:rsidRPr="0059462A">
        <w:rPr>
          <w:lang w:val="lt-LT"/>
        </w:rPr>
        <w:t xml:space="preserve">vaistų, </w:t>
      </w:r>
      <w:r w:rsidRPr="0059462A">
        <w:rPr>
          <w:szCs w:val="22"/>
          <w:lang w:val="lt-LT"/>
        </w:rPr>
        <w:t>kurie</w:t>
      </w:r>
      <w:r w:rsidRPr="0059462A">
        <w:rPr>
          <w:lang w:val="lt-LT"/>
        </w:rPr>
        <w:t xml:space="preserve"> yra </w:t>
      </w:r>
      <w:r w:rsidRPr="0059462A">
        <w:rPr>
          <w:szCs w:val="22"/>
          <w:lang w:val="lt-LT"/>
        </w:rPr>
        <w:t>fosfato šaltiniai (pvz., vaistai, mažinantys</w:t>
      </w:r>
      <w:r w:rsidRPr="0059462A">
        <w:rPr>
          <w:lang w:val="lt-LT"/>
        </w:rPr>
        <w:t xml:space="preserve"> kalcio</w:t>
      </w:r>
      <w:r w:rsidRPr="0059462A">
        <w:rPr>
          <w:szCs w:val="22"/>
          <w:lang w:val="lt-LT"/>
        </w:rPr>
        <w:t xml:space="preserve"> kiekį kraujyje);</w:t>
      </w:r>
    </w:p>
    <w:p w14:paraId="053474E6" w14:textId="77777777" w:rsidR="00E3770F" w:rsidRPr="0059462A" w:rsidRDefault="00E3770F" w:rsidP="00E3770F">
      <w:pPr>
        <w:pStyle w:val="Sraopastraipa"/>
        <w:numPr>
          <w:ilvl w:val="0"/>
          <w:numId w:val="1"/>
        </w:numPr>
        <w:ind w:right="-2"/>
        <w:rPr>
          <w:szCs w:val="22"/>
          <w:lang w:val="lt-LT"/>
        </w:rPr>
      </w:pPr>
      <w:r w:rsidRPr="0059462A">
        <w:rPr>
          <w:szCs w:val="22"/>
          <w:lang w:val="lt-LT"/>
        </w:rPr>
        <w:t>vaistų, kurių sudėtyje yra kalcio ar vitamino D, įskaitant maisto papildus ir multivitaminus, kuriuos galima įsigyti be recepto;</w:t>
      </w:r>
    </w:p>
    <w:p w14:paraId="48754B35" w14:textId="77777777" w:rsidR="00E3770F" w:rsidRPr="0059462A" w:rsidRDefault="00E3770F" w:rsidP="00E3770F">
      <w:pPr>
        <w:pStyle w:val="Sraopastraipa"/>
        <w:numPr>
          <w:ilvl w:val="0"/>
          <w:numId w:val="1"/>
        </w:numPr>
        <w:ind w:right="-2"/>
        <w:rPr>
          <w:lang w:val="lt-LT"/>
        </w:rPr>
      </w:pPr>
      <w:r w:rsidRPr="0059462A">
        <w:rPr>
          <w:lang w:val="lt-LT"/>
        </w:rPr>
        <w:t>vaistų, kurių sudėtyje yra magnio ar aliuminio</w:t>
      </w:r>
      <w:r w:rsidRPr="0059462A">
        <w:rPr>
          <w:szCs w:val="22"/>
          <w:lang w:val="lt-LT"/>
        </w:rPr>
        <w:t xml:space="preserve"> (</w:t>
      </w:r>
      <w:r w:rsidRPr="0059462A">
        <w:rPr>
          <w:lang w:val="lt-LT"/>
        </w:rPr>
        <w:t>pvz., kai kurių skrandžio funkciją veikiančių vaistų (antacidinių preparatų) ir fosfatus surišančių preparatų</w:t>
      </w:r>
      <w:r w:rsidRPr="0059462A">
        <w:rPr>
          <w:szCs w:val="22"/>
          <w:lang w:val="lt-LT"/>
        </w:rPr>
        <w:t>);</w:t>
      </w:r>
    </w:p>
    <w:p w14:paraId="56D31E2C" w14:textId="77777777" w:rsidR="00E3770F" w:rsidRPr="0059462A" w:rsidRDefault="00E3770F" w:rsidP="00E3770F">
      <w:pPr>
        <w:pStyle w:val="Sraopastraipa"/>
        <w:numPr>
          <w:ilvl w:val="0"/>
          <w:numId w:val="1"/>
        </w:numPr>
        <w:ind w:right="-2"/>
        <w:rPr>
          <w:szCs w:val="22"/>
          <w:lang w:val="lt-LT"/>
        </w:rPr>
      </w:pPr>
      <w:r w:rsidRPr="0059462A">
        <w:rPr>
          <w:szCs w:val="22"/>
          <w:lang w:val="lt-LT"/>
        </w:rPr>
        <w:t>vaisto, vartojamo cholesterolio kiekiui mažinti (pvz., cholestiramino).</w:t>
      </w:r>
    </w:p>
    <w:p w14:paraId="7C3969BA" w14:textId="77777777" w:rsidR="00E3770F" w:rsidRPr="0059462A" w:rsidRDefault="00E3770F" w:rsidP="00E3770F">
      <w:pPr>
        <w:numPr>
          <w:ilvl w:val="12"/>
          <w:numId w:val="0"/>
        </w:numPr>
        <w:ind w:right="-2"/>
        <w:rPr>
          <w:lang w:val="lt-LT"/>
        </w:rPr>
      </w:pPr>
    </w:p>
    <w:p w14:paraId="419A0C6A" w14:textId="77777777" w:rsidR="00E3770F" w:rsidRPr="0059462A" w:rsidRDefault="00E3770F" w:rsidP="00E3770F">
      <w:pPr>
        <w:ind w:left="567" w:hanging="567"/>
        <w:rPr>
          <w:rFonts w:asciiTheme="minorHAnsi" w:eastAsiaTheme="minorHAnsi" w:hAnsiTheme="minorHAnsi" w:cstheme="minorBidi"/>
          <w:b/>
          <w:szCs w:val="22"/>
          <w:lang w:val="lt-LT"/>
        </w:rPr>
      </w:pPr>
      <w:r w:rsidRPr="0059462A">
        <w:rPr>
          <w:b/>
          <w:lang w:val="lt-LT"/>
        </w:rPr>
        <w:t>Zemplar vartojimas su maistu ir gėrimais</w:t>
      </w:r>
    </w:p>
    <w:p w14:paraId="4DDB247C" w14:textId="77777777" w:rsidR="00E3770F" w:rsidRPr="0059462A" w:rsidRDefault="00E3770F" w:rsidP="00E3770F">
      <w:pPr>
        <w:ind w:left="567" w:hanging="567"/>
        <w:rPr>
          <w:b/>
          <w:lang w:val="lt-LT"/>
        </w:rPr>
      </w:pPr>
    </w:p>
    <w:p w14:paraId="6B138B0D" w14:textId="77777777" w:rsidR="00E3770F" w:rsidRPr="0059462A" w:rsidRDefault="00E3770F" w:rsidP="00E3770F">
      <w:pPr>
        <w:numPr>
          <w:ilvl w:val="12"/>
          <w:numId w:val="0"/>
        </w:numPr>
        <w:ind w:right="-2"/>
        <w:rPr>
          <w:rFonts w:asciiTheme="minorHAnsi" w:eastAsiaTheme="minorHAnsi" w:hAnsiTheme="minorHAnsi" w:cstheme="minorBidi"/>
          <w:color w:val="008000"/>
          <w:szCs w:val="22"/>
          <w:lang w:val="lt-LT"/>
        </w:rPr>
      </w:pPr>
      <w:r w:rsidRPr="0059462A">
        <w:rPr>
          <w:lang w:val="lt-LT"/>
        </w:rPr>
        <w:t>Zemplar galima vartoti valgio metu ar nevalgius.</w:t>
      </w:r>
    </w:p>
    <w:p w14:paraId="67CA620A" w14:textId="77777777" w:rsidR="00E3770F" w:rsidRPr="0059462A" w:rsidRDefault="00E3770F" w:rsidP="00E3770F">
      <w:pPr>
        <w:numPr>
          <w:ilvl w:val="12"/>
          <w:numId w:val="0"/>
        </w:numPr>
        <w:tabs>
          <w:tab w:val="clear" w:pos="567"/>
          <w:tab w:val="left" w:pos="1290"/>
        </w:tabs>
        <w:spacing w:line="240" w:lineRule="auto"/>
        <w:ind w:right="-2"/>
        <w:rPr>
          <w:lang w:val="lt-LT"/>
        </w:rPr>
      </w:pPr>
    </w:p>
    <w:p w14:paraId="5A1FFE43" w14:textId="77777777" w:rsidR="00E3770F" w:rsidRPr="0059462A" w:rsidRDefault="00E3770F" w:rsidP="00E3770F">
      <w:pPr>
        <w:ind w:left="567" w:hanging="567"/>
        <w:rPr>
          <w:rFonts w:asciiTheme="minorHAnsi" w:eastAsiaTheme="minorHAnsi" w:hAnsiTheme="minorHAnsi" w:cstheme="minorBidi"/>
          <w:b/>
          <w:szCs w:val="22"/>
          <w:lang w:val="lt-LT"/>
        </w:rPr>
      </w:pPr>
      <w:r w:rsidRPr="0059462A">
        <w:rPr>
          <w:b/>
          <w:lang w:val="lt-LT"/>
        </w:rPr>
        <w:t>Nėštumas</w:t>
      </w:r>
      <w:r w:rsidRPr="0059462A">
        <w:rPr>
          <w:b/>
          <w:noProof/>
          <w:szCs w:val="22"/>
          <w:lang w:val="lt-LT"/>
        </w:rPr>
        <w:t>,</w:t>
      </w:r>
      <w:r w:rsidRPr="0059462A">
        <w:rPr>
          <w:b/>
          <w:lang w:val="lt-LT"/>
        </w:rPr>
        <w:t xml:space="preserve"> žindymo laikotarpis</w:t>
      </w:r>
      <w:r w:rsidRPr="0059462A">
        <w:rPr>
          <w:b/>
          <w:noProof/>
          <w:lang w:val="lt-LT"/>
        </w:rPr>
        <w:t xml:space="preserve"> ir vaisingumas</w:t>
      </w:r>
    </w:p>
    <w:p w14:paraId="11FAF90D" w14:textId="77777777" w:rsidR="00A43053" w:rsidRDefault="00A43053" w:rsidP="00E3770F">
      <w:pPr>
        <w:numPr>
          <w:ilvl w:val="12"/>
          <w:numId w:val="0"/>
        </w:numPr>
        <w:rPr>
          <w:lang w:val="lt-LT"/>
        </w:rPr>
      </w:pPr>
    </w:p>
    <w:p w14:paraId="186A2802" w14:textId="0D2650EB" w:rsidR="00E3770F" w:rsidRPr="0059462A" w:rsidRDefault="00E3770F" w:rsidP="00E3770F">
      <w:pPr>
        <w:numPr>
          <w:ilvl w:val="12"/>
          <w:numId w:val="0"/>
        </w:numPr>
        <w:rPr>
          <w:rFonts w:asciiTheme="minorHAnsi" w:eastAsiaTheme="minorHAnsi" w:hAnsiTheme="minorHAnsi" w:cstheme="minorBidi"/>
          <w:szCs w:val="22"/>
          <w:lang w:val="lt-LT"/>
        </w:rPr>
      </w:pPr>
      <w:r w:rsidRPr="0059462A">
        <w:rPr>
          <w:lang w:val="lt-LT"/>
        </w:rPr>
        <w:t>Jeigu esate nėščia, žindote kūdikį, manote, kad galbūt esate nėščia, arba planuojate pastoti, tai prieš vartodama šį vaistą, pasitarkite su gydytoju arba vaistininku. Nėra pakankamai duomenų apie parikalcitolio vartojimą nėščioms moterims. Galima rizika žmogui nėra žinoma, todėl nėščiosioms parikalcitolio vartoti negalima, išskyrus būtinus atvejus.</w:t>
      </w:r>
    </w:p>
    <w:p w14:paraId="3B8D9C22" w14:textId="77777777" w:rsidR="00E3770F" w:rsidRPr="0059462A" w:rsidRDefault="00E3770F" w:rsidP="00E3770F">
      <w:pPr>
        <w:numPr>
          <w:ilvl w:val="12"/>
          <w:numId w:val="0"/>
        </w:numPr>
        <w:rPr>
          <w:lang w:val="lt-LT"/>
        </w:rPr>
      </w:pPr>
    </w:p>
    <w:p w14:paraId="42ABA229" w14:textId="77777777" w:rsidR="00E3770F" w:rsidRPr="00FB39A9" w:rsidRDefault="00E3770F" w:rsidP="00E3770F">
      <w:pPr>
        <w:numPr>
          <w:ilvl w:val="12"/>
          <w:numId w:val="0"/>
        </w:numPr>
        <w:rPr>
          <w:lang w:val="lt-LT"/>
        </w:rPr>
      </w:pPr>
      <w:r w:rsidRPr="0059462A">
        <w:rPr>
          <w:lang w:val="lt-LT"/>
        </w:rPr>
        <w:t>Nežinoma, ar parikalcitolis patenka į žmogaus pieną. Jei vartojate Zemplar, prieš pradėdama žindyti, pasakykite gydytojui.</w:t>
      </w:r>
    </w:p>
    <w:p w14:paraId="4D78E89E" w14:textId="77777777" w:rsidR="00E3770F" w:rsidRPr="0059462A" w:rsidRDefault="00E3770F" w:rsidP="00E3770F">
      <w:pPr>
        <w:numPr>
          <w:ilvl w:val="12"/>
          <w:numId w:val="0"/>
        </w:numPr>
        <w:rPr>
          <w:rFonts w:asciiTheme="minorHAnsi" w:eastAsiaTheme="minorHAnsi" w:hAnsiTheme="minorHAnsi" w:cstheme="minorBidi"/>
          <w:szCs w:val="22"/>
          <w:lang w:val="lt-LT"/>
        </w:rPr>
      </w:pPr>
    </w:p>
    <w:p w14:paraId="3280DA8E" w14:textId="6AF7820D" w:rsidR="00E3770F" w:rsidRPr="0059462A" w:rsidRDefault="00E3770F" w:rsidP="00E3770F">
      <w:pPr>
        <w:ind w:left="567" w:hanging="567"/>
        <w:rPr>
          <w:rFonts w:asciiTheme="minorHAnsi" w:eastAsiaTheme="minorHAnsi" w:hAnsiTheme="minorHAnsi" w:cstheme="minorBidi"/>
          <w:b/>
          <w:szCs w:val="22"/>
          <w:lang w:val="lt-LT"/>
        </w:rPr>
      </w:pPr>
      <w:r w:rsidRPr="0059462A">
        <w:rPr>
          <w:b/>
          <w:lang w:val="lt-LT"/>
        </w:rPr>
        <w:t>Vairavimas ir mechanizmų valdymas</w:t>
      </w:r>
    </w:p>
    <w:p w14:paraId="5BBAB090" w14:textId="77777777" w:rsidR="00A43053" w:rsidRDefault="00A43053" w:rsidP="00E3770F">
      <w:pPr>
        <w:ind w:left="567" w:hanging="567"/>
        <w:rPr>
          <w:lang w:val="lt-LT"/>
        </w:rPr>
      </w:pPr>
    </w:p>
    <w:p w14:paraId="144D354F" w14:textId="59137D4C"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 xml:space="preserve">Zemplar neturėtų veikti gebėjimo vairuoti ar valdyti mechanizmus. </w:t>
      </w:r>
    </w:p>
    <w:p w14:paraId="7102C241" w14:textId="77777777" w:rsidR="00E3770F" w:rsidRPr="0059462A" w:rsidRDefault="00E3770F" w:rsidP="00E3770F">
      <w:pPr>
        <w:numPr>
          <w:ilvl w:val="12"/>
          <w:numId w:val="0"/>
        </w:numPr>
        <w:tabs>
          <w:tab w:val="clear" w:pos="567"/>
        </w:tabs>
        <w:spacing w:line="240" w:lineRule="auto"/>
        <w:rPr>
          <w:lang w:val="lt-LT"/>
        </w:rPr>
      </w:pPr>
    </w:p>
    <w:p w14:paraId="11E33E6A" w14:textId="77777777" w:rsidR="00E3770F" w:rsidRPr="0059462A" w:rsidRDefault="00E3770F" w:rsidP="00E3770F">
      <w:pPr>
        <w:ind w:left="567" w:hanging="567"/>
        <w:rPr>
          <w:rFonts w:asciiTheme="minorHAnsi" w:eastAsiaTheme="minorHAnsi" w:hAnsiTheme="minorHAnsi" w:cstheme="minorBidi"/>
          <w:b/>
          <w:szCs w:val="22"/>
          <w:lang w:val="lt-LT"/>
        </w:rPr>
      </w:pPr>
      <w:r w:rsidRPr="0059462A">
        <w:rPr>
          <w:b/>
          <w:lang w:val="lt-LT"/>
        </w:rPr>
        <w:t>Zemplar sudėtyje yra etanolio</w:t>
      </w:r>
      <w:r w:rsidRPr="0059462A">
        <w:rPr>
          <w:b/>
          <w:noProof/>
          <w:szCs w:val="22"/>
          <w:lang w:val="lt-LT"/>
        </w:rPr>
        <w:t xml:space="preserve"> (alkoholio)</w:t>
      </w:r>
    </w:p>
    <w:p w14:paraId="55DE134A" w14:textId="77777777" w:rsidR="00E3770F" w:rsidRPr="0059462A" w:rsidRDefault="00E3770F" w:rsidP="00E3770F">
      <w:pPr>
        <w:numPr>
          <w:ilvl w:val="12"/>
          <w:numId w:val="0"/>
        </w:numPr>
        <w:ind w:right="-2"/>
        <w:outlineLvl w:val="0"/>
        <w:rPr>
          <w:rFonts w:asciiTheme="minorHAnsi" w:eastAsiaTheme="minorHAnsi" w:hAnsiTheme="minorHAnsi" w:cstheme="minorBidi"/>
          <w:szCs w:val="22"/>
          <w:lang w:val="lt-LT"/>
        </w:rPr>
      </w:pPr>
      <w:r w:rsidRPr="0059462A">
        <w:rPr>
          <w:lang w:val="lt-LT"/>
        </w:rPr>
        <w:t>Šio vaisto sudėtyje yra nedidelis kiekis etanolio (alkoholio), mažiau nei 100 mg vienoje kapsulėje, kuris gali keisti ar stiprinti kitų vaistų poveikį. Tai gali sukelti žalingą poveikį žmonėms, kurie serga kepenų liga, alkoholizmu, epilepsija, kuriems yra smegenų pažeidimas ar liga, taip pat nėščiosioms, žindyvėms ir vaikams.</w:t>
      </w:r>
    </w:p>
    <w:p w14:paraId="4396F338" w14:textId="77777777" w:rsidR="00E3770F" w:rsidRPr="0059462A" w:rsidRDefault="00E3770F" w:rsidP="00E3770F">
      <w:pPr>
        <w:numPr>
          <w:ilvl w:val="12"/>
          <w:numId w:val="0"/>
        </w:numPr>
        <w:tabs>
          <w:tab w:val="clear" w:pos="567"/>
        </w:tabs>
        <w:spacing w:line="240" w:lineRule="auto"/>
        <w:rPr>
          <w:lang w:val="lt-LT"/>
        </w:rPr>
      </w:pPr>
    </w:p>
    <w:p w14:paraId="10FD966B" w14:textId="77777777" w:rsidR="00E3770F" w:rsidRPr="0059462A" w:rsidRDefault="00E3770F" w:rsidP="00E3770F">
      <w:pPr>
        <w:numPr>
          <w:ilvl w:val="12"/>
          <w:numId w:val="0"/>
        </w:numPr>
        <w:tabs>
          <w:tab w:val="clear" w:pos="567"/>
        </w:tabs>
        <w:spacing w:line="240" w:lineRule="auto"/>
        <w:ind w:right="-2"/>
        <w:rPr>
          <w:lang w:val="lt-LT"/>
        </w:rPr>
      </w:pPr>
    </w:p>
    <w:p w14:paraId="6B805000" w14:textId="77777777" w:rsidR="00E3770F" w:rsidRPr="0059462A" w:rsidRDefault="00E3770F" w:rsidP="00E3770F">
      <w:pPr>
        <w:numPr>
          <w:ilvl w:val="12"/>
          <w:numId w:val="0"/>
        </w:numPr>
        <w:ind w:left="567" w:hanging="567"/>
        <w:outlineLvl w:val="0"/>
        <w:rPr>
          <w:rFonts w:asciiTheme="minorHAnsi" w:eastAsiaTheme="minorHAnsi" w:hAnsiTheme="minorHAnsi" w:cstheme="minorBidi"/>
          <w:b/>
          <w:caps/>
          <w:szCs w:val="22"/>
          <w:lang w:val="lt-LT"/>
        </w:rPr>
      </w:pPr>
      <w:r w:rsidRPr="0059462A">
        <w:rPr>
          <w:b/>
          <w:lang w:val="lt-LT"/>
        </w:rPr>
        <w:t>3.</w:t>
      </w:r>
      <w:r w:rsidRPr="0059462A">
        <w:rPr>
          <w:b/>
          <w:lang w:val="lt-LT"/>
        </w:rPr>
        <w:tab/>
        <w:t xml:space="preserve">Kaip vartoti Zemplar </w:t>
      </w:r>
    </w:p>
    <w:p w14:paraId="3489F4A1" w14:textId="77777777" w:rsidR="00E3770F" w:rsidRPr="0059462A" w:rsidRDefault="00E3770F" w:rsidP="00E3770F">
      <w:pPr>
        <w:ind w:left="567" w:hanging="567"/>
        <w:rPr>
          <w:lang w:val="lt-LT"/>
        </w:rPr>
      </w:pPr>
    </w:p>
    <w:p w14:paraId="2B7A9C3B" w14:textId="77777777" w:rsidR="00E3770F" w:rsidRPr="0059462A" w:rsidRDefault="00E3770F" w:rsidP="00E3770F">
      <w:pPr>
        <w:rPr>
          <w:lang w:val="lt-LT"/>
        </w:rPr>
      </w:pPr>
      <w:r w:rsidRPr="0059462A">
        <w:rPr>
          <w:noProof/>
          <w:szCs w:val="22"/>
          <w:lang w:val="lt-LT"/>
        </w:rPr>
        <w:t>Visada</w:t>
      </w:r>
      <w:r w:rsidRPr="0059462A">
        <w:rPr>
          <w:lang w:val="lt-LT"/>
        </w:rPr>
        <w:t xml:space="preserve"> vartokite</w:t>
      </w:r>
      <w:r w:rsidRPr="0059462A">
        <w:rPr>
          <w:noProof/>
          <w:lang w:val="lt-LT"/>
        </w:rPr>
        <w:t xml:space="preserve"> šį vaistą</w:t>
      </w:r>
      <w:r w:rsidRPr="0059462A">
        <w:rPr>
          <w:lang w:val="lt-LT"/>
        </w:rPr>
        <w:t xml:space="preserve"> tiksliai taip, kaip nurodė gydytojas. Jeigu abejojate, kreipkitės į gydytoją arba vaistininką.</w:t>
      </w:r>
    </w:p>
    <w:p w14:paraId="19C851D0" w14:textId="77777777" w:rsidR="00E3770F" w:rsidRPr="0059462A" w:rsidRDefault="00E3770F" w:rsidP="00E3770F">
      <w:pPr>
        <w:numPr>
          <w:ilvl w:val="12"/>
          <w:numId w:val="0"/>
        </w:numPr>
        <w:spacing w:line="240" w:lineRule="auto"/>
        <w:ind w:right="-2"/>
        <w:rPr>
          <w:b/>
          <w:i/>
          <w:lang w:val="lt-LT"/>
        </w:rPr>
      </w:pPr>
    </w:p>
    <w:p w14:paraId="34F74BE4" w14:textId="77777777" w:rsidR="00E3770F" w:rsidRPr="00FB39A9" w:rsidRDefault="00E3770F" w:rsidP="00E3770F">
      <w:pPr>
        <w:pStyle w:val="Antrat1"/>
        <w:spacing w:before="0" w:after="0" w:line="240" w:lineRule="auto"/>
        <w:rPr>
          <w:rFonts w:ascii="Times New Roman" w:hAnsi="Times New Roman"/>
          <w:b w:val="0"/>
          <w:sz w:val="22"/>
          <w:lang w:val="lt-LT"/>
        </w:rPr>
      </w:pPr>
      <w:r w:rsidRPr="0059462A">
        <w:rPr>
          <w:rFonts w:ascii="Times New Roman" w:hAnsi="Times New Roman"/>
          <w:sz w:val="22"/>
          <w:lang w:val="lt-LT"/>
        </w:rPr>
        <w:lastRenderedPageBreak/>
        <w:t>3 ir 4 stadijos lėtinė inkstų liga</w:t>
      </w:r>
    </w:p>
    <w:p w14:paraId="0E272D91" w14:textId="77777777" w:rsidR="00E3770F" w:rsidRPr="0059462A" w:rsidRDefault="00E3770F" w:rsidP="00E3770F">
      <w:pPr>
        <w:numPr>
          <w:ilvl w:val="12"/>
          <w:numId w:val="0"/>
        </w:numPr>
        <w:spacing w:line="240" w:lineRule="auto"/>
        <w:ind w:right="-2"/>
        <w:rPr>
          <w:szCs w:val="22"/>
          <w:lang w:val="lt-LT"/>
        </w:rPr>
      </w:pPr>
    </w:p>
    <w:p w14:paraId="100BCEF3" w14:textId="77777777" w:rsidR="00E3770F" w:rsidRPr="0059462A" w:rsidRDefault="00E3770F" w:rsidP="00E3770F">
      <w:pPr>
        <w:numPr>
          <w:ilvl w:val="12"/>
          <w:numId w:val="0"/>
        </w:numPr>
        <w:spacing w:line="240" w:lineRule="auto"/>
        <w:ind w:right="-2"/>
        <w:rPr>
          <w:rFonts w:asciiTheme="minorHAnsi" w:eastAsiaTheme="minorHAnsi" w:hAnsiTheme="minorHAnsi" w:cstheme="minorBidi"/>
          <w:szCs w:val="22"/>
          <w:lang w:val="lt-LT"/>
        </w:rPr>
      </w:pPr>
      <w:r>
        <w:rPr>
          <w:lang w:val="lt-LT"/>
        </w:rPr>
        <w:t>Suaugusiems pacientams į</w:t>
      </w:r>
      <w:r w:rsidRPr="0059462A">
        <w:rPr>
          <w:lang w:val="lt-LT"/>
        </w:rPr>
        <w:t>prastinė pradinė dozė yra viena kapsulė per parą kasdien arba viena kapsulė kas antrą parą, tris kartus per savaitę. Gydytojas atsižvelgs į laboratorinių tyrimų rezultatus, kad galėtų parinkti Jums tinkamą dozę. Pradėjus gydymą Zemplar, dozę gali tekti koreguoti, priklausomai nuo Jūsų atsako į gydymą. Gydytojas padės parinkti Jums tinkamą Zemplar dozę.</w:t>
      </w:r>
    </w:p>
    <w:p w14:paraId="300EE764" w14:textId="77777777" w:rsidR="00E3770F" w:rsidRPr="0059462A" w:rsidRDefault="00E3770F" w:rsidP="00E3770F">
      <w:pPr>
        <w:numPr>
          <w:ilvl w:val="12"/>
          <w:numId w:val="0"/>
        </w:numPr>
        <w:spacing w:line="240" w:lineRule="auto"/>
        <w:ind w:right="-2"/>
        <w:rPr>
          <w:szCs w:val="22"/>
          <w:lang w:val="lt-LT"/>
        </w:rPr>
      </w:pPr>
    </w:p>
    <w:p w14:paraId="46CFBA20" w14:textId="77777777" w:rsidR="00E3770F" w:rsidRPr="00FB39A9" w:rsidRDefault="00E3770F" w:rsidP="00E3770F">
      <w:pPr>
        <w:pStyle w:val="Antrat1"/>
        <w:spacing w:before="0" w:after="0" w:line="240" w:lineRule="auto"/>
        <w:rPr>
          <w:b w:val="0"/>
          <w:sz w:val="22"/>
          <w:lang w:val="lt-LT"/>
        </w:rPr>
      </w:pPr>
      <w:r w:rsidRPr="0059462A">
        <w:rPr>
          <w:rFonts w:ascii="Times New Roman" w:hAnsi="Times New Roman"/>
          <w:sz w:val="22"/>
          <w:szCs w:val="22"/>
          <w:lang w:val="lt-LT"/>
        </w:rPr>
        <w:t>5 stadijos lėtinė inkstų liga</w:t>
      </w:r>
    </w:p>
    <w:p w14:paraId="2A242C74" w14:textId="77777777" w:rsidR="00E3770F" w:rsidRPr="0059462A" w:rsidRDefault="00E3770F" w:rsidP="00E3770F">
      <w:pPr>
        <w:numPr>
          <w:ilvl w:val="12"/>
          <w:numId w:val="0"/>
        </w:numPr>
        <w:spacing w:line="240" w:lineRule="auto"/>
        <w:ind w:right="-2"/>
        <w:rPr>
          <w:szCs w:val="22"/>
          <w:lang w:val="lt-LT"/>
        </w:rPr>
      </w:pPr>
    </w:p>
    <w:p w14:paraId="48CA14EA" w14:textId="77777777" w:rsidR="00E3770F" w:rsidRPr="0059462A" w:rsidRDefault="00E3770F" w:rsidP="00E3770F">
      <w:pPr>
        <w:numPr>
          <w:ilvl w:val="12"/>
          <w:numId w:val="0"/>
        </w:numPr>
        <w:spacing w:line="240" w:lineRule="auto"/>
        <w:ind w:right="-2"/>
        <w:rPr>
          <w:rFonts w:asciiTheme="minorHAnsi" w:eastAsiaTheme="minorHAnsi" w:hAnsiTheme="minorHAnsi" w:cstheme="minorBidi"/>
          <w:szCs w:val="22"/>
          <w:lang w:val="lt-LT"/>
        </w:rPr>
      </w:pPr>
      <w:r>
        <w:rPr>
          <w:lang w:val="lt-LT"/>
        </w:rPr>
        <w:t>Suaugusiems pacientams į</w:t>
      </w:r>
      <w:r w:rsidRPr="0059462A">
        <w:rPr>
          <w:lang w:val="lt-LT"/>
        </w:rPr>
        <w:t>prastinė pradinė dozė yra viena kapsulė kas antrą parą tris kartus per savaitę. Gydytojas atsižvelgs į laboratorinių tyrimų rezultatus, kad galėtų parinkti Jums tinkamą dozę. Pradėjus gydymą Zemplar, dozę gali tekti koreguoti, priklausomai nuo Jūsų atsako į gydymą. Gydytojas padės parinkti Jums tinkamą Zemplar dozę.</w:t>
      </w:r>
    </w:p>
    <w:p w14:paraId="0B912662" w14:textId="77777777" w:rsidR="00E3770F" w:rsidRPr="0059462A" w:rsidRDefault="00E3770F" w:rsidP="00E3770F">
      <w:pPr>
        <w:pStyle w:val="Pagrindinistekstas"/>
        <w:rPr>
          <w:i w:val="0"/>
          <w:lang w:val="lt-LT"/>
        </w:rPr>
      </w:pPr>
    </w:p>
    <w:p w14:paraId="5A7A3B1E" w14:textId="77777777" w:rsidR="00E3770F" w:rsidRPr="0059462A" w:rsidRDefault="00E3770F" w:rsidP="00E3770F">
      <w:pPr>
        <w:spacing w:line="240" w:lineRule="auto"/>
        <w:rPr>
          <w:rFonts w:asciiTheme="minorHAnsi" w:eastAsiaTheme="minorHAnsi" w:hAnsiTheme="minorHAnsi" w:cstheme="minorBidi"/>
          <w:b/>
          <w:szCs w:val="22"/>
          <w:lang w:val="lt-LT"/>
        </w:rPr>
      </w:pPr>
      <w:r w:rsidRPr="0059462A">
        <w:rPr>
          <w:b/>
          <w:lang w:val="lt-LT"/>
        </w:rPr>
        <w:t>Kepenų liga</w:t>
      </w:r>
    </w:p>
    <w:p w14:paraId="1E3ACC9C" w14:textId="77777777" w:rsidR="00E3770F" w:rsidRPr="0059462A" w:rsidRDefault="00E3770F" w:rsidP="00E3770F">
      <w:pPr>
        <w:spacing w:line="240" w:lineRule="auto"/>
        <w:rPr>
          <w:szCs w:val="22"/>
          <w:lang w:val="lt-LT"/>
        </w:rPr>
      </w:pPr>
    </w:p>
    <w:p w14:paraId="50C846ED"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Jeigu sergate nesunkia ar vidutinio sunkumo kepenų liga, dozės koreguoti nereikia. Tačiau nėra vartojimo patirties pacientams, kurie serga sunkia kepenų liga.</w:t>
      </w:r>
    </w:p>
    <w:p w14:paraId="2E55CC2A" w14:textId="77777777" w:rsidR="00E3770F" w:rsidRPr="0059462A" w:rsidRDefault="00E3770F" w:rsidP="00E3770F">
      <w:pPr>
        <w:spacing w:line="240" w:lineRule="auto"/>
        <w:rPr>
          <w:lang w:val="lt-LT"/>
        </w:rPr>
      </w:pPr>
    </w:p>
    <w:p w14:paraId="2C862779" w14:textId="77777777" w:rsidR="00E3770F" w:rsidRPr="0059462A" w:rsidRDefault="00E3770F" w:rsidP="00E3770F">
      <w:pPr>
        <w:spacing w:line="240" w:lineRule="auto"/>
        <w:rPr>
          <w:rFonts w:asciiTheme="minorHAnsi" w:eastAsiaTheme="minorHAnsi" w:hAnsiTheme="minorHAnsi" w:cstheme="minorBidi"/>
          <w:b/>
          <w:szCs w:val="22"/>
          <w:lang w:val="lt-LT"/>
        </w:rPr>
      </w:pPr>
      <w:r w:rsidRPr="0059462A">
        <w:rPr>
          <w:b/>
          <w:lang w:val="lt-LT"/>
        </w:rPr>
        <w:t>Inkstų persodinimas</w:t>
      </w:r>
    </w:p>
    <w:p w14:paraId="31A519FC" w14:textId="77777777" w:rsidR="00E3770F" w:rsidRPr="0059462A" w:rsidRDefault="00E3770F" w:rsidP="00E3770F">
      <w:pPr>
        <w:spacing w:line="240" w:lineRule="auto"/>
        <w:rPr>
          <w:szCs w:val="22"/>
          <w:lang w:val="lt-LT"/>
        </w:rPr>
      </w:pPr>
    </w:p>
    <w:p w14:paraId="25E2A7E6"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Įprastinė dozė yra viena kapsulė per parą kasdien ar tris kartus per savaitę, vartojant po vieną kapsulę kas antrą parą. Gydytojas atsižvelgs į laboratorinių tyrimų rezultatus, kad galėtų parinkti Jums tinkamą dozę. Pradėjus gydymą Zemplar, dozę gali tekti koreguoti, priklausomai nuo Jūsų atsako į gydymą. Gydytojas padės parinkti Jums tinkamą Zemplar dozę.</w:t>
      </w:r>
    </w:p>
    <w:p w14:paraId="034FE3BF" w14:textId="77777777" w:rsidR="00E3770F" w:rsidRPr="0059462A" w:rsidRDefault="00E3770F" w:rsidP="00E3770F">
      <w:pPr>
        <w:spacing w:line="240" w:lineRule="auto"/>
        <w:rPr>
          <w:lang w:val="lt-LT"/>
        </w:rPr>
      </w:pPr>
    </w:p>
    <w:p w14:paraId="2AE0CAEA" w14:textId="77777777" w:rsidR="00E3770F" w:rsidRPr="0059462A" w:rsidRDefault="00E3770F" w:rsidP="00E3770F">
      <w:pPr>
        <w:spacing w:line="240" w:lineRule="auto"/>
        <w:rPr>
          <w:rFonts w:asciiTheme="minorHAnsi" w:eastAsiaTheme="minorHAnsi" w:hAnsiTheme="minorHAnsi" w:cstheme="minorBidi"/>
          <w:b/>
          <w:szCs w:val="22"/>
          <w:lang w:val="lt-LT"/>
        </w:rPr>
      </w:pPr>
      <w:r w:rsidRPr="0059462A">
        <w:rPr>
          <w:b/>
          <w:lang w:val="lt-LT"/>
        </w:rPr>
        <w:t>Vartojimas vaikams ir paaugliams</w:t>
      </w:r>
    </w:p>
    <w:p w14:paraId="0CD53327" w14:textId="77777777" w:rsidR="00E3770F" w:rsidRPr="0059462A" w:rsidRDefault="00E3770F" w:rsidP="00E3770F">
      <w:pPr>
        <w:spacing w:line="240" w:lineRule="auto"/>
        <w:rPr>
          <w:szCs w:val="22"/>
          <w:lang w:val="lt-LT"/>
        </w:rPr>
      </w:pPr>
    </w:p>
    <w:p w14:paraId="6A1815DD" w14:textId="77777777" w:rsidR="00E3770F" w:rsidRDefault="00E3770F" w:rsidP="00E3770F">
      <w:pPr>
        <w:spacing w:line="240" w:lineRule="auto"/>
        <w:rPr>
          <w:lang w:val="lt-LT"/>
        </w:rPr>
      </w:pPr>
      <w:r w:rsidRPr="0059462A">
        <w:rPr>
          <w:lang w:val="lt-LT"/>
        </w:rPr>
        <w:t>Įprastinė pradinė dozė 10</w:t>
      </w:r>
      <w:r>
        <w:rPr>
          <w:lang w:val="lt-LT"/>
        </w:rPr>
        <w:t xml:space="preserve"> – </w:t>
      </w:r>
      <w:r w:rsidRPr="0059462A">
        <w:rPr>
          <w:lang w:val="lt-LT"/>
        </w:rPr>
        <w:t>1</w:t>
      </w:r>
      <w:r>
        <w:rPr>
          <w:lang w:val="lt-LT"/>
        </w:rPr>
        <w:t>6</w:t>
      </w:r>
      <w:r w:rsidRPr="0059462A">
        <w:rPr>
          <w:lang w:val="lt-LT"/>
        </w:rPr>
        <w:t> metų vaikams, sergantiems 3</w:t>
      </w:r>
      <w:r>
        <w:rPr>
          <w:lang w:val="lt-LT"/>
        </w:rPr>
        <w:t xml:space="preserve"> ar</w:t>
      </w:r>
      <w:r w:rsidRPr="0059462A">
        <w:rPr>
          <w:lang w:val="lt-LT"/>
        </w:rPr>
        <w:t xml:space="preserve"> 4  stadijos lėtine inkstų liga, yra viena kapsulė kas antrą parą tris kartus per savaitę.</w:t>
      </w:r>
      <w:r w:rsidRPr="0059462A">
        <w:rPr>
          <w:szCs w:val="22"/>
          <w:lang w:val="lt-LT"/>
        </w:rPr>
        <w:t xml:space="preserve"> </w:t>
      </w:r>
      <w:r w:rsidRPr="0059462A">
        <w:rPr>
          <w:lang w:val="lt-LT"/>
        </w:rPr>
        <w:t xml:space="preserve">Gydytojas atsižvelgs į </w:t>
      </w:r>
      <w:r>
        <w:rPr>
          <w:lang w:val="lt-LT"/>
        </w:rPr>
        <w:t xml:space="preserve">Jūsų </w:t>
      </w:r>
      <w:r w:rsidRPr="0059462A">
        <w:rPr>
          <w:lang w:val="lt-LT"/>
        </w:rPr>
        <w:t>laboratorinių tyrimų rezultatus, kad galėtų parinkti Jums tinkamą dozę. Pradėjus gydymą Zemplar, dozę gali tekti koreguoti, priklausomai nuo Jūsų atsako į gydymą. Gydytojas padės parinkti Jums tinkamą Zemplar dozę.</w:t>
      </w:r>
    </w:p>
    <w:p w14:paraId="390BB00E" w14:textId="77777777" w:rsidR="00E3770F" w:rsidRDefault="00E3770F" w:rsidP="00E3770F">
      <w:pPr>
        <w:spacing w:line="240" w:lineRule="auto"/>
        <w:rPr>
          <w:szCs w:val="22"/>
          <w:lang w:val="lt-LT"/>
        </w:rPr>
      </w:pPr>
    </w:p>
    <w:p w14:paraId="106DCABA" w14:textId="77777777" w:rsidR="00E3770F" w:rsidRDefault="00E3770F" w:rsidP="00E3770F">
      <w:pPr>
        <w:spacing w:line="240" w:lineRule="auto"/>
        <w:rPr>
          <w:lang w:val="lt-LT"/>
        </w:rPr>
      </w:pPr>
      <w:r>
        <w:rPr>
          <w:lang w:val="lt-LT"/>
        </w:rPr>
        <w:t>Zemplar veiksmingumas vaikams, sergantiems 5 stadijos LIL nebuvo nustatytas.</w:t>
      </w:r>
    </w:p>
    <w:p w14:paraId="5F06F98A" w14:textId="77777777" w:rsidR="00E3770F" w:rsidRPr="0059462A" w:rsidRDefault="00E3770F" w:rsidP="00E3770F">
      <w:pPr>
        <w:spacing w:line="240" w:lineRule="auto"/>
        <w:rPr>
          <w:szCs w:val="22"/>
          <w:lang w:val="lt-LT"/>
        </w:rPr>
      </w:pPr>
    </w:p>
    <w:p w14:paraId="29A01746"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Nėra informacijos apie Zemplar kapsulių vartojimą jaunesniems kaip 10 metų vaikams.</w:t>
      </w:r>
    </w:p>
    <w:p w14:paraId="7DA9A0BB" w14:textId="77777777" w:rsidR="00E3770F" w:rsidRPr="0059462A" w:rsidRDefault="00E3770F" w:rsidP="00E3770F">
      <w:pPr>
        <w:spacing w:line="240" w:lineRule="auto"/>
        <w:rPr>
          <w:lang w:val="lt-LT"/>
        </w:rPr>
      </w:pPr>
    </w:p>
    <w:p w14:paraId="6F8830FF" w14:textId="77777777" w:rsidR="00E3770F" w:rsidRPr="0059462A" w:rsidRDefault="00E3770F" w:rsidP="00E3770F">
      <w:pPr>
        <w:spacing w:line="240" w:lineRule="auto"/>
        <w:rPr>
          <w:rFonts w:asciiTheme="minorHAnsi" w:eastAsiaTheme="minorHAnsi" w:hAnsiTheme="minorHAnsi" w:cstheme="minorBidi"/>
          <w:b/>
          <w:szCs w:val="22"/>
          <w:lang w:val="lt-LT"/>
        </w:rPr>
      </w:pPr>
      <w:r w:rsidRPr="0059462A">
        <w:rPr>
          <w:b/>
          <w:lang w:val="lt-LT"/>
        </w:rPr>
        <w:t>Vartojimas senyviems pacientams</w:t>
      </w:r>
    </w:p>
    <w:p w14:paraId="56CCABA2" w14:textId="77777777" w:rsidR="00E3770F" w:rsidRPr="0059462A" w:rsidRDefault="00E3770F" w:rsidP="00E3770F">
      <w:pPr>
        <w:spacing w:line="240" w:lineRule="auto"/>
        <w:rPr>
          <w:szCs w:val="22"/>
          <w:lang w:val="lt-LT"/>
        </w:rPr>
      </w:pPr>
    </w:p>
    <w:p w14:paraId="04E14F94"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Yra nedaug Zemplar vartojimo patirties 65 metų ir vyresniems pacientams. Bendrai nebuvo stebėta veiksmingumo ar vartojimo saugumo skirtumų tarp 65 metų amžiaus ar vyresnių asmenų ir jaunesnių pacientų.</w:t>
      </w:r>
    </w:p>
    <w:p w14:paraId="52B69F8E" w14:textId="77777777" w:rsidR="00E3770F" w:rsidRPr="0059462A" w:rsidRDefault="00E3770F" w:rsidP="00E3770F">
      <w:pPr>
        <w:ind w:right="-2"/>
        <w:rPr>
          <w:lang w:val="lt-LT"/>
        </w:rPr>
      </w:pPr>
    </w:p>
    <w:p w14:paraId="4313ECAB" w14:textId="77777777" w:rsidR="00E3770F" w:rsidRPr="0059462A" w:rsidRDefault="00E3770F" w:rsidP="00E3770F">
      <w:pPr>
        <w:ind w:left="567" w:hanging="567"/>
        <w:rPr>
          <w:rFonts w:asciiTheme="minorHAnsi" w:eastAsiaTheme="minorHAnsi" w:hAnsiTheme="minorHAnsi" w:cstheme="minorBidi"/>
          <w:b/>
          <w:szCs w:val="22"/>
          <w:lang w:val="lt-LT"/>
        </w:rPr>
      </w:pPr>
      <w:r w:rsidRPr="0059462A">
        <w:rPr>
          <w:b/>
          <w:lang w:val="lt-LT"/>
        </w:rPr>
        <w:t>Ką daryti pavartojus per didelę Zemplar dozę?</w:t>
      </w:r>
    </w:p>
    <w:p w14:paraId="6E6B2D0B" w14:textId="77777777" w:rsidR="00E3770F" w:rsidRPr="0059462A" w:rsidRDefault="00E3770F" w:rsidP="00E3770F">
      <w:pPr>
        <w:rPr>
          <w:szCs w:val="22"/>
          <w:lang w:val="lt-LT"/>
        </w:rPr>
      </w:pPr>
    </w:p>
    <w:p w14:paraId="20ABDF6E" w14:textId="77777777" w:rsidR="00E3770F" w:rsidRPr="0059462A" w:rsidRDefault="00E3770F" w:rsidP="00E3770F">
      <w:pPr>
        <w:rPr>
          <w:rFonts w:asciiTheme="minorHAnsi" w:eastAsiaTheme="minorHAnsi" w:hAnsiTheme="minorHAnsi" w:cstheme="minorBidi"/>
          <w:szCs w:val="22"/>
          <w:lang w:val="lt-LT"/>
        </w:rPr>
      </w:pPr>
      <w:r w:rsidRPr="0059462A">
        <w:rPr>
          <w:lang w:val="lt-LT"/>
        </w:rPr>
        <w:t>Per didelė Zemplar dozė gali per daug padidinti kalcio koncentraciją kraujyje, kas gali būti kenksminga. Greitai po per didelės Zemplar dozės pavartojimo gali pasireikšti šie simptomai: silpnumo pojūtis ir (ar) mieguistumas, galvos skausmas, pykinimas ar vėmimas, burnos sausmė, vidurių užkietėjimas, raumenų ar kaulų skausmas bei metalo skonis burnoje.</w:t>
      </w:r>
    </w:p>
    <w:p w14:paraId="7CA7501B" w14:textId="77777777" w:rsidR="00E3770F" w:rsidRPr="0059462A" w:rsidRDefault="00E3770F" w:rsidP="00E3770F">
      <w:pPr>
        <w:rPr>
          <w:lang w:val="lt-LT"/>
        </w:rPr>
      </w:pPr>
    </w:p>
    <w:p w14:paraId="39B91126"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Ilgai vartojant per dideles Zemplar dozes, gali pasireikšti šie simptomai: sumažėjęs apetitas, mieguistumas, sumažėjusi kūno masė, akių skausmas, bėganti nosis, niežtinti oda, karščio ir karščiavimo pojūtis, lytinio potraukio sumažėjimas, stiprus pilvo skausmas (dėl kasos uždegimo) ir gali atsirasti akmenys inkstuose. Gali pakisti kraujospūdis ir pasireikšti nereguliarus širdies ritmas (permušimai). Kraujo ir šlapimo tyrimai gali rodyti, kad yra padidėjusi cholesterolio, šlapalo, azoto </w:t>
      </w:r>
      <w:r w:rsidRPr="0059462A">
        <w:rPr>
          <w:lang w:val="lt-LT"/>
        </w:rPr>
        <w:lastRenderedPageBreak/>
        <w:t>koncentracija ir yra padidėjęs kepenų fermentų aktyvumas. Zemplar retai gali sukelti psichikos sutrikimų: sumišimą, mieguistumą, nemigą ar nervingumą.</w:t>
      </w:r>
    </w:p>
    <w:p w14:paraId="0BD3A3AB" w14:textId="77777777" w:rsidR="00E3770F" w:rsidRPr="0059462A" w:rsidRDefault="00E3770F" w:rsidP="00E3770F">
      <w:pPr>
        <w:rPr>
          <w:lang w:val="lt-LT"/>
        </w:rPr>
      </w:pPr>
    </w:p>
    <w:p w14:paraId="513A87D3" w14:textId="77777777" w:rsidR="00E3770F" w:rsidRPr="0059462A" w:rsidRDefault="00E3770F" w:rsidP="00E3770F">
      <w:pPr>
        <w:rPr>
          <w:rFonts w:asciiTheme="minorHAnsi" w:eastAsiaTheme="minorHAnsi" w:hAnsiTheme="minorHAnsi" w:cstheme="minorBidi"/>
          <w:szCs w:val="22"/>
          <w:lang w:val="lt-LT"/>
        </w:rPr>
      </w:pPr>
      <w:r w:rsidRPr="0059462A">
        <w:rPr>
          <w:lang w:val="lt-LT"/>
        </w:rPr>
        <w:t>Jei pavartojote per daug Zemplar ar Jums pasireiškė kuris nors iš aukščiau minėtų simptomų, nedelsdami kreipkitės medicininės pagalbos.</w:t>
      </w:r>
    </w:p>
    <w:p w14:paraId="4D79860A" w14:textId="77777777" w:rsidR="00E3770F" w:rsidRPr="0059462A" w:rsidRDefault="00E3770F" w:rsidP="00E3770F">
      <w:pPr>
        <w:ind w:left="567" w:hanging="567"/>
        <w:rPr>
          <w:b/>
          <w:lang w:val="lt-LT"/>
        </w:rPr>
      </w:pPr>
    </w:p>
    <w:p w14:paraId="4A18060C" w14:textId="77777777" w:rsidR="00E3770F" w:rsidRPr="0059462A" w:rsidRDefault="00E3770F" w:rsidP="00E3770F">
      <w:pPr>
        <w:ind w:left="567" w:hanging="567"/>
        <w:rPr>
          <w:rFonts w:asciiTheme="minorHAnsi" w:eastAsiaTheme="minorHAnsi" w:hAnsiTheme="minorHAnsi" w:cstheme="minorBidi"/>
          <w:b/>
          <w:noProof/>
          <w:szCs w:val="22"/>
          <w:lang w:val="lt-LT"/>
        </w:rPr>
      </w:pPr>
      <w:r w:rsidRPr="0059462A">
        <w:rPr>
          <w:b/>
          <w:lang w:val="lt-LT"/>
        </w:rPr>
        <w:t xml:space="preserve">Pamiršus pavartoti </w:t>
      </w:r>
      <w:r w:rsidRPr="00FB39A9">
        <w:rPr>
          <w:b/>
          <w:lang w:val="lt-LT"/>
        </w:rPr>
        <w:t>Zemplar</w:t>
      </w:r>
    </w:p>
    <w:p w14:paraId="16ACE117" w14:textId="77777777" w:rsidR="00E3770F" w:rsidRPr="0059462A" w:rsidRDefault="00E3770F" w:rsidP="00E3770F">
      <w:pPr>
        <w:numPr>
          <w:ilvl w:val="12"/>
          <w:numId w:val="0"/>
        </w:numPr>
        <w:ind w:right="-2"/>
        <w:rPr>
          <w:lang w:val="lt-LT"/>
        </w:rPr>
      </w:pPr>
    </w:p>
    <w:p w14:paraId="0143E3F6" w14:textId="77777777" w:rsidR="00E3770F" w:rsidRPr="0059462A" w:rsidRDefault="00E3770F" w:rsidP="00E3770F">
      <w:pPr>
        <w:numPr>
          <w:ilvl w:val="12"/>
          <w:numId w:val="0"/>
        </w:numPr>
        <w:ind w:right="-2"/>
        <w:rPr>
          <w:rFonts w:asciiTheme="minorHAnsi" w:eastAsiaTheme="minorHAnsi" w:hAnsiTheme="minorHAnsi" w:cstheme="minorBidi"/>
          <w:szCs w:val="22"/>
          <w:lang w:val="lt-LT"/>
        </w:rPr>
      </w:pPr>
      <w:r w:rsidRPr="0059462A">
        <w:rPr>
          <w:lang w:val="lt-LT"/>
        </w:rPr>
        <w:t xml:space="preserve">Jei pamiršote dozę, išgerkite ją iškart prisiminę. Tačiau, jei jau beveik atėjo laikas kitai dozei, nebegerkite praleistosios, paprasčiausiai toliau vartokite Zemplar taip, kaip nurodė gydytojas (kiek ir kada vartoti). </w:t>
      </w:r>
    </w:p>
    <w:p w14:paraId="248CF51D" w14:textId="77777777" w:rsidR="00E3770F" w:rsidRPr="0059462A" w:rsidRDefault="00E3770F" w:rsidP="00E3770F">
      <w:pPr>
        <w:ind w:left="567" w:hanging="567"/>
        <w:rPr>
          <w:lang w:val="lt-LT"/>
        </w:rPr>
      </w:pPr>
    </w:p>
    <w:p w14:paraId="4EA41B79" w14:textId="77777777" w:rsidR="00E3770F" w:rsidRPr="0059462A" w:rsidRDefault="00E3770F" w:rsidP="00E3770F">
      <w:pPr>
        <w:ind w:left="567" w:hanging="567"/>
        <w:rPr>
          <w:rFonts w:asciiTheme="minorHAnsi" w:eastAsiaTheme="minorHAnsi" w:hAnsiTheme="minorHAnsi" w:cstheme="minorBidi"/>
          <w:szCs w:val="22"/>
          <w:lang w:val="lt-LT"/>
        </w:rPr>
      </w:pPr>
      <w:r w:rsidRPr="0059462A">
        <w:rPr>
          <w:lang w:val="lt-LT"/>
        </w:rPr>
        <w:t>Negalima vartoti dvigubos dozės norint kompensuoti praleistą dozę.</w:t>
      </w:r>
    </w:p>
    <w:p w14:paraId="08BED04F" w14:textId="77777777" w:rsidR="00E3770F" w:rsidRPr="0059462A" w:rsidRDefault="00E3770F" w:rsidP="00E3770F">
      <w:pPr>
        <w:ind w:left="567" w:hanging="567"/>
        <w:rPr>
          <w:lang w:val="lt-LT"/>
        </w:rPr>
      </w:pPr>
    </w:p>
    <w:p w14:paraId="1B4A0C51" w14:textId="77777777" w:rsidR="00E3770F" w:rsidRPr="0059462A" w:rsidRDefault="00E3770F" w:rsidP="00E3770F">
      <w:pPr>
        <w:ind w:left="567" w:hanging="567"/>
        <w:rPr>
          <w:rFonts w:asciiTheme="minorHAnsi" w:eastAsiaTheme="minorHAnsi" w:hAnsiTheme="minorHAnsi" w:cstheme="minorBidi"/>
          <w:noProof/>
          <w:szCs w:val="22"/>
          <w:lang w:val="lt-LT"/>
        </w:rPr>
      </w:pPr>
      <w:r w:rsidRPr="0059462A">
        <w:rPr>
          <w:b/>
          <w:lang w:val="lt-LT"/>
        </w:rPr>
        <w:t>Nustojus vartoti Zemplar</w:t>
      </w:r>
    </w:p>
    <w:p w14:paraId="02C739F3" w14:textId="77777777" w:rsidR="00E3770F" w:rsidRPr="0059462A" w:rsidRDefault="00E3770F" w:rsidP="00E3770F">
      <w:pPr>
        <w:numPr>
          <w:ilvl w:val="12"/>
          <w:numId w:val="0"/>
        </w:numPr>
        <w:ind w:right="-2"/>
        <w:outlineLvl w:val="0"/>
        <w:rPr>
          <w:lang w:val="lt-LT"/>
        </w:rPr>
      </w:pPr>
    </w:p>
    <w:p w14:paraId="3006CD6F" w14:textId="77777777" w:rsidR="00E3770F" w:rsidRPr="0059462A" w:rsidRDefault="00E3770F" w:rsidP="00E3770F">
      <w:pPr>
        <w:numPr>
          <w:ilvl w:val="12"/>
          <w:numId w:val="0"/>
        </w:numPr>
        <w:ind w:right="-2"/>
        <w:outlineLvl w:val="0"/>
        <w:rPr>
          <w:rFonts w:asciiTheme="minorHAnsi" w:eastAsiaTheme="minorHAnsi" w:hAnsiTheme="minorHAnsi" w:cstheme="minorBidi"/>
          <w:b/>
          <w:szCs w:val="22"/>
          <w:lang w:val="lt-LT"/>
        </w:rPr>
      </w:pPr>
      <w:r w:rsidRPr="0059462A">
        <w:rPr>
          <w:lang w:val="lt-LT"/>
        </w:rPr>
        <w:t>Tol, kol gydytojas nepasakys nutraukti gydymą, svarbu nuolat vartoti Zemplar taip, kaip nurodė gydytojas.</w:t>
      </w:r>
    </w:p>
    <w:p w14:paraId="1003F0F9" w14:textId="77777777" w:rsidR="00E3770F" w:rsidRPr="0059462A" w:rsidRDefault="00E3770F" w:rsidP="00E3770F">
      <w:pPr>
        <w:numPr>
          <w:ilvl w:val="12"/>
          <w:numId w:val="0"/>
        </w:numPr>
        <w:ind w:right="-2"/>
        <w:rPr>
          <w:lang w:val="lt-LT"/>
        </w:rPr>
      </w:pPr>
    </w:p>
    <w:p w14:paraId="02403C2E"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Jeigu kiltų daugiau klausimų dėl šio vaisto vartojimo, kreipkitės į gydytoją arba vaistininką.</w:t>
      </w:r>
    </w:p>
    <w:p w14:paraId="75515B44" w14:textId="77777777" w:rsidR="00E3770F" w:rsidRPr="0059462A" w:rsidRDefault="00E3770F" w:rsidP="00E3770F">
      <w:pPr>
        <w:numPr>
          <w:ilvl w:val="12"/>
          <w:numId w:val="0"/>
        </w:numPr>
        <w:tabs>
          <w:tab w:val="clear" w:pos="567"/>
        </w:tabs>
        <w:spacing w:line="240" w:lineRule="auto"/>
        <w:ind w:right="-2"/>
        <w:rPr>
          <w:lang w:val="lt-LT"/>
        </w:rPr>
      </w:pPr>
    </w:p>
    <w:p w14:paraId="4D274680" w14:textId="77777777" w:rsidR="00E3770F" w:rsidRPr="0059462A" w:rsidRDefault="00E3770F" w:rsidP="00E3770F">
      <w:pPr>
        <w:numPr>
          <w:ilvl w:val="12"/>
          <w:numId w:val="0"/>
        </w:numPr>
        <w:tabs>
          <w:tab w:val="clear" w:pos="567"/>
        </w:tabs>
        <w:spacing w:line="240" w:lineRule="auto"/>
        <w:ind w:right="-2"/>
        <w:rPr>
          <w:lang w:val="lt-LT"/>
        </w:rPr>
      </w:pPr>
    </w:p>
    <w:p w14:paraId="76C88493" w14:textId="77777777" w:rsidR="00E3770F" w:rsidRPr="0059462A" w:rsidRDefault="00E3770F" w:rsidP="00E3770F">
      <w:pPr>
        <w:numPr>
          <w:ilvl w:val="12"/>
          <w:numId w:val="0"/>
        </w:numPr>
        <w:ind w:left="567" w:hanging="567"/>
        <w:outlineLvl w:val="0"/>
        <w:rPr>
          <w:rFonts w:asciiTheme="minorHAnsi" w:eastAsiaTheme="minorHAnsi" w:hAnsiTheme="minorHAnsi" w:cstheme="minorBidi"/>
          <w:b/>
          <w:caps/>
          <w:szCs w:val="22"/>
          <w:lang w:val="lt-LT"/>
        </w:rPr>
      </w:pPr>
      <w:r w:rsidRPr="0059462A">
        <w:rPr>
          <w:b/>
          <w:caps/>
          <w:lang w:val="lt-LT"/>
        </w:rPr>
        <w:t>4.</w:t>
      </w:r>
      <w:r w:rsidRPr="0059462A">
        <w:rPr>
          <w:b/>
          <w:caps/>
          <w:lang w:val="lt-LT"/>
        </w:rPr>
        <w:tab/>
      </w:r>
      <w:r w:rsidRPr="0059462A">
        <w:rPr>
          <w:b/>
          <w:lang w:val="lt-LT"/>
        </w:rPr>
        <w:t>Galimas šalutinis poveikis</w:t>
      </w:r>
    </w:p>
    <w:p w14:paraId="0592E0B6" w14:textId="77777777" w:rsidR="00E3770F" w:rsidRPr="0059462A" w:rsidRDefault="00E3770F" w:rsidP="00E3770F">
      <w:pPr>
        <w:ind w:left="567" w:hanging="567"/>
        <w:rPr>
          <w:lang w:val="lt-LT"/>
        </w:rPr>
      </w:pPr>
    </w:p>
    <w:p w14:paraId="6EC34968" w14:textId="77777777" w:rsidR="00E3770F" w:rsidRPr="0059462A" w:rsidRDefault="00E3770F" w:rsidP="00E3770F">
      <w:pPr>
        <w:tabs>
          <w:tab w:val="clear" w:pos="567"/>
        </w:tabs>
        <w:rPr>
          <w:lang w:val="lt-LT"/>
        </w:rPr>
      </w:pPr>
      <w:r w:rsidRPr="0059462A">
        <w:rPr>
          <w:bCs/>
          <w:noProof/>
          <w:szCs w:val="22"/>
          <w:lang w:val="lt-LT"/>
        </w:rPr>
        <w:t>Šis vaistas</w:t>
      </w:r>
      <w:r w:rsidRPr="0059462A">
        <w:rPr>
          <w:lang w:val="lt-LT"/>
        </w:rPr>
        <w:t>, kaip ir kiti vaistai, gali sukelti šalutinį poveikį, nors jis pasireiškia ne visiems žmonėms.</w:t>
      </w:r>
    </w:p>
    <w:p w14:paraId="54E409D3" w14:textId="77777777" w:rsidR="00E3770F" w:rsidRPr="0059462A" w:rsidRDefault="00E3770F" w:rsidP="00E3770F">
      <w:pPr>
        <w:numPr>
          <w:ilvl w:val="12"/>
          <w:numId w:val="0"/>
        </w:numPr>
        <w:ind w:right="-2"/>
        <w:rPr>
          <w:lang w:val="lt-LT"/>
        </w:rPr>
      </w:pPr>
    </w:p>
    <w:p w14:paraId="4B59C4FC" w14:textId="2A5D2814" w:rsidR="00E3770F" w:rsidRDefault="00E3770F" w:rsidP="00E3770F">
      <w:pPr>
        <w:numPr>
          <w:ilvl w:val="12"/>
          <w:numId w:val="0"/>
        </w:numPr>
        <w:spacing w:line="240" w:lineRule="auto"/>
        <w:ind w:right="-29"/>
        <w:rPr>
          <w:b/>
          <w:lang w:val="lt-LT"/>
        </w:rPr>
      </w:pPr>
      <w:r w:rsidRPr="0059462A">
        <w:rPr>
          <w:b/>
          <w:szCs w:val="22"/>
          <w:lang w:val="lt-LT"/>
        </w:rPr>
        <w:t>Svarbu: nedelsdami</w:t>
      </w:r>
      <w:r w:rsidRPr="0059462A">
        <w:rPr>
          <w:b/>
          <w:lang w:val="lt-LT"/>
        </w:rPr>
        <w:t xml:space="preserve"> kreipkitės į gydytoją, jei pastebėsite kurį iš šių šalutinių reiškinių:</w:t>
      </w:r>
    </w:p>
    <w:p w14:paraId="6EF3DA7C" w14:textId="1C11AB9A" w:rsidR="00277CE8" w:rsidRPr="001F5E3D" w:rsidRDefault="00277CE8" w:rsidP="00E3770F">
      <w:pPr>
        <w:numPr>
          <w:ilvl w:val="12"/>
          <w:numId w:val="0"/>
        </w:numPr>
        <w:spacing w:line="240" w:lineRule="auto"/>
        <w:ind w:right="-29"/>
        <w:rPr>
          <w:b/>
          <w:lang w:val="lt-LT"/>
        </w:rPr>
      </w:pPr>
    </w:p>
    <w:p w14:paraId="6CF103CA" w14:textId="28E10F2B" w:rsidR="00277CE8" w:rsidRPr="00277CE8" w:rsidRDefault="00277CE8" w:rsidP="005107CF">
      <w:pPr>
        <w:pStyle w:val="Sraopastraipa"/>
        <w:numPr>
          <w:ilvl w:val="0"/>
          <w:numId w:val="12"/>
        </w:numPr>
        <w:spacing w:line="240" w:lineRule="auto"/>
        <w:ind w:left="540" w:right="-29" w:hanging="450"/>
        <w:rPr>
          <w:lang w:val="lt-LT"/>
        </w:rPr>
      </w:pPr>
      <w:r w:rsidRPr="005107CF">
        <w:rPr>
          <w:lang w:val="lt-LT"/>
        </w:rPr>
        <w:t>alerginės reakcijos</w:t>
      </w:r>
      <w:r>
        <w:rPr>
          <w:lang w:val="lt-LT"/>
        </w:rPr>
        <w:t xml:space="preserve"> (pavyzdžiui, dusulys, švokštimas, bėrimas, niežulys arba </w:t>
      </w:r>
      <w:r w:rsidR="00B51AD8">
        <w:rPr>
          <w:lang w:val="lt-LT"/>
        </w:rPr>
        <w:t>veido</w:t>
      </w:r>
      <w:r>
        <w:rPr>
          <w:lang w:val="lt-LT"/>
        </w:rPr>
        <w:t xml:space="preserve"> ir </w:t>
      </w:r>
      <w:r w:rsidR="00B51AD8">
        <w:rPr>
          <w:lang w:val="lt-LT"/>
        </w:rPr>
        <w:t>lūpų</w:t>
      </w:r>
      <w:r>
        <w:rPr>
          <w:lang w:val="lt-LT"/>
        </w:rPr>
        <w:t xml:space="preserve"> tinimas).</w:t>
      </w:r>
      <w:r w:rsidRPr="005107CF">
        <w:rPr>
          <w:lang w:val="lt-LT"/>
        </w:rPr>
        <w:t xml:space="preserve"> </w:t>
      </w:r>
    </w:p>
    <w:p w14:paraId="4DE6CF83" w14:textId="6FA74AF1" w:rsidR="00E3770F" w:rsidRDefault="00E3770F" w:rsidP="00E3770F">
      <w:pPr>
        <w:numPr>
          <w:ilvl w:val="12"/>
          <w:numId w:val="0"/>
        </w:numPr>
        <w:spacing w:line="240" w:lineRule="auto"/>
        <w:ind w:right="-29"/>
        <w:rPr>
          <w:lang w:val="lt-LT"/>
        </w:rPr>
      </w:pPr>
    </w:p>
    <w:p w14:paraId="7FF3024C" w14:textId="7BEDDB4A" w:rsidR="00277CE8" w:rsidRDefault="00277CE8" w:rsidP="00E3770F">
      <w:pPr>
        <w:numPr>
          <w:ilvl w:val="12"/>
          <w:numId w:val="0"/>
        </w:numPr>
        <w:spacing w:line="240" w:lineRule="auto"/>
        <w:ind w:right="-29"/>
        <w:rPr>
          <w:lang w:val="lt-LT"/>
        </w:rPr>
      </w:pPr>
      <w:r>
        <w:rPr>
          <w:lang w:val="lt-LT"/>
        </w:rPr>
        <w:t xml:space="preserve">Pasakykite savo gydytojui ar slaugytojai, jei pastebėsite kurį iš šių </w:t>
      </w:r>
      <w:r w:rsidR="00B3606A">
        <w:rPr>
          <w:lang w:val="lt-LT"/>
        </w:rPr>
        <w:t>šalutinių</w:t>
      </w:r>
      <w:r>
        <w:rPr>
          <w:lang w:val="lt-LT"/>
        </w:rPr>
        <w:t xml:space="preserve"> reiškinių:</w:t>
      </w:r>
    </w:p>
    <w:p w14:paraId="0A4AD733" w14:textId="742E7A92" w:rsidR="00277CE8" w:rsidRDefault="00277CE8" w:rsidP="00E3770F">
      <w:pPr>
        <w:numPr>
          <w:ilvl w:val="12"/>
          <w:numId w:val="0"/>
        </w:numPr>
        <w:spacing w:line="240" w:lineRule="auto"/>
        <w:ind w:right="-29"/>
        <w:rPr>
          <w:lang w:val="lt-LT"/>
        </w:rPr>
      </w:pPr>
    </w:p>
    <w:p w14:paraId="36211D7A" w14:textId="3EBD158B" w:rsidR="00277CE8" w:rsidRDefault="0046433A" w:rsidP="00E3770F">
      <w:pPr>
        <w:numPr>
          <w:ilvl w:val="12"/>
          <w:numId w:val="0"/>
        </w:numPr>
        <w:spacing w:line="240" w:lineRule="auto"/>
        <w:ind w:right="-29"/>
        <w:rPr>
          <w:lang w:val="lt-LT"/>
        </w:rPr>
      </w:pPr>
      <w:r w:rsidRPr="005107CF">
        <w:rPr>
          <w:b/>
          <w:lang w:val="lt-LT"/>
        </w:rPr>
        <w:t>Dažnas</w:t>
      </w:r>
      <w:r w:rsidRPr="001F5E3D">
        <w:rPr>
          <w:lang w:val="lt-LT"/>
        </w:rPr>
        <w:t xml:space="preserve"> (gali pasireikšti </w:t>
      </w:r>
      <w:r w:rsidR="00E741AB" w:rsidRPr="001F5E3D">
        <w:rPr>
          <w:lang w:val="lt-LT"/>
        </w:rPr>
        <w:t>ne daugiau</w:t>
      </w:r>
      <w:r w:rsidRPr="001F5E3D">
        <w:rPr>
          <w:lang w:val="lt-LT"/>
        </w:rPr>
        <w:t xml:space="preserve"> kaip 1</w:t>
      </w:r>
      <w:r>
        <w:rPr>
          <w:lang w:val="lt-LT"/>
        </w:rPr>
        <w:t xml:space="preserve"> </w:t>
      </w:r>
      <w:r w:rsidRPr="001F5E3D">
        <w:rPr>
          <w:lang w:val="lt-LT"/>
        </w:rPr>
        <w:t>iš 10</w:t>
      </w:r>
      <w:r>
        <w:rPr>
          <w:lang w:val="lt-LT"/>
        </w:rPr>
        <w:t xml:space="preserve"> </w:t>
      </w:r>
      <w:r w:rsidRPr="001F5E3D">
        <w:rPr>
          <w:lang w:val="lt-LT"/>
        </w:rPr>
        <w:t>žmonių</w:t>
      </w:r>
      <w:r>
        <w:rPr>
          <w:lang w:val="lt-LT"/>
        </w:rPr>
        <w:t>):</w:t>
      </w:r>
    </w:p>
    <w:p w14:paraId="701B913B" w14:textId="78F5CC61" w:rsidR="001777DF" w:rsidRPr="005107CF" w:rsidRDefault="00E3770F" w:rsidP="001F5E3D">
      <w:pPr>
        <w:pStyle w:val="Sraopastraipa"/>
        <w:numPr>
          <w:ilvl w:val="0"/>
          <w:numId w:val="12"/>
        </w:numPr>
        <w:spacing w:line="240" w:lineRule="auto"/>
        <w:ind w:right="-29" w:hanging="720"/>
        <w:rPr>
          <w:rFonts w:asciiTheme="minorHAnsi" w:eastAsiaTheme="minorHAnsi" w:hAnsiTheme="minorHAnsi" w:cstheme="minorBidi"/>
          <w:color w:val="000000"/>
          <w:szCs w:val="22"/>
          <w:lang w:val="lt-LT"/>
        </w:rPr>
      </w:pPr>
      <w:r w:rsidRPr="005107CF">
        <w:rPr>
          <w:color w:val="000000"/>
          <w:lang w:val="lt-LT"/>
        </w:rPr>
        <w:t>) vartojant parikalcitolio kapsules yra medžiagos, vadinamos kalciu, kiekio kraujyje padidėjimas, taip pat tam tikro kiekio kalcio, surišto su tam tikru kiekiu kitos kraujyje esančios medžiagos, vadinamos fosfatu, kiekio padidėjimas (pacientams, sergantiems sunkia lėtine inkstų liga)</w:t>
      </w:r>
    </w:p>
    <w:p w14:paraId="2AB3B7DF" w14:textId="30AB9F2D" w:rsidR="00E3770F" w:rsidRPr="005107CF" w:rsidRDefault="00E3770F" w:rsidP="005107CF">
      <w:pPr>
        <w:pStyle w:val="Sraopastraipa"/>
        <w:numPr>
          <w:ilvl w:val="0"/>
          <w:numId w:val="12"/>
        </w:numPr>
        <w:spacing w:line="240" w:lineRule="auto"/>
        <w:ind w:right="-29" w:hanging="720"/>
        <w:rPr>
          <w:rFonts w:asciiTheme="minorHAnsi" w:eastAsiaTheme="minorHAnsi" w:hAnsiTheme="minorHAnsi" w:cstheme="minorBidi"/>
          <w:color w:val="000000"/>
          <w:szCs w:val="22"/>
          <w:lang w:val="lt-LT"/>
        </w:rPr>
      </w:pPr>
      <w:r w:rsidRPr="005107CF">
        <w:rPr>
          <w:color w:val="000000"/>
          <w:lang w:val="lt-LT"/>
        </w:rPr>
        <w:t xml:space="preserve"> Taip pat gali padidėti fosfato koncentracija kraujyje.</w:t>
      </w:r>
    </w:p>
    <w:p w14:paraId="4BA1B356" w14:textId="3B9F8D45" w:rsidR="00E3770F" w:rsidRDefault="00E3770F" w:rsidP="00E3770F">
      <w:pPr>
        <w:autoSpaceDE w:val="0"/>
        <w:autoSpaceDN w:val="0"/>
        <w:adjustRightInd w:val="0"/>
        <w:spacing w:line="240" w:lineRule="auto"/>
        <w:rPr>
          <w:color w:val="000000"/>
          <w:lang w:val="lt-LT"/>
        </w:rPr>
      </w:pPr>
    </w:p>
    <w:p w14:paraId="72FB73F1" w14:textId="642D45E5" w:rsidR="001777DF" w:rsidRDefault="001777DF" w:rsidP="00E3770F">
      <w:pPr>
        <w:autoSpaceDE w:val="0"/>
        <w:autoSpaceDN w:val="0"/>
        <w:adjustRightInd w:val="0"/>
        <w:spacing w:line="240" w:lineRule="auto"/>
      </w:pPr>
      <w:r>
        <w:rPr>
          <w:b/>
          <w:color w:val="000000"/>
          <w:lang w:val="lt-LT"/>
        </w:rPr>
        <w:t>Ned</w:t>
      </w:r>
      <w:r w:rsidRPr="005107CF">
        <w:rPr>
          <w:b/>
          <w:color w:val="000000"/>
          <w:lang w:val="lt-LT"/>
        </w:rPr>
        <w:t>ažnas</w:t>
      </w:r>
      <w:r w:rsidRPr="001F5E3D">
        <w:rPr>
          <w:b/>
          <w:color w:val="000000"/>
          <w:lang w:val="lt-LT"/>
        </w:rPr>
        <w:t xml:space="preserve"> (</w:t>
      </w:r>
      <w:r w:rsidRPr="001F5E3D">
        <w:t xml:space="preserve">gali pasireikšti </w:t>
      </w:r>
      <w:r w:rsidR="00E741AB" w:rsidRPr="001F5E3D">
        <w:t>ne daugiau</w:t>
      </w:r>
      <w:r w:rsidRPr="001F5E3D">
        <w:t xml:space="preserve"> kaip 1 iš 100 žmonių</w:t>
      </w:r>
      <w:r>
        <w:t>):</w:t>
      </w:r>
    </w:p>
    <w:p w14:paraId="0FFDE2AC" w14:textId="4447D225" w:rsidR="001777DF" w:rsidRPr="005107CF" w:rsidRDefault="00B51AD8" w:rsidP="001777DF">
      <w:pPr>
        <w:pStyle w:val="Sraopastraipa"/>
        <w:numPr>
          <w:ilvl w:val="0"/>
          <w:numId w:val="14"/>
        </w:numPr>
        <w:autoSpaceDE w:val="0"/>
        <w:autoSpaceDN w:val="0"/>
        <w:adjustRightInd w:val="0"/>
        <w:spacing w:line="240" w:lineRule="auto"/>
        <w:ind w:left="540" w:hanging="540"/>
        <w:rPr>
          <w:b/>
          <w:color w:val="000000"/>
          <w:lang w:val="lt-LT"/>
        </w:rPr>
      </w:pPr>
      <w:r>
        <w:rPr>
          <w:color w:val="000000"/>
          <w:lang w:val="lt-LT"/>
        </w:rPr>
        <w:t>p</w:t>
      </w:r>
      <w:r w:rsidR="001777DF">
        <w:rPr>
          <w:color w:val="000000"/>
          <w:lang w:val="lt-LT"/>
        </w:rPr>
        <w:t>neumonija (plaučių uždegimas)</w:t>
      </w:r>
    </w:p>
    <w:p w14:paraId="7D299AEF" w14:textId="37DF4C4A" w:rsidR="00B51AD8" w:rsidRPr="005107CF" w:rsidRDefault="00B51AD8" w:rsidP="001777DF">
      <w:pPr>
        <w:pStyle w:val="Sraopastraipa"/>
        <w:numPr>
          <w:ilvl w:val="0"/>
          <w:numId w:val="14"/>
        </w:numPr>
        <w:autoSpaceDE w:val="0"/>
        <w:autoSpaceDN w:val="0"/>
        <w:adjustRightInd w:val="0"/>
        <w:spacing w:line="240" w:lineRule="auto"/>
        <w:ind w:left="540" w:hanging="540"/>
        <w:rPr>
          <w:b/>
          <w:color w:val="000000"/>
          <w:lang w:val="lt-LT"/>
        </w:rPr>
      </w:pPr>
      <w:r w:rsidRPr="0059462A">
        <w:rPr>
          <w:color w:val="000000"/>
          <w:lang w:val="lt-LT"/>
        </w:rPr>
        <w:t>sumažėjęs paratiroidinio hormono kiekis</w:t>
      </w:r>
    </w:p>
    <w:p w14:paraId="7EB611DB" w14:textId="6DBBD95E" w:rsidR="00B51AD8" w:rsidRDefault="00B51AD8" w:rsidP="001777DF">
      <w:pPr>
        <w:pStyle w:val="Sraopastraipa"/>
        <w:numPr>
          <w:ilvl w:val="0"/>
          <w:numId w:val="14"/>
        </w:numPr>
        <w:autoSpaceDE w:val="0"/>
        <w:autoSpaceDN w:val="0"/>
        <w:adjustRightInd w:val="0"/>
        <w:spacing w:line="240" w:lineRule="auto"/>
        <w:ind w:left="540" w:hanging="540"/>
        <w:rPr>
          <w:color w:val="000000"/>
          <w:lang w:val="lt-LT"/>
        </w:rPr>
      </w:pPr>
      <w:r w:rsidRPr="005107CF">
        <w:rPr>
          <w:color w:val="000000"/>
          <w:lang w:val="lt-LT"/>
        </w:rPr>
        <w:t>sumažėjęs apetitas</w:t>
      </w:r>
    </w:p>
    <w:p w14:paraId="04B5AA0A" w14:textId="1D4064B1" w:rsidR="00B51AD8" w:rsidRDefault="00B51AD8"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sumažėjęs kalcio kiekis</w:t>
      </w:r>
    </w:p>
    <w:p w14:paraId="4A638E00" w14:textId="5A8EE488" w:rsidR="00B51AD8" w:rsidRDefault="00B51AD8"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galvos svaigimas</w:t>
      </w:r>
    </w:p>
    <w:p w14:paraId="5D189894" w14:textId="3C907F5C" w:rsidR="00B51AD8" w:rsidRDefault="00B51AD8"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neįprastas skonis burnoje</w:t>
      </w:r>
    </w:p>
    <w:p w14:paraId="0E72BFF8" w14:textId="1AEB247D" w:rsidR="00B51AD8" w:rsidRDefault="00B51AD8"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galvos s</w:t>
      </w:r>
      <w:r>
        <w:rPr>
          <w:color w:val="000000"/>
          <w:lang w:val="lt-LT"/>
        </w:rPr>
        <w:t>kausmas</w:t>
      </w:r>
    </w:p>
    <w:p w14:paraId="14D0728F" w14:textId="5D3FB945" w:rsidR="00B51AD8" w:rsidRDefault="00B51AD8"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nereguliarus širdies plakimas</w:t>
      </w:r>
    </w:p>
    <w:p w14:paraId="70B37484" w14:textId="49E3A1E8" w:rsidR="00B51AD8"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diskomfortas ar skausmas skrandyje</w:t>
      </w:r>
    </w:p>
    <w:p w14:paraId="634E34BB" w14:textId="003A24CD"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vidurių užkietėjimas</w:t>
      </w:r>
    </w:p>
    <w:p w14:paraId="51A279F4" w14:textId="3CC71A99"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viduriavimas</w:t>
      </w:r>
    </w:p>
    <w:p w14:paraId="630665B3" w14:textId="3D5426D7"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burnos sausmė</w:t>
      </w:r>
    </w:p>
    <w:p w14:paraId="47454ADC" w14:textId="0D183E43"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rėmuo (refliuksas arba nevirškinimas)</w:t>
      </w:r>
    </w:p>
    <w:p w14:paraId="7619545F" w14:textId="7F18B311"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pykinimas</w:t>
      </w:r>
    </w:p>
    <w:p w14:paraId="719A84B0" w14:textId="6062D5FA"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lastRenderedPageBreak/>
        <w:t>vėmimas</w:t>
      </w:r>
    </w:p>
    <w:p w14:paraId="76497F88" w14:textId="4AB7C9C9"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spuogai</w:t>
      </w:r>
    </w:p>
    <w:p w14:paraId="6357E7BD" w14:textId="51D94E9D"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odos niežulys</w:t>
      </w:r>
    </w:p>
    <w:p w14:paraId="18A9CB1C" w14:textId="07C5086D"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bėrimas</w:t>
      </w:r>
    </w:p>
    <w:p w14:paraId="3303486A" w14:textId="2CE1005C" w:rsidR="00144AA0" w:rsidRDefault="00144AA0"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dilgėlinė</w:t>
      </w:r>
    </w:p>
    <w:p w14:paraId="475FB7B5" w14:textId="0FB8D8BB" w:rsidR="00144AA0" w:rsidRDefault="008F22F5"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raumenų mėšlungis</w:t>
      </w:r>
    </w:p>
    <w:p w14:paraId="415F33CF" w14:textId="4ED79D31" w:rsidR="008F22F5" w:rsidRDefault="008F22F5"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rau</w:t>
      </w:r>
      <w:r w:rsidR="0062670F">
        <w:rPr>
          <w:color w:val="000000"/>
          <w:lang w:val="lt-LT"/>
        </w:rPr>
        <w:t>menų skausmas</w:t>
      </w:r>
    </w:p>
    <w:p w14:paraId="461D04E4" w14:textId="7C6C6347" w:rsidR="0062670F" w:rsidRDefault="0062670F"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krūtų jautrumas</w:t>
      </w:r>
    </w:p>
    <w:p w14:paraId="6529A1A9" w14:textId="3D875ADA" w:rsidR="0062670F" w:rsidRDefault="0062670F"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silpnumas</w:t>
      </w:r>
    </w:p>
    <w:p w14:paraId="0CB528F4" w14:textId="40B63D7D" w:rsidR="0062670F" w:rsidRDefault="0062670F"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nuovargis, negerumas</w:t>
      </w:r>
    </w:p>
    <w:p w14:paraId="2EA62566" w14:textId="2A61B256" w:rsidR="0062670F" w:rsidRDefault="0062670F"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kojų tinimas</w:t>
      </w:r>
    </w:p>
    <w:p w14:paraId="79F970E2" w14:textId="0103637D" w:rsidR="0062670F" w:rsidRDefault="0062670F" w:rsidP="001777DF">
      <w:pPr>
        <w:pStyle w:val="Sraopastraipa"/>
        <w:numPr>
          <w:ilvl w:val="0"/>
          <w:numId w:val="14"/>
        </w:numPr>
        <w:autoSpaceDE w:val="0"/>
        <w:autoSpaceDN w:val="0"/>
        <w:adjustRightInd w:val="0"/>
        <w:spacing w:line="240" w:lineRule="auto"/>
        <w:ind w:left="540" w:hanging="540"/>
        <w:rPr>
          <w:color w:val="000000"/>
          <w:lang w:val="lt-LT"/>
        </w:rPr>
      </w:pPr>
      <w:r>
        <w:rPr>
          <w:color w:val="000000"/>
          <w:lang w:val="lt-LT"/>
        </w:rPr>
        <w:t>skausmas</w:t>
      </w:r>
    </w:p>
    <w:p w14:paraId="0B410272" w14:textId="7A0C6881" w:rsidR="0062670F" w:rsidRDefault="0062670F" w:rsidP="001777DF">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padidėjęs kreatinino kiekis</w:t>
      </w:r>
    </w:p>
    <w:p w14:paraId="6FD36188" w14:textId="7B4A1415" w:rsidR="0062670F" w:rsidRPr="001F5E3D" w:rsidRDefault="0062670F" w:rsidP="001F5E3D">
      <w:pPr>
        <w:pStyle w:val="Sraopastraipa"/>
        <w:numPr>
          <w:ilvl w:val="0"/>
          <w:numId w:val="14"/>
        </w:numPr>
        <w:autoSpaceDE w:val="0"/>
        <w:autoSpaceDN w:val="0"/>
        <w:adjustRightInd w:val="0"/>
        <w:spacing w:line="240" w:lineRule="auto"/>
        <w:ind w:left="540" w:hanging="540"/>
        <w:rPr>
          <w:color w:val="000000"/>
          <w:lang w:val="lt-LT"/>
        </w:rPr>
      </w:pPr>
      <w:r w:rsidRPr="0059462A">
        <w:rPr>
          <w:color w:val="000000"/>
          <w:lang w:val="lt-LT"/>
        </w:rPr>
        <w:t>kepenų veiklos tyrimų pokyčiai</w:t>
      </w:r>
      <w:r>
        <w:rPr>
          <w:color w:val="000000"/>
          <w:lang w:val="lt-LT"/>
        </w:rPr>
        <w:t>.</w:t>
      </w:r>
    </w:p>
    <w:p w14:paraId="182F0D4D" w14:textId="77777777" w:rsidR="00E3770F" w:rsidRPr="0059462A" w:rsidRDefault="00E3770F" w:rsidP="00E3770F">
      <w:pPr>
        <w:autoSpaceDE w:val="0"/>
        <w:autoSpaceDN w:val="0"/>
        <w:adjustRightInd w:val="0"/>
        <w:spacing w:line="240" w:lineRule="auto"/>
        <w:ind w:left="60"/>
        <w:rPr>
          <w:u w:val="single"/>
          <w:lang w:val="lt-LT"/>
        </w:rPr>
      </w:pPr>
    </w:p>
    <w:p w14:paraId="601DF8FF" w14:textId="77777777" w:rsidR="00E3770F" w:rsidRPr="0059462A" w:rsidRDefault="00E3770F" w:rsidP="00E3770F">
      <w:pPr>
        <w:autoSpaceDE w:val="0"/>
        <w:autoSpaceDN w:val="0"/>
        <w:adjustRightInd w:val="0"/>
        <w:spacing w:line="240" w:lineRule="auto"/>
        <w:rPr>
          <w:rFonts w:asciiTheme="minorHAnsi" w:eastAsiaTheme="minorHAnsi" w:hAnsiTheme="minorHAnsi" w:cstheme="minorBidi"/>
          <w:szCs w:val="22"/>
          <w:lang w:val="lt-LT"/>
        </w:rPr>
      </w:pPr>
      <w:r w:rsidRPr="0059462A">
        <w:rPr>
          <w:lang w:val="lt-LT"/>
        </w:rPr>
        <w:t>Pasireiškus alerginei reakcijai, nedelsdami kreipkitės į gydytoją.</w:t>
      </w:r>
    </w:p>
    <w:p w14:paraId="78E6270D" w14:textId="77777777" w:rsidR="00E3770F" w:rsidRPr="0059462A" w:rsidRDefault="00E3770F" w:rsidP="00E3770F">
      <w:pPr>
        <w:autoSpaceDE w:val="0"/>
        <w:autoSpaceDN w:val="0"/>
        <w:adjustRightInd w:val="0"/>
        <w:spacing w:line="240" w:lineRule="auto"/>
        <w:rPr>
          <w:i/>
          <w:lang w:val="lt-LT"/>
        </w:rPr>
      </w:pPr>
    </w:p>
    <w:p w14:paraId="30750473"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59462A">
        <w:rPr>
          <w:b/>
          <w:lang w:val="lt-LT"/>
        </w:rPr>
        <w:t>Pranešimas apie šalutinį poveikį</w:t>
      </w:r>
    </w:p>
    <w:p w14:paraId="14388AD1"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12" w:history="1">
        <w:r w:rsidRPr="0059462A">
          <w:rPr>
            <w:rStyle w:val="Hipersaitas"/>
            <w:lang w:val="lt-LT"/>
          </w:rPr>
          <w:t>http://www.vvkt.lt</w:t>
        </w:r>
      </w:hyperlink>
      <w:r w:rsidRPr="0059462A">
        <w:rPr>
          <w:lang w:val="lt-LT"/>
        </w:rPr>
        <w:t>). Pranešdami apie šalutinį poveikį galite mums padėti gauti daugiau informacijos apie šio vaisto saugumą.</w:t>
      </w:r>
    </w:p>
    <w:p w14:paraId="58324200" w14:textId="77777777" w:rsidR="00E3770F" w:rsidRPr="0059462A" w:rsidRDefault="00E3770F" w:rsidP="00E3770F">
      <w:pPr>
        <w:numPr>
          <w:ilvl w:val="12"/>
          <w:numId w:val="0"/>
        </w:numPr>
        <w:tabs>
          <w:tab w:val="clear" w:pos="567"/>
        </w:tabs>
        <w:spacing w:line="240" w:lineRule="auto"/>
        <w:ind w:right="-2"/>
        <w:rPr>
          <w:lang w:val="lt-LT"/>
        </w:rPr>
      </w:pPr>
    </w:p>
    <w:p w14:paraId="1B1ADE2F" w14:textId="77777777" w:rsidR="00E3770F" w:rsidRPr="0059462A" w:rsidRDefault="00E3770F" w:rsidP="00E3770F">
      <w:pPr>
        <w:numPr>
          <w:ilvl w:val="12"/>
          <w:numId w:val="0"/>
        </w:numPr>
        <w:tabs>
          <w:tab w:val="clear" w:pos="567"/>
        </w:tabs>
        <w:spacing w:line="240" w:lineRule="auto"/>
        <w:ind w:right="-2"/>
        <w:rPr>
          <w:lang w:val="lt-LT"/>
        </w:rPr>
      </w:pPr>
    </w:p>
    <w:p w14:paraId="70CA5EED" w14:textId="77777777" w:rsidR="00E3770F" w:rsidRPr="0059462A" w:rsidRDefault="00E3770F" w:rsidP="00E3770F">
      <w:pPr>
        <w:numPr>
          <w:ilvl w:val="12"/>
          <w:numId w:val="0"/>
        </w:numPr>
        <w:tabs>
          <w:tab w:val="clear" w:pos="567"/>
        </w:tabs>
        <w:spacing w:line="240" w:lineRule="auto"/>
        <w:ind w:left="567" w:right="-2" w:hanging="567"/>
        <w:rPr>
          <w:rFonts w:asciiTheme="minorHAnsi" w:eastAsiaTheme="minorHAnsi" w:hAnsiTheme="minorHAnsi" w:cstheme="minorBidi"/>
          <w:szCs w:val="22"/>
          <w:lang w:val="lt-LT"/>
        </w:rPr>
      </w:pPr>
      <w:r w:rsidRPr="0059462A">
        <w:rPr>
          <w:b/>
          <w:lang w:val="lt-LT"/>
        </w:rPr>
        <w:t>5.</w:t>
      </w:r>
      <w:r w:rsidRPr="0059462A">
        <w:rPr>
          <w:b/>
          <w:lang w:val="lt-LT"/>
        </w:rPr>
        <w:tab/>
        <w:t>Kaip laikyti Zemplar</w:t>
      </w:r>
    </w:p>
    <w:p w14:paraId="1EA8B099" w14:textId="77777777" w:rsidR="00E3770F" w:rsidRPr="0059462A" w:rsidRDefault="00E3770F" w:rsidP="00E3770F">
      <w:pPr>
        <w:numPr>
          <w:ilvl w:val="12"/>
          <w:numId w:val="0"/>
        </w:numPr>
        <w:ind w:right="-2"/>
        <w:rPr>
          <w:lang w:val="lt-LT"/>
        </w:rPr>
      </w:pPr>
    </w:p>
    <w:p w14:paraId="488B92DB" w14:textId="77777777" w:rsidR="00E3770F" w:rsidRPr="0059462A" w:rsidRDefault="00E3770F" w:rsidP="00E3770F">
      <w:pPr>
        <w:numPr>
          <w:ilvl w:val="12"/>
          <w:numId w:val="0"/>
        </w:numPr>
        <w:ind w:right="-2"/>
        <w:rPr>
          <w:rFonts w:asciiTheme="minorHAnsi" w:eastAsiaTheme="minorHAnsi" w:hAnsiTheme="minorHAnsi" w:cstheme="minorBidi"/>
          <w:szCs w:val="22"/>
          <w:lang w:val="lt-LT"/>
        </w:rPr>
      </w:pPr>
      <w:r w:rsidRPr="0059462A">
        <w:rPr>
          <w:lang w:val="lt-LT"/>
        </w:rPr>
        <w:t xml:space="preserve">Šį vaistą laikykite vaikams nepastebimoje ir nepasiekiamoje vietoje. </w:t>
      </w:r>
    </w:p>
    <w:p w14:paraId="2D8DBB05" w14:textId="77777777" w:rsidR="00E3770F" w:rsidRPr="0059462A" w:rsidRDefault="00E3770F" w:rsidP="00E3770F">
      <w:pPr>
        <w:numPr>
          <w:ilvl w:val="12"/>
          <w:numId w:val="0"/>
        </w:numPr>
        <w:ind w:right="-2"/>
        <w:rPr>
          <w:lang w:val="lt-LT"/>
        </w:rPr>
      </w:pPr>
    </w:p>
    <w:p w14:paraId="314C7207" w14:textId="77777777" w:rsidR="00E3770F" w:rsidRPr="0059462A" w:rsidRDefault="00E3770F" w:rsidP="00E3770F">
      <w:pPr>
        <w:numPr>
          <w:ilvl w:val="12"/>
          <w:numId w:val="0"/>
        </w:numPr>
        <w:ind w:right="-2"/>
        <w:rPr>
          <w:rFonts w:asciiTheme="minorHAnsi" w:eastAsiaTheme="minorHAnsi" w:hAnsiTheme="minorHAnsi" w:cstheme="minorBidi"/>
          <w:szCs w:val="22"/>
          <w:lang w:val="lt-LT"/>
        </w:rPr>
      </w:pPr>
      <w:r w:rsidRPr="0059462A">
        <w:rPr>
          <w:lang w:val="lt-LT"/>
        </w:rPr>
        <w:t>Šiam vaistui specialių laikymo sąlygų nereikia.</w:t>
      </w:r>
      <w:r w:rsidRPr="00FB39A9">
        <w:rPr>
          <w:color w:val="0000FF"/>
          <w:lang w:val="lt-LT"/>
        </w:rPr>
        <w:t xml:space="preserve"> </w:t>
      </w:r>
    </w:p>
    <w:p w14:paraId="5CBF4DC2" w14:textId="77777777" w:rsidR="00E3770F" w:rsidRPr="0059462A" w:rsidRDefault="00E3770F" w:rsidP="00E3770F">
      <w:pPr>
        <w:numPr>
          <w:ilvl w:val="12"/>
          <w:numId w:val="0"/>
        </w:numPr>
        <w:ind w:right="-2"/>
        <w:rPr>
          <w:lang w:val="lt-LT"/>
        </w:rPr>
      </w:pPr>
    </w:p>
    <w:p w14:paraId="3216F5CD" w14:textId="77777777" w:rsidR="00E3770F" w:rsidRPr="0059462A" w:rsidRDefault="00E3770F" w:rsidP="00E3770F">
      <w:pPr>
        <w:spacing w:line="240" w:lineRule="auto"/>
        <w:rPr>
          <w:rFonts w:asciiTheme="minorHAnsi" w:eastAsiaTheme="minorHAnsi" w:hAnsiTheme="minorHAnsi" w:cstheme="minorBidi"/>
          <w:szCs w:val="22"/>
          <w:lang w:val="lt-LT"/>
        </w:rPr>
      </w:pPr>
      <w:r w:rsidRPr="0059462A">
        <w:rPr>
          <w:lang w:val="lt-LT"/>
        </w:rPr>
        <w:t>Ant dėžutės ir etiketės po „</w:t>
      </w:r>
      <w:r w:rsidRPr="0059462A">
        <w:rPr>
          <w:iCs/>
          <w:noProof/>
          <w:lang w:val="lt-LT"/>
        </w:rPr>
        <w:t>EXP</w:t>
      </w:r>
      <w:r w:rsidRPr="0059462A">
        <w:rPr>
          <w:lang w:val="lt-LT"/>
        </w:rPr>
        <w:t xml:space="preserve">“ nurodytam tinkamumo laikui pasibaigus, </w:t>
      </w:r>
      <w:r w:rsidRPr="0059462A">
        <w:rPr>
          <w:iCs/>
          <w:noProof/>
          <w:lang w:val="lt-LT"/>
        </w:rPr>
        <w:t>šio vaisto</w:t>
      </w:r>
      <w:r w:rsidRPr="0059462A">
        <w:rPr>
          <w:lang w:val="lt-LT"/>
        </w:rPr>
        <w:t xml:space="preserve"> vartoti negalima. Vaistas tinkamas vartoti iki paskutinės nurodyto mėnesio dienos.</w:t>
      </w:r>
    </w:p>
    <w:p w14:paraId="35E089A6" w14:textId="77777777" w:rsidR="00E3770F" w:rsidRPr="0059462A" w:rsidRDefault="00E3770F" w:rsidP="00E3770F">
      <w:pPr>
        <w:numPr>
          <w:ilvl w:val="12"/>
          <w:numId w:val="0"/>
        </w:numPr>
        <w:tabs>
          <w:tab w:val="clear" w:pos="567"/>
        </w:tabs>
        <w:spacing w:line="240" w:lineRule="auto"/>
        <w:ind w:right="-2"/>
        <w:rPr>
          <w:lang w:val="lt-LT"/>
        </w:rPr>
      </w:pPr>
    </w:p>
    <w:p w14:paraId="020D666C"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Vaistų negalima išmesti į kanalizaciją arba su buitinėmis</w:t>
      </w:r>
      <w:r w:rsidRPr="0059462A">
        <w:rPr>
          <w:color w:val="993366"/>
          <w:lang w:val="lt-LT"/>
        </w:rPr>
        <w:t xml:space="preserve"> </w:t>
      </w:r>
      <w:r w:rsidRPr="0059462A">
        <w:rPr>
          <w:lang w:val="lt-LT"/>
        </w:rPr>
        <w:t>atliekomis. Kaip išmesti nereikalingus vaistus, klauskite vaistininko. Šios priemonės padės apsaugoti aplinką.</w:t>
      </w:r>
    </w:p>
    <w:p w14:paraId="571EEACA" w14:textId="77777777" w:rsidR="00E3770F" w:rsidRPr="0059462A" w:rsidRDefault="00E3770F" w:rsidP="00E3770F">
      <w:pPr>
        <w:numPr>
          <w:ilvl w:val="12"/>
          <w:numId w:val="0"/>
        </w:numPr>
        <w:tabs>
          <w:tab w:val="clear" w:pos="567"/>
        </w:tabs>
        <w:spacing w:line="240" w:lineRule="auto"/>
        <w:ind w:right="-2"/>
        <w:rPr>
          <w:lang w:val="lt-LT"/>
        </w:rPr>
      </w:pPr>
    </w:p>
    <w:p w14:paraId="58223202" w14:textId="77777777" w:rsidR="00E3770F" w:rsidRPr="0059462A" w:rsidRDefault="00E3770F" w:rsidP="00E3770F">
      <w:pPr>
        <w:numPr>
          <w:ilvl w:val="12"/>
          <w:numId w:val="0"/>
        </w:numPr>
        <w:tabs>
          <w:tab w:val="clear" w:pos="567"/>
        </w:tabs>
        <w:spacing w:line="240" w:lineRule="auto"/>
        <w:ind w:right="-2"/>
        <w:rPr>
          <w:lang w:val="lt-LT"/>
        </w:rPr>
      </w:pPr>
    </w:p>
    <w:p w14:paraId="32E5536A"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59462A">
        <w:rPr>
          <w:b/>
          <w:lang w:val="lt-LT"/>
        </w:rPr>
        <w:t>6.</w:t>
      </w:r>
      <w:r w:rsidRPr="0059462A">
        <w:rPr>
          <w:b/>
          <w:lang w:val="lt-LT"/>
        </w:rPr>
        <w:tab/>
        <w:t>Pakuotės turinys ir kita informacija</w:t>
      </w:r>
    </w:p>
    <w:p w14:paraId="22BDD76F" w14:textId="77777777" w:rsidR="00E3770F" w:rsidRPr="0059462A" w:rsidRDefault="00E3770F" w:rsidP="00E3770F">
      <w:pPr>
        <w:numPr>
          <w:ilvl w:val="12"/>
          <w:numId w:val="0"/>
        </w:numPr>
        <w:tabs>
          <w:tab w:val="clear" w:pos="567"/>
        </w:tabs>
        <w:spacing w:line="240" w:lineRule="auto"/>
        <w:ind w:right="-2"/>
        <w:rPr>
          <w:lang w:val="lt-LT"/>
        </w:rPr>
      </w:pPr>
    </w:p>
    <w:p w14:paraId="67FE9391" w14:textId="710C4FBD" w:rsidR="00E3770F" w:rsidRPr="001F5E3D" w:rsidRDefault="00E3770F" w:rsidP="00E3770F">
      <w:pPr>
        <w:numPr>
          <w:ilvl w:val="12"/>
          <w:numId w:val="0"/>
        </w:numPr>
        <w:tabs>
          <w:tab w:val="clear" w:pos="567"/>
        </w:tabs>
        <w:spacing w:line="240" w:lineRule="auto"/>
        <w:ind w:right="-2"/>
        <w:rPr>
          <w:b/>
          <w:lang w:val="lt-LT"/>
        </w:rPr>
      </w:pPr>
      <w:r w:rsidRPr="0059462A">
        <w:rPr>
          <w:b/>
          <w:lang w:val="lt-LT"/>
        </w:rPr>
        <w:t>Zemplar sudėtis</w:t>
      </w:r>
    </w:p>
    <w:p w14:paraId="005BFF46" w14:textId="645CCC69" w:rsidR="0062670F" w:rsidRDefault="0062670F" w:rsidP="00E3770F">
      <w:pPr>
        <w:numPr>
          <w:ilvl w:val="12"/>
          <w:numId w:val="0"/>
        </w:numPr>
        <w:tabs>
          <w:tab w:val="clear" w:pos="567"/>
        </w:tabs>
        <w:spacing w:line="240" w:lineRule="auto"/>
        <w:ind w:right="-2"/>
        <w:rPr>
          <w:b/>
          <w:lang w:val="lt-LT"/>
        </w:rPr>
      </w:pPr>
    </w:p>
    <w:p w14:paraId="571AC9E3" w14:textId="77777777" w:rsidR="0062670F" w:rsidRPr="0059462A" w:rsidRDefault="0062670F" w:rsidP="00E3770F">
      <w:pPr>
        <w:numPr>
          <w:ilvl w:val="12"/>
          <w:numId w:val="0"/>
        </w:numPr>
        <w:tabs>
          <w:tab w:val="clear" w:pos="567"/>
        </w:tabs>
        <w:spacing w:line="240" w:lineRule="auto"/>
        <w:ind w:right="-2"/>
        <w:rPr>
          <w:rFonts w:asciiTheme="minorHAnsi" w:eastAsiaTheme="minorHAnsi" w:hAnsiTheme="minorHAnsi" w:cstheme="minorBidi"/>
          <w:b/>
          <w:szCs w:val="22"/>
          <w:lang w:val="lt-LT"/>
        </w:rPr>
      </w:pPr>
    </w:p>
    <w:p w14:paraId="5F756419" w14:textId="4D1D093D" w:rsidR="00E3770F" w:rsidRPr="0059462A" w:rsidRDefault="0062670F" w:rsidP="00E3770F">
      <w:pPr>
        <w:tabs>
          <w:tab w:val="clear" w:pos="567"/>
        </w:tabs>
        <w:spacing w:line="240" w:lineRule="auto"/>
        <w:ind w:left="567" w:right="-2" w:hanging="567"/>
        <w:rPr>
          <w:lang w:val="lt-LT"/>
        </w:rPr>
      </w:pPr>
      <w:r w:rsidRPr="00FB39A9">
        <w:rPr>
          <w:lang w:val="lt-LT"/>
        </w:rPr>
        <w:t>Zemplar 1 mikrogramas minkštosios kapsulės</w:t>
      </w:r>
      <w:r w:rsidR="0044062C">
        <w:rPr>
          <w:lang w:val="lt-LT"/>
        </w:rPr>
        <w:t xml:space="preserve"> – V</w:t>
      </w:r>
      <w:r w:rsidR="00E3770F" w:rsidRPr="0059462A">
        <w:rPr>
          <w:lang w:val="lt-LT"/>
        </w:rPr>
        <w:t xml:space="preserve">eiklioji medžiaga yra parikalcitolis. </w:t>
      </w:r>
      <w:r>
        <w:rPr>
          <w:lang w:val="lt-LT"/>
        </w:rPr>
        <w:t>Kiekv</w:t>
      </w:r>
      <w:r w:rsidR="00E3770F" w:rsidRPr="0059462A">
        <w:rPr>
          <w:lang w:val="lt-LT"/>
        </w:rPr>
        <w:t>ienoje minkštojoje kapsulėje yra 1 mikrogramas parikalcitolio.</w:t>
      </w:r>
    </w:p>
    <w:p w14:paraId="358DF5B0" w14:textId="77777777" w:rsidR="00E3770F" w:rsidRPr="0059462A" w:rsidRDefault="00E3770F" w:rsidP="00E3770F">
      <w:pPr>
        <w:numPr>
          <w:ilvl w:val="0"/>
          <w:numId w:val="1"/>
        </w:numPr>
        <w:tabs>
          <w:tab w:val="clear" w:pos="567"/>
        </w:tabs>
        <w:spacing w:line="240" w:lineRule="auto"/>
        <w:ind w:left="567" w:right="-2" w:hanging="567"/>
        <w:rPr>
          <w:rFonts w:asciiTheme="minorHAnsi" w:eastAsiaTheme="minorHAnsi" w:hAnsiTheme="minorHAnsi" w:cstheme="minorBidi"/>
          <w:szCs w:val="22"/>
          <w:lang w:val="lt-LT"/>
        </w:rPr>
      </w:pPr>
      <w:r w:rsidRPr="0059462A">
        <w:rPr>
          <w:lang w:val="lt-LT"/>
        </w:rPr>
        <w:t>Pagalbinės medžiagos yra: vidutinės grandinės trigliceridai, etanolis, butilhidroksitoluenas.</w:t>
      </w:r>
      <w:r w:rsidRPr="0059462A">
        <w:rPr>
          <w:i/>
          <w:color w:val="008000"/>
          <w:lang w:val="lt-LT"/>
        </w:rPr>
        <w:t xml:space="preserve"> </w:t>
      </w:r>
    </w:p>
    <w:p w14:paraId="22173C47" w14:textId="58D75B9B" w:rsidR="00E3770F" w:rsidRPr="0059462A" w:rsidRDefault="00E3770F" w:rsidP="00E3770F">
      <w:pPr>
        <w:numPr>
          <w:ilvl w:val="0"/>
          <w:numId w:val="1"/>
        </w:numPr>
        <w:tabs>
          <w:tab w:val="clear" w:pos="567"/>
        </w:tabs>
        <w:spacing w:line="240" w:lineRule="auto"/>
        <w:ind w:left="567" w:right="-2" w:hanging="567"/>
        <w:rPr>
          <w:rFonts w:asciiTheme="minorHAnsi" w:eastAsiaTheme="minorHAnsi" w:hAnsiTheme="minorHAnsi" w:cstheme="minorBidi"/>
          <w:szCs w:val="22"/>
          <w:lang w:val="lt-LT"/>
        </w:rPr>
      </w:pPr>
      <w:r w:rsidRPr="0059462A">
        <w:rPr>
          <w:lang w:val="lt-LT"/>
        </w:rPr>
        <w:t>Kapsulės apvalkalas: želatina, glicerolis, vanduo, titano dioksidas (E 171), juodasis geležies oksidas (E 172)</w:t>
      </w:r>
      <w:r w:rsidR="0062670F">
        <w:rPr>
          <w:lang w:val="lt-LT"/>
        </w:rPr>
        <w:t>.</w:t>
      </w:r>
      <w:r w:rsidRPr="0059462A">
        <w:rPr>
          <w:lang w:val="lt-LT"/>
        </w:rPr>
        <w:t xml:space="preserve"> </w:t>
      </w:r>
    </w:p>
    <w:p w14:paraId="70703360" w14:textId="77777777" w:rsidR="00E3770F" w:rsidRPr="0059462A" w:rsidRDefault="00E3770F" w:rsidP="00E3770F">
      <w:pPr>
        <w:numPr>
          <w:ilvl w:val="0"/>
          <w:numId w:val="1"/>
        </w:numPr>
        <w:tabs>
          <w:tab w:val="clear" w:pos="567"/>
        </w:tabs>
        <w:spacing w:line="240" w:lineRule="auto"/>
        <w:ind w:left="567" w:right="-2" w:hanging="567"/>
        <w:rPr>
          <w:rFonts w:asciiTheme="minorHAnsi" w:eastAsiaTheme="minorHAnsi" w:hAnsiTheme="minorHAnsi" w:cstheme="minorBidi"/>
          <w:szCs w:val="22"/>
          <w:lang w:val="lt-LT"/>
        </w:rPr>
      </w:pPr>
      <w:r w:rsidRPr="0059462A">
        <w:rPr>
          <w:lang w:val="lt-LT"/>
        </w:rPr>
        <w:t>Spausdinimo dažai: propilenglikolis, juodasis geležies oksidas (E172), polivinilacetato ftalatas, makrogolis 400, amonio hidroksidas.</w:t>
      </w:r>
    </w:p>
    <w:p w14:paraId="1B6FE3F0" w14:textId="5571DF3C" w:rsidR="00E3770F" w:rsidRDefault="00E3770F" w:rsidP="00E3770F">
      <w:pPr>
        <w:tabs>
          <w:tab w:val="clear" w:pos="567"/>
        </w:tabs>
        <w:spacing w:line="240" w:lineRule="auto"/>
        <w:ind w:right="-2"/>
        <w:rPr>
          <w:lang w:val="lt-LT"/>
        </w:rPr>
      </w:pPr>
    </w:p>
    <w:p w14:paraId="0C8DF517" w14:textId="57646E44" w:rsidR="0062670F" w:rsidRDefault="0062670F" w:rsidP="00E3770F">
      <w:pPr>
        <w:tabs>
          <w:tab w:val="clear" w:pos="567"/>
        </w:tabs>
        <w:spacing w:line="240" w:lineRule="auto"/>
        <w:ind w:right="-2"/>
        <w:rPr>
          <w:lang w:val="lt-LT"/>
        </w:rPr>
      </w:pPr>
      <w:r w:rsidRPr="00FB39A9">
        <w:rPr>
          <w:lang w:val="lt-LT"/>
        </w:rPr>
        <w:lastRenderedPageBreak/>
        <w:t>Zemplar 2 mikrogramai minkštosios kapsulės</w:t>
      </w:r>
    </w:p>
    <w:p w14:paraId="42E7033D" w14:textId="4A21E73A" w:rsidR="000476A9" w:rsidRDefault="000476A9" w:rsidP="000476A9">
      <w:pPr>
        <w:pStyle w:val="Sraopastraipa"/>
        <w:numPr>
          <w:ilvl w:val="0"/>
          <w:numId w:val="16"/>
        </w:numPr>
        <w:tabs>
          <w:tab w:val="clear" w:pos="567"/>
        </w:tabs>
        <w:spacing w:line="240" w:lineRule="auto"/>
        <w:ind w:left="540" w:right="-2" w:hanging="540"/>
        <w:rPr>
          <w:lang w:val="lt-LT"/>
        </w:rPr>
      </w:pPr>
      <w:r w:rsidRPr="000476A9">
        <w:rPr>
          <w:lang w:val="lt-LT"/>
        </w:rPr>
        <w:t>Veiklioji medžiaga yra parikalcitolis. Kiekvienoje minkštojoje kapsulėje yra 2 mikrogramai parikalcitolio.</w:t>
      </w:r>
    </w:p>
    <w:p w14:paraId="11B06C19" w14:textId="384A87C4" w:rsidR="000476A9" w:rsidRDefault="000476A9" w:rsidP="000476A9">
      <w:pPr>
        <w:pStyle w:val="Sraopastraipa"/>
        <w:numPr>
          <w:ilvl w:val="0"/>
          <w:numId w:val="16"/>
        </w:numPr>
        <w:tabs>
          <w:tab w:val="clear" w:pos="567"/>
        </w:tabs>
        <w:spacing w:line="240" w:lineRule="auto"/>
        <w:ind w:left="540" w:right="-2" w:hanging="540"/>
        <w:rPr>
          <w:lang w:val="lt-LT"/>
        </w:rPr>
      </w:pPr>
      <w:r w:rsidRPr="0059462A">
        <w:rPr>
          <w:lang w:val="lt-LT"/>
        </w:rPr>
        <w:t>Pagalbinės medžiagos yra: vidutinės grandinės trigliceridai, etanolis, butilhidroksitoluenas</w:t>
      </w:r>
      <w:r>
        <w:rPr>
          <w:lang w:val="lt-LT"/>
        </w:rPr>
        <w:t>.</w:t>
      </w:r>
    </w:p>
    <w:p w14:paraId="1559FCF9" w14:textId="4B6F70C3" w:rsidR="000476A9" w:rsidRDefault="000476A9" w:rsidP="000476A9">
      <w:pPr>
        <w:pStyle w:val="Sraopastraipa"/>
        <w:numPr>
          <w:ilvl w:val="0"/>
          <w:numId w:val="16"/>
        </w:numPr>
        <w:tabs>
          <w:tab w:val="clear" w:pos="567"/>
        </w:tabs>
        <w:spacing w:line="240" w:lineRule="auto"/>
        <w:ind w:left="540" w:right="-2" w:hanging="540"/>
        <w:rPr>
          <w:lang w:val="lt-LT"/>
        </w:rPr>
      </w:pPr>
      <w:r w:rsidRPr="0059462A">
        <w:rPr>
          <w:lang w:val="lt-LT"/>
        </w:rPr>
        <w:t xml:space="preserve">Kapsulės apvalkalas: želatina, glicerolis, vanduo, titano dioksidas (E 171), </w:t>
      </w:r>
      <w:r>
        <w:rPr>
          <w:lang w:val="lt-LT"/>
        </w:rPr>
        <w:t>raudonasis</w:t>
      </w:r>
      <w:r w:rsidRPr="0059462A">
        <w:rPr>
          <w:lang w:val="lt-LT"/>
        </w:rPr>
        <w:t xml:space="preserve"> geležies oksidas (E 172)</w:t>
      </w:r>
      <w:r>
        <w:rPr>
          <w:lang w:val="lt-LT"/>
        </w:rPr>
        <w:t xml:space="preserve"> ir geltonasis geležies oksidas (E 172).</w:t>
      </w:r>
    </w:p>
    <w:p w14:paraId="0D45C83A" w14:textId="543308A8" w:rsidR="000476A9" w:rsidRPr="001F5E3D" w:rsidRDefault="000476A9" w:rsidP="001F5E3D">
      <w:pPr>
        <w:pStyle w:val="Sraopastraipa"/>
        <w:numPr>
          <w:ilvl w:val="0"/>
          <w:numId w:val="16"/>
        </w:numPr>
        <w:tabs>
          <w:tab w:val="clear" w:pos="567"/>
        </w:tabs>
        <w:spacing w:line="240" w:lineRule="auto"/>
        <w:ind w:left="540" w:right="-2" w:hanging="540"/>
        <w:rPr>
          <w:lang w:val="lt-LT"/>
        </w:rPr>
      </w:pPr>
      <w:r w:rsidRPr="0059462A">
        <w:rPr>
          <w:lang w:val="lt-LT"/>
        </w:rPr>
        <w:t>Spausdinimo dažai: propilenglikolis, juodasis geležies oksidas (E172), polivinilacetato ftalatas, makrogolis 400, amonio hidroksidas.</w:t>
      </w:r>
    </w:p>
    <w:p w14:paraId="4C55705C" w14:textId="77777777" w:rsidR="0062670F" w:rsidRPr="0059462A" w:rsidRDefault="0062670F" w:rsidP="00E3770F">
      <w:pPr>
        <w:tabs>
          <w:tab w:val="clear" w:pos="567"/>
        </w:tabs>
        <w:spacing w:line="240" w:lineRule="auto"/>
        <w:ind w:right="-2"/>
        <w:rPr>
          <w:lang w:val="lt-LT"/>
        </w:rPr>
      </w:pPr>
    </w:p>
    <w:p w14:paraId="2E881D9E"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59462A">
        <w:rPr>
          <w:b/>
          <w:lang w:val="lt-LT"/>
        </w:rPr>
        <w:t>Zemplar išvaizda ir kiekis pakuotėje</w:t>
      </w:r>
    </w:p>
    <w:p w14:paraId="36E50F6A" w14:textId="77777777" w:rsidR="00E3770F" w:rsidRPr="0059462A" w:rsidRDefault="00E3770F" w:rsidP="00E3770F">
      <w:pPr>
        <w:numPr>
          <w:ilvl w:val="12"/>
          <w:numId w:val="0"/>
        </w:numPr>
        <w:ind w:right="-2"/>
        <w:rPr>
          <w:szCs w:val="22"/>
          <w:lang w:val="lt-LT"/>
        </w:rPr>
      </w:pPr>
    </w:p>
    <w:p w14:paraId="2C868299" w14:textId="77777777" w:rsidR="000476A9" w:rsidRPr="005107CF" w:rsidRDefault="000476A9" w:rsidP="00E3770F">
      <w:pPr>
        <w:numPr>
          <w:ilvl w:val="12"/>
          <w:numId w:val="0"/>
        </w:numPr>
        <w:ind w:right="-2"/>
        <w:rPr>
          <w:u w:val="single"/>
          <w:lang w:val="lt-LT"/>
        </w:rPr>
      </w:pPr>
      <w:r w:rsidRPr="005107CF">
        <w:rPr>
          <w:u w:val="single"/>
          <w:lang w:val="lt-LT"/>
        </w:rPr>
        <w:t>Zemplar 1 mikrogramas minkštosios kapsulės</w:t>
      </w:r>
    </w:p>
    <w:p w14:paraId="0C8D2742" w14:textId="3F4CF369" w:rsidR="00E3770F" w:rsidRPr="001F5E3D" w:rsidRDefault="00E3770F" w:rsidP="00E3770F">
      <w:pPr>
        <w:numPr>
          <w:ilvl w:val="12"/>
          <w:numId w:val="0"/>
        </w:numPr>
        <w:ind w:right="-2"/>
        <w:rPr>
          <w:lang w:val="lt-LT"/>
        </w:rPr>
      </w:pPr>
      <w:r w:rsidRPr="0059462A">
        <w:rPr>
          <w:lang w:val="lt-LT"/>
        </w:rPr>
        <w:t>Zemplar</w:t>
      </w:r>
      <w:r w:rsidRPr="0059462A">
        <w:rPr>
          <w:b/>
          <w:lang w:val="lt-LT"/>
        </w:rPr>
        <w:t xml:space="preserve"> </w:t>
      </w:r>
      <w:r w:rsidRPr="0059462A">
        <w:rPr>
          <w:lang w:val="lt-LT"/>
        </w:rPr>
        <w:t>1 mikrogramas minkštosios kapsulės yra ovalios, pilkos minkštosios kapsulės, su įspaudais ZA.</w:t>
      </w:r>
    </w:p>
    <w:p w14:paraId="0622D618" w14:textId="017C0D1F" w:rsidR="000476A9" w:rsidRDefault="000476A9" w:rsidP="00E3770F">
      <w:pPr>
        <w:numPr>
          <w:ilvl w:val="12"/>
          <w:numId w:val="0"/>
        </w:numPr>
        <w:ind w:right="-2"/>
        <w:rPr>
          <w:lang w:val="lt-LT"/>
        </w:rPr>
      </w:pPr>
    </w:p>
    <w:p w14:paraId="28C6D9C8" w14:textId="6063A932" w:rsidR="000476A9" w:rsidRPr="0059462A" w:rsidRDefault="000476A9" w:rsidP="000476A9">
      <w:pPr>
        <w:rPr>
          <w:rFonts w:asciiTheme="minorHAnsi" w:eastAsiaTheme="minorHAnsi" w:hAnsiTheme="minorHAnsi" w:cstheme="minorBidi"/>
          <w:szCs w:val="22"/>
          <w:lang w:val="lt-LT"/>
        </w:rPr>
      </w:pPr>
      <w:r>
        <w:rPr>
          <w:lang w:val="lt-LT"/>
        </w:rPr>
        <w:t>Kiekv</w:t>
      </w:r>
      <w:r w:rsidRPr="0059462A">
        <w:rPr>
          <w:lang w:val="lt-LT"/>
        </w:rPr>
        <w:t>ienoje dėžutėje yra 1 ar</w:t>
      </w:r>
      <w:r w:rsidR="000C3BC0">
        <w:rPr>
          <w:lang w:val="lt-LT"/>
        </w:rPr>
        <w:t>ba</w:t>
      </w:r>
      <w:r w:rsidRPr="0059462A">
        <w:rPr>
          <w:lang w:val="lt-LT"/>
        </w:rPr>
        <w:t xml:space="preserve"> 4 folijos lizdinės plokštelės. </w:t>
      </w:r>
      <w:r>
        <w:rPr>
          <w:lang w:val="lt-LT"/>
        </w:rPr>
        <w:t>Kiekv</w:t>
      </w:r>
      <w:r w:rsidRPr="0059462A">
        <w:rPr>
          <w:lang w:val="lt-LT"/>
        </w:rPr>
        <w:t xml:space="preserve">ienoje lizdinėje plokštelėje yra 7 kapsulės. </w:t>
      </w:r>
    </w:p>
    <w:p w14:paraId="0F100CCC" w14:textId="77777777" w:rsidR="000476A9" w:rsidRPr="0059462A" w:rsidRDefault="000476A9" w:rsidP="00E3770F">
      <w:pPr>
        <w:numPr>
          <w:ilvl w:val="12"/>
          <w:numId w:val="0"/>
        </w:numPr>
        <w:ind w:right="-2"/>
        <w:rPr>
          <w:rFonts w:asciiTheme="minorHAnsi" w:eastAsiaTheme="minorHAnsi" w:hAnsiTheme="minorHAnsi" w:cstheme="minorBidi"/>
          <w:szCs w:val="22"/>
          <w:lang w:val="lt-LT"/>
        </w:rPr>
      </w:pPr>
    </w:p>
    <w:p w14:paraId="06BCCE3A" w14:textId="77777777" w:rsidR="001229E2" w:rsidRPr="005107CF" w:rsidRDefault="001229E2" w:rsidP="001229E2">
      <w:pPr>
        <w:tabs>
          <w:tab w:val="clear" w:pos="567"/>
        </w:tabs>
        <w:spacing w:line="240" w:lineRule="auto"/>
        <w:ind w:right="-2"/>
        <w:rPr>
          <w:u w:val="single"/>
          <w:lang w:val="lt-LT"/>
        </w:rPr>
      </w:pPr>
      <w:r w:rsidRPr="005107CF">
        <w:rPr>
          <w:u w:val="single"/>
          <w:lang w:val="lt-LT"/>
        </w:rPr>
        <w:t>Zemplar 2 mikrogramai minkštosios kapsulės</w:t>
      </w:r>
    </w:p>
    <w:p w14:paraId="1E27C8F9" w14:textId="58E21ECD" w:rsidR="00E3770F" w:rsidRPr="0059462A" w:rsidRDefault="00E3770F" w:rsidP="00E3770F">
      <w:pPr>
        <w:numPr>
          <w:ilvl w:val="12"/>
          <w:numId w:val="0"/>
        </w:numPr>
        <w:ind w:right="-2"/>
        <w:rPr>
          <w:rFonts w:asciiTheme="minorHAnsi" w:eastAsiaTheme="minorHAnsi" w:hAnsiTheme="minorHAnsi" w:cstheme="minorBidi"/>
          <w:szCs w:val="22"/>
          <w:lang w:val="lt-LT"/>
        </w:rPr>
      </w:pPr>
      <w:r w:rsidRPr="0059462A">
        <w:rPr>
          <w:lang w:val="lt-LT"/>
        </w:rPr>
        <w:t>Zemplar</w:t>
      </w:r>
      <w:r w:rsidRPr="0059462A">
        <w:rPr>
          <w:b/>
          <w:lang w:val="lt-LT"/>
        </w:rPr>
        <w:t xml:space="preserve"> </w:t>
      </w:r>
      <w:r w:rsidRPr="0059462A">
        <w:rPr>
          <w:lang w:val="lt-LT"/>
        </w:rPr>
        <w:t>2 mikrogramai minkštosios kapsulės yra ovalios, oranžinės</w:t>
      </w:r>
      <w:r w:rsidR="000C3BC0">
        <w:rPr>
          <w:lang w:val="lt-LT"/>
        </w:rPr>
        <w:t>-</w:t>
      </w:r>
      <w:r w:rsidRPr="0059462A">
        <w:rPr>
          <w:lang w:val="lt-LT"/>
        </w:rPr>
        <w:t>rudos minkštosios kapsulės, su įspaudais ZF.</w:t>
      </w:r>
    </w:p>
    <w:p w14:paraId="7755C28F" w14:textId="77777777" w:rsidR="00E3770F" w:rsidRPr="0059462A" w:rsidRDefault="00E3770F" w:rsidP="00E3770F">
      <w:pPr>
        <w:numPr>
          <w:ilvl w:val="12"/>
          <w:numId w:val="0"/>
        </w:numPr>
        <w:ind w:right="-2"/>
        <w:rPr>
          <w:lang w:val="lt-LT"/>
        </w:rPr>
      </w:pPr>
    </w:p>
    <w:p w14:paraId="7509D236" w14:textId="34695F31" w:rsidR="00053138" w:rsidRPr="0059462A" w:rsidRDefault="00053138" w:rsidP="00053138">
      <w:pPr>
        <w:rPr>
          <w:rFonts w:asciiTheme="minorHAnsi" w:eastAsiaTheme="minorHAnsi" w:hAnsiTheme="minorHAnsi" w:cstheme="minorBidi"/>
          <w:szCs w:val="22"/>
          <w:lang w:val="lt-LT"/>
        </w:rPr>
      </w:pPr>
      <w:r>
        <w:rPr>
          <w:lang w:val="lt-LT"/>
        </w:rPr>
        <w:t>Kiekv</w:t>
      </w:r>
      <w:r w:rsidRPr="0059462A">
        <w:rPr>
          <w:lang w:val="lt-LT"/>
        </w:rPr>
        <w:t>ienoje dėžutėje yra 1 ar</w:t>
      </w:r>
      <w:r w:rsidR="000C3BC0">
        <w:rPr>
          <w:lang w:val="lt-LT"/>
        </w:rPr>
        <w:t>ba</w:t>
      </w:r>
      <w:r w:rsidRPr="0059462A">
        <w:rPr>
          <w:lang w:val="lt-LT"/>
        </w:rPr>
        <w:t xml:space="preserve"> 4 folijos lizdinės plokštelės. </w:t>
      </w:r>
      <w:r>
        <w:rPr>
          <w:lang w:val="lt-LT"/>
        </w:rPr>
        <w:t>Kiekv</w:t>
      </w:r>
      <w:r w:rsidRPr="0059462A">
        <w:rPr>
          <w:lang w:val="lt-LT"/>
        </w:rPr>
        <w:t xml:space="preserve">ienoje lizdinėje plokštelėje yra 7 kapsulės. </w:t>
      </w:r>
    </w:p>
    <w:p w14:paraId="3490E742"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59462A">
        <w:rPr>
          <w:b/>
          <w:lang w:val="lt-LT"/>
        </w:rPr>
        <w:t>Registruotojas ir gamintojas</w:t>
      </w:r>
    </w:p>
    <w:p w14:paraId="36049303" w14:textId="77777777" w:rsidR="00E3770F" w:rsidRPr="0059462A" w:rsidRDefault="00E3770F" w:rsidP="00E3770F">
      <w:pPr>
        <w:numPr>
          <w:ilvl w:val="12"/>
          <w:numId w:val="0"/>
        </w:numPr>
        <w:tabs>
          <w:tab w:val="clear" w:pos="567"/>
        </w:tabs>
        <w:spacing w:line="240" w:lineRule="auto"/>
        <w:ind w:right="-2"/>
        <w:rPr>
          <w:lang w:val="lt-LT"/>
        </w:rPr>
      </w:pPr>
    </w:p>
    <w:p w14:paraId="6888B13B"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i/>
          <w:szCs w:val="22"/>
          <w:lang w:val="lt-LT"/>
        </w:rPr>
      </w:pPr>
      <w:r w:rsidRPr="0059462A">
        <w:rPr>
          <w:i/>
          <w:lang w:val="lt-LT"/>
        </w:rPr>
        <w:t>Registruotojas</w:t>
      </w:r>
    </w:p>
    <w:p w14:paraId="5F0407C9" w14:textId="77777777" w:rsidR="00E3770F" w:rsidRPr="0059462A" w:rsidRDefault="00E3770F" w:rsidP="00E3770F">
      <w:pPr>
        <w:rPr>
          <w:rFonts w:asciiTheme="minorHAnsi" w:eastAsiaTheme="minorHAnsi" w:hAnsiTheme="minorHAnsi" w:cstheme="minorBidi"/>
          <w:szCs w:val="22"/>
          <w:lang w:val="lt-LT"/>
        </w:rPr>
      </w:pPr>
      <w:r w:rsidRPr="0059462A">
        <w:rPr>
          <w:lang w:val="lt-LT"/>
        </w:rPr>
        <w:t>AbbVie SIA</w:t>
      </w:r>
    </w:p>
    <w:p w14:paraId="38ABA4AE" w14:textId="77777777" w:rsidR="00E3770F" w:rsidRPr="0059462A" w:rsidRDefault="00E3770F" w:rsidP="00E3770F">
      <w:pPr>
        <w:rPr>
          <w:color w:val="000000"/>
          <w:lang w:val="lt-LT"/>
        </w:rPr>
      </w:pPr>
      <w:r w:rsidRPr="00FB39A9">
        <w:rPr>
          <w:lang w:val="lt-LT"/>
        </w:rPr>
        <w:t>Vaiņodes 1</w:t>
      </w:r>
      <w:r w:rsidRPr="0059462A">
        <w:rPr>
          <w:color w:val="000000"/>
          <w:lang w:val="lt-LT"/>
        </w:rPr>
        <w:t xml:space="preserve"> </w:t>
      </w:r>
    </w:p>
    <w:p w14:paraId="2BD967F3"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 xml:space="preserve">Rīga LV 1004 </w:t>
      </w:r>
    </w:p>
    <w:p w14:paraId="4E75ACB8" w14:textId="77777777" w:rsidR="00E3770F" w:rsidRPr="0059462A" w:rsidRDefault="00E3770F" w:rsidP="00E3770F">
      <w:pPr>
        <w:rPr>
          <w:rFonts w:asciiTheme="minorHAnsi" w:eastAsiaTheme="minorHAnsi" w:hAnsiTheme="minorHAnsi" w:cstheme="minorBidi"/>
          <w:color w:val="000000"/>
          <w:szCs w:val="22"/>
          <w:lang w:val="lt-LT"/>
        </w:rPr>
      </w:pPr>
      <w:r w:rsidRPr="0059462A">
        <w:rPr>
          <w:color w:val="000000"/>
          <w:lang w:val="lt-LT"/>
        </w:rPr>
        <w:t>Latvija</w:t>
      </w:r>
    </w:p>
    <w:p w14:paraId="136FE7B6" w14:textId="77777777" w:rsidR="00E3770F" w:rsidRPr="0059462A" w:rsidRDefault="00E3770F" w:rsidP="00E3770F">
      <w:pPr>
        <w:numPr>
          <w:ilvl w:val="12"/>
          <w:numId w:val="0"/>
        </w:numPr>
        <w:tabs>
          <w:tab w:val="clear" w:pos="567"/>
        </w:tabs>
        <w:spacing w:line="240" w:lineRule="auto"/>
        <w:ind w:right="-2"/>
        <w:rPr>
          <w:lang w:val="lt-LT"/>
        </w:rPr>
      </w:pPr>
    </w:p>
    <w:p w14:paraId="4718F4ED"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i/>
          <w:szCs w:val="22"/>
          <w:lang w:val="lt-LT"/>
        </w:rPr>
      </w:pPr>
      <w:r w:rsidRPr="0059462A">
        <w:rPr>
          <w:i/>
          <w:lang w:val="lt-LT"/>
        </w:rPr>
        <w:t>Gamintojai</w:t>
      </w:r>
    </w:p>
    <w:p w14:paraId="237910B3"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Aesica Queenborough </w:t>
      </w:r>
      <w:r w:rsidRPr="00FB39A9">
        <w:rPr>
          <w:lang w:val="lt-LT"/>
        </w:rPr>
        <w:t>L</w:t>
      </w:r>
      <w:r w:rsidRPr="0059462A">
        <w:rPr>
          <w:lang w:val="lt-LT"/>
        </w:rPr>
        <w:t>TD</w:t>
      </w:r>
    </w:p>
    <w:p w14:paraId="76826C61" w14:textId="77777777" w:rsidR="00E3770F" w:rsidRPr="0059462A" w:rsidRDefault="00E3770F" w:rsidP="00E3770F">
      <w:pPr>
        <w:rPr>
          <w:rFonts w:asciiTheme="minorHAnsi" w:eastAsiaTheme="minorHAnsi" w:hAnsiTheme="minorHAnsi" w:cstheme="minorBidi"/>
          <w:szCs w:val="22"/>
          <w:lang w:val="lt-LT"/>
        </w:rPr>
      </w:pPr>
      <w:r w:rsidRPr="0059462A">
        <w:rPr>
          <w:lang w:val="lt-LT"/>
        </w:rPr>
        <w:t>Queenborough, Kent ME11 5EL,</w:t>
      </w:r>
    </w:p>
    <w:p w14:paraId="0484BEC7" w14:textId="77777777" w:rsidR="00E3770F" w:rsidRPr="0059462A" w:rsidRDefault="00E3770F" w:rsidP="00E3770F">
      <w:pPr>
        <w:rPr>
          <w:rFonts w:asciiTheme="minorHAnsi" w:eastAsiaTheme="minorHAnsi" w:hAnsiTheme="minorHAnsi" w:cstheme="minorBidi"/>
          <w:szCs w:val="22"/>
          <w:lang w:val="lt-LT"/>
        </w:rPr>
      </w:pPr>
      <w:r w:rsidRPr="0059462A">
        <w:rPr>
          <w:lang w:val="lt-LT"/>
        </w:rPr>
        <w:t>Jungtinė Karalystė</w:t>
      </w:r>
    </w:p>
    <w:p w14:paraId="73977D61" w14:textId="77777777" w:rsidR="00E3770F" w:rsidRPr="0059462A" w:rsidRDefault="00E3770F" w:rsidP="00E3770F">
      <w:pPr>
        <w:rPr>
          <w:lang w:val="lt-LT"/>
        </w:rPr>
      </w:pPr>
    </w:p>
    <w:p w14:paraId="15B1EF12"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 xml:space="preserve">AbbVie Deutschland GmbH&amp;Co.KG </w:t>
      </w:r>
    </w:p>
    <w:p w14:paraId="662D50B1"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Knollstrasse</w:t>
      </w:r>
    </w:p>
    <w:p w14:paraId="737D7741"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 xml:space="preserve">67061 Ludwigshafen </w:t>
      </w:r>
    </w:p>
    <w:p w14:paraId="2F54FA77" w14:textId="77777777" w:rsidR="00E3770F" w:rsidRPr="0059462A" w:rsidRDefault="00E3770F" w:rsidP="00E3770F">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Vokietija</w:t>
      </w:r>
    </w:p>
    <w:p w14:paraId="6A1978D3" w14:textId="77777777" w:rsidR="00E3770F" w:rsidRPr="0059462A" w:rsidRDefault="00E3770F" w:rsidP="00E3770F">
      <w:pPr>
        <w:numPr>
          <w:ilvl w:val="12"/>
          <w:numId w:val="0"/>
        </w:numPr>
        <w:tabs>
          <w:tab w:val="clear" w:pos="567"/>
        </w:tabs>
        <w:spacing w:line="240" w:lineRule="auto"/>
        <w:ind w:right="-2"/>
        <w:rPr>
          <w:lang w:val="lt-LT"/>
        </w:rPr>
      </w:pPr>
    </w:p>
    <w:p w14:paraId="6E3D2F6F" w14:textId="77777777" w:rsidR="00E3770F" w:rsidRPr="0059462A" w:rsidRDefault="00E3770F" w:rsidP="00E3770F">
      <w:pPr>
        <w:rPr>
          <w:rFonts w:asciiTheme="minorHAnsi" w:eastAsiaTheme="minorHAnsi" w:hAnsiTheme="minorHAnsi" w:cstheme="minorBidi"/>
          <w:szCs w:val="22"/>
          <w:lang w:val="lt-LT"/>
        </w:rPr>
      </w:pPr>
      <w:r w:rsidRPr="0059462A">
        <w:rPr>
          <w:lang w:val="lt-LT"/>
        </w:rPr>
        <w:t>Jeigu apie šį vaistą norite sužinoti daugiau, kreipkitės į vietinį registruotojo atstovą:</w:t>
      </w:r>
    </w:p>
    <w:p w14:paraId="3C51AE09" w14:textId="77777777" w:rsidR="00E3770F" w:rsidRPr="0059462A" w:rsidRDefault="00E3770F" w:rsidP="00E3770F">
      <w:pPr>
        <w:rPr>
          <w:rFonts w:asciiTheme="minorHAnsi" w:eastAsiaTheme="minorHAnsi" w:hAnsiTheme="minorHAnsi" w:cstheme="minorBidi"/>
          <w:szCs w:val="22"/>
          <w:lang w:val="lt-LT"/>
        </w:rPr>
      </w:pPr>
      <w:r w:rsidRPr="0059462A">
        <w:rPr>
          <w:lang w:val="lt-LT"/>
        </w:rPr>
        <w:t xml:space="preserve">UAB „AbbVie“ </w:t>
      </w:r>
    </w:p>
    <w:p w14:paraId="248E5AB9" w14:textId="77777777" w:rsidR="00E3770F" w:rsidRPr="0059462A" w:rsidRDefault="00E3770F" w:rsidP="00E3770F">
      <w:pPr>
        <w:rPr>
          <w:rFonts w:asciiTheme="minorHAnsi" w:eastAsiaTheme="minorHAnsi" w:hAnsiTheme="minorHAnsi" w:cstheme="minorBidi"/>
          <w:color w:val="1F497D"/>
          <w:szCs w:val="22"/>
          <w:lang w:val="lt-LT"/>
        </w:rPr>
      </w:pPr>
      <w:r w:rsidRPr="0059462A">
        <w:rPr>
          <w:lang w:val="lt-LT"/>
        </w:rPr>
        <w:t>Ukmergės g. 120, Vilnius LT-08105</w:t>
      </w:r>
    </w:p>
    <w:p w14:paraId="043B41AE" w14:textId="77777777" w:rsidR="00E3770F" w:rsidRPr="0059462A" w:rsidRDefault="00E3770F" w:rsidP="00E3770F">
      <w:pPr>
        <w:pStyle w:val="BTbEMEASMCA"/>
      </w:pPr>
      <w:r w:rsidRPr="0059462A">
        <w:t>Lietuva</w:t>
      </w:r>
    </w:p>
    <w:p w14:paraId="705354D9" w14:textId="77777777" w:rsidR="00E3770F" w:rsidRPr="0059462A" w:rsidRDefault="00E3770F" w:rsidP="00E3770F">
      <w:pPr>
        <w:rPr>
          <w:rFonts w:asciiTheme="minorHAnsi" w:eastAsiaTheme="minorHAnsi" w:hAnsiTheme="minorHAnsi" w:cstheme="minorBidi"/>
          <w:szCs w:val="22"/>
          <w:lang w:val="lt-LT"/>
        </w:rPr>
      </w:pPr>
      <w:r w:rsidRPr="0059462A">
        <w:rPr>
          <w:lang w:val="lt-LT"/>
        </w:rPr>
        <w:t>Tel.: +370 5 205 30 23</w:t>
      </w:r>
    </w:p>
    <w:p w14:paraId="47EB0237" w14:textId="77777777" w:rsidR="00E3770F" w:rsidRPr="0059462A" w:rsidRDefault="00E3770F" w:rsidP="00E3770F">
      <w:pPr>
        <w:rPr>
          <w:lang w:val="lt-LT"/>
        </w:rPr>
      </w:pPr>
    </w:p>
    <w:p w14:paraId="1DC0DBB6" w14:textId="77777777" w:rsidR="00E3770F" w:rsidRPr="0059462A" w:rsidRDefault="00E3770F" w:rsidP="00E3770F">
      <w:pPr>
        <w:rPr>
          <w:lang w:val="lt-LT"/>
        </w:rPr>
      </w:pPr>
      <w:r w:rsidRPr="0059462A">
        <w:rPr>
          <w:b/>
          <w:lang w:val="lt-LT"/>
        </w:rPr>
        <w:t>Šis vaistas EEE valstybėse narėse registruotas tokiais pavadinimais</w:t>
      </w:r>
      <w:r w:rsidRPr="0059462A">
        <w:rPr>
          <w:lang w:val="lt-LT"/>
        </w:rPr>
        <w:t>:</w:t>
      </w:r>
    </w:p>
    <w:p w14:paraId="0AB9A5E5" w14:textId="77777777" w:rsidR="00E3770F" w:rsidRPr="0059462A" w:rsidRDefault="00E3770F" w:rsidP="00E3770F">
      <w:pPr>
        <w:rPr>
          <w:lang w:val="lt-LT"/>
        </w:rPr>
      </w:pPr>
    </w:p>
    <w:p w14:paraId="0A965B7C" w14:textId="0D5CF8F2" w:rsidR="00E3770F" w:rsidRPr="00FB39A9" w:rsidRDefault="00E3770F" w:rsidP="00E3278B">
      <w:pPr>
        <w:numPr>
          <w:ilvl w:val="12"/>
          <w:numId w:val="0"/>
        </w:numPr>
        <w:ind w:left="993" w:right="-2" w:hanging="993"/>
        <w:rPr>
          <w:lang w:val="lt-LT"/>
        </w:rPr>
      </w:pPr>
      <w:r w:rsidRPr="0059462A">
        <w:rPr>
          <w:b/>
          <w:szCs w:val="22"/>
          <w:lang w:val="lt-LT"/>
        </w:rPr>
        <w:t>Čekijos Respublika</w:t>
      </w:r>
      <w:r w:rsidRPr="00FB39A9">
        <w:rPr>
          <w:b/>
          <w:lang w:val="lt-LT"/>
        </w:rPr>
        <w:t>:</w:t>
      </w:r>
      <w:r w:rsidRPr="00FB39A9">
        <w:rPr>
          <w:lang w:val="lt-LT"/>
        </w:rPr>
        <w:t xml:space="preserve"> Zemplar </w:t>
      </w:r>
    </w:p>
    <w:p w14:paraId="454066CF" w14:textId="77777777" w:rsidR="00E3770F" w:rsidRPr="00FB39A9" w:rsidRDefault="00E3770F" w:rsidP="00E3770F">
      <w:pPr>
        <w:numPr>
          <w:ilvl w:val="12"/>
          <w:numId w:val="0"/>
        </w:numPr>
        <w:ind w:left="993" w:right="-2" w:hanging="993"/>
        <w:rPr>
          <w:lang w:val="lt-LT"/>
        </w:rPr>
      </w:pPr>
      <w:r w:rsidRPr="00FB39A9">
        <w:rPr>
          <w:b/>
          <w:lang w:val="lt-LT"/>
        </w:rPr>
        <w:t>Estija:</w:t>
      </w:r>
      <w:r w:rsidRPr="00FB39A9">
        <w:rPr>
          <w:lang w:val="lt-LT"/>
        </w:rPr>
        <w:t xml:space="preserve"> </w:t>
      </w:r>
      <w:r w:rsidRPr="00FB39A9">
        <w:rPr>
          <w:lang w:val="lt-LT"/>
        </w:rPr>
        <w:tab/>
        <w:t>Zemplar, 1 mikrogramm pehmekapslid</w:t>
      </w:r>
    </w:p>
    <w:p w14:paraId="52B4E6F8"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mikrogrammi pehmekapslid</w:t>
      </w:r>
    </w:p>
    <w:p w14:paraId="18FE4C60" w14:textId="77777777" w:rsidR="00E3770F" w:rsidRPr="00FB39A9" w:rsidRDefault="00E3770F" w:rsidP="00E3770F">
      <w:pPr>
        <w:numPr>
          <w:ilvl w:val="12"/>
          <w:numId w:val="0"/>
        </w:numPr>
        <w:ind w:left="993" w:right="-2" w:hanging="993"/>
        <w:rPr>
          <w:lang w:val="lt-LT"/>
        </w:rPr>
      </w:pPr>
      <w:r w:rsidRPr="00FB39A9">
        <w:rPr>
          <w:b/>
          <w:lang w:val="lt-LT"/>
        </w:rPr>
        <w:t>Vokietija:</w:t>
      </w:r>
      <w:r w:rsidRPr="00FB39A9">
        <w:rPr>
          <w:lang w:val="lt-LT"/>
        </w:rPr>
        <w:t xml:space="preserve"> Zemplar 1 Mikrogramm Weichkapseln</w:t>
      </w:r>
    </w:p>
    <w:p w14:paraId="6EC4C078"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Mikrogramm Weichkapseln</w:t>
      </w:r>
    </w:p>
    <w:p w14:paraId="0D18B8FD" w14:textId="77777777" w:rsidR="00E3770F" w:rsidRPr="00FB39A9" w:rsidRDefault="00E3770F" w:rsidP="00E3770F">
      <w:pPr>
        <w:numPr>
          <w:ilvl w:val="12"/>
          <w:numId w:val="0"/>
        </w:numPr>
        <w:ind w:left="993" w:right="-2" w:hanging="993"/>
        <w:rPr>
          <w:lang w:val="lt-LT"/>
        </w:rPr>
      </w:pPr>
      <w:r w:rsidRPr="00FB39A9">
        <w:rPr>
          <w:b/>
          <w:lang w:val="lt-LT"/>
        </w:rPr>
        <w:t>Graikija:</w:t>
      </w:r>
      <w:r w:rsidRPr="00FB39A9">
        <w:rPr>
          <w:lang w:val="lt-LT"/>
        </w:rPr>
        <w:t xml:space="preserve"> </w:t>
      </w:r>
      <w:r w:rsidRPr="00FB39A9">
        <w:rPr>
          <w:lang w:val="lt-LT"/>
        </w:rPr>
        <w:tab/>
        <w:t>Zemplar 1 μικρογραμμάριο καψάκια, μαλακά</w:t>
      </w:r>
    </w:p>
    <w:p w14:paraId="087D87AC" w14:textId="77777777" w:rsidR="00E3770F" w:rsidRPr="00FB39A9" w:rsidRDefault="00E3770F" w:rsidP="00E3770F">
      <w:pPr>
        <w:numPr>
          <w:ilvl w:val="12"/>
          <w:numId w:val="0"/>
        </w:numPr>
        <w:ind w:left="993" w:right="-2" w:hanging="993"/>
        <w:rPr>
          <w:lang w:val="lt-LT"/>
        </w:rPr>
      </w:pPr>
      <w:r w:rsidRPr="00FB39A9">
        <w:rPr>
          <w:b/>
          <w:lang w:val="lt-LT"/>
        </w:rPr>
        <w:lastRenderedPageBreak/>
        <w:tab/>
      </w:r>
      <w:r w:rsidRPr="00FB39A9">
        <w:rPr>
          <w:b/>
          <w:lang w:val="lt-LT"/>
        </w:rPr>
        <w:tab/>
      </w:r>
      <w:r w:rsidRPr="00FB39A9">
        <w:rPr>
          <w:lang w:val="lt-LT"/>
        </w:rPr>
        <w:t>Zemplar 2 μικρογραμμάρια καψάκια, μαλακά</w:t>
      </w:r>
    </w:p>
    <w:p w14:paraId="52CA8915" w14:textId="77777777" w:rsidR="00E3770F" w:rsidRPr="00FB39A9" w:rsidRDefault="00E3770F" w:rsidP="00E3770F">
      <w:pPr>
        <w:numPr>
          <w:ilvl w:val="12"/>
          <w:numId w:val="0"/>
        </w:numPr>
        <w:ind w:left="993" w:right="-2" w:hanging="993"/>
        <w:rPr>
          <w:lang w:val="lt-LT"/>
        </w:rPr>
      </w:pPr>
      <w:r w:rsidRPr="00FB39A9">
        <w:rPr>
          <w:b/>
          <w:lang w:val="lt-LT"/>
        </w:rPr>
        <w:t>Vengrija:</w:t>
      </w:r>
      <w:r w:rsidRPr="00FB39A9">
        <w:rPr>
          <w:lang w:val="lt-LT"/>
        </w:rPr>
        <w:t xml:space="preserve"> </w:t>
      </w:r>
      <w:r w:rsidRPr="00FB39A9">
        <w:rPr>
          <w:lang w:val="lt-LT"/>
        </w:rPr>
        <w:tab/>
        <w:t>Zemplar 1 mikrogramm lágy kapszula</w:t>
      </w:r>
    </w:p>
    <w:p w14:paraId="3EF9BBED"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mikrogramm lágy kapszula</w:t>
      </w:r>
    </w:p>
    <w:p w14:paraId="0DAB5003" w14:textId="77777777" w:rsidR="00E3770F" w:rsidRPr="00FB39A9" w:rsidRDefault="00E3770F" w:rsidP="00E3770F">
      <w:pPr>
        <w:numPr>
          <w:ilvl w:val="12"/>
          <w:numId w:val="0"/>
        </w:numPr>
        <w:ind w:left="993" w:right="-2" w:hanging="993"/>
        <w:rPr>
          <w:lang w:val="lt-LT"/>
        </w:rPr>
      </w:pPr>
      <w:r w:rsidRPr="00FB39A9">
        <w:rPr>
          <w:b/>
          <w:lang w:val="lt-LT"/>
        </w:rPr>
        <w:t>Airija:</w:t>
      </w:r>
      <w:r w:rsidRPr="00FB39A9">
        <w:rPr>
          <w:lang w:val="lt-LT"/>
        </w:rPr>
        <w:t xml:space="preserve"> </w:t>
      </w:r>
      <w:r w:rsidRPr="00FB39A9">
        <w:rPr>
          <w:lang w:val="lt-LT"/>
        </w:rPr>
        <w:tab/>
        <w:t>Zemplar 1 microgram capsules, soft</w:t>
      </w:r>
    </w:p>
    <w:p w14:paraId="00293F90"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micrograms capsules, soft</w:t>
      </w:r>
    </w:p>
    <w:p w14:paraId="49781AD4" w14:textId="77777777" w:rsidR="00E3770F" w:rsidRPr="00FB39A9" w:rsidRDefault="00E3770F" w:rsidP="00E3770F">
      <w:pPr>
        <w:numPr>
          <w:ilvl w:val="12"/>
          <w:numId w:val="0"/>
        </w:numPr>
        <w:ind w:left="993" w:right="-2" w:hanging="993"/>
        <w:rPr>
          <w:lang w:val="lt-LT"/>
        </w:rPr>
      </w:pPr>
      <w:r w:rsidRPr="00FB39A9">
        <w:rPr>
          <w:b/>
          <w:lang w:val="lt-LT"/>
        </w:rPr>
        <w:t>Italija:</w:t>
      </w:r>
      <w:r w:rsidRPr="00FB39A9">
        <w:rPr>
          <w:lang w:val="lt-LT"/>
        </w:rPr>
        <w:t xml:space="preserve"> </w:t>
      </w:r>
      <w:r w:rsidRPr="00FB39A9">
        <w:rPr>
          <w:lang w:val="lt-LT"/>
        </w:rPr>
        <w:tab/>
        <w:t>Zemplar 1 microgrammo capsule molli</w:t>
      </w:r>
    </w:p>
    <w:p w14:paraId="1FAA149B"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microgrammo capsule molli</w:t>
      </w:r>
    </w:p>
    <w:p w14:paraId="5AE53B26" w14:textId="77777777" w:rsidR="00E3770F" w:rsidRPr="00FB39A9" w:rsidRDefault="00E3770F" w:rsidP="00E3770F">
      <w:pPr>
        <w:numPr>
          <w:ilvl w:val="12"/>
          <w:numId w:val="0"/>
        </w:numPr>
        <w:ind w:left="993" w:right="-2" w:hanging="993"/>
        <w:rPr>
          <w:lang w:val="lt-LT"/>
        </w:rPr>
      </w:pPr>
      <w:r w:rsidRPr="00FB39A9">
        <w:rPr>
          <w:b/>
          <w:lang w:val="lt-LT"/>
        </w:rPr>
        <w:t>Latvija:</w:t>
      </w:r>
      <w:r w:rsidRPr="00FB39A9">
        <w:rPr>
          <w:lang w:val="lt-LT"/>
        </w:rPr>
        <w:t xml:space="preserve"> </w:t>
      </w:r>
      <w:r w:rsidRPr="00FB39A9">
        <w:rPr>
          <w:lang w:val="lt-LT"/>
        </w:rPr>
        <w:tab/>
        <w:t>Zemplar 1 mikrograma mīkstās kapsulas</w:t>
      </w:r>
    </w:p>
    <w:p w14:paraId="271B0D87"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mikrogramu mīkstās kapsulas</w:t>
      </w:r>
    </w:p>
    <w:p w14:paraId="53E2BD06" w14:textId="77777777" w:rsidR="00E3770F" w:rsidRPr="00FB39A9" w:rsidRDefault="00E3770F" w:rsidP="00E3770F">
      <w:pPr>
        <w:numPr>
          <w:ilvl w:val="12"/>
          <w:numId w:val="0"/>
        </w:numPr>
        <w:ind w:left="993" w:right="-2" w:hanging="993"/>
        <w:rPr>
          <w:lang w:val="lt-LT"/>
        </w:rPr>
      </w:pPr>
      <w:r w:rsidRPr="00FB39A9">
        <w:rPr>
          <w:b/>
          <w:lang w:val="lt-LT"/>
        </w:rPr>
        <w:t>Lietuva:</w:t>
      </w:r>
      <w:r w:rsidRPr="00FB39A9">
        <w:rPr>
          <w:lang w:val="lt-LT"/>
        </w:rPr>
        <w:t xml:space="preserve"> </w:t>
      </w:r>
      <w:r w:rsidRPr="00FB39A9">
        <w:rPr>
          <w:lang w:val="lt-LT"/>
        </w:rPr>
        <w:tab/>
        <w:t>Zemplar 1 mikrogramas minkštosios kapsulės</w:t>
      </w:r>
    </w:p>
    <w:p w14:paraId="3C7A65DF"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mikrogramai minkštosios kapsulės</w:t>
      </w:r>
    </w:p>
    <w:p w14:paraId="3EA2FBEC" w14:textId="77777777" w:rsidR="00E3770F" w:rsidRPr="00FB39A9" w:rsidRDefault="00E3770F" w:rsidP="00E3770F">
      <w:pPr>
        <w:numPr>
          <w:ilvl w:val="12"/>
          <w:numId w:val="0"/>
        </w:numPr>
        <w:ind w:left="993" w:right="-2" w:hanging="993"/>
        <w:rPr>
          <w:lang w:val="lt-LT"/>
        </w:rPr>
      </w:pPr>
      <w:r w:rsidRPr="00FB39A9">
        <w:rPr>
          <w:b/>
          <w:lang w:val="lt-LT"/>
        </w:rPr>
        <w:t>Nyderlandai:</w:t>
      </w:r>
      <w:r w:rsidRPr="00FB39A9">
        <w:rPr>
          <w:lang w:val="lt-LT"/>
        </w:rPr>
        <w:t xml:space="preserve"> Zemplar 1 microgram capsules, zacht</w:t>
      </w:r>
    </w:p>
    <w:p w14:paraId="4541B948" w14:textId="77777777" w:rsidR="00E3770F" w:rsidRPr="00FB39A9" w:rsidRDefault="00E3770F" w:rsidP="00E3770F">
      <w:pPr>
        <w:numPr>
          <w:ilvl w:val="12"/>
          <w:numId w:val="0"/>
        </w:numPr>
        <w:ind w:left="993" w:right="-2" w:hanging="993"/>
        <w:rPr>
          <w:lang w:val="lt-LT"/>
        </w:rPr>
      </w:pPr>
      <w:r w:rsidRPr="00FB39A9">
        <w:rPr>
          <w:b/>
          <w:lang w:val="lt-LT"/>
        </w:rPr>
        <w:t>Portugalija:</w:t>
      </w:r>
      <w:r w:rsidRPr="00FB39A9">
        <w:rPr>
          <w:lang w:val="lt-LT"/>
        </w:rPr>
        <w:t xml:space="preserve"> Zemplar 1 micrograma cápsulas moles</w:t>
      </w:r>
    </w:p>
    <w:p w14:paraId="056DE091" w14:textId="77777777" w:rsidR="00E3770F" w:rsidRPr="00FB39A9" w:rsidRDefault="00E3770F" w:rsidP="00E3770F">
      <w:pPr>
        <w:numPr>
          <w:ilvl w:val="12"/>
          <w:numId w:val="0"/>
        </w:numPr>
        <w:ind w:left="993" w:right="-2" w:hanging="993"/>
        <w:rPr>
          <w:lang w:val="lt-LT"/>
        </w:rPr>
      </w:pPr>
      <w:r w:rsidRPr="00FB39A9">
        <w:rPr>
          <w:b/>
          <w:lang w:val="lt-LT"/>
        </w:rPr>
        <w:t>Rumunija:</w:t>
      </w:r>
      <w:r w:rsidRPr="00FB39A9">
        <w:rPr>
          <w:lang w:val="lt-LT"/>
        </w:rPr>
        <w:t xml:space="preserve"> Zemplar 1 microgram, capsule moi</w:t>
      </w:r>
    </w:p>
    <w:p w14:paraId="634CD33F"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t xml:space="preserve"> </w:t>
      </w:r>
      <w:r w:rsidRPr="00FB39A9">
        <w:rPr>
          <w:lang w:val="lt-LT"/>
        </w:rPr>
        <w:t>Zemplar 2 micrograme, capsule moi</w:t>
      </w:r>
    </w:p>
    <w:p w14:paraId="1550F70C" w14:textId="473B64E2" w:rsidR="00E3770F" w:rsidRPr="00FB39A9" w:rsidRDefault="00E3770F" w:rsidP="00E3770F">
      <w:pPr>
        <w:numPr>
          <w:ilvl w:val="12"/>
          <w:numId w:val="0"/>
        </w:numPr>
        <w:ind w:left="993" w:right="-2" w:hanging="993"/>
        <w:rPr>
          <w:lang w:val="lt-LT"/>
        </w:rPr>
      </w:pPr>
      <w:r w:rsidRPr="00FB39A9">
        <w:rPr>
          <w:b/>
          <w:lang w:val="lt-LT"/>
        </w:rPr>
        <w:t>Slovakija:</w:t>
      </w:r>
      <w:r w:rsidRPr="00FB39A9">
        <w:rPr>
          <w:lang w:val="lt-LT"/>
        </w:rPr>
        <w:t xml:space="preserve"> Zemplar 1 </w:t>
      </w:r>
      <w:r>
        <w:t>mikrogram mäkké</w:t>
      </w:r>
      <w:r w:rsidRPr="000918E6">
        <w:t xml:space="preserve"> kapsuly</w:t>
      </w:r>
      <w:r w:rsidR="00D95F59">
        <w:t xml:space="preserve"> </w:t>
      </w:r>
    </w:p>
    <w:p w14:paraId="5E22550F" w14:textId="4C9A0426"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 xml:space="preserve">Zemplar 2 </w:t>
      </w:r>
      <w:r>
        <w:t>mikrogramy mäkké</w:t>
      </w:r>
      <w:r w:rsidRPr="000918E6">
        <w:t xml:space="preserve"> kapsuly</w:t>
      </w:r>
    </w:p>
    <w:p w14:paraId="66260826" w14:textId="77777777" w:rsidR="00E3770F" w:rsidRPr="00FB39A9" w:rsidRDefault="00E3770F" w:rsidP="00E3770F">
      <w:pPr>
        <w:numPr>
          <w:ilvl w:val="12"/>
          <w:numId w:val="0"/>
        </w:numPr>
        <w:ind w:left="993" w:right="-2" w:hanging="993"/>
        <w:rPr>
          <w:lang w:val="lt-LT"/>
        </w:rPr>
      </w:pPr>
      <w:r w:rsidRPr="00FB39A9">
        <w:rPr>
          <w:b/>
          <w:lang w:val="lt-LT"/>
        </w:rPr>
        <w:t>Slovėnija:</w:t>
      </w:r>
      <w:r w:rsidRPr="00FB39A9">
        <w:rPr>
          <w:lang w:val="lt-LT"/>
        </w:rPr>
        <w:t xml:space="preserve"> Zemplar 1 mikrogram mehke kapsule</w:t>
      </w:r>
    </w:p>
    <w:p w14:paraId="5C1382A1"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mikrograma mehke kapsule</w:t>
      </w:r>
    </w:p>
    <w:p w14:paraId="738738BF" w14:textId="77777777" w:rsidR="00E3770F" w:rsidRPr="00FB39A9" w:rsidRDefault="00E3770F" w:rsidP="00E3770F">
      <w:pPr>
        <w:numPr>
          <w:ilvl w:val="12"/>
          <w:numId w:val="0"/>
        </w:numPr>
        <w:ind w:left="993" w:right="-2" w:hanging="993"/>
        <w:rPr>
          <w:lang w:val="lt-LT"/>
        </w:rPr>
      </w:pPr>
      <w:r w:rsidRPr="00FB39A9">
        <w:rPr>
          <w:b/>
          <w:lang w:val="lt-LT"/>
        </w:rPr>
        <w:t>Ispanija:</w:t>
      </w:r>
      <w:r w:rsidRPr="00FB39A9">
        <w:rPr>
          <w:lang w:val="lt-LT"/>
        </w:rPr>
        <w:t xml:space="preserve"> </w:t>
      </w:r>
      <w:r w:rsidRPr="00FB39A9">
        <w:rPr>
          <w:lang w:val="lt-LT"/>
        </w:rPr>
        <w:tab/>
        <w:t>Zemplar 1 microgramo cápsulas blandas</w:t>
      </w:r>
    </w:p>
    <w:p w14:paraId="2598E48F"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microgramos cápsulas blandas</w:t>
      </w:r>
    </w:p>
    <w:p w14:paraId="75850E73" w14:textId="77777777" w:rsidR="00E3770F" w:rsidRPr="00FB39A9" w:rsidRDefault="00E3770F" w:rsidP="00E3770F">
      <w:pPr>
        <w:numPr>
          <w:ilvl w:val="12"/>
          <w:numId w:val="0"/>
        </w:numPr>
        <w:ind w:left="993" w:right="-2" w:hanging="993"/>
        <w:rPr>
          <w:lang w:val="lt-LT"/>
        </w:rPr>
      </w:pPr>
      <w:r w:rsidRPr="00FB39A9">
        <w:rPr>
          <w:b/>
          <w:lang w:val="lt-LT"/>
        </w:rPr>
        <w:t>Švedija:</w:t>
      </w:r>
      <w:r w:rsidRPr="00FB39A9">
        <w:rPr>
          <w:lang w:val="lt-LT"/>
        </w:rPr>
        <w:t xml:space="preserve"> </w:t>
      </w:r>
      <w:r w:rsidRPr="00FB39A9">
        <w:rPr>
          <w:lang w:val="lt-LT"/>
        </w:rPr>
        <w:tab/>
        <w:t>Zemplar 1 mikrogram kapsel, mjuk</w:t>
      </w:r>
    </w:p>
    <w:p w14:paraId="0C883D14" w14:textId="77777777" w:rsidR="00E3770F" w:rsidRPr="00FB39A9" w:rsidRDefault="00E3770F" w:rsidP="00E3770F">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 kapsel, mjuk</w:t>
      </w:r>
    </w:p>
    <w:p w14:paraId="619BDFF0" w14:textId="77777777" w:rsidR="00E3770F" w:rsidRPr="00FB39A9" w:rsidRDefault="00E3770F" w:rsidP="00E3770F">
      <w:pPr>
        <w:rPr>
          <w:lang w:val="lt-LT"/>
        </w:rPr>
      </w:pPr>
      <w:r w:rsidRPr="00FB39A9">
        <w:rPr>
          <w:b/>
          <w:lang w:val="lt-LT"/>
        </w:rPr>
        <w:t>Jungtinė Karalystė:</w:t>
      </w:r>
      <w:r w:rsidRPr="00FB39A9">
        <w:rPr>
          <w:lang w:val="lt-LT"/>
        </w:rPr>
        <w:t xml:space="preserve"> Zemplar 1 microgram capsules, soft</w:t>
      </w:r>
    </w:p>
    <w:p w14:paraId="33EAD274" w14:textId="77777777" w:rsidR="00E3770F" w:rsidRPr="00FB39A9" w:rsidRDefault="00E3770F" w:rsidP="00E3770F">
      <w:pPr>
        <w:tabs>
          <w:tab w:val="clear" w:pos="567"/>
          <w:tab w:val="left" w:pos="1710"/>
        </w:tabs>
        <w:rPr>
          <w:lang w:val="lt-LT"/>
        </w:rPr>
      </w:pPr>
      <w:r w:rsidRPr="00FB39A9">
        <w:rPr>
          <w:lang w:val="lt-LT"/>
        </w:rPr>
        <w:tab/>
        <w:t xml:space="preserve">   Zemplar 2 micrograms capsules, soft</w:t>
      </w:r>
    </w:p>
    <w:p w14:paraId="529884EE" w14:textId="77777777" w:rsidR="00E3770F" w:rsidRPr="0059462A" w:rsidRDefault="00E3770F" w:rsidP="00E3770F">
      <w:pPr>
        <w:rPr>
          <w:lang w:val="lt-LT"/>
        </w:rPr>
      </w:pPr>
    </w:p>
    <w:p w14:paraId="403081AB" w14:textId="6DF83835" w:rsidR="00E3770F" w:rsidRPr="0059462A" w:rsidRDefault="00E3770F" w:rsidP="00E3770F">
      <w:pPr>
        <w:rPr>
          <w:rFonts w:asciiTheme="minorHAnsi" w:eastAsiaTheme="minorHAnsi" w:hAnsiTheme="minorHAnsi" w:cstheme="minorBidi"/>
          <w:b/>
          <w:szCs w:val="22"/>
          <w:lang w:val="lt-LT"/>
        </w:rPr>
      </w:pPr>
      <w:r w:rsidRPr="0059462A">
        <w:rPr>
          <w:b/>
          <w:lang w:val="lt-LT"/>
        </w:rPr>
        <w:t>Šis pakuotės lapelis paskutinį kartą peržiūrėtas</w:t>
      </w:r>
      <w:r w:rsidR="00AE5542">
        <w:rPr>
          <w:b/>
          <w:lang w:val="lt-LT"/>
        </w:rPr>
        <w:t xml:space="preserve"> 2020-01-27</w:t>
      </w:r>
      <w:r w:rsidR="000918E6">
        <w:rPr>
          <w:b/>
          <w:lang w:val="lt-LT"/>
        </w:rPr>
        <w:t>.</w:t>
      </w:r>
    </w:p>
    <w:p w14:paraId="1FEB437B" w14:textId="77777777" w:rsidR="00E3770F" w:rsidRPr="0059462A" w:rsidRDefault="00E3770F" w:rsidP="00E3770F">
      <w:pPr>
        <w:rPr>
          <w:szCs w:val="22"/>
          <w:lang w:val="lt-LT"/>
        </w:rPr>
      </w:pPr>
    </w:p>
    <w:p w14:paraId="1F888EAB" w14:textId="77777777" w:rsidR="00E3770F" w:rsidRPr="00FB39A9" w:rsidRDefault="00E3770F" w:rsidP="00E3770F">
      <w:pPr>
        <w:rPr>
          <w:lang w:val="lt-LT"/>
        </w:rPr>
      </w:pPr>
      <w:r w:rsidRPr="00FB39A9">
        <w:rPr>
          <w:lang w:val="lt-LT"/>
        </w:rPr>
        <w:t>Norėdami pasiklausyti pakuotės lapelio teksto ar gauti šio lapelio kopiją &lt;Brailio raštu&gt; &lt;dideliu šriftu&gt; ar &lt;garso rinkmenos pavidalu&gt;, susisiekite su vietiniu registruotojo atstovu.</w:t>
      </w:r>
    </w:p>
    <w:p w14:paraId="54D5E673" w14:textId="77777777" w:rsidR="00E3770F" w:rsidRPr="0059462A" w:rsidRDefault="00E3770F" w:rsidP="00E3770F">
      <w:pPr>
        <w:rPr>
          <w:lang w:val="lt-LT"/>
        </w:rPr>
      </w:pPr>
    </w:p>
    <w:p w14:paraId="2CF6A9B0" w14:textId="77777777" w:rsidR="00E3770F" w:rsidRPr="0059462A" w:rsidRDefault="00E3770F" w:rsidP="00E3770F">
      <w:pPr>
        <w:rPr>
          <w:rStyle w:val="Hipersaitas"/>
          <w:rFonts w:asciiTheme="minorHAnsi" w:eastAsiaTheme="minorHAnsi" w:hAnsiTheme="minorHAnsi"/>
          <w:szCs w:val="22"/>
          <w:lang w:val="lt-LT"/>
        </w:rPr>
      </w:pPr>
      <w:r w:rsidRPr="0059462A">
        <w:rPr>
          <w:lang w:val="lt-LT"/>
        </w:rPr>
        <w:t xml:space="preserve">Išsami informacija apie šį vaistą pateikiama Valstybinės vaistų kontrolės tarnybos prie Lietuvos Respublikos sveikatos apsaugos ministerijos tinklalapyje </w:t>
      </w:r>
      <w:hyperlink r:id="rId13" w:history="1">
        <w:r w:rsidRPr="0059462A">
          <w:rPr>
            <w:rStyle w:val="Hipersaitas"/>
            <w:lang w:val="lt-LT"/>
          </w:rPr>
          <w:t>http://www.vvkt.lt/</w:t>
        </w:r>
      </w:hyperlink>
    </w:p>
    <w:p w14:paraId="0DD88B99" w14:textId="77777777" w:rsidR="00E3770F" w:rsidRPr="0059462A" w:rsidRDefault="00E3770F" w:rsidP="00E3770F">
      <w:pPr>
        <w:rPr>
          <w:lang w:val="lt-LT"/>
        </w:rPr>
      </w:pPr>
    </w:p>
    <w:p w14:paraId="47702B12" w14:textId="77777777" w:rsidR="00090260" w:rsidRDefault="00090260"/>
    <w:sectPr w:rsidR="00090260" w:rsidSect="00090260">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6F121" w14:textId="77777777" w:rsidR="00BB408D" w:rsidRDefault="00BB408D">
      <w:pPr>
        <w:spacing w:line="240" w:lineRule="auto"/>
      </w:pPr>
      <w:r>
        <w:separator/>
      </w:r>
    </w:p>
  </w:endnote>
  <w:endnote w:type="continuationSeparator" w:id="0">
    <w:p w14:paraId="6DE25C32" w14:textId="77777777" w:rsidR="00BB408D" w:rsidRDefault="00BB408D">
      <w:pPr>
        <w:spacing w:line="240" w:lineRule="auto"/>
      </w:pPr>
      <w:r>
        <w:continuationSeparator/>
      </w:r>
    </w:p>
  </w:endnote>
  <w:endnote w:type="continuationNotice" w:id="1">
    <w:p w14:paraId="033AAB7B" w14:textId="77777777" w:rsidR="00BB408D" w:rsidRDefault="00BB40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3E1C" w14:textId="5BAE460C" w:rsidR="000648E2" w:rsidRDefault="000648E2">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2D22AF">
      <w:rPr>
        <w:rStyle w:val="Puslapionumeris"/>
        <w:noProof/>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A1B3" w14:textId="23A243DF" w:rsidR="000648E2" w:rsidRDefault="000648E2">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2D22AF">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C528F" w14:textId="77777777" w:rsidR="00BB408D" w:rsidRDefault="00BB408D">
      <w:pPr>
        <w:spacing w:line="240" w:lineRule="auto"/>
      </w:pPr>
      <w:r>
        <w:separator/>
      </w:r>
    </w:p>
  </w:footnote>
  <w:footnote w:type="continuationSeparator" w:id="0">
    <w:p w14:paraId="25913BB9" w14:textId="77777777" w:rsidR="00BB408D" w:rsidRDefault="00BB408D">
      <w:pPr>
        <w:spacing w:line="240" w:lineRule="auto"/>
      </w:pPr>
      <w:r>
        <w:continuationSeparator/>
      </w:r>
    </w:p>
  </w:footnote>
  <w:footnote w:type="continuationNotice" w:id="1">
    <w:p w14:paraId="392C0F71" w14:textId="77777777" w:rsidR="00BB408D" w:rsidRDefault="00BB40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A7A54" w14:textId="77777777" w:rsidR="000648E2" w:rsidRDefault="000648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4A1422"/>
    <w:multiLevelType w:val="hybridMultilevel"/>
    <w:tmpl w:val="5DF4D9B8"/>
    <w:lvl w:ilvl="0" w:tplc="04090015">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19ED4B68"/>
    <w:multiLevelType w:val="hybridMultilevel"/>
    <w:tmpl w:val="25A4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E76AF"/>
    <w:multiLevelType w:val="multilevel"/>
    <w:tmpl w:val="F8906FE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3730936"/>
    <w:multiLevelType w:val="hybridMultilevel"/>
    <w:tmpl w:val="14D2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862599C"/>
    <w:multiLevelType w:val="hybridMultilevel"/>
    <w:tmpl w:val="10DE6432"/>
    <w:lvl w:ilvl="0" w:tplc="7444F99A">
      <w:start w:val="4"/>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92A04C6"/>
    <w:multiLevelType w:val="hybridMultilevel"/>
    <w:tmpl w:val="8430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04748"/>
    <w:multiLevelType w:val="hybridMultilevel"/>
    <w:tmpl w:val="9D9A8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5D7E00"/>
    <w:multiLevelType w:val="hybridMultilevel"/>
    <w:tmpl w:val="6DA61656"/>
    <w:lvl w:ilvl="0" w:tplc="9A808F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52B21"/>
    <w:multiLevelType w:val="hybridMultilevel"/>
    <w:tmpl w:val="A4C8148E"/>
    <w:lvl w:ilvl="0" w:tplc="6D664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54E4B"/>
    <w:multiLevelType w:val="hybridMultilevel"/>
    <w:tmpl w:val="ACFA84AA"/>
    <w:lvl w:ilvl="0" w:tplc="3BA0D374">
      <w:start w:val="17"/>
      <w:numFmt w:val="decimal"/>
      <w:lvlText w:val="%1."/>
      <w:lvlJc w:val="left"/>
      <w:pPr>
        <w:ind w:left="1650" w:hanging="57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14835"/>
    <w:multiLevelType w:val="multilevel"/>
    <w:tmpl w:val="B2366620"/>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752A1B7D"/>
    <w:multiLevelType w:val="hybridMultilevel"/>
    <w:tmpl w:val="9908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2"/>
  </w:num>
  <w:num w:numId="4">
    <w:abstractNumId w:val="5"/>
  </w:num>
  <w:num w:numId="5">
    <w:abstractNumId w:val="3"/>
  </w:num>
  <w:num w:numId="6">
    <w:abstractNumId w:val="6"/>
  </w:num>
  <w:num w:numId="7">
    <w:abstractNumId w:val="1"/>
  </w:num>
  <w:num w:numId="8">
    <w:abstractNumId w:val="9"/>
  </w:num>
  <w:num w:numId="9">
    <w:abstractNumId w:val="14"/>
  </w:num>
  <w:num w:numId="10">
    <w:abstractNumId w:val="11"/>
  </w:num>
  <w:num w:numId="11">
    <w:abstractNumId w:val="7"/>
  </w:num>
  <w:num w:numId="12">
    <w:abstractNumId w:val="13"/>
  </w:num>
  <w:num w:numId="13">
    <w:abstractNumId w:val="2"/>
  </w:num>
  <w:num w:numId="14">
    <w:abstractNumId w:val="8"/>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1D"/>
    <w:rsid w:val="00000148"/>
    <w:rsid w:val="00000393"/>
    <w:rsid w:val="00000C72"/>
    <w:rsid w:val="000011A8"/>
    <w:rsid w:val="00001556"/>
    <w:rsid w:val="00001639"/>
    <w:rsid w:val="00001C32"/>
    <w:rsid w:val="00001E21"/>
    <w:rsid w:val="00001E61"/>
    <w:rsid w:val="0000225A"/>
    <w:rsid w:val="0000298D"/>
    <w:rsid w:val="00002DD1"/>
    <w:rsid w:val="00004143"/>
    <w:rsid w:val="00005DC6"/>
    <w:rsid w:val="00006030"/>
    <w:rsid w:val="000064C7"/>
    <w:rsid w:val="000069BA"/>
    <w:rsid w:val="00007012"/>
    <w:rsid w:val="0000723E"/>
    <w:rsid w:val="00007677"/>
    <w:rsid w:val="00010F03"/>
    <w:rsid w:val="00011055"/>
    <w:rsid w:val="00011172"/>
    <w:rsid w:val="000115DB"/>
    <w:rsid w:val="00011A06"/>
    <w:rsid w:val="00011FCC"/>
    <w:rsid w:val="0001305E"/>
    <w:rsid w:val="00013655"/>
    <w:rsid w:val="000139D1"/>
    <w:rsid w:val="00014553"/>
    <w:rsid w:val="00014AAE"/>
    <w:rsid w:val="00014BDC"/>
    <w:rsid w:val="000155A5"/>
    <w:rsid w:val="00015B52"/>
    <w:rsid w:val="0001676B"/>
    <w:rsid w:val="00017748"/>
    <w:rsid w:val="000178A0"/>
    <w:rsid w:val="00020086"/>
    <w:rsid w:val="000210C4"/>
    <w:rsid w:val="00021532"/>
    <w:rsid w:val="000219B3"/>
    <w:rsid w:val="00022D4B"/>
    <w:rsid w:val="000230A3"/>
    <w:rsid w:val="00023C9D"/>
    <w:rsid w:val="000250F1"/>
    <w:rsid w:val="00025835"/>
    <w:rsid w:val="000263A9"/>
    <w:rsid w:val="00026854"/>
    <w:rsid w:val="00026BC1"/>
    <w:rsid w:val="00027CA6"/>
    <w:rsid w:val="00027E9B"/>
    <w:rsid w:val="000303AB"/>
    <w:rsid w:val="000303B2"/>
    <w:rsid w:val="00030669"/>
    <w:rsid w:val="00031406"/>
    <w:rsid w:val="00031582"/>
    <w:rsid w:val="00031C52"/>
    <w:rsid w:val="00031E69"/>
    <w:rsid w:val="00032071"/>
    <w:rsid w:val="00033F1E"/>
    <w:rsid w:val="00035384"/>
    <w:rsid w:val="000355AB"/>
    <w:rsid w:val="00035E4F"/>
    <w:rsid w:val="00036347"/>
    <w:rsid w:val="00036E5E"/>
    <w:rsid w:val="00036EB6"/>
    <w:rsid w:val="00037F87"/>
    <w:rsid w:val="00040499"/>
    <w:rsid w:val="0004080B"/>
    <w:rsid w:val="0004109C"/>
    <w:rsid w:val="00041773"/>
    <w:rsid w:val="00041A38"/>
    <w:rsid w:val="00041A60"/>
    <w:rsid w:val="00041E39"/>
    <w:rsid w:val="0004451B"/>
    <w:rsid w:val="000448C8"/>
    <w:rsid w:val="00045C00"/>
    <w:rsid w:val="0004634D"/>
    <w:rsid w:val="000473B6"/>
    <w:rsid w:val="000476A9"/>
    <w:rsid w:val="00047808"/>
    <w:rsid w:val="000478B6"/>
    <w:rsid w:val="0005021D"/>
    <w:rsid w:val="000505BA"/>
    <w:rsid w:val="00050A8A"/>
    <w:rsid w:val="00050D36"/>
    <w:rsid w:val="00051061"/>
    <w:rsid w:val="00052C8D"/>
    <w:rsid w:val="00052CCF"/>
    <w:rsid w:val="00053138"/>
    <w:rsid w:val="000536B6"/>
    <w:rsid w:val="000539AA"/>
    <w:rsid w:val="000542B6"/>
    <w:rsid w:val="0005460C"/>
    <w:rsid w:val="000565CE"/>
    <w:rsid w:val="000608F2"/>
    <w:rsid w:val="0006124F"/>
    <w:rsid w:val="00061379"/>
    <w:rsid w:val="00061802"/>
    <w:rsid w:val="00061B8A"/>
    <w:rsid w:val="000631AC"/>
    <w:rsid w:val="00064269"/>
    <w:rsid w:val="000648E2"/>
    <w:rsid w:val="00064B94"/>
    <w:rsid w:val="00064C36"/>
    <w:rsid w:val="00064D82"/>
    <w:rsid w:val="00064EF8"/>
    <w:rsid w:val="00064FDF"/>
    <w:rsid w:val="000651F1"/>
    <w:rsid w:val="000655E0"/>
    <w:rsid w:val="00065ED2"/>
    <w:rsid w:val="00065EDA"/>
    <w:rsid w:val="00065F0D"/>
    <w:rsid w:val="00066E74"/>
    <w:rsid w:val="000673F8"/>
    <w:rsid w:val="00067D20"/>
    <w:rsid w:val="00067E00"/>
    <w:rsid w:val="00070A26"/>
    <w:rsid w:val="00070C43"/>
    <w:rsid w:val="00070D80"/>
    <w:rsid w:val="00071E67"/>
    <w:rsid w:val="00072D52"/>
    <w:rsid w:val="0007427B"/>
    <w:rsid w:val="0007438E"/>
    <w:rsid w:val="000747B1"/>
    <w:rsid w:val="00074C23"/>
    <w:rsid w:val="00075D30"/>
    <w:rsid w:val="000769F0"/>
    <w:rsid w:val="00076EC4"/>
    <w:rsid w:val="000778A0"/>
    <w:rsid w:val="00077A34"/>
    <w:rsid w:val="00080D37"/>
    <w:rsid w:val="00080F15"/>
    <w:rsid w:val="00080F31"/>
    <w:rsid w:val="000826E9"/>
    <w:rsid w:val="0008291F"/>
    <w:rsid w:val="00083008"/>
    <w:rsid w:val="0008464E"/>
    <w:rsid w:val="00084ECB"/>
    <w:rsid w:val="00084F6E"/>
    <w:rsid w:val="0008542C"/>
    <w:rsid w:val="00086130"/>
    <w:rsid w:val="000865AD"/>
    <w:rsid w:val="00086692"/>
    <w:rsid w:val="000867D8"/>
    <w:rsid w:val="00086F3A"/>
    <w:rsid w:val="00090260"/>
    <w:rsid w:val="00090C0B"/>
    <w:rsid w:val="000918E6"/>
    <w:rsid w:val="00091BF2"/>
    <w:rsid w:val="00091CC3"/>
    <w:rsid w:val="000920BF"/>
    <w:rsid w:val="000924EA"/>
    <w:rsid w:val="00092AFA"/>
    <w:rsid w:val="0009346B"/>
    <w:rsid w:val="0009363A"/>
    <w:rsid w:val="00093777"/>
    <w:rsid w:val="000948B3"/>
    <w:rsid w:val="00095030"/>
    <w:rsid w:val="000951F8"/>
    <w:rsid w:val="00095F2B"/>
    <w:rsid w:val="0009612D"/>
    <w:rsid w:val="00097219"/>
    <w:rsid w:val="000974A5"/>
    <w:rsid w:val="000974FE"/>
    <w:rsid w:val="0009760E"/>
    <w:rsid w:val="0009793B"/>
    <w:rsid w:val="000A00FE"/>
    <w:rsid w:val="000A015B"/>
    <w:rsid w:val="000A06AF"/>
    <w:rsid w:val="000A0AA9"/>
    <w:rsid w:val="000A0D38"/>
    <w:rsid w:val="000A0E37"/>
    <w:rsid w:val="000A0FB7"/>
    <w:rsid w:val="000A1F93"/>
    <w:rsid w:val="000A361C"/>
    <w:rsid w:val="000A44A9"/>
    <w:rsid w:val="000A5371"/>
    <w:rsid w:val="000A5400"/>
    <w:rsid w:val="000A5ED2"/>
    <w:rsid w:val="000B0268"/>
    <w:rsid w:val="000B074A"/>
    <w:rsid w:val="000B0757"/>
    <w:rsid w:val="000B11E2"/>
    <w:rsid w:val="000B14F2"/>
    <w:rsid w:val="000B1B7C"/>
    <w:rsid w:val="000B2322"/>
    <w:rsid w:val="000B2DE1"/>
    <w:rsid w:val="000B2DFA"/>
    <w:rsid w:val="000B4636"/>
    <w:rsid w:val="000B5D17"/>
    <w:rsid w:val="000B63B3"/>
    <w:rsid w:val="000B7CBF"/>
    <w:rsid w:val="000C044B"/>
    <w:rsid w:val="000C0A31"/>
    <w:rsid w:val="000C0D7C"/>
    <w:rsid w:val="000C1217"/>
    <w:rsid w:val="000C16D4"/>
    <w:rsid w:val="000C1ACD"/>
    <w:rsid w:val="000C1B3D"/>
    <w:rsid w:val="000C26D5"/>
    <w:rsid w:val="000C2C99"/>
    <w:rsid w:val="000C3BC0"/>
    <w:rsid w:val="000C4093"/>
    <w:rsid w:val="000C7F67"/>
    <w:rsid w:val="000D07EF"/>
    <w:rsid w:val="000D0FFB"/>
    <w:rsid w:val="000D145B"/>
    <w:rsid w:val="000D16F6"/>
    <w:rsid w:val="000D17B8"/>
    <w:rsid w:val="000D35A6"/>
    <w:rsid w:val="000D37C0"/>
    <w:rsid w:val="000D4983"/>
    <w:rsid w:val="000D4F39"/>
    <w:rsid w:val="000D56D4"/>
    <w:rsid w:val="000D5B84"/>
    <w:rsid w:val="000D5E51"/>
    <w:rsid w:val="000D61C3"/>
    <w:rsid w:val="000D6A62"/>
    <w:rsid w:val="000D6C4E"/>
    <w:rsid w:val="000D7870"/>
    <w:rsid w:val="000E0612"/>
    <w:rsid w:val="000E21C5"/>
    <w:rsid w:val="000E3341"/>
    <w:rsid w:val="000E355E"/>
    <w:rsid w:val="000E3B90"/>
    <w:rsid w:val="000E47D9"/>
    <w:rsid w:val="000E5212"/>
    <w:rsid w:val="000E61E6"/>
    <w:rsid w:val="000E65E6"/>
    <w:rsid w:val="000E6D7A"/>
    <w:rsid w:val="000E6E78"/>
    <w:rsid w:val="000E75A3"/>
    <w:rsid w:val="000E7AA8"/>
    <w:rsid w:val="000E7BB4"/>
    <w:rsid w:val="000F030B"/>
    <w:rsid w:val="000F3869"/>
    <w:rsid w:val="000F388B"/>
    <w:rsid w:val="000F3A07"/>
    <w:rsid w:val="000F3C48"/>
    <w:rsid w:val="000F4A4E"/>
    <w:rsid w:val="000F523D"/>
    <w:rsid w:val="000F5D69"/>
    <w:rsid w:val="000F6986"/>
    <w:rsid w:val="000F6EF7"/>
    <w:rsid w:val="000F7145"/>
    <w:rsid w:val="000F7F6B"/>
    <w:rsid w:val="0010064E"/>
    <w:rsid w:val="00100A89"/>
    <w:rsid w:val="00101A72"/>
    <w:rsid w:val="00102413"/>
    <w:rsid w:val="00102554"/>
    <w:rsid w:val="001028D1"/>
    <w:rsid w:val="00103477"/>
    <w:rsid w:val="00103713"/>
    <w:rsid w:val="00103D14"/>
    <w:rsid w:val="0010413A"/>
    <w:rsid w:val="00104DFD"/>
    <w:rsid w:val="001051EF"/>
    <w:rsid w:val="001052B4"/>
    <w:rsid w:val="00105C08"/>
    <w:rsid w:val="00106054"/>
    <w:rsid w:val="0010616F"/>
    <w:rsid w:val="001063EA"/>
    <w:rsid w:val="00106F4D"/>
    <w:rsid w:val="0010753A"/>
    <w:rsid w:val="001079D3"/>
    <w:rsid w:val="00110863"/>
    <w:rsid w:val="00110B5C"/>
    <w:rsid w:val="00112706"/>
    <w:rsid w:val="00112843"/>
    <w:rsid w:val="0011337A"/>
    <w:rsid w:val="00113511"/>
    <w:rsid w:val="00113754"/>
    <w:rsid w:val="00114A11"/>
    <w:rsid w:val="001158EE"/>
    <w:rsid w:val="00115F86"/>
    <w:rsid w:val="00117675"/>
    <w:rsid w:val="00117D9E"/>
    <w:rsid w:val="00120187"/>
    <w:rsid w:val="00120456"/>
    <w:rsid w:val="00120872"/>
    <w:rsid w:val="00120EF7"/>
    <w:rsid w:val="00121503"/>
    <w:rsid w:val="00121E16"/>
    <w:rsid w:val="001229E2"/>
    <w:rsid w:val="00122FB9"/>
    <w:rsid w:val="001247A4"/>
    <w:rsid w:val="00125151"/>
    <w:rsid w:val="001255B1"/>
    <w:rsid w:val="00126115"/>
    <w:rsid w:val="00130124"/>
    <w:rsid w:val="0013064E"/>
    <w:rsid w:val="00130F13"/>
    <w:rsid w:val="00131CD2"/>
    <w:rsid w:val="00132D2F"/>
    <w:rsid w:val="00132E27"/>
    <w:rsid w:val="00133974"/>
    <w:rsid w:val="00134852"/>
    <w:rsid w:val="00134E08"/>
    <w:rsid w:val="00135228"/>
    <w:rsid w:val="00135263"/>
    <w:rsid w:val="0013534A"/>
    <w:rsid w:val="0013555B"/>
    <w:rsid w:val="00136646"/>
    <w:rsid w:val="0013672F"/>
    <w:rsid w:val="00137175"/>
    <w:rsid w:val="00137798"/>
    <w:rsid w:val="00140221"/>
    <w:rsid w:val="00140718"/>
    <w:rsid w:val="00140A9F"/>
    <w:rsid w:val="00141A82"/>
    <w:rsid w:val="00141AD9"/>
    <w:rsid w:val="00141C7E"/>
    <w:rsid w:val="00143195"/>
    <w:rsid w:val="00143607"/>
    <w:rsid w:val="00144374"/>
    <w:rsid w:val="001448E6"/>
    <w:rsid w:val="00144AA0"/>
    <w:rsid w:val="00145412"/>
    <w:rsid w:val="00145B08"/>
    <w:rsid w:val="00145D5C"/>
    <w:rsid w:val="00145F33"/>
    <w:rsid w:val="00146A08"/>
    <w:rsid w:val="001472CE"/>
    <w:rsid w:val="00147788"/>
    <w:rsid w:val="00147A4A"/>
    <w:rsid w:val="00150F4F"/>
    <w:rsid w:val="00151E4C"/>
    <w:rsid w:val="00151F92"/>
    <w:rsid w:val="001523CE"/>
    <w:rsid w:val="00152639"/>
    <w:rsid w:val="00152DA3"/>
    <w:rsid w:val="00152EFE"/>
    <w:rsid w:val="001531D8"/>
    <w:rsid w:val="001539B8"/>
    <w:rsid w:val="001539F2"/>
    <w:rsid w:val="00153E8B"/>
    <w:rsid w:val="00154EE9"/>
    <w:rsid w:val="001557A1"/>
    <w:rsid w:val="00155E51"/>
    <w:rsid w:val="001561E2"/>
    <w:rsid w:val="00156D57"/>
    <w:rsid w:val="00157685"/>
    <w:rsid w:val="00160202"/>
    <w:rsid w:val="00160DBA"/>
    <w:rsid w:val="00160F97"/>
    <w:rsid w:val="00161414"/>
    <w:rsid w:val="001619D8"/>
    <w:rsid w:val="001620D7"/>
    <w:rsid w:val="00162E17"/>
    <w:rsid w:val="00163044"/>
    <w:rsid w:val="0016304F"/>
    <w:rsid w:val="00163D6A"/>
    <w:rsid w:val="0016473A"/>
    <w:rsid w:val="001647BA"/>
    <w:rsid w:val="00164879"/>
    <w:rsid w:val="00164DF1"/>
    <w:rsid w:val="0016564D"/>
    <w:rsid w:val="001656B3"/>
    <w:rsid w:val="001656DE"/>
    <w:rsid w:val="00165E12"/>
    <w:rsid w:val="001664EE"/>
    <w:rsid w:val="0016734B"/>
    <w:rsid w:val="0016745C"/>
    <w:rsid w:val="001674B3"/>
    <w:rsid w:val="00167BD4"/>
    <w:rsid w:val="00170672"/>
    <w:rsid w:val="001723A4"/>
    <w:rsid w:val="00173082"/>
    <w:rsid w:val="0017386C"/>
    <w:rsid w:val="001751E7"/>
    <w:rsid w:val="00175472"/>
    <w:rsid w:val="00176490"/>
    <w:rsid w:val="00176C92"/>
    <w:rsid w:val="00177620"/>
    <w:rsid w:val="001777DF"/>
    <w:rsid w:val="001777F1"/>
    <w:rsid w:val="00177CDF"/>
    <w:rsid w:val="00180872"/>
    <w:rsid w:val="00181906"/>
    <w:rsid w:val="001820D8"/>
    <w:rsid w:val="0018258C"/>
    <w:rsid w:val="0018287D"/>
    <w:rsid w:val="00182DCA"/>
    <w:rsid w:val="001837E2"/>
    <w:rsid w:val="00184515"/>
    <w:rsid w:val="001846E2"/>
    <w:rsid w:val="00184920"/>
    <w:rsid w:val="00185841"/>
    <w:rsid w:val="00185E09"/>
    <w:rsid w:val="00185E89"/>
    <w:rsid w:val="0018627D"/>
    <w:rsid w:val="00187672"/>
    <w:rsid w:val="001906AB"/>
    <w:rsid w:val="00190942"/>
    <w:rsid w:val="00190C36"/>
    <w:rsid w:val="00191093"/>
    <w:rsid w:val="001914A1"/>
    <w:rsid w:val="001929FB"/>
    <w:rsid w:val="001936EE"/>
    <w:rsid w:val="00193A76"/>
    <w:rsid w:val="00194118"/>
    <w:rsid w:val="001942E9"/>
    <w:rsid w:val="001946B5"/>
    <w:rsid w:val="00194C5E"/>
    <w:rsid w:val="00195CB4"/>
    <w:rsid w:val="00197603"/>
    <w:rsid w:val="001A0285"/>
    <w:rsid w:val="001A0584"/>
    <w:rsid w:val="001A14C7"/>
    <w:rsid w:val="001A1F0F"/>
    <w:rsid w:val="001A2BD9"/>
    <w:rsid w:val="001A2CB3"/>
    <w:rsid w:val="001A2F23"/>
    <w:rsid w:val="001A2FD6"/>
    <w:rsid w:val="001A30AA"/>
    <w:rsid w:val="001A4089"/>
    <w:rsid w:val="001A4289"/>
    <w:rsid w:val="001A4841"/>
    <w:rsid w:val="001A5231"/>
    <w:rsid w:val="001A5339"/>
    <w:rsid w:val="001A5536"/>
    <w:rsid w:val="001A5A0E"/>
    <w:rsid w:val="001A5BF8"/>
    <w:rsid w:val="001A5E30"/>
    <w:rsid w:val="001A62B6"/>
    <w:rsid w:val="001A6C44"/>
    <w:rsid w:val="001A7C24"/>
    <w:rsid w:val="001A7D33"/>
    <w:rsid w:val="001B0277"/>
    <w:rsid w:val="001B037F"/>
    <w:rsid w:val="001B0AA0"/>
    <w:rsid w:val="001B0F39"/>
    <w:rsid w:val="001B0F5D"/>
    <w:rsid w:val="001B14A2"/>
    <w:rsid w:val="001B168E"/>
    <w:rsid w:val="001B4E9E"/>
    <w:rsid w:val="001B53C5"/>
    <w:rsid w:val="001B5C41"/>
    <w:rsid w:val="001B6C33"/>
    <w:rsid w:val="001B7863"/>
    <w:rsid w:val="001B7D31"/>
    <w:rsid w:val="001C168F"/>
    <w:rsid w:val="001C1A4D"/>
    <w:rsid w:val="001C1BD6"/>
    <w:rsid w:val="001C1FD4"/>
    <w:rsid w:val="001C2036"/>
    <w:rsid w:val="001C2440"/>
    <w:rsid w:val="001C2505"/>
    <w:rsid w:val="001C2C6D"/>
    <w:rsid w:val="001C2E05"/>
    <w:rsid w:val="001C39E1"/>
    <w:rsid w:val="001C435B"/>
    <w:rsid w:val="001C438E"/>
    <w:rsid w:val="001C473F"/>
    <w:rsid w:val="001C4B39"/>
    <w:rsid w:val="001C51C1"/>
    <w:rsid w:val="001C617E"/>
    <w:rsid w:val="001C6E3E"/>
    <w:rsid w:val="001C7354"/>
    <w:rsid w:val="001C78CA"/>
    <w:rsid w:val="001C7A50"/>
    <w:rsid w:val="001C7B15"/>
    <w:rsid w:val="001C7F1D"/>
    <w:rsid w:val="001D0C7F"/>
    <w:rsid w:val="001D0F56"/>
    <w:rsid w:val="001D1521"/>
    <w:rsid w:val="001D1DA8"/>
    <w:rsid w:val="001D241C"/>
    <w:rsid w:val="001D2509"/>
    <w:rsid w:val="001D266C"/>
    <w:rsid w:val="001D2812"/>
    <w:rsid w:val="001D28C6"/>
    <w:rsid w:val="001D3B46"/>
    <w:rsid w:val="001D4328"/>
    <w:rsid w:val="001D4B3E"/>
    <w:rsid w:val="001D57BE"/>
    <w:rsid w:val="001D59DF"/>
    <w:rsid w:val="001D6E8D"/>
    <w:rsid w:val="001D743E"/>
    <w:rsid w:val="001D7842"/>
    <w:rsid w:val="001D7964"/>
    <w:rsid w:val="001D7E13"/>
    <w:rsid w:val="001E03B1"/>
    <w:rsid w:val="001E06B7"/>
    <w:rsid w:val="001E0787"/>
    <w:rsid w:val="001E0B6D"/>
    <w:rsid w:val="001E0DF8"/>
    <w:rsid w:val="001E21E4"/>
    <w:rsid w:val="001E39DA"/>
    <w:rsid w:val="001E3F9F"/>
    <w:rsid w:val="001E4A21"/>
    <w:rsid w:val="001E4CC1"/>
    <w:rsid w:val="001E59EA"/>
    <w:rsid w:val="001E5AF2"/>
    <w:rsid w:val="001E7DE7"/>
    <w:rsid w:val="001F0258"/>
    <w:rsid w:val="001F049A"/>
    <w:rsid w:val="001F04F2"/>
    <w:rsid w:val="001F0DC8"/>
    <w:rsid w:val="001F115E"/>
    <w:rsid w:val="001F1635"/>
    <w:rsid w:val="001F201C"/>
    <w:rsid w:val="001F2266"/>
    <w:rsid w:val="001F299A"/>
    <w:rsid w:val="001F2CDA"/>
    <w:rsid w:val="001F3E87"/>
    <w:rsid w:val="001F4CEE"/>
    <w:rsid w:val="001F50A8"/>
    <w:rsid w:val="001F54B5"/>
    <w:rsid w:val="001F5E3D"/>
    <w:rsid w:val="001F5F66"/>
    <w:rsid w:val="001F68E6"/>
    <w:rsid w:val="001F6BED"/>
    <w:rsid w:val="001F6BF0"/>
    <w:rsid w:val="001F6D3C"/>
    <w:rsid w:val="00200524"/>
    <w:rsid w:val="00200586"/>
    <w:rsid w:val="00200D1F"/>
    <w:rsid w:val="00200E0B"/>
    <w:rsid w:val="00202A53"/>
    <w:rsid w:val="00203A88"/>
    <w:rsid w:val="002042F4"/>
    <w:rsid w:val="00204906"/>
    <w:rsid w:val="00205FC9"/>
    <w:rsid w:val="00206D28"/>
    <w:rsid w:val="00207084"/>
    <w:rsid w:val="00207B99"/>
    <w:rsid w:val="0021036F"/>
    <w:rsid w:val="0021175C"/>
    <w:rsid w:val="00213DC3"/>
    <w:rsid w:val="00214FF3"/>
    <w:rsid w:val="0021503F"/>
    <w:rsid w:val="002159F0"/>
    <w:rsid w:val="002163C4"/>
    <w:rsid w:val="00216869"/>
    <w:rsid w:val="0021707F"/>
    <w:rsid w:val="00217E49"/>
    <w:rsid w:val="00220269"/>
    <w:rsid w:val="00220DDB"/>
    <w:rsid w:val="00220F12"/>
    <w:rsid w:val="002217AF"/>
    <w:rsid w:val="002224D7"/>
    <w:rsid w:val="0022254C"/>
    <w:rsid w:val="00222760"/>
    <w:rsid w:val="00224157"/>
    <w:rsid w:val="00224160"/>
    <w:rsid w:val="00224582"/>
    <w:rsid w:val="002245D5"/>
    <w:rsid w:val="00224919"/>
    <w:rsid w:val="002252DD"/>
    <w:rsid w:val="00225704"/>
    <w:rsid w:val="00227411"/>
    <w:rsid w:val="00230216"/>
    <w:rsid w:val="00231E13"/>
    <w:rsid w:val="002335D5"/>
    <w:rsid w:val="00234AAD"/>
    <w:rsid w:val="00234F52"/>
    <w:rsid w:val="00234F9D"/>
    <w:rsid w:val="00235EAF"/>
    <w:rsid w:val="00236232"/>
    <w:rsid w:val="0023788A"/>
    <w:rsid w:val="00237F4B"/>
    <w:rsid w:val="00241255"/>
    <w:rsid w:val="00241AB0"/>
    <w:rsid w:val="00241E12"/>
    <w:rsid w:val="00241FFE"/>
    <w:rsid w:val="002426DD"/>
    <w:rsid w:val="00242AC5"/>
    <w:rsid w:val="00242B9B"/>
    <w:rsid w:val="00243677"/>
    <w:rsid w:val="002438FC"/>
    <w:rsid w:val="00243EB0"/>
    <w:rsid w:val="0024446E"/>
    <w:rsid w:val="002446D8"/>
    <w:rsid w:val="00244809"/>
    <w:rsid w:val="0024499D"/>
    <w:rsid w:val="0024522F"/>
    <w:rsid w:val="002456A7"/>
    <w:rsid w:val="00246290"/>
    <w:rsid w:val="0024690F"/>
    <w:rsid w:val="00246B75"/>
    <w:rsid w:val="00247ABA"/>
    <w:rsid w:val="00247C1A"/>
    <w:rsid w:val="00250756"/>
    <w:rsid w:val="00250B98"/>
    <w:rsid w:val="00250F2C"/>
    <w:rsid w:val="00251FEC"/>
    <w:rsid w:val="00252637"/>
    <w:rsid w:val="00252E84"/>
    <w:rsid w:val="0025395D"/>
    <w:rsid w:val="002557F8"/>
    <w:rsid w:val="00256138"/>
    <w:rsid w:val="00260C75"/>
    <w:rsid w:val="00260D53"/>
    <w:rsid w:val="0026145B"/>
    <w:rsid w:val="002643CE"/>
    <w:rsid w:val="0026450F"/>
    <w:rsid w:val="002645F3"/>
    <w:rsid w:val="002653D2"/>
    <w:rsid w:val="002653E4"/>
    <w:rsid w:val="0026542A"/>
    <w:rsid w:val="002656C3"/>
    <w:rsid w:val="00265993"/>
    <w:rsid w:val="00266165"/>
    <w:rsid w:val="00267D3D"/>
    <w:rsid w:val="00267E70"/>
    <w:rsid w:val="00270F13"/>
    <w:rsid w:val="002714B8"/>
    <w:rsid w:val="00272BB1"/>
    <w:rsid w:val="002735F7"/>
    <w:rsid w:val="002757FB"/>
    <w:rsid w:val="00275D61"/>
    <w:rsid w:val="002762B8"/>
    <w:rsid w:val="00276FE7"/>
    <w:rsid w:val="00277CE8"/>
    <w:rsid w:val="00277D0B"/>
    <w:rsid w:val="00277DE6"/>
    <w:rsid w:val="0028051D"/>
    <w:rsid w:val="00280E85"/>
    <w:rsid w:val="002810DE"/>
    <w:rsid w:val="002825DA"/>
    <w:rsid w:val="002829C1"/>
    <w:rsid w:val="00282E3D"/>
    <w:rsid w:val="0028308E"/>
    <w:rsid w:val="00283C63"/>
    <w:rsid w:val="002842A6"/>
    <w:rsid w:val="00285DFF"/>
    <w:rsid w:val="002868D6"/>
    <w:rsid w:val="002875C5"/>
    <w:rsid w:val="002875EA"/>
    <w:rsid w:val="002912AB"/>
    <w:rsid w:val="00293583"/>
    <w:rsid w:val="00294A0A"/>
    <w:rsid w:val="00294CCD"/>
    <w:rsid w:val="00294F30"/>
    <w:rsid w:val="00295531"/>
    <w:rsid w:val="00297D40"/>
    <w:rsid w:val="002A23AA"/>
    <w:rsid w:val="002A40E0"/>
    <w:rsid w:val="002A4B5F"/>
    <w:rsid w:val="002A5A43"/>
    <w:rsid w:val="002A743F"/>
    <w:rsid w:val="002A7806"/>
    <w:rsid w:val="002A7980"/>
    <w:rsid w:val="002B04EB"/>
    <w:rsid w:val="002B0F23"/>
    <w:rsid w:val="002B0F48"/>
    <w:rsid w:val="002B119E"/>
    <w:rsid w:val="002B2172"/>
    <w:rsid w:val="002B312A"/>
    <w:rsid w:val="002B3277"/>
    <w:rsid w:val="002B6D8C"/>
    <w:rsid w:val="002B7354"/>
    <w:rsid w:val="002C08E8"/>
    <w:rsid w:val="002C08FE"/>
    <w:rsid w:val="002C0AB7"/>
    <w:rsid w:val="002C124C"/>
    <w:rsid w:val="002C131C"/>
    <w:rsid w:val="002C18E7"/>
    <w:rsid w:val="002C2E47"/>
    <w:rsid w:val="002C326D"/>
    <w:rsid w:val="002C35A6"/>
    <w:rsid w:val="002C3BE2"/>
    <w:rsid w:val="002C3D99"/>
    <w:rsid w:val="002C6B66"/>
    <w:rsid w:val="002C709A"/>
    <w:rsid w:val="002C792A"/>
    <w:rsid w:val="002C7FD0"/>
    <w:rsid w:val="002D0125"/>
    <w:rsid w:val="002D018B"/>
    <w:rsid w:val="002D156E"/>
    <w:rsid w:val="002D22AF"/>
    <w:rsid w:val="002D2422"/>
    <w:rsid w:val="002D2C6E"/>
    <w:rsid w:val="002D2EBD"/>
    <w:rsid w:val="002D32F6"/>
    <w:rsid w:val="002D4C06"/>
    <w:rsid w:val="002D5017"/>
    <w:rsid w:val="002D5283"/>
    <w:rsid w:val="002D61C6"/>
    <w:rsid w:val="002D67DB"/>
    <w:rsid w:val="002D747A"/>
    <w:rsid w:val="002D7B4C"/>
    <w:rsid w:val="002E00DC"/>
    <w:rsid w:val="002E054A"/>
    <w:rsid w:val="002E0563"/>
    <w:rsid w:val="002E2287"/>
    <w:rsid w:val="002E2308"/>
    <w:rsid w:val="002E26EE"/>
    <w:rsid w:val="002E2918"/>
    <w:rsid w:val="002E30D1"/>
    <w:rsid w:val="002E3486"/>
    <w:rsid w:val="002E3769"/>
    <w:rsid w:val="002E390F"/>
    <w:rsid w:val="002E4E62"/>
    <w:rsid w:val="002E5263"/>
    <w:rsid w:val="002E5B06"/>
    <w:rsid w:val="002E5D5E"/>
    <w:rsid w:val="002E5DC0"/>
    <w:rsid w:val="002E62D0"/>
    <w:rsid w:val="002E64C0"/>
    <w:rsid w:val="002E67E1"/>
    <w:rsid w:val="002E6FAB"/>
    <w:rsid w:val="002E728F"/>
    <w:rsid w:val="002F094E"/>
    <w:rsid w:val="002F0D68"/>
    <w:rsid w:val="002F0F87"/>
    <w:rsid w:val="002F158A"/>
    <w:rsid w:val="002F169A"/>
    <w:rsid w:val="002F1767"/>
    <w:rsid w:val="002F17C3"/>
    <w:rsid w:val="002F1962"/>
    <w:rsid w:val="002F2828"/>
    <w:rsid w:val="002F28D0"/>
    <w:rsid w:val="002F2DA2"/>
    <w:rsid w:val="002F3E45"/>
    <w:rsid w:val="002F4730"/>
    <w:rsid w:val="002F5233"/>
    <w:rsid w:val="002F5444"/>
    <w:rsid w:val="002F5D83"/>
    <w:rsid w:val="002F6283"/>
    <w:rsid w:val="002F62BD"/>
    <w:rsid w:val="002F7828"/>
    <w:rsid w:val="002F7BE9"/>
    <w:rsid w:val="0030098E"/>
    <w:rsid w:val="00300DA9"/>
    <w:rsid w:val="00301525"/>
    <w:rsid w:val="003017C1"/>
    <w:rsid w:val="00302DC3"/>
    <w:rsid w:val="003031E7"/>
    <w:rsid w:val="003033D8"/>
    <w:rsid w:val="00303684"/>
    <w:rsid w:val="00303D39"/>
    <w:rsid w:val="003046E1"/>
    <w:rsid w:val="00304991"/>
    <w:rsid w:val="00305CF1"/>
    <w:rsid w:val="00305FCF"/>
    <w:rsid w:val="00312C19"/>
    <w:rsid w:val="00312D4F"/>
    <w:rsid w:val="00312FB2"/>
    <w:rsid w:val="00313D48"/>
    <w:rsid w:val="00314281"/>
    <w:rsid w:val="003142E1"/>
    <w:rsid w:val="0031493E"/>
    <w:rsid w:val="003153AB"/>
    <w:rsid w:val="00317881"/>
    <w:rsid w:val="00320C77"/>
    <w:rsid w:val="00320FB0"/>
    <w:rsid w:val="003211A3"/>
    <w:rsid w:val="0032141A"/>
    <w:rsid w:val="0032234A"/>
    <w:rsid w:val="003243D4"/>
    <w:rsid w:val="00326212"/>
    <w:rsid w:val="00326240"/>
    <w:rsid w:val="003265C0"/>
    <w:rsid w:val="0032756B"/>
    <w:rsid w:val="00327769"/>
    <w:rsid w:val="003309CF"/>
    <w:rsid w:val="00330B94"/>
    <w:rsid w:val="00330DFE"/>
    <w:rsid w:val="0033150F"/>
    <w:rsid w:val="00331C2A"/>
    <w:rsid w:val="00331C3F"/>
    <w:rsid w:val="00331CFD"/>
    <w:rsid w:val="00332364"/>
    <w:rsid w:val="003324E3"/>
    <w:rsid w:val="00332D1D"/>
    <w:rsid w:val="0033320E"/>
    <w:rsid w:val="0033404C"/>
    <w:rsid w:val="003346EC"/>
    <w:rsid w:val="003347F5"/>
    <w:rsid w:val="00334B78"/>
    <w:rsid w:val="00334C8F"/>
    <w:rsid w:val="0033594E"/>
    <w:rsid w:val="00335EB2"/>
    <w:rsid w:val="0033783B"/>
    <w:rsid w:val="003379C3"/>
    <w:rsid w:val="00340254"/>
    <w:rsid w:val="0034093E"/>
    <w:rsid w:val="00340B4A"/>
    <w:rsid w:val="00340D48"/>
    <w:rsid w:val="003417C4"/>
    <w:rsid w:val="00341858"/>
    <w:rsid w:val="00341B77"/>
    <w:rsid w:val="00342441"/>
    <w:rsid w:val="003429F9"/>
    <w:rsid w:val="003439ED"/>
    <w:rsid w:val="00343ECE"/>
    <w:rsid w:val="00344352"/>
    <w:rsid w:val="00344432"/>
    <w:rsid w:val="00344EB9"/>
    <w:rsid w:val="0034568F"/>
    <w:rsid w:val="00345FBB"/>
    <w:rsid w:val="0034637E"/>
    <w:rsid w:val="00347563"/>
    <w:rsid w:val="003513A9"/>
    <w:rsid w:val="003516C0"/>
    <w:rsid w:val="00351BA8"/>
    <w:rsid w:val="0035295E"/>
    <w:rsid w:val="00352C63"/>
    <w:rsid w:val="0035335A"/>
    <w:rsid w:val="0035383B"/>
    <w:rsid w:val="00353D2E"/>
    <w:rsid w:val="003547ED"/>
    <w:rsid w:val="00355357"/>
    <w:rsid w:val="003556C9"/>
    <w:rsid w:val="003563BB"/>
    <w:rsid w:val="003563CD"/>
    <w:rsid w:val="003566D8"/>
    <w:rsid w:val="0035678A"/>
    <w:rsid w:val="00357434"/>
    <w:rsid w:val="003576E6"/>
    <w:rsid w:val="003577E0"/>
    <w:rsid w:val="00357AC1"/>
    <w:rsid w:val="00360418"/>
    <w:rsid w:val="003612AC"/>
    <w:rsid w:val="003616B1"/>
    <w:rsid w:val="00363404"/>
    <w:rsid w:val="00363609"/>
    <w:rsid w:val="003639E1"/>
    <w:rsid w:val="00363D46"/>
    <w:rsid w:val="003642D1"/>
    <w:rsid w:val="00364BC7"/>
    <w:rsid w:val="003650C1"/>
    <w:rsid w:val="003653F7"/>
    <w:rsid w:val="00365895"/>
    <w:rsid w:val="003658EA"/>
    <w:rsid w:val="003661D8"/>
    <w:rsid w:val="003662AE"/>
    <w:rsid w:val="00366F7F"/>
    <w:rsid w:val="00367BB5"/>
    <w:rsid w:val="00367D8E"/>
    <w:rsid w:val="00370D7C"/>
    <w:rsid w:val="00371367"/>
    <w:rsid w:val="00371993"/>
    <w:rsid w:val="00371BF3"/>
    <w:rsid w:val="00371F62"/>
    <w:rsid w:val="00372863"/>
    <w:rsid w:val="00373961"/>
    <w:rsid w:val="0037442D"/>
    <w:rsid w:val="003752D4"/>
    <w:rsid w:val="00375E13"/>
    <w:rsid w:val="003802C8"/>
    <w:rsid w:val="00380B42"/>
    <w:rsid w:val="0038193D"/>
    <w:rsid w:val="003820F1"/>
    <w:rsid w:val="00382143"/>
    <w:rsid w:val="00382265"/>
    <w:rsid w:val="003828A2"/>
    <w:rsid w:val="00382CF7"/>
    <w:rsid w:val="00383937"/>
    <w:rsid w:val="003845EB"/>
    <w:rsid w:val="003868CE"/>
    <w:rsid w:val="00387247"/>
    <w:rsid w:val="003877FA"/>
    <w:rsid w:val="003900DF"/>
    <w:rsid w:val="003901CE"/>
    <w:rsid w:val="003905B3"/>
    <w:rsid w:val="0039069A"/>
    <w:rsid w:val="00390C80"/>
    <w:rsid w:val="00390CAC"/>
    <w:rsid w:val="00390F0C"/>
    <w:rsid w:val="003913AA"/>
    <w:rsid w:val="00391814"/>
    <w:rsid w:val="00392735"/>
    <w:rsid w:val="00392915"/>
    <w:rsid w:val="00393603"/>
    <w:rsid w:val="00393636"/>
    <w:rsid w:val="00393DD3"/>
    <w:rsid w:val="00394601"/>
    <w:rsid w:val="00394770"/>
    <w:rsid w:val="0039612D"/>
    <w:rsid w:val="003966D2"/>
    <w:rsid w:val="00396D99"/>
    <w:rsid w:val="003A0154"/>
    <w:rsid w:val="003A06DF"/>
    <w:rsid w:val="003A09BA"/>
    <w:rsid w:val="003A0C0A"/>
    <w:rsid w:val="003A15C0"/>
    <w:rsid w:val="003A29C7"/>
    <w:rsid w:val="003A2C27"/>
    <w:rsid w:val="003A3951"/>
    <w:rsid w:val="003A5006"/>
    <w:rsid w:val="003A579A"/>
    <w:rsid w:val="003A5C46"/>
    <w:rsid w:val="003A6113"/>
    <w:rsid w:val="003A6291"/>
    <w:rsid w:val="003A6E31"/>
    <w:rsid w:val="003A7142"/>
    <w:rsid w:val="003B07CE"/>
    <w:rsid w:val="003B0DD6"/>
    <w:rsid w:val="003B1020"/>
    <w:rsid w:val="003B2E12"/>
    <w:rsid w:val="003B2EFF"/>
    <w:rsid w:val="003B47DE"/>
    <w:rsid w:val="003B4A46"/>
    <w:rsid w:val="003B6CCC"/>
    <w:rsid w:val="003C0068"/>
    <w:rsid w:val="003C012A"/>
    <w:rsid w:val="003C0239"/>
    <w:rsid w:val="003C1204"/>
    <w:rsid w:val="003C1765"/>
    <w:rsid w:val="003C176B"/>
    <w:rsid w:val="003C1C65"/>
    <w:rsid w:val="003C22F2"/>
    <w:rsid w:val="003C2D38"/>
    <w:rsid w:val="003C2D73"/>
    <w:rsid w:val="003C3097"/>
    <w:rsid w:val="003C3276"/>
    <w:rsid w:val="003C32B7"/>
    <w:rsid w:val="003C357E"/>
    <w:rsid w:val="003C367F"/>
    <w:rsid w:val="003C3D5A"/>
    <w:rsid w:val="003C3ED2"/>
    <w:rsid w:val="003C3FC6"/>
    <w:rsid w:val="003C4320"/>
    <w:rsid w:val="003C4AFE"/>
    <w:rsid w:val="003C57BB"/>
    <w:rsid w:val="003C583E"/>
    <w:rsid w:val="003C6F70"/>
    <w:rsid w:val="003C7C24"/>
    <w:rsid w:val="003D00A3"/>
    <w:rsid w:val="003D0F4A"/>
    <w:rsid w:val="003D33DA"/>
    <w:rsid w:val="003D3B3A"/>
    <w:rsid w:val="003D4D4D"/>
    <w:rsid w:val="003D51AC"/>
    <w:rsid w:val="003D53FC"/>
    <w:rsid w:val="003D5A03"/>
    <w:rsid w:val="003D63B2"/>
    <w:rsid w:val="003D66F7"/>
    <w:rsid w:val="003D73D9"/>
    <w:rsid w:val="003D7465"/>
    <w:rsid w:val="003D7A70"/>
    <w:rsid w:val="003D7C27"/>
    <w:rsid w:val="003E00A2"/>
    <w:rsid w:val="003E034D"/>
    <w:rsid w:val="003E051D"/>
    <w:rsid w:val="003E1741"/>
    <w:rsid w:val="003E1C88"/>
    <w:rsid w:val="003E227A"/>
    <w:rsid w:val="003E3B8E"/>
    <w:rsid w:val="003E3D5D"/>
    <w:rsid w:val="003E483A"/>
    <w:rsid w:val="003E52AE"/>
    <w:rsid w:val="003E593E"/>
    <w:rsid w:val="003E697A"/>
    <w:rsid w:val="003E776B"/>
    <w:rsid w:val="003F04F8"/>
    <w:rsid w:val="003F0FA9"/>
    <w:rsid w:val="003F27FD"/>
    <w:rsid w:val="003F2EA0"/>
    <w:rsid w:val="003F3034"/>
    <w:rsid w:val="003F31AF"/>
    <w:rsid w:val="003F3289"/>
    <w:rsid w:val="003F350B"/>
    <w:rsid w:val="003F3D22"/>
    <w:rsid w:val="003F3E2C"/>
    <w:rsid w:val="003F44B8"/>
    <w:rsid w:val="003F46E1"/>
    <w:rsid w:val="003F6559"/>
    <w:rsid w:val="003F6B94"/>
    <w:rsid w:val="003F6CC7"/>
    <w:rsid w:val="003F7A59"/>
    <w:rsid w:val="00400BBA"/>
    <w:rsid w:val="00401D58"/>
    <w:rsid w:val="00401F40"/>
    <w:rsid w:val="0040237F"/>
    <w:rsid w:val="0040322D"/>
    <w:rsid w:val="00404570"/>
    <w:rsid w:val="004065AC"/>
    <w:rsid w:val="0040775C"/>
    <w:rsid w:val="00407ADF"/>
    <w:rsid w:val="00407F2C"/>
    <w:rsid w:val="00407FF5"/>
    <w:rsid w:val="00411561"/>
    <w:rsid w:val="00411B5E"/>
    <w:rsid w:val="00411F24"/>
    <w:rsid w:val="00412852"/>
    <w:rsid w:val="00413570"/>
    <w:rsid w:val="00413A41"/>
    <w:rsid w:val="00413BA3"/>
    <w:rsid w:val="00413D94"/>
    <w:rsid w:val="004144B4"/>
    <w:rsid w:val="00414724"/>
    <w:rsid w:val="00414B1D"/>
    <w:rsid w:val="004156EC"/>
    <w:rsid w:val="004159C9"/>
    <w:rsid w:val="00415B8F"/>
    <w:rsid w:val="00415FA5"/>
    <w:rsid w:val="0041601A"/>
    <w:rsid w:val="0041657B"/>
    <w:rsid w:val="0041659E"/>
    <w:rsid w:val="0041679C"/>
    <w:rsid w:val="004204A3"/>
    <w:rsid w:val="00420B7B"/>
    <w:rsid w:val="00421405"/>
    <w:rsid w:val="00421A7C"/>
    <w:rsid w:val="00422357"/>
    <w:rsid w:val="00422717"/>
    <w:rsid w:val="00422C78"/>
    <w:rsid w:val="00423237"/>
    <w:rsid w:val="00423754"/>
    <w:rsid w:val="004237EB"/>
    <w:rsid w:val="00425064"/>
    <w:rsid w:val="0042528C"/>
    <w:rsid w:val="00425FBF"/>
    <w:rsid w:val="004261F3"/>
    <w:rsid w:val="0042659B"/>
    <w:rsid w:val="00426604"/>
    <w:rsid w:val="00427173"/>
    <w:rsid w:val="00427FC6"/>
    <w:rsid w:val="00430109"/>
    <w:rsid w:val="004303F9"/>
    <w:rsid w:val="00432229"/>
    <w:rsid w:val="00432494"/>
    <w:rsid w:val="00432727"/>
    <w:rsid w:val="004339A1"/>
    <w:rsid w:val="004342F2"/>
    <w:rsid w:val="0043588E"/>
    <w:rsid w:val="00435D58"/>
    <w:rsid w:val="0043631D"/>
    <w:rsid w:val="00436DD6"/>
    <w:rsid w:val="00437211"/>
    <w:rsid w:val="00437547"/>
    <w:rsid w:val="00437B5D"/>
    <w:rsid w:val="00437C4E"/>
    <w:rsid w:val="00437CE1"/>
    <w:rsid w:val="0044062C"/>
    <w:rsid w:val="0044086F"/>
    <w:rsid w:val="00440ACB"/>
    <w:rsid w:val="00440D22"/>
    <w:rsid w:val="00440FD6"/>
    <w:rsid w:val="00441793"/>
    <w:rsid w:val="0044184B"/>
    <w:rsid w:val="00441ACB"/>
    <w:rsid w:val="00441B8C"/>
    <w:rsid w:val="00442AD5"/>
    <w:rsid w:val="00443106"/>
    <w:rsid w:val="00443705"/>
    <w:rsid w:val="00443F87"/>
    <w:rsid w:val="00444204"/>
    <w:rsid w:val="00444616"/>
    <w:rsid w:val="004446A8"/>
    <w:rsid w:val="00444896"/>
    <w:rsid w:val="00445F3A"/>
    <w:rsid w:val="00445FF8"/>
    <w:rsid w:val="0044660C"/>
    <w:rsid w:val="004472BC"/>
    <w:rsid w:val="00447EE0"/>
    <w:rsid w:val="004514CA"/>
    <w:rsid w:val="00451C88"/>
    <w:rsid w:val="0045251B"/>
    <w:rsid w:val="0045314C"/>
    <w:rsid w:val="0045334E"/>
    <w:rsid w:val="00453A9C"/>
    <w:rsid w:val="00454135"/>
    <w:rsid w:val="00454E6F"/>
    <w:rsid w:val="00454F15"/>
    <w:rsid w:val="00455806"/>
    <w:rsid w:val="00455A2E"/>
    <w:rsid w:val="00455B84"/>
    <w:rsid w:val="00455BB8"/>
    <w:rsid w:val="00455EFC"/>
    <w:rsid w:val="00455F50"/>
    <w:rsid w:val="004560E9"/>
    <w:rsid w:val="004560F9"/>
    <w:rsid w:val="0045682E"/>
    <w:rsid w:val="00457171"/>
    <w:rsid w:val="00457293"/>
    <w:rsid w:val="00457E72"/>
    <w:rsid w:val="0046034A"/>
    <w:rsid w:val="004607FE"/>
    <w:rsid w:val="00461254"/>
    <w:rsid w:val="0046241C"/>
    <w:rsid w:val="004627F4"/>
    <w:rsid w:val="00462B04"/>
    <w:rsid w:val="004633BC"/>
    <w:rsid w:val="00463411"/>
    <w:rsid w:val="0046433A"/>
    <w:rsid w:val="0046482D"/>
    <w:rsid w:val="00464833"/>
    <w:rsid w:val="00464A31"/>
    <w:rsid w:val="00464B0B"/>
    <w:rsid w:val="00465E24"/>
    <w:rsid w:val="00466E64"/>
    <w:rsid w:val="00467690"/>
    <w:rsid w:val="0047096B"/>
    <w:rsid w:val="00471CB7"/>
    <w:rsid w:val="00471F8A"/>
    <w:rsid w:val="00473513"/>
    <w:rsid w:val="004736BC"/>
    <w:rsid w:val="004743DF"/>
    <w:rsid w:val="004748B5"/>
    <w:rsid w:val="00475361"/>
    <w:rsid w:val="00476157"/>
    <w:rsid w:val="004765BF"/>
    <w:rsid w:val="00477588"/>
    <w:rsid w:val="00477B37"/>
    <w:rsid w:val="00480972"/>
    <w:rsid w:val="004810A3"/>
    <w:rsid w:val="00481782"/>
    <w:rsid w:val="0048362F"/>
    <w:rsid w:val="0048460F"/>
    <w:rsid w:val="00484FFB"/>
    <w:rsid w:val="00485FCA"/>
    <w:rsid w:val="00486462"/>
    <w:rsid w:val="00486AE4"/>
    <w:rsid w:val="00487CF3"/>
    <w:rsid w:val="00487D13"/>
    <w:rsid w:val="004901E1"/>
    <w:rsid w:val="0049030A"/>
    <w:rsid w:val="00490626"/>
    <w:rsid w:val="00491228"/>
    <w:rsid w:val="00491245"/>
    <w:rsid w:val="0049145D"/>
    <w:rsid w:val="004914DE"/>
    <w:rsid w:val="00491510"/>
    <w:rsid w:val="00491921"/>
    <w:rsid w:val="00491A02"/>
    <w:rsid w:val="004923D8"/>
    <w:rsid w:val="0049246D"/>
    <w:rsid w:val="0049248C"/>
    <w:rsid w:val="00492D07"/>
    <w:rsid w:val="00492D27"/>
    <w:rsid w:val="0049367D"/>
    <w:rsid w:val="00493EE3"/>
    <w:rsid w:val="00494EE5"/>
    <w:rsid w:val="0049524A"/>
    <w:rsid w:val="00495A5A"/>
    <w:rsid w:val="00495F5E"/>
    <w:rsid w:val="00497645"/>
    <w:rsid w:val="004A0170"/>
    <w:rsid w:val="004A0412"/>
    <w:rsid w:val="004A0929"/>
    <w:rsid w:val="004A0D9C"/>
    <w:rsid w:val="004A1AD3"/>
    <w:rsid w:val="004A1DB3"/>
    <w:rsid w:val="004A31E9"/>
    <w:rsid w:val="004A4177"/>
    <w:rsid w:val="004A428B"/>
    <w:rsid w:val="004A4CA0"/>
    <w:rsid w:val="004A4CC9"/>
    <w:rsid w:val="004A5A40"/>
    <w:rsid w:val="004A76E8"/>
    <w:rsid w:val="004A7C08"/>
    <w:rsid w:val="004B00CE"/>
    <w:rsid w:val="004B1559"/>
    <w:rsid w:val="004B157F"/>
    <w:rsid w:val="004B189D"/>
    <w:rsid w:val="004B1D0D"/>
    <w:rsid w:val="004B376D"/>
    <w:rsid w:val="004B43C4"/>
    <w:rsid w:val="004B4577"/>
    <w:rsid w:val="004B4708"/>
    <w:rsid w:val="004B49A9"/>
    <w:rsid w:val="004B4C44"/>
    <w:rsid w:val="004B5AE4"/>
    <w:rsid w:val="004B721B"/>
    <w:rsid w:val="004B7629"/>
    <w:rsid w:val="004B76DD"/>
    <w:rsid w:val="004B78B0"/>
    <w:rsid w:val="004C0E43"/>
    <w:rsid w:val="004C0E4B"/>
    <w:rsid w:val="004C1153"/>
    <w:rsid w:val="004C140B"/>
    <w:rsid w:val="004C20DE"/>
    <w:rsid w:val="004C2AE0"/>
    <w:rsid w:val="004C31BC"/>
    <w:rsid w:val="004C3650"/>
    <w:rsid w:val="004C3DD0"/>
    <w:rsid w:val="004C4670"/>
    <w:rsid w:val="004C4A9D"/>
    <w:rsid w:val="004C5B35"/>
    <w:rsid w:val="004C6C03"/>
    <w:rsid w:val="004C6F5C"/>
    <w:rsid w:val="004C7D5E"/>
    <w:rsid w:val="004D00E9"/>
    <w:rsid w:val="004D012E"/>
    <w:rsid w:val="004D0993"/>
    <w:rsid w:val="004D0D94"/>
    <w:rsid w:val="004D1613"/>
    <w:rsid w:val="004D19C6"/>
    <w:rsid w:val="004D203F"/>
    <w:rsid w:val="004D21EE"/>
    <w:rsid w:val="004D2D4D"/>
    <w:rsid w:val="004D35D9"/>
    <w:rsid w:val="004D3815"/>
    <w:rsid w:val="004D3B1F"/>
    <w:rsid w:val="004D42BF"/>
    <w:rsid w:val="004D4559"/>
    <w:rsid w:val="004D4B88"/>
    <w:rsid w:val="004D4C1D"/>
    <w:rsid w:val="004D5C15"/>
    <w:rsid w:val="004D66B3"/>
    <w:rsid w:val="004D69EC"/>
    <w:rsid w:val="004D6A7A"/>
    <w:rsid w:val="004D6C2E"/>
    <w:rsid w:val="004D6D50"/>
    <w:rsid w:val="004D72FB"/>
    <w:rsid w:val="004D77EE"/>
    <w:rsid w:val="004E1B12"/>
    <w:rsid w:val="004E1C83"/>
    <w:rsid w:val="004E1F6D"/>
    <w:rsid w:val="004E2A19"/>
    <w:rsid w:val="004E31F9"/>
    <w:rsid w:val="004E34C0"/>
    <w:rsid w:val="004E390B"/>
    <w:rsid w:val="004E4521"/>
    <w:rsid w:val="004E4964"/>
    <w:rsid w:val="004E4C6D"/>
    <w:rsid w:val="004E6225"/>
    <w:rsid w:val="004F0583"/>
    <w:rsid w:val="004F0F82"/>
    <w:rsid w:val="004F179B"/>
    <w:rsid w:val="004F202E"/>
    <w:rsid w:val="004F2302"/>
    <w:rsid w:val="004F372F"/>
    <w:rsid w:val="004F3A12"/>
    <w:rsid w:val="004F3AEE"/>
    <w:rsid w:val="004F3E44"/>
    <w:rsid w:val="004F4D2F"/>
    <w:rsid w:val="004F4E43"/>
    <w:rsid w:val="004F5A63"/>
    <w:rsid w:val="004F5D05"/>
    <w:rsid w:val="004F6325"/>
    <w:rsid w:val="004F65AB"/>
    <w:rsid w:val="004F67BF"/>
    <w:rsid w:val="004F6ED6"/>
    <w:rsid w:val="004F7A6D"/>
    <w:rsid w:val="004F7AE1"/>
    <w:rsid w:val="00500383"/>
    <w:rsid w:val="0050046A"/>
    <w:rsid w:val="00500C67"/>
    <w:rsid w:val="005016B4"/>
    <w:rsid w:val="00501FB6"/>
    <w:rsid w:val="0050263A"/>
    <w:rsid w:val="00502794"/>
    <w:rsid w:val="00504572"/>
    <w:rsid w:val="00506E54"/>
    <w:rsid w:val="0050775C"/>
    <w:rsid w:val="00507B2C"/>
    <w:rsid w:val="00510040"/>
    <w:rsid w:val="00510134"/>
    <w:rsid w:val="005107CF"/>
    <w:rsid w:val="00510CAC"/>
    <w:rsid w:val="00510F03"/>
    <w:rsid w:val="00511FB7"/>
    <w:rsid w:val="00511FD0"/>
    <w:rsid w:val="00511FEC"/>
    <w:rsid w:val="00512E54"/>
    <w:rsid w:val="00512E6D"/>
    <w:rsid w:val="00513999"/>
    <w:rsid w:val="0051492A"/>
    <w:rsid w:val="00514A4D"/>
    <w:rsid w:val="005150C8"/>
    <w:rsid w:val="00515B34"/>
    <w:rsid w:val="00515CB3"/>
    <w:rsid w:val="00515CE7"/>
    <w:rsid w:val="005161A6"/>
    <w:rsid w:val="005167EE"/>
    <w:rsid w:val="005170F9"/>
    <w:rsid w:val="00517707"/>
    <w:rsid w:val="0051798C"/>
    <w:rsid w:val="00517E2A"/>
    <w:rsid w:val="005207F6"/>
    <w:rsid w:val="0052147F"/>
    <w:rsid w:val="00521735"/>
    <w:rsid w:val="00521A3A"/>
    <w:rsid w:val="0052252D"/>
    <w:rsid w:val="00522D74"/>
    <w:rsid w:val="00522F7D"/>
    <w:rsid w:val="005231E2"/>
    <w:rsid w:val="00523D49"/>
    <w:rsid w:val="00523F5F"/>
    <w:rsid w:val="005249F2"/>
    <w:rsid w:val="00524D65"/>
    <w:rsid w:val="0052514A"/>
    <w:rsid w:val="0052562F"/>
    <w:rsid w:val="005276C2"/>
    <w:rsid w:val="00527B05"/>
    <w:rsid w:val="00530233"/>
    <w:rsid w:val="0053074C"/>
    <w:rsid w:val="00530CD5"/>
    <w:rsid w:val="0053247A"/>
    <w:rsid w:val="00532673"/>
    <w:rsid w:val="005327D5"/>
    <w:rsid w:val="00533F6D"/>
    <w:rsid w:val="005342FB"/>
    <w:rsid w:val="005349F9"/>
    <w:rsid w:val="00534B02"/>
    <w:rsid w:val="005351A6"/>
    <w:rsid w:val="005355A1"/>
    <w:rsid w:val="00536366"/>
    <w:rsid w:val="0053650F"/>
    <w:rsid w:val="005379F8"/>
    <w:rsid w:val="00537D36"/>
    <w:rsid w:val="005421F1"/>
    <w:rsid w:val="00542AED"/>
    <w:rsid w:val="00542EC8"/>
    <w:rsid w:val="00543750"/>
    <w:rsid w:val="0054507C"/>
    <w:rsid w:val="00545B76"/>
    <w:rsid w:val="00545D5E"/>
    <w:rsid w:val="00546284"/>
    <w:rsid w:val="0054639B"/>
    <w:rsid w:val="00546B46"/>
    <w:rsid w:val="0055017F"/>
    <w:rsid w:val="005511C9"/>
    <w:rsid w:val="00552C7A"/>
    <w:rsid w:val="00553933"/>
    <w:rsid w:val="00553CB2"/>
    <w:rsid w:val="00555AC4"/>
    <w:rsid w:val="00555F01"/>
    <w:rsid w:val="005567F3"/>
    <w:rsid w:val="00557D83"/>
    <w:rsid w:val="00562146"/>
    <w:rsid w:val="00562F6B"/>
    <w:rsid w:val="00563194"/>
    <w:rsid w:val="00564CB3"/>
    <w:rsid w:val="005656AF"/>
    <w:rsid w:val="005663AA"/>
    <w:rsid w:val="0057017E"/>
    <w:rsid w:val="005702F8"/>
    <w:rsid w:val="00570B93"/>
    <w:rsid w:val="00571268"/>
    <w:rsid w:val="005716C0"/>
    <w:rsid w:val="005722F0"/>
    <w:rsid w:val="00572AF8"/>
    <w:rsid w:val="00573752"/>
    <w:rsid w:val="0057471F"/>
    <w:rsid w:val="0057500C"/>
    <w:rsid w:val="005753B5"/>
    <w:rsid w:val="005753DA"/>
    <w:rsid w:val="005755CD"/>
    <w:rsid w:val="00575E95"/>
    <w:rsid w:val="00575FC7"/>
    <w:rsid w:val="005766FE"/>
    <w:rsid w:val="00576B02"/>
    <w:rsid w:val="00577125"/>
    <w:rsid w:val="00580781"/>
    <w:rsid w:val="00580901"/>
    <w:rsid w:val="00580F1D"/>
    <w:rsid w:val="005817EA"/>
    <w:rsid w:val="00581A85"/>
    <w:rsid w:val="00581D74"/>
    <w:rsid w:val="00581DB3"/>
    <w:rsid w:val="00582602"/>
    <w:rsid w:val="00583B27"/>
    <w:rsid w:val="00583CE8"/>
    <w:rsid w:val="00585845"/>
    <w:rsid w:val="005858C4"/>
    <w:rsid w:val="005859BE"/>
    <w:rsid w:val="00585E3E"/>
    <w:rsid w:val="00586856"/>
    <w:rsid w:val="00586D61"/>
    <w:rsid w:val="00586F80"/>
    <w:rsid w:val="00590B44"/>
    <w:rsid w:val="00591139"/>
    <w:rsid w:val="0059121B"/>
    <w:rsid w:val="0059125D"/>
    <w:rsid w:val="00592894"/>
    <w:rsid w:val="005936E4"/>
    <w:rsid w:val="00593763"/>
    <w:rsid w:val="00593A5F"/>
    <w:rsid w:val="00593FB7"/>
    <w:rsid w:val="005944A0"/>
    <w:rsid w:val="00594865"/>
    <w:rsid w:val="00596342"/>
    <w:rsid w:val="00597E9C"/>
    <w:rsid w:val="00597F98"/>
    <w:rsid w:val="005A07E9"/>
    <w:rsid w:val="005A3704"/>
    <w:rsid w:val="005A6CCD"/>
    <w:rsid w:val="005A6D64"/>
    <w:rsid w:val="005A6FC0"/>
    <w:rsid w:val="005A7740"/>
    <w:rsid w:val="005A7F42"/>
    <w:rsid w:val="005B085E"/>
    <w:rsid w:val="005B0D2C"/>
    <w:rsid w:val="005B1654"/>
    <w:rsid w:val="005B1AA3"/>
    <w:rsid w:val="005B1FBA"/>
    <w:rsid w:val="005B213C"/>
    <w:rsid w:val="005B2821"/>
    <w:rsid w:val="005B40A0"/>
    <w:rsid w:val="005B463C"/>
    <w:rsid w:val="005B7A27"/>
    <w:rsid w:val="005B7FB2"/>
    <w:rsid w:val="005C129A"/>
    <w:rsid w:val="005C2D2B"/>
    <w:rsid w:val="005C2E34"/>
    <w:rsid w:val="005C39E0"/>
    <w:rsid w:val="005C4181"/>
    <w:rsid w:val="005C4B15"/>
    <w:rsid w:val="005C4FED"/>
    <w:rsid w:val="005C53B3"/>
    <w:rsid w:val="005C5D5E"/>
    <w:rsid w:val="005C617A"/>
    <w:rsid w:val="005D13C4"/>
    <w:rsid w:val="005D16EE"/>
    <w:rsid w:val="005D1920"/>
    <w:rsid w:val="005D1AA3"/>
    <w:rsid w:val="005D1F9C"/>
    <w:rsid w:val="005D2D37"/>
    <w:rsid w:val="005D2EA8"/>
    <w:rsid w:val="005D2EC9"/>
    <w:rsid w:val="005D37D4"/>
    <w:rsid w:val="005D3B5B"/>
    <w:rsid w:val="005D3BFA"/>
    <w:rsid w:val="005D3F76"/>
    <w:rsid w:val="005D6788"/>
    <w:rsid w:val="005D7C24"/>
    <w:rsid w:val="005E008B"/>
    <w:rsid w:val="005E014B"/>
    <w:rsid w:val="005E0EB3"/>
    <w:rsid w:val="005E1807"/>
    <w:rsid w:val="005E1A7A"/>
    <w:rsid w:val="005E1C16"/>
    <w:rsid w:val="005E1E94"/>
    <w:rsid w:val="005E320D"/>
    <w:rsid w:val="005E3B3B"/>
    <w:rsid w:val="005E3DDD"/>
    <w:rsid w:val="005E4D4D"/>
    <w:rsid w:val="005E543B"/>
    <w:rsid w:val="005E57BA"/>
    <w:rsid w:val="005E6C51"/>
    <w:rsid w:val="005E730C"/>
    <w:rsid w:val="005E782E"/>
    <w:rsid w:val="005E7F4C"/>
    <w:rsid w:val="005E7F72"/>
    <w:rsid w:val="005F20F1"/>
    <w:rsid w:val="005F2C59"/>
    <w:rsid w:val="005F336B"/>
    <w:rsid w:val="005F3A2E"/>
    <w:rsid w:val="005F3F54"/>
    <w:rsid w:val="005F4E7D"/>
    <w:rsid w:val="005F5052"/>
    <w:rsid w:val="005F510B"/>
    <w:rsid w:val="005F5C0E"/>
    <w:rsid w:val="005F5F72"/>
    <w:rsid w:val="005F6322"/>
    <w:rsid w:val="005F6B93"/>
    <w:rsid w:val="005F6BE6"/>
    <w:rsid w:val="005F7184"/>
    <w:rsid w:val="005F79EA"/>
    <w:rsid w:val="006005F3"/>
    <w:rsid w:val="00600C77"/>
    <w:rsid w:val="00600E76"/>
    <w:rsid w:val="00601798"/>
    <w:rsid w:val="00601B32"/>
    <w:rsid w:val="00601D68"/>
    <w:rsid w:val="0060272B"/>
    <w:rsid w:val="00602A60"/>
    <w:rsid w:val="00602AA4"/>
    <w:rsid w:val="006032E0"/>
    <w:rsid w:val="00603B9E"/>
    <w:rsid w:val="006047FD"/>
    <w:rsid w:val="00605E40"/>
    <w:rsid w:val="006066CF"/>
    <w:rsid w:val="00606E1C"/>
    <w:rsid w:val="00607485"/>
    <w:rsid w:val="00607EF6"/>
    <w:rsid w:val="00610036"/>
    <w:rsid w:val="006103F8"/>
    <w:rsid w:val="0061065B"/>
    <w:rsid w:val="0061078C"/>
    <w:rsid w:val="00611405"/>
    <w:rsid w:val="0061229C"/>
    <w:rsid w:val="00612453"/>
    <w:rsid w:val="00614F70"/>
    <w:rsid w:val="00615026"/>
    <w:rsid w:val="00615519"/>
    <w:rsid w:val="00615853"/>
    <w:rsid w:val="00615FC3"/>
    <w:rsid w:val="0061620C"/>
    <w:rsid w:val="00616821"/>
    <w:rsid w:val="006168A6"/>
    <w:rsid w:val="00616B4B"/>
    <w:rsid w:val="00617011"/>
    <w:rsid w:val="00617D60"/>
    <w:rsid w:val="0062039E"/>
    <w:rsid w:val="006203BF"/>
    <w:rsid w:val="00620F54"/>
    <w:rsid w:val="006214D7"/>
    <w:rsid w:val="006215FF"/>
    <w:rsid w:val="00621E55"/>
    <w:rsid w:val="00621F9F"/>
    <w:rsid w:val="00622A93"/>
    <w:rsid w:val="00622E6A"/>
    <w:rsid w:val="00622FDD"/>
    <w:rsid w:val="006234A2"/>
    <w:rsid w:val="00624D09"/>
    <w:rsid w:val="00624D7D"/>
    <w:rsid w:val="0062670F"/>
    <w:rsid w:val="006305E7"/>
    <w:rsid w:val="006306C2"/>
    <w:rsid w:val="00631631"/>
    <w:rsid w:val="0063259F"/>
    <w:rsid w:val="00632643"/>
    <w:rsid w:val="00632EF3"/>
    <w:rsid w:val="00633D7B"/>
    <w:rsid w:val="00633D9F"/>
    <w:rsid w:val="006343B5"/>
    <w:rsid w:val="00635111"/>
    <w:rsid w:val="00635137"/>
    <w:rsid w:val="006352F2"/>
    <w:rsid w:val="0063560D"/>
    <w:rsid w:val="00636045"/>
    <w:rsid w:val="00636FCC"/>
    <w:rsid w:val="0064019D"/>
    <w:rsid w:val="006407E3"/>
    <w:rsid w:val="006411E7"/>
    <w:rsid w:val="0064193F"/>
    <w:rsid w:val="00641B03"/>
    <w:rsid w:val="006420A9"/>
    <w:rsid w:val="00642133"/>
    <w:rsid w:val="00642A1F"/>
    <w:rsid w:val="0064331E"/>
    <w:rsid w:val="006434EB"/>
    <w:rsid w:val="006435B7"/>
    <w:rsid w:val="00643E10"/>
    <w:rsid w:val="00644246"/>
    <w:rsid w:val="00644790"/>
    <w:rsid w:val="00644B38"/>
    <w:rsid w:val="00644BD6"/>
    <w:rsid w:val="00644CA2"/>
    <w:rsid w:val="0064525F"/>
    <w:rsid w:val="00645360"/>
    <w:rsid w:val="00646050"/>
    <w:rsid w:val="0064627F"/>
    <w:rsid w:val="00646F3D"/>
    <w:rsid w:val="00647B9F"/>
    <w:rsid w:val="0065153B"/>
    <w:rsid w:val="00652603"/>
    <w:rsid w:val="006528AF"/>
    <w:rsid w:val="00652A33"/>
    <w:rsid w:val="00652C27"/>
    <w:rsid w:val="00653091"/>
    <w:rsid w:val="006535DC"/>
    <w:rsid w:val="00653950"/>
    <w:rsid w:val="00654127"/>
    <w:rsid w:val="00654D9D"/>
    <w:rsid w:val="006550F8"/>
    <w:rsid w:val="00655768"/>
    <w:rsid w:val="006557BE"/>
    <w:rsid w:val="00655F67"/>
    <w:rsid w:val="00656061"/>
    <w:rsid w:val="00660642"/>
    <w:rsid w:val="00661035"/>
    <w:rsid w:val="00662E92"/>
    <w:rsid w:val="0066309A"/>
    <w:rsid w:val="0066339C"/>
    <w:rsid w:val="006636E4"/>
    <w:rsid w:val="00664301"/>
    <w:rsid w:val="00664318"/>
    <w:rsid w:val="00665B54"/>
    <w:rsid w:val="00665D15"/>
    <w:rsid w:val="00665E0B"/>
    <w:rsid w:val="00666DCF"/>
    <w:rsid w:val="0066748D"/>
    <w:rsid w:val="00667736"/>
    <w:rsid w:val="00667959"/>
    <w:rsid w:val="00667B68"/>
    <w:rsid w:val="00667E3A"/>
    <w:rsid w:val="00670360"/>
    <w:rsid w:val="00670B2F"/>
    <w:rsid w:val="006717F5"/>
    <w:rsid w:val="00671976"/>
    <w:rsid w:val="00672ABE"/>
    <w:rsid w:val="0067334C"/>
    <w:rsid w:val="0067367F"/>
    <w:rsid w:val="006737EC"/>
    <w:rsid w:val="00673F24"/>
    <w:rsid w:val="0067442D"/>
    <w:rsid w:val="006751F4"/>
    <w:rsid w:val="006755A1"/>
    <w:rsid w:val="00676AF1"/>
    <w:rsid w:val="00676E67"/>
    <w:rsid w:val="0067737F"/>
    <w:rsid w:val="00677501"/>
    <w:rsid w:val="00677CD5"/>
    <w:rsid w:val="00680056"/>
    <w:rsid w:val="006803E0"/>
    <w:rsid w:val="00680A1E"/>
    <w:rsid w:val="0068107E"/>
    <w:rsid w:val="00681D67"/>
    <w:rsid w:val="0068211B"/>
    <w:rsid w:val="006822AF"/>
    <w:rsid w:val="006829A9"/>
    <w:rsid w:val="00683272"/>
    <w:rsid w:val="006837A7"/>
    <w:rsid w:val="0068398D"/>
    <w:rsid w:val="00685B36"/>
    <w:rsid w:val="00685D63"/>
    <w:rsid w:val="00686336"/>
    <w:rsid w:val="00686D39"/>
    <w:rsid w:val="00690CF0"/>
    <w:rsid w:val="00691541"/>
    <w:rsid w:val="0069204B"/>
    <w:rsid w:val="00692541"/>
    <w:rsid w:val="00692A5D"/>
    <w:rsid w:val="00692AED"/>
    <w:rsid w:val="00693B9C"/>
    <w:rsid w:val="00693F54"/>
    <w:rsid w:val="00693F6C"/>
    <w:rsid w:val="0069547E"/>
    <w:rsid w:val="006956D6"/>
    <w:rsid w:val="006957BB"/>
    <w:rsid w:val="00695BD6"/>
    <w:rsid w:val="00696B0D"/>
    <w:rsid w:val="00696F95"/>
    <w:rsid w:val="00697E69"/>
    <w:rsid w:val="006A0700"/>
    <w:rsid w:val="006A0CBA"/>
    <w:rsid w:val="006A17C9"/>
    <w:rsid w:val="006A2AAE"/>
    <w:rsid w:val="006A3352"/>
    <w:rsid w:val="006A384D"/>
    <w:rsid w:val="006A3F29"/>
    <w:rsid w:val="006A429F"/>
    <w:rsid w:val="006A5151"/>
    <w:rsid w:val="006A5461"/>
    <w:rsid w:val="006A703C"/>
    <w:rsid w:val="006A7983"/>
    <w:rsid w:val="006A7D76"/>
    <w:rsid w:val="006B01E0"/>
    <w:rsid w:val="006B1969"/>
    <w:rsid w:val="006B3E7D"/>
    <w:rsid w:val="006B3F99"/>
    <w:rsid w:val="006B45E5"/>
    <w:rsid w:val="006B4A50"/>
    <w:rsid w:val="006B4C68"/>
    <w:rsid w:val="006B514B"/>
    <w:rsid w:val="006B586A"/>
    <w:rsid w:val="006B598D"/>
    <w:rsid w:val="006B5A86"/>
    <w:rsid w:val="006B5FC6"/>
    <w:rsid w:val="006B6D79"/>
    <w:rsid w:val="006B6F14"/>
    <w:rsid w:val="006B763A"/>
    <w:rsid w:val="006B7CFD"/>
    <w:rsid w:val="006B7D05"/>
    <w:rsid w:val="006C138F"/>
    <w:rsid w:val="006C148E"/>
    <w:rsid w:val="006C14E6"/>
    <w:rsid w:val="006C2C3F"/>
    <w:rsid w:val="006C2C4D"/>
    <w:rsid w:val="006C37FC"/>
    <w:rsid w:val="006C5351"/>
    <w:rsid w:val="006C634D"/>
    <w:rsid w:val="006C6D61"/>
    <w:rsid w:val="006C6FC1"/>
    <w:rsid w:val="006C73B7"/>
    <w:rsid w:val="006C7811"/>
    <w:rsid w:val="006D023F"/>
    <w:rsid w:val="006D19AD"/>
    <w:rsid w:val="006D1DC3"/>
    <w:rsid w:val="006D20F7"/>
    <w:rsid w:val="006D221D"/>
    <w:rsid w:val="006D22BB"/>
    <w:rsid w:val="006D278F"/>
    <w:rsid w:val="006D2C1F"/>
    <w:rsid w:val="006D4898"/>
    <w:rsid w:val="006D4A98"/>
    <w:rsid w:val="006D523C"/>
    <w:rsid w:val="006D594D"/>
    <w:rsid w:val="006D671B"/>
    <w:rsid w:val="006D6C39"/>
    <w:rsid w:val="006E01DF"/>
    <w:rsid w:val="006E1126"/>
    <w:rsid w:val="006E17BF"/>
    <w:rsid w:val="006E1EC8"/>
    <w:rsid w:val="006E20C8"/>
    <w:rsid w:val="006E20DB"/>
    <w:rsid w:val="006E2E84"/>
    <w:rsid w:val="006E3281"/>
    <w:rsid w:val="006E332D"/>
    <w:rsid w:val="006E384F"/>
    <w:rsid w:val="006E4B31"/>
    <w:rsid w:val="006E5B0B"/>
    <w:rsid w:val="006E70BF"/>
    <w:rsid w:val="006E7801"/>
    <w:rsid w:val="006F0951"/>
    <w:rsid w:val="006F0E19"/>
    <w:rsid w:val="006F1C23"/>
    <w:rsid w:val="006F1EE2"/>
    <w:rsid w:val="006F1F2A"/>
    <w:rsid w:val="006F204F"/>
    <w:rsid w:val="006F3380"/>
    <w:rsid w:val="006F34E8"/>
    <w:rsid w:val="006F3A43"/>
    <w:rsid w:val="006F3E61"/>
    <w:rsid w:val="006F3FF8"/>
    <w:rsid w:val="006F54C4"/>
    <w:rsid w:val="006F58BF"/>
    <w:rsid w:val="006F6166"/>
    <w:rsid w:val="006F62DE"/>
    <w:rsid w:val="006F6BF2"/>
    <w:rsid w:val="006F6C7B"/>
    <w:rsid w:val="006F70F4"/>
    <w:rsid w:val="006F725A"/>
    <w:rsid w:val="006F7C45"/>
    <w:rsid w:val="00700AFF"/>
    <w:rsid w:val="00700D6D"/>
    <w:rsid w:val="00701BA3"/>
    <w:rsid w:val="00702213"/>
    <w:rsid w:val="0070305A"/>
    <w:rsid w:val="0070361D"/>
    <w:rsid w:val="00703B31"/>
    <w:rsid w:val="00703B50"/>
    <w:rsid w:val="00704E81"/>
    <w:rsid w:val="0070544F"/>
    <w:rsid w:val="007054BC"/>
    <w:rsid w:val="00705E0C"/>
    <w:rsid w:val="00707829"/>
    <w:rsid w:val="00707CC8"/>
    <w:rsid w:val="00710461"/>
    <w:rsid w:val="00710550"/>
    <w:rsid w:val="00711638"/>
    <w:rsid w:val="00711822"/>
    <w:rsid w:val="00711A28"/>
    <w:rsid w:val="00711EA3"/>
    <w:rsid w:val="00712B79"/>
    <w:rsid w:val="007139EB"/>
    <w:rsid w:val="00715006"/>
    <w:rsid w:val="00716011"/>
    <w:rsid w:val="00716895"/>
    <w:rsid w:val="00717722"/>
    <w:rsid w:val="00717728"/>
    <w:rsid w:val="00717824"/>
    <w:rsid w:val="00720395"/>
    <w:rsid w:val="00720533"/>
    <w:rsid w:val="00720EDF"/>
    <w:rsid w:val="00720FD9"/>
    <w:rsid w:val="00721CBB"/>
    <w:rsid w:val="00721E6A"/>
    <w:rsid w:val="00722405"/>
    <w:rsid w:val="00724A5B"/>
    <w:rsid w:val="00725F4D"/>
    <w:rsid w:val="0072633A"/>
    <w:rsid w:val="00727012"/>
    <w:rsid w:val="00727526"/>
    <w:rsid w:val="00727957"/>
    <w:rsid w:val="007279E3"/>
    <w:rsid w:val="00730117"/>
    <w:rsid w:val="00730515"/>
    <w:rsid w:val="00730776"/>
    <w:rsid w:val="007312D7"/>
    <w:rsid w:val="007318CA"/>
    <w:rsid w:val="00731EDA"/>
    <w:rsid w:val="007329A7"/>
    <w:rsid w:val="00733724"/>
    <w:rsid w:val="00733FF5"/>
    <w:rsid w:val="00734444"/>
    <w:rsid w:val="00735FD9"/>
    <w:rsid w:val="007361F7"/>
    <w:rsid w:val="00736332"/>
    <w:rsid w:val="00736964"/>
    <w:rsid w:val="007379BD"/>
    <w:rsid w:val="00737EAB"/>
    <w:rsid w:val="0074037C"/>
    <w:rsid w:val="007417D7"/>
    <w:rsid w:val="007420CB"/>
    <w:rsid w:val="0074212F"/>
    <w:rsid w:val="00742132"/>
    <w:rsid w:val="007421DB"/>
    <w:rsid w:val="007439E7"/>
    <w:rsid w:val="007440A1"/>
    <w:rsid w:val="00745227"/>
    <w:rsid w:val="00745878"/>
    <w:rsid w:val="00746923"/>
    <w:rsid w:val="007476C7"/>
    <w:rsid w:val="00747C91"/>
    <w:rsid w:val="007500A3"/>
    <w:rsid w:val="00750F1A"/>
    <w:rsid w:val="00751D0A"/>
    <w:rsid w:val="00751E00"/>
    <w:rsid w:val="00751F89"/>
    <w:rsid w:val="00752335"/>
    <w:rsid w:val="007530B8"/>
    <w:rsid w:val="00753CC3"/>
    <w:rsid w:val="0075522B"/>
    <w:rsid w:val="007562FB"/>
    <w:rsid w:val="00756850"/>
    <w:rsid w:val="00756E08"/>
    <w:rsid w:val="007571AC"/>
    <w:rsid w:val="00757E4F"/>
    <w:rsid w:val="00757FEE"/>
    <w:rsid w:val="00761AF9"/>
    <w:rsid w:val="00761D94"/>
    <w:rsid w:val="00762342"/>
    <w:rsid w:val="00762625"/>
    <w:rsid w:val="00762A70"/>
    <w:rsid w:val="00762B88"/>
    <w:rsid w:val="00763168"/>
    <w:rsid w:val="0076367A"/>
    <w:rsid w:val="00763B76"/>
    <w:rsid w:val="00764F73"/>
    <w:rsid w:val="007660CE"/>
    <w:rsid w:val="00766335"/>
    <w:rsid w:val="00766B6D"/>
    <w:rsid w:val="00767092"/>
    <w:rsid w:val="00770A0D"/>
    <w:rsid w:val="00770C43"/>
    <w:rsid w:val="007717A5"/>
    <w:rsid w:val="00771C66"/>
    <w:rsid w:val="00772E6E"/>
    <w:rsid w:val="00773A6F"/>
    <w:rsid w:val="00774777"/>
    <w:rsid w:val="00774B46"/>
    <w:rsid w:val="00774CB7"/>
    <w:rsid w:val="00775643"/>
    <w:rsid w:val="00776510"/>
    <w:rsid w:val="00776998"/>
    <w:rsid w:val="00776FC1"/>
    <w:rsid w:val="007770B5"/>
    <w:rsid w:val="00777217"/>
    <w:rsid w:val="00777E89"/>
    <w:rsid w:val="00780CF6"/>
    <w:rsid w:val="00780E1E"/>
    <w:rsid w:val="00782A48"/>
    <w:rsid w:val="0078408B"/>
    <w:rsid w:val="007843D4"/>
    <w:rsid w:val="00784D7E"/>
    <w:rsid w:val="00785047"/>
    <w:rsid w:val="007854DA"/>
    <w:rsid w:val="00785E0F"/>
    <w:rsid w:val="00786700"/>
    <w:rsid w:val="007876A3"/>
    <w:rsid w:val="00791041"/>
    <w:rsid w:val="0079128F"/>
    <w:rsid w:val="007912A6"/>
    <w:rsid w:val="00791382"/>
    <w:rsid w:val="007925A7"/>
    <w:rsid w:val="00792BD8"/>
    <w:rsid w:val="00792C04"/>
    <w:rsid w:val="007941DC"/>
    <w:rsid w:val="007947BD"/>
    <w:rsid w:val="007952FD"/>
    <w:rsid w:val="00795B4E"/>
    <w:rsid w:val="00796DD9"/>
    <w:rsid w:val="00797D86"/>
    <w:rsid w:val="00797FC3"/>
    <w:rsid w:val="007A089C"/>
    <w:rsid w:val="007A1721"/>
    <w:rsid w:val="007A1F49"/>
    <w:rsid w:val="007A245F"/>
    <w:rsid w:val="007A2741"/>
    <w:rsid w:val="007A2B33"/>
    <w:rsid w:val="007A2F76"/>
    <w:rsid w:val="007A301B"/>
    <w:rsid w:val="007A35D8"/>
    <w:rsid w:val="007A365E"/>
    <w:rsid w:val="007A4E36"/>
    <w:rsid w:val="007A4E8B"/>
    <w:rsid w:val="007A650F"/>
    <w:rsid w:val="007A6FE1"/>
    <w:rsid w:val="007A7DA4"/>
    <w:rsid w:val="007A7FB7"/>
    <w:rsid w:val="007B0194"/>
    <w:rsid w:val="007B061F"/>
    <w:rsid w:val="007B0E92"/>
    <w:rsid w:val="007B1054"/>
    <w:rsid w:val="007B1888"/>
    <w:rsid w:val="007B35C9"/>
    <w:rsid w:val="007B36AE"/>
    <w:rsid w:val="007B4B1F"/>
    <w:rsid w:val="007B5FEA"/>
    <w:rsid w:val="007B70DC"/>
    <w:rsid w:val="007B7C4F"/>
    <w:rsid w:val="007C0C06"/>
    <w:rsid w:val="007C1EE5"/>
    <w:rsid w:val="007C1F04"/>
    <w:rsid w:val="007C20DC"/>
    <w:rsid w:val="007C428E"/>
    <w:rsid w:val="007C45C6"/>
    <w:rsid w:val="007C4671"/>
    <w:rsid w:val="007C4934"/>
    <w:rsid w:val="007C49B4"/>
    <w:rsid w:val="007C558C"/>
    <w:rsid w:val="007C5ADA"/>
    <w:rsid w:val="007C5D86"/>
    <w:rsid w:val="007C668A"/>
    <w:rsid w:val="007C775B"/>
    <w:rsid w:val="007C7E36"/>
    <w:rsid w:val="007D036C"/>
    <w:rsid w:val="007D05F8"/>
    <w:rsid w:val="007D08B7"/>
    <w:rsid w:val="007D329C"/>
    <w:rsid w:val="007D38A3"/>
    <w:rsid w:val="007D3A4C"/>
    <w:rsid w:val="007D3B17"/>
    <w:rsid w:val="007D4734"/>
    <w:rsid w:val="007D4A79"/>
    <w:rsid w:val="007D4BAF"/>
    <w:rsid w:val="007D5BBF"/>
    <w:rsid w:val="007D5DBE"/>
    <w:rsid w:val="007D6294"/>
    <w:rsid w:val="007D6D8C"/>
    <w:rsid w:val="007D7667"/>
    <w:rsid w:val="007D76D4"/>
    <w:rsid w:val="007D7B3B"/>
    <w:rsid w:val="007D7EEE"/>
    <w:rsid w:val="007E0B3E"/>
    <w:rsid w:val="007E1D99"/>
    <w:rsid w:val="007E1F72"/>
    <w:rsid w:val="007E22D6"/>
    <w:rsid w:val="007E2ECC"/>
    <w:rsid w:val="007E3178"/>
    <w:rsid w:val="007E3380"/>
    <w:rsid w:val="007E35DB"/>
    <w:rsid w:val="007E3DB3"/>
    <w:rsid w:val="007E4B71"/>
    <w:rsid w:val="007E599B"/>
    <w:rsid w:val="007E6322"/>
    <w:rsid w:val="007E693A"/>
    <w:rsid w:val="007E694E"/>
    <w:rsid w:val="007E6A59"/>
    <w:rsid w:val="007E6C8A"/>
    <w:rsid w:val="007E6DFE"/>
    <w:rsid w:val="007E6EE8"/>
    <w:rsid w:val="007F0312"/>
    <w:rsid w:val="007F0427"/>
    <w:rsid w:val="007F1488"/>
    <w:rsid w:val="007F31E6"/>
    <w:rsid w:val="007F3BFB"/>
    <w:rsid w:val="007F4AED"/>
    <w:rsid w:val="007F4CBE"/>
    <w:rsid w:val="007F4DC7"/>
    <w:rsid w:val="007F4EFB"/>
    <w:rsid w:val="007F5D6B"/>
    <w:rsid w:val="007F7E25"/>
    <w:rsid w:val="0080014D"/>
    <w:rsid w:val="008004D4"/>
    <w:rsid w:val="00801223"/>
    <w:rsid w:val="0080137D"/>
    <w:rsid w:val="0080156A"/>
    <w:rsid w:val="00801982"/>
    <w:rsid w:val="00802497"/>
    <w:rsid w:val="00802FC6"/>
    <w:rsid w:val="00803D97"/>
    <w:rsid w:val="00804395"/>
    <w:rsid w:val="00804C11"/>
    <w:rsid w:val="00804DF3"/>
    <w:rsid w:val="00806552"/>
    <w:rsid w:val="0080678A"/>
    <w:rsid w:val="00806F25"/>
    <w:rsid w:val="00806F3D"/>
    <w:rsid w:val="00807244"/>
    <w:rsid w:val="00807551"/>
    <w:rsid w:val="008076AD"/>
    <w:rsid w:val="008101C1"/>
    <w:rsid w:val="00810337"/>
    <w:rsid w:val="00810779"/>
    <w:rsid w:val="00810C8B"/>
    <w:rsid w:val="00810F13"/>
    <w:rsid w:val="00812061"/>
    <w:rsid w:val="008142B2"/>
    <w:rsid w:val="0081495B"/>
    <w:rsid w:val="0081688F"/>
    <w:rsid w:val="00816BC2"/>
    <w:rsid w:val="008173DA"/>
    <w:rsid w:val="00817F34"/>
    <w:rsid w:val="00820333"/>
    <w:rsid w:val="008204A5"/>
    <w:rsid w:val="0082167D"/>
    <w:rsid w:val="00821D97"/>
    <w:rsid w:val="0082445A"/>
    <w:rsid w:val="00824C27"/>
    <w:rsid w:val="00825492"/>
    <w:rsid w:val="00825B53"/>
    <w:rsid w:val="00825EDE"/>
    <w:rsid w:val="00826534"/>
    <w:rsid w:val="00827053"/>
    <w:rsid w:val="008271EF"/>
    <w:rsid w:val="00827BE7"/>
    <w:rsid w:val="00827D93"/>
    <w:rsid w:val="00830156"/>
    <w:rsid w:val="008302F0"/>
    <w:rsid w:val="0083087A"/>
    <w:rsid w:val="008308BA"/>
    <w:rsid w:val="00831031"/>
    <w:rsid w:val="00831512"/>
    <w:rsid w:val="00832BD6"/>
    <w:rsid w:val="0083355F"/>
    <w:rsid w:val="0083370C"/>
    <w:rsid w:val="00833900"/>
    <w:rsid w:val="00833E6B"/>
    <w:rsid w:val="00835D1C"/>
    <w:rsid w:val="00836650"/>
    <w:rsid w:val="00836A2C"/>
    <w:rsid w:val="00836DC5"/>
    <w:rsid w:val="00836F82"/>
    <w:rsid w:val="0083701D"/>
    <w:rsid w:val="008370C2"/>
    <w:rsid w:val="00840153"/>
    <w:rsid w:val="00840539"/>
    <w:rsid w:val="0084063C"/>
    <w:rsid w:val="00840A1E"/>
    <w:rsid w:val="00840DEC"/>
    <w:rsid w:val="0084131C"/>
    <w:rsid w:val="008413E3"/>
    <w:rsid w:val="00841ACE"/>
    <w:rsid w:val="00841B5B"/>
    <w:rsid w:val="00841B75"/>
    <w:rsid w:val="0084213E"/>
    <w:rsid w:val="00842D9E"/>
    <w:rsid w:val="0084307E"/>
    <w:rsid w:val="00843477"/>
    <w:rsid w:val="008436BD"/>
    <w:rsid w:val="00843B0B"/>
    <w:rsid w:val="00843C34"/>
    <w:rsid w:val="00843DD4"/>
    <w:rsid w:val="008441E7"/>
    <w:rsid w:val="00844230"/>
    <w:rsid w:val="00844501"/>
    <w:rsid w:val="00844779"/>
    <w:rsid w:val="00844A7C"/>
    <w:rsid w:val="008452D3"/>
    <w:rsid w:val="00846777"/>
    <w:rsid w:val="00846C6E"/>
    <w:rsid w:val="00847706"/>
    <w:rsid w:val="00850774"/>
    <w:rsid w:val="008509B1"/>
    <w:rsid w:val="00854004"/>
    <w:rsid w:val="00854713"/>
    <w:rsid w:val="00854992"/>
    <w:rsid w:val="00854CA8"/>
    <w:rsid w:val="008553D3"/>
    <w:rsid w:val="00855694"/>
    <w:rsid w:val="0085685C"/>
    <w:rsid w:val="00857211"/>
    <w:rsid w:val="00857538"/>
    <w:rsid w:val="00860470"/>
    <w:rsid w:val="008626B9"/>
    <w:rsid w:val="008629B3"/>
    <w:rsid w:val="00862A3F"/>
    <w:rsid w:val="00862A5E"/>
    <w:rsid w:val="00862B5E"/>
    <w:rsid w:val="00863C51"/>
    <w:rsid w:val="008641D7"/>
    <w:rsid w:val="00864892"/>
    <w:rsid w:val="0086491A"/>
    <w:rsid w:val="00864C4B"/>
    <w:rsid w:val="00865B10"/>
    <w:rsid w:val="00866287"/>
    <w:rsid w:val="0086676B"/>
    <w:rsid w:val="00867078"/>
    <w:rsid w:val="00870660"/>
    <w:rsid w:val="00870A49"/>
    <w:rsid w:val="00871818"/>
    <w:rsid w:val="008719CD"/>
    <w:rsid w:val="00872291"/>
    <w:rsid w:val="00872655"/>
    <w:rsid w:val="00872C6C"/>
    <w:rsid w:val="008732E5"/>
    <w:rsid w:val="008733EB"/>
    <w:rsid w:val="00873421"/>
    <w:rsid w:val="00873438"/>
    <w:rsid w:val="00873E23"/>
    <w:rsid w:val="00873E89"/>
    <w:rsid w:val="0087469D"/>
    <w:rsid w:val="00874E9A"/>
    <w:rsid w:val="008762FF"/>
    <w:rsid w:val="0087638F"/>
    <w:rsid w:val="00876782"/>
    <w:rsid w:val="00876DEE"/>
    <w:rsid w:val="00876F23"/>
    <w:rsid w:val="0087723F"/>
    <w:rsid w:val="00877709"/>
    <w:rsid w:val="008778F2"/>
    <w:rsid w:val="00877B45"/>
    <w:rsid w:val="00881065"/>
    <w:rsid w:val="008816CE"/>
    <w:rsid w:val="00881D97"/>
    <w:rsid w:val="008838D9"/>
    <w:rsid w:val="008843BF"/>
    <w:rsid w:val="00884F56"/>
    <w:rsid w:val="008856E0"/>
    <w:rsid w:val="00885E98"/>
    <w:rsid w:val="008862D6"/>
    <w:rsid w:val="0088703F"/>
    <w:rsid w:val="0088774D"/>
    <w:rsid w:val="00887A86"/>
    <w:rsid w:val="00887FE6"/>
    <w:rsid w:val="00891AC8"/>
    <w:rsid w:val="00891D2A"/>
    <w:rsid w:val="00893383"/>
    <w:rsid w:val="0089353B"/>
    <w:rsid w:val="008939AC"/>
    <w:rsid w:val="008941B5"/>
    <w:rsid w:val="0089466F"/>
    <w:rsid w:val="008948E5"/>
    <w:rsid w:val="0089517D"/>
    <w:rsid w:val="0089518E"/>
    <w:rsid w:val="0089684A"/>
    <w:rsid w:val="008A1F5C"/>
    <w:rsid w:val="008A23EA"/>
    <w:rsid w:val="008A27C2"/>
    <w:rsid w:val="008A2851"/>
    <w:rsid w:val="008A2C08"/>
    <w:rsid w:val="008A3643"/>
    <w:rsid w:val="008A365B"/>
    <w:rsid w:val="008A5685"/>
    <w:rsid w:val="008A5E9D"/>
    <w:rsid w:val="008A62A8"/>
    <w:rsid w:val="008A6809"/>
    <w:rsid w:val="008A6988"/>
    <w:rsid w:val="008A6AF1"/>
    <w:rsid w:val="008A7792"/>
    <w:rsid w:val="008A7968"/>
    <w:rsid w:val="008B02FF"/>
    <w:rsid w:val="008B0E78"/>
    <w:rsid w:val="008B140D"/>
    <w:rsid w:val="008B16E5"/>
    <w:rsid w:val="008B1828"/>
    <w:rsid w:val="008B1842"/>
    <w:rsid w:val="008B20D5"/>
    <w:rsid w:val="008B2A48"/>
    <w:rsid w:val="008B34CD"/>
    <w:rsid w:val="008B3A9A"/>
    <w:rsid w:val="008B3CC3"/>
    <w:rsid w:val="008B49E9"/>
    <w:rsid w:val="008B4A23"/>
    <w:rsid w:val="008B59BA"/>
    <w:rsid w:val="008B64C2"/>
    <w:rsid w:val="008B69B0"/>
    <w:rsid w:val="008B767A"/>
    <w:rsid w:val="008B78DB"/>
    <w:rsid w:val="008B7A61"/>
    <w:rsid w:val="008B7AFA"/>
    <w:rsid w:val="008B7C7A"/>
    <w:rsid w:val="008B7EF2"/>
    <w:rsid w:val="008B7F90"/>
    <w:rsid w:val="008C0627"/>
    <w:rsid w:val="008C0EF4"/>
    <w:rsid w:val="008C1A55"/>
    <w:rsid w:val="008C1BF0"/>
    <w:rsid w:val="008C1DAE"/>
    <w:rsid w:val="008C41CD"/>
    <w:rsid w:val="008C57AD"/>
    <w:rsid w:val="008C62E5"/>
    <w:rsid w:val="008C658D"/>
    <w:rsid w:val="008C6AFB"/>
    <w:rsid w:val="008C6C11"/>
    <w:rsid w:val="008C7521"/>
    <w:rsid w:val="008C79D4"/>
    <w:rsid w:val="008C7CAE"/>
    <w:rsid w:val="008D0168"/>
    <w:rsid w:val="008D0585"/>
    <w:rsid w:val="008D0EE8"/>
    <w:rsid w:val="008D1241"/>
    <w:rsid w:val="008D263D"/>
    <w:rsid w:val="008D2D77"/>
    <w:rsid w:val="008D446F"/>
    <w:rsid w:val="008D47DB"/>
    <w:rsid w:val="008D4A25"/>
    <w:rsid w:val="008D527A"/>
    <w:rsid w:val="008D68F2"/>
    <w:rsid w:val="008D7B08"/>
    <w:rsid w:val="008E107E"/>
    <w:rsid w:val="008E1A77"/>
    <w:rsid w:val="008E1E5A"/>
    <w:rsid w:val="008E3069"/>
    <w:rsid w:val="008E31B6"/>
    <w:rsid w:val="008E34AD"/>
    <w:rsid w:val="008E3E9D"/>
    <w:rsid w:val="008E4076"/>
    <w:rsid w:val="008E55B0"/>
    <w:rsid w:val="008E6601"/>
    <w:rsid w:val="008E7A76"/>
    <w:rsid w:val="008F03F9"/>
    <w:rsid w:val="008F1CE6"/>
    <w:rsid w:val="008F22F5"/>
    <w:rsid w:val="008F34CC"/>
    <w:rsid w:val="008F658F"/>
    <w:rsid w:val="008F68CB"/>
    <w:rsid w:val="008F73F7"/>
    <w:rsid w:val="008F7B59"/>
    <w:rsid w:val="008F7EDD"/>
    <w:rsid w:val="00900B10"/>
    <w:rsid w:val="00900D11"/>
    <w:rsid w:val="00901BC1"/>
    <w:rsid w:val="0090269E"/>
    <w:rsid w:val="009029EC"/>
    <w:rsid w:val="00902D70"/>
    <w:rsid w:val="0090325A"/>
    <w:rsid w:val="009047B9"/>
    <w:rsid w:val="0090515B"/>
    <w:rsid w:val="00907C71"/>
    <w:rsid w:val="00910C8F"/>
    <w:rsid w:val="0091255D"/>
    <w:rsid w:val="0091275F"/>
    <w:rsid w:val="00912BE6"/>
    <w:rsid w:val="00912D9F"/>
    <w:rsid w:val="00913390"/>
    <w:rsid w:val="00914847"/>
    <w:rsid w:val="00914F1B"/>
    <w:rsid w:val="00914F90"/>
    <w:rsid w:val="009152DE"/>
    <w:rsid w:val="00915375"/>
    <w:rsid w:val="009159F6"/>
    <w:rsid w:val="00916857"/>
    <w:rsid w:val="00916943"/>
    <w:rsid w:val="00916D09"/>
    <w:rsid w:val="00916DDE"/>
    <w:rsid w:val="0091796D"/>
    <w:rsid w:val="009179EB"/>
    <w:rsid w:val="00917B95"/>
    <w:rsid w:val="00920632"/>
    <w:rsid w:val="009207F2"/>
    <w:rsid w:val="00920A1D"/>
    <w:rsid w:val="00921E99"/>
    <w:rsid w:val="00921FB2"/>
    <w:rsid w:val="009227DA"/>
    <w:rsid w:val="0092296F"/>
    <w:rsid w:val="00922AEB"/>
    <w:rsid w:val="00922F36"/>
    <w:rsid w:val="00923F1C"/>
    <w:rsid w:val="00924028"/>
    <w:rsid w:val="009244FE"/>
    <w:rsid w:val="00924532"/>
    <w:rsid w:val="00925403"/>
    <w:rsid w:val="00927144"/>
    <w:rsid w:val="00927DC4"/>
    <w:rsid w:val="00931B54"/>
    <w:rsid w:val="009325AF"/>
    <w:rsid w:val="009334DB"/>
    <w:rsid w:val="00933EB9"/>
    <w:rsid w:val="0093606F"/>
    <w:rsid w:val="00936C22"/>
    <w:rsid w:val="00936D37"/>
    <w:rsid w:val="009373F6"/>
    <w:rsid w:val="0094018C"/>
    <w:rsid w:val="00940457"/>
    <w:rsid w:val="00940942"/>
    <w:rsid w:val="00940C4D"/>
    <w:rsid w:val="009413E4"/>
    <w:rsid w:val="00941B4C"/>
    <w:rsid w:val="00942618"/>
    <w:rsid w:val="009427D8"/>
    <w:rsid w:val="009427DD"/>
    <w:rsid w:val="00942865"/>
    <w:rsid w:val="00943158"/>
    <w:rsid w:val="009435E9"/>
    <w:rsid w:val="00943D0D"/>
    <w:rsid w:val="009451E9"/>
    <w:rsid w:val="00946DD9"/>
    <w:rsid w:val="009471D8"/>
    <w:rsid w:val="009477D4"/>
    <w:rsid w:val="00947C88"/>
    <w:rsid w:val="0095025E"/>
    <w:rsid w:val="00951D7A"/>
    <w:rsid w:val="009522BF"/>
    <w:rsid w:val="00952D23"/>
    <w:rsid w:val="00954682"/>
    <w:rsid w:val="009552AA"/>
    <w:rsid w:val="009553CA"/>
    <w:rsid w:val="00955869"/>
    <w:rsid w:val="009558A5"/>
    <w:rsid w:val="009573D7"/>
    <w:rsid w:val="009574AC"/>
    <w:rsid w:val="00957CE3"/>
    <w:rsid w:val="0096046A"/>
    <w:rsid w:val="00962127"/>
    <w:rsid w:val="00963043"/>
    <w:rsid w:val="0096315E"/>
    <w:rsid w:val="00963220"/>
    <w:rsid w:val="0096416B"/>
    <w:rsid w:val="009649B4"/>
    <w:rsid w:val="00964BED"/>
    <w:rsid w:val="00964F58"/>
    <w:rsid w:val="00965150"/>
    <w:rsid w:val="009651D5"/>
    <w:rsid w:val="0096523D"/>
    <w:rsid w:val="0096695D"/>
    <w:rsid w:val="0096785C"/>
    <w:rsid w:val="00970669"/>
    <w:rsid w:val="009713B5"/>
    <w:rsid w:val="009719EE"/>
    <w:rsid w:val="00972246"/>
    <w:rsid w:val="00972294"/>
    <w:rsid w:val="00972900"/>
    <w:rsid w:val="0097291D"/>
    <w:rsid w:val="00972A7B"/>
    <w:rsid w:val="00973363"/>
    <w:rsid w:val="00973FBE"/>
    <w:rsid w:val="009750E1"/>
    <w:rsid w:val="00975828"/>
    <w:rsid w:val="00976033"/>
    <w:rsid w:val="0097667D"/>
    <w:rsid w:val="0097732E"/>
    <w:rsid w:val="0097739A"/>
    <w:rsid w:val="00977E82"/>
    <w:rsid w:val="009808B0"/>
    <w:rsid w:val="00980AB2"/>
    <w:rsid w:val="00980DEC"/>
    <w:rsid w:val="009816F1"/>
    <w:rsid w:val="0098266B"/>
    <w:rsid w:val="00982A11"/>
    <w:rsid w:val="00982EF5"/>
    <w:rsid w:val="00983216"/>
    <w:rsid w:val="00983544"/>
    <w:rsid w:val="00983B35"/>
    <w:rsid w:val="00984722"/>
    <w:rsid w:val="00984B9C"/>
    <w:rsid w:val="00985275"/>
    <w:rsid w:val="00985BC9"/>
    <w:rsid w:val="00986123"/>
    <w:rsid w:val="009861D8"/>
    <w:rsid w:val="00987ECB"/>
    <w:rsid w:val="00987EE4"/>
    <w:rsid w:val="00990199"/>
    <w:rsid w:val="009903DF"/>
    <w:rsid w:val="00990574"/>
    <w:rsid w:val="009906AB"/>
    <w:rsid w:val="00990987"/>
    <w:rsid w:val="00990CCB"/>
    <w:rsid w:val="00990CCF"/>
    <w:rsid w:val="009918F3"/>
    <w:rsid w:val="00991989"/>
    <w:rsid w:val="009933D3"/>
    <w:rsid w:val="0099468D"/>
    <w:rsid w:val="00994CE0"/>
    <w:rsid w:val="00994F60"/>
    <w:rsid w:val="009974D7"/>
    <w:rsid w:val="00997695"/>
    <w:rsid w:val="009979C0"/>
    <w:rsid w:val="00997F5B"/>
    <w:rsid w:val="009A09B7"/>
    <w:rsid w:val="009A0B94"/>
    <w:rsid w:val="009A19A3"/>
    <w:rsid w:val="009A3897"/>
    <w:rsid w:val="009A4DBB"/>
    <w:rsid w:val="009A54E1"/>
    <w:rsid w:val="009A5EDF"/>
    <w:rsid w:val="009A6E28"/>
    <w:rsid w:val="009A716C"/>
    <w:rsid w:val="009A7713"/>
    <w:rsid w:val="009A7E25"/>
    <w:rsid w:val="009A7E3F"/>
    <w:rsid w:val="009A7F2E"/>
    <w:rsid w:val="009B1463"/>
    <w:rsid w:val="009B2310"/>
    <w:rsid w:val="009B231B"/>
    <w:rsid w:val="009B44CE"/>
    <w:rsid w:val="009B4DBB"/>
    <w:rsid w:val="009B4E42"/>
    <w:rsid w:val="009B5551"/>
    <w:rsid w:val="009B5668"/>
    <w:rsid w:val="009B6665"/>
    <w:rsid w:val="009B6825"/>
    <w:rsid w:val="009B7E40"/>
    <w:rsid w:val="009C0F65"/>
    <w:rsid w:val="009C1B45"/>
    <w:rsid w:val="009C318F"/>
    <w:rsid w:val="009C322E"/>
    <w:rsid w:val="009C3502"/>
    <w:rsid w:val="009C355B"/>
    <w:rsid w:val="009C3FAC"/>
    <w:rsid w:val="009C4514"/>
    <w:rsid w:val="009C487B"/>
    <w:rsid w:val="009C4FF3"/>
    <w:rsid w:val="009C6533"/>
    <w:rsid w:val="009C6C62"/>
    <w:rsid w:val="009C6F46"/>
    <w:rsid w:val="009C725A"/>
    <w:rsid w:val="009D00C0"/>
    <w:rsid w:val="009D05F0"/>
    <w:rsid w:val="009D08AC"/>
    <w:rsid w:val="009D2198"/>
    <w:rsid w:val="009D2AFF"/>
    <w:rsid w:val="009D2DA4"/>
    <w:rsid w:val="009D40EF"/>
    <w:rsid w:val="009D4726"/>
    <w:rsid w:val="009D4EE4"/>
    <w:rsid w:val="009D7274"/>
    <w:rsid w:val="009D727D"/>
    <w:rsid w:val="009D7C0E"/>
    <w:rsid w:val="009E0D92"/>
    <w:rsid w:val="009E172F"/>
    <w:rsid w:val="009E17AF"/>
    <w:rsid w:val="009E1C2D"/>
    <w:rsid w:val="009E2815"/>
    <w:rsid w:val="009E2906"/>
    <w:rsid w:val="009E32FA"/>
    <w:rsid w:val="009E345C"/>
    <w:rsid w:val="009E497F"/>
    <w:rsid w:val="009E5537"/>
    <w:rsid w:val="009E5CBD"/>
    <w:rsid w:val="009E5E3A"/>
    <w:rsid w:val="009E5F19"/>
    <w:rsid w:val="009E6B8A"/>
    <w:rsid w:val="009E6D9C"/>
    <w:rsid w:val="009E709F"/>
    <w:rsid w:val="009F0AC5"/>
    <w:rsid w:val="009F1472"/>
    <w:rsid w:val="009F1BFD"/>
    <w:rsid w:val="009F1EDA"/>
    <w:rsid w:val="009F2171"/>
    <w:rsid w:val="009F5655"/>
    <w:rsid w:val="00A0018F"/>
    <w:rsid w:val="00A0071E"/>
    <w:rsid w:val="00A00A7E"/>
    <w:rsid w:val="00A017AC"/>
    <w:rsid w:val="00A03776"/>
    <w:rsid w:val="00A03E5A"/>
    <w:rsid w:val="00A043C3"/>
    <w:rsid w:val="00A0440A"/>
    <w:rsid w:val="00A0489A"/>
    <w:rsid w:val="00A04CF3"/>
    <w:rsid w:val="00A05EF4"/>
    <w:rsid w:val="00A061D1"/>
    <w:rsid w:val="00A06349"/>
    <w:rsid w:val="00A0672E"/>
    <w:rsid w:val="00A06995"/>
    <w:rsid w:val="00A07CAA"/>
    <w:rsid w:val="00A102B0"/>
    <w:rsid w:val="00A104F2"/>
    <w:rsid w:val="00A10986"/>
    <w:rsid w:val="00A10B01"/>
    <w:rsid w:val="00A12ED5"/>
    <w:rsid w:val="00A1321A"/>
    <w:rsid w:val="00A132AB"/>
    <w:rsid w:val="00A13700"/>
    <w:rsid w:val="00A1447F"/>
    <w:rsid w:val="00A14943"/>
    <w:rsid w:val="00A14AFC"/>
    <w:rsid w:val="00A15053"/>
    <w:rsid w:val="00A15288"/>
    <w:rsid w:val="00A152DE"/>
    <w:rsid w:val="00A16180"/>
    <w:rsid w:val="00A16703"/>
    <w:rsid w:val="00A178B1"/>
    <w:rsid w:val="00A17A6E"/>
    <w:rsid w:val="00A20CF2"/>
    <w:rsid w:val="00A20D53"/>
    <w:rsid w:val="00A211D4"/>
    <w:rsid w:val="00A216D6"/>
    <w:rsid w:val="00A21F7A"/>
    <w:rsid w:val="00A240B7"/>
    <w:rsid w:val="00A24FB7"/>
    <w:rsid w:val="00A262BA"/>
    <w:rsid w:val="00A269D0"/>
    <w:rsid w:val="00A26FF0"/>
    <w:rsid w:val="00A278AB"/>
    <w:rsid w:val="00A30469"/>
    <w:rsid w:val="00A3091D"/>
    <w:rsid w:val="00A30D79"/>
    <w:rsid w:val="00A31923"/>
    <w:rsid w:val="00A32081"/>
    <w:rsid w:val="00A32E9E"/>
    <w:rsid w:val="00A33D7A"/>
    <w:rsid w:val="00A350C2"/>
    <w:rsid w:val="00A3521F"/>
    <w:rsid w:val="00A35BF7"/>
    <w:rsid w:val="00A36AF0"/>
    <w:rsid w:val="00A36D64"/>
    <w:rsid w:val="00A3711E"/>
    <w:rsid w:val="00A378BE"/>
    <w:rsid w:val="00A37990"/>
    <w:rsid w:val="00A37C75"/>
    <w:rsid w:val="00A4018D"/>
    <w:rsid w:val="00A40668"/>
    <w:rsid w:val="00A41546"/>
    <w:rsid w:val="00A4193C"/>
    <w:rsid w:val="00A41F52"/>
    <w:rsid w:val="00A424C8"/>
    <w:rsid w:val="00A42C6D"/>
    <w:rsid w:val="00A43053"/>
    <w:rsid w:val="00A43422"/>
    <w:rsid w:val="00A43917"/>
    <w:rsid w:val="00A44218"/>
    <w:rsid w:val="00A445C4"/>
    <w:rsid w:val="00A45156"/>
    <w:rsid w:val="00A4515C"/>
    <w:rsid w:val="00A454EF"/>
    <w:rsid w:val="00A45651"/>
    <w:rsid w:val="00A45ADF"/>
    <w:rsid w:val="00A46A6A"/>
    <w:rsid w:val="00A46D5B"/>
    <w:rsid w:val="00A4729F"/>
    <w:rsid w:val="00A4756D"/>
    <w:rsid w:val="00A50B70"/>
    <w:rsid w:val="00A51138"/>
    <w:rsid w:val="00A5127B"/>
    <w:rsid w:val="00A51BB9"/>
    <w:rsid w:val="00A5244D"/>
    <w:rsid w:val="00A52C78"/>
    <w:rsid w:val="00A53A9B"/>
    <w:rsid w:val="00A5440B"/>
    <w:rsid w:val="00A5662C"/>
    <w:rsid w:val="00A569C2"/>
    <w:rsid w:val="00A56CB8"/>
    <w:rsid w:val="00A60A50"/>
    <w:rsid w:val="00A61672"/>
    <w:rsid w:val="00A61978"/>
    <w:rsid w:val="00A61DF2"/>
    <w:rsid w:val="00A62522"/>
    <w:rsid w:val="00A62691"/>
    <w:rsid w:val="00A62C0C"/>
    <w:rsid w:val="00A6327C"/>
    <w:rsid w:val="00A65226"/>
    <w:rsid w:val="00A65787"/>
    <w:rsid w:val="00A669FB"/>
    <w:rsid w:val="00A677A1"/>
    <w:rsid w:val="00A67880"/>
    <w:rsid w:val="00A70E30"/>
    <w:rsid w:val="00A70FE9"/>
    <w:rsid w:val="00A7130F"/>
    <w:rsid w:val="00A71846"/>
    <w:rsid w:val="00A72597"/>
    <w:rsid w:val="00A72D57"/>
    <w:rsid w:val="00A76C03"/>
    <w:rsid w:val="00A77236"/>
    <w:rsid w:val="00A77262"/>
    <w:rsid w:val="00A77E3F"/>
    <w:rsid w:val="00A802F1"/>
    <w:rsid w:val="00A81844"/>
    <w:rsid w:val="00A81EAD"/>
    <w:rsid w:val="00A82155"/>
    <w:rsid w:val="00A82158"/>
    <w:rsid w:val="00A827A8"/>
    <w:rsid w:val="00A8333C"/>
    <w:rsid w:val="00A84331"/>
    <w:rsid w:val="00A84D7A"/>
    <w:rsid w:val="00A8580D"/>
    <w:rsid w:val="00A86699"/>
    <w:rsid w:val="00A86C3E"/>
    <w:rsid w:val="00A86D7A"/>
    <w:rsid w:val="00A90171"/>
    <w:rsid w:val="00A904EB"/>
    <w:rsid w:val="00A92131"/>
    <w:rsid w:val="00A926FB"/>
    <w:rsid w:val="00A92DC1"/>
    <w:rsid w:val="00A93068"/>
    <w:rsid w:val="00A93441"/>
    <w:rsid w:val="00A93912"/>
    <w:rsid w:val="00A94626"/>
    <w:rsid w:val="00A966A8"/>
    <w:rsid w:val="00A96794"/>
    <w:rsid w:val="00A96B31"/>
    <w:rsid w:val="00A971A8"/>
    <w:rsid w:val="00A9757A"/>
    <w:rsid w:val="00A975B2"/>
    <w:rsid w:val="00A975DD"/>
    <w:rsid w:val="00A97D39"/>
    <w:rsid w:val="00A97DBD"/>
    <w:rsid w:val="00AA0354"/>
    <w:rsid w:val="00AA0A2F"/>
    <w:rsid w:val="00AA1ABD"/>
    <w:rsid w:val="00AA1B11"/>
    <w:rsid w:val="00AA309F"/>
    <w:rsid w:val="00AA36F3"/>
    <w:rsid w:val="00AA3CDD"/>
    <w:rsid w:val="00AA48CA"/>
    <w:rsid w:val="00AA49BD"/>
    <w:rsid w:val="00AA4F9C"/>
    <w:rsid w:val="00AA5014"/>
    <w:rsid w:val="00AA56CF"/>
    <w:rsid w:val="00AA5E62"/>
    <w:rsid w:val="00AA61A1"/>
    <w:rsid w:val="00AA68FE"/>
    <w:rsid w:val="00AA698B"/>
    <w:rsid w:val="00AA6B9D"/>
    <w:rsid w:val="00AB05F5"/>
    <w:rsid w:val="00AB1576"/>
    <w:rsid w:val="00AB1978"/>
    <w:rsid w:val="00AB1B3E"/>
    <w:rsid w:val="00AB2452"/>
    <w:rsid w:val="00AB267A"/>
    <w:rsid w:val="00AB5079"/>
    <w:rsid w:val="00AB5C2C"/>
    <w:rsid w:val="00AB5F10"/>
    <w:rsid w:val="00AB7042"/>
    <w:rsid w:val="00AB718D"/>
    <w:rsid w:val="00AB736E"/>
    <w:rsid w:val="00AB7886"/>
    <w:rsid w:val="00AC0377"/>
    <w:rsid w:val="00AC05C6"/>
    <w:rsid w:val="00AC199A"/>
    <w:rsid w:val="00AC1F04"/>
    <w:rsid w:val="00AC21DA"/>
    <w:rsid w:val="00AC2270"/>
    <w:rsid w:val="00AC2675"/>
    <w:rsid w:val="00AC3959"/>
    <w:rsid w:val="00AC3960"/>
    <w:rsid w:val="00AC42A8"/>
    <w:rsid w:val="00AC43BC"/>
    <w:rsid w:val="00AC46FE"/>
    <w:rsid w:val="00AC48BD"/>
    <w:rsid w:val="00AC4DCE"/>
    <w:rsid w:val="00AC52BB"/>
    <w:rsid w:val="00AC5A0C"/>
    <w:rsid w:val="00AC5C7D"/>
    <w:rsid w:val="00AC6684"/>
    <w:rsid w:val="00AC67F1"/>
    <w:rsid w:val="00AC6AFD"/>
    <w:rsid w:val="00AC6CF5"/>
    <w:rsid w:val="00AC6F4C"/>
    <w:rsid w:val="00AC7967"/>
    <w:rsid w:val="00AC7C20"/>
    <w:rsid w:val="00AC7C30"/>
    <w:rsid w:val="00AD02CB"/>
    <w:rsid w:val="00AD0360"/>
    <w:rsid w:val="00AD0768"/>
    <w:rsid w:val="00AD17B9"/>
    <w:rsid w:val="00AD2122"/>
    <w:rsid w:val="00AD212F"/>
    <w:rsid w:val="00AD2A06"/>
    <w:rsid w:val="00AD2C9F"/>
    <w:rsid w:val="00AD2CEC"/>
    <w:rsid w:val="00AD37C8"/>
    <w:rsid w:val="00AD3947"/>
    <w:rsid w:val="00AD57CD"/>
    <w:rsid w:val="00AD6379"/>
    <w:rsid w:val="00AD73B9"/>
    <w:rsid w:val="00AD777B"/>
    <w:rsid w:val="00AE045A"/>
    <w:rsid w:val="00AE049A"/>
    <w:rsid w:val="00AE09C4"/>
    <w:rsid w:val="00AE0B2E"/>
    <w:rsid w:val="00AE0F19"/>
    <w:rsid w:val="00AE2EDF"/>
    <w:rsid w:val="00AE341B"/>
    <w:rsid w:val="00AE4573"/>
    <w:rsid w:val="00AE4733"/>
    <w:rsid w:val="00AE5542"/>
    <w:rsid w:val="00AE6066"/>
    <w:rsid w:val="00AE68C1"/>
    <w:rsid w:val="00AE772B"/>
    <w:rsid w:val="00AE7A3E"/>
    <w:rsid w:val="00AE7B50"/>
    <w:rsid w:val="00AF044A"/>
    <w:rsid w:val="00AF0E3C"/>
    <w:rsid w:val="00AF10D3"/>
    <w:rsid w:val="00AF148C"/>
    <w:rsid w:val="00AF1507"/>
    <w:rsid w:val="00AF15AA"/>
    <w:rsid w:val="00AF16E4"/>
    <w:rsid w:val="00AF1D5D"/>
    <w:rsid w:val="00AF2039"/>
    <w:rsid w:val="00AF2A07"/>
    <w:rsid w:val="00AF2B37"/>
    <w:rsid w:val="00AF2F92"/>
    <w:rsid w:val="00AF4E15"/>
    <w:rsid w:val="00AF5EB5"/>
    <w:rsid w:val="00AF5F82"/>
    <w:rsid w:val="00AF6156"/>
    <w:rsid w:val="00AF621A"/>
    <w:rsid w:val="00AF6854"/>
    <w:rsid w:val="00AF7030"/>
    <w:rsid w:val="00AF7831"/>
    <w:rsid w:val="00AF7AD6"/>
    <w:rsid w:val="00B008B5"/>
    <w:rsid w:val="00B00EB1"/>
    <w:rsid w:val="00B01B86"/>
    <w:rsid w:val="00B03137"/>
    <w:rsid w:val="00B0423F"/>
    <w:rsid w:val="00B050D3"/>
    <w:rsid w:val="00B051D3"/>
    <w:rsid w:val="00B057F2"/>
    <w:rsid w:val="00B06318"/>
    <w:rsid w:val="00B07F96"/>
    <w:rsid w:val="00B10170"/>
    <w:rsid w:val="00B10388"/>
    <w:rsid w:val="00B10B7D"/>
    <w:rsid w:val="00B1403E"/>
    <w:rsid w:val="00B1490C"/>
    <w:rsid w:val="00B15346"/>
    <w:rsid w:val="00B15D81"/>
    <w:rsid w:val="00B16317"/>
    <w:rsid w:val="00B16C0C"/>
    <w:rsid w:val="00B1776D"/>
    <w:rsid w:val="00B20148"/>
    <w:rsid w:val="00B204EA"/>
    <w:rsid w:val="00B20C97"/>
    <w:rsid w:val="00B22B2F"/>
    <w:rsid w:val="00B22EDA"/>
    <w:rsid w:val="00B23AD6"/>
    <w:rsid w:val="00B23C53"/>
    <w:rsid w:val="00B23F12"/>
    <w:rsid w:val="00B2423E"/>
    <w:rsid w:val="00B24373"/>
    <w:rsid w:val="00B2495F"/>
    <w:rsid w:val="00B25C35"/>
    <w:rsid w:val="00B25D71"/>
    <w:rsid w:val="00B25EBA"/>
    <w:rsid w:val="00B27287"/>
    <w:rsid w:val="00B30003"/>
    <w:rsid w:val="00B30C21"/>
    <w:rsid w:val="00B31CF1"/>
    <w:rsid w:val="00B32509"/>
    <w:rsid w:val="00B32554"/>
    <w:rsid w:val="00B3257A"/>
    <w:rsid w:val="00B35045"/>
    <w:rsid w:val="00B35590"/>
    <w:rsid w:val="00B35C9D"/>
    <w:rsid w:val="00B35D09"/>
    <w:rsid w:val="00B3606A"/>
    <w:rsid w:val="00B36A62"/>
    <w:rsid w:val="00B37BFB"/>
    <w:rsid w:val="00B37F6C"/>
    <w:rsid w:val="00B41DFA"/>
    <w:rsid w:val="00B420D3"/>
    <w:rsid w:val="00B422BE"/>
    <w:rsid w:val="00B42ABE"/>
    <w:rsid w:val="00B42ACD"/>
    <w:rsid w:val="00B42C83"/>
    <w:rsid w:val="00B42CF2"/>
    <w:rsid w:val="00B433BD"/>
    <w:rsid w:val="00B43C65"/>
    <w:rsid w:val="00B44254"/>
    <w:rsid w:val="00B4451A"/>
    <w:rsid w:val="00B44589"/>
    <w:rsid w:val="00B44985"/>
    <w:rsid w:val="00B44A0B"/>
    <w:rsid w:val="00B44B6E"/>
    <w:rsid w:val="00B457F4"/>
    <w:rsid w:val="00B45D32"/>
    <w:rsid w:val="00B46567"/>
    <w:rsid w:val="00B46A27"/>
    <w:rsid w:val="00B46AE6"/>
    <w:rsid w:val="00B476C1"/>
    <w:rsid w:val="00B478D4"/>
    <w:rsid w:val="00B479AD"/>
    <w:rsid w:val="00B510B3"/>
    <w:rsid w:val="00B5119F"/>
    <w:rsid w:val="00B5129F"/>
    <w:rsid w:val="00B51AD8"/>
    <w:rsid w:val="00B52789"/>
    <w:rsid w:val="00B53273"/>
    <w:rsid w:val="00B534D7"/>
    <w:rsid w:val="00B53CA5"/>
    <w:rsid w:val="00B53E8E"/>
    <w:rsid w:val="00B5415C"/>
    <w:rsid w:val="00B54C99"/>
    <w:rsid w:val="00B55A93"/>
    <w:rsid w:val="00B57713"/>
    <w:rsid w:val="00B57A7F"/>
    <w:rsid w:val="00B6149C"/>
    <w:rsid w:val="00B61C86"/>
    <w:rsid w:val="00B62134"/>
    <w:rsid w:val="00B639A3"/>
    <w:rsid w:val="00B642A7"/>
    <w:rsid w:val="00B64961"/>
    <w:rsid w:val="00B649CC"/>
    <w:rsid w:val="00B66396"/>
    <w:rsid w:val="00B669BC"/>
    <w:rsid w:val="00B675F5"/>
    <w:rsid w:val="00B67793"/>
    <w:rsid w:val="00B67A2D"/>
    <w:rsid w:val="00B706E5"/>
    <w:rsid w:val="00B70C20"/>
    <w:rsid w:val="00B72163"/>
    <w:rsid w:val="00B731B4"/>
    <w:rsid w:val="00B73423"/>
    <w:rsid w:val="00B73521"/>
    <w:rsid w:val="00B73C98"/>
    <w:rsid w:val="00B74211"/>
    <w:rsid w:val="00B7427E"/>
    <w:rsid w:val="00B74614"/>
    <w:rsid w:val="00B7636D"/>
    <w:rsid w:val="00B777CB"/>
    <w:rsid w:val="00B80CDE"/>
    <w:rsid w:val="00B8114B"/>
    <w:rsid w:val="00B81977"/>
    <w:rsid w:val="00B81D0E"/>
    <w:rsid w:val="00B81E5C"/>
    <w:rsid w:val="00B82EF7"/>
    <w:rsid w:val="00B83435"/>
    <w:rsid w:val="00B84A8F"/>
    <w:rsid w:val="00B8537A"/>
    <w:rsid w:val="00B85F81"/>
    <w:rsid w:val="00B867CD"/>
    <w:rsid w:val="00B874E5"/>
    <w:rsid w:val="00B8780B"/>
    <w:rsid w:val="00B90D4D"/>
    <w:rsid w:val="00B91CA1"/>
    <w:rsid w:val="00B91F59"/>
    <w:rsid w:val="00B92D0F"/>
    <w:rsid w:val="00B93B1D"/>
    <w:rsid w:val="00B9488C"/>
    <w:rsid w:val="00B94C69"/>
    <w:rsid w:val="00B95261"/>
    <w:rsid w:val="00B952BF"/>
    <w:rsid w:val="00B95E75"/>
    <w:rsid w:val="00B96374"/>
    <w:rsid w:val="00B97105"/>
    <w:rsid w:val="00B9762C"/>
    <w:rsid w:val="00BA0C16"/>
    <w:rsid w:val="00BA10F1"/>
    <w:rsid w:val="00BA1307"/>
    <w:rsid w:val="00BA1316"/>
    <w:rsid w:val="00BA1C02"/>
    <w:rsid w:val="00BA2048"/>
    <w:rsid w:val="00BA38B9"/>
    <w:rsid w:val="00BA3DD1"/>
    <w:rsid w:val="00BA66E5"/>
    <w:rsid w:val="00BA6819"/>
    <w:rsid w:val="00BA695C"/>
    <w:rsid w:val="00BA6D52"/>
    <w:rsid w:val="00BA7E95"/>
    <w:rsid w:val="00BB1EA6"/>
    <w:rsid w:val="00BB26C7"/>
    <w:rsid w:val="00BB2889"/>
    <w:rsid w:val="00BB2E5A"/>
    <w:rsid w:val="00BB2EB2"/>
    <w:rsid w:val="00BB30DF"/>
    <w:rsid w:val="00BB408D"/>
    <w:rsid w:val="00BB5A29"/>
    <w:rsid w:val="00BB6613"/>
    <w:rsid w:val="00BB66F2"/>
    <w:rsid w:val="00BB6934"/>
    <w:rsid w:val="00BB6FAB"/>
    <w:rsid w:val="00BB7352"/>
    <w:rsid w:val="00BB7619"/>
    <w:rsid w:val="00BB7D7C"/>
    <w:rsid w:val="00BC10DE"/>
    <w:rsid w:val="00BC2993"/>
    <w:rsid w:val="00BC36F9"/>
    <w:rsid w:val="00BC3719"/>
    <w:rsid w:val="00BC3EB2"/>
    <w:rsid w:val="00BC4471"/>
    <w:rsid w:val="00BC477B"/>
    <w:rsid w:val="00BC5966"/>
    <w:rsid w:val="00BC6450"/>
    <w:rsid w:val="00BC6603"/>
    <w:rsid w:val="00BC6E10"/>
    <w:rsid w:val="00BC7A05"/>
    <w:rsid w:val="00BD02D8"/>
    <w:rsid w:val="00BD0B4D"/>
    <w:rsid w:val="00BD0DB5"/>
    <w:rsid w:val="00BD1C59"/>
    <w:rsid w:val="00BD1FDF"/>
    <w:rsid w:val="00BD23D3"/>
    <w:rsid w:val="00BD262B"/>
    <w:rsid w:val="00BD28A6"/>
    <w:rsid w:val="00BD2990"/>
    <w:rsid w:val="00BD50AF"/>
    <w:rsid w:val="00BD51AE"/>
    <w:rsid w:val="00BD557C"/>
    <w:rsid w:val="00BD7008"/>
    <w:rsid w:val="00BD71D4"/>
    <w:rsid w:val="00BD7B45"/>
    <w:rsid w:val="00BD7D14"/>
    <w:rsid w:val="00BE0423"/>
    <w:rsid w:val="00BE11EF"/>
    <w:rsid w:val="00BE12D5"/>
    <w:rsid w:val="00BE1315"/>
    <w:rsid w:val="00BE153E"/>
    <w:rsid w:val="00BE15F2"/>
    <w:rsid w:val="00BE1AE1"/>
    <w:rsid w:val="00BE1F79"/>
    <w:rsid w:val="00BE21A3"/>
    <w:rsid w:val="00BE2543"/>
    <w:rsid w:val="00BE3067"/>
    <w:rsid w:val="00BE488A"/>
    <w:rsid w:val="00BE5566"/>
    <w:rsid w:val="00BE5B8D"/>
    <w:rsid w:val="00BE5F73"/>
    <w:rsid w:val="00BE61C2"/>
    <w:rsid w:val="00BE671B"/>
    <w:rsid w:val="00BE679A"/>
    <w:rsid w:val="00BE75A4"/>
    <w:rsid w:val="00BE75D3"/>
    <w:rsid w:val="00BE75E6"/>
    <w:rsid w:val="00BE7DD2"/>
    <w:rsid w:val="00BE7EF8"/>
    <w:rsid w:val="00BF05D6"/>
    <w:rsid w:val="00BF1179"/>
    <w:rsid w:val="00BF3684"/>
    <w:rsid w:val="00BF3992"/>
    <w:rsid w:val="00BF3A49"/>
    <w:rsid w:val="00BF3F50"/>
    <w:rsid w:val="00BF4257"/>
    <w:rsid w:val="00BF48EC"/>
    <w:rsid w:val="00BF5514"/>
    <w:rsid w:val="00BF5649"/>
    <w:rsid w:val="00BF5879"/>
    <w:rsid w:val="00BF5C73"/>
    <w:rsid w:val="00BF7935"/>
    <w:rsid w:val="00BF79DB"/>
    <w:rsid w:val="00C005ED"/>
    <w:rsid w:val="00C00926"/>
    <w:rsid w:val="00C01237"/>
    <w:rsid w:val="00C03352"/>
    <w:rsid w:val="00C0367E"/>
    <w:rsid w:val="00C036AA"/>
    <w:rsid w:val="00C03BCE"/>
    <w:rsid w:val="00C04A1D"/>
    <w:rsid w:val="00C05280"/>
    <w:rsid w:val="00C05A71"/>
    <w:rsid w:val="00C0609E"/>
    <w:rsid w:val="00C0655E"/>
    <w:rsid w:val="00C07B04"/>
    <w:rsid w:val="00C109D6"/>
    <w:rsid w:val="00C110CC"/>
    <w:rsid w:val="00C11746"/>
    <w:rsid w:val="00C11938"/>
    <w:rsid w:val="00C11B01"/>
    <w:rsid w:val="00C11B93"/>
    <w:rsid w:val="00C123E1"/>
    <w:rsid w:val="00C12400"/>
    <w:rsid w:val="00C12A00"/>
    <w:rsid w:val="00C12B40"/>
    <w:rsid w:val="00C12EF3"/>
    <w:rsid w:val="00C1331D"/>
    <w:rsid w:val="00C14878"/>
    <w:rsid w:val="00C14983"/>
    <w:rsid w:val="00C1696D"/>
    <w:rsid w:val="00C1706A"/>
    <w:rsid w:val="00C17E11"/>
    <w:rsid w:val="00C20A05"/>
    <w:rsid w:val="00C21A71"/>
    <w:rsid w:val="00C2220A"/>
    <w:rsid w:val="00C22280"/>
    <w:rsid w:val="00C25070"/>
    <w:rsid w:val="00C250D4"/>
    <w:rsid w:val="00C25989"/>
    <w:rsid w:val="00C2697F"/>
    <w:rsid w:val="00C270D8"/>
    <w:rsid w:val="00C300F0"/>
    <w:rsid w:val="00C30740"/>
    <w:rsid w:val="00C30A5B"/>
    <w:rsid w:val="00C30CC7"/>
    <w:rsid w:val="00C3186B"/>
    <w:rsid w:val="00C31985"/>
    <w:rsid w:val="00C31C9B"/>
    <w:rsid w:val="00C32800"/>
    <w:rsid w:val="00C32E26"/>
    <w:rsid w:val="00C32F83"/>
    <w:rsid w:val="00C3571C"/>
    <w:rsid w:val="00C3643F"/>
    <w:rsid w:val="00C364CD"/>
    <w:rsid w:val="00C37B42"/>
    <w:rsid w:val="00C40BBF"/>
    <w:rsid w:val="00C4173E"/>
    <w:rsid w:val="00C41D71"/>
    <w:rsid w:val="00C424DB"/>
    <w:rsid w:val="00C430F3"/>
    <w:rsid w:val="00C43A9A"/>
    <w:rsid w:val="00C44705"/>
    <w:rsid w:val="00C44F98"/>
    <w:rsid w:val="00C45335"/>
    <w:rsid w:val="00C45475"/>
    <w:rsid w:val="00C45870"/>
    <w:rsid w:val="00C464C9"/>
    <w:rsid w:val="00C46700"/>
    <w:rsid w:val="00C4672B"/>
    <w:rsid w:val="00C470A4"/>
    <w:rsid w:val="00C4740F"/>
    <w:rsid w:val="00C4762B"/>
    <w:rsid w:val="00C5078F"/>
    <w:rsid w:val="00C5195F"/>
    <w:rsid w:val="00C51AC8"/>
    <w:rsid w:val="00C521C5"/>
    <w:rsid w:val="00C52700"/>
    <w:rsid w:val="00C52702"/>
    <w:rsid w:val="00C5305C"/>
    <w:rsid w:val="00C53CEA"/>
    <w:rsid w:val="00C54859"/>
    <w:rsid w:val="00C54E17"/>
    <w:rsid w:val="00C56567"/>
    <w:rsid w:val="00C57087"/>
    <w:rsid w:val="00C608BD"/>
    <w:rsid w:val="00C60A84"/>
    <w:rsid w:val="00C60CA1"/>
    <w:rsid w:val="00C62717"/>
    <w:rsid w:val="00C63650"/>
    <w:rsid w:val="00C641A7"/>
    <w:rsid w:val="00C65314"/>
    <w:rsid w:val="00C67F98"/>
    <w:rsid w:val="00C70B10"/>
    <w:rsid w:val="00C70EBD"/>
    <w:rsid w:val="00C71BC9"/>
    <w:rsid w:val="00C72902"/>
    <w:rsid w:val="00C73A17"/>
    <w:rsid w:val="00C745E4"/>
    <w:rsid w:val="00C7485E"/>
    <w:rsid w:val="00C76193"/>
    <w:rsid w:val="00C76340"/>
    <w:rsid w:val="00C766EE"/>
    <w:rsid w:val="00C76B7D"/>
    <w:rsid w:val="00C76ED0"/>
    <w:rsid w:val="00C80737"/>
    <w:rsid w:val="00C8107B"/>
    <w:rsid w:val="00C81B5F"/>
    <w:rsid w:val="00C822E5"/>
    <w:rsid w:val="00C835F0"/>
    <w:rsid w:val="00C83C1A"/>
    <w:rsid w:val="00C844CB"/>
    <w:rsid w:val="00C84BD0"/>
    <w:rsid w:val="00C84CC5"/>
    <w:rsid w:val="00C85CB9"/>
    <w:rsid w:val="00C87882"/>
    <w:rsid w:val="00C90B00"/>
    <w:rsid w:val="00C90F6E"/>
    <w:rsid w:val="00C911EC"/>
    <w:rsid w:val="00C9197C"/>
    <w:rsid w:val="00C91B78"/>
    <w:rsid w:val="00C91DC1"/>
    <w:rsid w:val="00C92A14"/>
    <w:rsid w:val="00C94377"/>
    <w:rsid w:val="00C94647"/>
    <w:rsid w:val="00C94DBA"/>
    <w:rsid w:val="00C95360"/>
    <w:rsid w:val="00C953F5"/>
    <w:rsid w:val="00C96BA4"/>
    <w:rsid w:val="00C97983"/>
    <w:rsid w:val="00CA0A96"/>
    <w:rsid w:val="00CA0E33"/>
    <w:rsid w:val="00CA1151"/>
    <w:rsid w:val="00CA1204"/>
    <w:rsid w:val="00CA1569"/>
    <w:rsid w:val="00CA19C7"/>
    <w:rsid w:val="00CA239C"/>
    <w:rsid w:val="00CA2633"/>
    <w:rsid w:val="00CA2677"/>
    <w:rsid w:val="00CA2B1A"/>
    <w:rsid w:val="00CA3A00"/>
    <w:rsid w:val="00CA3D39"/>
    <w:rsid w:val="00CA3E4B"/>
    <w:rsid w:val="00CA4515"/>
    <w:rsid w:val="00CA4BA4"/>
    <w:rsid w:val="00CA5B45"/>
    <w:rsid w:val="00CA60F8"/>
    <w:rsid w:val="00CA612B"/>
    <w:rsid w:val="00CA6157"/>
    <w:rsid w:val="00CA63E1"/>
    <w:rsid w:val="00CA7828"/>
    <w:rsid w:val="00CB0856"/>
    <w:rsid w:val="00CB0AC0"/>
    <w:rsid w:val="00CB1771"/>
    <w:rsid w:val="00CB18E0"/>
    <w:rsid w:val="00CB18E1"/>
    <w:rsid w:val="00CB1A4E"/>
    <w:rsid w:val="00CB26A0"/>
    <w:rsid w:val="00CB2944"/>
    <w:rsid w:val="00CB3529"/>
    <w:rsid w:val="00CB3785"/>
    <w:rsid w:val="00CB3FCC"/>
    <w:rsid w:val="00CB440E"/>
    <w:rsid w:val="00CB4712"/>
    <w:rsid w:val="00CB4CB3"/>
    <w:rsid w:val="00CB4E39"/>
    <w:rsid w:val="00CB50E6"/>
    <w:rsid w:val="00CB5D92"/>
    <w:rsid w:val="00CB5E23"/>
    <w:rsid w:val="00CB649A"/>
    <w:rsid w:val="00CB6577"/>
    <w:rsid w:val="00CB6E04"/>
    <w:rsid w:val="00CB74BA"/>
    <w:rsid w:val="00CB751B"/>
    <w:rsid w:val="00CB7D33"/>
    <w:rsid w:val="00CB7D9C"/>
    <w:rsid w:val="00CB7FF1"/>
    <w:rsid w:val="00CC0576"/>
    <w:rsid w:val="00CC178E"/>
    <w:rsid w:val="00CC1B3E"/>
    <w:rsid w:val="00CC1DA4"/>
    <w:rsid w:val="00CC2BB1"/>
    <w:rsid w:val="00CC3E02"/>
    <w:rsid w:val="00CC4E60"/>
    <w:rsid w:val="00CC5281"/>
    <w:rsid w:val="00CC62B3"/>
    <w:rsid w:val="00CC63C9"/>
    <w:rsid w:val="00CC7163"/>
    <w:rsid w:val="00CC7646"/>
    <w:rsid w:val="00CC78F0"/>
    <w:rsid w:val="00CC7944"/>
    <w:rsid w:val="00CC7989"/>
    <w:rsid w:val="00CD0DD6"/>
    <w:rsid w:val="00CD1209"/>
    <w:rsid w:val="00CD19B3"/>
    <w:rsid w:val="00CD1B77"/>
    <w:rsid w:val="00CD247C"/>
    <w:rsid w:val="00CD3146"/>
    <w:rsid w:val="00CD443B"/>
    <w:rsid w:val="00CD4440"/>
    <w:rsid w:val="00CD4E1D"/>
    <w:rsid w:val="00CD649D"/>
    <w:rsid w:val="00CD6779"/>
    <w:rsid w:val="00CD6CDC"/>
    <w:rsid w:val="00CE0519"/>
    <w:rsid w:val="00CE14BB"/>
    <w:rsid w:val="00CE15EF"/>
    <w:rsid w:val="00CE32EB"/>
    <w:rsid w:val="00CE52A2"/>
    <w:rsid w:val="00CE5914"/>
    <w:rsid w:val="00CE5C74"/>
    <w:rsid w:val="00CE5F14"/>
    <w:rsid w:val="00CE624A"/>
    <w:rsid w:val="00CE6896"/>
    <w:rsid w:val="00CE6C2E"/>
    <w:rsid w:val="00CE6EAC"/>
    <w:rsid w:val="00CE7054"/>
    <w:rsid w:val="00CE7101"/>
    <w:rsid w:val="00CE7F73"/>
    <w:rsid w:val="00CF0662"/>
    <w:rsid w:val="00CF0A86"/>
    <w:rsid w:val="00CF0F7A"/>
    <w:rsid w:val="00CF232A"/>
    <w:rsid w:val="00CF2983"/>
    <w:rsid w:val="00CF3215"/>
    <w:rsid w:val="00CF32E6"/>
    <w:rsid w:val="00CF3430"/>
    <w:rsid w:val="00CF376C"/>
    <w:rsid w:val="00CF3A64"/>
    <w:rsid w:val="00CF42EC"/>
    <w:rsid w:val="00CF4531"/>
    <w:rsid w:val="00CF5707"/>
    <w:rsid w:val="00CF5902"/>
    <w:rsid w:val="00CF5DC4"/>
    <w:rsid w:val="00CF5DE8"/>
    <w:rsid w:val="00CF6640"/>
    <w:rsid w:val="00CF6A8D"/>
    <w:rsid w:val="00CF76E9"/>
    <w:rsid w:val="00D005F1"/>
    <w:rsid w:val="00D00A81"/>
    <w:rsid w:val="00D016DF"/>
    <w:rsid w:val="00D01DBE"/>
    <w:rsid w:val="00D01F0D"/>
    <w:rsid w:val="00D01F13"/>
    <w:rsid w:val="00D02363"/>
    <w:rsid w:val="00D025CB"/>
    <w:rsid w:val="00D026ED"/>
    <w:rsid w:val="00D04166"/>
    <w:rsid w:val="00D04267"/>
    <w:rsid w:val="00D04604"/>
    <w:rsid w:val="00D046A5"/>
    <w:rsid w:val="00D04CE4"/>
    <w:rsid w:val="00D0548E"/>
    <w:rsid w:val="00D06B9A"/>
    <w:rsid w:val="00D06FD7"/>
    <w:rsid w:val="00D102AA"/>
    <w:rsid w:val="00D105BE"/>
    <w:rsid w:val="00D1305D"/>
    <w:rsid w:val="00D134E3"/>
    <w:rsid w:val="00D139E4"/>
    <w:rsid w:val="00D14A11"/>
    <w:rsid w:val="00D1566D"/>
    <w:rsid w:val="00D16324"/>
    <w:rsid w:val="00D20046"/>
    <w:rsid w:val="00D20A63"/>
    <w:rsid w:val="00D20FEE"/>
    <w:rsid w:val="00D211F8"/>
    <w:rsid w:val="00D22D75"/>
    <w:rsid w:val="00D241BA"/>
    <w:rsid w:val="00D24323"/>
    <w:rsid w:val="00D24349"/>
    <w:rsid w:val="00D25214"/>
    <w:rsid w:val="00D255C0"/>
    <w:rsid w:val="00D25C48"/>
    <w:rsid w:val="00D26D8F"/>
    <w:rsid w:val="00D277A4"/>
    <w:rsid w:val="00D308C3"/>
    <w:rsid w:val="00D30E3B"/>
    <w:rsid w:val="00D30EE4"/>
    <w:rsid w:val="00D31C83"/>
    <w:rsid w:val="00D324E3"/>
    <w:rsid w:val="00D32B71"/>
    <w:rsid w:val="00D32C99"/>
    <w:rsid w:val="00D331A4"/>
    <w:rsid w:val="00D33258"/>
    <w:rsid w:val="00D33276"/>
    <w:rsid w:val="00D33BAD"/>
    <w:rsid w:val="00D33D40"/>
    <w:rsid w:val="00D34644"/>
    <w:rsid w:val="00D359D5"/>
    <w:rsid w:val="00D35DAE"/>
    <w:rsid w:val="00D365BB"/>
    <w:rsid w:val="00D372EA"/>
    <w:rsid w:val="00D37471"/>
    <w:rsid w:val="00D37E5A"/>
    <w:rsid w:val="00D4062C"/>
    <w:rsid w:val="00D40B22"/>
    <w:rsid w:val="00D414C5"/>
    <w:rsid w:val="00D41D9A"/>
    <w:rsid w:val="00D4216C"/>
    <w:rsid w:val="00D423DC"/>
    <w:rsid w:val="00D424E1"/>
    <w:rsid w:val="00D434F5"/>
    <w:rsid w:val="00D43C39"/>
    <w:rsid w:val="00D44526"/>
    <w:rsid w:val="00D44A35"/>
    <w:rsid w:val="00D44E5E"/>
    <w:rsid w:val="00D453E7"/>
    <w:rsid w:val="00D4568A"/>
    <w:rsid w:val="00D47433"/>
    <w:rsid w:val="00D47851"/>
    <w:rsid w:val="00D514FC"/>
    <w:rsid w:val="00D51995"/>
    <w:rsid w:val="00D51D49"/>
    <w:rsid w:val="00D5200C"/>
    <w:rsid w:val="00D52392"/>
    <w:rsid w:val="00D53029"/>
    <w:rsid w:val="00D53C46"/>
    <w:rsid w:val="00D53C69"/>
    <w:rsid w:val="00D53EAA"/>
    <w:rsid w:val="00D54B5E"/>
    <w:rsid w:val="00D54CA7"/>
    <w:rsid w:val="00D555BA"/>
    <w:rsid w:val="00D56B79"/>
    <w:rsid w:val="00D56BFC"/>
    <w:rsid w:val="00D56EB2"/>
    <w:rsid w:val="00D57071"/>
    <w:rsid w:val="00D57439"/>
    <w:rsid w:val="00D57B6F"/>
    <w:rsid w:val="00D57CD2"/>
    <w:rsid w:val="00D60423"/>
    <w:rsid w:val="00D604C3"/>
    <w:rsid w:val="00D607DC"/>
    <w:rsid w:val="00D608DA"/>
    <w:rsid w:val="00D60D20"/>
    <w:rsid w:val="00D61009"/>
    <w:rsid w:val="00D6175F"/>
    <w:rsid w:val="00D624A2"/>
    <w:rsid w:val="00D62B8E"/>
    <w:rsid w:val="00D63019"/>
    <w:rsid w:val="00D630AB"/>
    <w:rsid w:val="00D6379E"/>
    <w:rsid w:val="00D63FFD"/>
    <w:rsid w:val="00D641FA"/>
    <w:rsid w:val="00D642DB"/>
    <w:rsid w:val="00D6441A"/>
    <w:rsid w:val="00D65010"/>
    <w:rsid w:val="00D66E65"/>
    <w:rsid w:val="00D6739B"/>
    <w:rsid w:val="00D6748F"/>
    <w:rsid w:val="00D70322"/>
    <w:rsid w:val="00D704A7"/>
    <w:rsid w:val="00D70F00"/>
    <w:rsid w:val="00D71649"/>
    <w:rsid w:val="00D727ED"/>
    <w:rsid w:val="00D72814"/>
    <w:rsid w:val="00D731ED"/>
    <w:rsid w:val="00D735CF"/>
    <w:rsid w:val="00D7417B"/>
    <w:rsid w:val="00D74378"/>
    <w:rsid w:val="00D74413"/>
    <w:rsid w:val="00D74D00"/>
    <w:rsid w:val="00D74D0F"/>
    <w:rsid w:val="00D74D46"/>
    <w:rsid w:val="00D74DBA"/>
    <w:rsid w:val="00D76BF2"/>
    <w:rsid w:val="00D76F20"/>
    <w:rsid w:val="00D7756B"/>
    <w:rsid w:val="00D7769D"/>
    <w:rsid w:val="00D77908"/>
    <w:rsid w:val="00D8014A"/>
    <w:rsid w:val="00D80210"/>
    <w:rsid w:val="00D80F64"/>
    <w:rsid w:val="00D81C3E"/>
    <w:rsid w:val="00D81F21"/>
    <w:rsid w:val="00D82829"/>
    <w:rsid w:val="00D8288E"/>
    <w:rsid w:val="00D82978"/>
    <w:rsid w:val="00D82D60"/>
    <w:rsid w:val="00D8310E"/>
    <w:rsid w:val="00D83CD8"/>
    <w:rsid w:val="00D84499"/>
    <w:rsid w:val="00D847D9"/>
    <w:rsid w:val="00D84B08"/>
    <w:rsid w:val="00D85128"/>
    <w:rsid w:val="00D85AE4"/>
    <w:rsid w:val="00D85D47"/>
    <w:rsid w:val="00D862B8"/>
    <w:rsid w:val="00D8638F"/>
    <w:rsid w:val="00D86F32"/>
    <w:rsid w:val="00D87385"/>
    <w:rsid w:val="00D90325"/>
    <w:rsid w:val="00D906BD"/>
    <w:rsid w:val="00D90DF7"/>
    <w:rsid w:val="00D91823"/>
    <w:rsid w:val="00D9238E"/>
    <w:rsid w:val="00D92A2C"/>
    <w:rsid w:val="00D92BB3"/>
    <w:rsid w:val="00D943F4"/>
    <w:rsid w:val="00D947FC"/>
    <w:rsid w:val="00D94AC8"/>
    <w:rsid w:val="00D95F59"/>
    <w:rsid w:val="00D96810"/>
    <w:rsid w:val="00D96BF9"/>
    <w:rsid w:val="00D97349"/>
    <w:rsid w:val="00D97486"/>
    <w:rsid w:val="00D97C22"/>
    <w:rsid w:val="00DA05A7"/>
    <w:rsid w:val="00DA1EAD"/>
    <w:rsid w:val="00DA28A5"/>
    <w:rsid w:val="00DA2B1A"/>
    <w:rsid w:val="00DA2C2B"/>
    <w:rsid w:val="00DA36DB"/>
    <w:rsid w:val="00DA372E"/>
    <w:rsid w:val="00DA3F13"/>
    <w:rsid w:val="00DA3F99"/>
    <w:rsid w:val="00DA4833"/>
    <w:rsid w:val="00DA5E21"/>
    <w:rsid w:val="00DA6275"/>
    <w:rsid w:val="00DA69E7"/>
    <w:rsid w:val="00DA6EAF"/>
    <w:rsid w:val="00DA783C"/>
    <w:rsid w:val="00DB0813"/>
    <w:rsid w:val="00DB115B"/>
    <w:rsid w:val="00DB1393"/>
    <w:rsid w:val="00DB1583"/>
    <w:rsid w:val="00DB3B64"/>
    <w:rsid w:val="00DB3EE0"/>
    <w:rsid w:val="00DB48AA"/>
    <w:rsid w:val="00DB51DA"/>
    <w:rsid w:val="00DB59A5"/>
    <w:rsid w:val="00DB5A54"/>
    <w:rsid w:val="00DB5EA6"/>
    <w:rsid w:val="00DB6D96"/>
    <w:rsid w:val="00DB72FB"/>
    <w:rsid w:val="00DC029B"/>
    <w:rsid w:val="00DC0D19"/>
    <w:rsid w:val="00DC1491"/>
    <w:rsid w:val="00DC1A59"/>
    <w:rsid w:val="00DC1B23"/>
    <w:rsid w:val="00DC2052"/>
    <w:rsid w:val="00DC2687"/>
    <w:rsid w:val="00DC2829"/>
    <w:rsid w:val="00DC296C"/>
    <w:rsid w:val="00DC3292"/>
    <w:rsid w:val="00DC37E4"/>
    <w:rsid w:val="00DC3820"/>
    <w:rsid w:val="00DC38F9"/>
    <w:rsid w:val="00DC3A82"/>
    <w:rsid w:val="00DC40B3"/>
    <w:rsid w:val="00DC41B0"/>
    <w:rsid w:val="00DC5914"/>
    <w:rsid w:val="00DC5ED7"/>
    <w:rsid w:val="00DC652C"/>
    <w:rsid w:val="00DC7598"/>
    <w:rsid w:val="00DC768E"/>
    <w:rsid w:val="00DC786F"/>
    <w:rsid w:val="00DC795A"/>
    <w:rsid w:val="00DD02EC"/>
    <w:rsid w:val="00DD0983"/>
    <w:rsid w:val="00DD13A5"/>
    <w:rsid w:val="00DD1597"/>
    <w:rsid w:val="00DD16B6"/>
    <w:rsid w:val="00DD214F"/>
    <w:rsid w:val="00DD2374"/>
    <w:rsid w:val="00DD2B2E"/>
    <w:rsid w:val="00DD43BB"/>
    <w:rsid w:val="00DD45EE"/>
    <w:rsid w:val="00DD4819"/>
    <w:rsid w:val="00DD498B"/>
    <w:rsid w:val="00DD4996"/>
    <w:rsid w:val="00DD5043"/>
    <w:rsid w:val="00DD55FB"/>
    <w:rsid w:val="00DD66C4"/>
    <w:rsid w:val="00DD6A21"/>
    <w:rsid w:val="00DD6DB7"/>
    <w:rsid w:val="00DD7E43"/>
    <w:rsid w:val="00DE0238"/>
    <w:rsid w:val="00DE0400"/>
    <w:rsid w:val="00DE07A6"/>
    <w:rsid w:val="00DE07BB"/>
    <w:rsid w:val="00DE0CC7"/>
    <w:rsid w:val="00DE0FFD"/>
    <w:rsid w:val="00DE3068"/>
    <w:rsid w:val="00DE31AF"/>
    <w:rsid w:val="00DE5600"/>
    <w:rsid w:val="00DE60C4"/>
    <w:rsid w:val="00DE6859"/>
    <w:rsid w:val="00DE6AAF"/>
    <w:rsid w:val="00DE6CCA"/>
    <w:rsid w:val="00DE6F35"/>
    <w:rsid w:val="00DE7236"/>
    <w:rsid w:val="00DF254E"/>
    <w:rsid w:val="00DF260E"/>
    <w:rsid w:val="00DF2FAA"/>
    <w:rsid w:val="00DF3690"/>
    <w:rsid w:val="00DF3E1C"/>
    <w:rsid w:val="00DF401F"/>
    <w:rsid w:val="00DF4478"/>
    <w:rsid w:val="00DF45D5"/>
    <w:rsid w:val="00DF511C"/>
    <w:rsid w:val="00DF5701"/>
    <w:rsid w:val="00DF7643"/>
    <w:rsid w:val="00E004B5"/>
    <w:rsid w:val="00E0078D"/>
    <w:rsid w:val="00E016CC"/>
    <w:rsid w:val="00E01851"/>
    <w:rsid w:val="00E01A0A"/>
    <w:rsid w:val="00E02548"/>
    <w:rsid w:val="00E035FD"/>
    <w:rsid w:val="00E03BBA"/>
    <w:rsid w:val="00E03BCE"/>
    <w:rsid w:val="00E03D4E"/>
    <w:rsid w:val="00E044E8"/>
    <w:rsid w:val="00E04CAC"/>
    <w:rsid w:val="00E052CF"/>
    <w:rsid w:val="00E05350"/>
    <w:rsid w:val="00E060DB"/>
    <w:rsid w:val="00E067CF"/>
    <w:rsid w:val="00E06C55"/>
    <w:rsid w:val="00E06F1F"/>
    <w:rsid w:val="00E0763A"/>
    <w:rsid w:val="00E1018C"/>
    <w:rsid w:val="00E10DFE"/>
    <w:rsid w:val="00E11C1F"/>
    <w:rsid w:val="00E11D98"/>
    <w:rsid w:val="00E125E3"/>
    <w:rsid w:val="00E12609"/>
    <w:rsid w:val="00E1264D"/>
    <w:rsid w:val="00E12ADF"/>
    <w:rsid w:val="00E12DB6"/>
    <w:rsid w:val="00E13512"/>
    <w:rsid w:val="00E13E2A"/>
    <w:rsid w:val="00E140E2"/>
    <w:rsid w:val="00E14FE1"/>
    <w:rsid w:val="00E152C4"/>
    <w:rsid w:val="00E15EF0"/>
    <w:rsid w:val="00E162B0"/>
    <w:rsid w:val="00E16A2A"/>
    <w:rsid w:val="00E17159"/>
    <w:rsid w:val="00E172D2"/>
    <w:rsid w:val="00E17800"/>
    <w:rsid w:val="00E17F99"/>
    <w:rsid w:val="00E20523"/>
    <w:rsid w:val="00E20572"/>
    <w:rsid w:val="00E20C09"/>
    <w:rsid w:val="00E217F6"/>
    <w:rsid w:val="00E221D1"/>
    <w:rsid w:val="00E2271E"/>
    <w:rsid w:val="00E22E28"/>
    <w:rsid w:val="00E23170"/>
    <w:rsid w:val="00E23204"/>
    <w:rsid w:val="00E233EE"/>
    <w:rsid w:val="00E23E18"/>
    <w:rsid w:val="00E241EE"/>
    <w:rsid w:val="00E24B62"/>
    <w:rsid w:val="00E25AF1"/>
    <w:rsid w:val="00E25BF2"/>
    <w:rsid w:val="00E26281"/>
    <w:rsid w:val="00E2683B"/>
    <w:rsid w:val="00E26A94"/>
    <w:rsid w:val="00E271FF"/>
    <w:rsid w:val="00E273C3"/>
    <w:rsid w:val="00E2740F"/>
    <w:rsid w:val="00E27B0D"/>
    <w:rsid w:val="00E30761"/>
    <w:rsid w:val="00E307D8"/>
    <w:rsid w:val="00E3175B"/>
    <w:rsid w:val="00E31DBA"/>
    <w:rsid w:val="00E3237D"/>
    <w:rsid w:val="00E3278B"/>
    <w:rsid w:val="00E32D5A"/>
    <w:rsid w:val="00E335D1"/>
    <w:rsid w:val="00E336DE"/>
    <w:rsid w:val="00E33D3D"/>
    <w:rsid w:val="00E34576"/>
    <w:rsid w:val="00E345E2"/>
    <w:rsid w:val="00E3474B"/>
    <w:rsid w:val="00E34765"/>
    <w:rsid w:val="00E34904"/>
    <w:rsid w:val="00E360DE"/>
    <w:rsid w:val="00E36186"/>
    <w:rsid w:val="00E369C6"/>
    <w:rsid w:val="00E3740C"/>
    <w:rsid w:val="00E3770F"/>
    <w:rsid w:val="00E40021"/>
    <w:rsid w:val="00E403A6"/>
    <w:rsid w:val="00E40E4F"/>
    <w:rsid w:val="00E40F0F"/>
    <w:rsid w:val="00E41F83"/>
    <w:rsid w:val="00E4203E"/>
    <w:rsid w:val="00E4290F"/>
    <w:rsid w:val="00E42EF2"/>
    <w:rsid w:val="00E43EB2"/>
    <w:rsid w:val="00E44B9C"/>
    <w:rsid w:val="00E45DD1"/>
    <w:rsid w:val="00E45FFC"/>
    <w:rsid w:val="00E461EB"/>
    <w:rsid w:val="00E463F4"/>
    <w:rsid w:val="00E50D29"/>
    <w:rsid w:val="00E51E48"/>
    <w:rsid w:val="00E5297C"/>
    <w:rsid w:val="00E52998"/>
    <w:rsid w:val="00E52CBE"/>
    <w:rsid w:val="00E52E5D"/>
    <w:rsid w:val="00E53C39"/>
    <w:rsid w:val="00E5444E"/>
    <w:rsid w:val="00E54ABE"/>
    <w:rsid w:val="00E55609"/>
    <w:rsid w:val="00E56136"/>
    <w:rsid w:val="00E5750A"/>
    <w:rsid w:val="00E62043"/>
    <w:rsid w:val="00E623A4"/>
    <w:rsid w:val="00E62419"/>
    <w:rsid w:val="00E645AB"/>
    <w:rsid w:val="00E645FF"/>
    <w:rsid w:val="00E6612D"/>
    <w:rsid w:val="00E66FAD"/>
    <w:rsid w:val="00E6755E"/>
    <w:rsid w:val="00E67857"/>
    <w:rsid w:val="00E67AFD"/>
    <w:rsid w:val="00E70934"/>
    <w:rsid w:val="00E710FB"/>
    <w:rsid w:val="00E71DF2"/>
    <w:rsid w:val="00E721AC"/>
    <w:rsid w:val="00E72AE9"/>
    <w:rsid w:val="00E73613"/>
    <w:rsid w:val="00E73706"/>
    <w:rsid w:val="00E738D7"/>
    <w:rsid w:val="00E741AB"/>
    <w:rsid w:val="00E742BA"/>
    <w:rsid w:val="00E751E0"/>
    <w:rsid w:val="00E7633E"/>
    <w:rsid w:val="00E76448"/>
    <w:rsid w:val="00E776BB"/>
    <w:rsid w:val="00E77920"/>
    <w:rsid w:val="00E77F1D"/>
    <w:rsid w:val="00E80107"/>
    <w:rsid w:val="00E807AE"/>
    <w:rsid w:val="00E81062"/>
    <w:rsid w:val="00E81393"/>
    <w:rsid w:val="00E81A44"/>
    <w:rsid w:val="00E81ECC"/>
    <w:rsid w:val="00E83186"/>
    <w:rsid w:val="00E839BC"/>
    <w:rsid w:val="00E83BCB"/>
    <w:rsid w:val="00E8410C"/>
    <w:rsid w:val="00E8538F"/>
    <w:rsid w:val="00E85B0B"/>
    <w:rsid w:val="00E8614A"/>
    <w:rsid w:val="00E8628E"/>
    <w:rsid w:val="00E866D9"/>
    <w:rsid w:val="00E87F71"/>
    <w:rsid w:val="00E87F8E"/>
    <w:rsid w:val="00E9006B"/>
    <w:rsid w:val="00E9045E"/>
    <w:rsid w:val="00E90D6A"/>
    <w:rsid w:val="00E90D9D"/>
    <w:rsid w:val="00E9120B"/>
    <w:rsid w:val="00E91966"/>
    <w:rsid w:val="00E91C8E"/>
    <w:rsid w:val="00E929D7"/>
    <w:rsid w:val="00E92B3B"/>
    <w:rsid w:val="00E942BA"/>
    <w:rsid w:val="00E9522E"/>
    <w:rsid w:val="00E9582A"/>
    <w:rsid w:val="00E97BCE"/>
    <w:rsid w:val="00EA0393"/>
    <w:rsid w:val="00EA0493"/>
    <w:rsid w:val="00EA0644"/>
    <w:rsid w:val="00EA072E"/>
    <w:rsid w:val="00EA1301"/>
    <w:rsid w:val="00EA2628"/>
    <w:rsid w:val="00EA3B1F"/>
    <w:rsid w:val="00EA4F50"/>
    <w:rsid w:val="00EA51F9"/>
    <w:rsid w:val="00EA54B5"/>
    <w:rsid w:val="00EB03C6"/>
    <w:rsid w:val="00EB1AAC"/>
    <w:rsid w:val="00EB2026"/>
    <w:rsid w:val="00EB2448"/>
    <w:rsid w:val="00EB2923"/>
    <w:rsid w:val="00EB3407"/>
    <w:rsid w:val="00EB35E9"/>
    <w:rsid w:val="00EB37DA"/>
    <w:rsid w:val="00EB3EA6"/>
    <w:rsid w:val="00EB444E"/>
    <w:rsid w:val="00EB542A"/>
    <w:rsid w:val="00EB668C"/>
    <w:rsid w:val="00EB6A68"/>
    <w:rsid w:val="00EB6F45"/>
    <w:rsid w:val="00EB7241"/>
    <w:rsid w:val="00EB7CD0"/>
    <w:rsid w:val="00EC017B"/>
    <w:rsid w:val="00EC043F"/>
    <w:rsid w:val="00EC05E1"/>
    <w:rsid w:val="00EC0F65"/>
    <w:rsid w:val="00EC1311"/>
    <w:rsid w:val="00EC17EA"/>
    <w:rsid w:val="00EC1F1B"/>
    <w:rsid w:val="00EC276F"/>
    <w:rsid w:val="00EC3B09"/>
    <w:rsid w:val="00EC4BE0"/>
    <w:rsid w:val="00EC53AE"/>
    <w:rsid w:val="00EC5474"/>
    <w:rsid w:val="00EC56F8"/>
    <w:rsid w:val="00EC5F8D"/>
    <w:rsid w:val="00EC6747"/>
    <w:rsid w:val="00EC6C00"/>
    <w:rsid w:val="00EC7D73"/>
    <w:rsid w:val="00ED0512"/>
    <w:rsid w:val="00ED0C2D"/>
    <w:rsid w:val="00ED0FAE"/>
    <w:rsid w:val="00ED18FE"/>
    <w:rsid w:val="00ED1BCA"/>
    <w:rsid w:val="00ED272B"/>
    <w:rsid w:val="00ED373C"/>
    <w:rsid w:val="00ED3EAE"/>
    <w:rsid w:val="00ED436C"/>
    <w:rsid w:val="00ED53C9"/>
    <w:rsid w:val="00ED5CB4"/>
    <w:rsid w:val="00ED6285"/>
    <w:rsid w:val="00ED6A17"/>
    <w:rsid w:val="00ED7590"/>
    <w:rsid w:val="00ED76BC"/>
    <w:rsid w:val="00EE0EB5"/>
    <w:rsid w:val="00EE10D8"/>
    <w:rsid w:val="00EE1600"/>
    <w:rsid w:val="00EE16C8"/>
    <w:rsid w:val="00EE1843"/>
    <w:rsid w:val="00EE1AC0"/>
    <w:rsid w:val="00EE21CC"/>
    <w:rsid w:val="00EE288F"/>
    <w:rsid w:val="00EE2927"/>
    <w:rsid w:val="00EE3433"/>
    <w:rsid w:val="00EE3F0B"/>
    <w:rsid w:val="00EE4AA9"/>
    <w:rsid w:val="00EE51B4"/>
    <w:rsid w:val="00EE59D2"/>
    <w:rsid w:val="00EE6D3B"/>
    <w:rsid w:val="00EE721A"/>
    <w:rsid w:val="00EF0744"/>
    <w:rsid w:val="00EF0C81"/>
    <w:rsid w:val="00EF2837"/>
    <w:rsid w:val="00EF2BCF"/>
    <w:rsid w:val="00EF2CC3"/>
    <w:rsid w:val="00EF3951"/>
    <w:rsid w:val="00EF3DBE"/>
    <w:rsid w:val="00EF4C0C"/>
    <w:rsid w:val="00EF568C"/>
    <w:rsid w:val="00EF6B68"/>
    <w:rsid w:val="00EF7B54"/>
    <w:rsid w:val="00EF7BAD"/>
    <w:rsid w:val="00F00857"/>
    <w:rsid w:val="00F00C05"/>
    <w:rsid w:val="00F04243"/>
    <w:rsid w:val="00F047FE"/>
    <w:rsid w:val="00F05846"/>
    <w:rsid w:val="00F05AAE"/>
    <w:rsid w:val="00F05CCD"/>
    <w:rsid w:val="00F05F42"/>
    <w:rsid w:val="00F0614F"/>
    <w:rsid w:val="00F06208"/>
    <w:rsid w:val="00F063A7"/>
    <w:rsid w:val="00F06A10"/>
    <w:rsid w:val="00F07917"/>
    <w:rsid w:val="00F07BE2"/>
    <w:rsid w:val="00F101CE"/>
    <w:rsid w:val="00F10BE2"/>
    <w:rsid w:val="00F10C3C"/>
    <w:rsid w:val="00F1161E"/>
    <w:rsid w:val="00F13157"/>
    <w:rsid w:val="00F13345"/>
    <w:rsid w:val="00F1368B"/>
    <w:rsid w:val="00F14210"/>
    <w:rsid w:val="00F145FE"/>
    <w:rsid w:val="00F14648"/>
    <w:rsid w:val="00F15158"/>
    <w:rsid w:val="00F15983"/>
    <w:rsid w:val="00F16355"/>
    <w:rsid w:val="00F20848"/>
    <w:rsid w:val="00F21E97"/>
    <w:rsid w:val="00F241EA"/>
    <w:rsid w:val="00F24880"/>
    <w:rsid w:val="00F255EE"/>
    <w:rsid w:val="00F25B45"/>
    <w:rsid w:val="00F26D00"/>
    <w:rsid w:val="00F27138"/>
    <w:rsid w:val="00F27E97"/>
    <w:rsid w:val="00F3090D"/>
    <w:rsid w:val="00F30F50"/>
    <w:rsid w:val="00F314BE"/>
    <w:rsid w:val="00F3150B"/>
    <w:rsid w:val="00F31CAC"/>
    <w:rsid w:val="00F3274C"/>
    <w:rsid w:val="00F32E80"/>
    <w:rsid w:val="00F330E6"/>
    <w:rsid w:val="00F33972"/>
    <w:rsid w:val="00F33A6B"/>
    <w:rsid w:val="00F3467A"/>
    <w:rsid w:val="00F34B85"/>
    <w:rsid w:val="00F34D6C"/>
    <w:rsid w:val="00F35355"/>
    <w:rsid w:val="00F35656"/>
    <w:rsid w:val="00F35BAE"/>
    <w:rsid w:val="00F35F33"/>
    <w:rsid w:val="00F36232"/>
    <w:rsid w:val="00F3660D"/>
    <w:rsid w:val="00F37BF9"/>
    <w:rsid w:val="00F40456"/>
    <w:rsid w:val="00F4073C"/>
    <w:rsid w:val="00F40DF8"/>
    <w:rsid w:val="00F40E10"/>
    <w:rsid w:val="00F40E47"/>
    <w:rsid w:val="00F40EBD"/>
    <w:rsid w:val="00F4114D"/>
    <w:rsid w:val="00F4145A"/>
    <w:rsid w:val="00F42D5A"/>
    <w:rsid w:val="00F431C5"/>
    <w:rsid w:val="00F43434"/>
    <w:rsid w:val="00F435FC"/>
    <w:rsid w:val="00F43740"/>
    <w:rsid w:val="00F43CFA"/>
    <w:rsid w:val="00F45CB0"/>
    <w:rsid w:val="00F47090"/>
    <w:rsid w:val="00F50200"/>
    <w:rsid w:val="00F5031A"/>
    <w:rsid w:val="00F505AE"/>
    <w:rsid w:val="00F50C0E"/>
    <w:rsid w:val="00F51C77"/>
    <w:rsid w:val="00F51C9C"/>
    <w:rsid w:val="00F52D84"/>
    <w:rsid w:val="00F52DEE"/>
    <w:rsid w:val="00F53505"/>
    <w:rsid w:val="00F53A18"/>
    <w:rsid w:val="00F53C76"/>
    <w:rsid w:val="00F54405"/>
    <w:rsid w:val="00F555BC"/>
    <w:rsid w:val="00F563B3"/>
    <w:rsid w:val="00F56853"/>
    <w:rsid w:val="00F56B7C"/>
    <w:rsid w:val="00F56C47"/>
    <w:rsid w:val="00F57134"/>
    <w:rsid w:val="00F5765D"/>
    <w:rsid w:val="00F60BB3"/>
    <w:rsid w:val="00F60EED"/>
    <w:rsid w:val="00F61A70"/>
    <w:rsid w:val="00F6201C"/>
    <w:rsid w:val="00F62CCD"/>
    <w:rsid w:val="00F62FAA"/>
    <w:rsid w:val="00F632F7"/>
    <w:rsid w:val="00F63C63"/>
    <w:rsid w:val="00F65145"/>
    <w:rsid w:val="00F65E29"/>
    <w:rsid w:val="00F66583"/>
    <w:rsid w:val="00F672EF"/>
    <w:rsid w:val="00F67984"/>
    <w:rsid w:val="00F67D2D"/>
    <w:rsid w:val="00F70756"/>
    <w:rsid w:val="00F70882"/>
    <w:rsid w:val="00F70AD9"/>
    <w:rsid w:val="00F719EC"/>
    <w:rsid w:val="00F71A21"/>
    <w:rsid w:val="00F722DB"/>
    <w:rsid w:val="00F726E1"/>
    <w:rsid w:val="00F72CD0"/>
    <w:rsid w:val="00F73B8F"/>
    <w:rsid w:val="00F744DC"/>
    <w:rsid w:val="00F759AC"/>
    <w:rsid w:val="00F77194"/>
    <w:rsid w:val="00F80295"/>
    <w:rsid w:val="00F810D8"/>
    <w:rsid w:val="00F812CC"/>
    <w:rsid w:val="00F83071"/>
    <w:rsid w:val="00F83EA8"/>
    <w:rsid w:val="00F8570C"/>
    <w:rsid w:val="00F85A1F"/>
    <w:rsid w:val="00F85B7C"/>
    <w:rsid w:val="00F860DB"/>
    <w:rsid w:val="00F867FD"/>
    <w:rsid w:val="00F86B7D"/>
    <w:rsid w:val="00F87AC6"/>
    <w:rsid w:val="00F87CB3"/>
    <w:rsid w:val="00F9000B"/>
    <w:rsid w:val="00F908A5"/>
    <w:rsid w:val="00F90F12"/>
    <w:rsid w:val="00F914E2"/>
    <w:rsid w:val="00F9163D"/>
    <w:rsid w:val="00F9207A"/>
    <w:rsid w:val="00F920A6"/>
    <w:rsid w:val="00F921F2"/>
    <w:rsid w:val="00F926E9"/>
    <w:rsid w:val="00F92818"/>
    <w:rsid w:val="00F944C9"/>
    <w:rsid w:val="00F95899"/>
    <w:rsid w:val="00F96480"/>
    <w:rsid w:val="00F96EA8"/>
    <w:rsid w:val="00FA047C"/>
    <w:rsid w:val="00FA12F6"/>
    <w:rsid w:val="00FA3440"/>
    <w:rsid w:val="00FA3BFB"/>
    <w:rsid w:val="00FA402F"/>
    <w:rsid w:val="00FA469B"/>
    <w:rsid w:val="00FA46EE"/>
    <w:rsid w:val="00FA6581"/>
    <w:rsid w:val="00FA6B68"/>
    <w:rsid w:val="00FA72F6"/>
    <w:rsid w:val="00FA73C4"/>
    <w:rsid w:val="00FB0CC3"/>
    <w:rsid w:val="00FB124F"/>
    <w:rsid w:val="00FB2386"/>
    <w:rsid w:val="00FB264D"/>
    <w:rsid w:val="00FB3221"/>
    <w:rsid w:val="00FB37D2"/>
    <w:rsid w:val="00FB429F"/>
    <w:rsid w:val="00FB63D6"/>
    <w:rsid w:val="00FB668D"/>
    <w:rsid w:val="00FC0DC0"/>
    <w:rsid w:val="00FC142C"/>
    <w:rsid w:val="00FC1F6D"/>
    <w:rsid w:val="00FC2491"/>
    <w:rsid w:val="00FC3210"/>
    <w:rsid w:val="00FC34D6"/>
    <w:rsid w:val="00FC5892"/>
    <w:rsid w:val="00FC5B04"/>
    <w:rsid w:val="00FC5B1F"/>
    <w:rsid w:val="00FC6EC6"/>
    <w:rsid w:val="00FD0432"/>
    <w:rsid w:val="00FD114B"/>
    <w:rsid w:val="00FD115B"/>
    <w:rsid w:val="00FD1551"/>
    <w:rsid w:val="00FD21F0"/>
    <w:rsid w:val="00FD27FE"/>
    <w:rsid w:val="00FD2C4F"/>
    <w:rsid w:val="00FD3680"/>
    <w:rsid w:val="00FD452A"/>
    <w:rsid w:val="00FD4A4B"/>
    <w:rsid w:val="00FD4D39"/>
    <w:rsid w:val="00FD52D7"/>
    <w:rsid w:val="00FD5361"/>
    <w:rsid w:val="00FD5BEF"/>
    <w:rsid w:val="00FD608C"/>
    <w:rsid w:val="00FD67B1"/>
    <w:rsid w:val="00FD6A48"/>
    <w:rsid w:val="00FD6FDF"/>
    <w:rsid w:val="00FD7204"/>
    <w:rsid w:val="00FD727B"/>
    <w:rsid w:val="00FD731E"/>
    <w:rsid w:val="00FD7327"/>
    <w:rsid w:val="00FD74EF"/>
    <w:rsid w:val="00FD76A9"/>
    <w:rsid w:val="00FD7B8A"/>
    <w:rsid w:val="00FD7DEF"/>
    <w:rsid w:val="00FE0AF5"/>
    <w:rsid w:val="00FE105A"/>
    <w:rsid w:val="00FE159B"/>
    <w:rsid w:val="00FE1E17"/>
    <w:rsid w:val="00FE21E9"/>
    <w:rsid w:val="00FE2A5A"/>
    <w:rsid w:val="00FE35A1"/>
    <w:rsid w:val="00FE3BC2"/>
    <w:rsid w:val="00FE3CDB"/>
    <w:rsid w:val="00FE3D39"/>
    <w:rsid w:val="00FE442F"/>
    <w:rsid w:val="00FE47D2"/>
    <w:rsid w:val="00FE60F6"/>
    <w:rsid w:val="00FE6571"/>
    <w:rsid w:val="00FE6CE6"/>
    <w:rsid w:val="00FE7C84"/>
    <w:rsid w:val="00FE7D27"/>
    <w:rsid w:val="00FE7E75"/>
    <w:rsid w:val="00FF0865"/>
    <w:rsid w:val="00FF0BE2"/>
    <w:rsid w:val="00FF2425"/>
    <w:rsid w:val="00FF2BC8"/>
    <w:rsid w:val="00FF2EFE"/>
    <w:rsid w:val="00FF31F6"/>
    <w:rsid w:val="00FF3247"/>
    <w:rsid w:val="00FF3370"/>
    <w:rsid w:val="00FF37B8"/>
    <w:rsid w:val="00FF4FB2"/>
    <w:rsid w:val="00FF5D9C"/>
    <w:rsid w:val="00FF666B"/>
    <w:rsid w:val="00FF66F0"/>
    <w:rsid w:val="00FF7065"/>
    <w:rsid w:val="00FF7249"/>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CDBB"/>
  <w15:docId w15:val="{4C12A9B7-7234-4FDA-99ED-DBAD5987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770F"/>
    <w:pPr>
      <w:tabs>
        <w:tab w:val="left" w:pos="567"/>
      </w:tabs>
      <w:spacing w:after="0" w:line="260" w:lineRule="exact"/>
    </w:pPr>
    <w:rPr>
      <w:rFonts w:ascii="Times New Roman" w:eastAsia="Batang" w:hAnsi="Times New Roman" w:cs="Times New Roman"/>
      <w:szCs w:val="20"/>
      <w:lang w:val="en-GB"/>
    </w:rPr>
  </w:style>
  <w:style w:type="paragraph" w:styleId="Antrat1">
    <w:name w:val="heading 1"/>
    <w:basedOn w:val="prastasis"/>
    <w:next w:val="prastasis"/>
    <w:link w:val="Antrat1Diagrama"/>
    <w:qFormat/>
    <w:rsid w:val="00E3770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E3770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3770F"/>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E3770F"/>
    <w:pPr>
      <w:keepNext/>
      <w:spacing w:before="240" w:after="60"/>
      <w:outlineLvl w:val="3"/>
    </w:pPr>
    <w:rPr>
      <w:b/>
      <w:bCs/>
      <w:sz w:val="28"/>
      <w:szCs w:val="28"/>
    </w:rPr>
  </w:style>
  <w:style w:type="paragraph" w:styleId="Antrat5">
    <w:name w:val="heading 5"/>
    <w:basedOn w:val="prastasis"/>
    <w:next w:val="prastasis"/>
    <w:link w:val="Antrat5Diagrama"/>
    <w:qFormat/>
    <w:rsid w:val="00E3770F"/>
    <w:pPr>
      <w:keepNext/>
      <w:tabs>
        <w:tab w:val="clear" w:pos="567"/>
      </w:tabs>
      <w:spacing w:line="240" w:lineRule="auto"/>
      <w:outlineLvl w:val="4"/>
    </w:pPr>
    <w:rPr>
      <w:rFonts w:ascii="Times New Roman Bold" w:hAnsi="Times New Roman Bold"/>
      <w:b/>
      <w:iCs/>
      <w:szCs w:val="24"/>
      <w:u w:val="single"/>
      <w:lang w:val="en-US"/>
    </w:rPr>
  </w:style>
  <w:style w:type="paragraph" w:styleId="Antrat6">
    <w:name w:val="heading 6"/>
    <w:basedOn w:val="prastasis"/>
    <w:next w:val="prastasis"/>
    <w:link w:val="Antrat6Diagrama"/>
    <w:qFormat/>
    <w:rsid w:val="00E3770F"/>
    <w:pPr>
      <w:keepNext/>
      <w:numPr>
        <w:ilvl w:val="12"/>
      </w:numPr>
      <w:pBdr>
        <w:bottom w:val="single" w:sz="12" w:space="1" w:color="auto"/>
      </w:pBdr>
      <w:jc w:val="center"/>
      <w:outlineLvl w:val="5"/>
    </w:pPr>
    <w:rPr>
      <w:i/>
      <w:iCs/>
      <w:noProof/>
      <w:lang w:val="lt-LT"/>
    </w:rPr>
  </w:style>
  <w:style w:type="paragraph" w:styleId="Antrat8">
    <w:name w:val="heading 8"/>
    <w:basedOn w:val="prastasis"/>
    <w:next w:val="prastasis"/>
    <w:link w:val="Antrat8Diagrama"/>
    <w:qFormat/>
    <w:rsid w:val="00E3770F"/>
    <w:pPr>
      <w:spacing w:before="240" w:after="60"/>
      <w:outlineLvl w:val="7"/>
    </w:pPr>
    <w:rPr>
      <w:i/>
      <w:iCs/>
      <w:sz w:val="24"/>
      <w:szCs w:val="24"/>
    </w:rPr>
  </w:style>
  <w:style w:type="paragraph" w:styleId="Antrat9">
    <w:name w:val="heading 9"/>
    <w:basedOn w:val="prastasis"/>
    <w:next w:val="prastasis"/>
    <w:link w:val="Antrat9Diagrama"/>
    <w:qFormat/>
    <w:rsid w:val="00E3770F"/>
    <w:pPr>
      <w:spacing w:before="240" w:after="60"/>
      <w:outlineLvl w:val="8"/>
    </w:pPr>
    <w:rPr>
      <w:rFonts w:ascii="Arial" w:hAnsi="Arial" w:cs="Arial"/>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3770F"/>
    <w:rPr>
      <w:rFonts w:ascii="Arial" w:eastAsia="Batang" w:hAnsi="Arial" w:cs="Arial"/>
      <w:b/>
      <w:bCs/>
      <w:kern w:val="32"/>
      <w:sz w:val="32"/>
      <w:szCs w:val="32"/>
      <w:lang w:val="en-GB"/>
    </w:rPr>
  </w:style>
  <w:style w:type="character" w:customStyle="1" w:styleId="Antrat2Diagrama">
    <w:name w:val="Antraštė 2 Diagrama"/>
    <w:basedOn w:val="Numatytasispastraiposriftas"/>
    <w:link w:val="Antrat2"/>
    <w:rsid w:val="00E3770F"/>
    <w:rPr>
      <w:rFonts w:ascii="Arial" w:eastAsia="Batang" w:hAnsi="Arial" w:cs="Arial"/>
      <w:b/>
      <w:bCs/>
      <w:i/>
      <w:iCs/>
      <w:sz w:val="28"/>
      <w:szCs w:val="28"/>
      <w:lang w:val="en-GB"/>
    </w:rPr>
  </w:style>
  <w:style w:type="character" w:customStyle="1" w:styleId="Antrat3Diagrama">
    <w:name w:val="Antraštė 3 Diagrama"/>
    <w:basedOn w:val="Numatytasispastraiposriftas"/>
    <w:link w:val="Antrat3"/>
    <w:rsid w:val="00E3770F"/>
    <w:rPr>
      <w:rFonts w:ascii="Arial" w:eastAsia="Batang" w:hAnsi="Arial" w:cs="Arial"/>
      <w:b/>
      <w:bCs/>
      <w:sz w:val="26"/>
      <w:szCs w:val="26"/>
      <w:lang w:val="en-GB"/>
    </w:rPr>
  </w:style>
  <w:style w:type="character" w:customStyle="1" w:styleId="Antrat4Diagrama">
    <w:name w:val="Antraštė 4 Diagrama"/>
    <w:basedOn w:val="Numatytasispastraiposriftas"/>
    <w:link w:val="Antrat4"/>
    <w:rsid w:val="00E3770F"/>
    <w:rPr>
      <w:rFonts w:ascii="Times New Roman" w:eastAsia="Batang" w:hAnsi="Times New Roman" w:cs="Times New Roman"/>
      <w:b/>
      <w:bCs/>
      <w:sz w:val="28"/>
      <w:szCs w:val="28"/>
      <w:lang w:val="en-GB"/>
    </w:rPr>
  </w:style>
  <w:style w:type="character" w:customStyle="1" w:styleId="Antrat5Diagrama">
    <w:name w:val="Antraštė 5 Diagrama"/>
    <w:basedOn w:val="Numatytasispastraiposriftas"/>
    <w:link w:val="Antrat5"/>
    <w:rsid w:val="00E3770F"/>
    <w:rPr>
      <w:rFonts w:ascii="Times New Roman Bold" w:eastAsia="Batang" w:hAnsi="Times New Roman Bold" w:cs="Times New Roman"/>
      <w:b/>
      <w:iCs/>
      <w:szCs w:val="24"/>
      <w:u w:val="single"/>
    </w:rPr>
  </w:style>
  <w:style w:type="character" w:customStyle="1" w:styleId="Antrat6Diagrama">
    <w:name w:val="Antraštė 6 Diagrama"/>
    <w:basedOn w:val="Numatytasispastraiposriftas"/>
    <w:link w:val="Antrat6"/>
    <w:rsid w:val="00E3770F"/>
    <w:rPr>
      <w:rFonts w:ascii="Times New Roman" w:eastAsia="Batang" w:hAnsi="Times New Roman" w:cs="Times New Roman"/>
      <w:i/>
      <w:iCs/>
      <w:noProof/>
      <w:szCs w:val="20"/>
      <w:lang w:val="lt-LT"/>
    </w:rPr>
  </w:style>
  <w:style w:type="character" w:customStyle="1" w:styleId="Antrat8Diagrama">
    <w:name w:val="Antraštė 8 Diagrama"/>
    <w:basedOn w:val="Numatytasispastraiposriftas"/>
    <w:link w:val="Antrat8"/>
    <w:rsid w:val="00E3770F"/>
    <w:rPr>
      <w:rFonts w:ascii="Times New Roman" w:eastAsia="Batang" w:hAnsi="Times New Roman" w:cs="Times New Roman"/>
      <w:i/>
      <w:iCs/>
      <w:sz w:val="24"/>
      <w:szCs w:val="24"/>
      <w:lang w:val="en-GB"/>
    </w:rPr>
  </w:style>
  <w:style w:type="character" w:customStyle="1" w:styleId="Antrat9Diagrama">
    <w:name w:val="Antraštė 9 Diagrama"/>
    <w:basedOn w:val="Numatytasispastraiposriftas"/>
    <w:link w:val="Antrat9"/>
    <w:rsid w:val="00E3770F"/>
    <w:rPr>
      <w:rFonts w:ascii="Arial" w:eastAsia="Batang" w:hAnsi="Arial" w:cs="Arial"/>
      <w:lang w:val="en-GB"/>
    </w:rPr>
  </w:style>
  <w:style w:type="paragraph" w:styleId="Porat">
    <w:name w:val="footer"/>
    <w:basedOn w:val="prastasis"/>
    <w:link w:val="PoratDiagrama"/>
    <w:rsid w:val="00E3770F"/>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E3770F"/>
    <w:rPr>
      <w:rFonts w:ascii="Helvetica" w:eastAsia="Batang" w:hAnsi="Helvetica" w:cs="Times New Roman"/>
      <w:sz w:val="16"/>
      <w:szCs w:val="20"/>
      <w:lang w:val="en-GB"/>
    </w:rPr>
  </w:style>
  <w:style w:type="character" w:styleId="Puslapionumeris">
    <w:name w:val="page number"/>
    <w:basedOn w:val="Numatytasispastraiposriftas"/>
    <w:rsid w:val="00E3770F"/>
    <w:rPr>
      <w:rFonts w:cs="Times New Roman"/>
    </w:rPr>
  </w:style>
  <w:style w:type="paragraph" w:styleId="Pagrindinistekstas">
    <w:name w:val="Body Text"/>
    <w:basedOn w:val="prastasis"/>
    <w:link w:val="PagrindinistekstasDiagrama"/>
    <w:rsid w:val="00E3770F"/>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E3770F"/>
    <w:rPr>
      <w:rFonts w:ascii="Times New Roman" w:eastAsia="Batang" w:hAnsi="Times New Roman" w:cs="Times New Roman"/>
      <w:i/>
      <w:color w:val="008000"/>
      <w:szCs w:val="20"/>
      <w:lang w:val="en-GB"/>
    </w:rPr>
  </w:style>
  <w:style w:type="paragraph" w:customStyle="1" w:styleId="EMEAEnBodyText">
    <w:name w:val="EMEA En Body Text"/>
    <w:basedOn w:val="prastasis"/>
    <w:rsid w:val="00E3770F"/>
    <w:pPr>
      <w:tabs>
        <w:tab w:val="clear" w:pos="567"/>
      </w:tabs>
      <w:spacing w:before="120" w:after="120" w:line="240" w:lineRule="auto"/>
      <w:jc w:val="both"/>
    </w:pPr>
    <w:rPr>
      <w:lang w:val="en-US"/>
    </w:rPr>
  </w:style>
  <w:style w:type="character" w:styleId="Hipersaitas">
    <w:name w:val="Hyperlink"/>
    <w:basedOn w:val="Numatytasispastraiposriftas"/>
    <w:rsid w:val="00E3770F"/>
    <w:rPr>
      <w:rFonts w:cs="Times New Roman"/>
      <w:color w:val="0000FF"/>
      <w:u w:val="single"/>
    </w:rPr>
  </w:style>
  <w:style w:type="character" w:styleId="Grietas">
    <w:name w:val="Strong"/>
    <w:basedOn w:val="Numatytasispastraiposriftas"/>
    <w:qFormat/>
    <w:rsid w:val="00E3770F"/>
    <w:rPr>
      <w:rFonts w:cs="Times New Roman"/>
      <w:b/>
      <w:bCs/>
    </w:rPr>
  </w:style>
  <w:style w:type="paragraph" w:styleId="Dokumentoinaostekstas">
    <w:name w:val="endnote text"/>
    <w:basedOn w:val="prastasis"/>
    <w:link w:val="DokumentoinaostekstasDiagrama"/>
    <w:semiHidden/>
    <w:rsid w:val="00E3770F"/>
    <w:pPr>
      <w:spacing w:line="240" w:lineRule="auto"/>
    </w:pPr>
  </w:style>
  <w:style w:type="character" w:customStyle="1" w:styleId="DokumentoinaostekstasDiagrama">
    <w:name w:val="Dokumento išnašos tekstas Diagrama"/>
    <w:basedOn w:val="Numatytasispastraiposriftas"/>
    <w:link w:val="Dokumentoinaostekstas"/>
    <w:semiHidden/>
    <w:rsid w:val="00E3770F"/>
    <w:rPr>
      <w:rFonts w:ascii="Times New Roman" w:eastAsia="Batang" w:hAnsi="Times New Roman" w:cs="Times New Roman"/>
      <w:szCs w:val="20"/>
      <w:lang w:val="en-GB"/>
    </w:rPr>
  </w:style>
  <w:style w:type="paragraph" w:customStyle="1" w:styleId="DefaultText">
    <w:name w:val="Default Text"/>
    <w:basedOn w:val="prastasis"/>
    <w:rsid w:val="00E3770F"/>
    <w:pPr>
      <w:tabs>
        <w:tab w:val="clear" w:pos="567"/>
      </w:tabs>
      <w:overflowPunct w:val="0"/>
      <w:autoSpaceDE w:val="0"/>
      <w:autoSpaceDN w:val="0"/>
      <w:adjustRightInd w:val="0"/>
      <w:spacing w:after="120" w:line="240" w:lineRule="auto"/>
      <w:textAlignment w:val="baseline"/>
    </w:pPr>
    <w:rPr>
      <w:rFonts w:ascii="Arial" w:hAnsi="Arial" w:cs="Arial"/>
      <w:iCs/>
      <w:lang w:val="en-US"/>
    </w:rPr>
  </w:style>
  <w:style w:type="paragraph" w:customStyle="1" w:styleId="LabelingTableText">
    <w:name w:val="Labeling Table Text"/>
    <w:rsid w:val="00E3770F"/>
    <w:pPr>
      <w:keepLines/>
      <w:tabs>
        <w:tab w:val="left" w:pos="360"/>
      </w:tabs>
      <w:suppressAutoHyphens/>
      <w:spacing w:before="60" w:after="60" w:line="240" w:lineRule="auto"/>
    </w:pPr>
    <w:rPr>
      <w:rFonts w:ascii="Times New Roman Bold" w:eastAsia="Batang" w:hAnsi="Times New Roman Bold" w:cs="Times New Roman"/>
      <w:b/>
      <w:sz w:val="24"/>
      <w:szCs w:val="20"/>
    </w:rPr>
  </w:style>
  <w:style w:type="character" w:styleId="Perirtashipersaitas">
    <w:name w:val="FollowedHyperlink"/>
    <w:basedOn w:val="Numatytasispastraiposriftas"/>
    <w:rsid w:val="00E3770F"/>
    <w:rPr>
      <w:rFonts w:cs="Times New Roman"/>
      <w:color w:val="800080"/>
      <w:u w:val="single"/>
    </w:rPr>
  </w:style>
  <w:style w:type="paragraph" w:customStyle="1" w:styleId="Lvl1Text">
    <w:name w:val="Lvl 1:Text"/>
    <w:rsid w:val="00E3770F"/>
    <w:pPr>
      <w:tabs>
        <w:tab w:val="left" w:pos="0"/>
        <w:tab w:val="left" w:pos="360"/>
      </w:tabs>
      <w:overflowPunct w:val="0"/>
      <w:autoSpaceDE w:val="0"/>
      <w:autoSpaceDN w:val="0"/>
      <w:adjustRightInd w:val="0"/>
      <w:spacing w:before="187" w:after="173" w:line="360" w:lineRule="exact"/>
      <w:textAlignment w:val="baseline"/>
    </w:pPr>
    <w:rPr>
      <w:rFonts w:ascii="Times New Roman" w:eastAsia="Batang" w:hAnsi="Times New Roman" w:cs="Times New Roman"/>
      <w:sz w:val="24"/>
      <w:szCs w:val="20"/>
    </w:rPr>
  </w:style>
  <w:style w:type="paragraph" w:styleId="Pavadinimas">
    <w:name w:val="Title"/>
    <w:basedOn w:val="prastasis"/>
    <w:link w:val="PavadinimasDiagrama"/>
    <w:qFormat/>
    <w:rsid w:val="00E3770F"/>
    <w:pPr>
      <w:tabs>
        <w:tab w:val="clear" w:pos="567"/>
      </w:tabs>
      <w:spacing w:line="240" w:lineRule="auto"/>
      <w:jc w:val="center"/>
    </w:pPr>
    <w:rPr>
      <w:b/>
    </w:rPr>
  </w:style>
  <w:style w:type="character" w:customStyle="1" w:styleId="PavadinimasDiagrama">
    <w:name w:val="Pavadinimas Diagrama"/>
    <w:basedOn w:val="Numatytasispastraiposriftas"/>
    <w:link w:val="Pavadinimas"/>
    <w:rsid w:val="00E3770F"/>
    <w:rPr>
      <w:rFonts w:ascii="Times New Roman" w:eastAsia="Batang" w:hAnsi="Times New Roman" w:cs="Times New Roman"/>
      <w:b/>
      <w:szCs w:val="20"/>
      <w:lang w:val="en-GB"/>
    </w:rPr>
  </w:style>
  <w:style w:type="paragraph" w:styleId="Antrats">
    <w:name w:val="header"/>
    <w:basedOn w:val="prastasis"/>
    <w:link w:val="AntratsDiagrama"/>
    <w:rsid w:val="00E3770F"/>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E3770F"/>
    <w:rPr>
      <w:rFonts w:ascii="Helvetica" w:eastAsia="Batang" w:hAnsi="Helvetica" w:cs="Times New Roman"/>
      <w:sz w:val="20"/>
      <w:szCs w:val="20"/>
      <w:lang w:val="en-GB"/>
    </w:rPr>
  </w:style>
  <w:style w:type="character" w:styleId="Komentaronuoroda">
    <w:name w:val="annotation reference"/>
    <w:basedOn w:val="Numatytasispastraiposriftas"/>
    <w:semiHidden/>
    <w:rsid w:val="00E3770F"/>
    <w:rPr>
      <w:rFonts w:cs="Times New Roman"/>
      <w:sz w:val="16"/>
      <w:szCs w:val="16"/>
    </w:rPr>
  </w:style>
  <w:style w:type="paragraph" w:styleId="Pagrindiniotekstotrauka3">
    <w:name w:val="Body Text Indent 3"/>
    <w:basedOn w:val="prastasis"/>
    <w:link w:val="Pagrindiniotekstotrauka3Diagrama"/>
    <w:rsid w:val="00E3770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3770F"/>
    <w:rPr>
      <w:rFonts w:ascii="Times New Roman" w:eastAsia="Batang" w:hAnsi="Times New Roman" w:cs="Times New Roman"/>
      <w:sz w:val="16"/>
      <w:szCs w:val="16"/>
      <w:lang w:val="en-GB"/>
    </w:rPr>
  </w:style>
  <w:style w:type="paragraph" w:customStyle="1" w:styleId="EMEAHeading1">
    <w:name w:val="EMEA Heading 1"/>
    <w:next w:val="prastasis"/>
    <w:rsid w:val="00E3770F"/>
    <w:pPr>
      <w:tabs>
        <w:tab w:val="left" w:pos="562"/>
      </w:tabs>
      <w:suppressAutoHyphens/>
      <w:spacing w:beforeLines="200" w:afterLines="100" w:after="0" w:line="240" w:lineRule="auto"/>
      <w:outlineLvl w:val="0"/>
    </w:pPr>
    <w:rPr>
      <w:rFonts w:ascii="Times New Roman Bold" w:eastAsia="Batang" w:hAnsi="Times New Roman Bold" w:cs="Times New Roman"/>
      <w:b/>
      <w:caps/>
      <w:szCs w:val="20"/>
    </w:rPr>
  </w:style>
  <w:style w:type="paragraph" w:customStyle="1" w:styleId="BTEMEASMCA">
    <w:name w:val="BT EMEA_SMCA"/>
    <w:basedOn w:val="prastasis"/>
    <w:link w:val="BTEMEASMCAChar"/>
    <w:autoRedefine/>
    <w:rsid w:val="00E3770F"/>
    <w:pPr>
      <w:tabs>
        <w:tab w:val="clear" w:pos="567"/>
      </w:tabs>
      <w:spacing w:line="240" w:lineRule="auto"/>
    </w:pPr>
    <w:rPr>
      <w:noProof/>
      <w:szCs w:val="22"/>
      <w:lang w:val="lt-LT"/>
    </w:rPr>
  </w:style>
  <w:style w:type="character" w:customStyle="1" w:styleId="BTEMEASMCAChar">
    <w:name w:val="BT EMEA_SMCA Char"/>
    <w:basedOn w:val="Numatytasispastraiposriftas"/>
    <w:link w:val="BTEMEASMCA"/>
    <w:locked/>
    <w:rsid w:val="00E3770F"/>
    <w:rPr>
      <w:rFonts w:ascii="Times New Roman" w:eastAsia="Batang" w:hAnsi="Times New Roman" w:cs="Times New Roman"/>
      <w:noProof/>
      <w:lang w:val="lt-LT"/>
    </w:rPr>
  </w:style>
  <w:style w:type="paragraph" w:customStyle="1" w:styleId="TableText">
    <w:name w:val="Table Text"/>
    <w:basedOn w:val="prastasis"/>
    <w:rsid w:val="00E3770F"/>
    <w:pPr>
      <w:keepNext/>
      <w:keepLines/>
      <w:tabs>
        <w:tab w:val="clear" w:pos="567"/>
        <w:tab w:val="left" w:pos="360"/>
      </w:tabs>
      <w:suppressAutoHyphens/>
      <w:spacing w:before="40" w:after="40" w:line="240" w:lineRule="atLeast"/>
    </w:pPr>
    <w:rPr>
      <w:sz w:val="20"/>
      <w:lang w:val="en-US"/>
    </w:rPr>
  </w:style>
  <w:style w:type="paragraph" w:styleId="Debesliotekstas">
    <w:name w:val="Balloon Text"/>
    <w:basedOn w:val="prastasis"/>
    <w:link w:val="DebesliotekstasDiagrama"/>
    <w:semiHidden/>
    <w:rsid w:val="00E3770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770F"/>
    <w:rPr>
      <w:rFonts w:ascii="Tahoma" w:eastAsia="Batang" w:hAnsi="Tahoma" w:cs="Tahoma"/>
      <w:sz w:val="16"/>
      <w:szCs w:val="16"/>
      <w:lang w:val="en-GB"/>
    </w:rPr>
  </w:style>
  <w:style w:type="paragraph" w:customStyle="1" w:styleId="PI-2EMEASMCA">
    <w:name w:val="PI-2 EMEA_SMCA"/>
    <w:basedOn w:val="Antrat3"/>
    <w:autoRedefine/>
    <w:rsid w:val="00E3770F"/>
    <w:pPr>
      <w:keepLines/>
      <w:spacing w:before="0" w:after="0" w:line="240" w:lineRule="auto"/>
      <w:ind w:left="567" w:hanging="567"/>
    </w:pPr>
    <w:rPr>
      <w:rFonts w:ascii="Times New Roman" w:hAnsi="Times New Roman" w:cs="Times New Roman"/>
      <w:bCs w:val="0"/>
      <w:kern w:val="28"/>
      <w:sz w:val="22"/>
      <w:szCs w:val="22"/>
      <w:lang w:val="lt-LT"/>
    </w:rPr>
  </w:style>
  <w:style w:type="paragraph" w:customStyle="1" w:styleId="BTgEMEASMCA">
    <w:name w:val="BT(g) EMEA_SMCA"/>
    <w:basedOn w:val="BTEMEASMCA"/>
    <w:link w:val="BTgEMEASMCAChar"/>
    <w:autoRedefine/>
    <w:rsid w:val="00E3770F"/>
    <w:rPr>
      <w:i/>
      <w:color w:val="008000"/>
    </w:rPr>
  </w:style>
  <w:style w:type="character" w:customStyle="1" w:styleId="BTgEMEASMCAChar">
    <w:name w:val="BT(g) EMEA_SMCA Char"/>
    <w:basedOn w:val="BTEMEASMCAChar"/>
    <w:link w:val="BTgEMEASMCA"/>
    <w:locked/>
    <w:rsid w:val="00E3770F"/>
    <w:rPr>
      <w:rFonts w:ascii="Times New Roman" w:eastAsia="Batang" w:hAnsi="Times New Roman" w:cs="Times New Roman"/>
      <w:i/>
      <w:noProof/>
      <w:color w:val="008000"/>
      <w:lang w:val="lt-LT"/>
    </w:rPr>
  </w:style>
  <w:style w:type="paragraph" w:styleId="Komentarotekstas">
    <w:name w:val="annotation text"/>
    <w:basedOn w:val="prastasis"/>
    <w:link w:val="KomentarotekstasDiagrama"/>
    <w:semiHidden/>
    <w:rsid w:val="00E3770F"/>
    <w:rPr>
      <w:sz w:val="20"/>
    </w:rPr>
  </w:style>
  <w:style w:type="character" w:customStyle="1" w:styleId="KomentarotekstasDiagrama">
    <w:name w:val="Komentaro tekstas Diagrama"/>
    <w:basedOn w:val="Numatytasispastraiposriftas"/>
    <w:link w:val="Komentarotekstas"/>
    <w:semiHidden/>
    <w:rsid w:val="00E3770F"/>
    <w:rPr>
      <w:rFonts w:ascii="Times New Roman" w:eastAsia="Batang" w:hAnsi="Times New Roman" w:cs="Times New Roman"/>
      <w:sz w:val="20"/>
      <w:szCs w:val="20"/>
      <w:lang w:val="en-GB"/>
    </w:rPr>
  </w:style>
  <w:style w:type="paragraph" w:styleId="Komentarotema">
    <w:name w:val="annotation subject"/>
    <w:basedOn w:val="Komentarotekstas"/>
    <w:next w:val="Komentarotekstas"/>
    <w:link w:val="KomentarotemaDiagrama"/>
    <w:semiHidden/>
    <w:rsid w:val="00E3770F"/>
    <w:rPr>
      <w:b/>
      <w:bCs/>
    </w:rPr>
  </w:style>
  <w:style w:type="character" w:customStyle="1" w:styleId="KomentarotemaDiagrama">
    <w:name w:val="Komentaro tema Diagrama"/>
    <w:basedOn w:val="KomentarotekstasDiagrama"/>
    <w:link w:val="Komentarotema"/>
    <w:semiHidden/>
    <w:rsid w:val="00E3770F"/>
    <w:rPr>
      <w:rFonts w:ascii="Times New Roman" w:eastAsia="Batang" w:hAnsi="Times New Roman" w:cs="Times New Roman"/>
      <w:b/>
      <w:bCs/>
      <w:sz w:val="20"/>
      <w:szCs w:val="20"/>
      <w:lang w:val="en-GB"/>
    </w:rPr>
  </w:style>
  <w:style w:type="paragraph" w:customStyle="1" w:styleId="PI-1labEMEASMCA">
    <w:name w:val="PI-1_lab EMEA_SMCA"/>
    <w:basedOn w:val="prastasis"/>
    <w:link w:val="PI-1labEMEASMCAChar"/>
    <w:autoRedefine/>
    <w:rsid w:val="00E3770F"/>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basedOn w:val="Numatytasispastraiposriftas"/>
    <w:link w:val="PI-1labEMEASMCA"/>
    <w:locked/>
    <w:rsid w:val="00E3770F"/>
    <w:rPr>
      <w:rFonts w:ascii="Times New Roman" w:eastAsia="Batang" w:hAnsi="Times New Roman" w:cs="Times New Roman"/>
      <w:b/>
      <w:noProof/>
      <w:lang w:val="lt-LT"/>
    </w:rPr>
  </w:style>
  <w:style w:type="paragraph" w:customStyle="1" w:styleId="BTbEMEASMCA">
    <w:name w:val="BT(b) EMEA_SMCA"/>
    <w:basedOn w:val="prastasis"/>
    <w:autoRedefine/>
    <w:rsid w:val="00E3770F"/>
    <w:pPr>
      <w:tabs>
        <w:tab w:val="clear" w:pos="567"/>
      </w:tabs>
      <w:spacing w:line="240" w:lineRule="auto"/>
    </w:pPr>
    <w:rPr>
      <w:rFonts w:eastAsia="Times New Roman"/>
      <w:szCs w:val="22"/>
      <w:lang w:val="lt-LT"/>
    </w:rPr>
  </w:style>
  <w:style w:type="paragraph" w:styleId="Sraopastraipa">
    <w:name w:val="List Paragraph"/>
    <w:basedOn w:val="prastasis"/>
    <w:uiPriority w:val="34"/>
    <w:qFormat/>
    <w:rsid w:val="00E3770F"/>
    <w:pPr>
      <w:ind w:left="720"/>
      <w:contextualSpacing/>
    </w:pPr>
  </w:style>
  <w:style w:type="numbering" w:customStyle="1" w:styleId="Sraonra1">
    <w:name w:val="Sąrašo nėra1"/>
    <w:next w:val="Sraonra"/>
    <w:uiPriority w:val="99"/>
    <w:semiHidden/>
    <w:unhideWhenUsed/>
    <w:rsid w:val="00E3770F"/>
  </w:style>
  <w:style w:type="paragraph" w:styleId="Pataisymai">
    <w:name w:val="Revision"/>
    <w:hidden/>
    <w:uiPriority w:val="99"/>
    <w:semiHidden/>
    <w:rsid w:val="00E3770F"/>
    <w:pPr>
      <w:spacing w:after="0" w:line="240" w:lineRule="auto"/>
    </w:pPr>
    <w:rPr>
      <w:rFonts w:ascii="Times New Roman" w:eastAsia="Batang" w:hAnsi="Times New Roman" w:cs="Times New Roman"/>
      <w:szCs w:val="20"/>
      <w:lang w:val="en-GB"/>
    </w:rPr>
  </w:style>
  <w:style w:type="paragraph" w:styleId="Pagrindinistekstas3">
    <w:name w:val="Body Text 3"/>
    <w:basedOn w:val="prastasis"/>
    <w:link w:val="Pagrindinistekstas3Diagrama"/>
    <w:uiPriority w:val="99"/>
    <w:semiHidden/>
    <w:unhideWhenUsed/>
    <w:rsid w:val="00E3770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E3770F"/>
    <w:rPr>
      <w:rFonts w:ascii="Times New Roman" w:eastAsia="Batang" w:hAnsi="Times New Roman" w:cs="Times New Roman"/>
      <w:sz w:val="16"/>
      <w:szCs w:val="16"/>
      <w:lang w:val="en-GB"/>
    </w:rPr>
  </w:style>
  <w:style w:type="character" w:customStyle="1" w:styleId="gtcbold6">
    <w:name w:val="gtcbold6"/>
    <w:rsid w:val="00E37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belRequestDocument" ma:contentTypeID="0x0101008E29687AFEA8E949B91049EDC21A5F2C0300D08532AC246A0947AC10E7BD402A47F6" ma:contentTypeVersion="2" ma:contentTypeDescription="" ma:contentTypeScope="" ma:versionID="3472803dc383ac6182144ab7cfd67c50">
  <xsd:schema xmlns:xsd="http://www.w3.org/2001/XMLSchema" xmlns:xs="http://www.w3.org/2001/XMLSchema" xmlns:p="http://schemas.microsoft.com/office/2006/metadata/properties" xmlns:ns2="05dc35ab-f44d-4281-8d39-be71e585678f" targetNamespace="http://schemas.microsoft.com/office/2006/metadata/properties" ma:root="true" ma:fieldsID="3cb068028a9f3df8e539608fe8a9f4d2" ns2:_="">
    <xsd:import namespace="05dc35ab-f44d-4281-8d39-be71e585678f"/>
    <xsd:element name="properties">
      <xsd:complexType>
        <xsd:sequence>
          <xsd:element name="documentManagement">
            <xsd:complexType>
              <xsd:all>
                <xsd:element ref="ns2:GenericName" minOccurs="0"/>
                <xsd:element ref="ns2:PurgePolicyDate" minOccurs="0"/>
                <xsd:element ref="ns2:DocumentType" minOccurs="0"/>
                <xsd:element ref="ns2:RequestID" minOccurs="0"/>
                <xsd:element ref="ns2:RequestType" minOccurs="0"/>
                <xsd:element ref="ns2: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35ab-f44d-4281-8d39-be71e585678f" elementFormDefault="qualified">
    <xsd:import namespace="http://schemas.microsoft.com/office/2006/documentManagement/types"/>
    <xsd:import namespace="http://schemas.microsoft.com/office/infopath/2007/PartnerControls"/>
    <xsd:element name="GenericName" ma:index="8" nillable="true" ma:displayName="GenericName" ma:internalName="GenericName">
      <xsd:simpleType>
        <xsd:restriction base="dms:Text">
          <xsd:maxLength value="255"/>
        </xsd:restriction>
      </xsd:simpleType>
    </xsd:element>
    <xsd:element name="PurgePolicyDate" ma:index="9" nillable="true" ma:displayName="PurgePolicyDate" ma:format="DateOnly" ma:internalName="PurgePolicyDate">
      <xsd:simpleType>
        <xsd:restriction base="dms:DateTime"/>
      </xsd:simpleType>
    </xsd:element>
    <xsd:element name="DocumentType" ma:index="10" nillable="true" ma:displayName="DocumentType" ma:indexed="true" ma:internalName="DocumentType">
      <xsd:simpleType>
        <xsd:restriction base="dms:Text">
          <xsd:maxLength value="255"/>
        </xsd:restriction>
      </xsd:simpleType>
    </xsd:element>
    <xsd:element name="RequestID" ma:index="11" nillable="true" ma:displayName="RequestID" ma:indexed="true" ma:internalName="RequestID">
      <xsd:simpleType>
        <xsd:restriction base="dms:Text">
          <xsd:maxLength value="255"/>
        </xsd:restriction>
      </xsd:simpleType>
    </xsd:element>
    <xsd:element name="RequestType" ma:index="12" nillable="true" ma:displayName="RequestType" ma:internalName="RequestType">
      <xsd:simpleType>
        <xsd:restriction base="dms:Text">
          <xsd:maxLength value="255"/>
        </xsd:restriction>
      </xsd:simpleType>
    </xsd:element>
    <xsd:element name="Languages" ma:index="13" nillable="true" ma:displayName="Languages" ma:internalName="Languag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ericName xmlns="05dc35ab-f44d-4281-8d39-be71e585678f">Paricalcitol</GenericName>
    <PurgePolicyDate xmlns="05dc35ab-f44d-4281-8d39-be71e585678f" xsi:nil="true"/>
    <DocumentType xmlns="05dc35ab-f44d-4281-8d39-be71e585678f">Prescribing Information (Combined/Individual)</DocumentType>
    <RequestType xmlns="05dc35ab-f44d-4281-8d39-be71e585678f">Label Update Request</RequestType>
    <RequestID xmlns="05dc35ab-f44d-4281-8d39-be71e585678f">LUR-31166</RequestID>
    <Languages xmlns="05dc35ab-f44d-4281-8d39-be71e585678f">Lithuanian</Language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F9F98-353A-4BC5-898F-697B0C667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35ab-f44d-4281-8d39-be71e585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E009E-228C-44FF-8AA3-7172CAD4A32E}">
  <ds:schemaRefs>
    <ds:schemaRef ds:uri="http://schemas.microsoft.com/sharepoint/v3/contenttype/forms"/>
  </ds:schemaRefs>
</ds:datastoreItem>
</file>

<file path=customXml/itemProps3.xml><?xml version="1.0" encoding="utf-8"?>
<ds:datastoreItem xmlns:ds="http://schemas.openxmlformats.org/officeDocument/2006/customXml" ds:itemID="{9EFD8578-E309-40EF-9D90-7982F9D1A20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05dc35ab-f44d-4281-8d39-be71e585678f"/>
    <ds:schemaRef ds:uri="http://www.w3.org/XML/1998/namespace"/>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B60C8B73-8EE1-412E-94A3-5F1D701F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36859</Words>
  <Characters>21010</Characters>
  <Application>Microsoft Office Word</Application>
  <DocSecurity>4</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AbbVie Inc</Company>
  <LinksUpToDate>false</LinksUpToDate>
  <CharactersWithSpaces>57754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Janarauskaite, Giedre</dc:creator>
  <cp:keywords/>
  <dc:description/>
  <cp:lastModifiedBy>Albina Burkauskaitė</cp:lastModifiedBy>
  <cp:revision>2</cp:revision>
  <cp:lastPrinted>2019-01-18T18:34:00Z</cp:lastPrinted>
  <dcterms:created xsi:type="dcterms:W3CDTF">2020-01-28T13:04:00Z</dcterms:created>
  <dcterms:modified xsi:type="dcterms:W3CDTF">2020-01-28T13:04:00Z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0x0101008E29687AFEA8E949B91049EDC21A5F2C0300D08532AC246A0947AC10E7BD402A47F6</vt:lpwstr>
  </property>
</Properties>
</file>