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BF0D4" w14:textId="77777777" w:rsidR="00B830AE" w:rsidRPr="001C169A" w:rsidRDefault="00B830AE" w:rsidP="00B830AE">
      <w:pPr>
        <w:rPr>
          <w:sz w:val="22"/>
          <w:szCs w:val="22"/>
        </w:rPr>
      </w:pPr>
    </w:p>
    <w:p w14:paraId="5272C5A3" w14:textId="77777777" w:rsidR="00B830AE" w:rsidRPr="001C169A" w:rsidRDefault="00B830AE" w:rsidP="00B830AE">
      <w:pPr>
        <w:rPr>
          <w:sz w:val="22"/>
          <w:szCs w:val="22"/>
        </w:rPr>
      </w:pPr>
    </w:p>
    <w:p w14:paraId="1814E924" w14:textId="77777777" w:rsidR="00B830AE" w:rsidRPr="001C169A" w:rsidRDefault="00B830AE" w:rsidP="00B830AE">
      <w:pPr>
        <w:rPr>
          <w:sz w:val="22"/>
          <w:szCs w:val="22"/>
        </w:rPr>
      </w:pPr>
    </w:p>
    <w:p w14:paraId="7540C545" w14:textId="77777777" w:rsidR="00B830AE" w:rsidRPr="001C169A" w:rsidRDefault="00B830AE" w:rsidP="00B830AE">
      <w:pPr>
        <w:rPr>
          <w:sz w:val="22"/>
          <w:szCs w:val="22"/>
        </w:rPr>
      </w:pPr>
    </w:p>
    <w:p w14:paraId="50DCD4F0" w14:textId="77777777" w:rsidR="00B830AE" w:rsidRPr="001C169A" w:rsidRDefault="00B830AE" w:rsidP="00B830AE">
      <w:pPr>
        <w:rPr>
          <w:sz w:val="22"/>
          <w:szCs w:val="22"/>
        </w:rPr>
      </w:pPr>
    </w:p>
    <w:p w14:paraId="42E1D22E" w14:textId="77777777" w:rsidR="00B830AE" w:rsidRPr="001C169A" w:rsidRDefault="00B830AE" w:rsidP="00B830AE">
      <w:pPr>
        <w:rPr>
          <w:sz w:val="22"/>
          <w:szCs w:val="22"/>
        </w:rPr>
      </w:pPr>
    </w:p>
    <w:p w14:paraId="6C490420" w14:textId="77777777" w:rsidR="00B830AE" w:rsidRPr="001C169A" w:rsidRDefault="00B830AE" w:rsidP="00B830AE">
      <w:pPr>
        <w:rPr>
          <w:sz w:val="22"/>
          <w:szCs w:val="22"/>
        </w:rPr>
      </w:pPr>
    </w:p>
    <w:p w14:paraId="48304286" w14:textId="77777777" w:rsidR="00B830AE" w:rsidRPr="001C169A" w:rsidRDefault="00B830AE" w:rsidP="00B830AE">
      <w:pPr>
        <w:rPr>
          <w:sz w:val="22"/>
          <w:szCs w:val="22"/>
        </w:rPr>
      </w:pPr>
    </w:p>
    <w:p w14:paraId="7E74F51A" w14:textId="77777777" w:rsidR="00B830AE" w:rsidRPr="001C169A" w:rsidRDefault="00B830AE" w:rsidP="00B830AE">
      <w:pPr>
        <w:rPr>
          <w:sz w:val="22"/>
          <w:szCs w:val="22"/>
        </w:rPr>
      </w:pPr>
    </w:p>
    <w:p w14:paraId="67EBF242" w14:textId="77777777" w:rsidR="00B830AE" w:rsidRPr="001C169A" w:rsidRDefault="00B830AE" w:rsidP="00B830AE">
      <w:pPr>
        <w:rPr>
          <w:sz w:val="22"/>
          <w:szCs w:val="22"/>
        </w:rPr>
      </w:pPr>
    </w:p>
    <w:p w14:paraId="61B9CC14" w14:textId="77777777" w:rsidR="00B830AE" w:rsidRPr="001C169A" w:rsidRDefault="00B830AE" w:rsidP="00B830AE">
      <w:pPr>
        <w:pStyle w:val="BTEMEASMCA"/>
      </w:pPr>
    </w:p>
    <w:p w14:paraId="2FD71001" w14:textId="77777777" w:rsidR="00B830AE" w:rsidRPr="001C169A" w:rsidRDefault="00B830AE" w:rsidP="00B830AE">
      <w:pPr>
        <w:pStyle w:val="BTEMEASMCA"/>
      </w:pPr>
    </w:p>
    <w:p w14:paraId="688DD00D" w14:textId="77777777" w:rsidR="00B830AE" w:rsidRPr="001C169A" w:rsidRDefault="00B830AE" w:rsidP="00B830AE">
      <w:pPr>
        <w:pStyle w:val="BTEMEASMCA"/>
      </w:pPr>
    </w:p>
    <w:p w14:paraId="23736CD3" w14:textId="77777777" w:rsidR="00B830AE" w:rsidRPr="001C169A" w:rsidRDefault="00B830AE" w:rsidP="00B830AE">
      <w:pPr>
        <w:pStyle w:val="BTEMEASMCA"/>
      </w:pPr>
    </w:p>
    <w:p w14:paraId="1E2295EC" w14:textId="77777777" w:rsidR="00B830AE" w:rsidRPr="001C169A" w:rsidRDefault="00B830AE" w:rsidP="00B830AE">
      <w:pPr>
        <w:pStyle w:val="BTEMEASMCA"/>
      </w:pPr>
    </w:p>
    <w:p w14:paraId="2FDE4C36" w14:textId="77777777" w:rsidR="00B830AE" w:rsidRPr="001C169A" w:rsidRDefault="00B830AE" w:rsidP="00B830AE">
      <w:pPr>
        <w:pStyle w:val="BTEMEASMCA"/>
      </w:pPr>
    </w:p>
    <w:p w14:paraId="7E1E8669" w14:textId="77777777" w:rsidR="00B830AE" w:rsidRPr="001C169A" w:rsidRDefault="00B830AE" w:rsidP="00B830AE">
      <w:pPr>
        <w:pStyle w:val="BTEMEASMCA"/>
      </w:pPr>
    </w:p>
    <w:p w14:paraId="74175F54" w14:textId="77777777" w:rsidR="00B830AE" w:rsidRPr="001C169A" w:rsidRDefault="00B830AE" w:rsidP="00B830AE">
      <w:pPr>
        <w:pStyle w:val="BTEMEASMCA"/>
      </w:pPr>
    </w:p>
    <w:p w14:paraId="3FB11D04" w14:textId="77777777" w:rsidR="00B830AE" w:rsidRPr="001C169A" w:rsidRDefault="00B830AE" w:rsidP="00B830AE">
      <w:pPr>
        <w:pStyle w:val="BTEMEASMCA"/>
      </w:pPr>
    </w:p>
    <w:p w14:paraId="08B2F3E7" w14:textId="77777777" w:rsidR="00B830AE" w:rsidRPr="001C169A" w:rsidRDefault="00B830AE" w:rsidP="00B830AE">
      <w:pPr>
        <w:pStyle w:val="BTEMEASMCA"/>
      </w:pPr>
    </w:p>
    <w:p w14:paraId="5443A967" w14:textId="77777777" w:rsidR="00B830AE" w:rsidRPr="001C169A" w:rsidRDefault="00B830AE" w:rsidP="00B830AE">
      <w:pPr>
        <w:pStyle w:val="BTEMEASMCA"/>
      </w:pPr>
    </w:p>
    <w:p w14:paraId="42C6AF02" w14:textId="77777777" w:rsidR="00B830AE" w:rsidRPr="001C169A" w:rsidRDefault="00B830AE" w:rsidP="00B830AE">
      <w:pPr>
        <w:pStyle w:val="BTEMEASMCA"/>
      </w:pPr>
    </w:p>
    <w:p w14:paraId="5B34AA5B" w14:textId="77777777" w:rsidR="00B830AE" w:rsidRPr="001C169A" w:rsidRDefault="00B830AE" w:rsidP="00B830AE">
      <w:pPr>
        <w:pStyle w:val="BTEMEASMCA"/>
      </w:pPr>
    </w:p>
    <w:p w14:paraId="0E783B9B" w14:textId="77777777" w:rsidR="00B830AE" w:rsidRPr="001C169A" w:rsidRDefault="00B830AE" w:rsidP="00B830AE">
      <w:pPr>
        <w:pStyle w:val="TTEMEASMCA"/>
        <w:rPr>
          <w:sz w:val="22"/>
          <w:szCs w:val="22"/>
          <w:lang w:val="lt-LT"/>
        </w:rPr>
      </w:pPr>
      <w:bookmarkStart w:id="0" w:name="_Toc129243096"/>
      <w:bookmarkStart w:id="1" w:name="_Toc129243221"/>
      <w:r w:rsidRPr="001C169A">
        <w:rPr>
          <w:sz w:val="22"/>
          <w:szCs w:val="22"/>
          <w:lang w:val="lt-LT"/>
        </w:rPr>
        <w:t>I PRIEDAS</w:t>
      </w:r>
      <w:bookmarkEnd w:id="0"/>
      <w:bookmarkEnd w:id="1"/>
    </w:p>
    <w:p w14:paraId="359354EB" w14:textId="77777777" w:rsidR="00B830AE" w:rsidRPr="001C169A" w:rsidRDefault="00B830AE" w:rsidP="00B830AE">
      <w:pPr>
        <w:pStyle w:val="BTEMEASMCA"/>
      </w:pPr>
    </w:p>
    <w:p w14:paraId="702D8A45" w14:textId="77777777" w:rsidR="00B830AE" w:rsidRPr="001C169A" w:rsidRDefault="00B830AE" w:rsidP="00B830AE">
      <w:pPr>
        <w:pStyle w:val="TTEMEASMCA"/>
        <w:rPr>
          <w:sz w:val="22"/>
          <w:szCs w:val="22"/>
          <w:lang w:val="lt-LT"/>
        </w:rPr>
      </w:pPr>
      <w:bookmarkStart w:id="2" w:name="_Toc129243097"/>
      <w:bookmarkStart w:id="3" w:name="_Toc129243222"/>
      <w:r w:rsidRPr="001C169A">
        <w:rPr>
          <w:sz w:val="22"/>
          <w:szCs w:val="22"/>
          <w:lang w:val="lt-LT"/>
        </w:rPr>
        <w:t>PREPARATO CHARAKTERISTIKŲ SANTRAUKA</w:t>
      </w:r>
      <w:bookmarkEnd w:id="2"/>
      <w:bookmarkEnd w:id="3"/>
    </w:p>
    <w:p w14:paraId="1E1E5D2C" w14:textId="77777777" w:rsidR="00B830AE" w:rsidRPr="001C169A" w:rsidRDefault="00B830AE" w:rsidP="00B830AE">
      <w:pPr>
        <w:pStyle w:val="PI-1EMEASMCA"/>
      </w:pPr>
      <w:r w:rsidRPr="001C169A">
        <w:rPr>
          <w:bCs/>
          <w:iCs/>
        </w:rPr>
        <w:br w:type="page"/>
      </w:r>
      <w:r w:rsidRPr="001C169A">
        <w:lastRenderedPageBreak/>
        <w:t>1.</w:t>
      </w:r>
      <w:r w:rsidRPr="001C169A">
        <w:tab/>
        <w:t>VAISTINIO PREPARATO PAVADINIMAS</w:t>
      </w:r>
    </w:p>
    <w:p w14:paraId="0DE92E3D" w14:textId="77777777" w:rsidR="00B830AE" w:rsidRPr="001C169A" w:rsidRDefault="00B830AE" w:rsidP="00B830AE">
      <w:pPr>
        <w:pStyle w:val="BTEMEASMCA"/>
      </w:pPr>
    </w:p>
    <w:p w14:paraId="459F980D" w14:textId="77777777" w:rsidR="00B830AE" w:rsidRPr="001C169A" w:rsidRDefault="00B830AE" w:rsidP="00B830AE">
      <w:pPr>
        <w:pStyle w:val="Pagrindinistekstas"/>
        <w:spacing w:after="0"/>
        <w:rPr>
          <w:szCs w:val="22"/>
        </w:rPr>
      </w:pPr>
      <w:r w:rsidRPr="001C169A">
        <w:rPr>
          <w:color w:val="000000"/>
          <w:szCs w:val="22"/>
          <w:lang w:eastAsia="lv-LV"/>
        </w:rPr>
        <w:t>AXASTROL</w:t>
      </w:r>
      <w:r w:rsidRPr="001C169A">
        <w:rPr>
          <w:szCs w:val="22"/>
        </w:rPr>
        <w:t xml:space="preserve"> 1 mg plėvele dengtos tabletės</w:t>
      </w:r>
    </w:p>
    <w:p w14:paraId="169905EA" w14:textId="77777777" w:rsidR="00B830AE" w:rsidRPr="001C169A" w:rsidRDefault="00B830AE" w:rsidP="00B830AE">
      <w:pPr>
        <w:pStyle w:val="BTEMEASMCA"/>
      </w:pPr>
    </w:p>
    <w:p w14:paraId="078497A9" w14:textId="77777777" w:rsidR="00B830AE" w:rsidRPr="001C169A" w:rsidRDefault="00B830AE" w:rsidP="00B830AE">
      <w:pPr>
        <w:pStyle w:val="BTEMEASMCA"/>
      </w:pPr>
    </w:p>
    <w:p w14:paraId="04BAE3F9" w14:textId="77777777" w:rsidR="00B830AE" w:rsidRPr="001C169A" w:rsidRDefault="00B830AE" w:rsidP="00B830AE">
      <w:pPr>
        <w:pStyle w:val="PI-1EMEASMCA"/>
      </w:pPr>
      <w:bookmarkStart w:id="4" w:name="_Toc129243099"/>
      <w:bookmarkStart w:id="5" w:name="_Toc129243224"/>
      <w:r w:rsidRPr="001C169A">
        <w:t>2.</w:t>
      </w:r>
      <w:r w:rsidRPr="001C169A">
        <w:tab/>
        <w:t>KOKYBINĖ IR KIEKYBINĖ SUDĖTIS</w:t>
      </w:r>
      <w:bookmarkEnd w:id="4"/>
      <w:bookmarkEnd w:id="5"/>
    </w:p>
    <w:p w14:paraId="10C87611" w14:textId="77777777" w:rsidR="00B830AE" w:rsidRPr="001C169A" w:rsidRDefault="00B830AE" w:rsidP="00B830AE">
      <w:pPr>
        <w:pStyle w:val="BTEMEASMCA"/>
      </w:pPr>
    </w:p>
    <w:p w14:paraId="75661CE6" w14:textId="77777777" w:rsidR="00B830AE" w:rsidRPr="001C169A" w:rsidRDefault="00B830AE" w:rsidP="00B830AE">
      <w:pPr>
        <w:pStyle w:val="BTEMEASMCA"/>
      </w:pPr>
      <w:r w:rsidRPr="001C169A">
        <w:t xml:space="preserve">Kiekvienoje plėvele dengtoje tabletėje yra 1 mg </w:t>
      </w:r>
      <w:bookmarkStart w:id="6" w:name="OLE_LINK1"/>
      <w:bookmarkStart w:id="7" w:name="OLE_LINK2"/>
      <w:r w:rsidRPr="001C169A">
        <w:t>anastrozol</w:t>
      </w:r>
      <w:bookmarkEnd w:id="6"/>
      <w:bookmarkEnd w:id="7"/>
      <w:r w:rsidRPr="001C169A">
        <w:t>o.</w:t>
      </w:r>
    </w:p>
    <w:p w14:paraId="696FA2A2" w14:textId="77777777" w:rsidR="00B830AE" w:rsidRPr="001C169A" w:rsidRDefault="00B830AE" w:rsidP="00B830AE">
      <w:pPr>
        <w:pStyle w:val="BTEMEASMCA"/>
      </w:pPr>
    </w:p>
    <w:p w14:paraId="7ABEFD16" w14:textId="5A812D2A" w:rsidR="00B830AE" w:rsidRPr="001C169A" w:rsidRDefault="00B830AE" w:rsidP="00B830AE">
      <w:pPr>
        <w:pStyle w:val="BTEMEASMCA"/>
      </w:pPr>
      <w:r w:rsidRPr="001C169A">
        <w:rPr>
          <w:u w:val="single"/>
        </w:rPr>
        <w:t>Pagalbinė</w:t>
      </w:r>
      <w:r w:rsidR="001D4BB6" w:rsidRPr="001C169A">
        <w:rPr>
          <w:u w:val="single"/>
        </w:rPr>
        <w:t>(-s)</w:t>
      </w:r>
      <w:r w:rsidRPr="001C169A">
        <w:rPr>
          <w:u w:val="single"/>
        </w:rPr>
        <w:t xml:space="preserve"> medžiaga</w:t>
      </w:r>
      <w:r w:rsidR="001E7339" w:rsidRPr="001C169A">
        <w:rPr>
          <w:u w:val="single"/>
        </w:rPr>
        <w:t xml:space="preserve"> </w:t>
      </w:r>
      <w:r w:rsidR="001D4BB6" w:rsidRPr="001C169A">
        <w:rPr>
          <w:u w:val="single"/>
        </w:rPr>
        <w:t>(-os)</w:t>
      </w:r>
      <w:r w:rsidRPr="001C169A">
        <w:rPr>
          <w:u w:val="single"/>
        </w:rPr>
        <w:t>, kurios</w:t>
      </w:r>
      <w:r w:rsidR="001D4BB6" w:rsidRPr="001C169A">
        <w:rPr>
          <w:u w:val="single"/>
        </w:rPr>
        <w:t xml:space="preserve">(-ių) </w:t>
      </w:r>
      <w:r w:rsidRPr="001C169A">
        <w:rPr>
          <w:u w:val="single"/>
        </w:rPr>
        <w:t>poveikis žinomas:</w:t>
      </w:r>
      <w:r w:rsidRPr="001C169A">
        <w:t xml:space="preserve"> kiekvienoje plėvele dengtoje tabletėje yra 65 mg laktozės monohidrato (žr. 4.4 skyrių).</w:t>
      </w:r>
    </w:p>
    <w:p w14:paraId="0C0025D6" w14:textId="77777777" w:rsidR="00B830AE" w:rsidRPr="001C169A" w:rsidRDefault="00B830AE" w:rsidP="00B830AE">
      <w:pPr>
        <w:pStyle w:val="BTEMEASMCA"/>
      </w:pPr>
    </w:p>
    <w:p w14:paraId="7CB84B7F" w14:textId="77777777" w:rsidR="00B830AE" w:rsidRPr="001C169A" w:rsidRDefault="00B830AE" w:rsidP="00B830AE">
      <w:pPr>
        <w:pStyle w:val="BTEMEASMCA"/>
      </w:pPr>
      <w:r w:rsidRPr="001C169A">
        <w:t>Visos pagalbinės medžiagos išvardytos 6.1 skyriuje.</w:t>
      </w:r>
    </w:p>
    <w:p w14:paraId="45352F49" w14:textId="77777777" w:rsidR="00B830AE" w:rsidRPr="001C169A" w:rsidRDefault="00B830AE" w:rsidP="00B830AE">
      <w:pPr>
        <w:pStyle w:val="BTEMEASMCA"/>
      </w:pPr>
    </w:p>
    <w:p w14:paraId="2463EFF1" w14:textId="77777777" w:rsidR="00B830AE" w:rsidRPr="001C169A" w:rsidRDefault="00B830AE" w:rsidP="00B830AE">
      <w:pPr>
        <w:pStyle w:val="BTEMEASMCA"/>
      </w:pPr>
    </w:p>
    <w:p w14:paraId="28F8C406" w14:textId="77777777" w:rsidR="00B830AE" w:rsidRPr="001C169A" w:rsidRDefault="00B830AE" w:rsidP="00B830AE">
      <w:pPr>
        <w:pStyle w:val="PI-1EMEASMCA"/>
      </w:pPr>
      <w:bookmarkStart w:id="8" w:name="_Toc129243100"/>
      <w:bookmarkStart w:id="9" w:name="_Toc129243225"/>
      <w:r w:rsidRPr="001C169A">
        <w:t>3.</w:t>
      </w:r>
      <w:r w:rsidRPr="001C169A">
        <w:tab/>
        <w:t>FARMACINĖ FORMA</w:t>
      </w:r>
      <w:bookmarkEnd w:id="8"/>
      <w:bookmarkEnd w:id="9"/>
    </w:p>
    <w:p w14:paraId="6A84DAFE" w14:textId="77777777" w:rsidR="00B830AE" w:rsidRPr="001C169A" w:rsidRDefault="00B830AE" w:rsidP="00B830AE">
      <w:pPr>
        <w:pStyle w:val="BTEMEASMCA"/>
      </w:pPr>
    </w:p>
    <w:p w14:paraId="05D220B0" w14:textId="77777777" w:rsidR="00B830AE" w:rsidRPr="001C169A" w:rsidRDefault="00B830AE" w:rsidP="00B830AE">
      <w:pPr>
        <w:pStyle w:val="BTEMEASMCA"/>
      </w:pPr>
      <w:r w:rsidRPr="001C169A">
        <w:t>Plėvele dengta tabletė</w:t>
      </w:r>
    </w:p>
    <w:p w14:paraId="693CAE51" w14:textId="77777777" w:rsidR="00B830AE" w:rsidRPr="001C169A" w:rsidRDefault="00B830AE" w:rsidP="00B830AE">
      <w:pPr>
        <w:pStyle w:val="BTEMEASMCA"/>
      </w:pPr>
      <w:r w:rsidRPr="001C169A">
        <w:t xml:space="preserve">Balta, apvali, apytiksliai 6,6 mm skersmens plėvele dengta tabletė. </w:t>
      </w:r>
    </w:p>
    <w:p w14:paraId="57F843F9" w14:textId="77777777" w:rsidR="00B830AE" w:rsidRPr="001C169A" w:rsidRDefault="00B830AE" w:rsidP="00B830AE">
      <w:pPr>
        <w:pStyle w:val="BTEMEASMCA"/>
      </w:pPr>
    </w:p>
    <w:p w14:paraId="6A548C88" w14:textId="77777777" w:rsidR="00B830AE" w:rsidRPr="001C169A" w:rsidRDefault="00B830AE" w:rsidP="00B830AE">
      <w:pPr>
        <w:pStyle w:val="BTEMEASMCA"/>
      </w:pPr>
    </w:p>
    <w:p w14:paraId="48A03EE2" w14:textId="77777777" w:rsidR="00B830AE" w:rsidRPr="001C169A" w:rsidRDefault="00B830AE" w:rsidP="00B830AE">
      <w:pPr>
        <w:pStyle w:val="PI-1EMEASMCA"/>
      </w:pPr>
      <w:bookmarkStart w:id="10" w:name="_Toc129243101"/>
      <w:bookmarkStart w:id="11" w:name="_Toc129243226"/>
      <w:r w:rsidRPr="001C169A">
        <w:t>4.</w:t>
      </w:r>
      <w:r w:rsidRPr="001C169A">
        <w:tab/>
        <w:t>KLINIKINĖ INFORMACIJA</w:t>
      </w:r>
      <w:bookmarkEnd w:id="10"/>
      <w:bookmarkEnd w:id="11"/>
    </w:p>
    <w:p w14:paraId="46993925" w14:textId="77777777" w:rsidR="00B830AE" w:rsidRPr="001C169A" w:rsidRDefault="00B830AE" w:rsidP="00B830AE">
      <w:pPr>
        <w:pStyle w:val="BTEMEASMCA"/>
      </w:pPr>
    </w:p>
    <w:p w14:paraId="7F32207F" w14:textId="77777777" w:rsidR="00B830AE" w:rsidRPr="001C169A" w:rsidRDefault="00B830AE" w:rsidP="00B830AE">
      <w:pPr>
        <w:pStyle w:val="PI-2EMEASMCA"/>
      </w:pPr>
      <w:bookmarkStart w:id="12" w:name="_Toc129243102"/>
      <w:bookmarkStart w:id="13" w:name="_Toc129243227"/>
      <w:r w:rsidRPr="001C169A">
        <w:t>4.1</w:t>
      </w:r>
      <w:r w:rsidRPr="001C169A">
        <w:tab/>
        <w:t>Terapinės indikacijos</w:t>
      </w:r>
      <w:bookmarkEnd w:id="12"/>
      <w:bookmarkEnd w:id="13"/>
    </w:p>
    <w:p w14:paraId="4115A318" w14:textId="77777777" w:rsidR="00B830AE" w:rsidRPr="001C169A" w:rsidRDefault="00B830AE" w:rsidP="00B830AE">
      <w:pPr>
        <w:pStyle w:val="BTEMEASMCA"/>
      </w:pPr>
    </w:p>
    <w:p w14:paraId="761EAC67" w14:textId="77777777" w:rsidR="00B830AE" w:rsidRPr="001C169A" w:rsidRDefault="00B830AE" w:rsidP="00B830AE">
      <w:pPr>
        <w:pStyle w:val="BTEMEASMCA"/>
      </w:pPr>
      <w:r w:rsidRPr="001C169A">
        <w:t>AXASTROL skirtas toliau nurodytų ligų gydymui.</w:t>
      </w:r>
    </w:p>
    <w:p w14:paraId="11C8DFB6" w14:textId="77777777" w:rsidR="00B830AE" w:rsidRPr="001C169A" w:rsidRDefault="00B830AE" w:rsidP="00B830AE">
      <w:pPr>
        <w:pStyle w:val="BTEMEASMCA"/>
      </w:pPr>
    </w:p>
    <w:p w14:paraId="623AF8FF" w14:textId="77777777" w:rsidR="00B830AE" w:rsidRPr="001C169A" w:rsidRDefault="00B830AE" w:rsidP="00B830AE">
      <w:pPr>
        <w:pStyle w:val="BTEMEASMCA"/>
      </w:pPr>
      <w:r w:rsidRPr="001C169A">
        <w:t>Progresavusio krūties vėžio, kuriame yra hormonų receptorių, gydymas  moterims po menopauzės.</w:t>
      </w:r>
    </w:p>
    <w:p w14:paraId="0B6F2B1A" w14:textId="77777777" w:rsidR="00B830AE" w:rsidRPr="001C169A" w:rsidRDefault="00B830AE" w:rsidP="00B830AE">
      <w:pPr>
        <w:pStyle w:val="BTEMEASMCA"/>
      </w:pPr>
    </w:p>
    <w:p w14:paraId="42D53D77" w14:textId="77777777" w:rsidR="00B830AE" w:rsidRPr="001C169A" w:rsidRDefault="00B830AE" w:rsidP="00B830AE">
      <w:pPr>
        <w:pStyle w:val="PI-2EMEASMCA"/>
      </w:pPr>
      <w:bookmarkStart w:id="14" w:name="_Toc129243103"/>
      <w:bookmarkStart w:id="15" w:name="_Toc129243228"/>
      <w:r w:rsidRPr="001C169A">
        <w:t>4.2</w:t>
      </w:r>
      <w:r w:rsidRPr="001C169A">
        <w:tab/>
        <w:t>Dozavimas ir vartojimo metodas</w:t>
      </w:r>
      <w:bookmarkEnd w:id="14"/>
      <w:bookmarkEnd w:id="15"/>
    </w:p>
    <w:p w14:paraId="09A3E0D7" w14:textId="77777777" w:rsidR="00B830AE" w:rsidRPr="001C169A" w:rsidRDefault="00B830AE" w:rsidP="00B830AE">
      <w:pPr>
        <w:pStyle w:val="BTEMEASMCA"/>
      </w:pPr>
    </w:p>
    <w:p w14:paraId="6EF54D14" w14:textId="77777777" w:rsidR="00B830AE" w:rsidRPr="001C169A" w:rsidRDefault="00B830AE" w:rsidP="00B830AE">
      <w:pPr>
        <w:pStyle w:val="BTEMEASMCA"/>
        <w:rPr>
          <w:u w:val="single"/>
        </w:rPr>
      </w:pPr>
      <w:r w:rsidRPr="001C169A">
        <w:rPr>
          <w:u w:val="single"/>
        </w:rPr>
        <w:t>Dozavimas</w:t>
      </w:r>
    </w:p>
    <w:p w14:paraId="539AE237" w14:textId="77777777" w:rsidR="00B830AE" w:rsidRPr="001C169A" w:rsidRDefault="00B830AE" w:rsidP="00B830AE">
      <w:pPr>
        <w:pStyle w:val="BTEMEASMCA"/>
      </w:pPr>
    </w:p>
    <w:p w14:paraId="77E52BD2" w14:textId="77777777" w:rsidR="00B830AE" w:rsidRPr="001C169A" w:rsidRDefault="00B830AE" w:rsidP="00B830AE">
      <w:pPr>
        <w:pStyle w:val="BTEMEASMCA"/>
      </w:pPr>
      <w:r w:rsidRPr="001C169A">
        <w:t>Rekomenduojama AXASTROL dozė suaugusioms, įskaitant senyvas,  moteris yra 1 tabletė per parą.</w:t>
      </w:r>
    </w:p>
    <w:p w14:paraId="2DCF214F" w14:textId="77777777" w:rsidR="00B830AE" w:rsidRPr="001C169A" w:rsidRDefault="00B830AE" w:rsidP="00B830AE">
      <w:pPr>
        <w:pStyle w:val="BTEMEASMCA"/>
      </w:pPr>
      <w:r w:rsidRPr="001C169A">
        <w:t>Ypatingos populiacijos</w:t>
      </w:r>
    </w:p>
    <w:p w14:paraId="7E3D9DA6" w14:textId="77777777" w:rsidR="00B830AE" w:rsidRPr="001C169A" w:rsidRDefault="00B830AE" w:rsidP="00B830AE">
      <w:pPr>
        <w:pStyle w:val="BTEMEASMCA"/>
      </w:pPr>
    </w:p>
    <w:p w14:paraId="1CD5F439" w14:textId="77777777" w:rsidR="00B830AE" w:rsidRPr="001C169A" w:rsidRDefault="00B830AE" w:rsidP="00B830AE">
      <w:pPr>
        <w:pStyle w:val="BTEMEASMCA"/>
        <w:rPr>
          <w:i/>
        </w:rPr>
      </w:pPr>
      <w:r w:rsidRPr="001C169A">
        <w:rPr>
          <w:i/>
        </w:rPr>
        <w:t>Vaikų populiacija</w:t>
      </w:r>
    </w:p>
    <w:p w14:paraId="5706FF8E" w14:textId="77777777" w:rsidR="00B830AE" w:rsidRPr="001C169A" w:rsidRDefault="00B830AE" w:rsidP="00B830AE">
      <w:pPr>
        <w:pStyle w:val="BTEMEASMCA"/>
      </w:pPr>
      <w:r w:rsidRPr="001C169A">
        <w:t>AXASTROL nerekomenduojama vartoti vaikams ir paaugliams, nes duomenų apie saugumą ir veiksmingumą nepakanka (žr. 4.4 ir 5.1 skyrius).</w:t>
      </w:r>
    </w:p>
    <w:p w14:paraId="4286C40D" w14:textId="77777777" w:rsidR="00B830AE" w:rsidRPr="001C169A" w:rsidRDefault="00B830AE" w:rsidP="00B830AE">
      <w:pPr>
        <w:pStyle w:val="BTEMEASMCA"/>
      </w:pPr>
    </w:p>
    <w:p w14:paraId="471BFBEB" w14:textId="6A1A69EB" w:rsidR="00B830AE" w:rsidRPr="001C169A" w:rsidRDefault="005E1763" w:rsidP="00B830AE">
      <w:pPr>
        <w:pStyle w:val="BTEMEASMCA"/>
      </w:pPr>
      <w:r w:rsidRPr="001C169A">
        <w:rPr>
          <w:i/>
          <w:iCs/>
          <w:color w:val="000000"/>
        </w:rPr>
        <w:t>Pacientams, kurių inkstų funkcija sutrikusi</w:t>
      </w:r>
      <w:r w:rsidRPr="001C169A">
        <w:t xml:space="preserve"> </w:t>
      </w:r>
    </w:p>
    <w:p w14:paraId="179C2E01" w14:textId="77777777" w:rsidR="00B830AE" w:rsidRPr="001C169A" w:rsidRDefault="00B830AE" w:rsidP="00B830AE">
      <w:pPr>
        <w:pStyle w:val="BTEMEASMCA"/>
      </w:pPr>
      <w:r w:rsidRPr="001C169A">
        <w:t>Pacientėms, kurioms yra lengvas ar vidutinio sunkumo inkstų veiklos sutrikimas, dozės keisti nereikia. Pacientėms, kurioms yra sunkus inkstų veiklos sutrikimas, AXASTROL vartoti reikia atsargiai (žr. 4.4 ir 5.2 skyrius).</w:t>
      </w:r>
    </w:p>
    <w:p w14:paraId="5D9DA8B7" w14:textId="77777777" w:rsidR="00B830AE" w:rsidRPr="001C169A" w:rsidRDefault="00B830AE" w:rsidP="00B830AE">
      <w:pPr>
        <w:pStyle w:val="BTEMEASMCA"/>
      </w:pPr>
    </w:p>
    <w:p w14:paraId="045E51D8" w14:textId="125E3C5B" w:rsidR="00B830AE" w:rsidRPr="001C169A" w:rsidRDefault="005E1763" w:rsidP="00B830AE">
      <w:pPr>
        <w:pStyle w:val="BTEMEASMCA"/>
      </w:pPr>
      <w:r w:rsidRPr="001C169A">
        <w:rPr>
          <w:i/>
          <w:iCs/>
          <w:color w:val="000000"/>
        </w:rPr>
        <w:t>Pacientams, kurių kepenų funkcija sutrikusi</w:t>
      </w:r>
      <w:r w:rsidRPr="001C169A">
        <w:t xml:space="preserve"> </w:t>
      </w:r>
    </w:p>
    <w:p w14:paraId="31768B62" w14:textId="77777777" w:rsidR="00B830AE" w:rsidRPr="001C169A" w:rsidRDefault="00B830AE" w:rsidP="00B830AE">
      <w:pPr>
        <w:pStyle w:val="BTEMEASMCA"/>
      </w:pPr>
      <w:r w:rsidRPr="001C169A">
        <w:t>Pacientėms, kurioms yra lengva kepenų liga, dozės keisti nereikia. Esant vidutiniam ar sunkiam kepenų veiklos sutrikimui, patartina imtis atsargumo priemonių (žr. 4.4 skyrių).</w:t>
      </w:r>
    </w:p>
    <w:p w14:paraId="2BCE061F" w14:textId="77777777" w:rsidR="00B830AE" w:rsidRPr="001C169A" w:rsidRDefault="00B830AE" w:rsidP="00B830AE">
      <w:pPr>
        <w:pStyle w:val="BTEMEASMCA"/>
      </w:pPr>
    </w:p>
    <w:p w14:paraId="19CD8CBC" w14:textId="77777777" w:rsidR="00B830AE" w:rsidRPr="001C169A" w:rsidRDefault="00B830AE" w:rsidP="00B830AE">
      <w:pPr>
        <w:pStyle w:val="BTEMEASMCA"/>
        <w:rPr>
          <w:u w:val="single"/>
        </w:rPr>
      </w:pPr>
      <w:r w:rsidRPr="001C169A">
        <w:rPr>
          <w:u w:val="single"/>
        </w:rPr>
        <w:t xml:space="preserve">Vartojimo metodas </w:t>
      </w:r>
    </w:p>
    <w:p w14:paraId="7D9CC7FC" w14:textId="77777777" w:rsidR="00B830AE" w:rsidRPr="001C169A" w:rsidRDefault="00B830AE" w:rsidP="00B830AE">
      <w:pPr>
        <w:pStyle w:val="BTEMEASMCA"/>
      </w:pPr>
    </w:p>
    <w:p w14:paraId="02B0F787" w14:textId="77777777" w:rsidR="00B830AE" w:rsidRPr="001C169A" w:rsidRDefault="00B830AE" w:rsidP="00B830AE">
      <w:pPr>
        <w:pStyle w:val="BTEMEASMCA"/>
      </w:pPr>
      <w:r w:rsidRPr="001C169A">
        <w:t>AXASTROL skirtas vartoti per burną.</w:t>
      </w:r>
    </w:p>
    <w:p w14:paraId="5A149596" w14:textId="77777777" w:rsidR="00B830AE" w:rsidRPr="001C169A" w:rsidRDefault="00B830AE" w:rsidP="00B830AE">
      <w:pPr>
        <w:pStyle w:val="BTEMEASMCA"/>
      </w:pPr>
    </w:p>
    <w:p w14:paraId="62BB8764" w14:textId="77777777" w:rsidR="00B830AE" w:rsidRPr="001C169A" w:rsidRDefault="00B830AE" w:rsidP="00B830AE">
      <w:pPr>
        <w:pStyle w:val="PI-2EMEASMCA"/>
      </w:pPr>
      <w:bookmarkStart w:id="16" w:name="_Toc129243104"/>
      <w:bookmarkStart w:id="17" w:name="_Toc129243229"/>
      <w:r w:rsidRPr="001C169A">
        <w:t>4.3</w:t>
      </w:r>
      <w:r w:rsidRPr="001C169A">
        <w:tab/>
        <w:t>Kontraindikacijos</w:t>
      </w:r>
      <w:bookmarkEnd w:id="16"/>
      <w:bookmarkEnd w:id="17"/>
    </w:p>
    <w:p w14:paraId="4F45E763" w14:textId="77777777" w:rsidR="00B830AE" w:rsidRPr="001C169A" w:rsidRDefault="00B830AE" w:rsidP="00B830AE">
      <w:pPr>
        <w:pStyle w:val="BTEMEASMCA"/>
      </w:pPr>
    </w:p>
    <w:p w14:paraId="47CA958F" w14:textId="77777777" w:rsidR="00B830AE" w:rsidRPr="001C169A" w:rsidRDefault="00B830AE" w:rsidP="00B830AE">
      <w:pPr>
        <w:pStyle w:val="BTEMEASMCA"/>
      </w:pPr>
      <w:r w:rsidRPr="001C169A">
        <w:t>AXASTROL vartoti draudžiama:</w:t>
      </w:r>
    </w:p>
    <w:p w14:paraId="41D86B90" w14:textId="77777777" w:rsidR="00B830AE" w:rsidRPr="001C169A" w:rsidRDefault="00B830AE" w:rsidP="00B830AE">
      <w:pPr>
        <w:pStyle w:val="BT-EMEASMCA"/>
        <w:numPr>
          <w:ilvl w:val="0"/>
          <w:numId w:val="9"/>
        </w:numPr>
      </w:pPr>
      <w:r w:rsidRPr="001C169A">
        <w:t>nėščiosioms arba žindyvėms;</w:t>
      </w:r>
    </w:p>
    <w:p w14:paraId="26A33A45" w14:textId="3B9C1905" w:rsidR="00B830AE" w:rsidRPr="001C169A" w:rsidRDefault="001D4BB6" w:rsidP="00B830AE">
      <w:pPr>
        <w:pStyle w:val="BT-EMEASMCA"/>
        <w:numPr>
          <w:ilvl w:val="0"/>
          <w:numId w:val="9"/>
        </w:numPr>
      </w:pPr>
      <w:r w:rsidRPr="00AD4B7F">
        <w:lastRenderedPageBreak/>
        <w:t xml:space="preserve">padidėjęs jautrumas veikliajai arba bet kuriai 6.1 skyriuje nurodytai pagalbinei medžiagai. </w:t>
      </w:r>
    </w:p>
    <w:p w14:paraId="5EFF436E" w14:textId="77777777" w:rsidR="00B830AE" w:rsidRPr="001C169A" w:rsidRDefault="00B830AE" w:rsidP="00B830AE">
      <w:pPr>
        <w:pStyle w:val="BTEMEASMCA"/>
      </w:pPr>
    </w:p>
    <w:p w14:paraId="01CAAF0D" w14:textId="77777777" w:rsidR="00B830AE" w:rsidRPr="001C169A" w:rsidRDefault="00B830AE" w:rsidP="00B830AE">
      <w:pPr>
        <w:pStyle w:val="PI-2EMEASMCA"/>
      </w:pPr>
      <w:bookmarkStart w:id="18" w:name="_Toc129243105"/>
      <w:bookmarkStart w:id="19" w:name="_Toc129243230"/>
      <w:r w:rsidRPr="001C169A">
        <w:t>4.4</w:t>
      </w:r>
      <w:r w:rsidRPr="001C169A">
        <w:tab/>
        <w:t>Specialūs įspėjimai ir atsargumo priemonės</w:t>
      </w:r>
      <w:bookmarkEnd w:id="18"/>
      <w:bookmarkEnd w:id="19"/>
    </w:p>
    <w:p w14:paraId="57AA4243" w14:textId="77777777" w:rsidR="00B830AE" w:rsidRPr="001C169A" w:rsidRDefault="00B830AE" w:rsidP="00B830AE">
      <w:pPr>
        <w:pStyle w:val="BTEMEASMCA"/>
      </w:pPr>
    </w:p>
    <w:p w14:paraId="39BCFB8E" w14:textId="77777777" w:rsidR="00B830AE" w:rsidRPr="001C169A" w:rsidRDefault="00B830AE" w:rsidP="00B830AE">
      <w:pPr>
        <w:pStyle w:val="BTEMEASMCA"/>
      </w:pPr>
      <w:r w:rsidRPr="001C169A">
        <w:t>Bendri įspėjimai ir atsargumo priemonės</w:t>
      </w:r>
    </w:p>
    <w:p w14:paraId="220B40B1" w14:textId="087AC5F1" w:rsidR="00B830AE" w:rsidRPr="001C169A" w:rsidRDefault="00B830AE" w:rsidP="00B830AE">
      <w:pPr>
        <w:pStyle w:val="BTEMEASMCA"/>
      </w:pPr>
      <w:r w:rsidRPr="001C169A">
        <w:t>AXASTROL negalima vartoti moter</w:t>
      </w:r>
      <w:r w:rsidR="001E7339" w:rsidRPr="001C169A">
        <w:t>ims</w:t>
      </w:r>
      <w:r w:rsidRPr="001C169A">
        <w:t>, kurioms menopauzė dar neprasidėjus. Kilus abejonių dėl hormoninės pacientės būklės, biocheminiais tyrimais  (liuteinizuojančio hormono (LH), folikulus stimuliuojančio hormono (FSH), ir/arba estradiolio kiekiai) būtina patikrinti, ar yra menopauzė. Duomenų apie AXASTROL vartojimą kartu su liuteinizuojantį hormoną atpalaiduojančio hormono (LHAH) analogais nėra.</w:t>
      </w:r>
    </w:p>
    <w:p w14:paraId="24BD926E" w14:textId="77777777" w:rsidR="00B830AE" w:rsidRPr="001C169A" w:rsidRDefault="00B830AE" w:rsidP="00B830AE">
      <w:pPr>
        <w:pStyle w:val="BTEMEASMCA"/>
      </w:pPr>
    </w:p>
    <w:p w14:paraId="17A74E6B" w14:textId="77777777" w:rsidR="00B830AE" w:rsidRPr="001C169A" w:rsidRDefault="00B830AE" w:rsidP="00B830AE">
      <w:pPr>
        <w:pStyle w:val="BTEMEASMCA"/>
      </w:pPr>
      <w:r w:rsidRPr="001C169A">
        <w:t>AXASTROL nerekomenduojama vartoti kartu su tamoksifenu ar estrogenų terapija, nes jo farmakologinis poveikis gali sumažėti. (žr. 4.5 ir 5.1 skyrius).</w:t>
      </w:r>
    </w:p>
    <w:p w14:paraId="08782B27" w14:textId="77777777" w:rsidR="00B830AE" w:rsidRPr="001C169A" w:rsidRDefault="00B830AE" w:rsidP="00B830AE">
      <w:pPr>
        <w:pStyle w:val="BTEMEASMCA"/>
      </w:pPr>
    </w:p>
    <w:p w14:paraId="051C2733" w14:textId="77777777" w:rsidR="00B830AE" w:rsidRPr="001C169A" w:rsidRDefault="00B830AE" w:rsidP="00B830AE">
      <w:pPr>
        <w:pStyle w:val="BTEMEASMCA"/>
      </w:pPr>
      <w:r w:rsidRPr="001C169A">
        <w:t>Poveikis kaulų mineralų tankiui</w:t>
      </w:r>
    </w:p>
    <w:p w14:paraId="24189390" w14:textId="77777777" w:rsidR="00B830AE" w:rsidRPr="001C169A" w:rsidRDefault="00B830AE" w:rsidP="00B830AE">
      <w:pPr>
        <w:pStyle w:val="BTEMEASMCA"/>
      </w:pPr>
      <w:r w:rsidRPr="001C169A">
        <w:t>Kadangi AXASTROL mažina cirkuliuojančių estrogenų kiekį, jis gali sukelti kaulų mineralinio tankio sumažėjimą su galima padidėjusia kaulų lūžių rizika (žr. 4.8 skyrių).</w:t>
      </w:r>
    </w:p>
    <w:p w14:paraId="5DE1D274" w14:textId="77777777" w:rsidR="00B830AE" w:rsidRPr="001C169A" w:rsidRDefault="00B830AE" w:rsidP="00B830AE">
      <w:pPr>
        <w:pStyle w:val="BTEMEASMCA"/>
      </w:pPr>
    </w:p>
    <w:p w14:paraId="3B538F7F" w14:textId="77777777" w:rsidR="00B830AE" w:rsidRPr="001C169A" w:rsidRDefault="00B830AE" w:rsidP="00B830AE">
      <w:pPr>
        <w:pStyle w:val="BTEMEASMCA"/>
      </w:pPr>
      <w:r w:rsidRPr="001C169A">
        <w:t>Jei moterys serga osteoporoze arba joms yra šios ligos rizika, tai prieš pradedant gydymą ir reguliariai gydymo metu reikia tirti kaulų mineralų tankį. Prireikus skiriama vaistinių preparatų osteoporozės profilaktikai ar gydymui, atitinkamai stebimas jų poveikis. Specifinio gydymo taikymas, pvz. bisfosfonatais, gali stabdyti tolesnį kaulų mineralinio tankio praradimą, sukeliamą AXASTROL moterims po menopauzės, ir į tai turėtų būti atsižvelgiama (žr. 4.8 skyrių).</w:t>
      </w:r>
    </w:p>
    <w:p w14:paraId="0FB4CF6F" w14:textId="77777777" w:rsidR="00B830AE" w:rsidRPr="001C169A" w:rsidRDefault="00B830AE" w:rsidP="00B830AE">
      <w:pPr>
        <w:pStyle w:val="BTEMEASMCA"/>
      </w:pPr>
    </w:p>
    <w:p w14:paraId="26869610" w14:textId="77777777" w:rsidR="00B830AE" w:rsidRPr="001C169A" w:rsidRDefault="00B830AE" w:rsidP="00B830AE">
      <w:pPr>
        <w:pStyle w:val="BTEMEASMCA"/>
      </w:pPr>
      <w:r w:rsidRPr="001C169A">
        <w:t>Kepenų funkcijos sutrikimas</w:t>
      </w:r>
    </w:p>
    <w:p w14:paraId="1437BB42" w14:textId="77777777" w:rsidR="00B830AE" w:rsidRPr="001C169A" w:rsidRDefault="00B830AE" w:rsidP="00B830AE">
      <w:pPr>
        <w:pStyle w:val="BTEMEASMCA"/>
      </w:pPr>
      <w:r w:rsidRPr="001C169A">
        <w:t>AXASTROL vartojimas nėra ištirtas pacientėms, kurioms yra vidutinio sunkumo ar sunkus kepenų veiklos sutrikimas. Jautrumas anastrozolui gali būti padidėjęs pacientėms turinioms kepenų veiklos sutrikimų (žr. 5.2 skyrių); esant vidutiniam ar sunkiam kepenų veiklos sutrikimui, AXASTROL skirti atsargiai (žr. 4.2 skyrių). Gydymą reikia skirti įvertinus naudos ir rizikos santykį individualiai pacientei.</w:t>
      </w:r>
    </w:p>
    <w:p w14:paraId="3917857B" w14:textId="77777777" w:rsidR="00B830AE" w:rsidRPr="001C169A" w:rsidRDefault="00B830AE" w:rsidP="00B830AE">
      <w:pPr>
        <w:pStyle w:val="BTEMEASMCA"/>
      </w:pPr>
    </w:p>
    <w:p w14:paraId="5668837E" w14:textId="77777777" w:rsidR="00B830AE" w:rsidRPr="001C169A" w:rsidRDefault="00B830AE" w:rsidP="00B830AE">
      <w:pPr>
        <w:pStyle w:val="BTEMEASMCA"/>
      </w:pPr>
      <w:r w:rsidRPr="001C169A">
        <w:t>Inkstų funkcijos sutrikimas</w:t>
      </w:r>
    </w:p>
    <w:p w14:paraId="02896161" w14:textId="77777777" w:rsidR="00B830AE" w:rsidRPr="001C169A" w:rsidRDefault="00B830AE" w:rsidP="00B830AE">
      <w:pPr>
        <w:pStyle w:val="BTEMEASMCA"/>
      </w:pPr>
      <w:r w:rsidRPr="001C169A">
        <w:t>AXASTROL vartojimas nėra ištirtas pacientėms su krūties vėžiu, kurioms yra sunkus inkstų veiklos sutrikimas. Pacientėms, turinčioms sunkių  inkstų veiklos sutrikimų (GRF &lt;30ml/min, žr. 5.2 skyrių), jautrumas anastrozolui nėra padidėjęs; esant sunkiam inkstų veiklos sutrikimui, AXASTROL skirti atsargiai (žr 4.2 skyrių).</w:t>
      </w:r>
    </w:p>
    <w:p w14:paraId="6B69693A" w14:textId="77777777" w:rsidR="00B830AE" w:rsidRPr="001C169A" w:rsidRDefault="00B830AE" w:rsidP="00B830AE">
      <w:pPr>
        <w:pStyle w:val="BTEMEASMCA"/>
      </w:pPr>
    </w:p>
    <w:p w14:paraId="45F6CF9B" w14:textId="77777777" w:rsidR="00B830AE" w:rsidRPr="001C169A" w:rsidRDefault="00B830AE" w:rsidP="00B830AE">
      <w:pPr>
        <w:pStyle w:val="BTEMEASMCA"/>
        <w:rPr>
          <w:u w:val="single"/>
        </w:rPr>
      </w:pPr>
      <w:r w:rsidRPr="001C169A">
        <w:rPr>
          <w:u w:val="single"/>
        </w:rPr>
        <w:t>Vaikų populiacija</w:t>
      </w:r>
    </w:p>
    <w:p w14:paraId="28874FB1" w14:textId="77777777" w:rsidR="00B830AE" w:rsidRPr="001C169A" w:rsidRDefault="00B830AE" w:rsidP="00B830AE">
      <w:pPr>
        <w:pStyle w:val="BTEMEASMCA"/>
      </w:pPr>
      <w:r w:rsidRPr="001C169A">
        <w:t>AXASTROL nerekomenduojama vartoti vaikams ir paaugliams, kadangi duomenys apie saugumą ir veiksmingumą nebuvo ištirti šiai pacientų grupei (žr. 5.1 skyrių).</w:t>
      </w:r>
    </w:p>
    <w:p w14:paraId="6A08FFBB" w14:textId="77777777" w:rsidR="00B830AE" w:rsidRPr="001C169A" w:rsidRDefault="00B830AE" w:rsidP="00B830AE">
      <w:pPr>
        <w:pStyle w:val="BTEMEASMCA"/>
      </w:pPr>
    </w:p>
    <w:p w14:paraId="76479F3E" w14:textId="77777777" w:rsidR="00B830AE" w:rsidRPr="001C169A" w:rsidRDefault="00B830AE" w:rsidP="00B830AE">
      <w:pPr>
        <w:pStyle w:val="Pagrindinistekstas"/>
        <w:spacing w:after="0"/>
        <w:rPr>
          <w:szCs w:val="22"/>
        </w:rPr>
      </w:pPr>
      <w:r w:rsidRPr="001C169A">
        <w:rPr>
          <w:szCs w:val="22"/>
        </w:rPr>
        <w:t xml:space="preserve">AXASTROL negalima vartoti augimo hormono stokojančių berniukų gydymui augimo hormonu papildyti. Pagrindinis klinikinis tyrimas neparodė tokio gydymo veiksmingumo ir neįrodė jo saugumo (žr. 5.1 skyrių). </w:t>
      </w:r>
      <w:proofErr w:type="spellStart"/>
      <w:r w:rsidRPr="001C169A">
        <w:rPr>
          <w:szCs w:val="22"/>
        </w:rPr>
        <w:t>Anastrozolas</w:t>
      </w:r>
      <w:proofErr w:type="spellEnd"/>
      <w:r w:rsidRPr="001C169A">
        <w:rPr>
          <w:szCs w:val="22"/>
        </w:rPr>
        <w:t xml:space="preserve"> mažina </w:t>
      </w:r>
      <w:proofErr w:type="spellStart"/>
      <w:r w:rsidRPr="001C169A">
        <w:rPr>
          <w:szCs w:val="22"/>
        </w:rPr>
        <w:t>estradiolio</w:t>
      </w:r>
      <w:proofErr w:type="spellEnd"/>
      <w:r w:rsidRPr="001C169A">
        <w:rPr>
          <w:szCs w:val="22"/>
        </w:rPr>
        <w:t xml:space="preserve"> koncentraciją, todėl AXASTROL negalima vartoti augimo hormono stokojančių mergaičių gydymui augimo hormonu papildyti. Ilgalaikio vartojimo vaikams ir paaugliams saugumo duomenų nėra.</w:t>
      </w:r>
    </w:p>
    <w:p w14:paraId="34B50675" w14:textId="77777777" w:rsidR="00B830AE" w:rsidRPr="001C169A" w:rsidRDefault="00B830AE" w:rsidP="00B830AE">
      <w:pPr>
        <w:pStyle w:val="BTEMEASMCA"/>
      </w:pPr>
    </w:p>
    <w:p w14:paraId="1FC596F0" w14:textId="77777777" w:rsidR="00B830AE" w:rsidRPr="00C60E76" w:rsidRDefault="00B830AE" w:rsidP="00B830AE">
      <w:pPr>
        <w:pStyle w:val="BTEMEASMCA"/>
        <w:rPr>
          <w:u w:val="single"/>
        </w:rPr>
      </w:pPr>
      <w:r w:rsidRPr="00C60E76">
        <w:rPr>
          <w:u w:val="single"/>
        </w:rPr>
        <w:t>Padidėjęs jautrumas laktozei</w:t>
      </w:r>
    </w:p>
    <w:p w14:paraId="7A3C4642" w14:textId="24E72770" w:rsidR="00B830AE" w:rsidRPr="001C169A" w:rsidRDefault="00B830AE" w:rsidP="00B830AE">
      <w:pPr>
        <w:pStyle w:val="BTEMEASMCA"/>
      </w:pPr>
      <w:r w:rsidRPr="001C169A">
        <w:t>AXASTROL sudėtyje yra laktozės. Šio vaist</w:t>
      </w:r>
      <w:r w:rsidR="00D27185" w:rsidRPr="00052FCA">
        <w:t>inio preparato</w:t>
      </w:r>
      <w:r w:rsidRPr="00A23BF7">
        <w:t xml:space="preserve"> negalima vartoti pacientams, kuriems nustatytas retas paveldimas </w:t>
      </w:r>
      <w:r w:rsidR="00D27185" w:rsidRPr="001C169A">
        <w:t xml:space="preserve">sutrikimas - </w:t>
      </w:r>
      <w:r w:rsidRPr="001C169A">
        <w:t xml:space="preserve">galaktozės netoleravimas, </w:t>
      </w:r>
      <w:r w:rsidR="00D27185" w:rsidRPr="001C169A">
        <w:t xml:space="preserve">visiškas </w:t>
      </w:r>
      <w:r w:rsidRPr="001C169A">
        <w:t>lakt</w:t>
      </w:r>
      <w:r w:rsidR="00D27185" w:rsidRPr="001C169A">
        <w:t>azės</w:t>
      </w:r>
      <w:r w:rsidRPr="001C169A">
        <w:t xml:space="preserve"> </w:t>
      </w:r>
      <w:r w:rsidR="00D27185" w:rsidRPr="001C169A">
        <w:t>stygius</w:t>
      </w:r>
      <w:r w:rsidRPr="001C169A">
        <w:t xml:space="preserve"> ir galaktozės malabsorbcija.</w:t>
      </w:r>
    </w:p>
    <w:p w14:paraId="75604058" w14:textId="77777777" w:rsidR="00B830AE" w:rsidRPr="001C169A" w:rsidRDefault="00B830AE" w:rsidP="00B830AE">
      <w:pPr>
        <w:pStyle w:val="BTEMEASMCA"/>
      </w:pPr>
    </w:p>
    <w:p w14:paraId="08915F3E" w14:textId="77777777" w:rsidR="00B830AE" w:rsidRPr="001C169A" w:rsidRDefault="00B830AE" w:rsidP="00B830AE">
      <w:pPr>
        <w:pStyle w:val="PI-2EMEASMCA"/>
      </w:pPr>
      <w:bookmarkStart w:id="20" w:name="_Toc129243106"/>
      <w:bookmarkStart w:id="21" w:name="_Toc129243231"/>
      <w:r w:rsidRPr="001C169A">
        <w:t>4.5</w:t>
      </w:r>
      <w:r w:rsidRPr="001C169A">
        <w:tab/>
        <w:t>Sąveika su kitais vaistiniais preparatais ir kitokia sąveika</w:t>
      </w:r>
      <w:bookmarkEnd w:id="20"/>
      <w:bookmarkEnd w:id="21"/>
    </w:p>
    <w:p w14:paraId="4BFF76F5" w14:textId="77777777" w:rsidR="00B830AE" w:rsidRPr="001C169A" w:rsidRDefault="00B830AE" w:rsidP="00B830AE">
      <w:pPr>
        <w:pStyle w:val="BTEMEASMCA"/>
      </w:pPr>
    </w:p>
    <w:p w14:paraId="22838001" w14:textId="77777777" w:rsidR="00B830AE" w:rsidRPr="001C169A" w:rsidRDefault="00B830AE" w:rsidP="00B830AE">
      <w:pPr>
        <w:pStyle w:val="Pagrindinistekstas"/>
        <w:spacing w:after="0"/>
        <w:rPr>
          <w:szCs w:val="22"/>
        </w:rPr>
      </w:pPr>
      <w:proofErr w:type="spellStart"/>
      <w:r w:rsidRPr="001C169A">
        <w:rPr>
          <w:szCs w:val="22"/>
        </w:rPr>
        <w:t>Anastrozolas</w:t>
      </w:r>
      <w:proofErr w:type="spellEnd"/>
      <w:r w:rsidRPr="001C169A">
        <w:rPr>
          <w:szCs w:val="22"/>
        </w:rPr>
        <w:t xml:space="preserve"> </w:t>
      </w:r>
      <w:proofErr w:type="spellStart"/>
      <w:r w:rsidRPr="001C169A">
        <w:rPr>
          <w:i/>
          <w:szCs w:val="22"/>
        </w:rPr>
        <w:t>in</w:t>
      </w:r>
      <w:proofErr w:type="spellEnd"/>
      <w:r w:rsidRPr="001C169A">
        <w:rPr>
          <w:i/>
          <w:szCs w:val="22"/>
        </w:rPr>
        <w:t xml:space="preserve"> </w:t>
      </w:r>
      <w:proofErr w:type="spellStart"/>
      <w:r w:rsidRPr="001C169A">
        <w:rPr>
          <w:i/>
          <w:szCs w:val="22"/>
        </w:rPr>
        <w:t>vitro</w:t>
      </w:r>
      <w:proofErr w:type="spellEnd"/>
      <w:r w:rsidRPr="001C169A">
        <w:rPr>
          <w:szCs w:val="22"/>
        </w:rPr>
        <w:t xml:space="preserve"> </w:t>
      </w:r>
      <w:proofErr w:type="spellStart"/>
      <w:r w:rsidRPr="001C169A">
        <w:rPr>
          <w:szCs w:val="22"/>
        </w:rPr>
        <w:t>inhibuoja</w:t>
      </w:r>
      <w:proofErr w:type="spellEnd"/>
      <w:r w:rsidRPr="001C169A">
        <w:rPr>
          <w:szCs w:val="22"/>
        </w:rPr>
        <w:t xml:space="preserve"> CYP 1A2, 2C8/9 ir 3A4. Klinikiniai tyrimai su </w:t>
      </w:r>
      <w:proofErr w:type="spellStart"/>
      <w:r w:rsidRPr="001C169A">
        <w:rPr>
          <w:szCs w:val="22"/>
        </w:rPr>
        <w:t>antipirinu</w:t>
      </w:r>
      <w:proofErr w:type="spellEnd"/>
      <w:r w:rsidRPr="001C169A">
        <w:rPr>
          <w:szCs w:val="22"/>
        </w:rPr>
        <w:t xml:space="preserve"> ir </w:t>
      </w:r>
      <w:proofErr w:type="spellStart"/>
      <w:r w:rsidRPr="001C169A">
        <w:rPr>
          <w:szCs w:val="22"/>
        </w:rPr>
        <w:t>varfarinu</w:t>
      </w:r>
      <w:proofErr w:type="spellEnd"/>
      <w:r w:rsidRPr="001C169A">
        <w:rPr>
          <w:szCs w:val="22"/>
        </w:rPr>
        <w:t xml:space="preserve"> parodė, kad 1 mg </w:t>
      </w:r>
      <w:proofErr w:type="spellStart"/>
      <w:r w:rsidRPr="001C169A">
        <w:rPr>
          <w:szCs w:val="22"/>
        </w:rPr>
        <w:t>anastrozolo</w:t>
      </w:r>
      <w:proofErr w:type="spellEnd"/>
      <w:r w:rsidRPr="001C169A">
        <w:rPr>
          <w:szCs w:val="22"/>
        </w:rPr>
        <w:t xml:space="preserve"> dozė neturėjo reikšmingo poveikio </w:t>
      </w:r>
      <w:proofErr w:type="spellStart"/>
      <w:r w:rsidRPr="001C169A">
        <w:rPr>
          <w:szCs w:val="22"/>
        </w:rPr>
        <w:t>antipirino</w:t>
      </w:r>
      <w:proofErr w:type="spellEnd"/>
      <w:r w:rsidRPr="001C169A">
        <w:rPr>
          <w:szCs w:val="22"/>
        </w:rPr>
        <w:t xml:space="preserve"> ir R- ir S-</w:t>
      </w:r>
      <w:proofErr w:type="spellStart"/>
      <w:r w:rsidRPr="001C169A">
        <w:rPr>
          <w:szCs w:val="22"/>
        </w:rPr>
        <w:t>varfarino</w:t>
      </w:r>
      <w:proofErr w:type="spellEnd"/>
      <w:r w:rsidRPr="001C169A">
        <w:rPr>
          <w:szCs w:val="22"/>
        </w:rPr>
        <w:t xml:space="preserve"> </w:t>
      </w:r>
      <w:r w:rsidRPr="001C169A">
        <w:rPr>
          <w:szCs w:val="22"/>
        </w:rPr>
        <w:lastRenderedPageBreak/>
        <w:t xml:space="preserve">metabolizmo </w:t>
      </w:r>
      <w:proofErr w:type="spellStart"/>
      <w:r w:rsidRPr="001C169A">
        <w:rPr>
          <w:szCs w:val="22"/>
        </w:rPr>
        <w:t>inhibavimui</w:t>
      </w:r>
      <w:proofErr w:type="spellEnd"/>
      <w:r w:rsidRPr="001C169A">
        <w:rPr>
          <w:szCs w:val="22"/>
        </w:rPr>
        <w:t>, tad  AXASTROL vartojant kartu su kitais vaistais, kliniškai reikšminga vaistinių preparatų sąveika, susijusi su CYP fermentais nėra tikėtina.</w:t>
      </w:r>
    </w:p>
    <w:p w14:paraId="29D26887" w14:textId="77777777" w:rsidR="00B830AE" w:rsidRPr="001C169A" w:rsidRDefault="00B830AE" w:rsidP="00B830AE">
      <w:pPr>
        <w:pStyle w:val="Pagrindinistekstas"/>
        <w:spacing w:after="0"/>
        <w:rPr>
          <w:szCs w:val="22"/>
        </w:rPr>
      </w:pPr>
    </w:p>
    <w:p w14:paraId="0800C56F" w14:textId="77777777" w:rsidR="00B830AE" w:rsidRPr="001C169A" w:rsidRDefault="00B830AE" w:rsidP="00B830AE">
      <w:pPr>
        <w:pStyle w:val="Pagrindinistekstas"/>
        <w:spacing w:after="0"/>
        <w:rPr>
          <w:szCs w:val="22"/>
        </w:rPr>
      </w:pPr>
      <w:proofErr w:type="spellStart"/>
      <w:r w:rsidRPr="001C169A">
        <w:rPr>
          <w:szCs w:val="22"/>
        </w:rPr>
        <w:t>Anastrozolo</w:t>
      </w:r>
      <w:proofErr w:type="spellEnd"/>
      <w:r w:rsidRPr="001C169A">
        <w:rPr>
          <w:szCs w:val="22"/>
        </w:rPr>
        <w:t xml:space="preserve"> metabolizmą reguliuojantys fermentai nėra nustatyti. </w:t>
      </w:r>
      <w:proofErr w:type="spellStart"/>
      <w:r w:rsidRPr="001C169A">
        <w:rPr>
          <w:szCs w:val="22"/>
        </w:rPr>
        <w:t>Cimetidinas</w:t>
      </w:r>
      <w:proofErr w:type="spellEnd"/>
      <w:r w:rsidRPr="001C169A">
        <w:rPr>
          <w:szCs w:val="22"/>
        </w:rPr>
        <w:t xml:space="preserve">, silpnas nespecifinis CYP fermentų inhibitorius, neturėjo poveikio </w:t>
      </w:r>
      <w:proofErr w:type="spellStart"/>
      <w:r w:rsidRPr="001C169A">
        <w:rPr>
          <w:szCs w:val="22"/>
        </w:rPr>
        <w:t>anastrozolo</w:t>
      </w:r>
      <w:proofErr w:type="spellEnd"/>
      <w:r w:rsidRPr="001C169A">
        <w:rPr>
          <w:szCs w:val="22"/>
        </w:rPr>
        <w:t xml:space="preserve"> koncentracijai plazmoje. Stiprių CYP inhibitorių poveikis nežinomas.</w:t>
      </w:r>
    </w:p>
    <w:p w14:paraId="20A2E441" w14:textId="77777777" w:rsidR="00B830AE" w:rsidRPr="001C169A" w:rsidRDefault="00B830AE" w:rsidP="00B830AE">
      <w:pPr>
        <w:pStyle w:val="Pagrindinistekstas"/>
        <w:spacing w:after="0"/>
        <w:rPr>
          <w:szCs w:val="22"/>
        </w:rPr>
      </w:pPr>
    </w:p>
    <w:p w14:paraId="241B5C8B" w14:textId="77777777" w:rsidR="00B830AE" w:rsidRPr="001C169A" w:rsidRDefault="00B830AE" w:rsidP="00B830AE">
      <w:pPr>
        <w:pStyle w:val="Pagrindinistekstas"/>
        <w:spacing w:after="0"/>
        <w:rPr>
          <w:szCs w:val="22"/>
        </w:rPr>
      </w:pPr>
      <w:r w:rsidRPr="001C169A">
        <w:rPr>
          <w:szCs w:val="22"/>
        </w:rPr>
        <w:t xml:space="preserve">Peržiūrėjus klinikinių tyrimų metu gautus </w:t>
      </w:r>
      <w:proofErr w:type="spellStart"/>
      <w:r w:rsidRPr="001C169A">
        <w:rPr>
          <w:szCs w:val="22"/>
        </w:rPr>
        <w:t>anastrozolo</w:t>
      </w:r>
      <w:proofErr w:type="spellEnd"/>
      <w:r w:rsidRPr="001C169A">
        <w:rPr>
          <w:szCs w:val="22"/>
        </w:rPr>
        <w:t xml:space="preserve"> saugumo duomenis, kliniškai reikšmingą jo sąvei</w:t>
      </w:r>
      <w:r w:rsidRPr="001C169A">
        <w:rPr>
          <w:szCs w:val="22"/>
        </w:rPr>
        <w:softHyphen/>
        <w:t>ką su ki</w:t>
      </w:r>
      <w:r w:rsidRPr="001C169A">
        <w:rPr>
          <w:szCs w:val="22"/>
        </w:rPr>
        <w:softHyphen/>
        <w:t xml:space="preserve">tais dažnai išrašomais vaistiniais preparatais rodančių duomenų nerasta. Kliniškai reikšmingos sąveikos su </w:t>
      </w:r>
      <w:proofErr w:type="spellStart"/>
      <w:r w:rsidRPr="001C169A">
        <w:rPr>
          <w:szCs w:val="22"/>
        </w:rPr>
        <w:t>bisfosfonatais</w:t>
      </w:r>
      <w:proofErr w:type="spellEnd"/>
      <w:r w:rsidRPr="001C169A">
        <w:rPr>
          <w:szCs w:val="22"/>
        </w:rPr>
        <w:t xml:space="preserve"> nėra (žr. 5.1 skyrių).</w:t>
      </w:r>
    </w:p>
    <w:p w14:paraId="48BA0C8C" w14:textId="77777777" w:rsidR="00B830AE" w:rsidRPr="001C169A" w:rsidRDefault="00B830AE" w:rsidP="00B830AE">
      <w:pPr>
        <w:pStyle w:val="BTEMEASMCA"/>
      </w:pPr>
    </w:p>
    <w:p w14:paraId="24803EB6" w14:textId="77777777" w:rsidR="00B830AE" w:rsidRPr="001C169A" w:rsidRDefault="00B830AE" w:rsidP="00B830AE">
      <w:pPr>
        <w:pStyle w:val="Pagrindinistekstas"/>
        <w:spacing w:after="0"/>
        <w:rPr>
          <w:szCs w:val="22"/>
        </w:rPr>
      </w:pPr>
      <w:r w:rsidRPr="001C169A">
        <w:rPr>
          <w:szCs w:val="22"/>
        </w:rPr>
        <w:t xml:space="preserve">Vartojant AXASTROL nepatartina kartu skirti </w:t>
      </w:r>
      <w:proofErr w:type="spellStart"/>
      <w:r w:rsidRPr="001C169A">
        <w:rPr>
          <w:szCs w:val="22"/>
        </w:rPr>
        <w:t>tamoksifeno</w:t>
      </w:r>
      <w:proofErr w:type="spellEnd"/>
      <w:r w:rsidRPr="001C169A">
        <w:rPr>
          <w:szCs w:val="22"/>
        </w:rPr>
        <w:t xml:space="preserve"> ar gydymo estrogenais, nes tai gali sumažinti jo farmakologinį poveikį (žr. 4.4 ir 5.1 skyrių).</w:t>
      </w:r>
    </w:p>
    <w:p w14:paraId="66F29C83" w14:textId="77777777" w:rsidR="00B830AE" w:rsidRPr="001C169A" w:rsidRDefault="00B830AE" w:rsidP="00B830AE">
      <w:pPr>
        <w:pStyle w:val="BTEMEASMCA"/>
      </w:pPr>
    </w:p>
    <w:p w14:paraId="046B49FA" w14:textId="77777777" w:rsidR="00B830AE" w:rsidRPr="001C169A" w:rsidRDefault="00B830AE" w:rsidP="00B830AE">
      <w:pPr>
        <w:pStyle w:val="PI-2EMEASMCA"/>
      </w:pPr>
      <w:bookmarkStart w:id="22" w:name="_Toc129243107"/>
      <w:bookmarkStart w:id="23" w:name="_Toc129243232"/>
      <w:r w:rsidRPr="001C169A">
        <w:t>4.6</w:t>
      </w:r>
      <w:r w:rsidRPr="001C169A">
        <w:tab/>
        <w:t>Vaisingumas, nėštumo ir žindymo laikotarpis</w:t>
      </w:r>
      <w:bookmarkEnd w:id="22"/>
      <w:bookmarkEnd w:id="23"/>
    </w:p>
    <w:p w14:paraId="23019D04" w14:textId="77777777" w:rsidR="00B830AE" w:rsidRPr="001C169A" w:rsidRDefault="00B830AE" w:rsidP="00B830AE">
      <w:pPr>
        <w:pStyle w:val="BTEMEASMCA"/>
      </w:pPr>
    </w:p>
    <w:p w14:paraId="0FF167D7" w14:textId="77777777" w:rsidR="00B830AE" w:rsidRPr="001C169A" w:rsidRDefault="00B830AE" w:rsidP="00B830AE">
      <w:pPr>
        <w:pStyle w:val="Pagrindinistekstas"/>
        <w:spacing w:after="0"/>
        <w:rPr>
          <w:szCs w:val="22"/>
          <w:u w:val="single"/>
        </w:rPr>
      </w:pPr>
      <w:r w:rsidRPr="001C169A">
        <w:rPr>
          <w:szCs w:val="22"/>
          <w:u w:val="single"/>
        </w:rPr>
        <w:t>Nėštumas</w:t>
      </w:r>
    </w:p>
    <w:p w14:paraId="3B295E39" w14:textId="77777777" w:rsidR="00B830AE" w:rsidRPr="001C169A" w:rsidRDefault="00B830AE" w:rsidP="00B830AE">
      <w:pPr>
        <w:pStyle w:val="Pagrindinistekstas"/>
        <w:spacing w:after="0"/>
        <w:rPr>
          <w:szCs w:val="22"/>
        </w:rPr>
      </w:pPr>
      <w:r w:rsidRPr="001C169A">
        <w:rPr>
          <w:szCs w:val="22"/>
        </w:rPr>
        <w:t>Nėra duomenų apie AXASTROL vartojimą nėštumo metu. Su gyvūnais atlikti tyrimai parodė toksinį poveikį reprodukcijai (žr. 5.3 skyrių). Nėštumo metu nėščiosioms ir žindyvėms AXASTROL vartoti negalima (žr. 4.3 skyrių).</w:t>
      </w:r>
    </w:p>
    <w:p w14:paraId="3D10969C" w14:textId="77777777" w:rsidR="00B830AE" w:rsidRPr="001C169A" w:rsidRDefault="00B830AE" w:rsidP="00B830AE">
      <w:pPr>
        <w:pStyle w:val="Pagrindinistekstas"/>
        <w:spacing w:after="0"/>
        <w:rPr>
          <w:szCs w:val="22"/>
        </w:rPr>
      </w:pPr>
    </w:p>
    <w:p w14:paraId="406EB9B6" w14:textId="77777777" w:rsidR="00B830AE" w:rsidRPr="001C169A" w:rsidRDefault="00B830AE" w:rsidP="00B830AE">
      <w:pPr>
        <w:pStyle w:val="Pagrindinistekstas"/>
        <w:spacing w:after="0"/>
        <w:rPr>
          <w:szCs w:val="22"/>
          <w:u w:val="single"/>
        </w:rPr>
      </w:pPr>
      <w:r w:rsidRPr="001C169A">
        <w:rPr>
          <w:szCs w:val="22"/>
          <w:u w:val="single"/>
        </w:rPr>
        <w:t>Žindymas</w:t>
      </w:r>
    </w:p>
    <w:p w14:paraId="72D74931" w14:textId="77777777" w:rsidR="00B830AE" w:rsidRPr="001C169A" w:rsidRDefault="00B830AE" w:rsidP="00B830AE">
      <w:pPr>
        <w:pStyle w:val="Pagrindinistekstas"/>
        <w:spacing w:after="0"/>
        <w:rPr>
          <w:szCs w:val="22"/>
        </w:rPr>
      </w:pPr>
      <w:r w:rsidRPr="001C169A">
        <w:rPr>
          <w:szCs w:val="22"/>
        </w:rPr>
        <w:t>Nėra duomenų apie AXASTROL vartojimą žindymo laikotarpiu. AXASTROL vartoti žindymo metu negalima (žr. 4.3 skyrių).</w:t>
      </w:r>
    </w:p>
    <w:p w14:paraId="481FC0FB" w14:textId="77777777" w:rsidR="00B830AE" w:rsidRPr="001C169A" w:rsidRDefault="00B830AE" w:rsidP="00B830AE">
      <w:pPr>
        <w:pStyle w:val="Pagrindinistekstas"/>
        <w:spacing w:after="0"/>
        <w:rPr>
          <w:szCs w:val="22"/>
        </w:rPr>
      </w:pPr>
    </w:p>
    <w:p w14:paraId="053B317B" w14:textId="77777777" w:rsidR="00B830AE" w:rsidRPr="001C169A" w:rsidRDefault="00B830AE" w:rsidP="00B830AE">
      <w:pPr>
        <w:pStyle w:val="Pagrindinistekstas"/>
        <w:spacing w:after="0"/>
        <w:rPr>
          <w:szCs w:val="22"/>
          <w:u w:val="single"/>
        </w:rPr>
      </w:pPr>
      <w:r w:rsidRPr="001C169A">
        <w:rPr>
          <w:szCs w:val="22"/>
          <w:u w:val="single"/>
        </w:rPr>
        <w:t>Vaisingumas</w:t>
      </w:r>
    </w:p>
    <w:p w14:paraId="4AE5FC6C" w14:textId="77777777" w:rsidR="00B830AE" w:rsidRPr="001C169A" w:rsidRDefault="00B830AE" w:rsidP="00B830AE">
      <w:pPr>
        <w:pStyle w:val="Pagrindinistekstas"/>
        <w:spacing w:after="0"/>
        <w:rPr>
          <w:szCs w:val="22"/>
        </w:rPr>
      </w:pPr>
      <w:r w:rsidRPr="001C169A">
        <w:rPr>
          <w:szCs w:val="22"/>
        </w:rPr>
        <w:t>AXASTROL poveikis žmonių vaisingumui nėra ištirtas. Tyrimai su gyvūnais parodė toksinį poveikį reprodukcijai (žr. 5.3 skyrių).</w:t>
      </w:r>
    </w:p>
    <w:p w14:paraId="741192AC" w14:textId="77777777" w:rsidR="00B830AE" w:rsidRPr="001C169A" w:rsidRDefault="00B830AE" w:rsidP="00B830AE">
      <w:pPr>
        <w:pStyle w:val="BTEMEASMCA"/>
      </w:pPr>
    </w:p>
    <w:p w14:paraId="6134CFB6" w14:textId="77777777" w:rsidR="00B830AE" w:rsidRPr="001C169A" w:rsidRDefault="00B830AE" w:rsidP="00B830AE">
      <w:pPr>
        <w:pStyle w:val="PI-2EMEASMCA"/>
      </w:pPr>
      <w:bookmarkStart w:id="24" w:name="_Toc129243108"/>
      <w:bookmarkStart w:id="25" w:name="_Toc129243233"/>
      <w:r w:rsidRPr="001C169A">
        <w:t>4.7</w:t>
      </w:r>
      <w:r w:rsidRPr="001C169A">
        <w:tab/>
        <w:t>Poveikis gebėjimui vairuoti ir valdyti mechanizmus</w:t>
      </w:r>
      <w:bookmarkEnd w:id="24"/>
      <w:bookmarkEnd w:id="25"/>
    </w:p>
    <w:p w14:paraId="42116371" w14:textId="77777777" w:rsidR="00B830AE" w:rsidRPr="001C169A" w:rsidRDefault="00B830AE" w:rsidP="00B830AE">
      <w:pPr>
        <w:pStyle w:val="BTEMEASMCA"/>
      </w:pPr>
    </w:p>
    <w:p w14:paraId="3020B63A" w14:textId="77777777" w:rsidR="00B830AE" w:rsidRPr="001C169A" w:rsidRDefault="00B830AE" w:rsidP="00B830AE">
      <w:pPr>
        <w:pStyle w:val="BTEMEASMCA"/>
      </w:pPr>
      <w:r w:rsidRPr="001C169A">
        <w:t xml:space="preserve">AXASTROL gebėjimo vairuoti ir valdyti mechanizmus neveikia, arba veikia nereikšmingai. Gauta pranešimų, kad vartojant anastrozolo pasireiškia astenija ir mieguistumas, todėl reikia atkreipti dėmesį vairuojant ar valdant mechanizmus, kol simptomai išlieka. </w:t>
      </w:r>
    </w:p>
    <w:p w14:paraId="71FB902E" w14:textId="77777777" w:rsidR="00B830AE" w:rsidRPr="001C169A" w:rsidRDefault="00B830AE" w:rsidP="00B830AE">
      <w:pPr>
        <w:pStyle w:val="BTEMEASMCA"/>
      </w:pPr>
    </w:p>
    <w:p w14:paraId="5AD72EFE" w14:textId="77777777" w:rsidR="00B830AE" w:rsidRPr="001C169A" w:rsidRDefault="00B830AE" w:rsidP="00B830AE">
      <w:pPr>
        <w:pStyle w:val="PI-2EMEASMCA"/>
      </w:pPr>
      <w:bookmarkStart w:id="26" w:name="_Toc129243109"/>
      <w:bookmarkStart w:id="27" w:name="_Toc129243234"/>
      <w:r w:rsidRPr="001C169A">
        <w:t>4.8</w:t>
      </w:r>
      <w:r w:rsidRPr="001C169A">
        <w:tab/>
        <w:t>Nepageidaujamas poveikis</w:t>
      </w:r>
      <w:bookmarkEnd w:id="26"/>
      <w:bookmarkEnd w:id="27"/>
    </w:p>
    <w:p w14:paraId="0C32B0E6" w14:textId="77777777" w:rsidR="00B830AE" w:rsidRPr="001C169A" w:rsidRDefault="00B830AE" w:rsidP="00B830AE">
      <w:pPr>
        <w:pStyle w:val="PI-2EMEASMCA"/>
      </w:pPr>
    </w:p>
    <w:p w14:paraId="0FB92D3E" w14:textId="77777777" w:rsidR="00B830AE" w:rsidRPr="001C169A" w:rsidRDefault="00B830AE" w:rsidP="00B830AE">
      <w:pPr>
        <w:pStyle w:val="BTEMEASMCA"/>
      </w:pPr>
      <w:r w:rsidRPr="001C169A">
        <w:t>Lentelėje pateikti nepageidaujami poveikiai, pasireiškę klinikinių tyrimų, poregistracinių tyrimų, ar savanoriškų pranešimų metu. Jeigu žemiau nepatikslinta, tai išvardytoms dažnio kategorijoms nepageidaujami reiškiniai priskirti pagal apskaičiavimus, padarytus remiantis plataus III fazės tyrimo duomenimis. Į tą tyrimą buvo įtrauktos 9366 tinkamu operuoti krūties vėžiu sirgusios moterys po menopauzės, kurioms buvo skirtas adjuvantinis gydymas 5 metus (Arimidex, Tamoxifen tyrimas, vartojant juos kartu arba atskirai (ATAC)).</w:t>
      </w:r>
    </w:p>
    <w:p w14:paraId="4E095427" w14:textId="77777777" w:rsidR="00B830AE" w:rsidRPr="001C169A" w:rsidRDefault="00B830AE" w:rsidP="00B830AE">
      <w:pPr>
        <w:pStyle w:val="BTEMEASMCA"/>
      </w:pPr>
    </w:p>
    <w:p w14:paraId="56EE3196" w14:textId="08BE589B" w:rsidR="00B830AE" w:rsidRPr="001C169A" w:rsidRDefault="00B830AE" w:rsidP="00B830AE">
      <w:pPr>
        <w:pStyle w:val="BTEMEASMCA"/>
      </w:pPr>
      <w:r w:rsidRPr="001C169A">
        <w:t>Žemiau išvardytas nepageidaujamas poveikis suklasifikuotas pagal organų sistemų klases. Nepageidaujamo poveikio dažnis apibūdinamas taip: labai dažnas (≥ 1/10), dažnas (nuo ≥ 1/100 iki &lt; 1/10), nedažnas (nuo ≥ 1/1000 iki &lt; 1/100), retas (nuo ≥ 1/10000 iki &lt; 1/1000), labai retas (&lt; 1/10000) ir nežinomas (negali būti apskaičiuotas pagal turimus duomenis). Dažniausiai pranešami nepageidaujami poveikiai yra galvos skausmas, karščio pylimas, pykinimas, bėrimas, sąnarių skausmas, sąnarių stingimas, artritas ir astenija.</w:t>
      </w:r>
    </w:p>
    <w:p w14:paraId="0AF12408" w14:textId="77777777" w:rsidR="00B830AE" w:rsidRPr="001C169A" w:rsidRDefault="00B830AE" w:rsidP="00B830AE">
      <w:pPr>
        <w:pStyle w:val="BTEMEASMCA"/>
      </w:pPr>
    </w:p>
    <w:p w14:paraId="600006E5" w14:textId="77777777" w:rsidR="00B830AE" w:rsidRPr="001C169A" w:rsidRDefault="00B830AE" w:rsidP="00B830AE">
      <w:pPr>
        <w:pStyle w:val="BTEMEASMCA"/>
      </w:pPr>
      <w:r w:rsidRPr="001C169A">
        <w:t>1 lentelė. Nepageidaujami poveikiai pagal MedDRA Organų Sistemų Klasę ir dažnumą</w:t>
      </w:r>
    </w:p>
    <w:p w14:paraId="7C155DAC" w14:textId="77777777" w:rsidR="00B830AE" w:rsidRPr="001C169A" w:rsidRDefault="00B830AE" w:rsidP="00B830AE">
      <w:pPr>
        <w:pStyle w:val="BTEMEASMCA"/>
      </w:pPr>
    </w:p>
    <w:tbl>
      <w:tblPr>
        <w:tblW w:w="8291" w:type="dxa"/>
        <w:tblInd w:w="817" w:type="dxa"/>
        <w:tblLook w:val="0000" w:firstRow="0" w:lastRow="0" w:firstColumn="0" w:lastColumn="0" w:noHBand="0" w:noVBand="0"/>
      </w:tblPr>
      <w:tblGrid>
        <w:gridCol w:w="2171"/>
        <w:gridCol w:w="1656"/>
        <w:gridCol w:w="4464"/>
      </w:tblGrid>
      <w:tr w:rsidR="00B830AE" w:rsidRPr="001C169A" w14:paraId="04885F1C" w14:textId="77777777" w:rsidTr="00C60E76">
        <w:trPr>
          <w:trHeight w:val="310"/>
        </w:trPr>
        <w:tc>
          <w:tcPr>
            <w:tcW w:w="2171" w:type="dxa"/>
            <w:tcBorders>
              <w:top w:val="single" w:sz="4" w:space="0" w:color="000000"/>
              <w:left w:val="single" w:sz="4" w:space="0" w:color="000000"/>
              <w:right w:val="single" w:sz="4" w:space="0" w:color="000000"/>
            </w:tcBorders>
          </w:tcPr>
          <w:p w14:paraId="5AB7918F" w14:textId="77777777" w:rsidR="00B830AE" w:rsidRPr="001C169A" w:rsidRDefault="00B830AE" w:rsidP="005E1763">
            <w:pPr>
              <w:pStyle w:val="Default"/>
              <w:rPr>
                <w:sz w:val="22"/>
                <w:szCs w:val="22"/>
                <w:u w:val="single"/>
                <w:lang w:val="lt-LT"/>
              </w:rPr>
            </w:pPr>
            <w:r w:rsidRPr="001C169A">
              <w:rPr>
                <w:b/>
                <w:bCs/>
                <w:sz w:val="22"/>
                <w:szCs w:val="22"/>
                <w:u w:val="single"/>
                <w:lang w:val="lt-LT"/>
              </w:rPr>
              <w:t>Organų sistemos klasė</w:t>
            </w:r>
          </w:p>
        </w:tc>
        <w:tc>
          <w:tcPr>
            <w:tcW w:w="1656" w:type="dxa"/>
            <w:tcBorders>
              <w:top w:val="single" w:sz="4" w:space="0" w:color="000000"/>
              <w:left w:val="single" w:sz="4" w:space="0" w:color="000000"/>
              <w:right w:val="single" w:sz="4" w:space="0" w:color="000000"/>
            </w:tcBorders>
          </w:tcPr>
          <w:p w14:paraId="4F580160" w14:textId="77777777" w:rsidR="00B830AE" w:rsidRPr="001C169A" w:rsidRDefault="00B830AE" w:rsidP="005E1763">
            <w:pPr>
              <w:pStyle w:val="Default"/>
              <w:rPr>
                <w:sz w:val="22"/>
                <w:szCs w:val="22"/>
                <w:u w:val="single"/>
                <w:lang w:val="lt-LT"/>
              </w:rPr>
            </w:pPr>
            <w:r w:rsidRPr="001C169A">
              <w:rPr>
                <w:b/>
                <w:bCs/>
                <w:sz w:val="22"/>
                <w:szCs w:val="22"/>
                <w:u w:val="single"/>
                <w:lang w:val="lt-LT"/>
              </w:rPr>
              <w:t>Dažnis</w:t>
            </w:r>
          </w:p>
        </w:tc>
        <w:tc>
          <w:tcPr>
            <w:tcW w:w="4464" w:type="dxa"/>
            <w:tcBorders>
              <w:top w:val="single" w:sz="4" w:space="0" w:color="000000"/>
              <w:left w:val="single" w:sz="4" w:space="0" w:color="000000"/>
              <w:right w:val="single" w:sz="4" w:space="0" w:color="000000"/>
            </w:tcBorders>
          </w:tcPr>
          <w:p w14:paraId="7E39A553" w14:textId="77777777" w:rsidR="00B830AE" w:rsidRPr="001C169A" w:rsidRDefault="00B830AE" w:rsidP="005E1763">
            <w:pPr>
              <w:pStyle w:val="Default"/>
              <w:rPr>
                <w:sz w:val="22"/>
                <w:szCs w:val="22"/>
                <w:u w:val="single"/>
                <w:lang w:val="lt-LT"/>
              </w:rPr>
            </w:pPr>
            <w:r w:rsidRPr="001C169A">
              <w:rPr>
                <w:b/>
                <w:bCs/>
                <w:sz w:val="22"/>
                <w:szCs w:val="22"/>
                <w:u w:val="single"/>
                <w:lang w:val="lt-LT"/>
              </w:rPr>
              <w:t>Nepageidaujama reakcija</w:t>
            </w:r>
          </w:p>
        </w:tc>
      </w:tr>
      <w:tr w:rsidR="00B830AE" w:rsidRPr="001C169A" w14:paraId="502A7A1F" w14:textId="77777777" w:rsidTr="00C60E76">
        <w:trPr>
          <w:trHeight w:val="80"/>
        </w:trPr>
        <w:tc>
          <w:tcPr>
            <w:tcW w:w="2171" w:type="dxa"/>
            <w:tcBorders>
              <w:left w:val="single" w:sz="4" w:space="0" w:color="000000"/>
              <w:bottom w:val="single" w:sz="4" w:space="0" w:color="000000"/>
              <w:right w:val="single" w:sz="4" w:space="0" w:color="000000"/>
            </w:tcBorders>
          </w:tcPr>
          <w:p w14:paraId="7EB575AE" w14:textId="77777777" w:rsidR="00B830AE" w:rsidRPr="001C169A" w:rsidRDefault="00B830AE" w:rsidP="005E1763">
            <w:pPr>
              <w:pStyle w:val="Default"/>
              <w:rPr>
                <w:sz w:val="22"/>
                <w:szCs w:val="22"/>
                <w:lang w:val="lt-LT"/>
              </w:rPr>
            </w:pPr>
          </w:p>
        </w:tc>
        <w:tc>
          <w:tcPr>
            <w:tcW w:w="1656" w:type="dxa"/>
            <w:tcBorders>
              <w:left w:val="single" w:sz="4" w:space="0" w:color="000000"/>
              <w:bottom w:val="single" w:sz="4" w:space="0" w:color="000000"/>
              <w:right w:val="single" w:sz="4" w:space="0" w:color="000000"/>
            </w:tcBorders>
          </w:tcPr>
          <w:p w14:paraId="1270A37A" w14:textId="77777777" w:rsidR="00B830AE" w:rsidRPr="001C169A" w:rsidRDefault="00B830AE" w:rsidP="005E1763">
            <w:pPr>
              <w:pStyle w:val="Default"/>
              <w:rPr>
                <w:color w:val="auto"/>
                <w:sz w:val="22"/>
                <w:szCs w:val="22"/>
                <w:lang w:val="lt-LT"/>
              </w:rPr>
            </w:pPr>
          </w:p>
        </w:tc>
        <w:tc>
          <w:tcPr>
            <w:tcW w:w="4464" w:type="dxa"/>
            <w:tcBorders>
              <w:left w:val="single" w:sz="4" w:space="0" w:color="000000"/>
              <w:bottom w:val="single" w:sz="4" w:space="0" w:color="000000"/>
              <w:right w:val="single" w:sz="4" w:space="0" w:color="000000"/>
            </w:tcBorders>
          </w:tcPr>
          <w:p w14:paraId="063C3E30" w14:textId="77777777" w:rsidR="00B830AE" w:rsidRPr="001C169A" w:rsidRDefault="00B830AE" w:rsidP="005E1763">
            <w:pPr>
              <w:pStyle w:val="Default"/>
              <w:rPr>
                <w:color w:val="auto"/>
                <w:sz w:val="22"/>
                <w:szCs w:val="22"/>
                <w:lang w:val="lt-LT"/>
              </w:rPr>
            </w:pPr>
          </w:p>
        </w:tc>
      </w:tr>
      <w:tr w:rsidR="00B44282" w:rsidRPr="001C169A" w14:paraId="27C485A5" w14:textId="77777777" w:rsidTr="00C60E76">
        <w:trPr>
          <w:trHeight w:val="763"/>
        </w:trPr>
        <w:tc>
          <w:tcPr>
            <w:tcW w:w="2171" w:type="dxa"/>
            <w:vMerge w:val="restart"/>
            <w:tcBorders>
              <w:top w:val="single" w:sz="4" w:space="0" w:color="000000"/>
              <w:left w:val="single" w:sz="4" w:space="0" w:color="000000"/>
              <w:right w:val="single" w:sz="4" w:space="0" w:color="000000"/>
            </w:tcBorders>
          </w:tcPr>
          <w:p w14:paraId="089BEA6E" w14:textId="77777777" w:rsidR="00B830AE" w:rsidRPr="00A23BF7" w:rsidRDefault="00B830AE" w:rsidP="005E1763">
            <w:pPr>
              <w:pStyle w:val="Default"/>
              <w:rPr>
                <w:sz w:val="22"/>
                <w:szCs w:val="22"/>
                <w:lang w:val="lt-LT"/>
              </w:rPr>
            </w:pPr>
            <w:r w:rsidRPr="001C169A">
              <w:rPr>
                <w:sz w:val="22"/>
                <w:szCs w:val="22"/>
                <w:lang w:val="lt-LT"/>
              </w:rPr>
              <w:lastRenderedPageBreak/>
              <w:t>Metabolizmo ir mi</w:t>
            </w:r>
            <w:r w:rsidRPr="00A23BF7">
              <w:rPr>
                <w:sz w:val="22"/>
                <w:szCs w:val="22"/>
                <w:lang w:val="lt-LT"/>
              </w:rPr>
              <w:t>tybos sutrikimai</w:t>
            </w:r>
          </w:p>
        </w:tc>
        <w:tc>
          <w:tcPr>
            <w:tcW w:w="1656" w:type="dxa"/>
            <w:tcBorders>
              <w:top w:val="single" w:sz="4" w:space="0" w:color="000000"/>
              <w:left w:val="single" w:sz="4" w:space="0" w:color="000000"/>
              <w:bottom w:val="single" w:sz="4" w:space="0" w:color="000000"/>
              <w:right w:val="single" w:sz="4" w:space="0" w:color="000000"/>
            </w:tcBorders>
          </w:tcPr>
          <w:p w14:paraId="607D3867" w14:textId="77777777" w:rsidR="00B830AE" w:rsidRPr="00C60E76" w:rsidRDefault="00B830AE" w:rsidP="005E1763">
            <w:pPr>
              <w:pStyle w:val="prastojitrauka"/>
              <w:autoSpaceDE w:val="0"/>
              <w:autoSpaceDN w:val="0"/>
              <w:adjustRightInd w:val="0"/>
              <w:spacing w:after="0"/>
              <w:ind w:left="0"/>
              <w:rPr>
                <w:lang w:val="lt-LT"/>
              </w:rPr>
            </w:pPr>
            <w:r w:rsidRPr="00C60E76">
              <w:rPr>
                <w:lang w:val="lt-LT"/>
              </w:rPr>
              <w:t xml:space="preserve">Dažni </w:t>
            </w:r>
          </w:p>
        </w:tc>
        <w:tc>
          <w:tcPr>
            <w:tcW w:w="4464" w:type="dxa"/>
            <w:tcBorders>
              <w:top w:val="single" w:sz="4" w:space="0" w:color="000000"/>
              <w:left w:val="single" w:sz="4" w:space="0" w:color="000000"/>
              <w:bottom w:val="single" w:sz="4" w:space="0" w:color="000000"/>
              <w:right w:val="single" w:sz="4" w:space="0" w:color="000000"/>
            </w:tcBorders>
          </w:tcPr>
          <w:p w14:paraId="3EE9BB55" w14:textId="77777777" w:rsidR="00B830AE" w:rsidRPr="001C169A" w:rsidRDefault="00B830AE" w:rsidP="005E1763">
            <w:pPr>
              <w:pStyle w:val="prastojitrauka"/>
              <w:autoSpaceDE w:val="0"/>
              <w:autoSpaceDN w:val="0"/>
              <w:adjustRightInd w:val="0"/>
              <w:spacing w:after="0"/>
              <w:ind w:left="0"/>
              <w:rPr>
                <w:szCs w:val="22"/>
                <w:lang w:val="lt-LT"/>
              </w:rPr>
            </w:pPr>
            <w:r w:rsidRPr="001C169A">
              <w:rPr>
                <w:szCs w:val="22"/>
                <w:lang w:val="lt-LT"/>
              </w:rPr>
              <w:t xml:space="preserve">Anoreksija, </w:t>
            </w:r>
            <w:proofErr w:type="spellStart"/>
            <w:r w:rsidRPr="001C169A">
              <w:rPr>
                <w:szCs w:val="22"/>
                <w:lang w:val="lt-LT"/>
              </w:rPr>
              <w:t>hipercholesterolemija</w:t>
            </w:r>
            <w:proofErr w:type="spellEnd"/>
            <w:r w:rsidRPr="001C169A">
              <w:rPr>
                <w:szCs w:val="22"/>
                <w:lang w:val="lt-LT"/>
              </w:rPr>
              <w:t xml:space="preserve"> </w:t>
            </w:r>
          </w:p>
        </w:tc>
      </w:tr>
      <w:tr w:rsidR="00B44282" w:rsidRPr="001C169A" w14:paraId="75F1AA8B" w14:textId="77777777" w:rsidTr="00C60E76">
        <w:trPr>
          <w:trHeight w:val="763"/>
        </w:trPr>
        <w:tc>
          <w:tcPr>
            <w:tcW w:w="2171" w:type="dxa"/>
            <w:vMerge/>
            <w:tcBorders>
              <w:left w:val="single" w:sz="4" w:space="0" w:color="000000"/>
              <w:bottom w:val="single" w:sz="4" w:space="0" w:color="000000"/>
              <w:right w:val="single" w:sz="4" w:space="0" w:color="000000"/>
            </w:tcBorders>
          </w:tcPr>
          <w:p w14:paraId="3947D5A5" w14:textId="77777777" w:rsidR="00B830AE" w:rsidRPr="001C169A" w:rsidRDefault="00B830AE" w:rsidP="005E1763">
            <w:pPr>
              <w:pStyle w:val="Default"/>
              <w:rPr>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13DBF874" w14:textId="77777777" w:rsidR="00B830AE" w:rsidRPr="00C60E76" w:rsidRDefault="00B830AE" w:rsidP="005E1763">
            <w:pPr>
              <w:pStyle w:val="prastojitrauka"/>
              <w:autoSpaceDE w:val="0"/>
              <w:autoSpaceDN w:val="0"/>
              <w:adjustRightInd w:val="0"/>
              <w:spacing w:after="0"/>
              <w:ind w:left="0"/>
              <w:rPr>
                <w:lang w:val="lt-LT"/>
              </w:rPr>
            </w:pPr>
            <w:r w:rsidRPr="00C60E76">
              <w:rPr>
                <w:lang w:val="lt-LT"/>
              </w:rPr>
              <w:t>Nedažni</w:t>
            </w:r>
          </w:p>
        </w:tc>
        <w:tc>
          <w:tcPr>
            <w:tcW w:w="4464" w:type="dxa"/>
            <w:tcBorders>
              <w:top w:val="single" w:sz="4" w:space="0" w:color="000000"/>
              <w:left w:val="single" w:sz="4" w:space="0" w:color="000000"/>
              <w:bottom w:val="single" w:sz="4" w:space="0" w:color="000000"/>
              <w:right w:val="single" w:sz="4" w:space="0" w:color="000000"/>
            </w:tcBorders>
          </w:tcPr>
          <w:p w14:paraId="78D747FD" w14:textId="77777777" w:rsidR="00B830AE" w:rsidRPr="001C169A" w:rsidRDefault="00B830AE" w:rsidP="005E1763">
            <w:pPr>
              <w:pStyle w:val="prastojitrauka"/>
              <w:autoSpaceDE w:val="0"/>
              <w:autoSpaceDN w:val="0"/>
              <w:adjustRightInd w:val="0"/>
              <w:spacing w:after="0"/>
              <w:ind w:left="0"/>
              <w:rPr>
                <w:szCs w:val="22"/>
                <w:lang w:val="lt-LT"/>
              </w:rPr>
            </w:pPr>
            <w:proofErr w:type="spellStart"/>
            <w:r w:rsidRPr="001C169A">
              <w:rPr>
                <w:szCs w:val="22"/>
                <w:lang w:val="lt-LT"/>
              </w:rPr>
              <w:t>Hiperkalcemija</w:t>
            </w:r>
            <w:proofErr w:type="spellEnd"/>
            <w:r w:rsidRPr="001C169A">
              <w:rPr>
                <w:szCs w:val="22"/>
                <w:lang w:val="lt-LT"/>
              </w:rPr>
              <w:t xml:space="preserve"> (su arba be </w:t>
            </w:r>
            <w:proofErr w:type="spellStart"/>
            <w:r w:rsidRPr="001C169A">
              <w:rPr>
                <w:szCs w:val="22"/>
                <w:lang w:val="lt-LT"/>
              </w:rPr>
              <w:t>paratiroidinio</w:t>
            </w:r>
            <w:proofErr w:type="spellEnd"/>
            <w:r w:rsidRPr="001C169A">
              <w:rPr>
                <w:szCs w:val="22"/>
                <w:lang w:val="lt-LT"/>
              </w:rPr>
              <w:t xml:space="preserve"> hormono kiekio padidėjimu)</w:t>
            </w:r>
          </w:p>
        </w:tc>
      </w:tr>
      <w:tr w:rsidR="00B44282" w:rsidRPr="001C169A" w14:paraId="62F041A4" w14:textId="77777777" w:rsidTr="00C60E76">
        <w:trPr>
          <w:trHeight w:val="519"/>
        </w:trPr>
        <w:tc>
          <w:tcPr>
            <w:tcW w:w="2171" w:type="dxa"/>
            <w:tcBorders>
              <w:top w:val="single" w:sz="4" w:space="0" w:color="000000"/>
              <w:left w:val="single" w:sz="4" w:space="0" w:color="000000"/>
              <w:right w:val="single" w:sz="4" w:space="0" w:color="000000"/>
            </w:tcBorders>
          </w:tcPr>
          <w:p w14:paraId="53289D97" w14:textId="77777777" w:rsidR="00B830AE" w:rsidRPr="001C169A" w:rsidRDefault="00B830AE" w:rsidP="005E1763">
            <w:pPr>
              <w:pStyle w:val="Default"/>
              <w:rPr>
                <w:sz w:val="22"/>
                <w:szCs w:val="22"/>
                <w:lang w:val="lt-LT"/>
              </w:rPr>
            </w:pPr>
            <w:r w:rsidRPr="001C169A">
              <w:rPr>
                <w:sz w:val="22"/>
                <w:szCs w:val="22"/>
                <w:lang w:val="lt-LT"/>
              </w:rPr>
              <w:t>Nervų sistemos sutrikimai</w:t>
            </w:r>
          </w:p>
        </w:tc>
        <w:tc>
          <w:tcPr>
            <w:tcW w:w="1656" w:type="dxa"/>
            <w:tcBorders>
              <w:top w:val="single" w:sz="4" w:space="0" w:color="000000"/>
              <w:left w:val="single" w:sz="4" w:space="0" w:color="000000"/>
              <w:bottom w:val="single" w:sz="4" w:space="0" w:color="000000"/>
              <w:right w:val="single" w:sz="4" w:space="0" w:color="000000"/>
            </w:tcBorders>
          </w:tcPr>
          <w:p w14:paraId="583296E0" w14:textId="77777777" w:rsidR="00B830AE" w:rsidRPr="00C60E76" w:rsidRDefault="00B830AE" w:rsidP="005E1763">
            <w:pPr>
              <w:pStyle w:val="prastojitrauka"/>
              <w:autoSpaceDE w:val="0"/>
              <w:autoSpaceDN w:val="0"/>
              <w:adjustRightInd w:val="0"/>
              <w:spacing w:after="0"/>
              <w:ind w:left="0"/>
              <w:rPr>
                <w:lang w:val="lt-LT"/>
              </w:rPr>
            </w:pPr>
            <w:r w:rsidRPr="00C60E76">
              <w:rPr>
                <w:lang w:val="lt-LT"/>
              </w:rPr>
              <w:t xml:space="preserve">Labai dažni </w:t>
            </w:r>
          </w:p>
        </w:tc>
        <w:tc>
          <w:tcPr>
            <w:tcW w:w="4464" w:type="dxa"/>
            <w:tcBorders>
              <w:top w:val="single" w:sz="4" w:space="0" w:color="000000"/>
              <w:left w:val="single" w:sz="4" w:space="0" w:color="000000"/>
              <w:bottom w:val="single" w:sz="4" w:space="0" w:color="000000"/>
              <w:right w:val="single" w:sz="4" w:space="0" w:color="000000"/>
            </w:tcBorders>
          </w:tcPr>
          <w:p w14:paraId="27D2F43B" w14:textId="77777777" w:rsidR="00B830AE" w:rsidRPr="001C169A" w:rsidRDefault="00B830AE" w:rsidP="005E1763">
            <w:pPr>
              <w:pStyle w:val="prastojitrauka"/>
              <w:autoSpaceDE w:val="0"/>
              <w:autoSpaceDN w:val="0"/>
              <w:adjustRightInd w:val="0"/>
              <w:spacing w:after="0"/>
              <w:ind w:left="0"/>
              <w:rPr>
                <w:szCs w:val="22"/>
                <w:lang w:val="lt-LT"/>
              </w:rPr>
            </w:pPr>
            <w:r w:rsidRPr="001C169A">
              <w:rPr>
                <w:szCs w:val="22"/>
                <w:lang w:val="lt-LT"/>
              </w:rPr>
              <w:t xml:space="preserve">Galvos skausmas </w:t>
            </w:r>
          </w:p>
        </w:tc>
      </w:tr>
      <w:tr w:rsidR="00B44282" w:rsidRPr="001C169A" w14:paraId="2BFCAC2C" w14:textId="77777777" w:rsidTr="00C60E76">
        <w:trPr>
          <w:trHeight w:val="688"/>
        </w:trPr>
        <w:tc>
          <w:tcPr>
            <w:tcW w:w="2171" w:type="dxa"/>
            <w:tcBorders>
              <w:left w:val="single" w:sz="4" w:space="0" w:color="000000"/>
              <w:bottom w:val="single" w:sz="4" w:space="0" w:color="000000"/>
              <w:right w:val="single" w:sz="4" w:space="0" w:color="000000"/>
            </w:tcBorders>
          </w:tcPr>
          <w:p w14:paraId="361311FC" w14:textId="77777777" w:rsidR="00B830AE" w:rsidRPr="001C169A" w:rsidRDefault="00B830AE" w:rsidP="005E1763">
            <w:pPr>
              <w:pStyle w:val="Default"/>
              <w:rPr>
                <w:color w:val="auto"/>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14A5CF7C" w14:textId="77777777" w:rsidR="00B830AE" w:rsidRPr="00C60E76" w:rsidRDefault="00B830AE" w:rsidP="005E1763">
            <w:pPr>
              <w:pStyle w:val="prastojitrauka"/>
              <w:autoSpaceDE w:val="0"/>
              <w:autoSpaceDN w:val="0"/>
              <w:adjustRightInd w:val="0"/>
              <w:spacing w:after="0"/>
              <w:ind w:left="0"/>
              <w:rPr>
                <w:lang w:val="lt-LT"/>
              </w:rPr>
            </w:pPr>
            <w:r w:rsidRPr="00C60E76">
              <w:rPr>
                <w:lang w:val="lt-LT"/>
              </w:rPr>
              <w:t xml:space="preserve">Dažni </w:t>
            </w:r>
          </w:p>
        </w:tc>
        <w:tc>
          <w:tcPr>
            <w:tcW w:w="4464" w:type="dxa"/>
            <w:tcBorders>
              <w:top w:val="single" w:sz="4" w:space="0" w:color="000000"/>
              <w:left w:val="single" w:sz="4" w:space="0" w:color="000000"/>
              <w:bottom w:val="single" w:sz="4" w:space="0" w:color="000000"/>
              <w:right w:val="single" w:sz="4" w:space="0" w:color="000000"/>
            </w:tcBorders>
          </w:tcPr>
          <w:p w14:paraId="381580D8" w14:textId="77777777" w:rsidR="00B830AE" w:rsidRPr="001C169A" w:rsidRDefault="00B830AE" w:rsidP="005E1763">
            <w:pPr>
              <w:pStyle w:val="prastojitrauka"/>
              <w:autoSpaceDE w:val="0"/>
              <w:autoSpaceDN w:val="0"/>
              <w:adjustRightInd w:val="0"/>
              <w:spacing w:after="0"/>
              <w:ind w:left="0"/>
              <w:rPr>
                <w:szCs w:val="22"/>
                <w:lang w:val="lt-LT"/>
              </w:rPr>
            </w:pPr>
            <w:r w:rsidRPr="001C169A">
              <w:rPr>
                <w:szCs w:val="22"/>
                <w:lang w:val="lt-LT"/>
              </w:rPr>
              <w:t>Mieguistumas, riešo kanalo tunelinis sindromas</w:t>
            </w:r>
            <w:r w:rsidRPr="00C60E76">
              <w:rPr>
                <w:lang w:val="lt-LT"/>
              </w:rPr>
              <w:t>*</w:t>
            </w:r>
          </w:p>
        </w:tc>
      </w:tr>
      <w:tr w:rsidR="00B830AE" w:rsidRPr="001C169A" w14:paraId="1F66466B" w14:textId="77777777" w:rsidTr="00C60E76">
        <w:trPr>
          <w:trHeight w:val="730"/>
        </w:trPr>
        <w:tc>
          <w:tcPr>
            <w:tcW w:w="2171" w:type="dxa"/>
            <w:tcBorders>
              <w:top w:val="single" w:sz="4" w:space="0" w:color="000000"/>
              <w:left w:val="single" w:sz="4" w:space="0" w:color="000000"/>
              <w:bottom w:val="single" w:sz="4" w:space="0" w:color="000000"/>
              <w:right w:val="single" w:sz="4" w:space="0" w:color="000000"/>
            </w:tcBorders>
          </w:tcPr>
          <w:p w14:paraId="1765D553" w14:textId="77777777" w:rsidR="00B830AE" w:rsidRPr="00A23BF7" w:rsidRDefault="00B830AE" w:rsidP="005E1763">
            <w:pPr>
              <w:pStyle w:val="Default"/>
              <w:rPr>
                <w:sz w:val="22"/>
                <w:szCs w:val="22"/>
                <w:lang w:val="lt-LT"/>
              </w:rPr>
            </w:pPr>
            <w:r w:rsidRPr="001C169A">
              <w:rPr>
                <w:sz w:val="22"/>
                <w:szCs w:val="22"/>
                <w:lang w:val="lt-LT"/>
              </w:rPr>
              <w:t>Kra</w:t>
            </w:r>
            <w:r w:rsidRPr="00A23BF7">
              <w:rPr>
                <w:sz w:val="22"/>
                <w:szCs w:val="22"/>
                <w:lang w:val="lt-LT"/>
              </w:rPr>
              <w:t>ujagyslių sutrikimai:</w:t>
            </w:r>
          </w:p>
        </w:tc>
        <w:tc>
          <w:tcPr>
            <w:tcW w:w="1656" w:type="dxa"/>
            <w:tcBorders>
              <w:top w:val="single" w:sz="4" w:space="0" w:color="000000"/>
              <w:left w:val="single" w:sz="4" w:space="0" w:color="000000"/>
              <w:bottom w:val="single" w:sz="4" w:space="0" w:color="000000"/>
              <w:right w:val="single" w:sz="4" w:space="0" w:color="000000"/>
            </w:tcBorders>
          </w:tcPr>
          <w:p w14:paraId="38B5939D" w14:textId="77777777" w:rsidR="00B830AE" w:rsidRPr="00C60E76" w:rsidRDefault="00B830AE" w:rsidP="005E1763">
            <w:pPr>
              <w:pStyle w:val="prastojitrauka"/>
              <w:autoSpaceDE w:val="0"/>
              <w:autoSpaceDN w:val="0"/>
              <w:adjustRightInd w:val="0"/>
              <w:spacing w:after="0"/>
              <w:ind w:left="0"/>
              <w:rPr>
                <w:lang w:val="lt-LT"/>
              </w:rPr>
            </w:pPr>
            <w:r w:rsidRPr="00C60E76">
              <w:rPr>
                <w:lang w:val="lt-LT"/>
              </w:rPr>
              <w:t xml:space="preserve">Labai dažni </w:t>
            </w:r>
          </w:p>
        </w:tc>
        <w:tc>
          <w:tcPr>
            <w:tcW w:w="4464" w:type="dxa"/>
            <w:tcBorders>
              <w:top w:val="single" w:sz="4" w:space="0" w:color="000000"/>
              <w:left w:val="single" w:sz="4" w:space="0" w:color="000000"/>
              <w:bottom w:val="single" w:sz="4" w:space="0" w:color="000000"/>
              <w:right w:val="single" w:sz="4" w:space="0" w:color="000000"/>
            </w:tcBorders>
          </w:tcPr>
          <w:p w14:paraId="28ECCC4C" w14:textId="77777777" w:rsidR="00B830AE" w:rsidRPr="001C169A" w:rsidRDefault="00B830AE" w:rsidP="005E1763">
            <w:pPr>
              <w:pStyle w:val="prastojitrauka"/>
              <w:autoSpaceDE w:val="0"/>
              <w:autoSpaceDN w:val="0"/>
              <w:adjustRightInd w:val="0"/>
              <w:spacing w:after="0"/>
              <w:ind w:left="0"/>
              <w:rPr>
                <w:szCs w:val="22"/>
                <w:lang w:val="lt-LT"/>
              </w:rPr>
            </w:pPr>
            <w:r w:rsidRPr="001C169A">
              <w:rPr>
                <w:szCs w:val="22"/>
                <w:lang w:val="lt-LT"/>
              </w:rPr>
              <w:t xml:space="preserve">Karščio pylimas </w:t>
            </w:r>
          </w:p>
        </w:tc>
      </w:tr>
      <w:tr w:rsidR="00B44282" w:rsidRPr="001C169A" w14:paraId="0D2AEADD" w14:textId="77777777" w:rsidTr="00C60E76">
        <w:trPr>
          <w:trHeight w:val="728"/>
        </w:trPr>
        <w:tc>
          <w:tcPr>
            <w:tcW w:w="2171" w:type="dxa"/>
            <w:tcBorders>
              <w:top w:val="single" w:sz="4" w:space="0" w:color="000000"/>
              <w:left w:val="single" w:sz="4" w:space="0" w:color="000000"/>
              <w:right w:val="single" w:sz="4" w:space="0" w:color="000000"/>
            </w:tcBorders>
          </w:tcPr>
          <w:p w14:paraId="31A8434D" w14:textId="77777777" w:rsidR="00B830AE" w:rsidRPr="001C169A" w:rsidRDefault="00B830AE" w:rsidP="005E1763">
            <w:pPr>
              <w:pStyle w:val="Default"/>
              <w:rPr>
                <w:sz w:val="22"/>
                <w:szCs w:val="22"/>
                <w:lang w:val="lt-LT"/>
              </w:rPr>
            </w:pPr>
            <w:r w:rsidRPr="001C169A">
              <w:rPr>
                <w:sz w:val="22"/>
                <w:szCs w:val="22"/>
                <w:lang w:val="lt-LT"/>
              </w:rPr>
              <w:t>Virškinimo trakto sutrikimai</w:t>
            </w:r>
          </w:p>
        </w:tc>
        <w:tc>
          <w:tcPr>
            <w:tcW w:w="1656" w:type="dxa"/>
            <w:tcBorders>
              <w:top w:val="single" w:sz="4" w:space="0" w:color="000000"/>
              <w:left w:val="single" w:sz="4" w:space="0" w:color="000000"/>
              <w:bottom w:val="single" w:sz="4" w:space="0" w:color="000000"/>
              <w:right w:val="single" w:sz="4" w:space="0" w:color="000000"/>
            </w:tcBorders>
          </w:tcPr>
          <w:p w14:paraId="1F2A9EF1" w14:textId="77777777" w:rsidR="00B830AE" w:rsidRPr="00C60E76" w:rsidRDefault="00B830AE" w:rsidP="005E1763">
            <w:pPr>
              <w:pStyle w:val="prastojitrauka"/>
              <w:autoSpaceDE w:val="0"/>
              <w:autoSpaceDN w:val="0"/>
              <w:adjustRightInd w:val="0"/>
              <w:spacing w:after="0"/>
              <w:ind w:left="0"/>
              <w:rPr>
                <w:lang w:val="lt-LT"/>
              </w:rPr>
            </w:pPr>
            <w:r w:rsidRPr="00C60E76">
              <w:rPr>
                <w:lang w:val="lt-LT"/>
              </w:rPr>
              <w:t xml:space="preserve">Labai dažni </w:t>
            </w:r>
          </w:p>
        </w:tc>
        <w:tc>
          <w:tcPr>
            <w:tcW w:w="4464" w:type="dxa"/>
            <w:tcBorders>
              <w:top w:val="single" w:sz="4" w:space="0" w:color="000000"/>
              <w:left w:val="single" w:sz="4" w:space="0" w:color="000000"/>
              <w:bottom w:val="single" w:sz="4" w:space="0" w:color="000000"/>
              <w:right w:val="single" w:sz="4" w:space="0" w:color="000000"/>
            </w:tcBorders>
          </w:tcPr>
          <w:p w14:paraId="41203F58" w14:textId="77777777" w:rsidR="00B830AE" w:rsidRPr="001C169A" w:rsidRDefault="00B830AE" w:rsidP="005E1763">
            <w:pPr>
              <w:pStyle w:val="prastojitrauka"/>
              <w:autoSpaceDE w:val="0"/>
              <w:autoSpaceDN w:val="0"/>
              <w:adjustRightInd w:val="0"/>
              <w:spacing w:after="0"/>
              <w:ind w:left="0"/>
              <w:rPr>
                <w:szCs w:val="22"/>
                <w:lang w:val="lt-LT"/>
              </w:rPr>
            </w:pPr>
            <w:r w:rsidRPr="001C169A">
              <w:rPr>
                <w:szCs w:val="22"/>
                <w:lang w:val="lt-LT"/>
              </w:rPr>
              <w:t xml:space="preserve">Pykinimas </w:t>
            </w:r>
          </w:p>
        </w:tc>
      </w:tr>
      <w:tr w:rsidR="00B44282" w:rsidRPr="001C169A" w14:paraId="62B10D19" w14:textId="77777777" w:rsidTr="00C60E76">
        <w:trPr>
          <w:trHeight w:val="728"/>
        </w:trPr>
        <w:tc>
          <w:tcPr>
            <w:tcW w:w="2171" w:type="dxa"/>
            <w:tcBorders>
              <w:left w:val="single" w:sz="4" w:space="0" w:color="000000"/>
              <w:bottom w:val="single" w:sz="4" w:space="0" w:color="000000"/>
              <w:right w:val="single" w:sz="4" w:space="0" w:color="000000"/>
            </w:tcBorders>
          </w:tcPr>
          <w:p w14:paraId="4280D63C" w14:textId="77777777" w:rsidR="00B830AE" w:rsidRPr="001C169A" w:rsidRDefault="00B830AE" w:rsidP="005E1763">
            <w:pPr>
              <w:pStyle w:val="Puslapioinaostekstas"/>
              <w:autoSpaceDE w:val="0"/>
              <w:autoSpaceDN w:val="0"/>
              <w:adjustRightInd w:val="0"/>
              <w:jc w:val="left"/>
              <w:rPr>
                <w:color w:val="000000"/>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63A78D3E"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 xml:space="preserve">Dažni </w:t>
            </w:r>
          </w:p>
        </w:tc>
        <w:tc>
          <w:tcPr>
            <w:tcW w:w="4464" w:type="dxa"/>
            <w:tcBorders>
              <w:top w:val="single" w:sz="4" w:space="0" w:color="000000"/>
              <w:left w:val="single" w:sz="4" w:space="0" w:color="000000"/>
              <w:bottom w:val="single" w:sz="4" w:space="0" w:color="000000"/>
              <w:right w:val="single" w:sz="4" w:space="0" w:color="000000"/>
            </w:tcBorders>
          </w:tcPr>
          <w:p w14:paraId="2DE26E5F"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Viduriavimas</w:t>
            </w:r>
            <w:r w:rsidRPr="001C169A">
              <w:rPr>
                <w:sz w:val="22"/>
                <w:szCs w:val="22"/>
              </w:rPr>
              <w:t>,</w:t>
            </w:r>
            <w:r w:rsidRPr="00C60E76">
              <w:rPr>
                <w:sz w:val="22"/>
              </w:rPr>
              <w:t xml:space="preserve"> vėmimas</w:t>
            </w:r>
          </w:p>
        </w:tc>
      </w:tr>
      <w:tr w:rsidR="00B44282" w:rsidRPr="001C169A" w14:paraId="1AB7DE95" w14:textId="77777777" w:rsidTr="00C60E76">
        <w:trPr>
          <w:trHeight w:val="810"/>
        </w:trPr>
        <w:tc>
          <w:tcPr>
            <w:tcW w:w="2171" w:type="dxa"/>
            <w:tcBorders>
              <w:top w:val="single" w:sz="4" w:space="0" w:color="000000"/>
              <w:left w:val="single" w:sz="4" w:space="0" w:color="000000"/>
              <w:right w:val="single" w:sz="4" w:space="0" w:color="000000"/>
            </w:tcBorders>
          </w:tcPr>
          <w:p w14:paraId="3D506913" w14:textId="77777777" w:rsidR="00B830AE" w:rsidRPr="001C169A" w:rsidRDefault="00B830AE" w:rsidP="005E1763">
            <w:pPr>
              <w:pStyle w:val="Pavadinimas"/>
              <w:jc w:val="left"/>
              <w:rPr>
                <w:b w:val="0"/>
                <w:noProof/>
                <w:szCs w:val="22"/>
                <w:lang w:val="lt-LT"/>
              </w:rPr>
            </w:pPr>
            <w:r w:rsidRPr="001C169A">
              <w:rPr>
                <w:b w:val="0"/>
                <w:noProof/>
                <w:szCs w:val="22"/>
                <w:lang w:val="lt-LT"/>
              </w:rPr>
              <w:t>Kepenų, tulžies pūslės ir latakų sutrikimai</w:t>
            </w:r>
          </w:p>
          <w:p w14:paraId="50DBD472" w14:textId="77777777" w:rsidR="00B830AE" w:rsidRPr="001C169A" w:rsidRDefault="00B830AE" w:rsidP="005E1763">
            <w:pPr>
              <w:pStyle w:val="Puslapioinaostekstas"/>
              <w:autoSpaceDE w:val="0"/>
              <w:autoSpaceDN w:val="0"/>
              <w:adjustRightInd w:val="0"/>
              <w:jc w:val="left"/>
              <w:rPr>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1C71EB63" w14:textId="77777777" w:rsidR="00B830AE" w:rsidRPr="00A23BF7"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Dažni</w:t>
            </w:r>
            <w:r w:rsidRPr="001C169A">
              <w:rPr>
                <w:sz w:val="22"/>
                <w:szCs w:val="22"/>
              </w:rPr>
              <w:t xml:space="preserve"> </w:t>
            </w:r>
          </w:p>
        </w:tc>
        <w:tc>
          <w:tcPr>
            <w:tcW w:w="4464" w:type="dxa"/>
            <w:tcBorders>
              <w:top w:val="single" w:sz="4" w:space="0" w:color="000000"/>
              <w:left w:val="single" w:sz="4" w:space="0" w:color="000000"/>
              <w:bottom w:val="single" w:sz="4" w:space="0" w:color="000000"/>
              <w:right w:val="single" w:sz="4" w:space="0" w:color="000000"/>
            </w:tcBorders>
          </w:tcPr>
          <w:p w14:paraId="596003DD" w14:textId="77777777" w:rsidR="00B830AE" w:rsidRPr="001C169A" w:rsidRDefault="00B830AE" w:rsidP="005E1763">
            <w:pPr>
              <w:rPr>
                <w:sz w:val="22"/>
                <w:szCs w:val="22"/>
              </w:rPr>
            </w:pPr>
            <w:r w:rsidRPr="001C169A">
              <w:rPr>
                <w:sz w:val="22"/>
                <w:szCs w:val="22"/>
              </w:rPr>
              <w:t xml:space="preserve">Padidėjęs šarminės </w:t>
            </w:r>
            <w:proofErr w:type="spellStart"/>
            <w:r w:rsidRPr="001C169A">
              <w:rPr>
                <w:sz w:val="22"/>
                <w:szCs w:val="22"/>
              </w:rPr>
              <w:t>fosfatazės</w:t>
            </w:r>
            <w:proofErr w:type="spellEnd"/>
            <w:r w:rsidRPr="001C169A">
              <w:rPr>
                <w:sz w:val="22"/>
                <w:szCs w:val="22"/>
              </w:rPr>
              <w:t xml:space="preserve">, </w:t>
            </w:r>
          </w:p>
          <w:p w14:paraId="53811963" w14:textId="77777777" w:rsidR="00B830AE" w:rsidRPr="001C169A" w:rsidRDefault="00B830AE" w:rsidP="005E1763">
            <w:pPr>
              <w:rPr>
                <w:sz w:val="22"/>
                <w:szCs w:val="22"/>
              </w:rPr>
            </w:pPr>
            <w:proofErr w:type="spellStart"/>
            <w:r w:rsidRPr="001C169A">
              <w:rPr>
                <w:sz w:val="22"/>
                <w:szCs w:val="22"/>
              </w:rPr>
              <w:t>alanino</w:t>
            </w:r>
            <w:proofErr w:type="spellEnd"/>
            <w:r w:rsidRPr="001C169A">
              <w:rPr>
                <w:sz w:val="22"/>
                <w:szCs w:val="22"/>
              </w:rPr>
              <w:t xml:space="preserve"> </w:t>
            </w:r>
            <w:proofErr w:type="spellStart"/>
            <w:r w:rsidRPr="001C169A">
              <w:rPr>
                <w:sz w:val="22"/>
                <w:szCs w:val="22"/>
              </w:rPr>
              <w:t>aminotransferazės</w:t>
            </w:r>
            <w:proofErr w:type="spellEnd"/>
            <w:r w:rsidRPr="001C169A">
              <w:rPr>
                <w:sz w:val="22"/>
                <w:szCs w:val="22"/>
              </w:rPr>
              <w:t xml:space="preserve"> ir </w:t>
            </w:r>
            <w:proofErr w:type="spellStart"/>
            <w:r w:rsidRPr="001C169A">
              <w:rPr>
                <w:sz w:val="22"/>
                <w:szCs w:val="22"/>
              </w:rPr>
              <w:t>aspartato</w:t>
            </w:r>
            <w:proofErr w:type="spellEnd"/>
            <w:r w:rsidRPr="001C169A">
              <w:rPr>
                <w:sz w:val="22"/>
                <w:szCs w:val="22"/>
              </w:rPr>
              <w:t xml:space="preserve"> </w:t>
            </w:r>
            <w:proofErr w:type="spellStart"/>
            <w:r w:rsidRPr="001C169A">
              <w:rPr>
                <w:sz w:val="22"/>
                <w:szCs w:val="22"/>
              </w:rPr>
              <w:t>aminotransferazės</w:t>
            </w:r>
            <w:proofErr w:type="spellEnd"/>
            <w:r w:rsidRPr="001C169A">
              <w:rPr>
                <w:sz w:val="22"/>
                <w:szCs w:val="22"/>
              </w:rPr>
              <w:t xml:space="preserve"> aktyvumas.</w:t>
            </w:r>
          </w:p>
        </w:tc>
      </w:tr>
      <w:tr w:rsidR="00B44282" w:rsidRPr="001C169A" w14:paraId="69725787" w14:textId="77777777" w:rsidTr="00C60E76">
        <w:trPr>
          <w:trHeight w:val="728"/>
        </w:trPr>
        <w:tc>
          <w:tcPr>
            <w:tcW w:w="2171" w:type="dxa"/>
            <w:tcBorders>
              <w:left w:val="single" w:sz="4" w:space="0" w:color="000000"/>
              <w:bottom w:val="single" w:sz="4" w:space="0" w:color="000000"/>
              <w:right w:val="single" w:sz="4" w:space="0" w:color="000000"/>
            </w:tcBorders>
          </w:tcPr>
          <w:p w14:paraId="1AE2B806" w14:textId="77777777" w:rsidR="00B830AE" w:rsidRPr="001C169A" w:rsidRDefault="00B830AE" w:rsidP="005E1763">
            <w:pPr>
              <w:pStyle w:val="Puslapioinaostekstas"/>
              <w:autoSpaceDE w:val="0"/>
              <w:autoSpaceDN w:val="0"/>
              <w:adjustRightInd w:val="0"/>
              <w:jc w:val="left"/>
              <w:rPr>
                <w:color w:val="000000"/>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06BA7302" w14:textId="77777777" w:rsidR="00B830AE" w:rsidRPr="001C169A" w:rsidRDefault="00B830AE" w:rsidP="005E1763">
            <w:pPr>
              <w:rPr>
                <w:sz w:val="22"/>
                <w:szCs w:val="22"/>
              </w:rPr>
            </w:pPr>
            <w:r w:rsidRPr="001C169A">
              <w:rPr>
                <w:sz w:val="22"/>
                <w:szCs w:val="22"/>
              </w:rPr>
              <w:t>Nedažni</w:t>
            </w:r>
            <w:r w:rsidRPr="001C169A">
              <w:rPr>
                <w:sz w:val="22"/>
                <w:szCs w:val="22"/>
              </w:rPr>
              <w:br/>
            </w:r>
          </w:p>
        </w:tc>
        <w:tc>
          <w:tcPr>
            <w:tcW w:w="4464" w:type="dxa"/>
            <w:tcBorders>
              <w:top w:val="single" w:sz="4" w:space="0" w:color="000000"/>
              <w:left w:val="single" w:sz="4" w:space="0" w:color="000000"/>
              <w:bottom w:val="single" w:sz="4" w:space="0" w:color="000000"/>
              <w:right w:val="single" w:sz="4" w:space="0" w:color="000000"/>
            </w:tcBorders>
          </w:tcPr>
          <w:p w14:paraId="39DAC960" w14:textId="77777777" w:rsidR="00B830AE" w:rsidRPr="001C169A" w:rsidRDefault="00B830AE" w:rsidP="005E1763">
            <w:pPr>
              <w:pStyle w:val="Pagrindinistekstas"/>
              <w:spacing w:after="0"/>
              <w:rPr>
                <w:szCs w:val="22"/>
              </w:rPr>
            </w:pPr>
            <w:r w:rsidRPr="001C169A">
              <w:rPr>
                <w:szCs w:val="22"/>
              </w:rPr>
              <w:t xml:space="preserve">Padidėjęs gama </w:t>
            </w:r>
            <w:proofErr w:type="spellStart"/>
            <w:r w:rsidRPr="001C169A">
              <w:rPr>
                <w:szCs w:val="22"/>
              </w:rPr>
              <w:t>gliutamiltransferazės</w:t>
            </w:r>
            <w:proofErr w:type="spellEnd"/>
            <w:r w:rsidRPr="001C169A">
              <w:rPr>
                <w:szCs w:val="22"/>
              </w:rPr>
              <w:t xml:space="preserve"> aktyvumas ir </w:t>
            </w:r>
            <w:proofErr w:type="spellStart"/>
            <w:r w:rsidRPr="001C169A">
              <w:rPr>
                <w:szCs w:val="22"/>
              </w:rPr>
              <w:t>bilirubino</w:t>
            </w:r>
            <w:proofErr w:type="spellEnd"/>
            <w:r w:rsidRPr="001C169A">
              <w:rPr>
                <w:szCs w:val="22"/>
              </w:rPr>
              <w:t xml:space="preserve"> koncentracija</w:t>
            </w:r>
          </w:p>
          <w:p w14:paraId="196C43D1"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Hepatitas</w:t>
            </w:r>
          </w:p>
        </w:tc>
      </w:tr>
      <w:tr w:rsidR="00B44282" w:rsidRPr="001C169A" w14:paraId="3BC26C90" w14:textId="77777777" w:rsidTr="00C60E76">
        <w:trPr>
          <w:trHeight w:val="728"/>
        </w:trPr>
        <w:tc>
          <w:tcPr>
            <w:tcW w:w="2171" w:type="dxa"/>
            <w:tcBorders>
              <w:top w:val="single" w:sz="4" w:space="0" w:color="000000"/>
              <w:left w:val="single" w:sz="4" w:space="0" w:color="000000"/>
              <w:right w:val="single" w:sz="4" w:space="0" w:color="000000"/>
            </w:tcBorders>
          </w:tcPr>
          <w:p w14:paraId="6294D57F"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Odos ir poodinio</w:t>
            </w:r>
          </w:p>
          <w:p w14:paraId="02CF41DB"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 xml:space="preserve">audinio </w:t>
            </w:r>
          </w:p>
          <w:p w14:paraId="641E246E"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sutrikimai</w:t>
            </w:r>
          </w:p>
        </w:tc>
        <w:tc>
          <w:tcPr>
            <w:tcW w:w="1656" w:type="dxa"/>
            <w:tcBorders>
              <w:top w:val="single" w:sz="4" w:space="0" w:color="000000"/>
              <w:left w:val="single" w:sz="4" w:space="0" w:color="000000"/>
              <w:bottom w:val="single" w:sz="4" w:space="0" w:color="000000"/>
              <w:right w:val="single" w:sz="4" w:space="0" w:color="000000"/>
            </w:tcBorders>
          </w:tcPr>
          <w:p w14:paraId="736880CD"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 xml:space="preserve">Labai dažni </w:t>
            </w:r>
          </w:p>
        </w:tc>
        <w:tc>
          <w:tcPr>
            <w:tcW w:w="4464" w:type="dxa"/>
            <w:tcBorders>
              <w:top w:val="single" w:sz="4" w:space="0" w:color="000000"/>
              <w:left w:val="single" w:sz="4" w:space="0" w:color="000000"/>
              <w:bottom w:val="single" w:sz="4" w:space="0" w:color="000000"/>
              <w:right w:val="single" w:sz="4" w:space="0" w:color="000000"/>
            </w:tcBorders>
          </w:tcPr>
          <w:p w14:paraId="0B223E73" w14:textId="77777777" w:rsidR="00B830AE" w:rsidRPr="001C169A" w:rsidRDefault="00B830AE" w:rsidP="005E1763">
            <w:pPr>
              <w:pStyle w:val="Komentarotema"/>
              <w:autoSpaceDE w:val="0"/>
              <w:autoSpaceDN w:val="0"/>
              <w:adjustRightInd w:val="0"/>
              <w:rPr>
                <w:b w:val="0"/>
                <w:sz w:val="22"/>
                <w:szCs w:val="22"/>
              </w:rPr>
            </w:pPr>
            <w:r w:rsidRPr="001C169A">
              <w:rPr>
                <w:b w:val="0"/>
                <w:sz w:val="22"/>
                <w:szCs w:val="22"/>
              </w:rPr>
              <w:t xml:space="preserve">Išbėrimas </w:t>
            </w:r>
          </w:p>
        </w:tc>
      </w:tr>
      <w:tr w:rsidR="00B830AE" w:rsidRPr="001C169A" w14:paraId="6355ED08" w14:textId="77777777" w:rsidTr="00C60E76">
        <w:trPr>
          <w:trHeight w:val="728"/>
        </w:trPr>
        <w:tc>
          <w:tcPr>
            <w:tcW w:w="2171" w:type="dxa"/>
            <w:tcBorders>
              <w:left w:val="single" w:sz="4" w:space="0" w:color="000000"/>
              <w:right w:val="single" w:sz="4" w:space="0" w:color="000000"/>
            </w:tcBorders>
          </w:tcPr>
          <w:p w14:paraId="2CCB9F4A" w14:textId="77777777" w:rsidR="00B830AE" w:rsidRPr="001C169A" w:rsidRDefault="00B830AE" w:rsidP="005E1763">
            <w:pPr>
              <w:pStyle w:val="Puslapioinaostekstas"/>
              <w:autoSpaceDE w:val="0"/>
              <w:autoSpaceDN w:val="0"/>
              <w:adjustRightInd w:val="0"/>
              <w:jc w:val="left"/>
              <w:rPr>
                <w:color w:val="000000"/>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1AAA9E98"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 xml:space="preserve">Dažni </w:t>
            </w:r>
          </w:p>
        </w:tc>
        <w:tc>
          <w:tcPr>
            <w:tcW w:w="4464" w:type="dxa"/>
            <w:tcBorders>
              <w:top w:val="single" w:sz="4" w:space="0" w:color="000000"/>
              <w:left w:val="single" w:sz="4" w:space="0" w:color="000000"/>
              <w:bottom w:val="single" w:sz="4" w:space="0" w:color="000000"/>
              <w:right w:val="single" w:sz="4" w:space="0" w:color="000000"/>
            </w:tcBorders>
          </w:tcPr>
          <w:p w14:paraId="1E92F65A" w14:textId="77777777" w:rsidR="00B830AE" w:rsidRPr="001C169A" w:rsidRDefault="00B830AE" w:rsidP="005E1763">
            <w:pPr>
              <w:pStyle w:val="Komentarotema"/>
              <w:autoSpaceDE w:val="0"/>
              <w:autoSpaceDN w:val="0"/>
              <w:adjustRightInd w:val="0"/>
              <w:rPr>
                <w:b w:val="0"/>
                <w:sz w:val="22"/>
                <w:szCs w:val="22"/>
              </w:rPr>
            </w:pPr>
            <w:r w:rsidRPr="001C169A">
              <w:rPr>
                <w:b w:val="0"/>
                <w:sz w:val="22"/>
                <w:szCs w:val="22"/>
              </w:rPr>
              <w:t>Plaukų išretėjimas (</w:t>
            </w:r>
            <w:proofErr w:type="spellStart"/>
            <w:r w:rsidRPr="001C169A">
              <w:rPr>
                <w:b w:val="0"/>
                <w:sz w:val="22"/>
                <w:szCs w:val="22"/>
              </w:rPr>
              <w:t>alopecija</w:t>
            </w:r>
            <w:proofErr w:type="spellEnd"/>
            <w:r w:rsidRPr="001C169A">
              <w:rPr>
                <w:b w:val="0"/>
                <w:sz w:val="22"/>
                <w:szCs w:val="22"/>
              </w:rPr>
              <w:t xml:space="preserve">) </w:t>
            </w:r>
          </w:p>
          <w:p w14:paraId="070198F7" w14:textId="77777777" w:rsidR="00B830AE" w:rsidRPr="001C169A" w:rsidRDefault="00B830AE" w:rsidP="005E1763">
            <w:pPr>
              <w:pStyle w:val="Komentarotekstas"/>
              <w:rPr>
                <w:sz w:val="22"/>
                <w:szCs w:val="22"/>
              </w:rPr>
            </w:pPr>
            <w:r w:rsidRPr="001C169A">
              <w:rPr>
                <w:sz w:val="22"/>
                <w:szCs w:val="22"/>
              </w:rPr>
              <w:t>Alerginės reakcijos</w:t>
            </w:r>
          </w:p>
        </w:tc>
      </w:tr>
      <w:tr w:rsidR="00B830AE" w:rsidRPr="001C169A" w14:paraId="05A28645" w14:textId="77777777" w:rsidTr="00C60E76">
        <w:trPr>
          <w:trHeight w:val="521"/>
        </w:trPr>
        <w:tc>
          <w:tcPr>
            <w:tcW w:w="2171" w:type="dxa"/>
            <w:tcBorders>
              <w:left w:val="single" w:sz="4" w:space="0" w:color="000000"/>
              <w:right w:val="single" w:sz="4" w:space="0" w:color="000000"/>
            </w:tcBorders>
          </w:tcPr>
          <w:p w14:paraId="727339AC" w14:textId="77777777" w:rsidR="00B830AE" w:rsidRPr="001C169A" w:rsidRDefault="00B830AE" w:rsidP="005E1763">
            <w:pPr>
              <w:pStyle w:val="Komentarotema"/>
              <w:autoSpaceDE w:val="0"/>
              <w:autoSpaceDN w:val="0"/>
              <w:adjustRightInd w:val="0"/>
              <w:rPr>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tcPr>
          <w:p w14:paraId="49787FA8"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 xml:space="preserve">Nedažni </w:t>
            </w:r>
          </w:p>
        </w:tc>
        <w:tc>
          <w:tcPr>
            <w:tcW w:w="4464" w:type="dxa"/>
            <w:tcBorders>
              <w:top w:val="single" w:sz="4" w:space="0" w:color="000000"/>
              <w:left w:val="single" w:sz="4" w:space="0" w:color="000000"/>
              <w:bottom w:val="single" w:sz="4" w:space="0" w:color="000000"/>
              <w:right w:val="single" w:sz="4" w:space="0" w:color="000000"/>
            </w:tcBorders>
          </w:tcPr>
          <w:p w14:paraId="2EC639C2" w14:textId="77777777" w:rsidR="00B830AE" w:rsidRPr="001C169A" w:rsidRDefault="00B830AE" w:rsidP="005E1763">
            <w:pPr>
              <w:pStyle w:val="Komentarotema"/>
              <w:autoSpaceDE w:val="0"/>
              <w:autoSpaceDN w:val="0"/>
              <w:adjustRightInd w:val="0"/>
              <w:rPr>
                <w:b w:val="0"/>
                <w:sz w:val="22"/>
                <w:szCs w:val="22"/>
              </w:rPr>
            </w:pPr>
            <w:r w:rsidRPr="001C169A">
              <w:rPr>
                <w:b w:val="0"/>
                <w:sz w:val="22"/>
                <w:szCs w:val="22"/>
              </w:rPr>
              <w:t>Dilgėlinė</w:t>
            </w:r>
          </w:p>
        </w:tc>
      </w:tr>
      <w:tr w:rsidR="00B830AE" w:rsidRPr="001C169A" w14:paraId="2698A166" w14:textId="77777777" w:rsidTr="00C60E76">
        <w:trPr>
          <w:trHeight w:val="728"/>
        </w:trPr>
        <w:tc>
          <w:tcPr>
            <w:tcW w:w="2171" w:type="dxa"/>
            <w:tcBorders>
              <w:left w:val="single" w:sz="4" w:space="0" w:color="000000"/>
              <w:right w:val="single" w:sz="4" w:space="0" w:color="000000"/>
            </w:tcBorders>
          </w:tcPr>
          <w:p w14:paraId="4705C0C9" w14:textId="77777777" w:rsidR="00B830AE" w:rsidRPr="001C169A" w:rsidRDefault="00B830AE" w:rsidP="005E1763">
            <w:pPr>
              <w:pStyle w:val="Puslapioinaostekstas"/>
              <w:autoSpaceDE w:val="0"/>
              <w:autoSpaceDN w:val="0"/>
              <w:adjustRightInd w:val="0"/>
              <w:jc w:val="left"/>
              <w:rPr>
                <w:color w:val="000000"/>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42C1AFF1"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rPr>
                <w:sz w:val="22"/>
                <w:szCs w:val="22"/>
              </w:rPr>
            </w:pPr>
            <w:r w:rsidRPr="00C60E76">
              <w:rPr>
                <w:sz w:val="22"/>
              </w:rPr>
              <w:t xml:space="preserve">Reti </w:t>
            </w:r>
          </w:p>
        </w:tc>
        <w:tc>
          <w:tcPr>
            <w:tcW w:w="4464" w:type="dxa"/>
            <w:tcBorders>
              <w:top w:val="single" w:sz="4" w:space="0" w:color="000000"/>
              <w:left w:val="single" w:sz="4" w:space="0" w:color="000000"/>
              <w:bottom w:val="single" w:sz="4" w:space="0" w:color="000000"/>
              <w:right w:val="single" w:sz="4" w:space="0" w:color="000000"/>
            </w:tcBorders>
          </w:tcPr>
          <w:p w14:paraId="1B8790FC"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 xml:space="preserve">Daugiaformė </w:t>
            </w:r>
            <w:proofErr w:type="spellStart"/>
            <w:r w:rsidRPr="001C169A">
              <w:rPr>
                <w:sz w:val="22"/>
                <w:szCs w:val="22"/>
                <w:lang w:val="lt-LT"/>
              </w:rPr>
              <w:t>eritema</w:t>
            </w:r>
            <w:proofErr w:type="spellEnd"/>
            <w:r w:rsidRPr="001C169A">
              <w:rPr>
                <w:sz w:val="22"/>
                <w:szCs w:val="22"/>
                <w:lang w:val="lt-LT"/>
              </w:rPr>
              <w:t>,</w:t>
            </w:r>
          </w:p>
          <w:p w14:paraId="3AD1E49F" w14:textId="77777777" w:rsidR="00B830AE" w:rsidRPr="001C169A" w:rsidRDefault="00B830AE" w:rsidP="005E1763">
            <w:pPr>
              <w:pStyle w:val="Puslapioinaostekstas"/>
              <w:autoSpaceDE w:val="0"/>
              <w:autoSpaceDN w:val="0"/>
              <w:adjustRightInd w:val="0"/>
              <w:jc w:val="left"/>
              <w:rPr>
                <w:sz w:val="22"/>
                <w:szCs w:val="22"/>
                <w:lang w:val="lt-LT"/>
              </w:rPr>
            </w:pPr>
            <w:proofErr w:type="spellStart"/>
            <w:r w:rsidRPr="001C169A">
              <w:rPr>
                <w:sz w:val="22"/>
                <w:szCs w:val="22"/>
                <w:lang w:val="lt-LT"/>
              </w:rPr>
              <w:t>Anafilaktoidinė</w:t>
            </w:r>
            <w:proofErr w:type="spellEnd"/>
            <w:r w:rsidRPr="001C169A">
              <w:rPr>
                <w:sz w:val="22"/>
                <w:szCs w:val="22"/>
                <w:lang w:val="lt-LT"/>
              </w:rPr>
              <w:t xml:space="preserve"> reakcija</w:t>
            </w:r>
          </w:p>
          <w:p w14:paraId="213C6FC5" w14:textId="77777777" w:rsidR="00B830AE" w:rsidRPr="001C169A" w:rsidRDefault="00B830AE" w:rsidP="005E1763">
            <w:pPr>
              <w:pStyle w:val="Puslapioinaostekstas"/>
              <w:tabs>
                <w:tab w:val="clear" w:pos="425"/>
              </w:tabs>
              <w:autoSpaceDE w:val="0"/>
              <w:autoSpaceDN w:val="0"/>
              <w:adjustRightInd w:val="0"/>
              <w:ind w:left="34" w:firstLine="0"/>
              <w:jc w:val="left"/>
              <w:rPr>
                <w:sz w:val="22"/>
                <w:szCs w:val="22"/>
                <w:lang w:val="lt-LT"/>
              </w:rPr>
            </w:pPr>
            <w:r w:rsidRPr="001C169A">
              <w:rPr>
                <w:sz w:val="22"/>
                <w:szCs w:val="22"/>
                <w:lang w:val="lt-LT"/>
              </w:rPr>
              <w:t xml:space="preserve">Odos </w:t>
            </w:r>
            <w:proofErr w:type="spellStart"/>
            <w:r w:rsidRPr="001C169A">
              <w:rPr>
                <w:sz w:val="22"/>
                <w:szCs w:val="22"/>
                <w:lang w:val="lt-LT"/>
              </w:rPr>
              <w:t>vaskulitas</w:t>
            </w:r>
            <w:proofErr w:type="spellEnd"/>
            <w:r w:rsidRPr="001C169A">
              <w:rPr>
                <w:sz w:val="22"/>
                <w:szCs w:val="22"/>
                <w:lang w:val="lt-LT"/>
              </w:rPr>
              <w:t xml:space="preserve"> (taip pat ir keli pranešimai apie </w:t>
            </w:r>
            <w:proofErr w:type="spellStart"/>
            <w:r w:rsidRPr="001C169A">
              <w:rPr>
                <w:sz w:val="22"/>
                <w:szCs w:val="22"/>
                <w:lang w:val="lt-LT"/>
              </w:rPr>
              <w:t>Henoko-Šionlaino</w:t>
            </w:r>
            <w:proofErr w:type="spellEnd"/>
            <w:r w:rsidRPr="001C169A">
              <w:rPr>
                <w:sz w:val="22"/>
                <w:szCs w:val="22"/>
                <w:lang w:val="lt-LT"/>
              </w:rPr>
              <w:t xml:space="preserve"> (</w:t>
            </w:r>
            <w:proofErr w:type="spellStart"/>
            <w:r w:rsidRPr="001C169A">
              <w:rPr>
                <w:i/>
                <w:sz w:val="22"/>
                <w:szCs w:val="22"/>
                <w:lang w:val="lt-LT"/>
              </w:rPr>
              <w:t>Henoch-Schonlein</w:t>
            </w:r>
            <w:proofErr w:type="spellEnd"/>
            <w:r w:rsidRPr="001C169A">
              <w:rPr>
                <w:sz w:val="22"/>
                <w:szCs w:val="22"/>
                <w:lang w:val="lt-LT"/>
              </w:rPr>
              <w:t>) purpura)**</w:t>
            </w:r>
          </w:p>
        </w:tc>
      </w:tr>
      <w:tr w:rsidR="00B44282" w:rsidRPr="001C169A" w14:paraId="33C02B86" w14:textId="77777777" w:rsidTr="00C60E76">
        <w:trPr>
          <w:trHeight w:val="728"/>
        </w:trPr>
        <w:tc>
          <w:tcPr>
            <w:tcW w:w="2171" w:type="dxa"/>
            <w:tcBorders>
              <w:left w:val="single" w:sz="4" w:space="0" w:color="000000"/>
              <w:bottom w:val="single" w:sz="4" w:space="0" w:color="000000"/>
              <w:right w:val="single" w:sz="4" w:space="0" w:color="000000"/>
            </w:tcBorders>
          </w:tcPr>
          <w:p w14:paraId="48748ECF" w14:textId="77777777" w:rsidR="00B830AE" w:rsidRPr="001C169A" w:rsidRDefault="00B830AE" w:rsidP="005E1763">
            <w:pPr>
              <w:pStyle w:val="Puslapioinaostekstas"/>
              <w:autoSpaceDE w:val="0"/>
              <w:autoSpaceDN w:val="0"/>
              <w:adjustRightInd w:val="0"/>
              <w:jc w:val="left"/>
              <w:rPr>
                <w:color w:val="000000"/>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3A97835A"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 xml:space="preserve">Labai reti </w:t>
            </w:r>
          </w:p>
        </w:tc>
        <w:tc>
          <w:tcPr>
            <w:tcW w:w="4464" w:type="dxa"/>
            <w:tcBorders>
              <w:top w:val="single" w:sz="4" w:space="0" w:color="000000"/>
              <w:left w:val="single" w:sz="4" w:space="0" w:color="000000"/>
              <w:bottom w:val="single" w:sz="4" w:space="0" w:color="000000"/>
              <w:right w:val="single" w:sz="4" w:space="0" w:color="000000"/>
            </w:tcBorders>
          </w:tcPr>
          <w:p w14:paraId="6196D99A" w14:textId="77777777" w:rsidR="00B830AE" w:rsidRPr="001C169A" w:rsidRDefault="00B830AE" w:rsidP="005E1763">
            <w:pPr>
              <w:pStyle w:val="Puslapioinaostekstas"/>
              <w:autoSpaceDE w:val="0"/>
              <w:autoSpaceDN w:val="0"/>
              <w:adjustRightInd w:val="0"/>
              <w:jc w:val="left"/>
              <w:rPr>
                <w:sz w:val="22"/>
                <w:szCs w:val="22"/>
                <w:lang w:val="lt-LT"/>
              </w:rPr>
            </w:pPr>
            <w:proofErr w:type="spellStart"/>
            <w:r w:rsidRPr="001C169A">
              <w:rPr>
                <w:sz w:val="22"/>
                <w:szCs w:val="22"/>
                <w:lang w:val="lt-LT"/>
              </w:rPr>
              <w:t>Stivenso</w:t>
            </w:r>
            <w:proofErr w:type="spellEnd"/>
            <w:r w:rsidRPr="001C169A">
              <w:rPr>
                <w:sz w:val="22"/>
                <w:szCs w:val="22"/>
                <w:lang w:val="lt-LT"/>
              </w:rPr>
              <w:t>-Džonsono</w:t>
            </w:r>
            <w:r w:rsidRPr="001C169A">
              <w:rPr>
                <w:i/>
                <w:sz w:val="22"/>
                <w:szCs w:val="22"/>
                <w:lang w:val="lt-LT"/>
              </w:rPr>
              <w:t xml:space="preserve"> (</w:t>
            </w:r>
            <w:proofErr w:type="spellStart"/>
            <w:r w:rsidRPr="001C169A">
              <w:rPr>
                <w:i/>
                <w:sz w:val="22"/>
                <w:szCs w:val="22"/>
                <w:lang w:val="lt-LT"/>
              </w:rPr>
              <w:t>Stevens-Johnson</w:t>
            </w:r>
            <w:proofErr w:type="spellEnd"/>
            <w:r w:rsidRPr="001C169A">
              <w:rPr>
                <w:i/>
                <w:sz w:val="22"/>
                <w:szCs w:val="22"/>
                <w:lang w:val="lt-LT"/>
              </w:rPr>
              <w:t>)</w:t>
            </w:r>
            <w:r w:rsidRPr="001C169A">
              <w:rPr>
                <w:sz w:val="22"/>
                <w:szCs w:val="22"/>
                <w:lang w:val="lt-LT"/>
              </w:rPr>
              <w:t xml:space="preserve"> sindromas**</w:t>
            </w:r>
          </w:p>
          <w:p w14:paraId="7326D4D7" w14:textId="77777777" w:rsidR="00B830AE" w:rsidRPr="001C169A" w:rsidRDefault="00B830AE" w:rsidP="005E1763">
            <w:pPr>
              <w:pStyle w:val="Puslapioinaostekstas"/>
              <w:autoSpaceDE w:val="0"/>
              <w:autoSpaceDN w:val="0"/>
              <w:adjustRightInd w:val="0"/>
              <w:jc w:val="left"/>
              <w:rPr>
                <w:sz w:val="22"/>
                <w:szCs w:val="22"/>
                <w:lang w:val="lt-LT"/>
              </w:rPr>
            </w:pPr>
            <w:proofErr w:type="spellStart"/>
            <w:r w:rsidRPr="001C169A">
              <w:rPr>
                <w:sz w:val="22"/>
                <w:szCs w:val="22"/>
                <w:lang w:val="lt-LT"/>
              </w:rPr>
              <w:t>Angioneurozinė</w:t>
            </w:r>
            <w:proofErr w:type="spellEnd"/>
            <w:r w:rsidRPr="001C169A">
              <w:rPr>
                <w:sz w:val="22"/>
                <w:szCs w:val="22"/>
                <w:lang w:val="lt-LT"/>
              </w:rPr>
              <w:t xml:space="preserve"> edema** </w:t>
            </w:r>
          </w:p>
        </w:tc>
      </w:tr>
      <w:tr w:rsidR="00B44282" w:rsidRPr="001C169A" w14:paraId="49CAA1B4" w14:textId="77777777" w:rsidTr="00C60E76">
        <w:trPr>
          <w:trHeight w:val="728"/>
        </w:trPr>
        <w:tc>
          <w:tcPr>
            <w:tcW w:w="2171" w:type="dxa"/>
            <w:tcBorders>
              <w:top w:val="single" w:sz="4" w:space="0" w:color="000000"/>
              <w:left w:val="single" w:sz="4" w:space="0" w:color="000000"/>
              <w:right w:val="single" w:sz="4" w:space="0" w:color="000000"/>
            </w:tcBorders>
          </w:tcPr>
          <w:p w14:paraId="6E52916A"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 xml:space="preserve">Skeleto, raumenų </w:t>
            </w:r>
          </w:p>
          <w:p w14:paraId="70A17243"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 xml:space="preserve">ir jungiamojo </w:t>
            </w:r>
          </w:p>
          <w:p w14:paraId="7CA95DC3"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audinio sutrikimai</w:t>
            </w:r>
          </w:p>
        </w:tc>
        <w:tc>
          <w:tcPr>
            <w:tcW w:w="1656" w:type="dxa"/>
            <w:tcBorders>
              <w:top w:val="single" w:sz="4" w:space="0" w:color="000000"/>
              <w:left w:val="single" w:sz="4" w:space="0" w:color="000000"/>
              <w:bottom w:val="single" w:sz="4" w:space="0" w:color="000000"/>
              <w:right w:val="single" w:sz="4" w:space="0" w:color="000000"/>
            </w:tcBorders>
          </w:tcPr>
          <w:p w14:paraId="087EF190"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 xml:space="preserve">Labai dažni </w:t>
            </w:r>
          </w:p>
        </w:tc>
        <w:tc>
          <w:tcPr>
            <w:tcW w:w="4464" w:type="dxa"/>
            <w:tcBorders>
              <w:top w:val="single" w:sz="4" w:space="0" w:color="000000"/>
              <w:left w:val="single" w:sz="4" w:space="0" w:color="000000"/>
              <w:bottom w:val="single" w:sz="4" w:space="0" w:color="000000"/>
              <w:right w:val="single" w:sz="4" w:space="0" w:color="000000"/>
            </w:tcBorders>
          </w:tcPr>
          <w:p w14:paraId="0905CE33" w14:textId="77777777" w:rsidR="00B830AE" w:rsidRPr="001C169A" w:rsidRDefault="00B830AE" w:rsidP="005E1763">
            <w:pPr>
              <w:pStyle w:val="Puslapioinaostekstas"/>
              <w:autoSpaceDE w:val="0"/>
              <w:autoSpaceDN w:val="0"/>
              <w:adjustRightInd w:val="0"/>
              <w:jc w:val="left"/>
              <w:rPr>
                <w:sz w:val="22"/>
                <w:szCs w:val="22"/>
                <w:lang w:val="lt-LT"/>
              </w:rPr>
            </w:pPr>
            <w:proofErr w:type="spellStart"/>
            <w:r w:rsidRPr="001C169A">
              <w:rPr>
                <w:sz w:val="22"/>
                <w:szCs w:val="22"/>
                <w:lang w:val="lt-LT"/>
              </w:rPr>
              <w:t>Artralgija</w:t>
            </w:r>
            <w:proofErr w:type="spellEnd"/>
            <w:r w:rsidRPr="001C169A">
              <w:rPr>
                <w:sz w:val="22"/>
                <w:szCs w:val="22"/>
                <w:lang w:val="lt-LT"/>
              </w:rPr>
              <w:t xml:space="preserve"> / sąnarių sustingimas </w:t>
            </w:r>
          </w:p>
          <w:p w14:paraId="3EC42670"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Artritas</w:t>
            </w:r>
          </w:p>
          <w:p w14:paraId="06035B1A"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1C169A">
              <w:rPr>
                <w:sz w:val="22"/>
                <w:szCs w:val="22"/>
              </w:rPr>
              <w:t>Osteoporozė</w:t>
            </w:r>
          </w:p>
        </w:tc>
      </w:tr>
      <w:tr w:rsidR="00B830AE" w:rsidRPr="001C169A" w14:paraId="7317DD09" w14:textId="77777777" w:rsidTr="00C60E76">
        <w:trPr>
          <w:trHeight w:val="545"/>
        </w:trPr>
        <w:tc>
          <w:tcPr>
            <w:tcW w:w="2171" w:type="dxa"/>
            <w:tcBorders>
              <w:left w:val="single" w:sz="4" w:space="0" w:color="000000"/>
              <w:right w:val="single" w:sz="4" w:space="0" w:color="000000"/>
            </w:tcBorders>
          </w:tcPr>
          <w:p w14:paraId="7DAA4523" w14:textId="77777777" w:rsidR="00B830AE" w:rsidRPr="001C169A" w:rsidRDefault="00B830AE" w:rsidP="005E1763">
            <w:pPr>
              <w:pStyle w:val="Puslapioinaostekstas"/>
              <w:autoSpaceDE w:val="0"/>
              <w:autoSpaceDN w:val="0"/>
              <w:adjustRightInd w:val="0"/>
              <w:jc w:val="left"/>
              <w:rPr>
                <w:color w:val="000000"/>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082B4C40"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 xml:space="preserve">Dažni </w:t>
            </w:r>
          </w:p>
        </w:tc>
        <w:tc>
          <w:tcPr>
            <w:tcW w:w="4464" w:type="dxa"/>
            <w:tcBorders>
              <w:top w:val="single" w:sz="4" w:space="0" w:color="000000"/>
              <w:left w:val="single" w:sz="4" w:space="0" w:color="000000"/>
              <w:bottom w:val="single" w:sz="4" w:space="0" w:color="000000"/>
              <w:right w:val="single" w:sz="4" w:space="0" w:color="000000"/>
            </w:tcBorders>
          </w:tcPr>
          <w:p w14:paraId="0018E289"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 xml:space="preserve">Kaulų skausmas </w:t>
            </w:r>
          </w:p>
          <w:p w14:paraId="55B7467C" w14:textId="77777777" w:rsidR="00B830AE" w:rsidRPr="001C169A" w:rsidRDefault="00B830AE" w:rsidP="005E1763">
            <w:pPr>
              <w:pStyle w:val="Puslapioinaostekstas"/>
              <w:autoSpaceDE w:val="0"/>
              <w:autoSpaceDN w:val="0"/>
              <w:adjustRightInd w:val="0"/>
              <w:jc w:val="left"/>
              <w:rPr>
                <w:sz w:val="22"/>
                <w:szCs w:val="22"/>
                <w:lang w:val="lt-LT"/>
              </w:rPr>
            </w:pPr>
            <w:proofErr w:type="spellStart"/>
            <w:r w:rsidRPr="001C169A">
              <w:rPr>
                <w:sz w:val="22"/>
                <w:szCs w:val="22"/>
                <w:lang w:val="lt-LT"/>
              </w:rPr>
              <w:t>Mialgija</w:t>
            </w:r>
            <w:proofErr w:type="spellEnd"/>
          </w:p>
        </w:tc>
      </w:tr>
      <w:tr w:rsidR="00B44282" w:rsidRPr="001C169A" w14:paraId="48A16064" w14:textId="77777777" w:rsidTr="00C60E76">
        <w:trPr>
          <w:trHeight w:val="527"/>
        </w:trPr>
        <w:tc>
          <w:tcPr>
            <w:tcW w:w="2171" w:type="dxa"/>
            <w:tcBorders>
              <w:left w:val="single" w:sz="4" w:space="0" w:color="000000"/>
              <w:bottom w:val="single" w:sz="4" w:space="0" w:color="000000"/>
              <w:right w:val="single" w:sz="4" w:space="0" w:color="000000"/>
            </w:tcBorders>
          </w:tcPr>
          <w:p w14:paraId="75878F83" w14:textId="77777777" w:rsidR="00B830AE" w:rsidRPr="001C169A" w:rsidRDefault="00B830AE" w:rsidP="005E1763">
            <w:pPr>
              <w:pStyle w:val="Puslapioinaostekstas"/>
              <w:autoSpaceDE w:val="0"/>
              <w:autoSpaceDN w:val="0"/>
              <w:adjustRightInd w:val="0"/>
              <w:jc w:val="left"/>
              <w:rPr>
                <w:color w:val="000000"/>
                <w:sz w:val="22"/>
                <w:szCs w:val="22"/>
                <w:lang w:val="lt-LT"/>
              </w:rPr>
            </w:pPr>
          </w:p>
        </w:tc>
        <w:tc>
          <w:tcPr>
            <w:tcW w:w="1656" w:type="dxa"/>
            <w:tcBorders>
              <w:top w:val="single" w:sz="4" w:space="0" w:color="000000"/>
              <w:left w:val="single" w:sz="4" w:space="0" w:color="000000"/>
              <w:bottom w:val="single" w:sz="4" w:space="0" w:color="000000"/>
              <w:right w:val="single" w:sz="4" w:space="0" w:color="000000"/>
            </w:tcBorders>
          </w:tcPr>
          <w:p w14:paraId="6C998E7F"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 xml:space="preserve">Nedažni </w:t>
            </w:r>
          </w:p>
        </w:tc>
        <w:tc>
          <w:tcPr>
            <w:tcW w:w="4464" w:type="dxa"/>
            <w:tcBorders>
              <w:top w:val="single" w:sz="4" w:space="0" w:color="000000"/>
              <w:left w:val="single" w:sz="4" w:space="0" w:color="000000"/>
              <w:bottom w:val="single" w:sz="4" w:space="0" w:color="000000"/>
              <w:right w:val="single" w:sz="4" w:space="0" w:color="000000"/>
            </w:tcBorders>
          </w:tcPr>
          <w:p w14:paraId="59FC8C5B" w14:textId="77777777" w:rsidR="00B830AE" w:rsidRPr="001C169A" w:rsidRDefault="00B830AE" w:rsidP="005E1763">
            <w:pPr>
              <w:pStyle w:val="Komentarotema"/>
              <w:autoSpaceDE w:val="0"/>
              <w:autoSpaceDN w:val="0"/>
              <w:adjustRightInd w:val="0"/>
              <w:rPr>
                <w:b w:val="0"/>
                <w:sz w:val="22"/>
                <w:szCs w:val="22"/>
              </w:rPr>
            </w:pPr>
            <w:r w:rsidRPr="001C169A">
              <w:rPr>
                <w:b w:val="0"/>
                <w:bCs w:val="0"/>
                <w:sz w:val="22"/>
                <w:szCs w:val="22"/>
              </w:rPr>
              <w:t>„Užstrigęs“ (</w:t>
            </w:r>
            <w:proofErr w:type="spellStart"/>
            <w:r w:rsidRPr="001C169A">
              <w:rPr>
                <w:b w:val="0"/>
                <w:bCs w:val="0"/>
                <w:sz w:val="22"/>
                <w:szCs w:val="22"/>
              </w:rPr>
              <w:t>trigerinis</w:t>
            </w:r>
            <w:proofErr w:type="spellEnd"/>
            <w:r w:rsidRPr="001C169A">
              <w:rPr>
                <w:b w:val="0"/>
                <w:bCs w:val="0"/>
                <w:sz w:val="22"/>
                <w:szCs w:val="22"/>
              </w:rPr>
              <w:t>) pirštas</w:t>
            </w:r>
          </w:p>
        </w:tc>
      </w:tr>
      <w:tr w:rsidR="00B830AE" w:rsidRPr="001C169A" w14:paraId="4D2BC3C3" w14:textId="77777777" w:rsidTr="00C60E76">
        <w:trPr>
          <w:trHeight w:val="728"/>
        </w:trPr>
        <w:tc>
          <w:tcPr>
            <w:tcW w:w="2171" w:type="dxa"/>
            <w:tcBorders>
              <w:top w:val="single" w:sz="4" w:space="0" w:color="000000"/>
              <w:left w:val="single" w:sz="4" w:space="0" w:color="000000"/>
              <w:bottom w:val="single" w:sz="4" w:space="0" w:color="000000"/>
              <w:right w:val="single" w:sz="4" w:space="0" w:color="000000"/>
            </w:tcBorders>
          </w:tcPr>
          <w:p w14:paraId="71FBB44B"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 xml:space="preserve">Lytinės sistemos </w:t>
            </w:r>
          </w:p>
          <w:p w14:paraId="60408486"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 xml:space="preserve">ir krūties </w:t>
            </w:r>
          </w:p>
          <w:p w14:paraId="2628FC72"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sutrikimai</w:t>
            </w:r>
          </w:p>
        </w:tc>
        <w:tc>
          <w:tcPr>
            <w:tcW w:w="1656" w:type="dxa"/>
            <w:tcBorders>
              <w:top w:val="single" w:sz="4" w:space="0" w:color="000000"/>
              <w:left w:val="single" w:sz="4" w:space="0" w:color="000000"/>
              <w:bottom w:val="single" w:sz="4" w:space="0" w:color="000000"/>
              <w:right w:val="single" w:sz="4" w:space="0" w:color="000000"/>
            </w:tcBorders>
          </w:tcPr>
          <w:p w14:paraId="0D696D3F"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C60E76">
              <w:rPr>
                <w:sz w:val="22"/>
              </w:rPr>
              <w:t xml:space="preserve">Dažni </w:t>
            </w:r>
          </w:p>
        </w:tc>
        <w:tc>
          <w:tcPr>
            <w:tcW w:w="4464" w:type="dxa"/>
            <w:tcBorders>
              <w:top w:val="single" w:sz="4" w:space="0" w:color="000000"/>
              <w:left w:val="single" w:sz="4" w:space="0" w:color="000000"/>
              <w:bottom w:val="single" w:sz="4" w:space="0" w:color="000000"/>
              <w:right w:val="single" w:sz="4" w:space="0" w:color="000000"/>
            </w:tcBorders>
          </w:tcPr>
          <w:p w14:paraId="2090B679" w14:textId="77777777" w:rsidR="00B830AE" w:rsidRPr="001C169A" w:rsidRDefault="00B830AE" w:rsidP="005E1763">
            <w:pPr>
              <w:pStyle w:val="Antrats"/>
              <w:tabs>
                <w:tab w:val="clear" w:pos="4819"/>
                <w:tab w:val="clear" w:pos="9638"/>
                <w:tab w:val="left" w:pos="425"/>
              </w:tabs>
              <w:autoSpaceDE w:val="0"/>
              <w:autoSpaceDN w:val="0"/>
              <w:adjustRightInd w:val="0"/>
              <w:spacing w:line="260" w:lineRule="exact"/>
              <w:ind w:left="425" w:hanging="425"/>
              <w:rPr>
                <w:sz w:val="22"/>
                <w:szCs w:val="22"/>
              </w:rPr>
            </w:pPr>
            <w:r w:rsidRPr="001C169A">
              <w:rPr>
                <w:sz w:val="22"/>
                <w:szCs w:val="22"/>
              </w:rPr>
              <w:t xml:space="preserve">Makšties sausumas </w:t>
            </w:r>
          </w:p>
          <w:p w14:paraId="6AB4F65A" w14:textId="77777777" w:rsidR="00B830AE" w:rsidRPr="001C169A" w:rsidRDefault="00B830AE" w:rsidP="005E1763">
            <w:pPr>
              <w:pStyle w:val="Puslapioinaostekstas"/>
              <w:autoSpaceDE w:val="0"/>
              <w:autoSpaceDN w:val="0"/>
              <w:adjustRightInd w:val="0"/>
              <w:jc w:val="left"/>
              <w:rPr>
                <w:sz w:val="22"/>
                <w:szCs w:val="22"/>
                <w:lang w:val="lt-LT"/>
              </w:rPr>
            </w:pPr>
            <w:r w:rsidRPr="001C169A">
              <w:rPr>
                <w:sz w:val="22"/>
                <w:szCs w:val="22"/>
                <w:lang w:val="lt-LT"/>
              </w:rPr>
              <w:t>Kraujavimas iš makšties</w:t>
            </w:r>
            <w:r w:rsidRPr="00C60E76">
              <w:rPr>
                <w:sz w:val="22"/>
                <w:lang w:val="lt-LT"/>
              </w:rPr>
              <w:t>***</w:t>
            </w:r>
            <w:r w:rsidRPr="001C169A">
              <w:rPr>
                <w:sz w:val="22"/>
                <w:szCs w:val="22"/>
                <w:lang w:val="lt-LT"/>
              </w:rPr>
              <w:t xml:space="preserve"> </w:t>
            </w:r>
          </w:p>
          <w:p w14:paraId="3B5BD5F4" w14:textId="77777777" w:rsidR="00B830AE" w:rsidRPr="001C169A" w:rsidRDefault="00B830AE" w:rsidP="005E1763">
            <w:pPr>
              <w:pStyle w:val="Puslapioinaostekstas"/>
              <w:autoSpaceDE w:val="0"/>
              <w:autoSpaceDN w:val="0"/>
              <w:adjustRightInd w:val="0"/>
              <w:jc w:val="left"/>
              <w:rPr>
                <w:sz w:val="22"/>
                <w:szCs w:val="22"/>
                <w:lang w:val="lt-LT"/>
              </w:rPr>
            </w:pPr>
          </w:p>
        </w:tc>
      </w:tr>
      <w:tr w:rsidR="00B830AE" w:rsidRPr="001C169A" w14:paraId="5FCABE83" w14:textId="77777777" w:rsidTr="00C60E76">
        <w:trPr>
          <w:trHeight w:val="728"/>
        </w:trPr>
        <w:tc>
          <w:tcPr>
            <w:tcW w:w="2171" w:type="dxa"/>
            <w:tcBorders>
              <w:top w:val="single" w:sz="4" w:space="0" w:color="000000"/>
              <w:left w:val="single" w:sz="4" w:space="0" w:color="000000"/>
              <w:bottom w:val="single" w:sz="4" w:space="0" w:color="000000"/>
              <w:right w:val="single" w:sz="4" w:space="0" w:color="000000"/>
            </w:tcBorders>
          </w:tcPr>
          <w:p w14:paraId="2301ECAE" w14:textId="77777777" w:rsidR="00B830AE" w:rsidRPr="00A23BF7" w:rsidRDefault="00B830AE" w:rsidP="005E1763">
            <w:pPr>
              <w:pStyle w:val="Picture"/>
              <w:tabs>
                <w:tab w:val="left" w:pos="425"/>
              </w:tabs>
              <w:autoSpaceDE w:val="0"/>
              <w:autoSpaceDN w:val="0"/>
              <w:adjustRightInd w:val="0"/>
              <w:spacing w:after="0" w:line="260" w:lineRule="exact"/>
              <w:ind w:left="425" w:hanging="425"/>
              <w:jc w:val="left"/>
              <w:rPr>
                <w:sz w:val="22"/>
                <w:szCs w:val="22"/>
                <w:lang w:val="lt-LT"/>
              </w:rPr>
            </w:pPr>
            <w:r w:rsidRPr="001C169A">
              <w:rPr>
                <w:sz w:val="22"/>
                <w:szCs w:val="22"/>
                <w:lang w:val="lt-LT"/>
              </w:rPr>
              <w:t xml:space="preserve">Bendrieji </w:t>
            </w:r>
          </w:p>
          <w:p w14:paraId="1BE184B6" w14:textId="77777777" w:rsidR="00B830AE" w:rsidRPr="001C169A" w:rsidRDefault="00B830AE" w:rsidP="005E1763">
            <w:pPr>
              <w:pStyle w:val="Picture"/>
              <w:tabs>
                <w:tab w:val="left" w:pos="425"/>
              </w:tabs>
              <w:autoSpaceDE w:val="0"/>
              <w:autoSpaceDN w:val="0"/>
              <w:adjustRightInd w:val="0"/>
              <w:spacing w:after="0" w:line="260" w:lineRule="exact"/>
              <w:jc w:val="left"/>
              <w:rPr>
                <w:sz w:val="22"/>
                <w:szCs w:val="22"/>
                <w:lang w:val="lt-LT"/>
              </w:rPr>
            </w:pPr>
            <w:r w:rsidRPr="001C169A">
              <w:rPr>
                <w:sz w:val="22"/>
                <w:szCs w:val="22"/>
                <w:lang w:val="lt-LT"/>
              </w:rPr>
              <w:lastRenderedPageBreak/>
              <w:t>sutrikimai ir vartojimo vietos pažeidimai</w:t>
            </w:r>
          </w:p>
        </w:tc>
        <w:tc>
          <w:tcPr>
            <w:tcW w:w="1656" w:type="dxa"/>
            <w:tcBorders>
              <w:top w:val="single" w:sz="4" w:space="0" w:color="000000"/>
              <w:left w:val="single" w:sz="4" w:space="0" w:color="000000"/>
              <w:bottom w:val="single" w:sz="4" w:space="0" w:color="000000"/>
              <w:right w:val="single" w:sz="4" w:space="0" w:color="000000"/>
            </w:tcBorders>
          </w:tcPr>
          <w:p w14:paraId="35AD081E" w14:textId="77777777" w:rsidR="00B830AE" w:rsidRPr="001C169A" w:rsidRDefault="00B830AE" w:rsidP="005E1763">
            <w:pPr>
              <w:pStyle w:val="Pagrindinistekstas2"/>
              <w:tabs>
                <w:tab w:val="left" w:pos="425"/>
              </w:tabs>
              <w:autoSpaceDE w:val="0"/>
              <w:autoSpaceDN w:val="0"/>
              <w:adjustRightInd w:val="0"/>
              <w:spacing w:before="120" w:after="0" w:line="260" w:lineRule="exact"/>
              <w:rPr>
                <w:sz w:val="22"/>
                <w:szCs w:val="22"/>
              </w:rPr>
            </w:pPr>
            <w:r w:rsidRPr="00C60E76">
              <w:rPr>
                <w:sz w:val="22"/>
              </w:rPr>
              <w:lastRenderedPageBreak/>
              <w:t xml:space="preserve">Labai dažni </w:t>
            </w:r>
          </w:p>
        </w:tc>
        <w:tc>
          <w:tcPr>
            <w:tcW w:w="4464" w:type="dxa"/>
            <w:tcBorders>
              <w:top w:val="single" w:sz="4" w:space="0" w:color="000000"/>
              <w:left w:val="single" w:sz="4" w:space="0" w:color="000000"/>
              <w:bottom w:val="single" w:sz="4" w:space="0" w:color="000000"/>
              <w:right w:val="single" w:sz="4" w:space="0" w:color="000000"/>
            </w:tcBorders>
          </w:tcPr>
          <w:p w14:paraId="4A1D441C" w14:textId="77777777" w:rsidR="00B830AE" w:rsidRPr="001C169A" w:rsidRDefault="00B830AE" w:rsidP="005E1763">
            <w:pPr>
              <w:pStyle w:val="Pagrindinistekstas2"/>
              <w:tabs>
                <w:tab w:val="left" w:pos="425"/>
              </w:tabs>
              <w:autoSpaceDE w:val="0"/>
              <w:autoSpaceDN w:val="0"/>
              <w:adjustRightInd w:val="0"/>
              <w:spacing w:after="0" w:line="240" w:lineRule="auto"/>
              <w:ind w:left="432" w:hanging="432"/>
              <w:rPr>
                <w:sz w:val="22"/>
                <w:szCs w:val="22"/>
              </w:rPr>
            </w:pPr>
            <w:proofErr w:type="spellStart"/>
            <w:r w:rsidRPr="00C60E76">
              <w:rPr>
                <w:sz w:val="22"/>
              </w:rPr>
              <w:t>Astenija</w:t>
            </w:r>
            <w:proofErr w:type="spellEnd"/>
            <w:r w:rsidRPr="00C60E76">
              <w:rPr>
                <w:sz w:val="22"/>
              </w:rPr>
              <w:t xml:space="preserve"> </w:t>
            </w:r>
          </w:p>
        </w:tc>
      </w:tr>
    </w:tbl>
    <w:p w14:paraId="7FFB8758" w14:textId="77777777" w:rsidR="00B830AE" w:rsidRPr="001C169A" w:rsidRDefault="00B830AE" w:rsidP="00B830AE">
      <w:pPr>
        <w:pStyle w:val="BTEMEASMCA"/>
      </w:pPr>
    </w:p>
    <w:p w14:paraId="6F84406A" w14:textId="77777777" w:rsidR="00B830AE" w:rsidRPr="001C169A" w:rsidRDefault="00B830AE" w:rsidP="00B830AE">
      <w:pPr>
        <w:pStyle w:val="Pagrindinistekstas"/>
        <w:spacing w:after="0"/>
        <w:rPr>
          <w:szCs w:val="22"/>
        </w:rPr>
      </w:pPr>
      <w:r w:rsidRPr="001C169A">
        <w:rPr>
          <w:szCs w:val="22"/>
        </w:rPr>
        <w:t xml:space="preserve">* Riešo kanalo tunelinis sindromas dažniau nustatytas pacientams, kurie klinikinių tyrimų metu vartojo </w:t>
      </w:r>
      <w:proofErr w:type="spellStart"/>
      <w:r w:rsidRPr="001C169A">
        <w:rPr>
          <w:szCs w:val="22"/>
        </w:rPr>
        <w:t>anastrozolą</w:t>
      </w:r>
      <w:proofErr w:type="spellEnd"/>
      <w:r w:rsidRPr="001C169A">
        <w:rPr>
          <w:szCs w:val="22"/>
        </w:rPr>
        <w:t xml:space="preserve">, nei tiems, kurie vartojo </w:t>
      </w:r>
      <w:proofErr w:type="spellStart"/>
      <w:r w:rsidRPr="001C169A">
        <w:rPr>
          <w:szCs w:val="22"/>
        </w:rPr>
        <w:t>tamoksifeną</w:t>
      </w:r>
      <w:proofErr w:type="spellEnd"/>
      <w:r w:rsidRPr="001C169A">
        <w:rPr>
          <w:szCs w:val="22"/>
        </w:rPr>
        <w:t>. Tačiau dauguma šių atvejų pasireiškė pacientams su išreikštais rizikos veiksniais.</w:t>
      </w:r>
    </w:p>
    <w:p w14:paraId="3FA80FAE" w14:textId="1907FED3" w:rsidR="00B830AE" w:rsidRPr="001C169A" w:rsidRDefault="00B830AE" w:rsidP="00B830AE">
      <w:pPr>
        <w:pStyle w:val="Pagrindinistekstas"/>
        <w:spacing w:after="0"/>
        <w:rPr>
          <w:szCs w:val="22"/>
        </w:rPr>
      </w:pPr>
      <w:r w:rsidRPr="001C169A">
        <w:rPr>
          <w:szCs w:val="22"/>
        </w:rPr>
        <w:t xml:space="preserve">**Kadangi odos </w:t>
      </w:r>
      <w:proofErr w:type="spellStart"/>
      <w:r w:rsidRPr="001C169A">
        <w:rPr>
          <w:szCs w:val="22"/>
        </w:rPr>
        <w:t>vaskulitas</w:t>
      </w:r>
      <w:proofErr w:type="spellEnd"/>
      <w:r w:rsidRPr="001C169A">
        <w:rPr>
          <w:szCs w:val="22"/>
        </w:rPr>
        <w:t xml:space="preserve"> ir </w:t>
      </w:r>
      <w:proofErr w:type="spellStart"/>
      <w:r w:rsidRPr="001C169A">
        <w:rPr>
          <w:szCs w:val="22"/>
        </w:rPr>
        <w:t>Henoko-Šionlaino</w:t>
      </w:r>
      <w:proofErr w:type="spellEnd"/>
      <w:r w:rsidRPr="001C169A">
        <w:rPr>
          <w:szCs w:val="22"/>
        </w:rPr>
        <w:t xml:space="preserve"> purpura nebuvo užfiksuota ATAC tyrimo metu, todėl jų dažnis įvertintas kaip „Retai“ (≥0,01</w:t>
      </w:r>
      <w:r w:rsidR="0067791E" w:rsidRPr="001C169A">
        <w:rPr>
          <w:szCs w:val="22"/>
        </w:rPr>
        <w:t> </w:t>
      </w:r>
      <w:r w:rsidRPr="001C169A">
        <w:rPr>
          <w:szCs w:val="22"/>
        </w:rPr>
        <w:t>% ir &lt;0,1</w:t>
      </w:r>
      <w:r w:rsidR="0067791E" w:rsidRPr="001C169A">
        <w:rPr>
          <w:szCs w:val="22"/>
        </w:rPr>
        <w:t> </w:t>
      </w:r>
      <w:r w:rsidRPr="001C169A">
        <w:rPr>
          <w:szCs w:val="22"/>
        </w:rPr>
        <w:t>%), atsižvelgiant į blogiausią vidutinį vertinimą.</w:t>
      </w:r>
    </w:p>
    <w:p w14:paraId="2D6E52B7" w14:textId="77777777" w:rsidR="00B830AE" w:rsidRPr="001C169A" w:rsidRDefault="00B830AE" w:rsidP="00B830AE">
      <w:pPr>
        <w:pStyle w:val="Pagrindinistekstas"/>
        <w:spacing w:after="0"/>
        <w:rPr>
          <w:szCs w:val="22"/>
        </w:rPr>
      </w:pPr>
      <w:r w:rsidRPr="001C169A">
        <w:rPr>
          <w:szCs w:val="22"/>
        </w:rPr>
        <w:t>*** Kraujavimas iš makšties prasidėdavo dažnai, dauguma atvejų progresavusiu krūties vėžiu sergančioms pacien</w:t>
      </w:r>
      <w:r w:rsidRPr="001C169A">
        <w:rPr>
          <w:szCs w:val="22"/>
        </w:rPr>
        <w:softHyphen/>
        <w:t xml:space="preserve">tėms per pirmąsias savaites po to, kai </w:t>
      </w:r>
      <w:proofErr w:type="spellStart"/>
      <w:r w:rsidRPr="001C169A">
        <w:rPr>
          <w:szCs w:val="22"/>
        </w:rPr>
        <w:t>anastrozolas</w:t>
      </w:r>
      <w:proofErr w:type="spellEnd"/>
      <w:r w:rsidRPr="001C169A">
        <w:rPr>
          <w:szCs w:val="22"/>
        </w:rPr>
        <w:t xml:space="preserve"> pradėtas vartoti vietoje kitų hormoninių vaistinių preparatų. Jei kraujavimas nesustoja, svarstytina papildomo ištyrimo būtinybė.</w:t>
      </w:r>
    </w:p>
    <w:p w14:paraId="7C67FB69" w14:textId="77777777" w:rsidR="00B830AE" w:rsidRPr="001C169A" w:rsidRDefault="00B830AE" w:rsidP="00B830AE">
      <w:pPr>
        <w:pStyle w:val="Pagrindinistekstas"/>
        <w:spacing w:after="0"/>
        <w:rPr>
          <w:szCs w:val="22"/>
        </w:rPr>
      </w:pPr>
      <w:r w:rsidRPr="001C169A">
        <w:rPr>
          <w:szCs w:val="22"/>
        </w:rPr>
        <w:t>Žemiau pateikiamoje lentelėje nurodomas iš anksto numatytų nepageidaujamų reiškinių dažnis ATAC tyrimo metu per stebėjimo laikotarpį, kurio mediana buvo 68 mėnesiai, (nepriklausomai nuo priežasties) vartojant tyrimui skirtus vaistinius preparatus ir iki 14 dienų po jų vartojimo.</w:t>
      </w:r>
    </w:p>
    <w:p w14:paraId="3C24EF8B" w14:textId="77777777" w:rsidR="00B830AE" w:rsidRPr="001C169A" w:rsidRDefault="00B830AE" w:rsidP="00B830AE">
      <w:pPr>
        <w:pStyle w:val="BTEMEASMCA"/>
      </w:pPr>
    </w:p>
    <w:p w14:paraId="70067FD5" w14:textId="77777777" w:rsidR="00B830AE" w:rsidRPr="001C169A" w:rsidRDefault="00B830AE" w:rsidP="00B830AE">
      <w:pPr>
        <w:pStyle w:val="BTEMEASMCA"/>
      </w:pPr>
      <w:r w:rsidRPr="001C169A">
        <w:t>2 lentelė. ATAC tyrimo iš anksto numatyti nepageidaujami reiškiniai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913"/>
        <w:gridCol w:w="1914"/>
      </w:tblGrid>
      <w:tr w:rsidR="00B44282" w:rsidRPr="001C169A" w14:paraId="7169804F" w14:textId="77777777" w:rsidTr="00C60E76">
        <w:trPr>
          <w:cantSplit/>
          <w:tblHeader/>
        </w:trPr>
        <w:tc>
          <w:tcPr>
            <w:tcW w:w="5529" w:type="dxa"/>
          </w:tcPr>
          <w:p w14:paraId="44631480" w14:textId="77777777" w:rsidR="00B830AE" w:rsidRPr="001C169A" w:rsidRDefault="00B830AE" w:rsidP="005E1763">
            <w:pPr>
              <w:pStyle w:val="Pagrindinistekstas"/>
              <w:spacing w:after="0"/>
              <w:rPr>
                <w:b/>
                <w:szCs w:val="22"/>
              </w:rPr>
            </w:pPr>
            <w:r w:rsidRPr="001C169A">
              <w:rPr>
                <w:b/>
                <w:szCs w:val="22"/>
              </w:rPr>
              <w:t>Nepageidaujami poveikiai</w:t>
            </w:r>
          </w:p>
        </w:tc>
        <w:tc>
          <w:tcPr>
            <w:tcW w:w="1913" w:type="dxa"/>
          </w:tcPr>
          <w:p w14:paraId="281651BC" w14:textId="77777777" w:rsidR="00B830AE" w:rsidRPr="001C169A" w:rsidRDefault="00B830AE" w:rsidP="005E1763">
            <w:pPr>
              <w:pStyle w:val="Pagrindinistekstas"/>
              <w:spacing w:after="0"/>
              <w:jc w:val="center"/>
              <w:rPr>
                <w:b/>
                <w:szCs w:val="22"/>
              </w:rPr>
            </w:pPr>
            <w:proofErr w:type="spellStart"/>
            <w:r w:rsidRPr="001C169A">
              <w:rPr>
                <w:b/>
                <w:szCs w:val="22"/>
                <w:u w:val="single"/>
              </w:rPr>
              <w:t>Anastrozolas</w:t>
            </w:r>
            <w:proofErr w:type="spellEnd"/>
            <w:r w:rsidRPr="001C169A">
              <w:rPr>
                <w:b/>
                <w:szCs w:val="22"/>
                <w:u w:val="single"/>
              </w:rPr>
              <w:br/>
              <w:t>(N=3092)</w:t>
            </w:r>
          </w:p>
        </w:tc>
        <w:tc>
          <w:tcPr>
            <w:tcW w:w="1914" w:type="dxa"/>
          </w:tcPr>
          <w:p w14:paraId="7B4A6DF6" w14:textId="77777777" w:rsidR="00B830AE" w:rsidRPr="001C169A" w:rsidRDefault="00B830AE" w:rsidP="005E1763">
            <w:pPr>
              <w:pStyle w:val="Pagrindinistekstas"/>
              <w:spacing w:after="0"/>
              <w:jc w:val="center"/>
              <w:rPr>
                <w:b/>
                <w:szCs w:val="22"/>
              </w:rPr>
            </w:pPr>
            <w:proofErr w:type="spellStart"/>
            <w:r w:rsidRPr="001C169A">
              <w:rPr>
                <w:b/>
                <w:szCs w:val="22"/>
                <w:u w:val="single"/>
              </w:rPr>
              <w:t>Tamoksifenas</w:t>
            </w:r>
            <w:proofErr w:type="spellEnd"/>
            <w:r w:rsidRPr="001C169A">
              <w:rPr>
                <w:b/>
                <w:szCs w:val="22"/>
                <w:u w:val="single"/>
              </w:rPr>
              <w:br/>
              <w:t>(N=3094)</w:t>
            </w:r>
          </w:p>
        </w:tc>
      </w:tr>
      <w:tr w:rsidR="00B44282" w:rsidRPr="001C169A" w14:paraId="40A5D1D4" w14:textId="77777777" w:rsidTr="00C60E76">
        <w:trPr>
          <w:cantSplit/>
        </w:trPr>
        <w:tc>
          <w:tcPr>
            <w:tcW w:w="5529" w:type="dxa"/>
          </w:tcPr>
          <w:p w14:paraId="776C3FF8" w14:textId="77777777" w:rsidR="00B830AE" w:rsidRPr="001C169A" w:rsidRDefault="00B830AE" w:rsidP="005E1763">
            <w:pPr>
              <w:pStyle w:val="Pagrindinistekstas"/>
              <w:spacing w:after="0"/>
              <w:rPr>
                <w:szCs w:val="22"/>
              </w:rPr>
            </w:pPr>
            <w:r w:rsidRPr="001C169A">
              <w:rPr>
                <w:szCs w:val="22"/>
              </w:rPr>
              <w:t>Karščio pylimas</w:t>
            </w:r>
          </w:p>
        </w:tc>
        <w:tc>
          <w:tcPr>
            <w:tcW w:w="1913" w:type="dxa"/>
          </w:tcPr>
          <w:p w14:paraId="0EDF153E" w14:textId="62C7A6D0" w:rsidR="00B830AE" w:rsidRPr="001C169A" w:rsidRDefault="00B830AE" w:rsidP="005E1763">
            <w:pPr>
              <w:pStyle w:val="Pagrindinistekstas"/>
              <w:spacing w:after="0"/>
              <w:jc w:val="center"/>
              <w:rPr>
                <w:szCs w:val="22"/>
              </w:rPr>
            </w:pPr>
            <w:r w:rsidRPr="001C169A">
              <w:rPr>
                <w:szCs w:val="22"/>
              </w:rPr>
              <w:t>1104 (35,7</w:t>
            </w:r>
            <w:r w:rsidR="0067791E" w:rsidRPr="001C169A">
              <w:rPr>
                <w:szCs w:val="22"/>
              </w:rPr>
              <w:t> </w:t>
            </w:r>
            <w:r w:rsidRPr="001C169A">
              <w:rPr>
                <w:szCs w:val="22"/>
              </w:rPr>
              <w:t>%)</w:t>
            </w:r>
          </w:p>
        </w:tc>
        <w:tc>
          <w:tcPr>
            <w:tcW w:w="1914" w:type="dxa"/>
          </w:tcPr>
          <w:p w14:paraId="1F3EA0A6" w14:textId="20576251" w:rsidR="00B830AE" w:rsidRPr="001C169A" w:rsidRDefault="00B830AE" w:rsidP="005E1763">
            <w:pPr>
              <w:pStyle w:val="Pagrindinistekstas"/>
              <w:spacing w:after="0"/>
              <w:jc w:val="center"/>
              <w:rPr>
                <w:szCs w:val="22"/>
              </w:rPr>
            </w:pPr>
            <w:r w:rsidRPr="001C169A">
              <w:rPr>
                <w:szCs w:val="22"/>
              </w:rPr>
              <w:t>1264 (40,9</w:t>
            </w:r>
            <w:r w:rsidR="0067791E" w:rsidRPr="001C169A">
              <w:rPr>
                <w:szCs w:val="22"/>
              </w:rPr>
              <w:t> </w:t>
            </w:r>
            <w:r w:rsidRPr="001C169A">
              <w:rPr>
                <w:szCs w:val="22"/>
              </w:rPr>
              <w:t>%)</w:t>
            </w:r>
          </w:p>
        </w:tc>
      </w:tr>
      <w:tr w:rsidR="00B44282" w:rsidRPr="001C169A" w14:paraId="11E2E7F3" w14:textId="77777777" w:rsidTr="00C60E76">
        <w:trPr>
          <w:cantSplit/>
        </w:trPr>
        <w:tc>
          <w:tcPr>
            <w:tcW w:w="5529" w:type="dxa"/>
          </w:tcPr>
          <w:p w14:paraId="346F7D78" w14:textId="77777777" w:rsidR="00B830AE" w:rsidRPr="001C169A" w:rsidRDefault="00B830AE" w:rsidP="005E1763">
            <w:pPr>
              <w:pStyle w:val="Pagrindinistekstas"/>
              <w:spacing w:after="0"/>
              <w:rPr>
                <w:szCs w:val="22"/>
              </w:rPr>
            </w:pPr>
            <w:r w:rsidRPr="001C169A">
              <w:rPr>
                <w:szCs w:val="22"/>
              </w:rPr>
              <w:t>Sąnarių skausmas/stingulys</w:t>
            </w:r>
          </w:p>
        </w:tc>
        <w:tc>
          <w:tcPr>
            <w:tcW w:w="1913" w:type="dxa"/>
          </w:tcPr>
          <w:p w14:paraId="342D3B10" w14:textId="53636E5A" w:rsidR="00B830AE" w:rsidRPr="001C169A" w:rsidRDefault="00B830AE" w:rsidP="005E1763">
            <w:pPr>
              <w:pStyle w:val="Pagrindinistekstas"/>
              <w:spacing w:after="0"/>
              <w:jc w:val="center"/>
              <w:rPr>
                <w:szCs w:val="22"/>
              </w:rPr>
            </w:pPr>
            <w:r w:rsidRPr="001C169A">
              <w:rPr>
                <w:szCs w:val="22"/>
              </w:rPr>
              <w:t>1100 (35,6</w:t>
            </w:r>
            <w:r w:rsidR="0067791E" w:rsidRPr="001C169A">
              <w:rPr>
                <w:szCs w:val="22"/>
              </w:rPr>
              <w:t> </w:t>
            </w:r>
            <w:r w:rsidRPr="001C169A">
              <w:rPr>
                <w:szCs w:val="22"/>
              </w:rPr>
              <w:t>%)</w:t>
            </w:r>
          </w:p>
        </w:tc>
        <w:tc>
          <w:tcPr>
            <w:tcW w:w="1914" w:type="dxa"/>
          </w:tcPr>
          <w:p w14:paraId="463F9FD1" w14:textId="288D63FD" w:rsidR="00B830AE" w:rsidRPr="001C169A" w:rsidRDefault="00B830AE" w:rsidP="005E1763">
            <w:pPr>
              <w:pStyle w:val="Pagrindinistekstas"/>
              <w:spacing w:after="0"/>
              <w:jc w:val="center"/>
              <w:rPr>
                <w:szCs w:val="22"/>
              </w:rPr>
            </w:pPr>
            <w:r w:rsidRPr="001C169A">
              <w:rPr>
                <w:szCs w:val="22"/>
              </w:rPr>
              <w:t>911 (29,4</w:t>
            </w:r>
            <w:r w:rsidR="0067791E" w:rsidRPr="001C169A">
              <w:rPr>
                <w:szCs w:val="22"/>
              </w:rPr>
              <w:t> </w:t>
            </w:r>
            <w:r w:rsidRPr="001C169A">
              <w:rPr>
                <w:szCs w:val="22"/>
              </w:rPr>
              <w:t>%)</w:t>
            </w:r>
          </w:p>
        </w:tc>
      </w:tr>
      <w:tr w:rsidR="00B44282" w:rsidRPr="001C169A" w14:paraId="47FD8A22" w14:textId="77777777" w:rsidTr="00C60E76">
        <w:trPr>
          <w:cantSplit/>
        </w:trPr>
        <w:tc>
          <w:tcPr>
            <w:tcW w:w="5529" w:type="dxa"/>
          </w:tcPr>
          <w:p w14:paraId="48E912A5" w14:textId="77777777" w:rsidR="00B830AE" w:rsidRPr="001C169A" w:rsidRDefault="00B830AE" w:rsidP="005E1763">
            <w:pPr>
              <w:pStyle w:val="Pagrindinistekstas"/>
              <w:spacing w:after="0"/>
              <w:rPr>
                <w:szCs w:val="22"/>
              </w:rPr>
            </w:pPr>
            <w:r w:rsidRPr="001C169A">
              <w:rPr>
                <w:szCs w:val="22"/>
              </w:rPr>
              <w:t>Nuotaikos sutrikimai</w:t>
            </w:r>
          </w:p>
        </w:tc>
        <w:tc>
          <w:tcPr>
            <w:tcW w:w="1913" w:type="dxa"/>
          </w:tcPr>
          <w:p w14:paraId="307D14B7" w14:textId="5341ACF6" w:rsidR="00B830AE" w:rsidRPr="001C169A" w:rsidRDefault="00B830AE" w:rsidP="005E1763">
            <w:pPr>
              <w:pStyle w:val="Pagrindinistekstas"/>
              <w:spacing w:after="0"/>
              <w:jc w:val="center"/>
              <w:rPr>
                <w:szCs w:val="22"/>
              </w:rPr>
            </w:pPr>
            <w:r w:rsidRPr="001C169A">
              <w:rPr>
                <w:szCs w:val="22"/>
              </w:rPr>
              <w:t>597 (19,3</w:t>
            </w:r>
            <w:r w:rsidR="0067791E" w:rsidRPr="001C169A">
              <w:rPr>
                <w:szCs w:val="22"/>
              </w:rPr>
              <w:t> </w:t>
            </w:r>
            <w:r w:rsidRPr="001C169A">
              <w:rPr>
                <w:szCs w:val="22"/>
              </w:rPr>
              <w:t>%)</w:t>
            </w:r>
          </w:p>
        </w:tc>
        <w:tc>
          <w:tcPr>
            <w:tcW w:w="1914" w:type="dxa"/>
          </w:tcPr>
          <w:p w14:paraId="499082FA" w14:textId="19954138" w:rsidR="00B830AE" w:rsidRPr="001C169A" w:rsidRDefault="00B830AE" w:rsidP="005E1763">
            <w:pPr>
              <w:pStyle w:val="Pagrindinistekstas"/>
              <w:spacing w:after="0"/>
              <w:jc w:val="center"/>
              <w:rPr>
                <w:szCs w:val="22"/>
              </w:rPr>
            </w:pPr>
            <w:r w:rsidRPr="001C169A">
              <w:rPr>
                <w:szCs w:val="22"/>
              </w:rPr>
              <w:t>554 (17,9</w:t>
            </w:r>
            <w:r w:rsidR="0067791E" w:rsidRPr="001C169A">
              <w:rPr>
                <w:szCs w:val="22"/>
              </w:rPr>
              <w:t> </w:t>
            </w:r>
            <w:r w:rsidRPr="001C169A">
              <w:rPr>
                <w:szCs w:val="22"/>
              </w:rPr>
              <w:t>%)</w:t>
            </w:r>
          </w:p>
        </w:tc>
      </w:tr>
      <w:tr w:rsidR="00B44282" w:rsidRPr="001C169A" w14:paraId="3C569E17" w14:textId="77777777" w:rsidTr="00C60E76">
        <w:trPr>
          <w:cantSplit/>
        </w:trPr>
        <w:tc>
          <w:tcPr>
            <w:tcW w:w="5529" w:type="dxa"/>
          </w:tcPr>
          <w:p w14:paraId="64A927F8" w14:textId="77777777" w:rsidR="00B830AE" w:rsidRPr="001C169A" w:rsidRDefault="00B830AE" w:rsidP="005E1763">
            <w:pPr>
              <w:pStyle w:val="Pagrindinistekstas"/>
              <w:spacing w:after="0"/>
              <w:rPr>
                <w:szCs w:val="22"/>
              </w:rPr>
            </w:pPr>
            <w:r w:rsidRPr="001C169A">
              <w:rPr>
                <w:szCs w:val="22"/>
              </w:rPr>
              <w:t>Nuovargis/</w:t>
            </w:r>
            <w:proofErr w:type="spellStart"/>
            <w:r w:rsidRPr="001C169A">
              <w:rPr>
                <w:szCs w:val="22"/>
              </w:rPr>
              <w:t>astenija</w:t>
            </w:r>
            <w:proofErr w:type="spellEnd"/>
          </w:p>
        </w:tc>
        <w:tc>
          <w:tcPr>
            <w:tcW w:w="1913" w:type="dxa"/>
          </w:tcPr>
          <w:p w14:paraId="486F4B55" w14:textId="0DF3D1BF" w:rsidR="00B830AE" w:rsidRPr="001C169A" w:rsidRDefault="00B830AE" w:rsidP="005E1763">
            <w:pPr>
              <w:pStyle w:val="Pagrindinistekstas"/>
              <w:spacing w:after="0"/>
              <w:jc w:val="center"/>
              <w:rPr>
                <w:szCs w:val="22"/>
              </w:rPr>
            </w:pPr>
            <w:r w:rsidRPr="001C169A">
              <w:rPr>
                <w:szCs w:val="22"/>
              </w:rPr>
              <w:t>575 (18,6</w:t>
            </w:r>
            <w:r w:rsidR="0067791E" w:rsidRPr="001C169A">
              <w:rPr>
                <w:szCs w:val="22"/>
              </w:rPr>
              <w:t> </w:t>
            </w:r>
            <w:r w:rsidRPr="001C169A">
              <w:rPr>
                <w:szCs w:val="22"/>
              </w:rPr>
              <w:t>%)</w:t>
            </w:r>
          </w:p>
        </w:tc>
        <w:tc>
          <w:tcPr>
            <w:tcW w:w="1914" w:type="dxa"/>
          </w:tcPr>
          <w:p w14:paraId="70A9C77B" w14:textId="5DC23C0A" w:rsidR="00B830AE" w:rsidRPr="001C169A" w:rsidRDefault="00B830AE" w:rsidP="005E1763">
            <w:pPr>
              <w:pStyle w:val="Pagrindinistekstas"/>
              <w:spacing w:after="0"/>
              <w:jc w:val="center"/>
              <w:rPr>
                <w:szCs w:val="22"/>
              </w:rPr>
            </w:pPr>
            <w:r w:rsidRPr="001C169A">
              <w:rPr>
                <w:szCs w:val="22"/>
              </w:rPr>
              <w:t>544 (17,6</w:t>
            </w:r>
            <w:r w:rsidR="0067791E" w:rsidRPr="001C169A">
              <w:rPr>
                <w:szCs w:val="22"/>
              </w:rPr>
              <w:t> </w:t>
            </w:r>
            <w:r w:rsidRPr="001C169A">
              <w:rPr>
                <w:szCs w:val="22"/>
              </w:rPr>
              <w:t>%)</w:t>
            </w:r>
          </w:p>
        </w:tc>
      </w:tr>
      <w:tr w:rsidR="00B44282" w:rsidRPr="001C169A" w14:paraId="22B44820" w14:textId="77777777" w:rsidTr="00C60E76">
        <w:trPr>
          <w:cantSplit/>
        </w:trPr>
        <w:tc>
          <w:tcPr>
            <w:tcW w:w="5529" w:type="dxa"/>
          </w:tcPr>
          <w:p w14:paraId="61FB9B1D" w14:textId="77777777" w:rsidR="00B830AE" w:rsidRPr="001C169A" w:rsidRDefault="00B830AE" w:rsidP="005E1763">
            <w:pPr>
              <w:pStyle w:val="Pagrindinistekstas"/>
              <w:spacing w:after="0"/>
              <w:rPr>
                <w:szCs w:val="22"/>
              </w:rPr>
            </w:pPr>
            <w:r w:rsidRPr="001C169A">
              <w:rPr>
                <w:szCs w:val="22"/>
              </w:rPr>
              <w:t>Pykinimas ir vėmimas</w:t>
            </w:r>
          </w:p>
        </w:tc>
        <w:tc>
          <w:tcPr>
            <w:tcW w:w="1913" w:type="dxa"/>
          </w:tcPr>
          <w:p w14:paraId="0C7AA1AC" w14:textId="7F86398D" w:rsidR="00B830AE" w:rsidRPr="001C169A" w:rsidRDefault="00B830AE" w:rsidP="005E1763">
            <w:pPr>
              <w:pStyle w:val="Pagrindinistekstas"/>
              <w:spacing w:after="0"/>
              <w:jc w:val="center"/>
              <w:rPr>
                <w:szCs w:val="22"/>
              </w:rPr>
            </w:pPr>
            <w:r w:rsidRPr="001C169A">
              <w:rPr>
                <w:szCs w:val="22"/>
              </w:rPr>
              <w:t>393 (12,7</w:t>
            </w:r>
            <w:r w:rsidR="0067791E" w:rsidRPr="001C169A">
              <w:rPr>
                <w:szCs w:val="22"/>
              </w:rPr>
              <w:t> </w:t>
            </w:r>
            <w:r w:rsidRPr="001C169A">
              <w:rPr>
                <w:szCs w:val="22"/>
              </w:rPr>
              <w:t>%)</w:t>
            </w:r>
          </w:p>
        </w:tc>
        <w:tc>
          <w:tcPr>
            <w:tcW w:w="1914" w:type="dxa"/>
          </w:tcPr>
          <w:p w14:paraId="5798F9CE" w14:textId="5B5AC1F8" w:rsidR="00B830AE" w:rsidRPr="001C169A" w:rsidRDefault="00B830AE" w:rsidP="005E1763">
            <w:pPr>
              <w:pStyle w:val="Pagrindinistekstas"/>
              <w:spacing w:after="0"/>
              <w:jc w:val="center"/>
              <w:rPr>
                <w:szCs w:val="22"/>
              </w:rPr>
            </w:pPr>
            <w:r w:rsidRPr="001C169A">
              <w:rPr>
                <w:szCs w:val="22"/>
              </w:rPr>
              <w:t>384 (12,4</w:t>
            </w:r>
            <w:r w:rsidR="0067791E" w:rsidRPr="001C169A">
              <w:rPr>
                <w:szCs w:val="22"/>
              </w:rPr>
              <w:t> </w:t>
            </w:r>
            <w:r w:rsidRPr="001C169A">
              <w:rPr>
                <w:szCs w:val="22"/>
              </w:rPr>
              <w:t>%)</w:t>
            </w:r>
          </w:p>
        </w:tc>
      </w:tr>
      <w:tr w:rsidR="00B44282" w:rsidRPr="001C169A" w14:paraId="5BBCECEE" w14:textId="77777777" w:rsidTr="00C60E76">
        <w:trPr>
          <w:cantSplit/>
        </w:trPr>
        <w:tc>
          <w:tcPr>
            <w:tcW w:w="5529" w:type="dxa"/>
          </w:tcPr>
          <w:p w14:paraId="793FC9DD" w14:textId="77777777" w:rsidR="00B830AE" w:rsidRPr="001C169A" w:rsidRDefault="00B830AE" w:rsidP="005E1763">
            <w:pPr>
              <w:pStyle w:val="Pagrindinistekstas"/>
              <w:spacing w:after="0"/>
              <w:rPr>
                <w:szCs w:val="22"/>
              </w:rPr>
            </w:pPr>
            <w:r w:rsidRPr="001C169A">
              <w:rPr>
                <w:szCs w:val="22"/>
              </w:rPr>
              <w:t>Lūžiai</w:t>
            </w:r>
          </w:p>
        </w:tc>
        <w:tc>
          <w:tcPr>
            <w:tcW w:w="1913" w:type="dxa"/>
          </w:tcPr>
          <w:p w14:paraId="1F30261D" w14:textId="43D02893" w:rsidR="00B830AE" w:rsidRPr="001C169A" w:rsidRDefault="00B830AE" w:rsidP="005E1763">
            <w:pPr>
              <w:pStyle w:val="Pagrindinistekstas"/>
              <w:spacing w:after="0"/>
              <w:jc w:val="center"/>
              <w:rPr>
                <w:szCs w:val="22"/>
              </w:rPr>
            </w:pPr>
            <w:r w:rsidRPr="001C169A">
              <w:rPr>
                <w:szCs w:val="22"/>
              </w:rPr>
              <w:t>315 (10,2</w:t>
            </w:r>
            <w:r w:rsidR="0067791E" w:rsidRPr="001C169A">
              <w:rPr>
                <w:szCs w:val="22"/>
              </w:rPr>
              <w:t> </w:t>
            </w:r>
            <w:r w:rsidRPr="001C169A">
              <w:rPr>
                <w:szCs w:val="22"/>
              </w:rPr>
              <w:t>%)</w:t>
            </w:r>
          </w:p>
        </w:tc>
        <w:tc>
          <w:tcPr>
            <w:tcW w:w="1914" w:type="dxa"/>
          </w:tcPr>
          <w:p w14:paraId="1532DFB5" w14:textId="23B1754F" w:rsidR="00B830AE" w:rsidRPr="001C169A" w:rsidRDefault="00B830AE" w:rsidP="005E1763">
            <w:pPr>
              <w:pStyle w:val="Pagrindinistekstas"/>
              <w:spacing w:after="0"/>
              <w:jc w:val="center"/>
              <w:rPr>
                <w:szCs w:val="22"/>
              </w:rPr>
            </w:pPr>
            <w:r w:rsidRPr="001C169A">
              <w:rPr>
                <w:szCs w:val="22"/>
              </w:rPr>
              <w:t>209 (6,8</w:t>
            </w:r>
            <w:r w:rsidR="0067791E" w:rsidRPr="001C169A">
              <w:rPr>
                <w:szCs w:val="22"/>
              </w:rPr>
              <w:t> </w:t>
            </w:r>
            <w:r w:rsidRPr="001C169A">
              <w:rPr>
                <w:szCs w:val="22"/>
              </w:rPr>
              <w:t>%)</w:t>
            </w:r>
          </w:p>
        </w:tc>
      </w:tr>
      <w:tr w:rsidR="00B44282" w:rsidRPr="001C169A" w14:paraId="44EFDAAC" w14:textId="77777777" w:rsidTr="00C60E76">
        <w:trPr>
          <w:cantSplit/>
        </w:trPr>
        <w:tc>
          <w:tcPr>
            <w:tcW w:w="5529" w:type="dxa"/>
          </w:tcPr>
          <w:p w14:paraId="79DA5FEB" w14:textId="77777777" w:rsidR="00B830AE" w:rsidRPr="001C169A" w:rsidRDefault="00B830AE" w:rsidP="005E1763">
            <w:pPr>
              <w:pStyle w:val="Pagrindinistekstas"/>
              <w:spacing w:after="0"/>
              <w:ind w:firstLine="176"/>
              <w:rPr>
                <w:szCs w:val="22"/>
              </w:rPr>
            </w:pPr>
            <w:r w:rsidRPr="001C169A">
              <w:rPr>
                <w:szCs w:val="22"/>
              </w:rPr>
              <w:t>Slankstelių, šlaunikaulio kaklelio ir riešo/</w:t>
            </w:r>
            <w:proofErr w:type="spellStart"/>
            <w:r w:rsidRPr="001C169A">
              <w:rPr>
                <w:szCs w:val="22"/>
              </w:rPr>
              <w:t>Colles</w:t>
            </w:r>
            <w:proofErr w:type="spellEnd"/>
            <w:r w:rsidRPr="001C169A">
              <w:rPr>
                <w:szCs w:val="22"/>
              </w:rPr>
              <w:t xml:space="preserve"> lūžiai</w:t>
            </w:r>
          </w:p>
        </w:tc>
        <w:tc>
          <w:tcPr>
            <w:tcW w:w="1913" w:type="dxa"/>
          </w:tcPr>
          <w:p w14:paraId="499EA512" w14:textId="69EE0C5F" w:rsidR="00B830AE" w:rsidRPr="001C169A" w:rsidRDefault="00B830AE" w:rsidP="005E1763">
            <w:pPr>
              <w:pStyle w:val="Pagrindinistekstas"/>
              <w:spacing w:after="0"/>
              <w:jc w:val="center"/>
              <w:rPr>
                <w:szCs w:val="22"/>
              </w:rPr>
            </w:pPr>
            <w:r w:rsidRPr="001C169A">
              <w:rPr>
                <w:szCs w:val="22"/>
              </w:rPr>
              <w:t>133 (4,3</w:t>
            </w:r>
            <w:r w:rsidR="0067791E" w:rsidRPr="001C169A">
              <w:rPr>
                <w:szCs w:val="22"/>
              </w:rPr>
              <w:t> </w:t>
            </w:r>
            <w:r w:rsidRPr="001C169A">
              <w:rPr>
                <w:szCs w:val="22"/>
              </w:rPr>
              <w:t>%)</w:t>
            </w:r>
          </w:p>
        </w:tc>
        <w:tc>
          <w:tcPr>
            <w:tcW w:w="1914" w:type="dxa"/>
          </w:tcPr>
          <w:p w14:paraId="662F7030" w14:textId="6C5D8CF3" w:rsidR="00B830AE" w:rsidRPr="001C169A" w:rsidRDefault="00B830AE" w:rsidP="005E1763">
            <w:pPr>
              <w:pStyle w:val="Pagrindinistekstas"/>
              <w:spacing w:after="0"/>
              <w:jc w:val="center"/>
              <w:rPr>
                <w:szCs w:val="22"/>
              </w:rPr>
            </w:pPr>
            <w:r w:rsidRPr="001C169A">
              <w:rPr>
                <w:szCs w:val="22"/>
              </w:rPr>
              <w:t>91 (2,9</w:t>
            </w:r>
            <w:r w:rsidR="0067791E" w:rsidRPr="001C169A">
              <w:rPr>
                <w:szCs w:val="22"/>
              </w:rPr>
              <w:t> </w:t>
            </w:r>
            <w:r w:rsidRPr="001C169A">
              <w:rPr>
                <w:szCs w:val="22"/>
              </w:rPr>
              <w:t>%)</w:t>
            </w:r>
          </w:p>
        </w:tc>
      </w:tr>
      <w:tr w:rsidR="00B44282" w:rsidRPr="001C169A" w14:paraId="6A064445" w14:textId="77777777" w:rsidTr="00C60E76">
        <w:trPr>
          <w:cantSplit/>
        </w:trPr>
        <w:tc>
          <w:tcPr>
            <w:tcW w:w="5529" w:type="dxa"/>
          </w:tcPr>
          <w:p w14:paraId="40A4CE47" w14:textId="77777777" w:rsidR="00B830AE" w:rsidRPr="001C169A" w:rsidRDefault="00B830AE" w:rsidP="005E1763">
            <w:pPr>
              <w:pStyle w:val="Pagrindinistekstas"/>
              <w:spacing w:after="0"/>
              <w:ind w:firstLine="318"/>
              <w:rPr>
                <w:szCs w:val="22"/>
              </w:rPr>
            </w:pPr>
            <w:r w:rsidRPr="001C169A">
              <w:rPr>
                <w:szCs w:val="22"/>
              </w:rPr>
              <w:t>Riešo/</w:t>
            </w:r>
            <w:proofErr w:type="spellStart"/>
            <w:r w:rsidRPr="001C169A">
              <w:rPr>
                <w:szCs w:val="22"/>
              </w:rPr>
              <w:t>Colles</w:t>
            </w:r>
            <w:proofErr w:type="spellEnd"/>
            <w:r w:rsidRPr="001C169A">
              <w:rPr>
                <w:szCs w:val="22"/>
              </w:rPr>
              <w:t xml:space="preserve"> lūžiai</w:t>
            </w:r>
          </w:p>
        </w:tc>
        <w:tc>
          <w:tcPr>
            <w:tcW w:w="1913" w:type="dxa"/>
          </w:tcPr>
          <w:p w14:paraId="0D8A52D0" w14:textId="5BF52A75" w:rsidR="00B830AE" w:rsidRPr="001C169A" w:rsidRDefault="00B830AE" w:rsidP="005E1763">
            <w:pPr>
              <w:pStyle w:val="Pagrindinistekstas"/>
              <w:spacing w:after="0"/>
              <w:jc w:val="center"/>
              <w:rPr>
                <w:szCs w:val="22"/>
              </w:rPr>
            </w:pPr>
            <w:r w:rsidRPr="001C169A">
              <w:rPr>
                <w:szCs w:val="22"/>
              </w:rPr>
              <w:t>67 (2,2</w:t>
            </w:r>
            <w:r w:rsidR="0067791E" w:rsidRPr="001C169A">
              <w:rPr>
                <w:szCs w:val="22"/>
              </w:rPr>
              <w:t> </w:t>
            </w:r>
            <w:r w:rsidRPr="001C169A">
              <w:rPr>
                <w:szCs w:val="22"/>
              </w:rPr>
              <w:t>%)</w:t>
            </w:r>
          </w:p>
        </w:tc>
        <w:tc>
          <w:tcPr>
            <w:tcW w:w="1914" w:type="dxa"/>
          </w:tcPr>
          <w:p w14:paraId="0E97A0F3" w14:textId="676A9ECC" w:rsidR="00B830AE" w:rsidRPr="001C169A" w:rsidRDefault="00B830AE" w:rsidP="005E1763">
            <w:pPr>
              <w:pStyle w:val="Pagrindinistekstas"/>
              <w:spacing w:after="0"/>
              <w:jc w:val="center"/>
              <w:rPr>
                <w:szCs w:val="22"/>
              </w:rPr>
            </w:pPr>
            <w:r w:rsidRPr="001C169A">
              <w:rPr>
                <w:szCs w:val="22"/>
              </w:rPr>
              <w:t>50 (1,6</w:t>
            </w:r>
            <w:r w:rsidR="0067791E" w:rsidRPr="001C169A">
              <w:rPr>
                <w:szCs w:val="22"/>
              </w:rPr>
              <w:t> </w:t>
            </w:r>
            <w:r w:rsidRPr="001C169A">
              <w:rPr>
                <w:szCs w:val="22"/>
              </w:rPr>
              <w:t>%)</w:t>
            </w:r>
          </w:p>
        </w:tc>
      </w:tr>
      <w:tr w:rsidR="00B44282" w:rsidRPr="001C169A" w14:paraId="238E915F" w14:textId="77777777" w:rsidTr="00C60E76">
        <w:trPr>
          <w:cantSplit/>
        </w:trPr>
        <w:tc>
          <w:tcPr>
            <w:tcW w:w="5529" w:type="dxa"/>
          </w:tcPr>
          <w:p w14:paraId="0D75FB8A" w14:textId="77777777" w:rsidR="00B830AE" w:rsidRPr="001C169A" w:rsidRDefault="00B830AE" w:rsidP="005E1763">
            <w:pPr>
              <w:pStyle w:val="Pagrindinistekstas"/>
              <w:spacing w:after="0"/>
              <w:ind w:firstLine="318"/>
              <w:rPr>
                <w:szCs w:val="22"/>
              </w:rPr>
            </w:pPr>
            <w:r w:rsidRPr="001C169A">
              <w:rPr>
                <w:szCs w:val="22"/>
              </w:rPr>
              <w:t>Slankstelių lūžiai</w:t>
            </w:r>
          </w:p>
        </w:tc>
        <w:tc>
          <w:tcPr>
            <w:tcW w:w="1913" w:type="dxa"/>
          </w:tcPr>
          <w:p w14:paraId="023F82E7" w14:textId="005ADF37" w:rsidR="00B830AE" w:rsidRPr="001C169A" w:rsidRDefault="00B830AE" w:rsidP="005E1763">
            <w:pPr>
              <w:pStyle w:val="Pagrindinistekstas"/>
              <w:spacing w:after="0"/>
              <w:jc w:val="center"/>
              <w:rPr>
                <w:szCs w:val="22"/>
              </w:rPr>
            </w:pPr>
            <w:r w:rsidRPr="001C169A">
              <w:rPr>
                <w:szCs w:val="22"/>
              </w:rPr>
              <w:t>43 (1,4</w:t>
            </w:r>
            <w:r w:rsidR="0067791E" w:rsidRPr="001C169A">
              <w:rPr>
                <w:szCs w:val="22"/>
              </w:rPr>
              <w:t> </w:t>
            </w:r>
            <w:r w:rsidRPr="001C169A">
              <w:rPr>
                <w:szCs w:val="22"/>
              </w:rPr>
              <w:t>%)</w:t>
            </w:r>
          </w:p>
        </w:tc>
        <w:tc>
          <w:tcPr>
            <w:tcW w:w="1914" w:type="dxa"/>
          </w:tcPr>
          <w:p w14:paraId="598D7A02" w14:textId="3931F20F" w:rsidR="00B830AE" w:rsidRPr="001C169A" w:rsidRDefault="00B830AE" w:rsidP="005E1763">
            <w:pPr>
              <w:pStyle w:val="Pagrindinistekstas"/>
              <w:spacing w:after="0"/>
              <w:jc w:val="center"/>
              <w:rPr>
                <w:szCs w:val="22"/>
              </w:rPr>
            </w:pPr>
            <w:r w:rsidRPr="001C169A">
              <w:rPr>
                <w:szCs w:val="22"/>
              </w:rPr>
              <w:t>22 (0,7</w:t>
            </w:r>
            <w:r w:rsidR="0067791E" w:rsidRPr="001C169A">
              <w:rPr>
                <w:szCs w:val="22"/>
              </w:rPr>
              <w:t> </w:t>
            </w:r>
            <w:r w:rsidRPr="001C169A">
              <w:rPr>
                <w:szCs w:val="22"/>
              </w:rPr>
              <w:t>%)</w:t>
            </w:r>
          </w:p>
        </w:tc>
      </w:tr>
      <w:tr w:rsidR="00B44282" w:rsidRPr="001C169A" w14:paraId="7341B976" w14:textId="77777777" w:rsidTr="00C60E76">
        <w:trPr>
          <w:cantSplit/>
        </w:trPr>
        <w:tc>
          <w:tcPr>
            <w:tcW w:w="5529" w:type="dxa"/>
          </w:tcPr>
          <w:p w14:paraId="2F6BB08C" w14:textId="77777777" w:rsidR="00B830AE" w:rsidRPr="001C169A" w:rsidRDefault="00B830AE" w:rsidP="005E1763">
            <w:pPr>
              <w:pStyle w:val="Pagrindinistekstas"/>
              <w:spacing w:after="0"/>
              <w:ind w:firstLine="318"/>
              <w:rPr>
                <w:szCs w:val="22"/>
              </w:rPr>
            </w:pPr>
            <w:r w:rsidRPr="001C169A">
              <w:rPr>
                <w:szCs w:val="22"/>
              </w:rPr>
              <w:t>Šlaunikaulio kaklelio lūžiai</w:t>
            </w:r>
          </w:p>
        </w:tc>
        <w:tc>
          <w:tcPr>
            <w:tcW w:w="1913" w:type="dxa"/>
          </w:tcPr>
          <w:p w14:paraId="5160A5D4" w14:textId="4C200251" w:rsidR="00B830AE" w:rsidRPr="001C169A" w:rsidRDefault="00B830AE" w:rsidP="005E1763">
            <w:pPr>
              <w:pStyle w:val="Pagrindinistekstas"/>
              <w:spacing w:after="0"/>
              <w:jc w:val="center"/>
              <w:rPr>
                <w:szCs w:val="22"/>
              </w:rPr>
            </w:pPr>
            <w:r w:rsidRPr="001C169A">
              <w:rPr>
                <w:szCs w:val="22"/>
              </w:rPr>
              <w:t>28 (0,9</w:t>
            </w:r>
            <w:r w:rsidR="0067791E" w:rsidRPr="001C169A">
              <w:rPr>
                <w:szCs w:val="22"/>
              </w:rPr>
              <w:t> </w:t>
            </w:r>
            <w:r w:rsidRPr="001C169A">
              <w:rPr>
                <w:szCs w:val="22"/>
              </w:rPr>
              <w:t>%)</w:t>
            </w:r>
          </w:p>
        </w:tc>
        <w:tc>
          <w:tcPr>
            <w:tcW w:w="1914" w:type="dxa"/>
          </w:tcPr>
          <w:p w14:paraId="03C68DFC" w14:textId="0305AFA0" w:rsidR="00B830AE" w:rsidRPr="001C169A" w:rsidRDefault="00B830AE" w:rsidP="005E1763">
            <w:pPr>
              <w:pStyle w:val="Pagrindinistekstas"/>
              <w:spacing w:after="0"/>
              <w:jc w:val="center"/>
              <w:rPr>
                <w:szCs w:val="22"/>
              </w:rPr>
            </w:pPr>
            <w:r w:rsidRPr="001C169A">
              <w:rPr>
                <w:szCs w:val="22"/>
              </w:rPr>
              <w:t>26 (0,8</w:t>
            </w:r>
            <w:r w:rsidR="0067791E" w:rsidRPr="001C169A">
              <w:rPr>
                <w:szCs w:val="22"/>
              </w:rPr>
              <w:t> </w:t>
            </w:r>
            <w:r w:rsidRPr="001C169A">
              <w:rPr>
                <w:szCs w:val="22"/>
              </w:rPr>
              <w:t>%)</w:t>
            </w:r>
          </w:p>
        </w:tc>
      </w:tr>
      <w:tr w:rsidR="00B44282" w:rsidRPr="001C169A" w14:paraId="7DB16E16" w14:textId="77777777" w:rsidTr="00C60E76">
        <w:trPr>
          <w:cantSplit/>
        </w:trPr>
        <w:tc>
          <w:tcPr>
            <w:tcW w:w="5529" w:type="dxa"/>
          </w:tcPr>
          <w:p w14:paraId="3B74D78F" w14:textId="77777777" w:rsidR="00B830AE" w:rsidRPr="001C169A" w:rsidRDefault="00B830AE" w:rsidP="005E1763">
            <w:pPr>
              <w:pStyle w:val="Pagrindinistekstas"/>
              <w:spacing w:after="0"/>
              <w:rPr>
                <w:szCs w:val="22"/>
              </w:rPr>
            </w:pPr>
            <w:r w:rsidRPr="001C169A">
              <w:rPr>
                <w:szCs w:val="22"/>
              </w:rPr>
              <w:t>Katarakta</w:t>
            </w:r>
          </w:p>
        </w:tc>
        <w:tc>
          <w:tcPr>
            <w:tcW w:w="1913" w:type="dxa"/>
          </w:tcPr>
          <w:p w14:paraId="0C7E4DD0" w14:textId="0C2F4A92" w:rsidR="00B830AE" w:rsidRPr="001C169A" w:rsidRDefault="00B830AE" w:rsidP="005E1763">
            <w:pPr>
              <w:pStyle w:val="Pagrindinistekstas"/>
              <w:spacing w:after="0"/>
              <w:jc w:val="center"/>
              <w:rPr>
                <w:szCs w:val="22"/>
              </w:rPr>
            </w:pPr>
            <w:r w:rsidRPr="001C169A">
              <w:rPr>
                <w:szCs w:val="22"/>
              </w:rPr>
              <w:t>182 (5,9</w:t>
            </w:r>
            <w:r w:rsidR="0067791E" w:rsidRPr="001C169A">
              <w:rPr>
                <w:szCs w:val="22"/>
              </w:rPr>
              <w:t> </w:t>
            </w:r>
            <w:r w:rsidRPr="001C169A">
              <w:rPr>
                <w:szCs w:val="22"/>
              </w:rPr>
              <w:t>%)</w:t>
            </w:r>
          </w:p>
        </w:tc>
        <w:tc>
          <w:tcPr>
            <w:tcW w:w="1914" w:type="dxa"/>
          </w:tcPr>
          <w:p w14:paraId="647BD544" w14:textId="0D4C746C" w:rsidR="00B830AE" w:rsidRPr="001C169A" w:rsidRDefault="00B830AE" w:rsidP="005E1763">
            <w:pPr>
              <w:pStyle w:val="Pagrindinistekstas"/>
              <w:spacing w:after="0"/>
              <w:jc w:val="center"/>
              <w:rPr>
                <w:szCs w:val="22"/>
              </w:rPr>
            </w:pPr>
            <w:r w:rsidRPr="001C169A">
              <w:rPr>
                <w:szCs w:val="22"/>
              </w:rPr>
              <w:t>213 (6,9</w:t>
            </w:r>
            <w:r w:rsidR="0067791E" w:rsidRPr="001C169A">
              <w:rPr>
                <w:szCs w:val="22"/>
              </w:rPr>
              <w:t> </w:t>
            </w:r>
            <w:r w:rsidRPr="001C169A">
              <w:rPr>
                <w:szCs w:val="22"/>
              </w:rPr>
              <w:t>%)</w:t>
            </w:r>
          </w:p>
        </w:tc>
      </w:tr>
      <w:tr w:rsidR="00B44282" w:rsidRPr="001C169A" w14:paraId="40AEA2B9" w14:textId="77777777" w:rsidTr="00C60E76">
        <w:trPr>
          <w:cantSplit/>
        </w:trPr>
        <w:tc>
          <w:tcPr>
            <w:tcW w:w="5529" w:type="dxa"/>
          </w:tcPr>
          <w:p w14:paraId="1AD940C6" w14:textId="77777777" w:rsidR="00B830AE" w:rsidRPr="001C169A" w:rsidRDefault="00B830AE" w:rsidP="005E1763">
            <w:pPr>
              <w:pStyle w:val="Pagrindinistekstas"/>
              <w:spacing w:after="0"/>
              <w:rPr>
                <w:szCs w:val="22"/>
              </w:rPr>
            </w:pPr>
            <w:r w:rsidRPr="001C169A">
              <w:rPr>
                <w:szCs w:val="22"/>
              </w:rPr>
              <w:t>Kraujavimas iš makšties</w:t>
            </w:r>
          </w:p>
        </w:tc>
        <w:tc>
          <w:tcPr>
            <w:tcW w:w="1913" w:type="dxa"/>
          </w:tcPr>
          <w:p w14:paraId="1B96AC4C" w14:textId="491B123D" w:rsidR="00B830AE" w:rsidRPr="001C169A" w:rsidRDefault="00B830AE" w:rsidP="005E1763">
            <w:pPr>
              <w:pStyle w:val="Pagrindinistekstas"/>
              <w:spacing w:after="0"/>
              <w:jc w:val="center"/>
              <w:rPr>
                <w:szCs w:val="22"/>
              </w:rPr>
            </w:pPr>
            <w:r w:rsidRPr="001C169A">
              <w:rPr>
                <w:szCs w:val="22"/>
              </w:rPr>
              <w:t>167 (5,4</w:t>
            </w:r>
            <w:r w:rsidR="0067791E" w:rsidRPr="001C169A">
              <w:rPr>
                <w:szCs w:val="22"/>
              </w:rPr>
              <w:t> </w:t>
            </w:r>
            <w:r w:rsidRPr="001C169A">
              <w:rPr>
                <w:szCs w:val="22"/>
              </w:rPr>
              <w:t>%)</w:t>
            </w:r>
          </w:p>
        </w:tc>
        <w:tc>
          <w:tcPr>
            <w:tcW w:w="1914" w:type="dxa"/>
          </w:tcPr>
          <w:p w14:paraId="7E5C9435" w14:textId="2E9795E4" w:rsidR="00B830AE" w:rsidRPr="001C169A" w:rsidRDefault="00B830AE" w:rsidP="005E1763">
            <w:pPr>
              <w:pStyle w:val="Pagrindinistekstas"/>
              <w:spacing w:after="0"/>
              <w:jc w:val="center"/>
              <w:rPr>
                <w:szCs w:val="22"/>
              </w:rPr>
            </w:pPr>
            <w:r w:rsidRPr="001C169A">
              <w:rPr>
                <w:szCs w:val="22"/>
              </w:rPr>
              <w:t>317 (10,2</w:t>
            </w:r>
            <w:r w:rsidR="0067791E" w:rsidRPr="001C169A">
              <w:rPr>
                <w:szCs w:val="22"/>
              </w:rPr>
              <w:t> </w:t>
            </w:r>
            <w:r w:rsidRPr="001C169A">
              <w:rPr>
                <w:szCs w:val="22"/>
              </w:rPr>
              <w:t>%)</w:t>
            </w:r>
          </w:p>
        </w:tc>
      </w:tr>
      <w:tr w:rsidR="00B44282" w:rsidRPr="001C169A" w14:paraId="2552842C" w14:textId="77777777" w:rsidTr="00C60E76">
        <w:trPr>
          <w:cantSplit/>
        </w:trPr>
        <w:tc>
          <w:tcPr>
            <w:tcW w:w="5529" w:type="dxa"/>
          </w:tcPr>
          <w:p w14:paraId="06A57B96" w14:textId="77777777" w:rsidR="00B830AE" w:rsidRPr="001C169A" w:rsidRDefault="00B830AE" w:rsidP="005E1763">
            <w:pPr>
              <w:pStyle w:val="Pagrindinistekstas"/>
              <w:spacing w:after="0"/>
              <w:rPr>
                <w:szCs w:val="22"/>
              </w:rPr>
            </w:pPr>
            <w:r w:rsidRPr="001C169A">
              <w:rPr>
                <w:szCs w:val="22"/>
              </w:rPr>
              <w:t>Išeminės širdies ir kraujagyslių ligos</w:t>
            </w:r>
          </w:p>
        </w:tc>
        <w:tc>
          <w:tcPr>
            <w:tcW w:w="1913" w:type="dxa"/>
          </w:tcPr>
          <w:p w14:paraId="1582DDF2" w14:textId="085E15B6" w:rsidR="00B830AE" w:rsidRPr="001C169A" w:rsidRDefault="00B830AE" w:rsidP="005E1763">
            <w:pPr>
              <w:pStyle w:val="Pagrindinistekstas"/>
              <w:spacing w:after="0"/>
              <w:jc w:val="center"/>
              <w:rPr>
                <w:szCs w:val="22"/>
              </w:rPr>
            </w:pPr>
            <w:r w:rsidRPr="001C169A">
              <w:rPr>
                <w:szCs w:val="22"/>
              </w:rPr>
              <w:t>127 (4,1</w:t>
            </w:r>
            <w:r w:rsidR="0067791E" w:rsidRPr="001C169A">
              <w:rPr>
                <w:szCs w:val="22"/>
              </w:rPr>
              <w:t> </w:t>
            </w:r>
            <w:r w:rsidRPr="001C169A">
              <w:rPr>
                <w:szCs w:val="22"/>
              </w:rPr>
              <w:t>%)</w:t>
            </w:r>
          </w:p>
        </w:tc>
        <w:tc>
          <w:tcPr>
            <w:tcW w:w="1914" w:type="dxa"/>
          </w:tcPr>
          <w:p w14:paraId="58894615" w14:textId="1C739E58" w:rsidR="00B830AE" w:rsidRPr="001C169A" w:rsidRDefault="00B830AE" w:rsidP="005E1763">
            <w:pPr>
              <w:pStyle w:val="Pagrindinistekstas"/>
              <w:spacing w:after="0"/>
              <w:jc w:val="center"/>
              <w:rPr>
                <w:szCs w:val="22"/>
              </w:rPr>
            </w:pPr>
            <w:r w:rsidRPr="001C169A">
              <w:rPr>
                <w:szCs w:val="22"/>
              </w:rPr>
              <w:t>104 (3,4</w:t>
            </w:r>
            <w:r w:rsidR="0067791E" w:rsidRPr="001C169A">
              <w:rPr>
                <w:szCs w:val="22"/>
              </w:rPr>
              <w:t> </w:t>
            </w:r>
            <w:r w:rsidRPr="001C169A">
              <w:rPr>
                <w:szCs w:val="22"/>
              </w:rPr>
              <w:t>%)</w:t>
            </w:r>
          </w:p>
        </w:tc>
      </w:tr>
      <w:tr w:rsidR="00B44282" w:rsidRPr="001C169A" w14:paraId="4609DE79" w14:textId="77777777" w:rsidTr="00C60E76">
        <w:trPr>
          <w:cantSplit/>
        </w:trPr>
        <w:tc>
          <w:tcPr>
            <w:tcW w:w="5529" w:type="dxa"/>
          </w:tcPr>
          <w:p w14:paraId="69A55F14" w14:textId="77777777" w:rsidR="00B830AE" w:rsidRPr="001C169A" w:rsidRDefault="00B830AE" w:rsidP="005E1763">
            <w:pPr>
              <w:pStyle w:val="Pagrindinistekstas"/>
              <w:spacing w:after="0"/>
              <w:ind w:firstLine="176"/>
              <w:rPr>
                <w:szCs w:val="22"/>
              </w:rPr>
            </w:pPr>
            <w:r w:rsidRPr="001C169A">
              <w:rPr>
                <w:szCs w:val="22"/>
              </w:rPr>
              <w:t>Krūtinės angina</w:t>
            </w:r>
          </w:p>
        </w:tc>
        <w:tc>
          <w:tcPr>
            <w:tcW w:w="1913" w:type="dxa"/>
          </w:tcPr>
          <w:p w14:paraId="083D6CF8" w14:textId="1A8E446D" w:rsidR="00B830AE" w:rsidRPr="001C169A" w:rsidRDefault="00B830AE" w:rsidP="005E1763">
            <w:pPr>
              <w:pStyle w:val="Pagrindinistekstas"/>
              <w:spacing w:after="0"/>
              <w:jc w:val="center"/>
              <w:rPr>
                <w:szCs w:val="22"/>
              </w:rPr>
            </w:pPr>
            <w:r w:rsidRPr="001C169A">
              <w:rPr>
                <w:szCs w:val="22"/>
              </w:rPr>
              <w:t>71 (2,3</w:t>
            </w:r>
            <w:r w:rsidR="0067791E" w:rsidRPr="001C169A">
              <w:rPr>
                <w:szCs w:val="22"/>
              </w:rPr>
              <w:t> </w:t>
            </w:r>
            <w:r w:rsidRPr="001C169A">
              <w:rPr>
                <w:szCs w:val="22"/>
              </w:rPr>
              <w:t>%)</w:t>
            </w:r>
          </w:p>
        </w:tc>
        <w:tc>
          <w:tcPr>
            <w:tcW w:w="1914" w:type="dxa"/>
          </w:tcPr>
          <w:p w14:paraId="378A0C62" w14:textId="5EE3D4C0" w:rsidR="00B830AE" w:rsidRPr="001C169A" w:rsidRDefault="00B830AE" w:rsidP="005E1763">
            <w:pPr>
              <w:pStyle w:val="Pagrindinistekstas"/>
              <w:spacing w:after="0"/>
              <w:jc w:val="center"/>
              <w:rPr>
                <w:szCs w:val="22"/>
              </w:rPr>
            </w:pPr>
            <w:r w:rsidRPr="001C169A">
              <w:rPr>
                <w:szCs w:val="22"/>
              </w:rPr>
              <w:t>51 (1,6</w:t>
            </w:r>
            <w:r w:rsidR="0067791E" w:rsidRPr="001C169A">
              <w:rPr>
                <w:szCs w:val="22"/>
              </w:rPr>
              <w:t> </w:t>
            </w:r>
            <w:r w:rsidRPr="001C169A">
              <w:rPr>
                <w:szCs w:val="22"/>
              </w:rPr>
              <w:t>%)</w:t>
            </w:r>
          </w:p>
        </w:tc>
      </w:tr>
      <w:tr w:rsidR="00B44282" w:rsidRPr="001C169A" w14:paraId="5FEAD9B5" w14:textId="77777777" w:rsidTr="00C60E76">
        <w:trPr>
          <w:cantSplit/>
        </w:trPr>
        <w:tc>
          <w:tcPr>
            <w:tcW w:w="5529" w:type="dxa"/>
          </w:tcPr>
          <w:p w14:paraId="03A89DC1" w14:textId="77777777" w:rsidR="00B830AE" w:rsidRPr="001C169A" w:rsidRDefault="00B830AE" w:rsidP="005E1763">
            <w:pPr>
              <w:pStyle w:val="Pagrindinistekstas"/>
              <w:spacing w:after="0"/>
              <w:ind w:firstLine="176"/>
              <w:rPr>
                <w:szCs w:val="22"/>
              </w:rPr>
            </w:pPr>
            <w:r w:rsidRPr="001C169A">
              <w:rPr>
                <w:szCs w:val="22"/>
              </w:rPr>
              <w:t>Miokar</w:t>
            </w:r>
            <w:r w:rsidRPr="001C169A">
              <w:rPr>
                <w:szCs w:val="22"/>
              </w:rPr>
              <w:softHyphen/>
              <w:t>do infarktas</w:t>
            </w:r>
          </w:p>
        </w:tc>
        <w:tc>
          <w:tcPr>
            <w:tcW w:w="1913" w:type="dxa"/>
          </w:tcPr>
          <w:p w14:paraId="76B8A7C3" w14:textId="6565AAB5" w:rsidR="00B830AE" w:rsidRPr="001C169A" w:rsidRDefault="00B830AE" w:rsidP="005E1763">
            <w:pPr>
              <w:pStyle w:val="Pagrindinistekstas"/>
              <w:spacing w:after="0"/>
              <w:jc w:val="center"/>
              <w:rPr>
                <w:szCs w:val="22"/>
              </w:rPr>
            </w:pPr>
            <w:r w:rsidRPr="001C169A">
              <w:rPr>
                <w:szCs w:val="22"/>
              </w:rPr>
              <w:t>37 (1,2</w:t>
            </w:r>
            <w:r w:rsidR="0067791E" w:rsidRPr="001C169A">
              <w:rPr>
                <w:szCs w:val="22"/>
              </w:rPr>
              <w:t> </w:t>
            </w:r>
            <w:r w:rsidRPr="001C169A">
              <w:rPr>
                <w:szCs w:val="22"/>
              </w:rPr>
              <w:t>%)</w:t>
            </w:r>
          </w:p>
        </w:tc>
        <w:tc>
          <w:tcPr>
            <w:tcW w:w="1914" w:type="dxa"/>
          </w:tcPr>
          <w:p w14:paraId="2508DBF4" w14:textId="0852BD3F" w:rsidR="00B830AE" w:rsidRPr="001C169A" w:rsidRDefault="00B830AE" w:rsidP="005E1763">
            <w:pPr>
              <w:pStyle w:val="Pagrindinistekstas"/>
              <w:spacing w:after="0"/>
              <w:jc w:val="center"/>
              <w:rPr>
                <w:szCs w:val="22"/>
              </w:rPr>
            </w:pPr>
            <w:r w:rsidRPr="001C169A">
              <w:rPr>
                <w:szCs w:val="22"/>
              </w:rPr>
              <w:t>34 (1,1</w:t>
            </w:r>
            <w:r w:rsidR="0067791E" w:rsidRPr="001C169A">
              <w:rPr>
                <w:szCs w:val="22"/>
              </w:rPr>
              <w:t> </w:t>
            </w:r>
            <w:r w:rsidRPr="001C169A">
              <w:rPr>
                <w:szCs w:val="22"/>
              </w:rPr>
              <w:t>%)</w:t>
            </w:r>
          </w:p>
        </w:tc>
      </w:tr>
      <w:tr w:rsidR="00B44282" w:rsidRPr="001C169A" w14:paraId="7405C4A9" w14:textId="77777777" w:rsidTr="00C60E76">
        <w:trPr>
          <w:cantSplit/>
        </w:trPr>
        <w:tc>
          <w:tcPr>
            <w:tcW w:w="5529" w:type="dxa"/>
          </w:tcPr>
          <w:p w14:paraId="4FAEEC30" w14:textId="77777777" w:rsidR="00B830AE" w:rsidRPr="001C169A" w:rsidRDefault="00B830AE" w:rsidP="005E1763">
            <w:pPr>
              <w:pStyle w:val="Pagrindinistekstas"/>
              <w:spacing w:after="0"/>
              <w:ind w:firstLine="176"/>
              <w:rPr>
                <w:szCs w:val="22"/>
              </w:rPr>
            </w:pPr>
            <w:r w:rsidRPr="001C169A">
              <w:rPr>
                <w:szCs w:val="22"/>
              </w:rPr>
              <w:t>Vainikinių arterijų sutrikimai</w:t>
            </w:r>
          </w:p>
        </w:tc>
        <w:tc>
          <w:tcPr>
            <w:tcW w:w="1913" w:type="dxa"/>
          </w:tcPr>
          <w:p w14:paraId="04A7DBD0" w14:textId="6932C50B" w:rsidR="00B830AE" w:rsidRPr="001C169A" w:rsidRDefault="00B830AE" w:rsidP="005E1763">
            <w:pPr>
              <w:pStyle w:val="Pagrindinistekstas"/>
              <w:spacing w:after="0"/>
              <w:jc w:val="center"/>
              <w:rPr>
                <w:szCs w:val="22"/>
              </w:rPr>
            </w:pPr>
            <w:r w:rsidRPr="001C169A">
              <w:rPr>
                <w:szCs w:val="22"/>
              </w:rPr>
              <w:t>25 (0,8</w:t>
            </w:r>
            <w:r w:rsidR="0067791E" w:rsidRPr="001C169A">
              <w:rPr>
                <w:szCs w:val="22"/>
              </w:rPr>
              <w:t> </w:t>
            </w:r>
            <w:r w:rsidRPr="001C169A">
              <w:rPr>
                <w:szCs w:val="22"/>
              </w:rPr>
              <w:t>%)</w:t>
            </w:r>
          </w:p>
        </w:tc>
        <w:tc>
          <w:tcPr>
            <w:tcW w:w="1914" w:type="dxa"/>
          </w:tcPr>
          <w:p w14:paraId="36A85D08" w14:textId="5BBE28D0" w:rsidR="00B830AE" w:rsidRPr="001C169A" w:rsidRDefault="00B830AE" w:rsidP="005E1763">
            <w:pPr>
              <w:pStyle w:val="Pagrindinistekstas"/>
              <w:spacing w:after="0"/>
              <w:jc w:val="center"/>
              <w:rPr>
                <w:szCs w:val="22"/>
              </w:rPr>
            </w:pPr>
            <w:r w:rsidRPr="001C169A">
              <w:rPr>
                <w:szCs w:val="22"/>
              </w:rPr>
              <w:t>23 (0,7</w:t>
            </w:r>
            <w:r w:rsidR="0067791E" w:rsidRPr="001C169A">
              <w:rPr>
                <w:szCs w:val="22"/>
              </w:rPr>
              <w:t> </w:t>
            </w:r>
            <w:r w:rsidRPr="001C169A">
              <w:rPr>
                <w:szCs w:val="22"/>
              </w:rPr>
              <w:t>%)</w:t>
            </w:r>
          </w:p>
        </w:tc>
      </w:tr>
      <w:tr w:rsidR="00B44282" w:rsidRPr="001C169A" w14:paraId="26C4AC49" w14:textId="77777777" w:rsidTr="00C60E76">
        <w:trPr>
          <w:cantSplit/>
        </w:trPr>
        <w:tc>
          <w:tcPr>
            <w:tcW w:w="5529" w:type="dxa"/>
          </w:tcPr>
          <w:p w14:paraId="1C566F8C" w14:textId="77777777" w:rsidR="00B830AE" w:rsidRPr="00A23BF7" w:rsidRDefault="00B830AE" w:rsidP="005E1763">
            <w:pPr>
              <w:pStyle w:val="Pagrindinistekstas"/>
              <w:spacing w:after="0"/>
              <w:ind w:firstLine="176"/>
              <w:rPr>
                <w:szCs w:val="22"/>
              </w:rPr>
            </w:pPr>
            <w:r w:rsidRPr="001C169A">
              <w:rPr>
                <w:szCs w:val="22"/>
              </w:rPr>
              <w:t>Mioka</w:t>
            </w:r>
            <w:r w:rsidRPr="00A23BF7">
              <w:rPr>
                <w:szCs w:val="22"/>
              </w:rPr>
              <w:t>rdo išemija</w:t>
            </w:r>
          </w:p>
        </w:tc>
        <w:tc>
          <w:tcPr>
            <w:tcW w:w="1913" w:type="dxa"/>
          </w:tcPr>
          <w:p w14:paraId="3B0213EB" w14:textId="29308A08" w:rsidR="00B830AE" w:rsidRPr="001C169A" w:rsidRDefault="00B830AE" w:rsidP="005E1763">
            <w:pPr>
              <w:pStyle w:val="Pagrindinistekstas"/>
              <w:spacing w:after="0"/>
              <w:jc w:val="center"/>
              <w:rPr>
                <w:szCs w:val="22"/>
              </w:rPr>
            </w:pPr>
            <w:r w:rsidRPr="001C169A">
              <w:rPr>
                <w:szCs w:val="22"/>
              </w:rPr>
              <w:t>22 (0,7</w:t>
            </w:r>
            <w:r w:rsidR="0067791E" w:rsidRPr="001C169A">
              <w:rPr>
                <w:szCs w:val="22"/>
              </w:rPr>
              <w:t> </w:t>
            </w:r>
            <w:r w:rsidRPr="001C169A">
              <w:rPr>
                <w:szCs w:val="22"/>
              </w:rPr>
              <w:t>%)</w:t>
            </w:r>
          </w:p>
        </w:tc>
        <w:tc>
          <w:tcPr>
            <w:tcW w:w="1914" w:type="dxa"/>
          </w:tcPr>
          <w:p w14:paraId="59C2F1D7" w14:textId="462C1FE9" w:rsidR="00B830AE" w:rsidRPr="001C169A" w:rsidRDefault="00B830AE" w:rsidP="005E1763">
            <w:pPr>
              <w:pStyle w:val="Pagrindinistekstas"/>
              <w:spacing w:after="0"/>
              <w:jc w:val="center"/>
              <w:rPr>
                <w:szCs w:val="22"/>
              </w:rPr>
            </w:pPr>
            <w:r w:rsidRPr="001C169A">
              <w:rPr>
                <w:szCs w:val="22"/>
              </w:rPr>
              <w:t>14 (0,5</w:t>
            </w:r>
            <w:r w:rsidR="0067791E" w:rsidRPr="001C169A">
              <w:rPr>
                <w:szCs w:val="22"/>
              </w:rPr>
              <w:t> </w:t>
            </w:r>
            <w:r w:rsidRPr="001C169A">
              <w:rPr>
                <w:szCs w:val="22"/>
              </w:rPr>
              <w:t>%)</w:t>
            </w:r>
          </w:p>
        </w:tc>
      </w:tr>
      <w:tr w:rsidR="00B44282" w:rsidRPr="001C169A" w14:paraId="05E3301A" w14:textId="77777777" w:rsidTr="00C60E76">
        <w:trPr>
          <w:cantSplit/>
        </w:trPr>
        <w:tc>
          <w:tcPr>
            <w:tcW w:w="5529" w:type="dxa"/>
          </w:tcPr>
          <w:p w14:paraId="62122490" w14:textId="77777777" w:rsidR="00B830AE" w:rsidRPr="001C169A" w:rsidRDefault="00B830AE" w:rsidP="005E1763">
            <w:pPr>
              <w:pStyle w:val="Pagrindinistekstas"/>
              <w:spacing w:after="0"/>
              <w:rPr>
                <w:szCs w:val="22"/>
              </w:rPr>
            </w:pPr>
            <w:r w:rsidRPr="001C169A">
              <w:rPr>
                <w:szCs w:val="22"/>
              </w:rPr>
              <w:t>Išskyros iš makšties</w:t>
            </w:r>
          </w:p>
        </w:tc>
        <w:tc>
          <w:tcPr>
            <w:tcW w:w="1913" w:type="dxa"/>
          </w:tcPr>
          <w:p w14:paraId="6D11A36B" w14:textId="25D100AB" w:rsidR="00B830AE" w:rsidRPr="001C169A" w:rsidRDefault="00B830AE" w:rsidP="005E1763">
            <w:pPr>
              <w:pStyle w:val="Pagrindinistekstas"/>
              <w:spacing w:after="0"/>
              <w:jc w:val="center"/>
              <w:rPr>
                <w:szCs w:val="22"/>
              </w:rPr>
            </w:pPr>
            <w:r w:rsidRPr="001C169A">
              <w:rPr>
                <w:szCs w:val="22"/>
              </w:rPr>
              <w:t>109 (3,5</w:t>
            </w:r>
            <w:r w:rsidR="0067791E" w:rsidRPr="001C169A">
              <w:rPr>
                <w:szCs w:val="22"/>
              </w:rPr>
              <w:t> </w:t>
            </w:r>
            <w:r w:rsidRPr="001C169A">
              <w:rPr>
                <w:szCs w:val="22"/>
              </w:rPr>
              <w:t>%)</w:t>
            </w:r>
          </w:p>
        </w:tc>
        <w:tc>
          <w:tcPr>
            <w:tcW w:w="1914" w:type="dxa"/>
          </w:tcPr>
          <w:p w14:paraId="58B72A6B" w14:textId="5E135D7C" w:rsidR="00B830AE" w:rsidRPr="001C169A" w:rsidRDefault="00B830AE" w:rsidP="005E1763">
            <w:pPr>
              <w:pStyle w:val="Pagrindinistekstas"/>
              <w:spacing w:after="0"/>
              <w:jc w:val="center"/>
              <w:rPr>
                <w:szCs w:val="22"/>
              </w:rPr>
            </w:pPr>
            <w:r w:rsidRPr="001C169A">
              <w:rPr>
                <w:szCs w:val="22"/>
              </w:rPr>
              <w:t>408 (13,2</w:t>
            </w:r>
            <w:r w:rsidR="0067791E" w:rsidRPr="001C169A">
              <w:rPr>
                <w:szCs w:val="22"/>
              </w:rPr>
              <w:t> </w:t>
            </w:r>
            <w:r w:rsidRPr="001C169A">
              <w:rPr>
                <w:szCs w:val="22"/>
              </w:rPr>
              <w:t>%)</w:t>
            </w:r>
          </w:p>
        </w:tc>
      </w:tr>
      <w:tr w:rsidR="00B44282" w:rsidRPr="001C169A" w14:paraId="43CD413E" w14:textId="77777777" w:rsidTr="00C60E76">
        <w:trPr>
          <w:cantSplit/>
        </w:trPr>
        <w:tc>
          <w:tcPr>
            <w:tcW w:w="5529" w:type="dxa"/>
          </w:tcPr>
          <w:p w14:paraId="77B91821" w14:textId="77777777" w:rsidR="00B830AE" w:rsidRPr="001C169A" w:rsidRDefault="00B830AE" w:rsidP="005E1763">
            <w:pPr>
              <w:pStyle w:val="Pagrindinistekstas"/>
              <w:spacing w:after="0"/>
              <w:rPr>
                <w:szCs w:val="22"/>
              </w:rPr>
            </w:pPr>
            <w:r w:rsidRPr="001C169A">
              <w:rPr>
                <w:szCs w:val="22"/>
              </w:rPr>
              <w:t xml:space="preserve">Bet kuris venų </w:t>
            </w:r>
            <w:proofErr w:type="spellStart"/>
            <w:r w:rsidRPr="001C169A">
              <w:rPr>
                <w:szCs w:val="22"/>
              </w:rPr>
              <w:t>tromboembolijos</w:t>
            </w:r>
            <w:proofErr w:type="spellEnd"/>
            <w:r w:rsidRPr="001C169A">
              <w:rPr>
                <w:szCs w:val="22"/>
              </w:rPr>
              <w:t xml:space="preserve"> reiškinys</w:t>
            </w:r>
          </w:p>
        </w:tc>
        <w:tc>
          <w:tcPr>
            <w:tcW w:w="1913" w:type="dxa"/>
          </w:tcPr>
          <w:p w14:paraId="12DF9D28" w14:textId="27F6552F" w:rsidR="00B830AE" w:rsidRPr="001C169A" w:rsidRDefault="00B830AE" w:rsidP="005E1763">
            <w:pPr>
              <w:pStyle w:val="Pagrindinistekstas"/>
              <w:spacing w:after="0"/>
              <w:jc w:val="center"/>
              <w:rPr>
                <w:szCs w:val="22"/>
              </w:rPr>
            </w:pPr>
            <w:r w:rsidRPr="001C169A">
              <w:rPr>
                <w:szCs w:val="22"/>
              </w:rPr>
              <w:t>87 (2,8</w:t>
            </w:r>
            <w:r w:rsidR="0067791E" w:rsidRPr="001C169A">
              <w:rPr>
                <w:szCs w:val="22"/>
              </w:rPr>
              <w:t> </w:t>
            </w:r>
            <w:r w:rsidRPr="001C169A">
              <w:rPr>
                <w:szCs w:val="22"/>
              </w:rPr>
              <w:t>%)</w:t>
            </w:r>
          </w:p>
        </w:tc>
        <w:tc>
          <w:tcPr>
            <w:tcW w:w="1914" w:type="dxa"/>
          </w:tcPr>
          <w:p w14:paraId="279CC20D" w14:textId="302EBE92" w:rsidR="00B830AE" w:rsidRPr="001C169A" w:rsidRDefault="00B830AE" w:rsidP="005E1763">
            <w:pPr>
              <w:pStyle w:val="Pagrindinistekstas"/>
              <w:spacing w:after="0"/>
              <w:jc w:val="center"/>
              <w:rPr>
                <w:szCs w:val="22"/>
              </w:rPr>
            </w:pPr>
            <w:r w:rsidRPr="001C169A">
              <w:rPr>
                <w:szCs w:val="22"/>
              </w:rPr>
              <w:t>140 (4,5</w:t>
            </w:r>
            <w:r w:rsidR="0067791E" w:rsidRPr="001C169A">
              <w:rPr>
                <w:szCs w:val="22"/>
              </w:rPr>
              <w:t> </w:t>
            </w:r>
            <w:r w:rsidRPr="001C169A">
              <w:rPr>
                <w:szCs w:val="22"/>
              </w:rPr>
              <w:t>%)</w:t>
            </w:r>
          </w:p>
        </w:tc>
      </w:tr>
      <w:tr w:rsidR="00B44282" w:rsidRPr="001C169A" w14:paraId="55B31F23" w14:textId="77777777" w:rsidTr="00C60E76">
        <w:trPr>
          <w:cantSplit/>
        </w:trPr>
        <w:tc>
          <w:tcPr>
            <w:tcW w:w="5529" w:type="dxa"/>
          </w:tcPr>
          <w:p w14:paraId="344CBD2B" w14:textId="77777777" w:rsidR="00B830AE" w:rsidRPr="001C169A" w:rsidRDefault="00B830AE" w:rsidP="00C60E76">
            <w:pPr>
              <w:pStyle w:val="Pagrindinistekstas"/>
              <w:spacing w:after="0"/>
              <w:ind w:left="176" w:hanging="142"/>
              <w:rPr>
                <w:szCs w:val="22"/>
              </w:rPr>
            </w:pPr>
            <w:r w:rsidRPr="001C169A">
              <w:rPr>
                <w:szCs w:val="22"/>
              </w:rPr>
              <w:t xml:space="preserve">Giliųjų venų </w:t>
            </w:r>
            <w:proofErr w:type="spellStart"/>
            <w:r w:rsidRPr="001C169A">
              <w:rPr>
                <w:szCs w:val="22"/>
              </w:rPr>
              <w:t>tromboemboliniai</w:t>
            </w:r>
            <w:proofErr w:type="spellEnd"/>
            <w:r w:rsidRPr="001C169A">
              <w:rPr>
                <w:szCs w:val="22"/>
              </w:rPr>
              <w:t xml:space="preserve"> reiškiniai, įskaitant plaučių emboliją</w:t>
            </w:r>
          </w:p>
        </w:tc>
        <w:tc>
          <w:tcPr>
            <w:tcW w:w="1913" w:type="dxa"/>
          </w:tcPr>
          <w:p w14:paraId="7F01E5B2" w14:textId="0C51C05B" w:rsidR="00B830AE" w:rsidRPr="001C169A" w:rsidRDefault="00B830AE" w:rsidP="005E1763">
            <w:pPr>
              <w:pStyle w:val="Pagrindinistekstas"/>
              <w:spacing w:after="0"/>
              <w:jc w:val="center"/>
              <w:rPr>
                <w:szCs w:val="22"/>
              </w:rPr>
            </w:pPr>
            <w:r w:rsidRPr="001C169A">
              <w:rPr>
                <w:szCs w:val="22"/>
              </w:rPr>
              <w:t>48 (1,6</w:t>
            </w:r>
            <w:r w:rsidR="0067791E" w:rsidRPr="001C169A">
              <w:rPr>
                <w:szCs w:val="22"/>
              </w:rPr>
              <w:t> </w:t>
            </w:r>
            <w:r w:rsidRPr="001C169A">
              <w:rPr>
                <w:szCs w:val="22"/>
              </w:rPr>
              <w:t>%)</w:t>
            </w:r>
          </w:p>
        </w:tc>
        <w:tc>
          <w:tcPr>
            <w:tcW w:w="1914" w:type="dxa"/>
          </w:tcPr>
          <w:p w14:paraId="06D5DE05" w14:textId="374D2A51" w:rsidR="00B830AE" w:rsidRPr="001C169A" w:rsidRDefault="00B830AE" w:rsidP="005E1763">
            <w:pPr>
              <w:pStyle w:val="Pagrindinistekstas"/>
              <w:spacing w:after="0"/>
              <w:jc w:val="center"/>
              <w:rPr>
                <w:szCs w:val="22"/>
              </w:rPr>
            </w:pPr>
            <w:r w:rsidRPr="001C169A">
              <w:rPr>
                <w:szCs w:val="22"/>
              </w:rPr>
              <w:t>74 (2,4</w:t>
            </w:r>
            <w:r w:rsidR="0067791E" w:rsidRPr="001C169A">
              <w:rPr>
                <w:szCs w:val="22"/>
              </w:rPr>
              <w:t> </w:t>
            </w:r>
            <w:r w:rsidRPr="001C169A">
              <w:rPr>
                <w:szCs w:val="22"/>
              </w:rPr>
              <w:t>%)</w:t>
            </w:r>
          </w:p>
        </w:tc>
      </w:tr>
      <w:tr w:rsidR="00B44282" w:rsidRPr="001C169A" w14:paraId="029AC0B7" w14:textId="77777777" w:rsidTr="00C60E76">
        <w:trPr>
          <w:cantSplit/>
        </w:trPr>
        <w:tc>
          <w:tcPr>
            <w:tcW w:w="5529" w:type="dxa"/>
          </w:tcPr>
          <w:p w14:paraId="53BE59D4" w14:textId="77777777" w:rsidR="00B830AE" w:rsidRPr="001C169A" w:rsidRDefault="00B830AE" w:rsidP="005E1763">
            <w:pPr>
              <w:pStyle w:val="Pagrindinistekstas"/>
              <w:spacing w:after="0"/>
              <w:rPr>
                <w:szCs w:val="22"/>
              </w:rPr>
            </w:pPr>
            <w:r w:rsidRPr="001C169A">
              <w:rPr>
                <w:szCs w:val="22"/>
              </w:rPr>
              <w:t>Išeminiai smegenų kraujagyslių reiškiniai</w:t>
            </w:r>
          </w:p>
        </w:tc>
        <w:tc>
          <w:tcPr>
            <w:tcW w:w="1913" w:type="dxa"/>
          </w:tcPr>
          <w:p w14:paraId="48890B3B" w14:textId="265D354D" w:rsidR="00B830AE" w:rsidRPr="001C169A" w:rsidRDefault="00B830AE" w:rsidP="005E1763">
            <w:pPr>
              <w:pStyle w:val="Pagrindinistekstas"/>
              <w:spacing w:after="0"/>
              <w:jc w:val="center"/>
              <w:rPr>
                <w:szCs w:val="22"/>
              </w:rPr>
            </w:pPr>
            <w:r w:rsidRPr="001C169A">
              <w:rPr>
                <w:szCs w:val="22"/>
              </w:rPr>
              <w:t>62 (2,0</w:t>
            </w:r>
            <w:r w:rsidR="0067791E" w:rsidRPr="001C169A">
              <w:rPr>
                <w:szCs w:val="22"/>
              </w:rPr>
              <w:t> </w:t>
            </w:r>
            <w:r w:rsidRPr="001C169A">
              <w:rPr>
                <w:szCs w:val="22"/>
              </w:rPr>
              <w:t>%)</w:t>
            </w:r>
          </w:p>
        </w:tc>
        <w:tc>
          <w:tcPr>
            <w:tcW w:w="1914" w:type="dxa"/>
          </w:tcPr>
          <w:p w14:paraId="4C80C1E1" w14:textId="60D29693" w:rsidR="00B830AE" w:rsidRPr="001C169A" w:rsidRDefault="00B830AE" w:rsidP="005E1763">
            <w:pPr>
              <w:pStyle w:val="Pagrindinistekstas"/>
              <w:spacing w:after="0"/>
              <w:jc w:val="center"/>
              <w:rPr>
                <w:szCs w:val="22"/>
              </w:rPr>
            </w:pPr>
            <w:r w:rsidRPr="001C169A">
              <w:rPr>
                <w:szCs w:val="22"/>
              </w:rPr>
              <w:t>88 (2,8</w:t>
            </w:r>
            <w:r w:rsidR="0067791E" w:rsidRPr="001C169A">
              <w:rPr>
                <w:szCs w:val="22"/>
              </w:rPr>
              <w:t> </w:t>
            </w:r>
            <w:r w:rsidRPr="001C169A">
              <w:rPr>
                <w:szCs w:val="22"/>
              </w:rPr>
              <w:t>%)</w:t>
            </w:r>
          </w:p>
        </w:tc>
      </w:tr>
      <w:tr w:rsidR="00B44282" w:rsidRPr="001C169A" w14:paraId="40D8152F" w14:textId="77777777" w:rsidTr="00C60E76">
        <w:trPr>
          <w:cantSplit/>
        </w:trPr>
        <w:tc>
          <w:tcPr>
            <w:tcW w:w="5529" w:type="dxa"/>
          </w:tcPr>
          <w:p w14:paraId="05DFD625" w14:textId="77777777" w:rsidR="00B830AE" w:rsidRPr="001C169A" w:rsidRDefault="00B830AE" w:rsidP="005E1763">
            <w:pPr>
              <w:pStyle w:val="Pagrindinistekstas"/>
              <w:spacing w:after="0"/>
              <w:rPr>
                <w:szCs w:val="22"/>
              </w:rPr>
            </w:pPr>
            <w:r w:rsidRPr="001C169A">
              <w:rPr>
                <w:szCs w:val="22"/>
              </w:rPr>
              <w:t>Gimdos gleivinės vėžys</w:t>
            </w:r>
          </w:p>
        </w:tc>
        <w:tc>
          <w:tcPr>
            <w:tcW w:w="1913" w:type="dxa"/>
          </w:tcPr>
          <w:p w14:paraId="7726FC9E" w14:textId="09E769CF" w:rsidR="00B830AE" w:rsidRPr="001C169A" w:rsidRDefault="00B830AE" w:rsidP="005E1763">
            <w:pPr>
              <w:pStyle w:val="Pagrindinistekstas"/>
              <w:spacing w:after="0"/>
              <w:jc w:val="center"/>
              <w:rPr>
                <w:szCs w:val="22"/>
              </w:rPr>
            </w:pPr>
            <w:r w:rsidRPr="001C169A">
              <w:rPr>
                <w:szCs w:val="22"/>
              </w:rPr>
              <w:t>4 (0,2</w:t>
            </w:r>
            <w:r w:rsidR="0067791E" w:rsidRPr="001C169A">
              <w:rPr>
                <w:szCs w:val="22"/>
              </w:rPr>
              <w:t> </w:t>
            </w:r>
            <w:r w:rsidRPr="001C169A">
              <w:rPr>
                <w:szCs w:val="22"/>
              </w:rPr>
              <w:t>%)</w:t>
            </w:r>
          </w:p>
        </w:tc>
        <w:tc>
          <w:tcPr>
            <w:tcW w:w="1914" w:type="dxa"/>
          </w:tcPr>
          <w:p w14:paraId="2DB62C8E" w14:textId="0DD2ECF7" w:rsidR="00B830AE" w:rsidRPr="001C169A" w:rsidRDefault="00B830AE" w:rsidP="005E1763">
            <w:pPr>
              <w:pStyle w:val="Pagrindinistekstas"/>
              <w:spacing w:after="0"/>
              <w:jc w:val="center"/>
              <w:rPr>
                <w:szCs w:val="22"/>
              </w:rPr>
            </w:pPr>
            <w:r w:rsidRPr="001C169A">
              <w:rPr>
                <w:szCs w:val="22"/>
              </w:rPr>
              <w:t>13 (0,6</w:t>
            </w:r>
            <w:r w:rsidR="0067791E" w:rsidRPr="001C169A">
              <w:rPr>
                <w:szCs w:val="22"/>
              </w:rPr>
              <w:t> </w:t>
            </w:r>
            <w:r w:rsidRPr="001C169A">
              <w:rPr>
                <w:szCs w:val="22"/>
              </w:rPr>
              <w:t>%)</w:t>
            </w:r>
          </w:p>
        </w:tc>
      </w:tr>
    </w:tbl>
    <w:p w14:paraId="3CB17E7F" w14:textId="77777777" w:rsidR="00B830AE" w:rsidRPr="001C169A" w:rsidRDefault="00B830AE" w:rsidP="00B830AE">
      <w:pPr>
        <w:pStyle w:val="BTEMEASMCA"/>
      </w:pPr>
    </w:p>
    <w:p w14:paraId="004EA07D" w14:textId="77777777" w:rsidR="00B830AE" w:rsidRPr="001C169A" w:rsidRDefault="00B830AE" w:rsidP="00B830AE">
      <w:pPr>
        <w:pStyle w:val="Pagrindinistekstas"/>
        <w:spacing w:after="0"/>
        <w:rPr>
          <w:szCs w:val="22"/>
        </w:rPr>
      </w:pPr>
      <w:r w:rsidRPr="001C169A">
        <w:rPr>
          <w:szCs w:val="22"/>
        </w:rPr>
        <w:t xml:space="preserve">Per stebėjimo laikotarpį, kurio mediana buvo 68 mėn., </w:t>
      </w:r>
      <w:proofErr w:type="spellStart"/>
      <w:r w:rsidRPr="001C169A">
        <w:rPr>
          <w:szCs w:val="22"/>
        </w:rPr>
        <w:t>anastrozolo</w:t>
      </w:r>
      <w:proofErr w:type="spellEnd"/>
      <w:r w:rsidRPr="001C169A">
        <w:rPr>
          <w:szCs w:val="22"/>
        </w:rPr>
        <w:t xml:space="preserve"> grupės pacientėms lūžių dažnis buvo 22 per 1000 pacientų metų, </w:t>
      </w:r>
      <w:proofErr w:type="spellStart"/>
      <w:r w:rsidRPr="001C169A">
        <w:rPr>
          <w:szCs w:val="22"/>
        </w:rPr>
        <w:t>tamoksifeno</w:t>
      </w:r>
      <w:proofErr w:type="spellEnd"/>
      <w:r w:rsidRPr="001C169A">
        <w:rPr>
          <w:szCs w:val="22"/>
        </w:rPr>
        <w:t xml:space="preserve"> – 15 per 1 000 pacientų metų. </w:t>
      </w:r>
    </w:p>
    <w:p w14:paraId="636F806C" w14:textId="77777777" w:rsidR="00B830AE" w:rsidRPr="001C169A" w:rsidRDefault="00B830AE" w:rsidP="00B830AE">
      <w:pPr>
        <w:pStyle w:val="Pagrindinistekstas"/>
        <w:spacing w:after="0"/>
        <w:rPr>
          <w:szCs w:val="22"/>
        </w:rPr>
      </w:pPr>
      <w:proofErr w:type="spellStart"/>
      <w:r w:rsidRPr="001C169A">
        <w:rPr>
          <w:szCs w:val="22"/>
        </w:rPr>
        <w:t>Anastrozolo</w:t>
      </w:r>
      <w:proofErr w:type="spellEnd"/>
      <w:r w:rsidRPr="001C169A">
        <w:rPr>
          <w:szCs w:val="22"/>
        </w:rPr>
        <w:t xml:space="preserve"> grupėje nusta</w:t>
      </w:r>
      <w:r w:rsidRPr="001C169A">
        <w:rPr>
          <w:szCs w:val="22"/>
        </w:rPr>
        <w:softHyphen/>
        <w:t>ty</w:t>
      </w:r>
      <w:r w:rsidRPr="001C169A">
        <w:rPr>
          <w:szCs w:val="22"/>
        </w:rPr>
        <w:softHyphen/>
        <w:t xml:space="preserve">tas panašus lūžių dažnis kaip bendroje to paties amžiaus moterų po menopauzės populiacijoje. Osteoporozės dažnis </w:t>
      </w:r>
      <w:proofErr w:type="spellStart"/>
      <w:r w:rsidRPr="001C169A">
        <w:rPr>
          <w:szCs w:val="22"/>
        </w:rPr>
        <w:t>anostrozolo</w:t>
      </w:r>
      <w:proofErr w:type="spellEnd"/>
      <w:r w:rsidRPr="001C169A">
        <w:rPr>
          <w:szCs w:val="22"/>
        </w:rPr>
        <w:t xml:space="preserve"> grupėje buvo 10,5 %, </w:t>
      </w:r>
      <w:proofErr w:type="spellStart"/>
      <w:r w:rsidRPr="001C169A">
        <w:rPr>
          <w:szCs w:val="22"/>
        </w:rPr>
        <w:t>tamoksifeno</w:t>
      </w:r>
      <w:proofErr w:type="spellEnd"/>
      <w:r w:rsidRPr="001C169A">
        <w:rPr>
          <w:szCs w:val="22"/>
        </w:rPr>
        <w:t xml:space="preserve"> – 7,3 %.</w:t>
      </w:r>
    </w:p>
    <w:p w14:paraId="479EA519" w14:textId="77777777" w:rsidR="00B830AE" w:rsidRPr="001C169A" w:rsidRDefault="00B830AE" w:rsidP="00B830AE">
      <w:pPr>
        <w:pStyle w:val="Pagrindinistekstas"/>
        <w:spacing w:after="0"/>
        <w:rPr>
          <w:szCs w:val="22"/>
        </w:rPr>
      </w:pPr>
      <w:r w:rsidRPr="001C169A">
        <w:rPr>
          <w:szCs w:val="22"/>
        </w:rPr>
        <w:t>Ar lū</w:t>
      </w:r>
      <w:r w:rsidRPr="001C169A">
        <w:rPr>
          <w:szCs w:val="22"/>
        </w:rPr>
        <w:softHyphen/>
        <w:t xml:space="preserve">žių ir osteoporozės dažnio skirtumas, gautas ATAC tyrimo metu, yra susijęs su </w:t>
      </w:r>
      <w:proofErr w:type="spellStart"/>
      <w:r w:rsidRPr="001C169A">
        <w:rPr>
          <w:szCs w:val="22"/>
        </w:rPr>
        <w:t>tamoksifeno</w:t>
      </w:r>
      <w:proofErr w:type="spellEnd"/>
      <w:r w:rsidRPr="001C169A">
        <w:rPr>
          <w:szCs w:val="22"/>
        </w:rPr>
        <w:t xml:space="preserve"> apsaugi</w:t>
      </w:r>
      <w:r w:rsidRPr="001C169A">
        <w:rPr>
          <w:szCs w:val="22"/>
        </w:rPr>
        <w:softHyphen/>
        <w:t xml:space="preserve">niu poveikiu, ar su specifiniu </w:t>
      </w:r>
      <w:proofErr w:type="spellStart"/>
      <w:r w:rsidRPr="001C169A">
        <w:rPr>
          <w:szCs w:val="22"/>
        </w:rPr>
        <w:t>anastrozolo</w:t>
      </w:r>
      <w:proofErr w:type="spellEnd"/>
      <w:r w:rsidRPr="001C169A">
        <w:rPr>
          <w:szCs w:val="22"/>
        </w:rPr>
        <w:t xml:space="preserve"> poveikiu, ar su jais abiem, nenustatyta.</w:t>
      </w:r>
    </w:p>
    <w:p w14:paraId="2C308D98" w14:textId="77777777" w:rsidR="00B830AE" w:rsidRPr="001C169A" w:rsidRDefault="00B830AE" w:rsidP="00B830AE">
      <w:pPr>
        <w:pStyle w:val="BTEMEASMCA"/>
      </w:pPr>
    </w:p>
    <w:p w14:paraId="5DB4CE11" w14:textId="77777777" w:rsidR="005E1763" w:rsidRPr="001C169A" w:rsidRDefault="005E1763" w:rsidP="00B44282">
      <w:pPr>
        <w:autoSpaceDE w:val="0"/>
        <w:autoSpaceDN w:val="0"/>
        <w:adjustRightInd w:val="0"/>
        <w:jc w:val="both"/>
        <w:rPr>
          <w:sz w:val="22"/>
          <w:szCs w:val="22"/>
          <w:u w:val="single"/>
        </w:rPr>
      </w:pPr>
      <w:r w:rsidRPr="001C169A">
        <w:rPr>
          <w:noProof/>
          <w:sz w:val="22"/>
          <w:szCs w:val="22"/>
          <w:u w:val="single"/>
        </w:rPr>
        <w:t>Pranešimas apie įtariamas nepageidaujamas reakcijas</w:t>
      </w:r>
    </w:p>
    <w:p w14:paraId="7C5257CF" w14:textId="493D3F7E" w:rsidR="005E1763" w:rsidRPr="001C169A" w:rsidRDefault="005E1763" w:rsidP="005E1763">
      <w:pPr>
        <w:tabs>
          <w:tab w:val="left" w:pos="567"/>
        </w:tabs>
        <w:autoSpaceDE w:val="0"/>
        <w:autoSpaceDN w:val="0"/>
        <w:adjustRightInd w:val="0"/>
        <w:spacing w:line="260" w:lineRule="exact"/>
        <w:rPr>
          <w:noProof/>
          <w:sz w:val="22"/>
          <w:szCs w:val="22"/>
        </w:rPr>
      </w:pPr>
      <w:r w:rsidRPr="001C169A">
        <w:rPr>
          <w:noProof/>
          <w:sz w:val="22"/>
          <w:szCs w:val="22"/>
        </w:rPr>
        <w:t>Svarbu pranešti apie įtariamas nepageidaujamas reakcijas, pastebėtas po vaistinio preparato registracijos, nes tai leidžia nuolat stebėti vaistinio preparato naudos ir rizikos santykį.</w:t>
      </w:r>
      <w:r w:rsidRPr="001C169A">
        <w:rPr>
          <w:sz w:val="22"/>
          <w:szCs w:val="22"/>
        </w:rPr>
        <w:t xml:space="preserve"> </w:t>
      </w:r>
      <w:r w:rsidRPr="001C169A">
        <w:rPr>
          <w:noProof/>
          <w:sz w:val="22"/>
          <w:szCs w:val="22"/>
        </w:rPr>
        <w:t xml:space="preserve">Sveikatos priežiūros specialistai turi pranešti apie bet kokias įtariamas nepageidaujamas reakcijas, užpildę </w:t>
      </w:r>
      <w:r w:rsidRPr="001C169A">
        <w:rPr>
          <w:noProof/>
          <w:sz w:val="22"/>
          <w:szCs w:val="22"/>
        </w:rPr>
        <w:lastRenderedPageBreak/>
        <w:t>interneto svetainėje http://</w:t>
      </w:r>
      <w:hyperlink r:id="rId8" w:history="1">
        <w:r w:rsidRPr="00AD4B7F">
          <w:rPr>
            <w:rStyle w:val="Hipersaitas"/>
            <w:rFonts w:eastAsia="SimSun"/>
            <w:sz w:val="22"/>
            <w:szCs w:val="22"/>
          </w:rPr>
          <w:t>www.vvkt.lt</w:t>
        </w:r>
      </w:hyperlink>
      <w:r w:rsidRPr="001C169A">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D4B7F">
          <w:rPr>
            <w:rStyle w:val="Hipersaitas"/>
            <w:rFonts w:eastAsia="SimSun"/>
            <w:sz w:val="22"/>
            <w:szCs w:val="22"/>
          </w:rPr>
          <w:t>NepageidaujamaR@vvkt.lt</w:t>
        </w:r>
      </w:hyperlink>
      <w:r w:rsidRPr="00A23BF7">
        <w:rPr>
          <w:noProof/>
          <w:sz w:val="22"/>
          <w:szCs w:val="22"/>
        </w:rPr>
        <w:t xml:space="preserve">), per interneto svetainę (adresu </w:t>
      </w:r>
      <w:hyperlink r:id="rId10" w:history="1">
        <w:r w:rsidRPr="001C169A">
          <w:rPr>
            <w:rStyle w:val="Hipersaitas"/>
            <w:noProof/>
            <w:sz w:val="22"/>
            <w:szCs w:val="22"/>
          </w:rPr>
          <w:t>http://www.vvkt.lt</w:t>
        </w:r>
      </w:hyperlink>
      <w:r w:rsidRPr="00A23BF7">
        <w:rPr>
          <w:noProof/>
          <w:sz w:val="22"/>
          <w:szCs w:val="22"/>
        </w:rPr>
        <w:t>).</w:t>
      </w:r>
    </w:p>
    <w:p w14:paraId="7192A2D9" w14:textId="77777777" w:rsidR="00B830AE" w:rsidRPr="001C169A" w:rsidRDefault="00B830AE" w:rsidP="00B830AE">
      <w:pPr>
        <w:pStyle w:val="BTEMEASMCA"/>
      </w:pPr>
    </w:p>
    <w:p w14:paraId="217E51A0" w14:textId="77777777" w:rsidR="00B830AE" w:rsidRPr="001C169A" w:rsidRDefault="00B830AE" w:rsidP="00B830AE">
      <w:pPr>
        <w:pStyle w:val="PI-2EMEASMCA"/>
      </w:pPr>
      <w:bookmarkStart w:id="28" w:name="_Toc129243110"/>
      <w:bookmarkStart w:id="29" w:name="_Toc129243235"/>
      <w:r w:rsidRPr="001C169A">
        <w:t>4.9</w:t>
      </w:r>
      <w:r w:rsidRPr="001C169A">
        <w:tab/>
        <w:t>Perdozavimas</w:t>
      </w:r>
      <w:bookmarkEnd w:id="28"/>
      <w:bookmarkEnd w:id="29"/>
    </w:p>
    <w:p w14:paraId="060E2518" w14:textId="77777777" w:rsidR="00B830AE" w:rsidRPr="001C169A" w:rsidRDefault="00B830AE" w:rsidP="00B830AE">
      <w:pPr>
        <w:pStyle w:val="BTEMEASMCA"/>
      </w:pPr>
    </w:p>
    <w:p w14:paraId="67B1C582" w14:textId="77777777" w:rsidR="00B830AE" w:rsidRPr="001C169A" w:rsidRDefault="00B830AE" w:rsidP="00B830AE">
      <w:pPr>
        <w:pStyle w:val="BTEMEASMCA"/>
      </w:pPr>
      <w:r w:rsidRPr="001C169A">
        <w:t>Klinikinė anastrozolo atsitiktinio perdozavimo patirtis yra nedidelė. Tyrimų su gyvūnais duomenimis, ūminis toksinis anastrozolo poveikis yra mažas. Atlikti įvairių anastrozolo dozių klinikiniai tyrimai: sveiki savanoriai vyrai, kurie vartojo iki 60 mg vienkartinę dozę, ir progresavusiu krūties vėžiu sergančios moterys po menopauzės, kurios vartojo iki 10 mg dozę per parą, šias vaisto dozes toleravo gerai. Vienkartinė anastrozolo dozė, sukelianti gyvybei pavojingų sutrikimų, nenustatyta. Specifinio priešnuodžio nėra, todėl perdozavus reikia gydyti simptomiškai.</w:t>
      </w:r>
    </w:p>
    <w:p w14:paraId="29F30A7B" w14:textId="77777777" w:rsidR="00B830AE" w:rsidRPr="001C169A" w:rsidRDefault="00B830AE" w:rsidP="00B830AE">
      <w:pPr>
        <w:pStyle w:val="BTEMEASMCA"/>
      </w:pPr>
    </w:p>
    <w:p w14:paraId="6BE5ECFE" w14:textId="77777777" w:rsidR="00B830AE" w:rsidRPr="001C169A" w:rsidRDefault="00B830AE" w:rsidP="00B830AE">
      <w:pPr>
        <w:pStyle w:val="BTEMEASMCA"/>
      </w:pPr>
      <w:r w:rsidRPr="001C169A">
        <w:t>Teikiant pagalbą perdozavimo atveju, reikia apsvarstyti iš karto kelių medžiagų pavartojimo galimybę. Jei pacientė turi sąmonę, galima sukelti vė</w:t>
      </w:r>
      <w:r w:rsidRPr="001C169A">
        <w:softHyphen/>
        <w:t>mi</w:t>
      </w:r>
      <w:r w:rsidRPr="001C169A">
        <w:softHyphen/>
        <w:t xml:space="preserve">mą. Gali padėti dializė, kadangi prisijungusio prie baltymų anastrozolo būna nedaug. </w:t>
      </w:r>
    </w:p>
    <w:p w14:paraId="6EC1C415" w14:textId="77777777" w:rsidR="00B830AE" w:rsidRPr="001C169A" w:rsidRDefault="00B830AE" w:rsidP="00B830AE">
      <w:pPr>
        <w:pStyle w:val="BTEMEASMCA"/>
      </w:pPr>
      <w:r w:rsidRPr="001C169A">
        <w:t>Reikia taikyti bendrąsias palaikomąsias priemones, įskaitant dažną gyvybinių funkcijų monitoravimą ir rūpestingą pacientės stebėjimą.</w:t>
      </w:r>
    </w:p>
    <w:p w14:paraId="1A8C448E" w14:textId="77777777" w:rsidR="00B830AE" w:rsidRPr="001C169A" w:rsidRDefault="00B830AE" w:rsidP="00B830AE">
      <w:pPr>
        <w:pStyle w:val="BTEMEASMCA"/>
      </w:pPr>
    </w:p>
    <w:p w14:paraId="122EB6DB" w14:textId="77777777" w:rsidR="00B830AE" w:rsidRPr="001C169A" w:rsidRDefault="00B830AE" w:rsidP="00B830AE">
      <w:pPr>
        <w:pStyle w:val="BTEMEASMCA"/>
      </w:pPr>
    </w:p>
    <w:p w14:paraId="2529BD09" w14:textId="77777777" w:rsidR="00B830AE" w:rsidRPr="001C169A" w:rsidRDefault="00B830AE" w:rsidP="00B830AE">
      <w:pPr>
        <w:pStyle w:val="PI-1EMEASMCA"/>
      </w:pPr>
      <w:bookmarkStart w:id="30" w:name="_Toc129243111"/>
      <w:bookmarkStart w:id="31" w:name="_Toc129243236"/>
      <w:r w:rsidRPr="001C169A">
        <w:t>5.</w:t>
      </w:r>
      <w:r w:rsidRPr="001C169A">
        <w:tab/>
        <w:t>FARMAKOLOGINĖS SAVYBĖS</w:t>
      </w:r>
      <w:bookmarkEnd w:id="30"/>
      <w:bookmarkEnd w:id="31"/>
    </w:p>
    <w:p w14:paraId="4D45D511" w14:textId="77777777" w:rsidR="00B830AE" w:rsidRPr="001C169A" w:rsidRDefault="00B830AE" w:rsidP="00B830AE">
      <w:pPr>
        <w:pStyle w:val="BTEMEASMCA"/>
      </w:pPr>
    </w:p>
    <w:p w14:paraId="0B0BBC01" w14:textId="77777777" w:rsidR="00B830AE" w:rsidRPr="001C169A" w:rsidRDefault="00B830AE" w:rsidP="00B830AE">
      <w:pPr>
        <w:pStyle w:val="PI-2EMEASMCA"/>
      </w:pPr>
      <w:bookmarkStart w:id="32" w:name="_Toc129243112"/>
      <w:bookmarkStart w:id="33" w:name="_Toc129243237"/>
      <w:r w:rsidRPr="001C169A">
        <w:t>5.1</w:t>
      </w:r>
      <w:r w:rsidRPr="001C169A">
        <w:tab/>
      </w:r>
      <w:proofErr w:type="spellStart"/>
      <w:r w:rsidRPr="001C169A">
        <w:t>Farmakodinaminės</w:t>
      </w:r>
      <w:proofErr w:type="spellEnd"/>
      <w:r w:rsidRPr="001C169A">
        <w:t xml:space="preserve"> savybės</w:t>
      </w:r>
      <w:bookmarkEnd w:id="32"/>
      <w:bookmarkEnd w:id="33"/>
    </w:p>
    <w:p w14:paraId="5C382922" w14:textId="77777777" w:rsidR="00B830AE" w:rsidRPr="001C169A" w:rsidRDefault="00B830AE" w:rsidP="00B830AE">
      <w:pPr>
        <w:pStyle w:val="BTEMEASMCA"/>
      </w:pPr>
    </w:p>
    <w:p w14:paraId="718EF516" w14:textId="0A3481D4" w:rsidR="00B830AE" w:rsidRPr="001C169A" w:rsidRDefault="00B830AE" w:rsidP="00B830AE">
      <w:pPr>
        <w:pStyle w:val="BTEMEASMCA"/>
      </w:pPr>
      <w:r w:rsidRPr="001C169A">
        <w:t xml:space="preserve">Farmakoterapinė grupė – </w:t>
      </w:r>
      <w:r w:rsidR="00D27185" w:rsidRPr="001C169A">
        <w:t xml:space="preserve">hormonų antagonistai ir jiems artimi preparatai, </w:t>
      </w:r>
      <w:r w:rsidRPr="001C169A">
        <w:t>fermentų inhibitoriai, ATC kodas – L02BG03.</w:t>
      </w:r>
    </w:p>
    <w:p w14:paraId="145D30E0" w14:textId="77777777" w:rsidR="00B830AE" w:rsidRPr="001C169A" w:rsidRDefault="00B830AE" w:rsidP="00B830AE">
      <w:pPr>
        <w:pStyle w:val="BTEMEASMCA"/>
      </w:pPr>
    </w:p>
    <w:p w14:paraId="5628B9CC" w14:textId="77777777" w:rsidR="00B830AE" w:rsidRPr="001C169A" w:rsidRDefault="00B830AE" w:rsidP="00B830AE">
      <w:pPr>
        <w:pStyle w:val="BTEMEASMCA"/>
        <w:rPr>
          <w:u w:val="single"/>
        </w:rPr>
      </w:pPr>
      <w:r w:rsidRPr="001C169A">
        <w:rPr>
          <w:u w:val="single"/>
        </w:rPr>
        <w:t>Veikimo mechanizmas ir farmakodinaminis poveikis</w:t>
      </w:r>
    </w:p>
    <w:p w14:paraId="736C9854" w14:textId="101500F3" w:rsidR="00B830AE" w:rsidRPr="001C169A" w:rsidRDefault="00B830AE" w:rsidP="00B830AE">
      <w:pPr>
        <w:pStyle w:val="BTEMEASMCA"/>
      </w:pPr>
      <w:r w:rsidRPr="001C169A">
        <w:t xml:space="preserve">Anastrozolas yra stiprus ir labai selektyvus nesteroidinis aromatazės inhibitorius. Moterų po menopauzės organizme daugiausia estradiolio gaminama periferiniuose audiniuose, kuriuose fermento aromatazės kompleksas androstendioną verčia į estroną. Vėliau pastarasis junginys paverčiamas estradioliu. Nustatyta, kad sumažėjęs estradiolio kiekis kraujyje turi palankų poveikį krūties vėžiu sergančioms moterims. Labai jautriu tyrimu nustatyta, kad 1 mg anastrozolo paros dozė moterims po menopauzės estradiolio kiekį sumažina daugiau kaip 80 %. </w:t>
      </w:r>
    </w:p>
    <w:p w14:paraId="281CCAD3" w14:textId="77777777" w:rsidR="00B830AE" w:rsidRPr="001C169A" w:rsidRDefault="00B830AE" w:rsidP="00B830AE">
      <w:pPr>
        <w:pStyle w:val="BTEMEASMCA"/>
      </w:pPr>
    </w:p>
    <w:p w14:paraId="739DC150" w14:textId="77777777" w:rsidR="00B830AE" w:rsidRPr="001C169A" w:rsidRDefault="00B830AE" w:rsidP="00B830AE">
      <w:pPr>
        <w:pStyle w:val="BTEMEASMCA"/>
      </w:pPr>
      <w:r w:rsidRPr="001C169A">
        <w:t>Progestageninio, androgeninio ar estrogeninio poveikio anastrozolas nesukelia.</w:t>
      </w:r>
    </w:p>
    <w:p w14:paraId="060E10E7" w14:textId="77777777" w:rsidR="00B830AE" w:rsidRPr="001C169A" w:rsidRDefault="00B830AE" w:rsidP="00B830AE">
      <w:pPr>
        <w:pStyle w:val="BTEMEASMCA"/>
      </w:pPr>
      <w:r w:rsidRPr="001C169A">
        <w:t>Vartojama ne didesnė kaip 10 mg anastrozolo paros dozė neįtakoja kortizolio ar aldosterono sekrecijos, išmatuotos prieš standartinę stimuliaciją adrenokortikotropiniu hormonu (AKTH) ir po jos. Todėl kortikosteroidų papildomai vartoti nereikia.</w:t>
      </w:r>
    </w:p>
    <w:p w14:paraId="64AB24B0" w14:textId="77777777" w:rsidR="00B830AE" w:rsidRPr="001C169A" w:rsidRDefault="00B830AE" w:rsidP="00B830AE">
      <w:pPr>
        <w:pStyle w:val="BTEMEASMCA"/>
      </w:pPr>
    </w:p>
    <w:p w14:paraId="14AB6BAD" w14:textId="77777777" w:rsidR="00B830AE" w:rsidRPr="001C169A" w:rsidRDefault="00B830AE" w:rsidP="00B830AE">
      <w:pPr>
        <w:pStyle w:val="BTEMEASMCA"/>
        <w:rPr>
          <w:u w:val="single"/>
        </w:rPr>
      </w:pPr>
      <w:r w:rsidRPr="001C169A">
        <w:rPr>
          <w:u w:val="single"/>
        </w:rPr>
        <w:t>Klinikinis veiksmingumas ir saugumas</w:t>
      </w:r>
    </w:p>
    <w:p w14:paraId="0F4E895E" w14:textId="77777777" w:rsidR="00B830AE" w:rsidRPr="001C169A" w:rsidRDefault="00B830AE" w:rsidP="00B830AE">
      <w:pPr>
        <w:pStyle w:val="BTEMEASMCA"/>
      </w:pPr>
    </w:p>
    <w:p w14:paraId="52F8937E" w14:textId="77777777" w:rsidR="00B830AE" w:rsidRPr="001C169A" w:rsidRDefault="00B830AE" w:rsidP="00B830AE">
      <w:pPr>
        <w:pStyle w:val="BTEMEASMCA"/>
      </w:pPr>
      <w:r w:rsidRPr="001C169A">
        <w:t>Progresavęs krūties vėžys</w:t>
      </w:r>
    </w:p>
    <w:p w14:paraId="253F3965" w14:textId="77777777" w:rsidR="00B830AE" w:rsidRPr="001C169A" w:rsidRDefault="00B830AE" w:rsidP="00B830AE">
      <w:pPr>
        <w:pStyle w:val="BTEMEASMCA"/>
      </w:pPr>
    </w:p>
    <w:p w14:paraId="05898B65" w14:textId="77777777" w:rsidR="00B830AE" w:rsidRPr="001C169A" w:rsidRDefault="00B830AE" w:rsidP="00B830AE">
      <w:pPr>
        <w:pStyle w:val="BTEMEASMCA"/>
      </w:pPr>
      <w:r w:rsidRPr="001C169A">
        <w:t>Pirmos eilės progresavusio krūties vėžio terapija moterims po menopauzės</w:t>
      </w:r>
    </w:p>
    <w:p w14:paraId="08B561E9" w14:textId="77777777" w:rsidR="00B830AE" w:rsidRPr="001C169A" w:rsidRDefault="00B830AE" w:rsidP="00B830AE">
      <w:pPr>
        <w:pStyle w:val="BTEMEASMCA"/>
      </w:pPr>
      <w:r w:rsidRPr="001C169A">
        <w:t>Atlikti du, dvigubai akli, kontroliuojami, panašaus pobūdžio tyrimai (tyrimai 1033IL/0030 ir 1033IL/0027), įvertinti anastrozolo veiksmingumą lyginant su tamoksifenu, kaip pirmos eilės terapija moterims po menopauzės, esant lokaliam progresavusiam ar metastatiniam krūties vėžiui, kai hormonų receptorių yra, arba nežinoma ar jų yra. 1,021 pacienčių randomizuotai skirta 1 mg anastrozolo vieną kartą per dieną arba 20 mg tamoksifeno vieną kartą per dieną. Svarbiausios vertinamosios baigtys - auglio plitimo greitis, auglio atsako greitis ir saugumas.</w:t>
      </w:r>
    </w:p>
    <w:p w14:paraId="3179CE4F" w14:textId="77777777" w:rsidR="00B830AE" w:rsidRPr="001C169A" w:rsidRDefault="00B830AE" w:rsidP="00B830AE">
      <w:pPr>
        <w:pStyle w:val="BTEMEASMCA"/>
      </w:pPr>
    </w:p>
    <w:p w14:paraId="28EC7C0D" w14:textId="79CE3D58" w:rsidR="00B830AE" w:rsidRPr="001C169A" w:rsidRDefault="00B830AE" w:rsidP="00B830AE">
      <w:pPr>
        <w:pStyle w:val="BTEMEASMCA"/>
      </w:pPr>
      <w:r w:rsidRPr="001C169A">
        <w:t>Tyrimo 1033IL/0030 svarbiausia vertinamoji baigtis parodė statistiškai reikšmingą anastrozolo pranašumą prieš tamoksifeną lyginant auglio plitimo laiką (Santykinė rizika (SR) 1.42, 95</w:t>
      </w:r>
      <w:r w:rsidR="0067791E" w:rsidRPr="001C169A">
        <w:t> </w:t>
      </w:r>
      <w:r w:rsidRPr="001C169A">
        <w:t xml:space="preserve">% pasikliautinasis intervalas (PI) (1.11, 1.82), vidutinis plitimo greitis 11.1 ir 5.6 mėnesiai atitinkamai anastrozolui ir tamoksifenui, p=0.006); auglio atsako greitis buvo panašus ir anastrozolui ir </w:t>
      </w:r>
      <w:r w:rsidRPr="001C169A">
        <w:lastRenderedPageBreak/>
        <w:t>tamoksifenui. Pagal 1033IL/0027 tyrimą anastrozolo ir tamoksifeno auglio atsako greitis ir plitimo greitis panašus. Antrinės vertinamosios baigties  rezultatai patvirtina pirminius veiksmingumo duomenis. Mirčių skaičius gydymo metu abiejuose tyrimuose buvo per mažas, kad būtų galima spręsti apie išgyvenamumo skirtumus.</w:t>
      </w:r>
    </w:p>
    <w:p w14:paraId="135FBFEA" w14:textId="77777777" w:rsidR="00B830AE" w:rsidRPr="001C169A" w:rsidRDefault="00B830AE" w:rsidP="00B830AE">
      <w:pPr>
        <w:pStyle w:val="BTEMEASMCA"/>
      </w:pPr>
    </w:p>
    <w:p w14:paraId="5B522888" w14:textId="77777777" w:rsidR="00B830AE" w:rsidRPr="001C169A" w:rsidRDefault="00B830AE" w:rsidP="00B830AE">
      <w:pPr>
        <w:pStyle w:val="BTEMEASMCA"/>
      </w:pPr>
      <w:r w:rsidRPr="001C169A">
        <w:t>Antros eilės progresavusio krūties vėžio terapija moterims po menopauzės</w:t>
      </w:r>
    </w:p>
    <w:p w14:paraId="79E9CFE8" w14:textId="77777777" w:rsidR="00B830AE" w:rsidRPr="001C169A" w:rsidRDefault="00B830AE" w:rsidP="00B830AE">
      <w:pPr>
        <w:pStyle w:val="BTEMEASMCA"/>
      </w:pPr>
      <w:r w:rsidRPr="001C169A">
        <w:t>Atlikti du anastrozolo klinikiniai tyrimai (tyrimai 0004 ir 0005) kuriuose dalyvavo moterys su progresavusiu krūties vėžiu po menopauzės, kurioms liga progresavo po ankstyvojo arba progresavusio krūties vėžio gydymo tamoksifenu. 764 pacientėms randomizuotai buvo skirta po 1 mg ar 10 mg anastrozolo per dieną arba 40 mg megestrolio acetato keturis kartus per dieną. Pagrindiniai veiksmingumo rodikliai - plitimo greitis ir auglio atsako greitis. Taip pat buvo apskaičiuojami užsitęsusios (ilgesnės nei 24 savaitės) stabilios ligos rodikliai, plitimo greitis ir išgyvenamumas. Pagal abiejų tyrimų veiksmingumo rodiklius statistiškai reikšmingo skirtumo tarp gydymų nebuvo pastebėta.</w:t>
      </w:r>
    </w:p>
    <w:p w14:paraId="19D9E3B5" w14:textId="77777777" w:rsidR="00B830AE" w:rsidRPr="001C169A" w:rsidRDefault="00B830AE" w:rsidP="00B830AE">
      <w:pPr>
        <w:pStyle w:val="BTEMEASMCA"/>
      </w:pPr>
    </w:p>
    <w:p w14:paraId="570143EF" w14:textId="77777777" w:rsidR="00B830AE" w:rsidRPr="001C169A" w:rsidRDefault="00B830AE" w:rsidP="00B830AE">
      <w:pPr>
        <w:rPr>
          <w:bCs/>
          <w:sz w:val="22"/>
          <w:szCs w:val="22"/>
          <w:u w:val="single"/>
        </w:rPr>
      </w:pPr>
      <w:r w:rsidRPr="001C169A">
        <w:rPr>
          <w:bCs/>
          <w:sz w:val="22"/>
          <w:szCs w:val="22"/>
          <w:u w:val="single"/>
        </w:rPr>
        <w:t>Vaikų populiacija</w:t>
      </w:r>
    </w:p>
    <w:p w14:paraId="669815F7" w14:textId="77777777" w:rsidR="00B830AE" w:rsidRPr="001C169A" w:rsidRDefault="00B830AE" w:rsidP="00B830AE">
      <w:pPr>
        <w:numPr>
          <w:ilvl w:val="12"/>
          <w:numId w:val="0"/>
        </w:numPr>
        <w:ind w:right="-2"/>
        <w:rPr>
          <w:sz w:val="22"/>
          <w:szCs w:val="22"/>
        </w:rPr>
      </w:pPr>
      <w:proofErr w:type="spellStart"/>
      <w:r w:rsidRPr="001C169A">
        <w:rPr>
          <w:sz w:val="22"/>
          <w:szCs w:val="22"/>
        </w:rPr>
        <w:t>Anastrozolas</w:t>
      </w:r>
      <w:proofErr w:type="spellEnd"/>
      <w:r w:rsidRPr="001C169A">
        <w:rPr>
          <w:sz w:val="22"/>
          <w:szCs w:val="22"/>
        </w:rPr>
        <w:t xml:space="preserve"> vaikams ir paaugliams neskiriamas. Veiksmingumas tirtiems vaikams ir paaugliams nenustatytas (žr. žemiau). Gydyta per mažai vaikų, kad būtų galima daryti patikimas išvadas dėl vaisto saugumo. Duomenų apie galimą ilgalaikį </w:t>
      </w:r>
      <w:proofErr w:type="spellStart"/>
      <w:r w:rsidRPr="001C169A">
        <w:rPr>
          <w:sz w:val="22"/>
          <w:szCs w:val="22"/>
        </w:rPr>
        <w:t>anastrozolo</w:t>
      </w:r>
      <w:proofErr w:type="spellEnd"/>
      <w:r w:rsidRPr="001C169A">
        <w:rPr>
          <w:sz w:val="22"/>
          <w:szCs w:val="22"/>
        </w:rPr>
        <w:t xml:space="preserve"> poveikį vaikams ir paaugliams nėra (taip pat žr. 5.3 skyrių).</w:t>
      </w:r>
    </w:p>
    <w:p w14:paraId="738FA561" w14:textId="77777777" w:rsidR="00B830AE" w:rsidRPr="001C169A" w:rsidRDefault="00B830AE" w:rsidP="00B830AE">
      <w:pPr>
        <w:numPr>
          <w:ilvl w:val="12"/>
          <w:numId w:val="0"/>
        </w:numPr>
        <w:ind w:right="-2"/>
        <w:rPr>
          <w:sz w:val="22"/>
          <w:szCs w:val="22"/>
        </w:rPr>
      </w:pPr>
    </w:p>
    <w:p w14:paraId="68C875B8" w14:textId="77777777" w:rsidR="00B830AE" w:rsidRPr="001C169A" w:rsidRDefault="00B830AE" w:rsidP="00B830AE">
      <w:pPr>
        <w:numPr>
          <w:ilvl w:val="12"/>
          <w:numId w:val="0"/>
        </w:numPr>
        <w:ind w:right="-2"/>
        <w:rPr>
          <w:sz w:val="22"/>
          <w:szCs w:val="22"/>
        </w:rPr>
      </w:pPr>
      <w:r w:rsidRPr="001C169A">
        <w:rPr>
          <w:sz w:val="22"/>
          <w:szCs w:val="22"/>
        </w:rPr>
        <w:t xml:space="preserve">Europos vaistų agentūra nutarė netaikyti reikalavimo pateikti </w:t>
      </w:r>
      <w:proofErr w:type="spellStart"/>
      <w:r w:rsidRPr="001C169A">
        <w:rPr>
          <w:sz w:val="22"/>
          <w:szCs w:val="22"/>
        </w:rPr>
        <w:t>anastrozolo</w:t>
      </w:r>
      <w:proofErr w:type="spellEnd"/>
      <w:r w:rsidRPr="001C169A">
        <w:rPr>
          <w:sz w:val="22"/>
          <w:szCs w:val="22"/>
        </w:rPr>
        <w:t xml:space="preserve"> tyrimų duomenis su vienu ar keliais vaikų ir paauglių, kuriems nustatytas žemas ūgis dėl augimo hormono stokos, </w:t>
      </w:r>
      <w:proofErr w:type="spellStart"/>
      <w:r w:rsidRPr="001C169A">
        <w:rPr>
          <w:sz w:val="22"/>
          <w:szCs w:val="22"/>
        </w:rPr>
        <w:t>testotoksikozė</w:t>
      </w:r>
      <w:proofErr w:type="spellEnd"/>
      <w:r w:rsidRPr="001C169A">
        <w:rPr>
          <w:sz w:val="22"/>
          <w:szCs w:val="22"/>
        </w:rPr>
        <w:t xml:space="preserve">, </w:t>
      </w:r>
      <w:proofErr w:type="spellStart"/>
      <w:r w:rsidRPr="001C169A">
        <w:rPr>
          <w:sz w:val="22"/>
          <w:szCs w:val="22"/>
        </w:rPr>
        <w:t>ginekomastija</w:t>
      </w:r>
      <w:proofErr w:type="spellEnd"/>
      <w:r w:rsidRPr="001C169A">
        <w:rPr>
          <w:sz w:val="22"/>
          <w:szCs w:val="22"/>
        </w:rPr>
        <w:t xml:space="preserve"> ar </w:t>
      </w:r>
      <w:proofErr w:type="spellStart"/>
      <w:r w:rsidRPr="001C169A">
        <w:rPr>
          <w:sz w:val="22"/>
          <w:szCs w:val="22"/>
        </w:rPr>
        <w:t>Olbraito-Mak</w:t>
      </w:r>
      <w:proofErr w:type="spellEnd"/>
      <w:r w:rsidRPr="001C169A">
        <w:rPr>
          <w:sz w:val="22"/>
          <w:szCs w:val="22"/>
        </w:rPr>
        <w:t xml:space="preserve"> </w:t>
      </w:r>
      <w:proofErr w:type="spellStart"/>
      <w:r w:rsidRPr="001C169A">
        <w:rPr>
          <w:sz w:val="22"/>
          <w:szCs w:val="22"/>
        </w:rPr>
        <w:t>Kuno</w:t>
      </w:r>
      <w:proofErr w:type="spellEnd"/>
      <w:r w:rsidRPr="001C169A">
        <w:rPr>
          <w:sz w:val="22"/>
          <w:szCs w:val="22"/>
        </w:rPr>
        <w:t xml:space="preserve"> (</w:t>
      </w:r>
      <w:proofErr w:type="spellStart"/>
      <w:r w:rsidRPr="001C169A">
        <w:rPr>
          <w:sz w:val="22"/>
          <w:szCs w:val="22"/>
        </w:rPr>
        <w:t>McCune-Albright</w:t>
      </w:r>
      <w:proofErr w:type="spellEnd"/>
      <w:r w:rsidRPr="001C169A">
        <w:rPr>
          <w:sz w:val="22"/>
          <w:szCs w:val="22"/>
        </w:rPr>
        <w:t>) sindromas, pogrupiais (žr. 4.2 skyrių).</w:t>
      </w:r>
    </w:p>
    <w:p w14:paraId="6D58FADE" w14:textId="77777777" w:rsidR="00B830AE" w:rsidRPr="001C169A" w:rsidRDefault="00B830AE" w:rsidP="00B830AE">
      <w:pPr>
        <w:numPr>
          <w:ilvl w:val="12"/>
          <w:numId w:val="0"/>
        </w:numPr>
        <w:ind w:right="-2"/>
        <w:rPr>
          <w:sz w:val="22"/>
          <w:szCs w:val="22"/>
        </w:rPr>
      </w:pPr>
    </w:p>
    <w:p w14:paraId="099D0D7D" w14:textId="77777777" w:rsidR="00B830AE" w:rsidRPr="001C169A" w:rsidRDefault="00B830AE" w:rsidP="00B830AE">
      <w:pPr>
        <w:numPr>
          <w:ilvl w:val="12"/>
          <w:numId w:val="0"/>
        </w:numPr>
        <w:ind w:right="-2"/>
        <w:rPr>
          <w:sz w:val="22"/>
          <w:szCs w:val="22"/>
          <w:u w:val="single"/>
        </w:rPr>
      </w:pPr>
      <w:r w:rsidRPr="001C169A">
        <w:rPr>
          <w:sz w:val="22"/>
          <w:szCs w:val="22"/>
          <w:u w:val="single"/>
        </w:rPr>
        <w:t>Žemas ūgis dėl augimo hormono stokos</w:t>
      </w:r>
    </w:p>
    <w:p w14:paraId="691B2B2E" w14:textId="77777777" w:rsidR="00B830AE" w:rsidRPr="001C169A" w:rsidRDefault="00B830AE" w:rsidP="00B830AE">
      <w:pPr>
        <w:numPr>
          <w:ilvl w:val="12"/>
          <w:numId w:val="0"/>
        </w:numPr>
        <w:ind w:right="-2"/>
        <w:rPr>
          <w:sz w:val="22"/>
          <w:szCs w:val="22"/>
        </w:rPr>
      </w:pPr>
      <w:r w:rsidRPr="001C169A">
        <w:rPr>
          <w:sz w:val="22"/>
          <w:szCs w:val="22"/>
        </w:rPr>
        <w:t xml:space="preserve">Atsitiktinės atrankos dvigubai aklas daugelyje centrų atlikto klinikinio tyrimo metu vertintas poveikis 52 augimo hormono stokojantiems 11 – 16 metų (įskaitytinai) amžiaus berniukams brendimo laikotarpiu. Jie 12 – 36 mėn. kartu su augimo hormonu vartojo 1 mg </w:t>
      </w:r>
      <w:proofErr w:type="spellStart"/>
      <w:r w:rsidRPr="001C169A">
        <w:rPr>
          <w:sz w:val="22"/>
          <w:szCs w:val="22"/>
        </w:rPr>
        <w:t>anastrozolo</w:t>
      </w:r>
      <w:proofErr w:type="spellEnd"/>
      <w:r w:rsidRPr="001C169A">
        <w:rPr>
          <w:sz w:val="22"/>
          <w:szCs w:val="22"/>
        </w:rPr>
        <w:t xml:space="preserve"> per parą arba </w:t>
      </w:r>
      <w:proofErr w:type="spellStart"/>
      <w:r w:rsidRPr="001C169A">
        <w:rPr>
          <w:sz w:val="22"/>
          <w:szCs w:val="22"/>
        </w:rPr>
        <w:t>placebą</w:t>
      </w:r>
      <w:proofErr w:type="spellEnd"/>
      <w:r w:rsidRPr="001C169A">
        <w:rPr>
          <w:sz w:val="22"/>
          <w:szCs w:val="22"/>
        </w:rPr>
        <w:t xml:space="preserve">. 36 mėn. trukmės tyrimą baigė tik 14 </w:t>
      </w:r>
      <w:proofErr w:type="spellStart"/>
      <w:r w:rsidRPr="001C169A">
        <w:rPr>
          <w:sz w:val="22"/>
          <w:szCs w:val="22"/>
        </w:rPr>
        <w:t>anastrozolą</w:t>
      </w:r>
      <w:proofErr w:type="spellEnd"/>
      <w:r w:rsidRPr="001C169A">
        <w:rPr>
          <w:sz w:val="22"/>
          <w:szCs w:val="22"/>
        </w:rPr>
        <w:t xml:space="preserve"> vartojusių asmenų.</w:t>
      </w:r>
    </w:p>
    <w:p w14:paraId="52547B72" w14:textId="77777777" w:rsidR="00B830AE" w:rsidRPr="001C169A" w:rsidRDefault="00B830AE" w:rsidP="00B830AE">
      <w:pPr>
        <w:numPr>
          <w:ilvl w:val="12"/>
          <w:numId w:val="0"/>
        </w:numPr>
        <w:ind w:left="567" w:right="-2"/>
        <w:rPr>
          <w:sz w:val="22"/>
          <w:szCs w:val="22"/>
        </w:rPr>
      </w:pPr>
    </w:p>
    <w:p w14:paraId="0E10A84C" w14:textId="77777777" w:rsidR="00B830AE" w:rsidRPr="001C169A" w:rsidRDefault="00B830AE" w:rsidP="00B830AE">
      <w:pPr>
        <w:numPr>
          <w:ilvl w:val="12"/>
          <w:numId w:val="0"/>
        </w:numPr>
        <w:ind w:right="-2"/>
        <w:rPr>
          <w:sz w:val="22"/>
          <w:szCs w:val="22"/>
        </w:rPr>
      </w:pPr>
      <w:r w:rsidRPr="001C169A">
        <w:rPr>
          <w:sz w:val="22"/>
          <w:szCs w:val="22"/>
        </w:rPr>
        <w:t xml:space="preserve">Statistikai reikšmingo su augimu susijusių rodiklių (numatomas ūgis suaugus, ūgis, ūgio standartinio nuokrypio rodiklis SDS (standartinio nuokrypio skaičius), augimo greitis) skirtumo, palyginus su </w:t>
      </w:r>
      <w:proofErr w:type="spellStart"/>
      <w:r w:rsidRPr="001C169A">
        <w:rPr>
          <w:sz w:val="22"/>
          <w:szCs w:val="22"/>
        </w:rPr>
        <w:t>placebo</w:t>
      </w:r>
      <w:proofErr w:type="spellEnd"/>
      <w:r w:rsidRPr="001C169A">
        <w:rPr>
          <w:sz w:val="22"/>
          <w:szCs w:val="22"/>
        </w:rPr>
        <w:t xml:space="preserve"> grupe, nenustatyta. Galutiniai duomenys apie ūgį nebuvo galimi. Nors gydyta per mažai vaikų, kad būtų galima daryti patikimas išvadas dėl vaisto saugumo, tačiau </w:t>
      </w:r>
      <w:proofErr w:type="spellStart"/>
      <w:r w:rsidRPr="001C169A">
        <w:rPr>
          <w:sz w:val="22"/>
          <w:szCs w:val="22"/>
        </w:rPr>
        <w:t>anastrozolo</w:t>
      </w:r>
      <w:proofErr w:type="spellEnd"/>
      <w:r w:rsidRPr="001C169A">
        <w:rPr>
          <w:sz w:val="22"/>
          <w:szCs w:val="22"/>
        </w:rPr>
        <w:t xml:space="preserve"> grupės pacientams nustatyta daugiau lūžių ir kaulų mineralų tankio sumažėjimo tendencija (palyginus su </w:t>
      </w:r>
      <w:proofErr w:type="spellStart"/>
      <w:r w:rsidRPr="001C169A">
        <w:rPr>
          <w:sz w:val="22"/>
          <w:szCs w:val="22"/>
        </w:rPr>
        <w:t>placebo</w:t>
      </w:r>
      <w:proofErr w:type="spellEnd"/>
      <w:r w:rsidRPr="001C169A">
        <w:rPr>
          <w:sz w:val="22"/>
          <w:szCs w:val="22"/>
        </w:rPr>
        <w:t xml:space="preserve"> grupe).</w:t>
      </w:r>
    </w:p>
    <w:p w14:paraId="301523F5" w14:textId="77777777" w:rsidR="00B830AE" w:rsidRPr="001C169A" w:rsidRDefault="00B830AE" w:rsidP="00B830AE">
      <w:pPr>
        <w:numPr>
          <w:ilvl w:val="12"/>
          <w:numId w:val="0"/>
        </w:numPr>
        <w:ind w:right="-2"/>
        <w:rPr>
          <w:sz w:val="22"/>
          <w:szCs w:val="22"/>
        </w:rPr>
      </w:pPr>
    </w:p>
    <w:p w14:paraId="36113842" w14:textId="77777777" w:rsidR="00B830AE" w:rsidRPr="001C169A" w:rsidRDefault="00B830AE" w:rsidP="00B830AE">
      <w:pPr>
        <w:numPr>
          <w:ilvl w:val="12"/>
          <w:numId w:val="0"/>
        </w:numPr>
        <w:ind w:right="-2"/>
        <w:rPr>
          <w:sz w:val="22"/>
          <w:szCs w:val="22"/>
        </w:rPr>
      </w:pPr>
      <w:proofErr w:type="spellStart"/>
      <w:r w:rsidRPr="001C169A">
        <w:rPr>
          <w:sz w:val="22"/>
          <w:szCs w:val="22"/>
          <w:u w:val="single"/>
        </w:rPr>
        <w:t>Testotoksikozė</w:t>
      </w:r>
      <w:proofErr w:type="spellEnd"/>
    </w:p>
    <w:p w14:paraId="4DA8160A" w14:textId="77777777" w:rsidR="00B830AE" w:rsidRPr="001C169A" w:rsidRDefault="00B830AE" w:rsidP="00B830AE">
      <w:pPr>
        <w:numPr>
          <w:ilvl w:val="12"/>
          <w:numId w:val="0"/>
        </w:numPr>
        <w:ind w:right="-2"/>
        <w:rPr>
          <w:sz w:val="22"/>
          <w:szCs w:val="22"/>
        </w:rPr>
      </w:pPr>
      <w:r w:rsidRPr="001C169A">
        <w:rPr>
          <w:sz w:val="22"/>
          <w:szCs w:val="22"/>
        </w:rPr>
        <w:t>Atviro nepalyginamo daugelyje centrų atlikto tyrimo metu 14 berniukų (2 – 9 metų amžiaus), sirgusių šeiminiu vien vyriškai lyčiai pasireiškiančiu priešlaikiniu brendimu (</w:t>
      </w:r>
      <w:proofErr w:type="spellStart"/>
      <w:r w:rsidRPr="001C169A">
        <w:rPr>
          <w:sz w:val="22"/>
          <w:szCs w:val="22"/>
        </w:rPr>
        <w:t>testotoksikoze</w:t>
      </w:r>
      <w:proofErr w:type="spellEnd"/>
      <w:r w:rsidRPr="001C169A">
        <w:rPr>
          <w:sz w:val="22"/>
          <w:szCs w:val="22"/>
        </w:rPr>
        <w:t xml:space="preserve">), gydyti </w:t>
      </w:r>
      <w:proofErr w:type="spellStart"/>
      <w:r w:rsidRPr="001C169A">
        <w:rPr>
          <w:sz w:val="22"/>
          <w:szCs w:val="22"/>
        </w:rPr>
        <w:t>anastrozolu</w:t>
      </w:r>
      <w:proofErr w:type="spellEnd"/>
      <w:r w:rsidRPr="001C169A">
        <w:rPr>
          <w:sz w:val="22"/>
          <w:szCs w:val="22"/>
        </w:rPr>
        <w:t xml:space="preserve"> ir </w:t>
      </w:r>
      <w:proofErr w:type="spellStart"/>
      <w:r w:rsidRPr="001C169A">
        <w:rPr>
          <w:sz w:val="22"/>
          <w:szCs w:val="22"/>
        </w:rPr>
        <w:t>bikalutamido</w:t>
      </w:r>
      <w:proofErr w:type="spellEnd"/>
      <w:r w:rsidRPr="001C169A">
        <w:rPr>
          <w:sz w:val="22"/>
          <w:szCs w:val="22"/>
        </w:rPr>
        <w:t xml:space="preserve"> deriniu. Pagrindinis tikslas buvo įvertinti šio derinio 12 mėn. trukmės vartojimo veiksmingumą ir saugumą. 12 mėn. trukmės gydymo šiuo vaistų deriniu kursą baigė 13 iš 14 į tyrimą įtrauktų pacientų (vienas stebėjimo laikotarpiu dingo iš akiračio). Reikšmingo augimo greičio skirtumo po 12 mėn. trukmės gydymo palyginus su augimo greičiu paskutinius 6 mėn. iki įtraukimo į tyrimą nenustatyta.</w:t>
      </w:r>
    </w:p>
    <w:p w14:paraId="44626436" w14:textId="77777777" w:rsidR="00B830AE" w:rsidRPr="001C169A" w:rsidRDefault="00B830AE" w:rsidP="00B830AE">
      <w:pPr>
        <w:pStyle w:val="BTEMEASMCA"/>
      </w:pPr>
    </w:p>
    <w:p w14:paraId="0DAB38A6" w14:textId="77777777" w:rsidR="00B830AE" w:rsidRPr="001C169A" w:rsidRDefault="00B830AE" w:rsidP="00B830AE">
      <w:pPr>
        <w:rPr>
          <w:bCs/>
          <w:sz w:val="22"/>
          <w:szCs w:val="22"/>
          <w:u w:val="single"/>
        </w:rPr>
      </w:pPr>
      <w:proofErr w:type="spellStart"/>
      <w:r w:rsidRPr="001C169A">
        <w:rPr>
          <w:bCs/>
          <w:sz w:val="22"/>
          <w:szCs w:val="22"/>
          <w:u w:val="single"/>
        </w:rPr>
        <w:t>Ginekomastijos</w:t>
      </w:r>
      <w:proofErr w:type="spellEnd"/>
      <w:r w:rsidRPr="001C169A">
        <w:rPr>
          <w:bCs/>
          <w:sz w:val="22"/>
          <w:szCs w:val="22"/>
          <w:u w:val="single"/>
        </w:rPr>
        <w:t xml:space="preserve"> tyrimai</w:t>
      </w:r>
    </w:p>
    <w:p w14:paraId="7CA8E149" w14:textId="77777777" w:rsidR="00B830AE" w:rsidRPr="001C169A" w:rsidRDefault="00B830AE" w:rsidP="00B830AE">
      <w:pPr>
        <w:rPr>
          <w:sz w:val="22"/>
          <w:szCs w:val="22"/>
        </w:rPr>
      </w:pPr>
      <w:r w:rsidRPr="001C169A">
        <w:rPr>
          <w:bCs/>
          <w:sz w:val="22"/>
          <w:szCs w:val="22"/>
        </w:rPr>
        <w:t xml:space="preserve">Tyrimas 0006 buvo atsitiktinės atrankos, dvigubai aklas, atliktas daugelyje centrų. Jo metu 82 brendimo amžiaus (11-18 metų įskaitytinai) berniukų, ilgiau kaip 12 mėn. sirgusių </w:t>
      </w:r>
      <w:proofErr w:type="spellStart"/>
      <w:r w:rsidRPr="001C169A">
        <w:rPr>
          <w:bCs/>
          <w:sz w:val="22"/>
          <w:szCs w:val="22"/>
        </w:rPr>
        <w:t>ginekomastija</w:t>
      </w:r>
      <w:proofErr w:type="spellEnd"/>
      <w:r w:rsidRPr="001C169A">
        <w:rPr>
          <w:bCs/>
          <w:sz w:val="22"/>
          <w:szCs w:val="22"/>
        </w:rPr>
        <w:t xml:space="preserve">, vartojo 1 mg per parą </w:t>
      </w:r>
      <w:proofErr w:type="spellStart"/>
      <w:r w:rsidRPr="001C169A">
        <w:rPr>
          <w:bCs/>
          <w:sz w:val="22"/>
          <w:szCs w:val="22"/>
        </w:rPr>
        <w:t>anastrozolo</w:t>
      </w:r>
      <w:proofErr w:type="spellEnd"/>
      <w:r w:rsidRPr="001C169A">
        <w:rPr>
          <w:bCs/>
          <w:sz w:val="22"/>
          <w:szCs w:val="22"/>
        </w:rPr>
        <w:t xml:space="preserve"> arba </w:t>
      </w:r>
      <w:proofErr w:type="spellStart"/>
      <w:r w:rsidRPr="001C169A">
        <w:rPr>
          <w:bCs/>
          <w:sz w:val="22"/>
          <w:szCs w:val="22"/>
        </w:rPr>
        <w:t>placebą</w:t>
      </w:r>
      <w:proofErr w:type="spellEnd"/>
      <w:r w:rsidRPr="001C169A">
        <w:rPr>
          <w:bCs/>
          <w:sz w:val="22"/>
          <w:szCs w:val="22"/>
        </w:rPr>
        <w:t xml:space="preserve"> kasdien iki 6 mėn. </w:t>
      </w:r>
      <w:r w:rsidRPr="001C169A">
        <w:rPr>
          <w:sz w:val="22"/>
          <w:szCs w:val="22"/>
        </w:rPr>
        <w:t xml:space="preserve">Reikšmingo skirtumo tarp pacientų skaičiaus, kurie turėjo 50 % ar didesnį sumažėjimą bendro krūties tūrio po 6 gydymo mėnesių nebuvo pastebėtas tarp </w:t>
      </w:r>
      <w:proofErr w:type="spellStart"/>
      <w:r w:rsidRPr="001C169A">
        <w:rPr>
          <w:sz w:val="22"/>
          <w:szCs w:val="22"/>
        </w:rPr>
        <w:t>anastrozolo</w:t>
      </w:r>
      <w:proofErr w:type="spellEnd"/>
      <w:r w:rsidRPr="001C169A">
        <w:rPr>
          <w:sz w:val="22"/>
          <w:szCs w:val="22"/>
        </w:rPr>
        <w:t xml:space="preserve"> 1 mg gydytų pacientų grupės ir </w:t>
      </w:r>
      <w:proofErr w:type="spellStart"/>
      <w:r w:rsidRPr="001C169A">
        <w:rPr>
          <w:sz w:val="22"/>
          <w:szCs w:val="22"/>
        </w:rPr>
        <w:t>placebo</w:t>
      </w:r>
      <w:proofErr w:type="spellEnd"/>
      <w:r w:rsidRPr="001C169A">
        <w:rPr>
          <w:sz w:val="22"/>
          <w:szCs w:val="22"/>
        </w:rPr>
        <w:t xml:space="preserve"> grupės. </w:t>
      </w:r>
    </w:p>
    <w:p w14:paraId="75D7BB6E" w14:textId="77777777" w:rsidR="00B830AE" w:rsidRPr="001C169A" w:rsidRDefault="00B830AE" w:rsidP="00B830AE">
      <w:pPr>
        <w:rPr>
          <w:sz w:val="22"/>
          <w:szCs w:val="22"/>
        </w:rPr>
      </w:pPr>
    </w:p>
    <w:p w14:paraId="703E6C5C" w14:textId="571A21B2" w:rsidR="00B830AE" w:rsidRPr="001C169A" w:rsidRDefault="00B830AE" w:rsidP="00B830AE">
      <w:pPr>
        <w:rPr>
          <w:bCs/>
          <w:sz w:val="22"/>
          <w:szCs w:val="22"/>
        </w:rPr>
      </w:pPr>
      <w:r w:rsidRPr="001C169A">
        <w:rPr>
          <w:bCs/>
          <w:sz w:val="22"/>
          <w:szCs w:val="22"/>
        </w:rPr>
        <w:t xml:space="preserve">0001 tyrimas buvo atviras daugelio dozių </w:t>
      </w:r>
      <w:proofErr w:type="spellStart"/>
      <w:r w:rsidRPr="001C169A">
        <w:rPr>
          <w:bCs/>
          <w:sz w:val="22"/>
          <w:szCs w:val="22"/>
        </w:rPr>
        <w:t>farmakokinetikos</w:t>
      </w:r>
      <w:proofErr w:type="spellEnd"/>
      <w:r w:rsidRPr="001C169A">
        <w:rPr>
          <w:bCs/>
          <w:sz w:val="22"/>
          <w:szCs w:val="22"/>
        </w:rPr>
        <w:t xml:space="preserve"> tyrimas.</w:t>
      </w:r>
      <w:r w:rsidR="0067791E" w:rsidRPr="001C169A">
        <w:rPr>
          <w:bCs/>
          <w:sz w:val="22"/>
          <w:szCs w:val="22"/>
        </w:rPr>
        <w:t xml:space="preserve"> </w:t>
      </w:r>
      <w:r w:rsidRPr="001C169A">
        <w:rPr>
          <w:bCs/>
          <w:sz w:val="22"/>
          <w:szCs w:val="22"/>
        </w:rPr>
        <w:t xml:space="preserve">36 brendimo amžiaus berniukams, trumpiau kaip 12 mėn. sirgusiems </w:t>
      </w:r>
      <w:proofErr w:type="spellStart"/>
      <w:r w:rsidRPr="001C169A">
        <w:rPr>
          <w:bCs/>
          <w:sz w:val="22"/>
          <w:szCs w:val="22"/>
        </w:rPr>
        <w:t>ginekomastija</w:t>
      </w:r>
      <w:proofErr w:type="spellEnd"/>
      <w:r w:rsidRPr="001C169A">
        <w:rPr>
          <w:bCs/>
          <w:sz w:val="22"/>
          <w:szCs w:val="22"/>
        </w:rPr>
        <w:t xml:space="preserve"> ir vartojusiems 1 mg </w:t>
      </w:r>
      <w:proofErr w:type="spellStart"/>
      <w:r w:rsidRPr="001C169A">
        <w:rPr>
          <w:bCs/>
          <w:sz w:val="22"/>
          <w:szCs w:val="22"/>
        </w:rPr>
        <w:t>anastrozolo</w:t>
      </w:r>
      <w:proofErr w:type="spellEnd"/>
      <w:r w:rsidRPr="001C169A">
        <w:rPr>
          <w:bCs/>
          <w:sz w:val="22"/>
          <w:szCs w:val="22"/>
        </w:rPr>
        <w:t xml:space="preserve"> per parą. Kitas tikslas buvo įvertinti santykį pacientų, sergančių </w:t>
      </w:r>
      <w:proofErr w:type="spellStart"/>
      <w:r w:rsidRPr="001C169A">
        <w:rPr>
          <w:bCs/>
          <w:sz w:val="22"/>
          <w:szCs w:val="22"/>
        </w:rPr>
        <w:t>ginekomastija</w:t>
      </w:r>
      <w:proofErr w:type="spellEnd"/>
      <w:r w:rsidRPr="001C169A">
        <w:rPr>
          <w:bCs/>
          <w:sz w:val="22"/>
          <w:szCs w:val="22"/>
        </w:rPr>
        <w:t xml:space="preserve">, apskaičiuoto abiejų krūtų </w:t>
      </w:r>
      <w:r w:rsidRPr="001C169A">
        <w:rPr>
          <w:bCs/>
          <w:sz w:val="22"/>
          <w:szCs w:val="22"/>
        </w:rPr>
        <w:lastRenderedPageBreak/>
        <w:t xml:space="preserve">tūrio sumažėjimą bent 50 % tarp 1 dienos ir po 6 mėn. gydymo, ir pacientų toleravimą bei </w:t>
      </w:r>
      <w:proofErr w:type="spellStart"/>
      <w:r w:rsidRPr="001C169A">
        <w:rPr>
          <w:bCs/>
          <w:sz w:val="22"/>
          <w:szCs w:val="22"/>
        </w:rPr>
        <w:t>saugumą.</w:t>
      </w:r>
      <w:r w:rsidRPr="001C169A">
        <w:rPr>
          <w:rStyle w:val="google-src-text1"/>
          <w:sz w:val="22"/>
          <w:szCs w:val="22"/>
        </w:rPr>
        <w:t xml:space="preserve"> </w:t>
      </w:r>
      <w:r w:rsidRPr="001C169A">
        <w:rPr>
          <w:bCs/>
          <w:sz w:val="22"/>
          <w:szCs w:val="22"/>
        </w:rPr>
        <w:t>Bendro</w:t>
      </w:r>
      <w:proofErr w:type="spellEnd"/>
      <w:r w:rsidRPr="001C169A">
        <w:rPr>
          <w:bCs/>
          <w:sz w:val="22"/>
          <w:szCs w:val="22"/>
        </w:rPr>
        <w:t xml:space="preserve"> krūties tūrio sumažėjimas bent 50 % (20/36) po 6 mėn. nustatytas 55,6 % berniukų. </w:t>
      </w:r>
    </w:p>
    <w:p w14:paraId="25CFF9F0" w14:textId="77777777" w:rsidR="00B830AE" w:rsidRPr="001C169A" w:rsidRDefault="00B830AE" w:rsidP="00B830AE">
      <w:pPr>
        <w:rPr>
          <w:bCs/>
          <w:sz w:val="22"/>
          <w:szCs w:val="22"/>
        </w:rPr>
      </w:pPr>
    </w:p>
    <w:p w14:paraId="36B4310C" w14:textId="77777777" w:rsidR="00B830AE" w:rsidRPr="001C169A" w:rsidRDefault="00B830AE" w:rsidP="00B830AE">
      <w:pPr>
        <w:rPr>
          <w:bCs/>
          <w:sz w:val="22"/>
          <w:szCs w:val="22"/>
        </w:rPr>
      </w:pPr>
      <w:proofErr w:type="spellStart"/>
      <w:r w:rsidRPr="001C169A">
        <w:rPr>
          <w:bCs/>
          <w:sz w:val="22"/>
          <w:szCs w:val="22"/>
        </w:rPr>
        <w:t>Olbraito-Mak</w:t>
      </w:r>
      <w:proofErr w:type="spellEnd"/>
      <w:r w:rsidRPr="001C169A">
        <w:rPr>
          <w:bCs/>
          <w:sz w:val="22"/>
          <w:szCs w:val="22"/>
        </w:rPr>
        <w:t xml:space="preserve"> </w:t>
      </w:r>
      <w:proofErr w:type="spellStart"/>
      <w:r w:rsidRPr="001C169A">
        <w:rPr>
          <w:bCs/>
          <w:sz w:val="22"/>
          <w:szCs w:val="22"/>
        </w:rPr>
        <w:t>Kuno</w:t>
      </w:r>
      <w:proofErr w:type="spellEnd"/>
      <w:r w:rsidRPr="001C169A">
        <w:rPr>
          <w:bCs/>
          <w:i/>
          <w:sz w:val="22"/>
          <w:szCs w:val="22"/>
        </w:rPr>
        <w:t xml:space="preserve"> (</w:t>
      </w:r>
      <w:proofErr w:type="spellStart"/>
      <w:r w:rsidRPr="001C169A">
        <w:rPr>
          <w:bCs/>
          <w:i/>
          <w:sz w:val="22"/>
          <w:szCs w:val="22"/>
        </w:rPr>
        <w:t>McCune-Albright</w:t>
      </w:r>
      <w:proofErr w:type="spellEnd"/>
      <w:r w:rsidRPr="001C169A">
        <w:rPr>
          <w:bCs/>
          <w:i/>
          <w:sz w:val="22"/>
          <w:szCs w:val="22"/>
        </w:rPr>
        <w:t>)</w:t>
      </w:r>
      <w:r w:rsidRPr="001C169A">
        <w:rPr>
          <w:bCs/>
          <w:sz w:val="22"/>
          <w:szCs w:val="22"/>
        </w:rPr>
        <w:t xml:space="preserve"> sindromo tyrimas</w:t>
      </w:r>
    </w:p>
    <w:p w14:paraId="39CA706D" w14:textId="77777777" w:rsidR="00B830AE" w:rsidRPr="001C169A" w:rsidRDefault="00B830AE" w:rsidP="00B830AE">
      <w:pPr>
        <w:rPr>
          <w:bCs/>
          <w:sz w:val="22"/>
          <w:szCs w:val="22"/>
        </w:rPr>
      </w:pPr>
      <w:r w:rsidRPr="001C169A">
        <w:rPr>
          <w:bCs/>
          <w:sz w:val="22"/>
          <w:szCs w:val="22"/>
        </w:rPr>
        <w:t xml:space="preserve">Tarptautinio, daugelyje centrų atlikto, atviro tyrimo 0046 metu buvo siekiama gauti daugiau duomenų. Jo metu </w:t>
      </w:r>
      <w:proofErr w:type="spellStart"/>
      <w:r w:rsidRPr="001C169A">
        <w:rPr>
          <w:bCs/>
          <w:sz w:val="22"/>
          <w:szCs w:val="22"/>
        </w:rPr>
        <w:t>anastrozolą</w:t>
      </w:r>
      <w:proofErr w:type="spellEnd"/>
      <w:r w:rsidRPr="001C169A">
        <w:rPr>
          <w:bCs/>
          <w:sz w:val="22"/>
          <w:szCs w:val="22"/>
        </w:rPr>
        <w:t xml:space="preserve"> vartojo 28 mergaitės (amžius – 2</w:t>
      </w:r>
      <w:r w:rsidRPr="001C169A">
        <w:rPr>
          <w:bCs/>
          <w:sz w:val="22"/>
          <w:szCs w:val="22"/>
        </w:rPr>
        <w:noBreakHyphen/>
        <w:t xml:space="preserve">10 metų), sirgusios </w:t>
      </w:r>
      <w:proofErr w:type="spellStart"/>
      <w:r w:rsidRPr="001C169A">
        <w:rPr>
          <w:bCs/>
          <w:sz w:val="22"/>
          <w:szCs w:val="22"/>
        </w:rPr>
        <w:t>Olbraito-Mak</w:t>
      </w:r>
      <w:proofErr w:type="spellEnd"/>
      <w:r w:rsidRPr="001C169A">
        <w:rPr>
          <w:bCs/>
          <w:sz w:val="22"/>
          <w:szCs w:val="22"/>
        </w:rPr>
        <w:t xml:space="preserve"> </w:t>
      </w:r>
      <w:proofErr w:type="spellStart"/>
      <w:r w:rsidRPr="001C169A">
        <w:rPr>
          <w:bCs/>
          <w:sz w:val="22"/>
          <w:szCs w:val="22"/>
        </w:rPr>
        <w:t>Kuno</w:t>
      </w:r>
      <w:proofErr w:type="spellEnd"/>
      <w:r w:rsidRPr="001C169A">
        <w:rPr>
          <w:bCs/>
          <w:sz w:val="22"/>
          <w:szCs w:val="22"/>
        </w:rPr>
        <w:t xml:space="preserve"> (</w:t>
      </w:r>
      <w:proofErr w:type="spellStart"/>
      <w:r w:rsidRPr="001C169A">
        <w:rPr>
          <w:bCs/>
          <w:i/>
          <w:sz w:val="22"/>
          <w:szCs w:val="22"/>
        </w:rPr>
        <w:t>McCune-Albright</w:t>
      </w:r>
      <w:proofErr w:type="spellEnd"/>
      <w:r w:rsidRPr="001C169A">
        <w:rPr>
          <w:bCs/>
          <w:i/>
          <w:sz w:val="22"/>
          <w:szCs w:val="22"/>
        </w:rPr>
        <w:t>)</w:t>
      </w:r>
      <w:r w:rsidRPr="001C169A">
        <w:rPr>
          <w:bCs/>
          <w:sz w:val="22"/>
          <w:szCs w:val="22"/>
        </w:rPr>
        <w:t xml:space="preserve"> sindromu (MAS). </w:t>
      </w:r>
      <w:r w:rsidRPr="001C169A">
        <w:rPr>
          <w:sz w:val="22"/>
          <w:szCs w:val="22"/>
        </w:rPr>
        <w:t xml:space="preserve">Pagrindinis tikslas buvo įvertinti </w:t>
      </w:r>
      <w:proofErr w:type="spellStart"/>
      <w:r w:rsidRPr="001C169A">
        <w:rPr>
          <w:sz w:val="22"/>
          <w:szCs w:val="22"/>
        </w:rPr>
        <w:t>anastrozolo</w:t>
      </w:r>
      <w:proofErr w:type="spellEnd"/>
      <w:r w:rsidRPr="001C169A">
        <w:rPr>
          <w:sz w:val="22"/>
          <w:szCs w:val="22"/>
        </w:rPr>
        <w:t xml:space="preserve"> 1 mg per parą saugumą ir veiksmingumą pacientams, sergantiems MAS. Tyrimo gydymo veiksmingumas buvo pagrįstas dalimi pacientų, atitinkančių nustatytus kriterijus, susijusius su kraujavimu iš makšties, kaulų amžiumi ir augimo greičiu.</w:t>
      </w:r>
    </w:p>
    <w:p w14:paraId="2647E1FC" w14:textId="77777777" w:rsidR="00B830AE" w:rsidRPr="001C169A" w:rsidRDefault="00B830AE" w:rsidP="00B830AE">
      <w:pPr>
        <w:rPr>
          <w:bCs/>
          <w:sz w:val="22"/>
          <w:szCs w:val="22"/>
        </w:rPr>
      </w:pPr>
    </w:p>
    <w:p w14:paraId="2EB558F7" w14:textId="77777777" w:rsidR="00B830AE" w:rsidRPr="001C169A" w:rsidRDefault="00B830AE" w:rsidP="00B830AE">
      <w:pPr>
        <w:rPr>
          <w:sz w:val="22"/>
          <w:szCs w:val="22"/>
        </w:rPr>
      </w:pPr>
      <w:r w:rsidRPr="001C169A">
        <w:rPr>
          <w:bCs/>
          <w:sz w:val="22"/>
          <w:szCs w:val="22"/>
        </w:rPr>
        <w:t xml:space="preserve">Statistiniai reikšmingo kraujavimo iš makšties dienų skaičiaus skirtumo, vartojant šį vaistinį preparatą, nenustatyta. Kliniškai reikšmingų brendimo stadijos pagal </w:t>
      </w:r>
      <w:proofErr w:type="spellStart"/>
      <w:r w:rsidRPr="001C169A">
        <w:rPr>
          <w:bCs/>
          <w:sz w:val="22"/>
          <w:szCs w:val="22"/>
        </w:rPr>
        <w:t>Tanner</w:t>
      </w:r>
      <w:proofErr w:type="spellEnd"/>
      <w:r w:rsidRPr="001C169A">
        <w:rPr>
          <w:bCs/>
          <w:sz w:val="22"/>
          <w:szCs w:val="22"/>
        </w:rPr>
        <w:t>, vidutinio kiaušidžių tūrio ar vidutinio gimdos tūrio skirtumų nenustatyta. Lyginant kaulų brendimo greitį iki šio vaistinio preparato vartojimo ir jo metu, reikšmingo skirtumo nenustatyta. Mergaičių augimo greitis (cm per metus) reikšmingai (p </w:t>
      </w:r>
      <w:r w:rsidRPr="001C169A">
        <w:rPr>
          <w:bCs/>
          <w:sz w:val="22"/>
          <w:szCs w:val="22"/>
        </w:rPr>
        <w:sym w:font="Symbol" w:char="F03C"/>
      </w:r>
      <w:r w:rsidRPr="001C169A">
        <w:rPr>
          <w:bCs/>
          <w:sz w:val="22"/>
          <w:szCs w:val="22"/>
        </w:rPr>
        <w:t xml:space="preserve"> 0,05) sulėtėjo, lyginant buvusį iki gydymo ir per laikotarpį nuo nulinio mėnesio iki dvylikto mėnesio pabaigos bei buvusį iki gydymo ir iki antrųjų 6 mėn. (nuo septintojo iki dvyliktojo). </w:t>
      </w:r>
    </w:p>
    <w:p w14:paraId="7E22BC17" w14:textId="77777777" w:rsidR="00B830AE" w:rsidRPr="001C169A" w:rsidRDefault="00B830AE" w:rsidP="00B830AE">
      <w:pPr>
        <w:pStyle w:val="BTEMEASMCA"/>
      </w:pPr>
    </w:p>
    <w:p w14:paraId="1596BFAF" w14:textId="77777777" w:rsidR="00B830AE" w:rsidRPr="001C169A" w:rsidRDefault="00B830AE" w:rsidP="00B830AE">
      <w:pPr>
        <w:pStyle w:val="PI-2EMEASMCA"/>
      </w:pPr>
      <w:bookmarkStart w:id="34" w:name="_Toc129243113"/>
      <w:bookmarkStart w:id="35" w:name="_Toc129243238"/>
      <w:r w:rsidRPr="001C169A">
        <w:t>5.2</w:t>
      </w:r>
      <w:r w:rsidRPr="001C169A">
        <w:tab/>
      </w:r>
      <w:proofErr w:type="spellStart"/>
      <w:r w:rsidRPr="001C169A">
        <w:t>Farmakokinetinės</w:t>
      </w:r>
      <w:proofErr w:type="spellEnd"/>
      <w:r w:rsidRPr="001C169A">
        <w:t xml:space="preserve"> savybės</w:t>
      </w:r>
      <w:bookmarkEnd w:id="34"/>
      <w:bookmarkEnd w:id="35"/>
    </w:p>
    <w:p w14:paraId="534463D5" w14:textId="77777777" w:rsidR="00B830AE" w:rsidRPr="001C169A" w:rsidRDefault="00B830AE" w:rsidP="00B830AE">
      <w:pPr>
        <w:pStyle w:val="BTEMEASMCA"/>
      </w:pPr>
    </w:p>
    <w:p w14:paraId="01B6B242" w14:textId="77777777" w:rsidR="001D4BB6" w:rsidRPr="001C169A" w:rsidRDefault="001D4BB6" w:rsidP="00F94EBE">
      <w:pPr>
        <w:ind w:right="-142"/>
        <w:rPr>
          <w:sz w:val="22"/>
          <w:szCs w:val="22"/>
          <w:u w:val="single"/>
        </w:rPr>
      </w:pPr>
      <w:r w:rsidRPr="001C169A">
        <w:rPr>
          <w:noProof/>
          <w:sz w:val="22"/>
          <w:szCs w:val="22"/>
          <w:u w:val="single"/>
        </w:rPr>
        <w:t>Absorbcija ir pasiskirstymas</w:t>
      </w:r>
    </w:p>
    <w:p w14:paraId="58E13337" w14:textId="77777777" w:rsidR="00B830AE" w:rsidRPr="001C169A" w:rsidRDefault="00B830AE" w:rsidP="00B830AE">
      <w:pPr>
        <w:pStyle w:val="Pagrindinistekstas"/>
        <w:spacing w:after="0"/>
        <w:rPr>
          <w:szCs w:val="22"/>
        </w:rPr>
      </w:pPr>
      <w:r w:rsidRPr="001C169A">
        <w:rPr>
          <w:szCs w:val="22"/>
        </w:rPr>
        <w:t xml:space="preserve">Nevalgius išgertas </w:t>
      </w:r>
      <w:proofErr w:type="spellStart"/>
      <w:r w:rsidRPr="001C169A">
        <w:rPr>
          <w:szCs w:val="22"/>
        </w:rPr>
        <w:t>anastrozolas</w:t>
      </w:r>
      <w:proofErr w:type="spellEnd"/>
      <w:r w:rsidRPr="001C169A">
        <w:rPr>
          <w:szCs w:val="22"/>
        </w:rPr>
        <w:t xml:space="preserve"> greitai absorbuojamas, didžiausia koncentracija plazmoje paprastai susidaro per 2 val. Maistas šiek tiek mažina </w:t>
      </w:r>
      <w:proofErr w:type="spellStart"/>
      <w:r w:rsidRPr="001C169A">
        <w:rPr>
          <w:szCs w:val="22"/>
        </w:rPr>
        <w:t>rezorbcijos</w:t>
      </w:r>
      <w:proofErr w:type="spellEnd"/>
      <w:r w:rsidRPr="001C169A">
        <w:rPr>
          <w:szCs w:val="22"/>
        </w:rPr>
        <w:t xml:space="preserve"> greitį, bet ne absorbuojamo vaistinio preparato kiekį. Mažas absorbcijos greičio pokytis neturėtų kliniškai reikšmingai įtakoti vaistinio preparato </w:t>
      </w:r>
      <w:proofErr w:type="spellStart"/>
      <w:r w:rsidRPr="001C169A">
        <w:rPr>
          <w:szCs w:val="22"/>
        </w:rPr>
        <w:t>pusiausvyrinės</w:t>
      </w:r>
      <w:proofErr w:type="spellEnd"/>
      <w:r w:rsidRPr="001C169A">
        <w:rPr>
          <w:szCs w:val="22"/>
        </w:rPr>
        <w:t xml:space="preserve"> koncentracijos plazmoje, kai vieną kartą per parą geriamos AXASTROL tabletės. </w:t>
      </w:r>
    </w:p>
    <w:p w14:paraId="5276A963" w14:textId="77777777" w:rsidR="00B830AE" w:rsidRPr="001C169A" w:rsidRDefault="00B830AE" w:rsidP="00B830AE">
      <w:pPr>
        <w:pStyle w:val="Pagrindinistekstas"/>
        <w:spacing w:after="0"/>
        <w:rPr>
          <w:szCs w:val="22"/>
        </w:rPr>
      </w:pPr>
      <w:r w:rsidRPr="001C169A">
        <w:rPr>
          <w:szCs w:val="22"/>
        </w:rPr>
        <w:t xml:space="preserve">Vartojus </w:t>
      </w:r>
      <w:proofErr w:type="spellStart"/>
      <w:r w:rsidRPr="001C169A">
        <w:rPr>
          <w:szCs w:val="22"/>
        </w:rPr>
        <w:t>anastrozolą</w:t>
      </w:r>
      <w:proofErr w:type="spellEnd"/>
      <w:r w:rsidRPr="001C169A">
        <w:rPr>
          <w:szCs w:val="22"/>
        </w:rPr>
        <w:t xml:space="preserve"> 7 dienas 1 kartą per parą, susidaro maždaug 90-95 % </w:t>
      </w:r>
      <w:proofErr w:type="spellStart"/>
      <w:r w:rsidRPr="001C169A">
        <w:rPr>
          <w:szCs w:val="22"/>
        </w:rPr>
        <w:t>pusiausvyrinės</w:t>
      </w:r>
      <w:proofErr w:type="spellEnd"/>
      <w:r w:rsidRPr="001C169A">
        <w:rPr>
          <w:szCs w:val="22"/>
        </w:rPr>
        <w:t xml:space="preserve"> koncentracijos plazmoje, ir akumuliacija yra triguba ar keturguba. Nėra duomenų, rodan</w:t>
      </w:r>
      <w:r w:rsidRPr="001C169A">
        <w:rPr>
          <w:szCs w:val="22"/>
        </w:rPr>
        <w:softHyphen/>
        <w:t xml:space="preserve">čių, kad </w:t>
      </w:r>
      <w:proofErr w:type="spellStart"/>
      <w:r w:rsidRPr="001C169A">
        <w:rPr>
          <w:szCs w:val="22"/>
        </w:rPr>
        <w:t>anastrozolo</w:t>
      </w:r>
      <w:proofErr w:type="spellEnd"/>
      <w:r w:rsidRPr="001C169A">
        <w:rPr>
          <w:szCs w:val="22"/>
        </w:rPr>
        <w:t xml:space="preserve"> </w:t>
      </w:r>
      <w:proofErr w:type="spellStart"/>
      <w:r w:rsidRPr="001C169A">
        <w:rPr>
          <w:szCs w:val="22"/>
        </w:rPr>
        <w:t>farmakokinetikos</w:t>
      </w:r>
      <w:proofErr w:type="spellEnd"/>
      <w:r w:rsidRPr="001C169A">
        <w:rPr>
          <w:szCs w:val="22"/>
        </w:rPr>
        <w:t xml:space="preserve"> parametrai priklausytų nuo laiko arba dozės.</w:t>
      </w:r>
    </w:p>
    <w:p w14:paraId="2D4D14BB" w14:textId="77777777" w:rsidR="00B830AE" w:rsidRPr="001C169A" w:rsidRDefault="00B830AE" w:rsidP="00B830AE">
      <w:pPr>
        <w:pStyle w:val="Pagrindinistekstas"/>
        <w:spacing w:after="0"/>
        <w:rPr>
          <w:szCs w:val="22"/>
        </w:rPr>
      </w:pPr>
    </w:p>
    <w:p w14:paraId="012114A4" w14:textId="77777777" w:rsidR="00B830AE" w:rsidRPr="001C169A" w:rsidRDefault="00B830AE" w:rsidP="00B830AE">
      <w:pPr>
        <w:pStyle w:val="Pagrindinistekstas"/>
        <w:spacing w:after="0"/>
        <w:rPr>
          <w:szCs w:val="22"/>
        </w:rPr>
      </w:pPr>
      <w:proofErr w:type="spellStart"/>
      <w:r w:rsidRPr="001C169A">
        <w:rPr>
          <w:szCs w:val="22"/>
        </w:rPr>
        <w:t>Anastrozolo</w:t>
      </w:r>
      <w:proofErr w:type="spellEnd"/>
      <w:r w:rsidRPr="001C169A">
        <w:rPr>
          <w:szCs w:val="22"/>
        </w:rPr>
        <w:t xml:space="preserve"> </w:t>
      </w:r>
      <w:proofErr w:type="spellStart"/>
      <w:r w:rsidRPr="001C169A">
        <w:rPr>
          <w:szCs w:val="22"/>
        </w:rPr>
        <w:t>farmakokinetika</w:t>
      </w:r>
      <w:proofErr w:type="spellEnd"/>
      <w:r w:rsidRPr="001C169A">
        <w:rPr>
          <w:szCs w:val="22"/>
        </w:rPr>
        <w:t xml:space="preserve"> nepriklauso nuo moterų po menopauzės amžiaus.</w:t>
      </w:r>
    </w:p>
    <w:p w14:paraId="6D218EB9" w14:textId="77777777" w:rsidR="00B830AE" w:rsidRPr="001C169A" w:rsidRDefault="00B830AE" w:rsidP="00B830AE">
      <w:pPr>
        <w:rPr>
          <w:sz w:val="22"/>
          <w:szCs w:val="22"/>
        </w:rPr>
      </w:pPr>
    </w:p>
    <w:p w14:paraId="3B6D436C" w14:textId="77777777" w:rsidR="00B830AE" w:rsidRPr="001C169A" w:rsidRDefault="00B830AE" w:rsidP="00B830AE">
      <w:pPr>
        <w:rPr>
          <w:sz w:val="22"/>
          <w:szCs w:val="22"/>
        </w:rPr>
      </w:pPr>
      <w:r w:rsidRPr="001C169A">
        <w:rPr>
          <w:sz w:val="22"/>
          <w:szCs w:val="22"/>
        </w:rPr>
        <w:t xml:space="preserve">Tik 40 % </w:t>
      </w:r>
      <w:proofErr w:type="spellStart"/>
      <w:r w:rsidRPr="001C169A">
        <w:rPr>
          <w:sz w:val="22"/>
          <w:szCs w:val="22"/>
        </w:rPr>
        <w:t>anastrozolo</w:t>
      </w:r>
      <w:proofErr w:type="spellEnd"/>
      <w:r w:rsidRPr="001C169A">
        <w:rPr>
          <w:sz w:val="22"/>
          <w:szCs w:val="22"/>
        </w:rPr>
        <w:t xml:space="preserve"> būna prisijungusio prie plazmos baltymų.</w:t>
      </w:r>
    </w:p>
    <w:p w14:paraId="69C0611F" w14:textId="77777777" w:rsidR="00B830AE" w:rsidRPr="001C169A" w:rsidRDefault="00B830AE" w:rsidP="00B830AE">
      <w:pPr>
        <w:pStyle w:val="BTEMEASMCA"/>
      </w:pPr>
    </w:p>
    <w:p w14:paraId="145AC8C4" w14:textId="77777777" w:rsidR="001D4BB6" w:rsidRPr="001C169A" w:rsidRDefault="001D4BB6" w:rsidP="00B830AE">
      <w:pPr>
        <w:pStyle w:val="BTEMEASMCA"/>
        <w:rPr>
          <w:u w:val="single"/>
        </w:rPr>
      </w:pPr>
      <w:r w:rsidRPr="001C169A">
        <w:rPr>
          <w:u w:val="single"/>
        </w:rPr>
        <w:t>Biotransformacija</w:t>
      </w:r>
    </w:p>
    <w:p w14:paraId="73D356CF" w14:textId="77777777" w:rsidR="00B830AE" w:rsidRPr="001C169A" w:rsidRDefault="00B830AE" w:rsidP="00B830AE">
      <w:pPr>
        <w:pStyle w:val="BTEMEASMCA"/>
      </w:pPr>
      <w:r w:rsidRPr="001C169A">
        <w:t>Moterų po menopauzės organizme anastrozolas yra ekstensyviai metabolizuojamas. Per 72 val. su šlapimu nepakitusia forma išskiriama mažiau kaip 10 % išgertos dozės. Anastrozolas metabolizuojamas N-dealkilinimo, hidroksilinimo ir konjugacijos su gliukurono rūgštimi būdu. Metabolitai daugiausia šalinami su šlapimu. Triazolas (pagrindinis anastrozolo metabolitas plazmoje) aromatazės neslopina.</w:t>
      </w:r>
    </w:p>
    <w:p w14:paraId="0DB62A87" w14:textId="77777777" w:rsidR="00B830AE" w:rsidRPr="001C169A" w:rsidRDefault="00B830AE" w:rsidP="00B830AE">
      <w:pPr>
        <w:pStyle w:val="BTEMEASMCA"/>
      </w:pPr>
    </w:p>
    <w:p w14:paraId="208A431A" w14:textId="77777777" w:rsidR="001D4BB6" w:rsidRPr="001C169A" w:rsidRDefault="001D4BB6" w:rsidP="00B830AE">
      <w:pPr>
        <w:pStyle w:val="BTEMEASMCA"/>
        <w:rPr>
          <w:iCs/>
          <w:color w:val="000000"/>
          <w:u w:val="single"/>
        </w:rPr>
      </w:pPr>
      <w:r w:rsidRPr="001C169A">
        <w:rPr>
          <w:iCs/>
          <w:color w:val="000000"/>
          <w:u w:val="single"/>
        </w:rPr>
        <w:t>Eliminacija</w:t>
      </w:r>
    </w:p>
    <w:p w14:paraId="733D0FEA" w14:textId="77777777" w:rsidR="001D4BB6" w:rsidRPr="001C169A" w:rsidRDefault="001D4BB6" w:rsidP="001D4BB6">
      <w:pPr>
        <w:pStyle w:val="BTEMEASMCA"/>
      </w:pPr>
      <w:r w:rsidRPr="001C169A">
        <w:t>Anastrozolo eliminacija yra lėta (pusinės eliminacijos plazmoje trukmė – 40-50 val.).</w:t>
      </w:r>
    </w:p>
    <w:p w14:paraId="08986B30" w14:textId="67AD202F" w:rsidR="001D4BB6" w:rsidRPr="001C169A" w:rsidRDefault="001D4BB6" w:rsidP="00B830AE">
      <w:pPr>
        <w:pStyle w:val="BTEMEASMCA"/>
        <w:rPr>
          <w:iCs/>
          <w:color w:val="000000"/>
          <w:u w:val="single"/>
        </w:rPr>
      </w:pPr>
    </w:p>
    <w:p w14:paraId="5A54C88F" w14:textId="0078EC86" w:rsidR="00B830AE" w:rsidRPr="001C169A" w:rsidRDefault="005E1763" w:rsidP="00B830AE">
      <w:pPr>
        <w:pStyle w:val="BTEMEASMCA"/>
      </w:pPr>
      <w:r w:rsidRPr="001C169A">
        <w:rPr>
          <w:iCs/>
          <w:color w:val="000000"/>
          <w:u w:val="single"/>
        </w:rPr>
        <w:t>Sutrikusi inkstų</w:t>
      </w:r>
      <w:r w:rsidRPr="001C169A">
        <w:rPr>
          <w:color w:val="000000"/>
          <w:u w:val="single"/>
        </w:rPr>
        <w:t xml:space="preserve"> ir kepenų </w:t>
      </w:r>
      <w:r w:rsidRPr="001C169A">
        <w:rPr>
          <w:iCs/>
          <w:color w:val="000000"/>
          <w:u w:val="single"/>
        </w:rPr>
        <w:t>funkcija</w:t>
      </w:r>
    </w:p>
    <w:p w14:paraId="019EF1AA" w14:textId="208B86CD" w:rsidR="00B830AE" w:rsidRPr="001C169A" w:rsidRDefault="00B830AE" w:rsidP="00B830AE">
      <w:pPr>
        <w:pStyle w:val="Pagrindinistekstas"/>
        <w:spacing w:after="0"/>
        <w:rPr>
          <w:szCs w:val="22"/>
        </w:rPr>
      </w:pPr>
      <w:r w:rsidRPr="001C169A">
        <w:rPr>
          <w:szCs w:val="22"/>
        </w:rPr>
        <w:t xml:space="preserve">Tariamasis geriamojo </w:t>
      </w:r>
      <w:proofErr w:type="spellStart"/>
      <w:r w:rsidRPr="001C169A">
        <w:rPr>
          <w:szCs w:val="22"/>
        </w:rPr>
        <w:t>anastrozolo</w:t>
      </w:r>
      <w:proofErr w:type="spellEnd"/>
      <w:r w:rsidRPr="001C169A">
        <w:rPr>
          <w:szCs w:val="22"/>
        </w:rPr>
        <w:t xml:space="preserve"> klirensas (CL/F) savanorių, sergančių stabilia kepenų ciroze arba kurių inkstų funkcija yra sutrikusi, organizme buvo apie 30</w:t>
      </w:r>
      <w:r w:rsidR="0067791E" w:rsidRPr="001C169A">
        <w:rPr>
          <w:szCs w:val="22"/>
        </w:rPr>
        <w:t> </w:t>
      </w:r>
      <w:r w:rsidRPr="001C169A">
        <w:rPr>
          <w:szCs w:val="22"/>
        </w:rPr>
        <w:t xml:space="preserve">% mažesnis nei sveikų savanorių organizme (Tyrimas 1033IL/0014). Kitų tyrimų metu </w:t>
      </w:r>
      <w:proofErr w:type="spellStart"/>
      <w:r w:rsidRPr="001C169A">
        <w:rPr>
          <w:szCs w:val="22"/>
        </w:rPr>
        <w:t>anastrozolo</w:t>
      </w:r>
      <w:proofErr w:type="spellEnd"/>
      <w:r w:rsidRPr="001C169A">
        <w:rPr>
          <w:szCs w:val="22"/>
        </w:rPr>
        <w:t xml:space="preserve"> koncentracija plazmoje savanorių, sergančių stabilia kepenų ciroze, organizme neperžengia sveikų savanorių koncentracijos diapazono ribų. Ilgalaikių veiksmingumo tyrimų metu </w:t>
      </w:r>
      <w:proofErr w:type="spellStart"/>
      <w:r w:rsidRPr="001C169A">
        <w:rPr>
          <w:szCs w:val="22"/>
        </w:rPr>
        <w:t>anastrozolo</w:t>
      </w:r>
      <w:proofErr w:type="spellEnd"/>
      <w:r w:rsidRPr="001C169A">
        <w:rPr>
          <w:szCs w:val="22"/>
        </w:rPr>
        <w:t xml:space="preserve"> koncentracija plazmoje savanorių, sergančių stabilia kepenų ciroze, organizme neperžengia koncentracijos savanorių, neturinčių kepenų sutrikimų, diapazono ribų.</w:t>
      </w:r>
    </w:p>
    <w:p w14:paraId="49A9C6D2" w14:textId="77777777" w:rsidR="00B830AE" w:rsidRPr="001C169A" w:rsidRDefault="00B830AE" w:rsidP="00B830AE">
      <w:pPr>
        <w:pStyle w:val="Pagrindinistekstas"/>
        <w:spacing w:after="0"/>
        <w:rPr>
          <w:szCs w:val="22"/>
        </w:rPr>
      </w:pPr>
    </w:p>
    <w:p w14:paraId="113D4BBF" w14:textId="77777777" w:rsidR="00B830AE" w:rsidRPr="001C169A" w:rsidRDefault="00B830AE" w:rsidP="00B830AE">
      <w:pPr>
        <w:pStyle w:val="Pagrindinistekstas"/>
        <w:spacing w:after="0"/>
        <w:rPr>
          <w:szCs w:val="22"/>
        </w:rPr>
      </w:pPr>
      <w:proofErr w:type="spellStart"/>
      <w:r w:rsidRPr="001C169A">
        <w:rPr>
          <w:szCs w:val="22"/>
        </w:rPr>
        <w:t>Anastrozolas</w:t>
      </w:r>
      <w:proofErr w:type="spellEnd"/>
      <w:r w:rsidRPr="001C169A">
        <w:rPr>
          <w:szCs w:val="22"/>
        </w:rPr>
        <w:t xml:space="preserve"> pirmiausiai šalinamas </w:t>
      </w:r>
      <w:proofErr w:type="spellStart"/>
      <w:r w:rsidRPr="001C169A">
        <w:rPr>
          <w:szCs w:val="22"/>
        </w:rPr>
        <w:t>metabolizuojant</w:t>
      </w:r>
      <w:proofErr w:type="spellEnd"/>
      <w:r w:rsidRPr="001C169A">
        <w:rPr>
          <w:szCs w:val="22"/>
        </w:rPr>
        <w:t xml:space="preserve">, tad atitinkamai geriamojo </w:t>
      </w:r>
      <w:proofErr w:type="spellStart"/>
      <w:r w:rsidRPr="001C169A">
        <w:rPr>
          <w:szCs w:val="22"/>
        </w:rPr>
        <w:t>anastrozolo</w:t>
      </w:r>
      <w:proofErr w:type="spellEnd"/>
      <w:r w:rsidRPr="001C169A">
        <w:rPr>
          <w:szCs w:val="22"/>
        </w:rPr>
        <w:t xml:space="preserve"> klirensas (CL/F) savanorių, turinčių sunkių inkstų sutrikimų (GFR &lt;30ml/min), nepakito (Tyrimas 1033IL/0018).  Ilgalaikių veiksmingumo tyrimų metu </w:t>
      </w:r>
      <w:proofErr w:type="spellStart"/>
      <w:r w:rsidRPr="001C169A">
        <w:rPr>
          <w:szCs w:val="22"/>
        </w:rPr>
        <w:t>anastrozolo</w:t>
      </w:r>
      <w:proofErr w:type="spellEnd"/>
      <w:r w:rsidRPr="001C169A">
        <w:rPr>
          <w:szCs w:val="22"/>
        </w:rPr>
        <w:t xml:space="preserve"> koncentracija plazmoje savanorių, turinčių inkstų sutrikimų, organizme neperžengia koncentracijos savanorių, neturinčių inkstų </w:t>
      </w:r>
      <w:r w:rsidRPr="001C169A">
        <w:rPr>
          <w:szCs w:val="22"/>
        </w:rPr>
        <w:lastRenderedPageBreak/>
        <w:t>sutrikimų, diapazono ribų. Pacientams, turintiems sunkių inkstų sutrikimų, AXASTROL skirti atsargiai (žr. 4.2 ir 4.4 skyrių).</w:t>
      </w:r>
    </w:p>
    <w:p w14:paraId="778F9B13" w14:textId="77777777" w:rsidR="00B830AE" w:rsidRPr="001C169A" w:rsidRDefault="00B830AE" w:rsidP="00B830AE">
      <w:pPr>
        <w:pStyle w:val="Pagrindinistekstas"/>
        <w:spacing w:after="0"/>
        <w:rPr>
          <w:szCs w:val="22"/>
        </w:rPr>
      </w:pPr>
    </w:p>
    <w:p w14:paraId="23BF37D9" w14:textId="77777777" w:rsidR="0067791E" w:rsidRPr="001C169A" w:rsidRDefault="0067791E" w:rsidP="00B830AE">
      <w:pPr>
        <w:pStyle w:val="Pagrindinistekstas"/>
        <w:spacing w:after="0"/>
        <w:rPr>
          <w:szCs w:val="22"/>
        </w:rPr>
      </w:pPr>
    </w:p>
    <w:p w14:paraId="5B3D2D0C" w14:textId="77777777" w:rsidR="00B830AE" w:rsidRPr="001C169A" w:rsidRDefault="00B830AE" w:rsidP="00B830AE">
      <w:pPr>
        <w:pStyle w:val="Pagrindinistekstas"/>
        <w:spacing w:after="0"/>
        <w:rPr>
          <w:szCs w:val="22"/>
          <w:u w:val="single"/>
        </w:rPr>
      </w:pPr>
      <w:r w:rsidRPr="001C169A">
        <w:rPr>
          <w:szCs w:val="22"/>
          <w:u w:val="single"/>
        </w:rPr>
        <w:t>Vaikų populiacija</w:t>
      </w:r>
    </w:p>
    <w:p w14:paraId="54F61D05" w14:textId="77777777" w:rsidR="00B830AE" w:rsidRPr="001C169A" w:rsidRDefault="00B830AE" w:rsidP="00B830AE">
      <w:pPr>
        <w:pStyle w:val="Pagrindinistekstas"/>
        <w:spacing w:after="0"/>
        <w:rPr>
          <w:szCs w:val="22"/>
        </w:rPr>
      </w:pPr>
      <w:proofErr w:type="spellStart"/>
      <w:r w:rsidRPr="001C169A">
        <w:rPr>
          <w:szCs w:val="22"/>
        </w:rPr>
        <w:t>Ginekomastija</w:t>
      </w:r>
      <w:proofErr w:type="spellEnd"/>
      <w:r w:rsidRPr="001C169A">
        <w:rPr>
          <w:szCs w:val="22"/>
        </w:rPr>
        <w:t xml:space="preserve"> sirgusiems brendimo amžiaus berniukams (10-17 metų) </w:t>
      </w:r>
      <w:proofErr w:type="spellStart"/>
      <w:r w:rsidRPr="001C169A">
        <w:rPr>
          <w:szCs w:val="22"/>
        </w:rPr>
        <w:t>anastrozolas</w:t>
      </w:r>
      <w:proofErr w:type="spellEnd"/>
      <w:r w:rsidRPr="001C169A">
        <w:rPr>
          <w:szCs w:val="22"/>
        </w:rPr>
        <w:t xml:space="preserve"> buvo greitai absorbuojamas, plačiai pasiskirstydavo ir buvo lėtai eliminuojamas (pusinis periodas – maždaug 2 paros). Mergaičių (3-10 metų) organizme </w:t>
      </w:r>
      <w:proofErr w:type="spellStart"/>
      <w:r w:rsidRPr="001C169A">
        <w:rPr>
          <w:szCs w:val="22"/>
        </w:rPr>
        <w:t>anastrozolo</w:t>
      </w:r>
      <w:proofErr w:type="spellEnd"/>
      <w:r w:rsidRPr="001C169A">
        <w:rPr>
          <w:szCs w:val="22"/>
        </w:rPr>
        <w:t xml:space="preserve"> klirensas buvo mažesnis, o ekspozicija didesnė negu berniukų. Mergaičių organizme </w:t>
      </w:r>
      <w:proofErr w:type="spellStart"/>
      <w:r w:rsidRPr="001C169A">
        <w:rPr>
          <w:szCs w:val="22"/>
        </w:rPr>
        <w:t>anastrozolas</w:t>
      </w:r>
      <w:proofErr w:type="spellEnd"/>
      <w:r w:rsidRPr="001C169A">
        <w:rPr>
          <w:szCs w:val="22"/>
        </w:rPr>
        <w:t xml:space="preserve"> plačiai pasiskirstydavo ir buvo lėtai eliminuojamas.</w:t>
      </w:r>
    </w:p>
    <w:p w14:paraId="00C425BB" w14:textId="77777777" w:rsidR="00B830AE" w:rsidRPr="001C169A" w:rsidRDefault="00B830AE" w:rsidP="00B830AE">
      <w:pPr>
        <w:pStyle w:val="BTEMEASMCA"/>
      </w:pPr>
    </w:p>
    <w:p w14:paraId="7FE83366" w14:textId="77777777" w:rsidR="00B830AE" w:rsidRPr="001C169A" w:rsidRDefault="00B830AE" w:rsidP="00B830AE">
      <w:pPr>
        <w:pStyle w:val="PI-2EMEASMCA"/>
      </w:pPr>
      <w:bookmarkStart w:id="36" w:name="_Toc129243114"/>
      <w:bookmarkStart w:id="37" w:name="_Toc129243239"/>
      <w:r w:rsidRPr="001C169A">
        <w:t>5.3</w:t>
      </w:r>
      <w:r w:rsidRPr="001C169A">
        <w:tab/>
      </w:r>
      <w:proofErr w:type="spellStart"/>
      <w:r w:rsidRPr="001C169A">
        <w:t>Ikiklinikinių</w:t>
      </w:r>
      <w:proofErr w:type="spellEnd"/>
      <w:r w:rsidRPr="001C169A">
        <w:t xml:space="preserve"> saugumo tyrimų duomenys</w:t>
      </w:r>
      <w:bookmarkEnd w:id="36"/>
      <w:bookmarkEnd w:id="37"/>
    </w:p>
    <w:p w14:paraId="0A08C04D" w14:textId="77777777" w:rsidR="00B830AE" w:rsidRPr="001C169A" w:rsidRDefault="00B830AE" w:rsidP="00B830AE">
      <w:pPr>
        <w:pStyle w:val="BTEMEASMCA"/>
      </w:pPr>
    </w:p>
    <w:p w14:paraId="0CC60CBD" w14:textId="77777777" w:rsidR="00B830AE" w:rsidRPr="001C169A" w:rsidRDefault="00B830AE" w:rsidP="00B830AE">
      <w:pPr>
        <w:pStyle w:val="BTEMEASMCA"/>
      </w:pPr>
      <w:r w:rsidRPr="001C169A">
        <w:t>Įprastų farmakologinio saugumo, kartotinių dozių toksiškumo, genotoksiškumo, galimo kancerogeniškumo ir toksinio poveikio reprodukcijai ir vystymuisi ikiklinikinių tyrimų duomenys specifinio pavojaus žmogui nerodo.</w:t>
      </w:r>
    </w:p>
    <w:p w14:paraId="24E35C12" w14:textId="77777777" w:rsidR="00B830AE" w:rsidRPr="001C169A" w:rsidRDefault="00B830AE" w:rsidP="00B830AE">
      <w:pPr>
        <w:pStyle w:val="BTEMEASMCA"/>
      </w:pPr>
    </w:p>
    <w:p w14:paraId="414FD4DD" w14:textId="77777777" w:rsidR="00B830AE" w:rsidRPr="001C169A" w:rsidRDefault="00B830AE" w:rsidP="00B830AE">
      <w:pPr>
        <w:pStyle w:val="Pagrindinistekstas"/>
        <w:spacing w:after="0"/>
        <w:rPr>
          <w:szCs w:val="22"/>
          <w:u w:val="single"/>
        </w:rPr>
      </w:pPr>
      <w:r w:rsidRPr="001C169A">
        <w:rPr>
          <w:szCs w:val="22"/>
          <w:u w:val="single"/>
        </w:rPr>
        <w:t xml:space="preserve">Ūminis </w:t>
      </w:r>
      <w:proofErr w:type="spellStart"/>
      <w:r w:rsidRPr="001C169A">
        <w:rPr>
          <w:szCs w:val="22"/>
          <w:u w:val="single"/>
        </w:rPr>
        <w:t>toksiškumas</w:t>
      </w:r>
      <w:proofErr w:type="spellEnd"/>
    </w:p>
    <w:p w14:paraId="2EA5F036" w14:textId="77777777" w:rsidR="00B830AE" w:rsidRPr="001C169A" w:rsidRDefault="00B830AE" w:rsidP="00B830AE">
      <w:pPr>
        <w:pStyle w:val="Pagrindinistekstas"/>
        <w:spacing w:after="0"/>
        <w:rPr>
          <w:szCs w:val="22"/>
        </w:rPr>
      </w:pPr>
      <w:r w:rsidRPr="001C169A">
        <w:rPr>
          <w:szCs w:val="22"/>
        </w:rPr>
        <w:t xml:space="preserve">Tyrimų su gyvūnais metu, toksinį poveikį sukėlė tik didelės dozės. Su graužikais atliktais ūminio </w:t>
      </w:r>
      <w:proofErr w:type="spellStart"/>
      <w:r w:rsidRPr="001C169A">
        <w:rPr>
          <w:szCs w:val="22"/>
        </w:rPr>
        <w:t>toksiškumo</w:t>
      </w:r>
      <w:proofErr w:type="spellEnd"/>
      <w:r w:rsidRPr="001C169A">
        <w:rPr>
          <w:szCs w:val="22"/>
        </w:rPr>
        <w:t xml:space="preserve"> tyrimais nustatyta </w:t>
      </w:r>
      <w:proofErr w:type="spellStart"/>
      <w:r w:rsidRPr="001C169A">
        <w:rPr>
          <w:szCs w:val="22"/>
        </w:rPr>
        <w:t>letalios</w:t>
      </w:r>
      <w:proofErr w:type="spellEnd"/>
      <w:r w:rsidRPr="001C169A">
        <w:rPr>
          <w:szCs w:val="22"/>
        </w:rPr>
        <w:t xml:space="preserve"> </w:t>
      </w:r>
      <w:proofErr w:type="spellStart"/>
      <w:r w:rsidRPr="001C169A">
        <w:rPr>
          <w:szCs w:val="22"/>
        </w:rPr>
        <w:t>anastrozolo</w:t>
      </w:r>
      <w:proofErr w:type="spellEnd"/>
      <w:r w:rsidRPr="001C169A">
        <w:rPr>
          <w:szCs w:val="22"/>
        </w:rPr>
        <w:t xml:space="preserve"> dozės </w:t>
      </w:r>
      <w:r w:rsidRPr="001C169A">
        <w:rPr>
          <w:i/>
          <w:szCs w:val="22"/>
        </w:rPr>
        <w:t xml:space="preserve">per </w:t>
      </w:r>
      <w:proofErr w:type="spellStart"/>
      <w:r w:rsidRPr="001C169A">
        <w:rPr>
          <w:i/>
          <w:szCs w:val="22"/>
        </w:rPr>
        <w:t>os</w:t>
      </w:r>
      <w:proofErr w:type="spellEnd"/>
      <w:r w:rsidRPr="001C169A">
        <w:rPr>
          <w:szCs w:val="22"/>
        </w:rPr>
        <w:t xml:space="preserve"> media</w:t>
      </w:r>
      <w:r w:rsidRPr="001C169A">
        <w:rPr>
          <w:szCs w:val="22"/>
        </w:rPr>
        <w:softHyphen/>
        <w:t>na yra didesnė kaip 100 mg/kg per parą, į pilvaplėvės ertmę – didesnė kaip 50 mg/kg per parą, su šu</w:t>
      </w:r>
      <w:r w:rsidRPr="001C169A">
        <w:rPr>
          <w:szCs w:val="22"/>
        </w:rPr>
        <w:softHyphen/>
        <w:t>nimis atliktais tyrimais (</w:t>
      </w:r>
      <w:r w:rsidRPr="001C169A">
        <w:rPr>
          <w:i/>
          <w:szCs w:val="22"/>
        </w:rPr>
        <w:t xml:space="preserve">per </w:t>
      </w:r>
      <w:proofErr w:type="spellStart"/>
      <w:r w:rsidRPr="001C169A">
        <w:rPr>
          <w:i/>
          <w:szCs w:val="22"/>
        </w:rPr>
        <w:t>os</w:t>
      </w:r>
      <w:proofErr w:type="spellEnd"/>
      <w:r w:rsidRPr="001C169A">
        <w:rPr>
          <w:szCs w:val="22"/>
        </w:rPr>
        <w:t>) – didesnė kaip 45 mg/kg per parą.</w:t>
      </w:r>
    </w:p>
    <w:p w14:paraId="2EFD1DDC" w14:textId="77777777" w:rsidR="00B830AE" w:rsidRPr="001C169A" w:rsidRDefault="00B830AE" w:rsidP="00B830AE">
      <w:pPr>
        <w:rPr>
          <w:sz w:val="22"/>
          <w:szCs w:val="22"/>
          <w:u w:val="single"/>
        </w:rPr>
      </w:pPr>
    </w:p>
    <w:p w14:paraId="3F6F5D62" w14:textId="77777777" w:rsidR="00B830AE" w:rsidRPr="001C169A" w:rsidRDefault="00B830AE" w:rsidP="00B830AE">
      <w:pPr>
        <w:pStyle w:val="Pagrindinistekstas"/>
        <w:spacing w:after="0"/>
        <w:rPr>
          <w:szCs w:val="22"/>
          <w:u w:val="single"/>
        </w:rPr>
      </w:pPr>
      <w:r w:rsidRPr="001C169A">
        <w:rPr>
          <w:szCs w:val="22"/>
          <w:u w:val="single"/>
        </w:rPr>
        <w:t xml:space="preserve">Lėtinis </w:t>
      </w:r>
      <w:proofErr w:type="spellStart"/>
      <w:r w:rsidRPr="001C169A">
        <w:rPr>
          <w:szCs w:val="22"/>
          <w:u w:val="single"/>
        </w:rPr>
        <w:t>toksiškumas</w:t>
      </w:r>
      <w:proofErr w:type="spellEnd"/>
    </w:p>
    <w:p w14:paraId="2E5E57FD" w14:textId="77777777" w:rsidR="00B830AE" w:rsidRPr="001C169A" w:rsidRDefault="00B830AE" w:rsidP="00B830AE">
      <w:pPr>
        <w:pStyle w:val="Pagrindinistekstas"/>
        <w:spacing w:after="0"/>
        <w:rPr>
          <w:szCs w:val="22"/>
        </w:rPr>
      </w:pPr>
      <w:r w:rsidRPr="001C169A">
        <w:rPr>
          <w:szCs w:val="22"/>
        </w:rPr>
        <w:t xml:space="preserve">Tyrimų su gyvūnais metu, nepageidaujamą poveikį sukėlė tik didelės dozės. Daugkartinėmis dozėmis vartojamo </w:t>
      </w:r>
      <w:proofErr w:type="spellStart"/>
      <w:r w:rsidRPr="001C169A">
        <w:rPr>
          <w:szCs w:val="22"/>
        </w:rPr>
        <w:t>anastrozolo</w:t>
      </w:r>
      <w:proofErr w:type="spellEnd"/>
      <w:r w:rsidRPr="001C169A">
        <w:rPr>
          <w:szCs w:val="22"/>
        </w:rPr>
        <w:t xml:space="preserve"> </w:t>
      </w:r>
      <w:proofErr w:type="spellStart"/>
      <w:r w:rsidRPr="001C169A">
        <w:rPr>
          <w:szCs w:val="22"/>
        </w:rPr>
        <w:t>toksiškumo</w:t>
      </w:r>
      <w:proofErr w:type="spellEnd"/>
      <w:r w:rsidRPr="001C169A">
        <w:rPr>
          <w:szCs w:val="22"/>
        </w:rPr>
        <w:t xml:space="preserve"> tyrimai atlikti su žiurkėmis ir šunimis. Poveikio nesukeliančios dozės jie neparodė, tačiau mažų (1 mg/kg) ir vidutinių (šunims – 3 mg/kg, žiur</w:t>
      </w:r>
      <w:r w:rsidRPr="001C169A">
        <w:rPr>
          <w:szCs w:val="22"/>
        </w:rPr>
        <w:softHyphen/>
        <w:t xml:space="preserve">kėms – 5 mg/kg) paros dozių poveikiai buvo susiję tik su farmakologiniu arba fermentų aktyvumą didinančiu </w:t>
      </w:r>
      <w:proofErr w:type="spellStart"/>
      <w:r w:rsidRPr="001C169A">
        <w:rPr>
          <w:szCs w:val="22"/>
        </w:rPr>
        <w:t>anastrozolo</w:t>
      </w:r>
      <w:proofErr w:type="spellEnd"/>
      <w:r w:rsidRPr="001C169A">
        <w:rPr>
          <w:szCs w:val="22"/>
        </w:rPr>
        <w:t xml:space="preserve"> veikimu, reikšmingų toksinių ar degeneracinių pokyčių jos nesukėlė.</w:t>
      </w:r>
    </w:p>
    <w:p w14:paraId="74624126" w14:textId="77777777" w:rsidR="00B830AE" w:rsidRPr="001C169A" w:rsidRDefault="00B830AE" w:rsidP="00B830AE">
      <w:pPr>
        <w:pStyle w:val="Pagrindinistekstas"/>
        <w:spacing w:after="0"/>
        <w:rPr>
          <w:szCs w:val="22"/>
        </w:rPr>
      </w:pPr>
    </w:p>
    <w:p w14:paraId="786A5081" w14:textId="77777777" w:rsidR="00B830AE" w:rsidRPr="001C169A" w:rsidRDefault="00B830AE" w:rsidP="00B830AE">
      <w:pPr>
        <w:pStyle w:val="Pagrindinistekstas"/>
        <w:spacing w:after="0"/>
        <w:rPr>
          <w:szCs w:val="22"/>
          <w:u w:val="single"/>
        </w:rPr>
      </w:pPr>
      <w:proofErr w:type="spellStart"/>
      <w:r w:rsidRPr="001C169A">
        <w:rPr>
          <w:szCs w:val="22"/>
          <w:u w:val="single"/>
        </w:rPr>
        <w:t>Mutageniškumas</w:t>
      </w:r>
      <w:proofErr w:type="spellEnd"/>
    </w:p>
    <w:p w14:paraId="219F4EE4" w14:textId="77777777" w:rsidR="00B830AE" w:rsidRPr="001C169A" w:rsidRDefault="00B830AE" w:rsidP="00B830AE">
      <w:pPr>
        <w:pStyle w:val="Pagrindinistekstas"/>
        <w:spacing w:after="0"/>
        <w:rPr>
          <w:szCs w:val="22"/>
        </w:rPr>
      </w:pPr>
      <w:r w:rsidRPr="001C169A">
        <w:rPr>
          <w:szCs w:val="22"/>
        </w:rPr>
        <w:t xml:space="preserve">Su </w:t>
      </w:r>
      <w:proofErr w:type="spellStart"/>
      <w:r w:rsidRPr="001C169A">
        <w:rPr>
          <w:szCs w:val="22"/>
        </w:rPr>
        <w:t>anastrozolu</w:t>
      </w:r>
      <w:proofErr w:type="spellEnd"/>
      <w:r w:rsidRPr="001C169A">
        <w:rPr>
          <w:szCs w:val="22"/>
        </w:rPr>
        <w:t xml:space="preserve"> atlikti </w:t>
      </w:r>
      <w:proofErr w:type="spellStart"/>
      <w:r w:rsidRPr="001C169A">
        <w:rPr>
          <w:szCs w:val="22"/>
        </w:rPr>
        <w:t>genotoksiškumo</w:t>
      </w:r>
      <w:proofErr w:type="spellEnd"/>
      <w:r w:rsidRPr="001C169A">
        <w:rPr>
          <w:szCs w:val="22"/>
        </w:rPr>
        <w:t xml:space="preserve"> tyrimai parodė, kad </w:t>
      </w:r>
      <w:proofErr w:type="spellStart"/>
      <w:r w:rsidRPr="001C169A">
        <w:rPr>
          <w:szCs w:val="22"/>
        </w:rPr>
        <w:t>mutageninio</w:t>
      </w:r>
      <w:proofErr w:type="spellEnd"/>
      <w:r w:rsidRPr="001C169A">
        <w:rPr>
          <w:szCs w:val="22"/>
        </w:rPr>
        <w:t xml:space="preserve"> ar </w:t>
      </w:r>
      <w:proofErr w:type="spellStart"/>
      <w:r w:rsidRPr="001C169A">
        <w:rPr>
          <w:szCs w:val="22"/>
        </w:rPr>
        <w:t>klastogeninio</w:t>
      </w:r>
      <w:proofErr w:type="spellEnd"/>
      <w:r w:rsidRPr="001C169A">
        <w:rPr>
          <w:szCs w:val="22"/>
        </w:rPr>
        <w:t xml:space="preserve"> poveikio šis vaistinis preparatas nesukelia.</w:t>
      </w:r>
    </w:p>
    <w:p w14:paraId="77A23533" w14:textId="77777777" w:rsidR="00B830AE" w:rsidRPr="001C169A" w:rsidRDefault="00B830AE" w:rsidP="00B830AE">
      <w:pPr>
        <w:pStyle w:val="BTEMEASMCA"/>
      </w:pPr>
    </w:p>
    <w:p w14:paraId="24DFE475" w14:textId="77777777" w:rsidR="00B830AE" w:rsidRPr="001C169A" w:rsidRDefault="00B830AE" w:rsidP="00B830AE">
      <w:pPr>
        <w:pStyle w:val="Pagrindinistekstas"/>
        <w:tabs>
          <w:tab w:val="left" w:pos="8640"/>
        </w:tabs>
        <w:spacing w:after="0"/>
        <w:rPr>
          <w:szCs w:val="22"/>
          <w:u w:val="single"/>
        </w:rPr>
      </w:pPr>
      <w:r w:rsidRPr="001C169A">
        <w:rPr>
          <w:szCs w:val="22"/>
          <w:u w:val="single"/>
        </w:rPr>
        <w:t>Toksinis poveikis reprodukcijai</w:t>
      </w:r>
    </w:p>
    <w:p w14:paraId="3C4C2AF4" w14:textId="77777777" w:rsidR="00B830AE" w:rsidRPr="001C169A" w:rsidRDefault="00B830AE" w:rsidP="00B830AE">
      <w:pPr>
        <w:pStyle w:val="Pagrindinistekstas"/>
        <w:spacing w:after="0"/>
        <w:rPr>
          <w:iCs/>
          <w:szCs w:val="22"/>
        </w:rPr>
      </w:pPr>
      <w:r w:rsidRPr="001C169A">
        <w:rPr>
          <w:szCs w:val="22"/>
        </w:rPr>
        <w:t xml:space="preserve">Tiriant poveikį vaisingumui, neseniai nujunkytiems žiurkių vyriškos giminės jaunikliams 10 savaičių buvo sugirdyta 50 mg/l arba 400 mg/l </w:t>
      </w:r>
      <w:proofErr w:type="spellStart"/>
      <w:r w:rsidRPr="001C169A">
        <w:rPr>
          <w:szCs w:val="22"/>
        </w:rPr>
        <w:t>anastrozolo</w:t>
      </w:r>
      <w:proofErr w:type="spellEnd"/>
      <w:r w:rsidRPr="001C169A">
        <w:rPr>
          <w:szCs w:val="22"/>
        </w:rPr>
        <w:t xml:space="preserve"> su geriamuoju vandeniu. Išmatuota vidutinė koncentracija plazmoje buvo atitinkamai 44,4 (± 14,7) </w:t>
      </w:r>
      <w:proofErr w:type="spellStart"/>
      <w:r w:rsidRPr="001C169A">
        <w:rPr>
          <w:szCs w:val="22"/>
        </w:rPr>
        <w:t>ng</w:t>
      </w:r>
      <w:proofErr w:type="spellEnd"/>
      <w:r w:rsidRPr="001C169A">
        <w:rPr>
          <w:szCs w:val="22"/>
        </w:rPr>
        <w:t xml:space="preserve">/ml ir 165 (±90) </w:t>
      </w:r>
      <w:proofErr w:type="spellStart"/>
      <w:r w:rsidRPr="001C169A">
        <w:rPr>
          <w:szCs w:val="22"/>
        </w:rPr>
        <w:t>ng</w:t>
      </w:r>
      <w:proofErr w:type="spellEnd"/>
      <w:r w:rsidRPr="001C169A">
        <w:rPr>
          <w:szCs w:val="22"/>
        </w:rPr>
        <w:t>/ml. Nustatytas kenksmingas poveikis abiejų dozių grupių gyvūnų poravimosi rodikliams, o vaisingumo sumažėjimas pastebėtas tik 400 mg/l dozės grupei. Šis sumažėjimas buvo trumpalaikis (po 9 savaičių laikotarpio, per kurį vaisto nebuvo duodama, visi poravimosi ir vaisingumo rodikliai pasidarė panašūs į kontrolinės grupės).</w:t>
      </w:r>
    </w:p>
    <w:p w14:paraId="5118B34C" w14:textId="77777777" w:rsidR="00B830AE" w:rsidRPr="001C169A" w:rsidRDefault="00B830AE" w:rsidP="00B830AE">
      <w:pPr>
        <w:pStyle w:val="Pagrindinistekstas"/>
        <w:spacing w:after="0"/>
        <w:rPr>
          <w:i/>
          <w:szCs w:val="22"/>
        </w:rPr>
      </w:pPr>
    </w:p>
    <w:p w14:paraId="3BA35096" w14:textId="77777777" w:rsidR="00B830AE" w:rsidRPr="001C169A" w:rsidRDefault="00B830AE" w:rsidP="00B830AE">
      <w:pPr>
        <w:rPr>
          <w:sz w:val="22"/>
          <w:szCs w:val="22"/>
        </w:rPr>
      </w:pPr>
      <w:r w:rsidRPr="001C169A">
        <w:rPr>
          <w:sz w:val="22"/>
          <w:szCs w:val="22"/>
        </w:rPr>
        <w:t xml:space="preserve">Žiurkių patelėms girdant </w:t>
      </w:r>
      <w:proofErr w:type="spellStart"/>
      <w:r w:rsidRPr="001C169A">
        <w:rPr>
          <w:sz w:val="22"/>
          <w:szCs w:val="22"/>
        </w:rPr>
        <w:t>anastrozolo</w:t>
      </w:r>
      <w:proofErr w:type="spellEnd"/>
      <w:r w:rsidRPr="001C169A">
        <w:rPr>
          <w:sz w:val="22"/>
          <w:szCs w:val="22"/>
        </w:rPr>
        <w:t xml:space="preserve"> po 1 mg/kg per parą nustatytas didelis nevaisingumo dažnis, o girdant po 0,02 mg/kg per parą – embriono žuvimas </w:t>
      </w:r>
      <w:proofErr w:type="spellStart"/>
      <w:r w:rsidRPr="001C169A">
        <w:rPr>
          <w:sz w:val="22"/>
          <w:szCs w:val="22"/>
        </w:rPr>
        <w:t>preimplantaciniu</w:t>
      </w:r>
      <w:proofErr w:type="spellEnd"/>
      <w:r w:rsidRPr="001C169A">
        <w:rPr>
          <w:sz w:val="22"/>
          <w:szCs w:val="22"/>
        </w:rPr>
        <w:t xml:space="preserve"> laikotarpiu. Šie poveikiai pasireiškė naudojant gydymui tinkamas dozes. Negalima paneigti tokio poveikio žmogui. Šis poveikis buvo susijęs su junginio farmakologinėmis savybėmis ir visiškai išnyko po 5 savaičių, kai buvo nutrauktas preparato vartojimas.</w:t>
      </w:r>
    </w:p>
    <w:p w14:paraId="03576C81" w14:textId="77777777" w:rsidR="00B830AE" w:rsidRPr="001C169A" w:rsidRDefault="00B830AE" w:rsidP="00B830AE">
      <w:pPr>
        <w:rPr>
          <w:sz w:val="22"/>
          <w:szCs w:val="22"/>
        </w:rPr>
      </w:pPr>
    </w:p>
    <w:p w14:paraId="4BEA3474" w14:textId="77777777" w:rsidR="00B830AE" w:rsidRPr="001C169A" w:rsidRDefault="00B830AE" w:rsidP="00B830AE">
      <w:pPr>
        <w:pStyle w:val="Pagrindinistekstas"/>
        <w:spacing w:after="0"/>
        <w:rPr>
          <w:szCs w:val="22"/>
        </w:rPr>
      </w:pPr>
      <w:proofErr w:type="spellStart"/>
      <w:r w:rsidRPr="001C169A">
        <w:rPr>
          <w:szCs w:val="22"/>
        </w:rPr>
        <w:t>Anastrozolas</w:t>
      </w:r>
      <w:proofErr w:type="spellEnd"/>
      <w:r w:rsidRPr="001C169A">
        <w:rPr>
          <w:szCs w:val="22"/>
        </w:rPr>
        <w:t xml:space="preserve">, duodamas gerti vaikingoms žiurkėms ir triušių patelėms paros dozėmis atitinkamai iki 1 mg/kg ir iki 0,2 mg/kg, </w:t>
      </w:r>
      <w:proofErr w:type="spellStart"/>
      <w:r w:rsidRPr="001C169A">
        <w:rPr>
          <w:szCs w:val="22"/>
        </w:rPr>
        <w:t>teratogeninio</w:t>
      </w:r>
      <w:proofErr w:type="spellEnd"/>
      <w:r w:rsidRPr="001C169A">
        <w:rPr>
          <w:szCs w:val="22"/>
        </w:rPr>
        <w:t xml:space="preserve"> poveikio nesukėlė. Šie pastebėti efektai (žiurkių placentos padidė</w:t>
      </w:r>
      <w:r w:rsidRPr="001C169A">
        <w:rPr>
          <w:szCs w:val="22"/>
        </w:rPr>
        <w:softHyphen/>
        <w:t>ji</w:t>
      </w:r>
      <w:r w:rsidRPr="001C169A">
        <w:rPr>
          <w:szCs w:val="22"/>
        </w:rPr>
        <w:softHyphen/>
        <w:t>mas ir triušių vaikingumo nutrūkimas) yra susiję su vaistinio preparato farmakologiniu poveikiu.</w:t>
      </w:r>
    </w:p>
    <w:p w14:paraId="72EB2AB1" w14:textId="77777777" w:rsidR="00B830AE" w:rsidRPr="001C169A" w:rsidRDefault="00B830AE" w:rsidP="00B830AE">
      <w:pPr>
        <w:rPr>
          <w:sz w:val="22"/>
          <w:szCs w:val="22"/>
        </w:rPr>
      </w:pPr>
    </w:p>
    <w:p w14:paraId="42D1BF5D" w14:textId="77777777" w:rsidR="00B830AE" w:rsidRPr="001C169A" w:rsidRDefault="00B830AE" w:rsidP="00B830AE">
      <w:pPr>
        <w:pStyle w:val="Pagrindinistekstas"/>
        <w:spacing w:after="0"/>
        <w:rPr>
          <w:szCs w:val="22"/>
        </w:rPr>
      </w:pPr>
      <w:r w:rsidRPr="001C169A">
        <w:rPr>
          <w:szCs w:val="22"/>
        </w:rPr>
        <w:t xml:space="preserve">Žiurkėms girdant 0,02 mg/kg per parą ir daugiau </w:t>
      </w:r>
      <w:proofErr w:type="spellStart"/>
      <w:r w:rsidRPr="001C169A">
        <w:rPr>
          <w:szCs w:val="22"/>
        </w:rPr>
        <w:t>anastrozolo</w:t>
      </w:r>
      <w:proofErr w:type="spellEnd"/>
      <w:r w:rsidRPr="001C169A">
        <w:rPr>
          <w:szCs w:val="22"/>
        </w:rPr>
        <w:t xml:space="preserve"> nuo 17-osios vaikingumo die</w:t>
      </w:r>
      <w:r w:rsidRPr="001C169A">
        <w:rPr>
          <w:szCs w:val="22"/>
        </w:rPr>
        <w:softHyphen/>
        <w:t xml:space="preserve">nos iki 22-osios dienos po </w:t>
      </w:r>
      <w:proofErr w:type="spellStart"/>
      <w:r w:rsidRPr="001C169A">
        <w:rPr>
          <w:szCs w:val="22"/>
        </w:rPr>
        <w:t>apsižiurkiavimo</w:t>
      </w:r>
      <w:proofErr w:type="spellEnd"/>
      <w:r w:rsidRPr="001C169A">
        <w:rPr>
          <w:szCs w:val="22"/>
        </w:rPr>
        <w:t>, išgyveno mažiau jų palikuonių. Tai susiję su farmakologiniu vaistinio preparato po</w:t>
      </w:r>
      <w:r w:rsidRPr="001C169A">
        <w:rPr>
          <w:szCs w:val="22"/>
        </w:rPr>
        <w:softHyphen/>
        <w:t xml:space="preserve">veikiu </w:t>
      </w:r>
      <w:proofErr w:type="spellStart"/>
      <w:r w:rsidRPr="001C169A">
        <w:rPr>
          <w:szCs w:val="22"/>
        </w:rPr>
        <w:t>žiurkiavimuisi</w:t>
      </w:r>
      <w:proofErr w:type="spellEnd"/>
      <w:r w:rsidRPr="001C169A">
        <w:rPr>
          <w:szCs w:val="22"/>
        </w:rPr>
        <w:t xml:space="preserve">. Nepageidaujamo poveikio, susijusio su motinoms skirtu </w:t>
      </w:r>
      <w:proofErr w:type="spellStart"/>
      <w:r w:rsidRPr="001C169A">
        <w:rPr>
          <w:szCs w:val="22"/>
        </w:rPr>
        <w:t>anastrozolu</w:t>
      </w:r>
      <w:proofErr w:type="spellEnd"/>
      <w:r w:rsidRPr="001C169A">
        <w:rPr>
          <w:szCs w:val="22"/>
        </w:rPr>
        <w:t>, pirmosios kartos palikuonių elgsenai ar reprodukciniam pajėgumui nepasireiškė.</w:t>
      </w:r>
    </w:p>
    <w:p w14:paraId="03A71E64" w14:textId="77777777" w:rsidR="00B830AE" w:rsidRPr="001C169A" w:rsidRDefault="00B830AE" w:rsidP="00B830AE">
      <w:pPr>
        <w:rPr>
          <w:sz w:val="22"/>
          <w:szCs w:val="22"/>
        </w:rPr>
      </w:pPr>
    </w:p>
    <w:p w14:paraId="3D45A05F" w14:textId="77777777" w:rsidR="00B830AE" w:rsidRPr="001C169A" w:rsidRDefault="00B830AE" w:rsidP="00B830AE">
      <w:pPr>
        <w:pStyle w:val="Pagrindinistekstas"/>
        <w:spacing w:after="0"/>
        <w:rPr>
          <w:szCs w:val="22"/>
          <w:u w:val="single"/>
        </w:rPr>
      </w:pPr>
      <w:proofErr w:type="spellStart"/>
      <w:r w:rsidRPr="001C169A">
        <w:rPr>
          <w:szCs w:val="22"/>
          <w:u w:val="single"/>
        </w:rPr>
        <w:t>Kancerogeniškumas</w:t>
      </w:r>
      <w:proofErr w:type="spellEnd"/>
    </w:p>
    <w:p w14:paraId="33261F46" w14:textId="77777777" w:rsidR="00B830AE" w:rsidRPr="001C169A" w:rsidRDefault="00B830AE" w:rsidP="00B830AE">
      <w:pPr>
        <w:pStyle w:val="Pagrindinistekstas"/>
        <w:spacing w:after="0"/>
        <w:rPr>
          <w:szCs w:val="22"/>
        </w:rPr>
      </w:pPr>
      <w:r w:rsidRPr="001C169A">
        <w:rPr>
          <w:szCs w:val="22"/>
        </w:rPr>
        <w:t xml:space="preserve">2 metus tiriant </w:t>
      </w:r>
      <w:proofErr w:type="spellStart"/>
      <w:r w:rsidRPr="001C169A">
        <w:rPr>
          <w:szCs w:val="22"/>
        </w:rPr>
        <w:t>anastrozolo</w:t>
      </w:r>
      <w:proofErr w:type="spellEnd"/>
      <w:r w:rsidRPr="001C169A">
        <w:rPr>
          <w:szCs w:val="22"/>
        </w:rPr>
        <w:t xml:space="preserve"> </w:t>
      </w:r>
      <w:proofErr w:type="spellStart"/>
      <w:r w:rsidRPr="001C169A">
        <w:rPr>
          <w:szCs w:val="22"/>
        </w:rPr>
        <w:t>onkogeninį</w:t>
      </w:r>
      <w:proofErr w:type="spellEnd"/>
      <w:r w:rsidRPr="001C169A">
        <w:rPr>
          <w:szCs w:val="22"/>
        </w:rPr>
        <w:t xml:space="preserve"> poveikį žiurkėms, kepenų navikai ir gimdos </w:t>
      </w:r>
      <w:proofErr w:type="spellStart"/>
      <w:r w:rsidRPr="001C169A">
        <w:rPr>
          <w:szCs w:val="22"/>
        </w:rPr>
        <w:t>stromos</w:t>
      </w:r>
      <w:proofErr w:type="spellEnd"/>
      <w:r w:rsidRPr="001C169A">
        <w:rPr>
          <w:szCs w:val="22"/>
        </w:rPr>
        <w:t xml:space="preserve"> polipai pa</w:t>
      </w:r>
      <w:r w:rsidRPr="001C169A">
        <w:rPr>
          <w:szCs w:val="22"/>
        </w:rPr>
        <w:softHyphen/>
        <w:t>telėms bei skydliaukės adenomos patinams padažnėjo tik nuo didelių dozių (25 mg/kg per parą), suke</w:t>
      </w:r>
      <w:r w:rsidRPr="001C169A">
        <w:rPr>
          <w:szCs w:val="22"/>
        </w:rPr>
        <w:softHyphen/>
        <w:t>liančių 100 kartų didesnę ekspoziciją negu būna moteriai vartojant šį vaistinį preparatą terapinėmis dozėmis. Ma</w:t>
      </w:r>
      <w:r w:rsidRPr="001C169A">
        <w:rPr>
          <w:szCs w:val="22"/>
        </w:rPr>
        <w:softHyphen/>
        <w:t>no</w:t>
      </w:r>
      <w:r w:rsidRPr="001C169A">
        <w:rPr>
          <w:szCs w:val="22"/>
        </w:rPr>
        <w:softHyphen/>
        <w:t>ma, kad minėtų navikų padažnėjimas gyvūnams klinikinės reikšmės neturi.</w:t>
      </w:r>
    </w:p>
    <w:p w14:paraId="588A9433" w14:textId="77777777" w:rsidR="00B830AE" w:rsidRPr="001C169A" w:rsidRDefault="00B830AE" w:rsidP="00B830AE">
      <w:pPr>
        <w:pStyle w:val="Pagrindinistekstas"/>
        <w:spacing w:after="0"/>
        <w:rPr>
          <w:szCs w:val="22"/>
        </w:rPr>
      </w:pPr>
    </w:p>
    <w:p w14:paraId="57644536" w14:textId="77777777" w:rsidR="00B830AE" w:rsidRPr="001C169A" w:rsidRDefault="00B830AE" w:rsidP="00B830AE">
      <w:pPr>
        <w:pStyle w:val="Pagrindinistekstas"/>
        <w:spacing w:after="0"/>
        <w:rPr>
          <w:szCs w:val="22"/>
        </w:rPr>
      </w:pPr>
      <w:r w:rsidRPr="001C169A">
        <w:rPr>
          <w:szCs w:val="22"/>
        </w:rPr>
        <w:t xml:space="preserve">2 metus tiriant </w:t>
      </w:r>
      <w:proofErr w:type="spellStart"/>
      <w:r w:rsidRPr="001C169A">
        <w:rPr>
          <w:szCs w:val="22"/>
        </w:rPr>
        <w:t>anastrozolo</w:t>
      </w:r>
      <w:proofErr w:type="spellEnd"/>
      <w:r w:rsidRPr="001C169A">
        <w:rPr>
          <w:szCs w:val="22"/>
        </w:rPr>
        <w:t xml:space="preserve"> </w:t>
      </w:r>
      <w:proofErr w:type="spellStart"/>
      <w:r w:rsidRPr="001C169A">
        <w:rPr>
          <w:szCs w:val="22"/>
        </w:rPr>
        <w:t>onkogeninį</w:t>
      </w:r>
      <w:proofErr w:type="spellEnd"/>
      <w:r w:rsidRPr="001C169A">
        <w:rPr>
          <w:szCs w:val="22"/>
        </w:rPr>
        <w:t xml:space="preserve"> poveikį pelėms, joms padažnėjo gerybiniai kiaušidžių navikai, pakito </w:t>
      </w:r>
      <w:proofErr w:type="spellStart"/>
      <w:r w:rsidRPr="001C169A">
        <w:rPr>
          <w:szCs w:val="22"/>
        </w:rPr>
        <w:t>limforetikulinių</w:t>
      </w:r>
      <w:proofErr w:type="spellEnd"/>
      <w:r w:rsidRPr="001C169A">
        <w:rPr>
          <w:szCs w:val="22"/>
        </w:rPr>
        <w:t xml:space="preserve"> navikų dažnis (mažiau patelių susirgo </w:t>
      </w:r>
      <w:proofErr w:type="spellStart"/>
      <w:r w:rsidRPr="001C169A">
        <w:rPr>
          <w:szCs w:val="22"/>
        </w:rPr>
        <w:t>histiocinėmis</w:t>
      </w:r>
      <w:proofErr w:type="spellEnd"/>
      <w:r w:rsidRPr="001C169A">
        <w:rPr>
          <w:szCs w:val="22"/>
        </w:rPr>
        <w:t xml:space="preserve"> sarkomomis, tačiau dau</w:t>
      </w:r>
      <w:r w:rsidRPr="001C169A">
        <w:rPr>
          <w:szCs w:val="22"/>
        </w:rPr>
        <w:softHyphen/>
        <w:t xml:space="preserve">giau nudvėsė nuo limfomų). Šie pokyčiai laikomi pelėms specifinėmis </w:t>
      </w:r>
      <w:proofErr w:type="spellStart"/>
      <w:r w:rsidRPr="001C169A">
        <w:rPr>
          <w:szCs w:val="22"/>
        </w:rPr>
        <w:t>aromatazės</w:t>
      </w:r>
      <w:proofErr w:type="spellEnd"/>
      <w:r w:rsidRPr="001C169A">
        <w:rPr>
          <w:szCs w:val="22"/>
        </w:rPr>
        <w:t xml:space="preserve"> slopinimo pasek</w:t>
      </w:r>
      <w:r w:rsidRPr="001C169A">
        <w:rPr>
          <w:szCs w:val="22"/>
        </w:rPr>
        <w:softHyphen/>
        <w:t>mė</w:t>
      </w:r>
      <w:r w:rsidRPr="001C169A">
        <w:rPr>
          <w:szCs w:val="22"/>
        </w:rPr>
        <w:softHyphen/>
        <w:t>mis, kurios klinikinės reikšmės neturi.</w:t>
      </w:r>
    </w:p>
    <w:p w14:paraId="3CC01CE8" w14:textId="77777777" w:rsidR="00B830AE" w:rsidRPr="001C169A" w:rsidRDefault="00B830AE" w:rsidP="00B830AE">
      <w:pPr>
        <w:pStyle w:val="BTEMEASMCA"/>
      </w:pPr>
    </w:p>
    <w:p w14:paraId="3121C686" w14:textId="77777777" w:rsidR="00B830AE" w:rsidRPr="001C169A" w:rsidRDefault="00B830AE" w:rsidP="00B830AE">
      <w:pPr>
        <w:pStyle w:val="BTEMEASMCA"/>
      </w:pPr>
    </w:p>
    <w:p w14:paraId="77C9DF23" w14:textId="77777777" w:rsidR="00B830AE" w:rsidRPr="001C169A" w:rsidRDefault="00B830AE" w:rsidP="00B830AE">
      <w:pPr>
        <w:pStyle w:val="PI-1EMEASMCA"/>
      </w:pPr>
      <w:bookmarkStart w:id="38" w:name="_Toc129243115"/>
      <w:bookmarkStart w:id="39" w:name="_Toc129243240"/>
      <w:r w:rsidRPr="001C169A">
        <w:t>6.</w:t>
      </w:r>
      <w:r w:rsidRPr="001C169A">
        <w:tab/>
        <w:t>FARMACINĖ INFORMACIJA</w:t>
      </w:r>
      <w:bookmarkEnd w:id="38"/>
      <w:bookmarkEnd w:id="39"/>
    </w:p>
    <w:p w14:paraId="16824777" w14:textId="77777777" w:rsidR="00B830AE" w:rsidRPr="001C169A" w:rsidRDefault="00B830AE" w:rsidP="00B830AE">
      <w:pPr>
        <w:pStyle w:val="BTEMEASMCA"/>
      </w:pPr>
    </w:p>
    <w:p w14:paraId="1EFC5C8D" w14:textId="77777777" w:rsidR="00B830AE" w:rsidRPr="001C169A" w:rsidRDefault="00B830AE" w:rsidP="00B830AE">
      <w:pPr>
        <w:pStyle w:val="PI-2EMEASMCA"/>
      </w:pPr>
      <w:bookmarkStart w:id="40" w:name="_Toc129243116"/>
      <w:bookmarkStart w:id="41" w:name="_Toc129243241"/>
      <w:r w:rsidRPr="001C169A">
        <w:t>6.1</w:t>
      </w:r>
      <w:r w:rsidRPr="001C169A">
        <w:tab/>
        <w:t>Pagalbinių medžiagų sąrašas</w:t>
      </w:r>
      <w:bookmarkEnd w:id="40"/>
      <w:bookmarkEnd w:id="41"/>
    </w:p>
    <w:p w14:paraId="5277492A" w14:textId="77777777" w:rsidR="00B830AE" w:rsidRPr="001C169A" w:rsidRDefault="00B830AE" w:rsidP="00B830AE">
      <w:pPr>
        <w:pStyle w:val="BTEMEASMCA"/>
      </w:pPr>
    </w:p>
    <w:p w14:paraId="453EB616" w14:textId="77777777" w:rsidR="00B830AE" w:rsidRPr="001C169A" w:rsidRDefault="00B830AE" w:rsidP="00B830AE">
      <w:pPr>
        <w:pStyle w:val="Pagrindinistekstas"/>
        <w:spacing w:after="0"/>
        <w:rPr>
          <w:i/>
          <w:iCs/>
          <w:szCs w:val="22"/>
        </w:rPr>
      </w:pPr>
      <w:r w:rsidRPr="001C169A">
        <w:rPr>
          <w:i/>
          <w:iCs/>
          <w:szCs w:val="22"/>
        </w:rPr>
        <w:t>Tabletės branduolys:</w:t>
      </w:r>
    </w:p>
    <w:p w14:paraId="11DC3E11" w14:textId="77777777" w:rsidR="00B830AE" w:rsidRPr="001C169A" w:rsidRDefault="00B830AE" w:rsidP="00B830AE">
      <w:pPr>
        <w:pStyle w:val="BTEMEASMCA"/>
      </w:pPr>
      <w:r w:rsidRPr="001C169A">
        <w:t>Laktozė monohidratas</w:t>
      </w:r>
    </w:p>
    <w:p w14:paraId="4945BE02" w14:textId="77777777" w:rsidR="00B830AE" w:rsidRPr="001C169A" w:rsidRDefault="00B830AE" w:rsidP="00B830AE">
      <w:pPr>
        <w:pStyle w:val="BTEMEASMCA"/>
      </w:pPr>
      <w:r w:rsidRPr="001C169A">
        <w:t>Kukurūzų krakmolas</w:t>
      </w:r>
    </w:p>
    <w:p w14:paraId="13973689" w14:textId="77777777" w:rsidR="00B830AE" w:rsidRPr="001C169A" w:rsidRDefault="00B830AE" w:rsidP="00B830AE">
      <w:pPr>
        <w:pStyle w:val="BTEMEASMCA"/>
      </w:pPr>
      <w:r w:rsidRPr="001C169A">
        <w:t>Povidonas K-30</w:t>
      </w:r>
    </w:p>
    <w:p w14:paraId="2B13D726" w14:textId="77777777" w:rsidR="00B830AE" w:rsidRPr="001C169A" w:rsidRDefault="00B830AE" w:rsidP="00B830AE">
      <w:pPr>
        <w:pStyle w:val="BTEMEASMCA"/>
      </w:pPr>
      <w:r w:rsidRPr="001C169A">
        <w:t>Mikrokristalinė celiuliozė pH 102</w:t>
      </w:r>
    </w:p>
    <w:p w14:paraId="33319B2E" w14:textId="77777777" w:rsidR="00B830AE" w:rsidRPr="001C169A" w:rsidRDefault="00B830AE" w:rsidP="00B830AE">
      <w:pPr>
        <w:pStyle w:val="BTEMEASMCA"/>
      </w:pPr>
      <w:r w:rsidRPr="001C169A">
        <w:t>Karboksimetilkrakmolo A natrio druska</w:t>
      </w:r>
    </w:p>
    <w:p w14:paraId="111B0D67" w14:textId="77777777" w:rsidR="00B830AE" w:rsidRPr="001C169A" w:rsidRDefault="00B830AE" w:rsidP="00B830AE">
      <w:pPr>
        <w:pStyle w:val="BTEMEASMCA"/>
      </w:pPr>
      <w:r w:rsidRPr="001C169A">
        <w:t>Koloidinis bevandenis silicio dioksidas</w:t>
      </w:r>
    </w:p>
    <w:p w14:paraId="55DDEC27" w14:textId="77777777" w:rsidR="00B830AE" w:rsidRPr="001C169A" w:rsidRDefault="00B830AE" w:rsidP="00B830AE">
      <w:pPr>
        <w:pStyle w:val="BTEMEASMCA"/>
      </w:pPr>
      <w:r w:rsidRPr="001C169A">
        <w:t>Magnio stearatas (E572)</w:t>
      </w:r>
    </w:p>
    <w:p w14:paraId="3DB975CD" w14:textId="77777777" w:rsidR="00B830AE" w:rsidRPr="001C169A" w:rsidRDefault="00B830AE" w:rsidP="00B830AE">
      <w:pPr>
        <w:pStyle w:val="BTEMEASMCA"/>
      </w:pPr>
      <w:r w:rsidRPr="001C169A">
        <w:t>Talkas</w:t>
      </w:r>
    </w:p>
    <w:p w14:paraId="0EE906F4" w14:textId="77777777" w:rsidR="00B830AE" w:rsidRPr="001C169A" w:rsidRDefault="00B830AE" w:rsidP="00B830AE">
      <w:pPr>
        <w:pStyle w:val="BTEMEASMCA"/>
      </w:pPr>
    </w:p>
    <w:p w14:paraId="1CBC6B13" w14:textId="77777777" w:rsidR="00B830AE" w:rsidRPr="001C169A" w:rsidRDefault="00B830AE" w:rsidP="00B830AE">
      <w:pPr>
        <w:pStyle w:val="Pagrindinistekstas"/>
        <w:spacing w:after="0"/>
        <w:rPr>
          <w:i/>
          <w:iCs/>
          <w:szCs w:val="22"/>
        </w:rPr>
      </w:pPr>
      <w:r w:rsidRPr="001C169A">
        <w:rPr>
          <w:i/>
          <w:iCs/>
          <w:szCs w:val="22"/>
        </w:rPr>
        <w:t>Tabletės plėvelė:</w:t>
      </w:r>
    </w:p>
    <w:p w14:paraId="036486BB" w14:textId="77777777" w:rsidR="00B830AE" w:rsidRPr="001C169A" w:rsidRDefault="00B830AE" w:rsidP="00B830AE">
      <w:pPr>
        <w:pStyle w:val="BTEMEASMCA"/>
      </w:pPr>
      <w:r w:rsidRPr="001C169A">
        <w:t>Hipromeliozė 5cp (E464)</w:t>
      </w:r>
    </w:p>
    <w:p w14:paraId="42916AB5" w14:textId="77777777" w:rsidR="00B830AE" w:rsidRPr="001C169A" w:rsidRDefault="00B830AE" w:rsidP="00B830AE">
      <w:pPr>
        <w:pStyle w:val="BTEMEASMCA"/>
      </w:pPr>
      <w:r w:rsidRPr="001C169A">
        <w:t>Makrogolis 400</w:t>
      </w:r>
    </w:p>
    <w:p w14:paraId="5FB77320" w14:textId="77777777" w:rsidR="00B830AE" w:rsidRPr="001C169A" w:rsidRDefault="00B830AE" w:rsidP="00B830AE">
      <w:pPr>
        <w:pStyle w:val="BTEMEASMCA"/>
      </w:pPr>
      <w:r w:rsidRPr="001C169A">
        <w:t>Titano dioksidas (E171)</w:t>
      </w:r>
    </w:p>
    <w:p w14:paraId="1BC87682" w14:textId="77777777" w:rsidR="00B830AE" w:rsidRPr="001C169A" w:rsidRDefault="00B830AE" w:rsidP="00B830AE">
      <w:pPr>
        <w:pStyle w:val="BTEMEASMCA"/>
      </w:pPr>
      <w:r w:rsidRPr="001C169A">
        <w:t>Talkas</w:t>
      </w:r>
    </w:p>
    <w:p w14:paraId="74771192" w14:textId="77777777" w:rsidR="00B830AE" w:rsidRPr="001C169A" w:rsidRDefault="00B830AE" w:rsidP="00B830AE">
      <w:pPr>
        <w:pStyle w:val="BTEMEASMCA"/>
      </w:pPr>
    </w:p>
    <w:p w14:paraId="16E9FEA9" w14:textId="77777777" w:rsidR="00B830AE" w:rsidRPr="001C169A" w:rsidRDefault="00B830AE" w:rsidP="00B830AE">
      <w:pPr>
        <w:pStyle w:val="PI-2EMEASMCA"/>
      </w:pPr>
      <w:bookmarkStart w:id="42" w:name="_Toc129243117"/>
      <w:bookmarkStart w:id="43" w:name="_Toc129243242"/>
      <w:r w:rsidRPr="001C169A">
        <w:t>6.2</w:t>
      </w:r>
      <w:r w:rsidRPr="001C169A">
        <w:tab/>
        <w:t>Nesuderinamumas</w:t>
      </w:r>
      <w:bookmarkEnd w:id="42"/>
      <w:bookmarkEnd w:id="43"/>
    </w:p>
    <w:p w14:paraId="29DB4D2C" w14:textId="77777777" w:rsidR="00B830AE" w:rsidRPr="001C169A" w:rsidRDefault="00B830AE" w:rsidP="00B830AE">
      <w:pPr>
        <w:pStyle w:val="BTEMEASMCA"/>
      </w:pPr>
    </w:p>
    <w:p w14:paraId="5D2C582A" w14:textId="77777777" w:rsidR="00B830AE" w:rsidRPr="001C169A" w:rsidRDefault="00B830AE" w:rsidP="00B830AE">
      <w:pPr>
        <w:pStyle w:val="BTEMEASMCA"/>
      </w:pPr>
      <w:r w:rsidRPr="001C169A">
        <w:t>Duomenys nebūtini.</w:t>
      </w:r>
    </w:p>
    <w:p w14:paraId="093F3288" w14:textId="77777777" w:rsidR="00B830AE" w:rsidRPr="001C169A" w:rsidRDefault="00B830AE" w:rsidP="00B830AE">
      <w:pPr>
        <w:pStyle w:val="BTEMEASMCA"/>
      </w:pPr>
    </w:p>
    <w:p w14:paraId="588234C4" w14:textId="77777777" w:rsidR="00B830AE" w:rsidRPr="001C169A" w:rsidRDefault="00B830AE" w:rsidP="00B830AE">
      <w:pPr>
        <w:pStyle w:val="PI-2EMEASMCA"/>
      </w:pPr>
      <w:bookmarkStart w:id="44" w:name="_Toc129243118"/>
      <w:bookmarkStart w:id="45" w:name="_Toc129243243"/>
      <w:r w:rsidRPr="001C169A">
        <w:t>6.3</w:t>
      </w:r>
      <w:r w:rsidRPr="001C169A">
        <w:tab/>
        <w:t>Tinkamumo laikas</w:t>
      </w:r>
      <w:bookmarkEnd w:id="44"/>
      <w:bookmarkEnd w:id="45"/>
    </w:p>
    <w:p w14:paraId="162F273C" w14:textId="77777777" w:rsidR="00B830AE" w:rsidRPr="001C169A" w:rsidRDefault="00B830AE" w:rsidP="00B830AE">
      <w:pPr>
        <w:pStyle w:val="BTEMEASMCA"/>
      </w:pPr>
    </w:p>
    <w:p w14:paraId="2A00EF15" w14:textId="77777777" w:rsidR="00B830AE" w:rsidRPr="001C169A" w:rsidRDefault="00B830AE" w:rsidP="00B830AE">
      <w:pPr>
        <w:pStyle w:val="BTEMEASMCA"/>
      </w:pPr>
      <w:r w:rsidRPr="001C169A">
        <w:t>3 metai</w:t>
      </w:r>
    </w:p>
    <w:p w14:paraId="00E0BAA5" w14:textId="77777777" w:rsidR="00B830AE" w:rsidRPr="001C169A" w:rsidRDefault="00B830AE" w:rsidP="00B830AE">
      <w:pPr>
        <w:pStyle w:val="BTEMEASMCA"/>
      </w:pPr>
    </w:p>
    <w:p w14:paraId="48650064" w14:textId="77777777" w:rsidR="00B830AE" w:rsidRPr="001C169A" w:rsidRDefault="00B830AE" w:rsidP="00B830AE">
      <w:pPr>
        <w:pStyle w:val="PI-2EMEASMCA"/>
      </w:pPr>
      <w:bookmarkStart w:id="46" w:name="_Toc129243119"/>
      <w:bookmarkStart w:id="47" w:name="_Toc129243244"/>
      <w:r w:rsidRPr="001C169A">
        <w:t>6.4</w:t>
      </w:r>
      <w:r w:rsidRPr="001C169A">
        <w:tab/>
        <w:t>Specialios laikymo sąlygos</w:t>
      </w:r>
      <w:bookmarkEnd w:id="46"/>
      <w:bookmarkEnd w:id="47"/>
    </w:p>
    <w:p w14:paraId="65CCDBDC" w14:textId="77777777" w:rsidR="00B830AE" w:rsidRPr="001C169A" w:rsidRDefault="00B830AE" w:rsidP="00B830AE">
      <w:pPr>
        <w:pStyle w:val="BTEMEASMCA"/>
      </w:pPr>
    </w:p>
    <w:p w14:paraId="7F1B82ED" w14:textId="77777777" w:rsidR="00B830AE" w:rsidRPr="001C169A" w:rsidRDefault="00B830AE" w:rsidP="00B830AE">
      <w:pPr>
        <w:pStyle w:val="BTEMEASMCA"/>
      </w:pPr>
      <w:r w:rsidRPr="001C169A">
        <w:t>Šiam vaistiniam preparatui specialių laikymo sąlygų nereikia.</w:t>
      </w:r>
    </w:p>
    <w:p w14:paraId="5D7AAF8A" w14:textId="77777777" w:rsidR="00B830AE" w:rsidRPr="001C169A" w:rsidRDefault="00B830AE" w:rsidP="00B830AE">
      <w:pPr>
        <w:pStyle w:val="BTEMEASMCA"/>
      </w:pPr>
    </w:p>
    <w:p w14:paraId="46AD1B45" w14:textId="77777777" w:rsidR="00B830AE" w:rsidRPr="001C169A" w:rsidRDefault="00B830AE" w:rsidP="00B830AE">
      <w:pPr>
        <w:pStyle w:val="PI-2EMEASMCA"/>
      </w:pPr>
      <w:bookmarkStart w:id="48" w:name="_Toc129243120"/>
      <w:bookmarkStart w:id="49" w:name="_Toc129243245"/>
      <w:r w:rsidRPr="001C169A">
        <w:t>6.5</w:t>
      </w:r>
      <w:r w:rsidRPr="001C169A">
        <w:tab/>
      </w:r>
      <w:proofErr w:type="spellStart"/>
      <w:r w:rsidRPr="001C169A">
        <w:t>Talpyklės</w:t>
      </w:r>
      <w:proofErr w:type="spellEnd"/>
      <w:r w:rsidRPr="001C169A">
        <w:t xml:space="preserve"> pobūdis ir jos turinys</w:t>
      </w:r>
      <w:bookmarkEnd w:id="48"/>
      <w:bookmarkEnd w:id="49"/>
    </w:p>
    <w:p w14:paraId="79FC139C" w14:textId="77777777" w:rsidR="00B830AE" w:rsidRPr="001C169A" w:rsidRDefault="00B830AE" w:rsidP="00B830AE">
      <w:pPr>
        <w:pStyle w:val="BTEMEASMCA"/>
      </w:pPr>
    </w:p>
    <w:p w14:paraId="568936F0" w14:textId="77777777" w:rsidR="00B830AE" w:rsidRPr="001C169A" w:rsidRDefault="00B830AE" w:rsidP="00B830AE">
      <w:pPr>
        <w:pStyle w:val="BTEMEASMCA"/>
      </w:pPr>
      <w:r w:rsidRPr="001C169A">
        <w:t>PVC/aliuminio lizdinės plokštelės.</w:t>
      </w:r>
    </w:p>
    <w:p w14:paraId="690D8B59" w14:textId="77777777" w:rsidR="00B830AE" w:rsidRPr="001C169A" w:rsidRDefault="00B830AE" w:rsidP="00B830AE">
      <w:pPr>
        <w:pStyle w:val="BTEMEASMCA"/>
      </w:pPr>
    </w:p>
    <w:p w14:paraId="47A7C054" w14:textId="77777777" w:rsidR="00B830AE" w:rsidRPr="001C169A" w:rsidRDefault="00B830AE" w:rsidP="00B830AE">
      <w:pPr>
        <w:pStyle w:val="BTEMEASMCA"/>
      </w:pPr>
      <w:r w:rsidRPr="001C169A">
        <w:t>Kartono dėžutės, kuriose yra 20, 28, 30, 50, 84, 98, 100 ir 300 plėvele dengtų tablečių.</w:t>
      </w:r>
    </w:p>
    <w:p w14:paraId="098A3F0B" w14:textId="77777777" w:rsidR="00B830AE" w:rsidRPr="001C169A" w:rsidRDefault="00B830AE" w:rsidP="00B830AE">
      <w:pPr>
        <w:pStyle w:val="BTEMEASMCA"/>
      </w:pPr>
    </w:p>
    <w:p w14:paraId="17A14B63" w14:textId="77777777" w:rsidR="00B830AE" w:rsidRPr="001C169A" w:rsidRDefault="00B830AE" w:rsidP="00B830AE">
      <w:pPr>
        <w:pStyle w:val="BTEMEASMCA"/>
      </w:pPr>
      <w:r w:rsidRPr="001C169A">
        <w:t>Gali būti tiekiamos ne visų dydžių pakuotės.</w:t>
      </w:r>
    </w:p>
    <w:p w14:paraId="21D5C5E5" w14:textId="77777777" w:rsidR="00B830AE" w:rsidRPr="001C169A" w:rsidRDefault="00B830AE" w:rsidP="00B830AE">
      <w:pPr>
        <w:pStyle w:val="BTEMEASMCA"/>
      </w:pPr>
    </w:p>
    <w:p w14:paraId="2115AD1F" w14:textId="77777777" w:rsidR="00B830AE" w:rsidRPr="001C169A" w:rsidRDefault="00B830AE" w:rsidP="00B830AE">
      <w:pPr>
        <w:pStyle w:val="PI-2EMEASMCA"/>
      </w:pPr>
      <w:bookmarkStart w:id="50" w:name="_Toc129243121"/>
      <w:bookmarkStart w:id="51" w:name="_Toc129243246"/>
      <w:r w:rsidRPr="001C169A">
        <w:t>6.6</w:t>
      </w:r>
      <w:r w:rsidRPr="001C169A">
        <w:tab/>
        <w:t>Specialūs reikalavimai atliekoms tvarkyti  ir vaistiniam preparatui ruošti</w:t>
      </w:r>
      <w:bookmarkEnd w:id="50"/>
      <w:bookmarkEnd w:id="51"/>
    </w:p>
    <w:p w14:paraId="579F4A50" w14:textId="77777777" w:rsidR="00B830AE" w:rsidRPr="001C169A" w:rsidRDefault="00B830AE" w:rsidP="00B830AE">
      <w:pPr>
        <w:pStyle w:val="BTEMEASMCA"/>
      </w:pPr>
    </w:p>
    <w:p w14:paraId="14F2C6EB" w14:textId="77777777" w:rsidR="00B830AE" w:rsidRPr="001C169A" w:rsidRDefault="00B830AE" w:rsidP="00B830AE">
      <w:pPr>
        <w:pStyle w:val="BTEMEASMCA"/>
      </w:pPr>
      <w:r w:rsidRPr="001C169A">
        <w:t>Nesuvartotą vaistinį preparatą ar atliekas reikia tvarkyti laikantis vietinių reikalavimų.</w:t>
      </w:r>
    </w:p>
    <w:p w14:paraId="40C5CF68" w14:textId="77777777" w:rsidR="00B830AE" w:rsidRPr="001C169A" w:rsidRDefault="00B830AE" w:rsidP="00B830AE">
      <w:pPr>
        <w:pStyle w:val="BTEMEASMCA"/>
      </w:pPr>
    </w:p>
    <w:p w14:paraId="7FB29ECC" w14:textId="77777777" w:rsidR="00B830AE" w:rsidRPr="001C169A" w:rsidRDefault="00B830AE" w:rsidP="00B830AE">
      <w:pPr>
        <w:pStyle w:val="BTEMEASMCA"/>
      </w:pPr>
    </w:p>
    <w:p w14:paraId="0282E609" w14:textId="2E4D25A0" w:rsidR="00B830AE" w:rsidRPr="001C169A" w:rsidRDefault="00B830AE" w:rsidP="00B830AE">
      <w:pPr>
        <w:pStyle w:val="PI-1EMEASMCA"/>
      </w:pPr>
      <w:bookmarkStart w:id="52" w:name="_Toc129243122"/>
      <w:bookmarkStart w:id="53" w:name="_Toc129243247"/>
      <w:r w:rsidRPr="001C169A">
        <w:t>7.</w:t>
      </w:r>
      <w:r w:rsidRPr="001C169A">
        <w:tab/>
      </w:r>
      <w:r w:rsidR="005E1763" w:rsidRPr="001C169A">
        <w:t>REGISTRUOTOJAS</w:t>
      </w:r>
      <w:bookmarkEnd w:id="52"/>
      <w:bookmarkEnd w:id="53"/>
    </w:p>
    <w:p w14:paraId="72BF865D" w14:textId="77777777" w:rsidR="00B830AE" w:rsidRPr="001C169A" w:rsidRDefault="00B830AE" w:rsidP="00B830AE">
      <w:pPr>
        <w:pStyle w:val="BTEMEASMCA"/>
      </w:pPr>
    </w:p>
    <w:p w14:paraId="3892863D" w14:textId="77777777" w:rsidR="00B830AE" w:rsidRPr="001C169A" w:rsidRDefault="00B830AE" w:rsidP="00B830AE">
      <w:pPr>
        <w:jc w:val="both"/>
        <w:rPr>
          <w:sz w:val="22"/>
          <w:szCs w:val="22"/>
        </w:rPr>
      </w:pPr>
      <w:r w:rsidRPr="001C169A">
        <w:rPr>
          <w:sz w:val="22"/>
          <w:szCs w:val="22"/>
        </w:rPr>
        <w:t xml:space="preserve">AS GRINDEKS </w:t>
      </w:r>
    </w:p>
    <w:p w14:paraId="6834A4A7" w14:textId="77777777" w:rsidR="00B830AE" w:rsidRPr="001C169A" w:rsidRDefault="00B830AE" w:rsidP="00B830AE">
      <w:pPr>
        <w:jc w:val="both"/>
        <w:rPr>
          <w:sz w:val="22"/>
          <w:szCs w:val="22"/>
        </w:rPr>
      </w:pPr>
      <w:proofErr w:type="spellStart"/>
      <w:r w:rsidRPr="001C169A">
        <w:rPr>
          <w:sz w:val="22"/>
          <w:szCs w:val="22"/>
        </w:rPr>
        <w:t>Krustpils</w:t>
      </w:r>
      <w:proofErr w:type="spellEnd"/>
      <w:r w:rsidRPr="001C169A">
        <w:rPr>
          <w:sz w:val="22"/>
          <w:szCs w:val="22"/>
        </w:rPr>
        <w:t xml:space="preserve"> </w:t>
      </w:r>
      <w:proofErr w:type="spellStart"/>
      <w:r w:rsidRPr="001C169A">
        <w:rPr>
          <w:sz w:val="22"/>
          <w:szCs w:val="22"/>
        </w:rPr>
        <w:t>iela</w:t>
      </w:r>
      <w:proofErr w:type="spellEnd"/>
      <w:r w:rsidRPr="001C169A">
        <w:rPr>
          <w:sz w:val="22"/>
          <w:szCs w:val="22"/>
        </w:rPr>
        <w:t xml:space="preserve"> 53, LV-1057 </w:t>
      </w:r>
      <w:proofErr w:type="spellStart"/>
      <w:r w:rsidRPr="001C169A">
        <w:rPr>
          <w:sz w:val="22"/>
          <w:szCs w:val="22"/>
        </w:rPr>
        <w:t>Rīga</w:t>
      </w:r>
      <w:proofErr w:type="spellEnd"/>
    </w:p>
    <w:p w14:paraId="469D9A58" w14:textId="77777777" w:rsidR="00B830AE" w:rsidRPr="001C169A" w:rsidRDefault="00B830AE" w:rsidP="00B830AE">
      <w:pPr>
        <w:jc w:val="both"/>
        <w:rPr>
          <w:sz w:val="22"/>
          <w:szCs w:val="22"/>
        </w:rPr>
      </w:pPr>
      <w:r w:rsidRPr="001C169A">
        <w:rPr>
          <w:sz w:val="22"/>
          <w:szCs w:val="22"/>
        </w:rPr>
        <w:t>Latvija</w:t>
      </w:r>
    </w:p>
    <w:p w14:paraId="27370F97" w14:textId="77777777" w:rsidR="00B830AE" w:rsidRPr="001C169A" w:rsidRDefault="00B830AE" w:rsidP="00B830AE">
      <w:pPr>
        <w:pStyle w:val="Pagrindiniotekstotrauka"/>
        <w:spacing w:after="0"/>
        <w:ind w:left="0"/>
        <w:rPr>
          <w:sz w:val="22"/>
          <w:szCs w:val="22"/>
        </w:rPr>
      </w:pPr>
      <w:r w:rsidRPr="001C169A">
        <w:rPr>
          <w:sz w:val="22"/>
          <w:szCs w:val="22"/>
        </w:rPr>
        <w:t>Tel. +371 67083205</w:t>
      </w:r>
    </w:p>
    <w:p w14:paraId="065DE3BC" w14:textId="77777777" w:rsidR="00B830AE" w:rsidRPr="001C169A" w:rsidRDefault="00B830AE" w:rsidP="00B830AE">
      <w:pPr>
        <w:pStyle w:val="Pagrindiniotekstotrauka"/>
        <w:spacing w:after="0"/>
        <w:ind w:left="0"/>
        <w:rPr>
          <w:sz w:val="22"/>
          <w:szCs w:val="22"/>
        </w:rPr>
      </w:pPr>
      <w:r w:rsidRPr="001C169A">
        <w:rPr>
          <w:sz w:val="22"/>
          <w:szCs w:val="22"/>
        </w:rPr>
        <w:t>Faksas +371 67083505</w:t>
      </w:r>
    </w:p>
    <w:p w14:paraId="5AF64889" w14:textId="10D224F3" w:rsidR="00B830AE" w:rsidRPr="001C169A" w:rsidRDefault="00B830AE" w:rsidP="00B830AE">
      <w:pPr>
        <w:pStyle w:val="BTEMEASMCA"/>
      </w:pPr>
      <w:r w:rsidRPr="001C169A">
        <w:rPr>
          <w:kern w:val="16"/>
        </w:rPr>
        <w:t xml:space="preserve">El. paštas </w:t>
      </w:r>
      <w:hyperlink r:id="rId11" w:history="1">
        <w:r w:rsidRPr="001C169A">
          <w:rPr>
            <w:rStyle w:val="Hipersaitas"/>
          </w:rPr>
          <w:t>grindeks@grindeks.lv</w:t>
        </w:r>
      </w:hyperlink>
    </w:p>
    <w:p w14:paraId="3549942D" w14:textId="77777777" w:rsidR="00B830AE" w:rsidRPr="001C169A" w:rsidRDefault="00B830AE" w:rsidP="00B830AE">
      <w:pPr>
        <w:pStyle w:val="BTEMEASMCA"/>
      </w:pPr>
    </w:p>
    <w:p w14:paraId="62C6451B" w14:textId="77777777" w:rsidR="00B830AE" w:rsidRPr="001C169A" w:rsidRDefault="00B830AE" w:rsidP="00B830AE">
      <w:pPr>
        <w:pStyle w:val="BTEMEASMCA"/>
      </w:pPr>
    </w:p>
    <w:p w14:paraId="6B5616F0" w14:textId="0CAAC647" w:rsidR="00B830AE" w:rsidRPr="001C169A" w:rsidRDefault="00B830AE" w:rsidP="00B830AE">
      <w:pPr>
        <w:pStyle w:val="PI-1EMEASMCA"/>
      </w:pPr>
      <w:bookmarkStart w:id="54" w:name="_Toc129243123"/>
      <w:bookmarkStart w:id="55" w:name="_Toc129243248"/>
      <w:r w:rsidRPr="001C169A">
        <w:t>8.</w:t>
      </w:r>
      <w:r w:rsidRPr="001C169A">
        <w:tab/>
      </w:r>
      <w:r w:rsidR="005E1763" w:rsidRPr="001C169A">
        <w:t xml:space="preserve">REGISTRACIJOS </w:t>
      </w:r>
      <w:r w:rsidRPr="001C169A">
        <w:t>PAŽYMĖJIMO NUMERIS</w:t>
      </w:r>
      <w:bookmarkEnd w:id="54"/>
      <w:bookmarkEnd w:id="55"/>
      <w:r w:rsidRPr="001C169A">
        <w:t xml:space="preserve"> (-IAI)</w:t>
      </w:r>
    </w:p>
    <w:p w14:paraId="60BAF83C" w14:textId="77777777" w:rsidR="00B830AE" w:rsidRPr="001C169A" w:rsidRDefault="00B830AE" w:rsidP="00B830AE">
      <w:pPr>
        <w:pStyle w:val="BTEMEASMCA"/>
      </w:pPr>
    </w:p>
    <w:p w14:paraId="7FD20A28" w14:textId="77777777" w:rsidR="00B830AE" w:rsidRPr="001C169A" w:rsidRDefault="00B830AE" w:rsidP="00B830AE">
      <w:pPr>
        <w:rPr>
          <w:bCs/>
          <w:sz w:val="22"/>
          <w:szCs w:val="22"/>
        </w:rPr>
      </w:pPr>
      <w:r w:rsidRPr="001C169A">
        <w:rPr>
          <w:bCs/>
          <w:sz w:val="22"/>
          <w:szCs w:val="22"/>
        </w:rPr>
        <w:t xml:space="preserve">N20 - LT/1/08/1249/001 </w:t>
      </w:r>
    </w:p>
    <w:p w14:paraId="37DCA41B" w14:textId="77777777" w:rsidR="00B830AE" w:rsidRPr="001C169A" w:rsidRDefault="00B830AE" w:rsidP="00B830AE">
      <w:pPr>
        <w:rPr>
          <w:bCs/>
          <w:sz w:val="22"/>
          <w:szCs w:val="22"/>
        </w:rPr>
      </w:pPr>
      <w:r w:rsidRPr="001C169A">
        <w:rPr>
          <w:bCs/>
          <w:sz w:val="22"/>
          <w:szCs w:val="22"/>
        </w:rPr>
        <w:t xml:space="preserve">N28 - LT/1/08/1249/002 </w:t>
      </w:r>
    </w:p>
    <w:p w14:paraId="26907827" w14:textId="77777777" w:rsidR="00B830AE" w:rsidRPr="001C169A" w:rsidRDefault="00B830AE" w:rsidP="00B830AE">
      <w:pPr>
        <w:rPr>
          <w:bCs/>
          <w:sz w:val="22"/>
          <w:szCs w:val="22"/>
        </w:rPr>
      </w:pPr>
      <w:r w:rsidRPr="001C169A">
        <w:rPr>
          <w:bCs/>
          <w:sz w:val="22"/>
          <w:szCs w:val="22"/>
        </w:rPr>
        <w:t xml:space="preserve">N30 - LT/1/08/1249/003 </w:t>
      </w:r>
    </w:p>
    <w:p w14:paraId="0F5E2991" w14:textId="77777777" w:rsidR="00B830AE" w:rsidRPr="001C169A" w:rsidRDefault="00B830AE" w:rsidP="00B830AE">
      <w:pPr>
        <w:rPr>
          <w:bCs/>
          <w:sz w:val="22"/>
          <w:szCs w:val="22"/>
        </w:rPr>
      </w:pPr>
      <w:r w:rsidRPr="001C169A">
        <w:rPr>
          <w:bCs/>
          <w:sz w:val="22"/>
          <w:szCs w:val="22"/>
        </w:rPr>
        <w:t xml:space="preserve">N50 - LT/1/08/1249/004 </w:t>
      </w:r>
    </w:p>
    <w:p w14:paraId="2A6D5866" w14:textId="77777777" w:rsidR="00B830AE" w:rsidRPr="001C169A" w:rsidRDefault="00B830AE" w:rsidP="00B830AE">
      <w:pPr>
        <w:rPr>
          <w:bCs/>
          <w:sz w:val="22"/>
          <w:szCs w:val="22"/>
        </w:rPr>
      </w:pPr>
      <w:r w:rsidRPr="001C169A">
        <w:rPr>
          <w:bCs/>
          <w:sz w:val="22"/>
          <w:szCs w:val="22"/>
        </w:rPr>
        <w:t xml:space="preserve">N84 - LT/1/08/1249/005 </w:t>
      </w:r>
    </w:p>
    <w:p w14:paraId="3FE507CA" w14:textId="77777777" w:rsidR="00B830AE" w:rsidRPr="001C169A" w:rsidRDefault="00B830AE" w:rsidP="00B830AE">
      <w:pPr>
        <w:rPr>
          <w:bCs/>
          <w:sz w:val="22"/>
          <w:szCs w:val="22"/>
        </w:rPr>
      </w:pPr>
      <w:r w:rsidRPr="001C169A">
        <w:rPr>
          <w:bCs/>
          <w:sz w:val="22"/>
          <w:szCs w:val="22"/>
        </w:rPr>
        <w:t xml:space="preserve">N98 - LT/1/08/1249/006 </w:t>
      </w:r>
    </w:p>
    <w:p w14:paraId="506895D7" w14:textId="77777777" w:rsidR="00B830AE" w:rsidRPr="001C169A" w:rsidRDefault="00B830AE" w:rsidP="00B830AE">
      <w:pPr>
        <w:rPr>
          <w:bCs/>
          <w:sz w:val="22"/>
          <w:szCs w:val="22"/>
        </w:rPr>
      </w:pPr>
      <w:r w:rsidRPr="001C169A">
        <w:rPr>
          <w:bCs/>
          <w:sz w:val="22"/>
          <w:szCs w:val="22"/>
        </w:rPr>
        <w:t xml:space="preserve">N100 - LT/1/08/1249/007 </w:t>
      </w:r>
    </w:p>
    <w:p w14:paraId="5749418E" w14:textId="77777777" w:rsidR="00B830AE" w:rsidRPr="001C169A" w:rsidRDefault="00B830AE" w:rsidP="00B830AE">
      <w:pPr>
        <w:rPr>
          <w:bCs/>
          <w:sz w:val="22"/>
          <w:szCs w:val="22"/>
        </w:rPr>
      </w:pPr>
      <w:r w:rsidRPr="001C169A">
        <w:rPr>
          <w:bCs/>
          <w:sz w:val="22"/>
          <w:szCs w:val="22"/>
        </w:rPr>
        <w:t xml:space="preserve">N300 - LT/1/08/1249/008 </w:t>
      </w:r>
    </w:p>
    <w:p w14:paraId="3064C65E" w14:textId="77777777" w:rsidR="00B830AE" w:rsidRPr="001C169A" w:rsidRDefault="00B830AE" w:rsidP="00B830AE">
      <w:pPr>
        <w:pStyle w:val="BTEMEASMCA"/>
      </w:pPr>
    </w:p>
    <w:p w14:paraId="251ADF90" w14:textId="77777777" w:rsidR="00B830AE" w:rsidRPr="001C169A" w:rsidRDefault="00B830AE" w:rsidP="00B830AE">
      <w:pPr>
        <w:pStyle w:val="BTEMEASMCA"/>
      </w:pPr>
    </w:p>
    <w:p w14:paraId="12FF61DF" w14:textId="0E85457F" w:rsidR="005E1763" w:rsidRPr="001C169A" w:rsidRDefault="00B830AE" w:rsidP="00B830AE">
      <w:pPr>
        <w:pStyle w:val="PI-1EMEASMCA"/>
      </w:pPr>
      <w:bookmarkStart w:id="56" w:name="_Toc129243124"/>
      <w:bookmarkStart w:id="57" w:name="_Toc129243249"/>
      <w:r w:rsidRPr="001C169A">
        <w:t>9.</w:t>
      </w:r>
      <w:r w:rsidRPr="001C169A">
        <w:tab/>
      </w:r>
      <w:r w:rsidR="005E1763" w:rsidRPr="001C169A">
        <w:t xml:space="preserve">REGISTRAVIMO / PERREGISTRAVIMO DATA </w:t>
      </w:r>
    </w:p>
    <w:bookmarkEnd w:id="56"/>
    <w:bookmarkEnd w:id="57"/>
    <w:p w14:paraId="25EACDCD" w14:textId="77777777" w:rsidR="00B830AE" w:rsidRPr="001C169A" w:rsidRDefault="00B830AE" w:rsidP="00B830AE">
      <w:pPr>
        <w:pStyle w:val="BTEMEASMCA"/>
      </w:pPr>
    </w:p>
    <w:p w14:paraId="3BE60000" w14:textId="72EA1EB8" w:rsidR="00B830AE" w:rsidRPr="001C169A" w:rsidRDefault="00B830AE" w:rsidP="00B830AE">
      <w:pPr>
        <w:pStyle w:val="BTEMEASMCA"/>
      </w:pPr>
      <w:r w:rsidRPr="001C169A">
        <w:t>R</w:t>
      </w:r>
      <w:r w:rsidR="005E1763" w:rsidRPr="001C169A">
        <w:t>egistravimo data</w:t>
      </w:r>
      <w:r w:rsidRPr="001C169A">
        <w:t xml:space="preserve"> 2008 m. rugpjūčio 12 d.</w:t>
      </w:r>
    </w:p>
    <w:p w14:paraId="019AC144" w14:textId="71032536" w:rsidR="00B830AE" w:rsidRPr="001C169A" w:rsidRDefault="005E1763" w:rsidP="00B830AE">
      <w:pPr>
        <w:rPr>
          <w:sz w:val="22"/>
          <w:szCs w:val="22"/>
        </w:rPr>
      </w:pPr>
      <w:r w:rsidRPr="001C169A">
        <w:rPr>
          <w:noProof/>
          <w:sz w:val="22"/>
          <w:szCs w:val="22"/>
        </w:rPr>
        <w:t>Paskutinio perregistravimo data</w:t>
      </w:r>
      <w:r w:rsidR="00B830AE" w:rsidRPr="001C169A">
        <w:rPr>
          <w:noProof/>
          <w:sz w:val="22"/>
          <w:szCs w:val="22"/>
        </w:rPr>
        <w:t xml:space="preserve"> 2014 m. rugpjūčio 1 d.</w:t>
      </w:r>
    </w:p>
    <w:p w14:paraId="28F50933" w14:textId="77777777" w:rsidR="00B830AE" w:rsidRPr="001C169A" w:rsidRDefault="00B830AE" w:rsidP="00B830AE">
      <w:pPr>
        <w:pStyle w:val="BTEMEASMCA"/>
      </w:pPr>
    </w:p>
    <w:p w14:paraId="5B6EA58B" w14:textId="77777777" w:rsidR="00B830AE" w:rsidRPr="001C169A" w:rsidRDefault="00B830AE" w:rsidP="00B830AE">
      <w:pPr>
        <w:pStyle w:val="BTEMEASMCA"/>
      </w:pPr>
    </w:p>
    <w:p w14:paraId="3ED1BDCB" w14:textId="77777777" w:rsidR="00B830AE" w:rsidRPr="001C169A" w:rsidRDefault="00B830AE" w:rsidP="00B830AE">
      <w:pPr>
        <w:pStyle w:val="PI-1EMEASMCA"/>
      </w:pPr>
      <w:bookmarkStart w:id="58" w:name="_Toc129243125"/>
      <w:bookmarkStart w:id="59" w:name="_Toc129243250"/>
      <w:r w:rsidRPr="001C169A">
        <w:t>10.</w:t>
      </w:r>
      <w:r w:rsidRPr="001C169A">
        <w:tab/>
        <w:t>TEKSTO PERŽIŪROS DATA</w:t>
      </w:r>
      <w:bookmarkEnd w:id="58"/>
      <w:bookmarkEnd w:id="59"/>
    </w:p>
    <w:p w14:paraId="0F6AF34F" w14:textId="77777777" w:rsidR="00B830AE" w:rsidRPr="001C169A" w:rsidRDefault="00B830AE" w:rsidP="00B830AE">
      <w:pPr>
        <w:pStyle w:val="BTEMEASMCA"/>
      </w:pPr>
    </w:p>
    <w:p w14:paraId="762CADC2" w14:textId="50A0478B" w:rsidR="00B830AE" w:rsidRPr="001C169A" w:rsidRDefault="00B4725C" w:rsidP="00B830AE">
      <w:pPr>
        <w:pStyle w:val="BTEMEASMCA"/>
      </w:pPr>
      <w:r>
        <w:t>2019 m. kovo 28 d.</w:t>
      </w:r>
    </w:p>
    <w:p w14:paraId="2B12D14E" w14:textId="77777777" w:rsidR="00B830AE" w:rsidRPr="001C169A" w:rsidRDefault="00B830AE" w:rsidP="00B830AE">
      <w:pPr>
        <w:pStyle w:val="BTEMEASMCA"/>
      </w:pPr>
    </w:p>
    <w:p w14:paraId="0BF4717C" w14:textId="377C867D" w:rsidR="00B830AE" w:rsidRPr="001C169A" w:rsidRDefault="00B830AE" w:rsidP="00B830AE">
      <w:pPr>
        <w:pStyle w:val="BTEMEASMCA"/>
        <w:rPr>
          <w:color w:val="0000FF"/>
        </w:rPr>
      </w:pPr>
      <w:r w:rsidRPr="001C169A">
        <w:t xml:space="preserve">Išsami informacija apie šį vaistinį preparatą pateikiama Valstybinės vaistų kontrolės tarnybos prie Lietuvos Respublikos  sveikatos apsaugos ministerijos tinklalapyje </w:t>
      </w:r>
      <w:hyperlink r:id="rId12" w:history="1">
        <w:r w:rsidR="00917932" w:rsidRPr="001C169A">
          <w:rPr>
            <w:rStyle w:val="Hipersaitas"/>
          </w:rPr>
          <w:t>http://www.vvkt.lt</w:t>
        </w:r>
      </w:hyperlink>
    </w:p>
    <w:p w14:paraId="3BB254D9" w14:textId="77777777" w:rsidR="00917932" w:rsidRPr="001C169A" w:rsidRDefault="00917932" w:rsidP="00B830AE">
      <w:pPr>
        <w:pStyle w:val="BTEMEASMCA"/>
      </w:pPr>
    </w:p>
    <w:p w14:paraId="436DE884" w14:textId="77777777" w:rsidR="00B830AE" w:rsidRPr="001C169A" w:rsidRDefault="00B830AE" w:rsidP="00B830AE">
      <w:pPr>
        <w:pStyle w:val="BTEMEASMCA"/>
      </w:pPr>
    </w:p>
    <w:p w14:paraId="6A7DE811" w14:textId="77777777" w:rsidR="00B830AE" w:rsidRPr="001C169A" w:rsidRDefault="00B830AE" w:rsidP="00B830AE">
      <w:pPr>
        <w:pStyle w:val="BTEMEASMCA"/>
      </w:pPr>
    </w:p>
    <w:p w14:paraId="7B3CC564" w14:textId="77777777" w:rsidR="00B830AE" w:rsidRPr="001C169A" w:rsidRDefault="00B830AE" w:rsidP="00B830AE">
      <w:pPr>
        <w:pStyle w:val="BTEMEASMCA"/>
        <w:sectPr w:rsidR="00B830AE" w:rsidRPr="001C169A" w:rsidSect="005E1763">
          <w:headerReference w:type="default" r:id="rId13"/>
          <w:footerReference w:type="even" r:id="rId14"/>
          <w:footerReference w:type="default" r:id="rId15"/>
          <w:pgSz w:w="11906" w:h="16838"/>
          <w:pgMar w:top="1134" w:right="1418" w:bottom="1134" w:left="1418" w:header="567" w:footer="567" w:gutter="0"/>
          <w:cols w:space="1296"/>
          <w:docGrid w:linePitch="360"/>
        </w:sectPr>
      </w:pPr>
    </w:p>
    <w:p w14:paraId="656D78C6" w14:textId="77777777" w:rsidR="00B830AE" w:rsidRPr="001C169A" w:rsidRDefault="00B830AE" w:rsidP="00B830AE">
      <w:pPr>
        <w:pStyle w:val="BTEMEASMCA"/>
      </w:pPr>
    </w:p>
    <w:p w14:paraId="33BF300D" w14:textId="77777777" w:rsidR="00B830AE" w:rsidRPr="001C169A" w:rsidRDefault="00B830AE" w:rsidP="00B830AE">
      <w:pPr>
        <w:pStyle w:val="BTEMEASMCA"/>
      </w:pPr>
    </w:p>
    <w:p w14:paraId="48A340AF" w14:textId="77777777" w:rsidR="00B830AE" w:rsidRPr="001C169A" w:rsidRDefault="00B830AE" w:rsidP="00B830AE">
      <w:pPr>
        <w:pStyle w:val="BTEMEASMCA"/>
      </w:pPr>
    </w:p>
    <w:p w14:paraId="39F54ADF" w14:textId="77777777" w:rsidR="00B830AE" w:rsidRPr="001C169A" w:rsidRDefault="00B830AE" w:rsidP="00B830AE">
      <w:pPr>
        <w:pStyle w:val="BTEMEASMCA"/>
      </w:pPr>
    </w:p>
    <w:p w14:paraId="124629ED" w14:textId="77777777" w:rsidR="00B830AE" w:rsidRPr="001C169A" w:rsidRDefault="00B830AE" w:rsidP="00B830AE">
      <w:pPr>
        <w:pStyle w:val="BTEMEASMCA"/>
      </w:pPr>
    </w:p>
    <w:p w14:paraId="28C32591" w14:textId="77777777" w:rsidR="00B830AE" w:rsidRPr="001C169A" w:rsidRDefault="00B830AE" w:rsidP="00B830AE">
      <w:pPr>
        <w:pStyle w:val="BTEMEASMCA"/>
      </w:pPr>
    </w:p>
    <w:p w14:paraId="6184F58E" w14:textId="77777777" w:rsidR="00B830AE" w:rsidRPr="001C169A" w:rsidRDefault="00B830AE" w:rsidP="00B830AE">
      <w:pPr>
        <w:pStyle w:val="BTEMEASMCA"/>
      </w:pPr>
    </w:p>
    <w:p w14:paraId="44CD262C" w14:textId="77777777" w:rsidR="00B830AE" w:rsidRPr="001C169A" w:rsidRDefault="00B830AE" w:rsidP="00B830AE">
      <w:pPr>
        <w:pStyle w:val="BTEMEASMCA"/>
      </w:pPr>
    </w:p>
    <w:p w14:paraId="0D3E3ACE" w14:textId="77777777" w:rsidR="00B830AE" w:rsidRPr="001C169A" w:rsidRDefault="00B830AE" w:rsidP="00B830AE">
      <w:pPr>
        <w:pStyle w:val="BTEMEASMCA"/>
      </w:pPr>
    </w:p>
    <w:p w14:paraId="2762BBFE" w14:textId="77777777" w:rsidR="00B830AE" w:rsidRPr="001C169A" w:rsidRDefault="00B830AE" w:rsidP="00B830AE">
      <w:pPr>
        <w:pStyle w:val="BTEMEASMCA"/>
      </w:pPr>
    </w:p>
    <w:p w14:paraId="11D2B9DF" w14:textId="77777777" w:rsidR="00B830AE" w:rsidRPr="001C169A" w:rsidRDefault="00B830AE" w:rsidP="00B830AE">
      <w:pPr>
        <w:pStyle w:val="BTEMEASMCA"/>
      </w:pPr>
    </w:p>
    <w:p w14:paraId="5C315522" w14:textId="77777777" w:rsidR="00B830AE" w:rsidRPr="001C169A" w:rsidRDefault="00B830AE" w:rsidP="00B830AE">
      <w:pPr>
        <w:pStyle w:val="BTEMEASMCA"/>
      </w:pPr>
    </w:p>
    <w:p w14:paraId="6B9BF13C" w14:textId="77777777" w:rsidR="00B830AE" w:rsidRPr="001C169A" w:rsidRDefault="00B830AE" w:rsidP="00B830AE">
      <w:pPr>
        <w:pStyle w:val="BTEMEASMCA"/>
      </w:pPr>
    </w:p>
    <w:p w14:paraId="58827C9D" w14:textId="77777777" w:rsidR="00B830AE" w:rsidRPr="001C169A" w:rsidRDefault="00B830AE" w:rsidP="00B830AE">
      <w:pPr>
        <w:pStyle w:val="BTEMEASMCA"/>
      </w:pPr>
    </w:p>
    <w:p w14:paraId="20F36994" w14:textId="77777777" w:rsidR="00B830AE" w:rsidRPr="001C169A" w:rsidRDefault="00B830AE" w:rsidP="00B830AE">
      <w:pPr>
        <w:pStyle w:val="BTEMEASMCA"/>
      </w:pPr>
    </w:p>
    <w:p w14:paraId="352624BD" w14:textId="77777777" w:rsidR="00B830AE" w:rsidRPr="001C169A" w:rsidRDefault="00B830AE" w:rsidP="00B830AE">
      <w:pPr>
        <w:pStyle w:val="BTEMEASMCA"/>
      </w:pPr>
    </w:p>
    <w:p w14:paraId="135C3590" w14:textId="77777777" w:rsidR="00B830AE" w:rsidRPr="001C169A" w:rsidRDefault="00B830AE" w:rsidP="00B830AE">
      <w:pPr>
        <w:pStyle w:val="BTEMEASMCA"/>
      </w:pPr>
    </w:p>
    <w:p w14:paraId="537F930D" w14:textId="77777777" w:rsidR="00B830AE" w:rsidRPr="001C169A" w:rsidRDefault="00B830AE" w:rsidP="00B830AE">
      <w:pPr>
        <w:pStyle w:val="BTEMEASMCA"/>
      </w:pPr>
    </w:p>
    <w:p w14:paraId="60394D56" w14:textId="77777777" w:rsidR="00B830AE" w:rsidRPr="001C169A" w:rsidRDefault="00B830AE" w:rsidP="00B830AE">
      <w:pPr>
        <w:pStyle w:val="BTEMEASMCA"/>
      </w:pPr>
    </w:p>
    <w:p w14:paraId="1158C080" w14:textId="77777777" w:rsidR="00B830AE" w:rsidRPr="001C169A" w:rsidRDefault="00B830AE" w:rsidP="00B830AE">
      <w:pPr>
        <w:pStyle w:val="BTEMEASMCA"/>
      </w:pPr>
    </w:p>
    <w:p w14:paraId="14DDA354" w14:textId="77777777" w:rsidR="00B830AE" w:rsidRPr="001C169A" w:rsidRDefault="00B830AE" w:rsidP="00B830AE">
      <w:pPr>
        <w:pStyle w:val="BTEMEASMCA"/>
      </w:pPr>
    </w:p>
    <w:p w14:paraId="15CF832B" w14:textId="77777777" w:rsidR="00B830AE" w:rsidRPr="001C169A" w:rsidRDefault="00B830AE" w:rsidP="00B830AE">
      <w:pPr>
        <w:pStyle w:val="BTEMEASMCA"/>
      </w:pPr>
    </w:p>
    <w:p w14:paraId="54E7BE32" w14:textId="77777777" w:rsidR="00B830AE" w:rsidRPr="001C169A" w:rsidRDefault="00B830AE" w:rsidP="00B830AE">
      <w:pPr>
        <w:pStyle w:val="BTEMEASMCA"/>
      </w:pPr>
    </w:p>
    <w:p w14:paraId="59785922" w14:textId="77777777" w:rsidR="00B830AE" w:rsidRPr="001C169A" w:rsidRDefault="00B830AE" w:rsidP="00B830AE">
      <w:pPr>
        <w:pStyle w:val="TTEMEASMCA"/>
        <w:rPr>
          <w:sz w:val="22"/>
          <w:szCs w:val="22"/>
          <w:lang w:val="lt-LT"/>
        </w:rPr>
      </w:pPr>
      <w:bookmarkStart w:id="60" w:name="_Toc129243128"/>
      <w:bookmarkStart w:id="61" w:name="_Toc129243253"/>
      <w:r w:rsidRPr="001C169A">
        <w:rPr>
          <w:sz w:val="22"/>
          <w:szCs w:val="22"/>
          <w:lang w:val="lt-LT"/>
        </w:rPr>
        <w:t>II PRIEDAS</w:t>
      </w:r>
      <w:bookmarkEnd w:id="60"/>
      <w:bookmarkEnd w:id="61"/>
    </w:p>
    <w:p w14:paraId="79004670" w14:textId="77777777" w:rsidR="00B830AE" w:rsidRPr="001C169A" w:rsidRDefault="00B830AE" w:rsidP="00B830AE">
      <w:pPr>
        <w:pStyle w:val="TTEMEASMCA"/>
        <w:rPr>
          <w:sz w:val="22"/>
          <w:szCs w:val="22"/>
          <w:lang w:val="lt-LT"/>
        </w:rPr>
      </w:pPr>
    </w:p>
    <w:p w14:paraId="1A9B35C5" w14:textId="3F403DC8" w:rsidR="00B830AE" w:rsidRPr="001C169A" w:rsidRDefault="00917932" w:rsidP="00B830AE">
      <w:pPr>
        <w:pStyle w:val="TTEMEASMCA"/>
        <w:rPr>
          <w:sz w:val="22"/>
          <w:szCs w:val="22"/>
          <w:lang w:val="lt-LT"/>
        </w:rPr>
      </w:pPr>
      <w:r w:rsidRPr="001C169A">
        <w:rPr>
          <w:sz w:val="22"/>
          <w:szCs w:val="22"/>
          <w:lang w:val="lt-LT"/>
        </w:rPr>
        <w:t>REGISTRACIJOS</w:t>
      </w:r>
      <w:r w:rsidR="00B830AE" w:rsidRPr="001C169A">
        <w:rPr>
          <w:sz w:val="22"/>
          <w:szCs w:val="22"/>
          <w:lang w:val="lt-LT"/>
        </w:rPr>
        <w:t xml:space="preserve"> SĄLYGOS</w:t>
      </w:r>
    </w:p>
    <w:p w14:paraId="4F6A7C70" w14:textId="77777777" w:rsidR="00B830AE" w:rsidRPr="001C169A" w:rsidRDefault="00B830AE" w:rsidP="00B830AE">
      <w:pPr>
        <w:pStyle w:val="BTEMEASMCA"/>
      </w:pPr>
    </w:p>
    <w:p w14:paraId="4334C588" w14:textId="77777777" w:rsidR="00B830AE" w:rsidRPr="00AD4B7F" w:rsidRDefault="00B830AE" w:rsidP="00B830AE">
      <w:pPr>
        <w:pStyle w:val="BTAnIIEMEASMCA"/>
        <w:rPr>
          <w:rFonts w:cs="Times New Roman"/>
          <w:highlight w:val="yellow"/>
          <w:lang w:val="lt-LT"/>
        </w:rPr>
      </w:pPr>
      <w:r w:rsidRPr="00AD4B7F">
        <w:rPr>
          <w:rFonts w:cs="Times New Roman"/>
          <w:lang w:val="lt-LT"/>
        </w:rPr>
        <w:t>A.</w:t>
      </w:r>
      <w:r w:rsidRPr="00AD4B7F">
        <w:rPr>
          <w:rFonts w:cs="Times New Roman"/>
          <w:lang w:val="lt-LT"/>
        </w:rPr>
        <w:tab/>
        <w:t>GAMINTOJAS (-AI), ATSAKINGAS (-I) UŽ SERIJŲ IŠLEIDIMĄ</w:t>
      </w:r>
    </w:p>
    <w:p w14:paraId="5A8ABB03" w14:textId="77777777" w:rsidR="00B830AE" w:rsidRPr="001C169A" w:rsidRDefault="00B830AE" w:rsidP="00B830AE">
      <w:pPr>
        <w:pStyle w:val="BTEMEASMCA"/>
        <w:rPr>
          <w:highlight w:val="yellow"/>
        </w:rPr>
      </w:pPr>
    </w:p>
    <w:p w14:paraId="17353C4E" w14:textId="77777777" w:rsidR="00B830AE" w:rsidRPr="00AD4B7F" w:rsidRDefault="00B830AE" w:rsidP="00B830AE">
      <w:pPr>
        <w:pStyle w:val="BTAnIIEMEASMCA"/>
        <w:rPr>
          <w:rFonts w:cs="Times New Roman"/>
          <w:lang w:val="lt-LT"/>
        </w:rPr>
      </w:pPr>
      <w:r w:rsidRPr="00AD4B7F">
        <w:rPr>
          <w:rFonts w:cs="Times New Roman"/>
          <w:lang w:val="lt-LT"/>
        </w:rPr>
        <w:t>B.</w:t>
      </w:r>
      <w:r w:rsidRPr="00AD4B7F">
        <w:rPr>
          <w:rFonts w:cs="Times New Roman"/>
          <w:lang w:val="lt-LT"/>
        </w:rPr>
        <w:tab/>
      </w:r>
      <w:r w:rsidRPr="001C169A">
        <w:rPr>
          <w:rFonts w:cs="Times New Roman"/>
          <w:snapToGrid w:val="0"/>
          <w:lang w:val="lt-LT"/>
        </w:rPr>
        <w:t>TIEKIMO IR VARTOJIMO SĄLYGOS AR APRIBOJIMAI</w:t>
      </w:r>
    </w:p>
    <w:p w14:paraId="70574A7C" w14:textId="77777777" w:rsidR="00B830AE" w:rsidRPr="001C169A" w:rsidRDefault="00B830AE" w:rsidP="00B830AE">
      <w:pPr>
        <w:pStyle w:val="BTEMEASMCA"/>
        <w:rPr>
          <w:highlight w:val="yellow"/>
        </w:rPr>
      </w:pPr>
    </w:p>
    <w:p w14:paraId="5FD16231" w14:textId="77777777" w:rsidR="00B830AE" w:rsidRPr="001C169A" w:rsidRDefault="00B830AE" w:rsidP="00B830AE">
      <w:pPr>
        <w:pStyle w:val="PI-1EMEASMCA"/>
      </w:pPr>
      <w:r w:rsidRPr="001C169A">
        <w:br w:type="page"/>
      </w:r>
      <w:r w:rsidRPr="001C169A">
        <w:lastRenderedPageBreak/>
        <w:t>A.</w:t>
      </w:r>
      <w:r w:rsidRPr="001C169A">
        <w:tab/>
        <w:t>GAMINTOJAS (-AI), ATSAKINGAS (-I) UŽ SERIJŲ IŠLEIDIMĄ</w:t>
      </w:r>
    </w:p>
    <w:p w14:paraId="7EB0E869" w14:textId="77777777" w:rsidR="00B830AE" w:rsidRPr="001C169A" w:rsidRDefault="00B830AE" w:rsidP="00B830AE">
      <w:pPr>
        <w:pStyle w:val="BTEMEASMCA"/>
        <w:rPr>
          <w:highlight w:val="yellow"/>
        </w:rPr>
      </w:pPr>
    </w:p>
    <w:p w14:paraId="63D0F296" w14:textId="77777777" w:rsidR="00B830AE" w:rsidRPr="001C169A" w:rsidRDefault="00B830AE" w:rsidP="00B830AE">
      <w:pPr>
        <w:pStyle w:val="BTuEMEASMCA"/>
      </w:pPr>
      <w:r w:rsidRPr="001C169A">
        <w:t>Gamintojo (-ų), atsakingo (-ų) už serijų išleidimą, pavadinimas (-ai) ir adresas (-ai)</w:t>
      </w:r>
    </w:p>
    <w:p w14:paraId="61F75ACD" w14:textId="77777777" w:rsidR="00B830AE" w:rsidRPr="001C169A" w:rsidRDefault="00B830AE" w:rsidP="00B830AE">
      <w:pPr>
        <w:pStyle w:val="BTEMEASMCA"/>
      </w:pPr>
    </w:p>
    <w:p w14:paraId="69636368" w14:textId="77777777" w:rsidR="00B830AE" w:rsidRPr="001C169A" w:rsidRDefault="00B830AE" w:rsidP="00B830AE">
      <w:pPr>
        <w:pStyle w:val="BTEMEASMCA"/>
      </w:pPr>
      <w:r w:rsidRPr="001C169A">
        <w:t>Remedica Ltd.</w:t>
      </w:r>
    </w:p>
    <w:p w14:paraId="24E96D11" w14:textId="77777777" w:rsidR="00B830AE" w:rsidRPr="001C169A" w:rsidRDefault="00B830AE" w:rsidP="00B830AE">
      <w:pPr>
        <w:pStyle w:val="BTEMEASMCA"/>
      </w:pPr>
      <w:r w:rsidRPr="001C169A">
        <w:t>Limassol Industrial Estate</w:t>
      </w:r>
    </w:p>
    <w:p w14:paraId="2A09E850" w14:textId="77777777" w:rsidR="00B830AE" w:rsidRPr="001C169A" w:rsidRDefault="00B830AE" w:rsidP="00B830AE">
      <w:pPr>
        <w:pStyle w:val="BTEMEASMCA"/>
      </w:pPr>
      <w:r w:rsidRPr="001C169A">
        <w:t>P.O Box 51706</w:t>
      </w:r>
    </w:p>
    <w:p w14:paraId="5922154F" w14:textId="77777777" w:rsidR="00B830AE" w:rsidRPr="001C169A" w:rsidRDefault="00B830AE" w:rsidP="00B830AE">
      <w:pPr>
        <w:pStyle w:val="BTEMEASMCA"/>
      </w:pPr>
      <w:r w:rsidRPr="001C169A">
        <w:t>CY-3508 Limassol</w:t>
      </w:r>
    </w:p>
    <w:p w14:paraId="0B986626" w14:textId="77777777" w:rsidR="00B830AE" w:rsidRPr="001C169A" w:rsidRDefault="00B830AE" w:rsidP="00B830AE">
      <w:pPr>
        <w:pStyle w:val="BTEMEASMCA"/>
      </w:pPr>
      <w:r w:rsidRPr="001C169A">
        <w:t>Kipras</w:t>
      </w:r>
    </w:p>
    <w:p w14:paraId="7093693D" w14:textId="77777777" w:rsidR="00B830AE" w:rsidRPr="001C169A" w:rsidRDefault="00B830AE" w:rsidP="00B830AE">
      <w:pPr>
        <w:pStyle w:val="BTEMEASMCA"/>
        <w:rPr>
          <w:highlight w:val="yellow"/>
        </w:rPr>
      </w:pPr>
    </w:p>
    <w:p w14:paraId="62393428" w14:textId="77777777" w:rsidR="00B830AE" w:rsidRPr="001C169A" w:rsidRDefault="00B830AE" w:rsidP="00B830AE">
      <w:pPr>
        <w:pStyle w:val="BTEMEASMCA"/>
        <w:rPr>
          <w:highlight w:val="yellow"/>
        </w:rPr>
      </w:pPr>
    </w:p>
    <w:p w14:paraId="4792CB0E" w14:textId="77777777" w:rsidR="00B830AE" w:rsidRPr="001C169A" w:rsidRDefault="00B830AE" w:rsidP="00B830AE">
      <w:pPr>
        <w:pStyle w:val="PI-1EMEASMCA"/>
      </w:pPr>
      <w:bookmarkStart w:id="62" w:name="_Toc129243129"/>
      <w:bookmarkStart w:id="63" w:name="_Toc129243254"/>
      <w:r w:rsidRPr="001C169A">
        <w:t>B.</w:t>
      </w:r>
      <w:r w:rsidRPr="001C169A">
        <w:tab/>
      </w:r>
      <w:r w:rsidRPr="00AD4B7F">
        <w:rPr>
          <w:noProof/>
          <w:snapToGrid w:val="0"/>
        </w:rPr>
        <w:t>TIEKIMO IR VARTOJIMO SĄLYGOS AR APRIBOJIMAI</w:t>
      </w:r>
      <w:bookmarkEnd w:id="62"/>
      <w:bookmarkEnd w:id="63"/>
    </w:p>
    <w:p w14:paraId="6584C0D5" w14:textId="77777777" w:rsidR="00B830AE" w:rsidRPr="001C169A" w:rsidRDefault="00B830AE" w:rsidP="00B830AE">
      <w:pPr>
        <w:pStyle w:val="BTEMEASMCA"/>
      </w:pPr>
    </w:p>
    <w:p w14:paraId="30E6A909" w14:textId="77777777" w:rsidR="00B830AE" w:rsidRPr="001C169A" w:rsidRDefault="00B830AE" w:rsidP="00B830AE">
      <w:pPr>
        <w:pStyle w:val="BTEMEASMCA"/>
      </w:pPr>
      <w:r w:rsidRPr="001C169A">
        <w:t>Receptinis vaistinis preparatas</w:t>
      </w:r>
      <w:r w:rsidR="00917932" w:rsidRPr="001C169A">
        <w:t>.</w:t>
      </w:r>
    </w:p>
    <w:p w14:paraId="1BEF8933" w14:textId="77777777" w:rsidR="00B830AE" w:rsidRPr="001C169A" w:rsidRDefault="00B830AE" w:rsidP="00B830AE">
      <w:pPr>
        <w:pStyle w:val="BTEMEASMCA"/>
      </w:pPr>
    </w:p>
    <w:p w14:paraId="4F6F3594" w14:textId="77777777" w:rsidR="00B830AE" w:rsidRPr="001C169A" w:rsidRDefault="00B830AE" w:rsidP="00B830AE">
      <w:pPr>
        <w:pStyle w:val="BTEMEASMCA"/>
      </w:pPr>
    </w:p>
    <w:p w14:paraId="7867569D" w14:textId="77777777" w:rsidR="00B830AE" w:rsidRPr="001C169A" w:rsidRDefault="00B830AE" w:rsidP="00B830AE">
      <w:pPr>
        <w:pStyle w:val="BTEMEASMCA"/>
      </w:pPr>
    </w:p>
    <w:p w14:paraId="2F72BBCC" w14:textId="77777777" w:rsidR="00B830AE" w:rsidRPr="001C169A" w:rsidRDefault="00B830AE" w:rsidP="00B830AE">
      <w:pPr>
        <w:pStyle w:val="BTEMEASMCA"/>
      </w:pPr>
    </w:p>
    <w:p w14:paraId="5F9B5733" w14:textId="77777777" w:rsidR="00B830AE" w:rsidRPr="001C169A" w:rsidRDefault="00B830AE" w:rsidP="00B830AE">
      <w:pPr>
        <w:pStyle w:val="BTEMEASMCA"/>
      </w:pPr>
    </w:p>
    <w:p w14:paraId="656D346A" w14:textId="77777777" w:rsidR="00B830AE" w:rsidRPr="001C169A" w:rsidRDefault="00B830AE" w:rsidP="00B830AE">
      <w:pPr>
        <w:pStyle w:val="BTEMEASMCA"/>
      </w:pPr>
    </w:p>
    <w:p w14:paraId="2980AE23" w14:textId="77777777" w:rsidR="00B830AE" w:rsidRPr="001C169A" w:rsidRDefault="00B830AE" w:rsidP="00B830AE">
      <w:pPr>
        <w:pStyle w:val="BTEMEASMCA"/>
      </w:pPr>
    </w:p>
    <w:p w14:paraId="48A53035" w14:textId="77777777" w:rsidR="00B830AE" w:rsidRPr="001C169A" w:rsidRDefault="00B830AE" w:rsidP="00B830AE">
      <w:pPr>
        <w:pStyle w:val="BTEMEASMCA"/>
      </w:pPr>
    </w:p>
    <w:p w14:paraId="043743A4" w14:textId="77777777" w:rsidR="00B830AE" w:rsidRPr="001C169A" w:rsidRDefault="00B830AE" w:rsidP="00B830AE">
      <w:pPr>
        <w:pStyle w:val="BTEMEASMCA"/>
      </w:pPr>
    </w:p>
    <w:p w14:paraId="572A8AA5" w14:textId="77777777" w:rsidR="00B830AE" w:rsidRPr="001C169A" w:rsidRDefault="00B830AE" w:rsidP="00B830AE">
      <w:pPr>
        <w:pStyle w:val="BTEMEASMCA"/>
      </w:pPr>
    </w:p>
    <w:p w14:paraId="1615D242" w14:textId="77777777" w:rsidR="00B830AE" w:rsidRPr="001C169A" w:rsidRDefault="00B830AE" w:rsidP="00B830AE">
      <w:pPr>
        <w:pStyle w:val="BTEMEASMCA"/>
      </w:pPr>
    </w:p>
    <w:p w14:paraId="5E2FDA2F" w14:textId="77777777" w:rsidR="00B830AE" w:rsidRPr="001C169A" w:rsidRDefault="00B830AE" w:rsidP="00B830AE">
      <w:pPr>
        <w:pStyle w:val="BTEMEASMCA"/>
      </w:pPr>
      <w:r w:rsidRPr="001C169A">
        <w:br w:type="page"/>
      </w:r>
    </w:p>
    <w:p w14:paraId="6CD21D5B" w14:textId="77777777" w:rsidR="00B830AE" w:rsidRPr="001C169A" w:rsidRDefault="00B830AE" w:rsidP="00B830AE">
      <w:pPr>
        <w:pStyle w:val="BTEMEASMCA"/>
      </w:pPr>
    </w:p>
    <w:p w14:paraId="53BD158F" w14:textId="77777777" w:rsidR="00B830AE" w:rsidRPr="001C169A" w:rsidRDefault="00B830AE" w:rsidP="00B830AE">
      <w:pPr>
        <w:pStyle w:val="BTEMEASMCA"/>
      </w:pPr>
    </w:p>
    <w:p w14:paraId="17F0DF33" w14:textId="77777777" w:rsidR="00B830AE" w:rsidRPr="001C169A" w:rsidRDefault="00B830AE" w:rsidP="00B830AE">
      <w:pPr>
        <w:pStyle w:val="BTEMEASMCA"/>
      </w:pPr>
    </w:p>
    <w:p w14:paraId="0EAF6F9D" w14:textId="77777777" w:rsidR="00B830AE" w:rsidRPr="001C169A" w:rsidRDefault="00B830AE" w:rsidP="00B830AE">
      <w:pPr>
        <w:pStyle w:val="BTEMEASMCA"/>
      </w:pPr>
    </w:p>
    <w:p w14:paraId="7B598378" w14:textId="77777777" w:rsidR="00B830AE" w:rsidRPr="001C169A" w:rsidRDefault="00B830AE" w:rsidP="00B830AE">
      <w:pPr>
        <w:pStyle w:val="BTEMEASMCA"/>
      </w:pPr>
    </w:p>
    <w:p w14:paraId="34157D98" w14:textId="77777777" w:rsidR="00B830AE" w:rsidRPr="001C169A" w:rsidRDefault="00B830AE" w:rsidP="00B830AE">
      <w:pPr>
        <w:pStyle w:val="BTEMEASMCA"/>
      </w:pPr>
    </w:p>
    <w:p w14:paraId="377FF262" w14:textId="77777777" w:rsidR="00B830AE" w:rsidRPr="001C169A" w:rsidRDefault="00B830AE" w:rsidP="00B830AE">
      <w:pPr>
        <w:pStyle w:val="BTEMEASMCA"/>
      </w:pPr>
    </w:p>
    <w:p w14:paraId="42825BFD" w14:textId="77777777" w:rsidR="00B830AE" w:rsidRPr="001C169A" w:rsidRDefault="00B830AE" w:rsidP="00B830AE">
      <w:pPr>
        <w:pStyle w:val="BTEMEASMCA"/>
      </w:pPr>
    </w:p>
    <w:p w14:paraId="1E0FD034" w14:textId="77777777" w:rsidR="00B830AE" w:rsidRPr="001C169A" w:rsidRDefault="00B830AE" w:rsidP="00B830AE">
      <w:pPr>
        <w:pStyle w:val="BTEMEASMCA"/>
      </w:pPr>
    </w:p>
    <w:p w14:paraId="5FB325D1" w14:textId="77777777" w:rsidR="00B830AE" w:rsidRPr="001C169A" w:rsidRDefault="00B830AE" w:rsidP="00B830AE">
      <w:pPr>
        <w:pStyle w:val="BTEMEASMCA"/>
      </w:pPr>
    </w:p>
    <w:p w14:paraId="76BEB557" w14:textId="77777777" w:rsidR="00B830AE" w:rsidRPr="001C169A" w:rsidRDefault="00B830AE" w:rsidP="00B830AE">
      <w:pPr>
        <w:pStyle w:val="BTEMEASMCA"/>
      </w:pPr>
    </w:p>
    <w:p w14:paraId="0D3FB276" w14:textId="77777777" w:rsidR="00B830AE" w:rsidRPr="001C169A" w:rsidRDefault="00B830AE" w:rsidP="00B830AE">
      <w:pPr>
        <w:pStyle w:val="BTEMEASMCA"/>
      </w:pPr>
    </w:p>
    <w:p w14:paraId="5FAE030D" w14:textId="77777777" w:rsidR="00B830AE" w:rsidRPr="001C169A" w:rsidRDefault="00B830AE" w:rsidP="00B830AE">
      <w:pPr>
        <w:pStyle w:val="BTEMEASMCA"/>
      </w:pPr>
    </w:p>
    <w:p w14:paraId="31B7EDAE" w14:textId="77777777" w:rsidR="00B830AE" w:rsidRPr="001C169A" w:rsidRDefault="00B830AE" w:rsidP="00B830AE">
      <w:pPr>
        <w:pStyle w:val="BTEMEASMCA"/>
      </w:pPr>
    </w:p>
    <w:p w14:paraId="7825EB86" w14:textId="77777777" w:rsidR="00B830AE" w:rsidRPr="001C169A" w:rsidRDefault="00B830AE" w:rsidP="00B830AE">
      <w:pPr>
        <w:pStyle w:val="BTEMEASMCA"/>
      </w:pPr>
    </w:p>
    <w:p w14:paraId="61C9602D" w14:textId="77777777" w:rsidR="00B830AE" w:rsidRPr="001C169A" w:rsidRDefault="00B830AE" w:rsidP="00B830AE">
      <w:pPr>
        <w:pStyle w:val="BTEMEASMCA"/>
      </w:pPr>
    </w:p>
    <w:p w14:paraId="057B78CA" w14:textId="77777777" w:rsidR="00B830AE" w:rsidRPr="001C169A" w:rsidRDefault="00B830AE" w:rsidP="00B830AE">
      <w:pPr>
        <w:pStyle w:val="BTEMEASMCA"/>
      </w:pPr>
    </w:p>
    <w:p w14:paraId="6CD59A13" w14:textId="77777777" w:rsidR="00B830AE" w:rsidRPr="001C169A" w:rsidRDefault="00B830AE" w:rsidP="00B830AE">
      <w:pPr>
        <w:pStyle w:val="BTEMEASMCA"/>
      </w:pPr>
    </w:p>
    <w:p w14:paraId="5984A9AF" w14:textId="77777777" w:rsidR="00B830AE" w:rsidRPr="001C169A" w:rsidRDefault="00B830AE" w:rsidP="00B830AE">
      <w:pPr>
        <w:pStyle w:val="BTEMEASMCA"/>
      </w:pPr>
    </w:p>
    <w:p w14:paraId="516E963C" w14:textId="77777777" w:rsidR="00B830AE" w:rsidRPr="001C169A" w:rsidRDefault="00B830AE" w:rsidP="00B830AE">
      <w:pPr>
        <w:pStyle w:val="BTEMEASMCA"/>
      </w:pPr>
    </w:p>
    <w:p w14:paraId="1A8658B6" w14:textId="77777777" w:rsidR="00B830AE" w:rsidRPr="001C169A" w:rsidRDefault="00B830AE" w:rsidP="00B830AE">
      <w:pPr>
        <w:pStyle w:val="BTEMEASMCA"/>
      </w:pPr>
    </w:p>
    <w:p w14:paraId="2F05FA96" w14:textId="77777777" w:rsidR="00B830AE" w:rsidRPr="001C169A" w:rsidRDefault="00B830AE" w:rsidP="00B830AE">
      <w:pPr>
        <w:pStyle w:val="BTEMEASMCA"/>
      </w:pPr>
    </w:p>
    <w:p w14:paraId="136B1660" w14:textId="77777777" w:rsidR="00B830AE" w:rsidRPr="001C169A" w:rsidRDefault="00B830AE" w:rsidP="00B830AE">
      <w:pPr>
        <w:pStyle w:val="BTEMEASMCA"/>
      </w:pPr>
    </w:p>
    <w:p w14:paraId="0E46181A" w14:textId="77777777" w:rsidR="00B830AE" w:rsidRPr="001C169A" w:rsidRDefault="00B830AE" w:rsidP="00B830AE">
      <w:pPr>
        <w:pStyle w:val="TTEMEASMCA"/>
        <w:rPr>
          <w:sz w:val="22"/>
          <w:szCs w:val="22"/>
          <w:lang w:val="lt-LT"/>
        </w:rPr>
      </w:pPr>
      <w:bookmarkStart w:id="64" w:name="_Toc129243134"/>
      <w:bookmarkStart w:id="65" w:name="_Toc129243259"/>
      <w:r w:rsidRPr="001C169A">
        <w:rPr>
          <w:sz w:val="22"/>
          <w:szCs w:val="22"/>
          <w:lang w:val="lt-LT"/>
        </w:rPr>
        <w:t>III PRIEDAS</w:t>
      </w:r>
      <w:bookmarkEnd w:id="64"/>
      <w:bookmarkEnd w:id="65"/>
    </w:p>
    <w:p w14:paraId="32174BE7" w14:textId="77777777" w:rsidR="00B830AE" w:rsidRPr="001C169A" w:rsidRDefault="00B830AE" w:rsidP="00B830AE">
      <w:pPr>
        <w:pStyle w:val="BTEMEASMCA"/>
      </w:pPr>
    </w:p>
    <w:p w14:paraId="42C7A812" w14:textId="77777777" w:rsidR="00B830AE" w:rsidRPr="001C169A" w:rsidRDefault="00B830AE" w:rsidP="00B830AE">
      <w:pPr>
        <w:pStyle w:val="TTEMEASMCA"/>
        <w:rPr>
          <w:sz w:val="22"/>
          <w:szCs w:val="22"/>
          <w:lang w:val="lt-LT"/>
        </w:rPr>
      </w:pPr>
      <w:bookmarkStart w:id="66" w:name="_Toc129243135"/>
      <w:bookmarkStart w:id="67" w:name="_Toc129243260"/>
      <w:r w:rsidRPr="001C169A">
        <w:rPr>
          <w:sz w:val="22"/>
          <w:szCs w:val="22"/>
          <w:lang w:val="lt-LT"/>
        </w:rPr>
        <w:t>ŽENKLINIMAS IR PAKUOTĖS LAPELIS</w:t>
      </w:r>
      <w:bookmarkEnd w:id="66"/>
      <w:bookmarkEnd w:id="67"/>
    </w:p>
    <w:p w14:paraId="00879B80" w14:textId="77777777" w:rsidR="00B830AE" w:rsidRPr="001C169A" w:rsidRDefault="00B830AE" w:rsidP="00B830AE">
      <w:pPr>
        <w:pStyle w:val="BTEMEASMCA"/>
      </w:pPr>
      <w:r w:rsidRPr="001C169A">
        <w:br w:type="page"/>
      </w:r>
    </w:p>
    <w:p w14:paraId="6D65329F" w14:textId="77777777" w:rsidR="00B830AE" w:rsidRPr="001C169A" w:rsidRDefault="00B830AE" w:rsidP="00B830AE">
      <w:pPr>
        <w:pStyle w:val="BTEMEASMCA"/>
      </w:pPr>
    </w:p>
    <w:p w14:paraId="5E53F5A6" w14:textId="77777777" w:rsidR="00B830AE" w:rsidRPr="001C169A" w:rsidRDefault="00B830AE" w:rsidP="00B830AE">
      <w:pPr>
        <w:pStyle w:val="BTEMEASMCA"/>
      </w:pPr>
    </w:p>
    <w:p w14:paraId="5603B84C" w14:textId="77777777" w:rsidR="00B830AE" w:rsidRPr="001C169A" w:rsidRDefault="00B830AE" w:rsidP="00B830AE">
      <w:pPr>
        <w:pStyle w:val="BTEMEASMCA"/>
      </w:pPr>
    </w:p>
    <w:p w14:paraId="67C21107" w14:textId="77777777" w:rsidR="00B830AE" w:rsidRPr="001C169A" w:rsidRDefault="00B830AE" w:rsidP="00B830AE">
      <w:pPr>
        <w:pStyle w:val="BTEMEASMCA"/>
      </w:pPr>
    </w:p>
    <w:p w14:paraId="1B141615" w14:textId="77777777" w:rsidR="00B830AE" w:rsidRPr="001C169A" w:rsidRDefault="00B830AE" w:rsidP="00B830AE">
      <w:pPr>
        <w:pStyle w:val="BTEMEASMCA"/>
      </w:pPr>
    </w:p>
    <w:p w14:paraId="6C9FE39E" w14:textId="77777777" w:rsidR="00B830AE" w:rsidRPr="001C169A" w:rsidRDefault="00B830AE" w:rsidP="00B830AE">
      <w:pPr>
        <w:pStyle w:val="BTEMEASMCA"/>
      </w:pPr>
    </w:p>
    <w:p w14:paraId="4CEC02E2" w14:textId="77777777" w:rsidR="00B830AE" w:rsidRPr="001C169A" w:rsidRDefault="00B830AE" w:rsidP="00B830AE">
      <w:pPr>
        <w:pStyle w:val="BTEMEASMCA"/>
      </w:pPr>
    </w:p>
    <w:p w14:paraId="153773E4" w14:textId="77777777" w:rsidR="00B830AE" w:rsidRPr="001C169A" w:rsidRDefault="00B830AE" w:rsidP="00B830AE">
      <w:pPr>
        <w:pStyle w:val="BTEMEASMCA"/>
      </w:pPr>
    </w:p>
    <w:p w14:paraId="0B65B8DD" w14:textId="77777777" w:rsidR="00B830AE" w:rsidRPr="001C169A" w:rsidRDefault="00B830AE" w:rsidP="00B830AE">
      <w:pPr>
        <w:pStyle w:val="BTEMEASMCA"/>
      </w:pPr>
    </w:p>
    <w:p w14:paraId="5871B141" w14:textId="77777777" w:rsidR="00B830AE" w:rsidRPr="001C169A" w:rsidRDefault="00B830AE" w:rsidP="00B830AE">
      <w:pPr>
        <w:pStyle w:val="BTEMEASMCA"/>
      </w:pPr>
    </w:p>
    <w:p w14:paraId="1CA9E295" w14:textId="77777777" w:rsidR="00B830AE" w:rsidRPr="001C169A" w:rsidRDefault="00B830AE" w:rsidP="00B830AE">
      <w:pPr>
        <w:pStyle w:val="BTEMEASMCA"/>
      </w:pPr>
    </w:p>
    <w:p w14:paraId="3C662B0C" w14:textId="77777777" w:rsidR="00B830AE" w:rsidRPr="001C169A" w:rsidRDefault="00B830AE" w:rsidP="00B830AE">
      <w:pPr>
        <w:pStyle w:val="BTEMEASMCA"/>
      </w:pPr>
    </w:p>
    <w:p w14:paraId="368E38B0" w14:textId="77777777" w:rsidR="00B830AE" w:rsidRPr="001C169A" w:rsidRDefault="00B830AE" w:rsidP="00B830AE">
      <w:pPr>
        <w:pStyle w:val="BTEMEASMCA"/>
      </w:pPr>
    </w:p>
    <w:p w14:paraId="09217CCD" w14:textId="77777777" w:rsidR="00B830AE" w:rsidRPr="001C169A" w:rsidRDefault="00B830AE" w:rsidP="00B830AE">
      <w:pPr>
        <w:pStyle w:val="BTEMEASMCA"/>
      </w:pPr>
    </w:p>
    <w:p w14:paraId="64BD752D" w14:textId="77777777" w:rsidR="00B830AE" w:rsidRPr="001C169A" w:rsidRDefault="00B830AE" w:rsidP="00B830AE">
      <w:pPr>
        <w:pStyle w:val="BTEMEASMCA"/>
      </w:pPr>
    </w:p>
    <w:p w14:paraId="53451BBC" w14:textId="77777777" w:rsidR="00B830AE" w:rsidRPr="001C169A" w:rsidRDefault="00B830AE" w:rsidP="00B830AE">
      <w:pPr>
        <w:pStyle w:val="BTEMEASMCA"/>
      </w:pPr>
    </w:p>
    <w:p w14:paraId="1D45D3B7" w14:textId="77777777" w:rsidR="00B830AE" w:rsidRPr="001C169A" w:rsidRDefault="00B830AE" w:rsidP="00B830AE">
      <w:pPr>
        <w:pStyle w:val="BTEMEASMCA"/>
      </w:pPr>
    </w:p>
    <w:p w14:paraId="1AD7D3D9" w14:textId="77777777" w:rsidR="00B830AE" w:rsidRPr="001C169A" w:rsidRDefault="00B830AE" w:rsidP="00B830AE">
      <w:pPr>
        <w:pStyle w:val="BTEMEASMCA"/>
      </w:pPr>
    </w:p>
    <w:p w14:paraId="64E6E06E" w14:textId="77777777" w:rsidR="00B830AE" w:rsidRPr="001C169A" w:rsidRDefault="00B830AE" w:rsidP="00B830AE">
      <w:pPr>
        <w:pStyle w:val="BTEMEASMCA"/>
      </w:pPr>
    </w:p>
    <w:p w14:paraId="083CC96F" w14:textId="77777777" w:rsidR="00B830AE" w:rsidRPr="001C169A" w:rsidRDefault="00B830AE" w:rsidP="00B830AE">
      <w:pPr>
        <w:pStyle w:val="BTEMEASMCA"/>
      </w:pPr>
    </w:p>
    <w:p w14:paraId="1F086943" w14:textId="77777777" w:rsidR="00B830AE" w:rsidRPr="001C169A" w:rsidRDefault="00B830AE" w:rsidP="00B830AE">
      <w:pPr>
        <w:pStyle w:val="BTEMEASMCA"/>
      </w:pPr>
    </w:p>
    <w:p w14:paraId="20BB0330" w14:textId="77777777" w:rsidR="00B830AE" w:rsidRPr="001C169A" w:rsidRDefault="00B830AE" w:rsidP="00B830AE">
      <w:pPr>
        <w:pStyle w:val="BTEMEASMCA"/>
      </w:pPr>
    </w:p>
    <w:p w14:paraId="417605BB" w14:textId="77777777" w:rsidR="00B830AE" w:rsidRPr="001C169A" w:rsidRDefault="00B830AE" w:rsidP="00B830AE">
      <w:pPr>
        <w:pStyle w:val="BTEMEASMCA"/>
      </w:pPr>
    </w:p>
    <w:p w14:paraId="67C6A0BC" w14:textId="77777777" w:rsidR="00B830AE" w:rsidRPr="001C169A" w:rsidRDefault="00B830AE" w:rsidP="00B830AE">
      <w:pPr>
        <w:pStyle w:val="TTEMEASMCA"/>
        <w:rPr>
          <w:sz w:val="22"/>
          <w:szCs w:val="22"/>
          <w:lang w:val="lt-LT"/>
        </w:rPr>
      </w:pPr>
      <w:bookmarkStart w:id="68" w:name="_Toc129243136"/>
      <w:bookmarkStart w:id="69" w:name="_Toc129243261"/>
      <w:r w:rsidRPr="001C169A">
        <w:rPr>
          <w:sz w:val="22"/>
          <w:szCs w:val="22"/>
          <w:lang w:val="lt-LT"/>
        </w:rPr>
        <w:t>A. ŽENKLINIMAS</w:t>
      </w:r>
      <w:bookmarkEnd w:id="68"/>
      <w:bookmarkEnd w:id="69"/>
    </w:p>
    <w:p w14:paraId="4A114947" w14:textId="77777777" w:rsidR="00B830AE" w:rsidRPr="001C169A" w:rsidRDefault="00B830AE" w:rsidP="00B830AE">
      <w:pPr>
        <w:pStyle w:val="BTEMEASMCA"/>
      </w:pPr>
      <w:r w:rsidRPr="001C169A">
        <w:br w:type="page"/>
      </w:r>
    </w:p>
    <w:p w14:paraId="143501BC" w14:textId="77777777" w:rsidR="00B830AE" w:rsidRPr="001C169A" w:rsidRDefault="00B830AE" w:rsidP="003D3757">
      <w:pPr>
        <w:pStyle w:val="PI-1labEMEASMCA"/>
      </w:pPr>
      <w:r w:rsidRPr="001C169A">
        <w:lastRenderedPageBreak/>
        <w:t>INFORMACIJA ANT IŠORINĖS PAKUOTĖS</w:t>
      </w:r>
    </w:p>
    <w:p w14:paraId="50905413" w14:textId="77777777" w:rsidR="00B830AE" w:rsidRPr="001C169A" w:rsidRDefault="00B830AE">
      <w:pPr>
        <w:pStyle w:val="PI-1labEMEASMCA"/>
      </w:pPr>
    </w:p>
    <w:p w14:paraId="4BF64161" w14:textId="77777777" w:rsidR="00B830AE" w:rsidRPr="001C169A" w:rsidRDefault="00B830AE">
      <w:pPr>
        <w:pStyle w:val="PI-1labEMEASMCA"/>
        <w:rPr>
          <w:bCs/>
        </w:rPr>
      </w:pPr>
      <w:r w:rsidRPr="001C169A">
        <w:t>KARTONO DĖŽUTĖ</w:t>
      </w:r>
    </w:p>
    <w:p w14:paraId="41371655" w14:textId="77777777" w:rsidR="00B830AE" w:rsidRPr="001C169A" w:rsidRDefault="00B830AE" w:rsidP="00B830AE">
      <w:pPr>
        <w:pStyle w:val="BTEMEASMCA"/>
      </w:pPr>
    </w:p>
    <w:p w14:paraId="79608A86" w14:textId="77777777" w:rsidR="00B830AE" w:rsidRPr="001C169A" w:rsidRDefault="00B830AE" w:rsidP="00B830AE">
      <w:pPr>
        <w:pStyle w:val="BTEMEASMCA"/>
      </w:pPr>
    </w:p>
    <w:p w14:paraId="07AF3A1C" w14:textId="77777777" w:rsidR="00B830AE" w:rsidRPr="001C169A" w:rsidRDefault="00B830AE" w:rsidP="003D3757">
      <w:pPr>
        <w:pStyle w:val="PI-1labEMEASMCA"/>
      </w:pPr>
      <w:r w:rsidRPr="001C169A">
        <w:t>1.</w:t>
      </w:r>
      <w:r w:rsidRPr="001C169A">
        <w:tab/>
        <w:t>VAISTINIO PREPARATO PAVADINIMAS</w:t>
      </w:r>
    </w:p>
    <w:p w14:paraId="6854E85C" w14:textId="77777777" w:rsidR="00B830AE" w:rsidRPr="001C169A" w:rsidRDefault="00B830AE" w:rsidP="00B830AE">
      <w:pPr>
        <w:pStyle w:val="BTEMEASMCA"/>
      </w:pPr>
    </w:p>
    <w:p w14:paraId="1C63075D" w14:textId="77777777" w:rsidR="00B830AE" w:rsidRPr="001C169A" w:rsidRDefault="00B830AE" w:rsidP="00B830AE">
      <w:pPr>
        <w:pStyle w:val="BTEMEASMCA"/>
      </w:pPr>
      <w:r w:rsidRPr="001C169A">
        <w:rPr>
          <w:color w:val="000000"/>
          <w:lang w:eastAsia="lv-LV"/>
        </w:rPr>
        <w:t xml:space="preserve">AXASTROL </w:t>
      </w:r>
      <w:r w:rsidRPr="001C169A">
        <w:t>1 mg plėvele dengtos tabletės</w:t>
      </w:r>
    </w:p>
    <w:p w14:paraId="1E1E2A84" w14:textId="77777777" w:rsidR="00B830AE" w:rsidRPr="00AD4B7F" w:rsidRDefault="00B830AE" w:rsidP="00B830AE">
      <w:pPr>
        <w:pStyle w:val="Pagrindinistekstas"/>
        <w:spacing w:after="0"/>
        <w:rPr>
          <w:i/>
          <w:szCs w:val="22"/>
        </w:rPr>
      </w:pPr>
      <w:proofErr w:type="spellStart"/>
      <w:r w:rsidRPr="00AD4B7F">
        <w:rPr>
          <w:i/>
          <w:szCs w:val="22"/>
        </w:rPr>
        <w:t>Anastrozolum</w:t>
      </w:r>
      <w:proofErr w:type="spellEnd"/>
    </w:p>
    <w:p w14:paraId="0651D87B" w14:textId="77777777" w:rsidR="00B830AE" w:rsidRPr="001C169A" w:rsidRDefault="00B830AE" w:rsidP="00B830AE">
      <w:pPr>
        <w:pStyle w:val="BTEMEASMCA"/>
      </w:pPr>
    </w:p>
    <w:p w14:paraId="0CEAA7F3" w14:textId="77777777" w:rsidR="00B830AE" w:rsidRPr="001C169A" w:rsidRDefault="00B830AE" w:rsidP="00B830AE">
      <w:pPr>
        <w:pStyle w:val="BTEMEASMCA"/>
      </w:pPr>
    </w:p>
    <w:p w14:paraId="2139D0C6" w14:textId="77777777" w:rsidR="00B830AE" w:rsidRPr="001C169A" w:rsidRDefault="00B830AE" w:rsidP="003D3757">
      <w:pPr>
        <w:pStyle w:val="PI-1labEMEASMCA"/>
      </w:pPr>
      <w:r w:rsidRPr="001C169A">
        <w:t>2.</w:t>
      </w:r>
      <w:r w:rsidRPr="001C169A">
        <w:tab/>
        <w:t>VEIKLIOJI (-IOS) MEDŽIAGA (-OS) IR JOS (-Ų) KIEKIS (-IAI)</w:t>
      </w:r>
    </w:p>
    <w:p w14:paraId="420AF7F3" w14:textId="77777777" w:rsidR="00B830AE" w:rsidRPr="001C169A" w:rsidRDefault="00B830AE" w:rsidP="00B830AE">
      <w:pPr>
        <w:pStyle w:val="BTEMEASMCA"/>
      </w:pPr>
    </w:p>
    <w:p w14:paraId="39D6EBB6" w14:textId="77777777" w:rsidR="00B830AE" w:rsidRPr="001C169A" w:rsidRDefault="00B830AE" w:rsidP="00B830AE">
      <w:pPr>
        <w:pStyle w:val="Pagrindinistekstas"/>
        <w:spacing w:after="0"/>
        <w:rPr>
          <w:szCs w:val="22"/>
        </w:rPr>
      </w:pPr>
      <w:r w:rsidRPr="001C169A">
        <w:rPr>
          <w:szCs w:val="22"/>
        </w:rPr>
        <w:t xml:space="preserve">Kiekvienoje plėvele dengtoje tabletėje yra 1 mg </w:t>
      </w:r>
      <w:proofErr w:type="spellStart"/>
      <w:r w:rsidRPr="001C169A">
        <w:rPr>
          <w:szCs w:val="22"/>
        </w:rPr>
        <w:t>anastrozolo</w:t>
      </w:r>
      <w:proofErr w:type="spellEnd"/>
      <w:r w:rsidRPr="001C169A">
        <w:rPr>
          <w:szCs w:val="22"/>
        </w:rPr>
        <w:t>.</w:t>
      </w:r>
    </w:p>
    <w:p w14:paraId="051D7512" w14:textId="77777777" w:rsidR="00B830AE" w:rsidRPr="001C169A" w:rsidRDefault="00B830AE" w:rsidP="00B830AE">
      <w:pPr>
        <w:pStyle w:val="BTEMEASMCA"/>
      </w:pPr>
    </w:p>
    <w:p w14:paraId="5620DFBF" w14:textId="77777777" w:rsidR="00B830AE" w:rsidRPr="001C169A" w:rsidRDefault="00B830AE" w:rsidP="00B830AE">
      <w:pPr>
        <w:pStyle w:val="BTEMEASMCA"/>
      </w:pPr>
    </w:p>
    <w:p w14:paraId="463482AB" w14:textId="77777777" w:rsidR="00B830AE" w:rsidRPr="001C169A" w:rsidRDefault="00B830AE" w:rsidP="003D3757">
      <w:pPr>
        <w:pStyle w:val="PI-1labEMEASMCA"/>
        <w:rPr>
          <w:highlight w:val="lightGray"/>
        </w:rPr>
      </w:pPr>
      <w:r w:rsidRPr="001C169A">
        <w:t>3.</w:t>
      </w:r>
      <w:r w:rsidRPr="001C169A">
        <w:tab/>
        <w:t>PAGALBINIŲ MEDŽIAGŲ SĄRAŠAS</w:t>
      </w:r>
    </w:p>
    <w:p w14:paraId="6785C39E" w14:textId="77777777" w:rsidR="00B830AE" w:rsidRPr="001C169A" w:rsidRDefault="00B830AE" w:rsidP="00B830AE">
      <w:pPr>
        <w:pStyle w:val="BTEMEASMCA"/>
      </w:pPr>
    </w:p>
    <w:p w14:paraId="11AE7B03" w14:textId="77777777" w:rsidR="00B830AE" w:rsidRPr="001C169A" w:rsidRDefault="00B830AE" w:rsidP="00B830AE">
      <w:pPr>
        <w:pStyle w:val="Pagrindinistekstas"/>
        <w:spacing w:after="0"/>
        <w:rPr>
          <w:szCs w:val="22"/>
        </w:rPr>
      </w:pPr>
      <w:r w:rsidRPr="001C169A">
        <w:rPr>
          <w:szCs w:val="22"/>
        </w:rPr>
        <w:t xml:space="preserve">Sudėtyje yra laktozės </w:t>
      </w:r>
      <w:proofErr w:type="spellStart"/>
      <w:r w:rsidRPr="001C169A">
        <w:rPr>
          <w:szCs w:val="22"/>
        </w:rPr>
        <w:t>monohidrato</w:t>
      </w:r>
      <w:proofErr w:type="spellEnd"/>
      <w:r w:rsidRPr="001C169A">
        <w:rPr>
          <w:szCs w:val="22"/>
        </w:rPr>
        <w:t>. Daugiau informacijos skaitykite pakuotės lapelyje.</w:t>
      </w:r>
    </w:p>
    <w:p w14:paraId="6DB1EA2B" w14:textId="77777777" w:rsidR="00B830AE" w:rsidRPr="001C169A" w:rsidRDefault="00B830AE" w:rsidP="00B830AE">
      <w:pPr>
        <w:pStyle w:val="Pagrindinistekstas"/>
        <w:spacing w:after="0"/>
        <w:rPr>
          <w:szCs w:val="22"/>
        </w:rPr>
      </w:pPr>
    </w:p>
    <w:p w14:paraId="5D7169C8" w14:textId="77777777" w:rsidR="00B830AE" w:rsidRPr="001C169A" w:rsidRDefault="00B830AE" w:rsidP="00B830AE">
      <w:pPr>
        <w:pStyle w:val="BTEMEASMCA"/>
      </w:pPr>
    </w:p>
    <w:p w14:paraId="62F408BA" w14:textId="77777777" w:rsidR="00B830AE" w:rsidRPr="001C169A" w:rsidRDefault="00B830AE" w:rsidP="003D3757">
      <w:pPr>
        <w:pStyle w:val="PI-1labEMEASMCA"/>
      </w:pPr>
      <w:r w:rsidRPr="001C169A">
        <w:t>4.</w:t>
      </w:r>
      <w:r w:rsidRPr="001C169A">
        <w:tab/>
        <w:t>FARMACINĖ FORMA IR KIEKIS PAKUOTĖJE</w:t>
      </w:r>
    </w:p>
    <w:p w14:paraId="46FFB710" w14:textId="77777777" w:rsidR="00B830AE" w:rsidRPr="001C169A" w:rsidRDefault="00B830AE" w:rsidP="00B830AE">
      <w:pPr>
        <w:pStyle w:val="BTEMEASMCA"/>
      </w:pPr>
    </w:p>
    <w:p w14:paraId="5B1EC571" w14:textId="77777777" w:rsidR="00B830AE" w:rsidRPr="001C169A" w:rsidRDefault="00B830AE" w:rsidP="00B830AE">
      <w:pPr>
        <w:pStyle w:val="Pagrindinistekstas"/>
        <w:spacing w:after="0"/>
        <w:rPr>
          <w:szCs w:val="22"/>
        </w:rPr>
      </w:pPr>
      <w:r w:rsidRPr="00C60E76">
        <w:rPr>
          <w:highlight w:val="lightGray"/>
        </w:rPr>
        <w:t>Plėvele dengtos tabletės</w:t>
      </w:r>
    </w:p>
    <w:p w14:paraId="468957B8" w14:textId="77777777" w:rsidR="00B830AE" w:rsidRPr="001C169A" w:rsidRDefault="00B830AE" w:rsidP="00B830AE">
      <w:pPr>
        <w:pStyle w:val="Pagrindinistekstas"/>
        <w:spacing w:after="0"/>
        <w:rPr>
          <w:szCs w:val="22"/>
        </w:rPr>
      </w:pPr>
      <w:r w:rsidRPr="00AD4B7F">
        <w:rPr>
          <w:szCs w:val="22"/>
          <w:highlight w:val="lightGray"/>
        </w:rPr>
        <w:t>20 tablečių</w:t>
      </w:r>
    </w:p>
    <w:p w14:paraId="1DF6F541" w14:textId="77777777" w:rsidR="00B830AE" w:rsidRPr="001C169A" w:rsidRDefault="00B830AE" w:rsidP="00B830AE">
      <w:pPr>
        <w:pStyle w:val="Pagrindinistekstas"/>
        <w:spacing w:after="0"/>
        <w:rPr>
          <w:szCs w:val="22"/>
        </w:rPr>
      </w:pPr>
      <w:r w:rsidRPr="001C169A">
        <w:rPr>
          <w:szCs w:val="22"/>
        </w:rPr>
        <w:t xml:space="preserve">28 tabletės </w:t>
      </w:r>
    </w:p>
    <w:p w14:paraId="262B7610" w14:textId="77777777" w:rsidR="00B830AE" w:rsidRPr="001C169A" w:rsidRDefault="00B830AE" w:rsidP="00B830AE">
      <w:pPr>
        <w:pStyle w:val="BTEMEASMCA"/>
        <w:rPr>
          <w:highlight w:val="lightGray"/>
        </w:rPr>
      </w:pPr>
      <w:r w:rsidRPr="001C169A">
        <w:rPr>
          <w:highlight w:val="lightGray"/>
        </w:rPr>
        <w:t xml:space="preserve">30 tablečių </w:t>
      </w:r>
    </w:p>
    <w:p w14:paraId="6C5D072C" w14:textId="77777777" w:rsidR="00B830AE" w:rsidRPr="001C169A" w:rsidRDefault="00B830AE" w:rsidP="00B830AE">
      <w:pPr>
        <w:pStyle w:val="BTEMEASMCA"/>
        <w:rPr>
          <w:highlight w:val="lightGray"/>
        </w:rPr>
      </w:pPr>
      <w:r w:rsidRPr="001C169A">
        <w:rPr>
          <w:highlight w:val="lightGray"/>
        </w:rPr>
        <w:t xml:space="preserve">50 tablečių </w:t>
      </w:r>
    </w:p>
    <w:p w14:paraId="47E90823" w14:textId="77777777" w:rsidR="00B830AE" w:rsidRPr="001C169A" w:rsidRDefault="00B830AE" w:rsidP="00B830AE">
      <w:pPr>
        <w:pStyle w:val="BTEMEASMCA"/>
        <w:rPr>
          <w:highlight w:val="lightGray"/>
        </w:rPr>
      </w:pPr>
      <w:r w:rsidRPr="001C169A">
        <w:rPr>
          <w:highlight w:val="lightGray"/>
        </w:rPr>
        <w:t xml:space="preserve">84 tabletės </w:t>
      </w:r>
    </w:p>
    <w:p w14:paraId="51EA08F2" w14:textId="77777777" w:rsidR="00B830AE" w:rsidRPr="001C169A" w:rsidRDefault="00B830AE" w:rsidP="00B830AE">
      <w:pPr>
        <w:pStyle w:val="BTEMEASMCA"/>
        <w:rPr>
          <w:highlight w:val="lightGray"/>
        </w:rPr>
      </w:pPr>
      <w:r w:rsidRPr="001C169A">
        <w:rPr>
          <w:highlight w:val="lightGray"/>
        </w:rPr>
        <w:t xml:space="preserve">98 tabletės </w:t>
      </w:r>
    </w:p>
    <w:p w14:paraId="1A660AC7" w14:textId="77777777" w:rsidR="00B830AE" w:rsidRPr="001C169A" w:rsidRDefault="00B830AE" w:rsidP="00B830AE">
      <w:pPr>
        <w:pStyle w:val="BTEMEASMCA"/>
        <w:rPr>
          <w:highlight w:val="lightGray"/>
        </w:rPr>
      </w:pPr>
      <w:r w:rsidRPr="001C169A">
        <w:rPr>
          <w:highlight w:val="lightGray"/>
        </w:rPr>
        <w:t>100 tablečių</w:t>
      </w:r>
    </w:p>
    <w:p w14:paraId="57B8261F" w14:textId="77777777" w:rsidR="00B830AE" w:rsidRPr="001C169A" w:rsidRDefault="00B830AE" w:rsidP="00B830AE">
      <w:pPr>
        <w:pStyle w:val="BTEMEASMCA"/>
      </w:pPr>
      <w:r w:rsidRPr="001C169A">
        <w:rPr>
          <w:highlight w:val="lightGray"/>
        </w:rPr>
        <w:t>300 tablečių</w:t>
      </w:r>
    </w:p>
    <w:p w14:paraId="4E9B4515" w14:textId="77777777" w:rsidR="00B830AE" w:rsidRPr="001C169A" w:rsidRDefault="00B830AE" w:rsidP="00B830AE">
      <w:pPr>
        <w:pStyle w:val="BTEMEASMCA"/>
      </w:pPr>
    </w:p>
    <w:p w14:paraId="35B61DF5" w14:textId="77777777" w:rsidR="00B830AE" w:rsidRPr="001C169A" w:rsidRDefault="00B830AE" w:rsidP="00B830AE">
      <w:pPr>
        <w:pStyle w:val="BTEMEASMCA"/>
      </w:pPr>
    </w:p>
    <w:p w14:paraId="26A805FD" w14:textId="77777777" w:rsidR="00B830AE" w:rsidRPr="001C169A" w:rsidRDefault="00B830AE" w:rsidP="003D3757">
      <w:pPr>
        <w:pStyle w:val="PI-1labEMEASMCA"/>
        <w:rPr>
          <w:highlight w:val="lightGray"/>
        </w:rPr>
      </w:pPr>
      <w:r w:rsidRPr="001C169A">
        <w:t>5.</w:t>
      </w:r>
      <w:r w:rsidRPr="001C169A">
        <w:tab/>
        <w:t>VARTOJIMO METODAS IR BŪDAS (-AI)</w:t>
      </w:r>
    </w:p>
    <w:p w14:paraId="16FA876A" w14:textId="77777777" w:rsidR="00B830AE" w:rsidRPr="001C169A" w:rsidRDefault="00B830AE" w:rsidP="00B830AE">
      <w:pPr>
        <w:pStyle w:val="BTEMEASMCA"/>
      </w:pPr>
    </w:p>
    <w:p w14:paraId="2429B272" w14:textId="77777777" w:rsidR="00B830AE" w:rsidRPr="001C169A" w:rsidRDefault="00B830AE" w:rsidP="00B830AE">
      <w:pPr>
        <w:pStyle w:val="BTEMEASMCA"/>
      </w:pPr>
      <w:r w:rsidRPr="001C169A">
        <w:t>Vartoti per burną.</w:t>
      </w:r>
    </w:p>
    <w:p w14:paraId="6EAF7715" w14:textId="77777777" w:rsidR="00B830AE" w:rsidRPr="001C169A" w:rsidRDefault="00B830AE" w:rsidP="00B830AE">
      <w:pPr>
        <w:pStyle w:val="BTEMEASMCA"/>
      </w:pPr>
      <w:r w:rsidRPr="001C169A">
        <w:t>Prieš vartojimą perskaitykite pakuotės lapelį.</w:t>
      </w:r>
    </w:p>
    <w:p w14:paraId="5C785F42" w14:textId="77777777" w:rsidR="00B830AE" w:rsidRPr="001C169A" w:rsidRDefault="00B830AE" w:rsidP="00B830AE">
      <w:pPr>
        <w:pStyle w:val="BTEMEASMCA"/>
      </w:pPr>
    </w:p>
    <w:p w14:paraId="10EB3FEB" w14:textId="77777777" w:rsidR="00B830AE" w:rsidRPr="001C169A" w:rsidRDefault="00B830AE" w:rsidP="00B830AE">
      <w:pPr>
        <w:pStyle w:val="BTEMEASMCA"/>
      </w:pPr>
    </w:p>
    <w:p w14:paraId="2BFFE527" w14:textId="77777777" w:rsidR="00B830AE" w:rsidRPr="001C169A" w:rsidRDefault="00B830AE" w:rsidP="003D3757">
      <w:pPr>
        <w:pStyle w:val="PI-1labEMEASMCA"/>
      </w:pPr>
      <w:r w:rsidRPr="001C169A">
        <w:t>6.</w:t>
      </w:r>
      <w:r w:rsidRPr="001C169A">
        <w:tab/>
        <w:t>SPECIALUS ĮSPĖJIMAS, KAD VAISTINĮ PREPARATĄ BŪTINA LAIKYTI VAIKAMS NEPASTEBIMOJE IR NEPASIEKIAMOJE VIETOJE</w:t>
      </w:r>
    </w:p>
    <w:p w14:paraId="1306C749" w14:textId="77777777" w:rsidR="00B830AE" w:rsidRPr="001C169A" w:rsidRDefault="00B830AE" w:rsidP="00B830AE">
      <w:pPr>
        <w:pStyle w:val="BTEMEASMCA"/>
      </w:pPr>
    </w:p>
    <w:p w14:paraId="06180541" w14:textId="77777777" w:rsidR="00B830AE" w:rsidRPr="001C169A" w:rsidRDefault="00B830AE" w:rsidP="00B830AE">
      <w:pPr>
        <w:pStyle w:val="BTEMEASMCA"/>
      </w:pPr>
      <w:r w:rsidRPr="001C169A">
        <w:t>Laikyti vaikams nepastebimoje ir nepasiekiamoje vietoje.</w:t>
      </w:r>
    </w:p>
    <w:p w14:paraId="628E37E6" w14:textId="77777777" w:rsidR="00B830AE" w:rsidRPr="001C169A" w:rsidRDefault="00B830AE" w:rsidP="00B830AE">
      <w:pPr>
        <w:pStyle w:val="BTEMEASMCA"/>
      </w:pPr>
    </w:p>
    <w:p w14:paraId="05034F9F" w14:textId="77777777" w:rsidR="00B830AE" w:rsidRPr="001C169A" w:rsidRDefault="00B830AE" w:rsidP="00B830AE">
      <w:pPr>
        <w:pStyle w:val="BTEMEASMCA"/>
      </w:pPr>
    </w:p>
    <w:p w14:paraId="6B122ACD" w14:textId="77777777" w:rsidR="00B830AE" w:rsidRPr="001C169A" w:rsidRDefault="00B830AE" w:rsidP="003D3757">
      <w:pPr>
        <w:pStyle w:val="PI-1labEMEASMCA"/>
        <w:rPr>
          <w:highlight w:val="lightGray"/>
        </w:rPr>
      </w:pPr>
      <w:r w:rsidRPr="001C169A">
        <w:t>7.</w:t>
      </w:r>
      <w:r w:rsidRPr="001C169A">
        <w:tab/>
        <w:t>KITAS (-I) SPECIALUS (-ŪS) ĮSPĖJIMAS (-AI) (JEI REIKIA)</w:t>
      </w:r>
    </w:p>
    <w:p w14:paraId="3300E279" w14:textId="77777777" w:rsidR="00B830AE" w:rsidRPr="001C169A" w:rsidRDefault="00B830AE" w:rsidP="00B830AE">
      <w:pPr>
        <w:pStyle w:val="BTEMEASMCA"/>
      </w:pPr>
    </w:p>
    <w:p w14:paraId="43FD1A4B" w14:textId="77777777" w:rsidR="00B830AE" w:rsidRPr="001C169A" w:rsidRDefault="00B830AE" w:rsidP="00B830AE">
      <w:pPr>
        <w:pStyle w:val="BTEMEASMCA"/>
      </w:pPr>
    </w:p>
    <w:p w14:paraId="5FE67D05" w14:textId="77777777" w:rsidR="00B830AE" w:rsidRPr="001C169A" w:rsidRDefault="00B830AE" w:rsidP="003D3757">
      <w:pPr>
        <w:pStyle w:val="PI-1labEMEASMCA"/>
        <w:rPr>
          <w:highlight w:val="lightGray"/>
        </w:rPr>
      </w:pPr>
      <w:r w:rsidRPr="001C169A">
        <w:t>8.</w:t>
      </w:r>
      <w:r w:rsidRPr="001C169A">
        <w:tab/>
        <w:t>TINKAMUMO LAIKAS</w:t>
      </w:r>
    </w:p>
    <w:p w14:paraId="2857177D" w14:textId="77777777" w:rsidR="00B830AE" w:rsidRPr="001C169A" w:rsidRDefault="00B830AE" w:rsidP="00B830AE">
      <w:pPr>
        <w:pStyle w:val="BTEMEASMCA"/>
      </w:pPr>
    </w:p>
    <w:p w14:paraId="302CD4C0" w14:textId="1E8EE95D" w:rsidR="00B830AE" w:rsidRPr="001C169A" w:rsidRDefault="00EB61EF" w:rsidP="00B830AE">
      <w:pPr>
        <w:pStyle w:val="BTEMEASMCA"/>
      </w:pPr>
      <w:r w:rsidRPr="001C169A">
        <w:t>EXP</w:t>
      </w:r>
      <w:r w:rsidR="00B830AE" w:rsidRPr="001C169A">
        <w:t xml:space="preserve"> {MM YYYY}</w:t>
      </w:r>
    </w:p>
    <w:p w14:paraId="42EAA862" w14:textId="77777777" w:rsidR="00B830AE" w:rsidRPr="001C169A" w:rsidRDefault="00B830AE" w:rsidP="00B830AE">
      <w:pPr>
        <w:pStyle w:val="BTEMEASMCA"/>
      </w:pPr>
    </w:p>
    <w:p w14:paraId="3F4AA140" w14:textId="77777777" w:rsidR="00B830AE" w:rsidRPr="001C169A" w:rsidRDefault="00B830AE" w:rsidP="00B830AE">
      <w:pPr>
        <w:pStyle w:val="BTEMEASMCA"/>
      </w:pPr>
    </w:p>
    <w:p w14:paraId="2D18F270" w14:textId="77777777" w:rsidR="00B830AE" w:rsidRPr="001C169A" w:rsidRDefault="00B830AE" w:rsidP="003D3757">
      <w:pPr>
        <w:pStyle w:val="PI-1labEMEASMCA"/>
      </w:pPr>
      <w:r w:rsidRPr="001C169A">
        <w:t>9.</w:t>
      </w:r>
      <w:r w:rsidRPr="001C169A">
        <w:tab/>
        <w:t>SPECIALIOS LAIKYMO SĄLYGOS</w:t>
      </w:r>
    </w:p>
    <w:p w14:paraId="384B7597" w14:textId="77777777" w:rsidR="00B830AE" w:rsidRPr="001C169A" w:rsidRDefault="00B830AE" w:rsidP="00B830AE">
      <w:pPr>
        <w:pStyle w:val="BTEMEASMCA"/>
      </w:pPr>
    </w:p>
    <w:p w14:paraId="41EB05CF" w14:textId="77777777" w:rsidR="00B830AE" w:rsidRPr="001C169A" w:rsidRDefault="00B830AE" w:rsidP="003D3757">
      <w:pPr>
        <w:pStyle w:val="PI-1labEMEASMCA"/>
      </w:pPr>
      <w:r w:rsidRPr="001C169A">
        <w:t>10.</w:t>
      </w:r>
      <w:r w:rsidRPr="001C169A">
        <w:tab/>
        <w:t xml:space="preserve">SPECIALIOS ATSARGUMO PRIEMONĖS DĖL NESUVARTOTO </w:t>
      </w:r>
      <w:r w:rsidRPr="001C169A">
        <w:rPr>
          <w:bCs/>
        </w:rPr>
        <w:t xml:space="preserve">VAISTINIO PREPARATO AR JO ATLIEKŲ </w:t>
      </w:r>
      <w:r w:rsidRPr="001C169A">
        <w:t>TVARKYMO (JEI REIKIA)</w:t>
      </w:r>
    </w:p>
    <w:p w14:paraId="704ABBE0" w14:textId="77777777" w:rsidR="00B830AE" w:rsidRPr="001C169A" w:rsidRDefault="00B830AE" w:rsidP="00B830AE">
      <w:pPr>
        <w:pStyle w:val="BTEMEASMCA"/>
      </w:pPr>
    </w:p>
    <w:p w14:paraId="7E166CDE" w14:textId="77777777" w:rsidR="00B830AE" w:rsidRPr="001C169A" w:rsidRDefault="00B830AE" w:rsidP="00B830AE">
      <w:pPr>
        <w:pStyle w:val="BTEMEASMCA"/>
      </w:pPr>
    </w:p>
    <w:p w14:paraId="3D5B8173" w14:textId="6B9B681A" w:rsidR="00B830AE" w:rsidRPr="001C169A" w:rsidRDefault="00B830AE" w:rsidP="003D3757">
      <w:pPr>
        <w:pStyle w:val="PI-1labEMEASMCA"/>
      </w:pPr>
      <w:r w:rsidRPr="001C169A">
        <w:t>11.</w:t>
      </w:r>
      <w:r w:rsidRPr="001C169A">
        <w:tab/>
      </w:r>
      <w:r w:rsidR="00917932" w:rsidRPr="001C169A">
        <w:t>REGISTRUOTOJO</w:t>
      </w:r>
      <w:r w:rsidRPr="001C169A">
        <w:t xml:space="preserve"> PAVADINIMAS IR ADRESAS</w:t>
      </w:r>
    </w:p>
    <w:p w14:paraId="7A81FBE7" w14:textId="77777777" w:rsidR="00B830AE" w:rsidRPr="001C169A" w:rsidRDefault="00B830AE" w:rsidP="00B830AE">
      <w:pPr>
        <w:pStyle w:val="BTEMEASMCA"/>
      </w:pPr>
    </w:p>
    <w:p w14:paraId="67A9D908" w14:textId="43F5AD0C" w:rsidR="00B830AE" w:rsidRPr="001C169A" w:rsidRDefault="00B830AE" w:rsidP="00B830AE">
      <w:pPr>
        <w:rPr>
          <w:sz w:val="22"/>
          <w:szCs w:val="22"/>
        </w:rPr>
      </w:pPr>
      <w:r w:rsidRPr="001C169A">
        <w:rPr>
          <w:sz w:val="22"/>
          <w:szCs w:val="22"/>
        </w:rPr>
        <w:t>&lt;</w:t>
      </w:r>
      <w:proofErr w:type="spellStart"/>
      <w:r w:rsidRPr="001C169A">
        <w:rPr>
          <w:sz w:val="22"/>
          <w:szCs w:val="22"/>
        </w:rPr>
        <w:t>Logo</w:t>
      </w:r>
      <w:proofErr w:type="spellEnd"/>
      <w:r w:rsidRPr="001C169A">
        <w:rPr>
          <w:sz w:val="22"/>
          <w:szCs w:val="22"/>
        </w:rPr>
        <w:t xml:space="preserve">&gt; </w:t>
      </w:r>
      <w:r w:rsidRPr="00AD4B7F">
        <w:rPr>
          <w:caps/>
          <w:noProof/>
          <w:color w:val="000000"/>
          <w:sz w:val="22"/>
          <w:szCs w:val="22"/>
          <w:lang w:eastAsia="lt-LT"/>
        </w:rPr>
        <w:drawing>
          <wp:inline distT="0" distB="0" distL="0" distR="0" wp14:anchorId="51646D35" wp14:editId="14BE685E">
            <wp:extent cx="504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lum bright="18000" contrast="-6000"/>
                      <a:extLst>
                        <a:ext uri="{28A0092B-C50C-407E-A947-70E740481C1C}">
                          <a14:useLocalDpi xmlns:a14="http://schemas.microsoft.com/office/drawing/2010/main" val="0"/>
                        </a:ext>
                      </a:extLst>
                    </a:blip>
                    <a:srcRect/>
                    <a:stretch>
                      <a:fillRect/>
                    </a:stretch>
                  </pic:blipFill>
                  <pic:spPr bwMode="auto">
                    <a:xfrm>
                      <a:off x="0" y="0"/>
                      <a:ext cx="504825" cy="114300"/>
                    </a:xfrm>
                    <a:prstGeom prst="rect">
                      <a:avLst/>
                    </a:prstGeom>
                    <a:noFill/>
                    <a:ln>
                      <a:noFill/>
                    </a:ln>
                  </pic:spPr>
                </pic:pic>
              </a:graphicData>
            </a:graphic>
          </wp:inline>
        </w:drawing>
      </w:r>
    </w:p>
    <w:p w14:paraId="39790192" w14:textId="77777777" w:rsidR="00B830AE" w:rsidRPr="001C169A" w:rsidRDefault="00B830AE" w:rsidP="00B830AE">
      <w:pPr>
        <w:jc w:val="both"/>
        <w:rPr>
          <w:sz w:val="22"/>
          <w:szCs w:val="22"/>
        </w:rPr>
      </w:pPr>
      <w:r w:rsidRPr="001C169A">
        <w:rPr>
          <w:sz w:val="22"/>
          <w:szCs w:val="22"/>
        </w:rPr>
        <w:t>AS GRINDEKS</w:t>
      </w:r>
    </w:p>
    <w:p w14:paraId="723E1960" w14:textId="77777777" w:rsidR="00B830AE" w:rsidRPr="001C169A" w:rsidRDefault="00B830AE" w:rsidP="00B830AE">
      <w:pPr>
        <w:jc w:val="both"/>
        <w:rPr>
          <w:sz w:val="22"/>
          <w:szCs w:val="22"/>
        </w:rPr>
      </w:pPr>
      <w:proofErr w:type="spellStart"/>
      <w:r w:rsidRPr="001C169A">
        <w:rPr>
          <w:sz w:val="22"/>
          <w:szCs w:val="22"/>
        </w:rPr>
        <w:t>Krustpils</w:t>
      </w:r>
      <w:proofErr w:type="spellEnd"/>
      <w:r w:rsidRPr="001C169A">
        <w:rPr>
          <w:sz w:val="22"/>
          <w:szCs w:val="22"/>
        </w:rPr>
        <w:t xml:space="preserve"> </w:t>
      </w:r>
      <w:proofErr w:type="spellStart"/>
      <w:r w:rsidRPr="001C169A">
        <w:rPr>
          <w:sz w:val="22"/>
          <w:szCs w:val="22"/>
        </w:rPr>
        <w:t>iela</w:t>
      </w:r>
      <w:proofErr w:type="spellEnd"/>
      <w:r w:rsidRPr="001C169A">
        <w:rPr>
          <w:sz w:val="22"/>
          <w:szCs w:val="22"/>
        </w:rPr>
        <w:t xml:space="preserve"> 53, </w:t>
      </w:r>
      <w:proofErr w:type="spellStart"/>
      <w:r w:rsidRPr="001C169A">
        <w:rPr>
          <w:sz w:val="22"/>
          <w:szCs w:val="22"/>
        </w:rPr>
        <w:t>Rīga</w:t>
      </w:r>
      <w:proofErr w:type="spellEnd"/>
      <w:r w:rsidRPr="001C169A">
        <w:rPr>
          <w:sz w:val="22"/>
          <w:szCs w:val="22"/>
        </w:rPr>
        <w:t>, LV-1057</w:t>
      </w:r>
    </w:p>
    <w:p w14:paraId="536061D3" w14:textId="77777777" w:rsidR="00B830AE" w:rsidRPr="001C169A" w:rsidRDefault="00B830AE" w:rsidP="00B830AE">
      <w:pPr>
        <w:jc w:val="both"/>
        <w:rPr>
          <w:sz w:val="22"/>
          <w:szCs w:val="22"/>
        </w:rPr>
      </w:pPr>
      <w:r w:rsidRPr="001C169A">
        <w:rPr>
          <w:sz w:val="22"/>
          <w:szCs w:val="22"/>
        </w:rPr>
        <w:t>Latvija</w:t>
      </w:r>
    </w:p>
    <w:p w14:paraId="3395AF80" w14:textId="77777777" w:rsidR="00B830AE" w:rsidRPr="001C169A" w:rsidRDefault="00B830AE" w:rsidP="00B830AE">
      <w:pPr>
        <w:pStyle w:val="BTEMEASMCA"/>
      </w:pPr>
    </w:p>
    <w:p w14:paraId="107A7ECB" w14:textId="77777777" w:rsidR="00B830AE" w:rsidRPr="001C169A" w:rsidRDefault="00B830AE" w:rsidP="00B830AE">
      <w:pPr>
        <w:pStyle w:val="BTEMEASMCA"/>
      </w:pPr>
    </w:p>
    <w:p w14:paraId="465EFB8D" w14:textId="42FC8C16" w:rsidR="00B830AE" w:rsidRPr="001C169A" w:rsidRDefault="00B830AE" w:rsidP="003D3757">
      <w:pPr>
        <w:pStyle w:val="PI-1labEMEASMCA"/>
      </w:pPr>
      <w:r w:rsidRPr="001C169A">
        <w:t>12.</w:t>
      </w:r>
      <w:r w:rsidRPr="001C169A">
        <w:tab/>
      </w:r>
      <w:r w:rsidR="00917932" w:rsidRPr="001C169A">
        <w:t xml:space="preserve">REGISTRACIJOS </w:t>
      </w:r>
      <w:r w:rsidRPr="001C169A">
        <w:t>PAŽYMĖJIMO NUMERIS (-IAI)</w:t>
      </w:r>
    </w:p>
    <w:p w14:paraId="44E526D7" w14:textId="77777777" w:rsidR="00B830AE" w:rsidRPr="001C169A" w:rsidRDefault="00B830AE" w:rsidP="00B830AE">
      <w:pPr>
        <w:pStyle w:val="BTEMEASMCA"/>
      </w:pPr>
    </w:p>
    <w:p w14:paraId="260FDF0C" w14:textId="77777777" w:rsidR="00B830AE" w:rsidRPr="00AD4B7F" w:rsidRDefault="00B830AE" w:rsidP="00B830AE">
      <w:pPr>
        <w:rPr>
          <w:bCs/>
          <w:sz w:val="22"/>
          <w:szCs w:val="22"/>
        </w:rPr>
      </w:pPr>
      <w:r w:rsidRPr="00AD4B7F">
        <w:rPr>
          <w:sz w:val="22"/>
          <w:szCs w:val="22"/>
          <w:highlight w:val="lightGray"/>
        </w:rPr>
        <w:t>N20 - LT/1/08/1249/001</w:t>
      </w:r>
      <w:r w:rsidRPr="00AD4B7F">
        <w:rPr>
          <w:bCs/>
          <w:sz w:val="22"/>
          <w:szCs w:val="22"/>
        </w:rPr>
        <w:t xml:space="preserve"> </w:t>
      </w:r>
    </w:p>
    <w:p w14:paraId="49EC9A23" w14:textId="77777777" w:rsidR="00B830AE" w:rsidRPr="00AD4B7F" w:rsidRDefault="00B830AE" w:rsidP="00B830AE">
      <w:pPr>
        <w:rPr>
          <w:bCs/>
          <w:sz w:val="22"/>
          <w:szCs w:val="22"/>
        </w:rPr>
      </w:pPr>
      <w:r w:rsidRPr="00AD4B7F">
        <w:rPr>
          <w:bCs/>
          <w:sz w:val="22"/>
          <w:szCs w:val="22"/>
        </w:rPr>
        <w:t xml:space="preserve">N28 - LT/1/08/1249/002 </w:t>
      </w:r>
    </w:p>
    <w:p w14:paraId="14E21532" w14:textId="77777777" w:rsidR="00B830AE" w:rsidRPr="00AD4B7F" w:rsidRDefault="00B830AE" w:rsidP="00B830AE">
      <w:pPr>
        <w:rPr>
          <w:sz w:val="22"/>
          <w:szCs w:val="22"/>
          <w:highlight w:val="lightGray"/>
        </w:rPr>
      </w:pPr>
      <w:r w:rsidRPr="00AD4B7F">
        <w:rPr>
          <w:sz w:val="22"/>
          <w:szCs w:val="22"/>
          <w:highlight w:val="lightGray"/>
        </w:rPr>
        <w:t xml:space="preserve">N30 - LT/1/08/1249/003 </w:t>
      </w:r>
    </w:p>
    <w:p w14:paraId="4053E8E5" w14:textId="77777777" w:rsidR="00B830AE" w:rsidRPr="00AD4B7F" w:rsidRDefault="00B830AE" w:rsidP="00B830AE">
      <w:pPr>
        <w:rPr>
          <w:sz w:val="22"/>
          <w:szCs w:val="22"/>
          <w:highlight w:val="lightGray"/>
        </w:rPr>
      </w:pPr>
      <w:r w:rsidRPr="00AD4B7F">
        <w:rPr>
          <w:sz w:val="22"/>
          <w:szCs w:val="22"/>
          <w:highlight w:val="lightGray"/>
        </w:rPr>
        <w:t xml:space="preserve">N50 - LT/1/08/1249/004 </w:t>
      </w:r>
    </w:p>
    <w:p w14:paraId="6E1A68D6" w14:textId="77777777" w:rsidR="00B830AE" w:rsidRPr="00AD4B7F" w:rsidRDefault="00B830AE" w:rsidP="00B830AE">
      <w:pPr>
        <w:rPr>
          <w:sz w:val="22"/>
          <w:szCs w:val="22"/>
          <w:highlight w:val="lightGray"/>
        </w:rPr>
      </w:pPr>
      <w:r w:rsidRPr="00AD4B7F">
        <w:rPr>
          <w:sz w:val="22"/>
          <w:szCs w:val="22"/>
          <w:highlight w:val="lightGray"/>
        </w:rPr>
        <w:t xml:space="preserve">N84 - LT/1/08/1249/005 </w:t>
      </w:r>
    </w:p>
    <w:p w14:paraId="0634DD2C" w14:textId="77777777" w:rsidR="00B830AE" w:rsidRPr="00AD4B7F" w:rsidRDefault="00B830AE" w:rsidP="00B830AE">
      <w:pPr>
        <w:rPr>
          <w:sz w:val="22"/>
          <w:szCs w:val="22"/>
          <w:highlight w:val="lightGray"/>
        </w:rPr>
      </w:pPr>
      <w:r w:rsidRPr="00AD4B7F">
        <w:rPr>
          <w:sz w:val="22"/>
          <w:szCs w:val="22"/>
          <w:highlight w:val="lightGray"/>
        </w:rPr>
        <w:t xml:space="preserve">N98 - LT/1/08/1249/006 </w:t>
      </w:r>
    </w:p>
    <w:p w14:paraId="3515852D" w14:textId="77777777" w:rsidR="00B830AE" w:rsidRPr="00AD4B7F" w:rsidRDefault="00B830AE" w:rsidP="00B830AE">
      <w:pPr>
        <w:rPr>
          <w:sz w:val="22"/>
          <w:szCs w:val="22"/>
          <w:highlight w:val="lightGray"/>
        </w:rPr>
      </w:pPr>
      <w:r w:rsidRPr="00AD4B7F">
        <w:rPr>
          <w:sz w:val="22"/>
          <w:szCs w:val="22"/>
          <w:highlight w:val="lightGray"/>
        </w:rPr>
        <w:t xml:space="preserve">N100 - LT/1/08/1249/007 </w:t>
      </w:r>
    </w:p>
    <w:p w14:paraId="15A2DEED" w14:textId="77777777" w:rsidR="00B830AE" w:rsidRPr="00AD4B7F" w:rsidRDefault="00B830AE" w:rsidP="00B830AE">
      <w:pPr>
        <w:rPr>
          <w:bCs/>
          <w:sz w:val="22"/>
          <w:szCs w:val="22"/>
        </w:rPr>
      </w:pPr>
      <w:r w:rsidRPr="00AD4B7F">
        <w:rPr>
          <w:sz w:val="22"/>
          <w:szCs w:val="22"/>
          <w:highlight w:val="lightGray"/>
        </w:rPr>
        <w:t>N300 - LT/1/08/1249/008</w:t>
      </w:r>
      <w:r w:rsidRPr="00AD4B7F">
        <w:rPr>
          <w:bCs/>
          <w:sz w:val="22"/>
          <w:szCs w:val="22"/>
        </w:rPr>
        <w:t xml:space="preserve"> </w:t>
      </w:r>
    </w:p>
    <w:p w14:paraId="244ED9D4" w14:textId="77777777" w:rsidR="00B830AE" w:rsidRPr="001C169A" w:rsidRDefault="00B830AE" w:rsidP="00B830AE">
      <w:pPr>
        <w:pStyle w:val="BTEMEASMCA"/>
      </w:pPr>
    </w:p>
    <w:p w14:paraId="0007688B" w14:textId="77777777" w:rsidR="00B830AE" w:rsidRPr="001C169A" w:rsidRDefault="00B830AE" w:rsidP="00B830AE">
      <w:pPr>
        <w:pStyle w:val="BTEMEASMCA"/>
      </w:pPr>
    </w:p>
    <w:p w14:paraId="37425DC2" w14:textId="77777777" w:rsidR="00B830AE" w:rsidRPr="001C169A" w:rsidRDefault="00B830AE" w:rsidP="003D3757">
      <w:pPr>
        <w:pStyle w:val="PI-1labEMEASMCA"/>
      </w:pPr>
      <w:r w:rsidRPr="001C169A">
        <w:t>13.</w:t>
      </w:r>
      <w:r w:rsidRPr="001C169A">
        <w:tab/>
        <w:t>SERIJOS NUMERIS</w:t>
      </w:r>
    </w:p>
    <w:p w14:paraId="0813BD57" w14:textId="77777777" w:rsidR="00B830AE" w:rsidRPr="001C169A" w:rsidRDefault="00B830AE" w:rsidP="00B830AE">
      <w:pPr>
        <w:pStyle w:val="BTEMEASMCA"/>
      </w:pPr>
    </w:p>
    <w:p w14:paraId="785355E5" w14:textId="17F9C350" w:rsidR="00B830AE" w:rsidRPr="001C169A" w:rsidRDefault="00EB61EF" w:rsidP="00B830AE">
      <w:pPr>
        <w:pStyle w:val="BTEMEASMCA"/>
      </w:pPr>
      <w:r w:rsidRPr="001C169A">
        <w:t>Lot</w:t>
      </w:r>
    </w:p>
    <w:p w14:paraId="3013213D" w14:textId="77777777" w:rsidR="00B830AE" w:rsidRPr="001C169A" w:rsidRDefault="00B830AE" w:rsidP="00B830AE">
      <w:pPr>
        <w:pStyle w:val="BTEMEASMCA"/>
      </w:pPr>
    </w:p>
    <w:p w14:paraId="68EEDC20" w14:textId="77777777" w:rsidR="00B830AE" w:rsidRPr="001C169A" w:rsidRDefault="00B830AE" w:rsidP="00B830AE">
      <w:pPr>
        <w:pStyle w:val="BTEMEASMCA"/>
      </w:pPr>
    </w:p>
    <w:p w14:paraId="2E7FB5F5" w14:textId="77777777" w:rsidR="00B830AE" w:rsidRPr="001C169A" w:rsidRDefault="00B830AE" w:rsidP="003D3757">
      <w:pPr>
        <w:pStyle w:val="PI-1labEMEASMCA"/>
      </w:pPr>
      <w:r w:rsidRPr="001C169A">
        <w:t>14.</w:t>
      </w:r>
      <w:r w:rsidRPr="001C169A">
        <w:tab/>
        <w:t>PARDAVIMO (IŠDAVIMO) TVARKA</w:t>
      </w:r>
    </w:p>
    <w:p w14:paraId="747434EB" w14:textId="77777777" w:rsidR="00B830AE" w:rsidRPr="001C169A" w:rsidRDefault="00B830AE" w:rsidP="00B830AE">
      <w:pPr>
        <w:pStyle w:val="BTEMEASMCA"/>
      </w:pPr>
    </w:p>
    <w:p w14:paraId="291F0F10" w14:textId="5559381C" w:rsidR="00B830AE" w:rsidRPr="001C169A" w:rsidRDefault="00B830AE" w:rsidP="00B830AE">
      <w:pPr>
        <w:pStyle w:val="BTEMEASMCA"/>
      </w:pPr>
      <w:r w:rsidRPr="001C169A">
        <w:t xml:space="preserve">Receptinis </w:t>
      </w:r>
      <w:r w:rsidR="00917932" w:rsidRPr="001C169A">
        <w:t>vaistas.</w:t>
      </w:r>
    </w:p>
    <w:p w14:paraId="27919DAC" w14:textId="77777777" w:rsidR="00B830AE" w:rsidRPr="001C169A" w:rsidRDefault="00B830AE" w:rsidP="00B830AE">
      <w:pPr>
        <w:pStyle w:val="BTEMEASMCA"/>
      </w:pPr>
    </w:p>
    <w:p w14:paraId="185AA68E" w14:textId="77777777" w:rsidR="00B830AE" w:rsidRPr="001C169A" w:rsidRDefault="00B830AE" w:rsidP="00B830AE">
      <w:pPr>
        <w:pStyle w:val="BTEMEASMCA"/>
      </w:pPr>
    </w:p>
    <w:p w14:paraId="68B44B9B" w14:textId="77777777" w:rsidR="00B830AE" w:rsidRPr="001C169A" w:rsidRDefault="00B830AE" w:rsidP="003D3757">
      <w:pPr>
        <w:pStyle w:val="PI-1labEMEASMCA"/>
      </w:pPr>
      <w:r w:rsidRPr="001C169A">
        <w:t>15.</w:t>
      </w:r>
      <w:r w:rsidRPr="001C169A">
        <w:tab/>
        <w:t>VARTOJIMO INSTRUKCIJA</w:t>
      </w:r>
    </w:p>
    <w:p w14:paraId="67C57816" w14:textId="77777777" w:rsidR="00B830AE" w:rsidRPr="001C169A" w:rsidRDefault="00B830AE" w:rsidP="00B830AE">
      <w:pPr>
        <w:pStyle w:val="BTEMEASMCA"/>
      </w:pPr>
    </w:p>
    <w:p w14:paraId="1D9CCAB9" w14:textId="77777777" w:rsidR="00B830AE" w:rsidRPr="001C169A" w:rsidRDefault="00B830AE" w:rsidP="00B830AE">
      <w:pPr>
        <w:pStyle w:val="BTEMEASMCA"/>
      </w:pPr>
    </w:p>
    <w:p w14:paraId="2319CFCF" w14:textId="77777777" w:rsidR="00B830AE" w:rsidRPr="001C169A" w:rsidRDefault="00B830AE" w:rsidP="003D3757">
      <w:pPr>
        <w:pStyle w:val="PI-1labEMEASMCA"/>
      </w:pPr>
      <w:r w:rsidRPr="001C169A">
        <w:t>16.</w:t>
      </w:r>
      <w:r w:rsidRPr="001C169A">
        <w:tab/>
        <w:t>INFORMACIJA BRAILIO RAŠTU</w:t>
      </w:r>
    </w:p>
    <w:p w14:paraId="3045FF4F" w14:textId="77777777" w:rsidR="00B830AE" w:rsidRPr="001C169A" w:rsidRDefault="00B830AE" w:rsidP="00B830AE">
      <w:pPr>
        <w:pStyle w:val="BTEMEASMCA"/>
      </w:pPr>
    </w:p>
    <w:p w14:paraId="08603BA4" w14:textId="77777777" w:rsidR="00B830AE" w:rsidRPr="001C169A" w:rsidRDefault="00B830AE" w:rsidP="00B830AE">
      <w:pPr>
        <w:pStyle w:val="BTEMEASMCA"/>
      </w:pPr>
      <w:r w:rsidRPr="001C169A">
        <w:t>AXASTROL 1 mg</w:t>
      </w:r>
      <w:r w:rsidRPr="001C169A">
        <w:rPr>
          <w:highlight w:val="lightGray"/>
        </w:rPr>
        <w:t xml:space="preserve"> </w:t>
      </w:r>
    </w:p>
    <w:p w14:paraId="6EDCB00F" w14:textId="77777777" w:rsidR="00917932" w:rsidRPr="00C60E76" w:rsidRDefault="00917932" w:rsidP="00917932">
      <w:pPr>
        <w:rPr>
          <w:sz w:val="22"/>
          <w:shd w:val="clear" w:color="auto" w:fill="CCCCCC"/>
        </w:rPr>
      </w:pPr>
    </w:p>
    <w:p w14:paraId="235B131B" w14:textId="77777777" w:rsidR="00917932" w:rsidRPr="001C169A" w:rsidRDefault="00917932" w:rsidP="00917932">
      <w:pPr>
        <w:rPr>
          <w:noProof/>
          <w:sz w:val="22"/>
          <w:szCs w:val="22"/>
          <w:shd w:val="clear" w:color="auto" w:fill="CCCCCC"/>
        </w:rPr>
      </w:pPr>
    </w:p>
    <w:p w14:paraId="77F8BCC2" w14:textId="77777777" w:rsidR="00917932" w:rsidRPr="001C169A" w:rsidRDefault="00917932" w:rsidP="0091793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C169A">
        <w:rPr>
          <w:b/>
          <w:noProof/>
          <w:sz w:val="22"/>
          <w:szCs w:val="22"/>
        </w:rPr>
        <w:t>17.</w:t>
      </w:r>
      <w:r w:rsidRPr="001C169A">
        <w:rPr>
          <w:b/>
          <w:noProof/>
          <w:sz w:val="22"/>
          <w:szCs w:val="22"/>
        </w:rPr>
        <w:tab/>
        <w:t>UNIKALUS IDENTIFIKATORIUS – 2D BRŪKŠNINIS KODAS</w:t>
      </w:r>
    </w:p>
    <w:p w14:paraId="1C6E6965" w14:textId="77777777" w:rsidR="00917932" w:rsidRPr="001C169A" w:rsidRDefault="00917932" w:rsidP="00917932">
      <w:pPr>
        <w:rPr>
          <w:noProof/>
          <w:sz w:val="22"/>
          <w:szCs w:val="22"/>
        </w:rPr>
      </w:pPr>
    </w:p>
    <w:p w14:paraId="52CE188A" w14:textId="77777777" w:rsidR="00917932" w:rsidRPr="001C169A" w:rsidRDefault="00917932" w:rsidP="00917932">
      <w:pPr>
        <w:rPr>
          <w:noProof/>
          <w:sz w:val="22"/>
          <w:szCs w:val="22"/>
          <w:shd w:val="clear" w:color="auto" w:fill="CCCCCC"/>
        </w:rPr>
      </w:pPr>
      <w:r w:rsidRPr="001C169A">
        <w:rPr>
          <w:noProof/>
          <w:sz w:val="22"/>
          <w:szCs w:val="22"/>
          <w:highlight w:val="lightGray"/>
        </w:rPr>
        <w:t>2D brūkšninis kodas su nurodytu unikaliu identifikatoriumi.</w:t>
      </w:r>
    </w:p>
    <w:p w14:paraId="47903F99" w14:textId="77777777" w:rsidR="00917932" w:rsidRPr="001C169A" w:rsidRDefault="00917932" w:rsidP="00917932">
      <w:pPr>
        <w:rPr>
          <w:noProof/>
          <w:sz w:val="22"/>
          <w:szCs w:val="22"/>
          <w:shd w:val="clear" w:color="auto" w:fill="CCCCCC"/>
        </w:rPr>
      </w:pPr>
    </w:p>
    <w:p w14:paraId="03E4A5C8" w14:textId="77777777" w:rsidR="00917932" w:rsidRPr="001C169A" w:rsidRDefault="00917932" w:rsidP="00917932">
      <w:pPr>
        <w:rPr>
          <w:noProof/>
          <w:sz w:val="22"/>
          <w:szCs w:val="22"/>
        </w:rPr>
      </w:pPr>
    </w:p>
    <w:p w14:paraId="75B88AEC" w14:textId="77777777" w:rsidR="00917932" w:rsidRPr="001C169A" w:rsidRDefault="00917932" w:rsidP="0091793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C169A">
        <w:rPr>
          <w:b/>
          <w:noProof/>
          <w:sz w:val="22"/>
          <w:szCs w:val="22"/>
        </w:rPr>
        <w:t>18.</w:t>
      </w:r>
      <w:r w:rsidRPr="001C169A">
        <w:rPr>
          <w:b/>
          <w:noProof/>
          <w:sz w:val="22"/>
          <w:szCs w:val="22"/>
        </w:rPr>
        <w:tab/>
        <w:t>UNIKALUS IDENTIFIKATORIUS – ŽMONĖMS SUPRANTAMI DUOMENYS</w:t>
      </w:r>
    </w:p>
    <w:p w14:paraId="43B67273" w14:textId="77777777" w:rsidR="00917932" w:rsidRPr="001C169A" w:rsidRDefault="00917932" w:rsidP="00917932">
      <w:pPr>
        <w:rPr>
          <w:noProof/>
          <w:sz w:val="22"/>
          <w:szCs w:val="22"/>
        </w:rPr>
      </w:pPr>
    </w:p>
    <w:p w14:paraId="49518336" w14:textId="77777777" w:rsidR="00917932" w:rsidRPr="001C169A" w:rsidRDefault="00917932" w:rsidP="00917932">
      <w:pPr>
        <w:rPr>
          <w:color w:val="008000"/>
          <w:sz w:val="22"/>
          <w:szCs w:val="22"/>
        </w:rPr>
      </w:pPr>
      <w:r w:rsidRPr="001C169A">
        <w:rPr>
          <w:sz w:val="22"/>
          <w:szCs w:val="22"/>
        </w:rPr>
        <w:t xml:space="preserve">PC: {numeris} </w:t>
      </w:r>
    </w:p>
    <w:p w14:paraId="57239BDD" w14:textId="77777777" w:rsidR="00917932" w:rsidRPr="001C169A" w:rsidRDefault="00917932" w:rsidP="00917932">
      <w:pPr>
        <w:rPr>
          <w:sz w:val="22"/>
          <w:szCs w:val="22"/>
        </w:rPr>
      </w:pPr>
      <w:r w:rsidRPr="001C169A">
        <w:rPr>
          <w:sz w:val="22"/>
          <w:szCs w:val="22"/>
        </w:rPr>
        <w:t>SN: {numeris}</w:t>
      </w:r>
    </w:p>
    <w:p w14:paraId="0C1F40AF" w14:textId="77777777" w:rsidR="00917932" w:rsidRPr="001C169A" w:rsidRDefault="00917932" w:rsidP="00917932">
      <w:pPr>
        <w:rPr>
          <w:noProof/>
          <w:vanish/>
          <w:sz w:val="22"/>
          <w:szCs w:val="22"/>
        </w:rPr>
      </w:pPr>
      <w:r w:rsidRPr="001C169A">
        <w:rPr>
          <w:sz w:val="22"/>
          <w:szCs w:val="22"/>
          <w:highlight w:val="lightGray"/>
        </w:rPr>
        <w:t>NN: {numeris}</w:t>
      </w:r>
    </w:p>
    <w:p w14:paraId="2601336C" w14:textId="77777777" w:rsidR="00917932" w:rsidRPr="001C169A" w:rsidRDefault="00917932" w:rsidP="00917932">
      <w:pPr>
        <w:rPr>
          <w:noProof/>
          <w:vanish/>
          <w:sz w:val="22"/>
          <w:szCs w:val="22"/>
        </w:rPr>
      </w:pPr>
    </w:p>
    <w:p w14:paraId="171E7268" w14:textId="77777777" w:rsidR="00917932" w:rsidRPr="001C169A" w:rsidRDefault="00917932" w:rsidP="00917932">
      <w:pPr>
        <w:rPr>
          <w:sz w:val="22"/>
          <w:szCs w:val="22"/>
        </w:rPr>
      </w:pPr>
    </w:p>
    <w:p w14:paraId="0617ADCB" w14:textId="77777777" w:rsidR="00B830AE" w:rsidRPr="001C169A" w:rsidRDefault="00B830AE" w:rsidP="00B830AE">
      <w:pPr>
        <w:pStyle w:val="BTEMEASMCA"/>
      </w:pPr>
      <w:r w:rsidRPr="001C169A">
        <w:br w:type="page"/>
      </w:r>
    </w:p>
    <w:p w14:paraId="5572E617" w14:textId="77777777" w:rsidR="00B830AE" w:rsidRPr="001C169A" w:rsidRDefault="00B830AE" w:rsidP="003D3757">
      <w:pPr>
        <w:pStyle w:val="PI-1labEMEASMCA"/>
      </w:pPr>
      <w:r w:rsidRPr="001C169A">
        <w:lastRenderedPageBreak/>
        <w:t xml:space="preserve">MINIMALI </w:t>
      </w:r>
      <w:r w:rsidRPr="001C169A">
        <w:rPr>
          <w:caps/>
        </w:rPr>
        <w:t xml:space="preserve">informacija ant </w:t>
      </w:r>
      <w:r w:rsidRPr="001C169A">
        <w:t>LIZDINIŲ PLOKŠTELIŲ ARBA DVISLUOKSNIŲ JUOSTELIŲ</w:t>
      </w:r>
    </w:p>
    <w:p w14:paraId="33F1D3AD" w14:textId="77777777" w:rsidR="00B830AE" w:rsidRPr="001C169A" w:rsidRDefault="00B830AE">
      <w:pPr>
        <w:pStyle w:val="PI-1labEMEASMCA"/>
      </w:pPr>
    </w:p>
    <w:p w14:paraId="5F526D16" w14:textId="77777777" w:rsidR="00B830AE" w:rsidRPr="001C169A" w:rsidRDefault="00B830AE">
      <w:pPr>
        <w:pStyle w:val="PI-1labEMEASMCA"/>
      </w:pPr>
      <w:r w:rsidRPr="001C169A">
        <w:t>LIZDINĖ PLOKŠTELĖ</w:t>
      </w:r>
    </w:p>
    <w:p w14:paraId="782FCBA4" w14:textId="77777777" w:rsidR="00B830AE" w:rsidRPr="001C169A" w:rsidRDefault="00B830AE" w:rsidP="00B830AE">
      <w:pPr>
        <w:pStyle w:val="BTEMEASMCA"/>
      </w:pPr>
    </w:p>
    <w:p w14:paraId="5CA44CEF" w14:textId="77777777" w:rsidR="00B830AE" w:rsidRPr="001C169A" w:rsidRDefault="00B830AE" w:rsidP="00B830AE">
      <w:pPr>
        <w:pStyle w:val="BTEMEASMCA"/>
      </w:pPr>
    </w:p>
    <w:p w14:paraId="26285E7E" w14:textId="77777777" w:rsidR="00B830AE" w:rsidRPr="001C169A" w:rsidRDefault="00B830AE" w:rsidP="003D3757">
      <w:pPr>
        <w:pStyle w:val="PI-1labEMEASMCA"/>
      </w:pPr>
      <w:r w:rsidRPr="001C169A">
        <w:t>1.</w:t>
      </w:r>
      <w:r w:rsidRPr="001C169A">
        <w:tab/>
        <w:t>VAISTINIO PREPARATO PAVADINIMAS</w:t>
      </w:r>
    </w:p>
    <w:p w14:paraId="75BDD04D" w14:textId="77777777" w:rsidR="00B830AE" w:rsidRPr="001C169A" w:rsidRDefault="00B830AE" w:rsidP="00B830AE">
      <w:pPr>
        <w:pStyle w:val="BTEMEASMCA"/>
      </w:pPr>
    </w:p>
    <w:p w14:paraId="0DED1396" w14:textId="77777777" w:rsidR="00B830AE" w:rsidRPr="001C169A" w:rsidRDefault="00B830AE" w:rsidP="00B830AE">
      <w:pPr>
        <w:pStyle w:val="BTEMEASMCA"/>
      </w:pPr>
      <w:r w:rsidRPr="001C169A">
        <w:rPr>
          <w:color w:val="000000"/>
          <w:lang w:eastAsia="lv-LV"/>
        </w:rPr>
        <w:t xml:space="preserve">AXASTROL </w:t>
      </w:r>
      <w:r w:rsidRPr="001C169A">
        <w:t>1 mg plėvele dengtos tabletės</w:t>
      </w:r>
    </w:p>
    <w:p w14:paraId="5B150D79" w14:textId="77777777" w:rsidR="00B830AE" w:rsidRPr="00AD4B7F" w:rsidRDefault="00B830AE" w:rsidP="00B830AE">
      <w:pPr>
        <w:pStyle w:val="Pagrindinistekstas"/>
        <w:spacing w:after="0"/>
        <w:rPr>
          <w:i/>
          <w:szCs w:val="22"/>
        </w:rPr>
      </w:pPr>
      <w:proofErr w:type="spellStart"/>
      <w:r w:rsidRPr="00AD4B7F">
        <w:rPr>
          <w:i/>
          <w:szCs w:val="22"/>
        </w:rPr>
        <w:t>Anastrozolum</w:t>
      </w:r>
      <w:proofErr w:type="spellEnd"/>
    </w:p>
    <w:p w14:paraId="51B2CCB3" w14:textId="77777777" w:rsidR="00B830AE" w:rsidRPr="001C169A" w:rsidRDefault="00B830AE" w:rsidP="00B830AE">
      <w:pPr>
        <w:pStyle w:val="BTEMEASMCA"/>
      </w:pPr>
    </w:p>
    <w:p w14:paraId="5363BE87" w14:textId="77777777" w:rsidR="00B830AE" w:rsidRPr="001C169A" w:rsidRDefault="00B830AE" w:rsidP="00B830AE">
      <w:pPr>
        <w:pStyle w:val="BTEMEASMCA"/>
      </w:pPr>
    </w:p>
    <w:p w14:paraId="3491102B" w14:textId="5ACA728C" w:rsidR="00B830AE" w:rsidRPr="001C169A" w:rsidRDefault="00B830AE" w:rsidP="003D3757">
      <w:pPr>
        <w:pStyle w:val="PI-1labEMEASMCA"/>
      </w:pPr>
      <w:r w:rsidRPr="001C169A">
        <w:t>2.</w:t>
      </w:r>
      <w:r w:rsidRPr="001C169A">
        <w:tab/>
      </w:r>
      <w:r w:rsidR="00917932" w:rsidRPr="001C169A">
        <w:t>REGISTRUOTOJO</w:t>
      </w:r>
      <w:r w:rsidRPr="001C169A">
        <w:t xml:space="preserve"> PAVADINIMAS</w:t>
      </w:r>
    </w:p>
    <w:p w14:paraId="3C261444" w14:textId="77777777" w:rsidR="00B830AE" w:rsidRPr="001C169A" w:rsidRDefault="00B830AE" w:rsidP="00B830AE">
      <w:pPr>
        <w:pStyle w:val="BTEMEASMCA"/>
      </w:pPr>
    </w:p>
    <w:p w14:paraId="1BE45BF5" w14:textId="23993FAD" w:rsidR="00B830AE" w:rsidRPr="001C169A" w:rsidRDefault="00B830AE" w:rsidP="00B830AE">
      <w:pPr>
        <w:rPr>
          <w:sz w:val="22"/>
          <w:szCs w:val="22"/>
        </w:rPr>
      </w:pPr>
      <w:r w:rsidRPr="001C169A">
        <w:rPr>
          <w:sz w:val="22"/>
          <w:szCs w:val="22"/>
        </w:rPr>
        <w:t>&lt;</w:t>
      </w:r>
      <w:proofErr w:type="spellStart"/>
      <w:r w:rsidRPr="001C169A">
        <w:rPr>
          <w:sz w:val="22"/>
          <w:szCs w:val="22"/>
        </w:rPr>
        <w:t>Logo</w:t>
      </w:r>
      <w:proofErr w:type="spellEnd"/>
      <w:r w:rsidRPr="001C169A">
        <w:rPr>
          <w:sz w:val="22"/>
          <w:szCs w:val="22"/>
        </w:rPr>
        <w:t xml:space="preserve">&gt; </w:t>
      </w:r>
      <w:r w:rsidRPr="00AD4B7F">
        <w:rPr>
          <w:caps/>
          <w:noProof/>
          <w:color w:val="000000"/>
          <w:sz w:val="22"/>
          <w:szCs w:val="22"/>
          <w:lang w:eastAsia="lt-LT"/>
        </w:rPr>
        <w:drawing>
          <wp:inline distT="0" distB="0" distL="0" distR="0" wp14:anchorId="67B69704" wp14:editId="62CC6F7C">
            <wp:extent cx="504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lum bright="18000" contrast="-6000"/>
                      <a:extLst>
                        <a:ext uri="{28A0092B-C50C-407E-A947-70E740481C1C}">
                          <a14:useLocalDpi xmlns:a14="http://schemas.microsoft.com/office/drawing/2010/main" val="0"/>
                        </a:ext>
                      </a:extLst>
                    </a:blip>
                    <a:srcRect/>
                    <a:stretch>
                      <a:fillRect/>
                    </a:stretch>
                  </pic:blipFill>
                  <pic:spPr bwMode="auto">
                    <a:xfrm>
                      <a:off x="0" y="0"/>
                      <a:ext cx="504825" cy="114300"/>
                    </a:xfrm>
                    <a:prstGeom prst="rect">
                      <a:avLst/>
                    </a:prstGeom>
                    <a:noFill/>
                    <a:ln>
                      <a:noFill/>
                    </a:ln>
                  </pic:spPr>
                </pic:pic>
              </a:graphicData>
            </a:graphic>
          </wp:inline>
        </w:drawing>
      </w:r>
    </w:p>
    <w:p w14:paraId="22A88505" w14:textId="77777777" w:rsidR="00B830AE" w:rsidRPr="001C169A" w:rsidRDefault="00B830AE" w:rsidP="00B830AE">
      <w:pPr>
        <w:pStyle w:val="BTEMEASMCA"/>
      </w:pPr>
    </w:p>
    <w:p w14:paraId="3603E171" w14:textId="77777777" w:rsidR="00B830AE" w:rsidRPr="001C169A" w:rsidRDefault="00B830AE" w:rsidP="00B830AE">
      <w:pPr>
        <w:pStyle w:val="BTEMEASMCA"/>
      </w:pPr>
    </w:p>
    <w:p w14:paraId="4DEC709C" w14:textId="77777777" w:rsidR="00B830AE" w:rsidRPr="001C169A" w:rsidRDefault="00B830AE" w:rsidP="003D3757">
      <w:pPr>
        <w:pStyle w:val="PI-1labEMEASMCA"/>
      </w:pPr>
      <w:r w:rsidRPr="001C169A">
        <w:t>3.</w:t>
      </w:r>
      <w:r w:rsidRPr="001C169A">
        <w:tab/>
        <w:t>TINKAMUMO LAIKAS</w:t>
      </w:r>
    </w:p>
    <w:p w14:paraId="02A8F23C" w14:textId="77777777" w:rsidR="00B830AE" w:rsidRPr="001C169A" w:rsidRDefault="00B830AE" w:rsidP="00B830AE">
      <w:pPr>
        <w:pStyle w:val="BTEMEASMCA"/>
      </w:pPr>
    </w:p>
    <w:p w14:paraId="266187F1" w14:textId="77777777" w:rsidR="00B830AE" w:rsidRPr="001C169A" w:rsidRDefault="00B830AE" w:rsidP="00B830AE">
      <w:pPr>
        <w:pStyle w:val="BTEMEASMCA"/>
      </w:pPr>
      <w:r w:rsidRPr="001C169A">
        <w:rPr>
          <w:highlight w:val="lightGray"/>
        </w:rPr>
        <w:t>EXP</w:t>
      </w:r>
      <w:r w:rsidRPr="001C169A">
        <w:t xml:space="preserve"> {MM YYYY}</w:t>
      </w:r>
    </w:p>
    <w:p w14:paraId="06A8FF79" w14:textId="77777777" w:rsidR="00B830AE" w:rsidRPr="001C169A" w:rsidRDefault="00B830AE" w:rsidP="00B830AE">
      <w:pPr>
        <w:pStyle w:val="BTEMEASMCA"/>
      </w:pPr>
    </w:p>
    <w:p w14:paraId="1C5D840D" w14:textId="77777777" w:rsidR="00B830AE" w:rsidRPr="001C169A" w:rsidRDefault="00B830AE" w:rsidP="00B830AE">
      <w:pPr>
        <w:pStyle w:val="BTEMEASMCA"/>
      </w:pPr>
    </w:p>
    <w:p w14:paraId="4A9F97F3" w14:textId="77777777" w:rsidR="00B830AE" w:rsidRPr="001C169A" w:rsidRDefault="00B830AE" w:rsidP="003D3757">
      <w:pPr>
        <w:pStyle w:val="PI-1labEMEASMCA"/>
      </w:pPr>
      <w:r w:rsidRPr="001C169A">
        <w:t>4.</w:t>
      </w:r>
      <w:r w:rsidRPr="001C169A">
        <w:tab/>
        <w:t>SERIJOS NUMERIS</w:t>
      </w:r>
    </w:p>
    <w:p w14:paraId="67952C14" w14:textId="77777777" w:rsidR="00B830AE" w:rsidRPr="001C169A" w:rsidRDefault="00B830AE" w:rsidP="00B830AE">
      <w:pPr>
        <w:pStyle w:val="BTEMEASMCA"/>
      </w:pPr>
    </w:p>
    <w:p w14:paraId="60C8DD32" w14:textId="77777777" w:rsidR="00B830AE" w:rsidRPr="001C169A" w:rsidRDefault="00B830AE" w:rsidP="00B830AE">
      <w:pPr>
        <w:pStyle w:val="BTEMEASMCA"/>
      </w:pPr>
      <w:r w:rsidRPr="001C169A">
        <w:rPr>
          <w:highlight w:val="lightGray"/>
        </w:rPr>
        <w:t>Lot</w:t>
      </w:r>
    </w:p>
    <w:p w14:paraId="14DAB084" w14:textId="77777777" w:rsidR="00B830AE" w:rsidRPr="001C169A" w:rsidRDefault="00B830AE" w:rsidP="00B830AE">
      <w:pPr>
        <w:pStyle w:val="BTEMEASMCA"/>
      </w:pPr>
    </w:p>
    <w:p w14:paraId="24B27A44" w14:textId="77777777" w:rsidR="00B830AE" w:rsidRPr="001C169A" w:rsidRDefault="00B830AE" w:rsidP="00B830AE">
      <w:pPr>
        <w:pStyle w:val="BTEMEASMCA"/>
      </w:pPr>
    </w:p>
    <w:p w14:paraId="6E095306" w14:textId="77777777" w:rsidR="00B830AE" w:rsidRPr="001C169A" w:rsidRDefault="00B830AE" w:rsidP="003D3757">
      <w:pPr>
        <w:pStyle w:val="PI-1labEMEASMCA"/>
      </w:pPr>
      <w:r w:rsidRPr="001C169A">
        <w:t>5.</w:t>
      </w:r>
      <w:r w:rsidRPr="001C169A">
        <w:tab/>
        <w:t>KITA</w:t>
      </w:r>
    </w:p>
    <w:p w14:paraId="76C30297" w14:textId="77777777" w:rsidR="00B830AE" w:rsidRPr="001C169A" w:rsidRDefault="00B830AE" w:rsidP="00B830AE">
      <w:pPr>
        <w:pStyle w:val="BTEMEASMCA"/>
      </w:pPr>
    </w:p>
    <w:p w14:paraId="32474CF9" w14:textId="77777777" w:rsidR="00B830AE" w:rsidRPr="001C169A" w:rsidRDefault="00B830AE" w:rsidP="00B830AE">
      <w:pPr>
        <w:pStyle w:val="BTEMEASMCA"/>
      </w:pPr>
    </w:p>
    <w:p w14:paraId="7460B882" w14:textId="77777777" w:rsidR="00B830AE" w:rsidRPr="001C169A" w:rsidRDefault="00B830AE" w:rsidP="00B830AE">
      <w:pPr>
        <w:pStyle w:val="BTEMEASMCA"/>
      </w:pPr>
    </w:p>
    <w:p w14:paraId="3D933B14" w14:textId="77777777" w:rsidR="00B830AE" w:rsidRPr="001C169A" w:rsidRDefault="00B830AE" w:rsidP="00B830AE">
      <w:pPr>
        <w:pStyle w:val="Pavadinimas"/>
        <w:rPr>
          <w:szCs w:val="22"/>
          <w:lang w:val="lt-LT"/>
        </w:rPr>
      </w:pPr>
    </w:p>
    <w:p w14:paraId="544E3ED0" w14:textId="77777777" w:rsidR="00B830AE" w:rsidRPr="001C169A" w:rsidRDefault="00B830AE" w:rsidP="00B830AE">
      <w:pPr>
        <w:pStyle w:val="Pavadinimas"/>
        <w:rPr>
          <w:szCs w:val="22"/>
          <w:lang w:val="lt-LT"/>
        </w:rPr>
      </w:pPr>
    </w:p>
    <w:p w14:paraId="58CC9584" w14:textId="77777777" w:rsidR="00B830AE" w:rsidRPr="001C169A" w:rsidRDefault="00B830AE" w:rsidP="00B830AE">
      <w:pPr>
        <w:pStyle w:val="Pavadinimas"/>
        <w:rPr>
          <w:szCs w:val="22"/>
          <w:lang w:val="lt-LT"/>
        </w:rPr>
      </w:pPr>
    </w:p>
    <w:p w14:paraId="3B90CEA2" w14:textId="77777777" w:rsidR="00B830AE" w:rsidRPr="001C169A" w:rsidRDefault="00B830AE" w:rsidP="00B830AE">
      <w:pPr>
        <w:pStyle w:val="Pavadinimas"/>
        <w:rPr>
          <w:szCs w:val="22"/>
          <w:lang w:val="lt-LT"/>
        </w:rPr>
      </w:pPr>
    </w:p>
    <w:p w14:paraId="3D53E2FC" w14:textId="77777777" w:rsidR="00B830AE" w:rsidRPr="001C169A" w:rsidRDefault="00B830AE" w:rsidP="00B830AE">
      <w:pPr>
        <w:pStyle w:val="Pavadinimas"/>
        <w:rPr>
          <w:szCs w:val="22"/>
          <w:lang w:val="lt-LT"/>
        </w:rPr>
      </w:pPr>
    </w:p>
    <w:p w14:paraId="5637B7FC" w14:textId="77777777" w:rsidR="00B830AE" w:rsidRPr="001C169A" w:rsidRDefault="00B830AE" w:rsidP="00B830AE">
      <w:pPr>
        <w:pStyle w:val="Pavadinimas"/>
        <w:rPr>
          <w:szCs w:val="22"/>
          <w:lang w:val="lt-LT"/>
        </w:rPr>
      </w:pPr>
    </w:p>
    <w:p w14:paraId="329A219A" w14:textId="77777777" w:rsidR="00B830AE" w:rsidRPr="001C169A" w:rsidRDefault="00B830AE" w:rsidP="00B830AE">
      <w:pPr>
        <w:pStyle w:val="Pavadinimas"/>
        <w:rPr>
          <w:szCs w:val="22"/>
          <w:lang w:val="lt-LT"/>
        </w:rPr>
      </w:pPr>
    </w:p>
    <w:p w14:paraId="5E07EFBA" w14:textId="77777777" w:rsidR="00B830AE" w:rsidRPr="001C169A" w:rsidRDefault="00B830AE" w:rsidP="00B830AE">
      <w:pPr>
        <w:pStyle w:val="Pavadinimas"/>
        <w:rPr>
          <w:szCs w:val="22"/>
          <w:lang w:val="lt-LT"/>
        </w:rPr>
      </w:pPr>
    </w:p>
    <w:p w14:paraId="7184AA27" w14:textId="77777777" w:rsidR="00B830AE" w:rsidRPr="001C169A" w:rsidRDefault="00B830AE" w:rsidP="00B830AE">
      <w:pPr>
        <w:pStyle w:val="Pavadinimas"/>
        <w:rPr>
          <w:szCs w:val="22"/>
          <w:lang w:val="lt-LT"/>
        </w:rPr>
      </w:pPr>
    </w:p>
    <w:p w14:paraId="0980967A" w14:textId="77777777" w:rsidR="00B830AE" w:rsidRPr="001C169A" w:rsidRDefault="00B830AE" w:rsidP="00B830AE">
      <w:pPr>
        <w:pStyle w:val="Pavadinimas"/>
        <w:rPr>
          <w:szCs w:val="22"/>
          <w:lang w:val="lt-LT"/>
        </w:rPr>
      </w:pPr>
    </w:p>
    <w:p w14:paraId="251986FC" w14:textId="77777777" w:rsidR="00B830AE" w:rsidRPr="001C169A" w:rsidRDefault="00B830AE" w:rsidP="00B830AE">
      <w:pPr>
        <w:pStyle w:val="Pavadinimas"/>
        <w:rPr>
          <w:szCs w:val="22"/>
          <w:lang w:val="lt-LT"/>
        </w:rPr>
      </w:pPr>
    </w:p>
    <w:p w14:paraId="5F5C4205" w14:textId="77777777" w:rsidR="00B830AE" w:rsidRPr="001C169A" w:rsidRDefault="00B830AE" w:rsidP="00B830AE">
      <w:pPr>
        <w:pStyle w:val="Pavadinimas"/>
        <w:rPr>
          <w:szCs w:val="22"/>
          <w:lang w:val="lt-LT"/>
        </w:rPr>
      </w:pPr>
    </w:p>
    <w:p w14:paraId="715D96CD" w14:textId="77777777" w:rsidR="00B830AE" w:rsidRPr="001C169A" w:rsidRDefault="00B830AE" w:rsidP="00B830AE">
      <w:pPr>
        <w:pStyle w:val="Pavadinimas"/>
        <w:rPr>
          <w:szCs w:val="22"/>
          <w:lang w:val="lt-LT"/>
        </w:rPr>
      </w:pPr>
    </w:p>
    <w:p w14:paraId="2E6F2046" w14:textId="77777777" w:rsidR="00B830AE" w:rsidRPr="001C169A" w:rsidRDefault="00B830AE" w:rsidP="00B830AE">
      <w:pPr>
        <w:pStyle w:val="Pavadinimas"/>
        <w:rPr>
          <w:szCs w:val="22"/>
          <w:lang w:val="lt-LT"/>
        </w:rPr>
      </w:pPr>
    </w:p>
    <w:p w14:paraId="7835E32F" w14:textId="77777777" w:rsidR="00B830AE" w:rsidRPr="001C169A" w:rsidRDefault="00B830AE" w:rsidP="00B830AE">
      <w:pPr>
        <w:pStyle w:val="Pavadinimas"/>
        <w:rPr>
          <w:szCs w:val="22"/>
          <w:lang w:val="lt-LT"/>
        </w:rPr>
      </w:pPr>
    </w:p>
    <w:p w14:paraId="46598666" w14:textId="77777777" w:rsidR="00B830AE" w:rsidRPr="001C169A" w:rsidRDefault="00B830AE" w:rsidP="00B830AE">
      <w:pPr>
        <w:pStyle w:val="Pavadinimas"/>
        <w:rPr>
          <w:szCs w:val="22"/>
          <w:lang w:val="lt-LT"/>
        </w:rPr>
      </w:pPr>
    </w:p>
    <w:p w14:paraId="7385C880" w14:textId="77777777" w:rsidR="00B830AE" w:rsidRPr="001C169A" w:rsidRDefault="00B830AE" w:rsidP="00B830AE">
      <w:pPr>
        <w:pStyle w:val="Pavadinimas"/>
        <w:rPr>
          <w:szCs w:val="22"/>
          <w:lang w:val="lt-LT"/>
        </w:rPr>
      </w:pPr>
    </w:p>
    <w:p w14:paraId="6E69C158" w14:textId="77777777" w:rsidR="00B830AE" w:rsidRPr="001C169A" w:rsidRDefault="00B830AE" w:rsidP="00B830AE">
      <w:pPr>
        <w:pStyle w:val="Pavadinimas"/>
        <w:rPr>
          <w:szCs w:val="22"/>
          <w:lang w:val="lt-LT"/>
        </w:rPr>
      </w:pPr>
    </w:p>
    <w:p w14:paraId="6A2B4E11" w14:textId="77777777" w:rsidR="00B830AE" w:rsidRPr="001C169A" w:rsidRDefault="00B830AE" w:rsidP="00B830AE">
      <w:pPr>
        <w:pStyle w:val="Pavadinimas"/>
        <w:rPr>
          <w:szCs w:val="22"/>
          <w:lang w:val="lt-LT"/>
        </w:rPr>
      </w:pPr>
    </w:p>
    <w:p w14:paraId="1A5EE12F" w14:textId="77777777" w:rsidR="00B830AE" w:rsidRPr="001C169A" w:rsidRDefault="00B830AE" w:rsidP="00B830AE">
      <w:pPr>
        <w:pStyle w:val="Pavadinimas"/>
        <w:rPr>
          <w:szCs w:val="22"/>
          <w:lang w:val="lt-LT"/>
        </w:rPr>
      </w:pPr>
    </w:p>
    <w:p w14:paraId="44F176FB" w14:textId="77777777" w:rsidR="00B830AE" w:rsidRPr="001C169A" w:rsidRDefault="00B830AE" w:rsidP="00B830AE">
      <w:pPr>
        <w:pStyle w:val="Pavadinimas"/>
        <w:rPr>
          <w:szCs w:val="22"/>
          <w:lang w:val="lt-LT"/>
        </w:rPr>
      </w:pPr>
    </w:p>
    <w:p w14:paraId="7E6E49C8" w14:textId="77777777" w:rsidR="00B830AE" w:rsidRPr="001C169A" w:rsidRDefault="00B830AE" w:rsidP="00B830AE">
      <w:pPr>
        <w:pStyle w:val="Pavadinimas"/>
        <w:rPr>
          <w:szCs w:val="22"/>
          <w:lang w:val="lt-LT"/>
        </w:rPr>
      </w:pPr>
    </w:p>
    <w:p w14:paraId="68116C40" w14:textId="77777777" w:rsidR="00B830AE" w:rsidRPr="00C60E76" w:rsidRDefault="00B830AE" w:rsidP="00B830AE">
      <w:pPr>
        <w:pStyle w:val="TTEMEASMCA"/>
        <w:rPr>
          <w:sz w:val="22"/>
          <w:lang w:val="lt-LT"/>
        </w:rPr>
      </w:pPr>
      <w:bookmarkStart w:id="70" w:name="_Toc129243137"/>
      <w:bookmarkStart w:id="71" w:name="_Toc129243262"/>
    </w:p>
    <w:p w14:paraId="7F72B0FB" w14:textId="77777777" w:rsidR="00B830AE" w:rsidRPr="00C60E76" w:rsidRDefault="00B830AE" w:rsidP="00B830AE">
      <w:pPr>
        <w:pStyle w:val="TTEMEASMCA"/>
        <w:rPr>
          <w:sz w:val="22"/>
          <w:lang w:val="lt-LT"/>
        </w:rPr>
      </w:pPr>
    </w:p>
    <w:p w14:paraId="6DFC964D" w14:textId="77777777" w:rsidR="00B830AE" w:rsidRPr="00C60E76" w:rsidRDefault="00B830AE" w:rsidP="00B830AE">
      <w:pPr>
        <w:pStyle w:val="TTEMEASMCA"/>
        <w:rPr>
          <w:sz w:val="22"/>
          <w:lang w:val="lt-LT"/>
        </w:rPr>
      </w:pPr>
    </w:p>
    <w:p w14:paraId="0E1EF166" w14:textId="77777777" w:rsidR="00B830AE" w:rsidRPr="00C60E76" w:rsidRDefault="00B830AE" w:rsidP="00B830AE">
      <w:pPr>
        <w:pStyle w:val="TTEMEASMCA"/>
        <w:rPr>
          <w:sz w:val="22"/>
          <w:lang w:val="lt-LT"/>
        </w:rPr>
      </w:pPr>
    </w:p>
    <w:p w14:paraId="541F9F69" w14:textId="77777777" w:rsidR="00B830AE" w:rsidRPr="00C60E76" w:rsidRDefault="00B830AE" w:rsidP="00B830AE">
      <w:pPr>
        <w:pStyle w:val="TTEMEASMCA"/>
        <w:rPr>
          <w:sz w:val="22"/>
          <w:lang w:val="lt-LT"/>
        </w:rPr>
      </w:pPr>
    </w:p>
    <w:p w14:paraId="5C335250" w14:textId="77777777" w:rsidR="00B830AE" w:rsidRPr="001C169A" w:rsidRDefault="00B830AE" w:rsidP="00B830AE">
      <w:pPr>
        <w:pStyle w:val="TTEMEASMCA"/>
        <w:rPr>
          <w:sz w:val="22"/>
          <w:szCs w:val="22"/>
          <w:lang w:val="lt-LT"/>
        </w:rPr>
      </w:pPr>
    </w:p>
    <w:p w14:paraId="37E9B8BB" w14:textId="77777777" w:rsidR="00B830AE" w:rsidRPr="001C169A" w:rsidRDefault="00B830AE" w:rsidP="00B830AE">
      <w:pPr>
        <w:pStyle w:val="TTEMEASMCA"/>
        <w:rPr>
          <w:sz w:val="22"/>
          <w:szCs w:val="22"/>
          <w:lang w:val="lt-LT"/>
        </w:rPr>
      </w:pPr>
    </w:p>
    <w:p w14:paraId="1C60A677" w14:textId="77777777" w:rsidR="00B830AE" w:rsidRPr="001C169A" w:rsidRDefault="00B830AE" w:rsidP="00B830AE">
      <w:pPr>
        <w:pStyle w:val="TTEMEASMCA"/>
        <w:rPr>
          <w:sz w:val="22"/>
          <w:szCs w:val="22"/>
          <w:lang w:val="lt-LT"/>
        </w:rPr>
      </w:pPr>
    </w:p>
    <w:p w14:paraId="42DEF67A" w14:textId="77777777" w:rsidR="00B830AE" w:rsidRPr="001C169A" w:rsidRDefault="00B830AE" w:rsidP="00B830AE">
      <w:pPr>
        <w:pStyle w:val="TTEMEASMCA"/>
        <w:rPr>
          <w:sz w:val="22"/>
          <w:szCs w:val="22"/>
          <w:lang w:val="lt-LT"/>
        </w:rPr>
      </w:pPr>
    </w:p>
    <w:p w14:paraId="7EA27897" w14:textId="77777777" w:rsidR="00B830AE" w:rsidRPr="001C169A" w:rsidRDefault="00B830AE" w:rsidP="00B830AE">
      <w:pPr>
        <w:pStyle w:val="TTEMEASMCA"/>
        <w:rPr>
          <w:sz w:val="22"/>
          <w:szCs w:val="22"/>
          <w:lang w:val="lt-LT"/>
        </w:rPr>
      </w:pPr>
    </w:p>
    <w:p w14:paraId="39F923A1" w14:textId="77777777" w:rsidR="00B830AE" w:rsidRPr="001C169A" w:rsidRDefault="00B830AE" w:rsidP="00B830AE">
      <w:pPr>
        <w:pStyle w:val="TTEMEASMCA"/>
        <w:rPr>
          <w:sz w:val="22"/>
          <w:szCs w:val="22"/>
          <w:lang w:val="lt-LT"/>
        </w:rPr>
      </w:pPr>
    </w:p>
    <w:p w14:paraId="25D8AB2F" w14:textId="77777777" w:rsidR="00B830AE" w:rsidRPr="001C169A" w:rsidRDefault="00B830AE" w:rsidP="00B830AE">
      <w:pPr>
        <w:pStyle w:val="TTEMEASMCA"/>
        <w:rPr>
          <w:sz w:val="22"/>
          <w:szCs w:val="22"/>
          <w:lang w:val="lt-LT"/>
        </w:rPr>
      </w:pPr>
    </w:p>
    <w:p w14:paraId="042BFFCC" w14:textId="77777777" w:rsidR="00B830AE" w:rsidRPr="001C169A" w:rsidRDefault="00B830AE" w:rsidP="00B830AE">
      <w:pPr>
        <w:pStyle w:val="TTEMEASMCA"/>
        <w:rPr>
          <w:sz w:val="22"/>
          <w:szCs w:val="22"/>
          <w:lang w:val="lt-LT"/>
        </w:rPr>
      </w:pPr>
    </w:p>
    <w:p w14:paraId="2700E0CB" w14:textId="77777777" w:rsidR="00B830AE" w:rsidRPr="001C169A" w:rsidRDefault="00B830AE" w:rsidP="00B830AE">
      <w:pPr>
        <w:pStyle w:val="TTEMEASMCA"/>
        <w:rPr>
          <w:sz w:val="22"/>
          <w:szCs w:val="22"/>
          <w:lang w:val="lt-LT"/>
        </w:rPr>
      </w:pPr>
    </w:p>
    <w:p w14:paraId="67BCA19D" w14:textId="77777777" w:rsidR="00B830AE" w:rsidRPr="001C169A" w:rsidRDefault="00B830AE" w:rsidP="00B830AE">
      <w:pPr>
        <w:pStyle w:val="TTEMEASMCA"/>
        <w:rPr>
          <w:sz w:val="22"/>
          <w:szCs w:val="22"/>
          <w:lang w:val="lt-LT"/>
        </w:rPr>
      </w:pPr>
    </w:p>
    <w:p w14:paraId="4A90E405" w14:textId="77777777" w:rsidR="00B830AE" w:rsidRPr="001C169A" w:rsidRDefault="00B830AE" w:rsidP="00B830AE">
      <w:pPr>
        <w:pStyle w:val="TTEMEASMCA"/>
        <w:rPr>
          <w:sz w:val="22"/>
          <w:szCs w:val="22"/>
          <w:lang w:val="lt-LT"/>
        </w:rPr>
      </w:pPr>
    </w:p>
    <w:p w14:paraId="33886171" w14:textId="77777777" w:rsidR="00B830AE" w:rsidRPr="001C169A" w:rsidRDefault="00B830AE" w:rsidP="00B830AE">
      <w:pPr>
        <w:pStyle w:val="TTEMEASMCA"/>
        <w:rPr>
          <w:sz w:val="22"/>
          <w:szCs w:val="22"/>
          <w:lang w:val="lt-LT"/>
        </w:rPr>
      </w:pPr>
    </w:p>
    <w:p w14:paraId="120F0CC9" w14:textId="77777777" w:rsidR="00B830AE" w:rsidRPr="001C169A" w:rsidRDefault="00B830AE" w:rsidP="00B830AE">
      <w:pPr>
        <w:pStyle w:val="TTEMEASMCA"/>
        <w:rPr>
          <w:sz w:val="22"/>
          <w:szCs w:val="22"/>
          <w:lang w:val="lt-LT"/>
        </w:rPr>
      </w:pPr>
    </w:p>
    <w:p w14:paraId="666A419A" w14:textId="77777777" w:rsidR="00B830AE" w:rsidRPr="001C169A" w:rsidRDefault="00B830AE" w:rsidP="00B830AE">
      <w:pPr>
        <w:pStyle w:val="TTEMEASMCA"/>
        <w:rPr>
          <w:sz w:val="22"/>
          <w:szCs w:val="22"/>
          <w:lang w:val="lt-LT"/>
        </w:rPr>
      </w:pPr>
    </w:p>
    <w:p w14:paraId="15638ED5" w14:textId="77777777" w:rsidR="00B830AE" w:rsidRPr="001C169A" w:rsidRDefault="00B830AE" w:rsidP="00B830AE">
      <w:pPr>
        <w:pStyle w:val="TTEMEASMCA"/>
        <w:rPr>
          <w:sz w:val="22"/>
          <w:szCs w:val="22"/>
          <w:lang w:val="lt-LT"/>
        </w:rPr>
      </w:pPr>
    </w:p>
    <w:p w14:paraId="276B4BB6" w14:textId="77777777" w:rsidR="00B830AE" w:rsidRPr="001C169A" w:rsidRDefault="00B830AE" w:rsidP="00B830AE">
      <w:pPr>
        <w:pStyle w:val="TTEMEASMCA"/>
        <w:rPr>
          <w:sz w:val="22"/>
          <w:szCs w:val="22"/>
          <w:lang w:val="lt-LT"/>
        </w:rPr>
      </w:pPr>
    </w:p>
    <w:p w14:paraId="5A443FC9" w14:textId="77777777" w:rsidR="00B830AE" w:rsidRPr="001C169A" w:rsidRDefault="00B830AE" w:rsidP="00B830AE">
      <w:pPr>
        <w:pStyle w:val="TTEMEASMCA"/>
        <w:rPr>
          <w:sz w:val="22"/>
          <w:szCs w:val="22"/>
          <w:lang w:val="lt-LT"/>
        </w:rPr>
      </w:pPr>
    </w:p>
    <w:p w14:paraId="074FE47B" w14:textId="77777777" w:rsidR="00B830AE" w:rsidRPr="001C169A" w:rsidRDefault="00B830AE" w:rsidP="00B830AE">
      <w:pPr>
        <w:pStyle w:val="TTEMEASMCA"/>
        <w:rPr>
          <w:sz w:val="22"/>
          <w:szCs w:val="22"/>
          <w:lang w:val="lt-LT"/>
        </w:rPr>
      </w:pPr>
    </w:p>
    <w:p w14:paraId="1EFCE9B9" w14:textId="77777777" w:rsidR="00B830AE" w:rsidRPr="001C169A" w:rsidRDefault="00B830AE" w:rsidP="00B830AE">
      <w:pPr>
        <w:pStyle w:val="TTEMEASMCA"/>
        <w:rPr>
          <w:sz w:val="22"/>
          <w:szCs w:val="22"/>
          <w:lang w:val="lt-LT"/>
        </w:rPr>
      </w:pPr>
    </w:p>
    <w:p w14:paraId="679F2A08" w14:textId="77777777" w:rsidR="00B830AE" w:rsidRPr="001C169A" w:rsidRDefault="00B830AE" w:rsidP="00B830AE">
      <w:pPr>
        <w:pStyle w:val="TTEMEASMCA"/>
        <w:rPr>
          <w:sz w:val="22"/>
          <w:szCs w:val="22"/>
          <w:lang w:val="lt-LT"/>
        </w:rPr>
      </w:pPr>
    </w:p>
    <w:p w14:paraId="601C6E37" w14:textId="77777777" w:rsidR="00B830AE" w:rsidRPr="001C169A" w:rsidRDefault="00B830AE" w:rsidP="00B830AE">
      <w:pPr>
        <w:pStyle w:val="TTEMEASMCA"/>
        <w:rPr>
          <w:sz w:val="22"/>
          <w:szCs w:val="22"/>
          <w:lang w:val="lt-LT"/>
        </w:rPr>
      </w:pPr>
    </w:p>
    <w:p w14:paraId="3DBD10BE" w14:textId="77777777" w:rsidR="00B830AE" w:rsidRPr="001C169A" w:rsidRDefault="00B830AE" w:rsidP="00B830AE">
      <w:pPr>
        <w:pStyle w:val="TTEMEASMCA"/>
        <w:rPr>
          <w:sz w:val="22"/>
          <w:szCs w:val="22"/>
          <w:lang w:val="lt-LT"/>
        </w:rPr>
      </w:pPr>
    </w:p>
    <w:p w14:paraId="19381DEB" w14:textId="77777777" w:rsidR="00B830AE" w:rsidRPr="001C169A" w:rsidRDefault="00B830AE" w:rsidP="00B830AE">
      <w:pPr>
        <w:pStyle w:val="TTEMEASMCA"/>
        <w:rPr>
          <w:sz w:val="22"/>
          <w:szCs w:val="22"/>
          <w:lang w:val="lt-LT"/>
        </w:rPr>
      </w:pPr>
    </w:p>
    <w:p w14:paraId="18E0927F" w14:textId="77777777" w:rsidR="00B830AE" w:rsidRPr="001C169A" w:rsidRDefault="00B830AE" w:rsidP="00B830AE">
      <w:pPr>
        <w:pStyle w:val="TTEMEASMCA"/>
        <w:rPr>
          <w:sz w:val="22"/>
          <w:szCs w:val="22"/>
          <w:lang w:val="lt-LT"/>
        </w:rPr>
      </w:pPr>
      <w:r w:rsidRPr="001C169A">
        <w:rPr>
          <w:sz w:val="22"/>
          <w:szCs w:val="22"/>
          <w:lang w:val="lt-LT"/>
        </w:rPr>
        <w:t>B. PAKUOTĖS LAPELIS</w:t>
      </w:r>
      <w:bookmarkEnd w:id="70"/>
      <w:bookmarkEnd w:id="71"/>
    </w:p>
    <w:p w14:paraId="7A60C89B" w14:textId="77777777" w:rsidR="00B830AE" w:rsidRPr="001C169A" w:rsidRDefault="00B830AE" w:rsidP="00B830AE">
      <w:pPr>
        <w:pStyle w:val="TTEMEASMCA"/>
        <w:rPr>
          <w:sz w:val="22"/>
          <w:szCs w:val="22"/>
          <w:lang w:val="lt-LT"/>
        </w:rPr>
      </w:pPr>
      <w:r w:rsidRPr="001C169A">
        <w:rPr>
          <w:sz w:val="22"/>
          <w:szCs w:val="22"/>
          <w:lang w:val="lt-LT"/>
        </w:rPr>
        <w:br w:type="page"/>
      </w:r>
      <w:bookmarkStart w:id="72" w:name="_Toc129243138"/>
      <w:bookmarkStart w:id="73" w:name="_Toc129243263"/>
      <w:r w:rsidRPr="001C169A">
        <w:rPr>
          <w:sz w:val="22"/>
          <w:szCs w:val="22"/>
          <w:lang w:val="lt-LT"/>
        </w:rPr>
        <w:lastRenderedPageBreak/>
        <w:t>P</w:t>
      </w:r>
      <w:r w:rsidRPr="001C169A">
        <w:rPr>
          <w:caps w:val="0"/>
          <w:sz w:val="22"/>
          <w:szCs w:val="22"/>
          <w:lang w:val="lt-LT"/>
        </w:rPr>
        <w:t>akuotės lapelis: informacija vartotojui</w:t>
      </w:r>
      <w:bookmarkEnd w:id="72"/>
      <w:bookmarkEnd w:id="73"/>
    </w:p>
    <w:p w14:paraId="6DFCE488" w14:textId="77777777" w:rsidR="00B830AE" w:rsidRPr="001C169A" w:rsidRDefault="00B830AE" w:rsidP="00B830AE">
      <w:pPr>
        <w:pStyle w:val="BTEMEASMCA"/>
      </w:pPr>
    </w:p>
    <w:p w14:paraId="19D829EC" w14:textId="77777777" w:rsidR="00B830AE" w:rsidRPr="001C169A" w:rsidRDefault="00B830AE" w:rsidP="00B830AE">
      <w:pPr>
        <w:pStyle w:val="BTbeEMEASMCA"/>
      </w:pPr>
      <w:r w:rsidRPr="001C169A">
        <w:t>AXASTROL 1 mg plėvele dengtos tabletės</w:t>
      </w:r>
    </w:p>
    <w:p w14:paraId="14CD0799" w14:textId="77777777" w:rsidR="00B830AE" w:rsidRPr="001C169A" w:rsidRDefault="00B830AE" w:rsidP="00B830AE">
      <w:pPr>
        <w:pStyle w:val="BTeEMEASMCA"/>
      </w:pPr>
      <w:r w:rsidRPr="001C169A">
        <w:t>Anastrozolas</w:t>
      </w:r>
    </w:p>
    <w:p w14:paraId="18A9294A" w14:textId="77777777" w:rsidR="00B830AE" w:rsidRPr="001C169A" w:rsidRDefault="00B830AE" w:rsidP="00B830AE">
      <w:pPr>
        <w:pStyle w:val="BTEMEASMCA"/>
      </w:pPr>
    </w:p>
    <w:p w14:paraId="2CA1B1E8" w14:textId="77777777" w:rsidR="00B830AE" w:rsidRPr="001C169A" w:rsidRDefault="00B830AE" w:rsidP="00B830AE">
      <w:pPr>
        <w:pStyle w:val="BTbEMEASMCA"/>
      </w:pPr>
      <w:r w:rsidRPr="001C169A">
        <w:t>Atidžiai perskaitykite visą šį lapelį, prieš pradėdami vartoti vaistą, nes jame pateikiama Jums svarbi informacija.</w:t>
      </w:r>
    </w:p>
    <w:p w14:paraId="5232E9B2" w14:textId="77777777" w:rsidR="00B830AE" w:rsidRPr="001C169A" w:rsidRDefault="00B830AE" w:rsidP="00B830AE">
      <w:pPr>
        <w:pStyle w:val="BT-EMEASMCA"/>
        <w:numPr>
          <w:ilvl w:val="0"/>
          <w:numId w:val="2"/>
        </w:numPr>
      </w:pPr>
      <w:r w:rsidRPr="001C169A">
        <w:t>Neišmeskite šio lapelio, nes vėl gali prireikti jį perskaityti.</w:t>
      </w:r>
    </w:p>
    <w:p w14:paraId="063C3865" w14:textId="77777777" w:rsidR="00B830AE" w:rsidRPr="001C169A" w:rsidRDefault="00B830AE" w:rsidP="00B830AE">
      <w:pPr>
        <w:pStyle w:val="BT-EMEASMCA"/>
        <w:numPr>
          <w:ilvl w:val="0"/>
          <w:numId w:val="2"/>
        </w:numPr>
      </w:pPr>
      <w:r w:rsidRPr="001C169A">
        <w:t>Jeigu kiltų daugiau klausimų, kreipkitės į gydytoją arba vaistininką.</w:t>
      </w:r>
    </w:p>
    <w:p w14:paraId="4F4C2F4A" w14:textId="77777777" w:rsidR="00B830AE" w:rsidRPr="001C169A" w:rsidRDefault="00B830AE" w:rsidP="00B830AE">
      <w:pPr>
        <w:pStyle w:val="BT-EMEASMCA"/>
        <w:numPr>
          <w:ilvl w:val="0"/>
          <w:numId w:val="2"/>
        </w:numPr>
      </w:pPr>
      <w:r w:rsidRPr="001C169A">
        <w:t>Šis vaistas skirtas tik Jums, todėl kitiems žmonėms jo duoti negalima. Vaistas gali jiems pakenkti (net tiems, kurių ligos požymiai yra tokie patys kaip Jūsų).</w:t>
      </w:r>
    </w:p>
    <w:p w14:paraId="38BF175B" w14:textId="77777777" w:rsidR="00B830AE" w:rsidRPr="001C169A" w:rsidRDefault="00B830AE" w:rsidP="00B830AE">
      <w:pPr>
        <w:pStyle w:val="BT-EMEASMCA"/>
        <w:numPr>
          <w:ilvl w:val="0"/>
          <w:numId w:val="2"/>
        </w:numPr>
      </w:pPr>
      <w:r w:rsidRPr="001C169A">
        <w:t>Jeigu pasireiškė šalutinis poveikis (net jeigu jis šiame lapelyje nenurodytas), kreipkitės į gydytoją arba vaistininką. Žr. 4 skyrių.</w:t>
      </w:r>
    </w:p>
    <w:p w14:paraId="15EFC000" w14:textId="77777777" w:rsidR="00B830AE" w:rsidRPr="001C169A" w:rsidRDefault="00B830AE" w:rsidP="00B830AE">
      <w:pPr>
        <w:pStyle w:val="BTEMEASMCA"/>
      </w:pPr>
    </w:p>
    <w:p w14:paraId="29A56D7C" w14:textId="77777777" w:rsidR="00B830AE" w:rsidRPr="001C169A" w:rsidRDefault="00B830AE" w:rsidP="00B830AE">
      <w:pPr>
        <w:pStyle w:val="BTEMEASMCA"/>
      </w:pPr>
    </w:p>
    <w:p w14:paraId="4A65EB57" w14:textId="77777777" w:rsidR="00B830AE" w:rsidRPr="001C169A" w:rsidRDefault="00B830AE" w:rsidP="00B830AE">
      <w:pPr>
        <w:pStyle w:val="BTEMEASMCA"/>
        <w:rPr>
          <w:b/>
        </w:rPr>
      </w:pPr>
      <w:r w:rsidRPr="001C169A">
        <w:rPr>
          <w:b/>
        </w:rPr>
        <w:t>Apie ką rašoma šiame lapelyje?</w:t>
      </w:r>
    </w:p>
    <w:p w14:paraId="43023269" w14:textId="77777777" w:rsidR="00B830AE" w:rsidRPr="001C169A" w:rsidRDefault="00B830AE" w:rsidP="00B830AE">
      <w:pPr>
        <w:pStyle w:val="BTEMEASMCA"/>
      </w:pPr>
    </w:p>
    <w:p w14:paraId="4654BCC3" w14:textId="77777777" w:rsidR="00B830AE" w:rsidRPr="001C169A" w:rsidRDefault="00B830AE" w:rsidP="00B830AE">
      <w:pPr>
        <w:pStyle w:val="BTEMEASMCA"/>
      </w:pPr>
      <w:r w:rsidRPr="001C169A">
        <w:t>1.</w:t>
      </w:r>
      <w:r w:rsidRPr="001C169A">
        <w:tab/>
        <w:t>Kas yra AXASTROL ir kam jis vartojamas</w:t>
      </w:r>
    </w:p>
    <w:p w14:paraId="3BDA5DC8" w14:textId="77777777" w:rsidR="00B830AE" w:rsidRPr="001C169A" w:rsidRDefault="00B830AE" w:rsidP="00B830AE">
      <w:pPr>
        <w:pStyle w:val="BTEMEASMCA"/>
      </w:pPr>
      <w:r w:rsidRPr="001C169A">
        <w:t>2.</w:t>
      </w:r>
      <w:r w:rsidRPr="001C169A">
        <w:tab/>
        <w:t>Kas žinotina prieš vartojant AXASTROL</w:t>
      </w:r>
    </w:p>
    <w:p w14:paraId="434C8C6F" w14:textId="77777777" w:rsidR="00B830AE" w:rsidRPr="001C169A" w:rsidRDefault="00B830AE" w:rsidP="00B830AE">
      <w:pPr>
        <w:pStyle w:val="BTEMEASMCA"/>
      </w:pPr>
      <w:r w:rsidRPr="001C169A">
        <w:t>3.</w:t>
      </w:r>
      <w:r w:rsidRPr="001C169A">
        <w:tab/>
        <w:t>Kaip vartoti AXASTROL</w:t>
      </w:r>
    </w:p>
    <w:p w14:paraId="6AB462CD" w14:textId="77777777" w:rsidR="00B830AE" w:rsidRPr="001C169A" w:rsidRDefault="00B830AE" w:rsidP="00B830AE">
      <w:pPr>
        <w:pStyle w:val="BTEMEASMCA"/>
      </w:pPr>
      <w:r w:rsidRPr="001C169A">
        <w:t>4.</w:t>
      </w:r>
      <w:r w:rsidRPr="001C169A">
        <w:tab/>
        <w:t>Galimas šalutinis poveikis</w:t>
      </w:r>
    </w:p>
    <w:p w14:paraId="253F4291" w14:textId="77777777" w:rsidR="00B830AE" w:rsidRPr="001C169A" w:rsidRDefault="00B830AE" w:rsidP="00B830AE">
      <w:pPr>
        <w:pStyle w:val="BTEMEASMCA"/>
      </w:pPr>
      <w:r w:rsidRPr="001C169A">
        <w:t>5.</w:t>
      </w:r>
      <w:r w:rsidRPr="001C169A">
        <w:tab/>
        <w:t>Kaip laikyti AXASTROL</w:t>
      </w:r>
    </w:p>
    <w:p w14:paraId="06E98454" w14:textId="77777777" w:rsidR="00B830AE" w:rsidRPr="001C169A" w:rsidRDefault="00B830AE" w:rsidP="00B830AE">
      <w:pPr>
        <w:pStyle w:val="BTEMEASMCA"/>
      </w:pPr>
      <w:r w:rsidRPr="001C169A">
        <w:t>6.</w:t>
      </w:r>
      <w:r w:rsidRPr="001C169A">
        <w:tab/>
        <w:t>Pakuotės turinys ir kita informacija</w:t>
      </w:r>
    </w:p>
    <w:p w14:paraId="47864137" w14:textId="77777777" w:rsidR="00B830AE" w:rsidRPr="001C169A" w:rsidRDefault="00B830AE" w:rsidP="00B830AE">
      <w:pPr>
        <w:pStyle w:val="BTEMEASMCA"/>
      </w:pPr>
    </w:p>
    <w:p w14:paraId="0480A563" w14:textId="77777777" w:rsidR="00B830AE" w:rsidRPr="001C169A" w:rsidRDefault="00B830AE" w:rsidP="00B830AE">
      <w:pPr>
        <w:pStyle w:val="BTEMEASMCA"/>
      </w:pPr>
    </w:p>
    <w:p w14:paraId="5655889A" w14:textId="77777777" w:rsidR="00B830AE" w:rsidRPr="001C169A" w:rsidRDefault="00B830AE" w:rsidP="00B830AE">
      <w:pPr>
        <w:pStyle w:val="PI-1EMEASMCA"/>
      </w:pPr>
      <w:bookmarkStart w:id="74" w:name="_Toc129243139"/>
      <w:bookmarkStart w:id="75" w:name="_Toc129243264"/>
      <w:r w:rsidRPr="001C169A">
        <w:t>1.</w:t>
      </w:r>
      <w:r w:rsidRPr="001C169A">
        <w:tab/>
        <w:t>Kas yra AXASTROL ir kam jis vartojamas</w:t>
      </w:r>
      <w:bookmarkEnd w:id="74"/>
      <w:bookmarkEnd w:id="75"/>
    </w:p>
    <w:p w14:paraId="2A665A48" w14:textId="77777777" w:rsidR="00B830AE" w:rsidRPr="001C169A" w:rsidRDefault="00B830AE" w:rsidP="00B830AE">
      <w:pPr>
        <w:pStyle w:val="BTEMEASMCA"/>
      </w:pPr>
    </w:p>
    <w:p w14:paraId="33A249EF" w14:textId="77777777" w:rsidR="00B830AE" w:rsidRPr="001C169A" w:rsidRDefault="00B830AE" w:rsidP="00B830AE">
      <w:pPr>
        <w:pStyle w:val="Pagrindinistekstas"/>
        <w:spacing w:after="0"/>
        <w:rPr>
          <w:szCs w:val="22"/>
        </w:rPr>
      </w:pPr>
      <w:r w:rsidRPr="001C169A">
        <w:rPr>
          <w:szCs w:val="22"/>
        </w:rPr>
        <w:t xml:space="preserve">AXASTROL sudėtyje yra </w:t>
      </w:r>
      <w:proofErr w:type="spellStart"/>
      <w:r w:rsidRPr="001C169A">
        <w:rPr>
          <w:szCs w:val="22"/>
        </w:rPr>
        <w:t>anastrozolo</w:t>
      </w:r>
      <w:proofErr w:type="spellEnd"/>
      <w:r w:rsidRPr="001C169A">
        <w:rPr>
          <w:szCs w:val="22"/>
        </w:rPr>
        <w:t xml:space="preserve">. Jis priklauso vaistų, vadinamų </w:t>
      </w:r>
      <w:proofErr w:type="spellStart"/>
      <w:r w:rsidRPr="001C169A">
        <w:rPr>
          <w:szCs w:val="22"/>
        </w:rPr>
        <w:t>aromatazės</w:t>
      </w:r>
      <w:proofErr w:type="spellEnd"/>
      <w:r w:rsidRPr="001C169A">
        <w:rPr>
          <w:szCs w:val="22"/>
        </w:rPr>
        <w:t xml:space="preserve"> inhibitoriais, grupei. AXASTROL vartojamas moterų po menopauzės krūties vėžiui gydyti.</w:t>
      </w:r>
    </w:p>
    <w:p w14:paraId="73FB1E21" w14:textId="77777777" w:rsidR="00B830AE" w:rsidRPr="001C169A" w:rsidRDefault="00B830AE" w:rsidP="00B830AE">
      <w:pPr>
        <w:pStyle w:val="BTEMEASMCA"/>
      </w:pPr>
    </w:p>
    <w:p w14:paraId="03BFBCB2" w14:textId="77777777" w:rsidR="00B830AE" w:rsidRPr="001C169A" w:rsidRDefault="00B830AE" w:rsidP="00B830AE">
      <w:pPr>
        <w:pStyle w:val="BTEMEASMCA"/>
      </w:pPr>
      <w:r w:rsidRPr="001C169A">
        <w:t xml:space="preserve">AXASTROL sumažina tam tikrų moteriškų lytinių hormonų, tokių kaip estrogenai, kiekį. Tai reiškia, kad jis sutrikdo tam tikrą aromatazės, organizme esančio fermento, veikimą. </w:t>
      </w:r>
    </w:p>
    <w:p w14:paraId="6DB6B0EF" w14:textId="77777777" w:rsidR="00B830AE" w:rsidRPr="001C169A" w:rsidRDefault="00B830AE" w:rsidP="00B830AE">
      <w:pPr>
        <w:pStyle w:val="BTEMEASMCA"/>
      </w:pPr>
    </w:p>
    <w:p w14:paraId="14AEAA7A" w14:textId="77777777" w:rsidR="00B830AE" w:rsidRPr="001C169A" w:rsidRDefault="00B830AE" w:rsidP="00B830AE">
      <w:pPr>
        <w:pStyle w:val="BTEMEASMCA"/>
      </w:pPr>
    </w:p>
    <w:p w14:paraId="0BCEC24C" w14:textId="77777777" w:rsidR="00B830AE" w:rsidRPr="001C169A" w:rsidRDefault="00B830AE" w:rsidP="00B830AE">
      <w:pPr>
        <w:pStyle w:val="PI-1EMEASMCA"/>
      </w:pPr>
      <w:bookmarkStart w:id="76" w:name="_Toc129243140"/>
      <w:bookmarkStart w:id="77" w:name="_Toc129243265"/>
      <w:r w:rsidRPr="001C169A">
        <w:t>2.</w:t>
      </w:r>
      <w:r w:rsidRPr="001C169A">
        <w:tab/>
        <w:t>Kas žinotina prieš vartojant AXASTROL</w:t>
      </w:r>
      <w:bookmarkEnd w:id="76"/>
      <w:bookmarkEnd w:id="77"/>
    </w:p>
    <w:p w14:paraId="16008506" w14:textId="77777777" w:rsidR="00B830AE" w:rsidRPr="001C169A" w:rsidRDefault="00B830AE" w:rsidP="00B830AE">
      <w:pPr>
        <w:pStyle w:val="BTEMEASMCA"/>
      </w:pPr>
    </w:p>
    <w:p w14:paraId="2CFBFF7D" w14:textId="77777777" w:rsidR="00B830AE" w:rsidRPr="001C169A" w:rsidRDefault="00B830AE" w:rsidP="00B830AE">
      <w:pPr>
        <w:pStyle w:val="PI-3EMEASMCA"/>
      </w:pPr>
      <w:r w:rsidRPr="001C169A">
        <w:t>AXASTROL vartoti negalima:</w:t>
      </w:r>
    </w:p>
    <w:p w14:paraId="5A851CC0" w14:textId="4C914EFF" w:rsidR="00B830AE" w:rsidRPr="001C169A" w:rsidRDefault="00EB61EF" w:rsidP="00B830AE">
      <w:pPr>
        <w:pStyle w:val="BT-EMEASMCA"/>
        <w:numPr>
          <w:ilvl w:val="0"/>
          <w:numId w:val="2"/>
        </w:numPr>
      </w:pPr>
      <w:r w:rsidRPr="001C169A">
        <w:t>j</w:t>
      </w:r>
      <w:r w:rsidR="00B830AE" w:rsidRPr="001C169A">
        <w:t>eigu yra alergija veikliajai arba bet kuriai pagalbinei šio vaisto medžiagai (jos išvardytos 6 skyriuje).</w:t>
      </w:r>
    </w:p>
    <w:p w14:paraId="3FACD063" w14:textId="77777777" w:rsidR="00B830AE" w:rsidRPr="001C169A" w:rsidRDefault="00B830AE" w:rsidP="00B830AE">
      <w:pPr>
        <w:pStyle w:val="BT-EMEASMCA"/>
        <w:numPr>
          <w:ilvl w:val="0"/>
          <w:numId w:val="2"/>
        </w:numPr>
      </w:pPr>
      <w:r w:rsidRPr="001C169A">
        <w:t>Jeigu esate nėščia arba žindyvė (žr. skyrių „Nėštumas ir žindymo laikotarpis“).</w:t>
      </w:r>
    </w:p>
    <w:p w14:paraId="63C32940" w14:textId="77777777" w:rsidR="00B830AE" w:rsidRPr="001C169A" w:rsidRDefault="00B830AE" w:rsidP="00B830AE">
      <w:pPr>
        <w:pStyle w:val="BT-EMEASMCA"/>
      </w:pPr>
      <w:r w:rsidRPr="001C169A">
        <w:t>Nevartokite AXASTROL jeigu kuri nors iš minėtų būklių tinka Jums. Jei nesate tikri, kreipkitės į gydytoją arba vaistininką prieš pradėdami vartoti AXASTROL.</w:t>
      </w:r>
    </w:p>
    <w:p w14:paraId="51125A6F" w14:textId="77777777" w:rsidR="00B830AE" w:rsidRPr="001C169A" w:rsidRDefault="00B830AE" w:rsidP="00B830AE">
      <w:pPr>
        <w:pStyle w:val="BT-EMEASMCA"/>
        <w:numPr>
          <w:ilvl w:val="0"/>
          <w:numId w:val="0"/>
        </w:numPr>
        <w:ind w:left="357"/>
      </w:pPr>
    </w:p>
    <w:p w14:paraId="48243A87" w14:textId="77777777" w:rsidR="00B830AE" w:rsidRPr="001C169A" w:rsidRDefault="00B830AE" w:rsidP="00B830AE">
      <w:pPr>
        <w:pStyle w:val="PI-3EMEASMCA"/>
      </w:pPr>
      <w:r w:rsidRPr="001C169A">
        <w:t>Įspėjimai ir atsargumo priemonės</w:t>
      </w:r>
    </w:p>
    <w:p w14:paraId="30E61D98" w14:textId="77777777" w:rsidR="00B830AE" w:rsidRPr="001C169A" w:rsidRDefault="00B830AE" w:rsidP="00B830AE">
      <w:pPr>
        <w:pStyle w:val="PI-3EMEASMCA"/>
        <w:rPr>
          <w:b w:val="0"/>
        </w:rPr>
      </w:pPr>
      <w:r w:rsidRPr="001C169A">
        <w:rPr>
          <w:b w:val="0"/>
        </w:rPr>
        <w:t>Pasitarkite su gydytoju ar vaistininku prieš pradėdami vartoti AXASTROL.</w:t>
      </w:r>
    </w:p>
    <w:p w14:paraId="070A0DD0" w14:textId="77777777" w:rsidR="00B830AE" w:rsidRPr="001C169A" w:rsidRDefault="00B830AE" w:rsidP="00B830AE">
      <w:pPr>
        <w:pStyle w:val="BT-EMEASMCA"/>
        <w:numPr>
          <w:ilvl w:val="0"/>
          <w:numId w:val="2"/>
        </w:numPr>
      </w:pPr>
      <w:r w:rsidRPr="001C169A">
        <w:t>Jeigu Jums dar yra menstruacijos ir dar nepasibaigė menopauzė.</w:t>
      </w:r>
    </w:p>
    <w:p w14:paraId="27C0A3E1" w14:textId="77777777" w:rsidR="00B830AE" w:rsidRPr="001C169A" w:rsidRDefault="00B830AE" w:rsidP="00B830AE">
      <w:pPr>
        <w:pStyle w:val="BT-EMEASMCA"/>
        <w:numPr>
          <w:ilvl w:val="0"/>
          <w:numId w:val="2"/>
        </w:numPr>
      </w:pPr>
      <w:r w:rsidRPr="001C169A">
        <w:t>jeigu kartu vartojate tamoksifeno arba kitų vaistinių preparatų, kurių sudėtyje yra estrogeno. (Žr. skyrių „Kitų vaistų vartojimas“).</w:t>
      </w:r>
    </w:p>
    <w:p w14:paraId="245BB4E0" w14:textId="77777777" w:rsidR="00B830AE" w:rsidRPr="001C169A" w:rsidRDefault="00B830AE" w:rsidP="00B830AE">
      <w:pPr>
        <w:pStyle w:val="BT-EMEASMCA"/>
        <w:numPr>
          <w:ilvl w:val="0"/>
          <w:numId w:val="2"/>
        </w:numPr>
      </w:pPr>
      <w:r w:rsidRPr="001C169A">
        <w:t>Jeigu yra ar anksčiau buvo bet kokių sutrikimų, kurie paveikia Jūsų kaulų stiprumą (osteoporozė).</w:t>
      </w:r>
    </w:p>
    <w:p w14:paraId="6D36A973" w14:textId="77777777" w:rsidR="00B830AE" w:rsidRPr="001C169A" w:rsidRDefault="00B830AE" w:rsidP="00B830AE">
      <w:pPr>
        <w:pStyle w:val="BT-EMEASMCA"/>
        <w:numPr>
          <w:ilvl w:val="0"/>
          <w:numId w:val="2"/>
        </w:numPr>
      </w:pPr>
      <w:r w:rsidRPr="001C169A">
        <w:t>Jeigu turite problemų su kepenų ar inkstų ligomis.</w:t>
      </w:r>
    </w:p>
    <w:p w14:paraId="650F83D5" w14:textId="77777777" w:rsidR="00B830AE" w:rsidRPr="001C169A" w:rsidRDefault="00B830AE" w:rsidP="00B830AE">
      <w:pPr>
        <w:pStyle w:val="BT-EMEASMCA"/>
      </w:pPr>
      <w:r w:rsidRPr="001C169A">
        <w:t>Jei nesate tikri arba kuri nors iš minėtų būklių tinka Jums kreipkitės į gydytoją arba vaistininką prieš pradėdami vartoti AXASTROL.</w:t>
      </w:r>
    </w:p>
    <w:p w14:paraId="1F416151" w14:textId="77777777" w:rsidR="00B830AE" w:rsidRPr="001C169A" w:rsidRDefault="00B830AE" w:rsidP="00B830AE">
      <w:pPr>
        <w:pStyle w:val="BT-EMEASMCA"/>
      </w:pPr>
      <w:r w:rsidRPr="001C169A">
        <w:t>Jeigu Jūs vyksite į ligoninę, leiskite medicinos darbuotojams žinoti, kad vartojate AXASTROL.</w:t>
      </w:r>
    </w:p>
    <w:p w14:paraId="2A3F1939" w14:textId="77777777" w:rsidR="00B830AE" w:rsidRPr="001C169A" w:rsidRDefault="00B830AE" w:rsidP="00B830AE">
      <w:pPr>
        <w:pStyle w:val="BT-EMEASMCA"/>
        <w:numPr>
          <w:ilvl w:val="0"/>
          <w:numId w:val="0"/>
        </w:numPr>
        <w:ind w:left="720" w:hanging="363"/>
      </w:pPr>
    </w:p>
    <w:p w14:paraId="1ABBEB36" w14:textId="77777777" w:rsidR="003D3757" w:rsidRPr="001C169A" w:rsidRDefault="003D3757" w:rsidP="00B830AE">
      <w:pPr>
        <w:pStyle w:val="BT-EMEASMCA"/>
        <w:numPr>
          <w:ilvl w:val="0"/>
          <w:numId w:val="0"/>
        </w:numPr>
        <w:ind w:left="720" w:hanging="363"/>
      </w:pPr>
    </w:p>
    <w:p w14:paraId="51B76D68" w14:textId="77777777" w:rsidR="00B830AE" w:rsidRPr="001C169A" w:rsidRDefault="00B830AE" w:rsidP="00B830AE">
      <w:pPr>
        <w:rPr>
          <w:b/>
          <w:noProof/>
          <w:sz w:val="22"/>
          <w:szCs w:val="22"/>
        </w:rPr>
      </w:pPr>
      <w:r w:rsidRPr="001C169A">
        <w:rPr>
          <w:b/>
          <w:noProof/>
          <w:sz w:val="22"/>
          <w:szCs w:val="22"/>
        </w:rPr>
        <w:lastRenderedPageBreak/>
        <w:t>Vaikams ir paaugliams</w:t>
      </w:r>
    </w:p>
    <w:p w14:paraId="04ED167C" w14:textId="77777777" w:rsidR="00B830AE" w:rsidRPr="001C169A" w:rsidRDefault="00B830AE" w:rsidP="00B830AE">
      <w:pPr>
        <w:rPr>
          <w:noProof/>
          <w:sz w:val="22"/>
          <w:szCs w:val="22"/>
        </w:rPr>
      </w:pPr>
      <w:r w:rsidRPr="001C169A">
        <w:rPr>
          <w:noProof/>
          <w:sz w:val="22"/>
          <w:szCs w:val="22"/>
        </w:rPr>
        <w:t>AXASTROL nerekomenduojama vartoti vaikams ir paaugliams, nes duomenų apie saugumą ir veiksmingumą nepakanka.</w:t>
      </w:r>
    </w:p>
    <w:p w14:paraId="16845583" w14:textId="77777777" w:rsidR="00B830AE" w:rsidRPr="001C169A" w:rsidRDefault="00B830AE" w:rsidP="00B830AE">
      <w:pPr>
        <w:pStyle w:val="BT-EMEASMCA"/>
        <w:numPr>
          <w:ilvl w:val="0"/>
          <w:numId w:val="0"/>
        </w:numPr>
        <w:ind w:left="720" w:hanging="363"/>
      </w:pPr>
    </w:p>
    <w:p w14:paraId="6DD13A7C" w14:textId="77777777" w:rsidR="00B830AE" w:rsidRPr="001C169A" w:rsidRDefault="00B830AE" w:rsidP="00B830AE">
      <w:pPr>
        <w:pStyle w:val="PI-3EMEASMCA"/>
      </w:pPr>
      <w:r w:rsidRPr="001C169A">
        <w:t>Kiti vaistai ir AXASTROL</w:t>
      </w:r>
    </w:p>
    <w:p w14:paraId="0EBD9439" w14:textId="15E1D6DE" w:rsidR="00B830AE" w:rsidRPr="001C169A" w:rsidRDefault="00B830AE" w:rsidP="00B830AE">
      <w:pPr>
        <w:pStyle w:val="BTEMEASMCA"/>
      </w:pPr>
      <w:r w:rsidRPr="001C169A">
        <w:t>Jeigu vartojate ar neseniai vartojote kitų vaistų arba dėl to nesate tikri, apie tai pasakykite gydytojui arba vaistininkui.</w:t>
      </w:r>
      <w:r w:rsidR="003D3757" w:rsidRPr="001C169A">
        <w:t xml:space="preserve"> </w:t>
      </w:r>
      <w:r w:rsidRPr="001C169A">
        <w:t>Tai apima vaistus, įsigytus be recepto ir augalinius vaistus.</w:t>
      </w:r>
      <w:r w:rsidR="003D3757" w:rsidRPr="001C169A">
        <w:t xml:space="preserve"> </w:t>
      </w:r>
      <w:r w:rsidRPr="001C169A">
        <w:t>AXASTROL gali turėti įtakos kai kurių vaistų veikimui ir kai kurie vaistai gali turėti įtakos AXASTROL poveikiui.</w:t>
      </w:r>
    </w:p>
    <w:p w14:paraId="19EBF4D9" w14:textId="77777777" w:rsidR="00B830AE" w:rsidRPr="001C169A" w:rsidRDefault="00B830AE" w:rsidP="00B830AE">
      <w:pPr>
        <w:pStyle w:val="BTEMEASMCA"/>
      </w:pPr>
    </w:p>
    <w:p w14:paraId="0C1CEDC5" w14:textId="77777777" w:rsidR="00B830AE" w:rsidRPr="001C169A" w:rsidRDefault="00B830AE" w:rsidP="00B830AE">
      <w:pPr>
        <w:pStyle w:val="BTEMEASMCA"/>
      </w:pPr>
      <w:r w:rsidRPr="001C169A">
        <w:t>Nevartoti AXASTROL jeigu jau vartojate bet kurį iš šių vaistų:</w:t>
      </w:r>
    </w:p>
    <w:p w14:paraId="4CDA563D" w14:textId="77777777" w:rsidR="00B830AE" w:rsidRPr="001C169A" w:rsidRDefault="00B830AE" w:rsidP="00B830AE">
      <w:pPr>
        <w:pStyle w:val="BT-EMEASMCA"/>
      </w:pPr>
      <w:r w:rsidRPr="001C169A">
        <w:t>Tam tikrų vaistų, vartojamų gydyti krūties vėžį (selektyvūs estrogenų receptorių moduliatoriai), pvz. vaistų, kurių sudėtyje yra tamoksifeno. Šie vaistai gali stabdyti AXASTROL tinkamą veikimą.</w:t>
      </w:r>
    </w:p>
    <w:p w14:paraId="6F2B3A6C" w14:textId="77777777" w:rsidR="00B830AE" w:rsidRPr="001C169A" w:rsidRDefault="00B830AE" w:rsidP="00B830AE">
      <w:pPr>
        <w:pStyle w:val="BT-EMEASMCA"/>
      </w:pPr>
      <w:r w:rsidRPr="001C169A">
        <w:t>Kurių sudėtyje yra estrogenų, pvz. pakaitinė hormonų terapija (PHT).</w:t>
      </w:r>
    </w:p>
    <w:p w14:paraId="686D4063" w14:textId="77777777" w:rsidR="00B830AE" w:rsidRPr="001C169A" w:rsidRDefault="00B830AE" w:rsidP="00B830AE">
      <w:pPr>
        <w:pStyle w:val="BTEMEASMCA"/>
      </w:pPr>
    </w:p>
    <w:p w14:paraId="424BF93F" w14:textId="77777777" w:rsidR="00B830AE" w:rsidRPr="001C169A" w:rsidRDefault="00B830AE" w:rsidP="00B830AE">
      <w:pPr>
        <w:pStyle w:val="BTEMEASMCA"/>
      </w:pPr>
      <w:r w:rsidRPr="001C169A">
        <w:t>Jei tai tinka Jums, pasitarkite su gydytoju arba vaistininku.</w:t>
      </w:r>
    </w:p>
    <w:p w14:paraId="77A5B336" w14:textId="77777777" w:rsidR="00B830AE" w:rsidRPr="001C169A" w:rsidRDefault="00B830AE" w:rsidP="00B830AE">
      <w:pPr>
        <w:pStyle w:val="BTEMEASMCA"/>
      </w:pPr>
    </w:p>
    <w:p w14:paraId="2AD909D7" w14:textId="77777777" w:rsidR="00B830AE" w:rsidRPr="001C169A" w:rsidRDefault="00B830AE" w:rsidP="00B830AE">
      <w:pPr>
        <w:pStyle w:val="BTEMEASMCA"/>
      </w:pPr>
      <w:r w:rsidRPr="001C169A">
        <w:t>Pasakykite gydytojui arba vaistininkui jeigu vartojate :</w:t>
      </w:r>
    </w:p>
    <w:p w14:paraId="635B543F" w14:textId="5FA60D7C" w:rsidR="00B830AE" w:rsidRPr="001C169A" w:rsidRDefault="00B830AE" w:rsidP="00B830AE">
      <w:pPr>
        <w:pStyle w:val="BT-EMEASMCA"/>
      </w:pPr>
      <w:r w:rsidRPr="001C169A">
        <w:t xml:space="preserve">Vaistą, dar vadinamą </w:t>
      </w:r>
      <w:r w:rsidR="00CD1ECC" w:rsidRPr="001C169A">
        <w:t>„</w:t>
      </w:r>
      <w:r w:rsidRPr="001C169A">
        <w:t>LHRH analogas</w:t>
      </w:r>
      <w:r w:rsidR="00CD1ECC" w:rsidRPr="001C169A">
        <w:t>“</w:t>
      </w:r>
      <w:r w:rsidRPr="001C169A">
        <w:t>. Tai gonadorelinas, buserelinas, goserelinas, leuprorelinas ir triptorelinas.</w:t>
      </w:r>
    </w:p>
    <w:p w14:paraId="41BBD83E" w14:textId="77777777" w:rsidR="00B830AE" w:rsidRPr="001C169A" w:rsidRDefault="00B830AE" w:rsidP="00B830AE">
      <w:pPr>
        <w:pStyle w:val="BT-EMEASMCA"/>
      </w:pPr>
      <w:r w:rsidRPr="001C169A">
        <w:t>Šie vaistai yra vartojami gydyti krūties vėžį, žinomas moterų sveikatos (ginekologinės) būkles ir nevaisingumą.</w:t>
      </w:r>
    </w:p>
    <w:p w14:paraId="5E6396D1" w14:textId="77777777" w:rsidR="00B830AE" w:rsidRPr="001C169A" w:rsidRDefault="00B830AE" w:rsidP="00B830AE">
      <w:pPr>
        <w:pStyle w:val="BT-EMEASMCA"/>
        <w:numPr>
          <w:ilvl w:val="0"/>
          <w:numId w:val="0"/>
        </w:numPr>
        <w:ind w:left="720"/>
      </w:pPr>
    </w:p>
    <w:p w14:paraId="2D9DB707" w14:textId="77777777" w:rsidR="00B830AE" w:rsidRPr="001C169A" w:rsidRDefault="00B830AE" w:rsidP="00B830AE">
      <w:pPr>
        <w:pStyle w:val="PI-3EMEASMCA"/>
      </w:pPr>
      <w:r w:rsidRPr="001C169A">
        <w:t>Nėštumas ir žindymo laikotarpis</w:t>
      </w:r>
    </w:p>
    <w:p w14:paraId="2E657681" w14:textId="77777777" w:rsidR="00A92939" w:rsidRPr="001C169A" w:rsidRDefault="00A92939" w:rsidP="00A92939">
      <w:pPr>
        <w:numPr>
          <w:ilvl w:val="12"/>
          <w:numId w:val="0"/>
        </w:numPr>
        <w:tabs>
          <w:tab w:val="left" w:pos="720"/>
        </w:tabs>
        <w:rPr>
          <w:sz w:val="22"/>
          <w:szCs w:val="22"/>
        </w:rPr>
      </w:pPr>
      <w:r w:rsidRPr="001C169A">
        <w:rPr>
          <w:noProof/>
          <w:sz w:val="22"/>
          <w:szCs w:val="22"/>
        </w:rPr>
        <w:t>Jeigu esate nėščia, žindote kūdikį, manote, kad galbūt esate nėščia, arba planuojate pastoti, tai prieš vartodama šį vaistą, pasitarkite su gydytoju arba vaistininku.</w:t>
      </w:r>
      <w:r w:rsidRPr="001C169A">
        <w:rPr>
          <w:sz w:val="22"/>
          <w:szCs w:val="22"/>
        </w:rPr>
        <w:t xml:space="preserve"> </w:t>
      </w:r>
    </w:p>
    <w:p w14:paraId="16835EFD" w14:textId="77777777" w:rsidR="00B830AE" w:rsidRPr="001C169A" w:rsidRDefault="00B830AE" w:rsidP="00B830AE">
      <w:pPr>
        <w:pStyle w:val="BTEMEASMCA"/>
      </w:pPr>
      <w:r w:rsidRPr="001C169A">
        <w:t>AXASTROL nėštumo ir žindymo laikotarpiu vartoti negalima. Jei pastojote, nutraukite AXASTROL vartojima ir pasitarkite su savo gydytoju.</w:t>
      </w:r>
    </w:p>
    <w:p w14:paraId="4B322051" w14:textId="77777777" w:rsidR="00B830AE" w:rsidRPr="001C169A" w:rsidRDefault="00B830AE" w:rsidP="00B830AE">
      <w:pPr>
        <w:pStyle w:val="BTEMEASMCA"/>
      </w:pPr>
    </w:p>
    <w:p w14:paraId="5D0EAC06" w14:textId="77777777" w:rsidR="00B830AE" w:rsidRPr="001C169A" w:rsidRDefault="00B830AE" w:rsidP="00B830AE">
      <w:pPr>
        <w:pStyle w:val="PI-3EMEASMCA"/>
      </w:pPr>
      <w:r w:rsidRPr="001C169A">
        <w:t>Vairavimas ir mechanizmų valdymas</w:t>
      </w:r>
    </w:p>
    <w:p w14:paraId="16EA51E7" w14:textId="77777777" w:rsidR="00B830AE" w:rsidRPr="001C169A" w:rsidRDefault="00B830AE" w:rsidP="00B830AE">
      <w:pPr>
        <w:pStyle w:val="BTEMEASMCA"/>
      </w:pPr>
      <w:r w:rsidRPr="001C169A">
        <w:t>AXASTROL nėra tikėtina, kad neigiamai gali įtakoti gebėjimą vairuoti ir valdyti mechanizmus ar įrengimus. Tačiau retkarčiais kai kurie žmonės gali jausti silpnumą ar mieguistumą kada vartoja AXASTROL. Tokiu atveju kreipkitės į gydytoją ar vaistininką patarimo.</w:t>
      </w:r>
    </w:p>
    <w:p w14:paraId="3654B7BA" w14:textId="77777777" w:rsidR="00B830AE" w:rsidRPr="001C169A" w:rsidRDefault="00B830AE" w:rsidP="00B830AE">
      <w:pPr>
        <w:pStyle w:val="BTEMEASMCA"/>
      </w:pPr>
    </w:p>
    <w:p w14:paraId="6B1925DF" w14:textId="77777777" w:rsidR="00B830AE" w:rsidRPr="001C169A" w:rsidRDefault="00B830AE" w:rsidP="00B830AE">
      <w:pPr>
        <w:pStyle w:val="PI-3EMEASMCA"/>
      </w:pPr>
      <w:r w:rsidRPr="001C169A">
        <w:t>AXASTROL sudėtyje yra laktozės.</w:t>
      </w:r>
    </w:p>
    <w:p w14:paraId="3ECECAE8" w14:textId="77777777" w:rsidR="00B830AE" w:rsidRPr="001C169A" w:rsidRDefault="00B830AE" w:rsidP="00B830AE">
      <w:pPr>
        <w:pStyle w:val="BTEMEASMCA"/>
      </w:pPr>
      <w:r w:rsidRPr="001C169A">
        <w:t>AXASTROL sudėtyje yra laktozės, kuri yra tam tikras cukraus tipas. Jeigu gydytojas Jums yra sakęs, kad netoleruojate kokių nors angliavandenių, kreipkitės į jį prieš pradėdami vartoti šį vaistą.</w:t>
      </w:r>
    </w:p>
    <w:p w14:paraId="1E4AF987" w14:textId="77777777" w:rsidR="00B830AE" w:rsidRPr="001C169A" w:rsidRDefault="00B830AE" w:rsidP="00B830AE">
      <w:pPr>
        <w:pStyle w:val="BTEMEASMCA"/>
      </w:pPr>
    </w:p>
    <w:p w14:paraId="3D538251" w14:textId="77777777" w:rsidR="00B830AE" w:rsidRPr="001C169A" w:rsidRDefault="00B830AE" w:rsidP="00B830AE">
      <w:pPr>
        <w:pStyle w:val="BTEMEASMCA"/>
      </w:pPr>
    </w:p>
    <w:p w14:paraId="47BB21D6" w14:textId="77777777" w:rsidR="00B830AE" w:rsidRPr="001C169A" w:rsidRDefault="00B830AE" w:rsidP="00B830AE">
      <w:pPr>
        <w:pStyle w:val="PI-1EMEASMCA"/>
      </w:pPr>
      <w:bookmarkStart w:id="78" w:name="_Toc129243141"/>
      <w:bookmarkStart w:id="79" w:name="_Toc129243266"/>
      <w:r w:rsidRPr="001C169A">
        <w:t>3.</w:t>
      </w:r>
      <w:r w:rsidRPr="001C169A">
        <w:tab/>
        <w:t>Kaip vartoti AXASTROL</w:t>
      </w:r>
      <w:bookmarkEnd w:id="78"/>
      <w:bookmarkEnd w:id="79"/>
    </w:p>
    <w:p w14:paraId="710DE25C" w14:textId="77777777" w:rsidR="00B830AE" w:rsidRPr="001C169A" w:rsidRDefault="00B830AE" w:rsidP="00B830AE">
      <w:pPr>
        <w:pStyle w:val="BTEMEASMCA"/>
      </w:pPr>
    </w:p>
    <w:p w14:paraId="3CB1D889" w14:textId="77777777" w:rsidR="00B830AE" w:rsidRPr="001C169A" w:rsidRDefault="00B830AE" w:rsidP="00B830AE">
      <w:pPr>
        <w:pStyle w:val="BTEMEASMCA"/>
      </w:pPr>
      <w:r w:rsidRPr="001C169A">
        <w:t xml:space="preserve">Visada vartokite šį vaistą tiksliai kaip nurodė gydytojas. Jeigu abejojate, kreipkitės į gydytoją. </w:t>
      </w:r>
    </w:p>
    <w:p w14:paraId="0DCCD604" w14:textId="29D9218F" w:rsidR="00B830AE" w:rsidRPr="001C169A" w:rsidRDefault="00A92939" w:rsidP="00B830AE">
      <w:pPr>
        <w:pStyle w:val="BT-EMEASMCA"/>
      </w:pPr>
      <w:r w:rsidRPr="001C169A">
        <w:t>Rekomenduojama</w:t>
      </w:r>
      <w:r w:rsidR="00B830AE" w:rsidRPr="001C169A">
        <w:t xml:space="preserve"> dozė yra viena tabletė vieną kartą per parą.</w:t>
      </w:r>
    </w:p>
    <w:p w14:paraId="063B0D8E" w14:textId="77777777" w:rsidR="00B830AE" w:rsidRPr="001C169A" w:rsidRDefault="00B830AE" w:rsidP="00B830AE">
      <w:pPr>
        <w:pStyle w:val="BT-EMEASMCA"/>
      </w:pPr>
      <w:r w:rsidRPr="001C169A">
        <w:t>Tabletę stengtis vartoti tuo pačiu laiku kiekvieną dieną.</w:t>
      </w:r>
    </w:p>
    <w:p w14:paraId="2283B99C" w14:textId="77777777" w:rsidR="00B830AE" w:rsidRPr="001C169A" w:rsidRDefault="00B830AE" w:rsidP="00B830AE">
      <w:pPr>
        <w:pStyle w:val="BT-EMEASMCA"/>
      </w:pPr>
      <w:r w:rsidRPr="001C169A">
        <w:t xml:space="preserve">Nurykite nekramtytą tabletę užgerdami vandeniu. </w:t>
      </w:r>
    </w:p>
    <w:p w14:paraId="327451EA" w14:textId="77777777" w:rsidR="00B830AE" w:rsidRPr="001C169A" w:rsidRDefault="00B830AE" w:rsidP="00B830AE">
      <w:pPr>
        <w:pStyle w:val="BTEMEASMCA"/>
      </w:pPr>
      <w:r w:rsidRPr="001C169A">
        <w:t>Nėra svarbu ar AXASTROL vartosite prieš, su ar po maisto.</w:t>
      </w:r>
    </w:p>
    <w:p w14:paraId="33775959" w14:textId="77777777" w:rsidR="00B830AE" w:rsidRPr="001C169A" w:rsidRDefault="00B830AE" w:rsidP="00B830AE">
      <w:pPr>
        <w:pStyle w:val="BT-EMEASMCA"/>
      </w:pPr>
      <w:r w:rsidRPr="001C169A">
        <w:rPr>
          <w:color w:val="000000"/>
        </w:rPr>
        <w:t xml:space="preserve">AXASTROL vartokite tol, kol gydytojas nenurodys daryti kitaip. </w:t>
      </w:r>
      <w:r w:rsidRPr="001C169A">
        <w:t>Tai ilgalaikis gydymas ir Jums gali tekti vartoti vaistą keletą metų.</w:t>
      </w:r>
    </w:p>
    <w:p w14:paraId="04AB6EEC" w14:textId="77777777" w:rsidR="00B830AE" w:rsidRPr="001C169A" w:rsidRDefault="00B830AE" w:rsidP="00B830AE">
      <w:pPr>
        <w:pStyle w:val="PI-3EMEASMCA"/>
      </w:pPr>
    </w:p>
    <w:p w14:paraId="3FCB0111" w14:textId="77777777" w:rsidR="00B830AE" w:rsidRPr="001C169A" w:rsidRDefault="00B830AE" w:rsidP="00B830AE">
      <w:pPr>
        <w:pStyle w:val="PI-3EMEASMCA"/>
      </w:pPr>
      <w:r w:rsidRPr="001C169A">
        <w:t>Vartojimas vaikams ir paaugliams</w:t>
      </w:r>
    </w:p>
    <w:p w14:paraId="69F4BEE4" w14:textId="77777777" w:rsidR="00B830AE" w:rsidRPr="001C169A" w:rsidRDefault="00B830AE" w:rsidP="00B830AE">
      <w:pPr>
        <w:pStyle w:val="PI-3EMEASMCA"/>
        <w:rPr>
          <w:b w:val="0"/>
        </w:rPr>
      </w:pPr>
      <w:r w:rsidRPr="001C169A">
        <w:rPr>
          <w:b w:val="0"/>
        </w:rPr>
        <w:t>AXASTROL negalima vartoti vaikams ir paaugliams.</w:t>
      </w:r>
    </w:p>
    <w:p w14:paraId="6D4C293C" w14:textId="77777777" w:rsidR="00B830AE" w:rsidRPr="001C169A" w:rsidRDefault="00B830AE" w:rsidP="00B830AE">
      <w:pPr>
        <w:pStyle w:val="PI-3EMEASMCA"/>
      </w:pPr>
    </w:p>
    <w:p w14:paraId="1DD6DF08" w14:textId="77777777" w:rsidR="00B830AE" w:rsidRPr="001C169A" w:rsidRDefault="00B830AE" w:rsidP="00B830AE">
      <w:pPr>
        <w:pStyle w:val="PI-3EMEASMCA"/>
      </w:pPr>
      <w:r w:rsidRPr="001C169A">
        <w:t>Ką daryti pavartojus per didelę AXASTROL dozę?</w:t>
      </w:r>
    </w:p>
    <w:p w14:paraId="71959B68" w14:textId="77777777" w:rsidR="00B830AE" w:rsidRPr="001C169A" w:rsidRDefault="00B830AE" w:rsidP="00B830AE">
      <w:pPr>
        <w:pStyle w:val="BTEMEASMCA"/>
      </w:pPr>
      <w:r w:rsidRPr="001C169A">
        <w:t>Pavartojus per didelę AXASTROL dozę nei turite, būtina nedelsiant kreiptis į gydytoją.</w:t>
      </w:r>
    </w:p>
    <w:p w14:paraId="1377E3A3" w14:textId="77777777" w:rsidR="00B830AE" w:rsidRPr="001C169A" w:rsidRDefault="00B830AE" w:rsidP="00B830AE">
      <w:pPr>
        <w:pStyle w:val="BTEMEASMCA"/>
      </w:pPr>
    </w:p>
    <w:p w14:paraId="7964AB9E" w14:textId="77777777" w:rsidR="00B830AE" w:rsidRPr="001C169A" w:rsidRDefault="00B830AE" w:rsidP="00B830AE">
      <w:pPr>
        <w:pStyle w:val="PI-3EMEASMCA"/>
      </w:pPr>
      <w:r w:rsidRPr="001C169A">
        <w:t>Pamiršus pavartoti AXASTROL</w:t>
      </w:r>
    </w:p>
    <w:p w14:paraId="2618D093" w14:textId="77777777" w:rsidR="00B830AE" w:rsidRPr="001C169A" w:rsidRDefault="00B830AE" w:rsidP="00B830AE">
      <w:pPr>
        <w:pStyle w:val="PI-3EMEASMCA"/>
        <w:rPr>
          <w:b w:val="0"/>
        </w:rPr>
      </w:pPr>
      <w:r w:rsidRPr="001C169A">
        <w:rPr>
          <w:b w:val="0"/>
        </w:rPr>
        <w:t>Jeigu pamiršote išgerti dozę, sekančią dozę gerkite kaip paprastai.</w:t>
      </w:r>
    </w:p>
    <w:p w14:paraId="21065AC4" w14:textId="77777777" w:rsidR="00B830AE" w:rsidRPr="001C169A" w:rsidRDefault="00B830AE" w:rsidP="00B830AE">
      <w:pPr>
        <w:pStyle w:val="BTEMEASMCA"/>
      </w:pPr>
      <w:r w:rsidRPr="001C169A">
        <w:t xml:space="preserve">Negalima vartoti dvigubos dozės (dviejų dozių tuo pačiu metu) norint kompensuoti praleistą dozę. </w:t>
      </w:r>
    </w:p>
    <w:p w14:paraId="0BD4CFFF" w14:textId="77777777" w:rsidR="00B830AE" w:rsidRPr="001C169A" w:rsidRDefault="00B830AE" w:rsidP="00B830AE">
      <w:pPr>
        <w:pStyle w:val="BTEMEASMCA"/>
      </w:pPr>
    </w:p>
    <w:p w14:paraId="4323AFE3" w14:textId="77777777" w:rsidR="001A6FFB" w:rsidRPr="001C169A" w:rsidRDefault="001A6FFB" w:rsidP="00B830AE">
      <w:pPr>
        <w:pStyle w:val="BTEMEASMCA"/>
      </w:pPr>
    </w:p>
    <w:p w14:paraId="7E3C255A" w14:textId="77777777" w:rsidR="00B830AE" w:rsidRPr="001C169A" w:rsidRDefault="00B830AE" w:rsidP="00B830AE">
      <w:pPr>
        <w:pStyle w:val="PI-3EMEASMCA"/>
      </w:pPr>
      <w:r w:rsidRPr="001C169A">
        <w:t>Nustojus vartoti AXASTROL</w:t>
      </w:r>
    </w:p>
    <w:p w14:paraId="6471E4FB" w14:textId="77777777" w:rsidR="00B830AE" w:rsidRPr="001C169A" w:rsidRDefault="00B830AE" w:rsidP="00B830AE">
      <w:pPr>
        <w:pStyle w:val="PI-3EMEASMCA"/>
        <w:rPr>
          <w:b w:val="0"/>
        </w:rPr>
      </w:pPr>
      <w:r w:rsidRPr="001C169A">
        <w:rPr>
          <w:b w:val="0"/>
        </w:rPr>
        <w:t>Nenutraukite šių tablečių vartojimo, kol gydytojas lieps tai padaryti.</w:t>
      </w:r>
    </w:p>
    <w:p w14:paraId="006A519F" w14:textId="77777777" w:rsidR="00B830AE" w:rsidRPr="001C169A" w:rsidRDefault="00B830AE" w:rsidP="00B830AE">
      <w:pPr>
        <w:pStyle w:val="BTEMEASMCA"/>
      </w:pPr>
    </w:p>
    <w:p w14:paraId="09C9EB79" w14:textId="77777777" w:rsidR="00B830AE" w:rsidRPr="001C169A" w:rsidRDefault="00B830AE" w:rsidP="00B830AE">
      <w:pPr>
        <w:pStyle w:val="BTEMEASMCA"/>
      </w:pPr>
      <w:r w:rsidRPr="001C169A">
        <w:t>Jeigu kiltų daugiau klausimų dėl šio vaisto vartojimo, kreipkitės į gydytoją arba vaistininką.</w:t>
      </w:r>
    </w:p>
    <w:p w14:paraId="225B48F7" w14:textId="77777777" w:rsidR="00B830AE" w:rsidRPr="001C169A" w:rsidRDefault="00B830AE" w:rsidP="00B830AE">
      <w:pPr>
        <w:pStyle w:val="BTEMEASMCA"/>
      </w:pPr>
    </w:p>
    <w:p w14:paraId="230B0010" w14:textId="77777777" w:rsidR="00B830AE" w:rsidRPr="001C169A" w:rsidRDefault="00B830AE" w:rsidP="00B830AE">
      <w:pPr>
        <w:pStyle w:val="BTEMEASMCA"/>
      </w:pPr>
    </w:p>
    <w:p w14:paraId="780E3D37" w14:textId="77777777" w:rsidR="00B830AE" w:rsidRPr="001C169A" w:rsidRDefault="00B830AE" w:rsidP="00B830AE">
      <w:pPr>
        <w:pStyle w:val="PI-1EMEASMCA"/>
      </w:pPr>
      <w:bookmarkStart w:id="80" w:name="_Toc129243142"/>
      <w:bookmarkStart w:id="81" w:name="_Toc129243267"/>
      <w:r w:rsidRPr="001C169A">
        <w:t>4.</w:t>
      </w:r>
      <w:r w:rsidRPr="001C169A">
        <w:tab/>
        <w:t>Galimas šalutinis poveikis</w:t>
      </w:r>
      <w:bookmarkEnd w:id="80"/>
      <w:bookmarkEnd w:id="81"/>
    </w:p>
    <w:p w14:paraId="554F4F8B" w14:textId="77777777" w:rsidR="00B830AE" w:rsidRPr="001C169A" w:rsidRDefault="00B830AE" w:rsidP="00B830AE">
      <w:pPr>
        <w:pStyle w:val="BTEMEASMCA"/>
      </w:pPr>
    </w:p>
    <w:p w14:paraId="5EAB6096" w14:textId="77777777" w:rsidR="00B830AE" w:rsidRPr="001C169A" w:rsidRDefault="00B830AE" w:rsidP="00B830AE">
      <w:pPr>
        <w:pStyle w:val="BTEMEASMCA"/>
      </w:pPr>
      <w:r w:rsidRPr="001C169A">
        <w:t>Šis vaistas, kaip ir visi kiti, gali sukelti šalutinį poveikį, nors jis pasireiškia ne visiems žmonėms.</w:t>
      </w:r>
    </w:p>
    <w:p w14:paraId="6FA53334" w14:textId="77777777" w:rsidR="00B830AE" w:rsidRPr="001C169A" w:rsidRDefault="00B830AE" w:rsidP="00B830AE">
      <w:pPr>
        <w:pStyle w:val="BTEMEASMCA"/>
      </w:pPr>
    </w:p>
    <w:p w14:paraId="2FAA547E" w14:textId="1A21DA81" w:rsidR="00B830AE" w:rsidRPr="001C169A" w:rsidRDefault="00B830AE" w:rsidP="00B830AE">
      <w:pPr>
        <w:pStyle w:val="BTEMEASMCA"/>
      </w:pPr>
      <w:r w:rsidRPr="001C169A">
        <w:t>Labai dažni (</w:t>
      </w:r>
      <w:r w:rsidR="00EB61EF" w:rsidRPr="001C169A">
        <w:t xml:space="preserve">gali </w:t>
      </w:r>
      <w:r w:rsidRPr="001C169A">
        <w:t>pasirei</w:t>
      </w:r>
      <w:r w:rsidR="00EB61EF" w:rsidRPr="001C169A">
        <w:t>kšti</w:t>
      </w:r>
      <w:r w:rsidRPr="001C169A">
        <w:t xml:space="preserve"> daugiau kaip 1 iš 10 žmonių):</w:t>
      </w:r>
    </w:p>
    <w:p w14:paraId="34783054" w14:textId="77777777" w:rsidR="00B830AE" w:rsidRPr="001C169A" w:rsidRDefault="00B830AE" w:rsidP="00B830AE">
      <w:pPr>
        <w:pStyle w:val="BTEMEASMCA"/>
      </w:pPr>
    </w:p>
    <w:p w14:paraId="01E2D618" w14:textId="77777777" w:rsidR="00B830AE" w:rsidRPr="001C169A" w:rsidRDefault="00B830AE" w:rsidP="00B830AE">
      <w:pPr>
        <w:pStyle w:val="BTEMEASMCA"/>
        <w:numPr>
          <w:ilvl w:val="0"/>
          <w:numId w:val="4"/>
        </w:numPr>
      </w:pPr>
      <w:r w:rsidRPr="001C169A">
        <w:t>Galvos skausmas</w:t>
      </w:r>
    </w:p>
    <w:p w14:paraId="763C0672" w14:textId="77777777" w:rsidR="00B830AE" w:rsidRPr="001C169A" w:rsidRDefault="00B830AE" w:rsidP="00B830AE">
      <w:pPr>
        <w:pStyle w:val="BTEMEASMCA"/>
        <w:numPr>
          <w:ilvl w:val="0"/>
          <w:numId w:val="4"/>
        </w:numPr>
      </w:pPr>
      <w:r w:rsidRPr="001C169A">
        <w:t>Karščio pylimas</w:t>
      </w:r>
    </w:p>
    <w:p w14:paraId="77D0384D" w14:textId="77777777" w:rsidR="00B830AE" w:rsidRPr="001C169A" w:rsidRDefault="00B830AE" w:rsidP="00B830AE">
      <w:pPr>
        <w:pStyle w:val="BTEMEASMCA"/>
        <w:numPr>
          <w:ilvl w:val="0"/>
          <w:numId w:val="4"/>
        </w:numPr>
      </w:pPr>
      <w:r w:rsidRPr="001C169A">
        <w:t>Šleikštulys (pykinimas)</w:t>
      </w:r>
    </w:p>
    <w:p w14:paraId="0A0CE0AE" w14:textId="77777777" w:rsidR="00B830AE" w:rsidRPr="001C169A" w:rsidRDefault="00B830AE" w:rsidP="00B830AE">
      <w:pPr>
        <w:pStyle w:val="BTEMEASMCA"/>
        <w:numPr>
          <w:ilvl w:val="0"/>
          <w:numId w:val="4"/>
        </w:numPr>
      </w:pPr>
      <w:r w:rsidRPr="001C169A">
        <w:t>Odos bėrimas</w:t>
      </w:r>
    </w:p>
    <w:p w14:paraId="2B142CAF" w14:textId="77777777" w:rsidR="00B830AE" w:rsidRPr="001C169A" w:rsidRDefault="00B830AE" w:rsidP="00B830AE">
      <w:pPr>
        <w:pStyle w:val="BTEMEASMCA"/>
        <w:numPr>
          <w:ilvl w:val="0"/>
          <w:numId w:val="4"/>
        </w:numPr>
      </w:pPr>
      <w:r w:rsidRPr="001C169A">
        <w:t>Sąnarių skausmas ar sustingimas</w:t>
      </w:r>
    </w:p>
    <w:p w14:paraId="4002F543" w14:textId="77777777" w:rsidR="00B830AE" w:rsidRPr="001C169A" w:rsidRDefault="00B830AE" w:rsidP="00B830AE">
      <w:pPr>
        <w:pStyle w:val="BTEMEASMCA"/>
        <w:numPr>
          <w:ilvl w:val="0"/>
          <w:numId w:val="4"/>
        </w:numPr>
      </w:pPr>
      <w:r w:rsidRPr="001C169A">
        <w:t>Sąnario uždegimas (artritas)</w:t>
      </w:r>
    </w:p>
    <w:p w14:paraId="4C87F450" w14:textId="77777777" w:rsidR="00B830AE" w:rsidRPr="001C169A" w:rsidRDefault="00B830AE" w:rsidP="00B830AE">
      <w:pPr>
        <w:pStyle w:val="BTEMEASMCA"/>
        <w:numPr>
          <w:ilvl w:val="0"/>
          <w:numId w:val="4"/>
        </w:numPr>
      </w:pPr>
      <w:r w:rsidRPr="001C169A">
        <w:t>Silpnumas</w:t>
      </w:r>
    </w:p>
    <w:p w14:paraId="16B48D43" w14:textId="77777777" w:rsidR="00B830AE" w:rsidRPr="001C169A" w:rsidRDefault="00B830AE" w:rsidP="00B830AE">
      <w:pPr>
        <w:pStyle w:val="BTEMEASMCA"/>
        <w:numPr>
          <w:ilvl w:val="0"/>
          <w:numId w:val="4"/>
        </w:numPr>
      </w:pPr>
      <w:r w:rsidRPr="001C169A">
        <w:t>Kaulinio audinio nykimas (osteoporozė)</w:t>
      </w:r>
    </w:p>
    <w:p w14:paraId="279C01E8" w14:textId="77777777" w:rsidR="00B830AE" w:rsidRPr="001C169A" w:rsidRDefault="00B830AE" w:rsidP="00B830AE">
      <w:pPr>
        <w:pStyle w:val="BTEMEASMCA"/>
      </w:pPr>
    </w:p>
    <w:p w14:paraId="2701EE76" w14:textId="1FC859BC" w:rsidR="00B830AE" w:rsidRPr="001C169A" w:rsidRDefault="00B830AE" w:rsidP="00B830AE">
      <w:pPr>
        <w:pStyle w:val="BTEMEASMCA"/>
      </w:pPr>
      <w:r w:rsidRPr="001C169A">
        <w:t>Dažni (</w:t>
      </w:r>
      <w:r w:rsidR="00EB61EF" w:rsidRPr="001C169A">
        <w:t>gali pasireikšti</w:t>
      </w:r>
      <w:r w:rsidRPr="001C169A">
        <w:t xml:space="preserve"> </w:t>
      </w:r>
      <w:r w:rsidR="004B125F" w:rsidRPr="001C169A">
        <w:t>mažiau negu</w:t>
      </w:r>
      <w:r w:rsidRPr="001C169A">
        <w:t xml:space="preserve"> 1 </w:t>
      </w:r>
      <w:r w:rsidR="004B125F" w:rsidRPr="001C169A">
        <w:t>iš</w:t>
      </w:r>
      <w:r w:rsidRPr="001C169A">
        <w:t xml:space="preserve"> 10</w:t>
      </w:r>
      <w:r w:rsidR="004B125F" w:rsidRPr="001C169A">
        <w:t>, tačiau daugiau negu 1</w:t>
      </w:r>
      <w:r w:rsidRPr="001C169A">
        <w:t xml:space="preserve"> iš 100 žmonių):</w:t>
      </w:r>
    </w:p>
    <w:p w14:paraId="1025DBCB" w14:textId="77777777" w:rsidR="00B830AE" w:rsidRPr="001C169A" w:rsidRDefault="00B830AE" w:rsidP="00B830AE">
      <w:pPr>
        <w:pStyle w:val="BTEMEASMCA"/>
        <w:numPr>
          <w:ilvl w:val="0"/>
          <w:numId w:val="5"/>
        </w:numPr>
      </w:pPr>
      <w:r w:rsidRPr="001C169A">
        <w:t>Apetito praradimas</w:t>
      </w:r>
    </w:p>
    <w:p w14:paraId="176DB3B2" w14:textId="77777777" w:rsidR="00B830AE" w:rsidRPr="001C169A" w:rsidRDefault="00B830AE" w:rsidP="00B830AE">
      <w:pPr>
        <w:pStyle w:val="Sraopastraipa"/>
        <w:numPr>
          <w:ilvl w:val="0"/>
          <w:numId w:val="5"/>
        </w:numPr>
        <w:rPr>
          <w:noProof/>
          <w:sz w:val="22"/>
          <w:szCs w:val="22"/>
        </w:rPr>
      </w:pPr>
      <w:r w:rsidRPr="001C169A">
        <w:rPr>
          <w:noProof/>
          <w:sz w:val="22"/>
          <w:szCs w:val="22"/>
        </w:rPr>
        <w:t>Padidėjęs ar aukštas kiekis riebalinių medžiagų, žinomų kaip cholesterolis kraujyje. Tai turi būti patvirtinama kraujo tyrimais</w:t>
      </w:r>
    </w:p>
    <w:p w14:paraId="669368F0" w14:textId="77777777" w:rsidR="00B830AE" w:rsidRPr="001C169A" w:rsidRDefault="00B830AE" w:rsidP="00B830AE">
      <w:pPr>
        <w:pStyle w:val="Sraopastraipa"/>
        <w:numPr>
          <w:ilvl w:val="0"/>
          <w:numId w:val="5"/>
        </w:numPr>
        <w:rPr>
          <w:noProof/>
          <w:sz w:val="22"/>
          <w:szCs w:val="22"/>
        </w:rPr>
      </w:pPr>
      <w:r w:rsidRPr="001C169A">
        <w:rPr>
          <w:noProof/>
          <w:sz w:val="22"/>
          <w:szCs w:val="22"/>
        </w:rPr>
        <w:t>Mieguistumas</w:t>
      </w:r>
    </w:p>
    <w:p w14:paraId="402D9EA5" w14:textId="77777777" w:rsidR="00B830AE" w:rsidRPr="001C169A" w:rsidRDefault="00B830AE" w:rsidP="00B830AE">
      <w:pPr>
        <w:pStyle w:val="Sraopastraipa"/>
        <w:numPr>
          <w:ilvl w:val="0"/>
          <w:numId w:val="5"/>
        </w:numPr>
        <w:rPr>
          <w:noProof/>
          <w:sz w:val="22"/>
          <w:szCs w:val="22"/>
        </w:rPr>
      </w:pPr>
      <w:r w:rsidRPr="001C169A">
        <w:rPr>
          <w:noProof/>
          <w:sz w:val="22"/>
          <w:szCs w:val="22"/>
        </w:rPr>
        <w:t>Riešo kanalo tunelinis sindromas (dilgčiojimas, skausmas, šaltumas, rankų dalies silpnumas)</w:t>
      </w:r>
    </w:p>
    <w:p w14:paraId="312C0984" w14:textId="77777777" w:rsidR="00B830AE" w:rsidRPr="001C169A" w:rsidRDefault="00B830AE" w:rsidP="00B830AE">
      <w:pPr>
        <w:pStyle w:val="BTEMEASMCA"/>
        <w:numPr>
          <w:ilvl w:val="0"/>
          <w:numId w:val="5"/>
        </w:numPr>
      </w:pPr>
      <w:r w:rsidRPr="001C169A">
        <w:t>Viduriavimas</w:t>
      </w:r>
    </w:p>
    <w:p w14:paraId="0175E42C" w14:textId="77777777" w:rsidR="00B830AE" w:rsidRPr="001C169A" w:rsidRDefault="00B830AE" w:rsidP="00B830AE">
      <w:pPr>
        <w:pStyle w:val="BTEMEASMCA"/>
        <w:numPr>
          <w:ilvl w:val="0"/>
          <w:numId w:val="5"/>
        </w:numPr>
      </w:pPr>
      <w:r w:rsidRPr="001C169A">
        <w:t>Vėminas</w:t>
      </w:r>
    </w:p>
    <w:p w14:paraId="22BF2FF2" w14:textId="77777777" w:rsidR="00B830AE" w:rsidRPr="001C169A" w:rsidRDefault="00B830AE" w:rsidP="00B830AE">
      <w:pPr>
        <w:pStyle w:val="BTEMEASMCA"/>
        <w:numPr>
          <w:ilvl w:val="0"/>
          <w:numId w:val="5"/>
        </w:numPr>
      </w:pPr>
      <w:r w:rsidRPr="001C169A">
        <w:t>Kraujo tyrimų pokyčiai, rodantys, kaip gerai dirba Jūsų kepenys</w:t>
      </w:r>
    </w:p>
    <w:p w14:paraId="1B9F2717" w14:textId="77777777" w:rsidR="00B830AE" w:rsidRPr="001C169A" w:rsidRDefault="00B830AE" w:rsidP="00B830AE">
      <w:pPr>
        <w:pStyle w:val="BTEMEASMCA"/>
        <w:numPr>
          <w:ilvl w:val="0"/>
          <w:numId w:val="5"/>
        </w:numPr>
      </w:pPr>
      <w:r w:rsidRPr="001C169A">
        <w:t>Plaukų išretėjimas (plaukų slinkimas)</w:t>
      </w:r>
    </w:p>
    <w:p w14:paraId="43AB69F8" w14:textId="77777777" w:rsidR="00B830AE" w:rsidRPr="001C169A" w:rsidRDefault="00B830AE" w:rsidP="00B830AE">
      <w:pPr>
        <w:pStyle w:val="BTEMEASMCA"/>
        <w:numPr>
          <w:ilvl w:val="0"/>
          <w:numId w:val="5"/>
        </w:numPr>
      </w:pPr>
      <w:r w:rsidRPr="001C169A">
        <w:t>Alerginės reakcijos, apimančios veidą, lūpas ar liežuvį</w:t>
      </w:r>
    </w:p>
    <w:p w14:paraId="220D31AA" w14:textId="77777777" w:rsidR="00B830AE" w:rsidRPr="001C169A" w:rsidRDefault="00B830AE" w:rsidP="00B830AE">
      <w:pPr>
        <w:pStyle w:val="BTEMEASMCA"/>
        <w:numPr>
          <w:ilvl w:val="0"/>
          <w:numId w:val="5"/>
        </w:numPr>
      </w:pPr>
      <w:r w:rsidRPr="001C169A">
        <w:t>Kaulų skausmas</w:t>
      </w:r>
    </w:p>
    <w:p w14:paraId="6F370B64" w14:textId="77777777" w:rsidR="00B830AE" w:rsidRPr="001C169A" w:rsidRDefault="00B830AE" w:rsidP="00B830AE">
      <w:pPr>
        <w:pStyle w:val="BTEMEASMCA"/>
        <w:numPr>
          <w:ilvl w:val="0"/>
          <w:numId w:val="5"/>
        </w:numPr>
      </w:pPr>
      <w:r w:rsidRPr="001C169A">
        <w:t>Raumenų skausmas</w:t>
      </w:r>
    </w:p>
    <w:p w14:paraId="2DBCE3DB" w14:textId="77777777" w:rsidR="00B830AE" w:rsidRPr="001C169A" w:rsidRDefault="00B830AE" w:rsidP="00B830AE">
      <w:pPr>
        <w:pStyle w:val="BTEMEASMCA"/>
        <w:numPr>
          <w:ilvl w:val="0"/>
          <w:numId w:val="5"/>
        </w:numPr>
      </w:pPr>
      <w:r w:rsidRPr="001C169A">
        <w:t>Makšties sausumas</w:t>
      </w:r>
    </w:p>
    <w:p w14:paraId="427E0B05" w14:textId="77777777" w:rsidR="00B830AE" w:rsidRPr="001C169A" w:rsidRDefault="00B830AE" w:rsidP="00B830AE">
      <w:pPr>
        <w:pStyle w:val="BTEMEASMCA"/>
        <w:numPr>
          <w:ilvl w:val="0"/>
          <w:numId w:val="5"/>
        </w:numPr>
      </w:pPr>
      <w:r w:rsidRPr="001C169A">
        <w:t>Kraujavimas iš makšties (dažniausiai per kelias pirmąsias gydymo savaites – jeigu kraujavimas tęsiasi, kreipkitės į gydytoją)</w:t>
      </w:r>
    </w:p>
    <w:p w14:paraId="78799D13" w14:textId="77777777" w:rsidR="00B830AE" w:rsidRPr="001C169A" w:rsidRDefault="00B830AE" w:rsidP="00B830AE">
      <w:pPr>
        <w:pStyle w:val="BTEMEASMCA"/>
      </w:pPr>
    </w:p>
    <w:p w14:paraId="6C8BCF12" w14:textId="64275716" w:rsidR="00B830AE" w:rsidRPr="001C169A" w:rsidRDefault="00B830AE" w:rsidP="00B830AE">
      <w:pPr>
        <w:pStyle w:val="BTEMEASMCA"/>
      </w:pPr>
      <w:r w:rsidRPr="001C169A">
        <w:t>Nedažni (</w:t>
      </w:r>
      <w:r w:rsidR="004B125F" w:rsidRPr="001C169A">
        <w:t>gali pasireikšti mažiau negu 1 iš 100, tačiau daugiau negu 1 iš 1000 žmonių)</w:t>
      </w:r>
      <w:r w:rsidRPr="001C169A">
        <w:t>:</w:t>
      </w:r>
    </w:p>
    <w:p w14:paraId="4A93D867" w14:textId="77777777" w:rsidR="00B830AE" w:rsidRPr="001C169A" w:rsidRDefault="00B830AE" w:rsidP="00B830AE">
      <w:pPr>
        <w:pStyle w:val="BTEMEASMCA"/>
        <w:numPr>
          <w:ilvl w:val="0"/>
          <w:numId w:val="7"/>
        </w:numPr>
      </w:pPr>
      <w:r w:rsidRPr="001C169A">
        <w:t>Specifinių kraujo tyrimų, rodančių, kaip veikia Jūsų kepenys, pokyčiai (gamma-GT ir bilirubinas)</w:t>
      </w:r>
    </w:p>
    <w:p w14:paraId="24E1D2CB" w14:textId="77777777" w:rsidR="00B830AE" w:rsidRPr="001C169A" w:rsidRDefault="00B830AE" w:rsidP="00B830AE">
      <w:pPr>
        <w:pStyle w:val="BTEMEASMCA"/>
        <w:numPr>
          <w:ilvl w:val="0"/>
          <w:numId w:val="7"/>
        </w:numPr>
      </w:pPr>
      <w:r w:rsidRPr="001C169A">
        <w:t>Kepenų uždegimas (hepatitas)</w:t>
      </w:r>
    </w:p>
    <w:p w14:paraId="06607464" w14:textId="77777777" w:rsidR="00B830AE" w:rsidRPr="001C169A" w:rsidRDefault="00B830AE" w:rsidP="00B830AE">
      <w:pPr>
        <w:pStyle w:val="BTEMEASMCA"/>
        <w:numPr>
          <w:ilvl w:val="0"/>
          <w:numId w:val="7"/>
        </w:numPr>
      </w:pPr>
      <w:r w:rsidRPr="001C169A">
        <w:t>Dilgėlinė (urtikarija)</w:t>
      </w:r>
    </w:p>
    <w:p w14:paraId="3D5DCE1C" w14:textId="77777777" w:rsidR="00B830AE" w:rsidRPr="001C169A" w:rsidRDefault="00B830AE" w:rsidP="00B830AE">
      <w:pPr>
        <w:pStyle w:val="BTEMEASMCA"/>
        <w:numPr>
          <w:ilvl w:val="0"/>
          <w:numId w:val="7"/>
        </w:numPr>
      </w:pPr>
      <w:r w:rsidRPr="001C169A">
        <w:t>„Užstrigęs“ (trigerinis) pirštas (būklė, kai pirštas ar nykštys užstringa sulinkusioje padėtyje)</w:t>
      </w:r>
    </w:p>
    <w:p w14:paraId="52B8E156" w14:textId="77777777" w:rsidR="00B830AE" w:rsidRPr="001C169A" w:rsidRDefault="00B830AE" w:rsidP="00B830AE">
      <w:pPr>
        <w:pStyle w:val="Sraopastraipa"/>
        <w:numPr>
          <w:ilvl w:val="0"/>
          <w:numId w:val="7"/>
        </w:numPr>
        <w:rPr>
          <w:sz w:val="22"/>
          <w:szCs w:val="22"/>
        </w:rPr>
      </w:pPr>
      <w:r w:rsidRPr="001C169A">
        <w:rPr>
          <w:noProof/>
          <w:sz w:val="22"/>
          <w:szCs w:val="22"/>
        </w:rPr>
        <w:t>Hiperkalcemija (su arba be paratiroidinio hormono kiekio padidėjimu)</w:t>
      </w:r>
    </w:p>
    <w:p w14:paraId="19A97FEE" w14:textId="77777777" w:rsidR="00B830AE" w:rsidRPr="001C169A" w:rsidRDefault="00B830AE" w:rsidP="00B830AE">
      <w:pPr>
        <w:pStyle w:val="BTEMEASMCA"/>
      </w:pPr>
    </w:p>
    <w:p w14:paraId="169D7F37" w14:textId="19E57056" w:rsidR="00B830AE" w:rsidRPr="001C169A" w:rsidRDefault="00B830AE" w:rsidP="00B830AE">
      <w:pPr>
        <w:pStyle w:val="BTEMEASMCA"/>
      </w:pPr>
      <w:r w:rsidRPr="001C169A">
        <w:t>Reti (</w:t>
      </w:r>
      <w:r w:rsidR="004B125F" w:rsidRPr="001C169A">
        <w:t xml:space="preserve">gali </w:t>
      </w:r>
      <w:r w:rsidRPr="001C169A">
        <w:t>pasirei</w:t>
      </w:r>
      <w:r w:rsidR="004B125F" w:rsidRPr="001C169A">
        <w:t>kšti mažiau nei</w:t>
      </w:r>
      <w:r w:rsidRPr="001C169A">
        <w:t xml:space="preserve"> 1 iš 1000 žmonių):</w:t>
      </w:r>
    </w:p>
    <w:p w14:paraId="33262BD6" w14:textId="09E92998" w:rsidR="00B830AE" w:rsidRPr="001C169A" w:rsidRDefault="00B830AE" w:rsidP="00B830AE">
      <w:pPr>
        <w:pStyle w:val="BTEMEASMCA"/>
        <w:numPr>
          <w:ilvl w:val="0"/>
          <w:numId w:val="8"/>
        </w:numPr>
      </w:pPr>
      <w:r w:rsidRPr="001C169A">
        <w:t>Retas odos uždegimas, kai atsiranda raudonos dėmės ar plokštelės</w:t>
      </w:r>
    </w:p>
    <w:p w14:paraId="5A6C75D3" w14:textId="77777777" w:rsidR="00B830AE" w:rsidRPr="001C169A" w:rsidRDefault="00B830AE" w:rsidP="00B830AE">
      <w:pPr>
        <w:pStyle w:val="BTEMEASMCA"/>
        <w:numPr>
          <w:ilvl w:val="0"/>
          <w:numId w:val="8"/>
        </w:numPr>
      </w:pPr>
      <w:r w:rsidRPr="001C169A">
        <w:t>Padidinto jautrumo sukeltas odos bėrimas (tai gali būti dėl alerginės ar anafiloktoidinės reakcijos)</w:t>
      </w:r>
    </w:p>
    <w:p w14:paraId="0DF10BA1" w14:textId="50ED5A00" w:rsidR="00B830AE" w:rsidRPr="001C169A" w:rsidRDefault="00B830AE" w:rsidP="00B830AE">
      <w:pPr>
        <w:pStyle w:val="BTEMEASMCA"/>
        <w:numPr>
          <w:ilvl w:val="0"/>
          <w:numId w:val="8"/>
        </w:numPr>
        <w:rPr>
          <w:b/>
        </w:rPr>
      </w:pPr>
      <w:r w:rsidRPr="001C169A">
        <w:t xml:space="preserve">Smulkiųjų kraujagyslių uždegimas, dėl kurio oda tampa raudona ar violetinė. Labai retai gali pasireikšti tokie simptomai kaip sąnarių, skrandžio ir inkstų skausmas; tai žinoma kaip Henoko-Šionlaino (angl. </w:t>
      </w:r>
      <w:r w:rsidRPr="001C169A">
        <w:rPr>
          <w:i/>
        </w:rPr>
        <w:t>Henoch-Schonlein</w:t>
      </w:r>
      <w:r w:rsidRPr="001C169A">
        <w:t>) purpura</w:t>
      </w:r>
    </w:p>
    <w:p w14:paraId="7357C925" w14:textId="77777777" w:rsidR="00B830AE" w:rsidRPr="001C169A" w:rsidRDefault="00B830AE" w:rsidP="00B830AE">
      <w:pPr>
        <w:pStyle w:val="BTEMEASMCA"/>
      </w:pPr>
    </w:p>
    <w:p w14:paraId="4B1F6863" w14:textId="77777777" w:rsidR="001A6FFB" w:rsidRPr="00C60E76" w:rsidRDefault="001A6FFB" w:rsidP="00C60E76">
      <w:pPr>
        <w:pStyle w:val="BTEMEASMCA"/>
      </w:pPr>
    </w:p>
    <w:p w14:paraId="0EF47E67" w14:textId="77777777" w:rsidR="001A6FFB" w:rsidRPr="001C169A" w:rsidRDefault="001A6FFB" w:rsidP="00B830AE">
      <w:pPr>
        <w:pStyle w:val="BTEMEASMCA"/>
      </w:pPr>
    </w:p>
    <w:p w14:paraId="09CC9059" w14:textId="12135D80" w:rsidR="00B830AE" w:rsidRPr="001C169A" w:rsidRDefault="00B830AE" w:rsidP="00B830AE">
      <w:pPr>
        <w:rPr>
          <w:b/>
          <w:noProof/>
          <w:sz w:val="22"/>
          <w:szCs w:val="22"/>
        </w:rPr>
      </w:pPr>
      <w:r w:rsidRPr="00AD4B7F">
        <w:rPr>
          <w:sz w:val="22"/>
          <w:szCs w:val="22"/>
        </w:rPr>
        <w:t>Labai reti (</w:t>
      </w:r>
      <w:r w:rsidR="004B125F" w:rsidRPr="00AD4B7F">
        <w:rPr>
          <w:sz w:val="22"/>
          <w:szCs w:val="22"/>
        </w:rPr>
        <w:t xml:space="preserve">gali </w:t>
      </w:r>
      <w:r w:rsidRPr="00AD4B7F">
        <w:rPr>
          <w:sz w:val="22"/>
          <w:szCs w:val="22"/>
        </w:rPr>
        <w:t>pasirei</w:t>
      </w:r>
      <w:r w:rsidR="004B125F" w:rsidRPr="00AD4B7F">
        <w:rPr>
          <w:sz w:val="22"/>
          <w:szCs w:val="22"/>
        </w:rPr>
        <w:t>kšti</w:t>
      </w:r>
      <w:r w:rsidRPr="00AD4B7F">
        <w:rPr>
          <w:sz w:val="22"/>
          <w:szCs w:val="22"/>
        </w:rPr>
        <w:t xml:space="preserve"> mažiau nei 1 iš 10000 žmonių)</w:t>
      </w:r>
    </w:p>
    <w:p w14:paraId="07CA5C36" w14:textId="77777777" w:rsidR="00B830AE" w:rsidRPr="001C169A" w:rsidRDefault="00B830AE" w:rsidP="00B830AE">
      <w:pPr>
        <w:numPr>
          <w:ilvl w:val="0"/>
          <w:numId w:val="11"/>
        </w:numPr>
        <w:rPr>
          <w:noProof/>
          <w:sz w:val="22"/>
          <w:szCs w:val="22"/>
        </w:rPr>
      </w:pPr>
      <w:r w:rsidRPr="001C169A">
        <w:rPr>
          <w:noProof/>
          <w:sz w:val="22"/>
          <w:szCs w:val="22"/>
        </w:rPr>
        <w:t>Labai sunki odos reakcija su opomis ar pūslėmis ant odos. Tai vadinamas Stivenso-Džonsono</w:t>
      </w:r>
      <w:r w:rsidRPr="001C169A">
        <w:rPr>
          <w:i/>
          <w:noProof/>
          <w:sz w:val="22"/>
          <w:szCs w:val="22"/>
        </w:rPr>
        <w:t xml:space="preserve"> (Stevens-Johnson</w:t>
      </w:r>
      <w:r w:rsidRPr="001C169A">
        <w:rPr>
          <w:noProof/>
          <w:sz w:val="22"/>
          <w:szCs w:val="22"/>
        </w:rPr>
        <w:t>) sindromas</w:t>
      </w:r>
    </w:p>
    <w:p w14:paraId="794027BB" w14:textId="77777777" w:rsidR="00B830AE" w:rsidRPr="001C169A" w:rsidRDefault="00B830AE" w:rsidP="00B830AE">
      <w:pPr>
        <w:numPr>
          <w:ilvl w:val="0"/>
          <w:numId w:val="11"/>
        </w:numPr>
        <w:rPr>
          <w:noProof/>
          <w:sz w:val="22"/>
          <w:szCs w:val="22"/>
        </w:rPr>
      </w:pPr>
      <w:r w:rsidRPr="001C169A">
        <w:rPr>
          <w:noProof/>
          <w:sz w:val="22"/>
          <w:szCs w:val="22"/>
        </w:rPr>
        <w:t>Veido, lūpų, liežuvio ir gerklės patinimas, kas gali sukelti sunkumų ryjant ar kvėpuojant. Tai žinoma kaip „angioedema“</w:t>
      </w:r>
    </w:p>
    <w:p w14:paraId="2D411FE7" w14:textId="77777777" w:rsidR="00B830AE" w:rsidRPr="001C169A" w:rsidRDefault="00B830AE" w:rsidP="00B830AE">
      <w:pPr>
        <w:ind w:left="360"/>
        <w:rPr>
          <w:noProof/>
          <w:sz w:val="22"/>
          <w:szCs w:val="22"/>
        </w:rPr>
      </w:pPr>
    </w:p>
    <w:p w14:paraId="3671BB35" w14:textId="77777777" w:rsidR="00B830AE" w:rsidRPr="001C169A" w:rsidRDefault="00B830AE" w:rsidP="00B44282">
      <w:pPr>
        <w:rPr>
          <w:noProof/>
          <w:sz w:val="22"/>
          <w:szCs w:val="22"/>
        </w:rPr>
      </w:pPr>
      <w:r w:rsidRPr="001C169A">
        <w:rPr>
          <w:noProof/>
          <w:sz w:val="22"/>
          <w:szCs w:val="22"/>
        </w:rPr>
        <w:t>Jei kuri nors iš išvardytų būklių pasitaikė Jums, būtina nedelsiant  iškviesti greitąją pagalbą arba kreiptis į gydytoją - jums gali būti reikalingas skubus gydymas.</w:t>
      </w:r>
    </w:p>
    <w:p w14:paraId="4427B55F" w14:textId="77777777" w:rsidR="00B830AE" w:rsidRPr="001C169A" w:rsidRDefault="00B830AE" w:rsidP="00B830AE">
      <w:pPr>
        <w:pStyle w:val="BTEMEASMCA"/>
      </w:pPr>
    </w:p>
    <w:p w14:paraId="4265E48A" w14:textId="77777777" w:rsidR="00B830AE" w:rsidRPr="001C169A" w:rsidRDefault="00B830AE" w:rsidP="00B830AE">
      <w:pPr>
        <w:pStyle w:val="BTEMEASMCA"/>
      </w:pPr>
      <w:r w:rsidRPr="001C169A">
        <w:t>Poveikis kaulams</w:t>
      </w:r>
    </w:p>
    <w:p w14:paraId="59FD529B" w14:textId="3B201CFA" w:rsidR="00B830AE" w:rsidRPr="001C169A" w:rsidRDefault="00B830AE" w:rsidP="00B830AE">
      <w:pPr>
        <w:pStyle w:val="BTEMEASMCA"/>
        <w:rPr>
          <w:b/>
        </w:rPr>
      </w:pPr>
      <w:r w:rsidRPr="001C169A">
        <w:t>AXASTROL sumažina hormono estrogeno kiekį, kuris yra Jūsų organizme. Tai gali sumažinti mineralinių medžiagų kiekį Jūsų kauluose.</w:t>
      </w:r>
      <w:r w:rsidR="00D27185" w:rsidRPr="001C169A">
        <w:t xml:space="preserve"> </w:t>
      </w:r>
      <w:r w:rsidRPr="001C169A">
        <w:rPr>
          <w:rStyle w:val="google-src-text1"/>
          <w:color w:val="000000"/>
        </w:rPr>
        <w:t>.</w:t>
      </w:r>
      <w:r w:rsidRPr="001C169A">
        <w:t>Jūsų kaulai gali būti silpnesni ir gali būti linkę lūžti.</w:t>
      </w:r>
      <w:r w:rsidR="001A6FFB" w:rsidRPr="001C169A">
        <w:t xml:space="preserve"> </w:t>
      </w:r>
      <w:r w:rsidRPr="001C169A">
        <w:rPr>
          <w:rStyle w:val="google-src-text1"/>
          <w:color w:val="000000"/>
        </w:rPr>
        <w:t>.</w:t>
      </w:r>
      <w:r w:rsidRPr="001C169A">
        <w:t>Gydytojas kontroliuos šią riziką pagal gydymo rekomendacijas dėl kaulų būklės moterims, kurios išgyveno menopauzę. Jūs turėtumėte pasikalbėti su gydytoju apie riziką ir gydymo galimybes.</w:t>
      </w:r>
    </w:p>
    <w:p w14:paraId="6656E14B" w14:textId="77777777" w:rsidR="00B830AE" w:rsidRPr="001C169A" w:rsidRDefault="00B830AE" w:rsidP="00B830AE">
      <w:pPr>
        <w:pStyle w:val="BTEMEASMCA"/>
      </w:pPr>
    </w:p>
    <w:p w14:paraId="2E0DE40C" w14:textId="77777777" w:rsidR="00917932" w:rsidRPr="001C169A" w:rsidRDefault="00917932" w:rsidP="00B44282">
      <w:pPr>
        <w:rPr>
          <w:b/>
          <w:sz w:val="22"/>
          <w:szCs w:val="22"/>
        </w:rPr>
      </w:pPr>
      <w:r w:rsidRPr="001C169A">
        <w:rPr>
          <w:b/>
          <w:noProof/>
          <w:sz w:val="22"/>
          <w:szCs w:val="22"/>
        </w:rPr>
        <w:t>Pranešimas apie šalutinį poveikį</w:t>
      </w:r>
    </w:p>
    <w:p w14:paraId="65F2661E" w14:textId="322754E9" w:rsidR="00917932" w:rsidRPr="001C169A" w:rsidRDefault="00917932" w:rsidP="00B44282">
      <w:pPr>
        <w:ind w:right="-449"/>
        <w:rPr>
          <w:noProof/>
          <w:sz w:val="22"/>
          <w:szCs w:val="22"/>
        </w:rPr>
      </w:pPr>
      <w:r w:rsidRPr="001C169A">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C169A">
        <w:rPr>
          <w:sz w:val="22"/>
          <w:szCs w:val="22"/>
          <w:lang w:eastAsia="zh-CN"/>
        </w:rPr>
        <w:t>elefonu 8 800 73568</w:t>
      </w:r>
      <w:r w:rsidRPr="001C169A">
        <w:rPr>
          <w:sz w:val="22"/>
          <w:szCs w:val="22"/>
        </w:rPr>
        <w:t xml:space="preserve"> arba užpildyti interneto svetainėje </w:t>
      </w:r>
      <w:hyperlink r:id="rId17" w:history="1">
        <w:r w:rsidRPr="001C169A">
          <w:rPr>
            <w:rStyle w:val="Hipersaitas"/>
            <w:rFonts w:eastAsia="SimSun"/>
            <w:sz w:val="22"/>
            <w:szCs w:val="22"/>
          </w:rPr>
          <w:t>www.vvkt.lt</w:t>
        </w:r>
      </w:hyperlink>
      <w:r w:rsidRPr="001C169A">
        <w:rPr>
          <w:sz w:val="22"/>
          <w:szCs w:val="22"/>
        </w:rPr>
        <w:t xml:space="preserve"> esančią formą ir pateikti ją Valstybinei vaistų kontrolės tarnybai prie Lietuvos Respublikos sveikatos apsaugos ministerijos vienu iš šių būdų: raštu (adresu Žirmūnų g. 139A, LT-09120 Vilnius), </w:t>
      </w:r>
      <w:r w:rsidRPr="001C169A">
        <w:rPr>
          <w:sz w:val="22"/>
          <w:szCs w:val="22"/>
          <w:lang w:eastAsia="zh-CN"/>
        </w:rPr>
        <w:t xml:space="preserve">nemokamu </w:t>
      </w:r>
      <w:r w:rsidRPr="001C169A">
        <w:rPr>
          <w:sz w:val="22"/>
          <w:szCs w:val="22"/>
        </w:rPr>
        <w:t>fakso numeriu 8 800 20131</w:t>
      </w:r>
      <w:r w:rsidRPr="001C169A">
        <w:rPr>
          <w:sz w:val="22"/>
          <w:szCs w:val="22"/>
          <w:lang w:eastAsia="zh-CN"/>
        </w:rPr>
        <w:t xml:space="preserve">, </w:t>
      </w:r>
      <w:r w:rsidRPr="001C169A">
        <w:rPr>
          <w:sz w:val="22"/>
          <w:szCs w:val="22"/>
        </w:rPr>
        <w:t xml:space="preserve">el. paštu </w:t>
      </w:r>
      <w:hyperlink r:id="rId18" w:history="1">
        <w:r w:rsidRPr="00AD4B7F">
          <w:rPr>
            <w:rStyle w:val="Hipersaitas"/>
            <w:rFonts w:eastAsia="SimSun"/>
            <w:sz w:val="22"/>
            <w:szCs w:val="22"/>
          </w:rPr>
          <w:t>NepageidaujamaR@vvkt.lt</w:t>
        </w:r>
      </w:hyperlink>
      <w:r w:rsidRPr="001C169A">
        <w:rPr>
          <w:sz w:val="22"/>
          <w:szCs w:val="22"/>
        </w:rPr>
        <w:t xml:space="preserve">, taip pat per Valstybinės vaistų kontrolės tarnybos prie Lietuvos Respublikos sveikatos apsaugos ministerijos interneto svetainę (adresu </w:t>
      </w:r>
      <w:hyperlink r:id="rId19" w:history="1">
        <w:r w:rsidRPr="001C169A">
          <w:rPr>
            <w:rStyle w:val="Hipersaitas"/>
            <w:rFonts w:eastAsia="SimSun"/>
            <w:sz w:val="22"/>
            <w:szCs w:val="22"/>
          </w:rPr>
          <w:t>http://www.vvkt.lt</w:t>
        </w:r>
      </w:hyperlink>
      <w:r w:rsidRPr="001C169A">
        <w:rPr>
          <w:sz w:val="22"/>
          <w:szCs w:val="22"/>
        </w:rPr>
        <w:t>). Pranešdami apie šalutinį poveikį galite mums padėti gauti daugiau informacijos apie šio vaisto saugumą.</w:t>
      </w:r>
    </w:p>
    <w:p w14:paraId="6B868041" w14:textId="77777777" w:rsidR="00B830AE" w:rsidRPr="00AD4B7F" w:rsidRDefault="00B830AE" w:rsidP="00C60E76">
      <w:pPr>
        <w:pStyle w:val="BTEMEASMCA"/>
      </w:pPr>
    </w:p>
    <w:p w14:paraId="21F32072" w14:textId="77777777" w:rsidR="00B830AE" w:rsidRPr="001C169A" w:rsidRDefault="00B830AE" w:rsidP="00B830AE">
      <w:pPr>
        <w:pStyle w:val="BTEMEASMCA"/>
      </w:pPr>
    </w:p>
    <w:p w14:paraId="07307F5F" w14:textId="77777777" w:rsidR="00B830AE" w:rsidRPr="001C169A" w:rsidRDefault="00B830AE" w:rsidP="00B830AE">
      <w:pPr>
        <w:pStyle w:val="PI-1EMEASMCA"/>
      </w:pPr>
      <w:bookmarkStart w:id="82" w:name="_Toc129243143"/>
      <w:bookmarkStart w:id="83" w:name="_Toc129243268"/>
      <w:r w:rsidRPr="001C169A">
        <w:t>5.</w:t>
      </w:r>
      <w:r w:rsidRPr="001C169A">
        <w:tab/>
        <w:t>Kaip laikyti AXASTROL</w:t>
      </w:r>
      <w:bookmarkEnd w:id="82"/>
      <w:bookmarkEnd w:id="83"/>
    </w:p>
    <w:p w14:paraId="6A931DB3" w14:textId="77777777" w:rsidR="00B830AE" w:rsidRPr="001C169A" w:rsidRDefault="00B830AE" w:rsidP="00B830AE">
      <w:pPr>
        <w:pStyle w:val="BTEMEASMCA"/>
      </w:pPr>
    </w:p>
    <w:p w14:paraId="28E75317" w14:textId="29F14A35" w:rsidR="00B830AE" w:rsidRPr="001C169A" w:rsidRDefault="00B830AE" w:rsidP="00B830AE">
      <w:pPr>
        <w:pStyle w:val="BTEMEASMCA"/>
      </w:pPr>
      <w:r w:rsidRPr="001C169A">
        <w:t>Šiam vaist</w:t>
      </w:r>
      <w:r w:rsidR="00917932" w:rsidRPr="001C169A">
        <w:t>ui</w:t>
      </w:r>
      <w:r w:rsidRPr="001C169A">
        <w:t xml:space="preserve"> specialių laikymo sąlygų nereikia.</w:t>
      </w:r>
    </w:p>
    <w:p w14:paraId="4D6B64E2" w14:textId="77777777" w:rsidR="00B830AE" w:rsidRPr="001C169A" w:rsidRDefault="00B830AE" w:rsidP="00B830AE">
      <w:pPr>
        <w:pStyle w:val="BTEMEASMCA"/>
      </w:pPr>
    </w:p>
    <w:p w14:paraId="2C0A0F8A" w14:textId="5DE599F7" w:rsidR="00B830AE" w:rsidRPr="001C169A" w:rsidRDefault="00B830AE" w:rsidP="00B830AE">
      <w:pPr>
        <w:pStyle w:val="BTEMEASMCA"/>
      </w:pPr>
      <w:r w:rsidRPr="001C169A">
        <w:t xml:space="preserve">Šį vaistą laikykite vaikams nepastebimoje ir nepasiekiamoje vietoje. </w:t>
      </w:r>
    </w:p>
    <w:p w14:paraId="1902E805" w14:textId="77777777" w:rsidR="00B830AE" w:rsidRPr="001C169A" w:rsidRDefault="00B830AE" w:rsidP="00B830AE">
      <w:pPr>
        <w:pStyle w:val="BTEMEASMCA"/>
      </w:pPr>
    </w:p>
    <w:p w14:paraId="1F8BB4DA" w14:textId="48BA9502" w:rsidR="00B830AE" w:rsidRPr="001C169A" w:rsidRDefault="00B830AE" w:rsidP="00B830AE">
      <w:pPr>
        <w:pStyle w:val="BTEMEASMCA"/>
      </w:pPr>
      <w:r w:rsidRPr="001C169A">
        <w:t>Ant dėžutės ir lizdinės plokštelės po „EXP“ nurodytam tinkamumo laikui pasibaigus, šio vaisto vartoti negalima. Vaistas tinkamas vartoti iki paskutinės nurodyto mėnesio dienos.</w:t>
      </w:r>
    </w:p>
    <w:p w14:paraId="65688AA0" w14:textId="235DA879" w:rsidR="00B830AE" w:rsidRPr="001C169A" w:rsidRDefault="00B830AE" w:rsidP="00B830AE">
      <w:pPr>
        <w:pStyle w:val="BTEMEASMCA"/>
      </w:pPr>
    </w:p>
    <w:p w14:paraId="769B0A57" w14:textId="77777777" w:rsidR="00B830AE" w:rsidRPr="001C169A" w:rsidRDefault="00B830AE" w:rsidP="00B830AE">
      <w:pPr>
        <w:pStyle w:val="BTEMEASMCA"/>
      </w:pPr>
      <w:r w:rsidRPr="001C169A">
        <w:t>Vaistų negalima išmesti į kanalizaciją arba su buitinėmis atliekomis. Kaip išmesti nereikalingus vaistus, klauskite vaistininko. Šios priemonės padės apsaugoti aplinką.</w:t>
      </w:r>
    </w:p>
    <w:p w14:paraId="34E8B33A" w14:textId="77777777" w:rsidR="00B830AE" w:rsidRPr="001C169A" w:rsidRDefault="00B830AE" w:rsidP="00B830AE">
      <w:pPr>
        <w:pStyle w:val="BTEMEASMCA"/>
      </w:pPr>
    </w:p>
    <w:p w14:paraId="5E308937" w14:textId="77777777" w:rsidR="00B830AE" w:rsidRPr="001C169A" w:rsidRDefault="00B830AE" w:rsidP="00B830AE">
      <w:pPr>
        <w:pStyle w:val="BTEMEASMCA"/>
      </w:pPr>
    </w:p>
    <w:p w14:paraId="070CF852" w14:textId="77777777" w:rsidR="00B830AE" w:rsidRPr="001C169A" w:rsidRDefault="00B830AE" w:rsidP="00B830AE">
      <w:pPr>
        <w:pStyle w:val="PI-1EMEASMCA"/>
      </w:pPr>
      <w:bookmarkStart w:id="84" w:name="_Toc129243144"/>
      <w:bookmarkStart w:id="85" w:name="_Toc129243269"/>
      <w:r w:rsidRPr="001C169A">
        <w:t>6.</w:t>
      </w:r>
      <w:r w:rsidRPr="001C169A">
        <w:tab/>
      </w:r>
      <w:bookmarkEnd w:id="84"/>
      <w:bookmarkEnd w:id="85"/>
      <w:r w:rsidRPr="001C169A">
        <w:t>Pakuotės turinys ir kita informacija</w:t>
      </w:r>
    </w:p>
    <w:p w14:paraId="179F2680" w14:textId="77777777" w:rsidR="00B830AE" w:rsidRPr="001C169A" w:rsidRDefault="00B830AE" w:rsidP="00B830AE">
      <w:pPr>
        <w:pStyle w:val="BTEMEASMCA"/>
      </w:pPr>
    </w:p>
    <w:p w14:paraId="4F94C5A1" w14:textId="77777777" w:rsidR="00B830AE" w:rsidRPr="001C169A" w:rsidRDefault="00B830AE" w:rsidP="00B830AE">
      <w:pPr>
        <w:pStyle w:val="PI-3EMEASMCA"/>
      </w:pPr>
      <w:r w:rsidRPr="001C169A">
        <w:t>AXASTROL sudėtis</w:t>
      </w:r>
    </w:p>
    <w:p w14:paraId="196E961F" w14:textId="77777777" w:rsidR="00B830AE" w:rsidRPr="001C169A" w:rsidRDefault="00B830AE" w:rsidP="00B830AE">
      <w:pPr>
        <w:pStyle w:val="BTEMEASMCA"/>
      </w:pPr>
    </w:p>
    <w:p w14:paraId="4281D491" w14:textId="77777777" w:rsidR="00B830AE" w:rsidRPr="001C169A" w:rsidRDefault="00B830AE" w:rsidP="00B830AE">
      <w:pPr>
        <w:pStyle w:val="BT-EMEASMCA"/>
      </w:pPr>
      <w:r w:rsidRPr="001C169A">
        <w:t>Veiklioji medžiaga yra anastrozolas. Kiekvienoje plėvele dengtoje tabletėje yra 1 mg anastrozolo.</w:t>
      </w:r>
    </w:p>
    <w:p w14:paraId="09C48616" w14:textId="77777777" w:rsidR="00B830AE" w:rsidRPr="001C169A" w:rsidRDefault="00B830AE" w:rsidP="00B830AE">
      <w:pPr>
        <w:pStyle w:val="BT-EMEASMCA"/>
      </w:pPr>
      <w:r w:rsidRPr="001C169A">
        <w:t xml:space="preserve">Pagalbinės medžiagos. </w:t>
      </w:r>
      <w:r w:rsidRPr="001C169A">
        <w:rPr>
          <w:i/>
        </w:rPr>
        <w:t>Tabletės branduolys</w:t>
      </w:r>
      <w:r w:rsidRPr="001C169A">
        <w:t xml:space="preserve">: laktozė monohidratas, kukurūzų krakmolas, povidonas K-30, mikrokristalinė celiuliozė pH 102, karboksimetilkrakmolo A natrio druska, bevandenis koloidinis silicio dioksidas, magnio stearatas (E572), talkas. </w:t>
      </w:r>
      <w:r w:rsidRPr="001C169A">
        <w:rPr>
          <w:i/>
        </w:rPr>
        <w:t>Tabletės plėvelė</w:t>
      </w:r>
      <w:r w:rsidRPr="001C169A">
        <w:t>: hipromeliozė 5cp (E464), makrogolis 400, titano dioksidas (E171), talkas.</w:t>
      </w:r>
    </w:p>
    <w:p w14:paraId="5358B170" w14:textId="77777777" w:rsidR="00B830AE" w:rsidRPr="001C169A" w:rsidRDefault="00B830AE" w:rsidP="00B830AE">
      <w:pPr>
        <w:pStyle w:val="BTEMEASMCA"/>
      </w:pPr>
    </w:p>
    <w:p w14:paraId="0C9BFF6A" w14:textId="77777777" w:rsidR="00B830AE" w:rsidRPr="001C169A" w:rsidRDefault="00B830AE" w:rsidP="00B830AE">
      <w:pPr>
        <w:pStyle w:val="PI-3EMEASMCA"/>
      </w:pPr>
      <w:r w:rsidRPr="001C169A">
        <w:t>AXASTROL išvaizda ir kiekis pakuotėje</w:t>
      </w:r>
    </w:p>
    <w:p w14:paraId="57A2444C" w14:textId="77777777" w:rsidR="00B830AE" w:rsidRPr="001C169A" w:rsidRDefault="00B830AE" w:rsidP="00B830AE">
      <w:pPr>
        <w:pStyle w:val="BTEMEASMCA"/>
      </w:pPr>
    </w:p>
    <w:p w14:paraId="0722F9B2" w14:textId="77777777" w:rsidR="00B830AE" w:rsidRPr="001C169A" w:rsidRDefault="00B830AE" w:rsidP="00B830AE">
      <w:pPr>
        <w:pStyle w:val="BTEMEASMCA"/>
      </w:pPr>
      <w:r w:rsidRPr="001C169A">
        <w:t>AXASTROL yra baltos, apvalios, apytiksliai 6,6 mm skersmens plėvele dengtos tabletės.</w:t>
      </w:r>
    </w:p>
    <w:p w14:paraId="63D1CC39" w14:textId="77777777" w:rsidR="00B830AE" w:rsidRPr="001C169A" w:rsidRDefault="00B830AE" w:rsidP="00B830AE">
      <w:pPr>
        <w:pStyle w:val="BTEMEASMCA"/>
      </w:pPr>
      <w:r w:rsidRPr="001C169A">
        <w:t xml:space="preserve">Tabletės tiekiamos </w:t>
      </w:r>
      <w:r w:rsidR="00553D3B" w:rsidRPr="001C169A">
        <w:t xml:space="preserve">PVC/Aliuminio </w:t>
      </w:r>
      <w:r w:rsidRPr="001C169A">
        <w:t>lizdinėse plokštelėse po 10 ir 14 tablečių.</w:t>
      </w:r>
    </w:p>
    <w:p w14:paraId="02948725" w14:textId="77777777" w:rsidR="00B830AE" w:rsidRPr="001C169A" w:rsidRDefault="00B830AE" w:rsidP="00B830AE">
      <w:pPr>
        <w:pStyle w:val="BTEMEASMCA"/>
      </w:pPr>
    </w:p>
    <w:p w14:paraId="17114127" w14:textId="77777777" w:rsidR="00B830AE" w:rsidRPr="001C169A" w:rsidRDefault="00B830AE" w:rsidP="00B830AE">
      <w:pPr>
        <w:pStyle w:val="BTEMEASMCA"/>
      </w:pPr>
      <w:r w:rsidRPr="001C169A">
        <w:lastRenderedPageBreak/>
        <w:t>Kartono dėžutės, kuriose yra 20, 28, 30, 50, 84, 98, 100 ir 300 plėvele dengtų tablečių.</w:t>
      </w:r>
    </w:p>
    <w:p w14:paraId="0BFD3D2E" w14:textId="77777777" w:rsidR="00B830AE" w:rsidRPr="001C169A" w:rsidRDefault="00B830AE" w:rsidP="00B830AE">
      <w:pPr>
        <w:pStyle w:val="BTEMEASMCA"/>
      </w:pPr>
    </w:p>
    <w:p w14:paraId="0D20C72F" w14:textId="77777777" w:rsidR="00B830AE" w:rsidRPr="001C169A" w:rsidRDefault="00B830AE" w:rsidP="00B830AE">
      <w:pPr>
        <w:pStyle w:val="BTEMEASMCA"/>
      </w:pPr>
      <w:r w:rsidRPr="001C169A">
        <w:t>Gali būti tiekiamos ne visų dydžių pakuotės.</w:t>
      </w:r>
    </w:p>
    <w:p w14:paraId="3D8615C4" w14:textId="77777777" w:rsidR="00B830AE" w:rsidRPr="001C169A" w:rsidRDefault="00B830AE" w:rsidP="00B830AE">
      <w:pPr>
        <w:pStyle w:val="BTEMEASMCA"/>
      </w:pPr>
    </w:p>
    <w:p w14:paraId="5BFDC2D0" w14:textId="77777777" w:rsidR="00B830AE" w:rsidRPr="001C169A" w:rsidRDefault="00B830AE" w:rsidP="00B830AE">
      <w:pPr>
        <w:pStyle w:val="PI-3EMEASMCA"/>
      </w:pPr>
    </w:p>
    <w:p w14:paraId="312791C3" w14:textId="28B8ABBF" w:rsidR="00B830AE" w:rsidRPr="001C169A" w:rsidRDefault="00B830AE" w:rsidP="00B830AE">
      <w:pPr>
        <w:pStyle w:val="PI-3EMEASMCA"/>
      </w:pPr>
      <w:r w:rsidRPr="001C169A">
        <w:t>R</w:t>
      </w:r>
      <w:r w:rsidR="00917932" w:rsidRPr="001C169A">
        <w:t>egistruotojas</w:t>
      </w:r>
      <w:r w:rsidRPr="001C169A">
        <w:t xml:space="preserve"> ir gamintojas</w:t>
      </w:r>
    </w:p>
    <w:p w14:paraId="560FA467" w14:textId="77777777" w:rsidR="00B830AE" w:rsidRPr="001C169A" w:rsidRDefault="00B830AE" w:rsidP="00B830AE">
      <w:pPr>
        <w:pStyle w:val="PI-3EMEASMCA"/>
        <w:rPr>
          <w:b w:val="0"/>
        </w:rPr>
      </w:pPr>
    </w:p>
    <w:p w14:paraId="3122F6F5" w14:textId="73A59ED5" w:rsidR="00B830AE" w:rsidRPr="001C169A" w:rsidRDefault="00917932" w:rsidP="00B830AE">
      <w:pPr>
        <w:pStyle w:val="PI-3EMEASMCA"/>
        <w:rPr>
          <w:b w:val="0"/>
          <w:i/>
        </w:rPr>
      </w:pPr>
      <w:r w:rsidRPr="001C169A">
        <w:rPr>
          <w:b w:val="0"/>
          <w:i/>
        </w:rPr>
        <w:t>Registruotojas</w:t>
      </w:r>
    </w:p>
    <w:p w14:paraId="2568F24B" w14:textId="77777777" w:rsidR="00B830AE" w:rsidRPr="001C169A" w:rsidRDefault="00B830AE" w:rsidP="00B830AE">
      <w:pPr>
        <w:jc w:val="both"/>
        <w:rPr>
          <w:sz w:val="22"/>
          <w:szCs w:val="22"/>
        </w:rPr>
      </w:pPr>
      <w:r w:rsidRPr="001C169A">
        <w:rPr>
          <w:sz w:val="22"/>
          <w:szCs w:val="22"/>
        </w:rPr>
        <w:t>AS GRINDEKS</w:t>
      </w:r>
    </w:p>
    <w:p w14:paraId="4623E031" w14:textId="77777777" w:rsidR="00B830AE" w:rsidRPr="001C169A" w:rsidRDefault="00B830AE" w:rsidP="00B830AE">
      <w:pPr>
        <w:jc w:val="both"/>
        <w:rPr>
          <w:sz w:val="22"/>
          <w:szCs w:val="22"/>
        </w:rPr>
      </w:pPr>
      <w:proofErr w:type="spellStart"/>
      <w:r w:rsidRPr="001C169A">
        <w:rPr>
          <w:sz w:val="22"/>
          <w:szCs w:val="22"/>
        </w:rPr>
        <w:t>Krustpils</w:t>
      </w:r>
      <w:proofErr w:type="spellEnd"/>
      <w:r w:rsidRPr="001C169A">
        <w:rPr>
          <w:sz w:val="22"/>
          <w:szCs w:val="22"/>
        </w:rPr>
        <w:t xml:space="preserve"> </w:t>
      </w:r>
      <w:proofErr w:type="spellStart"/>
      <w:r w:rsidRPr="001C169A">
        <w:rPr>
          <w:sz w:val="22"/>
          <w:szCs w:val="22"/>
        </w:rPr>
        <w:t>iela</w:t>
      </w:r>
      <w:proofErr w:type="spellEnd"/>
      <w:r w:rsidRPr="001C169A">
        <w:rPr>
          <w:sz w:val="22"/>
          <w:szCs w:val="22"/>
        </w:rPr>
        <w:t xml:space="preserve"> 53, </w:t>
      </w:r>
      <w:proofErr w:type="spellStart"/>
      <w:r w:rsidRPr="001C169A">
        <w:rPr>
          <w:sz w:val="22"/>
          <w:szCs w:val="22"/>
        </w:rPr>
        <w:t>Rīga</w:t>
      </w:r>
      <w:proofErr w:type="spellEnd"/>
      <w:r w:rsidRPr="001C169A">
        <w:rPr>
          <w:sz w:val="22"/>
          <w:szCs w:val="22"/>
        </w:rPr>
        <w:t>, LV-1057</w:t>
      </w:r>
    </w:p>
    <w:p w14:paraId="695C9370" w14:textId="77777777" w:rsidR="00B830AE" w:rsidRPr="001C169A" w:rsidRDefault="00B830AE" w:rsidP="00B830AE">
      <w:pPr>
        <w:jc w:val="both"/>
        <w:rPr>
          <w:sz w:val="22"/>
          <w:szCs w:val="22"/>
        </w:rPr>
      </w:pPr>
      <w:r w:rsidRPr="001C169A">
        <w:rPr>
          <w:sz w:val="22"/>
          <w:szCs w:val="22"/>
        </w:rPr>
        <w:t>Latvija</w:t>
      </w:r>
    </w:p>
    <w:p w14:paraId="1F910F26" w14:textId="77777777" w:rsidR="00B830AE" w:rsidRPr="001C169A" w:rsidRDefault="00B830AE" w:rsidP="00B830AE">
      <w:pPr>
        <w:pStyle w:val="Pagrindiniotekstotrauka"/>
        <w:spacing w:after="0"/>
        <w:ind w:left="0"/>
        <w:rPr>
          <w:sz w:val="22"/>
          <w:szCs w:val="22"/>
        </w:rPr>
      </w:pPr>
      <w:r w:rsidRPr="001C169A">
        <w:rPr>
          <w:sz w:val="22"/>
          <w:szCs w:val="22"/>
        </w:rPr>
        <w:t>Tel. +371 67083205</w:t>
      </w:r>
    </w:p>
    <w:p w14:paraId="1AFEE805" w14:textId="77777777" w:rsidR="00B830AE" w:rsidRPr="001C169A" w:rsidRDefault="00B830AE" w:rsidP="00B830AE">
      <w:pPr>
        <w:pStyle w:val="Pagrindiniotekstotrauka"/>
        <w:spacing w:after="0"/>
        <w:ind w:left="0"/>
        <w:rPr>
          <w:sz w:val="22"/>
          <w:szCs w:val="22"/>
        </w:rPr>
      </w:pPr>
      <w:r w:rsidRPr="001C169A">
        <w:rPr>
          <w:sz w:val="22"/>
          <w:szCs w:val="22"/>
        </w:rPr>
        <w:t>Faksas +371 67083505</w:t>
      </w:r>
    </w:p>
    <w:p w14:paraId="4017B8AC" w14:textId="77777777" w:rsidR="00B830AE" w:rsidRPr="001C169A" w:rsidRDefault="00B830AE" w:rsidP="00B830AE">
      <w:pPr>
        <w:pStyle w:val="BTEMEASMCA"/>
      </w:pPr>
      <w:r w:rsidRPr="001C169A">
        <w:rPr>
          <w:kern w:val="16"/>
        </w:rPr>
        <w:t xml:space="preserve">El. paštas: </w:t>
      </w:r>
      <w:hyperlink r:id="rId20" w:history="1">
        <w:r w:rsidRPr="001C169A">
          <w:rPr>
            <w:rStyle w:val="Hipersaitas"/>
          </w:rPr>
          <w:t>grindeks@grindeks.lv</w:t>
        </w:r>
      </w:hyperlink>
    </w:p>
    <w:p w14:paraId="69146271" w14:textId="77777777" w:rsidR="00B830AE" w:rsidRPr="001C169A" w:rsidRDefault="00B830AE" w:rsidP="00B830AE">
      <w:pPr>
        <w:pStyle w:val="BTEMEASMCA"/>
      </w:pPr>
    </w:p>
    <w:p w14:paraId="4E117F96" w14:textId="77777777" w:rsidR="00B830AE" w:rsidRPr="001C169A" w:rsidRDefault="00B830AE" w:rsidP="00B830AE">
      <w:pPr>
        <w:pStyle w:val="PI-3EMEASMCA"/>
        <w:rPr>
          <w:b w:val="0"/>
          <w:i/>
        </w:rPr>
      </w:pPr>
      <w:r w:rsidRPr="001C169A">
        <w:rPr>
          <w:b w:val="0"/>
          <w:i/>
        </w:rPr>
        <w:t>Gamintojas</w:t>
      </w:r>
    </w:p>
    <w:p w14:paraId="105884F9" w14:textId="77777777" w:rsidR="00B830AE" w:rsidRPr="001C169A" w:rsidRDefault="00B830AE" w:rsidP="00B830AE">
      <w:pPr>
        <w:pStyle w:val="BTEMEASMCA"/>
      </w:pPr>
      <w:r w:rsidRPr="001C169A">
        <w:t>Remedica Ltd.</w:t>
      </w:r>
    </w:p>
    <w:p w14:paraId="2EF1F204" w14:textId="77777777" w:rsidR="00B830AE" w:rsidRPr="001C169A" w:rsidRDefault="00B830AE" w:rsidP="00B830AE">
      <w:pPr>
        <w:pStyle w:val="BTEMEASMCA"/>
      </w:pPr>
      <w:r w:rsidRPr="001C169A">
        <w:t>Limassol Industrial Estate</w:t>
      </w:r>
    </w:p>
    <w:p w14:paraId="12DE47B7" w14:textId="5B14E23A" w:rsidR="00B830AE" w:rsidRPr="001C169A" w:rsidRDefault="000E3A9E" w:rsidP="00B830AE">
      <w:pPr>
        <w:pStyle w:val="BTEMEASMCA"/>
      </w:pPr>
      <w:r w:rsidRPr="001C169A">
        <w:t>Aharnon Street</w:t>
      </w:r>
    </w:p>
    <w:p w14:paraId="7471FD29" w14:textId="38F347F1" w:rsidR="00B830AE" w:rsidRPr="008A6F34" w:rsidRDefault="00B830AE" w:rsidP="00B830AE">
      <w:pPr>
        <w:pStyle w:val="BTEMEASMCA"/>
      </w:pPr>
      <w:r w:rsidRPr="001C169A">
        <w:t>CY-</w:t>
      </w:r>
      <w:r w:rsidR="000E3A9E" w:rsidRPr="001C169A">
        <w:t>3056</w:t>
      </w:r>
      <w:r w:rsidRPr="001C169A">
        <w:t xml:space="preserve"> Limassol</w:t>
      </w:r>
    </w:p>
    <w:p w14:paraId="540A0B40" w14:textId="77777777" w:rsidR="00B830AE" w:rsidRPr="001C169A" w:rsidRDefault="00B830AE" w:rsidP="00B830AE">
      <w:pPr>
        <w:pStyle w:val="BTEMEASMCA"/>
      </w:pPr>
      <w:r w:rsidRPr="001C169A">
        <w:t>Kipras</w:t>
      </w:r>
    </w:p>
    <w:p w14:paraId="205E6BBF" w14:textId="77777777" w:rsidR="00B830AE" w:rsidRPr="001C169A" w:rsidRDefault="00B830AE" w:rsidP="00B830AE">
      <w:pPr>
        <w:pStyle w:val="BTEMEASMCA"/>
      </w:pPr>
    </w:p>
    <w:p w14:paraId="61583B87" w14:textId="0293BAB1" w:rsidR="00B830AE" w:rsidRPr="001C169A" w:rsidRDefault="00B830AE" w:rsidP="00B830AE">
      <w:pPr>
        <w:pStyle w:val="BTEMEASMCA"/>
      </w:pPr>
      <w:r w:rsidRPr="001C169A">
        <w:t xml:space="preserve">Jeigu apie šį vaistą norite sužinoti daugiau, kreipkitės į vietinį </w:t>
      </w:r>
      <w:r w:rsidR="00917932" w:rsidRPr="001C169A">
        <w:t>registruotojo</w:t>
      </w:r>
      <w:r w:rsidRPr="001C169A">
        <w:t xml:space="preserve"> atstovą.</w:t>
      </w:r>
    </w:p>
    <w:p w14:paraId="10F08C47" w14:textId="77777777" w:rsidR="00B830AE" w:rsidRPr="001C169A" w:rsidRDefault="00B830AE" w:rsidP="00B830AE">
      <w:pPr>
        <w:rPr>
          <w:sz w:val="22"/>
          <w:szCs w:val="22"/>
        </w:rPr>
      </w:pPr>
    </w:p>
    <w:tbl>
      <w:tblPr>
        <w:tblW w:w="4678" w:type="dxa"/>
        <w:tblInd w:w="-34" w:type="dxa"/>
        <w:tblLayout w:type="fixed"/>
        <w:tblLook w:val="0000" w:firstRow="0" w:lastRow="0" w:firstColumn="0" w:lastColumn="0" w:noHBand="0" w:noVBand="0"/>
      </w:tblPr>
      <w:tblGrid>
        <w:gridCol w:w="4678"/>
      </w:tblGrid>
      <w:tr w:rsidR="00B830AE" w:rsidRPr="009F7B2A" w14:paraId="76DA3BB3" w14:textId="77777777" w:rsidTr="00C60E76">
        <w:tc>
          <w:tcPr>
            <w:tcW w:w="4678" w:type="dxa"/>
          </w:tcPr>
          <w:p w14:paraId="1C9A274A" w14:textId="77777777" w:rsidR="009F7B2A" w:rsidRPr="009F7B2A" w:rsidRDefault="009F7B2A" w:rsidP="009F7B2A">
            <w:pPr>
              <w:rPr>
                <w:sz w:val="22"/>
                <w:szCs w:val="22"/>
              </w:rPr>
            </w:pPr>
            <w:r w:rsidRPr="009F7B2A">
              <w:rPr>
                <w:sz w:val="22"/>
                <w:szCs w:val="22"/>
              </w:rPr>
              <w:t>„</w:t>
            </w:r>
            <w:proofErr w:type="spellStart"/>
            <w:r w:rsidRPr="009F7B2A">
              <w:rPr>
                <w:sz w:val="22"/>
                <w:szCs w:val="22"/>
              </w:rPr>
              <w:t>Grindeks</w:t>
            </w:r>
            <w:proofErr w:type="spellEnd"/>
            <w:r w:rsidRPr="009F7B2A">
              <w:rPr>
                <w:sz w:val="22"/>
                <w:szCs w:val="22"/>
              </w:rPr>
              <w:t xml:space="preserve"> </w:t>
            </w:r>
            <w:proofErr w:type="spellStart"/>
            <w:r w:rsidRPr="009F7B2A">
              <w:rPr>
                <w:sz w:val="22"/>
                <w:szCs w:val="22"/>
              </w:rPr>
              <w:t>Kalceks</w:t>
            </w:r>
            <w:proofErr w:type="spellEnd"/>
            <w:r w:rsidRPr="009F7B2A">
              <w:rPr>
                <w:sz w:val="22"/>
                <w:szCs w:val="22"/>
              </w:rPr>
              <w:t xml:space="preserve"> Lietuva“ UAB</w:t>
            </w:r>
          </w:p>
          <w:p w14:paraId="60E20B89" w14:textId="77777777" w:rsidR="009F7B2A" w:rsidRPr="009F7B2A" w:rsidRDefault="009F7B2A" w:rsidP="009F7B2A">
            <w:pPr>
              <w:rPr>
                <w:sz w:val="22"/>
                <w:szCs w:val="22"/>
              </w:rPr>
            </w:pPr>
            <w:r w:rsidRPr="009F7B2A">
              <w:rPr>
                <w:sz w:val="22"/>
                <w:szCs w:val="22"/>
              </w:rPr>
              <w:t>Kalvarijų g. 300</w:t>
            </w:r>
          </w:p>
          <w:p w14:paraId="5AE175D0" w14:textId="77777777" w:rsidR="009F7B2A" w:rsidRPr="009F7B2A" w:rsidRDefault="009F7B2A" w:rsidP="009F7B2A">
            <w:pPr>
              <w:rPr>
                <w:sz w:val="22"/>
                <w:szCs w:val="22"/>
              </w:rPr>
            </w:pPr>
            <w:r w:rsidRPr="009F7B2A">
              <w:rPr>
                <w:sz w:val="22"/>
                <w:szCs w:val="22"/>
              </w:rPr>
              <w:t xml:space="preserve">Vilnius, LT-08318 </w:t>
            </w:r>
          </w:p>
          <w:p w14:paraId="16718DBF" w14:textId="77777777" w:rsidR="009F7B2A" w:rsidRPr="009F7B2A" w:rsidRDefault="009F7B2A" w:rsidP="009F7B2A">
            <w:pPr>
              <w:rPr>
                <w:sz w:val="22"/>
                <w:szCs w:val="22"/>
              </w:rPr>
            </w:pPr>
            <w:r w:rsidRPr="009F7B2A">
              <w:rPr>
                <w:sz w:val="22"/>
                <w:szCs w:val="22"/>
              </w:rPr>
              <w:t>Tel. +370 5 2101401</w:t>
            </w:r>
          </w:p>
          <w:p w14:paraId="3741EAD2" w14:textId="77777777" w:rsidR="00B830AE" w:rsidRPr="009F7B2A" w:rsidRDefault="00B830AE" w:rsidP="005E1763">
            <w:pPr>
              <w:pStyle w:val="BTEMEASMCA"/>
            </w:pPr>
          </w:p>
        </w:tc>
      </w:tr>
    </w:tbl>
    <w:p w14:paraId="2D3131D2" w14:textId="77777777" w:rsidR="00B830AE" w:rsidRPr="00C60E76" w:rsidRDefault="00B830AE" w:rsidP="00B830AE">
      <w:pPr>
        <w:pStyle w:val="BTEMEASMCA"/>
      </w:pPr>
    </w:p>
    <w:p w14:paraId="53511F6D" w14:textId="246F22A7" w:rsidR="00B830AE" w:rsidRPr="00C60E76" w:rsidRDefault="00B830AE" w:rsidP="00B830AE">
      <w:pPr>
        <w:pStyle w:val="BTEMEASMCA"/>
        <w:rPr>
          <w:b/>
        </w:rPr>
      </w:pPr>
      <w:r w:rsidRPr="001C169A">
        <w:rPr>
          <w:b/>
        </w:rPr>
        <w:t>Ši</w:t>
      </w:r>
      <w:r w:rsidR="00917932" w:rsidRPr="001C169A">
        <w:rPr>
          <w:b/>
        </w:rPr>
        <w:t>s vaistas</w:t>
      </w:r>
      <w:r w:rsidRPr="001C169A">
        <w:rPr>
          <w:b/>
        </w:rPr>
        <w:t xml:space="preserve"> EEE valstybėse narėse </w:t>
      </w:r>
      <w:r w:rsidR="00917932" w:rsidRPr="001C169A">
        <w:rPr>
          <w:b/>
        </w:rPr>
        <w:t>registruotas</w:t>
      </w:r>
      <w:r w:rsidRPr="001C169A">
        <w:rPr>
          <w:b/>
        </w:rPr>
        <w:t xml:space="preserve"> tokiais pavadinimais</w:t>
      </w:r>
      <w:r w:rsidRPr="00C60E76">
        <w:rPr>
          <w:b/>
        </w:rPr>
        <w:t>:</w:t>
      </w:r>
    </w:p>
    <w:p w14:paraId="6A2F8624" w14:textId="3E86FF1F" w:rsidR="00B830AE" w:rsidRPr="00C60E76" w:rsidRDefault="00B830AE" w:rsidP="00B830AE">
      <w:pPr>
        <w:pStyle w:val="BTEMEASMCA"/>
      </w:pPr>
    </w:p>
    <w:p w14:paraId="1878E00F" w14:textId="77777777" w:rsidR="00B830AE" w:rsidRPr="00C60E76" w:rsidRDefault="00B830AE" w:rsidP="00B830AE">
      <w:pPr>
        <w:pStyle w:val="BTEMEASMCA"/>
      </w:pPr>
      <w:r w:rsidRPr="00C60E76">
        <w:t>Latvija</w:t>
      </w:r>
      <w:r w:rsidRPr="00C60E76">
        <w:tab/>
      </w:r>
      <w:r w:rsidRPr="00C60E76">
        <w:tab/>
        <w:t>AXASTROL</w:t>
      </w:r>
      <w:r w:rsidRPr="00C60E76">
        <w:rPr>
          <w:vertAlign w:val="superscript"/>
        </w:rPr>
        <w:t xml:space="preserve">® </w:t>
      </w:r>
      <w:r w:rsidRPr="00C60E76">
        <w:t>1 mg apvalkotās tabletes</w:t>
      </w:r>
    </w:p>
    <w:p w14:paraId="70385D1D" w14:textId="77777777" w:rsidR="00B830AE" w:rsidRPr="00C60E76" w:rsidRDefault="00B830AE" w:rsidP="00B830AE">
      <w:pPr>
        <w:pStyle w:val="BTEMEASMCA"/>
      </w:pPr>
      <w:r w:rsidRPr="00C60E76">
        <w:t>Lietuva</w:t>
      </w:r>
      <w:r w:rsidRPr="00C60E76">
        <w:tab/>
      </w:r>
      <w:r w:rsidRPr="00C60E76">
        <w:tab/>
        <w:t>AXASTROL</w:t>
      </w:r>
      <w:r w:rsidRPr="00C60E76">
        <w:rPr>
          <w:vertAlign w:val="superscript"/>
        </w:rPr>
        <w:t xml:space="preserve">® </w:t>
      </w:r>
      <w:r w:rsidRPr="00C60E76">
        <w:t>1 mg plėvele dengtos tabletės</w:t>
      </w:r>
    </w:p>
    <w:p w14:paraId="3D590E2F" w14:textId="77777777" w:rsidR="00B830AE" w:rsidRPr="00C60E76" w:rsidRDefault="00B830AE" w:rsidP="00B830AE">
      <w:pPr>
        <w:pStyle w:val="BTEMEASMCA"/>
      </w:pPr>
      <w:r w:rsidRPr="00C60E76">
        <w:t>Estija</w:t>
      </w:r>
      <w:r w:rsidRPr="00C60E76">
        <w:tab/>
      </w:r>
      <w:r w:rsidRPr="00C60E76">
        <w:tab/>
        <w:t>AXASTROL</w:t>
      </w:r>
      <w:r w:rsidRPr="00C60E76">
        <w:rPr>
          <w:vertAlign w:val="superscript"/>
        </w:rPr>
        <w:t>®</w:t>
      </w:r>
      <w:r w:rsidRPr="00C60E76">
        <w:t xml:space="preserve"> 1 mg õhukese polümeerikattega tabletid</w:t>
      </w:r>
    </w:p>
    <w:p w14:paraId="55CC9B26" w14:textId="77777777" w:rsidR="00B830AE" w:rsidRPr="001C169A" w:rsidRDefault="00B830AE" w:rsidP="00B830AE">
      <w:pPr>
        <w:pStyle w:val="BTEMEASMCA"/>
      </w:pPr>
    </w:p>
    <w:p w14:paraId="2568F219" w14:textId="77777777" w:rsidR="00B830AE" w:rsidRPr="001C169A" w:rsidRDefault="00B830AE" w:rsidP="00B830AE">
      <w:pPr>
        <w:pStyle w:val="BTEMEASMCA"/>
      </w:pPr>
    </w:p>
    <w:p w14:paraId="461C7522" w14:textId="38C1DF70" w:rsidR="00B830AE" w:rsidRPr="001C169A" w:rsidRDefault="00B830AE" w:rsidP="00B830AE">
      <w:pPr>
        <w:pStyle w:val="BTbEMEASMCA"/>
      </w:pPr>
      <w:r w:rsidRPr="001C169A">
        <w:t xml:space="preserve">Šis pakuotės lapelis paskutinį kartą peržiūrėtas </w:t>
      </w:r>
      <w:r w:rsidR="00B4725C">
        <w:t>20</w:t>
      </w:r>
      <w:r w:rsidR="009F7B2A">
        <w:t>24-11-04</w:t>
      </w:r>
      <w:r w:rsidR="00B4725C">
        <w:t>.</w:t>
      </w:r>
    </w:p>
    <w:p w14:paraId="4CC68134" w14:textId="77777777" w:rsidR="00B830AE" w:rsidRPr="008A6F34" w:rsidRDefault="00B830AE" w:rsidP="00B830AE">
      <w:pPr>
        <w:rPr>
          <w:sz w:val="22"/>
          <w:szCs w:val="22"/>
        </w:rPr>
      </w:pPr>
    </w:p>
    <w:p w14:paraId="76577849" w14:textId="77777777" w:rsidR="00B830AE" w:rsidRPr="001C169A" w:rsidRDefault="00B830AE" w:rsidP="00B830AE">
      <w:pPr>
        <w:rPr>
          <w:sz w:val="22"/>
          <w:szCs w:val="22"/>
        </w:rPr>
      </w:pPr>
    </w:p>
    <w:p w14:paraId="14AE84E7" w14:textId="34782D3A" w:rsidR="00B830AE" w:rsidRPr="001C169A" w:rsidRDefault="00B830AE" w:rsidP="00B830AE">
      <w:pPr>
        <w:rPr>
          <w:color w:val="0000FF"/>
          <w:sz w:val="22"/>
          <w:szCs w:val="22"/>
        </w:rPr>
      </w:pPr>
      <w:r w:rsidRPr="001C169A">
        <w:rPr>
          <w:sz w:val="22"/>
          <w:szCs w:val="22"/>
        </w:rPr>
        <w:t xml:space="preserve">Išsami informacija apie šį vaistą pateikiama Valstybinės vaistų kontrolės tarnybos prie Lietuvos Respublikos sveikatos apsaugos ministerijos tinklalapyje </w:t>
      </w:r>
      <w:hyperlink r:id="rId21" w:history="1">
        <w:r w:rsidR="00917932" w:rsidRPr="001C169A">
          <w:rPr>
            <w:rStyle w:val="Hipersaitas"/>
            <w:sz w:val="22"/>
            <w:szCs w:val="22"/>
          </w:rPr>
          <w:t>http://www.vvkt.lt/</w:t>
        </w:r>
      </w:hyperlink>
      <w:r w:rsidRPr="001C169A">
        <w:rPr>
          <w:color w:val="0000FF"/>
          <w:sz w:val="22"/>
          <w:szCs w:val="22"/>
        </w:rPr>
        <w:t>.</w:t>
      </w:r>
    </w:p>
    <w:p w14:paraId="062D597A" w14:textId="77777777" w:rsidR="00917932" w:rsidRPr="001C169A" w:rsidRDefault="00917932" w:rsidP="00B830AE">
      <w:pPr>
        <w:rPr>
          <w:sz w:val="22"/>
          <w:szCs w:val="22"/>
        </w:rPr>
      </w:pPr>
      <w:bookmarkStart w:id="86" w:name="_GoBack"/>
      <w:bookmarkEnd w:id="86"/>
    </w:p>
    <w:p w14:paraId="14CE62B5" w14:textId="77777777" w:rsidR="00B830AE" w:rsidRPr="001C169A" w:rsidRDefault="00B830AE" w:rsidP="00B830AE">
      <w:pPr>
        <w:rPr>
          <w:sz w:val="22"/>
          <w:szCs w:val="22"/>
        </w:rPr>
      </w:pPr>
    </w:p>
    <w:p w14:paraId="4CAD74DF" w14:textId="77777777" w:rsidR="00B830AE" w:rsidRPr="008A6F34" w:rsidRDefault="00B830AE" w:rsidP="00B830AE">
      <w:pPr>
        <w:rPr>
          <w:sz w:val="22"/>
          <w:szCs w:val="22"/>
        </w:rPr>
      </w:pPr>
    </w:p>
    <w:p w14:paraId="356974EA" w14:textId="77777777" w:rsidR="00A6428A" w:rsidRPr="00C60E76" w:rsidRDefault="00A6428A">
      <w:pPr>
        <w:rPr>
          <w:sz w:val="22"/>
        </w:rPr>
      </w:pPr>
    </w:p>
    <w:sectPr w:rsidR="00A6428A" w:rsidRPr="00C60E76" w:rsidSect="005E1763">
      <w:headerReference w:type="default" r:id="rId22"/>
      <w:footerReference w:type="even" r:id="rId23"/>
      <w:footerReference w:type="default" r:id="rId2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0786" w14:textId="77777777" w:rsidR="00DB586B" w:rsidRDefault="00DB586B">
      <w:r>
        <w:separator/>
      </w:r>
    </w:p>
  </w:endnote>
  <w:endnote w:type="continuationSeparator" w:id="0">
    <w:p w14:paraId="141D157E" w14:textId="77777777" w:rsidR="00DB586B" w:rsidRDefault="00DB586B">
      <w:r>
        <w:continuationSeparator/>
      </w:r>
    </w:p>
  </w:endnote>
  <w:endnote w:type="continuationNotice" w:id="1">
    <w:p w14:paraId="156B56C2" w14:textId="77777777" w:rsidR="00DB586B" w:rsidRDefault="00DB5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100C" w14:textId="77777777" w:rsidR="00AD4B7F" w:rsidRDefault="00AD4B7F" w:rsidP="005E17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EF6A6F" w14:textId="77777777" w:rsidR="00AD4B7F" w:rsidRDefault="00AD4B7F" w:rsidP="005E17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532947"/>
      <w:docPartObj>
        <w:docPartGallery w:val="Page Numbers (Bottom of Page)"/>
        <w:docPartUnique/>
      </w:docPartObj>
    </w:sdtPr>
    <w:sdtEndPr/>
    <w:sdtContent>
      <w:p w14:paraId="47FA1128" w14:textId="28A1C6C4" w:rsidR="00AD4B7F" w:rsidRDefault="00AD4B7F">
        <w:pPr>
          <w:pStyle w:val="Porat"/>
          <w:jc w:val="center"/>
        </w:pPr>
        <w:r w:rsidRPr="00E248CF">
          <w:rPr>
            <w:sz w:val="22"/>
            <w:szCs w:val="22"/>
          </w:rPr>
          <w:fldChar w:fldCharType="begin"/>
        </w:r>
        <w:r w:rsidRPr="00E248CF">
          <w:rPr>
            <w:sz w:val="22"/>
            <w:szCs w:val="22"/>
          </w:rPr>
          <w:instrText>PAGE   \* MERGEFORMAT</w:instrText>
        </w:r>
        <w:r w:rsidRPr="00E248CF">
          <w:rPr>
            <w:sz w:val="22"/>
            <w:szCs w:val="22"/>
          </w:rPr>
          <w:fldChar w:fldCharType="separate"/>
        </w:r>
        <w:r w:rsidR="009F7B2A">
          <w:rPr>
            <w:noProof/>
            <w:sz w:val="22"/>
            <w:szCs w:val="22"/>
          </w:rPr>
          <w:t>12</w:t>
        </w:r>
        <w:r w:rsidRPr="00E248CF">
          <w:rPr>
            <w:sz w:val="22"/>
            <w:szCs w:val="22"/>
          </w:rPr>
          <w:fldChar w:fldCharType="end"/>
        </w:r>
      </w:p>
    </w:sdtContent>
  </w:sdt>
  <w:p w14:paraId="5F7112B5" w14:textId="77777777" w:rsidR="00AD4B7F" w:rsidRDefault="00AD4B7F" w:rsidP="005E176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A9F0" w14:textId="77777777" w:rsidR="00AD4B7F" w:rsidRDefault="00AD4B7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404726"/>
      <w:docPartObj>
        <w:docPartGallery w:val="Page Numbers (Bottom of Page)"/>
        <w:docPartUnique/>
      </w:docPartObj>
    </w:sdtPr>
    <w:sdtEndPr/>
    <w:sdtContent>
      <w:p w14:paraId="65025A04" w14:textId="2651521D" w:rsidR="00AD4B7F" w:rsidRDefault="00AD4B7F">
        <w:pPr>
          <w:pStyle w:val="Porat"/>
          <w:jc w:val="center"/>
        </w:pPr>
        <w:r w:rsidRPr="00E248CF">
          <w:rPr>
            <w:sz w:val="22"/>
            <w:szCs w:val="22"/>
          </w:rPr>
          <w:fldChar w:fldCharType="begin"/>
        </w:r>
        <w:r w:rsidRPr="00E248CF">
          <w:rPr>
            <w:sz w:val="22"/>
            <w:szCs w:val="22"/>
          </w:rPr>
          <w:instrText>PAGE   \* MERGEFORMAT</w:instrText>
        </w:r>
        <w:r w:rsidRPr="00E248CF">
          <w:rPr>
            <w:sz w:val="22"/>
            <w:szCs w:val="22"/>
          </w:rPr>
          <w:fldChar w:fldCharType="separate"/>
        </w:r>
        <w:r w:rsidR="009F7B2A">
          <w:rPr>
            <w:noProof/>
            <w:sz w:val="22"/>
            <w:szCs w:val="22"/>
          </w:rPr>
          <w:t>24</w:t>
        </w:r>
        <w:r w:rsidRPr="00E248CF">
          <w:rPr>
            <w:sz w:val="22"/>
            <w:szCs w:val="22"/>
          </w:rPr>
          <w:fldChar w:fldCharType="end"/>
        </w:r>
      </w:p>
    </w:sdtContent>
  </w:sdt>
  <w:p w14:paraId="26442B83" w14:textId="77777777" w:rsidR="00AD4B7F" w:rsidRDefault="00AD4B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C9E54" w14:textId="77777777" w:rsidR="00DB586B" w:rsidRDefault="00DB586B">
      <w:r>
        <w:separator/>
      </w:r>
    </w:p>
  </w:footnote>
  <w:footnote w:type="continuationSeparator" w:id="0">
    <w:p w14:paraId="7DD051E1" w14:textId="77777777" w:rsidR="00DB586B" w:rsidRDefault="00DB586B">
      <w:r>
        <w:continuationSeparator/>
      </w:r>
    </w:p>
  </w:footnote>
  <w:footnote w:type="continuationNotice" w:id="1">
    <w:p w14:paraId="6BFB16F4" w14:textId="77777777" w:rsidR="00DB586B" w:rsidRDefault="00DB58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8363" w14:textId="77777777" w:rsidR="00AD4B7F" w:rsidRDefault="00AD4B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8801" w14:textId="77777777" w:rsidR="00AD4B7F" w:rsidRDefault="00AD4B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9D1"/>
    <w:multiLevelType w:val="hybridMultilevel"/>
    <w:tmpl w:val="55ECB28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A1AC4"/>
    <w:multiLevelType w:val="hybridMultilevel"/>
    <w:tmpl w:val="F5AA031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F04D8"/>
    <w:multiLevelType w:val="hybridMultilevel"/>
    <w:tmpl w:val="E440230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877C80"/>
    <w:multiLevelType w:val="hybridMultilevel"/>
    <w:tmpl w:val="F8B6E79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30ED3181"/>
    <w:multiLevelType w:val="hybridMultilevel"/>
    <w:tmpl w:val="E32EDDA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A8DA62B4"/>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A14379"/>
    <w:multiLevelType w:val="hybridMultilevel"/>
    <w:tmpl w:val="9132B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DF07B3"/>
    <w:multiLevelType w:val="hybridMultilevel"/>
    <w:tmpl w:val="4EFECE56"/>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E93E0B"/>
    <w:multiLevelType w:val="hybridMultilevel"/>
    <w:tmpl w:val="E4B46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A870F3"/>
    <w:multiLevelType w:val="hybridMultilevel"/>
    <w:tmpl w:val="BD6C84A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F71C36"/>
    <w:multiLevelType w:val="hybridMultilevel"/>
    <w:tmpl w:val="08447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124CCB"/>
    <w:multiLevelType w:val="hybridMultilevel"/>
    <w:tmpl w:val="BBCC304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lvlOverride w:ilvl="0">
      <w:startOverride w:val="1"/>
    </w:lvlOverride>
  </w:num>
  <w:num w:numId="3">
    <w:abstractNumId w:val="2"/>
  </w:num>
  <w:num w:numId="4">
    <w:abstractNumId w:val="0"/>
  </w:num>
  <w:num w:numId="5">
    <w:abstractNumId w:val="9"/>
  </w:num>
  <w:num w:numId="6">
    <w:abstractNumId w:val="11"/>
  </w:num>
  <w:num w:numId="7">
    <w:abstractNumId w:val="4"/>
  </w:num>
  <w:num w:numId="8">
    <w:abstractNumId w:val="1"/>
  </w:num>
  <w:num w:numId="9">
    <w:abstractNumId w:val="3"/>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AE"/>
    <w:rsid w:val="0001294B"/>
    <w:rsid w:val="00052FCA"/>
    <w:rsid w:val="000720AB"/>
    <w:rsid w:val="000767E8"/>
    <w:rsid w:val="0009435B"/>
    <w:rsid w:val="000D7AE3"/>
    <w:rsid w:val="000E161E"/>
    <w:rsid w:val="000E2B20"/>
    <w:rsid w:val="000E3A9E"/>
    <w:rsid w:val="00102AB6"/>
    <w:rsid w:val="00111AE3"/>
    <w:rsid w:val="001439ED"/>
    <w:rsid w:val="00161BD5"/>
    <w:rsid w:val="0017656B"/>
    <w:rsid w:val="001A6FFB"/>
    <w:rsid w:val="001C169A"/>
    <w:rsid w:val="001D4BB6"/>
    <w:rsid w:val="001E7339"/>
    <w:rsid w:val="002126AC"/>
    <w:rsid w:val="0022634B"/>
    <w:rsid w:val="002C479E"/>
    <w:rsid w:val="002F4014"/>
    <w:rsid w:val="002F72F4"/>
    <w:rsid w:val="002F7CEC"/>
    <w:rsid w:val="00300EFE"/>
    <w:rsid w:val="00357B13"/>
    <w:rsid w:val="00390159"/>
    <w:rsid w:val="003D3035"/>
    <w:rsid w:val="003D3757"/>
    <w:rsid w:val="003E1285"/>
    <w:rsid w:val="003F1CE6"/>
    <w:rsid w:val="003F3603"/>
    <w:rsid w:val="00435C41"/>
    <w:rsid w:val="00454CC2"/>
    <w:rsid w:val="0047031F"/>
    <w:rsid w:val="0049531D"/>
    <w:rsid w:val="004B125F"/>
    <w:rsid w:val="004D3C4B"/>
    <w:rsid w:val="004F2D4E"/>
    <w:rsid w:val="004F7C1A"/>
    <w:rsid w:val="005074E1"/>
    <w:rsid w:val="0052554E"/>
    <w:rsid w:val="00553D3B"/>
    <w:rsid w:val="00576958"/>
    <w:rsid w:val="00592B86"/>
    <w:rsid w:val="005B0B74"/>
    <w:rsid w:val="005E1763"/>
    <w:rsid w:val="005F65CF"/>
    <w:rsid w:val="006332B0"/>
    <w:rsid w:val="00644DD0"/>
    <w:rsid w:val="00664DCE"/>
    <w:rsid w:val="00672EE9"/>
    <w:rsid w:val="0067791E"/>
    <w:rsid w:val="00687C9A"/>
    <w:rsid w:val="006A2DD5"/>
    <w:rsid w:val="006B2110"/>
    <w:rsid w:val="006B720C"/>
    <w:rsid w:val="006F22F9"/>
    <w:rsid w:val="007044F2"/>
    <w:rsid w:val="00773F10"/>
    <w:rsid w:val="00777ABE"/>
    <w:rsid w:val="0078039E"/>
    <w:rsid w:val="00787F85"/>
    <w:rsid w:val="007A4E9E"/>
    <w:rsid w:val="00812158"/>
    <w:rsid w:val="008132D3"/>
    <w:rsid w:val="00850DF5"/>
    <w:rsid w:val="00866431"/>
    <w:rsid w:val="008A6F34"/>
    <w:rsid w:val="008C1591"/>
    <w:rsid w:val="00903EA7"/>
    <w:rsid w:val="00917929"/>
    <w:rsid w:val="00917932"/>
    <w:rsid w:val="0092131D"/>
    <w:rsid w:val="00932B4A"/>
    <w:rsid w:val="00972897"/>
    <w:rsid w:val="009A3777"/>
    <w:rsid w:val="009A54F3"/>
    <w:rsid w:val="009F7B2A"/>
    <w:rsid w:val="00A00596"/>
    <w:rsid w:val="00A23BF7"/>
    <w:rsid w:val="00A272AB"/>
    <w:rsid w:val="00A554FA"/>
    <w:rsid w:val="00A6428A"/>
    <w:rsid w:val="00A67C31"/>
    <w:rsid w:val="00A72F32"/>
    <w:rsid w:val="00A92939"/>
    <w:rsid w:val="00AA0CC6"/>
    <w:rsid w:val="00AC300D"/>
    <w:rsid w:val="00AC4BB3"/>
    <w:rsid w:val="00AC7057"/>
    <w:rsid w:val="00AD4B7F"/>
    <w:rsid w:val="00AD6234"/>
    <w:rsid w:val="00AE1DD9"/>
    <w:rsid w:val="00AF67BC"/>
    <w:rsid w:val="00B03D42"/>
    <w:rsid w:val="00B3419D"/>
    <w:rsid w:val="00B3580C"/>
    <w:rsid w:val="00B44282"/>
    <w:rsid w:val="00B4725C"/>
    <w:rsid w:val="00B830AE"/>
    <w:rsid w:val="00B92490"/>
    <w:rsid w:val="00B92875"/>
    <w:rsid w:val="00B95826"/>
    <w:rsid w:val="00BB0AD1"/>
    <w:rsid w:val="00BB7CD8"/>
    <w:rsid w:val="00BC7DE5"/>
    <w:rsid w:val="00BD463F"/>
    <w:rsid w:val="00BF03F9"/>
    <w:rsid w:val="00BF2ADB"/>
    <w:rsid w:val="00C07C77"/>
    <w:rsid w:val="00C30F3D"/>
    <w:rsid w:val="00C40AF0"/>
    <w:rsid w:val="00C60E76"/>
    <w:rsid w:val="00C85B82"/>
    <w:rsid w:val="00CC2E42"/>
    <w:rsid w:val="00CD1ECC"/>
    <w:rsid w:val="00CF3C37"/>
    <w:rsid w:val="00CF7D42"/>
    <w:rsid w:val="00D0258A"/>
    <w:rsid w:val="00D06A35"/>
    <w:rsid w:val="00D10B89"/>
    <w:rsid w:val="00D27185"/>
    <w:rsid w:val="00D4188A"/>
    <w:rsid w:val="00D5007C"/>
    <w:rsid w:val="00D57BB7"/>
    <w:rsid w:val="00D81562"/>
    <w:rsid w:val="00D92BE7"/>
    <w:rsid w:val="00DB586B"/>
    <w:rsid w:val="00E248CF"/>
    <w:rsid w:val="00E34D2D"/>
    <w:rsid w:val="00E97F36"/>
    <w:rsid w:val="00EB50CD"/>
    <w:rsid w:val="00EB61EF"/>
    <w:rsid w:val="00ED05EF"/>
    <w:rsid w:val="00F164FC"/>
    <w:rsid w:val="00F30783"/>
    <w:rsid w:val="00F338A4"/>
    <w:rsid w:val="00F472A3"/>
    <w:rsid w:val="00F749D4"/>
    <w:rsid w:val="00F85DDD"/>
    <w:rsid w:val="00F94EBE"/>
    <w:rsid w:val="00FD30C3"/>
    <w:rsid w:val="00FE204E"/>
    <w:rsid w:val="00FE625A"/>
    <w:rsid w:val="00FF4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598C"/>
  <w15:docId w15:val="{6E122270-F639-400F-A3F9-B454696F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4EB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B830AE"/>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9"/>
    <w:qFormat/>
    <w:rsid w:val="00B830AE"/>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9"/>
    <w:qFormat/>
    <w:rsid w:val="00B830AE"/>
    <w:pPr>
      <w:keepNext/>
      <w:keepLines/>
      <w:spacing w:before="40"/>
      <w:outlineLvl w:val="2"/>
    </w:pPr>
    <w:rPr>
      <w:rFonts w:ascii="Calibri Light" w:hAnsi="Calibri Light"/>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830AE"/>
    <w:rPr>
      <w:rFonts w:ascii="Calibri Light" w:eastAsia="Times New Roman" w:hAnsi="Calibri Light" w:cs="Times New Roman"/>
      <w:color w:val="2E74B5"/>
      <w:sz w:val="32"/>
      <w:szCs w:val="32"/>
      <w:lang w:val="lt-LT"/>
    </w:rPr>
  </w:style>
  <w:style w:type="character" w:customStyle="1" w:styleId="Antrat2Diagrama">
    <w:name w:val="Antraštė 2 Diagrama"/>
    <w:basedOn w:val="Numatytasispastraiposriftas"/>
    <w:link w:val="Antrat2"/>
    <w:uiPriority w:val="99"/>
    <w:rsid w:val="00B830AE"/>
    <w:rPr>
      <w:rFonts w:ascii="Calibri Light" w:eastAsia="Times New Roman" w:hAnsi="Calibri Light" w:cs="Times New Roman"/>
      <w:color w:val="2E74B5"/>
      <w:sz w:val="26"/>
      <w:szCs w:val="26"/>
      <w:lang w:val="lt-LT"/>
    </w:rPr>
  </w:style>
  <w:style w:type="character" w:customStyle="1" w:styleId="Antrat3Diagrama">
    <w:name w:val="Antraštė 3 Diagrama"/>
    <w:basedOn w:val="Numatytasispastraiposriftas"/>
    <w:link w:val="Antrat3"/>
    <w:uiPriority w:val="99"/>
    <w:rsid w:val="00B830AE"/>
    <w:rPr>
      <w:rFonts w:ascii="Calibri Light" w:eastAsia="Times New Roman" w:hAnsi="Calibri Light" w:cs="Times New Roman"/>
      <w:color w:val="1F4D78"/>
      <w:sz w:val="24"/>
      <w:szCs w:val="24"/>
      <w:lang w:val="lt-LT"/>
    </w:rPr>
  </w:style>
  <w:style w:type="character" w:styleId="Hipersaitas">
    <w:name w:val="Hyperlink"/>
    <w:uiPriority w:val="99"/>
    <w:rsid w:val="00B830AE"/>
    <w:rPr>
      <w:rFonts w:cs="Times New Roman"/>
      <w:color w:val="0000FF"/>
      <w:u w:val="single"/>
    </w:rPr>
  </w:style>
  <w:style w:type="paragraph" w:customStyle="1" w:styleId="PI-1EMEASMCA">
    <w:name w:val="PI-1 EMEA_SMCA"/>
    <w:basedOn w:val="Antrat2"/>
    <w:autoRedefine/>
    <w:uiPriority w:val="99"/>
    <w:rsid w:val="00B830AE"/>
    <w:pPr>
      <w:keepLines w:val="0"/>
      <w:tabs>
        <w:tab w:val="left" w:pos="567"/>
      </w:tabs>
      <w:spacing w:before="0"/>
      <w:ind w:left="567" w:hanging="567"/>
    </w:pPr>
    <w:rPr>
      <w:rFonts w:ascii="Times New Roman" w:hAnsi="Times New Roman"/>
      <w:b/>
      <w:color w:val="auto"/>
      <w:sz w:val="22"/>
      <w:szCs w:val="22"/>
    </w:rPr>
  </w:style>
  <w:style w:type="paragraph" w:customStyle="1" w:styleId="PI-1labEMEASMCA">
    <w:name w:val="PI-1_lab EMEA_SMCA"/>
    <w:basedOn w:val="prastasis"/>
    <w:link w:val="PI-1labEMEASMCAChar"/>
    <w:autoRedefine/>
    <w:uiPriority w:val="99"/>
    <w:rsid w:val="00AD4B7F"/>
    <w:pPr>
      <w:pBdr>
        <w:top w:val="single" w:sz="4" w:space="1" w:color="auto"/>
        <w:left w:val="single" w:sz="4" w:space="4" w:color="auto"/>
        <w:bottom w:val="single" w:sz="4" w:space="1" w:color="auto"/>
        <w:right w:val="single" w:sz="4" w:space="4" w:color="auto"/>
      </w:pBdr>
      <w:tabs>
        <w:tab w:val="left" w:pos="540"/>
      </w:tabs>
    </w:pPr>
    <w:rPr>
      <w:b/>
      <w:sz w:val="22"/>
      <w:szCs w:val="22"/>
      <w:lang w:eastAsia="lt-LT"/>
    </w:rPr>
  </w:style>
  <w:style w:type="character" w:customStyle="1" w:styleId="PI-1labEMEASMCAChar">
    <w:name w:val="PI-1_lab EMEA_SMCA Char"/>
    <w:link w:val="PI-1labEMEASMCA"/>
    <w:uiPriority w:val="99"/>
    <w:locked/>
    <w:rsid w:val="003D3757"/>
    <w:rPr>
      <w:rFonts w:ascii="Times New Roman" w:eastAsia="Times New Roman" w:hAnsi="Times New Roman" w:cs="Times New Roman"/>
      <w:b/>
      <w:lang w:val="lt-LT" w:eastAsia="lt-LT"/>
    </w:rPr>
  </w:style>
  <w:style w:type="paragraph" w:customStyle="1" w:styleId="PI-2EMEASMCA">
    <w:name w:val="PI-2 EMEA_SMCA"/>
    <w:basedOn w:val="Antrat3"/>
    <w:autoRedefine/>
    <w:uiPriority w:val="99"/>
    <w:rsid w:val="00B830AE"/>
    <w:pPr>
      <w:tabs>
        <w:tab w:val="left" w:pos="567"/>
      </w:tabs>
      <w:spacing w:before="0"/>
      <w:ind w:left="567" w:hanging="567"/>
    </w:pPr>
    <w:rPr>
      <w:rFonts w:ascii="Times New Roman" w:hAnsi="Times New Roman"/>
      <w:b/>
      <w:color w:val="auto"/>
      <w:kern w:val="28"/>
      <w:sz w:val="22"/>
      <w:szCs w:val="22"/>
    </w:rPr>
  </w:style>
  <w:style w:type="paragraph" w:customStyle="1" w:styleId="BTEMEASMCA">
    <w:name w:val="BT EMEA_SMCA"/>
    <w:basedOn w:val="prastasis"/>
    <w:link w:val="BTEMEASMCAChar"/>
    <w:autoRedefine/>
    <w:uiPriority w:val="99"/>
    <w:rsid w:val="00B830AE"/>
    <w:rPr>
      <w:noProof/>
      <w:sz w:val="22"/>
      <w:szCs w:val="22"/>
      <w:lang w:eastAsia="lt-LT"/>
    </w:rPr>
  </w:style>
  <w:style w:type="paragraph" w:customStyle="1" w:styleId="TTEMEASMCA">
    <w:name w:val="TT EMEA_SMCA"/>
    <w:basedOn w:val="Antrat1"/>
    <w:link w:val="TTEMEASMCAChar"/>
    <w:autoRedefine/>
    <w:uiPriority w:val="99"/>
    <w:rsid w:val="00B830AE"/>
    <w:pPr>
      <w:keepNext w:val="0"/>
      <w:keepLines w:val="0"/>
      <w:tabs>
        <w:tab w:val="left" w:pos="567"/>
      </w:tabs>
      <w:spacing w:before="0"/>
      <w:ind w:left="567" w:hanging="567"/>
      <w:jc w:val="center"/>
    </w:pPr>
    <w:rPr>
      <w:rFonts w:ascii="Times New Roman" w:hAnsi="Times New Roman"/>
      <w:b/>
      <w:caps/>
      <w:color w:val="auto"/>
      <w:sz w:val="20"/>
      <w:szCs w:val="20"/>
      <w:lang w:val="en-US" w:eastAsia="lt-LT"/>
    </w:rPr>
  </w:style>
  <w:style w:type="character" w:customStyle="1" w:styleId="TTEMEASMCAChar">
    <w:name w:val="TT EMEA_SMCA Char"/>
    <w:link w:val="TTEMEASMCA"/>
    <w:uiPriority w:val="99"/>
    <w:locked/>
    <w:rsid w:val="00B830AE"/>
    <w:rPr>
      <w:rFonts w:ascii="Times New Roman" w:eastAsia="Times New Roman" w:hAnsi="Times New Roman" w:cs="Times New Roman"/>
      <w:b/>
      <w:caps/>
      <w:sz w:val="20"/>
      <w:szCs w:val="20"/>
      <w:lang w:eastAsia="lt-LT"/>
    </w:rPr>
  </w:style>
  <w:style w:type="paragraph" w:customStyle="1" w:styleId="BTAnIIEMEASMCA">
    <w:name w:val="BT(AnII) EMEA_SMCA"/>
    <w:basedOn w:val="Debesliotekstas"/>
    <w:autoRedefine/>
    <w:uiPriority w:val="99"/>
    <w:rsid w:val="00B830AE"/>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uiPriority w:val="99"/>
    <w:rsid w:val="00B830AE"/>
    <w:pPr>
      <w:numPr>
        <w:numId w:val="1"/>
      </w:numPr>
    </w:pPr>
  </w:style>
  <w:style w:type="paragraph" w:customStyle="1" w:styleId="PI-3EMEASMCA">
    <w:name w:val="PI-3 EMEA_SMCA"/>
    <w:basedOn w:val="prastasis"/>
    <w:autoRedefine/>
    <w:uiPriority w:val="99"/>
    <w:rsid w:val="00B830AE"/>
    <w:pPr>
      <w:spacing w:line="220" w:lineRule="exact"/>
    </w:pPr>
    <w:rPr>
      <w:b/>
      <w:bCs/>
      <w:sz w:val="22"/>
      <w:szCs w:val="22"/>
    </w:rPr>
  </w:style>
  <w:style w:type="paragraph" w:customStyle="1" w:styleId="BTbEMEASMCA">
    <w:name w:val="BT(b) EMEA_SMCA"/>
    <w:basedOn w:val="BTEMEASMCA"/>
    <w:autoRedefine/>
    <w:uiPriority w:val="99"/>
    <w:rsid w:val="00B830AE"/>
    <w:rPr>
      <w:b/>
    </w:rPr>
  </w:style>
  <w:style w:type="paragraph" w:customStyle="1" w:styleId="BTbeEMEASMCA">
    <w:name w:val="BT(be) EMEA_SMCA"/>
    <w:basedOn w:val="BTEMEASMCA"/>
    <w:autoRedefine/>
    <w:uiPriority w:val="99"/>
    <w:rsid w:val="00B830AE"/>
    <w:pPr>
      <w:jc w:val="center"/>
    </w:pPr>
    <w:rPr>
      <w:b/>
    </w:rPr>
  </w:style>
  <w:style w:type="paragraph" w:customStyle="1" w:styleId="BTeEMEASMCA">
    <w:name w:val="BT(e) EMEA_SMCA"/>
    <w:basedOn w:val="BTEMEASMCA"/>
    <w:autoRedefine/>
    <w:uiPriority w:val="99"/>
    <w:rsid w:val="00B830AE"/>
    <w:pPr>
      <w:jc w:val="center"/>
    </w:pPr>
  </w:style>
  <w:style w:type="character" w:customStyle="1" w:styleId="BTEMEASMCAChar">
    <w:name w:val="BT EMEA_SMCA Char"/>
    <w:link w:val="BTEMEASMCA"/>
    <w:uiPriority w:val="99"/>
    <w:locked/>
    <w:rsid w:val="00B830AE"/>
    <w:rPr>
      <w:rFonts w:ascii="Times New Roman" w:eastAsia="Times New Roman" w:hAnsi="Times New Roman" w:cs="Times New Roman"/>
      <w:noProof/>
      <w:lang w:val="lt-LT" w:eastAsia="lt-LT"/>
    </w:rPr>
  </w:style>
  <w:style w:type="paragraph" w:customStyle="1" w:styleId="BTuEMEASMCA">
    <w:name w:val="BT(u) EMEA_SMCA"/>
    <w:basedOn w:val="BTEMEASMCA"/>
    <w:autoRedefine/>
    <w:uiPriority w:val="99"/>
    <w:rsid w:val="00B830AE"/>
    <w:rPr>
      <w:u w:val="single"/>
    </w:rPr>
  </w:style>
  <w:style w:type="paragraph" w:styleId="Pagrindinistekstas">
    <w:name w:val="Body Text"/>
    <w:basedOn w:val="prastasis"/>
    <w:link w:val="PagrindinistekstasDiagrama"/>
    <w:uiPriority w:val="99"/>
    <w:rsid w:val="00B830AE"/>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B830AE"/>
    <w:rPr>
      <w:rFonts w:ascii="Times New Roman" w:eastAsia="Times New Roman" w:hAnsi="Times New Roman" w:cs="Times New Roman"/>
      <w:szCs w:val="20"/>
      <w:lang w:val="lt-LT"/>
    </w:rPr>
  </w:style>
  <w:style w:type="paragraph" w:styleId="Pagrindiniotekstotrauka">
    <w:name w:val="Body Text Indent"/>
    <w:basedOn w:val="prastasis"/>
    <w:link w:val="PagrindiniotekstotraukaDiagrama"/>
    <w:uiPriority w:val="99"/>
    <w:rsid w:val="00B830A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830A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B830AE"/>
    <w:pPr>
      <w:tabs>
        <w:tab w:val="center" w:pos="4819"/>
        <w:tab w:val="right" w:pos="9638"/>
      </w:tabs>
    </w:pPr>
  </w:style>
  <w:style w:type="character" w:customStyle="1" w:styleId="PoratDiagrama">
    <w:name w:val="Poraštė Diagrama"/>
    <w:basedOn w:val="Numatytasispastraiposriftas"/>
    <w:link w:val="Porat"/>
    <w:uiPriority w:val="99"/>
    <w:rsid w:val="00B830AE"/>
    <w:rPr>
      <w:rFonts w:ascii="Times New Roman" w:eastAsia="Times New Roman" w:hAnsi="Times New Roman" w:cs="Times New Roman"/>
      <w:sz w:val="24"/>
      <w:szCs w:val="24"/>
      <w:lang w:val="lt-LT"/>
    </w:rPr>
  </w:style>
  <w:style w:type="character" w:styleId="Puslapionumeris">
    <w:name w:val="page number"/>
    <w:uiPriority w:val="99"/>
    <w:rsid w:val="00B830AE"/>
    <w:rPr>
      <w:rFonts w:cs="Times New Roman"/>
    </w:rPr>
  </w:style>
  <w:style w:type="character" w:customStyle="1" w:styleId="google-src-text1">
    <w:name w:val="google-src-text1"/>
    <w:uiPriority w:val="99"/>
    <w:rsid w:val="00B830AE"/>
    <w:rPr>
      <w:vanish/>
    </w:rPr>
  </w:style>
  <w:style w:type="paragraph" w:customStyle="1" w:styleId="Picture">
    <w:name w:val="Picture"/>
    <w:basedOn w:val="prastasis"/>
    <w:next w:val="prastasis"/>
    <w:uiPriority w:val="99"/>
    <w:rsid w:val="00B830AE"/>
    <w:pPr>
      <w:spacing w:before="120" w:after="120" w:line="260" w:lineRule="atLeast"/>
      <w:jc w:val="both"/>
    </w:pPr>
    <w:rPr>
      <w:lang w:val="en-GB" w:eastAsia="en-GB"/>
    </w:rPr>
  </w:style>
  <w:style w:type="paragraph" w:customStyle="1" w:styleId="Default">
    <w:name w:val="Default"/>
    <w:uiPriority w:val="99"/>
    <w:rsid w:val="00F94EBE"/>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Puslapioinaostekstas">
    <w:name w:val="footnote text"/>
    <w:basedOn w:val="prastasis"/>
    <w:link w:val="PuslapioinaostekstasDiagrama"/>
    <w:uiPriority w:val="99"/>
    <w:rsid w:val="00B830AE"/>
    <w:pPr>
      <w:tabs>
        <w:tab w:val="left" w:pos="425"/>
      </w:tabs>
      <w:spacing w:line="260" w:lineRule="exact"/>
      <w:ind w:left="425" w:hanging="425"/>
      <w:jc w:val="both"/>
    </w:pPr>
    <w:rPr>
      <w:sz w:val="20"/>
      <w:szCs w:val="20"/>
      <w:lang w:val="en-GB" w:eastAsia="en-GB"/>
    </w:rPr>
  </w:style>
  <w:style w:type="character" w:customStyle="1" w:styleId="PuslapioinaostekstasDiagrama">
    <w:name w:val="Puslapio išnašos tekstas Diagrama"/>
    <w:basedOn w:val="Numatytasispastraiposriftas"/>
    <w:link w:val="Puslapioinaostekstas"/>
    <w:uiPriority w:val="99"/>
    <w:rsid w:val="00B830AE"/>
    <w:rPr>
      <w:rFonts w:ascii="Times New Roman" w:eastAsia="Times New Roman" w:hAnsi="Times New Roman" w:cs="Times New Roman"/>
      <w:sz w:val="20"/>
      <w:szCs w:val="20"/>
      <w:lang w:val="en-GB" w:eastAsia="en-GB"/>
    </w:rPr>
  </w:style>
  <w:style w:type="paragraph" w:styleId="Komentarotekstas">
    <w:name w:val="annotation text"/>
    <w:basedOn w:val="prastasis"/>
    <w:link w:val="KomentarotekstasDiagrama"/>
    <w:uiPriority w:val="99"/>
    <w:semiHidden/>
    <w:rsid w:val="00B830AE"/>
    <w:rPr>
      <w:sz w:val="20"/>
      <w:szCs w:val="20"/>
    </w:rPr>
  </w:style>
  <w:style w:type="character" w:customStyle="1" w:styleId="KomentarotekstasDiagrama">
    <w:name w:val="Komentaro tekstas Diagrama"/>
    <w:basedOn w:val="Numatytasispastraiposriftas"/>
    <w:link w:val="Komentarotekstas"/>
    <w:uiPriority w:val="99"/>
    <w:semiHidden/>
    <w:rsid w:val="00B830A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B830AE"/>
    <w:rPr>
      <w:b/>
      <w:bCs/>
    </w:rPr>
  </w:style>
  <w:style w:type="character" w:customStyle="1" w:styleId="KomentarotemaDiagrama">
    <w:name w:val="Komentaro tema Diagrama"/>
    <w:basedOn w:val="KomentarotekstasDiagrama"/>
    <w:link w:val="Komentarotema"/>
    <w:uiPriority w:val="99"/>
    <w:semiHidden/>
    <w:rsid w:val="00B830AE"/>
    <w:rPr>
      <w:rFonts w:ascii="Times New Roman" w:eastAsia="Times New Roman" w:hAnsi="Times New Roman" w:cs="Times New Roman"/>
      <w:b/>
      <w:bCs/>
      <w:sz w:val="20"/>
      <w:szCs w:val="20"/>
      <w:lang w:val="lt-LT"/>
    </w:rPr>
  </w:style>
  <w:style w:type="paragraph" w:styleId="Pavadinimas">
    <w:name w:val="Title"/>
    <w:basedOn w:val="prastasis"/>
    <w:link w:val="PavadinimasDiagrama"/>
    <w:uiPriority w:val="99"/>
    <w:qFormat/>
    <w:rsid w:val="00B830AE"/>
    <w:pPr>
      <w:jc w:val="center"/>
    </w:pPr>
    <w:rPr>
      <w:b/>
      <w:sz w:val="22"/>
      <w:szCs w:val="20"/>
      <w:lang w:val="en-GB"/>
    </w:rPr>
  </w:style>
  <w:style w:type="character" w:customStyle="1" w:styleId="PavadinimasDiagrama">
    <w:name w:val="Pavadinimas Diagrama"/>
    <w:basedOn w:val="Numatytasispastraiposriftas"/>
    <w:link w:val="Pavadinimas"/>
    <w:uiPriority w:val="99"/>
    <w:rsid w:val="00B830AE"/>
    <w:rPr>
      <w:rFonts w:ascii="Times New Roman" w:eastAsia="Times New Roman" w:hAnsi="Times New Roman" w:cs="Times New Roman"/>
      <w:b/>
      <w:szCs w:val="20"/>
      <w:lang w:val="en-GB"/>
    </w:rPr>
  </w:style>
  <w:style w:type="paragraph" w:styleId="Pagrindinistekstas2">
    <w:name w:val="Body Text 2"/>
    <w:basedOn w:val="prastasis"/>
    <w:link w:val="Pagrindinistekstas2Diagrama"/>
    <w:uiPriority w:val="99"/>
    <w:rsid w:val="00B830AE"/>
    <w:pPr>
      <w:spacing w:after="120" w:line="480" w:lineRule="auto"/>
    </w:pPr>
  </w:style>
  <w:style w:type="character" w:customStyle="1" w:styleId="Pagrindinistekstas2Diagrama">
    <w:name w:val="Pagrindinis tekstas 2 Diagrama"/>
    <w:basedOn w:val="Numatytasispastraiposriftas"/>
    <w:link w:val="Pagrindinistekstas2"/>
    <w:uiPriority w:val="99"/>
    <w:rsid w:val="00B830AE"/>
    <w:rPr>
      <w:rFonts w:ascii="Times New Roman" w:eastAsia="Times New Roman" w:hAnsi="Times New Roman" w:cs="Times New Roman"/>
      <w:sz w:val="24"/>
      <w:szCs w:val="24"/>
      <w:lang w:val="lt-LT"/>
    </w:rPr>
  </w:style>
  <w:style w:type="paragraph" w:styleId="prastojitrauka">
    <w:name w:val="Normal Indent"/>
    <w:basedOn w:val="prastasis"/>
    <w:uiPriority w:val="99"/>
    <w:rsid w:val="00B830AE"/>
    <w:pPr>
      <w:spacing w:after="120"/>
      <w:ind w:left="720"/>
    </w:pPr>
    <w:rPr>
      <w:sz w:val="22"/>
      <w:szCs w:val="20"/>
      <w:lang w:val="en-GB" w:eastAsia="en-GB"/>
    </w:rPr>
  </w:style>
  <w:style w:type="paragraph" w:styleId="Antrats">
    <w:name w:val="header"/>
    <w:basedOn w:val="prastasis"/>
    <w:link w:val="AntratsDiagrama"/>
    <w:uiPriority w:val="99"/>
    <w:rsid w:val="00B830AE"/>
    <w:pPr>
      <w:tabs>
        <w:tab w:val="center" w:pos="4819"/>
        <w:tab w:val="right" w:pos="9638"/>
      </w:tabs>
    </w:pPr>
  </w:style>
  <w:style w:type="character" w:customStyle="1" w:styleId="AntratsDiagrama">
    <w:name w:val="Antraštės Diagrama"/>
    <w:basedOn w:val="Numatytasispastraiposriftas"/>
    <w:link w:val="Antrats"/>
    <w:uiPriority w:val="99"/>
    <w:rsid w:val="00B830AE"/>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rsid w:val="00B830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30AE"/>
    <w:rPr>
      <w:rFonts w:ascii="Segoe UI" w:eastAsia="Times New Roman" w:hAnsi="Segoe UI" w:cs="Segoe UI"/>
      <w:sz w:val="18"/>
      <w:szCs w:val="18"/>
      <w:lang w:val="lt-LT"/>
    </w:rPr>
  </w:style>
  <w:style w:type="paragraph" w:styleId="Sraopastraipa">
    <w:name w:val="List Paragraph"/>
    <w:basedOn w:val="prastasis"/>
    <w:uiPriority w:val="99"/>
    <w:qFormat/>
    <w:rsid w:val="00B830AE"/>
    <w:pPr>
      <w:ind w:left="720"/>
      <w:contextualSpacing/>
    </w:pPr>
  </w:style>
  <w:style w:type="character" w:styleId="Komentaronuoroda">
    <w:name w:val="annotation reference"/>
    <w:uiPriority w:val="99"/>
    <w:semiHidden/>
    <w:rsid w:val="00B830AE"/>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736203">
      <w:bodyDiv w:val="1"/>
      <w:marLeft w:val="0"/>
      <w:marRight w:val="0"/>
      <w:marTop w:val="0"/>
      <w:marBottom w:val="0"/>
      <w:divBdr>
        <w:top w:val="none" w:sz="0" w:space="0" w:color="auto"/>
        <w:left w:val="none" w:sz="0" w:space="0" w:color="auto"/>
        <w:bottom w:val="none" w:sz="0" w:space="0" w:color="auto"/>
        <w:right w:val="none" w:sz="0" w:space="0" w:color="auto"/>
      </w:divBdr>
    </w:div>
    <w:div w:id="13311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18" Type="http://schemas.openxmlformats.org/officeDocument/2006/relationships/hyperlink" Target="mailto:NepageidaujamaR@vvkt.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vkt.lt/" TargetMode="Externa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grindeks@grindek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indeks@grindeks.lv"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C411-2130-4DA6-A92E-76B27694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28150</Words>
  <Characters>16046</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2024-11-04T11:54:00Z</dcterms:created>
  <dcterms:modified xsi:type="dcterms:W3CDTF">2024-11-04T11:56:00Z</dcterms:modified>
</cp:coreProperties>
</file>